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71E4D" w14:textId="1C3CBA30" w:rsidR="00B92941" w:rsidRDefault="00B92941" w:rsidP="00B92941">
      <w:pPr>
        <w:spacing w:after="0"/>
        <w:jc w:val="both"/>
        <w:rPr>
          <w:rFonts w:ascii="Verdana" w:eastAsia="Calibri" w:hAnsi="Verdana" w:cs="Arial"/>
          <w:b/>
          <w:color w:val="000000" w:themeColor="text1"/>
          <w:lang w:val="es-ES_tradnl"/>
        </w:rPr>
      </w:pPr>
      <w:bookmarkStart w:id="0" w:name="_Hlk143780582"/>
      <w:r w:rsidRPr="00A02884">
        <w:rPr>
          <w:rFonts w:ascii="Verdana" w:eastAsia="Calibri" w:hAnsi="Verdana" w:cs="Arial"/>
          <w:b/>
          <w:color w:val="000000" w:themeColor="text1"/>
          <w:lang w:val="es-ES_tradnl"/>
        </w:rPr>
        <w:t>CONSTITUCIÓN DE FIDUCIA O PATRIMONIO AUTÓNOMO IRREVOCABLE – Artículo 91 ley 1474 de 2011</w:t>
      </w:r>
      <w:r w:rsidR="00096E79">
        <w:rPr>
          <w:rFonts w:ascii="Verdana" w:eastAsia="Calibri" w:hAnsi="Verdana" w:cs="Arial"/>
          <w:b/>
          <w:color w:val="000000" w:themeColor="text1"/>
          <w:lang w:val="es-ES_tradnl"/>
        </w:rPr>
        <w:t xml:space="preserve"> </w:t>
      </w:r>
      <w:r w:rsidR="00096E79" w:rsidRPr="00096E79">
        <w:rPr>
          <w:rFonts w:ascii="Verdana" w:eastAsia="Calibri" w:hAnsi="Verdana" w:cs="Arial"/>
          <w:b/>
          <w:bCs/>
          <w:color w:val="000000" w:themeColor="text1"/>
          <w:lang w:val="es-ES"/>
        </w:rPr>
        <w:t>–</w:t>
      </w:r>
      <w:r w:rsidRPr="00A02884">
        <w:rPr>
          <w:rFonts w:ascii="Verdana" w:eastAsia="Calibri" w:hAnsi="Verdana" w:cs="Arial"/>
          <w:b/>
          <w:color w:val="000000" w:themeColor="text1"/>
          <w:lang w:val="es-ES_tradnl"/>
        </w:rPr>
        <w:t xml:space="preserve"> </w:t>
      </w:r>
      <w:r w:rsidR="00096E79">
        <w:rPr>
          <w:rFonts w:ascii="Verdana" w:eastAsia="Calibri" w:hAnsi="Verdana" w:cs="Arial"/>
          <w:b/>
          <w:color w:val="000000" w:themeColor="text1"/>
          <w:lang w:val="es-ES_tradnl"/>
        </w:rPr>
        <w:t>Á</w:t>
      </w:r>
      <w:r w:rsidRPr="00A02884">
        <w:rPr>
          <w:rFonts w:ascii="Verdana" w:eastAsia="Calibri" w:hAnsi="Verdana" w:cs="Arial"/>
          <w:b/>
          <w:color w:val="000000" w:themeColor="text1"/>
          <w:lang w:val="es-ES_tradnl"/>
        </w:rPr>
        <w:t xml:space="preserve">mbito de aplicación </w:t>
      </w:r>
    </w:p>
    <w:p w14:paraId="6FF258F2" w14:textId="77777777" w:rsidR="00B92941" w:rsidRDefault="00B92941" w:rsidP="00B92941">
      <w:pPr>
        <w:spacing w:after="0"/>
        <w:jc w:val="both"/>
        <w:rPr>
          <w:rFonts w:ascii="Verdana" w:eastAsia="Calibri" w:hAnsi="Verdana" w:cs="Arial"/>
          <w:b/>
          <w:color w:val="000000" w:themeColor="text1"/>
          <w:lang w:val="es-ES_tradnl"/>
        </w:rPr>
      </w:pPr>
    </w:p>
    <w:p w14:paraId="3F4B2830" w14:textId="77777777" w:rsidR="00B92941" w:rsidRDefault="00B92941" w:rsidP="00B92941">
      <w:pPr>
        <w:spacing w:after="0" w:line="240" w:lineRule="auto"/>
        <w:jc w:val="both"/>
        <w:rPr>
          <w:rFonts w:ascii="Verdana" w:eastAsia="Calibri" w:hAnsi="Verdana" w:cs="Arial"/>
          <w:color w:val="000000" w:themeColor="text1"/>
          <w:sz w:val="20"/>
          <w:szCs w:val="20"/>
          <w:lang w:val="es-MX"/>
        </w:rPr>
      </w:pPr>
      <w:r>
        <w:rPr>
          <w:rFonts w:ascii="Verdana" w:eastAsia="Calibri" w:hAnsi="Verdana" w:cs="Arial"/>
          <w:color w:val="000000" w:themeColor="text1"/>
          <w:sz w:val="20"/>
          <w:szCs w:val="20"/>
          <w:lang w:val="es-ES_tradnl"/>
        </w:rPr>
        <w:t>Pa</w:t>
      </w:r>
      <w:r w:rsidRPr="00A02884">
        <w:rPr>
          <w:rFonts w:ascii="Verdana" w:eastAsia="Calibri" w:hAnsi="Verdana" w:cs="Arial"/>
          <w:color w:val="000000" w:themeColor="text1"/>
          <w:sz w:val="20"/>
          <w:szCs w:val="20"/>
          <w:lang w:val="es-ES_tradnl"/>
        </w:rPr>
        <w:t xml:space="preserve">ra ciertos tipos de contratos la Ley ha impuesto la obligación al contratista de constituir una fiducia o patrimonio autónomo irrevocable, con el propósito de manejar los recursos que se entreguen a título de anticipo y garantizar que estos sean destinados única y exclusivamente para </w:t>
      </w:r>
      <w:r w:rsidRPr="00A02884">
        <w:rPr>
          <w:rFonts w:ascii="Verdana" w:eastAsia="Calibri" w:hAnsi="Verdana" w:cs="Arial"/>
          <w:color w:val="000000" w:themeColor="text1"/>
          <w:sz w:val="20"/>
          <w:szCs w:val="20"/>
          <w:lang w:val="es-MX"/>
        </w:rPr>
        <w:t xml:space="preserve">solventar los costos iniciales de la ejecución del contrato, de acuerdo con las condiciones pactadas. </w:t>
      </w:r>
    </w:p>
    <w:p w14:paraId="41517F0C" w14:textId="77777777" w:rsidR="00B92941" w:rsidRPr="00A02884" w:rsidRDefault="00B92941" w:rsidP="00B92941">
      <w:pPr>
        <w:spacing w:after="0" w:line="240" w:lineRule="auto"/>
        <w:jc w:val="both"/>
        <w:rPr>
          <w:rFonts w:ascii="Verdana" w:eastAsia="Calibri" w:hAnsi="Verdana" w:cs="Arial"/>
          <w:color w:val="000000" w:themeColor="text1"/>
          <w:sz w:val="20"/>
          <w:szCs w:val="20"/>
          <w:lang w:val="es-ES_tradnl"/>
        </w:rPr>
      </w:pPr>
    </w:p>
    <w:p w14:paraId="6E83BF61" w14:textId="77777777" w:rsidR="00B92941" w:rsidRDefault="00B92941" w:rsidP="00B92941">
      <w:pPr>
        <w:spacing w:after="0" w:line="240" w:lineRule="auto"/>
        <w:jc w:val="both"/>
        <w:rPr>
          <w:rFonts w:ascii="Verdana" w:eastAsia="Calibri" w:hAnsi="Verdana" w:cs="Arial"/>
          <w:color w:val="000000" w:themeColor="text1"/>
          <w:sz w:val="20"/>
          <w:szCs w:val="20"/>
        </w:rPr>
      </w:pPr>
      <w:r w:rsidRPr="00A02884">
        <w:rPr>
          <w:rFonts w:ascii="Verdana" w:eastAsia="Calibri" w:hAnsi="Verdana" w:cs="Arial"/>
          <w:color w:val="000000" w:themeColor="text1"/>
          <w:sz w:val="20"/>
          <w:szCs w:val="20"/>
          <w:lang w:val="es-MX"/>
        </w:rPr>
        <w:t xml:space="preserve">De esta manera, es claro que el artículo 91 determina </w:t>
      </w:r>
      <w:r w:rsidRPr="00A02884">
        <w:rPr>
          <w:rFonts w:ascii="Verdana" w:eastAsia="Calibri" w:hAnsi="Verdana" w:cs="Arial"/>
          <w:color w:val="000000" w:themeColor="text1"/>
          <w:sz w:val="20"/>
          <w:szCs w:val="20"/>
        </w:rPr>
        <w:t xml:space="preserve">el ámbito de aplicación, al enumerar los casos en los cuales es deber del contratista constituir un patrimonio autónomo o una fiducia para administrar los recursos del anticipo. Para tales efectos, se establecen los siguientes contratos: i) obra, </w:t>
      </w:r>
      <w:proofErr w:type="spellStart"/>
      <w:r w:rsidRPr="00A02884">
        <w:rPr>
          <w:rFonts w:ascii="Verdana" w:eastAsia="Calibri" w:hAnsi="Verdana" w:cs="Arial"/>
          <w:color w:val="000000" w:themeColor="text1"/>
          <w:sz w:val="20"/>
          <w:szCs w:val="20"/>
        </w:rPr>
        <w:t>ii</w:t>
      </w:r>
      <w:proofErr w:type="spellEnd"/>
      <w:r w:rsidRPr="00A02884">
        <w:rPr>
          <w:rFonts w:ascii="Verdana" w:eastAsia="Calibri" w:hAnsi="Verdana" w:cs="Arial"/>
          <w:color w:val="000000" w:themeColor="text1"/>
          <w:sz w:val="20"/>
          <w:szCs w:val="20"/>
        </w:rPr>
        <w:t xml:space="preserve">) concesión, </w:t>
      </w:r>
      <w:proofErr w:type="spellStart"/>
      <w:r w:rsidRPr="00A02884">
        <w:rPr>
          <w:rFonts w:ascii="Verdana" w:eastAsia="Calibri" w:hAnsi="Verdana" w:cs="Arial"/>
          <w:color w:val="000000" w:themeColor="text1"/>
          <w:sz w:val="20"/>
          <w:szCs w:val="20"/>
        </w:rPr>
        <w:t>iii</w:t>
      </w:r>
      <w:proofErr w:type="spellEnd"/>
      <w:r w:rsidRPr="00A02884">
        <w:rPr>
          <w:rFonts w:ascii="Verdana" w:eastAsia="Calibri" w:hAnsi="Verdana" w:cs="Arial"/>
          <w:color w:val="000000" w:themeColor="text1"/>
          <w:sz w:val="20"/>
          <w:szCs w:val="20"/>
        </w:rPr>
        <w:t xml:space="preserve">) salud y </w:t>
      </w:r>
      <w:proofErr w:type="spellStart"/>
      <w:r w:rsidRPr="00A02884">
        <w:rPr>
          <w:rFonts w:ascii="Verdana" w:eastAsia="Calibri" w:hAnsi="Verdana" w:cs="Arial"/>
          <w:color w:val="000000" w:themeColor="text1"/>
          <w:sz w:val="20"/>
          <w:szCs w:val="20"/>
        </w:rPr>
        <w:t>iv</w:t>
      </w:r>
      <w:proofErr w:type="spellEnd"/>
      <w:r w:rsidRPr="00A02884">
        <w:rPr>
          <w:rFonts w:ascii="Verdana" w:eastAsia="Calibri" w:hAnsi="Verdana" w:cs="Arial"/>
          <w:color w:val="000000" w:themeColor="text1"/>
          <w:sz w:val="20"/>
          <w:szCs w:val="20"/>
        </w:rPr>
        <w:t xml:space="preserve">) los contratos derivados de un proceso de Licitación Pública. </w:t>
      </w:r>
    </w:p>
    <w:p w14:paraId="4F51EC24" w14:textId="77777777" w:rsidR="00B92941" w:rsidRDefault="00B92941" w:rsidP="00B92941">
      <w:pPr>
        <w:spacing w:after="0" w:line="240" w:lineRule="auto"/>
        <w:jc w:val="both"/>
        <w:rPr>
          <w:rFonts w:ascii="Verdana" w:eastAsia="Calibri" w:hAnsi="Verdana" w:cs="Arial"/>
          <w:color w:val="000000" w:themeColor="text1"/>
          <w:sz w:val="20"/>
          <w:szCs w:val="20"/>
        </w:rPr>
      </w:pPr>
    </w:p>
    <w:p w14:paraId="14DCFD51" w14:textId="77777777" w:rsidR="00B92941" w:rsidRPr="003737F7" w:rsidRDefault="00B92941" w:rsidP="00B92941">
      <w:pPr>
        <w:spacing w:after="0" w:line="240" w:lineRule="auto"/>
        <w:jc w:val="both"/>
        <w:rPr>
          <w:rFonts w:ascii="Verdana" w:eastAsia="Calibri" w:hAnsi="Verdana" w:cs="Arial"/>
          <w:b/>
          <w:bCs/>
          <w:color w:val="000000" w:themeColor="text1"/>
        </w:rPr>
      </w:pPr>
      <w:r w:rsidRPr="003737F7">
        <w:rPr>
          <w:rFonts w:ascii="Verdana" w:eastAsia="Calibri" w:hAnsi="Verdana" w:cs="Arial"/>
          <w:b/>
          <w:bCs/>
          <w:color w:val="000000" w:themeColor="text1"/>
        </w:rPr>
        <w:t>DOCUMENTOS TIPO – Interventoría – Infraestructura social – Anticipo</w:t>
      </w:r>
    </w:p>
    <w:p w14:paraId="7CEED6E7" w14:textId="77777777" w:rsidR="00B92941" w:rsidRDefault="00B92941" w:rsidP="00B92941">
      <w:pPr>
        <w:spacing w:after="0" w:line="240" w:lineRule="auto"/>
        <w:jc w:val="both"/>
        <w:rPr>
          <w:rFonts w:ascii="Verdana" w:eastAsia="Calibri" w:hAnsi="Verdana" w:cs="Arial"/>
          <w:color w:val="000000" w:themeColor="text1"/>
          <w:sz w:val="20"/>
          <w:szCs w:val="20"/>
        </w:rPr>
      </w:pPr>
    </w:p>
    <w:p w14:paraId="71B74AE2" w14:textId="77777777" w:rsidR="00B92941" w:rsidRPr="00344C25" w:rsidRDefault="00B92941" w:rsidP="00B92941">
      <w:pPr>
        <w:spacing w:after="0" w:line="240" w:lineRule="auto"/>
        <w:jc w:val="both"/>
        <w:rPr>
          <w:rFonts w:ascii="Verdana" w:hAnsi="Verdana"/>
          <w:b/>
          <w:sz w:val="20"/>
          <w:szCs w:val="20"/>
        </w:rPr>
      </w:pPr>
      <w:r w:rsidRPr="00344C25">
        <w:rPr>
          <w:rFonts w:ascii="Verdana" w:eastAsia="Aptos" w:hAnsi="Verdana" w:cs="ArialMT"/>
          <w:sz w:val="20"/>
          <w:szCs w:val="20"/>
          <w:lang w:val="es-ES"/>
          <w14:ligatures w14:val="standardContextual"/>
        </w:rPr>
        <w:t xml:space="preserve">(…) </w:t>
      </w:r>
      <w:r w:rsidRPr="00344C25">
        <w:rPr>
          <w:rFonts w:ascii="Verdana" w:eastAsia="Calibri" w:hAnsi="Verdana" w:cs="Arial"/>
          <w:sz w:val="20"/>
          <w:szCs w:val="20"/>
        </w:rPr>
        <w:t>el numeral “9.2 Anticipo y/o pago anticipado” del documento base de los documentos tipo de interventoría de obra pública de infraestructura de transporte – Versión 3, contiene espacios marcados en gris y corchetes, con el fin de que la entidad decida si entrega o no estos recursos en el proceso contractual</w:t>
      </w:r>
      <w:r w:rsidRPr="00344C25">
        <w:rPr>
          <w:rFonts w:ascii="Verdana" w:hAnsi="Verdana"/>
          <w:b/>
          <w:sz w:val="20"/>
          <w:szCs w:val="20"/>
        </w:rPr>
        <w:t xml:space="preserve">. </w:t>
      </w:r>
    </w:p>
    <w:p w14:paraId="1FC0C0C1" w14:textId="77777777" w:rsidR="00B92941" w:rsidRPr="00344C25" w:rsidRDefault="00B92941" w:rsidP="00B92941">
      <w:pPr>
        <w:spacing w:after="0" w:line="240" w:lineRule="auto"/>
        <w:jc w:val="both"/>
        <w:rPr>
          <w:rFonts w:ascii="Verdana" w:hAnsi="Verdana"/>
          <w:b/>
          <w:sz w:val="20"/>
          <w:szCs w:val="20"/>
        </w:rPr>
      </w:pPr>
    </w:p>
    <w:p w14:paraId="40AF814F" w14:textId="77777777" w:rsidR="00B92941" w:rsidRPr="00344C25" w:rsidRDefault="00B92941" w:rsidP="00B92941">
      <w:pPr>
        <w:spacing w:after="0" w:line="240" w:lineRule="auto"/>
        <w:jc w:val="both"/>
        <w:rPr>
          <w:rFonts w:ascii="Verdana" w:hAnsi="Verdana"/>
          <w:bCs/>
          <w:sz w:val="20"/>
          <w:szCs w:val="20"/>
        </w:rPr>
      </w:pPr>
      <w:r w:rsidRPr="00344C25">
        <w:rPr>
          <w:rFonts w:ascii="Verdana" w:hAnsi="Verdana"/>
          <w:bCs/>
          <w:sz w:val="20"/>
          <w:szCs w:val="20"/>
        </w:rPr>
        <w:t xml:space="preserve">(…) </w:t>
      </w:r>
    </w:p>
    <w:p w14:paraId="28007B55" w14:textId="77777777" w:rsidR="00B92941" w:rsidRPr="00344C25" w:rsidRDefault="00B92941" w:rsidP="00B92941">
      <w:pPr>
        <w:spacing w:after="0" w:line="240" w:lineRule="auto"/>
        <w:jc w:val="both"/>
        <w:rPr>
          <w:rFonts w:ascii="Verdana" w:hAnsi="Verdana"/>
          <w:bCs/>
          <w:sz w:val="20"/>
          <w:szCs w:val="20"/>
        </w:rPr>
      </w:pPr>
    </w:p>
    <w:p w14:paraId="3588383B" w14:textId="0D8B06E9" w:rsidR="00B92941" w:rsidRPr="00344C25" w:rsidRDefault="00B92941" w:rsidP="00B92941">
      <w:pPr>
        <w:spacing w:after="0" w:line="240" w:lineRule="auto"/>
        <w:jc w:val="both"/>
        <w:rPr>
          <w:rFonts w:ascii="Verdana" w:eastAsia="Calibri" w:hAnsi="Verdana" w:cs="Arial"/>
          <w:sz w:val="20"/>
          <w:szCs w:val="20"/>
        </w:rPr>
      </w:pPr>
      <w:r w:rsidRPr="00344C25">
        <w:rPr>
          <w:rFonts w:ascii="Verdana" w:eastAsia="Calibri" w:hAnsi="Verdana" w:cs="Arial"/>
          <w:sz w:val="20"/>
          <w:szCs w:val="20"/>
        </w:rPr>
        <w:t xml:space="preserve">Seguidamente, el numeral indicado señala </w:t>
      </w:r>
      <w:r w:rsidR="00407EF4" w:rsidRPr="00344C25">
        <w:rPr>
          <w:rFonts w:ascii="Verdana" w:eastAsia="Calibri" w:hAnsi="Verdana" w:cs="Arial"/>
          <w:sz w:val="20"/>
          <w:szCs w:val="20"/>
        </w:rPr>
        <w:t>que,</w:t>
      </w:r>
      <w:r w:rsidRPr="00344C25">
        <w:rPr>
          <w:rFonts w:ascii="Verdana" w:eastAsia="Calibri" w:hAnsi="Verdana" w:cs="Arial"/>
          <w:sz w:val="20"/>
          <w:szCs w:val="20"/>
        </w:rPr>
        <w:t xml:space="preserve"> si la entidad decide entregar Anticipo y/o pago anticipado en </w:t>
      </w:r>
      <w:r w:rsidR="00407EF4" w:rsidRPr="00344C25">
        <w:rPr>
          <w:rFonts w:ascii="Verdana" w:eastAsia="Calibri" w:hAnsi="Verdana" w:cs="Arial"/>
          <w:sz w:val="20"/>
          <w:szCs w:val="20"/>
        </w:rPr>
        <w:t>el proceso</w:t>
      </w:r>
      <w:r w:rsidRPr="00344C25">
        <w:rPr>
          <w:rFonts w:ascii="Verdana" w:eastAsia="Calibri" w:hAnsi="Verdana" w:cs="Arial"/>
          <w:sz w:val="20"/>
          <w:szCs w:val="20"/>
        </w:rPr>
        <w:t xml:space="preserve"> de contratación, deberá seleccionar alguna de las siguientes opciones. Para el caso objeto de su solicitud, resulta pertinente mencionar la que se refiere al anticipo, que dispone lo siguiente:</w:t>
      </w:r>
    </w:p>
    <w:p w14:paraId="45E20CCB" w14:textId="77777777" w:rsidR="00B92941" w:rsidRPr="00344C25" w:rsidRDefault="00B92941" w:rsidP="00B92941">
      <w:pPr>
        <w:spacing w:after="0" w:line="240" w:lineRule="auto"/>
        <w:jc w:val="both"/>
        <w:rPr>
          <w:rFonts w:ascii="Verdana" w:eastAsia="Calibri" w:hAnsi="Verdana" w:cs="Arial"/>
          <w:sz w:val="20"/>
          <w:szCs w:val="20"/>
        </w:rPr>
      </w:pPr>
    </w:p>
    <w:p w14:paraId="0C11AE07" w14:textId="77777777" w:rsidR="00B92941" w:rsidRPr="00344C25" w:rsidRDefault="00B92941" w:rsidP="00B92941">
      <w:pPr>
        <w:spacing w:after="0" w:line="240" w:lineRule="auto"/>
        <w:jc w:val="both"/>
        <w:rPr>
          <w:rFonts w:ascii="Verdana" w:eastAsia="Calibri" w:hAnsi="Verdana" w:cs="Arial"/>
          <w:sz w:val="20"/>
          <w:szCs w:val="20"/>
        </w:rPr>
      </w:pPr>
      <w:r w:rsidRPr="00344C25">
        <w:rPr>
          <w:rFonts w:ascii="Verdana" w:eastAsia="Calibri" w:hAnsi="Verdana" w:cs="Arial"/>
          <w:sz w:val="20"/>
          <w:szCs w:val="20"/>
        </w:rPr>
        <w:t xml:space="preserve">(…) </w:t>
      </w:r>
    </w:p>
    <w:p w14:paraId="1D4DF3B3" w14:textId="77777777" w:rsidR="00B92941" w:rsidRPr="00344C25" w:rsidRDefault="00B92941" w:rsidP="00B92941">
      <w:pPr>
        <w:spacing w:after="0" w:line="240" w:lineRule="auto"/>
        <w:jc w:val="both"/>
        <w:rPr>
          <w:rFonts w:ascii="Verdana" w:eastAsia="Calibri" w:hAnsi="Verdana" w:cs="Arial"/>
          <w:sz w:val="20"/>
          <w:szCs w:val="20"/>
        </w:rPr>
      </w:pPr>
    </w:p>
    <w:p w14:paraId="528AD37F" w14:textId="77777777" w:rsidR="00B92941" w:rsidRDefault="00B92941" w:rsidP="00B92941">
      <w:pPr>
        <w:spacing w:after="0"/>
        <w:jc w:val="both"/>
        <w:rPr>
          <w:rFonts w:ascii="Verdana" w:eastAsia="Calibri" w:hAnsi="Verdana" w:cs="Arial"/>
          <w:sz w:val="20"/>
          <w:szCs w:val="20"/>
        </w:rPr>
      </w:pPr>
      <w:r w:rsidRPr="00344C25">
        <w:rPr>
          <w:rFonts w:ascii="Verdana" w:eastAsia="Calibri" w:hAnsi="Verdana" w:cs="Arial"/>
          <w:sz w:val="20"/>
          <w:szCs w:val="20"/>
        </w:rPr>
        <w:t>De esta manera, el documento base indica que si la entidad decide entregar el anticipo debe incluir el párrafo que señala el porcentaje del valor básico del contrato que se entregará, y que estos recursos se regirán por el “Anexo 5 - Minuta del Contrato de Interventoría”.</w:t>
      </w:r>
    </w:p>
    <w:p w14:paraId="32E09531" w14:textId="77777777" w:rsidR="00B92941" w:rsidRPr="00344C25" w:rsidRDefault="00B92941" w:rsidP="00B92941">
      <w:pPr>
        <w:spacing w:after="0" w:line="240" w:lineRule="auto"/>
        <w:jc w:val="both"/>
        <w:rPr>
          <w:rFonts w:ascii="Verdana" w:eastAsia="Calibri" w:hAnsi="Verdana" w:cs="Arial"/>
          <w:sz w:val="20"/>
          <w:szCs w:val="20"/>
        </w:rPr>
      </w:pPr>
    </w:p>
    <w:p w14:paraId="6CC83B69" w14:textId="77777777" w:rsidR="00B92941" w:rsidRDefault="00B92941" w:rsidP="00B92941">
      <w:pPr>
        <w:spacing w:after="0" w:line="240" w:lineRule="auto"/>
        <w:jc w:val="both"/>
        <w:rPr>
          <w:rFonts w:ascii="Verdana" w:eastAsia="Calibri" w:hAnsi="Verdana" w:cs="Arial"/>
          <w:b/>
          <w:bCs/>
          <w:color w:val="000000" w:themeColor="text1"/>
        </w:rPr>
      </w:pPr>
      <w:r>
        <w:rPr>
          <w:rFonts w:ascii="Verdana" w:eastAsia="Calibri" w:hAnsi="Verdana" w:cs="Arial"/>
          <w:b/>
          <w:bCs/>
          <w:color w:val="000000" w:themeColor="text1"/>
        </w:rPr>
        <w:t xml:space="preserve">ANEXO 5 – Cláusula 6 – Anticipo </w:t>
      </w:r>
    </w:p>
    <w:p w14:paraId="589C1757" w14:textId="77777777" w:rsidR="00B92941" w:rsidRPr="00FA0B1A" w:rsidRDefault="00B92941" w:rsidP="00B92941">
      <w:pPr>
        <w:spacing w:after="0" w:line="240" w:lineRule="auto"/>
        <w:jc w:val="both"/>
        <w:rPr>
          <w:rFonts w:ascii="Verdana" w:eastAsia="Aptos" w:hAnsi="Verdana" w:cs="ArialMT"/>
          <w14:ligatures w14:val="standardContextual"/>
        </w:rPr>
      </w:pPr>
    </w:p>
    <w:p w14:paraId="77384988" w14:textId="0843C2A6" w:rsidR="00B92941" w:rsidRPr="00344C25" w:rsidRDefault="00B92941" w:rsidP="00B92941">
      <w:pPr>
        <w:spacing w:line="240" w:lineRule="auto"/>
        <w:jc w:val="both"/>
        <w:rPr>
          <w:rFonts w:ascii="Verdana" w:eastAsia="Calibri" w:hAnsi="Verdana" w:cs="Arial"/>
          <w:sz w:val="20"/>
          <w:szCs w:val="20"/>
        </w:rPr>
      </w:pPr>
      <w:r w:rsidRPr="00344C25">
        <w:rPr>
          <w:rFonts w:ascii="Verdana" w:eastAsia="Calibri" w:hAnsi="Verdana" w:cs="Arial"/>
          <w:sz w:val="20"/>
          <w:szCs w:val="20"/>
        </w:rPr>
        <w:t xml:space="preserve">Este inciso establece </w:t>
      </w:r>
      <w:r w:rsidR="00407EF4" w:rsidRPr="00344C25">
        <w:rPr>
          <w:rFonts w:ascii="Verdana" w:eastAsia="Calibri" w:hAnsi="Verdana" w:cs="Arial"/>
          <w:sz w:val="20"/>
          <w:szCs w:val="20"/>
        </w:rPr>
        <w:t>que,</w:t>
      </w:r>
      <w:r w:rsidRPr="00344C25">
        <w:rPr>
          <w:rFonts w:ascii="Verdana" w:eastAsia="Calibri" w:hAnsi="Verdana" w:cs="Arial"/>
          <w:sz w:val="20"/>
          <w:szCs w:val="20"/>
        </w:rPr>
        <w:t xml:space="preserve"> si la entidad otorga un anticipo, puede utilizar las condiciones señaladas en la cláusula 6. Esta cláusula hace referencia a la entrega, trámite y manejo del anticipo, entre otros aspectos. Como se aprecia, el verbo rector del inciso es "puede" ("poder"), el cual expresa la capacidad, posibilidad o permisibilidad que se le otorga a la entidad para que utilice todas o algunas de estas condiciones, o bien, para que establezca las que considere pertinentes para el manejo y entrega del anticipo.</w:t>
      </w:r>
    </w:p>
    <w:p w14:paraId="4569D9F2" w14:textId="77777777" w:rsidR="00B92941" w:rsidRDefault="00B92941" w:rsidP="00B92941">
      <w:pPr>
        <w:spacing w:after="0"/>
        <w:jc w:val="both"/>
        <w:rPr>
          <w:rFonts w:ascii="Verdana" w:eastAsia="Calibri" w:hAnsi="Verdana" w:cs="Arial"/>
        </w:rPr>
      </w:pPr>
    </w:p>
    <w:p w14:paraId="08DAF634" w14:textId="77777777" w:rsidR="00B92941" w:rsidRPr="00344C25" w:rsidRDefault="00B92941" w:rsidP="00B92941">
      <w:pPr>
        <w:spacing w:after="0" w:line="240" w:lineRule="auto"/>
        <w:jc w:val="both"/>
        <w:rPr>
          <w:rFonts w:ascii="Verdana" w:eastAsia="Calibri" w:hAnsi="Verdana" w:cs="Arial"/>
          <w:b/>
          <w:bCs/>
          <w:color w:val="000000" w:themeColor="text1"/>
        </w:rPr>
      </w:pPr>
      <w:r>
        <w:rPr>
          <w:rFonts w:ascii="Verdana" w:eastAsia="Calibri" w:hAnsi="Verdana" w:cs="Arial"/>
          <w:b/>
          <w:bCs/>
          <w:color w:val="000000" w:themeColor="text1"/>
        </w:rPr>
        <w:t xml:space="preserve">ANEXO 5 – Cláusula 6 – Anticipo – Patrimonio autónomo </w:t>
      </w:r>
    </w:p>
    <w:p w14:paraId="5323E1D6" w14:textId="77777777" w:rsidR="00B92941" w:rsidRDefault="00B92941" w:rsidP="00B92941">
      <w:pPr>
        <w:spacing w:after="0" w:line="276" w:lineRule="auto"/>
        <w:jc w:val="both"/>
        <w:rPr>
          <w:rFonts w:ascii="Verdana" w:eastAsia="Calibri" w:hAnsi="Verdana" w:cs="Arial"/>
        </w:rPr>
      </w:pPr>
    </w:p>
    <w:p w14:paraId="229BAA62" w14:textId="77DA9728" w:rsidR="00B92941" w:rsidRDefault="00B92941" w:rsidP="00B92941">
      <w:pPr>
        <w:spacing w:after="0"/>
        <w:jc w:val="both"/>
        <w:rPr>
          <w:rFonts w:ascii="Verdana" w:eastAsia="Calibri" w:hAnsi="Verdana" w:cs="Arial"/>
          <w:sz w:val="20"/>
          <w:szCs w:val="20"/>
        </w:rPr>
      </w:pPr>
      <w:r w:rsidRPr="00344C25">
        <w:rPr>
          <w:rFonts w:ascii="Verdana" w:eastAsia="Calibri" w:hAnsi="Verdana" w:cs="Arial"/>
          <w:sz w:val="20"/>
          <w:szCs w:val="20"/>
        </w:rPr>
        <w:t xml:space="preserve">En este inciso, se establece que la entidad revisará y aprobará los programas de inversión del anticipo mediante el supervisor del contrato de interventoría. Seguidamente se indica </w:t>
      </w:r>
      <w:r w:rsidR="00407EF4" w:rsidRPr="00344C25">
        <w:rPr>
          <w:rFonts w:ascii="Verdana" w:eastAsia="Calibri" w:hAnsi="Verdana" w:cs="Arial"/>
          <w:sz w:val="20"/>
          <w:szCs w:val="20"/>
        </w:rPr>
        <w:t>que,</w:t>
      </w:r>
      <w:r w:rsidRPr="00344C25">
        <w:rPr>
          <w:rFonts w:ascii="Verdana" w:eastAsia="Calibri" w:hAnsi="Verdana" w:cs="Arial"/>
          <w:sz w:val="20"/>
          <w:szCs w:val="20"/>
        </w:rPr>
        <w:t xml:space="preserve"> para el manejo del anticipo, el contratista interventor constituirá un patrimonio autónomo irrevocable, que tenga como beneficiaria a la entidad contratante y vigilado por el supervisor.  </w:t>
      </w:r>
    </w:p>
    <w:p w14:paraId="48E42AB2" w14:textId="77777777" w:rsidR="00B92941" w:rsidRPr="00344C25" w:rsidRDefault="00B92941" w:rsidP="00B92941">
      <w:pPr>
        <w:spacing w:after="0" w:line="240" w:lineRule="auto"/>
        <w:jc w:val="both"/>
        <w:rPr>
          <w:rFonts w:ascii="Verdana" w:eastAsia="Calibri" w:hAnsi="Verdana" w:cs="Arial"/>
          <w:sz w:val="20"/>
          <w:szCs w:val="20"/>
        </w:rPr>
      </w:pPr>
    </w:p>
    <w:p w14:paraId="7446D83C" w14:textId="4A053939" w:rsidR="00B92941" w:rsidRPr="00344C25" w:rsidRDefault="00B92941" w:rsidP="00B92941">
      <w:pPr>
        <w:spacing w:after="0" w:line="240" w:lineRule="auto"/>
        <w:jc w:val="both"/>
        <w:rPr>
          <w:rFonts w:ascii="Verdana" w:eastAsia="Calibri" w:hAnsi="Verdana" w:cs="Arial"/>
          <w:sz w:val="20"/>
          <w:szCs w:val="20"/>
          <w:highlight w:val="yellow"/>
        </w:rPr>
      </w:pPr>
      <w:r w:rsidRPr="00344C25">
        <w:rPr>
          <w:rFonts w:ascii="Verdana" w:eastAsia="Calibri" w:hAnsi="Verdana" w:cs="Arial"/>
          <w:sz w:val="20"/>
          <w:szCs w:val="20"/>
        </w:rPr>
        <w:t xml:space="preserve">Como se señaló anteriormente, la condición sobre la cual recae su solicitud corresponde a aquellas que la entidad puede o no establecer en el contrato. Es decir, la constitución del patrimonio autónomo irrevocable resulta facultativa para la entidad en el caso de los documentos tipo de interventoría de obra pública de infraestructura de transporte – Versión </w:t>
      </w:r>
      <w:r w:rsidR="00407EF4" w:rsidRPr="00344C25">
        <w:rPr>
          <w:rFonts w:ascii="Verdana" w:eastAsia="Calibri" w:hAnsi="Verdana" w:cs="Arial"/>
          <w:sz w:val="20"/>
          <w:szCs w:val="20"/>
        </w:rPr>
        <w:t>3,</w:t>
      </w:r>
      <w:r w:rsidRPr="00344C25">
        <w:rPr>
          <w:rFonts w:ascii="Verdana" w:eastAsia="Calibri" w:hAnsi="Verdana" w:cs="Arial"/>
          <w:sz w:val="20"/>
          <w:szCs w:val="20"/>
        </w:rPr>
        <w:t xml:space="preserve"> </w:t>
      </w:r>
      <w:r w:rsidR="00407EF4">
        <w:rPr>
          <w:rFonts w:ascii="Verdana" w:eastAsia="Calibri" w:hAnsi="Verdana" w:cs="Arial"/>
          <w:sz w:val="20"/>
          <w:szCs w:val="20"/>
        </w:rPr>
        <w:t>e</w:t>
      </w:r>
      <w:r w:rsidRPr="00344C25">
        <w:rPr>
          <w:rFonts w:ascii="Verdana" w:eastAsia="Calibri" w:hAnsi="Verdana" w:cs="Arial"/>
          <w:sz w:val="20"/>
          <w:szCs w:val="20"/>
        </w:rPr>
        <w:t xml:space="preserve">sto se debe a que el documento tipo estandarizado mediante la Resolución 725 del 19 de diciembre de 2024 no es de aquellos tipos de contratos ni modalidades de selección que, según la normativa, están legalmente obligados a constituir un patrimonio autónomo irrevocable para el manejo del anticipo (artículo 91 de la Ley 1474 de 2011), considerando el tipo de contrato “interventoría” y la modalidad de selección “concurso de méritos”.  </w:t>
      </w:r>
    </w:p>
    <w:p w14:paraId="5CE27360" w14:textId="77777777" w:rsidR="00B92941" w:rsidRDefault="00B92941" w:rsidP="00B92941">
      <w:pPr>
        <w:spacing w:after="0" w:line="240" w:lineRule="auto"/>
        <w:jc w:val="both"/>
        <w:rPr>
          <w:rFonts w:ascii="Verdana" w:hAnsi="Verdana"/>
          <w:sz w:val="20"/>
          <w:szCs w:val="20"/>
        </w:rPr>
      </w:pPr>
    </w:p>
    <w:p w14:paraId="76711432" w14:textId="77777777" w:rsidR="00B92941" w:rsidRPr="002C66A0" w:rsidRDefault="00B92941" w:rsidP="00B92941">
      <w:pPr>
        <w:spacing w:after="0" w:line="240" w:lineRule="auto"/>
        <w:jc w:val="both"/>
        <w:rPr>
          <w:rFonts w:ascii="Verdana" w:hAnsi="Verdana"/>
          <w:sz w:val="20"/>
          <w:szCs w:val="20"/>
        </w:rPr>
      </w:pPr>
    </w:p>
    <w:p w14:paraId="6B20B8B3" w14:textId="77777777" w:rsidR="00B92941" w:rsidRDefault="00B92941" w:rsidP="00B92941">
      <w:pPr>
        <w:spacing w:after="0" w:line="240" w:lineRule="auto"/>
        <w:jc w:val="both"/>
        <w:rPr>
          <w:rFonts w:ascii="Verdana" w:hAnsi="Verdana" w:cs="Arial"/>
          <w:bCs/>
          <w:lang w:eastAsia="es-ES" w:bidi="es-ES"/>
        </w:rPr>
      </w:pPr>
    </w:p>
    <w:p w14:paraId="615A9280" w14:textId="77777777" w:rsidR="00B92941" w:rsidRDefault="00B92941" w:rsidP="00B92941">
      <w:pPr>
        <w:spacing w:after="0" w:line="240" w:lineRule="auto"/>
        <w:jc w:val="both"/>
        <w:rPr>
          <w:rFonts w:ascii="Verdana" w:hAnsi="Verdana" w:cs="Arial"/>
          <w:bCs/>
          <w:lang w:eastAsia="es-ES" w:bidi="es-ES"/>
        </w:rPr>
      </w:pPr>
    </w:p>
    <w:p w14:paraId="6AB332DB" w14:textId="77777777" w:rsidR="00B92941" w:rsidRDefault="00B92941" w:rsidP="00B92941">
      <w:pPr>
        <w:spacing w:after="0" w:line="240" w:lineRule="auto"/>
        <w:jc w:val="both"/>
        <w:rPr>
          <w:rFonts w:ascii="Verdana" w:hAnsi="Verdana" w:cs="Arial"/>
          <w:bCs/>
          <w:lang w:eastAsia="es-ES" w:bidi="es-ES"/>
        </w:rPr>
      </w:pPr>
    </w:p>
    <w:p w14:paraId="77B2ED26" w14:textId="77777777" w:rsidR="00B92941" w:rsidRDefault="00B92941" w:rsidP="00B92941">
      <w:pPr>
        <w:spacing w:after="0" w:line="240" w:lineRule="auto"/>
        <w:jc w:val="both"/>
        <w:rPr>
          <w:rFonts w:ascii="Verdana" w:hAnsi="Verdana" w:cs="Arial"/>
          <w:bCs/>
          <w:lang w:eastAsia="es-ES" w:bidi="es-ES"/>
        </w:rPr>
      </w:pPr>
    </w:p>
    <w:p w14:paraId="2640B2BB" w14:textId="77777777" w:rsidR="00B92941" w:rsidRDefault="00B92941" w:rsidP="00B92941">
      <w:pPr>
        <w:spacing w:after="0" w:line="240" w:lineRule="auto"/>
        <w:jc w:val="both"/>
        <w:rPr>
          <w:rFonts w:ascii="Verdana" w:hAnsi="Verdana" w:cs="Arial"/>
          <w:bCs/>
          <w:lang w:eastAsia="es-ES" w:bidi="es-ES"/>
        </w:rPr>
      </w:pPr>
    </w:p>
    <w:p w14:paraId="1B158761" w14:textId="77777777" w:rsidR="00B92941" w:rsidRDefault="00B92941" w:rsidP="00B92941">
      <w:pPr>
        <w:spacing w:after="0" w:line="240" w:lineRule="auto"/>
        <w:jc w:val="both"/>
        <w:rPr>
          <w:rFonts w:ascii="Verdana" w:hAnsi="Verdana" w:cs="Arial"/>
          <w:bCs/>
          <w:lang w:eastAsia="es-ES" w:bidi="es-ES"/>
        </w:rPr>
      </w:pPr>
    </w:p>
    <w:p w14:paraId="23F746BE" w14:textId="77777777" w:rsidR="00B92941" w:rsidRDefault="00B92941" w:rsidP="00B92941">
      <w:pPr>
        <w:spacing w:after="0" w:line="240" w:lineRule="auto"/>
        <w:jc w:val="both"/>
        <w:rPr>
          <w:rFonts w:ascii="Verdana" w:hAnsi="Verdana" w:cs="Arial"/>
          <w:bCs/>
          <w:lang w:eastAsia="es-ES" w:bidi="es-ES"/>
        </w:rPr>
      </w:pPr>
    </w:p>
    <w:p w14:paraId="6061AAD5" w14:textId="77777777" w:rsidR="00B92941" w:rsidRDefault="00B92941" w:rsidP="00B92941">
      <w:pPr>
        <w:spacing w:after="0" w:line="240" w:lineRule="auto"/>
        <w:jc w:val="both"/>
        <w:rPr>
          <w:rFonts w:ascii="Verdana" w:hAnsi="Verdana" w:cs="Arial"/>
          <w:bCs/>
          <w:lang w:eastAsia="es-ES" w:bidi="es-ES"/>
        </w:rPr>
      </w:pPr>
    </w:p>
    <w:p w14:paraId="1DE395FB" w14:textId="77777777" w:rsidR="00B92941" w:rsidRDefault="00B92941" w:rsidP="00B92941">
      <w:pPr>
        <w:spacing w:after="0" w:line="240" w:lineRule="auto"/>
        <w:jc w:val="both"/>
        <w:rPr>
          <w:rFonts w:ascii="Verdana" w:hAnsi="Verdana" w:cs="Arial"/>
          <w:bCs/>
          <w:lang w:eastAsia="es-ES" w:bidi="es-ES"/>
        </w:rPr>
      </w:pPr>
    </w:p>
    <w:p w14:paraId="3EFD878A" w14:textId="77777777" w:rsidR="00B92941" w:rsidRDefault="00B92941" w:rsidP="00B92941">
      <w:pPr>
        <w:spacing w:after="0" w:line="240" w:lineRule="auto"/>
        <w:jc w:val="both"/>
        <w:rPr>
          <w:rFonts w:ascii="Verdana" w:hAnsi="Verdana" w:cs="Arial"/>
          <w:bCs/>
          <w:lang w:eastAsia="es-ES" w:bidi="es-ES"/>
        </w:rPr>
      </w:pPr>
    </w:p>
    <w:p w14:paraId="1F458C4E" w14:textId="77777777" w:rsidR="00B92941" w:rsidRDefault="00B92941" w:rsidP="00B92941">
      <w:pPr>
        <w:spacing w:after="0" w:line="240" w:lineRule="auto"/>
        <w:jc w:val="both"/>
        <w:rPr>
          <w:rFonts w:ascii="Verdana" w:hAnsi="Verdana" w:cs="Arial"/>
          <w:bCs/>
          <w:lang w:eastAsia="es-ES" w:bidi="es-ES"/>
        </w:rPr>
      </w:pPr>
    </w:p>
    <w:p w14:paraId="4A2457A3" w14:textId="77777777" w:rsidR="00B92941" w:rsidRDefault="00B92941" w:rsidP="00B92941">
      <w:pPr>
        <w:spacing w:after="0" w:line="240" w:lineRule="auto"/>
        <w:jc w:val="both"/>
        <w:rPr>
          <w:rFonts w:ascii="Verdana" w:hAnsi="Verdana" w:cs="Arial"/>
          <w:bCs/>
          <w:lang w:eastAsia="es-ES" w:bidi="es-ES"/>
        </w:rPr>
      </w:pPr>
    </w:p>
    <w:p w14:paraId="6F42F71B" w14:textId="77777777" w:rsidR="00B92941" w:rsidRDefault="00B92941" w:rsidP="00B92941">
      <w:pPr>
        <w:spacing w:after="0" w:line="240" w:lineRule="auto"/>
        <w:jc w:val="both"/>
        <w:rPr>
          <w:rFonts w:ascii="Verdana" w:hAnsi="Verdana" w:cs="Arial"/>
          <w:bCs/>
          <w:lang w:eastAsia="es-ES" w:bidi="es-ES"/>
        </w:rPr>
      </w:pPr>
    </w:p>
    <w:p w14:paraId="770EC06A" w14:textId="77777777" w:rsidR="00B92941" w:rsidRDefault="00B92941" w:rsidP="00B92941">
      <w:pPr>
        <w:spacing w:after="0" w:line="240" w:lineRule="auto"/>
        <w:jc w:val="both"/>
        <w:rPr>
          <w:rFonts w:ascii="Verdana" w:hAnsi="Verdana" w:cs="Arial"/>
          <w:bCs/>
          <w:lang w:eastAsia="es-ES" w:bidi="es-ES"/>
        </w:rPr>
      </w:pPr>
    </w:p>
    <w:p w14:paraId="0BF89B39" w14:textId="77777777" w:rsidR="00B92941" w:rsidRDefault="00B92941" w:rsidP="00B92941">
      <w:pPr>
        <w:spacing w:after="0" w:line="240" w:lineRule="auto"/>
        <w:jc w:val="both"/>
        <w:rPr>
          <w:rFonts w:ascii="Verdana" w:hAnsi="Verdana" w:cs="Arial"/>
          <w:bCs/>
          <w:lang w:eastAsia="es-ES" w:bidi="es-ES"/>
        </w:rPr>
      </w:pPr>
    </w:p>
    <w:p w14:paraId="5B677ECC" w14:textId="77777777" w:rsidR="00B92941" w:rsidRDefault="00B92941" w:rsidP="00B92941">
      <w:pPr>
        <w:spacing w:after="0" w:line="240" w:lineRule="auto"/>
        <w:jc w:val="both"/>
        <w:rPr>
          <w:rFonts w:ascii="Verdana" w:hAnsi="Verdana" w:cs="Arial"/>
          <w:bCs/>
          <w:lang w:eastAsia="es-ES" w:bidi="es-ES"/>
        </w:rPr>
      </w:pPr>
    </w:p>
    <w:p w14:paraId="2C782E94" w14:textId="77777777" w:rsidR="00B92941" w:rsidRDefault="00B92941" w:rsidP="00B92941">
      <w:pPr>
        <w:spacing w:after="0" w:line="240" w:lineRule="auto"/>
        <w:jc w:val="both"/>
        <w:rPr>
          <w:rFonts w:ascii="Verdana" w:hAnsi="Verdana" w:cs="Arial"/>
          <w:bCs/>
          <w:lang w:eastAsia="es-ES" w:bidi="es-ES"/>
        </w:rPr>
      </w:pPr>
    </w:p>
    <w:p w14:paraId="199FAEC6" w14:textId="77777777" w:rsidR="00B92941" w:rsidRDefault="00B92941" w:rsidP="00B92941">
      <w:pPr>
        <w:spacing w:after="0" w:line="240" w:lineRule="auto"/>
        <w:jc w:val="both"/>
        <w:rPr>
          <w:rFonts w:ascii="Verdana" w:hAnsi="Verdana" w:cs="Arial"/>
          <w:bCs/>
          <w:lang w:eastAsia="es-ES" w:bidi="es-ES"/>
        </w:rPr>
      </w:pPr>
    </w:p>
    <w:p w14:paraId="1E008E97" w14:textId="77777777" w:rsidR="00B92941" w:rsidRDefault="00B92941" w:rsidP="00B92941">
      <w:pPr>
        <w:spacing w:after="0" w:line="240" w:lineRule="auto"/>
        <w:jc w:val="both"/>
        <w:rPr>
          <w:rFonts w:ascii="Verdana" w:hAnsi="Verdana" w:cs="Arial"/>
          <w:bCs/>
          <w:lang w:eastAsia="es-ES" w:bidi="es-ES"/>
        </w:rPr>
      </w:pPr>
    </w:p>
    <w:p w14:paraId="166AF439" w14:textId="77777777" w:rsidR="00B92941" w:rsidRDefault="00B92941" w:rsidP="00B92941">
      <w:pPr>
        <w:spacing w:after="0" w:line="240" w:lineRule="auto"/>
        <w:jc w:val="both"/>
        <w:rPr>
          <w:rFonts w:ascii="Verdana" w:hAnsi="Verdana" w:cs="Arial"/>
          <w:bCs/>
          <w:lang w:eastAsia="es-ES" w:bidi="es-ES"/>
        </w:rPr>
      </w:pPr>
    </w:p>
    <w:p w14:paraId="20BE9207" w14:textId="77777777" w:rsidR="00B92941" w:rsidRDefault="00B92941" w:rsidP="00B92941">
      <w:pPr>
        <w:spacing w:after="0" w:line="240" w:lineRule="auto"/>
        <w:jc w:val="both"/>
        <w:rPr>
          <w:rFonts w:ascii="Verdana" w:hAnsi="Verdana" w:cs="Arial"/>
          <w:bCs/>
          <w:lang w:eastAsia="es-ES" w:bidi="es-ES"/>
        </w:rPr>
      </w:pPr>
    </w:p>
    <w:p w14:paraId="49F4DDCD" w14:textId="77777777" w:rsidR="00B92941" w:rsidRDefault="00B92941" w:rsidP="00B92941">
      <w:pPr>
        <w:spacing w:after="0" w:line="240" w:lineRule="auto"/>
        <w:jc w:val="both"/>
        <w:rPr>
          <w:rFonts w:ascii="Verdana" w:hAnsi="Verdana" w:cs="Arial"/>
          <w:bCs/>
          <w:lang w:eastAsia="es-ES" w:bidi="es-ES"/>
        </w:rPr>
      </w:pPr>
    </w:p>
    <w:p w14:paraId="5731A6EF" w14:textId="5F54CA0E" w:rsidR="00B92941" w:rsidRDefault="00B92941" w:rsidP="00B92941">
      <w:pPr>
        <w:spacing w:after="0" w:line="240" w:lineRule="auto"/>
        <w:rPr>
          <w:rFonts w:ascii="Verdana" w:eastAsia="Geomanist Light" w:hAnsi="Verdana" w:cs="Arial"/>
          <w:lang w:val="es-MX"/>
        </w:rPr>
      </w:pPr>
      <w:r w:rsidRPr="00D91147">
        <w:rPr>
          <w:rFonts w:ascii="Verdana" w:eastAsia="Geomanist Light" w:hAnsi="Verdana" w:cs="Arial"/>
          <w:lang w:val="es-MX"/>
        </w:rPr>
        <w:lastRenderedPageBreak/>
        <w:t>Bogotá D.C., </w:t>
      </w:r>
      <w:r w:rsidR="000F0430">
        <w:rPr>
          <w:rFonts w:ascii="Verdana" w:eastAsia="Geomanist Light" w:hAnsi="Verdana" w:cs="Arial"/>
          <w:lang w:val="es-MX"/>
        </w:rPr>
        <w:t>24 de julio de 2025</w:t>
      </w:r>
    </w:p>
    <w:p w14:paraId="534F9676" w14:textId="6044B769" w:rsidR="000F0430" w:rsidRDefault="000F0430" w:rsidP="00B92941">
      <w:pPr>
        <w:spacing w:after="0" w:line="240" w:lineRule="auto"/>
        <w:rPr>
          <w:rFonts w:ascii="Verdana" w:eastAsia="Geomanist Light" w:hAnsi="Verdana" w:cs="Arial"/>
          <w:lang w:val="es-MX"/>
        </w:rPr>
      </w:pPr>
    </w:p>
    <w:p w14:paraId="26DDFB83" w14:textId="473D13FB" w:rsidR="00B92941" w:rsidRPr="00145FE2" w:rsidRDefault="000F432A" w:rsidP="00145FE2">
      <w:pPr>
        <w:spacing w:after="0" w:line="240" w:lineRule="auto"/>
        <w:jc w:val="right"/>
        <w:rPr>
          <w:rFonts w:ascii="Verdana" w:eastAsia="Calibri" w:hAnsi="Verdana" w:cs="Arial"/>
          <w:lang w:val="es-MX" w:eastAsia="es-ES"/>
        </w:rPr>
      </w:pPr>
      <w:r>
        <w:rPr>
          <w:rFonts w:ascii="Verdana" w:eastAsia="Calibri" w:hAnsi="Verdana" w:cs="Arial"/>
          <w:noProof/>
          <w:lang w:val="es-MX" w:eastAsia="es-ES"/>
        </w:rPr>
        <w:drawing>
          <wp:anchor distT="0" distB="0" distL="114300" distR="114300" simplePos="0" relativeHeight="251658240" behindDoc="0" locked="0" layoutInCell="1" allowOverlap="1" wp14:anchorId="5F1BAFDA" wp14:editId="30F3A9EA">
            <wp:simplePos x="0" y="0"/>
            <wp:positionH relativeFrom="column">
              <wp:posOffset>2489697</wp:posOffset>
            </wp:positionH>
            <wp:positionV relativeFrom="paragraph">
              <wp:posOffset>88734</wp:posOffset>
            </wp:positionV>
            <wp:extent cx="3227726" cy="967153"/>
            <wp:effectExtent l="0" t="0" r="0" b="4445"/>
            <wp:wrapSquare wrapText="bothSides"/>
            <wp:docPr id="6598484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848459" name="Imagen 659848459"/>
                    <pic:cNvPicPr/>
                  </pic:nvPicPr>
                  <pic:blipFill>
                    <a:blip r:embed="rId10">
                      <a:extLst>
                        <a:ext uri="{28A0092B-C50C-407E-A947-70E740481C1C}">
                          <a14:useLocalDpi xmlns:a14="http://schemas.microsoft.com/office/drawing/2010/main" val="0"/>
                        </a:ext>
                      </a:extLst>
                    </a:blip>
                    <a:stretch>
                      <a:fillRect/>
                    </a:stretch>
                  </pic:blipFill>
                  <pic:spPr>
                    <a:xfrm>
                      <a:off x="0" y="0"/>
                      <a:ext cx="3227726" cy="967153"/>
                    </a:xfrm>
                    <a:prstGeom prst="rect">
                      <a:avLst/>
                    </a:prstGeom>
                  </pic:spPr>
                </pic:pic>
              </a:graphicData>
            </a:graphic>
          </wp:anchor>
        </w:drawing>
      </w:r>
    </w:p>
    <w:p w14:paraId="1FBA6651" w14:textId="77777777" w:rsidR="00145FE2" w:rsidRDefault="00145FE2" w:rsidP="00B92941">
      <w:pPr>
        <w:spacing w:after="0" w:line="240" w:lineRule="auto"/>
        <w:jc w:val="both"/>
        <w:rPr>
          <w:rFonts w:ascii="Verdana" w:hAnsi="Verdana" w:cs="Arial"/>
          <w:bCs/>
          <w:lang w:eastAsia="es-ES" w:bidi="es-ES"/>
        </w:rPr>
      </w:pPr>
    </w:p>
    <w:p w14:paraId="438D2FFF" w14:textId="77777777" w:rsidR="00145FE2" w:rsidRDefault="00145FE2" w:rsidP="00B92941">
      <w:pPr>
        <w:spacing w:after="0" w:line="240" w:lineRule="auto"/>
        <w:jc w:val="both"/>
        <w:rPr>
          <w:rFonts w:ascii="Verdana" w:hAnsi="Verdana" w:cs="Arial"/>
          <w:bCs/>
          <w:lang w:eastAsia="es-ES" w:bidi="es-ES"/>
        </w:rPr>
      </w:pPr>
    </w:p>
    <w:p w14:paraId="2D069E84" w14:textId="4CF3E461" w:rsidR="00B92941" w:rsidRDefault="00B92941" w:rsidP="00B92941">
      <w:pPr>
        <w:spacing w:after="0" w:line="240" w:lineRule="auto"/>
        <w:jc w:val="both"/>
        <w:rPr>
          <w:rFonts w:ascii="Verdana" w:hAnsi="Verdana" w:cs="Arial"/>
          <w:bCs/>
          <w:lang w:eastAsia="es-ES" w:bidi="es-ES"/>
        </w:rPr>
      </w:pPr>
      <w:r w:rsidRPr="004C6B7F">
        <w:rPr>
          <w:rFonts w:ascii="Verdana" w:hAnsi="Verdana" w:cs="Arial"/>
          <w:bCs/>
          <w:lang w:eastAsia="es-ES" w:bidi="es-ES"/>
        </w:rPr>
        <w:t>Señor</w:t>
      </w:r>
    </w:p>
    <w:p w14:paraId="71FC0431" w14:textId="77777777" w:rsidR="00B92941" w:rsidRPr="000F432A" w:rsidRDefault="00B92941" w:rsidP="00B92941">
      <w:pPr>
        <w:spacing w:after="0" w:line="240" w:lineRule="auto"/>
        <w:jc w:val="both"/>
        <w:rPr>
          <w:rFonts w:ascii="Verdana" w:hAnsi="Verdana" w:cs="ÍUß/"/>
          <w:b/>
          <w:bCs/>
          <w:lang w:val="es-MX"/>
        </w:rPr>
      </w:pPr>
      <w:r w:rsidRPr="000F432A">
        <w:rPr>
          <w:rFonts w:ascii="Verdana" w:hAnsi="Verdana" w:cs="ÍUß/"/>
          <w:b/>
          <w:bCs/>
          <w:lang w:val="es-MX"/>
        </w:rPr>
        <w:t>Miguel Angel Bastos Morales</w:t>
      </w:r>
    </w:p>
    <w:p w14:paraId="6C39CEA0" w14:textId="77777777" w:rsidR="00B92941" w:rsidRPr="00E47304" w:rsidRDefault="00B92941" w:rsidP="00B92941">
      <w:pPr>
        <w:spacing w:after="0" w:line="240" w:lineRule="auto"/>
        <w:jc w:val="both"/>
        <w:rPr>
          <w:rFonts w:ascii="Verdana" w:hAnsi="Verdana" w:cs="ÍUß/"/>
          <w:lang w:val="es-MX"/>
        </w:rPr>
      </w:pPr>
      <w:hyperlink r:id="rId11" w:history="1">
        <w:r w:rsidRPr="00E47304">
          <w:rPr>
            <w:rStyle w:val="Hipervnculo"/>
            <w:rFonts w:ascii="Verdana" w:hAnsi="Verdana" w:cs="ÍUß/"/>
            <w:lang w:val="es-MX"/>
          </w:rPr>
          <w:t>juridica@tame-arauca.gov.co</w:t>
        </w:r>
      </w:hyperlink>
    </w:p>
    <w:p w14:paraId="00B8AF83" w14:textId="77777777" w:rsidR="00B92941" w:rsidRPr="00236584" w:rsidRDefault="00B92941" w:rsidP="00B92941">
      <w:pPr>
        <w:spacing w:after="0" w:line="240" w:lineRule="auto"/>
        <w:jc w:val="both"/>
        <w:rPr>
          <w:rFonts w:ascii="Verdana" w:hAnsi="Verdana" w:cs="Arial"/>
          <w:lang w:val="es-ES_tradnl" w:eastAsia="es-ES" w:bidi="es-ES"/>
        </w:rPr>
      </w:pPr>
      <w:r w:rsidRPr="00236584">
        <w:rPr>
          <w:rFonts w:ascii="Verdana" w:hAnsi="Verdana" w:cs="Arial"/>
          <w:lang w:val="es-ES_tradnl" w:eastAsia="es-ES" w:bidi="es-ES"/>
        </w:rPr>
        <w:t>Tame, Arauca</w:t>
      </w:r>
    </w:p>
    <w:p w14:paraId="4831F0E8" w14:textId="77777777" w:rsidR="00B92941" w:rsidRPr="004C6B7F" w:rsidRDefault="00B92941" w:rsidP="00B92941">
      <w:pPr>
        <w:tabs>
          <w:tab w:val="left" w:pos="7184"/>
        </w:tabs>
        <w:spacing w:after="0" w:line="240" w:lineRule="auto"/>
        <w:jc w:val="both"/>
        <w:rPr>
          <w:rFonts w:ascii="Verdana" w:hAnsi="Verdana" w:cs="Arial"/>
          <w:b/>
          <w:bCs/>
          <w:lang w:val="es-ES_tradnl" w:eastAsia="es-ES" w:bidi="es-ES"/>
        </w:rPr>
      </w:pPr>
      <w:r w:rsidRPr="004C6B7F">
        <w:rPr>
          <w:rFonts w:ascii="Verdana" w:hAnsi="Verdana" w:cs="Arial"/>
          <w:b/>
          <w:bCs/>
          <w:lang w:val="es-ES_tradnl" w:eastAsia="es-ES" w:bidi="es-ES"/>
        </w:rPr>
        <w:tab/>
      </w:r>
    </w:p>
    <w:tbl>
      <w:tblPr>
        <w:tblStyle w:val="Tablaconcuadrcula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243"/>
      </w:tblGrid>
      <w:tr w:rsidR="00B92941" w:rsidRPr="004C6B7F" w14:paraId="3E4A2A64" w14:textId="77777777" w:rsidTr="004F7263">
        <w:trPr>
          <w:trHeight w:val="312"/>
        </w:trPr>
        <w:tc>
          <w:tcPr>
            <w:tcW w:w="2689" w:type="dxa"/>
          </w:tcPr>
          <w:p w14:paraId="3EF3D697" w14:textId="77777777" w:rsidR="00B92941" w:rsidRPr="000F432A" w:rsidRDefault="00B92941" w:rsidP="004F7263">
            <w:pPr>
              <w:jc w:val="both"/>
              <w:rPr>
                <w:rFonts w:ascii="Verdana" w:hAnsi="Verdana" w:cs="Arial"/>
                <w:b/>
                <w:bCs/>
                <w:lang w:val="es-ES_tradnl" w:eastAsia="es-ES" w:bidi="es-ES"/>
              </w:rPr>
            </w:pPr>
          </w:p>
        </w:tc>
        <w:tc>
          <w:tcPr>
            <w:tcW w:w="6242" w:type="dxa"/>
          </w:tcPr>
          <w:p w14:paraId="6DDADD5B" w14:textId="77777777" w:rsidR="00145FE2" w:rsidRPr="000F432A" w:rsidRDefault="00B92941" w:rsidP="004F7263">
            <w:pPr>
              <w:tabs>
                <w:tab w:val="right" w:pos="6242"/>
              </w:tabs>
              <w:jc w:val="both"/>
              <w:rPr>
                <w:rFonts w:ascii="Verdana" w:hAnsi="Verdana" w:cs="Arial"/>
                <w:b/>
                <w:bCs/>
                <w:lang w:val="es-MX" w:eastAsia="es-ES" w:bidi="es-ES"/>
              </w:rPr>
            </w:pPr>
            <w:r w:rsidRPr="000F432A">
              <w:rPr>
                <w:rFonts w:ascii="Verdana" w:hAnsi="Verdana" w:cs="Arial"/>
                <w:b/>
                <w:bCs/>
                <w:lang w:val="es-MX" w:eastAsia="es-ES" w:bidi="es-ES"/>
              </w:rPr>
              <w:t>Concepto C- 845 de 2025</w:t>
            </w:r>
          </w:p>
          <w:p w14:paraId="2B7C29C9" w14:textId="2BEE3E5A" w:rsidR="00B92941" w:rsidRPr="000F432A" w:rsidRDefault="00B92941" w:rsidP="004F7263">
            <w:pPr>
              <w:tabs>
                <w:tab w:val="right" w:pos="6242"/>
              </w:tabs>
              <w:jc w:val="both"/>
              <w:rPr>
                <w:rFonts w:ascii="Verdana" w:hAnsi="Verdana" w:cs="Arial"/>
                <w:b/>
                <w:bCs/>
                <w:lang w:val="es-MX" w:eastAsia="es-ES" w:bidi="es-ES"/>
              </w:rPr>
            </w:pPr>
            <w:r w:rsidRPr="000F432A">
              <w:rPr>
                <w:rFonts w:ascii="Verdana" w:hAnsi="Verdana" w:cs="Arial"/>
                <w:b/>
                <w:bCs/>
                <w:lang w:val="es-MX" w:eastAsia="es-ES" w:bidi="es-ES"/>
              </w:rPr>
              <w:tab/>
            </w:r>
          </w:p>
          <w:p w14:paraId="555BD012" w14:textId="77777777" w:rsidR="00B92941" w:rsidRPr="000F432A" w:rsidRDefault="00B92941" w:rsidP="004F7263">
            <w:pPr>
              <w:jc w:val="both"/>
              <w:rPr>
                <w:rFonts w:ascii="Verdana" w:hAnsi="Verdana" w:cs="Arial"/>
                <w:b/>
                <w:bCs/>
                <w:lang w:val="es-MX" w:eastAsia="es-ES" w:bidi="es-ES"/>
              </w:rPr>
            </w:pPr>
          </w:p>
        </w:tc>
      </w:tr>
      <w:tr w:rsidR="00B92941" w:rsidRPr="004C6B7F" w14:paraId="785DD2E3" w14:textId="77777777" w:rsidTr="004F7263">
        <w:trPr>
          <w:trHeight w:val="884"/>
        </w:trPr>
        <w:tc>
          <w:tcPr>
            <w:tcW w:w="2689" w:type="dxa"/>
          </w:tcPr>
          <w:p w14:paraId="3E490EBA" w14:textId="77777777" w:rsidR="00B92941" w:rsidRPr="000F432A" w:rsidRDefault="00B92941" w:rsidP="004F7263">
            <w:pPr>
              <w:jc w:val="both"/>
              <w:rPr>
                <w:rFonts w:ascii="Verdana" w:hAnsi="Verdana" w:cs="Arial"/>
                <w:bCs/>
                <w:lang w:val="es-MX" w:eastAsia="es-ES" w:bidi="es-ES"/>
              </w:rPr>
            </w:pPr>
            <w:r w:rsidRPr="000F432A">
              <w:rPr>
                <w:rFonts w:ascii="Verdana" w:hAnsi="Verdana" w:cs="Arial"/>
                <w:bCs/>
                <w:lang w:val="es-MX" w:eastAsia="es-ES" w:bidi="es-ES"/>
              </w:rPr>
              <w:t xml:space="preserve">Temas:                   </w:t>
            </w:r>
          </w:p>
        </w:tc>
        <w:tc>
          <w:tcPr>
            <w:tcW w:w="6242" w:type="dxa"/>
          </w:tcPr>
          <w:p w14:paraId="13C6CB97" w14:textId="59303714" w:rsidR="00B92941" w:rsidRPr="000F432A" w:rsidRDefault="00B92941" w:rsidP="004F7263">
            <w:pPr>
              <w:jc w:val="both"/>
              <w:rPr>
                <w:rFonts w:ascii="Verdana" w:eastAsia="Calibri" w:hAnsi="Verdana" w:cs="Arial"/>
                <w:b/>
                <w:bCs/>
              </w:rPr>
            </w:pPr>
            <w:r w:rsidRPr="000F432A">
              <w:rPr>
                <w:rFonts w:ascii="Verdana" w:eastAsia="Calibri" w:hAnsi="Verdana" w:cs="Arial"/>
                <w:bCs/>
                <w:lang w:val="es-ES_tradnl"/>
              </w:rPr>
              <w:t>CONSTITUCIÓN DE FIDUCIA O PATRIMONIO AUTÓNOMO IRREVOCABLE – Artículo 91 ley 1474 de 2011</w:t>
            </w:r>
            <w:r w:rsidR="000F432A">
              <w:rPr>
                <w:rFonts w:ascii="Verdana" w:eastAsia="Calibri" w:hAnsi="Verdana" w:cs="Arial"/>
                <w:bCs/>
                <w:lang w:val="es-ES_tradnl"/>
              </w:rPr>
              <w:t xml:space="preserve"> </w:t>
            </w:r>
            <w:r w:rsidR="000F432A" w:rsidRPr="000F432A">
              <w:rPr>
                <w:rFonts w:ascii="Verdana" w:eastAsia="Calibri" w:hAnsi="Verdana" w:cs="Arial"/>
                <w:b/>
                <w:bCs/>
                <w:lang w:val="es-ES"/>
              </w:rPr>
              <w:t>–</w:t>
            </w:r>
            <w:r w:rsidR="000F432A">
              <w:rPr>
                <w:rFonts w:ascii="Verdana" w:eastAsia="Calibri" w:hAnsi="Verdana" w:cs="Arial"/>
                <w:bCs/>
                <w:lang w:val="es-ES_tradnl"/>
              </w:rPr>
              <w:t xml:space="preserve"> </w:t>
            </w:r>
            <w:r w:rsidR="008F2385">
              <w:rPr>
                <w:rFonts w:ascii="Verdana" w:eastAsia="Calibri" w:hAnsi="Verdana" w:cs="Arial"/>
                <w:bCs/>
                <w:lang w:val="es-ES_tradnl"/>
              </w:rPr>
              <w:t>Á</w:t>
            </w:r>
            <w:r w:rsidRPr="000F432A">
              <w:rPr>
                <w:rFonts w:ascii="Verdana" w:eastAsia="Calibri" w:hAnsi="Verdana" w:cs="Arial"/>
                <w:bCs/>
                <w:lang w:val="es-ES_tradnl"/>
              </w:rPr>
              <w:t xml:space="preserve">mbito de aplicación / </w:t>
            </w:r>
            <w:r w:rsidRPr="000F432A">
              <w:rPr>
                <w:rFonts w:ascii="Verdana" w:eastAsia="Calibri" w:hAnsi="Verdana" w:cs="Arial"/>
              </w:rPr>
              <w:t>DOCUMENTOS TIPO – Interventoría – Infraestructura social – Anticipo / ANEXO 5 – Cláusula 6 – Anticipo / ANEXO 5 – Cláusula 6 – Anticipo – Patrimonio autónomo</w:t>
            </w:r>
            <w:r w:rsidRPr="000F432A">
              <w:rPr>
                <w:rFonts w:ascii="Verdana" w:eastAsia="Calibri" w:hAnsi="Verdana" w:cs="Arial"/>
                <w:b/>
                <w:bCs/>
              </w:rPr>
              <w:t xml:space="preserve"> </w:t>
            </w:r>
          </w:p>
          <w:p w14:paraId="4C7D2769" w14:textId="77777777" w:rsidR="00B92941" w:rsidRPr="000F432A" w:rsidRDefault="00B92941" w:rsidP="004F7263">
            <w:pPr>
              <w:jc w:val="both"/>
              <w:rPr>
                <w:rFonts w:ascii="Verdana" w:hAnsi="Verdana" w:cs="Arial"/>
                <w:bCs/>
                <w:highlight w:val="yellow"/>
                <w:lang w:val="es-MX" w:eastAsia="es-ES" w:bidi="es-ES"/>
              </w:rPr>
            </w:pPr>
          </w:p>
        </w:tc>
      </w:tr>
      <w:tr w:rsidR="00B92941" w:rsidRPr="004C6B7F" w14:paraId="62BCA0DA" w14:textId="77777777" w:rsidTr="004F7263">
        <w:tc>
          <w:tcPr>
            <w:tcW w:w="2689" w:type="dxa"/>
          </w:tcPr>
          <w:p w14:paraId="4270564F" w14:textId="77777777" w:rsidR="00B92941" w:rsidRPr="000F432A" w:rsidRDefault="00B92941" w:rsidP="004F7263">
            <w:pPr>
              <w:jc w:val="both"/>
              <w:rPr>
                <w:rFonts w:ascii="Verdana" w:hAnsi="Verdana" w:cs="Arial"/>
                <w:bCs/>
                <w:lang w:val="es-MX" w:eastAsia="es-ES" w:bidi="es-ES"/>
              </w:rPr>
            </w:pPr>
            <w:r w:rsidRPr="000F432A">
              <w:rPr>
                <w:rFonts w:ascii="Verdana" w:hAnsi="Verdana" w:cs="Arial"/>
                <w:bCs/>
                <w:lang w:val="es-MX" w:eastAsia="es-ES" w:bidi="es-ES"/>
              </w:rPr>
              <w:t xml:space="preserve">Radicación:               </w:t>
            </w:r>
          </w:p>
        </w:tc>
        <w:tc>
          <w:tcPr>
            <w:tcW w:w="6242" w:type="dxa"/>
          </w:tcPr>
          <w:p w14:paraId="6AABFAAD" w14:textId="77777777" w:rsidR="00B92941" w:rsidRPr="000F432A" w:rsidRDefault="00B92941" w:rsidP="004F7263">
            <w:pPr>
              <w:jc w:val="both"/>
              <w:rPr>
                <w:rFonts w:ascii="Verdana" w:hAnsi="Verdana" w:cs="Arial"/>
                <w:bCs/>
                <w:lang w:val="es-MX" w:eastAsia="es-ES" w:bidi="es-ES"/>
              </w:rPr>
            </w:pPr>
            <w:r w:rsidRPr="000F432A">
              <w:rPr>
                <w:rFonts w:ascii="Verdana" w:hAnsi="Verdana" w:cs="Arial"/>
                <w:bCs/>
                <w:lang w:val="es-MX" w:eastAsia="es-ES" w:bidi="es-ES"/>
              </w:rPr>
              <w:t xml:space="preserve">Respuesta a consultas acumuladas con radicados Nos. </w:t>
            </w:r>
            <w:r w:rsidRPr="000F432A">
              <w:rPr>
                <w:rFonts w:ascii="Verdana" w:hAnsi="Verdana" w:cs="Segoe UI"/>
                <w:shd w:val="clear" w:color="auto" w:fill="FFFFFF"/>
              </w:rPr>
              <w:t>1_2025_06_26_006385 y 1_2025_07_01_006536</w:t>
            </w:r>
          </w:p>
        </w:tc>
      </w:tr>
    </w:tbl>
    <w:p w14:paraId="7973BB82" w14:textId="77777777" w:rsidR="00B92941" w:rsidRPr="004C6B7F" w:rsidRDefault="00B92941" w:rsidP="00B92941">
      <w:pPr>
        <w:spacing w:after="0" w:line="240" w:lineRule="auto"/>
        <w:jc w:val="both"/>
        <w:rPr>
          <w:rFonts w:ascii="Verdana" w:hAnsi="Verdana" w:cs="Arial"/>
          <w:bCs/>
          <w:lang w:val="es-ES_tradnl" w:eastAsia="es-ES" w:bidi="es-ES"/>
        </w:rPr>
      </w:pPr>
    </w:p>
    <w:p w14:paraId="67ED7524" w14:textId="77777777" w:rsidR="00B92941" w:rsidRPr="0050771E" w:rsidRDefault="00B92941" w:rsidP="00B92941">
      <w:pPr>
        <w:spacing w:after="0" w:line="276" w:lineRule="auto"/>
        <w:jc w:val="both"/>
        <w:rPr>
          <w:rFonts w:ascii="Verdana" w:hAnsi="Verdana" w:cs="Arial"/>
          <w:bCs/>
          <w:lang w:val="es-MX" w:eastAsia="es-ES" w:bidi="es-ES"/>
        </w:rPr>
      </w:pPr>
      <w:r w:rsidRPr="0050771E">
        <w:rPr>
          <w:rFonts w:ascii="Verdana" w:hAnsi="Verdana" w:cs="Arial"/>
          <w:bCs/>
          <w:lang w:val="es-MX" w:eastAsia="es-ES" w:bidi="es-ES"/>
        </w:rPr>
        <w:t>Estimado Señor</w:t>
      </w:r>
      <w:r>
        <w:rPr>
          <w:rFonts w:ascii="Verdana" w:hAnsi="Verdana" w:cs="Arial"/>
          <w:bCs/>
          <w:lang w:val="es-MX" w:eastAsia="es-ES" w:bidi="es-ES"/>
        </w:rPr>
        <w:t xml:space="preserve"> Bastos Morales</w:t>
      </w:r>
      <w:r w:rsidRPr="0050771E">
        <w:rPr>
          <w:rFonts w:ascii="Verdana" w:hAnsi="Verdana" w:cs="Arial"/>
          <w:bCs/>
          <w:lang w:val="es-MX" w:eastAsia="es-ES" w:bidi="es-ES"/>
        </w:rPr>
        <w:t>:</w:t>
      </w:r>
    </w:p>
    <w:p w14:paraId="1BB3DD24" w14:textId="77777777" w:rsidR="00B92941" w:rsidRPr="0050771E" w:rsidRDefault="00B92941" w:rsidP="00B92941">
      <w:pPr>
        <w:spacing w:after="0" w:line="276" w:lineRule="auto"/>
        <w:jc w:val="both"/>
        <w:rPr>
          <w:rFonts w:ascii="Verdana" w:hAnsi="Verdana" w:cs="Arial"/>
          <w:bCs/>
          <w:lang w:val="es-ES" w:eastAsia="es-ES" w:bidi="es-ES"/>
        </w:rPr>
      </w:pPr>
      <w:r w:rsidRPr="0050771E">
        <w:rPr>
          <w:rFonts w:ascii="Verdana" w:hAnsi="Verdana" w:cs="Arial"/>
          <w:bCs/>
          <w:lang w:val="es-ES" w:eastAsia="es-ES" w:bidi="es-ES"/>
        </w:rPr>
        <w:tab/>
      </w:r>
    </w:p>
    <w:p w14:paraId="5E37799B" w14:textId="77777777" w:rsidR="00B92941" w:rsidRPr="00B31C7B" w:rsidRDefault="00B92941" w:rsidP="00B92941">
      <w:pPr>
        <w:spacing w:after="0" w:line="276" w:lineRule="auto"/>
        <w:jc w:val="both"/>
        <w:rPr>
          <w:rFonts w:ascii="Verdana" w:hAnsi="Verdana" w:cs="Arial"/>
          <w:bCs/>
          <w:lang w:val="es-ES" w:eastAsia="es-ES" w:bidi="es-ES"/>
        </w:rPr>
      </w:pPr>
      <w:r w:rsidRPr="0050771E">
        <w:rPr>
          <w:rFonts w:ascii="Verdana" w:hAnsi="Verdana" w:cs="Arial"/>
          <w:bCs/>
          <w:lang w:val="es-ES" w:eastAsia="es-ES" w:bidi="es-ES"/>
        </w:rPr>
        <w:t xml:space="preserve">En ejercicio de la competencia otorgada por los artículos 3, numeral 5º, y 11, numeral 8º, del Decreto Ley 4170 de 2011, </w:t>
      </w:r>
      <w:r w:rsidRPr="0050771E">
        <w:rPr>
          <w:rFonts w:ascii="Verdana" w:hAnsi="Verdana" w:cs="Arial"/>
          <w:bCs/>
          <w:lang w:eastAsia="es-ES" w:bidi="es-ES"/>
        </w:rPr>
        <w:t xml:space="preserve">así como lo establecido en el artículo 4 de la Resolución 1707 de 2018 expedida por esta Entidad, </w:t>
      </w:r>
      <w:r w:rsidRPr="0050771E">
        <w:rPr>
          <w:rFonts w:ascii="Verdana" w:hAnsi="Verdana" w:cs="Arial"/>
          <w:bCs/>
          <w:lang w:val="es-ES" w:eastAsia="es-ES" w:bidi="es-ES"/>
        </w:rPr>
        <w:t>la Agencia Nacional de Contratación Pública – Colombia Compra Eficiente– responde su</w:t>
      </w:r>
      <w:r>
        <w:rPr>
          <w:rFonts w:ascii="Verdana" w:hAnsi="Verdana" w:cs="Arial"/>
          <w:bCs/>
          <w:lang w:val="es-ES" w:eastAsia="es-ES" w:bidi="es-ES"/>
        </w:rPr>
        <w:t>s</w:t>
      </w:r>
      <w:r w:rsidRPr="0050771E">
        <w:rPr>
          <w:rFonts w:ascii="Verdana" w:hAnsi="Verdana" w:cs="Arial"/>
          <w:bCs/>
          <w:lang w:val="es-ES" w:eastAsia="es-ES" w:bidi="es-ES"/>
        </w:rPr>
        <w:t xml:space="preserve"> solicitud</w:t>
      </w:r>
      <w:r>
        <w:rPr>
          <w:rFonts w:ascii="Verdana" w:hAnsi="Verdana" w:cs="Arial"/>
          <w:bCs/>
          <w:lang w:val="es-ES" w:eastAsia="es-ES" w:bidi="es-ES"/>
        </w:rPr>
        <w:t>es</w:t>
      </w:r>
      <w:r w:rsidRPr="0050771E">
        <w:rPr>
          <w:rFonts w:ascii="Verdana" w:hAnsi="Verdana" w:cs="Arial"/>
          <w:bCs/>
          <w:lang w:val="es-ES" w:eastAsia="es-ES" w:bidi="es-ES"/>
        </w:rPr>
        <w:t xml:space="preserve"> de consulta de fecha del 2</w:t>
      </w:r>
      <w:r>
        <w:rPr>
          <w:rFonts w:ascii="Verdana" w:hAnsi="Verdana" w:cs="Arial"/>
          <w:bCs/>
          <w:lang w:val="es-ES" w:eastAsia="es-ES" w:bidi="es-ES"/>
        </w:rPr>
        <w:t>6</w:t>
      </w:r>
      <w:r w:rsidRPr="0050771E">
        <w:rPr>
          <w:rFonts w:ascii="Verdana" w:hAnsi="Verdana" w:cs="Arial"/>
          <w:bCs/>
          <w:lang w:val="es-ES" w:eastAsia="es-ES" w:bidi="es-ES"/>
        </w:rPr>
        <w:t xml:space="preserve"> </w:t>
      </w:r>
      <w:r>
        <w:rPr>
          <w:rFonts w:ascii="Verdana" w:hAnsi="Verdana" w:cs="Arial"/>
          <w:bCs/>
          <w:lang w:val="es-ES" w:eastAsia="es-ES" w:bidi="es-ES"/>
        </w:rPr>
        <w:t xml:space="preserve">y 27 </w:t>
      </w:r>
      <w:r w:rsidRPr="0050771E">
        <w:rPr>
          <w:rFonts w:ascii="Verdana" w:hAnsi="Verdana" w:cs="Arial"/>
          <w:bCs/>
          <w:lang w:val="es-ES" w:eastAsia="es-ES" w:bidi="es-ES"/>
        </w:rPr>
        <w:t>de</w:t>
      </w:r>
      <w:r>
        <w:rPr>
          <w:rFonts w:ascii="Verdana" w:hAnsi="Verdana" w:cs="Arial"/>
          <w:bCs/>
          <w:lang w:val="es-ES" w:eastAsia="es-ES" w:bidi="es-ES"/>
        </w:rPr>
        <w:t xml:space="preserve"> junio</w:t>
      </w:r>
      <w:r w:rsidRPr="0050771E">
        <w:rPr>
          <w:rFonts w:ascii="Verdana" w:hAnsi="Verdana" w:cs="Arial"/>
          <w:bCs/>
          <w:lang w:val="es-ES" w:eastAsia="es-ES" w:bidi="es-ES"/>
        </w:rPr>
        <w:t xml:space="preserve"> de 2025, en la</w:t>
      </w:r>
      <w:r>
        <w:rPr>
          <w:rFonts w:ascii="Verdana" w:hAnsi="Verdana" w:cs="Arial"/>
          <w:bCs/>
          <w:lang w:val="es-ES" w:eastAsia="es-ES" w:bidi="es-ES"/>
        </w:rPr>
        <w:t>s</w:t>
      </w:r>
      <w:r w:rsidRPr="00B31C7B">
        <w:rPr>
          <w:rFonts w:ascii="Verdana" w:hAnsi="Verdana" w:cs="Arial"/>
          <w:bCs/>
          <w:lang w:val="es-ES" w:eastAsia="es-ES" w:bidi="es-ES"/>
        </w:rPr>
        <w:t xml:space="preserve"> cual</w:t>
      </w:r>
      <w:r>
        <w:rPr>
          <w:rFonts w:ascii="Verdana" w:hAnsi="Verdana" w:cs="Arial"/>
          <w:bCs/>
          <w:lang w:val="es-ES" w:eastAsia="es-ES" w:bidi="es-ES"/>
        </w:rPr>
        <w:t>es</w:t>
      </w:r>
      <w:r w:rsidRPr="00B31C7B">
        <w:rPr>
          <w:rFonts w:ascii="Verdana" w:hAnsi="Verdana" w:cs="Arial"/>
          <w:bCs/>
          <w:lang w:val="es-ES" w:eastAsia="es-ES" w:bidi="es-ES"/>
        </w:rPr>
        <w:t xml:space="preserve"> manifiesta lo siguiente: </w:t>
      </w:r>
    </w:p>
    <w:p w14:paraId="11410CBF" w14:textId="77777777" w:rsidR="00B92941" w:rsidRPr="006C07EE" w:rsidRDefault="00B92941" w:rsidP="00B92941">
      <w:pPr>
        <w:spacing w:after="0" w:line="276" w:lineRule="auto"/>
        <w:ind w:right="709"/>
        <w:jc w:val="both"/>
        <w:rPr>
          <w:rFonts w:ascii="Verdana" w:hAnsi="Verdana" w:cs="Arial"/>
          <w:bCs/>
          <w:sz w:val="21"/>
          <w:szCs w:val="21"/>
          <w:lang w:eastAsia="es-ES" w:bidi="es-ES"/>
        </w:rPr>
      </w:pPr>
    </w:p>
    <w:p w14:paraId="0792C246" w14:textId="77777777" w:rsidR="00B92941" w:rsidRPr="00236584" w:rsidRDefault="00B92941" w:rsidP="00B92941">
      <w:pPr>
        <w:autoSpaceDE w:val="0"/>
        <w:autoSpaceDN w:val="0"/>
        <w:adjustRightInd w:val="0"/>
        <w:spacing w:after="0" w:line="240" w:lineRule="auto"/>
        <w:ind w:left="709" w:right="709"/>
        <w:jc w:val="both"/>
        <w:rPr>
          <w:rFonts w:ascii="Verdana" w:hAnsi="Verdana" w:cs="ÍUß/"/>
          <w:sz w:val="21"/>
          <w:szCs w:val="21"/>
          <w:lang w:val="es-MX"/>
        </w:rPr>
      </w:pPr>
      <w:r w:rsidRPr="00236584">
        <w:rPr>
          <w:rFonts w:ascii="Verdana" w:hAnsi="Verdana" w:cs="ÍUß/"/>
          <w:sz w:val="21"/>
          <w:szCs w:val="21"/>
          <w:lang w:val="es-MX"/>
        </w:rPr>
        <w:t xml:space="preserve">"Buenas tardes, de manera respetuosa elevamos ante ustedes consulta sobre formatos DOCUMENTO TIPO-para los procesos de selección de interventoría de obra pública de infraestructura de transporte – versión 3, específicamente el documento "CCE-EICP-IDI-26 Anexo 5- Minuta del Contrato de Interventoría de obra pública de Infraestructura de Transporte V4 12-12-2024". En dicha minuta, en la CLÁUSULA 6. ANTICIPO Y/O PAGO ANTICIPADO, se menciona "La Entidad, a través... el Interventor constituirá un patrimonio autónomo irrevocable a nombre del objeto del contrato, cuyo beneficiario sea </w:t>
      </w:r>
      <w:r w:rsidRPr="00236584">
        <w:rPr>
          <w:rFonts w:ascii="Verdana" w:hAnsi="Verdana" w:cs="ÍUß/"/>
          <w:sz w:val="21"/>
          <w:szCs w:val="21"/>
          <w:lang w:val="es-MX"/>
        </w:rPr>
        <w:lastRenderedPageBreak/>
        <w:t>[Escribir el nombre de la Entidad], el cualserá vigilado por el [supervisor]." Nuestra solicitud y consulta, se refiere a la obligatoriedad por parte del Contratista (adjudicado como Interventor) de constituir PA o es facultad de la Entidad solicitar Cert. Bancaria meramente”.</w:t>
      </w:r>
    </w:p>
    <w:p w14:paraId="2433A477" w14:textId="77777777" w:rsidR="00B92941" w:rsidRPr="00B31C7B" w:rsidRDefault="00B92941" w:rsidP="00B92941">
      <w:pPr>
        <w:spacing w:after="0" w:line="276" w:lineRule="auto"/>
        <w:ind w:firstLine="709"/>
        <w:jc w:val="both"/>
        <w:rPr>
          <w:rFonts w:ascii="Verdana" w:hAnsi="Verdana" w:cs="Arial"/>
          <w:bCs/>
          <w:lang w:eastAsia="es-ES" w:bidi="es-ES"/>
        </w:rPr>
      </w:pPr>
    </w:p>
    <w:p w14:paraId="6C392313" w14:textId="77777777" w:rsidR="00B92941" w:rsidRPr="00B31C7B" w:rsidRDefault="00B92941" w:rsidP="00B92941">
      <w:pPr>
        <w:spacing w:after="120" w:line="276" w:lineRule="auto"/>
        <w:ind w:firstLine="709"/>
        <w:jc w:val="both"/>
        <w:rPr>
          <w:rFonts w:ascii="Verdana" w:eastAsia="Calibri" w:hAnsi="Verdana" w:cs="Times New Roman"/>
          <w:lang w:val="es-ES"/>
        </w:rPr>
      </w:pPr>
      <w:r w:rsidRPr="00B31C7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703726E" w14:textId="77777777" w:rsidR="00B92941" w:rsidRPr="00B31C7B" w:rsidRDefault="00B92941" w:rsidP="00B92941">
      <w:pPr>
        <w:spacing w:after="0" w:line="276" w:lineRule="auto"/>
        <w:ind w:firstLine="708"/>
        <w:jc w:val="both"/>
        <w:rPr>
          <w:rFonts w:ascii="Verdana" w:eastAsia="Calibri" w:hAnsi="Verdana" w:cs="Times New Roman"/>
          <w:lang w:val="es-ES"/>
        </w:rPr>
      </w:pPr>
      <w:r w:rsidRPr="00B31C7B">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w:t>
      </w:r>
      <w:r>
        <w:rPr>
          <w:rFonts w:ascii="Verdana" w:eastAsia="Calibri" w:hAnsi="Verdana" w:cs="Times New Roman"/>
          <w:lang w:val="es-ES"/>
        </w:rPr>
        <w:t xml:space="preserve">el problema jurídico </w:t>
      </w:r>
      <w:r w:rsidRPr="00B31C7B">
        <w:rPr>
          <w:rFonts w:ascii="Verdana" w:eastAsia="Calibri" w:hAnsi="Verdana" w:cs="Times New Roman"/>
          <w:lang w:val="es-ES"/>
        </w:rPr>
        <w:t>de su consulta.</w:t>
      </w:r>
    </w:p>
    <w:p w14:paraId="0A49E0C6" w14:textId="77777777" w:rsidR="00B92941" w:rsidRPr="00B31C7B" w:rsidRDefault="00B92941" w:rsidP="00B92941">
      <w:pPr>
        <w:spacing w:after="0" w:line="256" w:lineRule="auto"/>
        <w:rPr>
          <w:rFonts w:ascii="Verdana" w:eastAsia="Calibri" w:hAnsi="Verdana" w:cs="Times New Roman"/>
          <w:lang w:val="es-ES"/>
        </w:rPr>
      </w:pPr>
    </w:p>
    <w:p w14:paraId="4F40B43E" w14:textId="77777777" w:rsidR="00B92941" w:rsidRPr="00B31C7B" w:rsidRDefault="00B92941" w:rsidP="00B92941">
      <w:pPr>
        <w:numPr>
          <w:ilvl w:val="0"/>
          <w:numId w:val="16"/>
        </w:numPr>
        <w:spacing w:after="0" w:line="256" w:lineRule="auto"/>
        <w:contextualSpacing/>
        <w:rPr>
          <w:rFonts w:ascii="Verdana" w:eastAsia="Calibri" w:hAnsi="Verdana" w:cs="Times New Roman"/>
          <w:b/>
          <w:bCs/>
          <w:lang w:val="es-ES"/>
        </w:rPr>
      </w:pPr>
      <w:r w:rsidRPr="00B31C7B">
        <w:rPr>
          <w:rFonts w:ascii="Verdana" w:eastAsia="Calibri" w:hAnsi="Verdana" w:cs="Times New Roman"/>
          <w:b/>
          <w:bCs/>
          <w:lang w:val="es-ES"/>
        </w:rPr>
        <w:t>Problema planteado:</w:t>
      </w:r>
    </w:p>
    <w:p w14:paraId="004F7DBA" w14:textId="77777777" w:rsidR="00B92941" w:rsidRPr="00B31C7B" w:rsidRDefault="00B92941" w:rsidP="00B92941">
      <w:pPr>
        <w:spacing w:after="0" w:line="256" w:lineRule="auto"/>
        <w:rPr>
          <w:rFonts w:ascii="Verdana" w:eastAsia="Calibri" w:hAnsi="Verdana" w:cs="Times New Roman"/>
        </w:rPr>
      </w:pPr>
    </w:p>
    <w:p w14:paraId="0496FBD3" w14:textId="77777777" w:rsidR="00B92941" w:rsidRPr="00D91147" w:rsidRDefault="00B92941" w:rsidP="00B92941">
      <w:pPr>
        <w:spacing w:after="0" w:line="276" w:lineRule="auto"/>
        <w:jc w:val="both"/>
        <w:rPr>
          <w:rFonts w:ascii="Verdana" w:eastAsia="Century Gothic" w:hAnsi="Verdana" w:cs="Century Gothic"/>
        </w:rPr>
      </w:pPr>
      <w:r w:rsidRPr="00D91147">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D91147">
        <w:rPr>
          <w:rFonts w:ascii="Verdana" w:eastAsia="Century Gothic" w:hAnsi="Verdana" w:cs="Century Gothic"/>
        </w:rPr>
        <w:t xml:space="preserve"> siguiente problema jurídico</w:t>
      </w:r>
      <w:r w:rsidRPr="00C3357C">
        <w:rPr>
          <w:rFonts w:ascii="Verdana" w:eastAsia="Century Gothic" w:hAnsi="Verdana" w:cs="Century Gothic"/>
        </w:rPr>
        <w:t xml:space="preserve">: En relación con </w:t>
      </w:r>
      <w:r>
        <w:rPr>
          <w:rFonts w:ascii="Verdana" w:eastAsia="Century Gothic" w:hAnsi="Verdana" w:cs="Century Gothic"/>
        </w:rPr>
        <w:t xml:space="preserve">los </w:t>
      </w:r>
      <w:r w:rsidRPr="00C30B31">
        <w:rPr>
          <w:rFonts w:ascii="Verdana" w:eastAsia="Aptos" w:hAnsi="Verdana" w:cs="ArialMT"/>
          <w14:ligatures w14:val="standardContextual"/>
        </w:rPr>
        <w:t>documentos tipo para los procesos de selección de concurso de méritos para contratar la interventoría de obras públicas de infraestructura de transporte</w:t>
      </w:r>
      <w:r>
        <w:rPr>
          <w:rFonts w:ascii="Verdana" w:eastAsia="Century Gothic" w:hAnsi="Verdana" w:cs="Century Gothic"/>
        </w:rPr>
        <w:t xml:space="preserve"> – versión 3, sí la entidad que adelanta el proceso de selección decide entregar anticipo ¿debe constituirse obligatoriamente un patrimonio autónomo irrevocable</w:t>
      </w:r>
      <w:r w:rsidRPr="00C3357C">
        <w:rPr>
          <w:rFonts w:ascii="Verdana" w:eastAsia="Century Gothic" w:hAnsi="Verdana" w:cs="Century Gothic"/>
        </w:rPr>
        <w:t>?</w:t>
      </w:r>
      <w:r>
        <w:rPr>
          <w:rFonts w:ascii="Verdana" w:eastAsia="Century Gothic" w:hAnsi="Verdana" w:cs="Century Gothic"/>
        </w:rPr>
        <w:t xml:space="preserve"> </w:t>
      </w:r>
    </w:p>
    <w:p w14:paraId="2F478A6C" w14:textId="77777777" w:rsidR="00B92941" w:rsidRPr="00B31C7B" w:rsidRDefault="00B92941" w:rsidP="00B92941">
      <w:pPr>
        <w:spacing w:after="0" w:line="276" w:lineRule="auto"/>
        <w:jc w:val="both"/>
        <w:rPr>
          <w:rFonts w:ascii="Verdana" w:eastAsia="Calibri" w:hAnsi="Verdana" w:cs="Times New Roman"/>
        </w:rPr>
      </w:pPr>
    </w:p>
    <w:p w14:paraId="66961EFE" w14:textId="77777777" w:rsidR="00B92941" w:rsidRPr="00B31C7B" w:rsidRDefault="00B92941" w:rsidP="00B92941">
      <w:pPr>
        <w:numPr>
          <w:ilvl w:val="0"/>
          <w:numId w:val="16"/>
        </w:numPr>
        <w:spacing w:after="0" w:line="256" w:lineRule="auto"/>
        <w:contextualSpacing/>
        <w:rPr>
          <w:rFonts w:ascii="Verdana" w:eastAsia="Calibri" w:hAnsi="Verdana" w:cs="Times New Roman"/>
          <w:b/>
          <w:bCs/>
          <w:lang w:val="es-ES"/>
        </w:rPr>
      </w:pPr>
      <w:r w:rsidRPr="00B31C7B">
        <w:rPr>
          <w:rFonts w:ascii="Verdana" w:eastAsia="Calibri" w:hAnsi="Verdana" w:cs="Times New Roman"/>
          <w:b/>
          <w:bCs/>
          <w:lang w:val="es-ES"/>
        </w:rPr>
        <w:t>Respuesta:</w:t>
      </w:r>
    </w:p>
    <w:p w14:paraId="282FF46B" w14:textId="77777777" w:rsidR="00B92941" w:rsidRPr="00B31C7B" w:rsidRDefault="00B92941" w:rsidP="00B92941">
      <w:pPr>
        <w:spacing w:after="0" w:line="240" w:lineRule="auto"/>
        <w:jc w:val="both"/>
        <w:rPr>
          <w:rFonts w:ascii="Verdana" w:hAnsi="Verdana" w:cs="Arial"/>
          <w:bCs/>
          <w:lang w:val="es-ES" w:eastAsia="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92941" w:rsidRPr="00B31C7B" w14:paraId="12BD3167" w14:textId="77777777" w:rsidTr="2EC93900">
        <w:trPr>
          <w:trHeight w:val="870"/>
          <w:jc w:val="center"/>
        </w:trPr>
        <w:tc>
          <w:tcPr>
            <w:tcW w:w="8647" w:type="dxa"/>
          </w:tcPr>
          <w:p w14:paraId="52C06B96" w14:textId="77777777" w:rsidR="00B92941" w:rsidRPr="00496965" w:rsidRDefault="00B92941" w:rsidP="004F7263">
            <w:pPr>
              <w:spacing w:before="120" w:line="276" w:lineRule="auto"/>
              <w:jc w:val="both"/>
              <w:rPr>
                <w:rFonts w:ascii="Verdana" w:eastAsia="Calibri" w:hAnsi="Verdana" w:cs="Arial"/>
              </w:rPr>
            </w:pPr>
            <w:r>
              <w:rPr>
                <w:rFonts w:ascii="Verdana" w:eastAsia="Aptos" w:hAnsi="Verdana" w:cs="ArialMT"/>
                <w:lang w:val="es-ES"/>
                <w14:ligatures w14:val="standardContextual"/>
              </w:rPr>
              <w:lastRenderedPageBreak/>
              <w:t>P</w:t>
            </w:r>
            <w:r>
              <w:rPr>
                <w:rFonts w:ascii="Verdana" w:eastAsia="Aptos" w:hAnsi="Verdana" w:cs="ArialMT"/>
                <w14:ligatures w14:val="standardContextual"/>
              </w:rPr>
              <w:t xml:space="preserve">ara atender el problema jurídico planteado en esta solicitud, debe indicarse que </w:t>
            </w:r>
            <w:r>
              <w:rPr>
                <w:rFonts w:ascii="Verdana" w:eastAsia="Calibri" w:hAnsi="Verdana" w:cs="Arial"/>
              </w:rPr>
              <w:t>e</w:t>
            </w:r>
            <w:r w:rsidRPr="00FA0B1A">
              <w:rPr>
                <w:rFonts w:ascii="Verdana" w:eastAsia="Calibri" w:hAnsi="Verdana" w:cs="Arial"/>
              </w:rPr>
              <w:t xml:space="preserve">l numeral </w:t>
            </w:r>
            <w:r>
              <w:rPr>
                <w:rFonts w:ascii="Verdana" w:eastAsia="Calibri" w:hAnsi="Verdana" w:cs="Arial"/>
              </w:rPr>
              <w:t>“9</w:t>
            </w:r>
            <w:r w:rsidRPr="00FA0B1A">
              <w:rPr>
                <w:rFonts w:ascii="Verdana" w:eastAsia="Calibri" w:hAnsi="Verdana" w:cs="Arial"/>
              </w:rPr>
              <w:t>.</w:t>
            </w:r>
            <w:r>
              <w:rPr>
                <w:rFonts w:ascii="Verdana" w:eastAsia="Calibri" w:hAnsi="Verdana" w:cs="Arial"/>
              </w:rPr>
              <w:t>2</w:t>
            </w:r>
            <w:r w:rsidRPr="00FA0B1A">
              <w:rPr>
                <w:rFonts w:ascii="Verdana" w:eastAsia="Calibri" w:hAnsi="Verdana" w:cs="Arial"/>
              </w:rPr>
              <w:t xml:space="preserve"> Anticipo y/o pago anticipado</w:t>
            </w:r>
            <w:r>
              <w:rPr>
                <w:rFonts w:ascii="Verdana" w:eastAsia="Calibri" w:hAnsi="Verdana" w:cs="Arial"/>
              </w:rPr>
              <w:t xml:space="preserve">” </w:t>
            </w:r>
            <w:r w:rsidRPr="00FA0B1A">
              <w:rPr>
                <w:rFonts w:ascii="Verdana" w:eastAsia="Calibri" w:hAnsi="Verdana" w:cs="Arial"/>
              </w:rPr>
              <w:t xml:space="preserve">del </w:t>
            </w:r>
            <w:r>
              <w:rPr>
                <w:rFonts w:ascii="Verdana" w:eastAsia="Calibri" w:hAnsi="Verdana" w:cs="Arial"/>
              </w:rPr>
              <w:t>d</w:t>
            </w:r>
            <w:r w:rsidRPr="00FA0B1A">
              <w:rPr>
                <w:rFonts w:ascii="Verdana" w:eastAsia="Calibri" w:hAnsi="Verdana" w:cs="Arial"/>
              </w:rPr>
              <w:t xml:space="preserve">ocumento base de los </w:t>
            </w:r>
            <w:r>
              <w:rPr>
                <w:rFonts w:ascii="Verdana" w:eastAsia="Calibri" w:hAnsi="Verdana" w:cs="Arial"/>
              </w:rPr>
              <w:t>do</w:t>
            </w:r>
            <w:r w:rsidRPr="00FA0B1A">
              <w:rPr>
                <w:rFonts w:ascii="Verdana" w:eastAsia="Calibri" w:hAnsi="Verdana" w:cs="Arial"/>
              </w:rPr>
              <w:t xml:space="preserve">cumentos </w:t>
            </w:r>
            <w:r>
              <w:rPr>
                <w:rFonts w:ascii="Verdana" w:eastAsia="Calibri" w:hAnsi="Verdana" w:cs="Arial"/>
              </w:rPr>
              <w:t>t</w:t>
            </w:r>
            <w:r w:rsidRPr="00FA0B1A">
              <w:rPr>
                <w:rFonts w:ascii="Verdana" w:eastAsia="Calibri" w:hAnsi="Verdana" w:cs="Arial"/>
              </w:rPr>
              <w:t xml:space="preserve">ipo </w:t>
            </w:r>
            <w:r>
              <w:rPr>
                <w:rFonts w:ascii="Verdana" w:eastAsia="Calibri" w:hAnsi="Verdana" w:cs="Arial"/>
              </w:rPr>
              <w:t xml:space="preserve">de interventoría de obra pública de infraestructura de transporte </w:t>
            </w:r>
            <w:r w:rsidRPr="00FA0B1A">
              <w:rPr>
                <w:rFonts w:ascii="Verdana" w:eastAsia="Calibri" w:hAnsi="Verdana" w:cs="Arial"/>
              </w:rPr>
              <w:t xml:space="preserve">– Versión </w:t>
            </w:r>
            <w:r>
              <w:rPr>
                <w:rFonts w:ascii="Verdana" w:eastAsia="Calibri" w:hAnsi="Verdana" w:cs="Arial"/>
              </w:rPr>
              <w:t>3</w:t>
            </w:r>
            <w:r w:rsidRPr="00FA0B1A">
              <w:rPr>
                <w:rFonts w:ascii="Verdana" w:eastAsia="Calibri" w:hAnsi="Verdana" w:cs="Arial"/>
              </w:rPr>
              <w:t>, contiene espacios marcados en gris y corchetes, con el fin de que la entidad decida si entrega o no estos recursos en el proceso contractual</w:t>
            </w:r>
            <w:r>
              <w:rPr>
                <w:rFonts w:ascii="Verdana" w:hAnsi="Verdana"/>
                <w:b/>
                <w:sz w:val="21"/>
                <w:szCs w:val="21"/>
              </w:rPr>
              <w:t xml:space="preserve">. </w:t>
            </w:r>
            <w:r>
              <w:rPr>
                <w:rFonts w:ascii="Verdana" w:eastAsia="Calibri" w:hAnsi="Verdana" w:cs="Arial"/>
              </w:rPr>
              <w:t xml:space="preserve">Seguidamente, el numeral indicado señala que si la entidad decide entregar Anticipo y/o pago anticipado en </w:t>
            </w:r>
            <w:proofErr w:type="gramStart"/>
            <w:r>
              <w:rPr>
                <w:rFonts w:ascii="Verdana" w:eastAsia="Calibri" w:hAnsi="Verdana" w:cs="Arial"/>
              </w:rPr>
              <w:t>el procesos</w:t>
            </w:r>
            <w:proofErr w:type="gramEnd"/>
            <w:r>
              <w:rPr>
                <w:rFonts w:ascii="Verdana" w:eastAsia="Calibri" w:hAnsi="Verdana" w:cs="Arial"/>
              </w:rPr>
              <w:t xml:space="preserve"> de contratación, deberá seleccionar alguna de las siguientes opciones. Para el caso objeto de su solicitud, resulta pertinente mencionar la que se refiere al anticipo, que dispone lo siguiente:</w:t>
            </w:r>
          </w:p>
          <w:p w14:paraId="3AEC349B" w14:textId="77777777" w:rsidR="00B92941" w:rsidRDefault="00B92941" w:rsidP="004F7263">
            <w:pPr>
              <w:ind w:firstLine="643"/>
              <w:jc w:val="both"/>
              <w:rPr>
                <w:rFonts w:ascii="Verdana" w:eastAsia="Calibri" w:hAnsi="Verdana" w:cs="Arial"/>
              </w:rPr>
            </w:pPr>
          </w:p>
          <w:p w14:paraId="12AAF35B" w14:textId="77777777" w:rsidR="00B92941" w:rsidRPr="00485D19" w:rsidRDefault="00B92941" w:rsidP="2EC93900">
            <w:pPr>
              <w:pStyle w:val="Capitulo8"/>
              <w:numPr>
                <w:ilvl w:val="0"/>
                <w:numId w:val="0"/>
              </w:numPr>
              <w:spacing w:after="0" w:line="240" w:lineRule="auto"/>
              <w:ind w:left="709" w:right="709"/>
              <w:jc w:val="both"/>
              <w:rPr>
                <w:rFonts w:ascii="Verdana" w:hAnsi="Verdana"/>
                <w:b w:val="0"/>
                <w:bCs w:val="0"/>
                <w:color w:val="auto"/>
                <w:sz w:val="21"/>
                <w:szCs w:val="21"/>
                <w:lang w:val="es-MX"/>
              </w:rPr>
            </w:pPr>
            <w:r w:rsidRPr="2EC93900">
              <w:rPr>
                <w:rFonts w:ascii="Verdana" w:hAnsi="Verdana"/>
                <w:b w:val="0"/>
                <w:bCs w:val="0"/>
                <w:sz w:val="21"/>
                <w:szCs w:val="21"/>
              </w:rPr>
              <w:t xml:space="preserve">[En caso de que se otorgue </w:t>
            </w:r>
            <w:r w:rsidRPr="2EC93900">
              <w:rPr>
                <w:rFonts w:ascii="Verdana" w:hAnsi="Verdana"/>
                <w:sz w:val="21"/>
                <w:szCs w:val="21"/>
              </w:rPr>
              <w:t>Anticipo</w:t>
            </w:r>
            <w:r w:rsidRPr="2EC93900">
              <w:rPr>
                <w:rFonts w:ascii="Verdana" w:hAnsi="Verdana"/>
                <w:b w:val="0"/>
                <w:bCs w:val="0"/>
                <w:sz w:val="21"/>
                <w:szCs w:val="21"/>
              </w:rPr>
              <w:t>, la Entidad deberá incluir el siguiente párrafo:</w:t>
            </w:r>
            <w:r w:rsidRPr="2EC93900">
              <w:rPr>
                <w:rFonts w:ascii="Verdana" w:hAnsi="Verdana"/>
                <w:b w:val="0"/>
                <w:bCs w:val="0"/>
                <w:color w:val="auto"/>
                <w:sz w:val="21"/>
                <w:szCs w:val="21"/>
                <w:lang w:val="es-MX"/>
              </w:rPr>
              <w:t xml:space="preserve"> En el presente Proceso de Contratación la Entidad desembolsará al Interventor a título Anticipo un valor equivalente al [XX%] del valor básico del contrato -el cual no podrá exceder el cincuenta por ciento (50%) del valor del contrato-. El Anticipo se regirá por las condiciones señaladas en el “Anexo 5 – Minuta del Contrato de Interventoría”]. </w:t>
            </w:r>
          </w:p>
          <w:p w14:paraId="4346A3C1" w14:textId="77777777" w:rsidR="00B92941" w:rsidRDefault="00B92941" w:rsidP="004F7263">
            <w:pPr>
              <w:ind w:firstLine="643"/>
              <w:jc w:val="both"/>
              <w:rPr>
                <w:rFonts w:ascii="Verdana" w:eastAsia="Calibri" w:hAnsi="Verdana" w:cs="Arial"/>
              </w:rPr>
            </w:pPr>
            <w:r w:rsidRPr="00FA0B1A">
              <w:rPr>
                <w:rFonts w:ascii="Verdana" w:eastAsia="Calibri" w:hAnsi="Verdana" w:cs="Arial"/>
              </w:rPr>
              <w:t xml:space="preserve"> </w:t>
            </w:r>
          </w:p>
          <w:p w14:paraId="0804F7B6" w14:textId="77777777" w:rsidR="00B92941" w:rsidRPr="00FA0B1A" w:rsidRDefault="00B92941" w:rsidP="004F7263">
            <w:pPr>
              <w:spacing w:after="120"/>
              <w:jc w:val="both"/>
              <w:rPr>
                <w:rFonts w:ascii="Verdana" w:eastAsia="Aptos" w:hAnsi="Verdana" w:cs="ArialMT"/>
                <w14:ligatures w14:val="standardContextual"/>
              </w:rPr>
            </w:pPr>
            <w:r w:rsidRPr="00FA0B1A">
              <w:rPr>
                <w:rFonts w:ascii="Verdana" w:eastAsia="Calibri" w:hAnsi="Verdana" w:cs="Arial"/>
              </w:rPr>
              <w:t xml:space="preserve">De esta manera, el documento base indica que si la entidad decide entregar el anticipo debe incluir el párrafo que señala el porcentaje del valor básico del contrato que se entregará, y que estos recursos se regirán por el </w:t>
            </w:r>
            <w:r>
              <w:rPr>
                <w:rFonts w:ascii="Verdana" w:eastAsia="Calibri" w:hAnsi="Verdana" w:cs="Arial"/>
              </w:rPr>
              <w:t>“</w:t>
            </w:r>
            <w:r w:rsidRPr="00FA0B1A">
              <w:rPr>
                <w:rFonts w:ascii="Verdana" w:eastAsia="Calibri" w:hAnsi="Verdana" w:cs="Arial"/>
              </w:rPr>
              <w:t>Anexo 5 - Minuta del Contrato</w:t>
            </w:r>
            <w:r>
              <w:rPr>
                <w:rFonts w:ascii="Verdana" w:eastAsia="Calibri" w:hAnsi="Verdana" w:cs="Arial"/>
              </w:rPr>
              <w:t xml:space="preserve"> de Interventoría”</w:t>
            </w:r>
            <w:r w:rsidRPr="00FA0B1A">
              <w:rPr>
                <w:rFonts w:ascii="Verdana" w:eastAsia="Calibri" w:hAnsi="Verdana" w:cs="Arial"/>
              </w:rPr>
              <w:t>.</w:t>
            </w:r>
          </w:p>
          <w:p w14:paraId="419FB75E" w14:textId="77777777" w:rsidR="00B92941" w:rsidRDefault="00B92941" w:rsidP="004F7263">
            <w:pPr>
              <w:spacing w:line="276" w:lineRule="auto"/>
              <w:jc w:val="both"/>
              <w:rPr>
                <w:rFonts w:ascii="Verdana" w:eastAsia="Calibri" w:hAnsi="Verdana" w:cs="Arial"/>
              </w:rPr>
            </w:pPr>
            <w:r>
              <w:rPr>
                <w:rFonts w:ascii="Verdana" w:eastAsia="Calibri" w:hAnsi="Verdana" w:cs="Arial"/>
              </w:rPr>
              <w:t>Debe indicarse que, en caso de que la entidad otorgue anticipo, tal como se dispone en el numeral 9.2 este se regirá por las condiciones señaladas en el “Anexo 5 – Minuta del contrato de interventoría” en el cual, se encuentran las condiciones de ejecución del contrato relacionadas con el anticipo. En este sentido, en la cláusula 6 “Anticipo y/o pago anticipado” de la minuta, se establece entre corchetes y resaltado en gris lo siguiente:</w:t>
            </w:r>
          </w:p>
          <w:p w14:paraId="274A581B" w14:textId="77777777" w:rsidR="00B92941" w:rsidRDefault="00B92941" w:rsidP="004F7263">
            <w:pPr>
              <w:rPr>
                <w:rFonts w:ascii="Verdana" w:eastAsia="Calibri" w:hAnsi="Verdana" w:cs="Arial"/>
              </w:rPr>
            </w:pPr>
          </w:p>
          <w:p w14:paraId="6A22DE2B" w14:textId="77777777" w:rsidR="00B92941" w:rsidRDefault="00B92941" w:rsidP="2EC93900">
            <w:pPr>
              <w:pStyle w:val="Capitulo8"/>
              <w:numPr>
                <w:ilvl w:val="0"/>
                <w:numId w:val="0"/>
              </w:numPr>
              <w:spacing w:after="0" w:line="240" w:lineRule="auto"/>
              <w:ind w:left="709" w:right="709"/>
              <w:jc w:val="both"/>
              <w:rPr>
                <w:rFonts w:ascii="Verdana" w:hAnsi="Verdana"/>
                <w:b w:val="0"/>
                <w:bCs w:val="0"/>
                <w:sz w:val="21"/>
                <w:szCs w:val="21"/>
              </w:rPr>
            </w:pPr>
            <w:r w:rsidRPr="2EC93900">
              <w:rPr>
                <w:rFonts w:ascii="Verdana" w:hAnsi="Verdana"/>
                <w:b w:val="0"/>
                <w:bCs w:val="0"/>
                <w:sz w:val="21"/>
                <w:szCs w:val="21"/>
              </w:rPr>
              <w:t>En caso de que se otorgue Anticipo, la Entidad puede utilizar las siguientes condiciones, algunas de estas o establecer las que considere convenientes para su manejo y entrega:]”.</w:t>
            </w:r>
          </w:p>
          <w:p w14:paraId="56B21A12" w14:textId="77777777" w:rsidR="00B92941" w:rsidRPr="00A96DF3" w:rsidRDefault="00B92941" w:rsidP="004F7263">
            <w:pPr>
              <w:pStyle w:val="Capitulo8"/>
              <w:numPr>
                <w:ilvl w:val="0"/>
                <w:numId w:val="0"/>
              </w:numPr>
              <w:spacing w:after="0" w:line="240" w:lineRule="auto"/>
              <w:ind w:left="709" w:right="709"/>
              <w:jc w:val="both"/>
              <w:rPr>
                <w:rFonts w:ascii="Verdana" w:hAnsi="Verdana"/>
                <w:b w:val="0"/>
                <w:sz w:val="21"/>
                <w:szCs w:val="21"/>
                <w:highlight w:val="lightGray"/>
              </w:rPr>
            </w:pPr>
          </w:p>
          <w:p w14:paraId="099F0773" w14:textId="77777777" w:rsidR="00B92941" w:rsidRDefault="00B92941" w:rsidP="004F7263">
            <w:pPr>
              <w:spacing w:after="120"/>
              <w:jc w:val="both"/>
              <w:rPr>
                <w:rFonts w:ascii="Verdana" w:eastAsia="Calibri" w:hAnsi="Verdana" w:cs="Arial"/>
              </w:rPr>
            </w:pPr>
            <w:r>
              <w:rPr>
                <w:rFonts w:ascii="Verdana" w:eastAsia="Calibri" w:hAnsi="Verdana" w:cs="Arial"/>
              </w:rPr>
              <w:t xml:space="preserve">Este inciso </w:t>
            </w:r>
            <w:r w:rsidRPr="00DA463F">
              <w:rPr>
                <w:rFonts w:ascii="Verdana" w:eastAsia="Calibri" w:hAnsi="Verdana" w:cs="Arial"/>
              </w:rPr>
              <w:t xml:space="preserve">establece </w:t>
            </w:r>
            <w:proofErr w:type="gramStart"/>
            <w:r w:rsidRPr="00DA463F">
              <w:rPr>
                <w:rFonts w:ascii="Verdana" w:eastAsia="Calibri" w:hAnsi="Verdana" w:cs="Arial"/>
              </w:rPr>
              <w:t>que</w:t>
            </w:r>
            <w:proofErr w:type="gramEnd"/>
            <w:r w:rsidRPr="00DA463F">
              <w:rPr>
                <w:rFonts w:ascii="Verdana" w:eastAsia="Calibri" w:hAnsi="Verdana" w:cs="Arial"/>
              </w:rPr>
              <w:t xml:space="preserve"> si la entidad otorga un anticipo, puede utilizar las condiciones señaladas en la cláusula 6. Esta cláusula hace referencia a la entrega, trámite y manejo del anticipo, entre otros aspectos. Como se aprecia, el verbo rector del inciso es "puede" ("poder"), el cual expresa la capacidad, posibilidad o permisibilidad que se le otorga a la entidad para que </w:t>
            </w:r>
            <w:r w:rsidRPr="00DA463F">
              <w:rPr>
                <w:rFonts w:ascii="Verdana" w:eastAsia="Calibri" w:hAnsi="Verdana" w:cs="Arial"/>
              </w:rPr>
              <w:lastRenderedPageBreak/>
              <w:t>utilice todas o algunas de estas condiciones, o bien, para que establezca las que considere pertinentes para el manejo y entrega del anticipo.</w:t>
            </w:r>
          </w:p>
          <w:p w14:paraId="34ED7143" w14:textId="77777777" w:rsidR="00B92941" w:rsidRDefault="00B92941" w:rsidP="004F7263">
            <w:pPr>
              <w:jc w:val="both"/>
              <w:rPr>
                <w:rFonts w:ascii="Verdana" w:eastAsia="Calibri" w:hAnsi="Verdana" w:cs="Arial"/>
              </w:rPr>
            </w:pPr>
            <w:r>
              <w:rPr>
                <w:rFonts w:ascii="Verdana" w:eastAsia="Calibri" w:hAnsi="Verdana" w:cs="Arial"/>
              </w:rPr>
              <w:t xml:space="preserve">Teniendo en cuenta el objeto de su solicitud, debe indicarse la siguiente condición sobre el manejo del anticipo que señala la cláusula 6: </w:t>
            </w:r>
          </w:p>
          <w:p w14:paraId="141EF0CF" w14:textId="77777777" w:rsidR="00B92941" w:rsidRDefault="00B92941" w:rsidP="004F7263">
            <w:pPr>
              <w:spacing w:line="276" w:lineRule="auto"/>
              <w:jc w:val="both"/>
              <w:rPr>
                <w:rFonts w:ascii="Verdana" w:eastAsia="Calibri" w:hAnsi="Verdana" w:cs="Arial"/>
              </w:rPr>
            </w:pPr>
          </w:p>
          <w:p w14:paraId="0208E409" w14:textId="77777777" w:rsidR="00B92941" w:rsidRPr="00F51CF4" w:rsidRDefault="00B92941" w:rsidP="004F7263">
            <w:pPr>
              <w:ind w:left="709" w:right="709"/>
              <w:jc w:val="both"/>
              <w:rPr>
                <w:rFonts w:ascii="Verdana" w:eastAsia="Calibri" w:hAnsi="Verdana" w:cs="Arial"/>
              </w:rPr>
            </w:pPr>
            <w:r w:rsidRPr="2EC93900">
              <w:rPr>
                <w:rFonts w:ascii="Verdana" w:hAnsi="Verdana"/>
                <w:sz w:val="21"/>
                <w:szCs w:val="21"/>
              </w:rPr>
              <w:t xml:space="preserve">“La Entidad, a través de la [supervisión], revisará y aprobará los programas de inversión del </w:t>
            </w:r>
            <w:r w:rsidRPr="2EC93900">
              <w:rPr>
                <w:rFonts w:ascii="Verdana" w:eastAsia="Arial" w:hAnsi="Verdana" w:cs="Arial"/>
                <w:sz w:val="21"/>
                <w:szCs w:val="21"/>
              </w:rPr>
              <w:t>Anticipo</w:t>
            </w:r>
            <w:r w:rsidRPr="2EC93900">
              <w:rPr>
                <w:rFonts w:ascii="Verdana" w:hAnsi="Verdana"/>
                <w:sz w:val="21"/>
                <w:szCs w:val="21"/>
              </w:rPr>
              <w:t xml:space="preserve">. Para el manejo de los recursos que reciba a título de Anticipo, el Interventor constituirá un patrimonio autónomo irrevocable a nombre del objeto del contrato, cuyo beneficiario sea [Escribir el nombre de la Entidad], el cual será vigilado por el [supervisor] (…)”. </w:t>
            </w:r>
          </w:p>
          <w:p w14:paraId="2A20CE8A" w14:textId="77777777" w:rsidR="00B92941" w:rsidRDefault="00B92941" w:rsidP="004F7263">
            <w:pPr>
              <w:spacing w:line="276" w:lineRule="auto"/>
              <w:jc w:val="both"/>
              <w:rPr>
                <w:rFonts w:ascii="Verdana" w:eastAsia="Calibri" w:hAnsi="Verdana" w:cs="Arial"/>
              </w:rPr>
            </w:pPr>
          </w:p>
          <w:p w14:paraId="47A0507D" w14:textId="77777777" w:rsidR="00B92941" w:rsidRDefault="00B92941" w:rsidP="004F7263">
            <w:pPr>
              <w:jc w:val="both"/>
              <w:rPr>
                <w:rFonts w:ascii="Verdana" w:eastAsia="Calibri" w:hAnsi="Verdana" w:cs="Arial"/>
              </w:rPr>
            </w:pPr>
            <w:r>
              <w:rPr>
                <w:rFonts w:ascii="Verdana" w:eastAsia="Calibri" w:hAnsi="Verdana" w:cs="Arial"/>
              </w:rPr>
              <w:t xml:space="preserve">En este inciso, se establece que la entidad revisará y aprobará los programas de inversión del anticipo mediante el supervisor del contrato de interventoría. Seguidamente se indica </w:t>
            </w:r>
            <w:proofErr w:type="gramStart"/>
            <w:r>
              <w:rPr>
                <w:rFonts w:ascii="Verdana" w:eastAsia="Calibri" w:hAnsi="Verdana" w:cs="Arial"/>
              </w:rPr>
              <w:t>que</w:t>
            </w:r>
            <w:proofErr w:type="gramEnd"/>
            <w:r>
              <w:rPr>
                <w:rFonts w:ascii="Verdana" w:eastAsia="Calibri" w:hAnsi="Verdana" w:cs="Arial"/>
              </w:rPr>
              <w:t xml:space="preserve"> para el manejo del anticipo, el contratista interventor constituirá un patrimonio autónomo irrevocable, que tenga como beneficiaria a la entidad contratante y vigilado por el supervisor.  </w:t>
            </w:r>
          </w:p>
          <w:p w14:paraId="6C3C9968" w14:textId="77777777" w:rsidR="00B92941" w:rsidRPr="000A7750" w:rsidRDefault="00B92941" w:rsidP="004F7263">
            <w:pPr>
              <w:spacing w:before="120" w:after="120" w:line="276" w:lineRule="auto"/>
              <w:jc w:val="both"/>
              <w:rPr>
                <w:rFonts w:ascii="Verdana" w:eastAsia="Calibri" w:hAnsi="Verdana" w:cs="Arial"/>
                <w:highlight w:val="yellow"/>
              </w:rPr>
            </w:pPr>
            <w:r w:rsidRPr="00940B09">
              <w:rPr>
                <w:rFonts w:ascii="Verdana" w:eastAsia="Calibri" w:hAnsi="Verdana" w:cs="Arial"/>
              </w:rPr>
              <w:t xml:space="preserve">Como se señaló anteriormente, la condición sobre la cual recae su solicitud corresponde a aquellas que la entidad puede o no establecer en el contrato. Es decir, la constitución del patrimonio autónomo irrevocable resulta facultativa para la entidad en el caso </w:t>
            </w:r>
            <w:r w:rsidRPr="00FA0B1A">
              <w:rPr>
                <w:rFonts w:ascii="Verdana" w:eastAsia="Calibri" w:hAnsi="Verdana" w:cs="Arial"/>
              </w:rPr>
              <w:t xml:space="preserve">de los </w:t>
            </w:r>
            <w:r>
              <w:rPr>
                <w:rFonts w:ascii="Verdana" w:eastAsia="Calibri" w:hAnsi="Verdana" w:cs="Arial"/>
              </w:rPr>
              <w:t>do</w:t>
            </w:r>
            <w:r w:rsidRPr="00FA0B1A">
              <w:rPr>
                <w:rFonts w:ascii="Verdana" w:eastAsia="Calibri" w:hAnsi="Verdana" w:cs="Arial"/>
              </w:rPr>
              <w:t xml:space="preserve">cumentos </w:t>
            </w:r>
            <w:r>
              <w:rPr>
                <w:rFonts w:ascii="Verdana" w:eastAsia="Calibri" w:hAnsi="Verdana" w:cs="Arial"/>
              </w:rPr>
              <w:t>t</w:t>
            </w:r>
            <w:r w:rsidRPr="00FA0B1A">
              <w:rPr>
                <w:rFonts w:ascii="Verdana" w:eastAsia="Calibri" w:hAnsi="Verdana" w:cs="Arial"/>
              </w:rPr>
              <w:t xml:space="preserve">ipo </w:t>
            </w:r>
            <w:r>
              <w:rPr>
                <w:rFonts w:ascii="Verdana" w:eastAsia="Calibri" w:hAnsi="Verdana" w:cs="Arial"/>
              </w:rPr>
              <w:t xml:space="preserve">de interventoría de obra pública de infraestructura de transporte </w:t>
            </w:r>
            <w:r w:rsidRPr="00FA0B1A">
              <w:rPr>
                <w:rFonts w:ascii="Verdana" w:eastAsia="Calibri" w:hAnsi="Verdana" w:cs="Arial"/>
              </w:rPr>
              <w:t xml:space="preserve">– Versión </w:t>
            </w:r>
            <w:proofErr w:type="gramStart"/>
            <w:r>
              <w:rPr>
                <w:rFonts w:ascii="Verdana" w:eastAsia="Calibri" w:hAnsi="Verdana" w:cs="Arial"/>
              </w:rPr>
              <w:t>3</w:t>
            </w:r>
            <w:r w:rsidRPr="00FA0B1A">
              <w:rPr>
                <w:rFonts w:ascii="Verdana" w:eastAsia="Calibri" w:hAnsi="Verdana" w:cs="Arial"/>
              </w:rPr>
              <w:t>,</w:t>
            </w:r>
            <w:r w:rsidRPr="00940B09">
              <w:rPr>
                <w:rFonts w:ascii="Verdana" w:eastAsia="Calibri" w:hAnsi="Verdana" w:cs="Arial"/>
              </w:rPr>
              <w:t>.</w:t>
            </w:r>
            <w:proofErr w:type="gramEnd"/>
            <w:r w:rsidRPr="00940B09">
              <w:rPr>
                <w:rFonts w:ascii="Verdana" w:eastAsia="Calibri" w:hAnsi="Verdana" w:cs="Arial"/>
              </w:rPr>
              <w:t xml:space="preserve"> Esto se debe a que el documento tipo estandarizado mediante la Resolución 725 del 19 de diciembre de 2024 no es de aquellos tipos de contratos ni modalidades de selección que, según la normativa</w:t>
            </w:r>
            <w:r w:rsidRPr="00D715CA">
              <w:rPr>
                <w:rFonts w:ascii="Verdana" w:eastAsia="Calibri" w:hAnsi="Verdana" w:cs="Arial"/>
              </w:rPr>
              <w:t>, están legalmente obligados a constituir un patrimonio autónomo irrevocable</w:t>
            </w:r>
            <w:r>
              <w:rPr>
                <w:rFonts w:ascii="Verdana" w:eastAsia="Calibri" w:hAnsi="Verdana" w:cs="Arial"/>
              </w:rPr>
              <w:t xml:space="preserve"> para el manejo del anticipo (artículo 91 </w:t>
            </w:r>
            <w:r w:rsidRPr="00940B09">
              <w:rPr>
                <w:rFonts w:ascii="Verdana" w:eastAsia="Calibri" w:hAnsi="Verdana" w:cs="Arial"/>
              </w:rPr>
              <w:t>de la Ley 1474 de 2011</w:t>
            </w:r>
            <w:r>
              <w:rPr>
                <w:rFonts w:ascii="Verdana" w:eastAsia="Calibri" w:hAnsi="Verdana" w:cs="Arial"/>
              </w:rPr>
              <w:t>)</w:t>
            </w:r>
            <w:r w:rsidRPr="00D715CA">
              <w:rPr>
                <w:rFonts w:ascii="Verdana" w:eastAsia="Calibri" w:hAnsi="Verdana" w:cs="Arial"/>
              </w:rPr>
              <w:t xml:space="preserve">, considerando el tipo de contrato “interventoría” y la modalidad de selección “concurso de méritos”.  </w:t>
            </w:r>
          </w:p>
          <w:p w14:paraId="6BD62E5A" w14:textId="77777777" w:rsidR="00B92941" w:rsidRPr="00814FC2" w:rsidRDefault="00B92941" w:rsidP="004F7263">
            <w:pPr>
              <w:spacing w:line="276" w:lineRule="auto"/>
              <w:jc w:val="both"/>
              <w:rPr>
                <w:rFonts w:ascii="Verdana" w:eastAsia="Calibri" w:hAnsi="Verdana" w:cs="Arial"/>
              </w:rPr>
            </w:pPr>
            <w:r w:rsidRPr="2EC93900">
              <w:rPr>
                <w:rFonts w:ascii="Verdana" w:eastAsia="Calibri" w:hAnsi="Verdana" w:cs="Arial"/>
              </w:rPr>
              <w:t>Sin perjuicio de lo anterior, debe indicarse que, para el manejo del anticipo, la entidad contratante debe adoptar medidas necesarias y razonables para asegurar la protección de los recursos económicos entregados al contratista, es por esto que, en la cláusula 6  de la Minuta del contrato de interventoría de los documento tipo se establece que en caso de otorgarse anticipo se “[(…) incluirá el porcentaje del Anticipo –el cual no podrá exceder el cincuenta por ciento (50 %) del valor del</w:t>
            </w:r>
            <w:r w:rsidRPr="2EC93900">
              <w:rPr>
                <w:rFonts w:ascii="Verdana" w:eastAsia="Calibri" w:hAnsi="Verdana" w:cs="Arial"/>
                <w:highlight w:val="lightGray"/>
              </w:rPr>
              <w:t xml:space="preserve"> </w:t>
            </w:r>
            <w:r w:rsidRPr="2EC93900">
              <w:rPr>
                <w:rFonts w:ascii="Verdana" w:eastAsia="Calibri" w:hAnsi="Verdana" w:cs="Arial"/>
              </w:rPr>
              <w:t xml:space="preserve">contrato–, requisitos para la entrega, condiciones de amortización, rendimientos financieros, y otras reglas aplicables del Anticipo y su manejo.]”. </w:t>
            </w:r>
          </w:p>
        </w:tc>
      </w:tr>
    </w:tbl>
    <w:p w14:paraId="7F1CF5E2" w14:textId="77777777" w:rsidR="00B92941" w:rsidRPr="00B31C7B" w:rsidRDefault="00B92941" w:rsidP="00B92941">
      <w:pPr>
        <w:spacing w:after="0" w:line="276" w:lineRule="auto"/>
        <w:jc w:val="both"/>
        <w:rPr>
          <w:rFonts w:ascii="Verdana" w:eastAsia="Calibri" w:hAnsi="Verdana" w:cs="Arial"/>
          <w:bCs/>
          <w:color w:val="000000" w:themeColor="text1"/>
        </w:rPr>
      </w:pPr>
    </w:p>
    <w:p w14:paraId="1511EB85" w14:textId="77777777" w:rsidR="00B92941" w:rsidRPr="00B31C7B" w:rsidRDefault="00B92941" w:rsidP="00B92941">
      <w:pPr>
        <w:numPr>
          <w:ilvl w:val="0"/>
          <w:numId w:val="16"/>
        </w:numPr>
        <w:spacing w:after="0" w:line="276" w:lineRule="auto"/>
        <w:rPr>
          <w:rFonts w:ascii="Verdana" w:eastAsia="Calibri" w:hAnsi="Verdana" w:cs="Times New Roman"/>
          <w:b/>
          <w:bCs/>
          <w:lang w:val="es-ES"/>
        </w:rPr>
      </w:pPr>
      <w:r w:rsidRPr="00B31C7B">
        <w:rPr>
          <w:rFonts w:ascii="Verdana" w:eastAsia="Calibri" w:hAnsi="Verdana" w:cs="Times New Roman"/>
          <w:b/>
          <w:bCs/>
          <w:lang w:val="es-ES"/>
        </w:rPr>
        <w:t>Razones de la respuesta:</w:t>
      </w:r>
    </w:p>
    <w:p w14:paraId="6B850FED" w14:textId="77777777" w:rsidR="00B92941" w:rsidRPr="00B31C7B" w:rsidRDefault="00B92941" w:rsidP="00B92941">
      <w:pPr>
        <w:spacing w:after="0" w:line="276" w:lineRule="auto"/>
        <w:rPr>
          <w:rFonts w:ascii="Verdana" w:eastAsia="Calibri" w:hAnsi="Verdana" w:cs="Times New Roman"/>
          <w:b/>
          <w:bCs/>
          <w:lang w:val="es-ES"/>
        </w:rPr>
      </w:pPr>
    </w:p>
    <w:p w14:paraId="6AC0E34B" w14:textId="77777777" w:rsidR="00B92941" w:rsidRPr="00F16C7A" w:rsidRDefault="00B92941" w:rsidP="00B92941">
      <w:pPr>
        <w:spacing w:after="0" w:line="276" w:lineRule="auto"/>
        <w:jc w:val="both"/>
        <w:rPr>
          <w:rFonts w:ascii="Verdana" w:eastAsia="Calibri" w:hAnsi="Verdana" w:cs="Arial"/>
          <w:lang w:val="es-ES"/>
        </w:rPr>
      </w:pPr>
      <w:r w:rsidRPr="00F16C7A">
        <w:rPr>
          <w:rFonts w:ascii="Verdana" w:eastAsia="Calibri" w:hAnsi="Verdana" w:cs="Arial"/>
          <w:lang w:val="es-ES"/>
        </w:rPr>
        <w:t>Lo anterior se sustenta en las siguientes consideraciones:</w:t>
      </w:r>
    </w:p>
    <w:p w14:paraId="04DC992E" w14:textId="77777777" w:rsidR="00B92941" w:rsidRPr="00F16C7A" w:rsidRDefault="00B92941" w:rsidP="00B92941">
      <w:pPr>
        <w:spacing w:after="0" w:line="276" w:lineRule="auto"/>
        <w:jc w:val="both"/>
        <w:rPr>
          <w:rFonts w:ascii="Verdana" w:eastAsia="Calibri" w:hAnsi="Verdana" w:cs="Arial"/>
          <w:lang w:val="es-ES"/>
        </w:rPr>
      </w:pPr>
    </w:p>
    <w:p w14:paraId="1DED2087" w14:textId="77777777" w:rsidR="00B92941" w:rsidRPr="00F16C7A" w:rsidRDefault="00B92941" w:rsidP="00B92941">
      <w:pPr>
        <w:tabs>
          <w:tab w:val="left" w:pos="0"/>
        </w:tabs>
        <w:spacing w:line="276" w:lineRule="auto"/>
        <w:jc w:val="both"/>
        <w:rPr>
          <w:rFonts w:ascii="Verdana" w:hAnsi="Verdana" w:cs="Arial"/>
          <w:color w:val="000000" w:themeColor="text1"/>
        </w:rPr>
      </w:pPr>
      <w:r w:rsidRPr="00F16C7A">
        <w:rPr>
          <w:rFonts w:ascii="Verdana" w:hAnsi="Verdana" w:cs="Arial"/>
          <w:color w:val="000000"/>
          <w:lang w:eastAsia="en-GB"/>
        </w:rPr>
        <w:t>i) En materia de contratación pública, la figura del anticipo está prevista en dos (2) normas: el</w:t>
      </w:r>
      <w:r w:rsidRPr="00F16C7A">
        <w:rPr>
          <w:rFonts w:ascii="Verdana" w:hAnsi="Verdana" w:cs="Arial"/>
          <w:color w:val="000000" w:themeColor="text1"/>
        </w:rPr>
        <w:t xml:space="preserve">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“En los contratos que celebren las entidades estatales se podrá pactar el pago anticipado y la entrega de anticipos, pero su monto no podrá exceder del cincuenta por ciento (50%) del valor del respectivo contrato”. </w:t>
      </w:r>
    </w:p>
    <w:p w14:paraId="2D0591F8" w14:textId="77777777" w:rsidR="00B92941" w:rsidRDefault="00B92941" w:rsidP="00B92941">
      <w:pPr>
        <w:tabs>
          <w:tab w:val="left" w:pos="0"/>
        </w:tabs>
        <w:spacing w:after="0" w:line="276" w:lineRule="auto"/>
        <w:ind w:firstLine="709"/>
        <w:jc w:val="both"/>
        <w:rPr>
          <w:rFonts w:ascii="Verdana" w:eastAsia="Calibri" w:hAnsi="Verdana" w:cs="Arial"/>
          <w:bCs/>
          <w:color w:val="000000" w:themeColor="text1"/>
          <w:lang w:val="es-ES_tradnl"/>
        </w:rPr>
      </w:pPr>
      <w:r w:rsidRPr="00F16C7A">
        <w:rPr>
          <w:rFonts w:ascii="Verdana" w:hAnsi="Verdana" w:cs="Arial"/>
          <w:color w:val="000000" w:themeColor="text1"/>
        </w:rPr>
        <w:t xml:space="preserve">Por su parte, el artículo 91 de la Ley 1474 de 2011 consagra una regla especial para el manejo del anticipo. </w:t>
      </w:r>
      <w:r w:rsidRPr="00F16C7A">
        <w:rPr>
          <w:rFonts w:ascii="Verdana" w:eastAsia="Calibri" w:hAnsi="Verdana" w:cs="Arial"/>
          <w:bCs/>
          <w:color w:val="000000" w:themeColor="text1"/>
          <w:lang w:val="es-ES_tradnl"/>
        </w:rPr>
        <w:t xml:space="preserve">Este precepto normativo dispone lo siguiente: </w:t>
      </w:r>
    </w:p>
    <w:p w14:paraId="49BD900A" w14:textId="77777777" w:rsidR="00B92941" w:rsidRPr="00F16C7A" w:rsidRDefault="00B92941" w:rsidP="00B92941">
      <w:pPr>
        <w:tabs>
          <w:tab w:val="left" w:pos="0"/>
        </w:tabs>
        <w:spacing w:after="0" w:line="276" w:lineRule="auto"/>
        <w:ind w:firstLine="709"/>
        <w:jc w:val="both"/>
        <w:rPr>
          <w:rFonts w:ascii="Verdana" w:eastAsia="Calibri" w:hAnsi="Verdana" w:cs="Arial"/>
          <w:bCs/>
          <w:color w:val="000000" w:themeColor="text1"/>
          <w:lang w:val="es-ES_tradnl"/>
        </w:rPr>
      </w:pPr>
    </w:p>
    <w:p w14:paraId="084BAB46" w14:textId="77777777" w:rsidR="00B92941" w:rsidRPr="00F16C7A" w:rsidRDefault="00B92941" w:rsidP="00B92941">
      <w:pPr>
        <w:spacing w:after="120" w:line="240" w:lineRule="auto"/>
        <w:ind w:left="709" w:right="709"/>
        <w:jc w:val="both"/>
        <w:rPr>
          <w:rFonts w:ascii="Verdana" w:eastAsia="Calibri" w:hAnsi="Verdana" w:cs="Arial"/>
          <w:sz w:val="21"/>
          <w:szCs w:val="21"/>
          <w:lang w:val="es-MX"/>
        </w:rPr>
      </w:pPr>
      <w:r>
        <w:rPr>
          <w:rFonts w:ascii="Verdana" w:eastAsia="Calibri" w:hAnsi="Verdana" w:cs="Arial"/>
          <w:sz w:val="21"/>
          <w:szCs w:val="21"/>
          <w:lang w:val="es-MX"/>
        </w:rPr>
        <w:t>“</w:t>
      </w:r>
      <w:r w:rsidRPr="00F16C7A">
        <w:rPr>
          <w:rFonts w:ascii="Verdana" w:eastAsia="Calibri" w:hAnsi="Verdana" w:cs="Arial"/>
          <w:sz w:val="21"/>
          <w:szCs w:val="21"/>
          <w:lang w:val="es-MX"/>
        </w:rPr>
        <w:t>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p>
    <w:p w14:paraId="59F65586" w14:textId="77777777" w:rsidR="00B92941" w:rsidRPr="00F16C7A" w:rsidRDefault="00B92941" w:rsidP="00B92941">
      <w:pPr>
        <w:spacing w:after="0" w:line="240" w:lineRule="auto"/>
        <w:ind w:left="709" w:right="709"/>
        <w:jc w:val="both"/>
        <w:rPr>
          <w:rFonts w:ascii="Verdana" w:eastAsia="Calibri" w:hAnsi="Verdana" w:cs="Arial"/>
          <w:sz w:val="21"/>
          <w:szCs w:val="21"/>
          <w:lang w:val="es-MX"/>
        </w:rPr>
      </w:pPr>
      <w:r w:rsidRPr="00F16C7A">
        <w:rPr>
          <w:rFonts w:ascii="Verdana" w:eastAsia="Calibri" w:hAnsi="Verdana" w:cs="Arial"/>
          <w:sz w:val="21"/>
          <w:szCs w:val="21"/>
          <w:lang w:val="es-MX"/>
        </w:rPr>
        <w:t>El costo de la comisión fiduciaria será cubierto directamente por el contratista</w:t>
      </w:r>
      <w:r>
        <w:rPr>
          <w:rFonts w:ascii="Verdana" w:eastAsia="Calibri" w:hAnsi="Verdana" w:cs="Arial"/>
          <w:sz w:val="21"/>
          <w:szCs w:val="21"/>
          <w:lang w:val="es-MX"/>
        </w:rPr>
        <w:t>”</w:t>
      </w:r>
      <w:r w:rsidRPr="00F16C7A">
        <w:rPr>
          <w:rFonts w:ascii="Verdana" w:eastAsia="Calibri" w:hAnsi="Verdana" w:cs="Arial"/>
          <w:sz w:val="21"/>
          <w:szCs w:val="21"/>
          <w:lang w:val="es-MX"/>
        </w:rPr>
        <w:t>.</w:t>
      </w:r>
    </w:p>
    <w:p w14:paraId="5A3BDF41" w14:textId="77777777" w:rsidR="00B92941" w:rsidRPr="00F16C7A" w:rsidRDefault="00B92941" w:rsidP="00B92941">
      <w:pPr>
        <w:spacing w:after="0" w:line="276" w:lineRule="auto"/>
        <w:jc w:val="both"/>
        <w:rPr>
          <w:rFonts w:ascii="Verdana" w:eastAsia="Calibri" w:hAnsi="Verdana" w:cs="Arial"/>
          <w:bCs/>
          <w:color w:val="000000" w:themeColor="text1"/>
        </w:rPr>
      </w:pPr>
    </w:p>
    <w:p w14:paraId="45F097D4" w14:textId="77777777" w:rsidR="00B92941" w:rsidRPr="00F16C7A" w:rsidRDefault="00B92941" w:rsidP="00B92941">
      <w:pPr>
        <w:spacing w:after="0" w:line="276" w:lineRule="auto"/>
        <w:ind w:firstLine="709"/>
        <w:jc w:val="both"/>
        <w:rPr>
          <w:rFonts w:ascii="Verdana" w:eastAsia="Calibri" w:hAnsi="Verdana" w:cs="Arial"/>
          <w:bCs/>
          <w:color w:val="000000" w:themeColor="text1"/>
          <w:lang w:val="es-ES_tradnl"/>
        </w:rPr>
      </w:pPr>
      <w:r w:rsidRPr="00F16C7A">
        <w:rPr>
          <w:rFonts w:ascii="Verdana" w:eastAsia="Calibri" w:hAnsi="Verdana" w:cs="Arial"/>
          <w:bCs/>
          <w:color w:val="000000" w:themeColor="text1"/>
          <w:lang w:val="es-ES_tradnl"/>
        </w:rPr>
        <w:t>En concordancia con lo señalado, el artículo 2.2.1.1.2.4.1 del Decreto 1082 de 2015</w:t>
      </w:r>
      <w:r w:rsidRPr="00F16C7A">
        <w:rPr>
          <w:rFonts w:ascii="Verdana" w:eastAsia="Calibri" w:hAnsi="Verdana" w:cs="Arial"/>
          <w:bCs/>
          <w:color w:val="000000" w:themeColor="text1"/>
          <w:vertAlign w:val="superscript"/>
          <w:lang w:val="es-ES_tradnl"/>
        </w:rPr>
        <w:footnoteReference w:id="1"/>
      </w:r>
      <w:r w:rsidRPr="00F16C7A">
        <w:rPr>
          <w:rFonts w:ascii="Verdana" w:eastAsia="Calibri" w:hAnsi="Verdana" w:cs="Arial"/>
          <w:bCs/>
          <w:color w:val="000000" w:themeColor="text1"/>
          <w:lang w:val="es-ES_tradnl"/>
        </w:rPr>
        <w:t xml:space="preserve">, determinó que, en los casos previstos en la ley, el contratista </w:t>
      </w:r>
      <w:r w:rsidRPr="00F16C7A">
        <w:rPr>
          <w:rFonts w:ascii="Verdana" w:eastAsia="Calibri" w:hAnsi="Verdana" w:cs="Arial"/>
          <w:bCs/>
          <w:color w:val="000000" w:themeColor="text1"/>
          <w:lang w:val="es-ES_tradnl"/>
        </w:rPr>
        <w:lastRenderedPageBreak/>
        <w:t xml:space="preserve">debe suscribir un contrato de fiducia mercantil para crear un patrimonio autónomo, con una sociedad fiduciaria autorizada para ese fin por la Superintendencia Financiera de Colombia, a la cual la Entidad Estatal debe entregar el valor del anticipo. Los recursos del patrimonio y sus rendimientos son autónomos y son manejados de acuerdo con el contrato de fiducia mercantil. </w:t>
      </w:r>
    </w:p>
    <w:p w14:paraId="39FD8A57" w14:textId="77777777" w:rsidR="00B92941" w:rsidRPr="00F16C7A" w:rsidRDefault="00B92941" w:rsidP="1C1591CF">
      <w:pPr>
        <w:spacing w:before="120" w:after="0" w:line="276" w:lineRule="auto"/>
        <w:ind w:firstLine="709"/>
        <w:jc w:val="both"/>
        <w:rPr>
          <w:rFonts w:ascii="Verdana" w:eastAsia="Calibri" w:hAnsi="Verdana" w:cs="Arial"/>
          <w:color w:val="000000" w:themeColor="text1"/>
          <w:lang w:val="es-ES"/>
        </w:rPr>
      </w:pPr>
      <w:r w:rsidRPr="1C1591CF">
        <w:rPr>
          <w:rFonts w:ascii="Verdana" w:eastAsia="Calibri" w:hAnsi="Verdana" w:cs="Arial"/>
          <w:color w:val="000000" w:themeColor="text1"/>
          <w:lang w:val="es-ES"/>
        </w:rPr>
        <w:t>Lo anterior surge como una medida para fortalecer los mecanismos de prevención, investigación y sanción de actos de corrupción y la efectividad del control de la gestión pública, en atención a la problemática identificada sobre el incumplimiento de los contratistas de destinar los anticipos en la ejecución del contrato</w:t>
      </w:r>
      <w:r w:rsidRPr="1C1591CF">
        <w:rPr>
          <w:rFonts w:ascii="Verdana" w:eastAsia="Calibri" w:hAnsi="Verdana" w:cs="Arial"/>
          <w:color w:val="000000" w:themeColor="text1"/>
          <w:vertAlign w:val="superscript"/>
          <w:lang w:val="es-ES"/>
        </w:rPr>
        <w:footnoteReference w:id="2"/>
      </w:r>
      <w:r w:rsidRPr="1C1591CF">
        <w:rPr>
          <w:rFonts w:ascii="Verdana" w:eastAsia="Calibri" w:hAnsi="Verdana" w:cs="Arial"/>
          <w:color w:val="000000" w:themeColor="text1"/>
          <w:lang w:val="es-ES"/>
        </w:rPr>
        <w:t xml:space="preserve">. De esta manera, mediante estas disposiciones se busca realizar un seguimiento a la entrega de recursos que se otorgan en calidad de anticipo, a través de la constitución de una fiducia irrevocable con la finalidad de garantizar, la correcta y adecuada inversión y administración de estos y, el reintegro de los recursos a la entidad estatal. </w:t>
      </w:r>
    </w:p>
    <w:p w14:paraId="4EB0FBC7" w14:textId="77777777" w:rsidR="00B92941" w:rsidRPr="00F16C7A" w:rsidRDefault="00B92941" w:rsidP="00B92941">
      <w:pPr>
        <w:spacing w:before="120" w:after="0" w:line="276" w:lineRule="auto"/>
        <w:ind w:firstLine="709"/>
        <w:jc w:val="both"/>
        <w:rPr>
          <w:rFonts w:ascii="Verdana" w:eastAsia="Calibri" w:hAnsi="Verdana" w:cs="Arial"/>
          <w:color w:val="000000" w:themeColor="text1"/>
          <w:lang w:val="es-ES"/>
        </w:rPr>
      </w:pPr>
      <w:r w:rsidRPr="00F16C7A">
        <w:rPr>
          <w:rFonts w:ascii="Verdana" w:eastAsia="Calibri" w:hAnsi="Verdana" w:cs="Arial"/>
          <w:bCs/>
          <w:color w:val="000000" w:themeColor="text1"/>
          <w:lang w:val="es-ES_tradnl"/>
        </w:rPr>
        <w:t>Por su parte, Colombia Compra Eficiente, emit</w:t>
      </w:r>
      <w:r>
        <w:rPr>
          <w:rFonts w:ascii="Verdana" w:eastAsia="Calibri" w:hAnsi="Verdana" w:cs="Arial"/>
          <w:bCs/>
          <w:color w:val="000000" w:themeColor="text1"/>
          <w:lang w:val="es-ES_tradnl"/>
        </w:rPr>
        <w:t>ió</w:t>
      </w:r>
      <w:r w:rsidRPr="00F16C7A">
        <w:rPr>
          <w:rFonts w:ascii="Verdana" w:eastAsia="Calibri" w:hAnsi="Verdana" w:cs="Arial"/>
          <w:bCs/>
          <w:color w:val="000000" w:themeColor="text1"/>
          <w:lang w:val="es-ES_tradnl"/>
        </w:rPr>
        <w:t xml:space="preserve"> la </w:t>
      </w:r>
      <w:r>
        <w:rPr>
          <w:rFonts w:ascii="Verdana" w:eastAsia="Calibri" w:hAnsi="Verdana" w:cs="Arial"/>
          <w:color w:val="000000" w:themeColor="text1"/>
          <w:lang w:val="es-ES"/>
        </w:rPr>
        <w:t>“</w:t>
      </w:r>
      <w:r w:rsidRPr="00F16C7A">
        <w:rPr>
          <w:rFonts w:ascii="Verdana" w:eastAsia="Calibri" w:hAnsi="Verdana" w:cs="Arial"/>
          <w:bCs/>
          <w:color w:val="000000" w:themeColor="text1"/>
          <w:lang w:val="es-ES_tradnl"/>
        </w:rPr>
        <w:t>Guía para el manejo de anticipos mediante contrato de Fiducia irrevocable</w:t>
      </w:r>
      <w:r>
        <w:rPr>
          <w:rFonts w:ascii="Verdana" w:eastAsia="Calibri" w:hAnsi="Verdana" w:cs="Arial"/>
          <w:color w:val="000000" w:themeColor="text1"/>
          <w:lang w:val="es-ES"/>
        </w:rPr>
        <w:t>”</w:t>
      </w:r>
      <w:r w:rsidRPr="00F16C7A">
        <w:rPr>
          <w:rFonts w:ascii="Verdana" w:eastAsia="Calibri" w:hAnsi="Verdana" w:cs="Arial"/>
          <w:color w:val="000000" w:themeColor="text1"/>
          <w:lang w:val="es-ES"/>
        </w:rPr>
        <w:t xml:space="preserve">, que </w:t>
      </w:r>
      <w:r w:rsidRPr="00F16C7A">
        <w:rPr>
          <w:rFonts w:ascii="Verdana" w:eastAsia="Calibri" w:hAnsi="Verdana" w:cs="Arial"/>
          <w:bCs/>
          <w:color w:val="000000" w:themeColor="text1"/>
          <w:lang w:val="es-ES_tradnl"/>
        </w:rPr>
        <w:t xml:space="preserve">tiene como objetivo establecer lineamientos sobre el contrato de fiducia para el manejo de anticipos. En esta se explica que </w:t>
      </w:r>
      <w:r>
        <w:rPr>
          <w:rFonts w:ascii="Verdana" w:eastAsia="Calibri" w:hAnsi="Verdana" w:cs="Arial"/>
          <w:color w:val="000000" w:themeColor="text1"/>
          <w:lang w:val="es-ES"/>
        </w:rPr>
        <w:t>“</w:t>
      </w:r>
      <w:r w:rsidRPr="00F16C7A">
        <w:rPr>
          <w:rFonts w:ascii="Verdana" w:eastAsia="Calibri" w:hAnsi="Verdana" w:cs="Arial"/>
          <w:bCs/>
          <w:color w:val="000000" w:themeColor="text1"/>
          <w:lang w:val="es-ES"/>
        </w:rPr>
        <w:t>e</w:t>
      </w:r>
      <w:r w:rsidRPr="00F16C7A">
        <w:rPr>
          <w:rFonts w:ascii="Verdana" w:eastAsia="Calibri" w:hAnsi="Verdana" w:cs="Arial"/>
          <w:bCs/>
          <w:color w:val="000000" w:themeColor="text1"/>
          <w:lang w:val="es-MX"/>
        </w:rPr>
        <w:t>l patrimonio autónomo para manejo de anticipos tiene como finalidad: (i) la correcta y adecuada inversión y administración del anticipo y, (ii) el reintegro de los recursos del anticipo a la Entidad Estatal cuando declara la caducidad, incumplimiento o terminación del contrato estatal o cuando se presenta la nulidad del contrato estatal</w:t>
      </w:r>
      <w:r>
        <w:rPr>
          <w:rFonts w:ascii="Verdana" w:eastAsia="Calibri" w:hAnsi="Verdana" w:cs="Arial"/>
          <w:color w:val="000000" w:themeColor="text1"/>
          <w:lang w:val="es-ES"/>
        </w:rPr>
        <w:t>”</w:t>
      </w:r>
      <w:r w:rsidRPr="00F16C7A">
        <w:rPr>
          <w:rFonts w:ascii="Verdana" w:eastAsia="Calibri" w:hAnsi="Verdana" w:cs="Arial"/>
          <w:color w:val="000000" w:themeColor="text1"/>
          <w:lang w:val="es-ES"/>
        </w:rPr>
        <w:t xml:space="preserve">. Además, indica que, en los contratos de obra, concesión, salud y los que se realicen por licitación pública y siempre que no sean de menor o mínima cuantía, el contratista debe constituir un contrato de fiducia mercantil irrevocable para el manejo de los recursos que recibe a título de anticipo. Igualmente, expone las condiciones para administrar </w:t>
      </w:r>
      <w:r w:rsidRPr="00F16C7A">
        <w:rPr>
          <w:rFonts w:ascii="Verdana" w:eastAsia="Calibri" w:hAnsi="Verdana" w:cs="Arial"/>
          <w:color w:val="000000" w:themeColor="text1"/>
          <w:lang w:val="es-ES"/>
        </w:rPr>
        <w:lastRenderedPageBreak/>
        <w:t xml:space="preserve">los recursos del patrimonio autónomo, las obligaciones principales de la fiduciaria, el manejo de los excedentes, entre otros. </w:t>
      </w:r>
    </w:p>
    <w:p w14:paraId="76B7E8C4" w14:textId="77777777" w:rsidR="00B92941" w:rsidRPr="00F16C7A" w:rsidRDefault="00B92941" w:rsidP="00B92941">
      <w:pPr>
        <w:spacing w:before="120" w:after="0" w:line="276" w:lineRule="auto"/>
        <w:ind w:firstLine="709"/>
        <w:jc w:val="both"/>
        <w:rPr>
          <w:rFonts w:ascii="Verdana" w:eastAsia="Calibri" w:hAnsi="Verdana" w:cs="Arial"/>
          <w:lang w:val="es-MX"/>
        </w:rPr>
      </w:pPr>
      <w:r w:rsidRPr="00F16C7A">
        <w:rPr>
          <w:rFonts w:ascii="Verdana" w:eastAsia="Calibri" w:hAnsi="Verdana" w:cs="Arial"/>
          <w:bCs/>
          <w:color w:val="000000" w:themeColor="text1"/>
          <w:lang w:val="es-ES"/>
        </w:rPr>
        <w:t>De conformidad con lo anterior</w:t>
      </w:r>
      <w:r w:rsidRPr="00F16C7A">
        <w:rPr>
          <w:rFonts w:ascii="Verdana" w:eastAsia="Calibri" w:hAnsi="Verdana" w:cs="Arial"/>
          <w:bCs/>
          <w:color w:val="000000" w:themeColor="text1"/>
          <w:lang w:val="es-ES_tradnl"/>
        </w:rPr>
        <w:t xml:space="preserve">, para ciertos tipos de contratos la Ley ha impuesto la obligación al contratista de constituir una fiducia o patrimonio autónomo irrevocable, con el propósito de manejar los recursos que se entreguen a título de anticipo y garantizar que estos sean destinados única y exclusivamente para </w:t>
      </w:r>
      <w:r w:rsidRPr="00F16C7A">
        <w:rPr>
          <w:rFonts w:ascii="Verdana" w:eastAsia="Calibri" w:hAnsi="Verdana" w:cs="Arial"/>
          <w:lang w:val="es-MX"/>
        </w:rPr>
        <w:t xml:space="preserve">solventar los costos iniciales de la ejecución del contrato, de acuerdo con las condiciones pactadas. </w:t>
      </w:r>
    </w:p>
    <w:p w14:paraId="0869A17D" w14:textId="77777777" w:rsidR="00B92941" w:rsidRPr="00F16C7A" w:rsidRDefault="00B92941" w:rsidP="00B92941">
      <w:pPr>
        <w:spacing w:before="120" w:after="0" w:line="276" w:lineRule="auto"/>
        <w:ind w:firstLine="709"/>
        <w:jc w:val="both"/>
        <w:rPr>
          <w:rFonts w:ascii="Verdana" w:eastAsia="Calibri" w:hAnsi="Verdana" w:cs="Arial"/>
        </w:rPr>
      </w:pPr>
      <w:r w:rsidRPr="00F16C7A">
        <w:rPr>
          <w:rFonts w:ascii="Verdana" w:eastAsia="Calibri" w:hAnsi="Verdana" w:cs="Arial"/>
          <w:lang w:val="es-MX"/>
        </w:rPr>
        <w:t xml:space="preserve">De esta manera, es claro que el artículo 91 determina </w:t>
      </w:r>
      <w:r w:rsidRPr="00F16C7A">
        <w:rPr>
          <w:rFonts w:ascii="Verdana" w:eastAsia="Calibri" w:hAnsi="Verdana" w:cs="Arial"/>
        </w:rPr>
        <w:t xml:space="preserve">el ámbito de aplicación, al enumerar los casos en los cuales es deber del contratista constituir un patrimonio autónomo o una fiducia para administrar los recursos del anticipo. Para tales efectos, se establecen los siguientes contratos: i) obra, </w:t>
      </w:r>
      <w:proofErr w:type="spellStart"/>
      <w:r w:rsidRPr="00F16C7A">
        <w:rPr>
          <w:rFonts w:ascii="Verdana" w:eastAsia="Calibri" w:hAnsi="Verdana" w:cs="Arial"/>
        </w:rPr>
        <w:t>ii</w:t>
      </w:r>
      <w:proofErr w:type="spellEnd"/>
      <w:r w:rsidRPr="00F16C7A">
        <w:rPr>
          <w:rFonts w:ascii="Verdana" w:eastAsia="Calibri" w:hAnsi="Verdana" w:cs="Arial"/>
        </w:rPr>
        <w:t xml:space="preserve">) concesión, </w:t>
      </w:r>
      <w:proofErr w:type="spellStart"/>
      <w:r w:rsidRPr="00F16C7A">
        <w:rPr>
          <w:rFonts w:ascii="Verdana" w:eastAsia="Calibri" w:hAnsi="Verdana" w:cs="Arial"/>
        </w:rPr>
        <w:t>iii</w:t>
      </w:r>
      <w:proofErr w:type="spellEnd"/>
      <w:r w:rsidRPr="00F16C7A">
        <w:rPr>
          <w:rFonts w:ascii="Verdana" w:eastAsia="Calibri" w:hAnsi="Verdana" w:cs="Arial"/>
        </w:rPr>
        <w:t xml:space="preserve">) salud y </w:t>
      </w:r>
      <w:proofErr w:type="spellStart"/>
      <w:r w:rsidRPr="00F16C7A">
        <w:rPr>
          <w:rFonts w:ascii="Verdana" w:eastAsia="Calibri" w:hAnsi="Verdana" w:cs="Arial"/>
        </w:rPr>
        <w:t>iv</w:t>
      </w:r>
      <w:proofErr w:type="spellEnd"/>
      <w:r w:rsidRPr="00F16C7A">
        <w:rPr>
          <w:rFonts w:ascii="Verdana" w:eastAsia="Calibri" w:hAnsi="Verdana" w:cs="Arial"/>
        </w:rPr>
        <w:t xml:space="preserve">) los contratos derivados de un proceso de Licitación Pública. </w:t>
      </w:r>
    </w:p>
    <w:p w14:paraId="5764FCAB" w14:textId="77777777" w:rsidR="00B92941" w:rsidRPr="00F16C7A" w:rsidRDefault="00B92941" w:rsidP="00B92941">
      <w:pPr>
        <w:spacing w:before="120" w:after="0" w:line="276" w:lineRule="auto"/>
        <w:ind w:firstLine="709"/>
        <w:jc w:val="both"/>
        <w:rPr>
          <w:rFonts w:ascii="Verdana" w:eastAsia="Calibri" w:hAnsi="Verdana" w:cs="Arial"/>
        </w:rPr>
      </w:pPr>
      <w:r w:rsidRPr="00F16C7A">
        <w:rPr>
          <w:rFonts w:ascii="Verdana" w:eastAsia="Calibri" w:hAnsi="Verdana" w:cs="Arial"/>
        </w:rPr>
        <w:t>Aunque la norma menciona de manera general que en los cuatro casos anteriores se debe constituir patrimonio autónomo irrevocable o fiducia para el manejo del anticipo, la norma también determina una excepción de su aplicación para los cuatro tipos de contratos cuya disposición resulta obligatoria. Ello es así, por cuanto la expresión “</w:t>
      </w:r>
      <w:r w:rsidRPr="00F16C7A">
        <w:rPr>
          <w:rFonts w:ascii="Verdana" w:eastAsia="Calibri" w:hAnsi="Verdana" w:cs="Arial"/>
          <w:i/>
        </w:rPr>
        <w:t>salvo que el contrato sea de menor o mínima cuantía</w:t>
      </w:r>
      <w:r w:rsidRPr="00F16C7A">
        <w:rPr>
          <w:rFonts w:ascii="Verdana" w:eastAsia="Calibri" w:hAnsi="Verdana" w:cs="Arial"/>
        </w:rPr>
        <w:t xml:space="preserve">”, describe que, a pesar de las enunciaciones anteriores, dicha disposición imperativa no aplica en el supuesto de hecho de que la cuantía del contrato no resulte ser de mayor cuantía, sin discriminar la modalidad de selección mediante la cual se celebre dichos contratos. </w:t>
      </w:r>
    </w:p>
    <w:p w14:paraId="583E182B" w14:textId="77777777" w:rsidR="00B92941" w:rsidRDefault="00B92941" w:rsidP="00B92941">
      <w:pPr>
        <w:spacing w:after="0" w:line="276" w:lineRule="auto"/>
        <w:ind w:firstLine="709"/>
        <w:jc w:val="both"/>
        <w:rPr>
          <w:rFonts w:ascii="Verdana" w:eastAsia="Calibri" w:hAnsi="Verdana" w:cs="Arial"/>
          <w:lang w:val="es-MX"/>
        </w:rPr>
      </w:pPr>
      <w:r w:rsidRPr="00F16C7A">
        <w:rPr>
          <w:rFonts w:ascii="Verdana" w:eastAsia="Calibri" w:hAnsi="Verdana" w:cs="Arial"/>
        </w:rPr>
        <w:t>Teniendo en cuenta las consideraciones desarrolladas en relación con la obligación de constituir una fiducia o un patrimonio autónomo irrevocable para el manejo de los recursos que reciba a título de anticipo, es pertinente mencionar que la Agencia Nacional de Contratación Pública – Colombia Compra Eficiente en los conceptos C-049 del 21 de febrero de 2020, C-209 del 16 de marzo de 2020, C-693 del 25 de noviembre de 2020, C-154 del 18 de mayo de 2021, C-825 del 28 de diciembre de 2022 y C-003 de 13 de marzo de 2023, sobre la expresión  “</w:t>
      </w:r>
      <w:r w:rsidRPr="00F16C7A">
        <w:rPr>
          <w:rFonts w:ascii="Verdana" w:eastAsia="Calibri" w:hAnsi="Verdana" w:cs="Arial"/>
          <w:i/>
        </w:rPr>
        <w:t>salvo que el contrato sea de menor o mínima cuantía</w:t>
      </w:r>
      <w:r w:rsidRPr="00F16C7A">
        <w:rPr>
          <w:rFonts w:ascii="Verdana" w:eastAsia="Calibri" w:hAnsi="Verdana" w:cs="Arial"/>
        </w:rPr>
        <w:t xml:space="preserve">” contenida en la parte final del artículo 91 de la Ley 1474 de 2011, se ha pronunciado en el sentido de indicar que dicha excepción implica que la </w:t>
      </w:r>
      <w:r w:rsidRPr="00F16C7A">
        <w:rPr>
          <w:rFonts w:ascii="Verdana" w:eastAsia="Calibri" w:hAnsi="Verdana" w:cs="Arial"/>
          <w:lang w:val="es-MX"/>
        </w:rPr>
        <w:t xml:space="preserve">obligación se aplica a los contratos de obra, concesión, salud, o los que se realicen por licitación pública, </w:t>
      </w:r>
      <w:r w:rsidRPr="00F16C7A">
        <w:rPr>
          <w:rFonts w:ascii="Verdana" w:eastAsia="Calibri" w:hAnsi="Verdana" w:cs="Arial"/>
          <w:i/>
          <w:lang w:val="es-MX"/>
        </w:rPr>
        <w:t>salvo que los mismos</w:t>
      </w:r>
      <w:r w:rsidRPr="00F16C7A">
        <w:rPr>
          <w:rFonts w:ascii="Verdana" w:eastAsia="Calibri" w:hAnsi="Verdana" w:cs="Arial"/>
          <w:lang w:val="es-MX"/>
        </w:rPr>
        <w:t xml:space="preserve"> sean de menor o mínima cuantía, sin tener en cuenta la modalidad de selección por la que se suscribió el contrato así:</w:t>
      </w:r>
    </w:p>
    <w:p w14:paraId="6132009C" w14:textId="77777777" w:rsidR="00B92941" w:rsidRPr="00F16C7A" w:rsidRDefault="00B92941" w:rsidP="00B92941">
      <w:pPr>
        <w:spacing w:after="0" w:line="276" w:lineRule="auto"/>
        <w:ind w:firstLine="709"/>
        <w:jc w:val="both"/>
        <w:rPr>
          <w:rFonts w:ascii="Verdana" w:eastAsia="Calibri" w:hAnsi="Verdana" w:cs="Arial"/>
          <w:lang w:val="es-MX"/>
        </w:rPr>
      </w:pPr>
    </w:p>
    <w:p w14:paraId="564E5C74" w14:textId="77777777" w:rsidR="00B92941" w:rsidRDefault="00B92941" w:rsidP="00B92941">
      <w:pPr>
        <w:spacing w:after="0" w:line="276" w:lineRule="auto"/>
        <w:ind w:left="709" w:right="616"/>
        <w:jc w:val="both"/>
        <w:rPr>
          <w:rFonts w:ascii="Verdana" w:eastAsia="Calibri" w:hAnsi="Verdana" w:cs="Arial"/>
          <w:sz w:val="21"/>
          <w:szCs w:val="21"/>
        </w:rPr>
      </w:pPr>
      <w:r w:rsidRPr="00F16C7A">
        <w:rPr>
          <w:rFonts w:ascii="Verdana" w:eastAsia="Calibri" w:hAnsi="Verdana" w:cs="Arial"/>
          <w:sz w:val="21"/>
          <w:szCs w:val="21"/>
          <w:lang w:val="es-MX"/>
        </w:rPr>
        <w:t>“</w:t>
      </w:r>
      <w:r w:rsidRPr="00F16C7A">
        <w:rPr>
          <w:rFonts w:ascii="Verdana" w:eastAsia="Calibri" w:hAnsi="Verdana" w:cs="Arial"/>
          <w:sz w:val="21"/>
          <w:szCs w:val="21"/>
        </w:rPr>
        <w:t>En consideración a lo enunciado previamente, el ejercicio interpretativo que esta Agencia ha mantenido sobre la sobre la expresión “</w:t>
      </w:r>
      <w:r w:rsidRPr="00F16C7A">
        <w:rPr>
          <w:rFonts w:ascii="Verdana" w:eastAsia="Calibri" w:hAnsi="Verdana" w:cs="Arial"/>
          <w:i/>
          <w:sz w:val="21"/>
          <w:szCs w:val="21"/>
        </w:rPr>
        <w:t>salvo que el contrato sea de menor o mínima cuantía</w:t>
      </w:r>
      <w:r w:rsidRPr="00F16C7A">
        <w:rPr>
          <w:rFonts w:ascii="Verdana" w:eastAsia="Calibri" w:hAnsi="Verdana" w:cs="Arial"/>
          <w:sz w:val="21"/>
          <w:szCs w:val="21"/>
        </w:rPr>
        <w:t>” contenida en la parte final del artículo 91 de la Ley 1474 de 2011, ha sido la de entender que en los contratos cuya cuantía resulte ser de mínima o menor cuantía no será obligatoria la constitución de un patrimonio autónomo o una fiducia para administrar los recursos del anticipo, así haya surgido a través de un proceso de selección por licitación pública.”</w:t>
      </w:r>
      <w:r w:rsidRPr="00F16C7A">
        <w:rPr>
          <w:rFonts w:ascii="Verdana" w:eastAsia="Calibri" w:hAnsi="Verdana" w:cs="Arial"/>
          <w:sz w:val="21"/>
          <w:szCs w:val="21"/>
          <w:vertAlign w:val="superscript"/>
        </w:rPr>
        <w:footnoteReference w:id="3"/>
      </w:r>
    </w:p>
    <w:p w14:paraId="173DAAAE" w14:textId="77777777" w:rsidR="00B92941" w:rsidRPr="00F16C7A" w:rsidRDefault="00B92941" w:rsidP="00B92941">
      <w:pPr>
        <w:spacing w:after="0" w:line="276" w:lineRule="auto"/>
        <w:ind w:left="709" w:right="616"/>
        <w:jc w:val="both"/>
        <w:rPr>
          <w:rFonts w:ascii="Verdana" w:eastAsia="Calibri" w:hAnsi="Verdana" w:cs="Arial"/>
          <w:sz w:val="21"/>
          <w:szCs w:val="21"/>
        </w:rPr>
      </w:pPr>
    </w:p>
    <w:p w14:paraId="33C99533" w14:textId="77777777" w:rsidR="00B92941" w:rsidRPr="00F16C7A" w:rsidRDefault="00B92941" w:rsidP="00B92941">
      <w:pPr>
        <w:spacing w:after="0" w:line="276" w:lineRule="auto"/>
        <w:ind w:firstLine="709"/>
        <w:jc w:val="both"/>
        <w:rPr>
          <w:rFonts w:ascii="Verdana" w:eastAsia="Calibri" w:hAnsi="Verdana" w:cs="Arial"/>
        </w:rPr>
      </w:pPr>
      <w:r w:rsidRPr="00F16C7A">
        <w:rPr>
          <w:rFonts w:ascii="Verdana" w:eastAsia="Calibri" w:hAnsi="Verdana" w:cs="Arial"/>
        </w:rPr>
        <w:t>De igual forma, la postura adoptada en los conceptos emitidos por esta Agencia reiteran lo expuesto en la “</w:t>
      </w:r>
      <w:r w:rsidRPr="00F16C7A">
        <w:rPr>
          <w:rFonts w:ascii="Verdana" w:eastAsia="Calibri" w:hAnsi="Verdana" w:cs="Arial"/>
          <w:i/>
          <w:lang w:val="es-ES_tradnl"/>
        </w:rPr>
        <w:t>Guía para el manejo de anticipos mediante contrato de fiducia irrevocable</w:t>
      </w:r>
      <w:r w:rsidRPr="00F16C7A">
        <w:rPr>
          <w:rFonts w:ascii="Verdana" w:eastAsia="Calibri" w:hAnsi="Verdana" w:cs="Arial"/>
          <w:i/>
        </w:rPr>
        <w:t xml:space="preserve">”, </w:t>
      </w:r>
      <w:r w:rsidRPr="00F16C7A">
        <w:rPr>
          <w:rFonts w:ascii="Verdana" w:eastAsia="Calibri" w:hAnsi="Verdana" w:cs="Arial"/>
        </w:rPr>
        <w:t xml:space="preserve">al indicar que el contratista debe constituir un contrato de fiducia mercantil irrevocable para el manejo de los recursos que recibe a título de anticipo en “los contratos de obra, concesión, salud y los que se realicen por licitación pública y </w:t>
      </w:r>
      <w:r w:rsidRPr="00F16C7A">
        <w:rPr>
          <w:rFonts w:ascii="Verdana" w:eastAsia="Calibri" w:hAnsi="Verdana" w:cs="Arial"/>
          <w:i/>
        </w:rPr>
        <w:t xml:space="preserve">siempre que </w:t>
      </w:r>
      <w:r w:rsidRPr="00F16C7A">
        <w:rPr>
          <w:rFonts w:ascii="Verdana" w:eastAsia="Calibri" w:hAnsi="Verdana" w:cs="Arial"/>
        </w:rPr>
        <w:t>no sean de menor o mínima cuantía</w:t>
      </w:r>
      <w:r w:rsidRPr="00F16C7A">
        <w:rPr>
          <w:rFonts w:ascii="Verdana" w:eastAsia="Calibri" w:hAnsi="Verdana" w:cs="Arial"/>
          <w:i/>
        </w:rPr>
        <w:t xml:space="preserve">” </w:t>
      </w:r>
      <w:r w:rsidRPr="00F16C7A">
        <w:rPr>
          <w:rFonts w:ascii="Verdana" w:eastAsia="Calibri" w:hAnsi="Verdana" w:cs="Arial"/>
          <w:lang w:val="es-ES_tradnl"/>
        </w:rPr>
        <w:t>[Énfasis fuera de texto]</w:t>
      </w:r>
      <w:r w:rsidRPr="00F16C7A">
        <w:rPr>
          <w:rFonts w:ascii="Verdana" w:eastAsia="Calibri" w:hAnsi="Verdana" w:cs="Arial"/>
        </w:rPr>
        <w:t>.</w:t>
      </w:r>
    </w:p>
    <w:p w14:paraId="576DA403" w14:textId="77777777" w:rsidR="00B92941" w:rsidRPr="00F16C7A" w:rsidRDefault="00B92941" w:rsidP="00B92941">
      <w:pPr>
        <w:spacing w:before="120" w:after="0" w:line="276" w:lineRule="auto"/>
        <w:ind w:firstLine="709"/>
        <w:jc w:val="both"/>
        <w:rPr>
          <w:rFonts w:ascii="Verdana" w:eastAsia="Calibri" w:hAnsi="Verdana" w:cs="Arial"/>
        </w:rPr>
      </w:pPr>
      <w:r w:rsidRPr="00F16C7A">
        <w:rPr>
          <w:rFonts w:ascii="Verdana" w:eastAsia="Calibri" w:hAnsi="Verdana" w:cs="Arial"/>
        </w:rPr>
        <w:t xml:space="preserve">De las consideraciones señaladas, se puede concluir lo siguiente: i) la fiducia o el patrimonio autónomo irrevocable para el manejo de los recursos del anticipo es aplicable a contratos de obra, concesión y salud sin importar la modalidad de contratación y también, para aquellos contratos que sin importar la tipología contractual sean gestionados por licitación pública, </w:t>
      </w:r>
      <w:r w:rsidRPr="00F16C7A">
        <w:rPr>
          <w:rFonts w:ascii="Verdana" w:eastAsia="Calibri" w:hAnsi="Verdana" w:cs="Arial"/>
          <w:i/>
        </w:rPr>
        <w:t>siempre y cuando</w:t>
      </w:r>
      <w:r w:rsidRPr="00F16C7A">
        <w:rPr>
          <w:rFonts w:ascii="Verdana" w:eastAsia="Calibri" w:hAnsi="Verdana" w:cs="Arial"/>
        </w:rPr>
        <w:t xml:space="preserve"> todos estos contratos no resulten ser de mínima o menor cuantía; </w:t>
      </w:r>
      <w:proofErr w:type="spellStart"/>
      <w:r w:rsidRPr="00F16C7A">
        <w:rPr>
          <w:rFonts w:ascii="Verdana" w:eastAsia="Calibri" w:hAnsi="Verdana" w:cs="Arial"/>
        </w:rPr>
        <w:t>ii</w:t>
      </w:r>
      <w:proofErr w:type="spellEnd"/>
      <w:r w:rsidRPr="00F16C7A">
        <w:rPr>
          <w:rFonts w:ascii="Verdana" w:eastAsia="Calibri" w:hAnsi="Verdana" w:cs="Arial"/>
        </w:rPr>
        <w:t xml:space="preserve">) la fiducia o el patrimonio autónomo irrevocable para el manejo de los recursos del anticipo en los casos de contratos de obra, concesión y salud no es obligatoria cuando dichos contratos se gestionan a través de procesos de selección en la modalidad de menor y mínima cuantía, pues el contrato que se llegue a celebrar estaría en curso en la excepción general contemplada en el artículo 91 de la Ley 1474 de 2011; </w:t>
      </w:r>
      <w:proofErr w:type="spellStart"/>
      <w:r w:rsidRPr="00F16C7A">
        <w:rPr>
          <w:rFonts w:ascii="Verdana" w:eastAsia="Calibri" w:hAnsi="Verdana" w:cs="Arial"/>
        </w:rPr>
        <w:t>iii</w:t>
      </w:r>
      <w:proofErr w:type="spellEnd"/>
      <w:r w:rsidRPr="00F16C7A">
        <w:rPr>
          <w:rFonts w:ascii="Verdana" w:eastAsia="Calibri" w:hAnsi="Verdana" w:cs="Arial"/>
        </w:rPr>
        <w:t xml:space="preserve">) es posible que mediante licitación pública se termine celebrando un contrato de menor o mínima cuantía, por ejemplo en caso de lotes o grupos que impliquen la celebración individual de contratos a distintos o al mismo proponente, entre otras posibilidades que se puede dar en los procesos de contratación, que estarían en curso en la excepción general contemplada en el artículo 91 de la Ley 1474 de 2011; </w:t>
      </w:r>
      <w:proofErr w:type="spellStart"/>
      <w:r w:rsidRPr="00F16C7A">
        <w:rPr>
          <w:rFonts w:ascii="Verdana" w:eastAsia="Calibri" w:hAnsi="Verdana" w:cs="Arial"/>
        </w:rPr>
        <w:t>iv</w:t>
      </w:r>
      <w:proofErr w:type="spellEnd"/>
      <w:r w:rsidRPr="00F16C7A">
        <w:rPr>
          <w:rFonts w:ascii="Verdana" w:eastAsia="Calibri" w:hAnsi="Verdana" w:cs="Arial"/>
        </w:rPr>
        <w:t xml:space="preserve">) en los contratos de obra, salud y </w:t>
      </w:r>
      <w:r w:rsidRPr="00F16C7A">
        <w:rPr>
          <w:rFonts w:ascii="Verdana" w:eastAsia="Calibri" w:hAnsi="Verdana" w:cs="Arial"/>
        </w:rPr>
        <w:lastRenderedPageBreak/>
        <w:t xml:space="preserve">concesión que sean gestionados a través de la modalidad de contratación directa, será obligatoria la constitución de fiducia o  patrimonio autónomo para el manejo de los recursos del anticipo, cuando dichos contratos sean de mayor cuantía. </w:t>
      </w:r>
    </w:p>
    <w:p w14:paraId="2439E2CE" w14:textId="77777777" w:rsidR="00B92941" w:rsidRPr="00F16C7A" w:rsidRDefault="00B92941" w:rsidP="00B92941">
      <w:pPr>
        <w:spacing w:before="120" w:after="0" w:line="276" w:lineRule="auto"/>
        <w:ind w:firstLine="709"/>
        <w:jc w:val="both"/>
        <w:rPr>
          <w:rFonts w:ascii="Verdana" w:hAnsi="Verdana" w:cs="Arial"/>
        </w:rPr>
      </w:pPr>
      <w:r w:rsidRPr="00F16C7A">
        <w:rPr>
          <w:rFonts w:ascii="Verdana" w:eastAsia="Calibri" w:hAnsi="Verdana" w:cs="Arial"/>
        </w:rPr>
        <w:t xml:space="preserve">Así las cosas, el artículo </w:t>
      </w:r>
      <w:bookmarkStart w:id="1" w:name="_Hlk185879184"/>
      <w:r w:rsidRPr="00F16C7A">
        <w:rPr>
          <w:rFonts w:ascii="Verdana" w:eastAsia="Calibri" w:hAnsi="Verdana" w:cs="Arial"/>
        </w:rPr>
        <w:t xml:space="preserve">91 de la Ley 1474 de 2011 </w:t>
      </w:r>
      <w:bookmarkEnd w:id="1"/>
      <w:r w:rsidRPr="00F16C7A">
        <w:rPr>
          <w:rFonts w:ascii="Verdana" w:eastAsia="Calibri" w:hAnsi="Verdana" w:cs="Arial"/>
        </w:rPr>
        <w:t xml:space="preserve">delimita los eventos en los cuales se debe exigir la constitución de la fiducia o patrimonio autónomo para el manejo del anticipo en los contratos estatales, de manera que aquellos supuestos que no estén contemplados dentro de este marco legal no es obligatoria su constitución. </w:t>
      </w:r>
    </w:p>
    <w:p w14:paraId="5BBEB8E6" w14:textId="77777777" w:rsidR="00B92941" w:rsidRDefault="00B92941" w:rsidP="00B92941">
      <w:pPr>
        <w:spacing w:before="120" w:after="120" w:line="276" w:lineRule="auto"/>
        <w:ind w:firstLine="643"/>
        <w:jc w:val="both"/>
        <w:rPr>
          <w:rFonts w:ascii="Verdana" w:eastAsia="Calibri" w:hAnsi="Verdana" w:cs="Arial"/>
        </w:rPr>
      </w:pPr>
      <w:r>
        <w:rPr>
          <w:rFonts w:ascii="Verdana" w:eastAsia="Calibri" w:hAnsi="Verdana" w:cs="Arial"/>
        </w:rPr>
        <w:t>En este sentido, e</w:t>
      </w:r>
      <w:r w:rsidRPr="00AF4EDC">
        <w:rPr>
          <w:rFonts w:ascii="Verdana" w:eastAsia="Calibri" w:hAnsi="Verdana" w:cs="Arial"/>
        </w:rPr>
        <w:t>n los contratos en los que no es obligatorio constituir una fiducia o un patrimonio autónomo para el manejo del anticipo, la entidad contratante debe adoptar medidas necesarias y razonables para asegurar la protección de los recursos económicos entregados al contratista.</w:t>
      </w:r>
      <w:r>
        <w:rPr>
          <w:rFonts w:ascii="Verdana" w:eastAsia="Calibri" w:hAnsi="Verdana" w:cs="Arial"/>
        </w:rPr>
        <w:t xml:space="preserve"> </w:t>
      </w:r>
      <w:r w:rsidRPr="00AF4EDC">
        <w:rPr>
          <w:rFonts w:ascii="Verdana" w:eastAsia="Calibri" w:hAnsi="Verdana" w:cs="Arial"/>
        </w:rPr>
        <w:t>Por ello, la protección de los recursos económicos entregados al contratista, a título de pago anticipado o anticipo, debe realizarse con la constitución de las garantías establecidas en el ordenamiento jurídico para tal efecto</w:t>
      </w:r>
      <w:r w:rsidRPr="00AF4EDC">
        <w:rPr>
          <w:rStyle w:val="Refdenotaalpie"/>
          <w:rFonts w:ascii="Verdana" w:eastAsia="Calibri" w:hAnsi="Verdana" w:cs="Arial"/>
        </w:rPr>
        <w:footnoteReference w:id="4"/>
      </w:r>
      <w:r w:rsidRPr="00AF4EDC">
        <w:rPr>
          <w:rFonts w:ascii="Verdana" w:eastAsia="Calibri" w:hAnsi="Verdana" w:cs="Arial"/>
        </w:rPr>
        <w:t>.</w:t>
      </w:r>
    </w:p>
    <w:p w14:paraId="3EC83502" w14:textId="77777777" w:rsidR="00B92941" w:rsidRDefault="00B92941" w:rsidP="00B92941">
      <w:pPr>
        <w:spacing w:after="120"/>
        <w:ind w:firstLine="643"/>
        <w:jc w:val="both"/>
        <w:rPr>
          <w:rFonts w:ascii="Verdana" w:eastAsia="Aptos" w:hAnsi="Verdana" w:cs="ArialMT"/>
          <w14:ligatures w14:val="standardContextual"/>
        </w:rPr>
      </w:pPr>
      <w:r>
        <w:rPr>
          <w:rFonts w:ascii="Verdana" w:eastAsia="Aptos" w:hAnsi="Verdana" w:cs="ArialMT"/>
          <w14:ligatures w14:val="standardContextual"/>
        </w:rPr>
        <w:t>Ahora bien, concretamente, para atender el problema jurídico planteado en esta solicitud, debe indicarse que m</w:t>
      </w:r>
      <w:r w:rsidRPr="00C30B31">
        <w:rPr>
          <w:rFonts w:ascii="Verdana" w:eastAsia="Aptos" w:hAnsi="Verdana" w:cs="ArialMT"/>
          <w14:ligatures w14:val="standardContextual"/>
        </w:rPr>
        <w:t xml:space="preserve">ediante la Resolución 725 del 19 de diciembre de 2024, se adoptó la versión 3 de los documentos tipo para los </w:t>
      </w:r>
      <w:r w:rsidRPr="00C30B31">
        <w:rPr>
          <w:rFonts w:ascii="Verdana" w:eastAsia="Aptos" w:hAnsi="Verdana" w:cs="ArialMT"/>
          <w14:ligatures w14:val="standardContextual"/>
        </w:rPr>
        <w:lastRenderedPageBreak/>
        <w:t xml:space="preserve">procesos de selección de concurso de méritos para contratar la interventoría de obras públicas de infraestructura de transporte, y se derogó la versión 2 que se había adoptado por medio de la Resolución 326 de 2022. De acuerdo con el artículo séptimo de la Resolución 725 de 2024, los documentos tipo que se adoptan aplican para los procesos de selección cuyo aviso de convocatoria se publique a partir del 3 de febrero de 2025. </w:t>
      </w:r>
    </w:p>
    <w:p w14:paraId="21A66552" w14:textId="77777777" w:rsidR="00B92941" w:rsidRDefault="00B92941" w:rsidP="00B92941">
      <w:pPr>
        <w:spacing w:after="0"/>
        <w:ind w:firstLine="643"/>
        <w:jc w:val="both"/>
        <w:rPr>
          <w:rFonts w:ascii="Verdana" w:eastAsia="Calibri" w:hAnsi="Verdana" w:cs="Arial"/>
        </w:rPr>
      </w:pPr>
      <w:r w:rsidRPr="00FA0B1A">
        <w:rPr>
          <w:rFonts w:ascii="Verdana" w:eastAsia="Calibri" w:hAnsi="Verdana" w:cs="Arial"/>
        </w:rPr>
        <w:t xml:space="preserve">El capítulo </w:t>
      </w:r>
      <w:r>
        <w:rPr>
          <w:rFonts w:ascii="Verdana" w:eastAsia="Calibri" w:hAnsi="Verdana" w:cs="Arial"/>
        </w:rPr>
        <w:t>IX “Minuta y condiciones del contrato”</w:t>
      </w:r>
      <w:r w:rsidRPr="00FA0B1A">
        <w:rPr>
          <w:rFonts w:ascii="Verdana" w:eastAsia="Calibri" w:hAnsi="Verdana" w:cs="Arial"/>
        </w:rPr>
        <w:t xml:space="preserve"> del Documento base de los </w:t>
      </w:r>
      <w:r>
        <w:rPr>
          <w:rFonts w:ascii="Verdana" w:eastAsia="Calibri" w:hAnsi="Verdana" w:cs="Arial"/>
        </w:rPr>
        <w:t>do</w:t>
      </w:r>
      <w:r w:rsidRPr="00FA0B1A">
        <w:rPr>
          <w:rFonts w:ascii="Verdana" w:eastAsia="Calibri" w:hAnsi="Verdana" w:cs="Arial"/>
        </w:rPr>
        <w:t xml:space="preserve">cumentos </w:t>
      </w:r>
      <w:r>
        <w:rPr>
          <w:rFonts w:ascii="Verdana" w:eastAsia="Calibri" w:hAnsi="Verdana" w:cs="Arial"/>
        </w:rPr>
        <w:t>t</w:t>
      </w:r>
      <w:r w:rsidRPr="00FA0B1A">
        <w:rPr>
          <w:rFonts w:ascii="Verdana" w:eastAsia="Calibri" w:hAnsi="Verdana" w:cs="Arial"/>
        </w:rPr>
        <w:t xml:space="preserve">ipo </w:t>
      </w:r>
      <w:r>
        <w:rPr>
          <w:rFonts w:ascii="Verdana" w:eastAsia="Calibri" w:hAnsi="Verdana" w:cs="Arial"/>
        </w:rPr>
        <w:t xml:space="preserve">de interventoría de obra pública de infraestructura de transporte </w:t>
      </w:r>
      <w:r w:rsidRPr="00FA0B1A">
        <w:rPr>
          <w:rFonts w:ascii="Verdana" w:eastAsia="Calibri" w:hAnsi="Verdana" w:cs="Arial"/>
        </w:rPr>
        <w:t xml:space="preserve">– Versión </w:t>
      </w:r>
      <w:r>
        <w:rPr>
          <w:rFonts w:ascii="Verdana" w:eastAsia="Calibri" w:hAnsi="Verdana" w:cs="Arial"/>
        </w:rPr>
        <w:t>3</w:t>
      </w:r>
      <w:r w:rsidRPr="00FA0B1A">
        <w:rPr>
          <w:rFonts w:ascii="Verdana" w:eastAsia="Calibri" w:hAnsi="Verdana" w:cs="Arial"/>
        </w:rPr>
        <w:t xml:space="preserve">, regula la minuta y las condiciones del contrato en </w:t>
      </w:r>
      <w:r>
        <w:rPr>
          <w:rFonts w:ascii="Verdana" w:eastAsia="Calibri" w:hAnsi="Verdana" w:cs="Arial"/>
        </w:rPr>
        <w:t>dos</w:t>
      </w:r>
      <w:r w:rsidRPr="00FA0B1A">
        <w:rPr>
          <w:rFonts w:ascii="Verdana" w:eastAsia="Calibri" w:hAnsi="Verdana" w:cs="Arial"/>
        </w:rPr>
        <w:t xml:space="preserve"> aspectos: i) información para el control de la ejecución de la obra, y </w:t>
      </w:r>
      <w:proofErr w:type="spellStart"/>
      <w:r w:rsidRPr="00FA0B1A">
        <w:rPr>
          <w:rFonts w:ascii="Verdana" w:eastAsia="Calibri" w:hAnsi="Verdana" w:cs="Arial"/>
        </w:rPr>
        <w:t>ii</w:t>
      </w:r>
      <w:proofErr w:type="spellEnd"/>
      <w:r w:rsidRPr="00FA0B1A">
        <w:rPr>
          <w:rFonts w:ascii="Verdana" w:eastAsia="Calibri" w:hAnsi="Verdana" w:cs="Arial"/>
        </w:rPr>
        <w:t xml:space="preserve">) anticipo y/o pago anticipado. Teniendo en cuenta </w:t>
      </w:r>
      <w:r>
        <w:rPr>
          <w:rFonts w:ascii="Verdana" w:eastAsia="Calibri" w:hAnsi="Verdana" w:cs="Arial"/>
        </w:rPr>
        <w:t xml:space="preserve">su consulta, debe indicarse que </w:t>
      </w:r>
      <w:r w:rsidRPr="00FA0B1A">
        <w:rPr>
          <w:rFonts w:ascii="Verdana" w:eastAsia="Calibri" w:hAnsi="Verdana" w:cs="Arial"/>
        </w:rPr>
        <w:t xml:space="preserve">numeral </w:t>
      </w:r>
      <w:r>
        <w:rPr>
          <w:rFonts w:ascii="Verdana" w:eastAsia="Calibri" w:hAnsi="Verdana" w:cs="Arial"/>
        </w:rPr>
        <w:t>“9</w:t>
      </w:r>
      <w:r w:rsidRPr="00FA0B1A">
        <w:rPr>
          <w:rFonts w:ascii="Verdana" w:eastAsia="Calibri" w:hAnsi="Verdana" w:cs="Arial"/>
        </w:rPr>
        <w:t>.</w:t>
      </w:r>
      <w:r>
        <w:rPr>
          <w:rFonts w:ascii="Verdana" w:eastAsia="Calibri" w:hAnsi="Verdana" w:cs="Arial"/>
        </w:rPr>
        <w:t>2</w:t>
      </w:r>
      <w:r w:rsidRPr="00FA0B1A">
        <w:rPr>
          <w:rFonts w:ascii="Verdana" w:eastAsia="Calibri" w:hAnsi="Verdana" w:cs="Arial"/>
        </w:rPr>
        <w:t xml:space="preserve"> Anticipo y/o pago anticipado</w:t>
      </w:r>
      <w:r>
        <w:rPr>
          <w:rFonts w:ascii="Verdana" w:eastAsia="Calibri" w:hAnsi="Verdana" w:cs="Arial"/>
        </w:rPr>
        <w:t>”</w:t>
      </w:r>
      <w:r w:rsidRPr="00FA0B1A">
        <w:rPr>
          <w:rFonts w:ascii="Verdana" w:eastAsia="Calibri" w:hAnsi="Verdana" w:cs="Arial"/>
        </w:rPr>
        <w:t>, contiene espacios marcados en gris y corchetes, con el fin de que la entidad decida si entrega o no estos recursos en el proceso contractual</w:t>
      </w:r>
      <w:r>
        <w:rPr>
          <w:rFonts w:ascii="Verdana" w:eastAsia="Calibri" w:hAnsi="Verdana" w:cs="Arial"/>
        </w:rPr>
        <w:t>, en los siguientes términos:</w:t>
      </w:r>
    </w:p>
    <w:p w14:paraId="0789BB3B" w14:textId="77777777" w:rsidR="00B92941" w:rsidRDefault="00B92941" w:rsidP="00B92941">
      <w:pPr>
        <w:spacing w:after="0"/>
        <w:ind w:firstLine="643"/>
        <w:jc w:val="both"/>
        <w:rPr>
          <w:rFonts w:ascii="Verdana" w:eastAsia="Calibri" w:hAnsi="Verdana" w:cs="Arial"/>
        </w:rPr>
      </w:pPr>
    </w:p>
    <w:p w14:paraId="49E08200" w14:textId="77777777" w:rsidR="00B92941" w:rsidRPr="00485D19" w:rsidRDefault="00B92941" w:rsidP="00B92941">
      <w:pPr>
        <w:pStyle w:val="Capitulo8"/>
        <w:numPr>
          <w:ilvl w:val="0"/>
          <w:numId w:val="0"/>
        </w:numPr>
        <w:spacing w:after="0" w:line="240" w:lineRule="auto"/>
        <w:ind w:left="709" w:right="709"/>
        <w:jc w:val="both"/>
        <w:rPr>
          <w:rFonts w:ascii="Verdana" w:hAnsi="Verdana"/>
          <w:b w:val="0"/>
          <w:bCs w:val="0"/>
          <w:color w:val="auto"/>
          <w:sz w:val="21"/>
          <w:szCs w:val="21"/>
        </w:rPr>
      </w:pPr>
      <w:r w:rsidRPr="2EC93900">
        <w:rPr>
          <w:rFonts w:ascii="Verdana" w:hAnsi="Verdana"/>
          <w:b w:val="0"/>
          <w:bCs w:val="0"/>
          <w:color w:val="auto"/>
          <w:sz w:val="21"/>
          <w:szCs w:val="21"/>
          <w:lang w:val="es-MX"/>
        </w:rPr>
        <w:t>[La Entidad, en su análisis de sector y/o estudios previos, deberá indicar las razones técnicas, financieras, legal y/o de cualquier otro tipo, que justifiquen la entrega o no de anticipo y/o pago anticipado, y el respectivo porcentaje en el caso que aplique]</w:t>
      </w:r>
      <w:r w:rsidRPr="2EC93900">
        <w:rPr>
          <w:rFonts w:ascii="Verdana" w:hAnsi="Verdana"/>
          <w:b w:val="0"/>
          <w:bCs w:val="0"/>
          <w:color w:val="auto"/>
          <w:sz w:val="21"/>
          <w:szCs w:val="21"/>
        </w:rPr>
        <w:t> </w:t>
      </w:r>
    </w:p>
    <w:p w14:paraId="44E82359" w14:textId="77777777" w:rsidR="00B92941" w:rsidRDefault="00B92941" w:rsidP="00B92941">
      <w:pPr>
        <w:spacing w:after="0"/>
        <w:ind w:firstLine="643"/>
        <w:jc w:val="both"/>
        <w:rPr>
          <w:rFonts w:ascii="Verdana" w:eastAsia="Calibri" w:hAnsi="Verdana" w:cs="Arial"/>
        </w:rPr>
      </w:pPr>
    </w:p>
    <w:p w14:paraId="18A0F602" w14:textId="77777777" w:rsidR="00B92941" w:rsidRDefault="00B92941" w:rsidP="00B92941">
      <w:pPr>
        <w:spacing w:after="0"/>
        <w:ind w:firstLine="643"/>
        <w:jc w:val="both"/>
        <w:rPr>
          <w:rFonts w:ascii="Verdana" w:eastAsia="Calibri" w:hAnsi="Verdana" w:cs="Arial"/>
        </w:rPr>
      </w:pPr>
      <w:r>
        <w:rPr>
          <w:rFonts w:ascii="Verdana" w:eastAsia="Calibri" w:hAnsi="Verdana" w:cs="Arial"/>
        </w:rPr>
        <w:t xml:space="preserve">Seguidamente, el numeral indicado señala que si la entidad decide entregar Anticipo y/o pago anticipado en </w:t>
      </w:r>
      <w:proofErr w:type="gramStart"/>
      <w:r>
        <w:rPr>
          <w:rFonts w:ascii="Verdana" w:eastAsia="Calibri" w:hAnsi="Verdana" w:cs="Arial"/>
        </w:rPr>
        <w:t>el procesos</w:t>
      </w:r>
      <w:proofErr w:type="gramEnd"/>
      <w:r>
        <w:rPr>
          <w:rFonts w:ascii="Verdana" w:eastAsia="Calibri" w:hAnsi="Verdana" w:cs="Arial"/>
        </w:rPr>
        <w:t xml:space="preserve"> de contratación, deberá seleccionar alguna de las siguientes opciones. Para el caso objeto de su solicitud, resulta pertinente mencionar la que se refiere al anticipo, que dispone lo siguiente:</w:t>
      </w:r>
    </w:p>
    <w:p w14:paraId="720A7B0C" w14:textId="77777777" w:rsidR="00B92941" w:rsidRDefault="00B92941" w:rsidP="00B92941">
      <w:pPr>
        <w:spacing w:after="0"/>
        <w:ind w:firstLine="643"/>
        <w:jc w:val="both"/>
        <w:rPr>
          <w:rFonts w:ascii="Verdana" w:eastAsia="Calibri" w:hAnsi="Verdana" w:cs="Arial"/>
        </w:rPr>
      </w:pPr>
    </w:p>
    <w:p w14:paraId="171F70C6" w14:textId="77777777" w:rsidR="00B92941" w:rsidRPr="00485D19" w:rsidRDefault="00B92941" w:rsidP="2EC93900">
      <w:pPr>
        <w:pStyle w:val="Capitulo8"/>
        <w:numPr>
          <w:ilvl w:val="0"/>
          <w:numId w:val="0"/>
        </w:numPr>
        <w:spacing w:after="0" w:line="240" w:lineRule="auto"/>
        <w:ind w:left="709" w:right="709"/>
        <w:jc w:val="both"/>
        <w:rPr>
          <w:rFonts w:ascii="Verdana" w:hAnsi="Verdana"/>
          <w:b w:val="0"/>
          <w:bCs w:val="0"/>
          <w:color w:val="auto"/>
          <w:sz w:val="21"/>
          <w:szCs w:val="21"/>
          <w:lang w:val="es-MX"/>
        </w:rPr>
      </w:pPr>
      <w:r w:rsidRPr="2EC93900">
        <w:rPr>
          <w:rFonts w:ascii="Verdana" w:hAnsi="Verdana"/>
          <w:b w:val="0"/>
          <w:bCs w:val="0"/>
          <w:sz w:val="21"/>
          <w:szCs w:val="21"/>
        </w:rPr>
        <w:t xml:space="preserve">[En caso de que se otorgue </w:t>
      </w:r>
      <w:r w:rsidRPr="2EC93900">
        <w:rPr>
          <w:rFonts w:ascii="Verdana" w:hAnsi="Verdana"/>
          <w:sz w:val="21"/>
          <w:szCs w:val="21"/>
        </w:rPr>
        <w:t>Anticipo</w:t>
      </w:r>
      <w:r w:rsidRPr="2EC93900">
        <w:rPr>
          <w:rFonts w:ascii="Verdana" w:hAnsi="Verdana"/>
          <w:b w:val="0"/>
          <w:bCs w:val="0"/>
          <w:sz w:val="21"/>
          <w:szCs w:val="21"/>
        </w:rPr>
        <w:t>, la Entidad deberá incluir el siguiente párrafo:</w:t>
      </w:r>
      <w:r w:rsidRPr="2EC93900">
        <w:rPr>
          <w:rFonts w:ascii="Verdana" w:hAnsi="Verdana"/>
          <w:b w:val="0"/>
          <w:bCs w:val="0"/>
          <w:color w:val="auto"/>
          <w:sz w:val="21"/>
          <w:szCs w:val="21"/>
          <w:lang w:val="es-MX"/>
        </w:rPr>
        <w:t xml:space="preserve"> En el presente Proceso de Contratación la Entidad desembolsará al Interventor a título Anticipo un valor equivalente al [XX%] del valor básico del contrato -el cual no podrá exceder el cincuenta por ciento (50%) del valor del contrato-. El Anticipo se regirá por las condiciones señaladas en el “Anexo 5 – Minuta del Contrato de Interventoría”]. </w:t>
      </w:r>
    </w:p>
    <w:p w14:paraId="2C3627AF" w14:textId="77777777" w:rsidR="00B92941" w:rsidRDefault="00B92941" w:rsidP="00B92941">
      <w:pPr>
        <w:spacing w:after="0"/>
        <w:ind w:firstLine="643"/>
        <w:jc w:val="both"/>
        <w:rPr>
          <w:rFonts w:ascii="Verdana" w:eastAsia="Calibri" w:hAnsi="Verdana" w:cs="Arial"/>
        </w:rPr>
      </w:pPr>
      <w:r w:rsidRPr="00FA0B1A">
        <w:rPr>
          <w:rFonts w:ascii="Verdana" w:eastAsia="Calibri" w:hAnsi="Verdana" w:cs="Arial"/>
        </w:rPr>
        <w:t xml:space="preserve"> </w:t>
      </w:r>
    </w:p>
    <w:p w14:paraId="349D308D" w14:textId="77777777" w:rsidR="00B92941" w:rsidRPr="00FA0B1A" w:rsidRDefault="00B92941" w:rsidP="00B92941">
      <w:pPr>
        <w:spacing w:after="120"/>
        <w:ind w:firstLine="643"/>
        <w:jc w:val="both"/>
        <w:rPr>
          <w:rFonts w:ascii="Verdana" w:eastAsia="Aptos" w:hAnsi="Verdana" w:cs="ArialMT"/>
          <w14:ligatures w14:val="standardContextual"/>
        </w:rPr>
      </w:pPr>
      <w:r w:rsidRPr="00FA0B1A">
        <w:rPr>
          <w:rFonts w:ascii="Verdana" w:eastAsia="Calibri" w:hAnsi="Verdana" w:cs="Arial"/>
        </w:rPr>
        <w:t xml:space="preserve">De esta manera, el documento base indica que si la entidad decide entregar el anticipo debe incluir el párrafo que señala el porcentaje del valor básico del contrato que se entregará, y que estos recursos se regirán por el </w:t>
      </w:r>
      <w:r>
        <w:rPr>
          <w:rFonts w:ascii="Verdana" w:eastAsia="Calibri" w:hAnsi="Verdana" w:cs="Arial"/>
        </w:rPr>
        <w:t>“</w:t>
      </w:r>
      <w:r w:rsidRPr="00FA0B1A">
        <w:rPr>
          <w:rFonts w:ascii="Verdana" w:eastAsia="Calibri" w:hAnsi="Verdana" w:cs="Arial"/>
        </w:rPr>
        <w:t>Anexo 5 - Minuta del Contrato</w:t>
      </w:r>
      <w:r>
        <w:rPr>
          <w:rFonts w:ascii="Verdana" w:eastAsia="Calibri" w:hAnsi="Verdana" w:cs="Arial"/>
        </w:rPr>
        <w:t xml:space="preserve"> de Interventoría”</w:t>
      </w:r>
      <w:r w:rsidRPr="00FA0B1A">
        <w:rPr>
          <w:rFonts w:ascii="Verdana" w:eastAsia="Calibri" w:hAnsi="Verdana" w:cs="Arial"/>
        </w:rPr>
        <w:t>.</w:t>
      </w:r>
    </w:p>
    <w:p w14:paraId="0D5C721C" w14:textId="77777777" w:rsidR="00B92941" w:rsidRPr="00FA0B1A" w:rsidRDefault="00B92941" w:rsidP="00B92941">
      <w:pPr>
        <w:spacing w:after="120" w:line="276" w:lineRule="auto"/>
        <w:jc w:val="both"/>
        <w:rPr>
          <w:rFonts w:ascii="Verdana" w:eastAsia="Calibri" w:hAnsi="Verdana" w:cs="Arial"/>
        </w:rPr>
      </w:pPr>
      <w:r w:rsidRPr="00FA0B1A">
        <w:rPr>
          <w:rFonts w:ascii="Verdana" w:eastAsia="Calibri" w:hAnsi="Verdana" w:cs="Arial"/>
        </w:rPr>
        <w:lastRenderedPageBreak/>
        <w:tab/>
        <w:t xml:space="preserve">Lo anterior es así, ya que, como se indicó, el numeral </w:t>
      </w:r>
      <w:r>
        <w:rPr>
          <w:rFonts w:ascii="Verdana" w:eastAsia="Calibri" w:hAnsi="Verdana" w:cs="Arial"/>
        </w:rPr>
        <w:t>9</w:t>
      </w:r>
      <w:r w:rsidRPr="00FA0B1A">
        <w:rPr>
          <w:rFonts w:ascii="Verdana" w:eastAsia="Calibri" w:hAnsi="Verdana" w:cs="Arial"/>
        </w:rPr>
        <w:t>.</w:t>
      </w:r>
      <w:r>
        <w:rPr>
          <w:rFonts w:ascii="Verdana" w:eastAsia="Calibri" w:hAnsi="Verdana" w:cs="Arial"/>
        </w:rPr>
        <w:t>2</w:t>
      </w:r>
      <w:r w:rsidRPr="00FA0B1A">
        <w:rPr>
          <w:rFonts w:ascii="Verdana" w:eastAsia="Calibri" w:hAnsi="Verdana" w:cs="Arial"/>
        </w:rPr>
        <w:t xml:space="preserve"> pertenece al capítulo </w:t>
      </w:r>
      <w:r>
        <w:rPr>
          <w:rFonts w:ascii="Verdana" w:eastAsia="Calibri" w:hAnsi="Verdana" w:cs="Arial"/>
        </w:rPr>
        <w:t>IX</w:t>
      </w:r>
      <w:r w:rsidRPr="00FA0B1A">
        <w:rPr>
          <w:rFonts w:ascii="Verdana" w:eastAsia="Calibri" w:hAnsi="Verdana" w:cs="Arial"/>
        </w:rPr>
        <w:t xml:space="preserve"> del </w:t>
      </w:r>
      <w:r>
        <w:rPr>
          <w:rFonts w:ascii="Verdana" w:eastAsia="Calibri" w:hAnsi="Verdana" w:cs="Arial"/>
        </w:rPr>
        <w:t>d</w:t>
      </w:r>
      <w:r w:rsidRPr="00FA0B1A">
        <w:rPr>
          <w:rFonts w:ascii="Verdana" w:eastAsia="Calibri" w:hAnsi="Verdana" w:cs="Arial"/>
        </w:rPr>
        <w:t xml:space="preserve">ocumento </w:t>
      </w:r>
      <w:r>
        <w:rPr>
          <w:rFonts w:ascii="Verdana" w:eastAsia="Calibri" w:hAnsi="Verdana" w:cs="Arial"/>
        </w:rPr>
        <w:t>b</w:t>
      </w:r>
      <w:r w:rsidRPr="00FA0B1A">
        <w:rPr>
          <w:rFonts w:ascii="Verdana" w:eastAsia="Calibri" w:hAnsi="Verdana" w:cs="Arial"/>
        </w:rPr>
        <w:t>ase que especifica lo relacionado con los aspectos más importantes del contrato, destacando, entre otros, la decisión de la entidad de entregar</w:t>
      </w:r>
      <w:r>
        <w:rPr>
          <w:rFonts w:ascii="Verdana" w:eastAsia="Calibri" w:hAnsi="Verdana" w:cs="Arial"/>
        </w:rPr>
        <w:t xml:space="preserve"> el anticipo</w:t>
      </w:r>
      <w:r w:rsidRPr="00FA0B1A">
        <w:rPr>
          <w:rFonts w:ascii="Verdana" w:eastAsia="Calibri" w:hAnsi="Verdana" w:cs="Arial"/>
        </w:rPr>
        <w:t xml:space="preserve">. En todo caso, la entrega del anticipo es una decisión de la entidad y, por ende, el </w:t>
      </w:r>
      <w:r>
        <w:rPr>
          <w:rFonts w:ascii="Verdana" w:eastAsia="Calibri" w:hAnsi="Verdana" w:cs="Arial"/>
        </w:rPr>
        <w:t>d</w:t>
      </w:r>
      <w:r w:rsidRPr="00FA0B1A">
        <w:rPr>
          <w:rFonts w:ascii="Verdana" w:eastAsia="Calibri" w:hAnsi="Verdana" w:cs="Arial"/>
        </w:rPr>
        <w:t>ocumento base tiene dos párrafos para que la entidad elija uno o el otro, dependiendo de si decidió o no entregar tales recursos</w:t>
      </w:r>
      <w:r>
        <w:rPr>
          <w:rStyle w:val="Refdenotaalpie"/>
          <w:rFonts w:ascii="Verdana" w:eastAsia="Calibri" w:hAnsi="Verdana" w:cs="Arial"/>
        </w:rPr>
        <w:footnoteReference w:id="5"/>
      </w:r>
      <w:r w:rsidRPr="00FA0B1A">
        <w:rPr>
          <w:rFonts w:ascii="Verdana" w:eastAsia="Calibri" w:hAnsi="Verdana" w:cs="Arial"/>
        </w:rPr>
        <w:t>.</w:t>
      </w:r>
    </w:p>
    <w:p w14:paraId="2E924A54" w14:textId="77777777" w:rsidR="00B92941" w:rsidRDefault="00B92941" w:rsidP="00B92941">
      <w:pPr>
        <w:spacing w:after="0"/>
        <w:jc w:val="both"/>
        <w:rPr>
          <w:rFonts w:ascii="Verdana" w:eastAsia="Calibri" w:hAnsi="Verdana" w:cs="Arial"/>
        </w:rPr>
      </w:pPr>
      <w:r w:rsidRPr="00FA0B1A">
        <w:rPr>
          <w:rFonts w:ascii="Verdana" w:eastAsia="Calibri" w:hAnsi="Verdana" w:cs="Arial"/>
        </w:rPr>
        <w:tab/>
      </w:r>
      <w:r>
        <w:rPr>
          <w:rFonts w:ascii="Verdana" w:eastAsia="Calibri" w:hAnsi="Verdana" w:cs="Arial"/>
        </w:rPr>
        <w:t>Debe indicarse que, en caso de que la entidad otorgue anticipo, tal como se dispone en el numeral 9.2 este se regirá por las condiciones señaladas en el “Anexo 5 – Minuta del contrato de interventoría” en el cual, se encuentran las condiciones de ejecución del contrato relacionadas con el anticipo. En este sentido, en la cláusula 6 “Anticipo y/o pago anticipado” de la minuta, se establece entre corchetes y resaltado en gris lo siguiente:</w:t>
      </w:r>
    </w:p>
    <w:p w14:paraId="3D3A4E29" w14:textId="77777777" w:rsidR="00B92941" w:rsidRDefault="00B92941" w:rsidP="00B92941">
      <w:pPr>
        <w:spacing w:after="0"/>
        <w:rPr>
          <w:rFonts w:ascii="Verdana" w:eastAsia="Calibri" w:hAnsi="Verdana" w:cs="Arial"/>
        </w:rPr>
      </w:pPr>
    </w:p>
    <w:p w14:paraId="00D545FA" w14:textId="77777777" w:rsidR="00B92941" w:rsidRDefault="00B92941" w:rsidP="2EC93900">
      <w:pPr>
        <w:pStyle w:val="Capitulo8"/>
        <w:numPr>
          <w:ilvl w:val="0"/>
          <w:numId w:val="0"/>
        </w:numPr>
        <w:spacing w:after="120" w:line="240" w:lineRule="auto"/>
        <w:ind w:left="709" w:right="709"/>
        <w:jc w:val="both"/>
        <w:rPr>
          <w:rFonts w:ascii="Verdana" w:hAnsi="Verdana"/>
          <w:b w:val="0"/>
          <w:bCs w:val="0"/>
          <w:sz w:val="21"/>
          <w:szCs w:val="21"/>
        </w:rPr>
      </w:pPr>
      <w:r w:rsidRPr="2EC93900">
        <w:rPr>
          <w:rFonts w:ascii="Verdana" w:hAnsi="Verdana"/>
          <w:b w:val="0"/>
          <w:bCs w:val="0"/>
          <w:sz w:val="21"/>
          <w:szCs w:val="21"/>
        </w:rPr>
        <w:t>En caso de que se otorgue Anticipo, la Entidad puede utilizar las siguientes condiciones, algunas de estas o establecer las que considere convenientes para su manejo y entrega:]”.</w:t>
      </w:r>
    </w:p>
    <w:p w14:paraId="10EA3B73" w14:textId="77777777" w:rsidR="00B92941" w:rsidRPr="00A96DF3" w:rsidRDefault="00B92941" w:rsidP="2EC93900">
      <w:pPr>
        <w:pStyle w:val="Capitulo8"/>
        <w:numPr>
          <w:ilvl w:val="0"/>
          <w:numId w:val="0"/>
        </w:numPr>
        <w:spacing w:after="120" w:line="240" w:lineRule="auto"/>
        <w:ind w:left="709" w:right="709"/>
        <w:jc w:val="both"/>
        <w:rPr>
          <w:rFonts w:ascii="Verdana" w:hAnsi="Verdana"/>
          <w:b w:val="0"/>
          <w:bCs w:val="0"/>
          <w:sz w:val="21"/>
          <w:szCs w:val="21"/>
        </w:rPr>
      </w:pPr>
    </w:p>
    <w:p w14:paraId="04F76407" w14:textId="77777777" w:rsidR="00B92941" w:rsidRDefault="00B92941" w:rsidP="2EC93900">
      <w:pPr>
        <w:pStyle w:val="Capitulo8"/>
        <w:numPr>
          <w:ilvl w:val="0"/>
          <w:numId w:val="0"/>
        </w:numPr>
        <w:spacing w:after="120" w:line="240" w:lineRule="auto"/>
        <w:ind w:left="709" w:right="709"/>
        <w:jc w:val="both"/>
        <w:rPr>
          <w:rFonts w:ascii="Verdana" w:hAnsi="Verdana"/>
          <w:b w:val="0"/>
          <w:bCs w:val="0"/>
          <w:sz w:val="21"/>
          <w:szCs w:val="21"/>
        </w:rPr>
      </w:pPr>
      <w:r w:rsidRPr="2EC93900">
        <w:rPr>
          <w:rFonts w:ascii="Verdana" w:hAnsi="Verdana"/>
          <w:b w:val="0"/>
          <w:bCs w:val="0"/>
          <w:sz w:val="21"/>
          <w:szCs w:val="21"/>
        </w:rPr>
        <w:t>[En caso de otorgarlo incluirá el porcentaje del Anticipo –el cual no podrá exceder el cincuenta por ciento (50 %) del valor del contrato–, requisitos para la entrega, condiciones de amortización, rendimientos financieros, y otras reglas aplicables del Anticipo y su manejo.]</w:t>
      </w:r>
    </w:p>
    <w:p w14:paraId="21C516D5" w14:textId="77777777" w:rsidR="00B92941" w:rsidRDefault="00B92941" w:rsidP="00B92941">
      <w:pPr>
        <w:pStyle w:val="Capitulo8"/>
        <w:numPr>
          <w:ilvl w:val="0"/>
          <w:numId w:val="0"/>
        </w:numPr>
        <w:spacing w:after="0" w:line="240" w:lineRule="auto"/>
        <w:ind w:right="709"/>
        <w:jc w:val="both"/>
        <w:rPr>
          <w:rFonts w:ascii="Verdana" w:hAnsi="Verdana"/>
          <w:b w:val="0"/>
          <w:sz w:val="21"/>
          <w:szCs w:val="21"/>
          <w:highlight w:val="lightGray"/>
        </w:rPr>
      </w:pPr>
    </w:p>
    <w:p w14:paraId="2109A0A4" w14:textId="77777777" w:rsidR="00B92941" w:rsidRDefault="00B92941" w:rsidP="00B92941">
      <w:pPr>
        <w:spacing w:after="120"/>
        <w:ind w:firstLine="643"/>
        <w:jc w:val="both"/>
        <w:rPr>
          <w:rFonts w:ascii="Verdana" w:eastAsia="Calibri" w:hAnsi="Verdana" w:cs="Arial"/>
        </w:rPr>
      </w:pPr>
      <w:r w:rsidRPr="00DA463F">
        <w:rPr>
          <w:rFonts w:ascii="Verdana" w:eastAsia="Calibri" w:hAnsi="Verdana" w:cs="Arial"/>
        </w:rPr>
        <w:t xml:space="preserve">En relación con el primer inciso, se establece </w:t>
      </w:r>
      <w:proofErr w:type="gramStart"/>
      <w:r w:rsidRPr="00DA463F">
        <w:rPr>
          <w:rFonts w:ascii="Verdana" w:eastAsia="Calibri" w:hAnsi="Verdana" w:cs="Arial"/>
        </w:rPr>
        <w:t>que</w:t>
      </w:r>
      <w:proofErr w:type="gramEnd"/>
      <w:r w:rsidRPr="00DA463F">
        <w:rPr>
          <w:rFonts w:ascii="Verdana" w:eastAsia="Calibri" w:hAnsi="Verdana" w:cs="Arial"/>
        </w:rPr>
        <w:t xml:space="preserve"> si la entidad otorga un anticipo, puede utilizar las condiciones señaladas en la cláusula 6. Esta cláusula hace referencia a la entrega, trámite y manejo del anticipo, entre otros aspectos. Como se aprecia, el verbo rector del inciso es "puede" ("poder"), el cual expresa la capacidad, posibilidad o permisibilidad que se le otorga a la entidad para que utilice todas o algunas de estas condiciones, o bien, para que establezca las que considere pertinentes para el manejo y entrega del anticipo.</w:t>
      </w:r>
    </w:p>
    <w:p w14:paraId="096478B4" w14:textId="77777777" w:rsidR="00B92941" w:rsidRDefault="00B92941" w:rsidP="00B92941">
      <w:pPr>
        <w:spacing w:after="0"/>
        <w:ind w:firstLine="643"/>
        <w:jc w:val="both"/>
        <w:rPr>
          <w:rFonts w:ascii="Verdana" w:eastAsia="Calibri" w:hAnsi="Verdana" w:cs="Arial"/>
        </w:rPr>
      </w:pPr>
      <w:r>
        <w:rPr>
          <w:rFonts w:ascii="Verdana" w:eastAsia="Calibri" w:hAnsi="Verdana" w:cs="Arial"/>
        </w:rPr>
        <w:t xml:space="preserve">Teniendo en cuenta el objeto de su solicitud, debe indicarse la siguiente condición sobre el manejo del anticipo que señala la cláusula 6: </w:t>
      </w:r>
    </w:p>
    <w:p w14:paraId="6E77474D" w14:textId="77777777" w:rsidR="00B92941" w:rsidRDefault="00B92941" w:rsidP="00B92941">
      <w:pPr>
        <w:spacing w:after="0" w:line="276" w:lineRule="auto"/>
        <w:jc w:val="both"/>
        <w:rPr>
          <w:rFonts w:ascii="Verdana" w:eastAsia="Calibri" w:hAnsi="Verdana" w:cs="Arial"/>
        </w:rPr>
      </w:pPr>
    </w:p>
    <w:p w14:paraId="70F7361D" w14:textId="77777777" w:rsidR="00B92941" w:rsidRPr="00F51CF4" w:rsidRDefault="00B92941" w:rsidP="00B92941">
      <w:pPr>
        <w:spacing w:after="0" w:line="240" w:lineRule="auto"/>
        <w:ind w:left="709" w:right="709"/>
        <w:jc w:val="both"/>
        <w:rPr>
          <w:rFonts w:ascii="Verdana" w:eastAsia="Calibri" w:hAnsi="Verdana" w:cs="Arial"/>
        </w:rPr>
      </w:pPr>
      <w:r w:rsidRPr="2EC93900">
        <w:rPr>
          <w:rFonts w:ascii="Verdana" w:hAnsi="Verdana"/>
          <w:sz w:val="21"/>
          <w:szCs w:val="21"/>
        </w:rPr>
        <w:lastRenderedPageBreak/>
        <w:t xml:space="preserve">“La Entidad, a través de la [supervisión], revisará y aprobará los programas de inversión del </w:t>
      </w:r>
      <w:r w:rsidRPr="2EC93900">
        <w:rPr>
          <w:rFonts w:ascii="Verdana" w:eastAsia="Arial" w:hAnsi="Verdana" w:cs="Arial"/>
          <w:sz w:val="21"/>
          <w:szCs w:val="21"/>
        </w:rPr>
        <w:t>Anticipo</w:t>
      </w:r>
      <w:r w:rsidRPr="2EC93900">
        <w:rPr>
          <w:rFonts w:ascii="Verdana" w:hAnsi="Verdana"/>
          <w:sz w:val="21"/>
          <w:szCs w:val="21"/>
        </w:rPr>
        <w:t xml:space="preserve">. Para el manejo de los recursos que reciba a título de Anticipo, el Interventor constituirá un patrimonio autónomo irrevocable a nombre del objeto del contrato, cuyo beneficiario sea [Escribir el nombre de la Entidad], el cual será vigilado por el [supervisor] (…)”. </w:t>
      </w:r>
    </w:p>
    <w:p w14:paraId="56E3F696" w14:textId="77777777" w:rsidR="00B92941" w:rsidRDefault="00B92941" w:rsidP="00B92941">
      <w:pPr>
        <w:spacing w:after="0" w:line="276" w:lineRule="auto"/>
        <w:jc w:val="both"/>
        <w:rPr>
          <w:rFonts w:ascii="Verdana" w:eastAsia="Calibri" w:hAnsi="Verdana" w:cs="Arial"/>
        </w:rPr>
      </w:pPr>
    </w:p>
    <w:p w14:paraId="0277C2AB" w14:textId="77777777" w:rsidR="00B92941" w:rsidRDefault="00B92941" w:rsidP="00B92941">
      <w:pPr>
        <w:spacing w:after="0"/>
        <w:ind w:firstLine="643"/>
        <w:jc w:val="both"/>
        <w:rPr>
          <w:rFonts w:ascii="Verdana" w:eastAsia="Calibri" w:hAnsi="Verdana" w:cs="Arial"/>
        </w:rPr>
      </w:pPr>
      <w:r>
        <w:rPr>
          <w:rFonts w:ascii="Verdana" w:eastAsia="Calibri" w:hAnsi="Verdana" w:cs="Arial"/>
        </w:rPr>
        <w:t xml:space="preserve">En este inciso, se establece que la entidad revisará y aprobará los programas de inversión del anticipo mediante el supervisor del contrato de interventoría. Seguidamente se indica </w:t>
      </w:r>
      <w:proofErr w:type="gramStart"/>
      <w:r>
        <w:rPr>
          <w:rFonts w:ascii="Verdana" w:eastAsia="Calibri" w:hAnsi="Verdana" w:cs="Arial"/>
        </w:rPr>
        <w:t>que</w:t>
      </w:r>
      <w:proofErr w:type="gramEnd"/>
      <w:r>
        <w:rPr>
          <w:rFonts w:ascii="Verdana" w:eastAsia="Calibri" w:hAnsi="Verdana" w:cs="Arial"/>
        </w:rPr>
        <w:t xml:space="preserve"> para el manejo del anticipo, el contratista interventor constituirá un patrimonio autónomo irrevocable, que tenga como beneficiaria a la entidad contratante y vigilado por el supervisor.  </w:t>
      </w:r>
    </w:p>
    <w:p w14:paraId="4773DC5C" w14:textId="77777777" w:rsidR="00B92941" w:rsidRPr="000A7750" w:rsidRDefault="00B92941" w:rsidP="00B92941">
      <w:pPr>
        <w:spacing w:before="120" w:after="120" w:line="276" w:lineRule="auto"/>
        <w:ind w:firstLine="709"/>
        <w:jc w:val="both"/>
        <w:rPr>
          <w:rFonts w:ascii="Verdana" w:eastAsia="Calibri" w:hAnsi="Verdana" w:cs="Arial"/>
          <w:highlight w:val="yellow"/>
        </w:rPr>
      </w:pPr>
      <w:r w:rsidRPr="00940B09">
        <w:rPr>
          <w:rFonts w:ascii="Verdana" w:eastAsia="Calibri" w:hAnsi="Verdana" w:cs="Arial"/>
        </w:rPr>
        <w:t>Como se señaló anteriormente, la condición sobre la cual recae su solicitud corresponde a aquellas que la entidad puede o no establecer en el contrato. Es decir, la constitución del patrimonio autónomo irrevocable resulta facultativa para la entidad en el caso de los documentos tipo de interventoría de obra pública de infraestructura de transporte – versión 3. Esto se debe a que, el documento tipo estandarizado mediante la Resolución 725 del 19 de diciembre de 2024 no es de aquellos tipos de contratos ni modalidades de selección</w:t>
      </w:r>
      <w:r>
        <w:rPr>
          <w:rStyle w:val="Refdenotaalpie"/>
          <w:rFonts w:ascii="Verdana" w:eastAsia="Calibri" w:hAnsi="Verdana" w:cs="Arial"/>
        </w:rPr>
        <w:footnoteReference w:id="6"/>
      </w:r>
      <w:r w:rsidRPr="00940B09">
        <w:rPr>
          <w:rFonts w:ascii="Verdana" w:eastAsia="Calibri" w:hAnsi="Verdana" w:cs="Arial"/>
        </w:rPr>
        <w:t xml:space="preserve"> que, según la normativa</w:t>
      </w:r>
      <w:r w:rsidRPr="00D715CA">
        <w:rPr>
          <w:rFonts w:ascii="Verdana" w:eastAsia="Calibri" w:hAnsi="Verdana" w:cs="Arial"/>
        </w:rPr>
        <w:t>, están legalmente obligados a constituir un patrimonio autónomo irrevocable</w:t>
      </w:r>
      <w:r>
        <w:rPr>
          <w:rFonts w:ascii="Verdana" w:eastAsia="Calibri" w:hAnsi="Verdana" w:cs="Arial"/>
        </w:rPr>
        <w:t xml:space="preserve"> para el manejo del anticipo (artículo 91 </w:t>
      </w:r>
      <w:r w:rsidRPr="00940B09">
        <w:rPr>
          <w:rFonts w:ascii="Verdana" w:eastAsia="Calibri" w:hAnsi="Verdana" w:cs="Arial"/>
        </w:rPr>
        <w:t>de la Ley 1474 de 2011</w:t>
      </w:r>
      <w:r>
        <w:rPr>
          <w:rFonts w:ascii="Verdana" w:eastAsia="Calibri" w:hAnsi="Verdana" w:cs="Arial"/>
        </w:rPr>
        <w:t>)</w:t>
      </w:r>
      <w:r w:rsidRPr="00D715CA">
        <w:rPr>
          <w:rFonts w:ascii="Verdana" w:eastAsia="Calibri" w:hAnsi="Verdana" w:cs="Arial"/>
        </w:rPr>
        <w:t xml:space="preserve">, considerando el tipo de contrato “interventoría” y la modalidad de selección “concurso de méritos”.  </w:t>
      </w:r>
    </w:p>
    <w:p w14:paraId="42D97EC7" w14:textId="77777777" w:rsidR="00B92941" w:rsidRPr="00AF4EDC" w:rsidRDefault="00B92941" w:rsidP="00B92941">
      <w:pPr>
        <w:spacing w:after="0" w:line="276" w:lineRule="auto"/>
        <w:ind w:firstLine="709"/>
        <w:jc w:val="both"/>
        <w:rPr>
          <w:rFonts w:ascii="Verdana" w:eastAsia="Calibri" w:hAnsi="Verdana" w:cs="Arial"/>
        </w:rPr>
      </w:pPr>
      <w:r w:rsidRPr="2EC93900">
        <w:rPr>
          <w:rFonts w:ascii="Verdana" w:eastAsia="Calibri" w:hAnsi="Verdana" w:cs="Arial"/>
        </w:rPr>
        <w:t xml:space="preserve">Sin perjuicio de lo anterior, debe indicarse que, para el manejo del anticipo, la entidad contratante debe adoptar medidas necesarias y razonables para asegurar la protección de los recursos económicos entregados al contratista, es por esto que, en la cláusula 6  de la Minuta del contrato de interventoría de los documento tipo se establece que en caso de otorgarse anticipo se “[(…) incluirá el porcentaje del Anticipo –el cual no podrá exceder el cincuenta por ciento (50 %) del valor del contrato–, requisitos para la entrega, condiciones de amortización, rendimientos financieros, y otras reglas aplicables del Anticipo y su manejo.]”. </w:t>
      </w:r>
    </w:p>
    <w:p w14:paraId="2CE18278" w14:textId="77777777" w:rsidR="00B92941" w:rsidRPr="00112D1B" w:rsidRDefault="00B92941" w:rsidP="00B92941">
      <w:pPr>
        <w:spacing w:after="0" w:line="276" w:lineRule="auto"/>
        <w:ind w:firstLine="709"/>
        <w:jc w:val="both"/>
        <w:rPr>
          <w:rFonts w:ascii="Verdana" w:eastAsia="Arial" w:hAnsi="Verdana" w:cs="Arial"/>
          <w:color w:val="000000"/>
          <w:lang w:eastAsia="es-ES" w:bidi="es-ES"/>
        </w:rPr>
      </w:pPr>
    </w:p>
    <w:p w14:paraId="6256F7D4" w14:textId="77777777" w:rsidR="00B92941" w:rsidRPr="00B31C7B" w:rsidRDefault="00B92941" w:rsidP="00B92941">
      <w:pPr>
        <w:numPr>
          <w:ilvl w:val="0"/>
          <w:numId w:val="16"/>
        </w:numPr>
        <w:spacing w:after="0" w:line="256" w:lineRule="auto"/>
        <w:rPr>
          <w:rFonts w:ascii="Verdana" w:eastAsia="Calibri" w:hAnsi="Verdana" w:cs="Times New Roman"/>
          <w:b/>
          <w:bCs/>
          <w:lang w:val="es-ES"/>
        </w:rPr>
      </w:pPr>
      <w:r w:rsidRPr="00B31C7B">
        <w:rPr>
          <w:rFonts w:ascii="Verdana" w:eastAsia="Calibri" w:hAnsi="Verdana" w:cs="Times New Roman"/>
          <w:b/>
          <w:bCs/>
          <w:lang w:val="es-ES"/>
        </w:rPr>
        <w:lastRenderedPageBreak/>
        <w:t>Referencias normativas:</w:t>
      </w:r>
    </w:p>
    <w:p w14:paraId="3D6E6FBC" w14:textId="77777777" w:rsidR="00B92941" w:rsidRPr="00B31C7B" w:rsidRDefault="00B92941" w:rsidP="00B92941">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92941" w:rsidRPr="00B31C7B" w14:paraId="6B0DEBBB" w14:textId="77777777" w:rsidTr="004F7263">
        <w:trPr>
          <w:trHeight w:val="870"/>
          <w:jc w:val="center"/>
        </w:trPr>
        <w:tc>
          <w:tcPr>
            <w:tcW w:w="8647" w:type="dxa"/>
          </w:tcPr>
          <w:p w14:paraId="50C15277" w14:textId="77777777" w:rsidR="00B92941" w:rsidRPr="00B31C7B" w:rsidRDefault="00B92941" w:rsidP="00B92941">
            <w:pPr>
              <w:widowControl w:val="0"/>
              <w:numPr>
                <w:ilvl w:val="0"/>
                <w:numId w:val="17"/>
              </w:numPr>
              <w:autoSpaceDE w:val="0"/>
              <w:autoSpaceDN w:val="0"/>
              <w:spacing w:before="120"/>
              <w:ind w:left="714" w:hanging="357"/>
              <w:jc w:val="both"/>
              <w:rPr>
                <w:rFonts w:ascii="Verdana" w:hAnsi="Verdana" w:cs="Arial"/>
                <w:color w:val="000000" w:themeColor="text1"/>
                <w:lang w:val="es-ES"/>
              </w:rPr>
            </w:pPr>
            <w:r w:rsidRPr="00B31C7B">
              <w:rPr>
                <w:rFonts w:ascii="Verdana" w:hAnsi="Verdana" w:cs="Arial"/>
                <w:color w:val="000000" w:themeColor="text1"/>
                <w:lang w:val="es-ES"/>
              </w:rPr>
              <w:t xml:space="preserve">Constitución Política, artículo 209. </w:t>
            </w:r>
          </w:p>
          <w:p w14:paraId="238590E6" w14:textId="77777777" w:rsidR="00B92941" w:rsidRPr="00B31C7B" w:rsidRDefault="00B92941" w:rsidP="00B92941">
            <w:pPr>
              <w:widowControl w:val="0"/>
              <w:numPr>
                <w:ilvl w:val="0"/>
                <w:numId w:val="17"/>
              </w:numPr>
              <w:autoSpaceDE w:val="0"/>
              <w:autoSpaceDN w:val="0"/>
              <w:spacing w:before="120"/>
              <w:ind w:left="714" w:hanging="357"/>
              <w:jc w:val="both"/>
              <w:rPr>
                <w:rFonts w:ascii="Verdana" w:hAnsi="Verdana" w:cs="Arial"/>
                <w:color w:val="000000" w:themeColor="text1"/>
                <w:lang w:val="es-ES"/>
              </w:rPr>
            </w:pPr>
            <w:r w:rsidRPr="00B31C7B">
              <w:rPr>
                <w:rFonts w:ascii="Verdana" w:hAnsi="Verdana" w:cs="Arial"/>
                <w:color w:val="000000" w:themeColor="text1"/>
                <w:lang w:val="es-ES"/>
              </w:rPr>
              <w:t>Le</w:t>
            </w:r>
            <w:r>
              <w:rPr>
                <w:rFonts w:ascii="Verdana" w:hAnsi="Verdana" w:cs="Arial"/>
                <w:color w:val="000000" w:themeColor="text1"/>
                <w:lang w:val="es-ES"/>
              </w:rPr>
              <w:t>y 80 de 1993, artículos 11, 12</w:t>
            </w:r>
            <w:r w:rsidRPr="00B31C7B">
              <w:rPr>
                <w:rFonts w:ascii="Verdana" w:hAnsi="Verdana" w:cs="Arial"/>
                <w:color w:val="000000" w:themeColor="text1"/>
                <w:lang w:val="es-ES"/>
              </w:rPr>
              <w:t>, 25 y 40.</w:t>
            </w:r>
          </w:p>
          <w:p w14:paraId="56149016" w14:textId="77777777" w:rsidR="00B92941" w:rsidRDefault="00B92941" w:rsidP="00B92941">
            <w:pPr>
              <w:widowControl w:val="0"/>
              <w:numPr>
                <w:ilvl w:val="0"/>
                <w:numId w:val="17"/>
              </w:numPr>
              <w:autoSpaceDE w:val="0"/>
              <w:autoSpaceDN w:val="0"/>
              <w:spacing w:before="120"/>
              <w:ind w:left="714" w:hanging="357"/>
              <w:jc w:val="both"/>
              <w:rPr>
                <w:rFonts w:ascii="Verdana" w:hAnsi="Verdana" w:cs="Arial"/>
                <w:color w:val="000000" w:themeColor="text1"/>
                <w:lang w:val="es-ES"/>
              </w:rPr>
            </w:pPr>
            <w:r w:rsidRPr="00B31C7B">
              <w:rPr>
                <w:rFonts w:ascii="Verdana" w:hAnsi="Verdana" w:cs="Arial"/>
                <w:color w:val="000000" w:themeColor="text1"/>
                <w:lang w:val="es-ES"/>
              </w:rPr>
              <w:t xml:space="preserve">Ley 1150 de 2007, artículo 21. </w:t>
            </w:r>
          </w:p>
          <w:p w14:paraId="6DE86F3C" w14:textId="77777777" w:rsidR="00B92941" w:rsidRPr="00B31C7B" w:rsidRDefault="00B92941" w:rsidP="00B92941">
            <w:pPr>
              <w:widowControl w:val="0"/>
              <w:numPr>
                <w:ilvl w:val="0"/>
                <w:numId w:val="17"/>
              </w:numPr>
              <w:autoSpaceDE w:val="0"/>
              <w:autoSpaceDN w:val="0"/>
              <w:spacing w:before="120"/>
              <w:ind w:left="714" w:hanging="357"/>
              <w:jc w:val="both"/>
              <w:rPr>
                <w:rFonts w:ascii="Verdana" w:hAnsi="Verdana" w:cs="Arial"/>
                <w:color w:val="000000" w:themeColor="text1"/>
                <w:lang w:val="es-ES"/>
              </w:rPr>
            </w:pPr>
            <w:r>
              <w:rPr>
                <w:rFonts w:ascii="Verdana" w:hAnsi="Verdana" w:cs="Arial"/>
                <w:color w:val="000000" w:themeColor="text1"/>
                <w:lang w:val="es-ES"/>
              </w:rPr>
              <w:t xml:space="preserve">Ley 1474 de 2011, artículo 91. </w:t>
            </w:r>
          </w:p>
          <w:p w14:paraId="0900496F" w14:textId="77777777" w:rsidR="00B92941" w:rsidRPr="0050771E" w:rsidRDefault="00B92941" w:rsidP="00B92941">
            <w:pPr>
              <w:pStyle w:val="Prrafodelista"/>
              <w:widowControl w:val="0"/>
              <w:numPr>
                <w:ilvl w:val="0"/>
                <w:numId w:val="17"/>
              </w:numPr>
              <w:tabs>
                <w:tab w:val="left" w:pos="8419"/>
              </w:tabs>
              <w:autoSpaceDE w:val="0"/>
              <w:autoSpaceDN w:val="0"/>
              <w:spacing w:before="120" w:after="120"/>
              <w:ind w:left="714" w:hanging="357"/>
              <w:contextualSpacing w:val="0"/>
              <w:jc w:val="both"/>
              <w:rPr>
                <w:rFonts w:ascii="Verdana" w:hAnsi="Verdana" w:cs="Arial"/>
              </w:rPr>
            </w:pPr>
            <w:r w:rsidRPr="0001217D">
              <w:rPr>
                <w:rFonts w:ascii="Verdana" w:hAnsi="Verdana" w:cs="Arial"/>
              </w:rPr>
              <w:t>Decreto 1082 de 2015 - artículo 2.2.1.2.3.1.7; artículo 2.2.1.1.2.4.1.</w:t>
            </w:r>
          </w:p>
        </w:tc>
      </w:tr>
    </w:tbl>
    <w:p w14:paraId="10195EEC" w14:textId="77777777" w:rsidR="00B92941" w:rsidRPr="00801B1E" w:rsidRDefault="00B92941" w:rsidP="00B92941">
      <w:pPr>
        <w:spacing w:after="0" w:line="276" w:lineRule="auto"/>
        <w:ind w:right="709"/>
        <w:jc w:val="both"/>
        <w:rPr>
          <w:rFonts w:ascii="Verdana" w:hAnsi="Verdana" w:cs="Arial"/>
          <w:color w:val="000000" w:themeColor="text1"/>
          <w:lang w:val="es-ES_tradnl"/>
        </w:rPr>
      </w:pPr>
    </w:p>
    <w:p w14:paraId="385B2C1F" w14:textId="77777777" w:rsidR="00B92941" w:rsidRPr="00801B1E" w:rsidRDefault="00B92941" w:rsidP="00B92941">
      <w:pPr>
        <w:numPr>
          <w:ilvl w:val="0"/>
          <w:numId w:val="16"/>
        </w:numPr>
        <w:spacing w:after="0" w:line="276" w:lineRule="auto"/>
        <w:rPr>
          <w:rFonts w:ascii="Verdana" w:eastAsia="Calibri" w:hAnsi="Verdana" w:cs="Times New Roman"/>
          <w:b/>
          <w:bCs/>
          <w:lang w:val="es-ES"/>
        </w:rPr>
      </w:pPr>
      <w:r w:rsidRPr="00801B1E">
        <w:rPr>
          <w:rFonts w:ascii="Verdana" w:eastAsia="Calibri" w:hAnsi="Verdana" w:cs="Times New Roman"/>
          <w:b/>
          <w:bCs/>
          <w:lang w:val="es-ES"/>
        </w:rPr>
        <w:t>Doctrina de la Agencia Nacional de Contratación Pública:</w:t>
      </w:r>
    </w:p>
    <w:p w14:paraId="1CB8776F" w14:textId="77777777" w:rsidR="00B92941" w:rsidRPr="00801B1E" w:rsidRDefault="00B92941" w:rsidP="00B92941">
      <w:pPr>
        <w:widowControl w:val="0"/>
        <w:autoSpaceDE w:val="0"/>
        <w:autoSpaceDN w:val="0"/>
        <w:spacing w:after="0" w:line="276" w:lineRule="auto"/>
        <w:jc w:val="both"/>
        <w:rPr>
          <w:rFonts w:ascii="Verdana" w:hAnsi="Verdana" w:cs="Arial"/>
          <w:bCs/>
          <w:shd w:val="clear" w:color="auto" w:fill="FFFFFF"/>
        </w:rPr>
      </w:pPr>
    </w:p>
    <w:p w14:paraId="6BCA8C74" w14:textId="77777777" w:rsidR="00B92941" w:rsidRPr="004424C5" w:rsidRDefault="00B92941" w:rsidP="00B92941">
      <w:pPr>
        <w:widowControl w:val="0"/>
        <w:autoSpaceDE w:val="0"/>
        <w:autoSpaceDN w:val="0"/>
        <w:spacing w:after="0" w:line="276" w:lineRule="auto"/>
        <w:jc w:val="both"/>
        <w:rPr>
          <w:rFonts w:ascii="Verdana" w:eastAsia="Calibri" w:hAnsi="Verdana" w:cs="Times New Roman"/>
        </w:rPr>
      </w:pPr>
      <w:r w:rsidRPr="006773CD">
        <w:rPr>
          <w:rFonts w:ascii="Verdana" w:eastAsia="Calibri" w:hAnsi="Verdana" w:cs="Arial"/>
          <w:kern w:val="2"/>
          <w:shd w:val="clear" w:color="auto" w:fill="FFFFFF"/>
          <w:lang w:val="es-ES_tradnl"/>
          <w14:ligatures w14:val="standardContextual"/>
        </w:rPr>
        <w:t>La Agencia Nacional de Contratación Pública – Colombia Compra Eficiente se</w:t>
      </w:r>
      <w:r w:rsidRPr="006773CD">
        <w:rPr>
          <w:rFonts w:ascii="Verdana" w:eastAsia="Aptos" w:hAnsi="Verdana" w:cs="Times New Roman"/>
          <w:kern w:val="2"/>
          <w:sz w:val="24"/>
          <w:szCs w:val="24"/>
          <w14:ligatures w14:val="standardContextual"/>
        </w:rPr>
        <w:t xml:space="preserve"> </w:t>
      </w:r>
      <w:r w:rsidRPr="006773CD">
        <w:rPr>
          <w:rFonts w:ascii="Verdana" w:eastAsia="Calibri" w:hAnsi="Verdana" w:cs="Arial"/>
          <w:kern w:val="2"/>
          <w:shd w:val="clear" w:color="auto" w:fill="FFFFFF"/>
          <w:lang w:val="es-ES_tradnl"/>
          <w14:ligatures w14:val="standardContextual"/>
        </w:rPr>
        <w:t xml:space="preserve">pronunció sobre la facultad de las entidades estatales para pactar el pago anticipado o la entrega de anticipo en los contratos estatales </w:t>
      </w:r>
      <w:r>
        <w:rPr>
          <w:rFonts w:ascii="Verdana" w:eastAsia="Calibri" w:hAnsi="Verdana" w:cs="Arial"/>
          <w:kern w:val="2"/>
          <w:shd w:val="clear" w:color="auto" w:fill="FFFFFF"/>
          <w:lang w:val="es-ES_tradnl"/>
          <w14:ligatures w14:val="standardContextual"/>
        </w:rPr>
        <w:t xml:space="preserve">en los conceptos con </w:t>
      </w:r>
      <w:r w:rsidRPr="006773CD">
        <w:rPr>
          <w:rFonts w:ascii="Verdana" w:eastAsia="Calibri" w:hAnsi="Verdana" w:cs="Arial"/>
          <w:kern w:val="2"/>
          <w:shd w:val="clear" w:color="auto" w:fill="FFFFFF"/>
          <w:lang w:val="es-ES_tradnl"/>
          <w14:ligatures w14:val="standardContextual"/>
        </w:rPr>
        <w:t xml:space="preserve">radicados número 414140000132 del 19 de enero de 2015, 414140001200 del 22 de enero de 2015, 4201714000000768 del 10 de marzo de 2017, 4201713000000879 del 24 de marzo de 2017, 4201713000002621 del 27 de julio de 2017, 4201714000004176 del 28 de agosto de 2017, 4201714000005628 del 11 de diciembre de 2017, 4201814000000698 del 14 de abril de 2018, C-209 del 16 de marzo de 2020, C-693 del 25 de noviembre de 2020, C-011 del 6 de marzo de 2023 y C-109 del 10 de mayo de 2023. También, esta Agencia estudió y analizó los </w:t>
      </w:r>
      <w:r w:rsidRPr="006773CD">
        <w:rPr>
          <w:rFonts w:ascii="Verdana" w:eastAsia="Aptos" w:hAnsi="Verdana" w:cs="Times New Roman"/>
          <w:kern w:val="2"/>
          <w:lang w:val="es-ES_tradnl"/>
          <w14:ligatures w14:val="standardContextual"/>
        </w:rPr>
        <w:t xml:space="preserve">convenios solidarios, su alcance y su régimen contractual, en los conceptos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 C-0117 del 21 de abril de </w:t>
      </w:r>
      <w:r w:rsidRPr="006773CD">
        <w:rPr>
          <w:rFonts w:ascii="Verdana" w:eastAsia="Aptos" w:hAnsi="Verdana" w:cs="Times New Roman"/>
          <w:kern w:val="2"/>
          <w:lang w:val="es-ES_tradnl"/>
          <w14:ligatures w14:val="standardContextual"/>
        </w:rPr>
        <w:lastRenderedPageBreak/>
        <w:t>2023, C-094 del 4 de mayo de 2023, C-209 del 21 de junio de 2023, C-287 del 9 de octubre de 2023, C-469 del 5 de febrero de 2024, C-020 del 23 de febrero de 2024, C-051 del 3 de mayo de 2024</w:t>
      </w:r>
      <w:r>
        <w:rPr>
          <w:rFonts w:ascii="Verdana" w:eastAsia="Aptos" w:hAnsi="Verdana" w:cs="Times New Roman"/>
          <w:kern w:val="2"/>
          <w:lang w:val="es-ES_tradnl"/>
          <w14:ligatures w14:val="standardContextual"/>
        </w:rPr>
        <w:t xml:space="preserve">, </w:t>
      </w:r>
      <w:r w:rsidRPr="006773CD">
        <w:rPr>
          <w:rFonts w:ascii="Verdana" w:eastAsia="Aptos" w:hAnsi="Verdana" w:cs="Times New Roman"/>
          <w:kern w:val="2"/>
          <w:lang w:val="es-ES_tradnl"/>
          <w14:ligatures w14:val="standardContextual"/>
        </w:rPr>
        <w:t>C-341 del 27 de agosto de 2024</w:t>
      </w:r>
      <w:r>
        <w:rPr>
          <w:rFonts w:ascii="Verdana" w:eastAsia="Aptos" w:hAnsi="Verdana" w:cs="Times New Roman"/>
          <w:kern w:val="2"/>
          <w:lang w:val="es-ES_tradnl"/>
          <w14:ligatures w14:val="standardContextual"/>
        </w:rPr>
        <w:t>, C-188 del 31 de julio de 2024, C-499 del 19 de septiembre de 2025, C-911 del 31 de diciembre de 2024, C-067 del 27 de febrero de 2025, C-197 del 28 de marzo de 2024, C-503 del 3 de junio de 2025 y C-557 del 17 de junio de 2025</w:t>
      </w:r>
      <w:r w:rsidRPr="006773CD">
        <w:rPr>
          <w:rFonts w:ascii="Verdana" w:eastAsia="Aptos" w:hAnsi="Verdana" w:cs="Times New Roman"/>
          <w:kern w:val="2"/>
          <w:lang w:val="es-ES_tradnl"/>
          <w14:ligatures w14:val="standardContextual"/>
        </w:rPr>
        <w:t>.</w:t>
      </w:r>
      <w:r>
        <w:rPr>
          <w:rFonts w:ascii="Verdana" w:eastAsia="Aptos" w:hAnsi="Verdana" w:cs="Times New Roman"/>
          <w:kern w:val="2"/>
          <w:lang w:val="es-ES_tradnl"/>
          <w14:ligatures w14:val="standardContextual"/>
        </w:rPr>
        <w:t xml:space="preserve"> </w:t>
      </w:r>
      <w:r w:rsidRPr="00AC0A48">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AC0A48">
          <w:rPr>
            <w:rFonts w:ascii="Verdana" w:eastAsia="Calibri" w:hAnsi="Verdana" w:cs="Arial"/>
            <w:color w:val="000000"/>
            <w:u w:val="single"/>
            <w:shd w:val="clear" w:color="auto" w:fill="FFFFFF"/>
          </w:rPr>
          <w:t>https://relatoria.colombiacompra.gov.co/</w:t>
        </w:r>
      </w:hyperlink>
      <w:r w:rsidRPr="00AC0A48">
        <w:rPr>
          <w:rFonts w:ascii="Verdana" w:eastAsia="Calibri" w:hAnsi="Verdana" w:cs="Arial"/>
          <w:color w:val="000000"/>
          <w:shd w:val="clear" w:color="auto" w:fill="FFFFFF"/>
        </w:rPr>
        <w:t> .</w:t>
      </w:r>
    </w:p>
    <w:p w14:paraId="547B21A5" w14:textId="77777777" w:rsidR="00B92941" w:rsidRPr="00AC0A48" w:rsidRDefault="00B92941" w:rsidP="00B92941">
      <w:pPr>
        <w:spacing w:after="0" w:line="240" w:lineRule="auto"/>
        <w:jc w:val="both"/>
        <w:rPr>
          <w:rFonts w:ascii="Verdana" w:eastAsia="Calibri" w:hAnsi="Verdana" w:cs="Arial"/>
          <w:color w:val="000000"/>
          <w:shd w:val="clear" w:color="auto" w:fill="FFFFFF"/>
        </w:rPr>
      </w:pPr>
    </w:p>
    <w:p w14:paraId="12C6992D" w14:textId="77777777" w:rsidR="00B92941" w:rsidRPr="00AC0A48" w:rsidRDefault="00B92941" w:rsidP="00B92941">
      <w:pPr>
        <w:spacing w:after="0" w:line="240" w:lineRule="auto"/>
        <w:jc w:val="both"/>
        <w:rPr>
          <w:rFonts w:ascii="Verdana" w:eastAsia="Calibri" w:hAnsi="Verdana" w:cs="Arial"/>
          <w:color w:val="000000"/>
          <w:shd w:val="clear" w:color="auto" w:fill="FFFFFF"/>
        </w:rPr>
      </w:pPr>
      <w:r w:rsidRPr="00AC0A48">
        <w:rPr>
          <w:rFonts w:ascii="Verdana" w:eastAsia="Calibri" w:hAnsi="Verdana" w:cs="Arial"/>
          <w:color w:val="000000"/>
          <w:shd w:val="clear" w:color="auto" w:fill="FFFFFF"/>
        </w:rPr>
        <w:t xml:space="preserve">La Agencia Nacional de Contratación Pública – Colombia Compra Eficiente </w:t>
      </w:r>
      <w:r>
        <w:rPr>
          <w:rFonts w:ascii="Verdana" w:eastAsia="Calibri" w:hAnsi="Verdana" w:cs="Arial"/>
          <w:color w:val="000000"/>
          <w:shd w:val="clear" w:color="auto" w:fill="FFFFFF"/>
        </w:rPr>
        <w:t xml:space="preserve">le informa </w:t>
      </w:r>
      <w:r w:rsidRPr="00AC0A48">
        <w:rPr>
          <w:rFonts w:ascii="Verdana" w:eastAsia="Calibri" w:hAnsi="Verdana" w:cs="Arial"/>
          <w:color w:val="000000"/>
          <w:shd w:val="clear" w:color="auto" w:fill="FFFFFF"/>
        </w:rPr>
        <w:t>que ya se encuentra disponible la </w:t>
      </w:r>
      <w:r w:rsidRPr="00AC0A48">
        <w:rPr>
          <w:rFonts w:ascii="Verdana" w:eastAsia="Calibri" w:hAnsi="Verdana" w:cs="Arial"/>
          <w:b/>
          <w:bCs/>
          <w:color w:val="000000"/>
          <w:shd w:val="clear" w:color="auto" w:fill="FFFFFF"/>
        </w:rPr>
        <w:t>Guía de lineamientos de transparencia y selección objetiva para el departamento de La Guajira – Objetivo sexto constitucional de la Sentencia T-302 del 2017. </w:t>
      </w:r>
      <w:r w:rsidRPr="00AC0A48">
        <w:rPr>
          <w:rFonts w:ascii="Verdana" w:eastAsia="Calibri" w:hAnsi="Verdana" w:cs="Arial"/>
          <w:color w:val="000000"/>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C0A48">
        <w:rPr>
          <w:rFonts w:ascii="Verdana" w:eastAsia="Calibri" w:hAnsi="Verdana" w:cs="Arial"/>
          <w:color w:val="000000"/>
          <w:shd w:val="clear" w:color="auto" w:fill="FFFFFF"/>
        </w:rPr>
        <w:t>Wayúu</w:t>
      </w:r>
      <w:proofErr w:type="spellEnd"/>
      <w:r w:rsidRPr="00AC0A48">
        <w:rPr>
          <w:rFonts w:ascii="Verdana" w:eastAsia="Calibri" w:hAnsi="Verdana" w:cs="Arial"/>
          <w:color w:val="000000"/>
          <w:shd w:val="clear" w:color="auto" w:fill="FFFFFF"/>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AC0A48">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AC0A48">
        <w:rPr>
          <w:rFonts w:ascii="Verdana" w:eastAsia="Calibri" w:hAnsi="Verdana" w:cs="Arial"/>
          <w:color w:val="000000"/>
          <w:u w:val="single"/>
          <w:shd w:val="clear" w:color="auto" w:fill="FFFFFF"/>
        </w:rPr>
        <w:t>"</w:t>
      </w:r>
    </w:p>
    <w:p w14:paraId="67EF0BD7" w14:textId="77777777" w:rsidR="00B92941" w:rsidRPr="00AC0A48" w:rsidRDefault="00B92941" w:rsidP="00B92941">
      <w:pPr>
        <w:spacing w:after="0"/>
        <w:jc w:val="both"/>
        <w:rPr>
          <w:rFonts w:ascii="Verdana" w:eastAsia="Aptos" w:hAnsi="Verdana" w:cs="Times New Roman"/>
          <w:color w:val="212121"/>
        </w:rPr>
      </w:pPr>
    </w:p>
    <w:p w14:paraId="58A635A8" w14:textId="77777777" w:rsidR="00B92941" w:rsidRPr="00AC0A48" w:rsidRDefault="00B92941" w:rsidP="00B92941">
      <w:pPr>
        <w:spacing w:after="0" w:line="240" w:lineRule="auto"/>
        <w:jc w:val="both"/>
        <w:rPr>
          <w:rFonts w:ascii="Verdana" w:eastAsia="Calibri" w:hAnsi="Verdana" w:cs="Times New Roman"/>
        </w:rPr>
      </w:pPr>
      <w:r w:rsidRPr="00AC0A48">
        <w:rPr>
          <w:rFonts w:ascii="Verdana" w:eastAsia="Aptos" w:hAnsi="Verdana" w:cs="Times New Roman"/>
        </w:rPr>
        <w:t xml:space="preserve">Por último, lo invitamos a seguirnos en las redes sociales en las cuales se difunde información institucional: </w:t>
      </w:r>
    </w:p>
    <w:p w14:paraId="7B656637" w14:textId="77777777" w:rsidR="00B92941" w:rsidRPr="00AC0A48" w:rsidRDefault="00B92941" w:rsidP="00B92941">
      <w:pPr>
        <w:spacing w:after="0" w:line="240" w:lineRule="auto"/>
        <w:jc w:val="both"/>
        <w:rPr>
          <w:rFonts w:ascii="Verdana" w:eastAsia="Aptos" w:hAnsi="Verdana" w:cs="Times New Roman"/>
        </w:rPr>
      </w:pPr>
    </w:p>
    <w:p w14:paraId="7C0F334E" w14:textId="77777777" w:rsidR="00B92941" w:rsidRPr="00AC0A48" w:rsidRDefault="00B92941" w:rsidP="00B92941">
      <w:pPr>
        <w:spacing w:after="0" w:line="240" w:lineRule="auto"/>
        <w:jc w:val="both"/>
        <w:rPr>
          <w:rFonts w:ascii="Verdana" w:eastAsia="Aptos" w:hAnsi="Verdana" w:cs="Times New Roman"/>
        </w:rPr>
      </w:pPr>
      <w:r w:rsidRPr="00AC0A48">
        <w:rPr>
          <w:rFonts w:ascii="Verdana" w:eastAsia="Aptos" w:hAnsi="Verdana" w:cs="Times New Roman"/>
        </w:rPr>
        <w:t xml:space="preserve">Twitter: </w:t>
      </w:r>
      <w:r w:rsidRPr="00AC0A48">
        <w:rPr>
          <w:rFonts w:ascii="Verdana" w:eastAsia="Calibri" w:hAnsi="Verdana" w:cs="Times New Roman"/>
          <w:color w:val="156082"/>
          <w:u w:val="single"/>
        </w:rPr>
        <w:t>@colombiacompra</w:t>
      </w:r>
      <w:r w:rsidRPr="00AC0A48">
        <w:rPr>
          <w:rFonts w:ascii="Verdana" w:eastAsia="Calibri" w:hAnsi="Verdana" w:cs="Times New Roman"/>
          <w:color w:val="156082"/>
        </w:rPr>
        <w:t xml:space="preserve"> </w:t>
      </w:r>
    </w:p>
    <w:p w14:paraId="6E3023C1" w14:textId="77777777" w:rsidR="00B92941" w:rsidRPr="00AC0A48" w:rsidRDefault="00B92941" w:rsidP="00B92941">
      <w:pPr>
        <w:spacing w:after="0" w:line="240" w:lineRule="auto"/>
        <w:jc w:val="both"/>
        <w:rPr>
          <w:rFonts w:ascii="Verdana" w:eastAsia="Aptos" w:hAnsi="Verdana" w:cs="Times New Roman"/>
        </w:rPr>
      </w:pPr>
      <w:r w:rsidRPr="00AC0A48">
        <w:rPr>
          <w:rFonts w:ascii="Verdana" w:eastAsia="Aptos" w:hAnsi="Verdana" w:cs="Times New Roman"/>
        </w:rPr>
        <w:t xml:space="preserve">Facebook: </w:t>
      </w:r>
      <w:proofErr w:type="spellStart"/>
      <w:r w:rsidRPr="00AC0A48">
        <w:rPr>
          <w:rFonts w:ascii="Verdana" w:eastAsia="Calibri" w:hAnsi="Verdana" w:cs="Times New Roman"/>
          <w:color w:val="156082"/>
          <w:u w:val="single"/>
        </w:rPr>
        <w:t>ColombiaCompraEficiente</w:t>
      </w:r>
      <w:proofErr w:type="spellEnd"/>
    </w:p>
    <w:p w14:paraId="47D89D05" w14:textId="77777777" w:rsidR="00B92941" w:rsidRPr="00AC0A48" w:rsidRDefault="00B92941" w:rsidP="00B92941">
      <w:pPr>
        <w:spacing w:after="0" w:line="240" w:lineRule="auto"/>
        <w:jc w:val="both"/>
        <w:rPr>
          <w:rFonts w:ascii="Verdana" w:eastAsia="Aptos" w:hAnsi="Verdana" w:cs="Times New Roman"/>
        </w:rPr>
      </w:pPr>
      <w:r w:rsidRPr="00AC0A48">
        <w:rPr>
          <w:rFonts w:ascii="Verdana" w:eastAsia="Aptos" w:hAnsi="Verdana" w:cs="Times New Roman"/>
        </w:rPr>
        <w:t xml:space="preserve">LinkedIn: </w:t>
      </w:r>
      <w:r w:rsidRPr="00AC0A48">
        <w:rPr>
          <w:rFonts w:ascii="Verdana" w:eastAsia="Calibri" w:hAnsi="Verdana" w:cs="Times New Roman"/>
          <w:color w:val="156082"/>
          <w:u w:val="single"/>
        </w:rPr>
        <w:t>Agencia Nacional de Contratación Pública - Colombia Compra Eficiente</w:t>
      </w:r>
      <w:r w:rsidRPr="00AC0A48">
        <w:rPr>
          <w:rFonts w:ascii="Verdana" w:eastAsia="Calibri" w:hAnsi="Verdana" w:cs="Times New Roman"/>
          <w:color w:val="156082"/>
        </w:rPr>
        <w:t xml:space="preserve"> </w:t>
      </w:r>
      <w:r w:rsidRPr="00AC0A48">
        <w:rPr>
          <w:rFonts w:ascii="Verdana" w:eastAsia="Aptos" w:hAnsi="Verdana" w:cs="Times New Roman"/>
        </w:rPr>
        <w:t xml:space="preserve">Instagram: </w:t>
      </w:r>
      <w:r w:rsidRPr="00AC0A48">
        <w:rPr>
          <w:rFonts w:ascii="Verdana" w:eastAsia="Calibri" w:hAnsi="Verdana" w:cs="Times New Roman"/>
          <w:color w:val="156082"/>
          <w:u w:val="single"/>
        </w:rPr>
        <w:t>@colombiacompraeficiente_cce</w:t>
      </w:r>
    </w:p>
    <w:p w14:paraId="5C0CB709" w14:textId="77777777" w:rsidR="00B92941" w:rsidRPr="00801B1E" w:rsidRDefault="00B92941" w:rsidP="00B92941">
      <w:pPr>
        <w:spacing w:after="0" w:line="276" w:lineRule="auto"/>
        <w:jc w:val="both"/>
        <w:rPr>
          <w:rFonts w:ascii="Verdana" w:hAnsi="Verdana"/>
        </w:rPr>
      </w:pPr>
    </w:p>
    <w:p w14:paraId="6ED6B586" w14:textId="77777777" w:rsidR="00B92941" w:rsidRPr="00801B1E" w:rsidRDefault="00B92941" w:rsidP="00B92941">
      <w:pPr>
        <w:spacing w:after="0" w:line="276" w:lineRule="auto"/>
        <w:jc w:val="both"/>
        <w:rPr>
          <w:rFonts w:ascii="Verdana" w:eastAsia="Calibri" w:hAnsi="Verdana" w:cs="Times New Roman"/>
          <w:bCs/>
          <w:lang w:val="es-ES_tradnl"/>
        </w:rPr>
      </w:pPr>
      <w:r w:rsidRPr="00801B1E">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DFECD0A" w14:textId="77777777" w:rsidR="00B92941" w:rsidRPr="00801B1E" w:rsidRDefault="00B92941" w:rsidP="00B92941">
      <w:pPr>
        <w:spacing w:after="0" w:line="276" w:lineRule="auto"/>
        <w:jc w:val="both"/>
        <w:rPr>
          <w:rFonts w:ascii="Verdana" w:eastAsia="Calibri" w:hAnsi="Verdana" w:cs="Times New Roman"/>
        </w:rPr>
      </w:pPr>
    </w:p>
    <w:p w14:paraId="730CE01B" w14:textId="77777777" w:rsidR="00B92941" w:rsidRDefault="00B92941" w:rsidP="00B92941">
      <w:pPr>
        <w:spacing w:after="0" w:line="276" w:lineRule="auto"/>
        <w:jc w:val="both"/>
        <w:rPr>
          <w:rFonts w:ascii="Verdana" w:eastAsia="Calibri" w:hAnsi="Verdana" w:cs="Times New Roman"/>
        </w:rPr>
      </w:pPr>
      <w:r w:rsidRPr="2EC93900">
        <w:rPr>
          <w:rFonts w:ascii="Verdana" w:eastAsia="Calibri" w:hAnsi="Verdana" w:cs="Times New Roman"/>
        </w:rPr>
        <w:t>Atentamente,</w:t>
      </w:r>
    </w:p>
    <w:p w14:paraId="6D63EF15" w14:textId="759A85F3" w:rsidR="7C22B64D" w:rsidRDefault="7C22B64D" w:rsidP="2EC93900">
      <w:pPr>
        <w:spacing w:after="0" w:line="276" w:lineRule="auto"/>
        <w:jc w:val="both"/>
      </w:pPr>
    </w:p>
    <w:p w14:paraId="3ACC2B65" w14:textId="6B15C274" w:rsidR="7C22B64D" w:rsidRDefault="00145FE2" w:rsidP="00145FE2">
      <w:pPr>
        <w:spacing w:after="0" w:line="276" w:lineRule="auto"/>
        <w:jc w:val="center"/>
        <w:rPr>
          <w:rFonts w:ascii="Verdana" w:eastAsia="Calibri" w:hAnsi="Verdana" w:cs="Times New Roman"/>
        </w:rPr>
      </w:pPr>
      <w:r w:rsidRPr="004F15B0">
        <w:rPr>
          <w:rFonts w:ascii="Verdana" w:eastAsia="Calibri" w:hAnsi="Verdana" w:cs="Arial"/>
          <w:noProof/>
          <w:lang w:eastAsia="es-CO"/>
        </w:rPr>
        <w:drawing>
          <wp:inline distT="0" distB="0" distL="0" distR="0" wp14:anchorId="3CD1C976" wp14:editId="572A8E4E">
            <wp:extent cx="2866292" cy="1201440"/>
            <wp:effectExtent l="0" t="0" r="4445" b="5080"/>
            <wp:docPr id="2368970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97021" name=""/>
                    <pic:cNvPicPr/>
                  </pic:nvPicPr>
                  <pic:blipFill>
                    <a:blip r:embed="rId14"/>
                    <a:stretch>
                      <a:fillRect/>
                    </a:stretch>
                  </pic:blipFill>
                  <pic:spPr>
                    <a:xfrm>
                      <a:off x="0" y="0"/>
                      <a:ext cx="2919494" cy="122374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92941" w:rsidRPr="00D938CD" w14:paraId="18B3822D" w14:textId="77777777" w:rsidTr="004F7263">
        <w:trPr>
          <w:trHeight w:val="315"/>
        </w:trPr>
        <w:tc>
          <w:tcPr>
            <w:tcW w:w="893" w:type="dxa"/>
            <w:vAlign w:val="center"/>
            <w:hideMark/>
          </w:tcPr>
          <w:p w14:paraId="17D7E4DF" w14:textId="77777777" w:rsidR="00B92941" w:rsidRPr="00D938CD" w:rsidRDefault="00B92941" w:rsidP="004F7263">
            <w:pPr>
              <w:contextualSpacing/>
              <w:rPr>
                <w:rFonts w:ascii="Verdana" w:hAnsi="Verdana" w:cs="Arial"/>
                <w:sz w:val="16"/>
                <w:szCs w:val="16"/>
                <w:lang w:val="es-ES" w:eastAsia="es-ES"/>
              </w:rPr>
            </w:pPr>
            <w:r w:rsidRPr="00D938C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073EFA4" w14:textId="4E23BD5E" w:rsidR="00B92941" w:rsidRPr="00D938CD" w:rsidRDefault="00B92941" w:rsidP="004F7263">
            <w:pPr>
              <w:pStyle w:val="paragraph"/>
              <w:spacing w:before="0" w:beforeAutospacing="0" w:after="0" w:afterAutospacing="0"/>
              <w:contextualSpacing/>
              <w:textAlignment w:val="baseline"/>
              <w:rPr>
                <w:rStyle w:val="normaltextrun"/>
                <w:rFonts w:ascii="Verdana" w:hAnsi="Verdana" w:cstheme="minorHAnsi"/>
                <w:sz w:val="16"/>
                <w:szCs w:val="16"/>
              </w:rPr>
            </w:pPr>
            <w:r w:rsidRPr="00D938CD">
              <w:rPr>
                <w:rStyle w:val="normaltextrun"/>
                <w:rFonts w:ascii="Verdana" w:hAnsi="Verdana" w:cstheme="minorHAnsi"/>
                <w:sz w:val="16"/>
                <w:szCs w:val="16"/>
              </w:rPr>
              <w:t xml:space="preserve">Carlos Mario </w:t>
            </w:r>
            <w:r w:rsidR="004A2262" w:rsidRPr="00D938CD">
              <w:rPr>
                <w:rStyle w:val="normaltextrun"/>
                <w:rFonts w:ascii="Verdana" w:hAnsi="Verdana" w:cstheme="minorHAnsi"/>
                <w:sz w:val="16"/>
                <w:szCs w:val="16"/>
              </w:rPr>
              <w:t>Castrillón</w:t>
            </w:r>
            <w:r w:rsidRPr="00D938CD">
              <w:rPr>
                <w:rStyle w:val="normaltextrun"/>
                <w:rFonts w:ascii="Verdana" w:hAnsi="Verdana" w:cstheme="minorHAnsi"/>
                <w:sz w:val="16"/>
                <w:szCs w:val="16"/>
              </w:rPr>
              <w:t xml:space="preserve"> Endo</w:t>
            </w:r>
          </w:p>
          <w:p w14:paraId="0ABD3C00" w14:textId="77777777" w:rsidR="00B92941" w:rsidRPr="00D938CD" w:rsidRDefault="00B92941" w:rsidP="004F7263">
            <w:pPr>
              <w:contextualSpacing/>
              <w:rPr>
                <w:rFonts w:ascii="Verdana" w:eastAsia="Arial" w:hAnsi="Verdana" w:cs="Arial"/>
                <w:sz w:val="16"/>
                <w:szCs w:val="16"/>
              </w:rPr>
            </w:pPr>
            <w:r w:rsidRPr="00D938CD">
              <w:rPr>
                <w:rFonts w:ascii="Verdana" w:hAnsi="Verdana"/>
                <w:sz w:val="16"/>
                <w:szCs w:val="16"/>
              </w:rPr>
              <w:t>Contratista de la Subdirección de Gestión Contractual</w:t>
            </w:r>
          </w:p>
        </w:tc>
      </w:tr>
      <w:tr w:rsidR="00B92941" w:rsidRPr="00D938CD" w14:paraId="0E07C096" w14:textId="77777777" w:rsidTr="004F7263">
        <w:trPr>
          <w:trHeight w:val="330"/>
        </w:trPr>
        <w:tc>
          <w:tcPr>
            <w:tcW w:w="893" w:type="dxa"/>
            <w:vAlign w:val="center"/>
            <w:hideMark/>
          </w:tcPr>
          <w:p w14:paraId="3995B856" w14:textId="77777777" w:rsidR="00B92941" w:rsidRPr="00D938CD" w:rsidRDefault="00B92941" w:rsidP="004F7263">
            <w:pPr>
              <w:contextualSpacing/>
              <w:rPr>
                <w:rFonts w:ascii="Verdana" w:hAnsi="Verdana" w:cs="Arial"/>
                <w:sz w:val="16"/>
                <w:szCs w:val="16"/>
                <w:lang w:val="es-ES" w:eastAsia="es-ES"/>
              </w:rPr>
            </w:pPr>
            <w:r w:rsidRPr="00D938C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FCD99BA" w14:textId="5E0988E4" w:rsidR="00B92941" w:rsidRPr="00D938CD" w:rsidRDefault="00B92941" w:rsidP="004F7263">
            <w:pPr>
              <w:pStyle w:val="paragraph"/>
              <w:spacing w:before="0" w:beforeAutospacing="0" w:after="0" w:afterAutospacing="0"/>
              <w:contextualSpacing/>
              <w:textAlignment w:val="baseline"/>
              <w:rPr>
                <w:rStyle w:val="normaltextrun"/>
                <w:rFonts w:ascii="Verdana" w:hAnsi="Verdana" w:cstheme="minorHAnsi"/>
                <w:sz w:val="16"/>
                <w:szCs w:val="16"/>
              </w:rPr>
            </w:pPr>
            <w:r w:rsidRPr="00D938CD">
              <w:rPr>
                <w:rStyle w:val="normaltextrun"/>
                <w:rFonts w:ascii="Verdana" w:hAnsi="Verdana" w:cstheme="minorHAnsi"/>
                <w:sz w:val="16"/>
                <w:szCs w:val="16"/>
              </w:rPr>
              <w:t>Juan David Cárdenas</w:t>
            </w:r>
          </w:p>
          <w:p w14:paraId="4D8F5048" w14:textId="77777777" w:rsidR="00B92941" w:rsidRPr="00D938CD" w:rsidRDefault="00B92941" w:rsidP="004F7263">
            <w:pPr>
              <w:pStyle w:val="paragraph"/>
              <w:spacing w:before="0" w:beforeAutospacing="0" w:after="0" w:afterAutospacing="0"/>
              <w:contextualSpacing/>
              <w:textAlignment w:val="baseline"/>
              <w:rPr>
                <w:rFonts w:ascii="Verdana" w:hAnsi="Verdana" w:cstheme="minorHAnsi"/>
                <w:sz w:val="16"/>
                <w:szCs w:val="16"/>
              </w:rPr>
            </w:pPr>
            <w:r w:rsidRPr="00D938CD">
              <w:rPr>
                <w:rStyle w:val="normaltextrun"/>
                <w:rFonts w:ascii="Verdana" w:eastAsia="Arial" w:hAnsi="Verdana" w:cs="Arial"/>
                <w:sz w:val="16"/>
                <w:szCs w:val="16"/>
              </w:rPr>
              <w:t>Contratista Subdirección de Gestión Contractual</w:t>
            </w:r>
          </w:p>
        </w:tc>
      </w:tr>
      <w:tr w:rsidR="00B92941" w:rsidRPr="00D938CD" w14:paraId="6EF730DF" w14:textId="77777777" w:rsidTr="004F7263">
        <w:trPr>
          <w:trHeight w:val="300"/>
        </w:trPr>
        <w:tc>
          <w:tcPr>
            <w:tcW w:w="893" w:type="dxa"/>
            <w:vAlign w:val="center"/>
          </w:tcPr>
          <w:p w14:paraId="5A73F995" w14:textId="77777777" w:rsidR="00B92941" w:rsidRPr="00D938CD" w:rsidRDefault="00B92941" w:rsidP="004F7263">
            <w:pPr>
              <w:contextualSpacing/>
              <w:rPr>
                <w:rFonts w:ascii="Verdana" w:hAnsi="Verdana" w:cs="Arial"/>
                <w:sz w:val="16"/>
                <w:szCs w:val="16"/>
                <w:lang w:val="es-ES" w:eastAsia="es-ES"/>
              </w:rPr>
            </w:pPr>
            <w:r w:rsidRPr="00D938C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8CF2C39" w14:textId="118A7D98" w:rsidR="007D61EA" w:rsidRPr="007D61EA" w:rsidRDefault="007D61EA" w:rsidP="007D61EA">
            <w:pPr>
              <w:pStyle w:val="paragraph"/>
              <w:spacing w:before="0" w:beforeAutospacing="0" w:after="0" w:afterAutospacing="0"/>
              <w:contextualSpacing/>
              <w:textAlignment w:val="baseline"/>
              <w:rPr>
                <w:rStyle w:val="normaltextrun"/>
                <w:rFonts w:ascii="Verdana" w:hAnsi="Verdana" w:cstheme="minorHAnsi"/>
                <w:sz w:val="16"/>
                <w:szCs w:val="16"/>
              </w:rPr>
            </w:pPr>
            <w:r w:rsidRPr="007D61EA">
              <w:rPr>
                <w:rStyle w:val="normaltextrun"/>
                <w:rFonts w:ascii="Verdana" w:hAnsi="Verdana" w:cstheme="minorHAnsi"/>
                <w:sz w:val="16"/>
                <w:szCs w:val="16"/>
              </w:rPr>
              <w:t>Ana María Tolosa Rico</w:t>
            </w:r>
          </w:p>
          <w:p w14:paraId="1A3499A6" w14:textId="069D6FA1" w:rsidR="00B92941" w:rsidRPr="00D938CD" w:rsidRDefault="007D61EA" w:rsidP="007D61EA">
            <w:pPr>
              <w:pStyle w:val="paragraph"/>
              <w:spacing w:before="0" w:beforeAutospacing="0" w:after="0" w:afterAutospacing="0"/>
              <w:contextualSpacing/>
              <w:textAlignment w:val="baseline"/>
              <w:rPr>
                <w:rFonts w:ascii="Verdana" w:eastAsia="Calibri" w:hAnsi="Verdana" w:cs="Arial"/>
                <w:sz w:val="16"/>
                <w:szCs w:val="16"/>
                <w:lang w:val="pt-BR" w:eastAsia="es-ES"/>
              </w:rPr>
            </w:pPr>
            <w:r w:rsidRPr="007D61EA">
              <w:rPr>
                <w:rStyle w:val="normaltextrun"/>
                <w:rFonts w:ascii="Verdana" w:hAnsi="Verdana" w:cstheme="minorHAnsi"/>
                <w:sz w:val="16"/>
                <w:szCs w:val="16"/>
              </w:rPr>
              <w:t>Subdirectora de Gestión Contractual ANCP – CCE (E)</w:t>
            </w:r>
          </w:p>
        </w:tc>
      </w:tr>
      <w:bookmarkEnd w:id="0"/>
    </w:tbl>
    <w:p w14:paraId="3900974D" w14:textId="77777777" w:rsidR="003D5B0D" w:rsidRPr="00FB0BCF" w:rsidRDefault="003D5B0D" w:rsidP="00FB0BCF"/>
    <w:sectPr w:rsidR="003D5B0D" w:rsidRPr="00FB0BC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0EC89" w14:textId="77777777" w:rsidR="00015A02" w:rsidRDefault="00015A02" w:rsidP="004A1847">
      <w:pPr>
        <w:spacing w:after="0" w:line="240" w:lineRule="auto"/>
      </w:pPr>
      <w:r>
        <w:separator/>
      </w:r>
    </w:p>
  </w:endnote>
  <w:endnote w:type="continuationSeparator" w:id="0">
    <w:p w14:paraId="4BF9B0E2" w14:textId="77777777" w:rsidR="00015A02" w:rsidRDefault="00015A0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ÍUß/">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496E1402" w14:textId="77777777" w:rsidR="00145FE2" w:rsidRDefault="00145FE2">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86E7D" w14:textId="77777777" w:rsidR="00015A02" w:rsidRDefault="00015A02" w:rsidP="004A1847">
      <w:pPr>
        <w:spacing w:after="0" w:line="240" w:lineRule="auto"/>
      </w:pPr>
      <w:r>
        <w:separator/>
      </w:r>
    </w:p>
  </w:footnote>
  <w:footnote w:type="continuationSeparator" w:id="0">
    <w:p w14:paraId="5B3756CB" w14:textId="77777777" w:rsidR="00015A02" w:rsidRDefault="00015A02" w:rsidP="004A1847">
      <w:pPr>
        <w:spacing w:after="0" w:line="240" w:lineRule="auto"/>
      </w:pPr>
      <w:r>
        <w:continuationSeparator/>
      </w:r>
    </w:p>
  </w:footnote>
  <w:footnote w:id="1">
    <w:p w14:paraId="71E96C92" w14:textId="77777777" w:rsidR="00B92941" w:rsidRPr="00540A2C" w:rsidRDefault="00B92941" w:rsidP="00B92941">
      <w:pPr>
        <w:pStyle w:val="NormalWeb"/>
        <w:shd w:val="clear" w:color="auto" w:fill="FFFFFF"/>
        <w:spacing w:after="0"/>
        <w:ind w:firstLine="709"/>
        <w:jc w:val="both"/>
        <w:rPr>
          <w:rFonts w:ascii="Verdana" w:hAnsi="Verdana" w:cs="Arial"/>
          <w:sz w:val="16"/>
          <w:szCs w:val="16"/>
        </w:rPr>
      </w:pPr>
      <w:r w:rsidRPr="00540A2C">
        <w:rPr>
          <w:rStyle w:val="Refdenotaalpie"/>
          <w:rFonts w:ascii="Verdana" w:hAnsi="Verdana"/>
          <w:sz w:val="16"/>
          <w:szCs w:val="16"/>
        </w:rPr>
        <w:footnoteRef/>
      </w:r>
      <w:r>
        <w:rPr>
          <w:rFonts w:ascii="Verdana" w:eastAsia="Calibri" w:hAnsi="Verdana" w:cs="Arial"/>
          <w:sz w:val="16"/>
          <w:szCs w:val="16"/>
          <w:lang w:val="es-ES"/>
        </w:rPr>
        <w:t xml:space="preserve"> “</w:t>
      </w:r>
      <w:r w:rsidRPr="00540A2C">
        <w:rPr>
          <w:rFonts w:ascii="Verdana" w:hAnsi="Verdana" w:cs="Arial"/>
          <w:sz w:val="16"/>
          <w:szCs w:val="16"/>
        </w:rPr>
        <w:t>Artículo 2.2.1.1.2.4.1.</w:t>
      </w:r>
      <w:r w:rsidRPr="00540A2C">
        <w:rPr>
          <w:rFonts w:ascii="Verdana" w:hAnsi="Verdana" w:cs="Arial"/>
          <w:i/>
          <w:iCs/>
          <w:sz w:val="16"/>
          <w:szCs w:val="16"/>
        </w:rPr>
        <w:t> </w:t>
      </w:r>
      <w:r w:rsidRPr="00540A2C">
        <w:rPr>
          <w:rFonts w:ascii="Verdana" w:hAnsi="Verdana" w:cs="Arial"/>
          <w:sz w:val="16"/>
          <w:szCs w:val="16"/>
        </w:rPr>
        <w:t>Patrimonio autónomo para el manejo de anticipos.</w:t>
      </w:r>
      <w:r w:rsidRPr="00540A2C">
        <w:rPr>
          <w:rFonts w:ascii="Verdana" w:hAnsi="Verdana" w:cs="Arial"/>
          <w:i/>
          <w:iCs/>
          <w:sz w:val="16"/>
          <w:szCs w:val="16"/>
        </w:rPr>
        <w:t> </w:t>
      </w:r>
      <w:r w:rsidRPr="00540A2C">
        <w:rPr>
          <w:rFonts w:ascii="Verdana" w:hAnsi="Verdana" w:cs="Arial"/>
          <w:sz w:val="16"/>
          <w:szCs w:val="16"/>
        </w:rPr>
        <w:t>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w:t>
      </w:r>
    </w:p>
    <w:p w14:paraId="22F7190C" w14:textId="77777777" w:rsidR="00B92941" w:rsidRPr="00540A2C" w:rsidRDefault="00B92941" w:rsidP="00B92941">
      <w:pPr>
        <w:pStyle w:val="NormalWeb"/>
        <w:shd w:val="clear" w:color="auto" w:fill="FFFFFF"/>
        <w:spacing w:after="0"/>
        <w:ind w:firstLine="709"/>
        <w:jc w:val="both"/>
        <w:rPr>
          <w:rFonts w:ascii="Verdana" w:hAnsi="Verdana" w:cs="Arial"/>
          <w:sz w:val="16"/>
          <w:szCs w:val="16"/>
        </w:rPr>
      </w:pPr>
      <w:r w:rsidRPr="00540A2C">
        <w:rPr>
          <w:rFonts w:ascii="Verdana" w:hAnsi="Verdana" w:cs="Arial"/>
          <w:sz w:val="16"/>
          <w:szCs w:val="16"/>
        </w:rPr>
        <w:t>Los recursos entregados por la Entidad Estatal a título de anticipo dejan de ser parte del patrimonio de esta para conformar el patrimonio autónomo. En consecuencia, los recursos del patrimonio autónomo y sus rendimientos son autónomos y son manejados de acuerdo con el contrato de fiducia mercantil.</w:t>
      </w:r>
    </w:p>
    <w:p w14:paraId="7C88AC82" w14:textId="77777777" w:rsidR="00B92941" w:rsidRPr="00540A2C" w:rsidRDefault="00B92941" w:rsidP="00B92941">
      <w:pPr>
        <w:pStyle w:val="NormalWeb"/>
        <w:shd w:val="clear" w:color="auto" w:fill="FFFFFF"/>
        <w:spacing w:after="0"/>
        <w:ind w:firstLine="709"/>
        <w:jc w:val="both"/>
        <w:rPr>
          <w:rFonts w:ascii="Verdana" w:hAnsi="Verdana" w:cs="Arial"/>
          <w:sz w:val="16"/>
          <w:szCs w:val="16"/>
        </w:rPr>
      </w:pPr>
      <w:r w:rsidRPr="00540A2C">
        <w:rPr>
          <w:rFonts w:ascii="Verdana" w:hAnsi="Verdana" w:cs="Arial"/>
          <w:sz w:val="16"/>
          <w:szCs w:val="16"/>
        </w:rPr>
        <w:t>En los pliegos de condiciones, la Entidad Estatal debe establecer los términos y condiciones de la administración del anticipo a través del patrimonio autónomo.</w:t>
      </w:r>
    </w:p>
    <w:p w14:paraId="224EFE8D" w14:textId="77777777" w:rsidR="00B92941" w:rsidRPr="00540A2C" w:rsidRDefault="00B92941" w:rsidP="00B92941">
      <w:pPr>
        <w:pStyle w:val="NormalWeb"/>
        <w:shd w:val="clear" w:color="auto" w:fill="FFFFFF"/>
        <w:spacing w:after="0"/>
        <w:ind w:firstLine="709"/>
        <w:jc w:val="both"/>
        <w:rPr>
          <w:rFonts w:ascii="Verdana" w:eastAsia="Calibri" w:hAnsi="Verdana" w:cs="Arial"/>
          <w:sz w:val="16"/>
          <w:szCs w:val="16"/>
          <w:lang w:val="es-ES"/>
        </w:rPr>
      </w:pPr>
      <w:r w:rsidRPr="00540A2C">
        <w:rPr>
          <w:rFonts w:ascii="Verdana" w:hAnsi="Verdana" w:cs="Arial"/>
          <w:sz w:val="16"/>
          <w:szCs w:val="16"/>
        </w:rPr>
        <w:t>En este caso, la sociedad fiduciaria debe pagar a los proveedores, con base en las instrucciones que reciba del contratista, las cuales deben haber sido autorizadas por el Supervisor o el Interventor, siempre y cuando tales pagos correspondan a los rubros previstos en el plan de utilización o de inversión del anticipo</w:t>
      </w:r>
      <w:r>
        <w:rPr>
          <w:rFonts w:ascii="Verdana" w:hAnsi="Verdana" w:cs="Arial"/>
          <w:sz w:val="16"/>
          <w:szCs w:val="16"/>
        </w:rPr>
        <w:t>”</w:t>
      </w:r>
      <w:r w:rsidRPr="00540A2C">
        <w:rPr>
          <w:rFonts w:ascii="Verdana" w:hAnsi="Verdana" w:cs="Arial"/>
          <w:sz w:val="16"/>
          <w:szCs w:val="16"/>
        </w:rPr>
        <w:t>.</w:t>
      </w:r>
    </w:p>
    <w:p w14:paraId="4B881C59" w14:textId="77777777" w:rsidR="00B92941" w:rsidRPr="00540A2C" w:rsidRDefault="00B92941" w:rsidP="00B92941">
      <w:pPr>
        <w:pStyle w:val="NormalWeb"/>
        <w:shd w:val="clear" w:color="auto" w:fill="FFFFFF"/>
        <w:spacing w:after="0"/>
        <w:ind w:firstLine="709"/>
        <w:jc w:val="both"/>
        <w:rPr>
          <w:rFonts w:ascii="Verdana" w:hAnsi="Verdana" w:cs="Arial"/>
          <w:sz w:val="16"/>
          <w:szCs w:val="16"/>
        </w:rPr>
      </w:pPr>
    </w:p>
  </w:footnote>
  <w:footnote w:id="2">
    <w:p w14:paraId="3FB453DB" w14:textId="77777777" w:rsidR="00B92941" w:rsidRPr="00540A2C" w:rsidRDefault="00B92941" w:rsidP="00B92941">
      <w:pPr>
        <w:pStyle w:val="Textonotapie"/>
        <w:ind w:firstLine="709"/>
        <w:jc w:val="both"/>
        <w:rPr>
          <w:rFonts w:ascii="Verdana" w:hAnsi="Verdana"/>
          <w:sz w:val="16"/>
          <w:szCs w:val="16"/>
        </w:rPr>
      </w:pPr>
      <w:r w:rsidRPr="00540A2C">
        <w:rPr>
          <w:rStyle w:val="Refdenotaalpie"/>
          <w:rFonts w:ascii="Verdana" w:hAnsi="Verdana"/>
          <w:sz w:val="16"/>
          <w:szCs w:val="16"/>
        </w:rPr>
        <w:footnoteRef/>
      </w:r>
      <w:r w:rsidRPr="00540A2C">
        <w:rPr>
          <w:rFonts w:ascii="Verdana" w:hAnsi="Verdana"/>
          <w:sz w:val="16"/>
          <w:szCs w:val="16"/>
        </w:rPr>
        <w:t xml:space="preserve"> </w:t>
      </w:r>
      <w:r w:rsidRPr="00540A2C">
        <w:rPr>
          <w:rFonts w:ascii="Verdana" w:hAnsi="Verdana" w:cs="Arial"/>
          <w:sz w:val="16"/>
          <w:szCs w:val="16"/>
          <w:lang w:val="es-ES"/>
        </w:rPr>
        <w:t xml:space="preserve">Sobre el particular, se puede consultar la exposición de motivos de la Ley 1474 de 2011, Gaceta 607 del 2010, disponible en:  </w:t>
      </w:r>
      <w:hyperlink r:id="rId1" w:history="1">
        <w:r w:rsidRPr="00540A2C">
          <w:rPr>
            <w:rStyle w:val="Hipervnculo"/>
            <w:rFonts w:ascii="Verdana" w:hAnsi="Verdana" w:cs="Arial"/>
            <w:sz w:val="16"/>
            <w:szCs w:val="16"/>
            <w:lang w:val="es-ES"/>
          </w:rPr>
          <w:t>http://svrpubindc.imprenta.gov.co/senado/index.xhtml;jsessionid=b3ba7213a248bacd37376ffcedca</w:t>
        </w:r>
      </w:hyperlink>
      <w:r w:rsidRPr="00540A2C">
        <w:rPr>
          <w:rFonts w:ascii="Verdana" w:hAnsi="Verdana" w:cs="Arial"/>
          <w:sz w:val="16"/>
          <w:szCs w:val="16"/>
          <w:lang w:val="es-ES"/>
        </w:rPr>
        <w:t xml:space="preserve"> </w:t>
      </w:r>
    </w:p>
  </w:footnote>
  <w:footnote w:id="3">
    <w:p w14:paraId="0401C404" w14:textId="77777777" w:rsidR="00B92941" w:rsidRPr="00540A2C" w:rsidRDefault="00B92941" w:rsidP="00B92941">
      <w:pPr>
        <w:pStyle w:val="Textonotapie"/>
        <w:ind w:firstLine="708"/>
        <w:jc w:val="both"/>
        <w:rPr>
          <w:rFonts w:ascii="Verdana" w:hAnsi="Verdana" w:cs="Arial"/>
          <w:sz w:val="16"/>
          <w:szCs w:val="16"/>
        </w:rPr>
      </w:pPr>
      <w:r w:rsidRPr="00540A2C">
        <w:rPr>
          <w:rStyle w:val="Refdenotaalpie"/>
          <w:rFonts w:ascii="Verdana" w:hAnsi="Verdana" w:cs="Arial"/>
          <w:sz w:val="16"/>
          <w:szCs w:val="16"/>
        </w:rPr>
        <w:footnoteRef/>
      </w:r>
      <w:r w:rsidRPr="00540A2C">
        <w:rPr>
          <w:rFonts w:ascii="Verdana" w:hAnsi="Verdana" w:cs="Arial"/>
          <w:sz w:val="16"/>
          <w:szCs w:val="16"/>
        </w:rPr>
        <w:t xml:space="preserve"> Ver concepto C-003 de 13 de marzo de 2023 emitido por la ANCP-CCE</w:t>
      </w:r>
    </w:p>
  </w:footnote>
  <w:footnote w:id="4">
    <w:p w14:paraId="52C97D8E" w14:textId="77777777" w:rsidR="00B92941" w:rsidRDefault="00B92941" w:rsidP="00B92941">
      <w:pPr>
        <w:pStyle w:val="Textonotapie"/>
        <w:ind w:firstLine="708"/>
        <w:jc w:val="both"/>
        <w:rPr>
          <w:rFonts w:ascii="Arial" w:hAnsi="Arial" w:cs="Arial"/>
          <w:sz w:val="19"/>
          <w:szCs w:val="19"/>
        </w:rPr>
      </w:pPr>
      <w:r w:rsidRPr="004E691C">
        <w:rPr>
          <w:rStyle w:val="Refdenotaalpie"/>
          <w:rFonts w:ascii="Arial" w:hAnsi="Arial" w:cs="Arial"/>
          <w:sz w:val="19"/>
          <w:szCs w:val="19"/>
        </w:rPr>
        <w:footnoteRef/>
      </w:r>
      <w:r w:rsidRPr="004E691C">
        <w:rPr>
          <w:rFonts w:ascii="Arial" w:hAnsi="Arial" w:cs="Arial"/>
          <w:sz w:val="19"/>
          <w:szCs w:val="19"/>
        </w:rPr>
        <w:t xml:space="preserve"> Decreto 1082 de 2015: </w:t>
      </w:r>
      <w:r>
        <w:rPr>
          <w:rFonts w:ascii="Arial" w:hAnsi="Arial" w:cs="Arial"/>
          <w:sz w:val="19"/>
          <w:szCs w:val="19"/>
        </w:rPr>
        <w:t>“</w:t>
      </w:r>
      <w:r w:rsidRPr="004E691C">
        <w:rPr>
          <w:rFonts w:ascii="Arial" w:hAnsi="Arial" w:cs="Arial"/>
          <w:sz w:val="19"/>
          <w:szCs w:val="19"/>
        </w:rPr>
        <w:t xml:space="preserve">Artículo 2.2.1.2.3.1.7. Garantía de cumplimiento. La garantía de cumplimiento del contrato debe cubrir: </w:t>
      </w:r>
    </w:p>
    <w:p w14:paraId="16E2A1F5" w14:textId="77777777" w:rsidR="00B92941" w:rsidRPr="004E691C" w:rsidRDefault="00B92941" w:rsidP="00B92941">
      <w:pPr>
        <w:pStyle w:val="Textonotapie"/>
        <w:ind w:firstLine="708"/>
        <w:jc w:val="both"/>
        <w:rPr>
          <w:rFonts w:ascii="Arial" w:hAnsi="Arial" w:cs="Arial"/>
          <w:sz w:val="19"/>
          <w:szCs w:val="19"/>
        </w:rPr>
      </w:pPr>
    </w:p>
    <w:p w14:paraId="0F6BE0AA" w14:textId="77777777" w:rsidR="00B92941" w:rsidRDefault="00B92941" w:rsidP="00B92941">
      <w:pPr>
        <w:pStyle w:val="Textonotapie"/>
        <w:ind w:firstLine="708"/>
        <w:jc w:val="both"/>
        <w:rPr>
          <w:rFonts w:ascii="Arial" w:hAnsi="Arial" w:cs="Arial"/>
          <w:sz w:val="19"/>
          <w:szCs w:val="19"/>
        </w:rPr>
      </w:pPr>
      <w:r w:rsidRPr="004E691C">
        <w:rPr>
          <w:rFonts w:ascii="Arial" w:hAnsi="Arial" w:cs="Arial"/>
          <w:sz w:val="19"/>
          <w:szCs w:val="19"/>
        </w:rPr>
        <w:t xml:space="preserve">1. Buen manejo y correcta inversión del anticipo. Este amparo cubre los perjuicios sufridos por la Entidad Estatal con ocasión de: (i) la no inversión del anticipo; (ii) el uso indebido del anticipo; y (iii) la apropiación indebida de los recursos recibidos en calidad de anticipo. </w:t>
      </w:r>
    </w:p>
    <w:p w14:paraId="38969720" w14:textId="77777777" w:rsidR="00B92941" w:rsidRPr="004E691C" w:rsidRDefault="00B92941" w:rsidP="00B92941">
      <w:pPr>
        <w:pStyle w:val="Textonotapie"/>
        <w:ind w:firstLine="708"/>
        <w:jc w:val="both"/>
        <w:rPr>
          <w:rFonts w:ascii="Arial" w:hAnsi="Arial" w:cs="Arial"/>
          <w:sz w:val="19"/>
          <w:szCs w:val="19"/>
        </w:rPr>
      </w:pPr>
    </w:p>
    <w:p w14:paraId="04307767" w14:textId="77777777" w:rsidR="00B92941" w:rsidRDefault="00B92941" w:rsidP="00B92941">
      <w:pPr>
        <w:pStyle w:val="Textonotapie"/>
        <w:ind w:firstLine="708"/>
        <w:jc w:val="both"/>
        <w:rPr>
          <w:rFonts w:ascii="Arial" w:hAnsi="Arial" w:cs="Arial"/>
          <w:sz w:val="19"/>
          <w:szCs w:val="19"/>
        </w:rPr>
      </w:pPr>
      <w:r w:rsidRPr="004E691C">
        <w:rPr>
          <w:rFonts w:ascii="Arial" w:hAnsi="Arial" w:cs="Arial"/>
          <w:sz w:val="19"/>
          <w:szCs w:val="19"/>
        </w:rPr>
        <w:t>2. Devolución del pago anticipado. Este amparo cubre los perjuicios sufridos por la Entidad Estatal por la no devolución total o parcial del dinero entregado al contratista a título de pago anticipado, cuando a ello hubiere lugar […]</w:t>
      </w:r>
      <w:r>
        <w:rPr>
          <w:rFonts w:ascii="Arial" w:hAnsi="Arial" w:cs="Arial"/>
          <w:sz w:val="19"/>
          <w:szCs w:val="19"/>
        </w:rPr>
        <w:t>”.</w:t>
      </w:r>
    </w:p>
    <w:p w14:paraId="5261568D" w14:textId="77777777" w:rsidR="00B92941" w:rsidRPr="004E691C" w:rsidRDefault="00B92941" w:rsidP="00B92941">
      <w:pPr>
        <w:pStyle w:val="Textonotapie"/>
        <w:ind w:firstLine="708"/>
        <w:jc w:val="both"/>
        <w:rPr>
          <w:rFonts w:ascii="Arial" w:hAnsi="Arial" w:cs="Arial"/>
          <w:sz w:val="19"/>
          <w:szCs w:val="19"/>
        </w:rPr>
      </w:pPr>
    </w:p>
    <w:p w14:paraId="7B423889" w14:textId="77777777" w:rsidR="00B92941" w:rsidRDefault="00B92941" w:rsidP="00B92941">
      <w:pPr>
        <w:pStyle w:val="Textonotapie"/>
        <w:ind w:firstLine="708"/>
        <w:jc w:val="both"/>
        <w:rPr>
          <w:rFonts w:ascii="Arial" w:hAnsi="Arial" w:cs="Arial"/>
          <w:sz w:val="19"/>
          <w:szCs w:val="19"/>
        </w:rPr>
      </w:pPr>
      <w:r>
        <w:rPr>
          <w:rFonts w:ascii="Arial" w:hAnsi="Arial" w:cs="Arial"/>
          <w:sz w:val="19"/>
          <w:szCs w:val="19"/>
        </w:rPr>
        <w:t>“</w:t>
      </w:r>
      <w:r w:rsidRPr="004E691C">
        <w:rPr>
          <w:rFonts w:ascii="Arial" w:hAnsi="Arial" w:cs="Arial"/>
          <w:sz w:val="19"/>
          <w:szCs w:val="19"/>
        </w:rPr>
        <w:t>Artículo 2.2.1.2.3.1.10. Suficiencia de la garantía de buen manejo y correcta inversión del anticipo. La Garantía de buen manejo y correcta inversión del anticipo debe estar vigente hasta la liquidación del contrato o hasta la amortización del anticipo, de acuerdo con lo que determine la Entidad Estatal. El valor de esta garantía debe ser el ciento por ciento (100%) de la suma establecida como anticipo, ya sea este en dinero o en especie</w:t>
      </w:r>
      <w:r>
        <w:rPr>
          <w:rFonts w:ascii="Arial" w:hAnsi="Arial" w:cs="Arial"/>
          <w:sz w:val="19"/>
          <w:szCs w:val="19"/>
        </w:rPr>
        <w:t>”.</w:t>
      </w:r>
    </w:p>
    <w:p w14:paraId="367FCD64" w14:textId="77777777" w:rsidR="00B92941" w:rsidRPr="004E691C" w:rsidRDefault="00B92941" w:rsidP="00B92941">
      <w:pPr>
        <w:pStyle w:val="Textonotapie"/>
        <w:ind w:firstLine="708"/>
        <w:jc w:val="both"/>
        <w:rPr>
          <w:rFonts w:ascii="Arial" w:hAnsi="Arial" w:cs="Arial"/>
          <w:sz w:val="19"/>
          <w:szCs w:val="19"/>
        </w:rPr>
      </w:pPr>
    </w:p>
    <w:p w14:paraId="5FF74546" w14:textId="77777777" w:rsidR="00B92941" w:rsidRPr="004E691C" w:rsidRDefault="00B92941" w:rsidP="00B92941">
      <w:pPr>
        <w:pStyle w:val="Textonotapie"/>
        <w:ind w:firstLine="708"/>
        <w:jc w:val="both"/>
        <w:rPr>
          <w:rFonts w:ascii="Arial" w:hAnsi="Arial" w:cs="Arial"/>
          <w:sz w:val="19"/>
          <w:szCs w:val="19"/>
          <w:lang w:val="es-CO"/>
        </w:rPr>
      </w:pPr>
      <w:r>
        <w:rPr>
          <w:rFonts w:ascii="Arial" w:hAnsi="Arial" w:cs="Arial"/>
          <w:sz w:val="19"/>
          <w:szCs w:val="19"/>
        </w:rPr>
        <w:t>“A</w:t>
      </w:r>
      <w:r w:rsidRPr="004E691C">
        <w:rPr>
          <w:rFonts w:ascii="Arial" w:hAnsi="Arial" w:cs="Arial"/>
          <w:sz w:val="19"/>
          <w:szCs w:val="19"/>
        </w:rPr>
        <w:t>rtículo 2.2.1.2.3.1.11. Suficiencia de la garantía de pago anticipado. La garantía de pago anticipado debe estar vigente hasta la liquidación del contrato o hasta que la Entidad Estatal verifique el cumplimiento de todas las actividades o la entrega de todos los bienes o servicios asociados al pago anticipado, de acuerdo con lo que determine la Entidad Estatal. El valor de esta garantía debe ser el ciento por ciento (100%) del monto pagado de forma anticipada, ya sea este en dinero o en especie</w:t>
      </w:r>
      <w:r>
        <w:rPr>
          <w:rFonts w:ascii="Arial" w:hAnsi="Arial" w:cs="Arial"/>
          <w:sz w:val="19"/>
          <w:szCs w:val="19"/>
        </w:rPr>
        <w:t>”.</w:t>
      </w:r>
    </w:p>
  </w:footnote>
  <w:footnote w:id="5">
    <w:p w14:paraId="2C29875E" w14:textId="77777777" w:rsidR="00B92941" w:rsidRPr="00413593" w:rsidRDefault="00B92941" w:rsidP="00B92941">
      <w:pPr>
        <w:ind w:firstLine="708"/>
        <w:jc w:val="both"/>
        <w:rPr>
          <w:rFonts w:ascii="Arial" w:eastAsia="Calibri" w:hAnsi="Arial" w:cs="Arial"/>
          <w:sz w:val="20"/>
          <w:szCs w:val="20"/>
        </w:rPr>
      </w:pPr>
      <w:r>
        <w:rPr>
          <w:rStyle w:val="Refdenotaalpie"/>
        </w:rPr>
        <w:footnoteRef/>
      </w:r>
      <w:r>
        <w:t xml:space="preserve"> </w:t>
      </w:r>
      <w:r>
        <w:rPr>
          <w:lang w:val="es-ES_tradnl"/>
        </w:rPr>
        <w:t>Sí la entidad decide no entregar anticipo y/o pago anticipado deberá incluir el siguiente párrafo contenido en el numeral 9.3 “</w:t>
      </w:r>
      <w:r w:rsidRPr="00413593">
        <w:rPr>
          <w:rFonts w:ascii="Arial" w:eastAsia="Calibri" w:hAnsi="Arial" w:cs="Arial"/>
          <w:sz w:val="20"/>
          <w:szCs w:val="20"/>
          <w:highlight w:val="lightGray"/>
        </w:rPr>
        <w:t xml:space="preserve">[Incluir el siguiente párrafo cuando la Entidad decida no entregar </w:t>
      </w:r>
      <w:r w:rsidRPr="00413593">
        <w:rPr>
          <w:rFonts w:ascii="Arial" w:eastAsia="Calibri" w:hAnsi="Arial" w:cs="Arial"/>
          <w:bCs/>
          <w:sz w:val="20"/>
          <w:szCs w:val="20"/>
          <w:highlight w:val="lightGray"/>
        </w:rPr>
        <w:t>Anticipo y/o Pago Anticipado</w:t>
      </w:r>
      <w:r w:rsidRPr="00413593">
        <w:rPr>
          <w:rFonts w:ascii="Arial" w:eastAsia="Calibri" w:hAnsi="Arial" w:cs="Arial"/>
          <w:sz w:val="20"/>
          <w:szCs w:val="20"/>
          <w:highlight w:val="lightGray"/>
        </w:rPr>
        <w:t>]</w:t>
      </w:r>
      <w:r w:rsidRPr="00413593">
        <w:rPr>
          <w:rFonts w:ascii="Arial" w:eastAsia="Calibri" w:hAnsi="Arial" w:cs="Arial"/>
          <w:sz w:val="20"/>
          <w:szCs w:val="20"/>
        </w:rPr>
        <w:t xml:space="preserve"> </w:t>
      </w:r>
      <w:r w:rsidRPr="00413593">
        <w:rPr>
          <w:rFonts w:ascii="Arial" w:eastAsia="Calibri" w:hAnsi="Arial" w:cs="Arial"/>
          <w:bCs/>
          <w:sz w:val="20"/>
          <w:szCs w:val="20"/>
        </w:rPr>
        <w:t xml:space="preserve">En el Proceso de Contratación la Entidad no entregará al Interventor </w:t>
      </w:r>
      <w:r w:rsidRPr="00413593">
        <w:rPr>
          <w:rFonts w:ascii="Arial" w:eastAsia="Calibri" w:hAnsi="Arial" w:cs="Arial"/>
          <w:sz w:val="20"/>
          <w:szCs w:val="20"/>
          <w:highlight w:val="lightGray"/>
        </w:rPr>
        <w:t>[</w:t>
      </w:r>
      <w:r w:rsidRPr="00413593">
        <w:rPr>
          <w:rFonts w:ascii="Arial" w:eastAsia="Calibri" w:hAnsi="Arial" w:cs="Arial"/>
          <w:bCs/>
          <w:sz w:val="20"/>
          <w:szCs w:val="20"/>
          <w:highlight w:val="lightGray"/>
        </w:rPr>
        <w:t>Anticipo y/o Pago Anticipado</w:t>
      </w:r>
      <w:r w:rsidRPr="00413593">
        <w:rPr>
          <w:rFonts w:ascii="Arial" w:eastAsia="Calibri" w:hAnsi="Arial" w:cs="Arial"/>
          <w:sz w:val="20"/>
          <w:szCs w:val="20"/>
          <w:highlight w:val="lightGray"/>
        </w:rPr>
        <w:t>]</w:t>
      </w:r>
      <w:r>
        <w:rPr>
          <w:rFonts w:ascii="Arial" w:eastAsia="Calibri" w:hAnsi="Arial" w:cs="Arial"/>
          <w:sz w:val="20"/>
          <w:szCs w:val="20"/>
        </w:rPr>
        <w:t xml:space="preserve">”. </w:t>
      </w:r>
    </w:p>
    <w:p w14:paraId="503ADB11" w14:textId="77777777" w:rsidR="00B92941" w:rsidRPr="00485D19" w:rsidRDefault="00B92941" w:rsidP="00B92941">
      <w:pPr>
        <w:pStyle w:val="Textonotapie"/>
        <w:ind w:firstLine="708"/>
        <w:rPr>
          <w:lang w:val="es-CO"/>
        </w:rPr>
      </w:pPr>
    </w:p>
  </w:footnote>
  <w:footnote w:id="6">
    <w:p w14:paraId="7CF304AC" w14:textId="77777777" w:rsidR="00B92941" w:rsidRDefault="00B92941" w:rsidP="00B92941">
      <w:pPr>
        <w:pStyle w:val="Textonotapie"/>
        <w:ind w:firstLine="708"/>
        <w:jc w:val="both"/>
      </w:pPr>
      <w:r>
        <w:rPr>
          <w:rStyle w:val="Refdenotaalpie"/>
        </w:rPr>
        <w:footnoteRef/>
      </w:r>
      <w:r>
        <w:t xml:space="preserve"> La introducción del documento base de los documentos tipo de interventoría de obra pública de infraestructura de transporte – versión 3 establecen que “(…) </w:t>
      </w:r>
      <w:r w:rsidRPr="00413593">
        <w:rPr>
          <w:rFonts w:ascii="Arial" w:eastAsia="Arial" w:hAnsi="Arial" w:cs="Arial"/>
        </w:rPr>
        <w:t>aplican a los procesos de interventoría de obra pública de infraestructura de transporte celebrados en la modalidad de concurso de méritos</w:t>
      </w:r>
      <w:r>
        <w:rPr>
          <w:rFonts w:ascii="Arial" w:eastAsia="Arial" w:hAnsi="Arial" w:cs="Ari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17107825">
    <w:abstractNumId w:val="4"/>
  </w:num>
  <w:num w:numId="17" w16cid:durableId="2125230845">
    <w:abstractNumId w:val="10"/>
  </w:num>
  <w:num w:numId="18" w16cid:durableId="301270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A02"/>
    <w:rsid w:val="00016F78"/>
    <w:rsid w:val="00046945"/>
    <w:rsid w:val="00051BE0"/>
    <w:rsid w:val="00061B2A"/>
    <w:rsid w:val="00082362"/>
    <w:rsid w:val="00096E79"/>
    <w:rsid w:val="000A683E"/>
    <w:rsid w:val="000B19B9"/>
    <w:rsid w:val="000D0334"/>
    <w:rsid w:val="000F0430"/>
    <w:rsid w:val="000F432A"/>
    <w:rsid w:val="000F6486"/>
    <w:rsid w:val="00125105"/>
    <w:rsid w:val="00127233"/>
    <w:rsid w:val="00145FE2"/>
    <w:rsid w:val="001511A0"/>
    <w:rsid w:val="001D0A79"/>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07EF4"/>
    <w:rsid w:val="00414C74"/>
    <w:rsid w:val="0042722E"/>
    <w:rsid w:val="0044528D"/>
    <w:rsid w:val="004A1847"/>
    <w:rsid w:val="004A2262"/>
    <w:rsid w:val="004A305D"/>
    <w:rsid w:val="004F21C4"/>
    <w:rsid w:val="004F685F"/>
    <w:rsid w:val="005566E8"/>
    <w:rsid w:val="00574867"/>
    <w:rsid w:val="00591460"/>
    <w:rsid w:val="005946F4"/>
    <w:rsid w:val="005B3816"/>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3DC2"/>
    <w:rsid w:val="007D61EA"/>
    <w:rsid w:val="007E5497"/>
    <w:rsid w:val="00806F5F"/>
    <w:rsid w:val="00820278"/>
    <w:rsid w:val="00867F95"/>
    <w:rsid w:val="008843B6"/>
    <w:rsid w:val="00891928"/>
    <w:rsid w:val="008A446D"/>
    <w:rsid w:val="008D180B"/>
    <w:rsid w:val="008F0EA7"/>
    <w:rsid w:val="008F2385"/>
    <w:rsid w:val="00901EFF"/>
    <w:rsid w:val="00923EEF"/>
    <w:rsid w:val="00924272"/>
    <w:rsid w:val="009419F9"/>
    <w:rsid w:val="0095685E"/>
    <w:rsid w:val="00960CAB"/>
    <w:rsid w:val="00961B09"/>
    <w:rsid w:val="00965334"/>
    <w:rsid w:val="0097093E"/>
    <w:rsid w:val="00986AC5"/>
    <w:rsid w:val="009A0DFA"/>
    <w:rsid w:val="009A4BA0"/>
    <w:rsid w:val="009B2D26"/>
    <w:rsid w:val="009C71FA"/>
    <w:rsid w:val="009C72E7"/>
    <w:rsid w:val="009D3058"/>
    <w:rsid w:val="009F3A13"/>
    <w:rsid w:val="00A122D3"/>
    <w:rsid w:val="00A17F13"/>
    <w:rsid w:val="00A20739"/>
    <w:rsid w:val="00A33C78"/>
    <w:rsid w:val="00A63DD0"/>
    <w:rsid w:val="00AB0ADB"/>
    <w:rsid w:val="00B01B1A"/>
    <w:rsid w:val="00B66319"/>
    <w:rsid w:val="00B72CD3"/>
    <w:rsid w:val="00B72FFF"/>
    <w:rsid w:val="00B92941"/>
    <w:rsid w:val="00B94F9C"/>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E2735"/>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190"/>
    <w:rsid w:val="00EE1AA8"/>
    <w:rsid w:val="00EF2433"/>
    <w:rsid w:val="00F31EDC"/>
    <w:rsid w:val="00F462B3"/>
    <w:rsid w:val="00F47F62"/>
    <w:rsid w:val="00F5664F"/>
    <w:rsid w:val="00F666C4"/>
    <w:rsid w:val="00F76AFC"/>
    <w:rsid w:val="00FA47C0"/>
    <w:rsid w:val="00FB0BCF"/>
    <w:rsid w:val="00FB5DD1"/>
    <w:rsid w:val="00FC2B5D"/>
    <w:rsid w:val="00FF1449"/>
    <w:rsid w:val="0B5A9020"/>
    <w:rsid w:val="101E4F65"/>
    <w:rsid w:val="165E9519"/>
    <w:rsid w:val="1C1591CF"/>
    <w:rsid w:val="2BC913D8"/>
    <w:rsid w:val="2EC93900"/>
    <w:rsid w:val="382536D9"/>
    <w:rsid w:val="5BA9F522"/>
    <w:rsid w:val="6EFDAB80"/>
    <w:rsid w:val="7B6AA7A6"/>
    <w:rsid w:val="7C183931"/>
    <w:rsid w:val="7C22B64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9294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92941"/>
    <w:rPr>
      <w:rFonts w:ascii="Geomanist Light" w:hAnsi="Geomanist Light"/>
      <w:lang w:val="es-ES"/>
    </w:rPr>
  </w:style>
  <w:style w:type="character" w:customStyle="1" w:styleId="NormalWebCar">
    <w:name w:val="Normal (Web) Car"/>
    <w:link w:val="NormalWeb"/>
    <w:uiPriority w:val="99"/>
    <w:locked/>
    <w:rsid w:val="00B92941"/>
    <w:rPr>
      <w:rFonts w:ascii="Times New Roman" w:eastAsia="Times New Roman" w:hAnsi="Times New Roman" w:cs="Times New Roman"/>
      <w:sz w:val="24"/>
      <w:szCs w:val="24"/>
      <w:lang w:eastAsia="es-CO"/>
    </w:rPr>
  </w:style>
  <w:style w:type="table" w:customStyle="1" w:styleId="Tablaconcuadrcula11">
    <w:name w:val="Tabla con cuadrícula11"/>
    <w:basedOn w:val="Tablanormal"/>
    <w:next w:val="Tablaconcuadrcula"/>
    <w:uiPriority w:val="39"/>
    <w:qFormat/>
    <w:rsid w:val="00B92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itulo8">
    <w:name w:val="Capitulo 8"/>
    <w:basedOn w:val="Normal"/>
    <w:qFormat/>
    <w:rsid w:val="00B92941"/>
    <w:pPr>
      <w:numPr>
        <w:numId w:val="18"/>
      </w:numPr>
      <w:spacing w:after="200" w:line="276" w:lineRule="auto"/>
      <w:contextualSpacing/>
    </w:pPr>
    <w:rPr>
      <w:rFonts w:ascii="Arial" w:eastAsia="Calibri" w:hAnsi="Arial" w:cs="Arial"/>
      <w:b/>
      <w:bCs/>
      <w:color w:val="1C1C1C"/>
      <w:sz w:val="20"/>
      <w:szCs w:val="20"/>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2834488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ridica@tame-arauca.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vrpubindc.imprenta.gov.co/senado/index.xhtml;jsessionid=b3ba7213a248bacd37376ffcedc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purl.org/dc/terms/"/>
    <ds:schemaRef ds:uri="a6cb9e4b-f1d1-4245-83ec-6cad768d538a"/>
    <ds:schemaRef ds:uri="http://purl.org/dc/dcmityp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9d85dbaf-23eb-4e57-a637-93dcacc8b1a1"/>
    <ds:schemaRef ds:uri="http://www.w3.org/XML/1998/namespace"/>
  </ds:schemaRefs>
</ds:datastoreItem>
</file>

<file path=customXml/itemProps2.xml><?xml version="1.0" encoding="utf-8"?>
<ds:datastoreItem xmlns:ds="http://schemas.openxmlformats.org/officeDocument/2006/customXml" ds:itemID="{2020C872-C983-49D2-9142-09FB9832E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5358</Words>
  <Characters>29473</Characters>
  <Application>Microsoft Office Word</Application>
  <DocSecurity>0</DocSecurity>
  <Lines>245</Lines>
  <Paragraphs>69</Paragraphs>
  <ScaleCrop>false</ScaleCrop>
  <Company/>
  <LinksUpToDate>false</LinksUpToDate>
  <CharactersWithSpaces>34762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2025-07-24T23:29:00Z</dcterms:created>
  <dcterms:modified xsi:type="dcterms:W3CDTF">2025-07-24T23:29:00Z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