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38893" w14:textId="77777777" w:rsidR="0090263C" w:rsidRPr="00FC49A2" w:rsidRDefault="0090263C" w:rsidP="0090263C">
      <w:pPr>
        <w:spacing w:after="0" w:line="240" w:lineRule="auto"/>
        <w:jc w:val="both"/>
        <w:rPr>
          <w:rFonts w:ascii="Verdana" w:eastAsia="Calibri" w:hAnsi="Verdana" w:cs="Arial"/>
          <w:b/>
          <w:bCs/>
          <w:lang w:val="es-ES_tradnl" w:eastAsia="es-ES_tradnl"/>
        </w:rPr>
      </w:pPr>
      <w:bookmarkStart w:id="0" w:name="_Hlk181166130"/>
      <w:bookmarkStart w:id="1" w:name="_Hlk143780582"/>
      <w:r w:rsidRPr="00FC49A2">
        <w:rPr>
          <w:rFonts w:ascii="Verdana" w:eastAsia="Calibri" w:hAnsi="Verdana" w:cs="Arial"/>
          <w:b/>
          <w:bCs/>
          <w:lang w:val="es-ES_tradnl" w:eastAsia="es-ES_tradnl"/>
        </w:rPr>
        <w:t>CONVOCATORIAS LIMITADAS A MIPYMES – Requisitos – Artículo 2.2.1.2.4.2.2 del Decreto 1082 de 2015</w:t>
      </w:r>
      <w:r>
        <w:rPr>
          <w:rFonts w:ascii="Verdana" w:eastAsia="Calibri" w:hAnsi="Verdana" w:cs="Arial"/>
          <w:b/>
          <w:bCs/>
          <w:lang w:val="es-ES_tradnl" w:eastAsia="es-ES_tradnl"/>
        </w:rPr>
        <w:t>.</w:t>
      </w:r>
      <w:r w:rsidRPr="00FC49A2">
        <w:rPr>
          <w:rFonts w:ascii="Verdana" w:eastAsia="Calibri" w:hAnsi="Verdana" w:cs="Arial"/>
          <w:b/>
          <w:bCs/>
          <w:lang w:val="es-ES_tradnl" w:eastAsia="es-ES_tradnl"/>
        </w:rPr>
        <w:t xml:space="preserve"> </w:t>
      </w:r>
    </w:p>
    <w:p w14:paraId="388B2FB1" w14:textId="77777777" w:rsidR="0090263C" w:rsidRPr="00FC49A2" w:rsidRDefault="0090263C" w:rsidP="0090263C">
      <w:pPr>
        <w:spacing w:after="0" w:line="240" w:lineRule="auto"/>
        <w:jc w:val="both"/>
        <w:rPr>
          <w:rFonts w:ascii="Verdana" w:eastAsia="Calibri" w:hAnsi="Verdana" w:cs="Arial"/>
          <w:b/>
          <w:bCs/>
          <w:sz w:val="20"/>
          <w:szCs w:val="20"/>
          <w:highlight w:val="yellow"/>
          <w:lang w:val="es-ES_tradnl" w:eastAsia="es-ES_tradnl"/>
        </w:rPr>
      </w:pPr>
    </w:p>
    <w:p w14:paraId="4EB16D4B" w14:textId="77777777" w:rsidR="0090263C" w:rsidRPr="00FC49A2" w:rsidRDefault="0090263C" w:rsidP="0090263C">
      <w:pPr>
        <w:spacing w:after="0" w:line="240" w:lineRule="auto"/>
        <w:jc w:val="both"/>
        <w:rPr>
          <w:rFonts w:ascii="Verdana" w:eastAsia="Aptos" w:hAnsi="Verdana" w:cs="Times New Roman"/>
          <w:sz w:val="20"/>
          <w:szCs w:val="20"/>
        </w:rPr>
      </w:pPr>
      <w:r w:rsidRPr="00FC49A2">
        <w:rPr>
          <w:rFonts w:ascii="Verdana" w:eastAsia="Aptos" w:hAnsi="Verdana" w:cs="Times New Roman"/>
          <w:sz w:val="20"/>
          <w:szCs w:val="20"/>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07BAC7D7" w14:textId="77777777" w:rsidR="0090263C" w:rsidRPr="00FC49A2" w:rsidRDefault="0090263C" w:rsidP="0090263C">
      <w:pPr>
        <w:spacing w:after="0" w:line="240" w:lineRule="auto"/>
        <w:jc w:val="both"/>
        <w:rPr>
          <w:rFonts w:ascii="Verdana" w:eastAsia="Aptos" w:hAnsi="Verdana" w:cs="Times New Roman"/>
          <w:sz w:val="20"/>
          <w:szCs w:val="20"/>
        </w:rPr>
      </w:pPr>
    </w:p>
    <w:p w14:paraId="239144AB" w14:textId="77777777" w:rsidR="0090263C" w:rsidRPr="00FC49A2" w:rsidRDefault="0090263C" w:rsidP="0090263C">
      <w:pPr>
        <w:spacing w:after="0" w:line="240" w:lineRule="auto"/>
        <w:jc w:val="both"/>
        <w:rPr>
          <w:rFonts w:ascii="Verdana" w:eastAsia="Aptos" w:hAnsi="Verdana" w:cs="Times New Roman"/>
          <w:sz w:val="20"/>
          <w:szCs w:val="20"/>
        </w:rPr>
      </w:pPr>
      <w:r w:rsidRPr="00FC49A2">
        <w:rPr>
          <w:rFonts w:ascii="Verdana" w:eastAsia="Aptos" w:hAnsi="Verdana" w:cs="Times New Roman"/>
          <w:sz w:val="20"/>
          <w:szCs w:val="20"/>
        </w:rPr>
        <w:t>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Mipyme, cuyo objeto social les permita ejecutar el contrato relacionado con el proceso contractual”.</w:t>
      </w:r>
    </w:p>
    <w:p w14:paraId="17042B7E" w14:textId="77777777" w:rsidR="0090263C" w:rsidRPr="00FC49A2" w:rsidRDefault="0090263C" w:rsidP="0090263C">
      <w:pPr>
        <w:spacing w:after="0" w:line="240" w:lineRule="auto"/>
        <w:jc w:val="both"/>
        <w:rPr>
          <w:rFonts w:ascii="Verdana" w:eastAsia="Aptos" w:hAnsi="Verdana" w:cs="Times New Roman"/>
          <w:sz w:val="20"/>
          <w:szCs w:val="20"/>
        </w:rPr>
      </w:pPr>
    </w:p>
    <w:p w14:paraId="16052C4F" w14:textId="77777777" w:rsidR="0090263C" w:rsidRPr="004A615F" w:rsidRDefault="0090263C" w:rsidP="0090263C">
      <w:pPr>
        <w:widowControl w:val="0"/>
        <w:autoSpaceDE w:val="0"/>
        <w:autoSpaceDN w:val="0"/>
        <w:spacing w:after="0" w:line="240" w:lineRule="auto"/>
        <w:ind w:right="109"/>
        <w:jc w:val="both"/>
        <w:rPr>
          <w:rFonts w:ascii="Verdana" w:eastAsia="Arial" w:hAnsi="Verdana" w:cs="Arial"/>
          <w:b/>
          <w:bCs/>
          <w:color w:val="000000" w:themeColor="text1"/>
          <w:lang w:val="es-ES_tradnl"/>
        </w:rPr>
      </w:pPr>
      <w:r w:rsidRPr="004A615F">
        <w:rPr>
          <w:rFonts w:ascii="Verdana" w:eastAsia="Arial" w:hAnsi="Verdana" w:cs="Arial"/>
          <w:b/>
          <w:bCs/>
          <w:color w:val="000000" w:themeColor="text1"/>
          <w:lang w:val="es-ES_tradnl"/>
        </w:rPr>
        <w:t>CONVOCATORIAS LIMITADAS A MIPYMES NACIONALES – Limitación territorial – Relevancia del domicilio de la Mipymes.</w:t>
      </w:r>
    </w:p>
    <w:p w14:paraId="5F819AA1" w14:textId="77777777" w:rsidR="0090263C" w:rsidRPr="004A615F" w:rsidRDefault="0090263C" w:rsidP="0090263C">
      <w:pPr>
        <w:widowControl w:val="0"/>
        <w:autoSpaceDE w:val="0"/>
        <w:autoSpaceDN w:val="0"/>
        <w:spacing w:after="0" w:line="240" w:lineRule="auto"/>
        <w:ind w:right="109"/>
        <w:jc w:val="both"/>
        <w:rPr>
          <w:rFonts w:ascii="Verdana" w:eastAsia="Arial" w:hAnsi="Verdana" w:cs="Arial"/>
          <w:color w:val="000000" w:themeColor="text1"/>
          <w:sz w:val="20"/>
          <w:szCs w:val="20"/>
          <w:lang w:val="es-ES_tradnl"/>
        </w:rPr>
      </w:pPr>
    </w:p>
    <w:p w14:paraId="0A15FAB8" w14:textId="77777777" w:rsidR="0090263C" w:rsidRPr="00F013EC" w:rsidRDefault="0090263C" w:rsidP="0090263C">
      <w:pPr>
        <w:widowControl w:val="0"/>
        <w:autoSpaceDE w:val="0"/>
        <w:autoSpaceDN w:val="0"/>
        <w:spacing w:after="0" w:line="240" w:lineRule="auto"/>
        <w:ind w:right="109"/>
        <w:jc w:val="both"/>
        <w:rPr>
          <w:rFonts w:ascii="Verdana" w:eastAsia="Arial" w:hAnsi="Verdana" w:cs="Arial"/>
          <w:color w:val="000000" w:themeColor="text1"/>
          <w:sz w:val="20"/>
          <w:szCs w:val="20"/>
          <w:highlight w:val="yellow"/>
          <w:lang w:val="es-ES_tradnl"/>
        </w:rPr>
      </w:pPr>
      <w:r w:rsidRPr="004A615F">
        <w:rPr>
          <w:rFonts w:ascii="Verdana" w:eastAsia="Arial" w:hAnsi="Verdana" w:cs="Arial"/>
          <w:color w:val="000000" w:themeColor="text1"/>
          <w:sz w:val="20"/>
          <w:szCs w:val="20"/>
          <w:lang w:val="es-ES_tradnl"/>
        </w:rPr>
        <w:t>Ahora bien, el artículo 2.2.1.2.4.2.3. del Decreto 1082 de 2015, modificado por el artículo 5 del Decreto 1860 de 2021 se refiere a las “mipyme colombianas que tengan domicilio en los departamentos o municipios en donde se va a ejecutar el contrato”. Esta precisión es importante, pues el incentivo previsto en la norma únicamente aplica en el lugar de ejecución del contratado en el que la Mipyme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r w:rsidRPr="00F013EC">
        <w:rPr>
          <w:rFonts w:ascii="Verdana" w:eastAsia="Arial" w:hAnsi="Verdana" w:cs="Arial"/>
          <w:color w:val="000000" w:themeColor="text1"/>
          <w:sz w:val="20"/>
          <w:szCs w:val="20"/>
          <w:highlight w:val="yellow"/>
          <w:lang w:val="es-ES_tradnl"/>
        </w:rPr>
        <w:t xml:space="preserve"> </w:t>
      </w:r>
    </w:p>
    <w:p w14:paraId="55E418ED" w14:textId="77777777" w:rsidR="004655F6" w:rsidRDefault="004655F6" w:rsidP="004655F6">
      <w:pPr>
        <w:spacing w:line="276" w:lineRule="auto"/>
        <w:jc w:val="both"/>
        <w:rPr>
          <w:rFonts w:ascii="Verdana" w:eastAsia="Aptos" w:hAnsi="Verdana" w:cs="Times New Roman"/>
          <w:sz w:val="20"/>
          <w:szCs w:val="20"/>
        </w:rPr>
      </w:pPr>
    </w:p>
    <w:p w14:paraId="6A05CB56" w14:textId="77777777" w:rsidR="004655F6" w:rsidRDefault="004655F6" w:rsidP="004655F6">
      <w:pPr>
        <w:spacing w:line="276" w:lineRule="auto"/>
        <w:jc w:val="both"/>
        <w:rPr>
          <w:rFonts w:ascii="Verdana" w:eastAsia="Aptos" w:hAnsi="Verdana" w:cs="Times New Roman"/>
          <w:sz w:val="20"/>
          <w:szCs w:val="20"/>
        </w:rPr>
      </w:pPr>
    </w:p>
    <w:p w14:paraId="5EBBDD14" w14:textId="77777777" w:rsidR="004655F6" w:rsidRDefault="004655F6" w:rsidP="004655F6">
      <w:pPr>
        <w:spacing w:after="0" w:line="240" w:lineRule="auto"/>
        <w:jc w:val="both"/>
        <w:rPr>
          <w:rFonts w:ascii="Verdana" w:eastAsia="Aptos" w:hAnsi="Verdana" w:cs="Times New Roman"/>
          <w:sz w:val="20"/>
          <w:szCs w:val="20"/>
        </w:rPr>
      </w:pPr>
    </w:p>
    <w:p w14:paraId="681D2B65" w14:textId="77777777" w:rsidR="004655F6" w:rsidRDefault="004655F6" w:rsidP="004655F6">
      <w:pPr>
        <w:spacing w:after="0" w:line="240" w:lineRule="auto"/>
        <w:jc w:val="both"/>
        <w:rPr>
          <w:rFonts w:ascii="Verdana" w:eastAsia="Aptos" w:hAnsi="Verdana" w:cs="Times New Roman"/>
          <w:sz w:val="20"/>
          <w:szCs w:val="20"/>
        </w:rPr>
      </w:pPr>
    </w:p>
    <w:p w14:paraId="4216A772" w14:textId="77777777" w:rsidR="004655F6" w:rsidRDefault="004655F6" w:rsidP="004655F6">
      <w:pPr>
        <w:spacing w:after="0" w:line="240" w:lineRule="auto"/>
        <w:jc w:val="both"/>
        <w:rPr>
          <w:rFonts w:ascii="Verdana" w:eastAsia="Aptos" w:hAnsi="Verdana" w:cs="Times New Roman"/>
          <w:sz w:val="20"/>
          <w:szCs w:val="20"/>
        </w:rPr>
      </w:pPr>
    </w:p>
    <w:p w14:paraId="7A228D83" w14:textId="77777777" w:rsidR="004655F6" w:rsidRDefault="004655F6" w:rsidP="004655F6">
      <w:pPr>
        <w:spacing w:after="0" w:line="240" w:lineRule="auto"/>
        <w:jc w:val="both"/>
        <w:rPr>
          <w:rFonts w:ascii="Verdana" w:eastAsia="Aptos" w:hAnsi="Verdana" w:cs="Times New Roman"/>
          <w:sz w:val="20"/>
          <w:szCs w:val="20"/>
        </w:rPr>
      </w:pPr>
    </w:p>
    <w:p w14:paraId="1A9BD746" w14:textId="77777777" w:rsidR="004655F6" w:rsidRDefault="004655F6" w:rsidP="004655F6">
      <w:pPr>
        <w:spacing w:after="0" w:line="240" w:lineRule="auto"/>
        <w:jc w:val="both"/>
        <w:rPr>
          <w:rFonts w:ascii="Verdana" w:eastAsia="Aptos" w:hAnsi="Verdana" w:cs="Times New Roman"/>
          <w:sz w:val="20"/>
          <w:szCs w:val="20"/>
        </w:rPr>
      </w:pPr>
    </w:p>
    <w:p w14:paraId="1DF21117" w14:textId="099D7EAC" w:rsidR="004655F6" w:rsidRDefault="004655F6" w:rsidP="004655F6">
      <w:pPr>
        <w:spacing w:after="0"/>
        <w:rPr>
          <w:rFonts w:ascii="Verdana" w:hAnsi="Verdana"/>
        </w:rPr>
      </w:pPr>
      <w:r>
        <w:rPr>
          <w:rFonts w:ascii="Verdana" w:hAnsi="Verdana"/>
        </w:rPr>
        <w:t>B</w:t>
      </w:r>
      <w:r w:rsidRPr="0044528D">
        <w:rPr>
          <w:rFonts w:ascii="Verdana" w:hAnsi="Verdana"/>
        </w:rPr>
        <w:t xml:space="preserve">ogotá D.C., </w:t>
      </w:r>
      <w:r w:rsidR="00BC017B">
        <w:rPr>
          <w:rFonts w:ascii="Verdana" w:hAnsi="Verdana"/>
        </w:rPr>
        <w:t>06 de agosto de 2025.</w:t>
      </w:r>
    </w:p>
    <w:p w14:paraId="6A864E55" w14:textId="77777777" w:rsidR="004655F6" w:rsidRDefault="004655F6" w:rsidP="004655F6">
      <w:pPr>
        <w:spacing w:after="0"/>
        <w:rPr>
          <w:rFonts w:ascii="Verdana" w:hAnsi="Verdana"/>
        </w:rPr>
      </w:pPr>
      <w:bookmarkStart w:id="2" w:name="_Hlk180638295"/>
      <w:bookmarkEnd w:id="0"/>
    </w:p>
    <w:p w14:paraId="60D2EACC" w14:textId="4AEE9AA7" w:rsidR="00BC017B" w:rsidRDefault="00BC017B" w:rsidP="00BC017B">
      <w:pPr>
        <w:spacing w:after="0"/>
        <w:jc w:val="right"/>
        <w:rPr>
          <w:rFonts w:ascii="Verdana" w:hAnsi="Verdana"/>
        </w:rPr>
      </w:pPr>
      <w:r>
        <w:rPr>
          <w:rFonts w:ascii="Verdana" w:hAnsi="Verdana"/>
          <w:noProof/>
        </w:rPr>
        <w:drawing>
          <wp:inline distT="0" distB="0" distL="0" distR="0" wp14:anchorId="79B52DB6" wp14:editId="5C51D894">
            <wp:extent cx="2781300" cy="695325"/>
            <wp:effectExtent l="0" t="0" r="0" b="9525"/>
            <wp:docPr id="1784436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1300" cy="695325"/>
                    </a:xfrm>
                    <a:prstGeom prst="rect">
                      <a:avLst/>
                    </a:prstGeom>
                    <a:noFill/>
                    <a:ln>
                      <a:noFill/>
                    </a:ln>
                  </pic:spPr>
                </pic:pic>
              </a:graphicData>
            </a:graphic>
          </wp:inline>
        </w:drawing>
      </w:r>
    </w:p>
    <w:p w14:paraId="3D780ED0" w14:textId="77777777" w:rsidR="004655F6" w:rsidRDefault="004655F6" w:rsidP="004655F6">
      <w:pPr>
        <w:spacing w:after="0"/>
        <w:rPr>
          <w:rFonts w:ascii="Verdana" w:hAnsi="Verdana"/>
        </w:rPr>
      </w:pPr>
    </w:p>
    <w:p w14:paraId="41DD05AC" w14:textId="77777777" w:rsidR="004655F6" w:rsidRDefault="004655F6" w:rsidP="004655F6">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572F7598" w14:textId="51F0F359" w:rsidR="004655F6" w:rsidRDefault="006C48B5" w:rsidP="004655F6">
      <w:pPr>
        <w:spacing w:after="0" w:line="240" w:lineRule="auto"/>
        <w:rPr>
          <w:rFonts w:ascii="Verdana" w:eastAsia="Calibri" w:hAnsi="Verdana" w:cs="Arial"/>
          <w:b/>
          <w:bCs/>
          <w:lang w:eastAsia="es-ES"/>
        </w:rPr>
      </w:pPr>
      <w:r>
        <w:rPr>
          <w:rFonts w:ascii="Verdana" w:eastAsia="Calibri" w:hAnsi="Verdana" w:cs="Arial"/>
          <w:b/>
          <w:bCs/>
          <w:lang w:eastAsia="es-ES"/>
        </w:rPr>
        <w:t>JUAN DE DIOS PEÑARANDA RAMIREZ</w:t>
      </w:r>
    </w:p>
    <w:p w14:paraId="5F2F8EEE" w14:textId="38552C47" w:rsidR="006C48B5" w:rsidRPr="00811A9B" w:rsidRDefault="0075435A" w:rsidP="004655F6">
      <w:pPr>
        <w:spacing w:after="0" w:line="240" w:lineRule="auto"/>
        <w:rPr>
          <w:rFonts w:ascii="Verdana" w:hAnsi="Verdana"/>
        </w:rPr>
      </w:pPr>
      <w:hyperlink r:id="rId12" w:history="1">
        <w:r w:rsidR="006C48B5" w:rsidRPr="006C48B5">
          <w:rPr>
            <w:rStyle w:val="Hipervnculo"/>
            <w:rFonts w:ascii="Verdana" w:hAnsi="Verdana"/>
          </w:rPr>
          <w:t>abogado@santiago-nortedesantander.gov.co</w:t>
        </w:r>
      </w:hyperlink>
    </w:p>
    <w:p w14:paraId="0A5961D0" w14:textId="199E1D00" w:rsidR="004655F6" w:rsidRDefault="006C48B5" w:rsidP="004655F6">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Santiago (Norte de Santander)</w:t>
      </w:r>
    </w:p>
    <w:p w14:paraId="220A25C8" w14:textId="77777777" w:rsidR="004655F6" w:rsidRPr="00FE3DEC" w:rsidRDefault="004655F6" w:rsidP="004655F6">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4655F6" w:rsidRPr="00593A5F" w14:paraId="2746523B" w14:textId="77777777" w:rsidTr="003E6E41">
        <w:trPr>
          <w:trHeight w:val="919"/>
        </w:trPr>
        <w:tc>
          <w:tcPr>
            <w:tcW w:w="2295" w:type="dxa"/>
          </w:tcPr>
          <w:p w14:paraId="7A582C7D" w14:textId="77777777" w:rsidR="004655F6" w:rsidRPr="00E5644F" w:rsidRDefault="004655F6" w:rsidP="003E6E41">
            <w:pPr>
              <w:jc w:val="both"/>
              <w:rPr>
                <w:rFonts w:ascii="Verdana" w:eastAsia="Calibri" w:hAnsi="Verdana" w:cs="Arial"/>
                <w:b/>
                <w:bCs/>
                <w:color w:val="7030A0"/>
                <w:lang w:val="es-ES_tradnl" w:eastAsia="es-ES_tradnl"/>
              </w:rPr>
            </w:pPr>
          </w:p>
        </w:tc>
        <w:tc>
          <w:tcPr>
            <w:tcW w:w="6481" w:type="dxa"/>
            <w:gridSpan w:val="2"/>
          </w:tcPr>
          <w:p w14:paraId="23AFB883" w14:textId="102C7068" w:rsidR="004655F6" w:rsidRPr="00E5644F" w:rsidRDefault="004655F6" w:rsidP="003E6E41">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6C48B5">
              <w:rPr>
                <w:rFonts w:ascii="Verdana" w:eastAsia="Calibri" w:hAnsi="Verdana" w:cs="Arial"/>
                <w:b/>
                <w:bCs/>
                <w:lang w:val="es-ES" w:eastAsia="es-ES"/>
              </w:rPr>
              <w:t>847</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4655F6" w:rsidRPr="00A52DE7" w14:paraId="7B1BCB56" w14:textId="77777777" w:rsidTr="003E6E41">
        <w:trPr>
          <w:trHeight w:val="919"/>
        </w:trPr>
        <w:tc>
          <w:tcPr>
            <w:tcW w:w="2295" w:type="dxa"/>
          </w:tcPr>
          <w:p w14:paraId="4FCD76B4" w14:textId="77777777" w:rsidR="004655F6" w:rsidRPr="00593A5F" w:rsidRDefault="004655F6" w:rsidP="003E6E4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429FC981" w14:textId="7B244BB3" w:rsidR="004655F6" w:rsidRPr="001568D6" w:rsidRDefault="0090263C" w:rsidP="003E6E41">
            <w:pPr>
              <w:spacing w:line="276" w:lineRule="auto"/>
              <w:jc w:val="both"/>
              <w:rPr>
                <w:rFonts w:ascii="Verdana" w:eastAsia="Calibri" w:hAnsi="Verdana" w:cs="Arial"/>
                <w:b/>
                <w:sz w:val="21"/>
                <w:szCs w:val="21"/>
              </w:rPr>
            </w:pPr>
            <w:r w:rsidRPr="00281394">
              <w:rPr>
                <w:rFonts w:ascii="Verdana" w:eastAsia="Calibri" w:hAnsi="Verdana" w:cs="Arial"/>
                <w:lang w:val="es-ES" w:eastAsia="es-ES"/>
              </w:rPr>
              <w:t>CONVOCATORIAS LIMITADAS A MIPYMES – Requisitos – Artículo 2.2.1.2.4.2.2 del Decreto 1082 de 2015.</w:t>
            </w:r>
            <w:r>
              <w:t xml:space="preserve"> </w:t>
            </w:r>
            <w:r w:rsidRPr="00281394">
              <w:rPr>
                <w:rFonts w:ascii="Verdana" w:eastAsia="Calibri" w:hAnsi="Verdana" w:cs="Arial"/>
                <w:lang w:val="es-ES" w:eastAsia="es-ES"/>
              </w:rPr>
              <w:t>CONVOCATORIAS LIMITADAS A MIPYMES NACIONALES – Limitación territorial – Relevancia del domicilio de la Mipymes</w:t>
            </w:r>
            <w:r>
              <w:rPr>
                <w:rFonts w:ascii="Verdana" w:eastAsia="Calibri" w:hAnsi="Verdana" w:cs="Arial"/>
                <w:lang w:val="es-ES" w:eastAsia="es-ES"/>
              </w:rPr>
              <w:t>.</w:t>
            </w:r>
          </w:p>
          <w:p w14:paraId="0702379A" w14:textId="77777777" w:rsidR="004655F6" w:rsidRPr="00A52DE7" w:rsidRDefault="004655F6" w:rsidP="003E6E41">
            <w:pPr>
              <w:jc w:val="both"/>
              <w:rPr>
                <w:rFonts w:ascii="Verdana" w:eastAsia="Calibri" w:hAnsi="Verdana" w:cs="Arial"/>
                <w:b/>
                <w:highlight w:val="yellow"/>
                <w:lang w:val="es-ES" w:eastAsia="es-ES"/>
              </w:rPr>
            </w:pPr>
          </w:p>
        </w:tc>
      </w:tr>
      <w:tr w:rsidR="004655F6" w:rsidRPr="00593A5F" w14:paraId="451C8FC9" w14:textId="77777777" w:rsidTr="003E6E41">
        <w:trPr>
          <w:trHeight w:val="545"/>
        </w:trPr>
        <w:tc>
          <w:tcPr>
            <w:tcW w:w="2295" w:type="dxa"/>
          </w:tcPr>
          <w:p w14:paraId="74548B83" w14:textId="77777777" w:rsidR="004655F6" w:rsidRPr="006730E9" w:rsidRDefault="004655F6" w:rsidP="003E6E41">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6A7928BB" w14:textId="22181A69" w:rsidR="004655F6" w:rsidRPr="006730E9" w:rsidRDefault="004655F6" w:rsidP="003E6E41">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6C48B5" w:rsidRPr="006C48B5">
              <w:rPr>
                <w:rFonts w:ascii="Verdana" w:eastAsia="Calibri" w:hAnsi="Verdana" w:cs="Arial"/>
                <w:lang w:val="es-ES_tradnl" w:eastAsia="es-ES_tradnl"/>
              </w:rPr>
              <w:t>1_2025_06_26_006369</w:t>
            </w:r>
            <w:r>
              <w:rPr>
                <w:rFonts w:ascii="Verdana" w:eastAsia="Calibri" w:hAnsi="Verdana" w:cs="Arial"/>
                <w:lang w:val="es-ES_tradnl" w:eastAsia="es-ES_tradnl"/>
              </w:rPr>
              <w:t>.</w:t>
            </w:r>
          </w:p>
        </w:tc>
      </w:tr>
      <w:tr w:rsidR="004655F6" w:rsidRPr="00DB23D2" w14:paraId="635A16F2" w14:textId="77777777" w:rsidTr="003E6E41">
        <w:trPr>
          <w:gridAfter w:val="1"/>
          <w:wAfter w:w="319" w:type="dxa"/>
          <w:trHeight w:val="242"/>
        </w:trPr>
        <w:tc>
          <w:tcPr>
            <w:tcW w:w="8457" w:type="dxa"/>
            <w:gridSpan w:val="2"/>
          </w:tcPr>
          <w:p w14:paraId="73C4E38A" w14:textId="77777777" w:rsidR="004655F6" w:rsidRPr="00DB23D2" w:rsidRDefault="004655F6" w:rsidP="003E6E41">
            <w:pPr>
              <w:spacing w:after="120" w:line="276" w:lineRule="auto"/>
              <w:jc w:val="both"/>
              <w:rPr>
                <w:rFonts w:ascii="Verdana" w:eastAsia="Calibri" w:hAnsi="Verdana" w:cs="Arial"/>
                <w:lang w:val="es-ES_tradnl" w:eastAsia="es-ES"/>
              </w:rPr>
            </w:pPr>
          </w:p>
        </w:tc>
      </w:tr>
    </w:tbl>
    <w:p w14:paraId="122F3ED3" w14:textId="0AA0736D" w:rsidR="004655F6" w:rsidRPr="006730E9" w:rsidRDefault="004655F6" w:rsidP="004655F6">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6C48B5">
        <w:rPr>
          <w:rFonts w:ascii="Verdana" w:eastAsia="Calibri" w:hAnsi="Verdana" w:cs="Arial"/>
          <w:lang w:val="es-ES" w:eastAsia="es-ES"/>
        </w:rPr>
        <w:t>Peñaranda</w:t>
      </w:r>
      <w:r>
        <w:rPr>
          <w:rFonts w:ascii="Verdana" w:eastAsia="Calibri" w:hAnsi="Verdana" w:cs="Arial"/>
          <w:lang w:val="es-ES" w:eastAsia="es-ES"/>
        </w:rPr>
        <w:t>;</w:t>
      </w:r>
    </w:p>
    <w:p w14:paraId="3989D043" w14:textId="77777777" w:rsidR="004655F6" w:rsidRDefault="004655F6" w:rsidP="004655F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707693C" w14:textId="5EDBAEAD" w:rsidR="004655F6" w:rsidRPr="006730E9" w:rsidRDefault="004655F6" w:rsidP="004655F6">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trasladada por competencia por el Departamento Administrativo de la Función Pública,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2</w:t>
      </w:r>
      <w:r w:rsidR="006C48B5">
        <w:rPr>
          <w:rFonts w:ascii="Verdana" w:eastAsia="Calibri" w:hAnsi="Verdana" w:cs="Arial"/>
          <w:lang w:val="es-ES" w:eastAsia="es-ES"/>
        </w:rPr>
        <w:t>6</w:t>
      </w:r>
      <w:r>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Pr>
          <w:rFonts w:ascii="Verdana" w:eastAsia="Calibri" w:hAnsi="Verdana" w:cs="Arial"/>
          <w:lang w:val="es-ES" w:eastAsia="es-ES"/>
        </w:rPr>
        <w:t>junio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25D2D43" w14:textId="77777777" w:rsidR="004655F6" w:rsidRPr="00326382" w:rsidRDefault="004655F6" w:rsidP="004655F6">
      <w:pPr>
        <w:spacing w:after="0" w:line="240" w:lineRule="auto"/>
        <w:ind w:left="709" w:right="474"/>
        <w:jc w:val="both"/>
        <w:rPr>
          <w:rFonts w:ascii="Verdana" w:hAnsi="Verdana" w:cs="Arial"/>
          <w:sz w:val="20"/>
          <w:szCs w:val="20"/>
          <w:shd w:val="clear" w:color="auto" w:fill="FFFFFF"/>
        </w:rPr>
      </w:pPr>
      <w:bookmarkStart w:id="4" w:name="_Hlk95313578"/>
    </w:p>
    <w:bookmarkEnd w:id="4"/>
    <w:p w14:paraId="7B9E56F3" w14:textId="77777777" w:rsidR="004655F6" w:rsidRDefault="004655F6" w:rsidP="004655F6">
      <w:pPr>
        <w:tabs>
          <w:tab w:val="left" w:pos="142"/>
          <w:tab w:val="left" w:pos="567"/>
        </w:tabs>
        <w:ind w:left="426" w:right="709"/>
        <w:jc w:val="both"/>
        <w:rPr>
          <w:rFonts w:ascii="Verdana" w:eastAsia="Century Gothic" w:hAnsi="Verdana" w:cs="Century Gothic"/>
          <w:i/>
          <w:iCs/>
          <w:sz w:val="20"/>
          <w:szCs w:val="20"/>
        </w:rPr>
      </w:pPr>
      <w:r>
        <w:rPr>
          <w:rFonts w:ascii="Verdana" w:eastAsia="Century Gothic" w:hAnsi="Verdana" w:cs="Century Gothic"/>
          <w:i/>
          <w:iCs/>
        </w:rPr>
        <w:t xml:space="preserve"> </w:t>
      </w:r>
      <w:r w:rsidRPr="00CD7324">
        <w:rPr>
          <w:rFonts w:ascii="Verdana" w:eastAsia="Century Gothic" w:hAnsi="Verdana" w:cs="Century Gothic"/>
          <w:i/>
          <w:iCs/>
          <w:sz w:val="20"/>
          <w:szCs w:val="20"/>
        </w:rPr>
        <w:t xml:space="preserve">“(…) </w:t>
      </w:r>
    </w:p>
    <w:p w14:paraId="362DF6A0" w14:textId="6A9DDFF6" w:rsidR="006C48B5" w:rsidRDefault="00917196" w:rsidP="004655F6">
      <w:pPr>
        <w:tabs>
          <w:tab w:val="left" w:pos="142"/>
          <w:tab w:val="left" w:pos="567"/>
        </w:tabs>
        <w:ind w:left="426" w:right="709"/>
        <w:jc w:val="both"/>
        <w:rPr>
          <w:rFonts w:ascii="Verdana" w:eastAsia="Century Gothic" w:hAnsi="Verdana" w:cs="Century Gothic"/>
          <w:i/>
          <w:iCs/>
          <w:sz w:val="20"/>
          <w:szCs w:val="20"/>
          <w:lang w:val="es-MX"/>
        </w:rPr>
      </w:pPr>
      <w:r w:rsidRPr="00917196">
        <w:rPr>
          <w:rFonts w:ascii="Verdana" w:eastAsia="Century Gothic" w:hAnsi="Verdana" w:cs="Century Gothic"/>
          <w:i/>
          <w:iCs/>
          <w:sz w:val="20"/>
          <w:szCs w:val="20"/>
          <w:lang w:val="es-MX"/>
        </w:rPr>
        <w:t xml:space="preserve">Para la Administración municipal es importante tener claridad ante los procesos limitados a </w:t>
      </w:r>
      <w:r w:rsidR="001E4FF1" w:rsidRPr="00917196">
        <w:rPr>
          <w:rFonts w:ascii="Verdana" w:eastAsia="Century Gothic" w:hAnsi="Verdana" w:cs="Century Gothic"/>
          <w:i/>
          <w:iCs/>
          <w:sz w:val="20"/>
          <w:szCs w:val="20"/>
          <w:lang w:val="es-MX"/>
        </w:rPr>
        <w:t>MiPymes</w:t>
      </w:r>
      <w:r w:rsidRPr="00917196">
        <w:rPr>
          <w:rFonts w:ascii="Verdana" w:eastAsia="Century Gothic" w:hAnsi="Verdana" w:cs="Century Gothic"/>
          <w:i/>
          <w:iCs/>
          <w:sz w:val="20"/>
          <w:szCs w:val="20"/>
          <w:lang w:val="es-MX"/>
        </w:rPr>
        <w:t xml:space="preserve"> coma como micro pequeñas y medianas empresas frente a la posibilidad de restringir la participación en un proceso </w:t>
      </w:r>
      <w:r w:rsidRPr="00917196">
        <w:rPr>
          <w:rFonts w:ascii="Verdana" w:eastAsia="Century Gothic" w:hAnsi="Verdana" w:cs="Century Gothic"/>
          <w:i/>
          <w:iCs/>
          <w:sz w:val="20"/>
          <w:szCs w:val="20"/>
          <w:lang w:val="es-MX"/>
        </w:rPr>
        <w:lastRenderedPageBreak/>
        <w:t xml:space="preserve">de contratación pública a estas empresas, excluyendo a las grandes empresas esta limitación busca promover la participación de las </w:t>
      </w:r>
      <w:r w:rsidR="001E4FF1" w:rsidRPr="00917196">
        <w:rPr>
          <w:rFonts w:ascii="Verdana" w:eastAsia="Century Gothic" w:hAnsi="Verdana" w:cs="Century Gothic"/>
          <w:i/>
          <w:iCs/>
          <w:sz w:val="20"/>
          <w:szCs w:val="20"/>
          <w:lang w:val="es-MX"/>
        </w:rPr>
        <w:t>MiPymes</w:t>
      </w:r>
      <w:r w:rsidRPr="00917196">
        <w:rPr>
          <w:rFonts w:ascii="Verdana" w:eastAsia="Century Gothic" w:hAnsi="Verdana" w:cs="Century Gothic"/>
          <w:i/>
          <w:iCs/>
          <w:sz w:val="20"/>
          <w:szCs w:val="20"/>
          <w:lang w:val="es-MX"/>
        </w:rPr>
        <w:t xml:space="preserve"> en la contratación estatal, fomentando así su crecimiento y desarrollo de las empresas que buscan crecer en el municipio de Santiago</w:t>
      </w:r>
      <w:r>
        <w:rPr>
          <w:rFonts w:ascii="Verdana" w:eastAsia="Century Gothic" w:hAnsi="Verdana" w:cs="Century Gothic"/>
          <w:i/>
          <w:iCs/>
          <w:sz w:val="20"/>
          <w:szCs w:val="20"/>
          <w:lang w:val="es-MX"/>
        </w:rPr>
        <w:t>.</w:t>
      </w:r>
    </w:p>
    <w:p w14:paraId="6AB2D88D" w14:textId="34C5164F" w:rsidR="00917196" w:rsidRDefault="00917196" w:rsidP="004655F6">
      <w:pPr>
        <w:tabs>
          <w:tab w:val="left" w:pos="142"/>
          <w:tab w:val="left" w:pos="567"/>
        </w:tabs>
        <w:ind w:left="426" w:right="709"/>
        <w:jc w:val="both"/>
        <w:rPr>
          <w:rFonts w:ascii="Verdana" w:eastAsia="Century Gothic" w:hAnsi="Verdana" w:cs="Century Gothic"/>
          <w:i/>
          <w:iCs/>
          <w:sz w:val="20"/>
          <w:szCs w:val="20"/>
          <w:lang w:val="es-MX"/>
        </w:rPr>
      </w:pPr>
      <w:r w:rsidRPr="00917196">
        <w:rPr>
          <w:rFonts w:ascii="Verdana" w:eastAsia="Century Gothic" w:hAnsi="Verdana" w:cs="Century Gothic"/>
          <w:i/>
          <w:iCs/>
          <w:sz w:val="20"/>
          <w:szCs w:val="20"/>
          <w:lang w:val="es-MX"/>
        </w:rPr>
        <w:t xml:space="preserve">Por esta razón </w:t>
      </w:r>
      <w:r w:rsidR="001E4FF1">
        <w:rPr>
          <w:rFonts w:ascii="Verdana" w:eastAsia="Century Gothic" w:hAnsi="Verdana" w:cs="Century Gothic"/>
          <w:i/>
          <w:iCs/>
          <w:sz w:val="20"/>
          <w:szCs w:val="20"/>
          <w:lang w:val="es-MX"/>
        </w:rPr>
        <w:t xml:space="preserve">se </w:t>
      </w:r>
      <w:r w:rsidRPr="00917196">
        <w:rPr>
          <w:rFonts w:ascii="Verdana" w:eastAsia="Century Gothic" w:hAnsi="Verdana" w:cs="Century Gothic"/>
          <w:i/>
          <w:iCs/>
          <w:sz w:val="20"/>
          <w:szCs w:val="20"/>
          <w:lang w:val="es-MX"/>
        </w:rPr>
        <w:t>h</w:t>
      </w:r>
      <w:r w:rsidR="001E4FF1" w:rsidRPr="00917196">
        <w:rPr>
          <w:rFonts w:ascii="Verdana" w:eastAsia="Century Gothic" w:hAnsi="Verdana" w:cs="Century Gothic"/>
          <w:i/>
          <w:iCs/>
          <w:sz w:val="20"/>
          <w:szCs w:val="20"/>
          <w:lang w:val="es-MX"/>
        </w:rPr>
        <w:t>ace</w:t>
      </w:r>
      <w:r w:rsidR="001E4FF1">
        <w:rPr>
          <w:rFonts w:ascii="Verdana" w:eastAsia="Century Gothic" w:hAnsi="Verdana" w:cs="Century Gothic"/>
          <w:i/>
          <w:iCs/>
          <w:sz w:val="20"/>
          <w:szCs w:val="20"/>
          <w:lang w:val="es-MX"/>
        </w:rPr>
        <w:t xml:space="preserve"> </w:t>
      </w:r>
      <w:r w:rsidRPr="00917196">
        <w:rPr>
          <w:rFonts w:ascii="Verdana" w:eastAsia="Century Gothic" w:hAnsi="Verdana" w:cs="Century Gothic"/>
          <w:i/>
          <w:iCs/>
          <w:sz w:val="20"/>
          <w:szCs w:val="20"/>
          <w:lang w:val="es-MX"/>
        </w:rPr>
        <w:t xml:space="preserve">la presente consulta frente a </w:t>
      </w:r>
      <w:r>
        <w:rPr>
          <w:rFonts w:ascii="Verdana" w:eastAsia="Century Gothic" w:hAnsi="Verdana" w:cs="Century Gothic"/>
          <w:i/>
          <w:iCs/>
          <w:sz w:val="20"/>
          <w:szCs w:val="20"/>
          <w:lang w:val="es-MX"/>
        </w:rPr>
        <w:t>unos</w:t>
      </w:r>
      <w:r w:rsidRPr="00917196">
        <w:rPr>
          <w:rFonts w:ascii="Verdana" w:eastAsia="Century Gothic" w:hAnsi="Verdana" w:cs="Century Gothic"/>
          <w:i/>
          <w:iCs/>
          <w:sz w:val="20"/>
          <w:szCs w:val="20"/>
          <w:lang w:val="es-MX"/>
        </w:rPr>
        <w:t xml:space="preserve"> comportamientos</w:t>
      </w:r>
      <w:r>
        <w:rPr>
          <w:rFonts w:ascii="Verdana" w:eastAsia="Century Gothic" w:hAnsi="Verdana" w:cs="Century Gothic"/>
          <w:i/>
          <w:iCs/>
          <w:sz w:val="20"/>
          <w:szCs w:val="20"/>
          <w:lang w:val="es-MX"/>
        </w:rPr>
        <w:t xml:space="preserve"> </w:t>
      </w:r>
      <w:r w:rsidRPr="00917196">
        <w:rPr>
          <w:rFonts w:ascii="Verdana" w:eastAsia="Century Gothic" w:hAnsi="Verdana" w:cs="Century Gothic"/>
          <w:i/>
          <w:iCs/>
          <w:sz w:val="20"/>
          <w:szCs w:val="20"/>
          <w:lang w:val="es-MX"/>
        </w:rPr>
        <w:t>de empresas externas que están cambiando su dirección de residencia con el fin de participar en estos procesos limitad</w:t>
      </w:r>
      <w:r>
        <w:rPr>
          <w:rFonts w:ascii="Verdana" w:eastAsia="Century Gothic" w:hAnsi="Verdana" w:cs="Century Gothic"/>
          <w:i/>
          <w:iCs/>
          <w:sz w:val="20"/>
          <w:szCs w:val="20"/>
          <w:lang w:val="es-MX"/>
        </w:rPr>
        <w:t>o</w:t>
      </w:r>
      <w:r w:rsidRPr="00917196">
        <w:rPr>
          <w:rFonts w:ascii="Verdana" w:eastAsia="Century Gothic" w:hAnsi="Verdana" w:cs="Century Gothic"/>
          <w:i/>
          <w:iCs/>
          <w:sz w:val="20"/>
          <w:szCs w:val="20"/>
          <w:lang w:val="es-MX"/>
        </w:rPr>
        <w:t>s</w:t>
      </w:r>
      <w:r>
        <w:rPr>
          <w:rFonts w:ascii="Verdana" w:eastAsia="Century Gothic" w:hAnsi="Verdana" w:cs="Century Gothic"/>
          <w:i/>
          <w:iCs/>
          <w:sz w:val="20"/>
          <w:szCs w:val="20"/>
          <w:lang w:val="es-MX"/>
        </w:rPr>
        <w:t>.</w:t>
      </w:r>
    </w:p>
    <w:p w14:paraId="04AF8E34" w14:textId="4AD54D1F" w:rsidR="00917196" w:rsidRDefault="00917196" w:rsidP="004655F6">
      <w:pPr>
        <w:tabs>
          <w:tab w:val="left" w:pos="142"/>
          <w:tab w:val="left" w:pos="567"/>
        </w:tabs>
        <w:ind w:left="426" w:right="709"/>
        <w:jc w:val="both"/>
        <w:rPr>
          <w:rFonts w:ascii="Verdana" w:eastAsia="Century Gothic" w:hAnsi="Verdana" w:cs="Century Gothic"/>
          <w:i/>
          <w:iCs/>
          <w:sz w:val="20"/>
          <w:szCs w:val="20"/>
        </w:rPr>
      </w:pPr>
      <w:r w:rsidRPr="00917196">
        <w:rPr>
          <w:rFonts w:ascii="Verdana" w:eastAsia="Century Gothic" w:hAnsi="Verdana" w:cs="Century Gothic"/>
          <w:i/>
          <w:iCs/>
          <w:sz w:val="20"/>
          <w:szCs w:val="20"/>
          <w:lang w:val="es-MX"/>
        </w:rPr>
        <w:t>Queremos saber si este actuar de estas empresas que afirman esta</w:t>
      </w:r>
      <w:r>
        <w:rPr>
          <w:rFonts w:ascii="Verdana" w:eastAsia="Century Gothic" w:hAnsi="Verdana" w:cs="Century Gothic"/>
          <w:i/>
          <w:iCs/>
          <w:sz w:val="20"/>
          <w:szCs w:val="20"/>
          <w:lang w:val="es-MX"/>
        </w:rPr>
        <w:t>r</w:t>
      </w:r>
      <w:r w:rsidRPr="00917196">
        <w:rPr>
          <w:rFonts w:ascii="Verdana" w:eastAsia="Century Gothic" w:hAnsi="Verdana" w:cs="Century Gothic"/>
          <w:i/>
          <w:iCs/>
          <w:sz w:val="20"/>
          <w:szCs w:val="20"/>
          <w:lang w:val="es-MX"/>
        </w:rPr>
        <w:t xml:space="preserve"> residentes en el municipio con el simple hecho de cambiar la dirección de residencia</w:t>
      </w:r>
      <w:r>
        <w:rPr>
          <w:rFonts w:ascii="Verdana" w:eastAsia="Century Gothic" w:hAnsi="Verdana" w:cs="Century Gothic"/>
          <w:i/>
          <w:iCs/>
          <w:sz w:val="20"/>
          <w:szCs w:val="20"/>
          <w:lang w:val="es-MX"/>
        </w:rPr>
        <w:t xml:space="preserve"> e</w:t>
      </w:r>
      <w:r w:rsidRPr="00917196">
        <w:rPr>
          <w:rFonts w:ascii="Verdana" w:eastAsia="Century Gothic" w:hAnsi="Verdana" w:cs="Century Gothic"/>
          <w:i/>
          <w:iCs/>
          <w:sz w:val="20"/>
          <w:szCs w:val="20"/>
          <w:lang w:val="es-MX"/>
        </w:rPr>
        <w:t>n la cámara de comercio aplicaría a partir para participar en los procesos de licitación</w:t>
      </w:r>
      <w:r>
        <w:rPr>
          <w:rFonts w:ascii="Verdana" w:eastAsia="Century Gothic" w:hAnsi="Verdana" w:cs="Century Gothic"/>
          <w:i/>
          <w:iCs/>
          <w:sz w:val="20"/>
          <w:szCs w:val="20"/>
          <w:lang w:val="es-MX"/>
        </w:rPr>
        <w:t>.</w:t>
      </w:r>
    </w:p>
    <w:p w14:paraId="1D95E46F" w14:textId="1C5B3929" w:rsidR="004655F6" w:rsidRPr="00CD7324" w:rsidRDefault="004655F6" w:rsidP="004655F6">
      <w:pPr>
        <w:tabs>
          <w:tab w:val="left" w:pos="142"/>
          <w:tab w:val="left" w:pos="567"/>
        </w:tabs>
        <w:ind w:left="426" w:right="709"/>
        <w:jc w:val="both"/>
        <w:rPr>
          <w:rFonts w:ascii="Verdana" w:eastAsia="Century Gothic" w:hAnsi="Verdana" w:cs="Century Gothic"/>
          <w:i/>
          <w:iCs/>
          <w:sz w:val="20"/>
          <w:szCs w:val="20"/>
        </w:rPr>
      </w:pPr>
      <w:r>
        <w:rPr>
          <w:rFonts w:ascii="Verdana" w:eastAsia="Century Gothic" w:hAnsi="Verdana" w:cs="Century Gothic"/>
          <w:i/>
          <w:iCs/>
          <w:sz w:val="20"/>
          <w:szCs w:val="20"/>
        </w:rPr>
        <w:t>(</w:t>
      </w:r>
      <w:r w:rsidRPr="00CD7324">
        <w:rPr>
          <w:rFonts w:ascii="Verdana" w:eastAsia="Century Gothic" w:hAnsi="Verdana" w:cs="Century Gothic"/>
          <w:i/>
          <w:iCs/>
          <w:sz w:val="20"/>
          <w:szCs w:val="20"/>
        </w:rPr>
        <w:t>…)”</w:t>
      </w:r>
      <w:r>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1A692FB9" w14:textId="77777777" w:rsidR="004655F6" w:rsidRPr="00AA3B9F" w:rsidRDefault="004655F6" w:rsidP="004655F6">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505884ED" w14:textId="77777777" w:rsidR="004655F6" w:rsidRPr="00AA3B9F" w:rsidRDefault="004655F6" w:rsidP="004655F6">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6EF06531" w14:textId="77777777" w:rsidR="004655F6" w:rsidRDefault="004655F6" w:rsidP="004655F6">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766F4A0" w14:textId="77777777" w:rsidR="004655F6" w:rsidRDefault="004655F6" w:rsidP="004655F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63C36049" w14:textId="77777777" w:rsidR="004655F6" w:rsidRDefault="004655F6" w:rsidP="004655F6">
      <w:pPr>
        <w:pStyle w:val="Prrafodelista"/>
        <w:tabs>
          <w:tab w:val="left" w:pos="142"/>
          <w:tab w:val="left" w:pos="284"/>
        </w:tabs>
        <w:spacing w:after="0" w:line="276" w:lineRule="auto"/>
        <w:ind w:left="0"/>
        <w:jc w:val="both"/>
        <w:rPr>
          <w:rFonts w:ascii="Verdana" w:eastAsia="Century Gothic" w:hAnsi="Verdana" w:cs="Century Gothic"/>
          <w:b/>
          <w:bCs/>
        </w:rPr>
      </w:pPr>
    </w:p>
    <w:p w14:paraId="5951B945" w14:textId="06E8C1D1" w:rsidR="004655F6" w:rsidRPr="005C50E4" w:rsidRDefault="004655F6" w:rsidP="004655F6">
      <w:pPr>
        <w:pStyle w:val="Prrafodelista"/>
        <w:tabs>
          <w:tab w:val="left" w:pos="142"/>
          <w:tab w:val="left" w:pos="284"/>
        </w:tabs>
        <w:spacing w:after="0" w:line="276" w:lineRule="auto"/>
        <w:ind w:left="0"/>
        <w:jc w:val="both"/>
        <w:rPr>
          <w:rFonts w:ascii="Verdana" w:eastAsia="Calibri" w:hAnsi="Verdana" w:cs="Arial"/>
          <w:lang w:val="es-CO"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5" w:name="_Hlk196737317"/>
      <w:r>
        <w:rPr>
          <w:rFonts w:ascii="Verdana" w:eastAsia="Calibri" w:hAnsi="Verdana" w:cs="Arial"/>
          <w:lang w:eastAsia="es-ES"/>
        </w:rPr>
        <w:t xml:space="preserve"> </w:t>
      </w:r>
      <w:r w:rsidRPr="00E460EC">
        <w:rPr>
          <w:rFonts w:ascii="Verdana" w:eastAsia="Calibri" w:hAnsi="Verdana" w:cs="Arial"/>
          <w:lang w:val="es-CO" w:eastAsia="es-ES"/>
        </w:rPr>
        <w:t>¿</w:t>
      </w:r>
      <w:r w:rsidR="005C50E4">
        <w:rPr>
          <w:rFonts w:ascii="Verdana" w:eastAsia="Calibri" w:hAnsi="Verdana" w:cs="Arial"/>
          <w:lang w:val="es-CO" w:eastAsia="es-ES"/>
        </w:rPr>
        <w:t>Cuáles son los requisitos para que</w:t>
      </w:r>
      <w:r w:rsidR="005C50E4" w:rsidRPr="005C50E4">
        <w:rPr>
          <w:rFonts w:ascii="Verdana" w:eastAsia="Calibri" w:hAnsi="Verdana" w:cs="Arial"/>
          <w:lang w:val="es-CO" w:eastAsia="es-ES"/>
        </w:rPr>
        <w:t xml:space="preserve"> una empresa </w:t>
      </w:r>
      <w:r w:rsidR="005C50E4">
        <w:rPr>
          <w:rFonts w:ascii="Verdana" w:eastAsia="Calibri" w:hAnsi="Verdana" w:cs="Arial"/>
          <w:lang w:val="es-CO" w:eastAsia="es-ES"/>
        </w:rPr>
        <w:t xml:space="preserve">pueda </w:t>
      </w:r>
      <w:r w:rsidR="005C50E4" w:rsidRPr="005C50E4">
        <w:rPr>
          <w:rFonts w:ascii="Verdana" w:eastAsia="Calibri" w:hAnsi="Verdana" w:cs="Arial"/>
          <w:lang w:val="es-CO" w:eastAsia="es-ES"/>
        </w:rPr>
        <w:t>participar en procesos de contratación pública limitados a MiPymes</w:t>
      </w:r>
      <w:r w:rsidR="005C50E4" w:rsidRPr="0076029C">
        <w:rPr>
          <w:rFonts w:ascii="Verdana" w:eastAsia="Calibri" w:hAnsi="Verdana" w:cs="Arial"/>
          <w:lang w:val="es-CO" w:eastAsia="es-ES"/>
        </w:rPr>
        <w:t>?</w:t>
      </w:r>
      <w:r>
        <w:rPr>
          <w:rFonts w:ascii="Verdana" w:eastAsia="Calibri" w:hAnsi="Verdana" w:cs="Arial"/>
          <w:lang w:val="es-CO" w:eastAsia="es-ES"/>
        </w:rPr>
        <w:t xml:space="preserve"> </w:t>
      </w:r>
      <w:r w:rsidR="00537C44">
        <w:rPr>
          <w:rFonts w:ascii="Verdana" w:eastAsia="Calibri" w:hAnsi="Verdana" w:cs="Arial"/>
          <w:lang w:val="es-CO" w:eastAsia="es-ES"/>
        </w:rPr>
        <w:t xml:space="preserve">¿Es jurídicamente valido </w:t>
      </w:r>
      <w:r w:rsidR="00BB60F1">
        <w:rPr>
          <w:rFonts w:ascii="Verdana" w:eastAsia="Calibri" w:hAnsi="Verdana" w:cs="Arial"/>
          <w:lang w:val="es-CO" w:eastAsia="es-ES"/>
        </w:rPr>
        <w:t xml:space="preserve">que una empresa cambie su dirección de </w:t>
      </w:r>
      <w:r w:rsidR="00BB60F1" w:rsidRPr="00BB60F1">
        <w:rPr>
          <w:rFonts w:ascii="Verdana" w:eastAsia="Calibri" w:hAnsi="Verdana" w:cs="Arial"/>
          <w:lang w:val="es-CO" w:eastAsia="es-ES"/>
        </w:rPr>
        <w:t xml:space="preserve">registro de cámara de comercio </w:t>
      </w:r>
      <w:r w:rsidR="00BB60F1">
        <w:rPr>
          <w:rFonts w:ascii="Verdana" w:eastAsia="Calibri" w:hAnsi="Verdana" w:cs="Arial"/>
          <w:lang w:val="es-CO" w:eastAsia="es-ES"/>
        </w:rPr>
        <w:t>para poder participar</w:t>
      </w:r>
      <w:r w:rsidR="00BB60F1" w:rsidRPr="0076029C">
        <w:rPr>
          <w:rFonts w:ascii="Verdana" w:eastAsia="Calibri" w:hAnsi="Verdana" w:cs="Arial"/>
          <w:lang w:val="es-CO" w:eastAsia="es-ES"/>
        </w:rPr>
        <w:t>?</w:t>
      </w:r>
      <w:r>
        <w:rPr>
          <w:rFonts w:ascii="Verdana" w:eastAsia="Calibri" w:hAnsi="Verdana" w:cs="Arial"/>
          <w:lang w:val="es-CO" w:eastAsia="es-ES"/>
        </w:rPr>
        <w:t xml:space="preserve">    </w:t>
      </w:r>
    </w:p>
    <w:p w14:paraId="2F3D635C" w14:textId="77777777" w:rsidR="004655F6" w:rsidRDefault="004655F6" w:rsidP="004655F6">
      <w:pPr>
        <w:pStyle w:val="Prrafodelista"/>
        <w:tabs>
          <w:tab w:val="left" w:pos="142"/>
          <w:tab w:val="left" w:pos="284"/>
        </w:tabs>
        <w:spacing w:after="0" w:line="276" w:lineRule="auto"/>
        <w:ind w:left="0"/>
        <w:jc w:val="both"/>
        <w:rPr>
          <w:rFonts w:ascii="Verdana" w:eastAsia="Century Gothic" w:hAnsi="Verdana" w:cs="Century Gothic"/>
        </w:rPr>
      </w:pPr>
    </w:p>
    <w:bookmarkEnd w:id="5"/>
    <w:p w14:paraId="61198B59" w14:textId="77777777" w:rsidR="004655F6" w:rsidRDefault="004655F6" w:rsidP="004655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C03C7C0" w14:textId="77777777" w:rsidR="004655F6" w:rsidRPr="00593A5F" w:rsidRDefault="004655F6" w:rsidP="004655F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655F6" w:rsidRPr="00593A5F" w14:paraId="6761AECB" w14:textId="77777777" w:rsidTr="003E6E41">
        <w:tc>
          <w:tcPr>
            <w:tcW w:w="8828" w:type="dxa"/>
          </w:tcPr>
          <w:p w14:paraId="73B3D5DC" w14:textId="77777777" w:rsidR="005C50E4" w:rsidRDefault="004655F6" w:rsidP="005C50E4">
            <w:pPr>
              <w:spacing w:line="276" w:lineRule="auto"/>
              <w:jc w:val="both"/>
              <w:rPr>
                <w:rFonts w:ascii="Verdana" w:eastAsia="Calibri" w:hAnsi="Verdana" w:cs="Arial"/>
                <w:lang w:val="es-ES"/>
              </w:rPr>
            </w:pPr>
            <w:r>
              <w:rPr>
                <w:rFonts w:ascii="Verdana" w:eastAsia="Calibri" w:hAnsi="Verdana" w:cs="Arial"/>
                <w:lang w:val="es-MX"/>
              </w:rPr>
              <w:t xml:space="preserve">        </w:t>
            </w:r>
            <w:r w:rsidR="005C50E4" w:rsidRPr="00FC49A2">
              <w:rPr>
                <w:rFonts w:ascii="Verdana" w:eastAsia="Calibri" w:hAnsi="Verdana" w:cs="Arial"/>
                <w:lang w:val="es-ES"/>
              </w:rPr>
              <w:t xml:space="preserve">El artículo 2.2.1.2.4.2.3 del Decreto 1082 de 2015 desarrolla las convocatorias limitadas territorialmente a Mipymes colombianas, señalando que “[…] las Entidades Estatales, independientemente de su régimen de contratación, los patrimonios autónomos constituidos por Entidades Estatales y los particulares que ejecuten recursos públicos, pueden realizar convocatorias limitadas a Mipyme colombianas que tengan </w:t>
            </w:r>
            <w:r w:rsidR="005C50E4" w:rsidRPr="0090263C">
              <w:rPr>
                <w:rFonts w:ascii="Verdana" w:eastAsia="Calibri" w:hAnsi="Verdana" w:cs="Arial"/>
                <w:lang w:val="es-ES"/>
              </w:rPr>
              <w:t>domicilio</w:t>
            </w:r>
            <w:r w:rsidR="005C50E4" w:rsidRPr="00FC49A2">
              <w:rPr>
                <w:rFonts w:ascii="Verdana" w:eastAsia="Calibri" w:hAnsi="Verdana" w:cs="Arial"/>
                <w:lang w:val="es-ES"/>
              </w:rPr>
              <w:t xml:space="preserve"> en los departamentos o municipios en donde se va a ejecutar el contrato […]”. Como se observa, los sujetos referenciados en la norma precitada podrán limitar sus procesos de contratación territorialmente a las Mipymes observando las reglas señaladas en dicha norma</w:t>
            </w:r>
            <w:r w:rsidR="005C50E4">
              <w:rPr>
                <w:rFonts w:ascii="Verdana" w:eastAsia="Calibri" w:hAnsi="Verdana" w:cs="Arial"/>
                <w:lang w:val="es-ES"/>
              </w:rPr>
              <w:t>.</w:t>
            </w:r>
          </w:p>
          <w:p w14:paraId="552057D9" w14:textId="77777777" w:rsidR="005C50E4" w:rsidRDefault="005C50E4" w:rsidP="005C50E4">
            <w:pPr>
              <w:spacing w:line="276" w:lineRule="auto"/>
              <w:jc w:val="both"/>
              <w:rPr>
                <w:rFonts w:ascii="Verdana" w:eastAsia="Calibri" w:hAnsi="Verdana" w:cs="Arial"/>
                <w:lang w:val="es-ES"/>
              </w:rPr>
            </w:pPr>
          </w:p>
          <w:p w14:paraId="54D714A5" w14:textId="378AB8A5" w:rsidR="005C50E4" w:rsidRDefault="005C50E4" w:rsidP="005C50E4">
            <w:pPr>
              <w:spacing w:line="276" w:lineRule="auto"/>
              <w:jc w:val="both"/>
              <w:rPr>
                <w:rFonts w:ascii="Verdana" w:eastAsia="Calibri" w:hAnsi="Verdana" w:cs="Arial"/>
                <w:bCs/>
                <w:lang w:val="es-MX" w:eastAsia="es-ES" w:bidi="es-ES"/>
              </w:rPr>
            </w:pPr>
            <w:r>
              <w:rPr>
                <w:rFonts w:ascii="Verdana" w:eastAsia="Calibri" w:hAnsi="Verdana" w:cs="Arial"/>
                <w:bCs/>
                <w:lang w:val="es-MX" w:eastAsia="es-ES" w:bidi="es-ES"/>
              </w:rPr>
              <w:t xml:space="preserve">         De esta manera, </w:t>
            </w:r>
            <w:r w:rsidRPr="00A53190">
              <w:rPr>
                <w:rFonts w:ascii="Verdana" w:eastAsia="Calibri" w:hAnsi="Verdana" w:cs="Arial"/>
                <w:bCs/>
                <w:lang w:val="es-MX" w:eastAsia="es-ES" w:bidi="es-ES"/>
              </w:rPr>
              <w:t xml:space="preserve"> el incentivo previsto en la norma únicamente aplica en el lugar de ejecución del contratado en el que la Mipyme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5A3FDE99" w14:textId="77777777" w:rsidR="005C50E4" w:rsidRDefault="005C50E4" w:rsidP="005C50E4">
            <w:pPr>
              <w:spacing w:line="276" w:lineRule="auto"/>
              <w:jc w:val="both"/>
              <w:rPr>
                <w:rFonts w:ascii="Verdana" w:eastAsia="Calibri" w:hAnsi="Verdana" w:cs="Arial"/>
                <w:bCs/>
                <w:lang w:val="es-MX" w:eastAsia="es-ES" w:bidi="es-ES"/>
              </w:rPr>
            </w:pPr>
          </w:p>
          <w:p w14:paraId="79D31C89" w14:textId="77777777" w:rsidR="00BB60F1" w:rsidRDefault="005C50E4" w:rsidP="00BB60F1">
            <w:pPr>
              <w:spacing w:line="276" w:lineRule="auto"/>
              <w:jc w:val="both"/>
              <w:rPr>
                <w:rFonts w:ascii="Verdana" w:eastAsia="Calibri" w:hAnsi="Verdana" w:cs="Arial"/>
                <w:bCs/>
                <w:lang w:eastAsia="es-ES" w:bidi="es-ES"/>
              </w:rPr>
            </w:pPr>
            <w:r>
              <w:rPr>
                <w:rFonts w:ascii="Verdana" w:eastAsia="Calibri" w:hAnsi="Verdana" w:cs="Arial"/>
                <w:bCs/>
                <w:lang w:eastAsia="es-ES" w:bidi="es-ES"/>
              </w:rPr>
              <w:t xml:space="preserve">        Así las cosas, </w:t>
            </w:r>
            <w:r w:rsidRPr="00A53190">
              <w:rPr>
                <w:rFonts w:ascii="Verdana" w:eastAsia="Calibri" w:hAnsi="Verdana" w:cs="Arial"/>
                <w:bCs/>
                <w:lang w:eastAsia="es-ES" w:bidi="es-ES"/>
              </w:rPr>
              <w:t>las limitaciones territoriales en los procesos de contratación para Mipymes se refieren al domicilio principal de la empresa, el cual se acredita con el certificado de existencia y representación legal. La finalidad de la norma es incentivar el desarrollo empresarial y la generación de empleo en la región de ejecución del contrato, y se considera que el domicilio principal es el que mejor refleja esta vinculación.</w:t>
            </w:r>
            <w:r w:rsidRPr="00612EB8">
              <w:rPr>
                <w:rFonts w:ascii="Verdana" w:eastAsia="Calibri" w:hAnsi="Verdana" w:cs="Arial"/>
                <w:bCs/>
                <w:lang w:eastAsia="es-ES" w:bidi="es-ES"/>
              </w:rPr>
              <w:t xml:space="preserve"> </w:t>
            </w:r>
          </w:p>
          <w:p w14:paraId="56C5E9FB" w14:textId="77777777" w:rsidR="00BB60F1" w:rsidRDefault="00BB60F1" w:rsidP="00BB60F1">
            <w:pPr>
              <w:spacing w:line="276" w:lineRule="auto"/>
              <w:jc w:val="both"/>
              <w:rPr>
                <w:rFonts w:ascii="Verdana" w:eastAsia="Calibri" w:hAnsi="Verdana" w:cs="Arial"/>
              </w:rPr>
            </w:pPr>
          </w:p>
          <w:p w14:paraId="0B71066A" w14:textId="30F4B743" w:rsidR="00BB60F1" w:rsidRDefault="00BB60F1" w:rsidP="00BB60F1">
            <w:pPr>
              <w:spacing w:line="276" w:lineRule="auto"/>
              <w:jc w:val="both"/>
              <w:rPr>
                <w:rFonts w:ascii="Verdana" w:eastAsia="Calibri" w:hAnsi="Verdana" w:cs="Arial"/>
              </w:rPr>
            </w:pPr>
            <w:r>
              <w:rPr>
                <w:rFonts w:ascii="Verdana" w:eastAsia="Calibri" w:hAnsi="Verdana" w:cs="Arial"/>
              </w:rPr>
              <w:t xml:space="preserve">          Ahora bien, en atención al problema jurídico planteado</w:t>
            </w:r>
            <w:r w:rsidR="00CD6E09">
              <w:rPr>
                <w:rFonts w:ascii="Verdana" w:eastAsia="Calibri" w:hAnsi="Verdana" w:cs="Arial"/>
              </w:rPr>
              <w:t>,</w:t>
            </w:r>
            <w:r>
              <w:rPr>
                <w:rFonts w:ascii="Verdana" w:eastAsia="Calibri" w:hAnsi="Verdana" w:cs="Arial"/>
              </w:rPr>
              <w:t xml:space="preserve"> l</w:t>
            </w:r>
            <w:r w:rsidRPr="00BB60F1">
              <w:rPr>
                <w:rFonts w:ascii="Verdana" w:eastAsia="Calibri" w:hAnsi="Verdana" w:cs="Arial"/>
              </w:rPr>
              <w:t xml:space="preserve">a participación en procesos de contratación pública limitados a MiPymes domiciliadas en un municipio requiere </w:t>
            </w:r>
            <w:r w:rsidR="00CD6E09">
              <w:rPr>
                <w:rFonts w:ascii="Verdana" w:eastAsia="Calibri" w:hAnsi="Verdana" w:cs="Arial"/>
              </w:rPr>
              <w:t xml:space="preserve">el cumplimiento de los requisitos de ley previstos en la </w:t>
            </w:r>
            <w:r w:rsidR="00CD6E09">
              <w:rPr>
                <w:rFonts w:ascii="Verdana" w:eastAsia="Calibri" w:hAnsi="Verdana" w:cs="Arial"/>
              </w:rPr>
              <w:lastRenderedPageBreak/>
              <w:t>Decreto 1082 de 2015</w:t>
            </w:r>
            <w:r w:rsidR="00C6146D">
              <w:rPr>
                <w:rFonts w:ascii="Verdana" w:eastAsia="Calibri" w:hAnsi="Verdana" w:cs="Arial"/>
              </w:rPr>
              <w:t xml:space="preserve"> </w:t>
            </w:r>
            <w:r w:rsidRPr="00BB60F1">
              <w:rPr>
                <w:rFonts w:ascii="Verdana" w:eastAsia="Calibri" w:hAnsi="Verdana" w:cs="Arial"/>
              </w:rPr>
              <w:t>y la normatividad contractual</w:t>
            </w:r>
            <w:r w:rsidR="00C6146D">
              <w:rPr>
                <w:rFonts w:ascii="Verdana" w:eastAsia="Calibri" w:hAnsi="Verdana" w:cs="Arial"/>
              </w:rPr>
              <w:t>,</w:t>
            </w:r>
            <w:r w:rsidR="00CD6E09">
              <w:rPr>
                <w:rFonts w:ascii="Verdana" w:eastAsia="Calibri" w:hAnsi="Verdana" w:cs="Arial"/>
              </w:rPr>
              <w:t xml:space="preserve"> que </w:t>
            </w:r>
            <w:r w:rsidRPr="00BB60F1">
              <w:rPr>
                <w:rFonts w:ascii="Verdana" w:eastAsia="Calibri" w:hAnsi="Verdana" w:cs="Arial"/>
              </w:rPr>
              <w:t>implica</w:t>
            </w:r>
            <w:r w:rsidR="00C6146D">
              <w:rPr>
                <w:rFonts w:ascii="Verdana" w:eastAsia="Calibri" w:hAnsi="Verdana" w:cs="Arial"/>
              </w:rPr>
              <w:t>n</w:t>
            </w:r>
            <w:r w:rsidRPr="00BB60F1">
              <w:rPr>
                <w:rFonts w:ascii="Verdana" w:eastAsia="Calibri" w:hAnsi="Verdana" w:cs="Arial"/>
              </w:rPr>
              <w:t xml:space="preserve"> la residencia acompañada del ánimo de permanencia </w:t>
            </w:r>
            <w:r w:rsidR="00C6146D">
              <w:rPr>
                <w:rFonts w:ascii="Verdana" w:eastAsia="Calibri" w:hAnsi="Verdana" w:cs="Arial"/>
              </w:rPr>
              <w:t xml:space="preserve">en ella y que esta </w:t>
            </w:r>
            <w:r w:rsidR="00CD6E09">
              <w:rPr>
                <w:rFonts w:ascii="Verdana" w:eastAsia="Calibri" w:hAnsi="Verdana" w:cs="Arial"/>
              </w:rPr>
              <w:t>correspond</w:t>
            </w:r>
            <w:r w:rsidR="00C6146D">
              <w:rPr>
                <w:rFonts w:ascii="Verdana" w:eastAsia="Calibri" w:hAnsi="Verdana" w:cs="Arial"/>
              </w:rPr>
              <w:t>a</w:t>
            </w:r>
            <w:r w:rsidR="00CD6E09">
              <w:rPr>
                <w:rFonts w:ascii="Verdana" w:eastAsia="Calibri" w:hAnsi="Verdana" w:cs="Arial"/>
              </w:rPr>
              <w:t xml:space="preserve"> </w:t>
            </w:r>
            <w:r w:rsidRPr="00BB60F1">
              <w:rPr>
                <w:rFonts w:ascii="Verdana" w:eastAsia="Calibri" w:hAnsi="Verdana" w:cs="Arial"/>
              </w:rPr>
              <w:t>al asiento principal de los negocios de la empresa.</w:t>
            </w:r>
            <w:r w:rsidR="0090263C">
              <w:rPr>
                <w:rFonts w:ascii="Verdana" w:eastAsia="Calibri" w:hAnsi="Verdana" w:cs="Arial"/>
              </w:rPr>
              <w:t xml:space="preserve"> </w:t>
            </w:r>
            <w:r w:rsidRPr="00BB60F1">
              <w:rPr>
                <w:rFonts w:ascii="Verdana" w:eastAsia="Calibri" w:hAnsi="Verdana" w:cs="Arial"/>
              </w:rPr>
              <w:t xml:space="preserve">Por tanto, el incentivo legal solo aplica a aquellas MiPymes que tengan su domicilio principal real en el lugar de ejecución del contrato, </w:t>
            </w:r>
            <w:r w:rsidR="00CD6E09">
              <w:rPr>
                <w:rFonts w:ascii="Verdana" w:eastAsia="Calibri" w:hAnsi="Verdana" w:cs="Arial"/>
              </w:rPr>
              <w:t>correspondiéndole a</w:t>
            </w:r>
            <w:r>
              <w:rPr>
                <w:rFonts w:ascii="Verdana" w:eastAsia="Calibri" w:hAnsi="Verdana" w:cs="Arial"/>
              </w:rPr>
              <w:t xml:space="preserve"> la</w:t>
            </w:r>
            <w:r w:rsidRPr="00BB60F1">
              <w:rPr>
                <w:rFonts w:ascii="Verdana" w:eastAsia="Calibri" w:hAnsi="Verdana" w:cs="Arial"/>
              </w:rPr>
              <w:t xml:space="preserve"> administración municipal la responsabilidad de verificar esta condición de manera rigurosa, con el fin de garantizar que los beneficios normativos realmente promuevan el desarrollo local y no sean objeto de fraude o abuso por parte de empresas no vinculadas al territorio.</w:t>
            </w:r>
          </w:p>
          <w:p w14:paraId="69539902" w14:textId="77777777" w:rsidR="00BB60F1" w:rsidRPr="00BB60F1" w:rsidRDefault="00BB60F1" w:rsidP="00BB60F1">
            <w:pPr>
              <w:spacing w:line="276" w:lineRule="auto"/>
              <w:jc w:val="both"/>
              <w:rPr>
                <w:rFonts w:ascii="Verdana" w:eastAsia="Calibri" w:hAnsi="Verdana" w:cs="Arial"/>
                <w:bCs/>
                <w:lang w:eastAsia="es-ES" w:bidi="es-ES"/>
              </w:rPr>
            </w:pPr>
          </w:p>
          <w:p w14:paraId="2CD17459" w14:textId="77777777" w:rsidR="0090263C" w:rsidRDefault="004655F6" w:rsidP="0090263C">
            <w:pPr>
              <w:spacing w:after="120" w:line="276" w:lineRule="auto"/>
              <w:jc w:val="both"/>
              <w:rPr>
                <w:rFonts w:ascii="Verdana" w:eastAsia="Calibri" w:hAnsi="Verdana" w:cs="Times New Roman"/>
                <w:lang w:val="es-ES"/>
              </w:rPr>
            </w:pPr>
            <w:r>
              <w:rPr>
                <w:rFonts w:ascii="Verdana" w:eastAsia="Calibri" w:hAnsi="Verdana" w:cs="Arial"/>
              </w:rPr>
              <w:t xml:space="preserve">     </w:t>
            </w:r>
            <w:r>
              <w:rPr>
                <w:rFonts w:ascii="Verdana" w:eastAsia="Batang" w:hAnsi="Verdana" w:cs="Arial"/>
              </w:rPr>
              <w:t xml:space="preserve">    Finalmente, </w:t>
            </w:r>
            <w:r w:rsidRPr="00DB4737">
              <w:rPr>
                <w:rFonts w:ascii="Verdana" w:eastAsia="Calibri" w:hAnsi="Verdana" w:cs="Times New Roman"/>
                <w:lang w:val="es-ES"/>
              </w:rPr>
              <w:t xml:space="preserve">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AF51634" w14:textId="09A47F33" w:rsidR="004655F6" w:rsidRPr="00E529C2" w:rsidRDefault="00E529C2" w:rsidP="0090263C">
            <w:pPr>
              <w:spacing w:after="120" w:line="276" w:lineRule="auto"/>
              <w:jc w:val="both"/>
              <w:rPr>
                <w:rFonts w:ascii="Verdana" w:eastAsia="Calibri" w:hAnsi="Verdana" w:cs="Times New Roman"/>
                <w:lang w:val="es-ES"/>
              </w:rPr>
            </w:pPr>
            <w:r>
              <w:rPr>
                <w:rFonts w:ascii="Verdana" w:eastAsia="Calibri" w:hAnsi="Verdana" w:cs="Times New Roman"/>
                <w:lang w:val="es-ES"/>
              </w:rPr>
              <w:t xml:space="preserve">       </w:t>
            </w:r>
            <w:r w:rsidR="004655F6"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4655F6" w:rsidRPr="00593A5F" w14:paraId="016EF919" w14:textId="77777777" w:rsidTr="003E6E41">
        <w:tc>
          <w:tcPr>
            <w:tcW w:w="8828" w:type="dxa"/>
          </w:tcPr>
          <w:p w14:paraId="297B7CC9" w14:textId="77777777" w:rsidR="004655F6" w:rsidRPr="002973E9" w:rsidRDefault="004655F6" w:rsidP="003E6E41">
            <w:pPr>
              <w:spacing w:line="276" w:lineRule="auto"/>
              <w:jc w:val="both"/>
              <w:rPr>
                <w:rFonts w:ascii="Verdana" w:eastAsia="Calibri" w:hAnsi="Verdana" w:cs="Arial"/>
                <w:lang w:val="es-ES"/>
              </w:rPr>
            </w:pPr>
          </w:p>
        </w:tc>
      </w:tr>
    </w:tbl>
    <w:p w14:paraId="1956F1E7" w14:textId="77777777" w:rsidR="004655F6" w:rsidRDefault="004655F6" w:rsidP="004655F6">
      <w:pPr>
        <w:tabs>
          <w:tab w:val="left" w:pos="142"/>
          <w:tab w:val="left" w:pos="284"/>
        </w:tabs>
        <w:spacing w:after="0" w:line="276" w:lineRule="auto"/>
        <w:jc w:val="both"/>
        <w:rPr>
          <w:rFonts w:ascii="Verdana" w:eastAsia="Century Gothic" w:hAnsi="Verdana" w:cs="Century Gothic"/>
          <w:b/>
          <w:bCs/>
          <w:lang w:val="es-ES"/>
        </w:rPr>
      </w:pPr>
    </w:p>
    <w:p w14:paraId="378AD8C7" w14:textId="77777777" w:rsidR="004655F6" w:rsidRPr="00593A5F" w:rsidRDefault="004655F6" w:rsidP="004655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4AB0F90" w14:textId="77777777" w:rsidR="004655F6" w:rsidRDefault="004655F6" w:rsidP="004655F6">
      <w:pPr>
        <w:spacing w:after="0" w:line="276" w:lineRule="auto"/>
        <w:ind w:firstLine="708"/>
        <w:jc w:val="both"/>
        <w:rPr>
          <w:rFonts w:ascii="Verdana" w:eastAsia="Calibri" w:hAnsi="Verdana" w:cs="Arial"/>
          <w:color w:val="000000" w:themeColor="text1"/>
        </w:rPr>
      </w:pPr>
    </w:p>
    <w:p w14:paraId="4BBB85A1" w14:textId="77777777" w:rsidR="00DD1156" w:rsidRPr="004A615F" w:rsidRDefault="004655F6" w:rsidP="00DD1156">
      <w:pPr>
        <w:spacing w:before="120" w:after="0" w:line="276" w:lineRule="auto"/>
        <w:ind w:firstLine="709"/>
        <w:jc w:val="both"/>
        <w:rPr>
          <w:rFonts w:ascii="Verdana" w:eastAsia="Arial" w:hAnsi="Verdana" w:cs="Arial"/>
          <w:lang w:eastAsia="es-ES_tradnl"/>
        </w:rPr>
      </w:pPr>
      <w:r w:rsidRPr="0023441C">
        <w:rPr>
          <w:rFonts w:ascii="Verdana" w:eastAsia="Times New Roman" w:hAnsi="Verdana" w:cs="Arial"/>
          <w:color w:val="000000" w:themeColor="text1"/>
          <w:lang w:val="es-ES_tradnl" w:eastAsia="es-CO"/>
        </w:rPr>
        <w:t xml:space="preserve">La contratación Estatal constituye un instrumento a través del cual las Entidades Públicas realizan el aprovisionamiento de sus bienes, obras y </w:t>
      </w:r>
      <w:r w:rsidR="00DD1156" w:rsidRPr="004A615F">
        <w:rPr>
          <w:rFonts w:ascii="Verdana" w:eastAsia="Arial" w:hAnsi="Verdana" w:cs="Arial"/>
          <w:lang w:eastAsia="es-ES_tradnl"/>
        </w:rPr>
        <w:t xml:space="preserve">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w:t>
      </w:r>
      <w:r w:rsidR="00DD1156" w:rsidRPr="004A615F">
        <w:rPr>
          <w:rFonts w:ascii="Verdana" w:eastAsia="Arial" w:hAnsi="Verdana" w:cs="Arial"/>
          <w:lang w:eastAsia="es-ES_tradnl"/>
        </w:rPr>
        <w:lastRenderedPageBreak/>
        <w:t>los particulares que ejecuten recursos públicos, limiten las convocatorias de los procesos de contratación a las Mipyme colombianas con mínimo un (1) año de existencia, siempre que se cumplan los requisitos señalados allí. Al respecto indica lo siguiente:</w:t>
      </w:r>
    </w:p>
    <w:p w14:paraId="74024C00" w14:textId="77777777" w:rsidR="00DD1156" w:rsidRPr="004A615F" w:rsidRDefault="00DD1156" w:rsidP="00DD1156">
      <w:pPr>
        <w:spacing w:before="120" w:after="0" w:line="276" w:lineRule="auto"/>
        <w:ind w:firstLine="709"/>
        <w:jc w:val="both"/>
        <w:rPr>
          <w:rFonts w:ascii="Verdana" w:eastAsia="Arial" w:hAnsi="Verdana" w:cs="Arial"/>
          <w:lang w:eastAsia="es-ES_tradnl"/>
        </w:rPr>
      </w:pPr>
    </w:p>
    <w:p w14:paraId="172A8607" w14:textId="77777777" w:rsidR="00DD1156" w:rsidRPr="00DD1156" w:rsidRDefault="00DD1156" w:rsidP="00DD1156">
      <w:pPr>
        <w:spacing w:after="0" w:line="240" w:lineRule="auto"/>
        <w:ind w:left="709" w:right="709"/>
        <w:jc w:val="both"/>
        <w:rPr>
          <w:rFonts w:ascii="Verdana" w:eastAsia="Calibri" w:hAnsi="Verdana" w:cs="Arial"/>
          <w:sz w:val="20"/>
          <w:szCs w:val="20"/>
          <w:lang w:val="es-ES_tradnl" w:eastAsia="es-CO"/>
        </w:rPr>
      </w:pPr>
      <w:r w:rsidRPr="00DD1156">
        <w:rPr>
          <w:rFonts w:ascii="Verdana" w:eastAsia="Calibri" w:hAnsi="Verdana" w:cs="Arial"/>
          <w:sz w:val="20"/>
          <w:szCs w:val="20"/>
          <w:lang w:val="es-ES_tradnl" w:eastAsia="es-ES_tradnl"/>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55646EEB" w14:textId="77777777" w:rsidR="00DD1156" w:rsidRPr="00DD1156" w:rsidRDefault="00DD1156" w:rsidP="00DD1156">
      <w:pPr>
        <w:spacing w:after="0" w:line="240" w:lineRule="auto"/>
        <w:ind w:left="709" w:right="709"/>
        <w:contextualSpacing/>
        <w:jc w:val="both"/>
        <w:rPr>
          <w:rFonts w:ascii="Verdana" w:eastAsia="Calibri" w:hAnsi="Verdana" w:cs="Arial"/>
          <w:sz w:val="20"/>
          <w:szCs w:val="20"/>
          <w:lang w:val="es-ES_tradnl" w:eastAsia="es-ES_tradnl"/>
        </w:rPr>
      </w:pPr>
    </w:p>
    <w:p w14:paraId="090005F1" w14:textId="77777777" w:rsidR="00DD1156" w:rsidRPr="00DD1156" w:rsidRDefault="00DD1156" w:rsidP="00DD1156">
      <w:pPr>
        <w:spacing w:after="0" w:line="240" w:lineRule="auto"/>
        <w:ind w:left="709" w:right="709"/>
        <w:contextualSpacing/>
        <w:jc w:val="both"/>
        <w:rPr>
          <w:rFonts w:ascii="Verdana" w:eastAsia="Calibri" w:hAnsi="Verdana" w:cs="Arial"/>
          <w:sz w:val="20"/>
          <w:szCs w:val="20"/>
          <w:lang w:val="es-ES_tradnl" w:eastAsia="es-ES_tradnl"/>
        </w:rPr>
      </w:pPr>
      <w:r w:rsidRPr="00DD1156">
        <w:rPr>
          <w:rFonts w:ascii="Verdana" w:eastAsia="Calibri" w:hAnsi="Verdana" w:cs="Arial"/>
          <w:sz w:val="20"/>
          <w:szCs w:val="20"/>
          <w:lang w:val="es-ES_tradnl" w:eastAsia="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60F0967C" w14:textId="77777777" w:rsidR="00DD1156" w:rsidRPr="00DD1156" w:rsidRDefault="00DD1156" w:rsidP="00DD1156">
      <w:pPr>
        <w:spacing w:after="0" w:line="240" w:lineRule="auto"/>
        <w:ind w:left="709" w:right="709"/>
        <w:contextualSpacing/>
        <w:jc w:val="both"/>
        <w:rPr>
          <w:rFonts w:ascii="Verdana" w:eastAsia="Calibri" w:hAnsi="Verdana" w:cs="Arial"/>
          <w:sz w:val="20"/>
          <w:szCs w:val="20"/>
          <w:lang w:val="es-ES_tradnl" w:eastAsia="es-ES_tradnl"/>
        </w:rPr>
      </w:pPr>
    </w:p>
    <w:p w14:paraId="08CA0C22" w14:textId="77777777" w:rsidR="00DD1156" w:rsidRPr="00DD1156" w:rsidRDefault="00DD1156" w:rsidP="00DD1156">
      <w:pPr>
        <w:spacing w:after="0" w:line="240" w:lineRule="auto"/>
        <w:ind w:left="709" w:right="709"/>
        <w:contextualSpacing/>
        <w:jc w:val="both"/>
        <w:rPr>
          <w:rFonts w:ascii="Verdana" w:eastAsia="Calibri" w:hAnsi="Verdana" w:cs="Arial"/>
          <w:sz w:val="20"/>
          <w:szCs w:val="20"/>
          <w:lang w:val="es-ES_tradnl" w:eastAsia="es-ES_tradnl"/>
        </w:rPr>
      </w:pPr>
      <w:r w:rsidRPr="00DD1156">
        <w:rPr>
          <w:rFonts w:ascii="Verdana" w:eastAsia="Calibri" w:hAnsi="Verdana" w:cs="Arial"/>
          <w:sz w:val="20"/>
          <w:szCs w:val="20"/>
          <w:lang w:val="es-ES_tradnl" w:eastAsia="es-ES_tradnl"/>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4A403C35" w14:textId="77777777" w:rsidR="00DD1156" w:rsidRPr="00DD1156" w:rsidRDefault="00DD1156" w:rsidP="00DD1156">
      <w:pPr>
        <w:spacing w:after="0" w:line="240" w:lineRule="auto"/>
        <w:ind w:left="709" w:right="709"/>
        <w:contextualSpacing/>
        <w:jc w:val="both"/>
        <w:rPr>
          <w:rFonts w:ascii="Verdana" w:eastAsia="Calibri" w:hAnsi="Verdana" w:cs="Arial"/>
          <w:sz w:val="20"/>
          <w:szCs w:val="20"/>
          <w:lang w:val="es-ES_tradnl" w:eastAsia="es-ES_tradnl"/>
        </w:rPr>
      </w:pPr>
    </w:p>
    <w:p w14:paraId="1D529E83" w14:textId="77777777" w:rsidR="00DD1156" w:rsidRPr="00DD1156" w:rsidRDefault="00DD1156" w:rsidP="00DD1156">
      <w:pPr>
        <w:spacing w:after="0" w:line="240" w:lineRule="auto"/>
        <w:ind w:left="709" w:right="709"/>
        <w:contextualSpacing/>
        <w:jc w:val="both"/>
        <w:rPr>
          <w:rFonts w:ascii="Verdana" w:eastAsia="Calibri" w:hAnsi="Verdana" w:cs="Arial"/>
          <w:sz w:val="20"/>
          <w:szCs w:val="20"/>
          <w:lang w:val="es-ES_tradnl" w:eastAsia="es-ES_tradnl"/>
        </w:rPr>
      </w:pPr>
      <w:r w:rsidRPr="00DD1156">
        <w:rPr>
          <w:rFonts w:ascii="Verdana" w:eastAsia="Calibri" w:hAnsi="Verdana" w:cs="Arial"/>
          <w:sz w:val="20"/>
          <w:szCs w:val="20"/>
          <w:lang w:val="es-ES_tradnl" w:eastAsia="es-ES_tradnl"/>
        </w:rPr>
        <w:t>Parágrafo. Las cooperativas y demás entidades de economía solidaria, siempre que tengan la calidad de Mipyme, podrán solicitar y participar en las convocatorias limitadas en las mismas condiciones dispuestas en el presente artículo”.</w:t>
      </w:r>
    </w:p>
    <w:p w14:paraId="0597D897" w14:textId="77777777" w:rsidR="00DD1156" w:rsidRPr="004A615F" w:rsidRDefault="00DD1156" w:rsidP="00DD1156">
      <w:pPr>
        <w:spacing w:after="0" w:line="276" w:lineRule="auto"/>
        <w:contextualSpacing/>
        <w:jc w:val="both"/>
        <w:rPr>
          <w:rFonts w:ascii="Verdana" w:eastAsia="Arial" w:hAnsi="Verdana" w:cs="Arial"/>
          <w:lang w:eastAsia="es-ES_tradnl"/>
        </w:rPr>
      </w:pPr>
    </w:p>
    <w:p w14:paraId="2D5CD9E5" w14:textId="77777777" w:rsidR="00DD1156" w:rsidRPr="004A615F" w:rsidRDefault="00DD1156" w:rsidP="00DD1156">
      <w:pPr>
        <w:spacing w:after="120" w:line="276" w:lineRule="auto"/>
        <w:ind w:firstLine="709"/>
        <w:jc w:val="both"/>
        <w:rPr>
          <w:rFonts w:ascii="Verdana" w:eastAsia="Arial" w:hAnsi="Verdana" w:cs="Arial"/>
          <w:lang w:eastAsia="es-ES_tradnl"/>
        </w:rPr>
      </w:pPr>
      <w:r w:rsidRPr="004A615F">
        <w:rPr>
          <w:rFonts w:ascii="Verdana" w:eastAsia="Arial" w:hAnsi="Verdana" w:cs="Arial"/>
          <w:lang w:eastAsia="es-ES_tradnl"/>
        </w:rPr>
        <w:t xml:space="preserve">Según se evidencia, el numeral primero limita cuantitativamente los procesos contractuales en los que se puede hacer esa convocatoria limitada a Mipyme,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w:t>
      </w:r>
      <w:r w:rsidRPr="004A615F">
        <w:rPr>
          <w:rFonts w:ascii="Verdana" w:eastAsia="Arial" w:hAnsi="Verdana" w:cs="Arial"/>
          <w:lang w:eastAsia="es-ES_tradnl"/>
        </w:rPr>
        <w:lastRenderedPageBreak/>
        <w:t xml:space="preserve">apertura del proceso de contratación. Además, la norma señala que, </w:t>
      </w:r>
      <w:r w:rsidRPr="004A615F">
        <w:rPr>
          <w:rFonts w:ascii="Verdana" w:eastAsia="Arial" w:hAnsi="Verdana" w:cs="Arial"/>
          <w:lang w:val="es-ES_tradnl" w:eastAsia="es-ES_tradnl"/>
        </w:rPr>
        <w:t>tratándose de personas jurídicas, las solicitudes solo las podrán realizar Mipyme, cuyo objeto social les permita ejecutar el contrato relacionado con el proceso contractual. De igual forma, este artículo incluye a las cooperativas y demás entidades de economía solidaria dentro de los sujetos que pueden solicitar y participar en las convocatorias limitadas a Mipyme, siempre que estas cumplan con las condiciones señaladas en el artículo.</w:t>
      </w:r>
    </w:p>
    <w:p w14:paraId="5E1FF324" w14:textId="77777777" w:rsidR="00DD1156" w:rsidRPr="004A615F" w:rsidRDefault="00DD1156" w:rsidP="00DD1156">
      <w:pPr>
        <w:spacing w:after="120" w:line="276" w:lineRule="auto"/>
        <w:ind w:firstLine="709"/>
        <w:jc w:val="both"/>
        <w:rPr>
          <w:rFonts w:ascii="Verdana" w:eastAsia="Arial" w:hAnsi="Verdana" w:cs="Arial"/>
          <w:lang w:eastAsia="es-ES_tradnl"/>
        </w:rPr>
      </w:pPr>
      <w:r w:rsidRPr="004A615F">
        <w:rPr>
          <w:rFonts w:ascii="Verdana" w:eastAsia="Arial" w:hAnsi="Verdana" w:cs="Arial"/>
          <w:lang w:val="es-ES_tradnl" w:eastAsia="es-ES_tradnl"/>
        </w:rPr>
        <w:t>De esta manera, en todos los procesos de contratación, independientemente de la modalidad de selección, las Entidades Estatales, cualquiera que sea su régimen de contratación,</w:t>
      </w:r>
      <w:r w:rsidRPr="004A615F">
        <w:rPr>
          <w:rFonts w:ascii="Verdana" w:eastAsia="Arial" w:hAnsi="Verdana" w:cs="Arial"/>
          <w:lang w:eastAsia="es-ES_tradnl"/>
        </w:rPr>
        <w:t xml:space="preserve"> los patrimonios autónomos constituidos por entidades estatales y los particulares que ejecuten recursos públicos, deberán limitar las convocatorias con pluralidad de oferentes a Mipymes colombianas, una vez concurran todos los requisitos señalados anteriormente y siempre que cuenten con mínimo un (1) año de existencia.</w:t>
      </w:r>
    </w:p>
    <w:p w14:paraId="0ABF9AD3" w14:textId="77777777" w:rsidR="00DD1156" w:rsidRPr="004A615F" w:rsidRDefault="00DD1156" w:rsidP="00DD1156">
      <w:pPr>
        <w:spacing w:before="120" w:after="0" w:line="276" w:lineRule="auto"/>
        <w:ind w:firstLine="709"/>
        <w:jc w:val="both"/>
        <w:rPr>
          <w:rFonts w:ascii="Verdana" w:eastAsia="Arial" w:hAnsi="Verdana" w:cs="Arial"/>
          <w:lang w:val="es-ES_tradnl" w:eastAsia="es-ES_tradnl"/>
        </w:rPr>
      </w:pPr>
      <w:r w:rsidRPr="004A615F">
        <w:rPr>
          <w:rFonts w:ascii="Verdana" w:eastAsia="Arial" w:hAnsi="Verdana" w:cs="Arial"/>
          <w:lang w:eastAsia="es-ES_tradnl"/>
        </w:rPr>
        <w:t>Así las cosas, es claro que el término de un (1) año que exige la norma se predica respecto del tiempo mínimo de constitución que debe tener la Mipyme interesada en participar del proceso limitado.</w:t>
      </w:r>
    </w:p>
    <w:p w14:paraId="73A355F5" w14:textId="77777777" w:rsidR="00DD1156" w:rsidRPr="004A615F" w:rsidRDefault="00DD1156" w:rsidP="00DD1156">
      <w:pPr>
        <w:spacing w:before="120" w:after="0" w:line="276" w:lineRule="auto"/>
        <w:ind w:firstLine="709"/>
        <w:jc w:val="both"/>
        <w:rPr>
          <w:rFonts w:ascii="Verdana" w:eastAsia="Arial" w:hAnsi="Verdana" w:cs="Arial"/>
          <w:lang w:val="es-ES_tradnl" w:eastAsia="es-ES_tradnl"/>
        </w:rPr>
      </w:pPr>
      <w:r w:rsidRPr="004A615F">
        <w:rPr>
          <w:rFonts w:ascii="Verdana" w:eastAsia="Calibri" w:hAnsi="Verdana" w:cs="Arial"/>
          <w:lang w:val="es-ES_tradnl"/>
        </w:rPr>
        <w:t>De otra parte, sobre las limitaciones territoriales para convocatorias de Mipymes a la luz del antiguo artículo 2.2.1.2.4.2.3 del Decreto 1082 de 2015, esta Agencia -</w:t>
      </w:r>
      <w:r w:rsidRPr="004A615F">
        <w:rPr>
          <w:rFonts w:ascii="Verdana" w:hAnsi="Verdana" w:cs="Arial"/>
        </w:rPr>
        <w:t>en los conceptos del 29 de enero de 2018 (radicado No. 4201714000006924),</w:t>
      </w:r>
      <w:r w:rsidRPr="004A615F">
        <w:rPr>
          <w:rFonts w:ascii="Verdana" w:eastAsia="Calibri" w:hAnsi="Verdana" w:cs="Arial"/>
        </w:rPr>
        <w:t xml:space="preserve"> C-045 del 17 de marzo de 2020, C-162 del 16 de abril de 2020, C-214 del 21 de abril de 2020, C-258 del 17 de abril de 2020, C-364 del 4 de junio de 2020, C-413 del 30 de junio de 2020</w:t>
      </w:r>
      <w:r w:rsidRPr="004A615F">
        <w:rPr>
          <w:rFonts w:ascii="Verdana" w:hAnsi="Verdana" w:cs="Arial"/>
        </w:rPr>
        <w:t xml:space="preserve">, </w:t>
      </w:r>
      <w:r w:rsidRPr="004A615F">
        <w:rPr>
          <w:rFonts w:ascii="Verdana" w:eastAsia="Calibri" w:hAnsi="Verdana" w:cs="Arial"/>
        </w:rPr>
        <w:t>C-492 del 24 de julio de 2020, C-523 del 11 de agosto de 2020, C-610 del 14 de septiembre de 2020 y C-700 de 1 de diciembre de 2020-</w:t>
      </w:r>
      <w:r w:rsidRPr="004A615F">
        <w:rPr>
          <w:rFonts w:ascii="Verdana" w:eastAsia="Calibri" w:hAnsi="Verdana" w:cs="Arial"/>
          <w:lang w:val="es-ES_tradnl"/>
        </w:rPr>
        <w:t xml:space="preserve"> venía sosteniendo que, para que se permitiera la participación de una Mipyme en uno de estos procesos, era necesario que esta demostrara estar domiciliada en el municipio o departamento en el que se ejecutaría el contrato. La tesis se expuso en los siguientes términos</w:t>
      </w:r>
      <w:r w:rsidRPr="004A615F">
        <w:rPr>
          <w:rFonts w:ascii="Verdana" w:eastAsia="Calibri" w:hAnsi="Verdana" w:cs="Arial"/>
        </w:rPr>
        <w:t>:</w:t>
      </w:r>
    </w:p>
    <w:p w14:paraId="5C2598E1" w14:textId="77777777" w:rsidR="00DD1156" w:rsidRPr="004A615F" w:rsidRDefault="00DD1156" w:rsidP="00DD1156">
      <w:pPr>
        <w:spacing w:after="0" w:line="240" w:lineRule="auto"/>
        <w:ind w:right="709"/>
        <w:contextualSpacing/>
        <w:jc w:val="both"/>
        <w:rPr>
          <w:rFonts w:ascii="Verdana" w:hAnsi="Verdana" w:cs="Arial"/>
        </w:rPr>
      </w:pPr>
    </w:p>
    <w:p w14:paraId="2966D9C3" w14:textId="77777777" w:rsidR="00DD1156" w:rsidRPr="00E529C2" w:rsidRDefault="00DD1156" w:rsidP="00DD1156">
      <w:pPr>
        <w:spacing w:after="0" w:line="240" w:lineRule="auto"/>
        <w:ind w:left="709" w:right="709"/>
        <w:contextualSpacing/>
        <w:jc w:val="both"/>
        <w:rPr>
          <w:rFonts w:ascii="Verdana" w:hAnsi="Verdana" w:cs="Arial"/>
          <w:sz w:val="20"/>
          <w:szCs w:val="20"/>
        </w:rPr>
      </w:pPr>
      <w:r w:rsidRPr="00E529C2">
        <w:rPr>
          <w:rFonts w:ascii="Verdana" w:hAnsi="Verdana" w:cs="Arial"/>
          <w:sz w:val="20"/>
          <w:szCs w:val="20"/>
        </w:rPr>
        <w:t xml:space="preserve">“Es de resaltar que </w:t>
      </w:r>
      <w:r w:rsidRPr="00E529C2">
        <w:rPr>
          <w:rFonts w:ascii="Verdana" w:hAnsi="Verdana" w:cs="Arial"/>
          <w:i/>
          <w:iCs/>
          <w:sz w:val="20"/>
          <w:szCs w:val="20"/>
        </w:rPr>
        <w:t>estas normas se refieren a las Mipymes nacionales genéricamente y, particularmente, a las Mipymes nacionales «domiciliadas en los departamentos o municipios en donde se va a ejecutar el contrato».</w:t>
      </w:r>
      <w:r w:rsidRPr="00E529C2">
        <w:rPr>
          <w:rFonts w:ascii="Verdana" w:hAnsi="Verdana" w:cs="Arial"/>
          <w:sz w:val="20"/>
          <w:szCs w:val="20"/>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w:t>
      </w:r>
      <w:r w:rsidRPr="00E529C2">
        <w:rPr>
          <w:rFonts w:ascii="Verdana" w:hAnsi="Verdana" w:cs="Arial"/>
          <w:sz w:val="20"/>
          <w:szCs w:val="20"/>
        </w:rPr>
        <w:lastRenderedPageBreak/>
        <w:t>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69BCE880" w14:textId="77777777" w:rsidR="00DD1156" w:rsidRPr="00E529C2" w:rsidRDefault="00DD1156" w:rsidP="00DD1156">
      <w:pPr>
        <w:spacing w:after="0" w:line="240" w:lineRule="auto"/>
        <w:ind w:left="709" w:right="709"/>
        <w:contextualSpacing/>
        <w:jc w:val="both"/>
        <w:rPr>
          <w:rFonts w:ascii="Verdana" w:hAnsi="Verdana" w:cs="Arial"/>
          <w:sz w:val="20"/>
          <w:szCs w:val="20"/>
        </w:rPr>
      </w:pPr>
    </w:p>
    <w:p w14:paraId="0F306E77" w14:textId="77777777" w:rsidR="00DD1156" w:rsidRPr="00E529C2" w:rsidRDefault="00DD1156" w:rsidP="00DD1156">
      <w:pPr>
        <w:spacing w:after="0" w:line="240" w:lineRule="auto"/>
        <w:ind w:left="709" w:right="709"/>
        <w:contextualSpacing/>
        <w:jc w:val="both"/>
        <w:rPr>
          <w:rFonts w:ascii="Verdana" w:hAnsi="Verdana" w:cs="Arial"/>
          <w:sz w:val="20"/>
          <w:szCs w:val="20"/>
        </w:rPr>
      </w:pPr>
      <w:r w:rsidRPr="00E529C2">
        <w:rPr>
          <w:rFonts w:ascii="Verdana" w:hAnsi="Verdana" w:cs="Arial"/>
          <w:sz w:val="20"/>
          <w:szCs w:val="20"/>
        </w:rPr>
        <w:t xml:space="preserve">Igualmente, se debe precisar que </w:t>
      </w:r>
      <w:r w:rsidRPr="00E529C2">
        <w:rPr>
          <w:rFonts w:ascii="Verdana" w:hAnsi="Verdana" w:cs="Arial"/>
          <w:i/>
          <w:iCs/>
          <w:sz w:val="20"/>
          <w:szCs w:val="20"/>
        </w:rPr>
        <w:t>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«domicilio», y no en donde tiene sucursales”</w:t>
      </w:r>
      <w:r w:rsidRPr="00E529C2">
        <w:rPr>
          <w:rFonts w:ascii="Verdana" w:hAnsi="Verdana" w:cs="Arial"/>
          <w:i/>
          <w:iCs/>
          <w:sz w:val="20"/>
          <w:szCs w:val="20"/>
          <w:vertAlign w:val="superscript"/>
        </w:rPr>
        <w:footnoteReference w:id="1"/>
      </w:r>
      <w:r w:rsidRPr="00E529C2">
        <w:rPr>
          <w:rFonts w:ascii="Verdana" w:hAnsi="Verdana" w:cs="Arial"/>
          <w:sz w:val="20"/>
          <w:szCs w:val="20"/>
        </w:rPr>
        <w:t>. (Énfasis fuera de texto)</w:t>
      </w:r>
    </w:p>
    <w:p w14:paraId="500A774A" w14:textId="77777777" w:rsidR="00DD1156" w:rsidRPr="004A615F" w:rsidRDefault="00DD1156" w:rsidP="00DD1156">
      <w:pPr>
        <w:spacing w:after="0" w:line="276" w:lineRule="auto"/>
        <w:ind w:left="709" w:right="709"/>
        <w:jc w:val="both"/>
        <w:rPr>
          <w:rFonts w:ascii="Verdana" w:hAnsi="Verdana" w:cs="Arial"/>
        </w:rPr>
      </w:pPr>
    </w:p>
    <w:p w14:paraId="3C8F243B" w14:textId="77777777" w:rsidR="00DD1156" w:rsidRPr="004A615F" w:rsidRDefault="00DD1156" w:rsidP="00DD1156">
      <w:pPr>
        <w:spacing w:after="120" w:line="276" w:lineRule="auto"/>
        <w:ind w:firstLine="709"/>
        <w:jc w:val="both"/>
        <w:rPr>
          <w:rFonts w:ascii="Verdana" w:eastAsia="Calibri" w:hAnsi="Verdana" w:cs="Arial"/>
          <w:lang w:val="es-ES_tradnl"/>
        </w:rPr>
      </w:pPr>
      <w:r w:rsidRPr="004A615F">
        <w:rPr>
          <w:rFonts w:ascii="Verdana" w:hAnsi="Verdana" w:cs="Arial"/>
        </w:rPr>
        <w:t xml:space="preserve">Como se puede apreciar, la anterior postura, mantenida en vigencia del artículo </w:t>
      </w:r>
      <w:r w:rsidRPr="004A615F">
        <w:rPr>
          <w:rFonts w:ascii="Verdana" w:eastAsia="Calibri" w:hAnsi="Verdana" w:cs="Arial"/>
          <w:lang w:val="es-ES_tradnl"/>
        </w:rPr>
        <w:t>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Mipyme.</w:t>
      </w:r>
    </w:p>
    <w:p w14:paraId="5A6DB6CF" w14:textId="77777777" w:rsidR="00DD1156" w:rsidRPr="004A615F" w:rsidRDefault="00DD1156" w:rsidP="00DD1156">
      <w:pPr>
        <w:spacing w:after="120" w:line="276" w:lineRule="auto"/>
        <w:ind w:firstLine="709"/>
        <w:jc w:val="both"/>
        <w:rPr>
          <w:rFonts w:ascii="Verdana" w:eastAsia="Calibri" w:hAnsi="Verdana" w:cs="Arial"/>
          <w:lang w:val="es-ES_tradnl"/>
        </w:rPr>
      </w:pPr>
      <w:r w:rsidRPr="004A615F">
        <w:rPr>
          <w:rFonts w:ascii="Verdana" w:eastAsia="Calibri" w:hAnsi="Verdana" w:cs="Arial"/>
          <w:lang w:val="es-ES_tradnl"/>
        </w:rPr>
        <w:t>Ahora bien, el texto del actual artículo 2.2.1.2.4.2.3, modificado por el artículo 5 del Decreto 1860 de 2021, no varía la tesis adoptada en los conceptos citados anteriormente de la Agencia Nacional de Contratación Pública -Colombia Compra Eficiente- emitidos de manera previa a la expedición de este reglamento. Esto, comoquiera que, respecto del domicilio de las Mipymes en el departamento o municipio donde se ejecuta el contrato, la reglamentación no sufrió ningún tipo de alteración o modificación. Así se desprende del texto de la nueva norma que es del siguiente tenor:</w:t>
      </w:r>
    </w:p>
    <w:p w14:paraId="3E0B1910" w14:textId="23784696" w:rsidR="00DD1156" w:rsidRPr="00DD1156" w:rsidRDefault="00DD1156" w:rsidP="00DD1156">
      <w:pPr>
        <w:spacing w:after="0" w:line="240" w:lineRule="auto"/>
        <w:ind w:left="709" w:right="709"/>
        <w:jc w:val="both"/>
        <w:rPr>
          <w:rFonts w:ascii="Verdana" w:hAnsi="Verdana" w:cs="Arial"/>
          <w:sz w:val="20"/>
          <w:szCs w:val="20"/>
        </w:rPr>
      </w:pPr>
      <w:r w:rsidRPr="00DD1156">
        <w:rPr>
          <w:rFonts w:ascii="Verdana" w:hAnsi="Verdana" w:cs="Arial"/>
          <w:sz w:val="20"/>
          <w:szCs w:val="20"/>
        </w:rPr>
        <w:t>“ARTÍCULO  5. Modificación de la Subsección 2 de la Sección 4 del Capítulo 2 del Título 1 de la Parte 2 del Libro 2 del Decreto 1082 de 2015. Modifíquense</w:t>
      </w:r>
      <w:r>
        <w:rPr>
          <w:rFonts w:ascii="Verdana" w:hAnsi="Verdana" w:cs="Arial"/>
          <w:sz w:val="20"/>
          <w:szCs w:val="20"/>
        </w:rPr>
        <w:t xml:space="preserve"> </w:t>
      </w:r>
      <w:r w:rsidRPr="00DD1156">
        <w:rPr>
          <w:rFonts w:ascii="Verdana" w:hAnsi="Verdana" w:cs="Arial"/>
          <w:sz w:val="20"/>
          <w:szCs w:val="20"/>
        </w:rPr>
        <w:t>los artículos 2.2.1.2.4.2.2., 2.2.1.2.4.2.3. y 2.2.1.2.4.2.4. de la Subsección 2 de la Sección 4 del Capítulo 2 del Título 1 de la Parte 2 del Libro 2 del Decreto 1082 de 2015, los cuales quedarán así:</w:t>
      </w:r>
    </w:p>
    <w:p w14:paraId="4ACD49F0" w14:textId="77777777" w:rsidR="00DD1156" w:rsidRPr="00DD1156" w:rsidRDefault="00DD1156" w:rsidP="00DD1156">
      <w:pPr>
        <w:spacing w:after="0" w:line="240" w:lineRule="auto"/>
        <w:ind w:left="709" w:right="709"/>
        <w:jc w:val="both"/>
        <w:rPr>
          <w:rFonts w:ascii="Verdana" w:hAnsi="Verdana" w:cs="Arial"/>
          <w:sz w:val="20"/>
          <w:szCs w:val="20"/>
        </w:rPr>
      </w:pPr>
    </w:p>
    <w:p w14:paraId="409A4ED5" w14:textId="77777777" w:rsidR="00DD1156" w:rsidRPr="00DD1156" w:rsidRDefault="00DD1156" w:rsidP="00DD1156">
      <w:pPr>
        <w:spacing w:after="0" w:line="240" w:lineRule="auto"/>
        <w:ind w:left="709" w:right="709"/>
        <w:jc w:val="both"/>
        <w:rPr>
          <w:rFonts w:ascii="Verdana" w:hAnsi="Verdana" w:cs="Arial"/>
          <w:sz w:val="20"/>
          <w:szCs w:val="20"/>
        </w:rPr>
      </w:pPr>
      <w:r w:rsidRPr="00DD1156">
        <w:rPr>
          <w:rFonts w:ascii="Verdana" w:hAnsi="Verdana" w:cs="Arial"/>
          <w:sz w:val="20"/>
          <w:szCs w:val="20"/>
        </w:rPr>
        <w:t>(…)</w:t>
      </w:r>
    </w:p>
    <w:p w14:paraId="7ACF28A0" w14:textId="77777777" w:rsidR="00DD1156" w:rsidRPr="00DD1156" w:rsidRDefault="00DD1156" w:rsidP="00DD1156">
      <w:pPr>
        <w:spacing w:after="0" w:line="240" w:lineRule="auto"/>
        <w:ind w:left="709" w:right="709"/>
        <w:jc w:val="both"/>
        <w:rPr>
          <w:rFonts w:ascii="Verdana" w:hAnsi="Verdana" w:cs="Arial"/>
          <w:sz w:val="20"/>
          <w:szCs w:val="20"/>
        </w:rPr>
      </w:pPr>
    </w:p>
    <w:p w14:paraId="78568DDD" w14:textId="77777777" w:rsidR="00DD1156" w:rsidRPr="00DD1156" w:rsidRDefault="00DD1156" w:rsidP="00DD1156">
      <w:pPr>
        <w:spacing w:after="0" w:line="240" w:lineRule="auto"/>
        <w:ind w:left="709" w:right="709"/>
        <w:jc w:val="both"/>
        <w:rPr>
          <w:rFonts w:ascii="Verdana" w:eastAsia="Calibri" w:hAnsi="Verdana" w:cs="Arial"/>
          <w:sz w:val="20"/>
          <w:szCs w:val="20"/>
          <w:lang w:val="es-ES_tradnl"/>
        </w:rPr>
      </w:pPr>
      <w:r w:rsidRPr="00DD1156">
        <w:rPr>
          <w:rFonts w:ascii="Verdana" w:hAnsi="Verdana" w:cs="Arial"/>
          <w:sz w:val="20"/>
          <w:szCs w:val="20"/>
        </w:rPr>
        <w:lastRenderedPageBreak/>
        <w:t>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2B8D4E59" w14:textId="77777777" w:rsidR="00DD1156" w:rsidRPr="004A615F" w:rsidRDefault="00DD1156" w:rsidP="00DD1156">
      <w:pPr>
        <w:spacing w:after="0" w:line="276" w:lineRule="auto"/>
        <w:ind w:right="709"/>
        <w:jc w:val="both"/>
        <w:rPr>
          <w:rFonts w:ascii="Verdana" w:eastAsia="Calibri" w:hAnsi="Verdana" w:cs="Arial"/>
          <w:lang w:val="es-ES_tradnl"/>
        </w:rPr>
      </w:pPr>
    </w:p>
    <w:p w14:paraId="670377EF" w14:textId="77777777" w:rsidR="00DD1156" w:rsidRPr="004A615F" w:rsidRDefault="00DD1156" w:rsidP="00DD1156">
      <w:pPr>
        <w:spacing w:after="120" w:line="276" w:lineRule="auto"/>
        <w:ind w:firstLine="709"/>
        <w:jc w:val="both"/>
        <w:rPr>
          <w:rFonts w:ascii="Verdana" w:eastAsia="Calibri" w:hAnsi="Verdana" w:cs="Arial"/>
          <w:lang w:val="es-ES_tradnl"/>
        </w:rPr>
      </w:pPr>
      <w:r w:rsidRPr="004A615F">
        <w:rPr>
          <w:rFonts w:ascii="Verdana" w:eastAsia="Calibri" w:hAnsi="Verdana" w:cs="Arial"/>
          <w:lang w:val="es-ES_tradnl"/>
        </w:rPr>
        <w:t xml:space="preserve">La norma reglamentaria coincide con la redacción del parágrafo 1º del artículo 34 de la Ley 2069 de 2020, según el cual sí es posible limitar convocatorias a la participación de Mipymes “(…) </w:t>
      </w:r>
      <w:r w:rsidRPr="004A615F">
        <w:rPr>
          <w:rFonts w:ascii="Verdana" w:eastAsia="Calibri" w:hAnsi="Verdana" w:cs="Arial"/>
        </w:rPr>
        <w:t>del ámbito municipal o departamental correspondiente al de la ejecución del contrato</w:t>
      </w:r>
      <w:r w:rsidRPr="004A615F">
        <w:rPr>
          <w:rFonts w:ascii="Verdana" w:eastAsia="Calibri" w:hAnsi="Verdana" w:cs="Arial"/>
          <w:lang w:val="es-ES_tradnl"/>
        </w:rPr>
        <w:t>”. En tales términos, la norma citada sólo contempla la posibilidad de limitar convocatorias a MiPymes con domicilio en esos dos tipos de entidades territoriales.</w:t>
      </w:r>
    </w:p>
    <w:p w14:paraId="0B1CF03B" w14:textId="77777777" w:rsidR="00DD1156" w:rsidRPr="004A615F" w:rsidRDefault="00DD1156" w:rsidP="00DD1156">
      <w:pPr>
        <w:spacing w:after="120" w:line="276" w:lineRule="auto"/>
        <w:ind w:firstLine="709"/>
        <w:jc w:val="both"/>
        <w:rPr>
          <w:rFonts w:ascii="Verdana" w:eastAsia="Calibri" w:hAnsi="Verdana" w:cs="Arial"/>
          <w:lang w:val="es-ES_tradnl"/>
        </w:rPr>
      </w:pPr>
      <w:r w:rsidRPr="004A615F">
        <w:rPr>
          <w:rFonts w:ascii="Verdana" w:eastAsia="Calibri" w:hAnsi="Verdana" w:cs="Arial"/>
          <w:lang w:val="es-ES_tradnl"/>
        </w:rPr>
        <w:t xml:space="preserve">Ello significa que </w:t>
      </w:r>
      <w:r w:rsidRPr="004A615F">
        <w:rPr>
          <w:rFonts w:ascii="Verdana" w:eastAsia="Arial" w:hAnsi="Verdana" w:cs="Arial"/>
          <w:color w:val="000000"/>
          <w:lang w:val="es-MX"/>
        </w:rPr>
        <w:t>toda empresa constituida bajo las leyes colombianas o que tenga su domicilio principal en el territorio colombiano y, además, cumpla los criterios previstos por la Ley 590 de 2000 y el Decreto 957 de 2019, será considerada Mipyme nacional. Además, las normas de contratación permiten que las Mipymes nacionales puedan beneficiarse de la ejecución de un contrato dentro de la entidad territorial en la que tienen su “domicilio”, siempre que el proceso de contratación efectivamente se limite a Mipymes domiciliadas en determinado ámbito territorial, de conformidad con las reglas establecidas en el Decreto 1082 de 2015, modificado por el Decreto 1860 de 2021.</w:t>
      </w:r>
    </w:p>
    <w:p w14:paraId="7038CA31" w14:textId="77777777" w:rsidR="00DD1156" w:rsidRPr="004A615F" w:rsidRDefault="00DD1156" w:rsidP="00DD1156">
      <w:pPr>
        <w:spacing w:after="120" w:line="276" w:lineRule="auto"/>
        <w:ind w:firstLine="709"/>
        <w:jc w:val="both"/>
        <w:rPr>
          <w:rFonts w:ascii="Verdana" w:eastAsia="Calibri" w:hAnsi="Verdana" w:cs="Arial"/>
          <w:lang w:val="es-ES_tradnl"/>
        </w:rPr>
      </w:pPr>
      <w:r w:rsidRPr="004A615F">
        <w:rPr>
          <w:rFonts w:ascii="Verdana" w:eastAsia="Arial" w:hAnsi="Verdana" w:cs="Arial"/>
          <w:color w:val="000000"/>
          <w:lang w:val="es-MX"/>
        </w:rPr>
        <w:t xml:space="preserve">Ahora bien, el artículo 2.2.1.2.4.2.3. del Decreto 1082 de 2015, modificado por el artículo 5 del Decreto 1860 de 2021 se refiere a las “mipyme colombianas que tengan </w:t>
      </w:r>
      <w:r w:rsidRPr="004A615F">
        <w:rPr>
          <w:rFonts w:ascii="Verdana" w:eastAsia="Arial" w:hAnsi="Verdana" w:cs="Arial"/>
          <w:i/>
          <w:iCs/>
          <w:color w:val="000000"/>
          <w:lang w:val="es-MX"/>
        </w:rPr>
        <w:t>domicilio</w:t>
      </w:r>
      <w:r w:rsidRPr="004A615F">
        <w:rPr>
          <w:rFonts w:ascii="Verdana" w:eastAsia="Arial" w:hAnsi="Verdana" w:cs="Arial"/>
          <w:color w:val="000000"/>
          <w:lang w:val="es-MX"/>
        </w:rPr>
        <w:t xml:space="preserve"> en los departamentos o municipios en donde se va a ejecutar el contrato”. Esta precisión es importante, pues el incentivo previsto en la norma únicamente aplica en el lugar de ejecución del contrato en el que la Mipyme tiene su “domicilio” y no en donde tiene sucursales, agencias o establecimientos de comercio.</w:t>
      </w:r>
    </w:p>
    <w:p w14:paraId="4DB1B3EF" w14:textId="77777777" w:rsidR="00DD1156" w:rsidRPr="004A615F" w:rsidRDefault="00DD1156" w:rsidP="00DD1156">
      <w:pPr>
        <w:spacing w:after="120" w:line="276" w:lineRule="auto"/>
        <w:ind w:firstLine="709"/>
        <w:jc w:val="both"/>
        <w:rPr>
          <w:rFonts w:ascii="Verdana" w:eastAsia="Calibri" w:hAnsi="Verdana" w:cs="Arial"/>
          <w:lang w:val="es-ES_tradnl"/>
        </w:rPr>
      </w:pPr>
      <w:r w:rsidRPr="004A615F">
        <w:rPr>
          <w:rFonts w:ascii="Verdana" w:eastAsia="Arial" w:hAnsi="Verdana" w:cs="Arial"/>
          <w:color w:val="000000"/>
          <w:lang w:val="es-MX"/>
        </w:rPr>
        <w:t xml:space="preserve">Para explicar las implicaciones del artículo, en primer lugar, debe analizarse el alcance del término </w:t>
      </w:r>
      <w:r w:rsidRPr="004A615F">
        <w:rPr>
          <w:rFonts w:ascii="Verdana" w:hAnsi="Verdana" w:cs="Arial"/>
          <w:color w:val="000000" w:themeColor="text1"/>
        </w:rPr>
        <w:t xml:space="preserve">“domicilio” que, para el caso de las sociedades, se constituye en uno de los atributos de su personalidad que, con arreglo al ordenamiento jurídico colombiano, son aquellas propiedades o características de identidad propias de las personas, sean naturales o jurídicas, como titulares de derecho. En esta línea, este término es definido por el Código Civil en el artículo </w:t>
      </w:r>
      <w:r w:rsidRPr="004A615F">
        <w:rPr>
          <w:rFonts w:ascii="Verdana" w:hAnsi="Verdana" w:cs="Arial"/>
          <w:color w:val="000000" w:themeColor="text1"/>
        </w:rPr>
        <w:lastRenderedPageBreak/>
        <w:t>76</w:t>
      </w:r>
      <w:r w:rsidRPr="004A615F">
        <w:rPr>
          <w:rFonts w:ascii="Verdana" w:hAnsi="Verdana" w:cs="Arial"/>
          <w:color w:val="000000" w:themeColor="text1"/>
          <w:vertAlign w:val="superscript"/>
        </w:rPr>
        <w:footnoteReference w:id="2"/>
      </w:r>
      <w:r w:rsidRPr="004A615F">
        <w:rPr>
          <w:rFonts w:ascii="Verdana" w:hAnsi="Verdana" w:cs="Arial"/>
          <w:color w:val="000000" w:themeColor="text1"/>
        </w:rPr>
        <w:t xml:space="preserve">, el cual lo concibe como la residencia acompañada real o presuntivamente del ánimo de permanecer en ella, lo que para el caso de las sociedades se interpreta como el sitio donde éstas tienen el asiento principal de sus negocios. </w:t>
      </w:r>
    </w:p>
    <w:p w14:paraId="3550B4A9" w14:textId="77777777" w:rsidR="00DD1156" w:rsidRPr="004A615F" w:rsidRDefault="00DD1156" w:rsidP="00DD1156">
      <w:pPr>
        <w:spacing w:after="120" w:line="276" w:lineRule="auto"/>
        <w:ind w:firstLine="709"/>
        <w:jc w:val="both"/>
        <w:rPr>
          <w:rFonts w:ascii="Verdana" w:eastAsia="Calibri" w:hAnsi="Verdana" w:cs="Arial"/>
          <w:color w:val="000000" w:themeColor="text1"/>
          <w:lang w:val="es-ES" w:eastAsia="es-ES"/>
        </w:rPr>
      </w:pPr>
      <w:r w:rsidRPr="004A615F">
        <w:rPr>
          <w:rFonts w:ascii="Verdana" w:eastAsia="Arial" w:hAnsi="Verdana" w:cs="Arial"/>
          <w:color w:val="000000"/>
          <w:lang w:val="es-MX"/>
        </w:rPr>
        <w:t>En segundo lugar, el artículo 263 del Código de Comercio define las</w:t>
      </w:r>
      <w:r>
        <w:rPr>
          <w:rFonts w:ascii="Verdana" w:eastAsia="Arial" w:hAnsi="Verdana" w:cs="Arial"/>
          <w:color w:val="000000"/>
          <w:lang w:val="es-MX"/>
        </w:rPr>
        <w:t xml:space="preserve"> sucursales </w:t>
      </w:r>
      <w:r w:rsidRPr="004A615F">
        <w:rPr>
          <w:rFonts w:ascii="Verdana" w:eastAsia="Arial" w:hAnsi="Verdana" w:cs="Arial"/>
          <w:color w:val="000000"/>
          <w:lang w:val="es-MX"/>
        </w:rPr>
        <w:t>como “los establecimientos de comercio abiertos por una sociedad, dentro o fuera de su domicilio, para el desarrollo de los negocios sociales o parte de ellos, administrados por mandatarios con facultades para representar la sociedad”. A renglón seguido, el artículo 264 señala que son agencias de una sociedad “sus establecimientos de comercio cuyos administradores carezcan de poder para representarla”</w:t>
      </w:r>
      <w:r>
        <w:rPr>
          <w:rFonts w:ascii="Verdana" w:eastAsia="Arial" w:hAnsi="Verdana" w:cs="Arial"/>
          <w:color w:val="000000"/>
          <w:lang w:val="es-MX"/>
        </w:rPr>
        <w:t>, e</w:t>
      </w:r>
      <w:r w:rsidRPr="004A615F">
        <w:rPr>
          <w:rFonts w:ascii="Verdana" w:eastAsia="Calibri" w:hAnsi="Verdana" w:cs="Arial"/>
          <w:color w:val="000000" w:themeColor="text1"/>
          <w:lang w:val="es-ES" w:eastAsia="es-ES"/>
        </w:rPr>
        <w:t>sta precisión es importante, pues el incentivo previsto en la norma únicamente aplica en el lugar de ejecución del contratado en el que la Mipyme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742F9341" w14:textId="77777777" w:rsidR="00DD1156" w:rsidRPr="004A615F" w:rsidRDefault="00DD1156" w:rsidP="00DD1156">
      <w:pPr>
        <w:spacing w:after="120" w:line="276" w:lineRule="auto"/>
        <w:ind w:firstLine="709"/>
        <w:jc w:val="both"/>
        <w:rPr>
          <w:rFonts w:ascii="Verdana" w:eastAsia="Arial" w:hAnsi="Verdana" w:cs="Arial"/>
          <w:color w:val="000000"/>
          <w:lang w:val="es-MX"/>
        </w:rPr>
      </w:pPr>
      <w:r w:rsidRPr="004A615F">
        <w:rPr>
          <w:rFonts w:ascii="Verdana" w:eastAsia="Arial" w:hAnsi="Verdana" w:cs="Arial"/>
          <w:color w:val="000000"/>
          <w:lang w:val="es-MX"/>
        </w:rPr>
        <w:t xml:space="preserve">Nótese que la norma se refiere a los conceptos de “sucursal”, “agencia”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r w:rsidRPr="004A615F">
        <w:rPr>
          <w:rFonts w:ascii="Verdana" w:eastAsia="Arial" w:hAnsi="Verdana" w:cs="Arial"/>
          <w:i/>
          <w:color w:val="000000"/>
          <w:lang w:val="es-MX"/>
        </w:rPr>
        <w:t>ibidem</w:t>
      </w:r>
      <w:r w:rsidRPr="004A615F">
        <w:rPr>
          <w:rFonts w:ascii="Verdana" w:eastAsia="Arial" w:hAnsi="Verdana" w:cs="Arial"/>
          <w:color w:val="000000"/>
          <w:lang w:val="es-MX"/>
        </w:rPr>
        <w:t xml:space="preserve"> se refieren a los conceptos de “sucursal” y “domicilio” de forma independiente. El uno para referirse a los requisitos de constitución de una sociedad comercial y el otro para determinar el lugar donde se debe inscribir la escritura pública de constitución de la sociedad comercial. En esta medida, si el legislador distinguió entre uno y otro y si el reglamento se refiere al “domicilio”, se entiende que no es procedente extender el beneficio contenido en el artículo 2.2.1.2.4.2.3. </w:t>
      </w:r>
      <w:r w:rsidRPr="004A615F">
        <w:rPr>
          <w:rFonts w:ascii="Verdana" w:eastAsia="Arial" w:hAnsi="Verdana" w:cs="Arial"/>
          <w:i/>
          <w:color w:val="000000"/>
          <w:lang w:val="es-MX"/>
        </w:rPr>
        <w:t xml:space="preserve">ibidem </w:t>
      </w:r>
      <w:r w:rsidRPr="004A615F">
        <w:rPr>
          <w:rFonts w:ascii="Verdana" w:eastAsia="Arial" w:hAnsi="Verdana" w:cs="Arial"/>
          <w:color w:val="000000"/>
          <w:lang w:val="es-MX"/>
        </w:rPr>
        <w:t xml:space="preserve">a las </w:t>
      </w:r>
      <w:r w:rsidRPr="004A615F">
        <w:rPr>
          <w:rFonts w:ascii="Verdana" w:eastAsia="Arial" w:hAnsi="Verdana" w:cs="Arial"/>
          <w:color w:val="000000"/>
          <w:lang w:val="es-MX"/>
        </w:rPr>
        <w:lastRenderedPageBreak/>
        <w:t>entidades que tienen “sucursales” y “agencias” en el municipio o departamento en donde se va a ejecutar el contrato estatal.</w:t>
      </w:r>
    </w:p>
    <w:p w14:paraId="5B858C88" w14:textId="77777777" w:rsidR="00DD1156" w:rsidRDefault="00DD1156" w:rsidP="00DD1156">
      <w:pPr>
        <w:spacing w:line="276" w:lineRule="auto"/>
        <w:ind w:firstLine="708"/>
        <w:jc w:val="both"/>
        <w:rPr>
          <w:rFonts w:ascii="Verdana" w:eastAsia="Calibri" w:hAnsi="Verdana" w:cs="Arial"/>
          <w:bCs/>
          <w:lang w:eastAsia="es-ES" w:bidi="es-ES"/>
        </w:rPr>
      </w:pPr>
      <w:r>
        <w:rPr>
          <w:rFonts w:ascii="Verdana" w:eastAsia="Calibri" w:hAnsi="Verdana" w:cs="Arial"/>
          <w:bCs/>
          <w:lang w:eastAsia="es-ES" w:bidi="es-ES"/>
        </w:rPr>
        <w:t xml:space="preserve">Así las cosas, </w:t>
      </w:r>
      <w:r w:rsidRPr="00A53190">
        <w:rPr>
          <w:rFonts w:ascii="Verdana" w:eastAsia="Calibri" w:hAnsi="Verdana" w:cs="Arial"/>
          <w:bCs/>
          <w:lang w:eastAsia="es-ES" w:bidi="es-ES"/>
        </w:rPr>
        <w:t>las limitaciones territoriales en los procesos de contratación para Mipymes se refieren al domicilio principal de la empresa, el cual se acredita con el certificado de existencia y representación legal. La finalidad de la norma es incentivar el desarrollo empresarial y la generación de empleo en la región de ejecución del contrato, y se considera que el domicilio principal es el que mejor refleja esta vinculación.</w:t>
      </w:r>
      <w:r w:rsidRPr="00612EB8">
        <w:rPr>
          <w:rFonts w:ascii="Verdana" w:eastAsia="Calibri" w:hAnsi="Verdana" w:cs="Arial"/>
          <w:bCs/>
          <w:lang w:eastAsia="es-ES" w:bidi="es-ES"/>
        </w:rPr>
        <w:t xml:space="preserve"> </w:t>
      </w:r>
    </w:p>
    <w:p w14:paraId="5120EF85" w14:textId="41CA217E" w:rsidR="00DD1156" w:rsidRDefault="00DD1156" w:rsidP="00DD1156">
      <w:pPr>
        <w:spacing w:line="276" w:lineRule="auto"/>
        <w:jc w:val="both"/>
        <w:rPr>
          <w:rFonts w:ascii="Verdana" w:eastAsia="Calibri" w:hAnsi="Verdana" w:cs="Arial"/>
        </w:rPr>
      </w:pPr>
      <w:r>
        <w:rPr>
          <w:rFonts w:ascii="Verdana" w:eastAsia="Calibri" w:hAnsi="Verdana" w:cs="Arial"/>
        </w:rPr>
        <w:t xml:space="preserve">        Ahora bien, en atención al problema jurídico planteado, l</w:t>
      </w:r>
      <w:r w:rsidRPr="00BB60F1">
        <w:rPr>
          <w:rFonts w:ascii="Verdana" w:eastAsia="Calibri" w:hAnsi="Verdana" w:cs="Arial"/>
        </w:rPr>
        <w:t xml:space="preserve">a participación en procesos de contratación pública limitados a MiPymes domiciliadas en un municipio requiere </w:t>
      </w:r>
      <w:r>
        <w:rPr>
          <w:rFonts w:ascii="Verdana" w:eastAsia="Calibri" w:hAnsi="Verdana" w:cs="Arial"/>
        </w:rPr>
        <w:t xml:space="preserve">el cumplimiento de los requisitos de ley previstos en la Decreto 1082 de 2015 </w:t>
      </w:r>
      <w:r w:rsidRPr="00BB60F1">
        <w:rPr>
          <w:rFonts w:ascii="Verdana" w:eastAsia="Calibri" w:hAnsi="Verdana" w:cs="Arial"/>
        </w:rPr>
        <w:t>y la normatividad contractual</w:t>
      </w:r>
      <w:r>
        <w:rPr>
          <w:rFonts w:ascii="Verdana" w:eastAsia="Calibri" w:hAnsi="Verdana" w:cs="Arial"/>
        </w:rPr>
        <w:t xml:space="preserve">, que </w:t>
      </w:r>
      <w:r w:rsidRPr="00BB60F1">
        <w:rPr>
          <w:rFonts w:ascii="Verdana" w:eastAsia="Calibri" w:hAnsi="Verdana" w:cs="Arial"/>
        </w:rPr>
        <w:t>implica</w:t>
      </w:r>
      <w:r>
        <w:rPr>
          <w:rFonts w:ascii="Verdana" w:eastAsia="Calibri" w:hAnsi="Verdana" w:cs="Arial"/>
        </w:rPr>
        <w:t>n</w:t>
      </w:r>
      <w:r w:rsidRPr="00BB60F1">
        <w:rPr>
          <w:rFonts w:ascii="Verdana" w:eastAsia="Calibri" w:hAnsi="Verdana" w:cs="Arial"/>
        </w:rPr>
        <w:t xml:space="preserve"> la residencia acompañada del ánimo de permanencia </w:t>
      </w:r>
      <w:r>
        <w:rPr>
          <w:rFonts w:ascii="Verdana" w:eastAsia="Calibri" w:hAnsi="Verdana" w:cs="Arial"/>
        </w:rPr>
        <w:t xml:space="preserve">en ella y que esta corresponda </w:t>
      </w:r>
      <w:r w:rsidRPr="00BB60F1">
        <w:rPr>
          <w:rFonts w:ascii="Verdana" w:eastAsia="Calibri" w:hAnsi="Verdana" w:cs="Arial"/>
        </w:rPr>
        <w:t>al asiento principal de los negocios de la empresa.</w:t>
      </w:r>
    </w:p>
    <w:p w14:paraId="77919169" w14:textId="565BFF33" w:rsidR="00DD1156" w:rsidRDefault="00DD1156" w:rsidP="00DD1156">
      <w:pPr>
        <w:spacing w:line="276" w:lineRule="auto"/>
        <w:jc w:val="both"/>
        <w:rPr>
          <w:rFonts w:ascii="Verdana" w:eastAsia="Calibri" w:hAnsi="Verdana" w:cs="Arial"/>
        </w:rPr>
      </w:pPr>
      <w:r>
        <w:rPr>
          <w:rFonts w:ascii="Verdana" w:eastAsia="Calibri" w:hAnsi="Verdana" w:cs="Arial"/>
        </w:rPr>
        <w:t xml:space="preserve">          </w:t>
      </w:r>
      <w:r w:rsidRPr="00BB60F1">
        <w:rPr>
          <w:rFonts w:ascii="Verdana" w:eastAsia="Calibri" w:hAnsi="Verdana" w:cs="Arial"/>
        </w:rPr>
        <w:t xml:space="preserve">Por tanto, el incentivo legal solo aplica a aquellas MiPymes que tengan su domicilio principal real en el lugar de ejecución del contrato, </w:t>
      </w:r>
      <w:r>
        <w:rPr>
          <w:rFonts w:ascii="Verdana" w:eastAsia="Calibri" w:hAnsi="Verdana" w:cs="Arial"/>
        </w:rPr>
        <w:t>correspondiéndole a la</w:t>
      </w:r>
      <w:r w:rsidRPr="00BB60F1">
        <w:rPr>
          <w:rFonts w:ascii="Verdana" w:eastAsia="Calibri" w:hAnsi="Verdana" w:cs="Arial"/>
        </w:rPr>
        <w:t xml:space="preserve"> administración municipal la responsabilidad de verificar esta condición de manera rigurosa, con el fin de garantizar que los beneficios normativos realmente promuevan el desarrollo local y no sean objeto de fraude o abuso por parte de empresas no vinculadas al territorio.</w:t>
      </w:r>
    </w:p>
    <w:p w14:paraId="2556258A" w14:textId="2B6E6686" w:rsidR="00DD1156" w:rsidRPr="00DB4737" w:rsidRDefault="00DD1156" w:rsidP="00DD1156">
      <w:pPr>
        <w:spacing w:after="0"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74EAD83A" w14:textId="77777777" w:rsidR="00DD1156" w:rsidRPr="00DB4737" w:rsidRDefault="00DD1156" w:rsidP="00DD1156">
      <w:pPr>
        <w:spacing w:after="0"/>
        <w:ind w:left="720"/>
        <w:contextualSpacing/>
        <w:rPr>
          <w:rFonts w:ascii="Verdana" w:eastAsia="Calibri" w:hAnsi="Verdana" w:cs="Times New Roman"/>
          <w:lang w:val="es-ES"/>
        </w:rPr>
      </w:pPr>
    </w:p>
    <w:p w14:paraId="707612A4" w14:textId="793FE7FA" w:rsidR="00DD1156" w:rsidRDefault="00DD1156" w:rsidP="00DD1156">
      <w:pPr>
        <w:spacing w:after="120" w:line="276" w:lineRule="auto"/>
        <w:ind w:firstLine="708"/>
        <w:jc w:val="both"/>
        <w:rPr>
          <w:rFonts w:ascii="Verdana" w:eastAsia="Calibri" w:hAnsi="Verdana" w:cs="Times New Roman"/>
          <w:lang w:val="es-ES"/>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DB4737">
        <w:rPr>
          <w:rFonts w:ascii="Verdana" w:eastAsia="Calibri" w:hAnsi="Verdana" w:cs="Times New Roman"/>
          <w:lang w:val="es-ES"/>
        </w:rPr>
        <w:lastRenderedPageBreak/>
        <w:t>contractual, sin que sea atribución de la Agencia Nacional de Contratación Pública – Colombia Compra Eficiente, validar sus actuaciones</w:t>
      </w:r>
      <w:r>
        <w:rPr>
          <w:rFonts w:ascii="Verdana" w:eastAsia="Calibri" w:hAnsi="Verdana" w:cs="Times New Roman"/>
          <w:lang w:val="es-ES"/>
        </w:rPr>
        <w:t>.</w:t>
      </w:r>
    </w:p>
    <w:p w14:paraId="2786A819" w14:textId="77777777" w:rsidR="004655F6" w:rsidRPr="0060676F" w:rsidRDefault="004655F6" w:rsidP="004655F6">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3EB9095" w14:textId="77777777" w:rsidR="004655F6" w:rsidRPr="00593A5F" w:rsidRDefault="004655F6" w:rsidP="004655F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655F6" w:rsidRPr="00593A5F" w14:paraId="4B85DD9F" w14:textId="77777777" w:rsidTr="003E6E41">
        <w:trPr>
          <w:trHeight w:val="870"/>
        </w:trPr>
        <w:tc>
          <w:tcPr>
            <w:tcW w:w="8647" w:type="dxa"/>
          </w:tcPr>
          <w:p w14:paraId="28D1BCC3" w14:textId="77777777" w:rsidR="00DD1156" w:rsidRPr="00FC49A2" w:rsidRDefault="00DD1156" w:rsidP="00DD1156">
            <w:pPr>
              <w:widowControl w:val="0"/>
              <w:numPr>
                <w:ilvl w:val="0"/>
                <w:numId w:val="17"/>
              </w:numPr>
              <w:autoSpaceDE w:val="0"/>
              <w:autoSpaceDN w:val="0"/>
              <w:spacing w:after="120" w:line="276" w:lineRule="auto"/>
              <w:contextualSpacing/>
              <w:jc w:val="both"/>
              <w:rPr>
                <w:rFonts w:ascii="Verdana" w:eastAsia="Aptos" w:hAnsi="Verdana" w:cs="Arial"/>
              </w:rPr>
            </w:pPr>
            <w:r w:rsidRPr="00FC49A2">
              <w:rPr>
                <w:rFonts w:ascii="Verdana" w:eastAsia="Calibri" w:hAnsi="Verdana" w:cs="Arial"/>
                <w:lang w:val="es-ES"/>
              </w:rPr>
              <w:t xml:space="preserve">Decreto 1082. Artículos 2.2.1.2.4.2.2, 2.2.1.2.4.2.3 y </w:t>
            </w:r>
            <w:r w:rsidRPr="00FC49A2">
              <w:rPr>
                <w:rFonts w:ascii="Verdana" w:eastAsia="Calibri" w:hAnsi="Verdana" w:cs="Times New Roman"/>
                <w:lang w:val="es-ES"/>
              </w:rPr>
              <w:t xml:space="preserve">2.2.1.2.4.2.4 </w:t>
            </w:r>
          </w:p>
          <w:p w14:paraId="114355B1" w14:textId="77777777" w:rsidR="00DD1156" w:rsidRPr="00FC49A2" w:rsidRDefault="00DD1156" w:rsidP="00DD1156">
            <w:pPr>
              <w:widowControl w:val="0"/>
              <w:numPr>
                <w:ilvl w:val="0"/>
                <w:numId w:val="17"/>
              </w:numPr>
              <w:autoSpaceDE w:val="0"/>
              <w:autoSpaceDN w:val="0"/>
              <w:spacing w:after="120" w:line="276" w:lineRule="auto"/>
              <w:contextualSpacing/>
              <w:jc w:val="both"/>
              <w:rPr>
                <w:rFonts w:ascii="Verdana" w:eastAsia="Aptos" w:hAnsi="Verdana" w:cs="Arial"/>
              </w:rPr>
            </w:pPr>
            <w:r w:rsidRPr="00FC49A2">
              <w:rPr>
                <w:rFonts w:ascii="Verdana" w:eastAsia="Aptos" w:hAnsi="Verdana" w:cs="Arial"/>
              </w:rPr>
              <w:t>Ley 2069 de 2020. Artículo 34</w:t>
            </w:r>
          </w:p>
          <w:p w14:paraId="5F3B1A66" w14:textId="77777777" w:rsidR="00DD1156" w:rsidRPr="00FC49A2" w:rsidRDefault="00DD1156" w:rsidP="00DD1156">
            <w:pPr>
              <w:widowControl w:val="0"/>
              <w:numPr>
                <w:ilvl w:val="0"/>
                <w:numId w:val="17"/>
              </w:numPr>
              <w:autoSpaceDE w:val="0"/>
              <w:autoSpaceDN w:val="0"/>
              <w:spacing w:line="276" w:lineRule="auto"/>
              <w:contextualSpacing/>
              <w:jc w:val="both"/>
              <w:rPr>
                <w:rFonts w:ascii="Verdana" w:eastAsia="Aptos" w:hAnsi="Verdana" w:cs="Arial"/>
              </w:rPr>
            </w:pPr>
            <w:r w:rsidRPr="00FC49A2">
              <w:rPr>
                <w:rFonts w:ascii="Verdana" w:eastAsia="Calibri" w:hAnsi="Verdana" w:cs="Arial"/>
                <w:lang w:val="es-ES"/>
              </w:rPr>
              <w:t>Decreto 1860 de 2021. Artículo 5</w:t>
            </w:r>
          </w:p>
          <w:p w14:paraId="5EA0D029" w14:textId="77777777" w:rsidR="00DD1156" w:rsidRPr="00DD1156" w:rsidRDefault="00DD1156" w:rsidP="00DD1156">
            <w:pPr>
              <w:pStyle w:val="Prrafodelista"/>
              <w:widowControl w:val="0"/>
              <w:numPr>
                <w:ilvl w:val="0"/>
                <w:numId w:val="17"/>
              </w:numPr>
              <w:autoSpaceDE w:val="0"/>
              <w:autoSpaceDN w:val="0"/>
              <w:spacing w:after="120" w:line="276" w:lineRule="auto"/>
              <w:jc w:val="both"/>
              <w:rPr>
                <w:rFonts w:ascii="Verdana" w:hAnsi="Verdana" w:cs="Arial"/>
              </w:rPr>
            </w:pPr>
            <w:r w:rsidRPr="00FC49A2">
              <w:rPr>
                <w:rFonts w:ascii="Verdana" w:eastAsia="Aptos" w:hAnsi="Verdana" w:cs="Arial"/>
              </w:rPr>
              <w:t>Ley 1450 de 2011: Artículo 32, Parágrafo 1</w:t>
            </w:r>
          </w:p>
          <w:p w14:paraId="5E0045E2" w14:textId="4D94C044" w:rsidR="004655F6" w:rsidRPr="00332677" w:rsidRDefault="00DD1156" w:rsidP="00DD1156">
            <w:pPr>
              <w:pStyle w:val="Prrafodelista"/>
              <w:widowControl w:val="0"/>
              <w:numPr>
                <w:ilvl w:val="0"/>
                <w:numId w:val="17"/>
              </w:numPr>
              <w:autoSpaceDE w:val="0"/>
              <w:autoSpaceDN w:val="0"/>
              <w:spacing w:after="120" w:line="276" w:lineRule="auto"/>
              <w:jc w:val="both"/>
              <w:rPr>
                <w:rFonts w:ascii="Verdana" w:hAnsi="Verdana" w:cs="Arial"/>
              </w:rPr>
            </w:pPr>
            <w:r>
              <w:rPr>
                <w:rFonts w:ascii="Verdana" w:eastAsia="Aptos" w:hAnsi="Verdana" w:cs="Arial"/>
              </w:rPr>
              <w:t>Código de Comercio. Artículo 263.</w:t>
            </w:r>
          </w:p>
        </w:tc>
      </w:tr>
    </w:tbl>
    <w:p w14:paraId="6993F387" w14:textId="77777777" w:rsidR="004655F6" w:rsidRDefault="004655F6" w:rsidP="004655F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BF268EB" w14:textId="77777777" w:rsidR="004655F6" w:rsidRDefault="004655F6" w:rsidP="004655F6">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DAFE845" w14:textId="77777777" w:rsidR="004655F6" w:rsidRPr="00593A5F" w:rsidRDefault="004655F6" w:rsidP="004655F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06E844B" w14:textId="1DC3D83D" w:rsidR="004655F6" w:rsidRPr="00AE7E03" w:rsidRDefault="00DD1156" w:rsidP="004655F6">
      <w:pPr>
        <w:widowControl w:val="0"/>
        <w:autoSpaceDE w:val="0"/>
        <w:autoSpaceDN w:val="0"/>
        <w:spacing w:after="0" w:line="276" w:lineRule="auto"/>
        <w:jc w:val="both"/>
        <w:rPr>
          <w:rFonts w:ascii="Verdana" w:eastAsia="Arial" w:hAnsi="Verdana" w:cs="Arial"/>
          <w:lang w:val="es-MX" w:eastAsia="es-ES"/>
        </w:rPr>
      </w:pPr>
      <w:r w:rsidRPr="00FC49A2">
        <w:rPr>
          <w:rFonts w:ascii="Verdana" w:eastAsia="Aptos" w:hAnsi="Verdana" w:cs="Arial"/>
          <w:shd w:val="clear" w:color="auto" w:fill="FFFFFF"/>
          <w:lang w:val="es-ES"/>
        </w:rPr>
        <w:t>Sobre las convocatorias limitadas a Mipymes,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C-127 del 06 de abril de 2021, C-130 del 07 de abril de 2021, C- 144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entre otros. La Agencia también ha analizado las limitaciones territoriales de convocatorias a Mipymes, en los conceptos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w:t>
      </w:r>
      <w:r>
        <w:rPr>
          <w:rFonts w:ascii="Verdana" w:eastAsia="Aptos" w:hAnsi="Verdana" w:cs="Arial"/>
          <w:shd w:val="clear" w:color="auto" w:fill="FFFFFF"/>
          <w:lang w:val="es-ES"/>
        </w:rPr>
        <w:t xml:space="preserve">, </w:t>
      </w:r>
      <w:r w:rsidRPr="00FC49A2">
        <w:rPr>
          <w:rFonts w:ascii="Verdana" w:eastAsia="Aptos" w:hAnsi="Verdana" w:cs="Arial"/>
          <w:shd w:val="clear" w:color="auto" w:fill="FFFFFF"/>
          <w:lang w:val="es-ES"/>
        </w:rPr>
        <w:t>C-758 del 10 de noviembre de 2022, C-089 del 28 de abril de 2023</w:t>
      </w:r>
      <w:r>
        <w:rPr>
          <w:rFonts w:ascii="Verdana" w:eastAsia="Aptos" w:hAnsi="Verdana" w:cs="Arial"/>
          <w:shd w:val="clear" w:color="auto" w:fill="FFFFFF"/>
          <w:lang w:val="es-ES"/>
        </w:rPr>
        <w:t xml:space="preserve"> y C-507 de 2025</w:t>
      </w:r>
      <w:r w:rsidRPr="001A0556">
        <w:rPr>
          <w:rFonts w:ascii="Verdana" w:eastAsia="Aptos" w:hAnsi="Verdana" w:cs="Arial"/>
          <w:shd w:val="clear" w:color="auto" w:fill="FFFFFF"/>
          <w:lang w:val="es-ES"/>
        </w:rPr>
        <w:t xml:space="preserve"> entre</w:t>
      </w:r>
      <w:r w:rsidRPr="00B52642">
        <w:rPr>
          <w:rFonts w:ascii="Verdana" w:eastAsia="Aptos" w:hAnsi="Verdana" w:cs="Arial"/>
          <w:shd w:val="clear" w:color="auto" w:fill="FFFFFF"/>
          <w:lang w:val="es-ES"/>
        </w:rPr>
        <w:t xml:space="preserve"> otros</w:t>
      </w:r>
      <w:r w:rsidR="004655F6">
        <w:rPr>
          <w:rFonts w:ascii="Verdana" w:eastAsia="Calibri" w:hAnsi="Verdana" w:cs="Arial"/>
          <w:shd w:val="clear" w:color="auto" w:fill="FFFFFF"/>
        </w:rPr>
        <w:t>.</w:t>
      </w:r>
      <w:r w:rsidR="004655F6" w:rsidRPr="00185EE9">
        <w:rPr>
          <w:rFonts w:ascii="Verdana" w:eastAsia="Calibri" w:hAnsi="Verdana" w:cs="Times New Roman"/>
        </w:rPr>
        <w:t xml:space="preserve"> </w:t>
      </w:r>
      <w:r w:rsidR="004655F6">
        <w:rPr>
          <w:rFonts w:ascii="Verdana" w:eastAsia="Calibri" w:hAnsi="Verdana" w:cs="Times New Roman"/>
        </w:rPr>
        <w:t xml:space="preserve">Estos </w:t>
      </w:r>
      <w:r w:rsidR="004655F6" w:rsidRPr="00185EE9">
        <w:rPr>
          <w:rFonts w:ascii="Verdana" w:eastAsia="Calibri" w:hAnsi="Verdana" w:cs="Times New Roman"/>
        </w:rPr>
        <w:t xml:space="preserve">se encuentran disponibles para consulta en el Sistema de Relatoría de la Agencia, en el cual también podrás encontrar </w:t>
      </w:r>
      <w:r w:rsidR="004655F6" w:rsidRPr="00185EE9">
        <w:rPr>
          <w:rFonts w:ascii="Verdana" w:eastAsia="Calibri" w:hAnsi="Verdana" w:cs="Times New Roman"/>
        </w:rPr>
        <w:lastRenderedPageBreak/>
        <w:t>jurisprudencia del Consejo de Estado, laudos arbitrales y la normativa de la contratación concordada con la doctrina de la Subdirección de Gestión Contractual, accede a través del siguiente enlace:</w:t>
      </w:r>
    </w:p>
    <w:p w14:paraId="5AD61A4B" w14:textId="77777777" w:rsidR="004655F6" w:rsidRPr="0065720B" w:rsidRDefault="0075435A" w:rsidP="004655F6">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004655F6" w:rsidRPr="00191357">
          <w:rPr>
            <w:rStyle w:val="Hipervnculo"/>
            <w:rFonts w:ascii="Verdana" w:eastAsia="Calibri" w:hAnsi="Verdana" w:cs="Times New Roman"/>
            <w:lang w:val="es-ES"/>
          </w:rPr>
          <w:t>https://relatoria.colombiacompra.gov.co/busqueda/conceptos</w:t>
        </w:r>
      </w:hyperlink>
      <w:r w:rsidR="004655F6" w:rsidRPr="00185EE9">
        <w:rPr>
          <w:rFonts w:ascii="Verdana" w:eastAsia="Calibri" w:hAnsi="Verdana" w:cs="Times New Roman"/>
        </w:rPr>
        <w:t>.</w:t>
      </w:r>
    </w:p>
    <w:p w14:paraId="62BBA28F" w14:textId="77777777" w:rsidR="004655F6" w:rsidRPr="00505CD6" w:rsidRDefault="004655F6" w:rsidP="004655F6">
      <w:pPr>
        <w:widowControl w:val="0"/>
        <w:autoSpaceDE w:val="0"/>
        <w:autoSpaceDN w:val="0"/>
        <w:spacing w:after="0" w:line="276" w:lineRule="auto"/>
        <w:jc w:val="both"/>
        <w:rPr>
          <w:rFonts w:ascii="Verdana" w:hAnsi="Verdana" w:cs="Arial"/>
          <w:color w:val="000000" w:themeColor="text1"/>
          <w:shd w:val="clear" w:color="auto" w:fill="FFFFFF"/>
        </w:rPr>
      </w:pPr>
    </w:p>
    <w:p w14:paraId="535836B1" w14:textId="77777777" w:rsidR="004655F6" w:rsidRDefault="004655F6" w:rsidP="004655F6">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7A370FF8" w14:textId="77777777" w:rsidR="004655F6" w:rsidRDefault="004655F6" w:rsidP="004655F6">
      <w:pPr>
        <w:widowControl w:val="0"/>
        <w:autoSpaceDE w:val="0"/>
        <w:autoSpaceDN w:val="0"/>
        <w:spacing w:after="0" w:line="276" w:lineRule="auto"/>
        <w:jc w:val="both"/>
      </w:pPr>
    </w:p>
    <w:p w14:paraId="2D6C9DF9" w14:textId="77777777" w:rsidR="004655F6" w:rsidRPr="00505CD6" w:rsidRDefault="004655F6" w:rsidP="004655F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AF51D1E" w14:textId="77777777" w:rsidR="004655F6" w:rsidRPr="00505CD6" w:rsidRDefault="004655F6" w:rsidP="004655F6">
      <w:pPr>
        <w:widowControl w:val="0"/>
        <w:autoSpaceDE w:val="0"/>
        <w:autoSpaceDN w:val="0"/>
        <w:spacing w:after="0" w:line="276" w:lineRule="auto"/>
        <w:jc w:val="both"/>
        <w:rPr>
          <w:rFonts w:ascii="Verdana" w:hAnsi="Verdana" w:cs="Arial"/>
        </w:rPr>
      </w:pPr>
    </w:p>
    <w:p w14:paraId="686AE28F" w14:textId="77777777" w:rsidR="004655F6" w:rsidRPr="00505CD6" w:rsidRDefault="004655F6" w:rsidP="004655F6">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67827FE8" w14:textId="77777777" w:rsidR="004655F6" w:rsidRDefault="004655F6" w:rsidP="004655F6">
      <w:pPr>
        <w:spacing w:line="276" w:lineRule="auto"/>
        <w:jc w:val="center"/>
        <w:rPr>
          <w:rFonts w:ascii="Verdana" w:hAnsi="Verdana"/>
          <w:noProof/>
        </w:rPr>
      </w:pPr>
    </w:p>
    <w:p w14:paraId="01EC7C43" w14:textId="4B0071A0" w:rsidR="00BC017B" w:rsidRDefault="00BC017B" w:rsidP="004655F6">
      <w:pPr>
        <w:spacing w:line="276" w:lineRule="auto"/>
        <w:jc w:val="center"/>
        <w:rPr>
          <w:rFonts w:ascii="Verdana" w:hAnsi="Verdana"/>
          <w:noProof/>
        </w:rPr>
      </w:pPr>
      <w:r>
        <w:rPr>
          <w:noProof/>
        </w:rPr>
        <w:drawing>
          <wp:inline distT="0" distB="0" distL="0" distR="0" wp14:anchorId="28B0F6A4" wp14:editId="00CE41C0">
            <wp:extent cx="3181350" cy="1333884"/>
            <wp:effectExtent l="0" t="0" r="0" b="0"/>
            <wp:docPr id="19340358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91728" cy="133823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655F6" w:rsidRPr="00593A5F" w14:paraId="201A26B8" w14:textId="77777777" w:rsidTr="003E6E41">
        <w:trPr>
          <w:trHeight w:val="315"/>
        </w:trPr>
        <w:tc>
          <w:tcPr>
            <w:tcW w:w="893" w:type="dxa"/>
            <w:vAlign w:val="center"/>
            <w:hideMark/>
          </w:tcPr>
          <w:p w14:paraId="7772E60E" w14:textId="77777777" w:rsidR="004655F6" w:rsidRPr="003751C7" w:rsidRDefault="004655F6" w:rsidP="003E6E4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DF09D1A" w14:textId="77777777" w:rsidR="004655F6" w:rsidRPr="007911EE" w:rsidRDefault="004655F6" w:rsidP="003E6E41">
            <w:pPr>
              <w:contextualSpacing/>
              <w:rPr>
                <w:rFonts w:ascii="Verdana" w:hAnsi="Verdana"/>
                <w:sz w:val="16"/>
                <w:szCs w:val="16"/>
              </w:rPr>
            </w:pPr>
            <w:r w:rsidRPr="007911EE">
              <w:rPr>
                <w:rFonts w:ascii="Verdana" w:hAnsi="Verdana"/>
                <w:sz w:val="16"/>
                <w:szCs w:val="16"/>
              </w:rPr>
              <w:t xml:space="preserve">Nicolas Andrés Guzmán </w:t>
            </w:r>
          </w:p>
          <w:p w14:paraId="62C7A537" w14:textId="77777777" w:rsidR="004655F6" w:rsidRPr="007911EE" w:rsidRDefault="004655F6" w:rsidP="003E6E41">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4655F6" w:rsidRPr="00593A5F" w14:paraId="5711AC5F" w14:textId="77777777" w:rsidTr="003E6E41">
        <w:trPr>
          <w:trHeight w:val="330"/>
        </w:trPr>
        <w:tc>
          <w:tcPr>
            <w:tcW w:w="893" w:type="dxa"/>
            <w:vAlign w:val="center"/>
            <w:hideMark/>
          </w:tcPr>
          <w:p w14:paraId="264C1E5D" w14:textId="77777777" w:rsidR="004655F6" w:rsidRPr="003751C7" w:rsidRDefault="004655F6" w:rsidP="003E6E4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1358E21" w14:textId="0D652D87" w:rsidR="004655F6" w:rsidRDefault="00DD1156" w:rsidP="003E6E41">
            <w:pPr>
              <w:spacing w:line="276" w:lineRule="auto"/>
              <w:contextualSpacing/>
              <w:jc w:val="both"/>
              <w:rPr>
                <w:rFonts w:ascii="Verdana" w:hAnsi="Verdana"/>
                <w:sz w:val="16"/>
                <w:szCs w:val="16"/>
              </w:rPr>
            </w:pPr>
            <w:r>
              <w:rPr>
                <w:rFonts w:ascii="Verdana" w:hAnsi="Verdana"/>
                <w:sz w:val="16"/>
                <w:szCs w:val="16"/>
              </w:rPr>
              <w:t xml:space="preserve">Juan Carlos </w:t>
            </w:r>
            <w:r w:rsidR="00E529C2">
              <w:rPr>
                <w:rFonts w:ascii="Verdana" w:hAnsi="Verdana"/>
                <w:sz w:val="16"/>
                <w:szCs w:val="16"/>
              </w:rPr>
              <w:t>González</w:t>
            </w:r>
          </w:p>
          <w:p w14:paraId="0E9A789C" w14:textId="5870B045" w:rsidR="004655F6" w:rsidRPr="007911EE" w:rsidRDefault="004655F6" w:rsidP="003E6E41">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4655F6" w:rsidRPr="00593A5F" w14:paraId="0DA7A9D5" w14:textId="77777777" w:rsidTr="003E6E41">
        <w:trPr>
          <w:trHeight w:val="330"/>
        </w:trPr>
        <w:tc>
          <w:tcPr>
            <w:tcW w:w="893" w:type="dxa"/>
            <w:vAlign w:val="center"/>
          </w:tcPr>
          <w:p w14:paraId="5C0E9F16" w14:textId="77777777" w:rsidR="004655F6" w:rsidRPr="003751C7" w:rsidRDefault="004655F6" w:rsidP="003E6E41">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2FFFC5A" w14:textId="3BD98A9B" w:rsidR="00DD1156" w:rsidRDefault="00DD1156" w:rsidP="00DD1156">
            <w:pPr>
              <w:spacing w:line="276" w:lineRule="auto"/>
              <w:contextualSpacing/>
              <w:jc w:val="both"/>
              <w:rPr>
                <w:rFonts w:ascii="Verdana" w:hAnsi="Verdana"/>
                <w:sz w:val="16"/>
                <w:szCs w:val="16"/>
              </w:rPr>
            </w:pPr>
            <w:r>
              <w:rPr>
                <w:rFonts w:ascii="Verdana" w:hAnsi="Verdana"/>
                <w:sz w:val="16"/>
                <w:szCs w:val="16"/>
              </w:rPr>
              <w:t>Ana María Tolosa</w:t>
            </w:r>
            <w:r w:rsidR="00190BA9">
              <w:rPr>
                <w:rFonts w:ascii="Verdana" w:hAnsi="Verdana"/>
                <w:sz w:val="16"/>
                <w:szCs w:val="16"/>
              </w:rPr>
              <w:t xml:space="preserve"> Rico</w:t>
            </w:r>
          </w:p>
          <w:p w14:paraId="0D3A38F4" w14:textId="23A72CA2" w:rsidR="004655F6" w:rsidRDefault="004655F6" w:rsidP="003E6E41">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w:t>
            </w:r>
            <w:r w:rsidR="00870AF0" w:rsidRPr="00EB1CF7">
              <w:rPr>
                <w:rFonts w:ascii="Verdana" w:eastAsia="Calibri" w:hAnsi="Verdana" w:cs="Arial"/>
                <w:sz w:val="16"/>
                <w:szCs w:val="16"/>
                <w:lang w:val="pt-BR" w:eastAsia="es-ES"/>
              </w:rPr>
              <w:t>Contra</w:t>
            </w:r>
            <w:r w:rsidR="00190BA9">
              <w:rPr>
                <w:rFonts w:ascii="Verdana" w:eastAsia="Calibri" w:hAnsi="Verdana" w:cs="Arial"/>
                <w:sz w:val="16"/>
                <w:szCs w:val="16"/>
                <w:lang w:val="pt-BR" w:eastAsia="es-ES"/>
              </w:rPr>
              <w:t>c</w:t>
            </w:r>
            <w:r w:rsidR="00870AF0" w:rsidRPr="00EB1CF7">
              <w:rPr>
                <w:rFonts w:ascii="Verdana" w:eastAsia="Calibri" w:hAnsi="Verdana" w:cs="Arial"/>
                <w:sz w:val="16"/>
                <w:szCs w:val="16"/>
                <w:lang w:val="pt-BR" w:eastAsia="es-ES"/>
              </w:rPr>
              <w:t>tual</w:t>
            </w:r>
            <w:r w:rsidRPr="00EB1CF7">
              <w:rPr>
                <w:rFonts w:ascii="Verdana" w:eastAsia="Calibri" w:hAnsi="Verdana" w:cs="Arial"/>
                <w:sz w:val="16"/>
                <w:szCs w:val="16"/>
                <w:lang w:val="pt-BR" w:eastAsia="es-ES"/>
              </w:rPr>
              <w:t xml:space="preserve"> </w:t>
            </w:r>
            <w:r w:rsidR="0077322C">
              <w:rPr>
                <w:rFonts w:ascii="Verdana" w:eastAsia="Calibri" w:hAnsi="Verdana" w:cs="Arial"/>
                <w:sz w:val="16"/>
                <w:szCs w:val="16"/>
                <w:lang w:val="pt-BR" w:eastAsia="es-ES"/>
              </w:rPr>
              <w:t xml:space="preserve">(E) </w:t>
            </w:r>
            <w:r w:rsidRPr="00EB1CF7">
              <w:rPr>
                <w:rFonts w:ascii="Verdana" w:eastAsia="Calibri" w:hAnsi="Verdana" w:cs="Arial"/>
                <w:sz w:val="16"/>
                <w:szCs w:val="16"/>
                <w:lang w:val="pt-BR" w:eastAsia="es-ES"/>
              </w:rPr>
              <w:t>ANCP – CCE</w:t>
            </w:r>
          </w:p>
        </w:tc>
      </w:tr>
      <w:bookmarkEnd w:id="1"/>
      <w:bookmarkEnd w:id="2"/>
      <w:bookmarkEnd w:id="3"/>
    </w:tbl>
    <w:p w14:paraId="742B04E7" w14:textId="77777777" w:rsidR="004655F6" w:rsidRPr="00EA6F8B" w:rsidRDefault="004655F6" w:rsidP="004655F6"/>
    <w:p w14:paraId="3167F86C" w14:textId="77777777" w:rsidR="004655F6" w:rsidRPr="00DE435A" w:rsidRDefault="004655F6" w:rsidP="004655F6">
      <w:pPr>
        <w:rPr>
          <w:lang w:val="es-ES"/>
        </w:rPr>
      </w:pPr>
    </w:p>
    <w:p w14:paraId="3900974D" w14:textId="77777777" w:rsidR="003D5B0D" w:rsidRPr="003C4416" w:rsidRDefault="003D5B0D" w:rsidP="003C4416"/>
    <w:sectPr w:rsidR="003D5B0D" w:rsidRPr="003C441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CBC4E" w14:textId="77777777" w:rsidR="0075435A" w:rsidRDefault="0075435A" w:rsidP="004A1847">
      <w:pPr>
        <w:spacing w:after="0" w:line="240" w:lineRule="auto"/>
      </w:pPr>
      <w:r>
        <w:separator/>
      </w:r>
    </w:p>
  </w:endnote>
  <w:endnote w:type="continuationSeparator" w:id="0">
    <w:p w14:paraId="098DAD52" w14:textId="77777777" w:rsidR="0075435A" w:rsidRDefault="0075435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2721" w14:textId="77777777" w:rsidR="0075435A" w:rsidRDefault="0075435A" w:rsidP="004A1847">
      <w:pPr>
        <w:spacing w:after="0" w:line="240" w:lineRule="auto"/>
      </w:pPr>
      <w:r>
        <w:separator/>
      </w:r>
    </w:p>
  </w:footnote>
  <w:footnote w:type="continuationSeparator" w:id="0">
    <w:p w14:paraId="099EBFD0" w14:textId="77777777" w:rsidR="0075435A" w:rsidRDefault="0075435A" w:rsidP="004A1847">
      <w:pPr>
        <w:spacing w:after="0" w:line="240" w:lineRule="auto"/>
      </w:pPr>
      <w:r>
        <w:continuationSeparator/>
      </w:r>
    </w:p>
  </w:footnote>
  <w:footnote w:id="1">
    <w:p w14:paraId="2FAF6692" w14:textId="77777777" w:rsidR="00DD1156" w:rsidRPr="00E14140" w:rsidRDefault="00DD1156" w:rsidP="00DD1156">
      <w:pPr>
        <w:pStyle w:val="Textonotapie"/>
        <w:ind w:firstLine="708"/>
        <w:contextualSpacing/>
        <w:rPr>
          <w:rFonts w:ascii="Verdana" w:hAnsi="Verdana" w:cs="Arial"/>
          <w:sz w:val="16"/>
          <w:szCs w:val="16"/>
        </w:rPr>
      </w:pPr>
      <w:r w:rsidRPr="00E14140">
        <w:rPr>
          <w:rStyle w:val="Refdenotaalpie"/>
          <w:rFonts w:ascii="Verdana" w:hAnsi="Verdana" w:cs="Arial"/>
          <w:sz w:val="16"/>
          <w:szCs w:val="16"/>
        </w:rPr>
        <w:footnoteRef/>
      </w:r>
      <w:r w:rsidRPr="00E14140">
        <w:rPr>
          <w:rFonts w:ascii="Verdana" w:hAnsi="Verdana" w:cs="Arial"/>
          <w:sz w:val="16"/>
          <w:szCs w:val="16"/>
        </w:rPr>
        <w:t xml:space="preserve">  Agencia Nacional de Contratación Pública – Colombia Compra Eficiente. Concepto C-045 del 17 de marzo de 2020. Radicado de salida No. 2202013000001974.</w:t>
      </w:r>
    </w:p>
  </w:footnote>
  <w:footnote w:id="2">
    <w:p w14:paraId="76FEB372" w14:textId="77777777" w:rsidR="00DD1156" w:rsidRPr="00E14140" w:rsidRDefault="00DD1156" w:rsidP="00DD1156">
      <w:pPr>
        <w:pStyle w:val="Textonotapie"/>
        <w:ind w:firstLine="708"/>
        <w:contextualSpacing/>
        <w:jc w:val="both"/>
        <w:rPr>
          <w:rFonts w:ascii="Verdana" w:hAnsi="Verdana" w:cs="Arial"/>
          <w:sz w:val="16"/>
          <w:szCs w:val="16"/>
        </w:rPr>
      </w:pPr>
      <w:r w:rsidRPr="00E14140">
        <w:rPr>
          <w:rStyle w:val="Refdenotaalpie"/>
          <w:rFonts w:ascii="Verdana" w:hAnsi="Verdana" w:cs="Arial"/>
          <w:sz w:val="16"/>
          <w:szCs w:val="16"/>
        </w:rPr>
        <w:footnoteRef/>
      </w:r>
      <w:r w:rsidRPr="00E14140">
        <w:rPr>
          <w:rFonts w:ascii="Verdana" w:hAnsi="Verdana" w:cs="Arial"/>
          <w:sz w:val="16"/>
          <w:szCs w:val="16"/>
        </w:rPr>
        <w:t xml:space="preserve"> </w:t>
      </w:r>
      <w:bookmarkStart w:id="6" w:name="76"/>
      <w:r w:rsidRPr="00E14140">
        <w:rPr>
          <w:rFonts w:ascii="Verdana" w:hAnsi="Verdana" w:cs="Arial"/>
          <w:bCs/>
          <w:sz w:val="16"/>
          <w:szCs w:val="16"/>
        </w:rPr>
        <w:t>Artículo 76. “Domicilio.</w:t>
      </w:r>
      <w:bookmarkEnd w:id="6"/>
      <w:r w:rsidRPr="00E14140">
        <w:rPr>
          <w:rFonts w:ascii="Verdana" w:hAnsi="Verdana" w:cs="Arial"/>
          <w:sz w:val="16"/>
          <w:szCs w:val="16"/>
        </w:rPr>
        <w:t> El domicilio consiste en la residencia acompañada, real o presuntivamente del ánimo de permanecer en ella”.</w:t>
      </w:r>
    </w:p>
    <w:p w14:paraId="24371666" w14:textId="77777777" w:rsidR="00DD1156" w:rsidRPr="00095A67" w:rsidRDefault="00DD1156" w:rsidP="00DD1156">
      <w:pPr>
        <w:pStyle w:val="Textonotapie"/>
        <w:ind w:firstLine="708"/>
        <w:contextualSpacing/>
        <w:jc w:val="both"/>
        <w:rPr>
          <w:rFonts w:ascii="Arial" w:hAnsi="Arial" w:cs="Arial"/>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213"/>
    <w:rsid w:val="00016F78"/>
    <w:rsid w:val="00046945"/>
    <w:rsid w:val="00061B2A"/>
    <w:rsid w:val="00082362"/>
    <w:rsid w:val="000A683E"/>
    <w:rsid w:val="000B19B9"/>
    <w:rsid w:val="000B48F7"/>
    <w:rsid w:val="000C6FFA"/>
    <w:rsid w:val="000D0334"/>
    <w:rsid w:val="000F6486"/>
    <w:rsid w:val="00125105"/>
    <w:rsid w:val="00127233"/>
    <w:rsid w:val="001511A0"/>
    <w:rsid w:val="00190BA9"/>
    <w:rsid w:val="001E4177"/>
    <w:rsid w:val="001E4FF1"/>
    <w:rsid w:val="001F7DC6"/>
    <w:rsid w:val="00205642"/>
    <w:rsid w:val="00235592"/>
    <w:rsid w:val="002421BB"/>
    <w:rsid w:val="0025796E"/>
    <w:rsid w:val="002662E4"/>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C4416"/>
    <w:rsid w:val="003D0F4D"/>
    <w:rsid w:val="003D5B0D"/>
    <w:rsid w:val="003E0499"/>
    <w:rsid w:val="003F3941"/>
    <w:rsid w:val="00406575"/>
    <w:rsid w:val="00414C74"/>
    <w:rsid w:val="0042722E"/>
    <w:rsid w:val="0044528D"/>
    <w:rsid w:val="004655F6"/>
    <w:rsid w:val="004A1847"/>
    <w:rsid w:val="004A305D"/>
    <w:rsid w:val="004F21C4"/>
    <w:rsid w:val="004F685F"/>
    <w:rsid w:val="00525A7A"/>
    <w:rsid w:val="00537C44"/>
    <w:rsid w:val="005566E8"/>
    <w:rsid w:val="00565273"/>
    <w:rsid w:val="00574867"/>
    <w:rsid w:val="00591460"/>
    <w:rsid w:val="005B3816"/>
    <w:rsid w:val="005C3777"/>
    <w:rsid w:val="005C50E4"/>
    <w:rsid w:val="005C5CDC"/>
    <w:rsid w:val="005D476C"/>
    <w:rsid w:val="006219F8"/>
    <w:rsid w:val="006404B2"/>
    <w:rsid w:val="00665D70"/>
    <w:rsid w:val="006900D9"/>
    <w:rsid w:val="006C48B5"/>
    <w:rsid w:val="00706C16"/>
    <w:rsid w:val="0075435A"/>
    <w:rsid w:val="00756841"/>
    <w:rsid w:val="007649AB"/>
    <w:rsid w:val="00771D0C"/>
    <w:rsid w:val="0077322C"/>
    <w:rsid w:val="00782E06"/>
    <w:rsid w:val="007833AC"/>
    <w:rsid w:val="00786697"/>
    <w:rsid w:val="007B268C"/>
    <w:rsid w:val="007B7171"/>
    <w:rsid w:val="007C0C0F"/>
    <w:rsid w:val="007C3DC2"/>
    <w:rsid w:val="007E3220"/>
    <w:rsid w:val="007E5497"/>
    <w:rsid w:val="00806F5F"/>
    <w:rsid w:val="00820278"/>
    <w:rsid w:val="00867F95"/>
    <w:rsid w:val="00870AF0"/>
    <w:rsid w:val="008843B6"/>
    <w:rsid w:val="008875B0"/>
    <w:rsid w:val="00891928"/>
    <w:rsid w:val="008A446D"/>
    <w:rsid w:val="008D180B"/>
    <w:rsid w:val="008F0EA7"/>
    <w:rsid w:val="0090263C"/>
    <w:rsid w:val="00917196"/>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B60F1"/>
    <w:rsid w:val="00BC017B"/>
    <w:rsid w:val="00BC3D36"/>
    <w:rsid w:val="00BD7F72"/>
    <w:rsid w:val="00C04FB3"/>
    <w:rsid w:val="00C330EB"/>
    <w:rsid w:val="00C41061"/>
    <w:rsid w:val="00C6146D"/>
    <w:rsid w:val="00C754BE"/>
    <w:rsid w:val="00C76B1C"/>
    <w:rsid w:val="00CB6357"/>
    <w:rsid w:val="00CC1B26"/>
    <w:rsid w:val="00CD6E09"/>
    <w:rsid w:val="00CF6096"/>
    <w:rsid w:val="00D423A2"/>
    <w:rsid w:val="00D520D8"/>
    <w:rsid w:val="00D63AC2"/>
    <w:rsid w:val="00D7383B"/>
    <w:rsid w:val="00DA231B"/>
    <w:rsid w:val="00DC39FC"/>
    <w:rsid w:val="00DD1156"/>
    <w:rsid w:val="00DF5254"/>
    <w:rsid w:val="00E16408"/>
    <w:rsid w:val="00E20894"/>
    <w:rsid w:val="00E245AB"/>
    <w:rsid w:val="00E2764C"/>
    <w:rsid w:val="00E27F2E"/>
    <w:rsid w:val="00E50AFE"/>
    <w:rsid w:val="00E529C2"/>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33B0BF5"/>
    <w:rsid w:val="0D832064"/>
    <w:rsid w:val="165E9519"/>
    <w:rsid w:val="19090AED"/>
    <w:rsid w:val="194438FE"/>
    <w:rsid w:val="1986E2E2"/>
    <w:rsid w:val="1F188300"/>
    <w:rsid w:val="21E44367"/>
    <w:rsid w:val="2F35ACFC"/>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655F6"/>
    <w:rPr>
      <w:rFonts w:ascii="Geomanist Light" w:hAnsi="Geomanist Light"/>
      <w:lang w:val="es-ES"/>
    </w:rPr>
  </w:style>
  <w:style w:type="paragraph" w:styleId="Textoindependiente">
    <w:name w:val="Body Text"/>
    <w:basedOn w:val="Normal"/>
    <w:link w:val="TextoindependienteCar"/>
    <w:uiPriority w:val="1"/>
    <w:unhideWhenUsed/>
    <w:qFormat/>
    <w:rsid w:val="004655F6"/>
    <w:pPr>
      <w:spacing w:after="120"/>
    </w:pPr>
  </w:style>
  <w:style w:type="character" w:customStyle="1" w:styleId="TextoindependienteCar">
    <w:name w:val="Texto independiente Car"/>
    <w:basedOn w:val="Fuentedeprrafopredeter"/>
    <w:link w:val="Textoindependiente"/>
    <w:uiPriority w:val="1"/>
    <w:rsid w:val="004655F6"/>
  </w:style>
  <w:style w:type="paragraph" w:styleId="Textocomentario">
    <w:name w:val="annotation text"/>
    <w:basedOn w:val="Normal"/>
    <w:link w:val="TextocomentarioCar"/>
    <w:uiPriority w:val="99"/>
    <w:semiHidden/>
    <w:unhideWhenUsed/>
    <w:rsid w:val="000C6FF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6FFA"/>
    <w:rPr>
      <w:sz w:val="20"/>
      <w:szCs w:val="20"/>
    </w:rPr>
  </w:style>
  <w:style w:type="character" w:styleId="Refdecomentario">
    <w:name w:val="annotation reference"/>
    <w:basedOn w:val="Fuentedeprrafopredeter"/>
    <w:uiPriority w:val="99"/>
    <w:semiHidden/>
    <w:unhideWhenUsed/>
    <w:rsid w:val="000C6FFA"/>
    <w:rPr>
      <w:sz w:val="16"/>
      <w:szCs w:val="16"/>
    </w:rPr>
  </w:style>
  <w:style w:type="paragraph" w:customStyle="1" w:styleId="Appelnotedebasde">
    <w:name w:val="Appel note de bas de..."/>
    <w:basedOn w:val="Normal"/>
    <w:link w:val="Refdenotaalpie"/>
    <w:uiPriority w:val="99"/>
    <w:rsid w:val="00DD115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371587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7861437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ogado@santiago-nortedesantander.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53DCA5-1983-4C40-8507-E75480C1F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730C21-3293-4E85-83B3-F7087E9A52C7}">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13</Pages>
  <Words>4828</Words>
  <Characters>26558</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8</cp:revision>
  <cp:lastPrinted>2023-01-10T21:18:00Z</cp:lastPrinted>
  <dcterms:created xsi:type="dcterms:W3CDTF">2025-07-24T00:17:00Z</dcterms:created>
  <dcterms:modified xsi:type="dcterms:W3CDTF">2025-08-13T01:41:00Z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