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F6C6C1" w14:textId="77777777" w:rsidR="007449C3" w:rsidRDefault="007449C3" w:rsidP="00363EC4">
      <w:pPr>
        <w:jc w:val="both"/>
        <w:rPr>
          <w:rFonts w:ascii="Verdana" w:eastAsia="Calibri" w:hAnsi="Verdana" w:cs="Arial"/>
          <w:color w:val="000000"/>
        </w:rPr>
      </w:pPr>
      <w:bookmarkStart w:id="0" w:name="_Hlk143780582"/>
    </w:p>
    <w:p w14:paraId="7E08C8CB" w14:textId="77777777" w:rsidR="007449C3" w:rsidRDefault="007449C3" w:rsidP="00363EC4">
      <w:pPr>
        <w:jc w:val="both"/>
        <w:rPr>
          <w:rFonts w:ascii="Verdana" w:eastAsia="Calibri" w:hAnsi="Verdana" w:cs="Arial"/>
          <w:color w:val="000000"/>
        </w:rPr>
      </w:pPr>
    </w:p>
    <w:p w14:paraId="13CAEA03" w14:textId="77777777" w:rsidR="007449C3" w:rsidRDefault="007449C3" w:rsidP="00363EC4">
      <w:pPr>
        <w:jc w:val="both"/>
        <w:rPr>
          <w:rFonts w:ascii="Verdana" w:eastAsia="Calibri" w:hAnsi="Verdana" w:cs="Arial"/>
          <w:color w:val="000000"/>
        </w:rPr>
      </w:pPr>
    </w:p>
    <w:p w14:paraId="17BC750A" w14:textId="77777777" w:rsidR="007449C3" w:rsidRPr="006C6672" w:rsidRDefault="007449C3" w:rsidP="007449C3">
      <w:pPr>
        <w:spacing w:after="0" w:line="240" w:lineRule="auto"/>
        <w:rPr>
          <w:rFonts w:ascii="Verdana" w:eastAsia="Times New Roman" w:hAnsi="Verdana" w:cs="Arial"/>
          <w:b/>
          <w:sz w:val="20"/>
          <w:szCs w:val="20"/>
        </w:rPr>
      </w:pPr>
      <w:r w:rsidRPr="006C6672">
        <w:rPr>
          <w:rFonts w:ascii="Verdana" w:eastAsia="Times New Roman" w:hAnsi="Verdana" w:cs="Arial"/>
          <w:b/>
          <w:sz w:val="20"/>
          <w:szCs w:val="20"/>
        </w:rPr>
        <w:t>DOCUMENTOS TIPO – Fundamento Normativo –Ley 2022 de 2020</w:t>
      </w:r>
    </w:p>
    <w:p w14:paraId="33E2BB61" w14:textId="77777777" w:rsidR="007449C3" w:rsidRPr="006C6672" w:rsidRDefault="007449C3" w:rsidP="007449C3">
      <w:pPr>
        <w:spacing w:after="0" w:line="240" w:lineRule="auto"/>
        <w:rPr>
          <w:rFonts w:ascii="Verdana" w:eastAsia="Times New Roman" w:hAnsi="Verdana" w:cs="Arial"/>
          <w:bCs/>
          <w:sz w:val="20"/>
          <w:szCs w:val="20"/>
        </w:rPr>
      </w:pPr>
    </w:p>
    <w:p w14:paraId="1C3B3B4D" w14:textId="77777777" w:rsidR="007449C3" w:rsidRPr="006C6672" w:rsidRDefault="007449C3" w:rsidP="007449C3">
      <w:pPr>
        <w:spacing w:after="0" w:line="276" w:lineRule="auto"/>
        <w:jc w:val="both"/>
        <w:rPr>
          <w:rFonts w:ascii="Verdana" w:eastAsia="Times New Roman" w:hAnsi="Verdana" w:cs="Arial"/>
          <w:bCs/>
          <w:sz w:val="20"/>
          <w:szCs w:val="20"/>
        </w:rPr>
      </w:pPr>
      <w:r w:rsidRPr="006C6672">
        <w:rPr>
          <w:rFonts w:ascii="Verdana" w:eastAsia="Times New Roman" w:hAnsi="Verdana" w:cs="Arial"/>
          <w:bCs/>
          <w:sz w:val="20"/>
          <w:szCs w:val="20"/>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275EC241" w14:textId="77777777" w:rsidR="007449C3" w:rsidRDefault="007449C3" w:rsidP="007449C3">
      <w:pPr>
        <w:spacing w:after="0" w:line="240" w:lineRule="auto"/>
        <w:jc w:val="both"/>
        <w:rPr>
          <w:rFonts w:ascii="Verdana" w:eastAsia="Geomanist Light" w:hAnsi="Verdana" w:cs="Arial"/>
          <w:b/>
          <w:bCs/>
          <w:lang w:val="es-ES"/>
        </w:rPr>
      </w:pPr>
    </w:p>
    <w:p w14:paraId="5175F649" w14:textId="77777777" w:rsidR="007449C3" w:rsidRDefault="007449C3" w:rsidP="00363EC4">
      <w:pPr>
        <w:jc w:val="both"/>
        <w:rPr>
          <w:rFonts w:ascii="Verdana" w:hAnsi="Verdana" w:cs="Arial"/>
          <w:b/>
          <w:bCs/>
          <w:color w:val="000000" w:themeColor="text1"/>
          <w:lang w:val="es-ES"/>
        </w:rPr>
      </w:pPr>
    </w:p>
    <w:p w14:paraId="6459808F" w14:textId="77777777" w:rsidR="007449C3" w:rsidRPr="0035177C" w:rsidRDefault="007449C3" w:rsidP="007449C3">
      <w:pPr>
        <w:spacing w:after="0" w:line="256" w:lineRule="auto"/>
        <w:jc w:val="both"/>
        <w:rPr>
          <w:rFonts w:ascii="Verdana" w:eastAsia="Calibri" w:hAnsi="Verdana" w:cs="Times New Roman"/>
        </w:rPr>
      </w:pPr>
      <w:r w:rsidRPr="0035177C">
        <w:rPr>
          <w:rFonts w:ascii="Verdana" w:eastAsia="Calibri" w:hAnsi="Verdana" w:cs="Arial"/>
          <w:b/>
          <w:bCs/>
          <w:lang w:val="es-ES_tradnl" w:eastAsia="es-ES"/>
        </w:rPr>
        <w:t xml:space="preserve">DOCUMENTOS TIPO – Generalidades – </w:t>
      </w:r>
      <w:r w:rsidRPr="0035177C">
        <w:rPr>
          <w:rFonts w:ascii="Verdana" w:eastAsia="Aptos" w:hAnsi="Verdana" w:cs="Times New Roman"/>
          <w:b/>
          <w:bCs/>
          <w:kern w:val="2"/>
          <w:lang w:val="es-ES_tradnl" w:eastAsia="es-ES"/>
          <w14:ligatures w14:val="standardContextual"/>
        </w:rPr>
        <w:t xml:space="preserve">Obligatoriedad – Aplicación – Actividad a contratar </w:t>
      </w:r>
    </w:p>
    <w:p w14:paraId="58A5E5D5" w14:textId="77777777" w:rsidR="007449C3" w:rsidRPr="0035177C" w:rsidRDefault="007449C3" w:rsidP="007449C3">
      <w:pPr>
        <w:spacing w:after="0" w:line="276" w:lineRule="auto"/>
        <w:jc w:val="both"/>
        <w:rPr>
          <w:rFonts w:ascii="Verdana" w:eastAsia="Calibri" w:hAnsi="Verdana" w:cs="Arial"/>
          <w:b/>
          <w:bCs/>
          <w:lang w:val="es-ES_tradnl" w:eastAsia="es-ES"/>
        </w:rPr>
      </w:pPr>
    </w:p>
    <w:p w14:paraId="6F6F0E31" w14:textId="77777777" w:rsidR="007449C3" w:rsidRPr="0035177C" w:rsidRDefault="007449C3" w:rsidP="007449C3">
      <w:pPr>
        <w:spacing w:after="0" w:line="240" w:lineRule="auto"/>
        <w:jc w:val="both"/>
        <w:rPr>
          <w:rFonts w:ascii="Verdana" w:eastAsia="Calibri" w:hAnsi="Verdana" w:cs="Arial"/>
          <w:sz w:val="20"/>
          <w:szCs w:val="20"/>
          <w:lang w:val="es-ES_tradnl"/>
        </w:rPr>
      </w:pPr>
      <w:r w:rsidRPr="0035177C">
        <w:rPr>
          <w:rFonts w:ascii="Verdana" w:eastAsia="Calibri" w:hAnsi="Verdana" w:cs="Arial"/>
          <w:sz w:val="20"/>
          <w:szCs w:val="20"/>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2806AA2" w14:textId="77777777" w:rsidR="007449C3" w:rsidRPr="0035177C" w:rsidRDefault="007449C3" w:rsidP="007449C3">
      <w:pPr>
        <w:spacing w:after="0" w:line="240" w:lineRule="auto"/>
        <w:jc w:val="both"/>
        <w:rPr>
          <w:rFonts w:ascii="Verdana" w:eastAsia="Calibri" w:hAnsi="Verdana" w:cs="Arial"/>
          <w:sz w:val="20"/>
          <w:szCs w:val="20"/>
          <w:lang w:val="es-ES_tradnl"/>
        </w:rPr>
      </w:pPr>
    </w:p>
    <w:p w14:paraId="5F18A91B" w14:textId="4910D122" w:rsidR="007449C3" w:rsidRPr="007449C3" w:rsidRDefault="007449C3" w:rsidP="007449C3">
      <w:pPr>
        <w:spacing w:after="0" w:line="240" w:lineRule="auto"/>
        <w:jc w:val="both"/>
        <w:rPr>
          <w:rFonts w:ascii="Verdana" w:eastAsia="Calibri" w:hAnsi="Verdana" w:cs="Arial"/>
          <w:sz w:val="20"/>
          <w:szCs w:val="20"/>
          <w:lang w:val="es-ES_tradnl"/>
        </w:rPr>
      </w:pPr>
      <w:r w:rsidRPr="0035177C">
        <w:rPr>
          <w:rFonts w:ascii="Verdana" w:eastAsia="Calibri" w:hAnsi="Verdana" w:cs="Arial"/>
          <w:sz w:val="20"/>
          <w:szCs w:val="20"/>
          <w:lang w:val="es-ES_tradnl"/>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w:t>
      </w:r>
      <w:proofErr w:type="spellStart"/>
      <w:r w:rsidRPr="0035177C">
        <w:rPr>
          <w:rFonts w:ascii="Verdana" w:eastAsia="Calibri" w:hAnsi="Verdana" w:cs="Arial"/>
          <w:sz w:val="20"/>
          <w:szCs w:val="20"/>
          <w:lang w:val="es-ES_tradnl"/>
        </w:rPr>
        <w:t>soc</w:t>
      </w:r>
      <w:proofErr w:type="spellEnd"/>
    </w:p>
    <w:p w14:paraId="6CE38060" w14:textId="77777777" w:rsidR="007449C3" w:rsidRDefault="007449C3" w:rsidP="00363EC4">
      <w:pPr>
        <w:jc w:val="both"/>
        <w:rPr>
          <w:rFonts w:ascii="Verdana" w:hAnsi="Verdana" w:cs="Arial"/>
          <w:b/>
          <w:bCs/>
          <w:color w:val="000000" w:themeColor="text1"/>
          <w:lang w:val="es-ES"/>
        </w:rPr>
      </w:pPr>
    </w:p>
    <w:p w14:paraId="73CF61BE" w14:textId="77777777" w:rsidR="007449C3" w:rsidRDefault="007449C3" w:rsidP="00363EC4">
      <w:pPr>
        <w:jc w:val="both"/>
        <w:rPr>
          <w:rFonts w:ascii="Verdana" w:hAnsi="Verdana" w:cs="Arial"/>
          <w:b/>
          <w:bCs/>
          <w:color w:val="000000" w:themeColor="text1"/>
          <w:lang w:val="es-ES"/>
        </w:rPr>
      </w:pPr>
    </w:p>
    <w:p w14:paraId="7F4FA54D" w14:textId="77777777" w:rsidR="007449C3" w:rsidRDefault="007449C3" w:rsidP="00363EC4">
      <w:pPr>
        <w:jc w:val="both"/>
        <w:rPr>
          <w:rFonts w:ascii="Verdana" w:hAnsi="Verdana" w:cs="Arial"/>
          <w:b/>
          <w:bCs/>
          <w:color w:val="000000" w:themeColor="text1"/>
          <w:lang w:val="es-ES"/>
        </w:rPr>
      </w:pPr>
    </w:p>
    <w:p w14:paraId="75CA73F8" w14:textId="77777777" w:rsidR="007449C3" w:rsidRDefault="007449C3" w:rsidP="00363EC4">
      <w:pPr>
        <w:jc w:val="both"/>
        <w:rPr>
          <w:rFonts w:ascii="Verdana" w:hAnsi="Verdana" w:cs="Arial"/>
          <w:b/>
          <w:bCs/>
          <w:color w:val="000000" w:themeColor="text1"/>
          <w:lang w:val="es-ES"/>
        </w:rPr>
      </w:pPr>
    </w:p>
    <w:p w14:paraId="2E0426CF" w14:textId="77777777" w:rsidR="007449C3" w:rsidRDefault="007449C3" w:rsidP="00363EC4">
      <w:pPr>
        <w:jc w:val="both"/>
        <w:rPr>
          <w:rFonts w:ascii="Verdana" w:hAnsi="Verdana" w:cs="Arial"/>
          <w:b/>
          <w:bCs/>
          <w:color w:val="000000" w:themeColor="text1"/>
          <w:lang w:val="es-ES"/>
        </w:rPr>
      </w:pPr>
    </w:p>
    <w:p w14:paraId="71D7EAA0" w14:textId="77777777" w:rsidR="007449C3" w:rsidRDefault="007449C3" w:rsidP="00363EC4">
      <w:pPr>
        <w:jc w:val="both"/>
        <w:rPr>
          <w:rFonts w:ascii="Verdana" w:hAnsi="Verdana" w:cs="Arial"/>
          <w:b/>
          <w:bCs/>
          <w:color w:val="000000" w:themeColor="text1"/>
          <w:lang w:val="es-ES"/>
        </w:rPr>
      </w:pPr>
    </w:p>
    <w:p w14:paraId="26F2A128" w14:textId="32805357" w:rsidR="007D5768" w:rsidRDefault="007D5768" w:rsidP="27B827E6">
      <w:pPr>
        <w:spacing w:after="0"/>
        <w:rPr>
          <w:rFonts w:ascii="Verdana" w:hAnsi="Verdana"/>
        </w:rPr>
      </w:pPr>
      <w:r w:rsidRPr="27B827E6">
        <w:rPr>
          <w:rFonts w:ascii="Verdana" w:hAnsi="Verdana"/>
        </w:rPr>
        <w:t>Bogotá D.C.,</w:t>
      </w:r>
      <w:r w:rsidR="7D7E09FA" w:rsidRPr="27B827E6">
        <w:rPr>
          <w:rFonts w:ascii="Verdana" w:hAnsi="Verdana"/>
        </w:rPr>
        <w:t>11 de diciembre de 2024.</w:t>
      </w:r>
    </w:p>
    <w:p w14:paraId="2DE71DE7" w14:textId="77777777" w:rsidR="007D5768" w:rsidRDefault="007D5768" w:rsidP="007D5768">
      <w:pPr>
        <w:spacing w:after="0"/>
        <w:rPr>
          <w:rFonts w:ascii="Verdana" w:hAnsi="Verdana"/>
        </w:rPr>
      </w:pPr>
    </w:p>
    <w:p w14:paraId="248D48FC" w14:textId="56DB5DBB" w:rsidR="003A0B10" w:rsidRDefault="003A0B10" w:rsidP="003A0B10">
      <w:pPr>
        <w:spacing w:after="0"/>
        <w:jc w:val="right"/>
        <w:rPr>
          <w:rFonts w:ascii="Verdana" w:hAnsi="Verdana"/>
        </w:rPr>
      </w:pPr>
      <w:r>
        <w:rPr>
          <w:rFonts w:ascii="Verdana" w:hAnsi="Verdana"/>
          <w:noProof/>
        </w:rPr>
        <w:drawing>
          <wp:inline distT="0" distB="0" distL="0" distR="0" wp14:anchorId="0298F92A" wp14:editId="3CE27626">
            <wp:extent cx="2743200" cy="822960"/>
            <wp:effectExtent l="0" t="0" r="0" b="0"/>
            <wp:docPr id="707501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822960"/>
                    </a:xfrm>
                    <a:prstGeom prst="rect">
                      <a:avLst/>
                    </a:prstGeom>
                    <a:noFill/>
                    <a:ln>
                      <a:noFill/>
                    </a:ln>
                  </pic:spPr>
                </pic:pic>
              </a:graphicData>
            </a:graphic>
          </wp:inline>
        </w:drawing>
      </w:r>
    </w:p>
    <w:p w14:paraId="26932AC5" w14:textId="77777777" w:rsidR="003A0B10" w:rsidRDefault="003A0B10" w:rsidP="007D5768">
      <w:pPr>
        <w:spacing w:after="0"/>
        <w:rPr>
          <w:rFonts w:ascii="Verdana" w:hAnsi="Verdana"/>
        </w:rPr>
      </w:pPr>
    </w:p>
    <w:p w14:paraId="1673010F" w14:textId="77777777" w:rsidR="007D5768" w:rsidRDefault="007D5768" w:rsidP="007D5768">
      <w:pPr>
        <w:spacing w:after="0"/>
        <w:rPr>
          <w:rFonts w:ascii="Verdana" w:hAnsi="Verdana"/>
        </w:rPr>
      </w:pPr>
      <w:bookmarkStart w:id="1" w:name="_Hlk180638295"/>
    </w:p>
    <w:p w14:paraId="54FC63A1" w14:textId="77777777" w:rsidR="007D5768" w:rsidRPr="00560511" w:rsidRDefault="007D5768" w:rsidP="007D5768">
      <w:pPr>
        <w:spacing w:after="0" w:line="240" w:lineRule="auto"/>
        <w:jc w:val="both"/>
        <w:rPr>
          <w:rFonts w:ascii="Verdana" w:eastAsia="Calibri" w:hAnsi="Verdana" w:cs="Arial"/>
          <w:lang w:eastAsia="es-ES"/>
        </w:rPr>
      </w:pPr>
      <w:bookmarkStart w:id="2" w:name="_Hlk181166167"/>
      <w:r w:rsidRPr="00560511">
        <w:rPr>
          <w:rFonts w:ascii="Verdana" w:eastAsia="Calibri" w:hAnsi="Verdana" w:cs="Arial"/>
          <w:lang w:eastAsia="es-ES"/>
        </w:rPr>
        <w:t>Señor</w:t>
      </w:r>
    </w:p>
    <w:p w14:paraId="718706C1" w14:textId="067A3E97" w:rsidR="007D5768" w:rsidRDefault="00001AF1" w:rsidP="007D5768">
      <w:pPr>
        <w:spacing w:after="0" w:line="240" w:lineRule="auto"/>
        <w:rPr>
          <w:rFonts w:ascii="Verdana" w:eastAsia="Calibri" w:hAnsi="Verdana" w:cs="Arial"/>
          <w:b/>
          <w:bCs/>
          <w:lang w:eastAsia="es-ES_tradnl"/>
        </w:rPr>
      </w:pPr>
      <w:r>
        <w:rPr>
          <w:rFonts w:ascii="Verdana" w:eastAsia="Calibri" w:hAnsi="Verdana" w:cs="Arial"/>
          <w:b/>
          <w:bCs/>
          <w:lang w:eastAsia="es-ES_tradnl"/>
        </w:rPr>
        <w:t>HUGO ALFREDO POSSO MONCADA</w:t>
      </w:r>
    </w:p>
    <w:p w14:paraId="7E768289" w14:textId="456E6196" w:rsidR="00001AF1" w:rsidRPr="00001AF1" w:rsidRDefault="00001AF1" w:rsidP="007D5768">
      <w:pPr>
        <w:spacing w:after="0" w:line="240" w:lineRule="auto"/>
        <w:rPr>
          <w:rFonts w:ascii="Verdana" w:hAnsi="Verdana"/>
        </w:rPr>
      </w:pPr>
      <w:hyperlink r:id="rId12" w:history="1">
        <w:r w:rsidRPr="00001AF1">
          <w:rPr>
            <w:rStyle w:val="Hipervnculo"/>
            <w:rFonts w:ascii="Verdana" w:hAnsi="Verdana"/>
          </w:rPr>
          <w:t>gerencia@grupoposso.com.co</w:t>
        </w:r>
      </w:hyperlink>
    </w:p>
    <w:p w14:paraId="771FB518" w14:textId="68D6C7D1" w:rsidR="007D7EA9" w:rsidRDefault="00001AF1" w:rsidP="007D5768">
      <w:pPr>
        <w:spacing w:after="0" w:line="240" w:lineRule="auto"/>
        <w:rPr>
          <w:rFonts w:ascii="Verdana" w:eastAsia="Calibri" w:hAnsi="Verdana" w:cs="Arial"/>
          <w:b/>
          <w:bCs/>
          <w:color w:val="000000"/>
          <w:lang w:val="es-ES_tradnl" w:eastAsia="es-ES_tradnl"/>
        </w:rPr>
      </w:pPr>
      <w:r>
        <w:rPr>
          <w:rFonts w:ascii="Verdana" w:hAnsi="Verdana"/>
        </w:rPr>
        <w:t>Bogotá D.C</w:t>
      </w:r>
      <w:r w:rsidR="007D7EA9">
        <w:rPr>
          <w:rFonts w:ascii="Verdana" w:hAnsi="Verdana"/>
        </w:rPr>
        <w:t xml:space="preserve"> </w:t>
      </w:r>
    </w:p>
    <w:p w14:paraId="601B6060" w14:textId="77777777" w:rsidR="00B4214D" w:rsidRPr="00593A5F" w:rsidRDefault="00B4214D" w:rsidP="007D57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085308CF"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7D7EA9">
              <w:rPr>
                <w:rFonts w:ascii="Verdana" w:eastAsia="Calibri" w:hAnsi="Verdana" w:cs="Arial"/>
                <w:b/>
                <w:bCs/>
                <w:lang w:val="es-ES" w:eastAsia="es-ES"/>
              </w:rPr>
              <w:t>8</w:t>
            </w:r>
            <w:r w:rsidR="00001AF1">
              <w:rPr>
                <w:rFonts w:ascii="Verdana" w:eastAsia="Calibri" w:hAnsi="Verdana" w:cs="Arial"/>
                <w:b/>
                <w:bCs/>
                <w:lang w:val="es-ES" w:eastAsia="es-ES"/>
              </w:rPr>
              <w:t>48</w:t>
            </w:r>
            <w:r w:rsidR="00537575">
              <w:rPr>
                <w:rFonts w:ascii="Verdana" w:eastAsia="Calibri" w:hAnsi="Verdana" w:cs="Arial"/>
                <w:b/>
                <w:bCs/>
                <w:lang w:val="es-ES" w:eastAsia="es-ES"/>
              </w:rPr>
              <w:t xml:space="preserve"> </w:t>
            </w:r>
            <w:r w:rsidRPr="00E5644F">
              <w:rPr>
                <w:rFonts w:ascii="Verdana" w:eastAsia="Calibri" w:hAnsi="Verdana" w:cs="Arial"/>
                <w:b/>
                <w:bCs/>
                <w:lang w:val="es-ES" w:eastAsia="es-ES"/>
              </w:rPr>
              <w:t>de 2024</w:t>
            </w:r>
          </w:p>
        </w:tc>
      </w:tr>
      <w:tr w:rsidR="007D5768" w:rsidRPr="00593A5F" w14:paraId="0E5838A4" w14:textId="77777777" w:rsidTr="00E1079D">
        <w:trPr>
          <w:trHeight w:val="884"/>
        </w:trPr>
        <w:tc>
          <w:tcPr>
            <w:tcW w:w="2410" w:type="dxa"/>
          </w:tcPr>
          <w:p w14:paraId="52092E01" w14:textId="77777777" w:rsidR="007D5768" w:rsidRPr="00363EC4" w:rsidRDefault="007D5768" w:rsidP="00E1079D">
            <w:pPr>
              <w:jc w:val="both"/>
              <w:rPr>
                <w:rFonts w:ascii="Verdana" w:eastAsia="Calibri" w:hAnsi="Verdana" w:cs="Arial"/>
                <w:color w:val="000000"/>
                <w:lang w:val="es-ES_tradnl" w:eastAsia="es-ES_tradnl"/>
              </w:rPr>
            </w:pPr>
            <w:r w:rsidRPr="00363EC4">
              <w:rPr>
                <w:rFonts w:ascii="Verdana" w:eastAsia="Calibri" w:hAnsi="Verdana" w:cs="Arial"/>
                <w:b/>
                <w:color w:val="000000"/>
                <w:lang w:val="es-ES_tradnl" w:eastAsia="es-ES_tradnl"/>
              </w:rPr>
              <w:t>Temas:</w:t>
            </w:r>
            <w:r w:rsidRPr="00363EC4">
              <w:rPr>
                <w:rFonts w:ascii="Verdana" w:eastAsia="Calibri" w:hAnsi="Verdana" w:cs="Arial"/>
                <w:color w:val="000000"/>
                <w:lang w:val="es-ES_tradnl" w:eastAsia="es-ES_tradnl"/>
              </w:rPr>
              <w:t xml:space="preserve">                   </w:t>
            </w:r>
          </w:p>
        </w:tc>
        <w:tc>
          <w:tcPr>
            <w:tcW w:w="6804" w:type="dxa"/>
            <w:gridSpan w:val="2"/>
          </w:tcPr>
          <w:p w14:paraId="5061DB54" w14:textId="77777777" w:rsidR="007D5768" w:rsidRPr="00363EC4" w:rsidRDefault="005944D7" w:rsidP="00E1079D">
            <w:pPr>
              <w:spacing w:line="276" w:lineRule="auto"/>
              <w:jc w:val="both"/>
              <w:rPr>
                <w:rFonts w:ascii="Verdana" w:hAnsi="Verdana" w:cs="Arial"/>
                <w:color w:val="000000" w:themeColor="text1"/>
                <w:lang w:val="es-ES"/>
              </w:rPr>
            </w:pPr>
            <w:r w:rsidRPr="00363EC4">
              <w:rPr>
                <w:rFonts w:ascii="Verdana" w:hAnsi="Verdana" w:cs="Arial"/>
                <w:color w:val="000000" w:themeColor="text1"/>
                <w:lang w:val="es-ES"/>
              </w:rPr>
              <w:t xml:space="preserve">DOCUMENTOS TIPO – Límite a la discrecionalidad / DOCUMENTOS TIPO – Inalterabilidad / </w:t>
            </w:r>
            <w:r w:rsidRPr="00363EC4">
              <w:rPr>
                <w:rFonts w:ascii="Verdana" w:hAnsi="Verdana" w:cs="Arial"/>
                <w:color w:val="000000" w:themeColor="text1"/>
                <w:shd w:val="clear" w:color="auto" w:fill="FFFFFF"/>
                <w:lang w:val="es-ES"/>
              </w:rPr>
              <w:t xml:space="preserve">DOCUMENTOS TIPO – Causales de rechazo / </w:t>
            </w:r>
            <w:r w:rsidRPr="00363EC4">
              <w:rPr>
                <w:rFonts w:ascii="Verdana" w:hAnsi="Verdana" w:cs="Arial"/>
                <w:color w:val="000000" w:themeColor="text1"/>
                <w:lang w:val="es-ES"/>
              </w:rPr>
              <w:t>DOCUMENTO TIPO – Ley 842 de 2003 – Artículo 17 – Causales de rechazo.</w:t>
            </w:r>
          </w:p>
          <w:p w14:paraId="62C72EB8" w14:textId="560F3FB8" w:rsidR="005944D7" w:rsidRPr="00363EC4" w:rsidRDefault="005944D7" w:rsidP="00E1079D">
            <w:pPr>
              <w:spacing w:line="276" w:lineRule="auto"/>
              <w:jc w:val="both"/>
              <w:rPr>
                <w:rFonts w:ascii="Verdana" w:eastAsia="Calibri" w:hAnsi="Verdana" w:cs="Arial"/>
                <w:lang w:val="es-ES" w:eastAsia="es-ES"/>
              </w:rPr>
            </w:pPr>
          </w:p>
        </w:tc>
      </w:tr>
      <w:tr w:rsidR="007D5768" w:rsidRPr="00593A5F" w14:paraId="09936C6F" w14:textId="77777777" w:rsidTr="00E1079D">
        <w:tc>
          <w:tcPr>
            <w:tcW w:w="2410" w:type="dxa"/>
          </w:tcPr>
          <w:p w14:paraId="69819F5A" w14:textId="77777777" w:rsidR="007D5768" w:rsidRPr="006730E9" w:rsidRDefault="007D5768" w:rsidP="00E1079D">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76544BFB" w:rsidR="007D5768" w:rsidRPr="006730E9" w:rsidRDefault="007D5768" w:rsidP="00E1079D">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001AF1" w:rsidRPr="00001AF1">
              <w:rPr>
                <w:rFonts w:ascii="Verdana" w:eastAsia="Calibri" w:hAnsi="Verdana" w:cs="Arial"/>
                <w:lang w:val="es-ES_tradnl" w:eastAsia="es-ES_tradnl"/>
              </w:rPr>
              <w:t>P20241112011296</w:t>
            </w:r>
          </w:p>
        </w:tc>
      </w:tr>
      <w:tr w:rsidR="007D5768" w:rsidRPr="00DB23D2" w14:paraId="3D69289B" w14:textId="77777777" w:rsidTr="00E1079D">
        <w:trPr>
          <w:gridAfter w:val="1"/>
          <w:wAfter w:w="336" w:type="dxa"/>
          <w:trHeight w:val="233"/>
        </w:trPr>
        <w:tc>
          <w:tcPr>
            <w:tcW w:w="8878" w:type="dxa"/>
            <w:gridSpan w:val="2"/>
          </w:tcPr>
          <w:p w14:paraId="77B387AE" w14:textId="77777777" w:rsidR="007D5768" w:rsidRPr="00DB23D2" w:rsidRDefault="007D5768" w:rsidP="00E1079D">
            <w:pPr>
              <w:spacing w:after="120" w:line="276" w:lineRule="auto"/>
              <w:jc w:val="both"/>
              <w:rPr>
                <w:rFonts w:ascii="Verdana" w:eastAsia="Calibri" w:hAnsi="Verdana" w:cs="Arial"/>
                <w:lang w:val="es-ES_tradnl" w:eastAsia="es-ES"/>
              </w:rPr>
            </w:pPr>
          </w:p>
        </w:tc>
      </w:tr>
    </w:tbl>
    <w:p w14:paraId="064788AC" w14:textId="519EAC22"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 xml:space="preserve">señor </w:t>
      </w:r>
      <w:proofErr w:type="spellStart"/>
      <w:r w:rsidR="00001AF1">
        <w:rPr>
          <w:rFonts w:ascii="Verdana" w:eastAsia="Calibri" w:hAnsi="Verdana" w:cs="Arial"/>
          <w:lang w:val="es-ES" w:eastAsia="es-ES"/>
        </w:rPr>
        <w:t>Pos</w:t>
      </w:r>
      <w:r w:rsidR="00210DEE">
        <w:rPr>
          <w:rFonts w:ascii="Verdana" w:eastAsia="Calibri" w:hAnsi="Verdana" w:cs="Arial"/>
          <w:lang w:val="es-ES" w:eastAsia="es-ES"/>
        </w:rPr>
        <w:t>s</w:t>
      </w:r>
      <w:r w:rsidR="00001AF1">
        <w:rPr>
          <w:rFonts w:ascii="Verdana" w:eastAsia="Calibri" w:hAnsi="Verdana" w:cs="Arial"/>
          <w:lang w:val="es-ES" w:eastAsia="es-ES"/>
        </w:rPr>
        <w:t>o</w:t>
      </w:r>
      <w:proofErr w:type="spellEnd"/>
      <w:r>
        <w:rPr>
          <w:rFonts w:ascii="Verdana" w:eastAsia="Calibri" w:hAnsi="Verdana" w:cs="Arial"/>
          <w:lang w:val="es-ES" w:eastAsia="es-ES"/>
        </w:rPr>
        <w:t>;</w:t>
      </w:r>
      <w:r w:rsidRPr="006730E9">
        <w:rPr>
          <w:rFonts w:ascii="Verdana" w:eastAsia="Calibri" w:hAnsi="Verdana" w:cs="Arial"/>
          <w:lang w:val="es-ES" w:eastAsia="es-ES"/>
        </w:rPr>
        <w:t xml:space="preserve"> </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418CF31D"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210DEE">
        <w:rPr>
          <w:rFonts w:ascii="Verdana" w:eastAsia="Calibri" w:hAnsi="Verdana" w:cs="Arial"/>
          <w:lang w:val="es-ES" w:eastAsia="es-ES"/>
        </w:rPr>
        <w:t>22</w:t>
      </w:r>
      <w:r w:rsidRPr="00E5644F">
        <w:rPr>
          <w:rFonts w:ascii="Verdana" w:eastAsia="Calibri" w:hAnsi="Verdana" w:cs="Arial"/>
          <w:lang w:val="es-ES" w:eastAsia="es-ES"/>
        </w:rPr>
        <w:t xml:space="preserve"> de </w:t>
      </w:r>
      <w:r w:rsidR="007D7EA9">
        <w:rPr>
          <w:rFonts w:ascii="Verdana" w:eastAsia="Calibri" w:hAnsi="Verdana" w:cs="Arial"/>
          <w:lang w:val="es-ES" w:eastAsia="es-ES"/>
        </w:rPr>
        <w:t>noviembre</w:t>
      </w:r>
      <w:r w:rsidRPr="00E5644F">
        <w:rPr>
          <w:rFonts w:ascii="Verdana" w:eastAsia="Calibri" w:hAnsi="Verdana" w:cs="Arial"/>
          <w:lang w:val="es-ES" w:eastAsia="es-ES"/>
        </w:rPr>
        <w:t xml:space="preserve"> de 2024,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3" w:name="_Hlk95313578"/>
    </w:p>
    <w:bookmarkEnd w:id="3"/>
    <w:p w14:paraId="267D13DF" w14:textId="77777777" w:rsidR="00210DEE" w:rsidRDefault="007D7EA9" w:rsidP="00210DEE">
      <w:pPr>
        <w:pStyle w:val="Prrafodelista"/>
        <w:tabs>
          <w:tab w:val="left" w:pos="142"/>
          <w:tab w:val="left" w:pos="284"/>
        </w:tabs>
        <w:ind w:left="425" w:right="474"/>
        <w:jc w:val="both"/>
        <w:rPr>
          <w:rFonts w:ascii="Verdana" w:eastAsia="Century Gothic" w:hAnsi="Verdana" w:cs="Century Gothic"/>
          <w:i/>
          <w:iCs/>
          <w:lang w:val="es-CO"/>
        </w:rPr>
      </w:pPr>
      <w:r w:rsidRPr="00537575">
        <w:rPr>
          <w:rFonts w:ascii="Verdana" w:eastAsia="Century Gothic" w:hAnsi="Verdana" w:cs="Century Gothic"/>
          <w:i/>
          <w:iCs/>
          <w:lang w:val="es-CO"/>
        </w:rPr>
        <w:t>(…)</w:t>
      </w:r>
    </w:p>
    <w:p w14:paraId="57D396EB" w14:textId="15017F5D" w:rsidR="00210DEE" w:rsidRPr="00210DEE" w:rsidRDefault="007D7EA9" w:rsidP="00210DEE">
      <w:pPr>
        <w:pStyle w:val="Prrafodelista"/>
        <w:tabs>
          <w:tab w:val="left" w:pos="142"/>
          <w:tab w:val="left" w:pos="284"/>
        </w:tabs>
        <w:ind w:left="425" w:right="474"/>
        <w:jc w:val="both"/>
        <w:rPr>
          <w:rFonts w:ascii="Verdana" w:eastAsia="Century Gothic" w:hAnsi="Verdana" w:cs="Century Gothic"/>
          <w:i/>
          <w:iCs/>
        </w:rPr>
      </w:pPr>
      <w:r w:rsidRPr="00537575">
        <w:rPr>
          <w:rFonts w:ascii="Verdana" w:eastAsia="Century Gothic" w:hAnsi="Verdana" w:cs="Century Gothic"/>
          <w:i/>
          <w:iCs/>
          <w:lang w:val="es-CO"/>
        </w:rPr>
        <w:lastRenderedPageBreak/>
        <w:t xml:space="preserve"> </w:t>
      </w:r>
      <w:r w:rsidR="00210DEE">
        <w:rPr>
          <w:rFonts w:ascii="Verdana" w:eastAsia="Century Gothic" w:hAnsi="Verdana" w:cs="Century Gothic"/>
          <w:i/>
          <w:iCs/>
          <w:lang w:val="es-CO"/>
        </w:rPr>
        <w:t xml:space="preserve">1. </w:t>
      </w:r>
      <w:r w:rsidR="00210DEE" w:rsidRPr="00210DEE">
        <w:rPr>
          <w:rFonts w:ascii="Verdana" w:eastAsia="Century Gothic" w:hAnsi="Verdana" w:cs="Century Gothic"/>
          <w:i/>
          <w:iCs/>
        </w:rPr>
        <w:t>¿Los pliegos de condiciones diseñados para contratar con el Estado en materia de ingeniería deben</w:t>
      </w:r>
      <w:r w:rsidR="00210DEE">
        <w:rPr>
          <w:rFonts w:ascii="Verdana" w:eastAsia="Century Gothic" w:hAnsi="Verdana" w:cs="Century Gothic"/>
          <w:i/>
          <w:iCs/>
        </w:rPr>
        <w:t xml:space="preserve"> </w:t>
      </w:r>
      <w:r w:rsidR="00210DEE" w:rsidRPr="00210DEE">
        <w:rPr>
          <w:rFonts w:ascii="Verdana" w:eastAsia="Century Gothic" w:hAnsi="Verdana" w:cs="Century Gothic"/>
          <w:i/>
          <w:iCs/>
        </w:rPr>
        <w:t>obedecer y/o aplicar en su totalidad lo establecido en la Ley 842 de 2003?</w:t>
      </w:r>
    </w:p>
    <w:p w14:paraId="3431CDCE" w14:textId="4141F162" w:rsidR="00210DEE" w:rsidRPr="00210DEE" w:rsidRDefault="00210DEE" w:rsidP="00210DEE">
      <w:pPr>
        <w:pStyle w:val="Prrafodelista"/>
        <w:tabs>
          <w:tab w:val="left" w:pos="142"/>
          <w:tab w:val="left" w:pos="284"/>
        </w:tabs>
        <w:ind w:left="425" w:right="474"/>
        <w:jc w:val="both"/>
        <w:rPr>
          <w:rFonts w:ascii="Verdana" w:eastAsia="Century Gothic" w:hAnsi="Verdana" w:cs="Century Gothic"/>
          <w:i/>
          <w:iCs/>
        </w:rPr>
      </w:pPr>
      <w:r w:rsidRPr="00210DEE">
        <w:rPr>
          <w:rFonts w:ascii="Verdana" w:eastAsia="Century Gothic" w:hAnsi="Verdana" w:cs="Century Gothic"/>
          <w:i/>
          <w:iCs/>
        </w:rPr>
        <w:t>2. Somos una empresa de ingeniería con más de 20 años de experiencia en licitaciones públicas y hemos</w:t>
      </w:r>
      <w:r>
        <w:rPr>
          <w:rFonts w:ascii="Verdana" w:eastAsia="Century Gothic" w:hAnsi="Verdana" w:cs="Century Gothic"/>
          <w:i/>
          <w:iCs/>
        </w:rPr>
        <w:t xml:space="preserve"> </w:t>
      </w:r>
      <w:r w:rsidRPr="00210DEE">
        <w:rPr>
          <w:rFonts w:ascii="Verdana" w:eastAsia="Century Gothic" w:hAnsi="Verdana" w:cs="Century Gothic"/>
          <w:i/>
          <w:iCs/>
        </w:rPr>
        <w:t>observado que en los pliegos de condiciones de los procesos de contratación en materia de ingeniería</w:t>
      </w:r>
    </w:p>
    <w:p w14:paraId="75B1302C" w14:textId="68745128" w:rsidR="00210DEE" w:rsidRPr="00210DEE" w:rsidRDefault="00210DEE" w:rsidP="00210DEE">
      <w:pPr>
        <w:pStyle w:val="Prrafodelista"/>
        <w:tabs>
          <w:tab w:val="left" w:pos="142"/>
          <w:tab w:val="left" w:pos="284"/>
        </w:tabs>
        <w:ind w:left="425" w:right="474"/>
        <w:jc w:val="both"/>
        <w:rPr>
          <w:rFonts w:ascii="Verdana" w:eastAsia="Century Gothic" w:hAnsi="Verdana" w:cs="Century Gothic"/>
          <w:i/>
          <w:iCs/>
        </w:rPr>
      </w:pPr>
      <w:r w:rsidRPr="00210DEE">
        <w:rPr>
          <w:rFonts w:ascii="Verdana" w:eastAsia="Century Gothic" w:hAnsi="Verdana" w:cs="Century Gothic"/>
          <w:i/>
          <w:iCs/>
        </w:rPr>
        <w:t>omiten la aplicación del artículo 17 de la Ley 842 de 2003.</w:t>
      </w:r>
    </w:p>
    <w:p w14:paraId="5D18D7AA" w14:textId="23511F92" w:rsidR="00210DEE" w:rsidRPr="00210DEE" w:rsidRDefault="00210DEE" w:rsidP="00210DEE">
      <w:pPr>
        <w:pStyle w:val="Prrafodelista"/>
        <w:tabs>
          <w:tab w:val="left" w:pos="142"/>
          <w:tab w:val="left" w:pos="284"/>
        </w:tabs>
        <w:ind w:left="425" w:right="474"/>
        <w:jc w:val="both"/>
        <w:rPr>
          <w:rFonts w:ascii="Verdana" w:eastAsia="Century Gothic" w:hAnsi="Verdana" w:cs="Century Gothic"/>
          <w:i/>
          <w:iCs/>
        </w:rPr>
      </w:pPr>
      <w:r w:rsidRPr="00210DEE">
        <w:rPr>
          <w:rFonts w:ascii="Verdana" w:eastAsia="Century Gothic" w:hAnsi="Verdana" w:cs="Century Gothic"/>
          <w:i/>
          <w:iCs/>
        </w:rPr>
        <w:t>¿La inobservancia de lo establecido en el artículo 17 de la Ley 842 de 2003, en los pliegos de</w:t>
      </w:r>
      <w:r>
        <w:rPr>
          <w:rFonts w:ascii="Verdana" w:eastAsia="Century Gothic" w:hAnsi="Verdana" w:cs="Century Gothic"/>
          <w:i/>
          <w:iCs/>
        </w:rPr>
        <w:t xml:space="preserve"> </w:t>
      </w:r>
      <w:r w:rsidRPr="00210DEE">
        <w:rPr>
          <w:rFonts w:ascii="Verdana" w:eastAsia="Century Gothic" w:hAnsi="Verdana" w:cs="Century Gothic"/>
          <w:i/>
          <w:iCs/>
        </w:rPr>
        <w:t>condiciones para contratar con el Estado en materia de ingeniería vicia el proceso de selección</w:t>
      </w:r>
      <w:r>
        <w:rPr>
          <w:rFonts w:ascii="Verdana" w:eastAsia="Century Gothic" w:hAnsi="Verdana" w:cs="Century Gothic"/>
          <w:i/>
          <w:iCs/>
        </w:rPr>
        <w:t xml:space="preserve"> </w:t>
      </w:r>
      <w:r w:rsidRPr="00210DEE">
        <w:rPr>
          <w:rFonts w:ascii="Verdana" w:eastAsia="Century Gothic" w:hAnsi="Verdana" w:cs="Century Gothic"/>
          <w:i/>
          <w:iCs/>
        </w:rPr>
        <w:t>objetiva?</w:t>
      </w:r>
    </w:p>
    <w:p w14:paraId="02136472" w14:textId="7D61B56C" w:rsidR="00210DEE" w:rsidRPr="00210DEE" w:rsidRDefault="00210DEE" w:rsidP="00210DEE">
      <w:pPr>
        <w:pStyle w:val="Prrafodelista"/>
        <w:tabs>
          <w:tab w:val="left" w:pos="142"/>
          <w:tab w:val="left" w:pos="284"/>
        </w:tabs>
        <w:ind w:left="425" w:right="474"/>
        <w:jc w:val="both"/>
        <w:rPr>
          <w:rFonts w:ascii="Verdana" w:eastAsia="Century Gothic" w:hAnsi="Verdana" w:cs="Century Gothic"/>
          <w:i/>
          <w:iCs/>
        </w:rPr>
      </w:pPr>
      <w:r w:rsidRPr="00210DEE">
        <w:rPr>
          <w:rFonts w:ascii="Verdana" w:eastAsia="Century Gothic" w:hAnsi="Verdana" w:cs="Century Gothic"/>
          <w:i/>
          <w:iCs/>
        </w:rPr>
        <w:t>3. ¿Si una persona jurídica y/o natural o los integrantes (personas jurídicas y/o natural) que hagan parte</w:t>
      </w:r>
      <w:r>
        <w:rPr>
          <w:rFonts w:ascii="Verdana" w:eastAsia="Century Gothic" w:hAnsi="Verdana" w:cs="Century Gothic"/>
          <w:i/>
          <w:iCs/>
        </w:rPr>
        <w:t xml:space="preserve"> </w:t>
      </w:r>
      <w:r w:rsidRPr="00210DEE">
        <w:rPr>
          <w:rFonts w:ascii="Verdana" w:eastAsia="Century Gothic" w:hAnsi="Verdana" w:cs="Century Gothic"/>
          <w:i/>
          <w:iCs/>
        </w:rPr>
        <w:t>de un proponente plural no cumplen con lo establecido en el artículo 17 de la Ley 842 de 2003 se</w:t>
      </w:r>
    </w:p>
    <w:p w14:paraId="7D03633E" w14:textId="5C7A1137" w:rsidR="007D5768" w:rsidRPr="00426DC2" w:rsidRDefault="00210DEE" w:rsidP="00210DEE">
      <w:pPr>
        <w:pStyle w:val="Prrafodelista"/>
        <w:tabs>
          <w:tab w:val="left" w:pos="142"/>
          <w:tab w:val="left" w:pos="284"/>
        </w:tabs>
        <w:ind w:left="425" w:right="474"/>
        <w:jc w:val="both"/>
        <w:rPr>
          <w:rFonts w:ascii="Verdana" w:eastAsia="Century Gothic" w:hAnsi="Verdana" w:cs="Century Gothic"/>
          <w:i/>
          <w:iCs/>
          <w:lang w:val="es-CO"/>
        </w:rPr>
      </w:pPr>
      <w:r w:rsidRPr="00210DEE">
        <w:rPr>
          <w:rFonts w:ascii="Verdana" w:eastAsia="Century Gothic" w:hAnsi="Verdana" w:cs="Century Gothic"/>
          <w:i/>
          <w:iCs/>
        </w:rPr>
        <w:t>encuentran inmersos en causal de rechazo? ¿debe la entidad estatal rechazarlos por no tener la</w:t>
      </w:r>
      <w:r>
        <w:rPr>
          <w:rFonts w:ascii="Verdana" w:eastAsia="Century Gothic" w:hAnsi="Verdana" w:cs="Century Gothic"/>
          <w:i/>
          <w:iCs/>
        </w:rPr>
        <w:t xml:space="preserve"> </w:t>
      </w:r>
      <w:r w:rsidRPr="00210DEE">
        <w:rPr>
          <w:rFonts w:ascii="Verdana" w:eastAsia="Century Gothic" w:hAnsi="Verdana" w:cs="Century Gothic"/>
          <w:i/>
          <w:iCs/>
          <w:lang w:val="es-CO"/>
        </w:rPr>
        <w:t xml:space="preserve">capacidad jurídica para contratar servicios u obras asociados a la actividad de la ingeniería? </w:t>
      </w:r>
      <w:r w:rsidR="007D7EA9" w:rsidRPr="00537575">
        <w:rPr>
          <w:rFonts w:ascii="Verdana" w:eastAsia="Century Gothic" w:hAnsi="Verdana" w:cs="Century Gothic"/>
          <w:i/>
          <w:iCs/>
        </w:rPr>
        <w:t>(…)</w:t>
      </w:r>
    </w:p>
    <w:p w14:paraId="060344BA" w14:textId="77777777" w:rsidR="007D5768" w:rsidRDefault="007D576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 xml:space="preserve">Problema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5CB2E569" w14:textId="77777777" w:rsidR="007D5768" w:rsidRPr="00593A5F" w:rsidRDefault="007D5768" w:rsidP="007D5768">
      <w:pPr>
        <w:tabs>
          <w:tab w:val="left" w:pos="426"/>
        </w:tabs>
        <w:spacing w:after="0" w:line="276" w:lineRule="auto"/>
        <w:jc w:val="both"/>
        <w:rPr>
          <w:rFonts w:ascii="Verdana" w:eastAsia="Century Gothic" w:hAnsi="Verdana" w:cs="Century Gothic"/>
          <w:lang w:val="es-ES"/>
        </w:rPr>
      </w:pPr>
    </w:p>
    <w:p w14:paraId="36CB1E6E" w14:textId="69AAE7B2" w:rsidR="00343A0B" w:rsidRDefault="007D5768" w:rsidP="007D5768">
      <w:pPr>
        <w:pStyle w:val="Prrafodelista"/>
        <w:ind w:left="0" w:right="49"/>
        <w:jc w:val="both"/>
        <w:rPr>
          <w:rFonts w:ascii="Verdana" w:eastAsia="Century Gothic" w:hAnsi="Verdana" w:cs="Century Gothic"/>
        </w:rPr>
      </w:pPr>
      <w:r w:rsidRPr="00B22D91">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siguiente </w:t>
      </w:r>
      <w:r w:rsidRPr="00B22D91">
        <w:rPr>
          <w:rFonts w:ascii="Verdana" w:eastAsia="Century Gothic" w:hAnsi="Verdana" w:cs="Century Gothic"/>
        </w:rPr>
        <w:t>problema jurídico</w:t>
      </w:r>
      <w:r w:rsidR="00AE26B1">
        <w:rPr>
          <w:rFonts w:ascii="Verdana" w:eastAsia="Century Gothic" w:hAnsi="Verdana" w:cs="Century Gothic"/>
        </w:rPr>
        <w:t xml:space="preserve"> relacionado con los procesos de contratación en los que se hace uso de los documentos tipo</w:t>
      </w:r>
      <w:r w:rsidRPr="00B22D91">
        <w:rPr>
          <w:rFonts w:ascii="Verdana" w:eastAsia="Century Gothic" w:hAnsi="Verdana" w:cs="Century Gothic"/>
        </w:rPr>
        <w:t>:</w:t>
      </w:r>
    </w:p>
    <w:p w14:paraId="29CD5345" w14:textId="77777777" w:rsidR="00343A0B" w:rsidRDefault="00343A0B" w:rsidP="007D5768">
      <w:pPr>
        <w:pStyle w:val="Prrafodelista"/>
        <w:ind w:left="0" w:right="49"/>
        <w:jc w:val="both"/>
        <w:rPr>
          <w:rFonts w:ascii="Verdana" w:eastAsia="Century Gothic" w:hAnsi="Verdana" w:cs="Century Gothic"/>
        </w:rPr>
      </w:pPr>
    </w:p>
    <w:p w14:paraId="5617C63C" w14:textId="5C8781E9" w:rsidR="007D5768" w:rsidRPr="00D55B5C" w:rsidRDefault="00343A0B" w:rsidP="007D5768">
      <w:pPr>
        <w:pStyle w:val="Prrafodelista"/>
        <w:ind w:left="0" w:right="49"/>
        <w:jc w:val="both"/>
        <w:rPr>
          <w:rFonts w:ascii="Verdana" w:eastAsia="Century Gothic" w:hAnsi="Verdana" w:cs="Century Gothic"/>
          <w:i/>
          <w:iCs/>
        </w:rPr>
      </w:pPr>
      <w:r>
        <w:rPr>
          <w:rFonts w:ascii="Verdana" w:eastAsia="Century Gothic" w:hAnsi="Verdana" w:cs="Century Gothic"/>
        </w:rPr>
        <w:t>¿</w:t>
      </w:r>
      <w:r w:rsidR="00CC7892">
        <w:rPr>
          <w:rFonts w:ascii="Verdana" w:eastAsia="Century Gothic" w:hAnsi="Verdana" w:cs="Century Gothic"/>
          <w:lang w:val="es-CO"/>
        </w:rPr>
        <w:t>R</w:t>
      </w:r>
      <w:r w:rsidR="00D55B5C">
        <w:rPr>
          <w:rFonts w:ascii="Verdana" w:eastAsia="Century Gothic" w:hAnsi="Verdana" w:cs="Century Gothic"/>
          <w:lang w:val="es-CO"/>
        </w:rPr>
        <w:t xml:space="preserve">esulta </w:t>
      </w:r>
      <w:r w:rsidR="00210DEE" w:rsidRPr="008269B6">
        <w:rPr>
          <w:rFonts w:ascii="Verdana" w:eastAsia="Century Gothic" w:hAnsi="Verdana" w:cs="Century Gothic"/>
        </w:rPr>
        <w:t xml:space="preserve">causal de rechazo </w:t>
      </w:r>
      <w:r w:rsidR="00D55B5C">
        <w:rPr>
          <w:rFonts w:ascii="Verdana" w:eastAsia="Century Gothic" w:hAnsi="Verdana" w:cs="Century Gothic"/>
        </w:rPr>
        <w:t xml:space="preserve">el </w:t>
      </w:r>
      <w:r w:rsidR="00210DEE" w:rsidRPr="008269B6">
        <w:rPr>
          <w:rFonts w:ascii="Verdana" w:eastAsia="Century Gothic" w:hAnsi="Verdana" w:cs="Century Gothic"/>
        </w:rPr>
        <w:t xml:space="preserve">no </w:t>
      </w:r>
      <w:r w:rsidRPr="008269B6">
        <w:rPr>
          <w:rFonts w:ascii="Verdana" w:eastAsia="Century Gothic" w:hAnsi="Verdana" w:cs="Century Gothic"/>
        </w:rPr>
        <w:t>cumplimiento de</w:t>
      </w:r>
      <w:r w:rsidR="00210DEE" w:rsidRPr="008269B6">
        <w:rPr>
          <w:rFonts w:ascii="Verdana" w:eastAsia="Century Gothic" w:hAnsi="Verdana" w:cs="Century Gothic"/>
        </w:rPr>
        <w:t xml:space="preserve"> lo previsto en el artículo</w:t>
      </w:r>
      <w:r w:rsidR="00210DEE" w:rsidRPr="00210DEE">
        <w:rPr>
          <w:rFonts w:ascii="Verdana" w:eastAsia="Century Gothic" w:hAnsi="Verdana" w:cs="Century Gothic"/>
        </w:rPr>
        <w:t xml:space="preserve"> 17 de la Ley 842 de 2003</w:t>
      </w:r>
      <w:r w:rsidR="00AE26B1">
        <w:rPr>
          <w:rFonts w:ascii="Verdana" w:eastAsia="Century Gothic" w:hAnsi="Verdana" w:cs="Century Gothic"/>
        </w:rPr>
        <w:t xml:space="preserve"> en el marco de un proceso de contratación de infraestructura de obra pública</w:t>
      </w:r>
      <w:r w:rsidR="00071E34" w:rsidRPr="008269B6">
        <w:rPr>
          <w:rFonts w:ascii="Verdana" w:eastAsia="Century Gothic" w:hAnsi="Verdana" w:cs="Century Gothic"/>
          <w:lang w:val="es-CO"/>
        </w:rPr>
        <w:t xml:space="preserve">? </w:t>
      </w:r>
    </w:p>
    <w:p w14:paraId="691CC483" w14:textId="77777777" w:rsidR="007D5768" w:rsidRDefault="007D5768" w:rsidP="007D5768">
      <w:pPr>
        <w:pStyle w:val="Prrafodelista"/>
        <w:ind w:left="0" w:right="49"/>
        <w:jc w:val="both"/>
        <w:rPr>
          <w:rFonts w:ascii="Verdana" w:eastAsia="Century Gothic" w:hAnsi="Verdana" w:cs="Century Gothic"/>
          <w:i/>
          <w:iCs/>
        </w:rPr>
      </w:pPr>
    </w:p>
    <w:p w14:paraId="44404C69" w14:textId="77777777" w:rsidR="00210DEE" w:rsidRDefault="00210DEE" w:rsidP="007D5768">
      <w:pPr>
        <w:pStyle w:val="Prrafodelista"/>
        <w:ind w:left="0" w:right="49"/>
        <w:jc w:val="both"/>
        <w:rPr>
          <w:rFonts w:ascii="Verdana" w:eastAsia="Century Gothic" w:hAnsi="Verdana" w:cs="Century Gothic"/>
          <w:i/>
          <w:iCs/>
        </w:rPr>
      </w:pPr>
    </w:p>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D5768" w:rsidRPr="00593A5F" w14:paraId="2BAE82EC" w14:textId="77777777" w:rsidTr="00E1079D">
        <w:tc>
          <w:tcPr>
            <w:tcW w:w="8828" w:type="dxa"/>
            <w:shd w:val="clear" w:color="auto" w:fill="auto"/>
          </w:tcPr>
          <w:p w14:paraId="4AEB8D8C" w14:textId="11C39B3D" w:rsidR="00AE26B1" w:rsidRPr="00AE26B1" w:rsidRDefault="00AE26B1" w:rsidP="00AE26B1">
            <w:pPr>
              <w:spacing w:after="120" w:line="276" w:lineRule="auto"/>
              <w:jc w:val="both"/>
              <w:rPr>
                <w:rFonts w:ascii="Verdana" w:hAnsi="Verdana" w:cs="Arial"/>
              </w:rPr>
            </w:pPr>
            <w:r>
              <w:rPr>
                <w:rFonts w:ascii="Verdana" w:hAnsi="Verdana" w:cs="Arial"/>
              </w:rPr>
              <w:t>E</w:t>
            </w:r>
            <w:r w:rsidRPr="00AE26B1">
              <w:rPr>
                <w:rFonts w:ascii="Verdana" w:hAnsi="Verdana" w:cs="Arial"/>
              </w:rPr>
              <w:t xml:space="preserv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 </w:t>
            </w:r>
          </w:p>
          <w:p w14:paraId="49A2078E" w14:textId="2321BED8" w:rsidR="00AE26B1" w:rsidRPr="00AE26B1" w:rsidRDefault="00A71022" w:rsidP="00AE26B1">
            <w:pPr>
              <w:spacing w:line="276" w:lineRule="auto"/>
              <w:ind w:firstLine="708"/>
              <w:jc w:val="both"/>
              <w:rPr>
                <w:rFonts w:ascii="Verdana" w:hAnsi="Verdana" w:cs="Arial"/>
                <w:lang w:val="es-ES"/>
              </w:rPr>
            </w:pPr>
            <w:proofErr w:type="spellStart"/>
            <w:r>
              <w:rPr>
                <w:rFonts w:ascii="Verdana" w:hAnsi="Verdana" w:cs="Arial"/>
              </w:rPr>
              <w:t>Asi</w:t>
            </w:r>
            <w:proofErr w:type="spellEnd"/>
            <w:r>
              <w:rPr>
                <w:rFonts w:ascii="Verdana" w:hAnsi="Verdana" w:cs="Arial"/>
              </w:rPr>
              <w:t xml:space="preserve"> las cosas</w:t>
            </w:r>
            <w:r w:rsidR="00AE26B1" w:rsidRPr="00AE26B1">
              <w:rPr>
                <w:rFonts w:ascii="Verdana" w:hAnsi="Verdana" w:cs="Arial"/>
              </w:rPr>
              <w:t xml:space="preserve">, el artículo citado establece el deber para las personas jurídicas, cuyas actividades correspondan al ejercicio de la ingeniería, de incluir en su </w:t>
            </w:r>
            <w:r>
              <w:rPr>
                <w:rFonts w:ascii="Verdana" w:hAnsi="Verdana" w:cs="Arial"/>
              </w:rPr>
              <w:t>“</w:t>
            </w:r>
            <w:r w:rsidR="00AE26B1" w:rsidRPr="00AE26B1">
              <w:rPr>
                <w:rFonts w:ascii="Verdana" w:hAnsi="Verdana" w:cs="Arial"/>
              </w:rPr>
              <w:t>nómina permanente</w:t>
            </w:r>
            <w:r>
              <w:rPr>
                <w:rFonts w:ascii="Verdana" w:hAnsi="Verdana" w:cs="Arial"/>
              </w:rPr>
              <w:t>”</w:t>
            </w:r>
            <w:r w:rsidR="00AE26B1" w:rsidRPr="00AE26B1">
              <w:rPr>
                <w:rFonts w:ascii="Verdana" w:hAnsi="Verdana" w:cs="Arial"/>
              </w:rPr>
              <w:t xml:space="preserve"> al menos a un profesional matriculado en la carrera correspondiente al objeto social de la persona jurídica. Sin embargo, </w:t>
            </w:r>
            <w:r w:rsidR="00AE26B1" w:rsidRPr="00AE26B1">
              <w:rPr>
                <w:rFonts w:ascii="Verdana" w:hAnsi="Verdana" w:cs="Arial"/>
              </w:rPr>
              <w:lastRenderedPageBreak/>
              <w:t>pese a la existencia de dicho deber, no establece una consecuencia particular frente a su incidencia en los procedimientos de selección adelantados por las entidades estatales, como sería la imposibilidad de participar en dichos procesos ante la inobservancia del cumplimiento de dicha exigencia o el deber de presentar algún documento para acreditar el cumplimiento de dicha obligación en el desarrollo de tales procesos contractuales.</w:t>
            </w:r>
          </w:p>
          <w:p w14:paraId="6E21EF93" w14:textId="77777777" w:rsidR="00071E34" w:rsidRDefault="00071E34" w:rsidP="00071E34">
            <w:pPr>
              <w:spacing w:line="276" w:lineRule="auto"/>
              <w:jc w:val="both"/>
              <w:rPr>
                <w:rFonts w:ascii="Verdana" w:eastAsia="Century Gothic" w:hAnsi="Verdana" w:cs="Century Gothic"/>
              </w:rPr>
            </w:pPr>
          </w:p>
          <w:p w14:paraId="47EEB54F" w14:textId="349BF8D2" w:rsidR="00523EE3" w:rsidRPr="00D67CFC" w:rsidRDefault="00D67CFC" w:rsidP="00F3780C">
            <w:pPr>
              <w:spacing w:line="276" w:lineRule="auto"/>
              <w:jc w:val="both"/>
              <w:rPr>
                <w:rFonts w:ascii="Verdana" w:hAnsi="Verdana" w:cs="Arial"/>
                <w:bCs/>
                <w:color w:val="000000" w:themeColor="text1"/>
              </w:rPr>
            </w:pPr>
            <w:r w:rsidRPr="00D67CFC">
              <w:rPr>
                <w:rFonts w:ascii="Verdana" w:hAnsi="Verdana" w:cs="Arial"/>
                <w:bCs/>
                <w:color w:val="000000" w:themeColor="text1"/>
              </w:rPr>
              <w:t xml:space="preserve"> </w:t>
            </w:r>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BB50C0F" w14:textId="77777777" w:rsidR="007D5768" w:rsidRPr="00593A5F" w:rsidRDefault="007D5768" w:rsidP="007D5768">
      <w:pPr>
        <w:spacing w:after="0" w:line="276" w:lineRule="auto"/>
        <w:jc w:val="both"/>
        <w:rPr>
          <w:rFonts w:ascii="Verdana" w:eastAsia="Calibri" w:hAnsi="Verdana" w:cs="Arial"/>
          <w:color w:val="7030A0"/>
          <w:lang w:val="es-ES"/>
        </w:rPr>
      </w:pPr>
    </w:p>
    <w:p w14:paraId="2B9C7990" w14:textId="77777777" w:rsidR="007D5768" w:rsidRDefault="007D5768" w:rsidP="007D5768">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791E01CB" w14:textId="0A886F17" w:rsidR="00BE6BAA" w:rsidRDefault="00BE6BAA" w:rsidP="00BA1F40">
      <w:pPr>
        <w:spacing w:after="120" w:line="276" w:lineRule="auto"/>
        <w:ind w:left="426"/>
        <w:contextualSpacing/>
        <w:jc w:val="both"/>
        <w:rPr>
          <w:rFonts w:ascii="Verdana" w:eastAsia="Calibri" w:hAnsi="Verdana" w:cs="Arial"/>
          <w:lang w:val="es-ES"/>
        </w:rPr>
      </w:pPr>
    </w:p>
    <w:p w14:paraId="31A9ADE0" w14:textId="77777777" w:rsidR="00A502AE" w:rsidRPr="00A502AE" w:rsidRDefault="00A71022" w:rsidP="00A502AE">
      <w:pPr>
        <w:pStyle w:val="Prrafodelista"/>
        <w:numPr>
          <w:ilvl w:val="0"/>
          <w:numId w:val="20"/>
        </w:numPr>
        <w:tabs>
          <w:tab w:val="left" w:pos="426"/>
        </w:tabs>
        <w:spacing w:after="120" w:line="276" w:lineRule="auto"/>
        <w:ind w:left="426"/>
        <w:jc w:val="both"/>
        <w:rPr>
          <w:rFonts w:ascii="Verdana" w:hAnsi="Verdana" w:cs="Arial"/>
          <w:bCs/>
          <w:lang w:eastAsia="es-CO"/>
        </w:rPr>
      </w:pPr>
      <w:r w:rsidRPr="00A502AE">
        <w:rPr>
          <w:rFonts w:ascii="Verdana" w:eastAsia="Calibri" w:hAnsi="Verdana" w:cs="Arial"/>
          <w:noProof/>
          <w:lang w:val="es-ES_tradnl"/>
        </w:rPr>
        <w:t xml:space="preserve">Al tenor de lo dispuesto en el parágrafo 7 del artículo 2 de la Ley 1150 de 2007, adicionado y modificado por las Leyes 1882 de 2018 y 2022 de 2020, </w:t>
      </w:r>
      <w:r w:rsidR="00A502AE" w:rsidRPr="00A502AE">
        <w:rPr>
          <w:rFonts w:ascii="Verdana" w:eastAsia="Calibri" w:hAnsi="Verdana" w:cs="Arial"/>
          <w:noProof/>
          <w:lang w:val="es-ES_tradnl"/>
        </w:rPr>
        <w:t>“</w:t>
      </w:r>
      <w:r w:rsidRPr="00A502AE">
        <w:rPr>
          <w:rFonts w:ascii="Verdana" w:eastAsia="Calibri" w:hAnsi="Verdana" w:cs="Arial"/>
          <w:noProof/>
          <w:lang w:val="es-ES_tradnl"/>
        </w:rPr>
        <w:t xml:space="preserve">la </w:t>
      </w:r>
      <w:r w:rsidRPr="00A502AE">
        <w:rPr>
          <w:rFonts w:ascii="Verdana" w:hAnsi="Verdana" w:cs="Arial"/>
          <w:shd w:val="clear" w:color="auto" w:fill="FFFFFF"/>
        </w:rPr>
        <w:t>Agencia Nacional de Contratación Pública Colombia Compra Eficiente […] adoptará documentos tipo que serán de obligatorio cumplimiento en la actividad contractual de todas las entidades sometidas al Estatuto General de Contratación de la Administración Pública</w:t>
      </w:r>
      <w:r w:rsidR="00A502AE" w:rsidRPr="00A502AE">
        <w:rPr>
          <w:rFonts w:ascii="Verdana" w:hAnsi="Verdana" w:cs="Arial"/>
          <w:shd w:val="clear" w:color="auto" w:fill="FFFFFF"/>
        </w:rPr>
        <w:t>”</w:t>
      </w:r>
      <w:r w:rsidRPr="00A502AE">
        <w:rPr>
          <w:rFonts w:ascii="Verdana" w:eastAsia="Calibri" w:hAnsi="Verdana" w:cs="Arial"/>
          <w:noProof/>
          <w:lang w:val="es-ES_tradnl"/>
        </w:rPr>
        <w:t xml:space="preserve">, además </w:t>
      </w:r>
      <w:r w:rsidR="00A502AE" w:rsidRPr="00A502AE">
        <w:rPr>
          <w:rFonts w:ascii="Verdana" w:eastAsia="Calibri" w:hAnsi="Verdana" w:cs="Arial"/>
          <w:noProof/>
          <w:lang w:val="es-ES_tradnl"/>
        </w:rPr>
        <w:t>“</w:t>
      </w:r>
      <w:r w:rsidRPr="00A502AE">
        <w:rPr>
          <w:rFonts w:ascii="Verdana" w:hAnsi="Verdana" w:cs="Arial"/>
          <w:shd w:val="clear" w:color="auto" w:fill="FFFFFF"/>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sidR="00A502AE" w:rsidRPr="00A502AE">
        <w:rPr>
          <w:rFonts w:ascii="Verdana" w:hAnsi="Verdana" w:cs="Arial"/>
          <w:shd w:val="clear" w:color="auto" w:fill="FFFFFF"/>
        </w:rPr>
        <w:t>”</w:t>
      </w:r>
      <w:r w:rsidRPr="00A502AE">
        <w:rPr>
          <w:rFonts w:ascii="Verdana" w:eastAsia="Calibri" w:hAnsi="Verdana" w:cs="Arial"/>
          <w:noProof/>
          <w:lang w:val="es-ES_tradnl"/>
        </w:rPr>
        <w:t>. De otro lado, dicha disposición establece que, para tal fin, se considerarán las características propias de las regiones, la cuantía, la naturaleza y especialidad de la contratación, entre otros aspectos, previendo un procedimiento coordinado con entidades técnicas o especialiazadas para su incorporación, enfatizando en su obligatoriedad para procesos de selección de obras públicas.</w:t>
      </w:r>
    </w:p>
    <w:p w14:paraId="34B1A48F" w14:textId="77777777" w:rsidR="00A502AE" w:rsidRPr="00A502AE" w:rsidRDefault="00A502AE" w:rsidP="00A502AE">
      <w:pPr>
        <w:pStyle w:val="Prrafodelista"/>
        <w:tabs>
          <w:tab w:val="left" w:pos="426"/>
        </w:tabs>
        <w:spacing w:after="120" w:line="276" w:lineRule="auto"/>
        <w:ind w:left="426"/>
        <w:jc w:val="both"/>
        <w:rPr>
          <w:rFonts w:ascii="Verdana" w:hAnsi="Verdana" w:cs="Arial"/>
          <w:bCs/>
          <w:lang w:eastAsia="es-CO"/>
        </w:rPr>
      </w:pPr>
    </w:p>
    <w:p w14:paraId="275DF020" w14:textId="19846D9D" w:rsidR="00A502AE" w:rsidRPr="00A502AE" w:rsidRDefault="00A71022" w:rsidP="00A502AE">
      <w:pPr>
        <w:pStyle w:val="Prrafodelista"/>
        <w:numPr>
          <w:ilvl w:val="0"/>
          <w:numId w:val="20"/>
        </w:numPr>
        <w:tabs>
          <w:tab w:val="left" w:pos="426"/>
        </w:tabs>
        <w:spacing w:after="120" w:line="276" w:lineRule="auto"/>
        <w:ind w:left="426"/>
        <w:jc w:val="both"/>
        <w:rPr>
          <w:rFonts w:ascii="Verdana" w:hAnsi="Verdana" w:cs="Arial"/>
          <w:bCs/>
          <w:lang w:eastAsia="es-CO"/>
        </w:rPr>
      </w:pPr>
      <w:r w:rsidRPr="00A502AE">
        <w:rPr>
          <w:rFonts w:ascii="Verdana" w:eastAsia="Calibri" w:hAnsi="Verdana" w:cs="Arial"/>
          <w:noProof/>
          <w:lang w:val="es-ES_tradnl"/>
        </w:rPr>
        <w:t>Dando cumplimiento al precitado mandato legal, la Agencia Nacional de Contratación Pública ― Colombia Compra Eficiente, actualizó los Documentos Tipo</w:t>
      </w:r>
      <w:r w:rsidRPr="00A502AE">
        <w:rPr>
          <w:noProof/>
          <w:vertAlign w:val="superscript"/>
        </w:rPr>
        <w:footnoteReference w:id="1"/>
      </w:r>
      <w:r w:rsidRPr="00A502AE">
        <w:rPr>
          <w:rFonts w:ascii="Verdana" w:eastAsia="Calibri" w:hAnsi="Verdana" w:cs="Arial"/>
          <w:noProof/>
          <w:lang w:val="es-ES_tradnl"/>
        </w:rPr>
        <w:t xml:space="preserve"> para los procesos de selección de licitación de obra pública </w:t>
      </w:r>
      <w:r w:rsidRPr="00A502AE">
        <w:rPr>
          <w:rFonts w:ascii="Verdana" w:eastAsia="Calibri" w:hAnsi="Verdana" w:cs="Arial"/>
          <w:noProof/>
          <w:lang w:val="es-ES_tradnl"/>
        </w:rPr>
        <w:lastRenderedPageBreak/>
        <w:t xml:space="preserve">de infraestructura de transporte  introduciendo su tercera versión mediante </w:t>
      </w:r>
      <w:r w:rsidRPr="00DE04EE">
        <w:rPr>
          <w:rFonts w:ascii="Verdana" w:eastAsia="Calibri" w:hAnsi="Verdana" w:cs="Arial"/>
          <w:noProof/>
          <w:lang w:val="es-ES_tradnl"/>
        </w:rPr>
        <w:t>la  Resolución No 240 de 2020</w:t>
      </w:r>
      <w:r w:rsidRPr="00DE04EE">
        <w:rPr>
          <w:noProof/>
          <w:vertAlign w:val="superscript"/>
        </w:rPr>
        <w:footnoteReference w:id="2"/>
      </w:r>
      <w:r w:rsidR="004321BF" w:rsidRPr="00DE04EE">
        <w:rPr>
          <w:rFonts w:ascii="Verdana" w:eastAsia="Calibri" w:hAnsi="Verdana" w:cs="Arial"/>
          <w:noProof/>
          <w:lang w:val="es-ES_tradnl"/>
        </w:rPr>
        <w:t xml:space="preserve"> modificada</w:t>
      </w:r>
      <w:r w:rsidR="004321BF">
        <w:rPr>
          <w:rFonts w:ascii="Verdana" w:eastAsia="Calibri" w:hAnsi="Verdana" w:cs="Arial"/>
          <w:noProof/>
          <w:lang w:val="es-ES_tradnl"/>
        </w:rPr>
        <w:t xml:space="preserve"> por la Resoluciòn 275 de 2022</w:t>
      </w:r>
      <w:r w:rsidRPr="00A502AE">
        <w:rPr>
          <w:rFonts w:ascii="Verdana" w:eastAsia="Calibri" w:hAnsi="Verdana" w:cs="Arial"/>
          <w:noProof/>
          <w:lang w:val="es-ES_tradnl"/>
        </w:rPr>
        <w:t>, precisando en sus  artículos 2 y 3 la obligatoriedad de los parámetros contenidos en los mismos y su inalterabilidad</w:t>
      </w:r>
      <w:r w:rsidRPr="00A502AE">
        <w:rPr>
          <w:color w:val="000000"/>
          <w:shd w:val="clear" w:color="auto" w:fill="FFFFFF"/>
          <w:vertAlign w:val="superscript"/>
        </w:rPr>
        <w:footnoteReference w:id="3"/>
      </w:r>
      <w:r w:rsidRPr="00A502AE">
        <w:rPr>
          <w:rFonts w:ascii="Verdana" w:eastAsia="Calibri" w:hAnsi="Verdana" w:cs="Arial"/>
          <w:color w:val="000000"/>
          <w:shd w:val="clear" w:color="auto" w:fill="FFFFFF"/>
        </w:rPr>
        <w:t xml:space="preserve">, </w:t>
      </w:r>
      <w:r w:rsidRPr="00A502AE">
        <w:rPr>
          <w:rFonts w:ascii="Verdana" w:eastAsia="Calibri" w:hAnsi="Verdana" w:cs="Arial"/>
          <w:noProof/>
          <w:lang w:val="es-ES_tradnl"/>
        </w:rPr>
        <w:t>de modo que es deber de las entidades sometidas al Estatuto General de la Contratación de la Administración Pública utilizar los Documentos Tipo en los procesos de selección que adelanten. Así, las entidades sometidas al mencionado Estatuto quedan vedadas de la posibilidad de efectuar modificaciones a las condiciones habilitantes, factores de escogencia y sistemas de ponderación contenidos en los mismos, por lo que solo podrán realizar modificaciones en los lugares en que expresamente lo establezcan los Documentos Tipo.</w:t>
      </w:r>
    </w:p>
    <w:p w14:paraId="59D1B6D1" w14:textId="77777777" w:rsidR="00A502AE" w:rsidRPr="00A502AE" w:rsidRDefault="00A502AE" w:rsidP="00A502AE">
      <w:pPr>
        <w:pStyle w:val="Prrafodelista"/>
        <w:rPr>
          <w:rFonts w:ascii="Verdana" w:hAnsi="Verdana" w:cs="Arial"/>
          <w:color w:val="000000" w:themeColor="text1"/>
          <w:highlight w:val="yellow"/>
        </w:rPr>
      </w:pPr>
    </w:p>
    <w:p w14:paraId="2B6B818A" w14:textId="77777777" w:rsidR="00A502AE" w:rsidRPr="00A502AE" w:rsidRDefault="00A71022" w:rsidP="00A502AE">
      <w:pPr>
        <w:pStyle w:val="Prrafodelista"/>
        <w:numPr>
          <w:ilvl w:val="0"/>
          <w:numId w:val="20"/>
        </w:numPr>
        <w:tabs>
          <w:tab w:val="left" w:pos="426"/>
        </w:tabs>
        <w:spacing w:after="120" w:line="276" w:lineRule="auto"/>
        <w:ind w:left="426"/>
        <w:jc w:val="both"/>
        <w:rPr>
          <w:rFonts w:ascii="Verdana" w:hAnsi="Verdana" w:cs="Arial"/>
          <w:bCs/>
          <w:lang w:eastAsia="es-CO"/>
        </w:rPr>
      </w:pPr>
      <w:r w:rsidRPr="00A502AE">
        <w:rPr>
          <w:rFonts w:ascii="Verdana" w:hAnsi="Verdana" w:cs="Arial"/>
          <w:color w:val="000000" w:themeColor="text1"/>
        </w:rPr>
        <w:t xml:space="preserve">En este sentido, los documentos tipo se erigen como un límite a la discrecionalidad de las entidades estatales en cuanto a la configuración de su contenido, pues fija unos requisitos mínimos que las entidades públicas deben respetar. Esto es lo que sucede en los procedimientos de licitación de obra pública de infraestructura de transporte, en los cuales debe cumplirse lo dispuesto en el pliego de condiciones </w:t>
      </w:r>
      <w:r w:rsidRPr="004321BF">
        <w:rPr>
          <w:rFonts w:ascii="Verdana" w:hAnsi="Verdana" w:cs="Arial"/>
          <w:color w:val="000000" w:themeColor="text1"/>
        </w:rPr>
        <w:t>tipo –actualmente, la versión 3</w:t>
      </w:r>
      <w:r w:rsidRPr="004321BF">
        <w:rPr>
          <w:rFonts w:ascii="Verdana" w:hAnsi="Verdana" w:cs="Arial"/>
          <w:b/>
          <w:bCs/>
          <w:color w:val="000000" w:themeColor="text1"/>
        </w:rPr>
        <w:t>–,</w:t>
      </w:r>
      <w:r w:rsidRPr="004321BF">
        <w:rPr>
          <w:rFonts w:ascii="Verdana" w:hAnsi="Verdana" w:cs="Arial"/>
          <w:color w:val="000000" w:themeColor="text1"/>
        </w:rPr>
        <w:t xml:space="preserve"> el</w:t>
      </w:r>
      <w:r w:rsidRPr="00A502AE">
        <w:rPr>
          <w:rFonts w:ascii="Verdana" w:hAnsi="Verdana" w:cs="Arial"/>
          <w:color w:val="000000" w:themeColor="text1"/>
        </w:rPr>
        <w:t xml:space="preserve"> cual establece reglas imperativas, entre otros aspectos, para determinar las causales de rechazo aplicables en los procedimientos de selección.</w:t>
      </w:r>
    </w:p>
    <w:p w14:paraId="56555DA1" w14:textId="77777777" w:rsidR="00A502AE" w:rsidRPr="00A502AE" w:rsidRDefault="00A502AE" w:rsidP="00A502AE">
      <w:pPr>
        <w:pStyle w:val="Prrafodelista"/>
        <w:rPr>
          <w:rFonts w:ascii="Verdana" w:eastAsia="Calibri" w:hAnsi="Verdana" w:cs="Arial"/>
          <w:highlight w:val="yellow"/>
        </w:rPr>
      </w:pPr>
    </w:p>
    <w:p w14:paraId="7EA58D0F" w14:textId="7B16B2C7" w:rsidR="00A502AE" w:rsidRPr="00A502AE" w:rsidRDefault="00A502AE" w:rsidP="00A502AE">
      <w:pPr>
        <w:pStyle w:val="Prrafodelista"/>
        <w:numPr>
          <w:ilvl w:val="0"/>
          <w:numId w:val="20"/>
        </w:numPr>
        <w:tabs>
          <w:tab w:val="left" w:pos="426"/>
        </w:tabs>
        <w:spacing w:after="120" w:line="276" w:lineRule="auto"/>
        <w:ind w:left="426"/>
        <w:jc w:val="both"/>
        <w:rPr>
          <w:rFonts w:ascii="Verdana" w:hAnsi="Verdana" w:cs="Arial"/>
          <w:bCs/>
          <w:lang w:eastAsia="es-CO"/>
        </w:rPr>
      </w:pPr>
      <w:r w:rsidRPr="00A502AE">
        <w:rPr>
          <w:rFonts w:ascii="Verdana" w:eastAsia="Calibri" w:hAnsi="Verdana" w:cs="Arial"/>
        </w:rPr>
        <w:t>Ahora bien, l</w:t>
      </w:r>
      <w:r w:rsidR="00A71022" w:rsidRPr="00A502AE">
        <w:rPr>
          <w:rFonts w:ascii="Verdana" w:eastAsia="Calibri" w:hAnsi="Verdana" w:cs="Arial"/>
        </w:rPr>
        <w:t xml:space="preserve">a Agencia Nacional de Contratación Pública –Colombia Compra Eficiente– mediante los conceptos con radicados Nos. 2201913000007117 del 25 de septiembre de 2019, 2201913000009538 del 23 de diciembre de 2019, C- 716 del 30 de octubre de 2020 </w:t>
      </w:r>
      <w:r w:rsidRPr="00A502AE">
        <w:rPr>
          <w:rFonts w:ascii="Verdana" w:eastAsia="Calibri" w:hAnsi="Verdana" w:cs="Arial"/>
        </w:rPr>
        <w:t>,</w:t>
      </w:r>
      <w:r w:rsidR="00A71022" w:rsidRPr="00A502AE">
        <w:rPr>
          <w:rFonts w:ascii="Verdana" w:eastAsia="Calibri" w:hAnsi="Verdana" w:cs="Arial"/>
        </w:rPr>
        <w:t xml:space="preserve"> C</w:t>
      </w:r>
      <w:r w:rsidR="00987F35">
        <w:rPr>
          <w:rFonts w:ascii="Verdana" w:eastAsia="Calibri" w:hAnsi="Verdana" w:cs="Arial"/>
        </w:rPr>
        <w:t>-</w:t>
      </w:r>
      <w:r w:rsidR="00A71022" w:rsidRPr="00A502AE">
        <w:rPr>
          <w:rFonts w:ascii="Verdana" w:eastAsia="Calibri" w:hAnsi="Verdana" w:cs="Arial"/>
        </w:rPr>
        <w:t>096 del 24 de marzo de 2021</w:t>
      </w:r>
      <w:r w:rsidRPr="00A502AE">
        <w:rPr>
          <w:rFonts w:ascii="Verdana" w:eastAsia="Calibri" w:hAnsi="Verdana" w:cs="Arial"/>
        </w:rPr>
        <w:t xml:space="preserve"> y C-156 del 20 de abril de 2021</w:t>
      </w:r>
      <w:r w:rsidR="00A71022" w:rsidRPr="00A502AE">
        <w:rPr>
          <w:rFonts w:ascii="Verdana" w:eastAsia="Calibri" w:hAnsi="Verdana" w:cs="Arial"/>
        </w:rPr>
        <w:t xml:space="preserve">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w:t>
      </w:r>
      <w:r w:rsidR="00A71022" w:rsidRPr="00A502AE">
        <w:rPr>
          <w:rFonts w:ascii="Verdana" w:eastAsia="Calibri" w:hAnsi="Verdana" w:cs="Arial"/>
        </w:rPr>
        <w:lastRenderedPageBreak/>
        <w:t>Contratación Pública– significa que su interpretación gramatical prevalece sobre una interpretación extensiva o de otra índole, mediante la cual se pretenda ampliar su alcance.</w:t>
      </w:r>
    </w:p>
    <w:p w14:paraId="30216F36" w14:textId="77777777" w:rsidR="00A502AE" w:rsidRPr="00A502AE" w:rsidRDefault="00A502AE" w:rsidP="00A502AE">
      <w:pPr>
        <w:pStyle w:val="Prrafodelista"/>
        <w:rPr>
          <w:rFonts w:ascii="Verdana" w:eastAsia="Calibri" w:hAnsi="Verdana" w:cs="Arial"/>
          <w:highlight w:val="yellow"/>
        </w:rPr>
      </w:pPr>
    </w:p>
    <w:p w14:paraId="65F71DCC" w14:textId="3411382F" w:rsidR="00A71022" w:rsidRPr="00A502AE" w:rsidRDefault="00A71022" w:rsidP="00A502AE">
      <w:pPr>
        <w:pStyle w:val="Prrafodelista"/>
        <w:numPr>
          <w:ilvl w:val="0"/>
          <w:numId w:val="20"/>
        </w:numPr>
        <w:tabs>
          <w:tab w:val="left" w:pos="426"/>
        </w:tabs>
        <w:spacing w:after="120" w:line="276" w:lineRule="auto"/>
        <w:ind w:left="426"/>
        <w:jc w:val="both"/>
        <w:rPr>
          <w:rFonts w:ascii="Verdana" w:hAnsi="Verdana" w:cs="Arial"/>
          <w:bCs/>
          <w:lang w:eastAsia="es-CO"/>
        </w:rPr>
      </w:pPr>
      <w:r w:rsidRPr="00A502AE">
        <w:rPr>
          <w:rFonts w:ascii="Verdana" w:eastAsia="Calibri" w:hAnsi="Verdana" w:cs="Arial"/>
        </w:rPr>
        <w:t>De acuerdo con lo anterior, al consultar el</w:t>
      </w:r>
      <w:r w:rsidRPr="00A502AE">
        <w:rPr>
          <w:rFonts w:ascii="Verdana" w:eastAsia="Calibri" w:hAnsi="Verdana" w:cs="Arial"/>
          <w:color w:val="000000"/>
        </w:rPr>
        <w:t xml:space="preserve"> numeral 1.15</w:t>
      </w:r>
      <w:r w:rsidRPr="00A502AE">
        <w:rPr>
          <w:rFonts w:ascii="Verdana" w:eastAsia="Calibri" w:hAnsi="Verdana" w:cs="Times New Roman"/>
        </w:rPr>
        <w:t xml:space="preserve"> </w:t>
      </w:r>
      <w:r w:rsidRPr="00A502AE">
        <w:rPr>
          <w:rFonts w:ascii="Verdana" w:eastAsia="Calibri" w:hAnsi="Verdana" w:cs="Arial"/>
          <w:color w:val="000000"/>
        </w:rPr>
        <w:t xml:space="preserve">del pliego tipo </w:t>
      </w:r>
      <w:r w:rsidR="00DE04EE">
        <w:rPr>
          <w:rFonts w:ascii="Verdana" w:eastAsia="Calibri" w:hAnsi="Verdana" w:cs="Arial"/>
          <w:color w:val="000000"/>
        </w:rPr>
        <w:t>“</w:t>
      </w:r>
      <w:r w:rsidRPr="00A502AE">
        <w:rPr>
          <w:rFonts w:ascii="Verdana" w:eastAsia="Calibri" w:hAnsi="Verdana" w:cs="Arial"/>
          <w:color w:val="000000"/>
        </w:rPr>
        <w:t>Documento Base</w:t>
      </w:r>
      <w:r w:rsidR="00DE04EE">
        <w:rPr>
          <w:rFonts w:ascii="Verdana" w:eastAsia="Calibri" w:hAnsi="Verdana" w:cs="Arial"/>
          <w:color w:val="000000"/>
        </w:rPr>
        <w:t>”</w:t>
      </w:r>
      <w:r w:rsidRPr="00A502AE">
        <w:rPr>
          <w:rFonts w:ascii="Verdana" w:eastAsia="Calibri" w:hAnsi="Verdana" w:cs="Arial"/>
          <w:color w:val="000000"/>
        </w:rPr>
        <w:t xml:space="preserve"> de </w:t>
      </w:r>
      <w:r w:rsidR="00DE04EE">
        <w:rPr>
          <w:rFonts w:ascii="Verdana" w:eastAsia="Calibri" w:hAnsi="Verdana" w:cs="Arial"/>
          <w:color w:val="000000"/>
        </w:rPr>
        <w:t>“</w:t>
      </w:r>
      <w:r w:rsidRPr="00A502AE">
        <w:rPr>
          <w:rFonts w:ascii="Verdana" w:eastAsia="Calibri" w:hAnsi="Verdana" w:cs="Arial"/>
          <w:color w:val="000000"/>
        </w:rPr>
        <w:t>licitación de obra pública de infraestructura de transporte – Versión 3</w:t>
      </w:r>
      <w:r w:rsidR="00DE04EE">
        <w:rPr>
          <w:rFonts w:ascii="Verdana" w:eastAsia="Calibri" w:hAnsi="Verdana" w:cs="Arial"/>
          <w:color w:val="000000"/>
        </w:rPr>
        <w:t>”</w:t>
      </w:r>
      <w:r w:rsidRPr="00A502AE">
        <w:rPr>
          <w:rFonts w:ascii="Verdana" w:eastAsia="Calibri" w:hAnsi="Verdana" w:cs="Arial"/>
          <w:color w:val="000000"/>
        </w:rPr>
        <w:t>, que consagra el listado de las causales de rechazo aplicables a estos procedimientos de selección, se observa:</w:t>
      </w:r>
    </w:p>
    <w:p w14:paraId="543F0FEC" w14:textId="77777777" w:rsidR="00A71022" w:rsidRDefault="00A71022" w:rsidP="00DE04EE">
      <w:pPr>
        <w:tabs>
          <w:tab w:val="left" w:pos="709"/>
        </w:tabs>
        <w:spacing w:after="0" w:line="240" w:lineRule="auto"/>
        <w:ind w:left="709"/>
        <w:jc w:val="both"/>
        <w:rPr>
          <w:rFonts w:ascii="Verdana" w:eastAsia="Calibri" w:hAnsi="Verdana" w:cs="Times New Roman"/>
          <w:color w:val="000000"/>
        </w:rPr>
      </w:pPr>
      <w:r w:rsidRPr="00A502AE">
        <w:rPr>
          <w:rFonts w:ascii="Verdana" w:eastAsia="Calibri" w:hAnsi="Verdana" w:cs="Times New Roman"/>
          <w:color w:val="000000"/>
        </w:rPr>
        <w:t>Son causales de rechazo de las propuestas las siguientes [Las entidades no podrán incluir causales de rechazo distintas a las señaladas en la presente sección]:</w:t>
      </w:r>
    </w:p>
    <w:p w14:paraId="3CF16062" w14:textId="77777777" w:rsidR="00DE04EE" w:rsidRPr="00A502AE" w:rsidRDefault="00DE04EE" w:rsidP="00DE04EE">
      <w:pPr>
        <w:tabs>
          <w:tab w:val="left" w:pos="709"/>
        </w:tabs>
        <w:spacing w:after="0" w:line="240" w:lineRule="auto"/>
        <w:ind w:left="709"/>
        <w:jc w:val="both"/>
        <w:rPr>
          <w:rFonts w:ascii="Verdana" w:eastAsia="Calibri" w:hAnsi="Verdana" w:cs="Times New Roman"/>
          <w:color w:val="000000"/>
        </w:rPr>
      </w:pPr>
    </w:p>
    <w:p w14:paraId="1252B165"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Que el proponente o alguno de los integrantes del proponente plural esté incurso en causal de inhabilidad, incompatibilidad o prohibición previstas en la legislación para contratar.</w:t>
      </w:r>
    </w:p>
    <w:p w14:paraId="096C2F4F" w14:textId="77777777" w:rsidR="00A71022" w:rsidRPr="00A502AE" w:rsidRDefault="00A71022" w:rsidP="00A71022">
      <w:pPr>
        <w:tabs>
          <w:tab w:val="left" w:pos="709"/>
        </w:tabs>
        <w:spacing w:after="120"/>
        <w:ind w:left="709"/>
        <w:jc w:val="both"/>
        <w:rPr>
          <w:rFonts w:ascii="Verdana" w:eastAsia="Calibri" w:hAnsi="Verdana" w:cs="Times New Roman"/>
          <w:color w:val="000000"/>
        </w:rPr>
      </w:pPr>
      <w:r w:rsidRPr="00A502AE">
        <w:rPr>
          <w:rFonts w:ascii="Verdana" w:eastAsia="Calibri" w:hAnsi="Verdana" w:cs="Times New Roman"/>
          <w:color w:val="000000"/>
        </w:rPr>
        <w:t>[Cuando en el mismo proceso de contratación se presentan oferentes en la situación descrita por los literales g) y h) del numeral 1 del artículo 8 de la Ley 80 de 1993, la entidad solo admitirá la oferta presentada primero en el tiempo]</w:t>
      </w:r>
    </w:p>
    <w:p w14:paraId="165FA558"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Cuando una misma persona natural o jurídica, o integrante de un proponente plural presente o haga parte en más de una propuesta para el presente proceso de contratación.</w:t>
      </w:r>
    </w:p>
    <w:p w14:paraId="6E56EAEC" w14:textId="77777777" w:rsidR="00A71022" w:rsidRPr="00A502AE" w:rsidRDefault="00A71022" w:rsidP="00A71022">
      <w:pPr>
        <w:tabs>
          <w:tab w:val="left" w:pos="709"/>
        </w:tabs>
        <w:spacing w:after="120"/>
        <w:ind w:left="709"/>
        <w:jc w:val="both"/>
        <w:rPr>
          <w:rFonts w:ascii="Verdana" w:eastAsia="Calibri" w:hAnsi="Verdana" w:cs="Times New Roman"/>
          <w:color w:val="000000"/>
        </w:rPr>
      </w:pPr>
      <w:r w:rsidRPr="00A502AE">
        <w:rPr>
          <w:rFonts w:ascii="Verdana" w:eastAsia="Calibri" w:hAnsi="Verdana" w:cs="Times New Roman"/>
          <w:color w:val="000000"/>
        </w:rPr>
        <w:t xml:space="preserve">[Reemplazar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 </w:t>
      </w:r>
    </w:p>
    <w:p w14:paraId="177F444A" w14:textId="07B96B3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 xml:space="preserve">Que el proponente o alguno de los integrantes del proponente plural esté reportado en el Boletín de </w:t>
      </w:r>
      <w:r w:rsidR="00DE04EE" w:rsidRPr="00A502AE">
        <w:rPr>
          <w:rFonts w:ascii="Verdana" w:eastAsia="Calibri" w:hAnsi="Verdana" w:cs="Times New Roman"/>
          <w:color w:val="000000"/>
        </w:rPr>
        <w:t>responsables</w:t>
      </w:r>
      <w:r w:rsidRPr="00A502AE">
        <w:rPr>
          <w:rFonts w:ascii="Verdana" w:eastAsia="Calibri" w:hAnsi="Verdana" w:cs="Times New Roman"/>
          <w:color w:val="000000"/>
        </w:rPr>
        <w:t xml:space="preserve"> Fiscales emitido por la Contraloría General de la República.</w:t>
      </w:r>
    </w:p>
    <w:p w14:paraId="086B9BBC"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Que la persona jurídica proponente individual o integrante del proponente plural esté incursa en la situación descrita en el numeral 1 del artículo 38 de la Ley 1116 de 2006.</w:t>
      </w:r>
    </w:p>
    <w:p w14:paraId="23422E66"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Que el proponente no aclare, subsane o aporte documentos necesarios para cumplir un requisito habilitante o aportándolos no lo haga de forma correcta, en los términos establecidos en la sección 1.6.</w:t>
      </w:r>
    </w:p>
    <w:p w14:paraId="3CFAD440"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lastRenderedPageBreak/>
        <w:t>Que la inscripción en el Registro Único de Proponentes (RUP) que realice el proponente, por primera vez o cuando han cesado los efectos y debe volver a inscribirse, no esté en firme en la fecha prevista para el cierre del proceso de contratación.</w:t>
      </w:r>
    </w:p>
    <w:p w14:paraId="7DAD62E1"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7FB74473"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Que el proponente aporte información inexacta sobre la cual pueda existir una posible falsedad en los términos de la sección 1.11.</w:t>
      </w:r>
    </w:p>
    <w:p w14:paraId="34C9F394"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Que el proponente se encuentre inmerso en un conflicto de interés previsto en una norma de rango constitucional o legal o en la causal prevista en el numeral 1.14 del pliego de condiciones.</w:t>
      </w:r>
    </w:p>
    <w:p w14:paraId="42923BB9"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[Incluir esta causal cuando las ofertas se presente en el SECOP I] Que la propuesta económica no se aporte firmada.</w:t>
      </w:r>
    </w:p>
    <w:p w14:paraId="7F0A0291"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No entregar la Garantía de seriedad de la oferta junto con la propuesta.</w:t>
      </w:r>
    </w:p>
    <w:p w14:paraId="3E117720"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Que el objeto social del proponente o el de sus integrantes no le permita ejecutar el objeto del contrato.</w:t>
      </w:r>
    </w:p>
    <w:p w14:paraId="3F13E99B"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Que el valor total de la oferta o aquel revisado en la audiencia efectiva de adjudicación exceda el presupuesto oficial estimado para el proceso de contratación.</w:t>
      </w:r>
    </w:p>
    <w:p w14:paraId="79F5B71F"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Presentar la oferta con tachaduras o enmendaduras que no estén convalidadas en la forma indicada en la sección 2.3 del pliego de condiciones.</w:t>
      </w:r>
    </w:p>
    <w:p w14:paraId="627F1BF7"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4160CEBD"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 xml:space="preserve">[Incluir solo cuando la forma de pago sea por precios unitarios] No ofrecer el valor de un precio unitario u ofrecerlo en cero (0) pesos. </w:t>
      </w:r>
    </w:p>
    <w:p w14:paraId="39E7F3BD"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 xml:space="preserve">[Incluir solo cuando la forma de pago sea por precios unitarios] Superar el valor unitario de alguno o algunos de los siguientes ítems ofrecidos con respecto al valor establecido para cada ítem del presupuesto oficial: [La entidad debe incluir esta causal cuando la forma de pago sea por precios unitarios y cuando considere necesario establecer ítems del presupuesto oficial cuyo valor no pueda ser excedido por el proponente. Cuando decida </w:t>
      </w:r>
      <w:r w:rsidRPr="00A502AE">
        <w:rPr>
          <w:rFonts w:ascii="Verdana" w:eastAsia="Calibri" w:hAnsi="Verdana" w:cs="Times New Roman"/>
          <w:color w:val="000000"/>
        </w:rPr>
        <w:lastRenderedPageBreak/>
        <w:t xml:space="preserve">incluirla, identificará en este espacio los ítems frente a los cuales aplicará la causal de rechazo. </w:t>
      </w:r>
    </w:p>
    <w:p w14:paraId="127E73A7" w14:textId="77777777" w:rsidR="00A71022" w:rsidRPr="00A502AE" w:rsidRDefault="00A71022" w:rsidP="00A71022">
      <w:pPr>
        <w:tabs>
          <w:tab w:val="left" w:pos="709"/>
        </w:tabs>
        <w:spacing w:after="120"/>
        <w:ind w:left="709"/>
        <w:jc w:val="both"/>
        <w:rPr>
          <w:rFonts w:ascii="Verdana" w:eastAsia="Calibri" w:hAnsi="Verdana" w:cs="Times New Roman"/>
          <w:color w:val="000000"/>
        </w:rPr>
      </w:pPr>
      <w:r w:rsidRPr="00A502AE">
        <w:rPr>
          <w:rFonts w:ascii="Verdana" w:eastAsia="Calibri" w:hAnsi="Verdana" w:cs="Times New Roman"/>
          <w:color w:val="000000"/>
        </w:rPr>
        <w:t xml:space="preserve">Para la aplicación de esta causal la entidad debe tener en cuenta que el valor unitario establecido en el Formulario 1 – Formulario de Presupuesto Oficial incluye el valor de AIU] </w:t>
      </w:r>
    </w:p>
    <w:p w14:paraId="182786EA"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[Esta causal aplica de acuerdo con la configuración de la oferta económica por parte de la entidad] No discriminar en la oferta económica el porcentaje de AIU en la forma como lo establece el Pliego de Condiciones y el Formulario 1 – Formulario de presupuesto oficial. [Se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3F6F9028"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 xml:space="preserve">Ofrecer como AIU un porcentaje cuya sumatoria sea superior al establecido por la Entidad en el </w:t>
      </w:r>
      <w:r w:rsidRPr="00A502AE">
        <w:rPr>
          <w:rFonts w:ascii="Verdana" w:eastAsia="Calibri" w:hAnsi="Verdana" w:cs="Times New Roman"/>
          <w:color w:val="000000"/>
        </w:rPr>
        <w:fldChar w:fldCharType="begin"/>
      </w:r>
      <w:r w:rsidRPr="00A502AE">
        <w:rPr>
          <w:rFonts w:ascii="Verdana" w:eastAsia="Calibri" w:hAnsi="Verdana" w:cs="Times New Roman"/>
          <w:color w:val="000000"/>
        </w:rPr>
        <w:instrText xml:space="preserve"> REF _Ref57725061 \h  \* MERGEFORMAT </w:instrText>
      </w:r>
      <w:r w:rsidRPr="00A502AE">
        <w:rPr>
          <w:rFonts w:ascii="Verdana" w:eastAsia="Calibri" w:hAnsi="Verdana" w:cs="Times New Roman"/>
          <w:color w:val="000000"/>
        </w:rPr>
      </w:r>
      <w:r w:rsidRPr="00A502AE">
        <w:rPr>
          <w:rFonts w:ascii="Verdana" w:eastAsia="Calibri" w:hAnsi="Verdana" w:cs="Times New Roman"/>
          <w:color w:val="000000"/>
        </w:rPr>
        <w:fldChar w:fldCharType="separate"/>
      </w:r>
      <w:r w:rsidRPr="00A502AE">
        <w:rPr>
          <w:rFonts w:ascii="Verdana" w:eastAsia="Calibri" w:hAnsi="Verdana" w:cs="Times New Roman"/>
          <w:color w:val="000000"/>
        </w:rPr>
        <w:t>Formulario 1– Formulario de Presupuesto Oficial</w:t>
      </w:r>
      <w:r w:rsidRPr="00A502AE">
        <w:rPr>
          <w:rFonts w:ascii="Verdana" w:eastAsia="Calibri" w:hAnsi="Verdana" w:cs="Times New Roman"/>
          <w:color w:val="000000"/>
        </w:rPr>
        <w:fldChar w:fldCharType="end"/>
      </w:r>
      <w:r w:rsidRPr="00A502AE">
        <w:rPr>
          <w:rFonts w:ascii="Verdana" w:eastAsia="Calibri" w:hAnsi="Verdana" w:cs="Times New Roman"/>
          <w:color w:val="000000"/>
        </w:rPr>
        <w:t>.</w:t>
      </w:r>
    </w:p>
    <w:p w14:paraId="35FA1D82"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Cuando se presente propuesta condicionada para la adjudicación del contrato.</w:t>
      </w:r>
    </w:p>
    <w:p w14:paraId="574AC8EF"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Presentar la oferta extemporáneamente.</w:t>
      </w:r>
    </w:p>
    <w:p w14:paraId="6B0B6851"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No presentar oferta económica. Entregar la información de la propuesta económica en el sobre que no corresponda.</w:t>
      </w:r>
    </w:p>
    <w:p w14:paraId="2FADD00E"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Presentar más de una oferta económica con valores distintos en el Sobre 2. [Cuando el proceso se estructure por lotes o grupos reemplazar el texto anterior por el siguiente: Presentar más de una oferta económica con valores distintos para el mismo lote o grupo]</w:t>
      </w:r>
    </w:p>
    <w:p w14:paraId="3A1380D4"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 xml:space="preserve">Cuando se determine que el valor total de la oferta es artificialmente bajo, de acuerdo con lo establecido en la sección 4.1.3 </w:t>
      </w:r>
    </w:p>
    <w:p w14:paraId="19421365"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Cuando se presenten propuestas parciales y esta posibilidad no haya sido establecida en el pliego de condiciones.</w:t>
      </w:r>
    </w:p>
    <w:p w14:paraId="16EEBD05" w14:textId="77777777" w:rsidR="00A71022" w:rsidRPr="00A502AE" w:rsidRDefault="00A71022" w:rsidP="00A71022">
      <w:pPr>
        <w:numPr>
          <w:ilvl w:val="0"/>
          <w:numId w:val="22"/>
        </w:numPr>
        <w:tabs>
          <w:tab w:val="left" w:pos="709"/>
        </w:tabs>
        <w:spacing w:after="120"/>
        <w:ind w:left="709" w:hanging="283"/>
        <w:jc w:val="both"/>
        <w:rPr>
          <w:rFonts w:ascii="Verdana" w:eastAsia="Calibri" w:hAnsi="Verdana" w:cs="Times New Roman"/>
          <w:color w:val="000000"/>
        </w:rPr>
      </w:pPr>
      <w:r w:rsidRPr="00A502AE">
        <w:rPr>
          <w:rFonts w:ascii="Verdana" w:eastAsia="Calibri" w:hAnsi="Verdana" w:cs="Times New Roman"/>
          <w:color w:val="000000"/>
        </w:rPr>
        <w:t>No informar todos los contratos que el proponente tenga en ejecución antes del cierre, necesarios para acreditar su capacidad residual conforme a la sección 3.10.</w:t>
      </w:r>
    </w:p>
    <w:p w14:paraId="5FD62C8D" w14:textId="77777777" w:rsidR="00A71022" w:rsidRPr="00A502AE" w:rsidRDefault="00A71022" w:rsidP="00A71022">
      <w:pPr>
        <w:numPr>
          <w:ilvl w:val="0"/>
          <w:numId w:val="22"/>
        </w:numPr>
        <w:tabs>
          <w:tab w:val="left" w:pos="709"/>
        </w:tabs>
        <w:spacing w:after="120" w:line="276" w:lineRule="auto"/>
        <w:ind w:left="709" w:hanging="357"/>
        <w:jc w:val="both"/>
        <w:rPr>
          <w:rFonts w:ascii="Verdana" w:eastAsia="Calibri" w:hAnsi="Verdana" w:cs="Times New Roman"/>
          <w:color w:val="000000"/>
        </w:rPr>
      </w:pPr>
      <w:r w:rsidRPr="00A502AE">
        <w:rPr>
          <w:rFonts w:ascii="Verdana" w:eastAsia="Calibri" w:hAnsi="Verdana" w:cs="Times New Roman"/>
          <w:color w:val="000000"/>
        </w:rPr>
        <w:t>Ofrecer un plazo superior al señalado por la entidad en el Anexo 1 – Anexo Técnico.</w:t>
      </w:r>
    </w:p>
    <w:p w14:paraId="3677FEDB" w14:textId="77777777" w:rsidR="00A71022" w:rsidRPr="00A502AE" w:rsidRDefault="00A71022" w:rsidP="00A71022">
      <w:pPr>
        <w:numPr>
          <w:ilvl w:val="0"/>
          <w:numId w:val="22"/>
        </w:numPr>
        <w:tabs>
          <w:tab w:val="left" w:pos="709"/>
        </w:tabs>
        <w:spacing w:after="120" w:line="276" w:lineRule="auto"/>
        <w:ind w:left="709" w:hanging="357"/>
        <w:jc w:val="both"/>
        <w:rPr>
          <w:rFonts w:ascii="Verdana" w:eastAsia="Calibri" w:hAnsi="Verdana" w:cs="Times New Roman"/>
          <w:color w:val="000000"/>
        </w:rPr>
      </w:pPr>
      <w:r w:rsidRPr="00A502AE">
        <w:rPr>
          <w:rFonts w:ascii="Verdana" w:eastAsia="Calibri" w:hAnsi="Verdana" w:cs="Times New Roman"/>
          <w:color w:val="000000"/>
        </w:rPr>
        <w:lastRenderedPageBreak/>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3478E509" w14:textId="77777777" w:rsidR="00A71022" w:rsidRDefault="00A71022" w:rsidP="00A71022">
      <w:pPr>
        <w:numPr>
          <w:ilvl w:val="0"/>
          <w:numId w:val="22"/>
        </w:numPr>
        <w:tabs>
          <w:tab w:val="left" w:pos="709"/>
        </w:tabs>
        <w:spacing w:after="0" w:line="276" w:lineRule="auto"/>
        <w:ind w:left="352" w:hanging="68"/>
        <w:jc w:val="both"/>
        <w:rPr>
          <w:rFonts w:ascii="Verdana" w:eastAsia="Calibri" w:hAnsi="Verdana" w:cs="Times New Roman"/>
          <w:color w:val="000000"/>
        </w:rPr>
      </w:pPr>
      <w:r w:rsidRPr="00A502AE">
        <w:rPr>
          <w:rFonts w:ascii="Verdana" w:eastAsia="Calibri" w:hAnsi="Verdana" w:cs="Times New Roman"/>
          <w:color w:val="000000"/>
        </w:rPr>
        <w:t>Las demás previstas en la ley.</w:t>
      </w:r>
    </w:p>
    <w:p w14:paraId="2F03DF67" w14:textId="77777777" w:rsidR="00A502AE" w:rsidRPr="00A502AE" w:rsidRDefault="00A502AE" w:rsidP="00A502AE">
      <w:pPr>
        <w:tabs>
          <w:tab w:val="left" w:pos="709"/>
        </w:tabs>
        <w:spacing w:after="0" w:line="276" w:lineRule="auto"/>
        <w:ind w:left="352"/>
        <w:jc w:val="both"/>
        <w:rPr>
          <w:rFonts w:ascii="Verdana" w:eastAsia="Calibri" w:hAnsi="Verdana" w:cs="Times New Roman"/>
          <w:color w:val="000000"/>
        </w:rPr>
      </w:pPr>
    </w:p>
    <w:p w14:paraId="58BA2400" w14:textId="2F18B588" w:rsidR="00A71022" w:rsidRPr="00A502AE" w:rsidRDefault="00A71022" w:rsidP="00A502AE">
      <w:pPr>
        <w:pStyle w:val="Prrafodelista"/>
        <w:numPr>
          <w:ilvl w:val="0"/>
          <w:numId w:val="23"/>
        </w:numPr>
        <w:tabs>
          <w:tab w:val="left" w:pos="709"/>
          <w:tab w:val="left" w:pos="851"/>
        </w:tabs>
        <w:spacing w:line="276" w:lineRule="auto"/>
        <w:jc w:val="both"/>
        <w:rPr>
          <w:rFonts w:ascii="Verdana" w:eastAsia="Calibri" w:hAnsi="Verdana" w:cs="Arial"/>
        </w:rPr>
      </w:pPr>
      <w:r w:rsidRPr="00A502AE">
        <w:rPr>
          <w:rFonts w:ascii="Verdana" w:eastAsia="Calibri" w:hAnsi="Verdana" w:cs="Arial"/>
          <w:color w:val="000000"/>
        </w:rPr>
        <w:t xml:space="preserve">Ahora bien, revisadas las causales de rechazo que anteceden, no se advierte referencia expresa a la obligación establecida en el </w:t>
      </w:r>
      <w:r w:rsidRPr="00A502AE">
        <w:rPr>
          <w:rFonts w:ascii="Verdana" w:eastAsia="Calibri" w:hAnsi="Verdana" w:cs="Arial"/>
        </w:rPr>
        <w:t>artículo 17 de la Ley 842 de 2003, ni tampoco se establece en otro lugar del documento tipo, por lo que resulta evidente que no es una exigencia aplicable en las licitaciones de obra pública de infraestructura de transporte que apliquen dichos documentos. En efecto, el artículo indicado establece la siguiente obligación legal:</w:t>
      </w:r>
    </w:p>
    <w:p w14:paraId="4A469D16" w14:textId="77777777" w:rsidR="00A71022" w:rsidRPr="00ED40AB" w:rsidRDefault="00A71022" w:rsidP="00ED40AB">
      <w:pPr>
        <w:ind w:left="1134" w:right="709"/>
        <w:jc w:val="both"/>
        <w:rPr>
          <w:rFonts w:ascii="Verdana" w:eastAsia="Calibri" w:hAnsi="Verdana" w:cs="Arial"/>
          <w:color w:val="000000"/>
        </w:rPr>
      </w:pPr>
      <w:r w:rsidRPr="00ED40AB">
        <w:rPr>
          <w:rFonts w:ascii="Verdana" w:eastAsia="Calibri" w:hAnsi="Verdana" w:cs="Arial"/>
          <w:color w:val="000000"/>
        </w:rPr>
        <w:t>Artículo 17. Responsabilidad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6D696176" w14:textId="77777777" w:rsidR="00A71022" w:rsidRPr="00ED40AB" w:rsidRDefault="00A71022" w:rsidP="00ED40AB">
      <w:pPr>
        <w:ind w:left="1134" w:right="709"/>
        <w:jc w:val="both"/>
        <w:rPr>
          <w:rFonts w:ascii="Verdana" w:eastAsia="Calibri" w:hAnsi="Verdana" w:cs="Arial"/>
          <w:color w:val="000000"/>
        </w:rPr>
      </w:pPr>
      <w:r w:rsidRPr="00ED40AB">
        <w:rPr>
          <w:rFonts w:ascii="Verdana" w:eastAsia="Calibri" w:hAnsi="Verdana" w:cs="Arial"/>
          <w:color w:val="000000"/>
        </w:rPr>
        <w:t>Parágrafo.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p w14:paraId="5A698C87" w14:textId="77777777" w:rsidR="00ED40AB" w:rsidRDefault="00A71022" w:rsidP="00A71022">
      <w:pPr>
        <w:pStyle w:val="Prrafodelista"/>
        <w:numPr>
          <w:ilvl w:val="0"/>
          <w:numId w:val="23"/>
        </w:numPr>
        <w:tabs>
          <w:tab w:val="left" w:pos="709"/>
          <w:tab w:val="left" w:pos="851"/>
        </w:tabs>
        <w:spacing w:after="120" w:line="276" w:lineRule="auto"/>
        <w:jc w:val="both"/>
        <w:rPr>
          <w:rFonts w:ascii="Verdana" w:eastAsia="Calibri" w:hAnsi="Verdana" w:cs="Arial"/>
        </w:rPr>
      </w:pPr>
      <w:r w:rsidRPr="00ED40AB">
        <w:rPr>
          <w:rFonts w:ascii="Verdana" w:eastAsia="Calibri" w:hAnsi="Verdana" w:cs="Arial"/>
        </w:rPr>
        <w:t xml:space="preserve">El artículo citado establece el deber para las personas jurídicas, cuyas actividades correspondan al ejercicio de la ingeniería, de incluir en su «nómina permanente» al menos a un profesional matriculado en la carrera correspondiente al objeto social de la persona jurídica. Sin embargo, pese a la existencia de dicho deber, no establece una consecuencia particular frente a su incidencia en los procedimientos de selección adelantados por las entidades estatales, como sería la </w:t>
      </w:r>
      <w:r w:rsidRPr="00ED40AB">
        <w:rPr>
          <w:rFonts w:ascii="Verdana" w:eastAsia="Calibri" w:hAnsi="Verdana" w:cs="Arial"/>
        </w:rPr>
        <w:lastRenderedPageBreak/>
        <w:t>imposibilidad de participar en dichos procesos ante la inobservancia del cumplimiento de dicha exigencia o el deber de presentar algún documento para acreditar el cumplimiento de dicha obligación en el desarrollo de tales procesos contractuales.</w:t>
      </w:r>
    </w:p>
    <w:p w14:paraId="3F73BC99" w14:textId="77777777" w:rsidR="00ED40AB" w:rsidRDefault="00ED40AB" w:rsidP="00ED40AB">
      <w:pPr>
        <w:pStyle w:val="Prrafodelista"/>
        <w:tabs>
          <w:tab w:val="left" w:pos="709"/>
          <w:tab w:val="left" w:pos="851"/>
        </w:tabs>
        <w:spacing w:after="120" w:line="276" w:lineRule="auto"/>
        <w:jc w:val="both"/>
        <w:rPr>
          <w:rFonts w:ascii="Verdana" w:eastAsia="Calibri" w:hAnsi="Verdana" w:cs="Arial"/>
        </w:rPr>
      </w:pPr>
    </w:p>
    <w:p w14:paraId="563EB063" w14:textId="4F8957D7" w:rsidR="00ED40AB" w:rsidRPr="00ED40AB" w:rsidRDefault="00A71022" w:rsidP="00A71022">
      <w:pPr>
        <w:pStyle w:val="Prrafodelista"/>
        <w:numPr>
          <w:ilvl w:val="0"/>
          <w:numId w:val="23"/>
        </w:numPr>
        <w:tabs>
          <w:tab w:val="left" w:pos="709"/>
          <w:tab w:val="left" w:pos="851"/>
        </w:tabs>
        <w:spacing w:after="120" w:line="276" w:lineRule="auto"/>
        <w:jc w:val="both"/>
        <w:rPr>
          <w:rFonts w:ascii="Verdana" w:eastAsia="Calibri" w:hAnsi="Verdana" w:cs="Arial"/>
        </w:rPr>
      </w:pPr>
      <w:r w:rsidRPr="00ED40AB">
        <w:rPr>
          <w:rFonts w:ascii="Verdana" w:eastAsia="Calibri" w:hAnsi="Verdana" w:cs="Arial"/>
        </w:rPr>
        <w:t>A diferencia de la norma citada, y a modo de ejemplo, el artículo 20 de la misma ley sí tiene una exigencia y relación directa con las propuestas presentadas en los procesos de licitación pública, al exigir que aquellas presentadas en procesos cuyo objeto implique el desarrollo de las actividades catalogadas como ejercicio de la ingeniería, deben estar avaladas ‒o abonadas‒ por un ingeniero inscrito y con tarjeta de matrícula profesional en la respectiva rama de la ingeniería. Así, dicha obligación se refiere al cumplimiento de un requisito impuesto por el legislador que deben cumplir los proponentes con la presentación de sus ofertas</w:t>
      </w:r>
      <w:r w:rsidRPr="00ED40AB">
        <w:rPr>
          <w:vertAlign w:val="superscript"/>
        </w:rPr>
        <w:footnoteReference w:id="4"/>
      </w:r>
      <w:r w:rsidRPr="00ED40AB">
        <w:rPr>
          <w:rFonts w:ascii="Verdana" w:eastAsia="Calibri" w:hAnsi="Verdana" w:cs="Arial"/>
        </w:rPr>
        <w:t xml:space="preserve">. Por el contrario, retomando el artículo 17 analizado, debe tenerse en cuenta que el parágrafo de la disposición citada establece la consecuencia concreta frente al incumplimiento del deber legal establecido en dicho artículo. Nótese que la consecuencia no se relaciona con la imposibilidad de participar en los procedimientos de selección o la exigencia de acreditar su cumplimiento en dichos procedimientos; sino que prescribe una sanción concreta para el representante legal de la sociedad que incumpla el deber establecido en la disposición, al señalarse que </w:t>
      </w:r>
      <w:r w:rsidR="00ED40AB" w:rsidRPr="00ED40AB">
        <w:rPr>
          <w:rFonts w:ascii="Verdana" w:eastAsia="Calibri" w:hAnsi="Verdana" w:cs="Arial"/>
        </w:rPr>
        <w:t>“</w:t>
      </w:r>
      <w:r w:rsidRPr="00ED40AB">
        <w:rPr>
          <w:rFonts w:ascii="Verdana" w:eastAsia="Calibri" w:hAnsi="Verdana" w:cs="Arial"/>
        </w:rPr>
        <w:t>se aplicarán las sanciones previstas para el ejercicio ilegal de la profesión y oficio reglamentado</w:t>
      </w:r>
      <w:r w:rsidR="00ED40AB" w:rsidRPr="00ED40AB">
        <w:rPr>
          <w:rFonts w:ascii="Verdana" w:eastAsia="Calibri" w:hAnsi="Verdana" w:cs="Arial"/>
        </w:rPr>
        <w:t>”</w:t>
      </w:r>
      <w:r w:rsidRPr="00ED40AB">
        <w:rPr>
          <w:rFonts w:ascii="Verdana" w:eastAsia="Calibri" w:hAnsi="Verdana" w:cs="Arial"/>
        </w:rPr>
        <w:t>.</w:t>
      </w:r>
    </w:p>
    <w:p w14:paraId="5F485469" w14:textId="77777777" w:rsidR="00ED40AB" w:rsidRPr="00ED40AB" w:rsidRDefault="00ED40AB" w:rsidP="00ED40AB">
      <w:pPr>
        <w:pStyle w:val="Prrafodelista"/>
        <w:tabs>
          <w:tab w:val="left" w:pos="709"/>
          <w:tab w:val="left" w:pos="851"/>
        </w:tabs>
        <w:spacing w:after="120" w:line="276" w:lineRule="auto"/>
        <w:jc w:val="both"/>
        <w:rPr>
          <w:rFonts w:ascii="Verdana" w:eastAsia="Calibri" w:hAnsi="Verdana" w:cs="Arial"/>
        </w:rPr>
      </w:pPr>
    </w:p>
    <w:p w14:paraId="5E377AA5" w14:textId="77777777" w:rsidR="00ED40AB" w:rsidRDefault="00A71022" w:rsidP="00A71022">
      <w:pPr>
        <w:pStyle w:val="Prrafodelista"/>
        <w:numPr>
          <w:ilvl w:val="0"/>
          <w:numId w:val="23"/>
        </w:numPr>
        <w:tabs>
          <w:tab w:val="left" w:pos="709"/>
          <w:tab w:val="left" w:pos="851"/>
        </w:tabs>
        <w:spacing w:after="120" w:line="276" w:lineRule="auto"/>
        <w:jc w:val="both"/>
        <w:rPr>
          <w:rFonts w:ascii="Verdana" w:eastAsia="Calibri" w:hAnsi="Verdana" w:cs="Arial"/>
        </w:rPr>
      </w:pPr>
      <w:r w:rsidRPr="00ED40AB">
        <w:rPr>
          <w:rFonts w:ascii="Verdana" w:eastAsia="Calibri" w:hAnsi="Verdana" w:cs="Arial"/>
        </w:rPr>
        <w:t xml:space="preserve">En tal sentido, la consecuencia aparejada al incumplimiento del deber establecido en el artículo 17 se dirige directamente a sancionar al representante legal de la sociedad, sin que se establezca alguna </w:t>
      </w:r>
      <w:r w:rsidRPr="00ED40AB">
        <w:rPr>
          <w:rFonts w:ascii="Verdana" w:eastAsia="Calibri" w:hAnsi="Verdana" w:cs="Arial"/>
        </w:rPr>
        <w:lastRenderedPageBreak/>
        <w:t>consecuencia frente a la capacidad de la sociedad para participar en procedimientos de selección de contratistas.</w:t>
      </w:r>
    </w:p>
    <w:p w14:paraId="1168EDBA" w14:textId="77777777" w:rsidR="00ED40AB" w:rsidRPr="00ED40AB" w:rsidRDefault="00ED40AB" w:rsidP="00ED40AB">
      <w:pPr>
        <w:pStyle w:val="Prrafodelista"/>
        <w:rPr>
          <w:rFonts w:ascii="Verdana" w:eastAsia="Calibri" w:hAnsi="Verdana" w:cs="Arial"/>
          <w:highlight w:val="yellow"/>
        </w:rPr>
      </w:pPr>
    </w:p>
    <w:p w14:paraId="49D58F0C" w14:textId="77777777" w:rsidR="00ED40AB" w:rsidRDefault="00A71022" w:rsidP="00A71022">
      <w:pPr>
        <w:pStyle w:val="Prrafodelista"/>
        <w:numPr>
          <w:ilvl w:val="0"/>
          <w:numId w:val="23"/>
        </w:numPr>
        <w:tabs>
          <w:tab w:val="left" w:pos="709"/>
          <w:tab w:val="left" w:pos="851"/>
        </w:tabs>
        <w:spacing w:after="120" w:line="276" w:lineRule="auto"/>
        <w:jc w:val="both"/>
        <w:rPr>
          <w:rFonts w:ascii="Verdana" w:eastAsia="Calibri" w:hAnsi="Verdana" w:cs="Arial"/>
        </w:rPr>
      </w:pPr>
      <w:r w:rsidRPr="00ED40AB">
        <w:rPr>
          <w:rFonts w:ascii="Verdana" w:eastAsia="Calibri" w:hAnsi="Verdana" w:cs="Arial"/>
        </w:rPr>
        <w:t>En armonía con lo anterior, como se enunció previamente, la obligación contenida en el artículo 17 de la Ley 842 de 2003 no se estableció como causal de rechazo y tampoco se exigió la acreditación de este requisito durante el procedimiento de selección en ningún lugar de los documentos tipo de licitación de obra pública de infraestructura de transporte. Sin embargo, ello no quiere decir que esta obligación desaparezca o no se deba cumplir, pues esta aplica por ministerio de la ley, solo que no se vincula su contenido a alguna consecuencia jurídica frente a los procedimientos de selección que se rijan por los documentos tipo, sin perjuicio de las eventuales sanciones frente al representante legal de la sociedad que no acate su contenido.</w:t>
      </w:r>
    </w:p>
    <w:p w14:paraId="20DD9D52" w14:textId="77777777" w:rsidR="00ED40AB" w:rsidRPr="00ED40AB" w:rsidRDefault="00ED40AB" w:rsidP="00ED40AB">
      <w:pPr>
        <w:pStyle w:val="Prrafodelista"/>
        <w:rPr>
          <w:rFonts w:ascii="Verdana" w:eastAsia="Calibri" w:hAnsi="Verdana" w:cs="Arial"/>
          <w:highlight w:val="yellow"/>
        </w:rPr>
      </w:pPr>
    </w:p>
    <w:p w14:paraId="4B7A1DFB" w14:textId="77777777" w:rsidR="00ED40AB" w:rsidRDefault="00A71022" w:rsidP="00A71022">
      <w:pPr>
        <w:pStyle w:val="Prrafodelista"/>
        <w:numPr>
          <w:ilvl w:val="0"/>
          <w:numId w:val="23"/>
        </w:numPr>
        <w:tabs>
          <w:tab w:val="left" w:pos="709"/>
          <w:tab w:val="left" w:pos="851"/>
        </w:tabs>
        <w:spacing w:after="120" w:line="276" w:lineRule="auto"/>
        <w:jc w:val="both"/>
        <w:rPr>
          <w:rFonts w:ascii="Verdana" w:eastAsia="Calibri" w:hAnsi="Verdana" w:cs="Arial"/>
        </w:rPr>
      </w:pPr>
      <w:r w:rsidRPr="00ED40AB">
        <w:rPr>
          <w:rFonts w:ascii="Verdana" w:eastAsia="Calibri" w:hAnsi="Verdana" w:cs="Arial"/>
        </w:rPr>
        <w:t>En efecto, el hecho de que el documento tipo no establezca todas las obligaciones legales que deben cumplir las personas naturales y jurídicas, no quiere decir que tales deberes desaparezcan, pues frente a su incumplimiento el ordenamiento jurídico establece sus consecuencias particulares. En otras palabras, las obligaciones legales tienen plena aplicación de acuerdo con su regulación concreta, sin que su ausencia en el documento tipo se pueda interpretar como una autorización para desconocer su exigibilidad, pues aplican por ministerio de la ley, pese a que no tengan una incidencia concreta en los procedimientos de selección.</w:t>
      </w:r>
    </w:p>
    <w:p w14:paraId="26DD0D10" w14:textId="77777777" w:rsidR="00ED40AB" w:rsidRPr="00ED40AB" w:rsidRDefault="00ED40AB" w:rsidP="00ED40AB">
      <w:pPr>
        <w:pStyle w:val="Prrafodelista"/>
        <w:rPr>
          <w:rFonts w:ascii="Verdana" w:eastAsia="Calibri" w:hAnsi="Verdana" w:cs="Arial"/>
        </w:rPr>
      </w:pPr>
    </w:p>
    <w:p w14:paraId="5088A2A9" w14:textId="77777777" w:rsidR="00ED40AB" w:rsidRDefault="00A71022" w:rsidP="00A71022">
      <w:pPr>
        <w:pStyle w:val="Prrafodelista"/>
        <w:numPr>
          <w:ilvl w:val="0"/>
          <w:numId w:val="23"/>
        </w:numPr>
        <w:tabs>
          <w:tab w:val="left" w:pos="709"/>
          <w:tab w:val="left" w:pos="851"/>
        </w:tabs>
        <w:spacing w:after="120" w:line="276" w:lineRule="auto"/>
        <w:jc w:val="both"/>
        <w:rPr>
          <w:rFonts w:ascii="Verdana" w:eastAsia="Calibri" w:hAnsi="Verdana" w:cs="Arial"/>
        </w:rPr>
      </w:pPr>
      <w:r w:rsidRPr="00ED40AB">
        <w:rPr>
          <w:rFonts w:ascii="Verdana" w:eastAsia="Calibri" w:hAnsi="Verdana" w:cs="Arial"/>
        </w:rPr>
        <w:t>Por tanto, se reitera la idea que se está desarrollando, en el sentido de que 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24D50A3C" w14:textId="77777777" w:rsidR="00ED40AB" w:rsidRPr="00ED40AB" w:rsidRDefault="00ED40AB" w:rsidP="00ED40AB">
      <w:pPr>
        <w:pStyle w:val="Prrafodelista"/>
        <w:rPr>
          <w:rFonts w:ascii="Verdana" w:eastAsia="Calibri" w:hAnsi="Verdana" w:cs="Arial"/>
        </w:rPr>
      </w:pPr>
    </w:p>
    <w:p w14:paraId="6E9B4E65" w14:textId="76A5C522" w:rsidR="00A71022" w:rsidRPr="00ED40AB" w:rsidRDefault="00A71022" w:rsidP="00A71022">
      <w:pPr>
        <w:pStyle w:val="Prrafodelista"/>
        <w:numPr>
          <w:ilvl w:val="0"/>
          <w:numId w:val="23"/>
        </w:numPr>
        <w:tabs>
          <w:tab w:val="left" w:pos="709"/>
          <w:tab w:val="left" w:pos="851"/>
        </w:tabs>
        <w:spacing w:after="120" w:line="276" w:lineRule="auto"/>
        <w:jc w:val="both"/>
        <w:rPr>
          <w:rFonts w:ascii="Verdana" w:eastAsia="Calibri" w:hAnsi="Verdana" w:cs="Arial"/>
        </w:rPr>
      </w:pPr>
      <w:r w:rsidRPr="00ED40AB">
        <w:rPr>
          <w:rFonts w:ascii="Verdana" w:eastAsia="Calibri" w:hAnsi="Verdana" w:cs="Arial"/>
        </w:rPr>
        <w:t xml:space="preserve">En síntesis, como se indicó con anterioridad, en la regulación contenida en el numeral 1.15, que establece las causales de rechazo, no se estableció una exigencia adicional frente a los proponentes para acreditar el cumplimiento de dicho deber. En suma, al aplicar los documentos tipo en sus procesos, se desprenden  las siguientes reglas para las entidades </w:t>
      </w:r>
      <w:r w:rsidRPr="00ED40AB">
        <w:rPr>
          <w:rFonts w:ascii="Verdana" w:eastAsia="Calibri" w:hAnsi="Verdana" w:cs="Arial"/>
        </w:rPr>
        <w:lastRenderedPageBreak/>
        <w:t xml:space="preserve">estatales: i) no pueden incluir nuevas causales de rechazo en sus pliegos de condiciones distintas a las establecidas en los documentos tipo; </w:t>
      </w:r>
      <w:proofErr w:type="spellStart"/>
      <w:r w:rsidRPr="00ED40AB">
        <w:rPr>
          <w:rFonts w:ascii="Verdana" w:eastAsia="Calibri" w:hAnsi="Verdana" w:cs="Arial"/>
        </w:rPr>
        <w:t>ii</w:t>
      </w:r>
      <w:proofErr w:type="spellEnd"/>
      <w:r w:rsidRPr="00ED40AB">
        <w:rPr>
          <w:rFonts w:ascii="Verdana" w:eastAsia="Calibri" w:hAnsi="Verdana" w:cs="Arial"/>
        </w:rPr>
        <w:t xml:space="preserve">) solo pueden modificar los aspectos puntuales de las causales, es decir, los apartes entre corchetes y resaltados en gris; </w:t>
      </w:r>
      <w:proofErr w:type="spellStart"/>
      <w:r w:rsidRPr="00ED40AB">
        <w:rPr>
          <w:rFonts w:ascii="Verdana" w:eastAsia="Calibri" w:hAnsi="Verdana" w:cs="Arial"/>
        </w:rPr>
        <w:t>iii</w:t>
      </w:r>
      <w:proofErr w:type="spellEnd"/>
      <w:r w:rsidRPr="00ED40AB">
        <w:rPr>
          <w:rFonts w:ascii="Verdana" w:eastAsia="Calibri" w:hAnsi="Verdana" w:cs="Arial"/>
        </w:rPr>
        <w:t xml:space="preserve">) teniendo en cuenta el contenido prohibitivo de las causales de rechazo, estas se deben interpretar de forma estricta, evitando realizar interpretaciones extensivas; y </w:t>
      </w:r>
      <w:proofErr w:type="spellStart"/>
      <w:r w:rsidRPr="00ED40AB">
        <w:rPr>
          <w:rFonts w:ascii="Verdana" w:eastAsia="Calibri" w:hAnsi="Verdana" w:cs="Arial"/>
        </w:rPr>
        <w:t>iv</w:t>
      </w:r>
      <w:proofErr w:type="spellEnd"/>
      <w:r w:rsidRPr="00ED40AB">
        <w:rPr>
          <w:rFonts w:ascii="Verdana" w:eastAsia="Calibri" w:hAnsi="Verdana" w:cs="Arial"/>
        </w:rPr>
        <w:t>) las obligaciones legales tienen plena aplicación de acuerdo a su regulación concreta, sin que su ausencia en el documento tipo se pueda interpretar como una autorización para desconocer su exigibilidad, pues aplican por ministerio de la ley, pese a que algunas de ellas no tengan una incidencia concreta en los procedimientos de selección.</w:t>
      </w:r>
    </w:p>
    <w:p w14:paraId="62A73BE2" w14:textId="77777777" w:rsidR="00A71022" w:rsidRPr="00A71022" w:rsidRDefault="00A71022" w:rsidP="00BA1F40">
      <w:pPr>
        <w:pStyle w:val="Prrafodelista"/>
        <w:tabs>
          <w:tab w:val="left" w:pos="426"/>
        </w:tabs>
        <w:spacing w:after="120" w:line="276" w:lineRule="auto"/>
        <w:ind w:left="426"/>
        <w:jc w:val="both"/>
        <w:rPr>
          <w:rFonts w:ascii="Verdana" w:hAnsi="Verdana" w:cs="Arial"/>
          <w:bCs/>
          <w:lang w:eastAsia="es-CO"/>
        </w:rPr>
      </w:pPr>
    </w:p>
    <w:p w14:paraId="0E858B72" w14:textId="77777777" w:rsidR="007D5768" w:rsidRPr="00A37605" w:rsidRDefault="007D5768" w:rsidP="007D576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Referencias normativas, jurisprudenciales y otras fuentes:</w:t>
      </w:r>
    </w:p>
    <w:p w14:paraId="344348A4" w14:textId="77777777" w:rsidR="007D5768" w:rsidRPr="00A37605"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D5768" w:rsidRPr="00A37605" w14:paraId="1B0389F5" w14:textId="77777777" w:rsidTr="00E1079D">
        <w:trPr>
          <w:trHeight w:val="870"/>
        </w:trPr>
        <w:tc>
          <w:tcPr>
            <w:tcW w:w="8647" w:type="dxa"/>
            <w:tcBorders>
              <w:top w:val="dotted" w:sz="4" w:space="0" w:color="auto"/>
              <w:left w:val="dotted" w:sz="4" w:space="0" w:color="auto"/>
              <w:bottom w:val="dotted" w:sz="4" w:space="0" w:color="auto"/>
              <w:right w:val="dotted" w:sz="4" w:space="0" w:color="auto"/>
            </w:tcBorders>
          </w:tcPr>
          <w:p w14:paraId="1C62FB38" w14:textId="41B80422" w:rsidR="003E76A2" w:rsidRPr="00DE04EE" w:rsidRDefault="003E76A2" w:rsidP="003E76A2">
            <w:pPr>
              <w:widowControl w:val="0"/>
              <w:numPr>
                <w:ilvl w:val="0"/>
                <w:numId w:val="17"/>
              </w:numPr>
              <w:autoSpaceDE w:val="0"/>
              <w:autoSpaceDN w:val="0"/>
              <w:spacing w:after="120" w:line="276" w:lineRule="auto"/>
              <w:jc w:val="both"/>
              <w:rPr>
                <w:rFonts w:ascii="Verdana" w:hAnsi="Verdana" w:cs="Arial"/>
              </w:rPr>
            </w:pPr>
            <w:r w:rsidRPr="00DE04EE">
              <w:rPr>
                <w:rFonts w:ascii="Verdana" w:hAnsi="Verdana" w:cs="Arial"/>
              </w:rPr>
              <w:t>Ley 80 de 1993</w:t>
            </w:r>
          </w:p>
          <w:p w14:paraId="3E9F980B" w14:textId="12426707" w:rsidR="00DE04EE" w:rsidRPr="00DE04EE" w:rsidRDefault="00DE04EE" w:rsidP="003E76A2">
            <w:pPr>
              <w:widowControl w:val="0"/>
              <w:numPr>
                <w:ilvl w:val="0"/>
                <w:numId w:val="17"/>
              </w:numPr>
              <w:autoSpaceDE w:val="0"/>
              <w:autoSpaceDN w:val="0"/>
              <w:spacing w:after="120" w:line="276" w:lineRule="auto"/>
              <w:jc w:val="both"/>
              <w:rPr>
                <w:rFonts w:ascii="Verdana" w:hAnsi="Verdana" w:cs="Arial"/>
              </w:rPr>
            </w:pPr>
            <w:r w:rsidRPr="00DE04EE">
              <w:rPr>
                <w:rFonts w:ascii="Verdana" w:hAnsi="Verdana" w:cs="Arial"/>
              </w:rPr>
              <w:t>Decreto 1082 de 2015</w:t>
            </w:r>
          </w:p>
          <w:p w14:paraId="49010960" w14:textId="275688CA" w:rsidR="00DE04EE" w:rsidRPr="00DE04EE" w:rsidRDefault="00DE04EE" w:rsidP="003E76A2">
            <w:pPr>
              <w:widowControl w:val="0"/>
              <w:numPr>
                <w:ilvl w:val="0"/>
                <w:numId w:val="17"/>
              </w:numPr>
              <w:autoSpaceDE w:val="0"/>
              <w:autoSpaceDN w:val="0"/>
              <w:spacing w:after="120" w:line="276" w:lineRule="auto"/>
              <w:jc w:val="both"/>
              <w:rPr>
                <w:rFonts w:ascii="Verdana" w:hAnsi="Verdana" w:cs="Arial"/>
              </w:rPr>
            </w:pPr>
            <w:r w:rsidRPr="00DE04EE">
              <w:rPr>
                <w:rFonts w:ascii="Verdana" w:hAnsi="Verdana" w:cs="Arial"/>
              </w:rPr>
              <w:t>Ley 1882 de 2018</w:t>
            </w:r>
          </w:p>
          <w:p w14:paraId="25D5ED76" w14:textId="6AD2874A" w:rsidR="007D5768" w:rsidRPr="00A37605" w:rsidRDefault="00DE04EE" w:rsidP="00247B67">
            <w:pPr>
              <w:widowControl w:val="0"/>
              <w:numPr>
                <w:ilvl w:val="0"/>
                <w:numId w:val="17"/>
              </w:numPr>
              <w:autoSpaceDE w:val="0"/>
              <w:autoSpaceDN w:val="0"/>
              <w:spacing w:after="120" w:line="276" w:lineRule="auto"/>
              <w:jc w:val="both"/>
              <w:rPr>
                <w:rFonts w:ascii="Verdana" w:hAnsi="Verdana" w:cs="Arial"/>
              </w:rPr>
            </w:pPr>
            <w:r w:rsidRPr="00DE04EE">
              <w:rPr>
                <w:rFonts w:ascii="Verdana" w:hAnsi="Verdana" w:cs="Arial"/>
              </w:rPr>
              <w:t xml:space="preserve">Ley 842 de 2003 </w:t>
            </w:r>
          </w:p>
        </w:tc>
      </w:tr>
    </w:tbl>
    <w:p w14:paraId="71D0376B" w14:textId="77777777" w:rsidR="007D5768" w:rsidRPr="00A37605" w:rsidRDefault="007D5768" w:rsidP="007D5768">
      <w:pPr>
        <w:tabs>
          <w:tab w:val="left" w:pos="142"/>
          <w:tab w:val="left" w:pos="284"/>
        </w:tabs>
        <w:spacing w:after="0" w:line="276" w:lineRule="auto"/>
        <w:jc w:val="both"/>
        <w:rPr>
          <w:rFonts w:ascii="Verdana" w:eastAsia="Calibri" w:hAnsi="Verdana" w:cs="Arial"/>
        </w:rPr>
      </w:pPr>
    </w:p>
    <w:p w14:paraId="5BEB05A5" w14:textId="77777777" w:rsidR="007D5768" w:rsidRPr="00A37605" w:rsidRDefault="007D5768" w:rsidP="007D5768">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Doctrina de la Agencia Nacional de Contratación Pública:</w:t>
      </w:r>
    </w:p>
    <w:p w14:paraId="62447BDB" w14:textId="77777777" w:rsidR="007D5768" w:rsidRPr="00A37605" w:rsidRDefault="007D5768" w:rsidP="007D5768">
      <w:pPr>
        <w:widowControl w:val="0"/>
        <w:autoSpaceDE w:val="0"/>
        <w:autoSpaceDN w:val="0"/>
        <w:spacing w:after="0" w:line="276" w:lineRule="auto"/>
        <w:jc w:val="both"/>
        <w:rPr>
          <w:rFonts w:ascii="Verdana" w:eastAsia="Calibri" w:hAnsi="Verdana" w:cs="Arial"/>
        </w:rPr>
      </w:pPr>
    </w:p>
    <w:p w14:paraId="2D15E488" w14:textId="3BBD9F08" w:rsidR="00987F35" w:rsidRDefault="00987F35" w:rsidP="007D5768">
      <w:pPr>
        <w:widowControl w:val="0"/>
        <w:autoSpaceDE w:val="0"/>
        <w:autoSpaceDN w:val="0"/>
        <w:spacing w:after="0" w:line="276" w:lineRule="auto"/>
        <w:jc w:val="both"/>
        <w:rPr>
          <w:rFonts w:ascii="Verdana" w:eastAsia="Calibri" w:hAnsi="Verdana" w:cs="Arial"/>
          <w:shd w:val="clear" w:color="auto" w:fill="FFFFFF"/>
          <w:lang w:val="es-ES"/>
        </w:rPr>
      </w:pPr>
      <w:r w:rsidRPr="00987F35">
        <w:rPr>
          <w:rFonts w:ascii="Verdana" w:eastAsia="Calibri" w:hAnsi="Verdana" w:cs="Arial"/>
          <w:shd w:val="clear" w:color="auto" w:fill="FFFFFF"/>
          <w:lang w:val="es-ES"/>
        </w:rPr>
        <w:t>La Agencia Nacional de Contratación Pública –Colombia Compra Eficiente– mediante los conceptos con radicados Nos. 2201913000007117 del 25 de septiembre de 2019, 2201913000009538 del 23 de diciembre de 2019, C- 716 del 30 de octubre de 2020 y C096 del 24 de marzo de 2021</w:t>
      </w:r>
      <w:r>
        <w:rPr>
          <w:rFonts w:ascii="Verdana" w:eastAsia="Calibri" w:hAnsi="Verdana" w:cs="Arial"/>
          <w:shd w:val="clear" w:color="auto" w:fill="FFFFFF"/>
          <w:lang w:val="es-ES"/>
        </w:rPr>
        <w:t xml:space="preserve"> y </w:t>
      </w:r>
      <w:r w:rsidRPr="00A502AE">
        <w:rPr>
          <w:rFonts w:ascii="Verdana" w:eastAsia="Calibri" w:hAnsi="Verdana" w:cs="Arial"/>
        </w:rPr>
        <w:t xml:space="preserve">C-156 del 20 de abril de 2021 </w:t>
      </w:r>
      <w:r w:rsidRPr="00987F35">
        <w:rPr>
          <w:rFonts w:ascii="Verdana" w:eastAsia="Calibri" w:hAnsi="Verdana" w:cs="Arial"/>
          <w:shd w:val="clear" w:color="auto" w:fill="FFFFFF"/>
          <w:lang w:val="es-ES"/>
        </w:rPr>
        <w:t>ha señalado que las causales de rechazo de las ofertas establecidas en los documentos tipo</w:t>
      </w:r>
      <w:r w:rsidR="005944D7">
        <w:rPr>
          <w:rFonts w:ascii="Verdana" w:eastAsia="Calibri" w:hAnsi="Verdana" w:cs="Arial"/>
          <w:shd w:val="clear" w:color="auto" w:fill="FFFFFF"/>
          <w:lang w:val="es-ES"/>
        </w:rPr>
        <w:t>.</w:t>
      </w:r>
    </w:p>
    <w:p w14:paraId="6DA064CD" w14:textId="77777777" w:rsidR="00987F35" w:rsidRDefault="00987F35" w:rsidP="007D5768">
      <w:pPr>
        <w:widowControl w:val="0"/>
        <w:autoSpaceDE w:val="0"/>
        <w:autoSpaceDN w:val="0"/>
        <w:spacing w:after="0" w:line="276" w:lineRule="auto"/>
        <w:jc w:val="both"/>
        <w:rPr>
          <w:rFonts w:ascii="Verdana" w:eastAsia="Calibri" w:hAnsi="Verdana" w:cs="Arial"/>
          <w:shd w:val="clear" w:color="auto" w:fill="FFFFFF"/>
          <w:lang w:val="es-ES"/>
        </w:rPr>
      </w:pPr>
    </w:p>
    <w:p w14:paraId="7850767E" w14:textId="04DB4682" w:rsidR="007D5768" w:rsidRPr="00A37605" w:rsidRDefault="007D5768" w:rsidP="007D5768">
      <w:pPr>
        <w:widowControl w:val="0"/>
        <w:autoSpaceDE w:val="0"/>
        <w:autoSpaceDN w:val="0"/>
        <w:spacing w:after="0" w:line="276" w:lineRule="auto"/>
        <w:jc w:val="both"/>
        <w:rPr>
          <w:rFonts w:ascii="Verdana" w:eastAsia="Calibri" w:hAnsi="Verdana" w:cs="Arial"/>
          <w:shd w:val="clear" w:color="auto" w:fill="FFFFFF"/>
          <w:lang w:val="es-ES_tradnl"/>
        </w:rPr>
      </w:pPr>
      <w:r w:rsidRPr="00A37605">
        <w:rPr>
          <w:rFonts w:ascii="Verdana" w:eastAsia="Calibri" w:hAnsi="Verdana" w:cs="Arial"/>
          <w:shd w:val="clear" w:color="auto" w:fill="FFFFFF"/>
          <w:lang w:val="es-ES_tradnl"/>
        </w:rPr>
        <w:t>Algunas de las consideraciones de estos conceptos se reitera</w:t>
      </w:r>
      <w:r w:rsidR="00D46E83">
        <w:rPr>
          <w:rFonts w:ascii="Verdana" w:eastAsia="Calibri" w:hAnsi="Verdana" w:cs="Arial"/>
          <w:shd w:val="clear" w:color="auto" w:fill="FFFFFF"/>
          <w:lang w:val="es-ES_tradnl"/>
        </w:rPr>
        <w:t>ron</w:t>
      </w:r>
      <w:r w:rsidRPr="00A37605">
        <w:rPr>
          <w:rFonts w:ascii="Verdana" w:eastAsia="Calibri" w:hAnsi="Verdana" w:cs="Arial"/>
          <w:shd w:val="clear" w:color="auto" w:fill="FFFFFF"/>
          <w:lang w:val="es-ES_tradnl"/>
        </w:rPr>
        <w:t xml:space="preserve"> y se complementa</w:t>
      </w:r>
      <w:r w:rsidR="00D46E83">
        <w:rPr>
          <w:rFonts w:ascii="Verdana" w:eastAsia="Calibri" w:hAnsi="Verdana" w:cs="Arial"/>
          <w:shd w:val="clear" w:color="auto" w:fill="FFFFFF"/>
          <w:lang w:val="es-ES_tradnl"/>
        </w:rPr>
        <w:t>ron</w:t>
      </w:r>
      <w:r w:rsidRPr="00A37605">
        <w:rPr>
          <w:rFonts w:ascii="Verdana" w:eastAsia="Calibri" w:hAnsi="Verdana" w:cs="Arial"/>
          <w:shd w:val="clear" w:color="auto" w:fill="FFFFFF"/>
          <w:lang w:val="es-ES_tradnl"/>
        </w:rPr>
        <w:t xml:space="preserve"> en lo pertinente para dar respuesta a su consulta.</w:t>
      </w:r>
    </w:p>
    <w:p w14:paraId="41DEBC3B" w14:textId="77777777" w:rsidR="007D5768" w:rsidRDefault="007D5768" w:rsidP="007D5768">
      <w:pPr>
        <w:widowControl w:val="0"/>
        <w:autoSpaceDE w:val="0"/>
        <w:autoSpaceDN w:val="0"/>
        <w:spacing w:after="0" w:line="276" w:lineRule="auto"/>
        <w:jc w:val="both"/>
        <w:rPr>
          <w:rFonts w:ascii="Verdana" w:hAnsi="Verdana" w:cs="Arial"/>
          <w:color w:val="000000" w:themeColor="text1"/>
          <w:shd w:val="clear" w:color="auto" w:fill="FFFFFF"/>
        </w:rPr>
      </w:pPr>
    </w:p>
    <w:p w14:paraId="18E7F209" w14:textId="77777777" w:rsidR="007D5768" w:rsidRDefault="007D5768" w:rsidP="007D5768">
      <w:pPr>
        <w:widowControl w:val="0"/>
        <w:autoSpaceDE w:val="0"/>
        <w:autoSpaceDN w:val="0"/>
        <w:spacing w:after="0" w:line="276" w:lineRule="auto"/>
        <w:jc w:val="both"/>
        <w:rPr>
          <w:rFonts w:ascii="Verdana" w:hAnsi="Verdana" w:cs="Arial"/>
          <w:color w:val="000000" w:themeColor="text1"/>
          <w:shd w:val="clear" w:color="auto" w:fill="FFFFFF"/>
        </w:rPr>
      </w:pPr>
      <w:r w:rsidRPr="00D16885">
        <w:rPr>
          <w:rFonts w:ascii="Verdana" w:hAnsi="Verdana" w:cs="Arial"/>
          <w:color w:val="000000" w:themeColor="text1"/>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w:t>
      </w:r>
      <w:r w:rsidRPr="00D16885">
        <w:rPr>
          <w:rFonts w:ascii="Verdana" w:hAnsi="Verdana" w:cs="Arial"/>
          <w:color w:val="000000" w:themeColor="text1"/>
          <w:shd w:val="clear" w:color="auto" w:fill="FFFFFF"/>
        </w:rPr>
        <w:lastRenderedPageBreak/>
        <w:t>través del siguiente enlace: </w:t>
      </w:r>
      <w:hyperlink r:id="rId13" w:tgtFrame="_blank" w:history="1">
        <w:r w:rsidRPr="00D16885">
          <w:rPr>
            <w:rStyle w:val="Hipervnculo"/>
            <w:rFonts w:ascii="Verdana" w:hAnsi="Verdana" w:cs="Arial"/>
            <w:shd w:val="clear" w:color="auto" w:fill="FFFFFF"/>
          </w:rPr>
          <w:t>https://relatoria.colombiacompra.gov.co/</w:t>
        </w:r>
      </w:hyperlink>
      <w:r w:rsidRPr="00D16885">
        <w:rPr>
          <w:rFonts w:ascii="Verdana" w:hAnsi="Verdana" w:cs="Arial"/>
          <w:color w:val="000000" w:themeColor="text1"/>
          <w:shd w:val="clear" w:color="auto" w:fill="FFFFFF"/>
        </w:rPr>
        <w:t>. </w:t>
      </w:r>
    </w:p>
    <w:p w14:paraId="153D0B81" w14:textId="77777777" w:rsidR="007D5768" w:rsidRDefault="007D5768" w:rsidP="007D576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1EF0B3C" w14:textId="77777777" w:rsidR="007D5768" w:rsidRDefault="007D5768" w:rsidP="007D5768">
      <w:pPr>
        <w:widowControl w:val="0"/>
        <w:autoSpaceDE w:val="0"/>
        <w:autoSpaceDN w:val="0"/>
        <w:spacing w:after="0" w:line="276" w:lineRule="auto"/>
        <w:jc w:val="both"/>
        <w:rPr>
          <w:rFonts w:ascii="Verdana" w:hAnsi="Verdana"/>
        </w:rPr>
      </w:pPr>
      <w:r w:rsidRPr="00D16885">
        <w:rPr>
          <w:rFonts w:ascii="Verdana" w:hAnsi="Verdana" w:cs="Arial"/>
          <w:color w:val="000000" w:themeColor="text1"/>
          <w:shd w:val="clear" w:color="auto" w:fill="FFFFFF"/>
        </w:rPr>
        <w:t>También te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4" w:tgtFrame="_blank" w:history="1">
        <w:r w:rsidRPr="00D16885">
          <w:rPr>
            <w:rStyle w:val="Hipervnculo"/>
            <w:rFonts w:ascii="Verdana" w:hAnsi="Verdana" w:cs="Arial"/>
            <w:shd w:val="clear" w:color="auto" w:fill="FFFFFF"/>
          </w:rPr>
          <w:t>https://www.colombiacompra.gov.co/sala-de-prensa/boletin-digital</w:t>
        </w:r>
      </w:hyperlink>
      <w:r w:rsidRPr="00D16885">
        <w:rPr>
          <w:rFonts w:ascii="Verdana" w:hAnsi="Verdana" w:cs="Arial"/>
          <w:color w:val="000000" w:themeColor="text1"/>
          <w:shd w:val="clear" w:color="auto" w:fill="FFFFFF"/>
        </w:rPr>
        <w:t>     </w:t>
      </w:r>
    </w:p>
    <w:p w14:paraId="2A8EDF8E" w14:textId="77777777" w:rsidR="007D5768" w:rsidRPr="003E2460" w:rsidRDefault="007D5768" w:rsidP="007D5768">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6230D7F" w14:textId="77777777" w:rsidR="007D5768" w:rsidRPr="003E2460" w:rsidRDefault="007D5768" w:rsidP="007D5768">
      <w:pPr>
        <w:spacing w:after="0" w:line="240" w:lineRule="auto"/>
        <w:jc w:val="both"/>
        <w:rPr>
          <w:rFonts w:ascii="Verdana" w:hAnsi="Verdana"/>
        </w:rPr>
      </w:pPr>
    </w:p>
    <w:p w14:paraId="49C9A2D8" w14:textId="77777777" w:rsidR="007D5768" w:rsidRPr="003E2460" w:rsidRDefault="007D5768" w:rsidP="007D5768">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57790CE9" w14:textId="77777777" w:rsidR="007D5768" w:rsidRPr="003E2460" w:rsidRDefault="007D5768" w:rsidP="007D5768">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9F13BAE" w14:textId="77777777" w:rsidR="007D5768" w:rsidRPr="003E2460" w:rsidRDefault="007D5768" w:rsidP="007D5768">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68B77C7" w14:textId="77777777" w:rsidR="007D5768" w:rsidRPr="00593A5F" w:rsidRDefault="007D5768" w:rsidP="007D5768">
      <w:pPr>
        <w:widowControl w:val="0"/>
        <w:autoSpaceDE w:val="0"/>
        <w:autoSpaceDN w:val="0"/>
        <w:spacing w:after="0" w:line="276" w:lineRule="auto"/>
        <w:jc w:val="both"/>
        <w:rPr>
          <w:rFonts w:ascii="Verdana" w:hAnsi="Verdana" w:cs="Arial"/>
        </w:rPr>
      </w:pPr>
    </w:p>
    <w:p w14:paraId="7F7EC08A" w14:textId="77777777" w:rsidR="007D5768" w:rsidRPr="00593A5F" w:rsidRDefault="007D5768" w:rsidP="007D576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CAD77A0" w14:textId="77777777" w:rsidR="007D5768" w:rsidRPr="00593A5F" w:rsidRDefault="007D5768" w:rsidP="007D5768">
      <w:pPr>
        <w:widowControl w:val="0"/>
        <w:autoSpaceDE w:val="0"/>
        <w:autoSpaceDN w:val="0"/>
        <w:spacing w:after="0" w:line="276" w:lineRule="auto"/>
        <w:jc w:val="both"/>
        <w:rPr>
          <w:rFonts w:ascii="Verdana" w:hAnsi="Verdana" w:cs="Arial"/>
        </w:rPr>
      </w:pPr>
    </w:p>
    <w:p w14:paraId="65D31AF3" w14:textId="77777777" w:rsidR="007D5768" w:rsidRPr="00593A5F" w:rsidRDefault="007D5768" w:rsidP="007D576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EBDD6B5" w14:textId="38A7A52D" w:rsidR="007D5768" w:rsidRDefault="007D5768" w:rsidP="007D5768">
      <w:pPr>
        <w:spacing w:line="276" w:lineRule="auto"/>
        <w:jc w:val="center"/>
        <w:rPr>
          <w:rFonts w:ascii="Verdana" w:hAnsi="Verdana"/>
          <w:noProof/>
        </w:rPr>
      </w:pPr>
    </w:p>
    <w:p w14:paraId="69713C36" w14:textId="5A5B09C7" w:rsidR="003A0B10" w:rsidRPr="003A0B10" w:rsidRDefault="003A0B10" w:rsidP="003A0B10">
      <w:pPr>
        <w:spacing w:line="276" w:lineRule="auto"/>
        <w:jc w:val="center"/>
        <w:rPr>
          <w:rFonts w:ascii="Verdana" w:hAnsi="Verdana"/>
          <w:noProof/>
          <w:color w:val="000000"/>
          <w:lang w:eastAsia="es-CO"/>
        </w:rPr>
      </w:pPr>
      <w:r w:rsidRPr="003A0B10">
        <w:rPr>
          <w:rFonts w:ascii="Verdana" w:hAnsi="Verdana"/>
          <w:noProof/>
          <w:color w:val="000000"/>
          <w:lang w:eastAsia="es-CO"/>
        </w:rPr>
        <w:drawing>
          <wp:inline distT="0" distB="0" distL="0" distR="0" wp14:anchorId="7D98C958" wp14:editId="55E59582">
            <wp:extent cx="3594485" cy="1543050"/>
            <wp:effectExtent l="0" t="0" r="6350" b="0"/>
            <wp:docPr id="74025045" name="Imagen 5"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5045" name="Imagen 5" descr="Texto&#10;&#10;Descripción generada automáticamente con confianza baj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3588" cy="154695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D5768" w:rsidRPr="00593A5F" w14:paraId="31D06E98" w14:textId="77777777" w:rsidTr="00E1079D">
        <w:trPr>
          <w:trHeight w:val="315"/>
        </w:trPr>
        <w:tc>
          <w:tcPr>
            <w:tcW w:w="893" w:type="dxa"/>
            <w:vAlign w:val="center"/>
            <w:hideMark/>
          </w:tcPr>
          <w:p w14:paraId="03E2D651"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0449EF1" w14:textId="77777777" w:rsidR="007D5768" w:rsidRPr="002B5168" w:rsidRDefault="007D5768" w:rsidP="00E1079D">
            <w:pPr>
              <w:contextualSpacing/>
              <w:rPr>
                <w:rFonts w:ascii="Verdana" w:eastAsia="Arial" w:hAnsi="Verdana" w:cs="Arial"/>
                <w:color w:val="7030A0"/>
                <w:sz w:val="16"/>
                <w:szCs w:val="16"/>
              </w:rPr>
            </w:pPr>
            <w:r w:rsidRPr="002B5168">
              <w:rPr>
                <w:rStyle w:val="normaltextrun"/>
                <w:rFonts w:ascii="Verdana" w:hAnsi="Verdana"/>
                <w:sz w:val="16"/>
                <w:szCs w:val="16"/>
              </w:rPr>
              <w:t>Christian Camilo Orjuela Galeano</w:t>
            </w:r>
          </w:p>
          <w:p w14:paraId="53926242" w14:textId="77777777" w:rsidR="007D5768" w:rsidRPr="002B5168" w:rsidRDefault="007D5768" w:rsidP="00E1079D">
            <w:pPr>
              <w:contextualSpacing/>
              <w:rPr>
                <w:rFonts w:ascii="Verdana" w:eastAsia="Arial" w:hAnsi="Verdana" w:cs="Arial"/>
                <w:sz w:val="16"/>
                <w:szCs w:val="16"/>
              </w:rPr>
            </w:pPr>
            <w:r w:rsidRPr="002B5168">
              <w:rPr>
                <w:rStyle w:val="normaltextrun"/>
                <w:rFonts w:ascii="Verdana" w:eastAsia="Arial" w:hAnsi="Verdana" w:cs="Arial"/>
                <w:sz w:val="16"/>
                <w:szCs w:val="16"/>
              </w:rPr>
              <w:t>Contratista de la Subdirección de Gestión Contractual</w:t>
            </w:r>
          </w:p>
        </w:tc>
      </w:tr>
      <w:tr w:rsidR="007D5768" w:rsidRPr="00593A5F" w14:paraId="7860D780" w14:textId="77777777" w:rsidTr="00E1079D">
        <w:trPr>
          <w:trHeight w:val="330"/>
        </w:trPr>
        <w:tc>
          <w:tcPr>
            <w:tcW w:w="893" w:type="dxa"/>
            <w:vAlign w:val="center"/>
            <w:hideMark/>
          </w:tcPr>
          <w:p w14:paraId="242F9749"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DBD3FDA" w14:textId="0FF6ADBE" w:rsidR="003E76A2" w:rsidRDefault="005944D7" w:rsidP="00E1079D">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 xml:space="preserve">Adriana Katerina  </w:t>
            </w:r>
          </w:p>
          <w:p w14:paraId="2BBC7853" w14:textId="6EF590B4" w:rsidR="007D5768" w:rsidRPr="002B5168" w:rsidRDefault="00D46E83" w:rsidP="00E1079D">
            <w:pPr>
              <w:pStyle w:val="paragraph"/>
              <w:spacing w:before="0" w:beforeAutospacing="0" w:after="0" w:afterAutospacing="0"/>
              <w:contextualSpacing/>
              <w:textAlignment w:val="baseline"/>
              <w:rPr>
                <w:rFonts w:ascii="Verdana" w:hAnsi="Verdana" w:cs="Segoe UI"/>
                <w:sz w:val="16"/>
                <w:szCs w:val="16"/>
              </w:rPr>
            </w:pPr>
            <w:r w:rsidRPr="00D46E83">
              <w:rPr>
                <w:rStyle w:val="normaltextrun"/>
                <w:rFonts w:ascii="Verdana" w:eastAsia="Arial" w:hAnsi="Verdana" w:cs="Arial"/>
                <w:sz w:val="16"/>
                <w:szCs w:val="16"/>
              </w:rPr>
              <w:t>C</w:t>
            </w:r>
            <w:r w:rsidRPr="00D46E83">
              <w:rPr>
                <w:rStyle w:val="normaltextrun"/>
                <w:rFonts w:ascii="Verdana" w:eastAsia="Arial" w:hAnsi="Verdana"/>
                <w:sz w:val="16"/>
                <w:szCs w:val="16"/>
              </w:rPr>
              <w:t xml:space="preserve">ontratista </w:t>
            </w:r>
            <w:r w:rsidR="007D5768" w:rsidRPr="002B5168">
              <w:rPr>
                <w:rStyle w:val="normaltextrun"/>
                <w:rFonts w:ascii="Verdana" w:eastAsia="Arial" w:hAnsi="Verdana" w:cs="Arial"/>
                <w:sz w:val="16"/>
                <w:szCs w:val="16"/>
              </w:rPr>
              <w:t>Subdirección de Gestión Contractual</w:t>
            </w:r>
          </w:p>
        </w:tc>
      </w:tr>
      <w:tr w:rsidR="007D5768" w:rsidRPr="00593A5F" w14:paraId="2DB10D30" w14:textId="77777777" w:rsidTr="00E1079D">
        <w:trPr>
          <w:trHeight w:val="300"/>
        </w:trPr>
        <w:tc>
          <w:tcPr>
            <w:tcW w:w="893" w:type="dxa"/>
            <w:vAlign w:val="center"/>
          </w:tcPr>
          <w:p w14:paraId="3638310D"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7777777" w:rsidR="007D5768" w:rsidRPr="002B5168" w:rsidRDefault="007D5768" w:rsidP="00E1079D">
            <w:pPr>
              <w:contextualSpacing/>
              <w:rPr>
                <w:rFonts w:ascii="Verdana" w:eastAsia="Calibri" w:hAnsi="Verdana" w:cs="Arial"/>
                <w:sz w:val="16"/>
                <w:szCs w:val="16"/>
                <w:lang w:val="pt-BR" w:eastAsia="es-ES"/>
              </w:rPr>
            </w:pPr>
            <w:r w:rsidRPr="002B5168">
              <w:rPr>
                <w:rFonts w:ascii="Verdana" w:eastAsia="Calibri" w:hAnsi="Verdana" w:cs="Arial"/>
                <w:sz w:val="16"/>
                <w:szCs w:val="16"/>
                <w:lang w:val="pt-BR" w:eastAsia="es-ES"/>
              </w:rPr>
              <w:t xml:space="preserve">Carolina Quintero </w:t>
            </w:r>
            <w:proofErr w:type="spellStart"/>
            <w:r w:rsidRPr="002B5168">
              <w:rPr>
                <w:rFonts w:ascii="Verdana" w:eastAsia="Calibri" w:hAnsi="Verdana" w:cs="Arial"/>
                <w:sz w:val="16"/>
                <w:szCs w:val="16"/>
                <w:lang w:val="pt-BR" w:eastAsia="es-ES"/>
              </w:rPr>
              <w:t>Gacharná</w:t>
            </w:r>
            <w:proofErr w:type="spellEnd"/>
          </w:p>
          <w:p w14:paraId="3F43F8EA" w14:textId="6AA50F11" w:rsidR="007D5768" w:rsidRPr="002B5168" w:rsidRDefault="007D5768" w:rsidP="00E1079D">
            <w:pPr>
              <w:contextualSpacing/>
              <w:rPr>
                <w:rFonts w:ascii="Verdana" w:eastAsia="Calibri" w:hAnsi="Verdana" w:cs="Arial"/>
                <w:sz w:val="16"/>
                <w:szCs w:val="16"/>
                <w:lang w:val="pt-BR" w:eastAsia="es-ES"/>
              </w:rPr>
            </w:pPr>
            <w:r w:rsidRPr="002B5168">
              <w:rPr>
                <w:rFonts w:ascii="Verdana" w:eastAsia="Calibri" w:hAnsi="Verdana" w:cs="Arial"/>
                <w:sz w:val="16"/>
                <w:szCs w:val="16"/>
                <w:lang w:eastAsia="es-ES"/>
              </w:rPr>
              <w:t>Subdirectora</w:t>
            </w:r>
            <w:r w:rsidRPr="002B5168">
              <w:rPr>
                <w:rFonts w:ascii="Verdana" w:eastAsia="Calibri" w:hAnsi="Verdana" w:cs="Arial"/>
                <w:sz w:val="16"/>
                <w:szCs w:val="16"/>
                <w:lang w:val="pt-BR" w:eastAsia="es-ES"/>
              </w:rPr>
              <w:t xml:space="preserve"> de Gestión </w:t>
            </w:r>
            <w:r w:rsidR="003E76A2" w:rsidRPr="002B5168">
              <w:rPr>
                <w:rFonts w:ascii="Verdana" w:eastAsia="Calibri" w:hAnsi="Verdana" w:cs="Arial"/>
                <w:sz w:val="16"/>
                <w:szCs w:val="16"/>
                <w:lang w:val="pt-BR" w:eastAsia="es-ES"/>
              </w:rPr>
              <w:t>Contratual</w:t>
            </w:r>
            <w:r w:rsidRPr="002B5168">
              <w:rPr>
                <w:rFonts w:ascii="Verdana" w:eastAsia="Calibri" w:hAnsi="Verdana" w:cs="Arial"/>
                <w:sz w:val="16"/>
                <w:szCs w:val="16"/>
                <w:lang w:val="pt-BR" w:eastAsia="es-ES"/>
              </w:rPr>
              <w:t xml:space="preserve"> ANCP – CCE</w:t>
            </w:r>
          </w:p>
        </w:tc>
      </w:tr>
      <w:bookmarkEnd w:id="1"/>
      <w:bookmarkEnd w:id="2"/>
    </w:tbl>
    <w:p w14:paraId="7C53BEA7" w14:textId="77777777" w:rsidR="007D5768" w:rsidRPr="00593A5F" w:rsidRDefault="007D5768" w:rsidP="007D5768">
      <w:pPr>
        <w:spacing w:after="0" w:line="240" w:lineRule="auto"/>
        <w:rPr>
          <w:rFonts w:ascii="Verdana" w:eastAsia="Times New Roman" w:hAnsi="Verdana" w:cs="Arial"/>
          <w:sz w:val="24"/>
          <w:szCs w:val="24"/>
          <w:lang w:eastAsia="es-ES"/>
        </w:rPr>
      </w:pPr>
    </w:p>
    <w:bookmarkEnd w:id="0"/>
    <w:p w14:paraId="0465BA6D" w14:textId="7F9323A6"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C32D2C" w14:textId="77777777" w:rsidR="00160006" w:rsidRDefault="00160006" w:rsidP="004A1847">
      <w:pPr>
        <w:spacing w:after="0" w:line="240" w:lineRule="auto"/>
      </w:pPr>
      <w:r>
        <w:separator/>
      </w:r>
    </w:p>
  </w:endnote>
  <w:endnote w:type="continuationSeparator" w:id="0">
    <w:p w14:paraId="65969107" w14:textId="77777777" w:rsidR="00160006" w:rsidRDefault="0016000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0A3E5" w14:textId="77777777" w:rsidR="00160006" w:rsidRDefault="00160006" w:rsidP="004A1847">
      <w:pPr>
        <w:spacing w:after="0" w:line="240" w:lineRule="auto"/>
      </w:pPr>
      <w:r>
        <w:separator/>
      </w:r>
    </w:p>
  </w:footnote>
  <w:footnote w:type="continuationSeparator" w:id="0">
    <w:p w14:paraId="17720122" w14:textId="77777777" w:rsidR="00160006" w:rsidRDefault="00160006" w:rsidP="004A1847">
      <w:pPr>
        <w:spacing w:after="0" w:line="240" w:lineRule="auto"/>
      </w:pPr>
      <w:r>
        <w:continuationSeparator/>
      </w:r>
    </w:p>
  </w:footnote>
  <w:footnote w:id="1">
    <w:p w14:paraId="571B651D" w14:textId="77777777" w:rsidR="00A71022" w:rsidRPr="00DE04EE" w:rsidRDefault="00A71022" w:rsidP="00DE04EE">
      <w:pPr>
        <w:pStyle w:val="Car1"/>
        <w:jc w:val="both"/>
        <w:rPr>
          <w:rFonts w:ascii="Verdana" w:hAnsi="Verdana" w:cs="Arial"/>
          <w:sz w:val="16"/>
          <w:szCs w:val="16"/>
        </w:rPr>
      </w:pPr>
      <w:r w:rsidRPr="00DE04EE">
        <w:rPr>
          <w:rStyle w:val="Refdenotaalpie"/>
          <w:rFonts w:ascii="Verdana" w:hAnsi="Verdana" w:cs="Arial"/>
          <w:sz w:val="16"/>
          <w:szCs w:val="16"/>
        </w:rPr>
        <w:footnoteRef/>
      </w:r>
      <w:r w:rsidRPr="00DE04EE">
        <w:rPr>
          <w:rFonts w:ascii="Verdana" w:hAnsi="Verdana" w:cs="Arial"/>
          <w:sz w:val="16"/>
          <w:szCs w:val="16"/>
        </w:rPr>
        <w:t xml:space="preserve"> Los artículos 2.2.1.2.6.1.2. del Decreto 1082 de 2015 y 1 de la Resolución No 240 de 2020 coinciden en señalar que los Documentos Tipo están constituidos por el documento base del pliego tipo, sus anexos, formatos, matrices y formularios; por su parte, el ANEXO 3 – GLOSARIO de los Documentos Tipo para los procesos de selección de licitación de obra pública Versión 3 señala estos    « […] incorporan los Pliegos de Condiciones Tipo, sus anexos, matrices y demás documentos que incluyen las condiciones habilitantes, factores técnicos, económicos y otros factores de escogencia».</w:t>
      </w:r>
    </w:p>
  </w:footnote>
  <w:footnote w:id="2">
    <w:p w14:paraId="5102DD14" w14:textId="386FF7FB" w:rsidR="00A71022" w:rsidRPr="00DE04EE" w:rsidRDefault="00A71022" w:rsidP="00DE04EE">
      <w:pPr>
        <w:pStyle w:val="Car1"/>
        <w:jc w:val="both"/>
        <w:rPr>
          <w:rFonts w:ascii="Verdana" w:hAnsi="Verdana" w:cs="Arial"/>
          <w:sz w:val="16"/>
          <w:szCs w:val="16"/>
        </w:rPr>
      </w:pPr>
      <w:r w:rsidRPr="00DE04EE">
        <w:rPr>
          <w:rStyle w:val="Refdenotaalpie"/>
          <w:rFonts w:ascii="Verdana" w:hAnsi="Verdana" w:cs="Arial"/>
          <w:sz w:val="16"/>
          <w:szCs w:val="16"/>
        </w:rPr>
        <w:footnoteRef/>
      </w:r>
      <w:r w:rsidR="00DE04EE" w:rsidRPr="00DE04EE">
        <w:rPr>
          <w:rFonts w:ascii="Verdana" w:hAnsi="Verdana" w:cs="Arial"/>
          <w:sz w:val="16"/>
          <w:szCs w:val="16"/>
        </w:rPr>
        <w:t xml:space="preserve"> Modificada por la Resolución 275 de 2022</w:t>
      </w:r>
    </w:p>
  </w:footnote>
  <w:footnote w:id="3">
    <w:p w14:paraId="75E83668" w14:textId="61A8D2AB" w:rsidR="00A71022" w:rsidRPr="00DE04EE" w:rsidRDefault="00A71022" w:rsidP="00DE04EE">
      <w:pPr>
        <w:pStyle w:val="Car1"/>
        <w:jc w:val="both"/>
        <w:rPr>
          <w:rFonts w:ascii="Verdana" w:hAnsi="Verdana" w:cs="Arial"/>
          <w:sz w:val="16"/>
          <w:szCs w:val="16"/>
        </w:rPr>
      </w:pPr>
      <w:r w:rsidRPr="00DE04EE">
        <w:rPr>
          <w:rStyle w:val="Refdenotaalpie"/>
          <w:rFonts w:ascii="Verdana" w:hAnsi="Verdana" w:cs="Arial"/>
          <w:sz w:val="16"/>
          <w:szCs w:val="16"/>
        </w:rPr>
        <w:footnoteRef/>
      </w:r>
      <w:r w:rsidRPr="00DE04EE">
        <w:rPr>
          <w:rFonts w:ascii="Verdana" w:hAnsi="Verdana" w:cs="Arial"/>
          <w:sz w:val="16"/>
          <w:szCs w:val="16"/>
        </w:rPr>
        <w:t xml:space="preserve"> Los artículos 2 y 3 de la Resolución 240 del 27 de noviembre de 2020 establecen: </w:t>
      </w:r>
      <w:r w:rsidR="00DE04EE" w:rsidRPr="00DE04EE">
        <w:rPr>
          <w:rFonts w:ascii="Verdana" w:hAnsi="Verdana" w:cs="Arial"/>
          <w:sz w:val="16"/>
          <w:szCs w:val="16"/>
        </w:rPr>
        <w:t>“</w:t>
      </w:r>
      <w:r w:rsidRPr="00DE04EE">
        <w:rPr>
          <w:rFonts w:ascii="Verdana" w:hAnsi="Verdana" w:cs="Arial"/>
          <w:sz w:val="16"/>
          <w:szCs w:val="16"/>
        </w:rPr>
        <w:t>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r w:rsidR="00DE04EE" w:rsidRPr="00DE04EE">
        <w:rPr>
          <w:rFonts w:ascii="Verdana" w:hAnsi="Verdana" w:cs="Arial"/>
          <w:sz w:val="16"/>
          <w:szCs w:val="16"/>
        </w:rPr>
        <w:t>”</w:t>
      </w:r>
      <w:r w:rsidRPr="00DE04EE">
        <w:rPr>
          <w:rFonts w:ascii="Verdana" w:hAnsi="Verdana" w:cs="Arial"/>
          <w:sz w:val="16"/>
          <w:szCs w:val="16"/>
        </w:rPr>
        <w:t>.</w:t>
      </w:r>
    </w:p>
    <w:p w14:paraId="687C346E" w14:textId="2996A1FE" w:rsidR="00A71022" w:rsidRPr="00DE04EE" w:rsidRDefault="00DE04EE" w:rsidP="00DE04EE">
      <w:pPr>
        <w:pStyle w:val="Car1"/>
        <w:jc w:val="both"/>
        <w:rPr>
          <w:rFonts w:ascii="Verdana" w:hAnsi="Verdana" w:cs="Arial"/>
          <w:sz w:val="16"/>
          <w:szCs w:val="16"/>
        </w:rPr>
      </w:pPr>
      <w:r w:rsidRPr="00DE04EE">
        <w:rPr>
          <w:rFonts w:ascii="Verdana" w:hAnsi="Verdana" w:cs="Arial"/>
          <w:sz w:val="16"/>
          <w:szCs w:val="16"/>
        </w:rPr>
        <w:t>“</w:t>
      </w:r>
      <w:r w:rsidR="00A71022" w:rsidRPr="00DE04EE">
        <w:rPr>
          <w:rFonts w:ascii="Verdana" w:hAnsi="Verdana" w:cs="Arial"/>
          <w:sz w:val="16"/>
          <w:szCs w:val="16"/>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r w:rsidRPr="00DE04EE">
        <w:rPr>
          <w:rFonts w:ascii="Verdana" w:hAnsi="Verdana" w:cs="Arial"/>
          <w:sz w:val="16"/>
          <w:szCs w:val="16"/>
        </w:rPr>
        <w:t>”</w:t>
      </w:r>
      <w:r w:rsidR="00A71022" w:rsidRPr="00DE04EE">
        <w:rPr>
          <w:rFonts w:ascii="Verdana" w:hAnsi="Verdana" w:cs="Arial"/>
          <w:sz w:val="16"/>
          <w:szCs w:val="16"/>
        </w:rPr>
        <w:t>.</w:t>
      </w:r>
    </w:p>
  </w:footnote>
  <w:footnote w:id="4">
    <w:p w14:paraId="7FF45B84" w14:textId="77777777" w:rsidR="00A71022" w:rsidRPr="00DE04EE" w:rsidRDefault="00A71022" w:rsidP="00DE04EE">
      <w:pPr>
        <w:pStyle w:val="Textonotapie"/>
        <w:jc w:val="both"/>
        <w:rPr>
          <w:rFonts w:ascii="Verdana" w:hAnsi="Verdana" w:cs="Arial"/>
          <w:sz w:val="16"/>
          <w:szCs w:val="16"/>
        </w:rPr>
      </w:pPr>
      <w:r w:rsidRPr="00DE04EE">
        <w:rPr>
          <w:rStyle w:val="Refdenotaalpie"/>
          <w:rFonts w:ascii="Verdana" w:hAnsi="Verdana" w:cs="Arial"/>
          <w:sz w:val="16"/>
          <w:szCs w:val="16"/>
        </w:rPr>
        <w:footnoteRef/>
      </w:r>
      <w:r w:rsidRPr="00DE04EE">
        <w:rPr>
          <w:rFonts w:ascii="Verdana" w:hAnsi="Verdana" w:cs="Arial"/>
          <w:sz w:val="16"/>
          <w:szCs w:val="16"/>
        </w:rPr>
        <w:t xml:space="preserve"> El artículo 20 de la Ley 842 de 2003 establece: «Artículo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5C67C4F2" w14:textId="35D27CFA" w:rsidR="00A71022" w:rsidRPr="00DE04EE" w:rsidRDefault="00DE04EE" w:rsidP="00DE04EE">
      <w:pPr>
        <w:pStyle w:val="Textonotapie"/>
        <w:jc w:val="both"/>
        <w:rPr>
          <w:rFonts w:ascii="Verdana" w:hAnsi="Verdana" w:cs="Arial"/>
          <w:sz w:val="16"/>
          <w:szCs w:val="16"/>
        </w:rPr>
      </w:pPr>
      <w:r w:rsidRPr="00DE04EE">
        <w:rPr>
          <w:rFonts w:ascii="Verdana" w:hAnsi="Verdana" w:cs="Arial"/>
          <w:sz w:val="16"/>
          <w:szCs w:val="16"/>
        </w:rPr>
        <w:t>“</w:t>
      </w:r>
      <w:r w:rsidR="00A71022" w:rsidRPr="00DE04EE">
        <w:rPr>
          <w:rFonts w:ascii="Verdana" w:hAnsi="Verdana" w:cs="Arial"/>
          <w:sz w:val="16"/>
          <w:szCs w:val="16"/>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13FB6AA2" w14:textId="751D7691" w:rsidR="00A71022" w:rsidRPr="00E032C8" w:rsidRDefault="00DE04EE" w:rsidP="00DE04EE">
      <w:pPr>
        <w:pStyle w:val="Textonotapie"/>
        <w:jc w:val="both"/>
        <w:rPr>
          <w:rFonts w:ascii="Arial" w:hAnsi="Arial" w:cs="Arial"/>
          <w:sz w:val="19"/>
          <w:szCs w:val="19"/>
        </w:rPr>
      </w:pPr>
      <w:r w:rsidRPr="00DE04EE">
        <w:rPr>
          <w:rFonts w:ascii="Verdana" w:hAnsi="Verdana" w:cs="Arial"/>
          <w:sz w:val="16"/>
          <w:szCs w:val="16"/>
        </w:rPr>
        <w:t>“</w:t>
      </w:r>
      <w:r w:rsidR="00A71022" w:rsidRPr="00DE04EE">
        <w:rPr>
          <w:rFonts w:ascii="Verdana" w:hAnsi="Verdana" w:cs="Arial"/>
          <w:sz w:val="16"/>
          <w:szCs w:val="16"/>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2" type="#_x0000_t75" style="width:10.9pt;height:10.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2A1540"/>
    <w:multiLevelType w:val="hybridMultilevel"/>
    <w:tmpl w:val="365268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8928FE"/>
    <w:multiLevelType w:val="hybridMultilevel"/>
    <w:tmpl w:val="86F852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376794"/>
    <w:multiLevelType w:val="hybridMultilevel"/>
    <w:tmpl w:val="14E62B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9"/>
  </w:num>
  <w:num w:numId="15" w16cid:durableId="390349800">
    <w:abstractNumId w:val="14"/>
  </w:num>
  <w:num w:numId="16" w16cid:durableId="1380713882">
    <w:abstractNumId w:val="0"/>
  </w:num>
  <w:num w:numId="17" w16cid:durableId="1528370592">
    <w:abstractNumId w:val="17"/>
  </w:num>
  <w:num w:numId="18" w16cid:durableId="1827160323">
    <w:abstractNumId w:val="13"/>
  </w:num>
  <w:num w:numId="19" w16cid:durableId="1341393406">
    <w:abstractNumId w:val="4"/>
  </w:num>
  <w:num w:numId="20" w16cid:durableId="1044253173">
    <w:abstractNumId w:val="6"/>
  </w:num>
  <w:num w:numId="21" w16cid:durableId="289018737">
    <w:abstractNumId w:val="20"/>
  </w:num>
  <w:num w:numId="22" w16cid:durableId="1717243718">
    <w:abstractNumId w:val="12"/>
  </w:num>
  <w:num w:numId="23" w16cid:durableId="19833459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F1"/>
    <w:rsid w:val="00002BA0"/>
    <w:rsid w:val="00061B2A"/>
    <w:rsid w:val="000716C3"/>
    <w:rsid w:val="00071E34"/>
    <w:rsid w:val="00082362"/>
    <w:rsid w:val="000A683E"/>
    <w:rsid w:val="000B19B9"/>
    <w:rsid w:val="000C3898"/>
    <w:rsid w:val="000D0334"/>
    <w:rsid w:val="000F6486"/>
    <w:rsid w:val="00125105"/>
    <w:rsid w:val="00127233"/>
    <w:rsid w:val="00160006"/>
    <w:rsid w:val="001B2F75"/>
    <w:rsid w:val="001E4177"/>
    <w:rsid w:val="001F0FB2"/>
    <w:rsid w:val="001F6D8D"/>
    <w:rsid w:val="001F7DC6"/>
    <w:rsid w:val="00210DEE"/>
    <w:rsid w:val="002421BB"/>
    <w:rsid w:val="00247B67"/>
    <w:rsid w:val="00251320"/>
    <w:rsid w:val="0025398C"/>
    <w:rsid w:val="0025796E"/>
    <w:rsid w:val="00264DFB"/>
    <w:rsid w:val="002707A2"/>
    <w:rsid w:val="00272513"/>
    <w:rsid w:val="002951A0"/>
    <w:rsid w:val="002962BC"/>
    <w:rsid w:val="002A093D"/>
    <w:rsid w:val="002A0DD0"/>
    <w:rsid w:val="002A4677"/>
    <w:rsid w:val="002A49AC"/>
    <w:rsid w:val="002A6394"/>
    <w:rsid w:val="002A64FD"/>
    <w:rsid w:val="002C7A84"/>
    <w:rsid w:val="002E4FD9"/>
    <w:rsid w:val="00322A85"/>
    <w:rsid w:val="00324168"/>
    <w:rsid w:val="00343A0B"/>
    <w:rsid w:val="003448F4"/>
    <w:rsid w:val="00363EC4"/>
    <w:rsid w:val="00374F5E"/>
    <w:rsid w:val="00377E3E"/>
    <w:rsid w:val="003A0B10"/>
    <w:rsid w:val="003A1E26"/>
    <w:rsid w:val="003A26D1"/>
    <w:rsid w:val="003A779E"/>
    <w:rsid w:val="003D0F4D"/>
    <w:rsid w:val="003D5B0D"/>
    <w:rsid w:val="003E0499"/>
    <w:rsid w:val="003E41C3"/>
    <w:rsid w:val="003E76A2"/>
    <w:rsid w:val="003F3941"/>
    <w:rsid w:val="003F79C3"/>
    <w:rsid w:val="00406575"/>
    <w:rsid w:val="0042722E"/>
    <w:rsid w:val="004321BF"/>
    <w:rsid w:val="00437B03"/>
    <w:rsid w:val="0044528D"/>
    <w:rsid w:val="004470E1"/>
    <w:rsid w:val="004735E5"/>
    <w:rsid w:val="004A1847"/>
    <w:rsid w:val="004A305D"/>
    <w:rsid w:val="004F21C4"/>
    <w:rsid w:val="004F685F"/>
    <w:rsid w:val="00521153"/>
    <w:rsid w:val="00523EE3"/>
    <w:rsid w:val="00537575"/>
    <w:rsid w:val="0055375E"/>
    <w:rsid w:val="005566E8"/>
    <w:rsid w:val="00574867"/>
    <w:rsid w:val="00574CB1"/>
    <w:rsid w:val="00591460"/>
    <w:rsid w:val="00592628"/>
    <w:rsid w:val="005944D7"/>
    <w:rsid w:val="005C3777"/>
    <w:rsid w:val="005C5CDC"/>
    <w:rsid w:val="005C74BA"/>
    <w:rsid w:val="005D476C"/>
    <w:rsid w:val="005D5319"/>
    <w:rsid w:val="005F762B"/>
    <w:rsid w:val="00610812"/>
    <w:rsid w:val="00614EE9"/>
    <w:rsid w:val="006173C6"/>
    <w:rsid w:val="006219F8"/>
    <w:rsid w:val="00650FF7"/>
    <w:rsid w:val="00665D70"/>
    <w:rsid w:val="00671DAC"/>
    <w:rsid w:val="006900D9"/>
    <w:rsid w:val="00691D55"/>
    <w:rsid w:val="00696C87"/>
    <w:rsid w:val="006A319E"/>
    <w:rsid w:val="006D12F8"/>
    <w:rsid w:val="00706C16"/>
    <w:rsid w:val="007449C3"/>
    <w:rsid w:val="00756841"/>
    <w:rsid w:val="007649AB"/>
    <w:rsid w:val="00771D0C"/>
    <w:rsid w:val="0077250D"/>
    <w:rsid w:val="007833AC"/>
    <w:rsid w:val="00793192"/>
    <w:rsid w:val="007B268C"/>
    <w:rsid w:val="007B7171"/>
    <w:rsid w:val="007C0C0F"/>
    <w:rsid w:val="007C3DC2"/>
    <w:rsid w:val="007D5768"/>
    <w:rsid w:val="007D7EA9"/>
    <w:rsid w:val="007E5497"/>
    <w:rsid w:val="00804BA5"/>
    <w:rsid w:val="00806F5F"/>
    <w:rsid w:val="00811ADC"/>
    <w:rsid w:val="00820278"/>
    <w:rsid w:val="008269B6"/>
    <w:rsid w:val="00845A8D"/>
    <w:rsid w:val="00874CC1"/>
    <w:rsid w:val="008843B6"/>
    <w:rsid w:val="00891928"/>
    <w:rsid w:val="008A446D"/>
    <w:rsid w:val="008D180B"/>
    <w:rsid w:val="008F0EA7"/>
    <w:rsid w:val="008F6B03"/>
    <w:rsid w:val="00903114"/>
    <w:rsid w:val="00922211"/>
    <w:rsid w:val="00923EEF"/>
    <w:rsid w:val="009419F9"/>
    <w:rsid w:val="0095685E"/>
    <w:rsid w:val="00961B09"/>
    <w:rsid w:val="00965334"/>
    <w:rsid w:val="0097093E"/>
    <w:rsid w:val="00987F35"/>
    <w:rsid w:val="009A0DFA"/>
    <w:rsid w:val="009B2D26"/>
    <w:rsid w:val="009C27E3"/>
    <w:rsid w:val="009C547E"/>
    <w:rsid w:val="009C71FA"/>
    <w:rsid w:val="009C72E7"/>
    <w:rsid w:val="009D3058"/>
    <w:rsid w:val="009F3A13"/>
    <w:rsid w:val="00A122D3"/>
    <w:rsid w:val="00A17F13"/>
    <w:rsid w:val="00A20739"/>
    <w:rsid w:val="00A33C78"/>
    <w:rsid w:val="00A3710E"/>
    <w:rsid w:val="00A502AE"/>
    <w:rsid w:val="00A71022"/>
    <w:rsid w:val="00A96218"/>
    <w:rsid w:val="00AA608B"/>
    <w:rsid w:val="00AA7047"/>
    <w:rsid w:val="00AB0ADB"/>
    <w:rsid w:val="00AE26B1"/>
    <w:rsid w:val="00AE7B20"/>
    <w:rsid w:val="00B01B1A"/>
    <w:rsid w:val="00B33531"/>
    <w:rsid w:val="00B4214D"/>
    <w:rsid w:val="00B72CD3"/>
    <w:rsid w:val="00B72FFF"/>
    <w:rsid w:val="00B7445C"/>
    <w:rsid w:val="00B75709"/>
    <w:rsid w:val="00B96BEA"/>
    <w:rsid w:val="00BA0D07"/>
    <w:rsid w:val="00BA1F40"/>
    <w:rsid w:val="00BC3D36"/>
    <w:rsid w:val="00BD7F72"/>
    <w:rsid w:val="00BE6BAA"/>
    <w:rsid w:val="00BF12DB"/>
    <w:rsid w:val="00C04FB3"/>
    <w:rsid w:val="00C05953"/>
    <w:rsid w:val="00C330EB"/>
    <w:rsid w:val="00C45B33"/>
    <w:rsid w:val="00C754BE"/>
    <w:rsid w:val="00C76B1C"/>
    <w:rsid w:val="00C90ADE"/>
    <w:rsid w:val="00CB6357"/>
    <w:rsid w:val="00CC1B26"/>
    <w:rsid w:val="00CC417E"/>
    <w:rsid w:val="00CC7892"/>
    <w:rsid w:val="00D31CB4"/>
    <w:rsid w:val="00D423A2"/>
    <w:rsid w:val="00D46E83"/>
    <w:rsid w:val="00D520D8"/>
    <w:rsid w:val="00D55B5C"/>
    <w:rsid w:val="00D63AC2"/>
    <w:rsid w:val="00D67CFC"/>
    <w:rsid w:val="00D7383B"/>
    <w:rsid w:val="00D97E92"/>
    <w:rsid w:val="00DA231B"/>
    <w:rsid w:val="00DA23A0"/>
    <w:rsid w:val="00DB29E1"/>
    <w:rsid w:val="00DB323D"/>
    <w:rsid w:val="00DC39FC"/>
    <w:rsid w:val="00DE04EE"/>
    <w:rsid w:val="00DF5254"/>
    <w:rsid w:val="00E16408"/>
    <w:rsid w:val="00E20894"/>
    <w:rsid w:val="00E245AB"/>
    <w:rsid w:val="00E2764C"/>
    <w:rsid w:val="00E27F2E"/>
    <w:rsid w:val="00E413EA"/>
    <w:rsid w:val="00E447AD"/>
    <w:rsid w:val="00E50AFE"/>
    <w:rsid w:val="00E51C06"/>
    <w:rsid w:val="00E56422"/>
    <w:rsid w:val="00E64D4A"/>
    <w:rsid w:val="00E75C92"/>
    <w:rsid w:val="00E771DC"/>
    <w:rsid w:val="00E8772A"/>
    <w:rsid w:val="00E90F6B"/>
    <w:rsid w:val="00E92C27"/>
    <w:rsid w:val="00EA0E3D"/>
    <w:rsid w:val="00EC38A7"/>
    <w:rsid w:val="00ED40AB"/>
    <w:rsid w:val="00EE1AA8"/>
    <w:rsid w:val="00F02D5C"/>
    <w:rsid w:val="00F31EDC"/>
    <w:rsid w:val="00F3780C"/>
    <w:rsid w:val="00F45BF2"/>
    <w:rsid w:val="00F462B3"/>
    <w:rsid w:val="00F5664F"/>
    <w:rsid w:val="00F666C4"/>
    <w:rsid w:val="00F76AFC"/>
    <w:rsid w:val="00F930CF"/>
    <w:rsid w:val="00FA47C0"/>
    <w:rsid w:val="00FB5DD1"/>
    <w:rsid w:val="00FC2B5D"/>
    <w:rsid w:val="00FF1449"/>
    <w:rsid w:val="27B827E6"/>
    <w:rsid w:val="5CEADB7B"/>
    <w:rsid w:val="7D7E09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9C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paragraph" w:customStyle="1" w:styleId="Car1">
    <w:name w:val="Car1"/>
    <w:basedOn w:val="Normal"/>
    <w:next w:val="Textonotapie"/>
    <w:uiPriority w:val="99"/>
    <w:unhideWhenUsed/>
    <w:qFormat/>
    <w:rsid w:val="00A71022"/>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11693065">
      <w:bodyDiv w:val="1"/>
      <w:marLeft w:val="0"/>
      <w:marRight w:val="0"/>
      <w:marTop w:val="0"/>
      <w:marBottom w:val="0"/>
      <w:divBdr>
        <w:top w:val="none" w:sz="0" w:space="0" w:color="auto"/>
        <w:left w:val="none" w:sz="0" w:space="0" w:color="auto"/>
        <w:bottom w:val="none" w:sz="0" w:space="0" w:color="auto"/>
        <w:right w:val="none" w:sz="0" w:space="0" w:color="auto"/>
      </w:divBdr>
    </w:div>
    <w:div w:id="345984447">
      <w:bodyDiv w:val="1"/>
      <w:marLeft w:val="0"/>
      <w:marRight w:val="0"/>
      <w:marTop w:val="0"/>
      <w:marBottom w:val="0"/>
      <w:divBdr>
        <w:top w:val="none" w:sz="0" w:space="0" w:color="auto"/>
        <w:left w:val="none" w:sz="0" w:space="0" w:color="auto"/>
        <w:bottom w:val="none" w:sz="0" w:space="0" w:color="auto"/>
        <w:right w:val="none" w:sz="0" w:space="0" w:color="auto"/>
      </w:divBdr>
    </w:div>
    <w:div w:id="470363898">
      <w:bodyDiv w:val="1"/>
      <w:marLeft w:val="0"/>
      <w:marRight w:val="0"/>
      <w:marTop w:val="0"/>
      <w:marBottom w:val="0"/>
      <w:divBdr>
        <w:top w:val="none" w:sz="0" w:space="0" w:color="auto"/>
        <w:left w:val="none" w:sz="0" w:space="0" w:color="auto"/>
        <w:bottom w:val="none" w:sz="0" w:space="0" w:color="auto"/>
        <w:right w:val="none" w:sz="0" w:space="0" w:color="auto"/>
      </w:divBdr>
    </w:div>
    <w:div w:id="53196251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5381472">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5072788">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67070095">
      <w:bodyDiv w:val="1"/>
      <w:marLeft w:val="0"/>
      <w:marRight w:val="0"/>
      <w:marTop w:val="0"/>
      <w:marBottom w:val="0"/>
      <w:divBdr>
        <w:top w:val="none" w:sz="0" w:space="0" w:color="auto"/>
        <w:left w:val="none" w:sz="0" w:space="0" w:color="auto"/>
        <w:bottom w:val="none" w:sz="0" w:space="0" w:color="auto"/>
        <w:right w:val="none" w:sz="0" w:space="0" w:color="auto"/>
      </w:divBdr>
    </w:div>
    <w:div w:id="1088118928">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2527538">
      <w:bodyDiv w:val="1"/>
      <w:marLeft w:val="0"/>
      <w:marRight w:val="0"/>
      <w:marTop w:val="0"/>
      <w:marBottom w:val="0"/>
      <w:divBdr>
        <w:top w:val="none" w:sz="0" w:space="0" w:color="auto"/>
        <w:left w:val="none" w:sz="0" w:space="0" w:color="auto"/>
        <w:bottom w:val="none" w:sz="0" w:space="0" w:color="auto"/>
        <w:right w:val="none" w:sz="0" w:space="0" w:color="auto"/>
      </w:divBdr>
    </w:div>
    <w:div w:id="124441359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58507107">
      <w:bodyDiv w:val="1"/>
      <w:marLeft w:val="0"/>
      <w:marRight w:val="0"/>
      <w:marTop w:val="0"/>
      <w:marBottom w:val="0"/>
      <w:divBdr>
        <w:top w:val="none" w:sz="0" w:space="0" w:color="auto"/>
        <w:left w:val="none" w:sz="0" w:space="0" w:color="auto"/>
        <w:bottom w:val="none" w:sz="0" w:space="0" w:color="auto"/>
        <w:right w:val="none" w:sz="0" w:space="0" w:color="auto"/>
      </w:divBdr>
    </w:div>
    <w:div w:id="1525171062">
      <w:bodyDiv w:val="1"/>
      <w:marLeft w:val="0"/>
      <w:marRight w:val="0"/>
      <w:marTop w:val="0"/>
      <w:marBottom w:val="0"/>
      <w:divBdr>
        <w:top w:val="none" w:sz="0" w:space="0" w:color="auto"/>
        <w:left w:val="none" w:sz="0" w:space="0" w:color="auto"/>
        <w:bottom w:val="none" w:sz="0" w:space="0" w:color="auto"/>
        <w:right w:val="none" w:sz="0" w:space="0" w:color="auto"/>
      </w:divBdr>
    </w:div>
    <w:div w:id="1666741515">
      <w:bodyDiv w:val="1"/>
      <w:marLeft w:val="0"/>
      <w:marRight w:val="0"/>
      <w:marTop w:val="0"/>
      <w:marBottom w:val="0"/>
      <w:divBdr>
        <w:top w:val="none" w:sz="0" w:space="0" w:color="auto"/>
        <w:left w:val="none" w:sz="0" w:space="0" w:color="auto"/>
        <w:bottom w:val="none" w:sz="0" w:space="0" w:color="auto"/>
        <w:right w:val="none" w:sz="0" w:space="0" w:color="auto"/>
      </w:divBdr>
    </w:div>
    <w:div w:id="1707825884">
      <w:bodyDiv w:val="1"/>
      <w:marLeft w:val="0"/>
      <w:marRight w:val="0"/>
      <w:marTop w:val="0"/>
      <w:marBottom w:val="0"/>
      <w:divBdr>
        <w:top w:val="none" w:sz="0" w:space="0" w:color="auto"/>
        <w:left w:val="none" w:sz="0" w:space="0" w:color="auto"/>
        <w:bottom w:val="none" w:sz="0" w:space="0" w:color="auto"/>
        <w:right w:val="none" w:sz="0" w:space="0" w:color="auto"/>
      </w:divBdr>
    </w:div>
    <w:div w:id="1713731902">
      <w:bodyDiv w:val="1"/>
      <w:marLeft w:val="0"/>
      <w:marRight w:val="0"/>
      <w:marTop w:val="0"/>
      <w:marBottom w:val="0"/>
      <w:divBdr>
        <w:top w:val="none" w:sz="0" w:space="0" w:color="auto"/>
        <w:left w:val="none" w:sz="0" w:space="0" w:color="auto"/>
        <w:bottom w:val="none" w:sz="0" w:space="0" w:color="auto"/>
        <w:right w:val="none" w:sz="0" w:space="0" w:color="auto"/>
      </w:divBdr>
    </w:div>
    <w:div w:id="1720396823">
      <w:bodyDiv w:val="1"/>
      <w:marLeft w:val="0"/>
      <w:marRight w:val="0"/>
      <w:marTop w:val="0"/>
      <w:marBottom w:val="0"/>
      <w:divBdr>
        <w:top w:val="none" w:sz="0" w:space="0" w:color="auto"/>
        <w:left w:val="none" w:sz="0" w:space="0" w:color="auto"/>
        <w:bottom w:val="none" w:sz="0" w:space="0" w:color="auto"/>
        <w:right w:val="none" w:sz="0" w:space="0" w:color="auto"/>
      </w:divBdr>
    </w:div>
    <w:div w:id="1802527854">
      <w:bodyDiv w:val="1"/>
      <w:marLeft w:val="0"/>
      <w:marRight w:val="0"/>
      <w:marTop w:val="0"/>
      <w:marBottom w:val="0"/>
      <w:divBdr>
        <w:top w:val="none" w:sz="0" w:space="0" w:color="auto"/>
        <w:left w:val="none" w:sz="0" w:space="0" w:color="auto"/>
        <w:bottom w:val="none" w:sz="0" w:space="0" w:color="auto"/>
        <w:right w:val="none" w:sz="0" w:space="0" w:color="auto"/>
      </w:divBdr>
    </w:div>
    <w:div w:id="1842892531">
      <w:bodyDiv w:val="1"/>
      <w:marLeft w:val="0"/>
      <w:marRight w:val="0"/>
      <w:marTop w:val="0"/>
      <w:marBottom w:val="0"/>
      <w:divBdr>
        <w:top w:val="none" w:sz="0" w:space="0" w:color="auto"/>
        <w:left w:val="none" w:sz="0" w:space="0" w:color="auto"/>
        <w:bottom w:val="none" w:sz="0" w:space="0" w:color="auto"/>
        <w:right w:val="none" w:sz="0" w:space="0" w:color="auto"/>
      </w:divBdr>
    </w:div>
    <w:div w:id="18797792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rencia@grupoposso.com.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amp;data=05%7C02%7Cana.ortizb%40colombiacompra.gov.co%7C096eca3fdcca424ff1c708dcf932f947%7C7b09041e245149d08cb179d5e3d8c1be%7C0%7C0%7C638659244554083113%7CUnknown%7CTWFpbGZsb3d8eyJWIjoiMC4wLjAwMDAiLCJQIjoiV2luMzIiLCJBTiI6Ik1haWwiLCJXVCI6Mn0%3D%7C0%7C%7C%7C&amp;sdata=OZxcGIRDLR1ecP8MYxWhpdQ16XrqnZZ%2BRirDSWfY7jo%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05B395-5430-4FB4-9116-921CF84F4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0BEBC1F9-25E8-4B46-830F-2C6AABCA3E07}">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3985</Words>
  <Characters>21923</Characters>
  <Application>Microsoft Office Word</Application>
  <DocSecurity>0</DocSecurity>
  <Lines>182</Lines>
  <Paragraphs>51</Paragraphs>
  <ScaleCrop>false</ScaleCrop>
  <Company/>
  <LinksUpToDate>false</LinksUpToDate>
  <CharactersWithSpaces>25857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25</cp:revision>
  <cp:lastPrinted>2023-01-10T21:18:00Z</cp:lastPrinted>
  <dcterms:created xsi:type="dcterms:W3CDTF">2024-11-19T19:19:00Z</dcterms:created>
  <dcterms:modified xsi:type="dcterms:W3CDTF">2024-12-27T20:52:00Z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