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0C96A9" w14:textId="77777777" w:rsidR="009F4685" w:rsidRPr="00B16F26" w:rsidRDefault="009F4685" w:rsidP="009F4685">
      <w:pPr>
        <w:spacing w:after="0" w:line="240" w:lineRule="auto"/>
        <w:ind w:left="708" w:hanging="708"/>
        <w:contextualSpacing/>
        <w:jc w:val="both"/>
        <w:rPr>
          <w:rFonts w:ascii="Verdana" w:eastAsia="Yu Gothic UI Semibold" w:hAnsi="Verdana" w:cs="Arial"/>
          <w:b/>
          <w:bCs/>
          <w:color w:val="000000" w:themeColor="text1"/>
          <w:lang w:val="es-MX"/>
        </w:rPr>
      </w:pPr>
      <w:r w:rsidRPr="00B16F26">
        <w:rPr>
          <w:rFonts w:ascii="Verdana" w:eastAsia="Yu Gothic UI Semibold" w:hAnsi="Verdana" w:cs="Arial"/>
          <w:b/>
          <w:bCs/>
          <w:color w:val="000000" w:themeColor="text1"/>
          <w:lang w:val="es-MX"/>
        </w:rPr>
        <w:t xml:space="preserve">CONTRATOS DE PRESTACIÓN DE SERVICIOS – </w:t>
      </w:r>
      <w:r>
        <w:rPr>
          <w:rFonts w:ascii="Verdana" w:eastAsia="Yu Gothic UI Semibold" w:hAnsi="Verdana" w:cs="Arial"/>
          <w:b/>
          <w:bCs/>
          <w:color w:val="000000" w:themeColor="text1"/>
          <w:lang w:val="es-MX"/>
        </w:rPr>
        <w:t>Marco jurídico aplicable</w:t>
      </w:r>
    </w:p>
    <w:p w14:paraId="20FCBD38" w14:textId="77777777" w:rsidR="009F4685" w:rsidRPr="00B16F26" w:rsidRDefault="009F4685" w:rsidP="009F4685">
      <w:pPr>
        <w:spacing w:after="0" w:line="240" w:lineRule="auto"/>
        <w:contextualSpacing/>
        <w:jc w:val="both"/>
        <w:rPr>
          <w:rFonts w:ascii="Verdana" w:hAnsi="Verdana" w:cs="Arial"/>
          <w:color w:val="000000" w:themeColor="text1"/>
          <w:lang w:val="es-MX"/>
        </w:rPr>
      </w:pPr>
    </w:p>
    <w:p w14:paraId="1AF3CF82" w14:textId="77777777" w:rsidR="009F4685" w:rsidRPr="00083113" w:rsidRDefault="009F4685" w:rsidP="009F4685">
      <w:pPr>
        <w:spacing w:after="0" w:line="240" w:lineRule="auto"/>
        <w:contextualSpacing/>
        <w:jc w:val="both"/>
        <w:rPr>
          <w:rFonts w:ascii="Verdana" w:eastAsia="Arial" w:hAnsi="Verdana" w:cs="Arial"/>
          <w:bCs/>
          <w:color w:val="000000" w:themeColor="text1"/>
          <w:sz w:val="20"/>
          <w:szCs w:val="20"/>
        </w:rPr>
      </w:pPr>
      <w:r>
        <w:rPr>
          <w:rFonts w:ascii="Verdana" w:eastAsia="Arial" w:hAnsi="Verdana" w:cs="Arial"/>
          <w:color w:val="000000"/>
          <w:sz w:val="20"/>
          <w:szCs w:val="20"/>
        </w:rPr>
        <w:t xml:space="preserve">[…] </w:t>
      </w:r>
      <w:r w:rsidRPr="00735B04">
        <w:rPr>
          <w:rFonts w:ascii="Verdana" w:eastAsia="Arial" w:hAnsi="Verdana" w:cs="Arial"/>
          <w:color w:val="000000"/>
          <w:sz w:val="20"/>
          <w:szCs w:val="20"/>
        </w:rPr>
        <w:t>el contrato de prestación de servicios es un contrato estatal típico, regulado en el numeral 3 del artículo 32 de la Ley 80 de 1993. Ha sido definido como aquel que celebran las entidades estatales para desarrollar actividades relacionadas con la administración o funcionamiento de la entidad, que pueden ser celebrados con personas naturales y que proceden siempre que las actividades pactadas no puedan realizarse con personal de planta o se requiera de un conocimiento especializado, sin que tales contratos generen una relación laboral, ni la exigencia de prestaciones sociales, pudiéndose celebrar solo por el término estrictamente indispensable. Así mismo, la celebración de dicho contrato deberá efectuarse a través de la modalidad de contratación directa conforme lo dispone el artículo 2, numeral 4, literal h), de la Ley 1150 de 2007, con la observancia del artículo 11 ibidem y las reglas dispuestas en el artículo 2.2.1.2.1.4.9 del Decreto 1082 de 2015.</w:t>
      </w:r>
    </w:p>
    <w:p w14:paraId="166C709E" w14:textId="77777777" w:rsidR="009F4685" w:rsidRPr="00083113" w:rsidRDefault="009F4685" w:rsidP="009F4685">
      <w:pPr>
        <w:spacing w:after="0" w:line="240" w:lineRule="auto"/>
        <w:jc w:val="both"/>
        <w:rPr>
          <w:rFonts w:ascii="Verdana" w:eastAsia="Arial" w:hAnsi="Verdana" w:cs="Arial"/>
          <w:color w:val="000000" w:themeColor="text1"/>
          <w:sz w:val="20"/>
          <w:szCs w:val="20"/>
        </w:rPr>
      </w:pPr>
    </w:p>
    <w:p w14:paraId="59290E53" w14:textId="77777777" w:rsidR="009F4685" w:rsidRDefault="009F4685" w:rsidP="009F4685">
      <w:pPr>
        <w:spacing w:after="0" w:line="240" w:lineRule="auto"/>
        <w:jc w:val="both"/>
        <w:rPr>
          <w:rFonts w:ascii="Verdana" w:eastAsia="Yu Gothic UI Semibold" w:hAnsi="Verdana" w:cs="Arial"/>
          <w:b/>
          <w:bCs/>
          <w:color w:val="000000" w:themeColor="text1"/>
          <w:lang w:val="es-MX"/>
        </w:rPr>
      </w:pPr>
      <w:r w:rsidRPr="00B16F26">
        <w:rPr>
          <w:rFonts w:ascii="Verdana" w:eastAsia="Yu Gothic UI Semibold" w:hAnsi="Verdana" w:cs="Arial"/>
          <w:b/>
          <w:bCs/>
          <w:color w:val="000000" w:themeColor="text1"/>
          <w:lang w:val="es-MX"/>
        </w:rPr>
        <w:t>CONTRATOS DE PRESTACIÓN DE SERVICIOS –</w:t>
      </w:r>
      <w:r>
        <w:rPr>
          <w:rFonts w:ascii="Verdana" w:eastAsia="Yu Gothic UI Semibold" w:hAnsi="Verdana" w:cs="Arial"/>
          <w:b/>
          <w:bCs/>
          <w:color w:val="000000" w:themeColor="text1"/>
          <w:lang w:val="es-MX"/>
        </w:rPr>
        <w:t xml:space="preserve"> Liquidación </w:t>
      </w:r>
      <w:r w:rsidRPr="00B16F26">
        <w:rPr>
          <w:rFonts w:ascii="Verdana" w:eastAsia="Yu Gothic UI Semibold" w:hAnsi="Verdana" w:cs="Arial"/>
          <w:b/>
          <w:bCs/>
          <w:color w:val="000000" w:themeColor="text1"/>
          <w:lang w:val="es-MX"/>
        </w:rPr>
        <w:t>–</w:t>
      </w:r>
      <w:r>
        <w:rPr>
          <w:rFonts w:ascii="Verdana" w:eastAsia="Yu Gothic UI Semibold" w:hAnsi="Verdana" w:cs="Arial"/>
          <w:b/>
          <w:bCs/>
          <w:color w:val="000000" w:themeColor="text1"/>
          <w:lang w:val="es-MX"/>
        </w:rPr>
        <w:t xml:space="preserve"> Vigencia inciso quinto artículo 60 de la Ley 80 de 1993</w:t>
      </w:r>
    </w:p>
    <w:p w14:paraId="17177772" w14:textId="77777777" w:rsidR="009F4685" w:rsidRPr="00083113" w:rsidRDefault="009F4685" w:rsidP="009F4685">
      <w:pPr>
        <w:spacing w:after="0" w:line="240" w:lineRule="auto"/>
        <w:jc w:val="both"/>
        <w:rPr>
          <w:rFonts w:ascii="Verdana" w:eastAsiaTheme="minorEastAsia" w:hAnsi="Verdana" w:cs="Arial"/>
          <w:b/>
          <w:bCs/>
          <w:color w:val="000000" w:themeColor="text1"/>
          <w:lang w:eastAsia="es-CO"/>
        </w:rPr>
      </w:pPr>
    </w:p>
    <w:p w14:paraId="7A4E1C77" w14:textId="77777777" w:rsidR="009F4685" w:rsidRPr="00083113" w:rsidRDefault="009F4685" w:rsidP="009F4685">
      <w:pPr>
        <w:spacing w:after="0" w:line="240" w:lineRule="auto"/>
        <w:jc w:val="both"/>
        <w:rPr>
          <w:rFonts w:ascii="Verdana" w:eastAsia="Arial" w:hAnsi="Verdana" w:cs="Arial"/>
          <w:bCs/>
          <w:color w:val="000000" w:themeColor="text1"/>
          <w:sz w:val="20"/>
          <w:szCs w:val="20"/>
        </w:rPr>
      </w:pPr>
      <w:r w:rsidRPr="00AC5783">
        <w:rPr>
          <w:rFonts w:ascii="Verdana" w:eastAsia="Arial" w:hAnsi="Verdana" w:cs="Arial"/>
          <w:bCs/>
          <w:color w:val="000000" w:themeColor="text1"/>
          <w:sz w:val="20"/>
          <w:szCs w:val="20"/>
        </w:rPr>
        <w:t>De otro lado, el artículo 60 de la misma Ley 80 de 1993, modificado por el artículo 32 de la Ley 1150 de 2007 y el artículo 217 del Decreto 019 de 2012, establece lo concerniente a la ocurrencia y contenido de la liquidación de los contratos estatales, donde establece que aquella no será obligatoria para los contratos de prestación de servicios profesionales y de apoyo a la gestión. Con respecto a la vigencia del inciso quinto del mentado artículo 60 dicha norma no ha sido derogada, modificada, suspendida o subrogada, con lo cual es válido predicársele su vigencia, obligatoriedad y validez en el ordenamiento jurídico colombiano</w:t>
      </w:r>
      <w:r>
        <w:rPr>
          <w:rFonts w:ascii="Verdana" w:eastAsia="Arial" w:hAnsi="Verdana" w:cs="Arial"/>
          <w:bCs/>
          <w:color w:val="000000" w:themeColor="text1"/>
          <w:sz w:val="20"/>
          <w:szCs w:val="20"/>
        </w:rPr>
        <w:t>.</w:t>
      </w:r>
    </w:p>
    <w:p w14:paraId="21A6E915" w14:textId="77777777" w:rsidR="009F4685" w:rsidRPr="00083113" w:rsidRDefault="009F4685" w:rsidP="009F4685">
      <w:pPr>
        <w:spacing w:after="0" w:line="240" w:lineRule="auto"/>
        <w:jc w:val="both"/>
        <w:rPr>
          <w:rFonts w:ascii="Verdana" w:eastAsia="Arial" w:hAnsi="Verdana" w:cs="Arial"/>
          <w:bCs/>
          <w:color w:val="000000" w:themeColor="text1"/>
          <w:sz w:val="20"/>
          <w:szCs w:val="20"/>
        </w:rPr>
      </w:pPr>
    </w:p>
    <w:p w14:paraId="1B489B2E" w14:textId="77777777" w:rsidR="009F4685" w:rsidRDefault="009F4685" w:rsidP="009F4685">
      <w:pPr>
        <w:spacing w:after="0" w:line="240" w:lineRule="auto"/>
        <w:jc w:val="both"/>
        <w:rPr>
          <w:rFonts w:ascii="Verdana" w:eastAsia="Yu Gothic UI Semibold" w:hAnsi="Verdana" w:cs="Arial"/>
          <w:b/>
          <w:bCs/>
          <w:color w:val="000000" w:themeColor="text1"/>
          <w:lang w:val="es-MX"/>
        </w:rPr>
      </w:pPr>
      <w:r w:rsidRPr="00B16F26">
        <w:rPr>
          <w:rFonts w:ascii="Verdana" w:eastAsia="Yu Gothic UI Semibold" w:hAnsi="Verdana" w:cs="Arial"/>
          <w:b/>
          <w:bCs/>
          <w:color w:val="000000" w:themeColor="text1"/>
          <w:lang w:val="es-MX"/>
        </w:rPr>
        <w:t>CONTRATOS DE PRESTACIÓN DE SERVICIOS –</w:t>
      </w:r>
      <w:r>
        <w:rPr>
          <w:rFonts w:ascii="Verdana" w:eastAsia="Yu Gothic UI Semibold" w:hAnsi="Verdana" w:cs="Arial"/>
          <w:b/>
          <w:bCs/>
          <w:color w:val="000000" w:themeColor="text1"/>
          <w:lang w:val="es-MX"/>
        </w:rPr>
        <w:t xml:space="preserve"> Liquidación </w:t>
      </w:r>
      <w:r w:rsidRPr="00B16F26">
        <w:rPr>
          <w:rFonts w:ascii="Verdana" w:eastAsia="Yu Gothic UI Semibold" w:hAnsi="Verdana" w:cs="Arial"/>
          <w:b/>
          <w:bCs/>
          <w:color w:val="000000" w:themeColor="text1"/>
          <w:lang w:val="es-MX"/>
        </w:rPr>
        <w:t>–</w:t>
      </w:r>
      <w:r>
        <w:rPr>
          <w:rFonts w:ascii="Verdana" w:eastAsia="Yu Gothic UI Semibold" w:hAnsi="Verdana" w:cs="Arial"/>
          <w:b/>
          <w:bCs/>
          <w:color w:val="000000" w:themeColor="text1"/>
          <w:lang w:val="es-MX"/>
        </w:rPr>
        <w:t xml:space="preserve"> No obligatoriedad </w:t>
      </w:r>
      <w:r w:rsidRPr="00B16F26">
        <w:rPr>
          <w:rFonts w:ascii="Verdana" w:eastAsia="Yu Gothic UI Semibold" w:hAnsi="Verdana" w:cs="Arial"/>
          <w:b/>
          <w:bCs/>
          <w:color w:val="000000" w:themeColor="text1"/>
          <w:lang w:val="es-MX"/>
        </w:rPr>
        <w:t>–</w:t>
      </w:r>
      <w:r>
        <w:rPr>
          <w:rFonts w:ascii="Verdana" w:eastAsia="Yu Gothic UI Semibold" w:hAnsi="Verdana" w:cs="Arial"/>
          <w:b/>
          <w:bCs/>
          <w:color w:val="000000" w:themeColor="text1"/>
          <w:lang w:val="es-MX"/>
        </w:rPr>
        <w:t xml:space="preserve"> Facultativa</w:t>
      </w:r>
    </w:p>
    <w:p w14:paraId="4B75F14D" w14:textId="77777777" w:rsidR="009F4685" w:rsidRPr="00083113" w:rsidRDefault="009F4685" w:rsidP="009F4685">
      <w:pPr>
        <w:spacing w:after="0" w:line="240" w:lineRule="auto"/>
        <w:jc w:val="both"/>
        <w:rPr>
          <w:rFonts w:ascii="Verdana" w:eastAsia="Arial" w:hAnsi="Verdana" w:cs="Arial"/>
          <w:bCs/>
          <w:color w:val="000000" w:themeColor="text1"/>
          <w:sz w:val="20"/>
          <w:szCs w:val="20"/>
        </w:rPr>
      </w:pPr>
    </w:p>
    <w:p w14:paraId="06B6FCA7" w14:textId="77777777" w:rsidR="009F4685" w:rsidRDefault="009F4685" w:rsidP="009F4685">
      <w:pPr>
        <w:spacing w:after="0" w:line="240" w:lineRule="auto"/>
        <w:jc w:val="both"/>
        <w:rPr>
          <w:rFonts w:ascii="Verdana" w:eastAsia="Arial" w:hAnsi="Verdana" w:cs="Arial"/>
          <w:bCs/>
          <w:color w:val="000000" w:themeColor="text1"/>
          <w:sz w:val="20"/>
          <w:szCs w:val="20"/>
        </w:rPr>
      </w:pPr>
      <w:r w:rsidRPr="00AB7F55">
        <w:rPr>
          <w:rFonts w:ascii="Verdana" w:eastAsia="Arial" w:hAnsi="Verdana" w:cs="Arial"/>
          <w:bCs/>
          <w:color w:val="000000" w:themeColor="text1"/>
          <w:sz w:val="20"/>
          <w:szCs w:val="20"/>
        </w:rPr>
        <w:t>Así, en un principio, la liquidación no es obligatoria en los contratos de prestación de servicios profesionales y de apoyo a la gestión, pues de acuerdo con la naturaleza de este contrato no reviste una complejidad que implique hacer un ajuste final de cuentas, reconociendo saldos a favor para alguna de las partes. Sin embargo, existen casos donde estos contratos tengan una importancia y relevancia que establezcan obligaciones que hagan difícil hacer un ajuste de cuentas con la simple cuenta de cobro, o que conlleve a discrepancia y controversias, razón por la que la ley no prohíbe, por un lado, que se pacte la liquidación como cláusula accidental y, por otro, que las partes consideren necesaria la liquidación al finalizar el contrato. En ambos casos, la liquidación será facultativa.</w:t>
      </w:r>
    </w:p>
    <w:p w14:paraId="350758CD" w14:textId="77777777" w:rsidR="009F4685" w:rsidRPr="00083113" w:rsidRDefault="009F4685" w:rsidP="009F4685">
      <w:pPr>
        <w:spacing w:after="0" w:line="240" w:lineRule="auto"/>
        <w:jc w:val="both"/>
        <w:rPr>
          <w:rFonts w:ascii="Verdana" w:eastAsia="Arial" w:hAnsi="Verdana" w:cs="Arial"/>
          <w:bCs/>
          <w:color w:val="000000" w:themeColor="text1"/>
          <w:sz w:val="20"/>
          <w:szCs w:val="20"/>
        </w:rPr>
      </w:pPr>
    </w:p>
    <w:p w14:paraId="75E68AE8" w14:textId="77777777" w:rsidR="009F4685" w:rsidRDefault="009F4685" w:rsidP="009F4685">
      <w:pPr>
        <w:spacing w:after="0" w:line="240" w:lineRule="auto"/>
        <w:jc w:val="both"/>
        <w:rPr>
          <w:rFonts w:ascii="Verdana" w:eastAsia="Yu Gothic UI Semibold" w:hAnsi="Verdana" w:cs="Arial"/>
          <w:b/>
          <w:bCs/>
          <w:color w:val="000000" w:themeColor="text1"/>
          <w:lang w:val="es-MX"/>
        </w:rPr>
      </w:pPr>
      <w:r w:rsidRPr="00B16F26">
        <w:rPr>
          <w:rFonts w:ascii="Verdana" w:eastAsia="Yu Gothic UI Semibold" w:hAnsi="Verdana" w:cs="Arial"/>
          <w:b/>
          <w:bCs/>
          <w:color w:val="000000" w:themeColor="text1"/>
          <w:lang w:val="es-MX"/>
        </w:rPr>
        <w:t>CONTRATOS DE PRESTACIÓN DE SERVICIOS –</w:t>
      </w:r>
      <w:r>
        <w:rPr>
          <w:rFonts w:ascii="Verdana" w:eastAsia="Yu Gothic UI Semibold" w:hAnsi="Verdana" w:cs="Arial"/>
          <w:b/>
          <w:bCs/>
          <w:color w:val="000000" w:themeColor="text1"/>
          <w:lang w:val="es-MX"/>
        </w:rPr>
        <w:t xml:space="preserve"> Formas de terminación</w:t>
      </w:r>
    </w:p>
    <w:p w14:paraId="286BEFB4" w14:textId="77777777" w:rsidR="009F4685" w:rsidRPr="00083113" w:rsidRDefault="009F4685" w:rsidP="009F4685">
      <w:pPr>
        <w:spacing w:after="0" w:line="240" w:lineRule="auto"/>
        <w:jc w:val="both"/>
        <w:rPr>
          <w:rFonts w:ascii="Verdana" w:eastAsia="Arial" w:hAnsi="Verdana" w:cs="Arial"/>
          <w:bCs/>
          <w:color w:val="000000" w:themeColor="text1"/>
          <w:sz w:val="20"/>
          <w:szCs w:val="20"/>
        </w:rPr>
      </w:pPr>
    </w:p>
    <w:p w14:paraId="4FD784F6" w14:textId="77777777" w:rsidR="009F4685" w:rsidRPr="00F51F41" w:rsidRDefault="009F4685" w:rsidP="009F4685">
      <w:pPr>
        <w:spacing w:after="0" w:line="240" w:lineRule="auto"/>
        <w:jc w:val="both"/>
        <w:rPr>
          <w:rFonts w:ascii="Verdana" w:eastAsia="Arial" w:hAnsi="Verdana" w:cs="Arial"/>
          <w:bCs/>
          <w:color w:val="000000" w:themeColor="text1"/>
          <w:sz w:val="20"/>
          <w:szCs w:val="20"/>
        </w:rPr>
      </w:pPr>
      <w:r w:rsidRPr="00F51F41">
        <w:rPr>
          <w:rFonts w:ascii="Verdana" w:eastAsia="Arial" w:hAnsi="Verdana" w:cs="Arial"/>
          <w:bCs/>
          <w:color w:val="000000" w:themeColor="text1"/>
          <w:sz w:val="20"/>
          <w:szCs w:val="20"/>
        </w:rPr>
        <w:t>De acuerdo con la jurisprudencia del Consejo de Estado, existen dos maneras de terminación del contrato estatal. La primera manera es por modos o causas normales donde se incluyen: (i) el cumplimiento del objeto; (ii) el vencimiento del plazo extintivo de duración del contrato, y (iii) el acaecimiento de la condición resolutoria expresa, pactada por las partes.</w:t>
      </w:r>
    </w:p>
    <w:p w14:paraId="1A14B087" w14:textId="77777777" w:rsidR="009F4685" w:rsidRPr="00F51F41" w:rsidRDefault="009F4685" w:rsidP="009F4685">
      <w:pPr>
        <w:spacing w:after="0" w:line="240" w:lineRule="auto"/>
        <w:jc w:val="both"/>
        <w:rPr>
          <w:rFonts w:ascii="Verdana" w:eastAsia="Arial" w:hAnsi="Verdana" w:cs="Arial"/>
          <w:bCs/>
          <w:color w:val="000000" w:themeColor="text1"/>
          <w:sz w:val="20"/>
          <w:szCs w:val="20"/>
        </w:rPr>
      </w:pPr>
    </w:p>
    <w:p w14:paraId="26C4F8BF" w14:textId="77777777" w:rsidR="009F4685" w:rsidRPr="00083113" w:rsidRDefault="009F4685" w:rsidP="009F4685">
      <w:pPr>
        <w:spacing w:after="0" w:line="240" w:lineRule="auto"/>
        <w:jc w:val="both"/>
        <w:rPr>
          <w:rFonts w:ascii="Verdana" w:eastAsia="Arial" w:hAnsi="Verdana" w:cs="Arial"/>
          <w:bCs/>
          <w:color w:val="000000" w:themeColor="text1"/>
          <w:sz w:val="20"/>
          <w:szCs w:val="20"/>
        </w:rPr>
      </w:pPr>
      <w:r w:rsidRPr="00F51F41">
        <w:rPr>
          <w:rFonts w:ascii="Verdana" w:eastAsia="Arial" w:hAnsi="Verdana" w:cs="Arial"/>
          <w:bCs/>
          <w:color w:val="000000" w:themeColor="text1"/>
          <w:sz w:val="20"/>
          <w:szCs w:val="20"/>
        </w:rPr>
        <w:t>De otro lado, la terminación se da por modos o causas anormales, que además están contempladas en el EGCAP, las cuales son: i) Por mutuo consentimiento de las partes (denominada también resciliación o mutuo disenso, arts. 13, 32 y 40 Ley 80 de 1993, arts. 1602 y 1625 inc. 1. C.C.); ii) Por la declaratoria de terminación unilateral, ante la configuración de alguna de las causales legales correspondientes; iii) Por renuncia del contratista a su ejecución, cuando la modificación unilateral dispuesta por la entidad llegue a alterar en un 20% o más el valor inicial del contrato; iv) Por renuncia del contratista a su ejecución, cuando le sobreviene una inhabilidad o incompatibilidad y no se pueda ceder el contrato; v) Por declaratoria de la caducidad ante el incumplimiento de las obligaciones esenciales del contratista que afecte de manera grave y directa la ejecución del contrato y evidencie que puede conducir a su paralización y, finalmente, vi) Por terminación unilateral de la entidad, como consecuencia de la configuración de ciertos supuestos de nulidad absoluta del contrato, entre ellos la violación al régimen de inhabilidades e incompatibilidades.</w:t>
      </w:r>
      <w:r w:rsidRPr="00083113">
        <w:rPr>
          <w:rFonts w:ascii="Verdana" w:eastAsia="Arial" w:hAnsi="Verdana" w:cs="Arial"/>
          <w:bCs/>
          <w:color w:val="000000" w:themeColor="text1"/>
          <w:sz w:val="20"/>
          <w:szCs w:val="20"/>
        </w:rPr>
        <w:t xml:space="preserve"> </w:t>
      </w:r>
    </w:p>
    <w:p w14:paraId="6D8778B9" w14:textId="77777777" w:rsidR="009F4685" w:rsidRDefault="009F4685" w:rsidP="009F4685">
      <w:pPr>
        <w:spacing w:after="0" w:line="240" w:lineRule="auto"/>
        <w:jc w:val="both"/>
        <w:rPr>
          <w:rFonts w:ascii="Verdana" w:eastAsia="Arial" w:hAnsi="Verdana" w:cs="Arial"/>
          <w:bCs/>
          <w:color w:val="000000" w:themeColor="text1"/>
          <w:sz w:val="20"/>
          <w:szCs w:val="20"/>
        </w:rPr>
      </w:pPr>
    </w:p>
    <w:p w14:paraId="012F3A09" w14:textId="77777777" w:rsidR="009F4685" w:rsidRPr="00083113" w:rsidRDefault="009F4685" w:rsidP="009F4685">
      <w:pPr>
        <w:spacing w:after="0" w:line="240" w:lineRule="auto"/>
        <w:jc w:val="both"/>
        <w:rPr>
          <w:rFonts w:ascii="Verdana" w:eastAsiaTheme="minorEastAsia" w:hAnsi="Verdana" w:cs="Arial"/>
          <w:b/>
          <w:bCs/>
          <w:color w:val="000000" w:themeColor="text1"/>
          <w:lang w:eastAsia="es-CO"/>
        </w:rPr>
      </w:pPr>
      <w:r w:rsidRPr="00F51F41">
        <w:rPr>
          <w:rFonts w:ascii="Verdana" w:eastAsiaTheme="minorEastAsia" w:hAnsi="Verdana" w:cs="Arial"/>
          <w:b/>
          <w:bCs/>
          <w:color w:val="000000" w:themeColor="text1"/>
          <w:lang w:eastAsia="es-CO"/>
        </w:rPr>
        <w:t xml:space="preserve">CONTRATOS DE TRACTO SUCESIVO </w:t>
      </w:r>
      <w:r w:rsidRPr="00083113">
        <w:rPr>
          <w:rFonts w:ascii="Verdana" w:eastAsiaTheme="minorEastAsia" w:hAnsi="Verdana" w:cs="Arial"/>
          <w:b/>
          <w:bCs/>
          <w:color w:val="000000" w:themeColor="text1"/>
          <w:lang w:eastAsia="es-CO"/>
        </w:rPr>
        <w:t xml:space="preserve">– </w:t>
      </w:r>
      <w:r>
        <w:rPr>
          <w:rFonts w:ascii="Verdana" w:eastAsiaTheme="minorEastAsia" w:hAnsi="Verdana" w:cs="Arial"/>
          <w:b/>
          <w:bCs/>
          <w:color w:val="000000" w:themeColor="text1"/>
          <w:lang w:eastAsia="es-CO"/>
        </w:rPr>
        <w:t>Obligaciones periódicas – Diferidas en el tiempo</w:t>
      </w:r>
    </w:p>
    <w:p w14:paraId="0BD2233F" w14:textId="77777777" w:rsidR="009F4685" w:rsidRDefault="009F4685" w:rsidP="009F4685">
      <w:pPr>
        <w:spacing w:after="0" w:line="240" w:lineRule="auto"/>
        <w:jc w:val="both"/>
        <w:rPr>
          <w:rFonts w:ascii="Century Gothic" w:eastAsia="Arial" w:hAnsi="Century Gothic" w:cs="Arial"/>
          <w:bCs/>
          <w:color w:val="000000" w:themeColor="text1"/>
          <w:sz w:val="20"/>
          <w:szCs w:val="20"/>
        </w:rPr>
      </w:pPr>
    </w:p>
    <w:p w14:paraId="179ECF4E" w14:textId="77777777" w:rsidR="009F4685" w:rsidRDefault="009F4685" w:rsidP="009F4685">
      <w:pPr>
        <w:spacing w:after="0" w:line="240" w:lineRule="auto"/>
        <w:jc w:val="both"/>
        <w:rPr>
          <w:rFonts w:ascii="Verdana" w:eastAsia="Arial" w:hAnsi="Verdana" w:cs="Arial"/>
          <w:bCs/>
          <w:color w:val="000000" w:themeColor="text1"/>
          <w:sz w:val="20"/>
          <w:szCs w:val="20"/>
        </w:rPr>
      </w:pPr>
      <w:r w:rsidRPr="00791DC8">
        <w:rPr>
          <w:rFonts w:ascii="Verdana" w:eastAsia="Arial" w:hAnsi="Verdana" w:cs="Arial"/>
          <w:bCs/>
          <w:color w:val="000000" w:themeColor="text1"/>
          <w:sz w:val="20"/>
          <w:szCs w:val="20"/>
        </w:rPr>
        <w:t>Los contratos de tracto sucesivo son aquellos en los que la labor de intermediación se extiende, por lo general, a la etapa de ejecución del contrato celebrado. En palabras del Consejo de Estado, en dichos contratos las obligaciones se ejecutan de manera periódica o difieren en el tiempo o sucesivamente a medida que se van causando, como los contratos de suministro o de arrendamiento, en donde los contratistas se obligan a realizar una sola prestación continuada en el tiempo o pluralidad de prestaciones sucesivas, periódicas o intermitentes, por un tiempo determinado, que se repite a fin de satisfacer intereses de carácter sucesivo, periódico o intermitente de forma más o menos permanente en el tiempo, a cambio de una contraprestación recíproca determinada o determinable, dotada de autonomía relativa dentro del marco de un único contrato.</w:t>
      </w:r>
    </w:p>
    <w:p w14:paraId="428390C8" w14:textId="77777777" w:rsidR="009F4685" w:rsidRDefault="009F4685" w:rsidP="009F4685">
      <w:pPr>
        <w:spacing w:after="0" w:line="240" w:lineRule="auto"/>
        <w:jc w:val="both"/>
        <w:rPr>
          <w:rFonts w:ascii="Verdana" w:eastAsia="Arial" w:hAnsi="Verdana" w:cs="Arial"/>
          <w:bCs/>
          <w:color w:val="000000" w:themeColor="text1"/>
          <w:sz w:val="20"/>
          <w:szCs w:val="20"/>
        </w:rPr>
      </w:pPr>
    </w:p>
    <w:p w14:paraId="4C5615A5" w14:textId="77777777" w:rsidR="009F4685" w:rsidRPr="00083113" w:rsidRDefault="009F4685" w:rsidP="009F4685">
      <w:pPr>
        <w:spacing w:after="0" w:line="240" w:lineRule="auto"/>
        <w:jc w:val="both"/>
        <w:rPr>
          <w:rFonts w:ascii="Verdana" w:eastAsiaTheme="minorEastAsia" w:hAnsi="Verdana" w:cs="Arial"/>
          <w:b/>
          <w:bCs/>
          <w:color w:val="000000" w:themeColor="text1"/>
          <w:lang w:eastAsia="es-CO"/>
        </w:rPr>
      </w:pPr>
      <w:r>
        <w:rPr>
          <w:rFonts w:ascii="Verdana" w:eastAsiaTheme="minorEastAsia" w:hAnsi="Verdana" w:cs="Arial"/>
          <w:b/>
          <w:bCs/>
          <w:color w:val="000000" w:themeColor="text1"/>
          <w:lang w:eastAsia="es-CO"/>
        </w:rPr>
        <w:t xml:space="preserve">LIQUIDACIÓN CONTRACTUAL </w:t>
      </w:r>
      <w:r w:rsidRPr="00083113">
        <w:rPr>
          <w:rFonts w:ascii="Verdana" w:eastAsiaTheme="minorEastAsia" w:hAnsi="Verdana" w:cs="Arial"/>
          <w:b/>
          <w:bCs/>
          <w:color w:val="000000" w:themeColor="text1"/>
          <w:lang w:eastAsia="es-CO"/>
        </w:rPr>
        <w:t>–</w:t>
      </w:r>
      <w:r>
        <w:rPr>
          <w:rFonts w:ascii="Verdana" w:eastAsiaTheme="minorEastAsia" w:hAnsi="Verdana" w:cs="Arial"/>
          <w:b/>
          <w:bCs/>
          <w:color w:val="000000" w:themeColor="text1"/>
          <w:lang w:eastAsia="es-CO"/>
        </w:rPr>
        <w:t xml:space="preserve"> Obligatoriedad</w:t>
      </w:r>
    </w:p>
    <w:p w14:paraId="1D8939F4" w14:textId="77777777" w:rsidR="009F4685" w:rsidRDefault="009F4685" w:rsidP="009F4685">
      <w:pPr>
        <w:spacing w:after="0" w:line="240" w:lineRule="auto"/>
        <w:jc w:val="both"/>
        <w:rPr>
          <w:rFonts w:ascii="Verdana" w:eastAsia="Calibri" w:hAnsi="Verdana" w:cs="Arial"/>
          <w:bCs/>
          <w:color w:val="000000" w:themeColor="text1"/>
          <w:sz w:val="20"/>
          <w:szCs w:val="20"/>
        </w:rPr>
      </w:pPr>
    </w:p>
    <w:p w14:paraId="34810568" w14:textId="77777777" w:rsidR="009F4685" w:rsidRPr="00C668E7" w:rsidRDefault="009F4685" w:rsidP="009F4685">
      <w:pPr>
        <w:spacing w:after="0" w:line="240" w:lineRule="auto"/>
        <w:jc w:val="both"/>
        <w:rPr>
          <w:rFonts w:ascii="Verdana" w:eastAsia="Calibri" w:hAnsi="Verdana" w:cs="Arial"/>
          <w:bCs/>
          <w:color w:val="000000" w:themeColor="text1"/>
          <w:sz w:val="20"/>
          <w:szCs w:val="20"/>
        </w:rPr>
      </w:pPr>
      <w:r w:rsidRPr="00C668E7">
        <w:rPr>
          <w:rFonts w:ascii="Verdana" w:eastAsia="Calibri" w:hAnsi="Verdana" w:cs="Arial"/>
          <w:bCs/>
          <w:color w:val="000000" w:themeColor="text1"/>
          <w:sz w:val="20"/>
          <w:szCs w:val="20"/>
        </w:rPr>
        <w:t>El Consejo de Estado ha interpretado el artículo 60 de la Ley 80 de 1993 desde una perspectiva gramatical y lógica, concluyendo que la liquidación es obligatoria en los siguientes casos:</w:t>
      </w:r>
    </w:p>
    <w:p w14:paraId="54B9305C" w14:textId="77777777" w:rsidR="009F4685" w:rsidRPr="00C668E7" w:rsidRDefault="009F4685" w:rsidP="009F4685">
      <w:pPr>
        <w:spacing w:after="0" w:line="240" w:lineRule="auto"/>
        <w:jc w:val="both"/>
        <w:rPr>
          <w:rFonts w:ascii="Verdana" w:eastAsia="Calibri" w:hAnsi="Verdana" w:cs="Arial"/>
          <w:bCs/>
          <w:color w:val="000000" w:themeColor="text1"/>
          <w:sz w:val="20"/>
          <w:szCs w:val="20"/>
        </w:rPr>
      </w:pPr>
    </w:p>
    <w:p w14:paraId="5F81217F" w14:textId="77777777" w:rsidR="009F4685" w:rsidRPr="00C668E7" w:rsidRDefault="009F4685" w:rsidP="009F4685">
      <w:pPr>
        <w:pStyle w:val="Prrafodelista"/>
        <w:numPr>
          <w:ilvl w:val="0"/>
          <w:numId w:val="4"/>
        </w:numPr>
        <w:spacing w:after="0" w:line="240" w:lineRule="auto"/>
        <w:jc w:val="both"/>
        <w:rPr>
          <w:rFonts w:ascii="Verdana" w:eastAsia="Calibri" w:hAnsi="Verdana" w:cs="Arial"/>
          <w:bCs/>
          <w:color w:val="000000" w:themeColor="text1"/>
          <w:sz w:val="20"/>
          <w:szCs w:val="20"/>
        </w:rPr>
      </w:pPr>
      <w:r w:rsidRPr="00C668E7">
        <w:rPr>
          <w:rFonts w:ascii="Verdana" w:eastAsia="Calibri" w:hAnsi="Verdana" w:cs="Arial"/>
          <w:bCs/>
          <w:color w:val="000000" w:themeColor="text1"/>
          <w:sz w:val="20"/>
          <w:szCs w:val="20"/>
        </w:rPr>
        <w:t xml:space="preserve">Los contratos de tracto sucesivo, esto es, aquellos cuyas obligaciones se ejecutan de manera periódica o difieren en el tiempo o sucesivamente a medida que se van causando; </w:t>
      </w:r>
    </w:p>
    <w:p w14:paraId="77EEEA70" w14:textId="77777777" w:rsidR="009F4685" w:rsidRPr="00C668E7" w:rsidRDefault="009F4685" w:rsidP="009F4685">
      <w:pPr>
        <w:pStyle w:val="Prrafodelista"/>
        <w:numPr>
          <w:ilvl w:val="0"/>
          <w:numId w:val="4"/>
        </w:numPr>
        <w:spacing w:after="0" w:line="240" w:lineRule="auto"/>
        <w:jc w:val="both"/>
        <w:rPr>
          <w:rFonts w:ascii="Verdana" w:eastAsia="Calibri" w:hAnsi="Verdana" w:cs="Arial"/>
          <w:bCs/>
          <w:color w:val="000000" w:themeColor="text1"/>
          <w:sz w:val="20"/>
          <w:szCs w:val="20"/>
        </w:rPr>
      </w:pPr>
      <w:r w:rsidRPr="00C668E7">
        <w:rPr>
          <w:rFonts w:ascii="Verdana" w:eastAsia="Calibri" w:hAnsi="Verdana" w:cs="Arial"/>
          <w:bCs/>
          <w:color w:val="000000" w:themeColor="text1"/>
          <w:sz w:val="20"/>
          <w:szCs w:val="20"/>
        </w:rPr>
        <w:t>Aquellos cuya ejecución o cumplimiento se prolongue en el tiempo (sea por la naturaleza periódica de las prestaciones o por las vicisitudes que se presenten en su ejecución que lo dilaten o prorroguen) y</w:t>
      </w:r>
    </w:p>
    <w:p w14:paraId="23A4BAB5" w14:textId="77777777" w:rsidR="009F4685" w:rsidRPr="00C668E7" w:rsidRDefault="009F4685" w:rsidP="009F4685">
      <w:pPr>
        <w:pStyle w:val="Prrafodelista"/>
        <w:numPr>
          <w:ilvl w:val="0"/>
          <w:numId w:val="4"/>
        </w:numPr>
        <w:spacing w:after="0" w:line="240" w:lineRule="auto"/>
        <w:jc w:val="both"/>
        <w:rPr>
          <w:rFonts w:ascii="Verdana" w:eastAsia="Arial" w:hAnsi="Verdana" w:cs="Arial"/>
          <w:bCs/>
          <w:color w:val="000000" w:themeColor="text1"/>
          <w:sz w:val="20"/>
          <w:szCs w:val="20"/>
        </w:rPr>
      </w:pPr>
      <w:r w:rsidRPr="00C668E7">
        <w:rPr>
          <w:rFonts w:ascii="Verdana" w:eastAsia="Calibri" w:hAnsi="Verdana" w:cs="Arial"/>
          <w:bCs/>
          <w:color w:val="000000" w:themeColor="text1"/>
          <w:sz w:val="20"/>
          <w:szCs w:val="20"/>
        </w:rPr>
        <w:t>Los demás que lo requieran, con fundamento a su naturaleza, objeto y plazo, así como a su importancia o relevancia o por la eventualidad de discrepancias y controversias en torno a su ejecución.</w:t>
      </w:r>
    </w:p>
    <w:p w14:paraId="019B7A83" w14:textId="77777777" w:rsidR="009F4685" w:rsidRDefault="009F4685" w:rsidP="009F4685">
      <w:pPr>
        <w:spacing w:after="0" w:line="240" w:lineRule="auto"/>
        <w:jc w:val="both"/>
        <w:rPr>
          <w:rFonts w:ascii="Verdana" w:eastAsia="Arial" w:hAnsi="Verdana" w:cs="Arial"/>
          <w:bCs/>
          <w:color w:val="000000" w:themeColor="text1"/>
          <w:sz w:val="20"/>
          <w:szCs w:val="20"/>
        </w:rPr>
      </w:pPr>
    </w:p>
    <w:p w14:paraId="44B7B560" w14:textId="77777777" w:rsidR="009F4685" w:rsidRPr="00F06003" w:rsidRDefault="009F4685" w:rsidP="009F4685">
      <w:pPr>
        <w:spacing w:after="0" w:line="240" w:lineRule="auto"/>
        <w:jc w:val="both"/>
        <w:rPr>
          <w:rFonts w:ascii="Verdana" w:eastAsia="Arial" w:hAnsi="Verdana" w:cs="Arial"/>
          <w:bCs/>
          <w:color w:val="000000" w:themeColor="text1"/>
          <w:sz w:val="20"/>
          <w:szCs w:val="20"/>
        </w:rPr>
      </w:pPr>
    </w:p>
    <w:p w14:paraId="56B61026" w14:textId="77777777" w:rsidR="009F4685" w:rsidRPr="00333644" w:rsidRDefault="009F4685" w:rsidP="009F4685">
      <w:pPr>
        <w:spacing w:after="0" w:line="240" w:lineRule="auto"/>
        <w:jc w:val="both"/>
        <w:rPr>
          <w:rFonts w:ascii="Century Gothic" w:eastAsia="Arial" w:hAnsi="Century Gothic" w:cs="Arial"/>
          <w:bCs/>
          <w:color w:val="000000" w:themeColor="text1"/>
          <w:sz w:val="20"/>
          <w:szCs w:val="20"/>
        </w:rPr>
      </w:pPr>
    </w:p>
    <w:p w14:paraId="219652CE" w14:textId="77777777" w:rsidR="009F4685" w:rsidRPr="005B7C42" w:rsidRDefault="009F4685" w:rsidP="009F4685">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1EF369E0" w14:textId="77777777" w:rsidR="009F4685" w:rsidRPr="005B7C42" w:rsidRDefault="009F4685" w:rsidP="009F4685">
      <w:pPr>
        <w:spacing w:after="0" w:line="240" w:lineRule="auto"/>
        <w:rPr>
          <w:rFonts w:ascii="Verdana" w:eastAsia="Times New Roman" w:hAnsi="Verdana" w:cs="Arial"/>
          <w:lang w:eastAsia="es-ES_tradnl"/>
        </w:rPr>
      </w:pPr>
    </w:p>
    <w:p w14:paraId="7B318353" w14:textId="20E255F1" w:rsidR="009F4685" w:rsidRPr="005B7C42" w:rsidRDefault="003354F1" w:rsidP="009F4685">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2607BD7E" wp14:editId="7C83C141">
            <wp:extent cx="4331220" cy="1314450"/>
            <wp:effectExtent l="0" t="0" r="0" b="0"/>
            <wp:docPr id="561012476"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12476" name="Imagen 1" descr="Interfaz de usuario gráfica, Aplicación&#10;&#10;Descripción generada automáticamente"/>
                    <pic:cNvPicPr/>
                  </pic:nvPicPr>
                  <pic:blipFill rotWithShape="1">
                    <a:blip r:embed="rId7"/>
                    <a:srcRect l="10353" t="39579" r="55533" b="25430"/>
                    <a:stretch/>
                  </pic:blipFill>
                  <pic:spPr bwMode="auto">
                    <a:xfrm>
                      <a:off x="0" y="0"/>
                      <a:ext cx="4334763" cy="1315525"/>
                    </a:xfrm>
                    <a:prstGeom prst="rect">
                      <a:avLst/>
                    </a:prstGeom>
                    <a:ln>
                      <a:noFill/>
                    </a:ln>
                    <a:extLst>
                      <a:ext uri="{53640926-AAD7-44D8-BBD7-CCE9431645EC}">
                        <a14:shadowObscured xmlns:a14="http://schemas.microsoft.com/office/drawing/2010/main"/>
                      </a:ext>
                    </a:extLst>
                  </pic:spPr>
                </pic:pic>
              </a:graphicData>
            </a:graphic>
          </wp:inline>
        </w:drawing>
      </w:r>
    </w:p>
    <w:p w14:paraId="3587F5E6" w14:textId="77777777" w:rsidR="009F4685" w:rsidRPr="005B7C42" w:rsidRDefault="009F4685" w:rsidP="009F4685">
      <w:pPr>
        <w:spacing w:after="0" w:line="240" w:lineRule="auto"/>
        <w:jc w:val="right"/>
        <w:rPr>
          <w:rFonts w:ascii="Verdana" w:eastAsia="Times New Roman" w:hAnsi="Verdana" w:cs="Arial"/>
          <w:lang w:eastAsia="es-ES_tradnl"/>
        </w:rPr>
      </w:pPr>
    </w:p>
    <w:p w14:paraId="3BF13E04" w14:textId="77777777" w:rsidR="009F4685" w:rsidRDefault="009F4685" w:rsidP="009F4685">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30E4E18B" w14:textId="77777777" w:rsidR="009F4685" w:rsidRDefault="009F4685" w:rsidP="009F4685">
      <w:pPr>
        <w:spacing w:after="0" w:line="240" w:lineRule="auto"/>
        <w:jc w:val="both"/>
        <w:rPr>
          <w:rFonts w:ascii="Verdana" w:eastAsia="Calibri" w:hAnsi="Verdana" w:cs="Arial"/>
          <w:b/>
          <w:bCs/>
          <w:lang w:eastAsia="es-ES_tradnl"/>
        </w:rPr>
      </w:pPr>
      <w:r w:rsidRPr="00D0283E">
        <w:rPr>
          <w:rFonts w:ascii="Verdana" w:eastAsia="Calibri" w:hAnsi="Verdana" w:cs="Arial"/>
          <w:b/>
          <w:bCs/>
          <w:lang w:eastAsia="es-ES_tradnl"/>
        </w:rPr>
        <w:t>Guillermo Andres</w:t>
      </w:r>
      <w:r>
        <w:rPr>
          <w:rFonts w:ascii="Verdana" w:eastAsia="Calibri" w:hAnsi="Verdana" w:cs="Arial"/>
          <w:b/>
          <w:bCs/>
          <w:lang w:eastAsia="es-ES_tradnl"/>
        </w:rPr>
        <w:t xml:space="preserve"> </w:t>
      </w:r>
      <w:r w:rsidRPr="00DD21E2">
        <w:rPr>
          <w:rFonts w:ascii="Verdana" w:eastAsia="Calibri" w:hAnsi="Verdana" w:cs="Arial"/>
          <w:b/>
          <w:bCs/>
          <w:lang w:eastAsia="es-ES_tradnl"/>
        </w:rPr>
        <w:t>Buitrago Huertas</w:t>
      </w:r>
    </w:p>
    <w:p w14:paraId="57AD4CEA" w14:textId="77777777" w:rsidR="009F4685" w:rsidRPr="00D47B16" w:rsidRDefault="009F4685" w:rsidP="009F4685">
      <w:pPr>
        <w:spacing w:after="0" w:line="240" w:lineRule="auto"/>
        <w:jc w:val="both"/>
        <w:rPr>
          <w:rFonts w:ascii="Verdana" w:eastAsia="Calibri" w:hAnsi="Verdana" w:cs="Arial"/>
          <w:lang w:eastAsia="es-ES_tradnl"/>
        </w:rPr>
      </w:pPr>
      <w:hyperlink r:id="rId8" w:history="1">
        <w:r w:rsidRPr="008928B9">
          <w:rPr>
            <w:rStyle w:val="Hipervnculo"/>
            <w:rFonts w:ascii="Verdana" w:eastAsia="Calibri" w:hAnsi="Verdana" w:cs="Arial"/>
            <w:lang w:eastAsia="es-ES_tradnl"/>
          </w:rPr>
          <w:t>andreshuertas555@gmail.com</w:t>
        </w:r>
      </w:hyperlink>
      <w:r>
        <w:rPr>
          <w:rFonts w:ascii="Verdana" w:eastAsia="Calibri" w:hAnsi="Verdana" w:cs="Arial"/>
          <w:lang w:eastAsia="es-ES_tradnl"/>
        </w:rPr>
        <w:t xml:space="preserve">  </w:t>
      </w:r>
    </w:p>
    <w:p w14:paraId="2E6C886C" w14:textId="77777777" w:rsidR="009F4685" w:rsidRPr="005B7C42" w:rsidRDefault="009F4685" w:rsidP="009F4685">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14BA61CA" w14:textId="77777777" w:rsidR="009F4685" w:rsidRPr="005B7C42" w:rsidRDefault="009F4685" w:rsidP="009F4685">
      <w:pPr>
        <w:spacing w:after="0" w:line="240" w:lineRule="auto"/>
        <w:rPr>
          <w:rFonts w:ascii="Verdana" w:eastAsia="Calibri" w:hAnsi="Verdana" w:cs="Arial"/>
          <w:lang w:eastAsia="es-ES_tradnl"/>
        </w:rPr>
      </w:pPr>
    </w:p>
    <w:p w14:paraId="4D4651F5" w14:textId="77777777" w:rsidR="009F4685" w:rsidRPr="005B7C42" w:rsidRDefault="009F4685" w:rsidP="009F4685">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849</w:t>
      </w:r>
      <w:r w:rsidRPr="005B7C42">
        <w:rPr>
          <w:rFonts w:ascii="Verdana" w:eastAsia="Calibri" w:hAnsi="Verdana" w:cs="Arial"/>
          <w:b/>
          <w:bCs/>
          <w:lang w:eastAsia="es-ES_tradnl"/>
        </w:rPr>
        <w:t xml:space="preserve"> de 2024</w:t>
      </w:r>
    </w:p>
    <w:p w14:paraId="1DC2FA19" w14:textId="77777777" w:rsidR="009F4685" w:rsidRPr="005B7C42" w:rsidRDefault="009F4685" w:rsidP="009F4685">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9F4685" w:rsidRPr="005B7C42" w14:paraId="756D46AD" w14:textId="77777777" w:rsidTr="00045A0E">
        <w:trPr>
          <w:trHeight w:val="1105"/>
          <w:jc w:val="right"/>
        </w:trPr>
        <w:tc>
          <w:tcPr>
            <w:tcW w:w="2688" w:type="dxa"/>
          </w:tcPr>
          <w:p w14:paraId="5C015F9B" w14:textId="77777777" w:rsidR="009F4685" w:rsidRPr="005B7C42" w:rsidRDefault="009F4685" w:rsidP="00045A0E">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3BBDA4EF" w14:textId="77777777" w:rsidR="009F4685" w:rsidRPr="005451DD" w:rsidRDefault="009F4685" w:rsidP="00045A0E">
            <w:pPr>
              <w:jc w:val="both"/>
              <w:rPr>
                <w:rFonts w:ascii="Verdana" w:eastAsia="Times New Roman" w:hAnsi="Verdana" w:cs="Arial"/>
                <w:highlight w:val="yellow"/>
                <w:lang w:eastAsia="es-ES_tradnl"/>
              </w:rPr>
            </w:pPr>
            <w:r w:rsidRPr="0087715B">
              <w:rPr>
                <w:rFonts w:ascii="Verdana" w:eastAsia="Calibri" w:hAnsi="Verdana" w:cs="Arial"/>
                <w:color w:val="000000"/>
                <w:kern w:val="2"/>
                <w14:ligatures w14:val="standardContextual"/>
              </w:rPr>
              <w:t>CONTRATOS DE PRESTACIÓN DE SERVICIOS – Marco jurídico aplicable</w:t>
            </w:r>
            <w:r>
              <w:rPr>
                <w:rFonts w:ascii="Verdana" w:eastAsia="Calibri" w:hAnsi="Verdana" w:cs="Arial"/>
                <w:color w:val="000000"/>
                <w:kern w:val="2"/>
                <w14:ligatures w14:val="standardContextual"/>
              </w:rPr>
              <w:t xml:space="preserve"> / </w:t>
            </w:r>
            <w:r w:rsidRPr="0087715B">
              <w:rPr>
                <w:rFonts w:ascii="Verdana" w:eastAsia="Calibri" w:hAnsi="Verdana" w:cs="Arial"/>
                <w:color w:val="000000"/>
                <w:kern w:val="2"/>
                <w14:ligatures w14:val="standardContextual"/>
              </w:rPr>
              <w:t>CONTRATOS DE PRESTACIÓN DE SERVICIOS – Liquidación – Vigencia inciso quinto artículo 60 de la Ley 80 de 1993</w:t>
            </w:r>
            <w:r>
              <w:rPr>
                <w:rFonts w:ascii="Verdana" w:eastAsia="Calibri" w:hAnsi="Verdana" w:cs="Arial"/>
                <w:color w:val="000000"/>
                <w:kern w:val="2"/>
                <w14:ligatures w14:val="standardContextual"/>
              </w:rPr>
              <w:t xml:space="preserve"> / </w:t>
            </w:r>
            <w:r w:rsidRPr="0087715B">
              <w:rPr>
                <w:rFonts w:ascii="Verdana" w:eastAsia="Calibri" w:hAnsi="Verdana" w:cs="Arial"/>
                <w:color w:val="000000"/>
                <w:kern w:val="2"/>
                <w14:ligatures w14:val="standardContextual"/>
              </w:rPr>
              <w:t>CONTRATOS DE PRESTACIÓN DE SERVICIOS – Liquidación – No obligatoriedad – Facultativa</w:t>
            </w:r>
            <w:r>
              <w:rPr>
                <w:rFonts w:ascii="Verdana" w:eastAsia="Calibri" w:hAnsi="Verdana" w:cs="Arial"/>
                <w:color w:val="000000"/>
                <w:kern w:val="2"/>
                <w14:ligatures w14:val="standardContextual"/>
              </w:rPr>
              <w:t xml:space="preserve"> / </w:t>
            </w:r>
            <w:r w:rsidRPr="0087715B">
              <w:rPr>
                <w:rFonts w:ascii="Verdana" w:eastAsia="Calibri" w:hAnsi="Verdana" w:cs="Arial"/>
                <w:color w:val="000000"/>
                <w:kern w:val="2"/>
                <w14:ligatures w14:val="standardContextual"/>
              </w:rPr>
              <w:t>CONTRATOS DE PRESTACIÓN DE SERVICIOS – Formas de terminación</w:t>
            </w:r>
            <w:r>
              <w:rPr>
                <w:rFonts w:ascii="Verdana" w:eastAsia="Calibri" w:hAnsi="Verdana" w:cs="Arial"/>
                <w:color w:val="000000"/>
                <w:kern w:val="2"/>
                <w14:ligatures w14:val="standardContextual"/>
              </w:rPr>
              <w:t xml:space="preserve"> / </w:t>
            </w:r>
            <w:r w:rsidRPr="0087715B">
              <w:rPr>
                <w:rFonts w:ascii="Verdana" w:eastAsia="Calibri" w:hAnsi="Verdana" w:cs="Arial"/>
                <w:color w:val="000000"/>
                <w:kern w:val="2"/>
                <w14:ligatures w14:val="standardContextual"/>
              </w:rPr>
              <w:t>CONTRATOS DE TRACTO SUCESIVO – Obligaciones periódicas – Diferidas en el tiempo</w:t>
            </w:r>
            <w:r>
              <w:rPr>
                <w:rFonts w:ascii="Verdana" w:eastAsia="Calibri" w:hAnsi="Verdana" w:cs="Arial"/>
                <w:color w:val="000000"/>
                <w:kern w:val="2"/>
                <w14:ligatures w14:val="standardContextual"/>
              </w:rPr>
              <w:t xml:space="preserve"> / </w:t>
            </w:r>
            <w:r w:rsidRPr="005451DD">
              <w:rPr>
                <w:rFonts w:ascii="Verdana" w:eastAsia="Calibri" w:hAnsi="Verdana" w:cs="Arial"/>
                <w:color w:val="000000"/>
                <w:kern w:val="2"/>
                <w14:ligatures w14:val="standardContextual"/>
              </w:rPr>
              <w:t>LIQUIDACIÓN CONTRACTUAL – Obligatoriedad</w:t>
            </w:r>
          </w:p>
        </w:tc>
      </w:tr>
      <w:tr w:rsidR="009F4685" w:rsidRPr="005B7C42" w14:paraId="794AAA8F" w14:textId="77777777" w:rsidTr="00045A0E">
        <w:trPr>
          <w:jc w:val="right"/>
        </w:trPr>
        <w:tc>
          <w:tcPr>
            <w:tcW w:w="2688" w:type="dxa"/>
          </w:tcPr>
          <w:p w14:paraId="7C3D6397" w14:textId="77777777" w:rsidR="009F4685" w:rsidRPr="005B7C42" w:rsidRDefault="009F4685" w:rsidP="00045A0E">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5A2284BA" w14:textId="77777777" w:rsidR="009F4685" w:rsidRPr="005B7C42" w:rsidRDefault="009F4685" w:rsidP="00045A0E">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BA4EEC">
              <w:rPr>
                <w:rFonts w:ascii="Verdana" w:eastAsia="Calibri" w:hAnsi="Verdana" w:cs="Arial"/>
                <w:lang w:eastAsia="es-ES_tradnl"/>
              </w:rPr>
              <w:t>P20241112011301</w:t>
            </w:r>
          </w:p>
        </w:tc>
      </w:tr>
    </w:tbl>
    <w:p w14:paraId="407E2BBB" w14:textId="77777777" w:rsidR="009F4685" w:rsidRPr="005B7C42" w:rsidRDefault="009F4685" w:rsidP="009F4685">
      <w:pPr>
        <w:spacing w:after="0" w:line="240" w:lineRule="auto"/>
        <w:jc w:val="both"/>
        <w:rPr>
          <w:rFonts w:ascii="Verdana" w:eastAsia="Calibri" w:hAnsi="Verdana" w:cs="Arial"/>
          <w:lang w:eastAsia="es-ES_tradnl"/>
        </w:rPr>
      </w:pPr>
    </w:p>
    <w:p w14:paraId="43608178" w14:textId="77777777" w:rsidR="009F4685" w:rsidRPr="005B7C42" w:rsidRDefault="009F4685" w:rsidP="009F4685">
      <w:pPr>
        <w:spacing w:after="0" w:line="240" w:lineRule="auto"/>
        <w:jc w:val="both"/>
        <w:rPr>
          <w:rFonts w:ascii="Verdana" w:eastAsia="Calibri" w:hAnsi="Verdana" w:cs="Arial"/>
          <w:lang w:eastAsia="es-ES_tradnl"/>
        </w:rPr>
      </w:pPr>
    </w:p>
    <w:p w14:paraId="6853BEF2" w14:textId="77777777" w:rsidR="009F4685" w:rsidRPr="005B7C42" w:rsidRDefault="009F4685" w:rsidP="009F4685">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 xml:space="preserve">o señor </w:t>
      </w:r>
      <w:r w:rsidRPr="00BA4EEC">
        <w:rPr>
          <w:rFonts w:ascii="Verdana" w:eastAsia="Calibri" w:hAnsi="Verdana" w:cs="Arial"/>
          <w:lang w:eastAsia="es-ES_tradnl"/>
        </w:rPr>
        <w:t>Buitrago Huertas</w:t>
      </w:r>
      <w:r w:rsidRPr="005B7C42">
        <w:rPr>
          <w:rFonts w:ascii="Verdana" w:eastAsia="Calibri" w:hAnsi="Verdana" w:cs="Arial"/>
          <w:bCs/>
          <w:lang w:eastAsia="es-ES_tradnl"/>
        </w:rPr>
        <w:t>,</w:t>
      </w:r>
    </w:p>
    <w:p w14:paraId="6FD12865" w14:textId="77777777" w:rsidR="009F4685" w:rsidRPr="005B7C42" w:rsidRDefault="009F4685" w:rsidP="009F4685">
      <w:pPr>
        <w:spacing w:after="0" w:line="276" w:lineRule="auto"/>
        <w:contextualSpacing/>
        <w:jc w:val="both"/>
        <w:rPr>
          <w:rFonts w:ascii="Verdana" w:eastAsia="Calibri" w:hAnsi="Verdana" w:cs="Arial"/>
          <w:lang w:eastAsia="es-ES_tradnl"/>
        </w:rPr>
      </w:pPr>
    </w:p>
    <w:p w14:paraId="4607ACC4" w14:textId="77777777" w:rsidR="009F4685" w:rsidRPr="005B7C42" w:rsidRDefault="009F4685" w:rsidP="009F4685">
      <w:pPr>
        <w:spacing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w:t>
      </w:r>
      <w:r>
        <w:rPr>
          <w:rFonts w:ascii="Verdana" w:eastAsia="Calibri" w:hAnsi="Verdana" w:cs="Arial"/>
          <w:lang w:eastAsia="es-ES_tradnl"/>
        </w:rPr>
        <w:t xml:space="preserve"> </w:t>
      </w:r>
      <w:r w:rsidRPr="005B7C42">
        <w:rPr>
          <w:rFonts w:ascii="Verdana" w:eastAsia="Calibri" w:hAnsi="Verdana" w:cs="Arial"/>
          <w:lang w:eastAsia="es-ES_tradnl"/>
        </w:rPr>
        <w:t xml:space="preserve">– responde su solicitud de consulta de fecha </w:t>
      </w:r>
      <w:r>
        <w:rPr>
          <w:rFonts w:ascii="Verdana" w:eastAsia="Calibri" w:hAnsi="Verdana" w:cs="Arial"/>
          <w:lang w:eastAsia="es-ES_tradnl"/>
        </w:rPr>
        <w:t>12</w:t>
      </w:r>
      <w:r w:rsidRPr="005B7C42">
        <w:rPr>
          <w:rFonts w:ascii="Verdana" w:eastAsia="Calibri" w:hAnsi="Verdana" w:cs="Arial"/>
          <w:lang w:eastAsia="es-ES_tradnl"/>
        </w:rPr>
        <w:t xml:space="preserve"> de </w:t>
      </w:r>
      <w:r>
        <w:rPr>
          <w:rFonts w:ascii="Verdana" w:eastAsia="Calibri" w:hAnsi="Verdana" w:cs="Arial"/>
          <w:lang w:eastAsia="es-ES_tradnl"/>
        </w:rPr>
        <w:t>noviembre</w:t>
      </w:r>
      <w:r w:rsidRPr="005B7C42">
        <w:rPr>
          <w:rFonts w:ascii="Verdana" w:eastAsia="Calibri" w:hAnsi="Verdana" w:cs="Arial"/>
          <w:lang w:eastAsia="es-ES_tradnl"/>
        </w:rPr>
        <w:t xml:space="preserve"> de 2024, en la cual consulta lo siguiente: </w:t>
      </w:r>
    </w:p>
    <w:p w14:paraId="2F7BC1A2" w14:textId="77777777" w:rsidR="009F4685" w:rsidRPr="005B7C42" w:rsidRDefault="009F4685" w:rsidP="009F4685">
      <w:pPr>
        <w:spacing w:after="0" w:line="276" w:lineRule="auto"/>
        <w:jc w:val="both"/>
        <w:rPr>
          <w:rFonts w:ascii="Verdana" w:eastAsia="Calibri" w:hAnsi="Verdana" w:cs="Arial"/>
          <w:lang w:eastAsia="es-ES_tradnl"/>
        </w:rPr>
      </w:pPr>
    </w:p>
    <w:p w14:paraId="39C022F1" w14:textId="77777777" w:rsidR="009F4685" w:rsidRDefault="009F4685" w:rsidP="009F4685">
      <w:pPr>
        <w:spacing w:after="120" w:line="276" w:lineRule="auto"/>
        <w:ind w:left="709" w:right="709"/>
        <w:jc w:val="both"/>
        <w:rPr>
          <w:rFonts w:ascii="Verdana" w:hAnsi="Verdana"/>
          <w:sz w:val="21"/>
          <w:szCs w:val="21"/>
        </w:rPr>
      </w:pPr>
      <w:r w:rsidRPr="00825650">
        <w:rPr>
          <w:rFonts w:ascii="Verdana" w:eastAsia="Times New Roman" w:hAnsi="Verdana" w:cs="Arial"/>
          <w:iCs/>
          <w:sz w:val="21"/>
          <w:szCs w:val="21"/>
          <w:lang w:eastAsia="es-ES_tradnl"/>
        </w:rPr>
        <w:t>“</w:t>
      </w:r>
      <w:r w:rsidRPr="00825650">
        <w:rPr>
          <w:rFonts w:ascii="Verdana" w:hAnsi="Verdana"/>
          <w:sz w:val="21"/>
          <w:szCs w:val="21"/>
        </w:rPr>
        <w:t xml:space="preserve">1. ¿Sigue vigente el ultimo inciso que subrayé, donde se indica que los contratos de prestación de servicios profesionales y de apoyo a la </w:t>
      </w:r>
      <w:r w:rsidRPr="00825650">
        <w:rPr>
          <w:rFonts w:ascii="Verdana" w:hAnsi="Verdana"/>
          <w:sz w:val="21"/>
          <w:szCs w:val="21"/>
        </w:rPr>
        <w:lastRenderedPageBreak/>
        <w:t xml:space="preserve">gestión, no son de obligatoria liquidación? En caso de no estar vigente, solicito la norma que actualmente lo sea o la que lo haya derogado. </w:t>
      </w:r>
    </w:p>
    <w:p w14:paraId="1B094F25" w14:textId="77777777" w:rsidR="009F4685" w:rsidRDefault="009F4685" w:rsidP="009F4685">
      <w:pPr>
        <w:spacing w:after="120" w:line="276" w:lineRule="auto"/>
        <w:ind w:left="709" w:right="709"/>
        <w:jc w:val="both"/>
        <w:rPr>
          <w:rFonts w:ascii="Verdana" w:hAnsi="Verdana"/>
          <w:sz w:val="21"/>
          <w:szCs w:val="21"/>
        </w:rPr>
      </w:pPr>
      <w:r w:rsidRPr="00825650">
        <w:rPr>
          <w:rFonts w:ascii="Verdana" w:hAnsi="Verdana"/>
          <w:sz w:val="21"/>
          <w:szCs w:val="21"/>
        </w:rPr>
        <w:t xml:space="preserve">2. ¿Los contratos de prestación de servicios profesionales y de apoyo a la gestión, deber ser terminados por escrito o se sobreentiende que se terminaron, al finalizar el plazo establecido en el acta de inicio? ¿Por qué? </w:t>
      </w:r>
    </w:p>
    <w:p w14:paraId="4F2DFEE1" w14:textId="77777777" w:rsidR="009F4685" w:rsidRDefault="009F4685" w:rsidP="009F4685">
      <w:pPr>
        <w:spacing w:after="120" w:line="276" w:lineRule="auto"/>
        <w:ind w:left="709" w:right="709"/>
        <w:jc w:val="both"/>
        <w:rPr>
          <w:rFonts w:ascii="Verdana" w:hAnsi="Verdana"/>
          <w:sz w:val="21"/>
          <w:szCs w:val="21"/>
        </w:rPr>
      </w:pPr>
      <w:r w:rsidRPr="00825650">
        <w:rPr>
          <w:rFonts w:ascii="Verdana" w:hAnsi="Verdana"/>
          <w:sz w:val="21"/>
          <w:szCs w:val="21"/>
        </w:rPr>
        <w:t xml:space="preserve">3. ¿Los contratos de prestación de servicios profesionales y de apoyo a la gestión que menciona el artículo 217 del decreto ley 19 del 2012, son los mismos que indica el literal h – numeral 4 – artículo 2 de la ley 1150 del 2007? En caso de ser negativa la respuesta, favor indicar los motivos. </w:t>
      </w:r>
    </w:p>
    <w:p w14:paraId="3297DFAC" w14:textId="77777777" w:rsidR="009F4685" w:rsidRDefault="009F4685" w:rsidP="009F4685">
      <w:pPr>
        <w:spacing w:after="120" w:line="276" w:lineRule="auto"/>
        <w:ind w:left="709" w:right="709"/>
        <w:jc w:val="both"/>
        <w:rPr>
          <w:rFonts w:ascii="Verdana" w:hAnsi="Verdana"/>
          <w:sz w:val="21"/>
          <w:szCs w:val="21"/>
        </w:rPr>
      </w:pPr>
      <w:r w:rsidRPr="00825650">
        <w:rPr>
          <w:rFonts w:ascii="Verdana" w:hAnsi="Verdana"/>
          <w:sz w:val="21"/>
          <w:szCs w:val="21"/>
        </w:rPr>
        <w:t xml:space="preserve">4. ¿Qué es un contrato de tracto sucesivo? </w:t>
      </w:r>
    </w:p>
    <w:p w14:paraId="076C8C79" w14:textId="77777777" w:rsidR="009F4685" w:rsidRPr="005B7C42" w:rsidRDefault="009F4685" w:rsidP="009F4685">
      <w:pPr>
        <w:spacing w:after="120" w:line="276" w:lineRule="auto"/>
        <w:ind w:left="709" w:right="709"/>
        <w:jc w:val="both"/>
        <w:rPr>
          <w:rFonts w:ascii="Verdana" w:eastAsia="Times New Roman" w:hAnsi="Verdana" w:cs="Arial"/>
          <w:i/>
          <w:sz w:val="20"/>
          <w:szCs w:val="20"/>
          <w:lang w:eastAsia="es-ES_tradnl"/>
        </w:rPr>
      </w:pPr>
      <w:r w:rsidRPr="00825650">
        <w:rPr>
          <w:rFonts w:ascii="Verdana" w:hAnsi="Verdana"/>
          <w:sz w:val="21"/>
          <w:szCs w:val="21"/>
        </w:rPr>
        <w:t>5. ¿Qué tipo de contratos si requieren liquidación?</w:t>
      </w:r>
      <w:r w:rsidRPr="00825650">
        <w:rPr>
          <w:rFonts w:ascii="Verdana" w:eastAsia="Times New Roman" w:hAnsi="Verdana" w:cs="Arial"/>
          <w:iCs/>
          <w:sz w:val="21"/>
          <w:szCs w:val="21"/>
          <w:lang w:eastAsia="es-ES_tradnl"/>
        </w:rPr>
        <w:t xml:space="preserve">” </w:t>
      </w:r>
      <w:r w:rsidRPr="00502CFF">
        <w:rPr>
          <w:rFonts w:ascii="Verdana" w:eastAsia="Times New Roman" w:hAnsi="Verdana" w:cs="Arial"/>
          <w:iCs/>
          <w:lang w:eastAsia="es-ES_tradnl"/>
        </w:rPr>
        <w:t>[SIC].</w:t>
      </w:r>
    </w:p>
    <w:p w14:paraId="6A55C044" w14:textId="77777777" w:rsidR="009F4685" w:rsidRPr="005B7C42" w:rsidRDefault="009F4685" w:rsidP="009F4685">
      <w:pPr>
        <w:spacing w:after="120" w:line="240" w:lineRule="auto"/>
        <w:ind w:left="709" w:right="709"/>
        <w:jc w:val="both"/>
        <w:rPr>
          <w:rFonts w:ascii="Verdana" w:eastAsia="Times New Roman" w:hAnsi="Verdana" w:cs="Arial"/>
          <w:i/>
          <w:lang w:eastAsia="es-ES_tradnl"/>
        </w:rPr>
      </w:pPr>
    </w:p>
    <w:p w14:paraId="76BDE763" w14:textId="77777777" w:rsidR="009F4685" w:rsidRPr="005B7C42" w:rsidRDefault="009F4685" w:rsidP="009F4685">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eastAsia="es-ES"/>
        </w:rPr>
        <w:t>, ni para definir la modalidad de selección o la tipología del negocio jurídico que pretendan adelantar las entidades estatales en su actividad contractual</w:t>
      </w:r>
      <w:r w:rsidRPr="005B7C42">
        <w:rPr>
          <w:rFonts w:ascii="Verdana" w:eastAsia="Calibri" w:hAnsi="Verdana" w:cs="Arial"/>
          <w:color w:val="000000"/>
          <w:lang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6E62B660" w14:textId="77777777" w:rsidR="009F4685" w:rsidRPr="005B7C42" w:rsidRDefault="009F4685" w:rsidP="009F4685">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exponiendo algunas</w:t>
      </w:r>
      <w:r w:rsidRPr="005B7C42">
        <w:rPr>
          <w:rFonts w:ascii="Verdana" w:eastAsia="Calibri" w:hAnsi="Verdana" w:cs="Arial"/>
          <w:lang w:eastAsia="es-ES"/>
        </w:rPr>
        <w:t xml:space="preserve"> consideraciones sobre las normas generales relacionadas con el problema jurídico de su consulta. </w:t>
      </w:r>
    </w:p>
    <w:p w14:paraId="5BFB72FD" w14:textId="77777777" w:rsidR="009F4685" w:rsidRPr="005B7C42" w:rsidRDefault="009F4685" w:rsidP="009F4685">
      <w:pPr>
        <w:spacing w:after="0" w:line="276" w:lineRule="auto"/>
        <w:contextualSpacing/>
        <w:jc w:val="both"/>
        <w:rPr>
          <w:rFonts w:ascii="Verdana" w:eastAsia="Times New Roman" w:hAnsi="Verdana" w:cs="Arial"/>
          <w:szCs w:val="24"/>
          <w:lang w:eastAsia="es-ES_tradnl"/>
        </w:rPr>
      </w:pPr>
    </w:p>
    <w:p w14:paraId="58774653" w14:textId="77777777" w:rsidR="009F4685" w:rsidRPr="005B7C42" w:rsidRDefault="009F4685" w:rsidP="009F4685">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72D1C600" w14:textId="77777777" w:rsidR="009F4685" w:rsidRPr="005B7C42" w:rsidRDefault="009F4685" w:rsidP="009F4685">
      <w:pPr>
        <w:tabs>
          <w:tab w:val="left" w:pos="0"/>
          <w:tab w:val="left" w:pos="284"/>
        </w:tabs>
        <w:spacing w:after="0" w:line="276" w:lineRule="auto"/>
        <w:contextualSpacing/>
        <w:jc w:val="both"/>
        <w:rPr>
          <w:rFonts w:ascii="Verdana" w:eastAsia="Calibri" w:hAnsi="Verdana" w:cs="Arial"/>
          <w:b/>
        </w:rPr>
      </w:pPr>
    </w:p>
    <w:p w14:paraId="74A5E4C2" w14:textId="77777777" w:rsidR="009F4685" w:rsidRDefault="009F4685" w:rsidP="009F4685">
      <w:pPr>
        <w:spacing w:after="0" w:line="276" w:lineRule="auto"/>
        <w:jc w:val="both"/>
        <w:rPr>
          <w:rFonts w:ascii="Verdana" w:hAnsi="Verdana"/>
        </w:rPr>
      </w:pPr>
      <w:r>
        <w:rPr>
          <w:rFonts w:ascii="Verdana" w:hAnsi="Verdana"/>
        </w:rPr>
        <w:lastRenderedPageBreak/>
        <w:t>De acuerdo con el texto de su solicitud, la Subdirección propone los siguientes problemas jurídicos:</w:t>
      </w:r>
    </w:p>
    <w:p w14:paraId="1B45E2EF" w14:textId="77777777" w:rsidR="009F4685" w:rsidRDefault="009F4685" w:rsidP="009F4685">
      <w:pPr>
        <w:spacing w:after="0" w:line="276" w:lineRule="auto"/>
        <w:jc w:val="both"/>
        <w:rPr>
          <w:rFonts w:ascii="Verdana" w:hAnsi="Verdana"/>
        </w:rPr>
      </w:pPr>
    </w:p>
    <w:p w14:paraId="631FB96C" w14:textId="77777777" w:rsidR="009F4685" w:rsidRPr="00496923" w:rsidRDefault="009F4685" w:rsidP="009F4685">
      <w:pPr>
        <w:spacing w:after="0" w:line="276" w:lineRule="auto"/>
        <w:jc w:val="both"/>
        <w:rPr>
          <w:rFonts w:ascii="Verdana" w:hAnsi="Verdana"/>
        </w:rPr>
      </w:pPr>
      <w:r>
        <w:rPr>
          <w:rFonts w:ascii="Verdana" w:hAnsi="Verdana"/>
        </w:rPr>
        <w:t>1. ¿Cuál es el marco normativo del contrato de prestación de servicios profesionales y de apoyo a la gestión, tipificado en el Estatuto General de Contratación de la Administración Pública – EGCAP</w:t>
      </w:r>
      <w:r w:rsidRPr="00496923">
        <w:rPr>
          <w:rFonts w:ascii="Verdana" w:hAnsi="Verdana"/>
        </w:rPr>
        <w:t>?</w:t>
      </w:r>
      <w:r>
        <w:rPr>
          <w:rFonts w:ascii="Verdana" w:hAnsi="Verdana"/>
        </w:rPr>
        <w:t xml:space="preserve"> ¿se encuentra vigente el inciso quinto del artículo 60 de Ley 80 de 1993, modificado por el artículo 217 del Decreto 019 de 2012?</w:t>
      </w:r>
    </w:p>
    <w:p w14:paraId="531952D4" w14:textId="77777777" w:rsidR="009F4685" w:rsidRDefault="009F4685" w:rsidP="009F4685">
      <w:pPr>
        <w:spacing w:after="0" w:line="276" w:lineRule="auto"/>
        <w:jc w:val="both"/>
        <w:rPr>
          <w:rFonts w:ascii="Verdana" w:hAnsi="Verdana"/>
        </w:rPr>
      </w:pPr>
    </w:p>
    <w:p w14:paraId="0D8B6CC1" w14:textId="77777777" w:rsidR="009F4685" w:rsidRDefault="009F4685" w:rsidP="009F4685">
      <w:pPr>
        <w:spacing w:after="0" w:line="276" w:lineRule="auto"/>
        <w:jc w:val="both"/>
        <w:rPr>
          <w:rFonts w:ascii="Verdana" w:hAnsi="Verdana"/>
        </w:rPr>
      </w:pPr>
      <w:r>
        <w:rPr>
          <w:rFonts w:ascii="Verdana" w:hAnsi="Verdana"/>
        </w:rPr>
        <w:t>2. ¿Cuáles son las reglas aplicables en lo referente a la liquidación contractual para los contratos de prestación de servicios profesionales y de apoyo a la gestión?</w:t>
      </w:r>
    </w:p>
    <w:p w14:paraId="38D7E482" w14:textId="77777777" w:rsidR="009F4685" w:rsidRDefault="009F4685" w:rsidP="009F4685">
      <w:pPr>
        <w:spacing w:after="0" w:line="276" w:lineRule="auto"/>
        <w:jc w:val="both"/>
        <w:rPr>
          <w:rFonts w:ascii="Verdana" w:hAnsi="Verdana"/>
        </w:rPr>
      </w:pPr>
    </w:p>
    <w:p w14:paraId="4D661223" w14:textId="77777777" w:rsidR="009F4685" w:rsidRDefault="009F4685" w:rsidP="009F4685">
      <w:pPr>
        <w:spacing w:after="0" w:line="276" w:lineRule="auto"/>
        <w:jc w:val="both"/>
        <w:rPr>
          <w:rFonts w:ascii="Verdana" w:hAnsi="Verdana"/>
        </w:rPr>
      </w:pPr>
      <w:r>
        <w:rPr>
          <w:rFonts w:ascii="Verdana" w:hAnsi="Verdana"/>
        </w:rPr>
        <w:t>3. ¿Cuáles son las formas de terminación del contrato estatal y, dependiendo de la forma de terminación, afecta en algo su proceso de liquidación?</w:t>
      </w:r>
    </w:p>
    <w:p w14:paraId="5FD2AA6B" w14:textId="77777777" w:rsidR="009F4685" w:rsidRDefault="009F4685" w:rsidP="009F4685">
      <w:pPr>
        <w:spacing w:after="0" w:line="276" w:lineRule="auto"/>
        <w:jc w:val="both"/>
        <w:rPr>
          <w:rFonts w:ascii="Verdana" w:hAnsi="Verdana"/>
        </w:rPr>
      </w:pPr>
    </w:p>
    <w:p w14:paraId="2FE0C5AE" w14:textId="77777777" w:rsidR="009F4685" w:rsidRDefault="009F4685" w:rsidP="009F4685">
      <w:pPr>
        <w:spacing w:after="0" w:line="276" w:lineRule="auto"/>
        <w:jc w:val="both"/>
        <w:rPr>
          <w:rFonts w:ascii="Verdana" w:hAnsi="Verdana"/>
        </w:rPr>
      </w:pPr>
      <w:r>
        <w:rPr>
          <w:rFonts w:ascii="Verdana" w:hAnsi="Verdana"/>
        </w:rPr>
        <w:t>4. ¿</w:t>
      </w:r>
      <w:r w:rsidRPr="004A55AF">
        <w:rPr>
          <w:rFonts w:ascii="Verdana" w:hAnsi="Verdana"/>
        </w:rPr>
        <w:t xml:space="preserve">Qué es un contrato de tracto sucesivo? </w:t>
      </w:r>
    </w:p>
    <w:p w14:paraId="5D0C72E2" w14:textId="77777777" w:rsidR="009F4685" w:rsidRPr="004A55AF" w:rsidRDefault="009F4685" w:rsidP="009F4685">
      <w:pPr>
        <w:spacing w:after="0" w:line="276" w:lineRule="auto"/>
        <w:jc w:val="both"/>
        <w:rPr>
          <w:rFonts w:ascii="Verdana" w:hAnsi="Verdana"/>
        </w:rPr>
      </w:pPr>
    </w:p>
    <w:p w14:paraId="41A03DAA" w14:textId="77777777" w:rsidR="009F4685" w:rsidRDefault="009F4685" w:rsidP="009F4685">
      <w:pPr>
        <w:spacing w:after="0" w:line="276" w:lineRule="auto"/>
        <w:jc w:val="both"/>
        <w:rPr>
          <w:rFonts w:ascii="Verdana" w:hAnsi="Verdana"/>
        </w:rPr>
      </w:pPr>
      <w:r w:rsidRPr="004A55AF">
        <w:rPr>
          <w:rFonts w:ascii="Verdana" w:hAnsi="Verdana"/>
        </w:rPr>
        <w:t>5. ¿</w:t>
      </w:r>
      <w:r>
        <w:rPr>
          <w:rFonts w:ascii="Verdana" w:hAnsi="Verdana"/>
        </w:rPr>
        <w:t>En q</w:t>
      </w:r>
      <w:r w:rsidRPr="004A55AF">
        <w:rPr>
          <w:rFonts w:ascii="Verdana" w:hAnsi="Verdana"/>
        </w:rPr>
        <w:t xml:space="preserve">ué tipo de contratos </w:t>
      </w:r>
      <w:r>
        <w:rPr>
          <w:rFonts w:ascii="Verdana" w:hAnsi="Verdana"/>
        </w:rPr>
        <w:t>es obligatoria la</w:t>
      </w:r>
      <w:r w:rsidRPr="004A55AF">
        <w:rPr>
          <w:rFonts w:ascii="Verdana" w:hAnsi="Verdana"/>
        </w:rPr>
        <w:t xml:space="preserve"> liquidación?</w:t>
      </w:r>
    </w:p>
    <w:p w14:paraId="3B6A7C5F" w14:textId="77777777" w:rsidR="009F4685" w:rsidRPr="005B7C42" w:rsidRDefault="009F4685" w:rsidP="009F4685">
      <w:pPr>
        <w:spacing w:after="0" w:line="276" w:lineRule="auto"/>
        <w:jc w:val="both"/>
        <w:rPr>
          <w:rFonts w:ascii="Verdana" w:hAnsi="Verdana"/>
        </w:rPr>
      </w:pPr>
    </w:p>
    <w:p w14:paraId="7F322BA3" w14:textId="77777777" w:rsidR="009F4685" w:rsidRPr="005B7C42" w:rsidRDefault="009F4685" w:rsidP="009F4685">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42C11855" w14:textId="77777777" w:rsidR="009F4685" w:rsidRPr="005B7C42" w:rsidRDefault="009F4685" w:rsidP="009F468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4685" w:rsidRPr="00340AE0" w14:paraId="6A0E4359" w14:textId="77777777" w:rsidTr="00045A0E">
        <w:tc>
          <w:tcPr>
            <w:tcW w:w="8828" w:type="dxa"/>
            <w:shd w:val="clear" w:color="auto" w:fill="auto"/>
          </w:tcPr>
          <w:p w14:paraId="04CF4222" w14:textId="77777777" w:rsidR="009F4685" w:rsidRDefault="009F4685" w:rsidP="00045A0E">
            <w:pPr>
              <w:spacing w:line="276" w:lineRule="auto"/>
              <w:jc w:val="both"/>
              <w:rPr>
                <w:rFonts w:ascii="Verdana" w:eastAsia="Arial MT" w:hAnsi="Verdana" w:cs="Arial"/>
                <w:lang w:eastAsia="es-ES" w:bidi="es-ES"/>
              </w:rPr>
            </w:pPr>
            <w:r w:rsidRPr="00201080">
              <w:rPr>
                <w:rFonts w:ascii="Verdana" w:eastAsia="Arial MT" w:hAnsi="Verdana" w:cs="Arial"/>
                <w:lang w:eastAsia="es-ES" w:bidi="es-ES"/>
              </w:rPr>
              <w:t>1.</w:t>
            </w:r>
            <w:r>
              <w:rPr>
                <w:rFonts w:ascii="Verdana" w:eastAsia="Arial MT" w:hAnsi="Verdana" w:cs="Arial"/>
                <w:lang w:eastAsia="es-ES" w:bidi="es-ES"/>
              </w:rPr>
              <w:t xml:space="preserve"> De manera inicial, resulta pertinente señalar que el </w:t>
            </w:r>
            <w:r>
              <w:rPr>
                <w:rFonts w:ascii="Verdana" w:hAnsi="Verdana"/>
              </w:rPr>
              <w:t xml:space="preserve">Estatuto General de Contratación de la Administración Pública – EGCAP abarca esencialmente la Ley 80 de 1993, la Ley 1150 de 2007 y el Decreto 1082 de 2015, sin perjuicio de las leyes, decretos, lineamientos, manuales y guías expedidas por esta Agencia que desarrollen algunas materias particulares. Por lo que el contrato de prestación de servicios que contempla </w:t>
            </w:r>
            <w:r w:rsidRPr="002C68A6">
              <w:rPr>
                <w:rFonts w:ascii="Verdana" w:hAnsi="Verdana" w:cs="Arial"/>
                <w:color w:val="000000" w:themeColor="text1"/>
                <w:lang w:val="es-MX"/>
              </w:rPr>
              <w:t>el numeral 3 del artículo 32 de la Ley 80 de 1993</w:t>
            </w:r>
            <w:r>
              <w:rPr>
                <w:rFonts w:ascii="Verdana" w:hAnsi="Verdana" w:cs="Arial"/>
                <w:color w:val="000000" w:themeColor="text1"/>
                <w:lang w:val="es-MX"/>
              </w:rPr>
              <w:t xml:space="preserve"> es el mismo tipo de contrato que desarrolla el artículo 2, numeral 4, literal h), de la Ley 1150 de 2007 como una de las causales de contratación directa y el mismo que se encuentra reglamentado en el artículo </w:t>
            </w:r>
            <w:r w:rsidRPr="000A3E81">
              <w:rPr>
                <w:rFonts w:ascii="Verdana" w:hAnsi="Verdana" w:cs="Arial"/>
                <w:color w:val="000000" w:themeColor="text1"/>
                <w:lang w:val="es-MX"/>
              </w:rPr>
              <w:t>2.2.1.2.1.4.9.</w:t>
            </w:r>
            <w:r>
              <w:rPr>
                <w:rFonts w:ascii="Verdana" w:hAnsi="Verdana" w:cs="Arial"/>
                <w:color w:val="000000" w:themeColor="text1"/>
                <w:lang w:val="es-MX"/>
              </w:rPr>
              <w:t xml:space="preserve"> del Decreto 1082 de 2015.</w:t>
            </w:r>
          </w:p>
          <w:p w14:paraId="1E28D03F" w14:textId="77777777" w:rsidR="009F4685" w:rsidRDefault="009F4685" w:rsidP="00045A0E">
            <w:pPr>
              <w:spacing w:line="276" w:lineRule="auto"/>
              <w:jc w:val="both"/>
              <w:rPr>
                <w:rFonts w:ascii="Verdana" w:eastAsia="Arial MT" w:hAnsi="Verdana" w:cs="Arial"/>
                <w:color w:val="000000" w:themeColor="text1"/>
                <w:lang w:val="es-MX" w:eastAsia="es-ES" w:bidi="es-ES"/>
              </w:rPr>
            </w:pPr>
          </w:p>
          <w:p w14:paraId="1EC9B5B7" w14:textId="77777777" w:rsidR="009F4685" w:rsidRDefault="009F4685" w:rsidP="00045A0E">
            <w:pPr>
              <w:spacing w:line="276" w:lineRule="auto"/>
              <w:jc w:val="both"/>
              <w:rPr>
                <w:rFonts w:ascii="Verdana" w:eastAsia="Calibri" w:hAnsi="Verdana" w:cs="Arial"/>
              </w:rPr>
            </w:pPr>
            <w:r>
              <w:rPr>
                <w:rFonts w:ascii="Verdana" w:hAnsi="Verdana" w:cs="Arial"/>
                <w:color w:val="000000" w:themeColor="text1"/>
                <w:lang w:val="es-MX"/>
              </w:rPr>
              <w:t>En ese sentido, el</w:t>
            </w:r>
            <w:r w:rsidRPr="002C68A6">
              <w:rPr>
                <w:rFonts w:ascii="Verdana" w:hAnsi="Verdana" w:cs="Arial"/>
                <w:color w:val="000000" w:themeColor="text1"/>
                <w:lang w:val="es-MX"/>
              </w:rPr>
              <w:t xml:space="preserve"> contrato de prestación de servicios es un contrato estatal típico, regulado en el numeral 3 del artículo 32 de la Ley 80 de 1993. </w:t>
            </w:r>
            <w:r>
              <w:rPr>
                <w:rFonts w:ascii="Verdana" w:hAnsi="Verdana" w:cs="Arial"/>
                <w:color w:val="000000" w:themeColor="text1"/>
                <w:lang w:val="es-MX"/>
              </w:rPr>
              <w:t>Ha sido</w:t>
            </w:r>
            <w:r w:rsidRPr="002C68A6">
              <w:rPr>
                <w:rFonts w:ascii="Verdana" w:hAnsi="Verdana" w:cs="Arial"/>
                <w:color w:val="000000" w:themeColor="text1"/>
                <w:lang w:val="es-MX"/>
              </w:rPr>
              <w:t xml:space="preserve"> definido como aquel que celebr</w:t>
            </w:r>
            <w:r>
              <w:rPr>
                <w:rFonts w:ascii="Verdana" w:hAnsi="Verdana" w:cs="Arial"/>
                <w:color w:val="000000" w:themeColor="text1"/>
                <w:lang w:val="es-MX"/>
              </w:rPr>
              <w:t>a</w:t>
            </w:r>
            <w:r w:rsidRPr="002C68A6">
              <w:rPr>
                <w:rFonts w:ascii="Verdana" w:hAnsi="Verdana" w:cs="Arial"/>
                <w:color w:val="000000" w:themeColor="text1"/>
                <w:lang w:val="es-MX"/>
              </w:rPr>
              <w:t>n las entidades estatales para desarrollar actividades relacionadas con la administración o funcionamiento de la entidad</w:t>
            </w:r>
            <w:r>
              <w:rPr>
                <w:rFonts w:ascii="Verdana" w:hAnsi="Verdana" w:cs="Arial"/>
                <w:color w:val="000000" w:themeColor="text1"/>
                <w:lang w:val="es-MX"/>
              </w:rPr>
              <w:t xml:space="preserve">, que pueden ser celebrados con personas naturales y que proceden siempre </w:t>
            </w:r>
            <w:r>
              <w:rPr>
                <w:rFonts w:ascii="Verdana" w:hAnsi="Verdana" w:cs="Arial"/>
                <w:color w:val="000000" w:themeColor="text1"/>
                <w:lang w:val="es-MX"/>
              </w:rPr>
              <w:lastRenderedPageBreak/>
              <w:t xml:space="preserve">que las actividades pactadas no puedan realizarse con personal de planta o se requiera de un conocimiento especializado, sin que tales contratos generen una relación laboral, ni la exigencia de prestaciones sociales, pudiéndose celebrar solo por el término estrictamente indispensable. Así mismo, la celebración de dicho contrato deberá efectuarse a través de la modalidad de contratación directa conforme lo dispone el artículo 2, numeral 4, literal h), de la Ley 1150 de 2007, con la observancia del artículo 11 </w:t>
            </w:r>
            <w:r w:rsidRPr="00B0046A">
              <w:rPr>
                <w:rFonts w:ascii="Verdana" w:hAnsi="Verdana" w:cs="Arial"/>
                <w:i/>
                <w:iCs/>
                <w:color w:val="000000" w:themeColor="text1"/>
                <w:lang w:val="es-MX"/>
              </w:rPr>
              <w:t>ibidem</w:t>
            </w:r>
            <w:r>
              <w:rPr>
                <w:rFonts w:ascii="Verdana" w:hAnsi="Verdana" w:cs="Arial"/>
                <w:color w:val="000000" w:themeColor="text1"/>
                <w:lang w:val="es-MX"/>
              </w:rPr>
              <w:t xml:space="preserve"> y las reglas dispuestas en el artículo </w:t>
            </w:r>
            <w:r w:rsidRPr="002C68A6">
              <w:rPr>
                <w:rFonts w:ascii="Verdana" w:eastAsia="Calibri" w:hAnsi="Verdana" w:cs="Arial"/>
              </w:rPr>
              <w:t>2.2.1.2.1.4.9</w:t>
            </w:r>
            <w:r>
              <w:rPr>
                <w:rFonts w:ascii="Verdana" w:eastAsia="Calibri" w:hAnsi="Verdana" w:cs="Arial"/>
              </w:rPr>
              <w:t xml:space="preserve"> del Decreto 1082 de 2015.</w:t>
            </w:r>
          </w:p>
          <w:p w14:paraId="3B4CE321" w14:textId="77777777" w:rsidR="009F4685" w:rsidRDefault="009F4685" w:rsidP="00045A0E">
            <w:pPr>
              <w:spacing w:line="276" w:lineRule="auto"/>
              <w:jc w:val="both"/>
              <w:rPr>
                <w:rFonts w:ascii="Verdana" w:eastAsia="Calibri" w:hAnsi="Verdana" w:cs="Arial"/>
              </w:rPr>
            </w:pPr>
          </w:p>
          <w:p w14:paraId="0FB244EE" w14:textId="77777777" w:rsidR="009F4685" w:rsidRDefault="009F4685" w:rsidP="00045A0E">
            <w:pPr>
              <w:spacing w:line="276" w:lineRule="auto"/>
              <w:jc w:val="both"/>
              <w:rPr>
                <w:rFonts w:ascii="Verdana" w:eastAsia="Arial MT" w:hAnsi="Verdana" w:cs="Arial"/>
                <w:lang w:eastAsia="es-ES" w:bidi="es-ES"/>
              </w:rPr>
            </w:pPr>
            <w:r>
              <w:rPr>
                <w:rFonts w:ascii="Verdana" w:eastAsia="Calibri" w:hAnsi="Verdana" w:cs="Arial"/>
              </w:rPr>
              <w:t>De otro lado, el artículo 60 de la misma Ley 80 de 1993,</w:t>
            </w:r>
            <w:r>
              <w:rPr>
                <w:rFonts w:ascii="Verdana" w:eastAsia="Arial MT" w:hAnsi="Verdana" w:cs="Arial"/>
                <w:lang w:eastAsia="es-ES" w:bidi="es-ES"/>
              </w:rPr>
              <w:t xml:space="preserve"> modificado por el artículo 32 de la Ley 1150 de 2007 y el artículo 217 del Decreto 019 de 2012,</w:t>
            </w:r>
            <w:r>
              <w:rPr>
                <w:rFonts w:ascii="Verdana" w:eastAsia="Calibri" w:hAnsi="Verdana" w:cs="Arial"/>
              </w:rPr>
              <w:t xml:space="preserve"> establece lo concerniente a la ocurrencia y contenido de la liquidación de los contratos estatales, donde establece que aquella no será obligatoria para los contratos de prestación de servici</w:t>
            </w:r>
            <w:r w:rsidRPr="007310BF">
              <w:rPr>
                <w:rFonts w:ascii="Verdana" w:eastAsia="Calibri" w:hAnsi="Verdana" w:cs="Arial"/>
              </w:rPr>
              <w:t>os profesionales y de apoyo a la gestión.</w:t>
            </w:r>
            <w:r>
              <w:rPr>
                <w:rFonts w:ascii="Verdana" w:eastAsia="Calibri" w:hAnsi="Verdana" w:cs="Arial"/>
              </w:rPr>
              <w:t xml:space="preserve"> </w:t>
            </w:r>
            <w:r>
              <w:rPr>
                <w:rFonts w:ascii="Verdana" w:eastAsia="Arial MT" w:hAnsi="Verdana" w:cs="Arial"/>
                <w:lang w:eastAsia="es-ES" w:bidi="es-ES"/>
              </w:rPr>
              <w:t>Con respecto a la vigencia del inciso quinto del mentado artículo 60 dicha norma no ha sido derogada, modificada, suspendida o subrogada, con lo cual es válido predicársele su vigencia, obligatoriedad y validez en el ordenamiento jurídico colombiano.</w:t>
            </w:r>
          </w:p>
          <w:p w14:paraId="450B0D11" w14:textId="77777777" w:rsidR="009F4685" w:rsidRDefault="009F4685" w:rsidP="00045A0E">
            <w:pPr>
              <w:spacing w:line="276" w:lineRule="auto"/>
              <w:jc w:val="both"/>
              <w:rPr>
                <w:rFonts w:ascii="Verdana" w:eastAsia="Arial MT" w:hAnsi="Verdana" w:cs="Arial"/>
                <w:lang w:eastAsia="es-ES" w:bidi="es-ES"/>
              </w:rPr>
            </w:pPr>
          </w:p>
          <w:p w14:paraId="54011E44" w14:textId="77777777" w:rsidR="009F4685" w:rsidRDefault="009F4685" w:rsidP="00045A0E">
            <w:pPr>
              <w:spacing w:line="276" w:lineRule="auto"/>
              <w:jc w:val="both"/>
              <w:rPr>
                <w:rFonts w:ascii="Verdana" w:eastAsia="Arial MT" w:hAnsi="Verdana" w:cs="Arial"/>
                <w:lang w:eastAsia="es-ES" w:bidi="es-ES"/>
              </w:rPr>
            </w:pPr>
            <w:r>
              <w:rPr>
                <w:rFonts w:ascii="Verdana" w:eastAsia="Arial MT" w:hAnsi="Verdana" w:cs="Arial"/>
                <w:lang w:eastAsia="es-ES" w:bidi="es-ES"/>
              </w:rPr>
              <w:t>2. La</w:t>
            </w:r>
            <w:r w:rsidRPr="00FE20CB">
              <w:rPr>
                <w:rFonts w:ascii="Verdana" w:eastAsia="Arial MT" w:hAnsi="Verdana" w:cs="Arial"/>
                <w:lang w:eastAsia="es-ES" w:bidi="es-ES"/>
              </w:rPr>
              <w:t xml:space="preserve"> Contraloría General de la República, en el Concepto 14.612 de 6 de marzo de 2012, analizó el artículo 217 del Decreto Ley 019 de 2012, </w:t>
            </w:r>
            <w:r>
              <w:rPr>
                <w:rFonts w:ascii="Verdana" w:eastAsia="Arial MT" w:hAnsi="Verdana" w:cs="Arial"/>
                <w:lang w:eastAsia="es-ES" w:bidi="es-ES"/>
              </w:rPr>
              <w:t>y concluyó</w:t>
            </w:r>
            <w:r w:rsidRPr="00FE20CB">
              <w:rPr>
                <w:rFonts w:ascii="Verdana" w:eastAsia="Arial MT" w:hAnsi="Verdana" w:cs="Arial"/>
                <w:lang w:eastAsia="es-ES" w:bidi="es-ES"/>
              </w:rPr>
              <w:t xml:space="preserve"> que esta</w:t>
            </w:r>
            <w:r>
              <w:rPr>
                <w:rFonts w:ascii="Verdana" w:eastAsia="Arial MT" w:hAnsi="Verdana" w:cs="Arial"/>
                <w:lang w:eastAsia="es-ES" w:bidi="es-ES"/>
              </w:rPr>
              <w:t xml:space="preserve"> norma</w:t>
            </w:r>
            <w:r w:rsidRPr="00FE20CB">
              <w:rPr>
                <w:rFonts w:ascii="Verdana" w:eastAsia="Arial MT" w:hAnsi="Verdana" w:cs="Arial"/>
                <w:lang w:eastAsia="es-ES" w:bidi="es-ES"/>
              </w:rPr>
              <w:t xml:space="preserve"> busca liberar a la Administración de trámites que recarguen innecesariamente su ejercicio institucional, permitiendo que la misma entidad, de acuerdo con su autonomía, liquide o no el contrato.</w:t>
            </w:r>
          </w:p>
          <w:p w14:paraId="49F2EF6B" w14:textId="77777777" w:rsidR="009F4685" w:rsidRPr="00FE20CB" w:rsidRDefault="009F4685" w:rsidP="00045A0E">
            <w:pPr>
              <w:spacing w:line="276" w:lineRule="auto"/>
              <w:jc w:val="both"/>
              <w:rPr>
                <w:rFonts w:ascii="Verdana" w:eastAsia="Arial MT" w:hAnsi="Verdana" w:cs="Arial"/>
                <w:lang w:eastAsia="es-ES" w:bidi="es-ES"/>
              </w:rPr>
            </w:pPr>
          </w:p>
          <w:p w14:paraId="07D7B81D" w14:textId="77777777" w:rsidR="009F4685" w:rsidRDefault="009F4685" w:rsidP="00045A0E">
            <w:pPr>
              <w:spacing w:line="276" w:lineRule="auto"/>
              <w:jc w:val="both"/>
              <w:rPr>
                <w:rFonts w:ascii="Verdana" w:eastAsia="Arial MT" w:hAnsi="Verdana" w:cs="Arial"/>
                <w:lang w:eastAsia="es-ES" w:bidi="es-ES"/>
              </w:rPr>
            </w:pPr>
            <w:r w:rsidRPr="3051C5F0">
              <w:rPr>
                <w:rFonts w:ascii="Verdana" w:eastAsia="Arial MT" w:hAnsi="Verdana" w:cs="Arial"/>
                <w:lang w:eastAsia="es-ES" w:bidi="es-ES"/>
              </w:rPr>
              <w:t>Así, en un principio, la liquidación no es obligatoria en los contratos de prestación de servicios profesionales y de apoyo a la gestión, pues de acuerdo con la naturaleza de este contrato no reviste una complejidad que implique hacer un ajuste final de cuentas, reconociendo saldos a favor para alguna de las partes. Sin embargo, existen casos donde estos contratos tengan una importancia y relevancia que establezcan obligaciones que hagan difícil hacer un ajuste de cuentas con la simple cuenta de cobro, o que conlleve a discrepancia y controversias, razón por la que la ley no prohíbe, por un lado, que se pacte la liquidación como cláusula accidental y, por otro, que las partes consideren necesaria la liquidación al finalizar el contrato y así se pacte en el acuerdo de voluntades. En ambos casos, la liquidación será facultativa y deberá realizarse, especialmente en caso que tal previsión se haya pactado contractualmente.</w:t>
            </w:r>
          </w:p>
          <w:p w14:paraId="79BED4A6" w14:textId="77777777" w:rsidR="009F4685" w:rsidRDefault="009F4685" w:rsidP="00045A0E">
            <w:pPr>
              <w:spacing w:line="276" w:lineRule="auto"/>
              <w:jc w:val="both"/>
              <w:rPr>
                <w:rFonts w:ascii="Verdana" w:eastAsia="Arial MT" w:hAnsi="Verdana" w:cs="Arial"/>
                <w:lang w:eastAsia="es-ES" w:bidi="es-ES"/>
              </w:rPr>
            </w:pPr>
          </w:p>
          <w:p w14:paraId="28F0D346" w14:textId="77777777" w:rsidR="009F4685" w:rsidRDefault="009F4685" w:rsidP="00045A0E">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3. </w:t>
            </w:r>
            <w:bookmarkStart w:id="0" w:name="_Hlk185416633"/>
            <w:r>
              <w:rPr>
                <w:rFonts w:ascii="Verdana" w:eastAsia="Arial MT" w:hAnsi="Verdana" w:cs="Arial"/>
                <w:lang w:eastAsia="es-ES" w:bidi="es-ES"/>
              </w:rPr>
              <w:t xml:space="preserve">De acuerdo con la jurisprudencia del Consejo de Estado, existen dos maneras de terminación del contrato estatal. La primera manera es por modos o causas </w:t>
            </w:r>
            <w:r w:rsidRPr="003060D4">
              <w:rPr>
                <w:rFonts w:ascii="Verdana" w:eastAsia="Arial MT" w:hAnsi="Verdana" w:cs="Arial"/>
                <w:i/>
                <w:iCs/>
                <w:lang w:eastAsia="es-ES" w:bidi="es-ES"/>
              </w:rPr>
              <w:t>normales</w:t>
            </w:r>
            <w:r w:rsidRPr="0002047C">
              <w:rPr>
                <w:rFonts w:ascii="Verdana" w:eastAsia="Arial MT" w:hAnsi="Verdana" w:cs="Arial"/>
                <w:lang w:eastAsia="es-ES" w:bidi="es-ES"/>
              </w:rPr>
              <w:t xml:space="preserve"> </w:t>
            </w:r>
            <w:r>
              <w:rPr>
                <w:rFonts w:ascii="Verdana" w:eastAsia="Arial MT" w:hAnsi="Verdana" w:cs="Arial"/>
                <w:lang w:eastAsia="es-ES" w:bidi="es-ES"/>
              </w:rPr>
              <w:t>donde se incluyen</w:t>
            </w:r>
            <w:r w:rsidRPr="0002047C">
              <w:rPr>
                <w:rFonts w:ascii="Verdana" w:eastAsia="Arial MT" w:hAnsi="Verdana" w:cs="Arial"/>
                <w:lang w:eastAsia="es-ES" w:bidi="es-ES"/>
              </w:rPr>
              <w:t>: (i) el cumplimiento del objeto; (ii) el vencimiento del plazo extintivo de duración del contrato, y (iii) el acaecimiento de la condición resolutoria expresa, pactada por las partes.</w:t>
            </w:r>
          </w:p>
          <w:p w14:paraId="39E5FEB8" w14:textId="77777777" w:rsidR="009F4685" w:rsidRDefault="009F4685" w:rsidP="00045A0E">
            <w:pPr>
              <w:spacing w:line="276" w:lineRule="auto"/>
              <w:jc w:val="both"/>
              <w:rPr>
                <w:rFonts w:ascii="Verdana" w:eastAsia="Arial MT" w:hAnsi="Verdana" w:cs="Arial"/>
                <w:lang w:eastAsia="es-ES" w:bidi="es-ES"/>
              </w:rPr>
            </w:pPr>
          </w:p>
          <w:p w14:paraId="4769ADF6" w14:textId="77777777" w:rsidR="009F4685" w:rsidRDefault="009F4685" w:rsidP="00045A0E">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De otro lado, la terminación se da por modos o causas </w:t>
            </w:r>
            <w:r w:rsidRPr="004676BC">
              <w:rPr>
                <w:rFonts w:ascii="Verdana" w:eastAsia="Arial MT" w:hAnsi="Verdana" w:cs="Arial"/>
                <w:i/>
                <w:iCs/>
                <w:lang w:eastAsia="es-ES" w:bidi="es-ES"/>
              </w:rPr>
              <w:t>anormales</w:t>
            </w:r>
            <w:r>
              <w:rPr>
                <w:rFonts w:ascii="Verdana" w:eastAsia="Arial MT" w:hAnsi="Verdana" w:cs="Arial"/>
                <w:lang w:eastAsia="es-ES" w:bidi="es-ES"/>
              </w:rPr>
              <w:t xml:space="preserve">, que además están contempladas en el EGCAP, las cuales son: </w:t>
            </w:r>
            <w:r w:rsidRPr="00777693">
              <w:rPr>
                <w:rFonts w:ascii="Verdana" w:eastAsia="Arial MT" w:hAnsi="Verdana" w:cs="Arial"/>
                <w:lang w:eastAsia="es-ES" w:bidi="es-ES"/>
              </w:rPr>
              <w:t>i</w:t>
            </w:r>
            <w:r>
              <w:rPr>
                <w:rFonts w:ascii="Verdana" w:eastAsia="Arial MT" w:hAnsi="Verdana" w:cs="Arial"/>
                <w:lang w:eastAsia="es-ES" w:bidi="es-ES"/>
              </w:rPr>
              <w:t xml:space="preserve">) </w:t>
            </w:r>
            <w:r w:rsidRPr="00777693">
              <w:rPr>
                <w:rFonts w:ascii="Verdana" w:eastAsia="Arial MT" w:hAnsi="Verdana" w:cs="Arial"/>
                <w:lang w:eastAsia="es-ES" w:bidi="es-ES"/>
              </w:rPr>
              <w:t>Por mutuo consentimiento de las partes (denominada también resciliación o mutuo disenso, arts. 13, 32 y 40 Ley 80 de 1993, arts. 1602 y 1625 inc. 1. C.C.</w:t>
            </w:r>
            <w:r>
              <w:rPr>
                <w:rFonts w:ascii="Verdana" w:eastAsia="Arial MT" w:hAnsi="Verdana" w:cs="Arial"/>
                <w:lang w:eastAsia="es-ES" w:bidi="es-ES"/>
              </w:rPr>
              <w:t xml:space="preserve">); ii) </w:t>
            </w:r>
            <w:r w:rsidRPr="00777693">
              <w:rPr>
                <w:rFonts w:ascii="Verdana" w:eastAsia="Arial MT" w:hAnsi="Verdana" w:cs="Arial"/>
                <w:lang w:eastAsia="es-ES" w:bidi="es-ES"/>
              </w:rPr>
              <w:t>Por la declaratoria de terminación unilateral, ante la configuración de alguna de las causales legales correspondientes</w:t>
            </w:r>
            <w:r>
              <w:rPr>
                <w:rFonts w:ascii="Verdana" w:eastAsia="Arial MT" w:hAnsi="Verdana" w:cs="Arial"/>
                <w:lang w:eastAsia="es-ES" w:bidi="es-ES"/>
              </w:rPr>
              <w:t>;</w:t>
            </w:r>
            <w:r w:rsidRPr="00777693">
              <w:rPr>
                <w:rFonts w:ascii="Verdana" w:eastAsia="Arial MT" w:hAnsi="Verdana" w:cs="Arial"/>
                <w:lang w:eastAsia="es-ES" w:bidi="es-ES"/>
              </w:rPr>
              <w:t xml:space="preserve"> iii</w:t>
            </w:r>
            <w:r>
              <w:rPr>
                <w:rFonts w:ascii="Verdana" w:eastAsia="Arial MT" w:hAnsi="Verdana" w:cs="Arial"/>
                <w:lang w:eastAsia="es-ES" w:bidi="es-ES"/>
              </w:rPr>
              <w:t xml:space="preserve">) </w:t>
            </w:r>
            <w:r w:rsidRPr="00777693">
              <w:rPr>
                <w:rFonts w:ascii="Verdana" w:eastAsia="Arial MT" w:hAnsi="Verdana" w:cs="Arial"/>
                <w:lang w:eastAsia="es-ES" w:bidi="es-ES"/>
              </w:rPr>
              <w:t>Por renuncia del contratista a su ejecución, cuando la modificación unilateral dispuesta por la entidad llegue a alterar en un 20% o más el valor inicial del contrato</w:t>
            </w:r>
            <w:r>
              <w:rPr>
                <w:rFonts w:ascii="Verdana" w:eastAsia="Arial MT" w:hAnsi="Verdana" w:cs="Arial"/>
                <w:lang w:eastAsia="es-ES" w:bidi="es-ES"/>
              </w:rPr>
              <w:t xml:space="preserve">; </w:t>
            </w:r>
            <w:r w:rsidRPr="005077BC">
              <w:rPr>
                <w:rFonts w:ascii="Verdana" w:eastAsia="Arial MT" w:hAnsi="Verdana" w:cs="Arial"/>
                <w:lang w:eastAsia="es-ES" w:bidi="es-ES"/>
              </w:rPr>
              <w:t>iv</w:t>
            </w:r>
            <w:r>
              <w:rPr>
                <w:rFonts w:ascii="Verdana" w:eastAsia="Arial MT" w:hAnsi="Verdana" w:cs="Arial"/>
                <w:lang w:eastAsia="es-ES" w:bidi="es-ES"/>
              </w:rPr>
              <w:t xml:space="preserve">) </w:t>
            </w:r>
            <w:r w:rsidRPr="005077BC">
              <w:rPr>
                <w:rFonts w:ascii="Verdana" w:eastAsia="Arial MT" w:hAnsi="Verdana" w:cs="Arial"/>
                <w:lang w:eastAsia="es-ES" w:bidi="es-ES"/>
              </w:rPr>
              <w:t>Por renuncia del contratista a su ejecución, cuando le sobreviene una inhabilidad o incompatibilidad y no se pueda ceder el contrato</w:t>
            </w:r>
            <w:r>
              <w:rPr>
                <w:rFonts w:ascii="Verdana" w:eastAsia="Arial MT" w:hAnsi="Verdana" w:cs="Arial"/>
                <w:lang w:eastAsia="es-ES" w:bidi="es-ES"/>
              </w:rPr>
              <w:t xml:space="preserve">; </w:t>
            </w:r>
            <w:r w:rsidRPr="005077BC">
              <w:rPr>
                <w:rFonts w:ascii="Verdana" w:eastAsia="Arial MT" w:hAnsi="Verdana" w:cs="Arial"/>
                <w:lang w:eastAsia="es-ES" w:bidi="es-ES"/>
              </w:rPr>
              <w:t>v</w:t>
            </w:r>
            <w:r>
              <w:rPr>
                <w:rFonts w:ascii="Verdana" w:eastAsia="Arial MT" w:hAnsi="Verdana" w:cs="Arial"/>
                <w:lang w:eastAsia="es-ES" w:bidi="es-ES"/>
              </w:rPr>
              <w:t xml:space="preserve">) </w:t>
            </w:r>
            <w:r w:rsidRPr="005077BC">
              <w:rPr>
                <w:rFonts w:ascii="Verdana" w:eastAsia="Arial MT" w:hAnsi="Verdana" w:cs="Arial"/>
                <w:lang w:eastAsia="es-ES" w:bidi="es-ES"/>
              </w:rPr>
              <w:t>Por declaratoria de la caducidad ante el incumplimiento de las obligaciones esenciales del contratista que afecte de manera grave y directa la ejecución del contrato y evidencie que puede conducir a su paralización</w:t>
            </w:r>
            <w:r>
              <w:rPr>
                <w:rFonts w:ascii="Verdana" w:eastAsia="Arial MT" w:hAnsi="Verdana" w:cs="Arial"/>
                <w:lang w:eastAsia="es-ES" w:bidi="es-ES"/>
              </w:rPr>
              <w:t xml:space="preserve"> y, finalmente, </w:t>
            </w:r>
            <w:r w:rsidRPr="005077BC">
              <w:rPr>
                <w:rFonts w:ascii="Verdana" w:eastAsia="Arial MT" w:hAnsi="Verdana" w:cs="Arial"/>
                <w:lang w:eastAsia="es-ES" w:bidi="es-ES"/>
              </w:rPr>
              <w:t>vi</w:t>
            </w:r>
            <w:r>
              <w:rPr>
                <w:rFonts w:ascii="Verdana" w:eastAsia="Arial MT" w:hAnsi="Verdana" w:cs="Arial"/>
                <w:lang w:eastAsia="es-ES" w:bidi="es-ES"/>
              </w:rPr>
              <w:t xml:space="preserve">) </w:t>
            </w:r>
            <w:r w:rsidRPr="005077BC">
              <w:rPr>
                <w:rFonts w:ascii="Verdana" w:eastAsia="Arial MT" w:hAnsi="Verdana" w:cs="Arial"/>
                <w:lang w:eastAsia="es-ES" w:bidi="es-ES"/>
              </w:rPr>
              <w:t>Por terminación unilateral de la entidad, como consecuencia de la configuración de ciertos supuestos de nulidad absoluta del contrato, entre ellos la violación al régimen de inhabilidades e incompatibilidades.</w:t>
            </w:r>
          </w:p>
          <w:bookmarkEnd w:id="0"/>
          <w:p w14:paraId="3C439D65" w14:textId="77777777" w:rsidR="009F4685" w:rsidRDefault="009F4685" w:rsidP="00045A0E">
            <w:pPr>
              <w:spacing w:line="276" w:lineRule="auto"/>
              <w:jc w:val="both"/>
              <w:rPr>
                <w:rFonts w:ascii="Verdana" w:eastAsia="Arial MT" w:hAnsi="Verdana" w:cs="Arial"/>
                <w:lang w:eastAsia="es-ES" w:bidi="es-ES"/>
              </w:rPr>
            </w:pPr>
          </w:p>
          <w:p w14:paraId="08F9FC2B" w14:textId="77777777" w:rsidR="009F4685" w:rsidRDefault="009F4685" w:rsidP="00045A0E">
            <w:pPr>
              <w:spacing w:line="276" w:lineRule="auto"/>
              <w:jc w:val="both"/>
              <w:rPr>
                <w:rFonts w:ascii="Verdana" w:eastAsia="Arial MT" w:hAnsi="Verdana" w:cs="Arial"/>
                <w:lang w:eastAsia="es-ES" w:bidi="es-ES"/>
              </w:rPr>
            </w:pPr>
            <w:r w:rsidRPr="3051C5F0">
              <w:rPr>
                <w:rFonts w:ascii="Verdana" w:eastAsia="Arial MT" w:hAnsi="Verdana" w:cs="Arial"/>
                <w:lang w:eastAsia="es-ES" w:bidi="es-ES"/>
              </w:rPr>
              <w:t xml:space="preserve">Dicho esto, se señala que, en caso de que se hubiere pactado la liquidación como clausula accidental o que las partes hubieran considerado necesaria la liquidación, aquella procede con posterioridad a la terminación </w:t>
            </w:r>
            <w:r w:rsidRPr="3051C5F0">
              <w:rPr>
                <w:rFonts w:ascii="Verdana" w:eastAsia="Arial MT" w:hAnsi="Verdana" w:cs="Arial"/>
                <w:i/>
                <w:iCs/>
                <w:lang w:eastAsia="es-ES" w:bidi="es-ES"/>
              </w:rPr>
              <w:t>normal</w:t>
            </w:r>
            <w:r w:rsidRPr="3051C5F0">
              <w:rPr>
                <w:rFonts w:ascii="Verdana" w:eastAsia="Arial MT" w:hAnsi="Verdana" w:cs="Arial"/>
                <w:lang w:eastAsia="es-ES" w:bidi="es-ES"/>
              </w:rPr>
              <w:t xml:space="preserve"> (por ejemplo, por vencimiento del plazo de ejecución) o </w:t>
            </w:r>
            <w:r w:rsidRPr="3051C5F0">
              <w:rPr>
                <w:rFonts w:ascii="Verdana" w:eastAsia="Arial MT" w:hAnsi="Verdana" w:cs="Arial"/>
                <w:i/>
                <w:iCs/>
                <w:lang w:eastAsia="es-ES" w:bidi="es-ES"/>
              </w:rPr>
              <w:t>anormal</w:t>
            </w:r>
            <w:r w:rsidRPr="3051C5F0">
              <w:rPr>
                <w:rFonts w:ascii="Verdana" w:eastAsia="Arial MT" w:hAnsi="Verdana" w:cs="Arial"/>
                <w:lang w:eastAsia="es-ES" w:bidi="es-ES"/>
              </w:rPr>
              <w:t xml:space="preserve"> del contrato estatal por causas contractuales o legales o por causas atribuibles a ambos contratantes o a uno de ellos.</w:t>
            </w:r>
          </w:p>
          <w:p w14:paraId="794BB43E" w14:textId="77777777" w:rsidR="009F4685" w:rsidRDefault="009F4685" w:rsidP="00045A0E">
            <w:pPr>
              <w:spacing w:line="276" w:lineRule="auto"/>
              <w:jc w:val="both"/>
              <w:rPr>
                <w:rFonts w:ascii="Verdana" w:eastAsia="Arial MT" w:hAnsi="Verdana" w:cs="Arial"/>
                <w:lang w:eastAsia="es-ES" w:bidi="es-ES"/>
              </w:rPr>
            </w:pPr>
          </w:p>
          <w:p w14:paraId="684E9852" w14:textId="77777777" w:rsidR="009F4685" w:rsidRDefault="009F4685" w:rsidP="00045A0E">
            <w:pPr>
              <w:spacing w:line="276" w:lineRule="auto"/>
              <w:jc w:val="both"/>
              <w:rPr>
                <w:rFonts w:ascii="Verdana" w:eastAsia="Arial MT" w:hAnsi="Verdana" w:cs="Arial"/>
                <w:lang w:eastAsia="es-ES" w:bidi="es-ES"/>
              </w:rPr>
            </w:pPr>
            <w:r>
              <w:rPr>
                <w:rFonts w:ascii="Verdana" w:eastAsia="Arial MT" w:hAnsi="Verdana" w:cs="Arial"/>
                <w:lang w:eastAsia="es-ES" w:bidi="es-ES"/>
              </w:rPr>
              <w:t>Ahora bien, p</w:t>
            </w:r>
            <w:r w:rsidRPr="00F4300C">
              <w:rPr>
                <w:rFonts w:ascii="Verdana" w:eastAsia="Arial MT" w:hAnsi="Verdana" w:cs="Arial"/>
                <w:lang w:eastAsia="es-ES" w:bidi="es-ES"/>
              </w:rPr>
              <w:t xml:space="preserve">or regla general, los contratos estatales deben constar por escrito, según </w:t>
            </w:r>
            <w:r>
              <w:rPr>
                <w:rFonts w:ascii="Verdana" w:eastAsia="Arial MT" w:hAnsi="Verdana" w:cs="Arial"/>
                <w:lang w:eastAsia="es-ES" w:bidi="es-ES"/>
              </w:rPr>
              <w:t xml:space="preserve">se desprende de </w:t>
            </w:r>
            <w:r w:rsidRPr="00F4300C">
              <w:rPr>
                <w:rFonts w:ascii="Verdana" w:eastAsia="Arial MT" w:hAnsi="Verdana" w:cs="Arial"/>
                <w:lang w:eastAsia="es-ES" w:bidi="es-ES"/>
              </w:rPr>
              <w:t>los artículos 39 y 41 de la Ley 80 de 1993, al señalar que tal es la forma</w:t>
            </w:r>
            <w:r>
              <w:rPr>
                <w:rFonts w:ascii="Verdana" w:eastAsia="Arial MT" w:hAnsi="Verdana" w:cs="Arial"/>
                <w:lang w:eastAsia="es-ES" w:bidi="es-ES"/>
              </w:rPr>
              <w:t xml:space="preserve"> </w:t>
            </w:r>
            <w:r w:rsidRPr="00F4300C">
              <w:rPr>
                <w:rFonts w:ascii="Verdana" w:eastAsia="Arial MT" w:hAnsi="Verdana" w:cs="Arial"/>
                <w:lang w:eastAsia="es-ES" w:bidi="es-ES"/>
              </w:rPr>
              <w:t>que deben adoptar dichos actos para existir jurídicamente y quedar</w:t>
            </w:r>
            <w:r>
              <w:rPr>
                <w:rFonts w:ascii="Verdana" w:eastAsia="Arial MT" w:hAnsi="Verdana" w:cs="Arial"/>
                <w:lang w:eastAsia="es-ES" w:bidi="es-ES"/>
              </w:rPr>
              <w:t xml:space="preserve"> </w:t>
            </w:r>
            <w:r w:rsidRPr="00F4300C">
              <w:rPr>
                <w:rFonts w:ascii="Verdana" w:eastAsia="Arial MT" w:hAnsi="Verdana" w:cs="Arial"/>
                <w:lang w:eastAsia="es-ES" w:bidi="es-ES"/>
              </w:rPr>
              <w:t>perfeccionados, es decir, para que sean válidos desde la perspectiva</w:t>
            </w:r>
            <w:r>
              <w:rPr>
                <w:rFonts w:ascii="Verdana" w:eastAsia="Arial MT" w:hAnsi="Verdana" w:cs="Arial"/>
                <w:lang w:eastAsia="es-ES" w:bidi="es-ES"/>
              </w:rPr>
              <w:t xml:space="preserve"> </w:t>
            </w:r>
            <w:r w:rsidRPr="00F4300C">
              <w:rPr>
                <w:rFonts w:ascii="Verdana" w:eastAsia="Arial MT" w:hAnsi="Verdana" w:cs="Arial"/>
                <w:lang w:eastAsia="es-ES" w:bidi="es-ES"/>
              </w:rPr>
              <w:t>estrictamente formal</w:t>
            </w:r>
            <w:r>
              <w:rPr>
                <w:rFonts w:ascii="Verdana" w:eastAsia="Arial MT" w:hAnsi="Verdana" w:cs="Arial"/>
                <w:lang w:eastAsia="es-ES" w:bidi="es-ES"/>
              </w:rPr>
              <w:t xml:space="preserve">. De manera que, si el contrato estatal de prestación de servicios profesionales o de apoyo a la gestión consta por escrito, le aplicará cualquiera de las formas de terminación revisadas atrás, sin que sea necesario producir un nuevo documento que establezca una fecha </w:t>
            </w:r>
            <w:r>
              <w:rPr>
                <w:rFonts w:ascii="Verdana" w:eastAsia="Arial MT" w:hAnsi="Verdana" w:cs="Arial"/>
                <w:lang w:eastAsia="es-ES" w:bidi="es-ES"/>
              </w:rPr>
              <w:lastRenderedPageBreak/>
              <w:t>de terminación de la relación contractual en particular, dado que dicha información debió consignarse en los documentos del proceso contractual.</w:t>
            </w:r>
          </w:p>
          <w:p w14:paraId="2A366DEA" w14:textId="77777777" w:rsidR="009F4685" w:rsidRDefault="009F4685" w:rsidP="00045A0E">
            <w:pPr>
              <w:spacing w:line="276" w:lineRule="auto"/>
              <w:jc w:val="both"/>
              <w:rPr>
                <w:rFonts w:ascii="Verdana" w:eastAsia="Arial MT" w:hAnsi="Verdana" w:cs="Arial"/>
                <w:lang w:eastAsia="es-ES" w:bidi="es-ES"/>
              </w:rPr>
            </w:pPr>
          </w:p>
          <w:p w14:paraId="0523619C" w14:textId="77777777" w:rsidR="009F4685" w:rsidRDefault="009F4685" w:rsidP="00045A0E">
            <w:pPr>
              <w:spacing w:line="276" w:lineRule="auto"/>
              <w:jc w:val="both"/>
              <w:rPr>
                <w:rFonts w:ascii="Verdana" w:eastAsia="Arial MT" w:hAnsi="Verdana" w:cs="Arial"/>
                <w:lang w:eastAsia="es-ES" w:bidi="es-ES"/>
              </w:rPr>
            </w:pPr>
            <w:r w:rsidRPr="3051C5F0">
              <w:rPr>
                <w:rFonts w:ascii="Verdana" w:eastAsia="Arial MT" w:hAnsi="Verdana" w:cs="Arial"/>
                <w:lang w:eastAsia="es-ES" w:bidi="es-ES"/>
              </w:rPr>
              <w:t xml:space="preserve">4. Los </w:t>
            </w:r>
            <w:bookmarkStart w:id="1" w:name="_Hlk185416668"/>
            <w:r w:rsidRPr="3051C5F0">
              <w:rPr>
                <w:rFonts w:ascii="Verdana" w:eastAsia="Arial MT" w:hAnsi="Verdana" w:cs="Arial"/>
                <w:lang w:eastAsia="es-ES" w:bidi="es-ES"/>
              </w:rPr>
              <w:t xml:space="preserve">contratos de tracto sucesivo </w:t>
            </w:r>
            <w:bookmarkEnd w:id="1"/>
            <w:r w:rsidRPr="3051C5F0">
              <w:rPr>
                <w:rFonts w:ascii="Verdana" w:eastAsia="Arial MT" w:hAnsi="Verdana" w:cs="Arial"/>
                <w:lang w:eastAsia="es-ES" w:bidi="es-ES"/>
              </w:rPr>
              <w:t xml:space="preserve">son aquellos cuya ejecución se prolonga en el tiempo, a diferencia de los denominados de ejecución instantánea, en los que el cumplimiento del contrato se produce generalmente en un solo momento, . En palabras del Consejo de Estado, en dichos contratos </w:t>
            </w:r>
            <w:r w:rsidRPr="3051C5F0">
              <w:rPr>
                <w:rFonts w:ascii="Verdana" w:eastAsia="Arial MT" w:hAnsi="Verdana" w:cs="Arial"/>
                <w:i/>
                <w:iCs/>
                <w:lang w:eastAsia="es-ES" w:bidi="es-ES"/>
              </w:rPr>
              <w:t>las obligaciones se ejecutan de manera periódica o difieren en el tiempo o sucesivamente a medida que se van causando</w:t>
            </w:r>
            <w:r w:rsidRPr="3051C5F0">
              <w:rPr>
                <w:rFonts w:ascii="Verdana" w:eastAsia="Arial MT" w:hAnsi="Verdana" w:cs="Arial"/>
                <w:lang w:eastAsia="es-ES" w:bidi="es-ES"/>
              </w:rPr>
              <w:t>, como los contratos de suministro o de arrendamiento, en donde los contratistas se obligan a realizar una sola prestación continuada en el tiempo o pluralidad de prestaciones sucesivas, periódicas o intermitentes, por un tiempo determinado, que se repite a fin de satisfacer intereses de carácter sucesivo, periódico o intermitente de forma más o menos permanente en el tiempo, a cambio de una contraprestación recíproca determinada o determinable, dotada de autonomía relativa dentro del marco de un único contrato.</w:t>
            </w:r>
          </w:p>
          <w:p w14:paraId="3964489B" w14:textId="77777777" w:rsidR="009F4685" w:rsidRDefault="009F4685" w:rsidP="00045A0E">
            <w:pPr>
              <w:spacing w:line="276" w:lineRule="auto"/>
              <w:jc w:val="both"/>
              <w:rPr>
                <w:rFonts w:ascii="Verdana" w:eastAsia="Arial MT" w:hAnsi="Verdana" w:cs="Arial"/>
                <w:lang w:eastAsia="es-ES" w:bidi="es-ES"/>
              </w:rPr>
            </w:pPr>
          </w:p>
          <w:p w14:paraId="57423F38" w14:textId="77777777" w:rsidR="009F4685" w:rsidRDefault="009F4685" w:rsidP="00045A0E">
            <w:pPr>
              <w:spacing w:line="276" w:lineRule="auto"/>
              <w:jc w:val="both"/>
              <w:rPr>
                <w:rFonts w:ascii="Verdana" w:eastAsia="Arial MT" w:hAnsi="Verdana" w:cs="Arial"/>
                <w:lang w:eastAsia="es-ES" w:bidi="es-ES"/>
              </w:rPr>
            </w:pPr>
            <w:r>
              <w:rPr>
                <w:rFonts w:ascii="Verdana" w:eastAsia="Arial MT" w:hAnsi="Verdana" w:cs="Arial"/>
                <w:lang w:eastAsia="es-ES" w:bidi="es-ES"/>
              </w:rPr>
              <w:t>5. El Consejo de Estado ha interpretado el artículo 60 de la Ley 80 de 1993 desde una perspectiva gramatical y lógica, concluyendo que la liquidación es obligatoria en los siguientes casos:</w:t>
            </w:r>
          </w:p>
          <w:p w14:paraId="23802A2D" w14:textId="77777777" w:rsidR="009F4685" w:rsidRDefault="009F4685" w:rsidP="00045A0E">
            <w:pPr>
              <w:spacing w:line="276" w:lineRule="auto"/>
              <w:jc w:val="both"/>
              <w:rPr>
                <w:rFonts w:ascii="Verdana" w:eastAsia="Arial MT" w:hAnsi="Verdana" w:cs="Arial"/>
                <w:lang w:eastAsia="es-ES" w:bidi="es-ES"/>
              </w:rPr>
            </w:pPr>
          </w:p>
          <w:p w14:paraId="06DECA3B" w14:textId="77777777" w:rsidR="009F4685" w:rsidRPr="0036315B" w:rsidRDefault="009F4685" w:rsidP="009F4685">
            <w:pPr>
              <w:pStyle w:val="Prrafodelista"/>
              <w:numPr>
                <w:ilvl w:val="0"/>
                <w:numId w:val="2"/>
              </w:numPr>
              <w:spacing w:line="276" w:lineRule="auto"/>
              <w:jc w:val="both"/>
              <w:rPr>
                <w:rFonts w:ascii="Verdana" w:eastAsia="Arial MT" w:hAnsi="Verdana" w:cs="Arial"/>
                <w:lang w:eastAsia="es-ES" w:bidi="es-ES"/>
              </w:rPr>
            </w:pPr>
            <w:r w:rsidRPr="0036315B">
              <w:rPr>
                <w:rFonts w:ascii="Verdana" w:eastAsia="Arial MT" w:hAnsi="Verdana" w:cs="Arial"/>
                <w:lang w:eastAsia="es-ES" w:bidi="es-ES"/>
              </w:rPr>
              <w:t xml:space="preserve">Los contratos de tracto sucesivo, esto es, aquellos cuyas obligaciones se ejecutan de manera periódica o difieren en el tiempo o sucesivamente a medida que se van causando; </w:t>
            </w:r>
          </w:p>
          <w:p w14:paraId="2C00F0A8" w14:textId="77777777" w:rsidR="009F4685" w:rsidRDefault="009F4685" w:rsidP="009F4685">
            <w:pPr>
              <w:pStyle w:val="Prrafodelista"/>
              <w:numPr>
                <w:ilvl w:val="0"/>
                <w:numId w:val="2"/>
              </w:numPr>
              <w:spacing w:line="276" w:lineRule="auto"/>
              <w:jc w:val="both"/>
              <w:rPr>
                <w:rFonts w:ascii="Verdana" w:eastAsia="Arial MT" w:hAnsi="Verdana" w:cs="Arial"/>
                <w:lang w:eastAsia="es-ES" w:bidi="es-ES"/>
              </w:rPr>
            </w:pPr>
            <w:r w:rsidRPr="0036315B">
              <w:rPr>
                <w:rFonts w:ascii="Verdana" w:eastAsia="Arial MT" w:hAnsi="Verdana" w:cs="Arial"/>
                <w:lang w:eastAsia="es-ES" w:bidi="es-ES"/>
              </w:rPr>
              <w:t>Aquellos cuya ejecución o cumplimiento se prolongue en el tiempo (sea por la naturaleza periódica de las prestaciones o por las vicisitudes que se presenten en su ejecución que lo dilaten o prorroguen) y</w:t>
            </w:r>
          </w:p>
          <w:p w14:paraId="3B1D31DA" w14:textId="77777777" w:rsidR="009F4685" w:rsidRPr="00340AE0" w:rsidRDefault="009F4685" w:rsidP="009F4685">
            <w:pPr>
              <w:pStyle w:val="Prrafodelista"/>
              <w:numPr>
                <w:ilvl w:val="0"/>
                <w:numId w:val="2"/>
              </w:numPr>
              <w:spacing w:line="276" w:lineRule="auto"/>
              <w:jc w:val="both"/>
              <w:rPr>
                <w:rFonts w:ascii="Verdana" w:eastAsia="Arial MT" w:hAnsi="Verdana" w:cs="Arial"/>
                <w:lang w:eastAsia="es-ES" w:bidi="es-ES"/>
              </w:rPr>
            </w:pPr>
            <w:r w:rsidRPr="00707E02">
              <w:rPr>
                <w:rFonts w:ascii="Verdana" w:eastAsia="Arial MT" w:hAnsi="Verdana" w:cs="Arial"/>
                <w:lang w:eastAsia="es-ES" w:bidi="es-ES"/>
              </w:rPr>
              <w:t>Los demás que lo requieran, con fundamento a su naturaleza, objeto y plazo, así como a su importancia o relevancia o por la eventualidad de discrepancias y controversias en torno a su ejecución.</w:t>
            </w:r>
          </w:p>
        </w:tc>
      </w:tr>
    </w:tbl>
    <w:p w14:paraId="403A8E4A" w14:textId="77777777" w:rsidR="009F4685" w:rsidRPr="005B7C42" w:rsidRDefault="009F4685" w:rsidP="009F4685">
      <w:pPr>
        <w:spacing w:after="0" w:line="276" w:lineRule="auto"/>
        <w:contextualSpacing/>
        <w:jc w:val="both"/>
        <w:rPr>
          <w:rFonts w:ascii="Verdana" w:eastAsia="Times New Roman" w:hAnsi="Verdana" w:cs="Arial"/>
          <w:lang w:eastAsia="es-ES_tradnl"/>
        </w:rPr>
      </w:pPr>
    </w:p>
    <w:p w14:paraId="2171885F" w14:textId="77777777" w:rsidR="009F4685" w:rsidRPr="005B7C42" w:rsidRDefault="009F4685" w:rsidP="009F468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1B897609" w14:textId="77777777" w:rsidR="009F4685" w:rsidRPr="005B7C42" w:rsidRDefault="009F4685" w:rsidP="009F4685">
      <w:pPr>
        <w:spacing w:after="0" w:line="276" w:lineRule="auto"/>
        <w:jc w:val="both"/>
        <w:rPr>
          <w:rFonts w:ascii="Verdana" w:eastAsia="Calibri" w:hAnsi="Verdana" w:cs="Arial"/>
          <w:color w:val="7030A0"/>
        </w:rPr>
      </w:pPr>
    </w:p>
    <w:p w14:paraId="038202BA" w14:textId="77777777" w:rsidR="009F4685" w:rsidRPr="00404167" w:rsidRDefault="009F4685" w:rsidP="009F4685">
      <w:pPr>
        <w:spacing w:line="276" w:lineRule="auto"/>
        <w:jc w:val="both"/>
        <w:rPr>
          <w:rFonts w:ascii="Verdana" w:eastAsia="Calibri" w:hAnsi="Verdana" w:cs="Arial"/>
        </w:rPr>
      </w:pPr>
      <w:r w:rsidRPr="00404167">
        <w:rPr>
          <w:rFonts w:ascii="Verdana" w:eastAsia="Calibri" w:hAnsi="Verdana" w:cs="Arial"/>
        </w:rPr>
        <w:t xml:space="preserve">Lo anterior se sustenta en las siguientes consideraciones: </w:t>
      </w:r>
    </w:p>
    <w:p w14:paraId="2DAF49AD" w14:textId="77777777" w:rsidR="009F4685" w:rsidRDefault="009F4685" w:rsidP="009F4685">
      <w:pPr>
        <w:spacing w:after="0" w:line="276" w:lineRule="auto"/>
        <w:jc w:val="both"/>
        <w:rPr>
          <w:rFonts w:ascii="Verdana" w:eastAsia="Calibri" w:hAnsi="Verdana" w:cs="Arial"/>
          <w:noProof/>
          <w:lang w:val="es-ES"/>
        </w:rPr>
      </w:pPr>
      <w:r w:rsidRPr="3051C5F0">
        <w:rPr>
          <w:rFonts w:ascii="Verdana" w:eastAsia="Calibri" w:hAnsi="Verdana" w:cs="Arial"/>
          <w:noProof/>
          <w:lang w:val="es-ES"/>
        </w:rPr>
        <w:t xml:space="preserve">El contrato de prestación de servicios profesionales es un tipo de negocio jurídico previsto en el Estatuto General de Contratación de la Administración Pública, </w:t>
      </w:r>
      <w:r w:rsidRPr="3051C5F0">
        <w:rPr>
          <w:rFonts w:ascii="Verdana" w:eastAsia="Calibri" w:hAnsi="Verdana" w:cs="Arial"/>
          <w:noProof/>
          <w:lang w:val="es-ES"/>
        </w:rPr>
        <w:lastRenderedPageBreak/>
        <w:t>que pueden celebrar las entidades estatales. Se trata de un contrato típico definido en el artículo 32.3 de la Ley 80 de 1993, que establece:</w:t>
      </w:r>
    </w:p>
    <w:p w14:paraId="38AA3CDA" w14:textId="77777777" w:rsidR="009F4685" w:rsidRPr="0050626C" w:rsidRDefault="009F4685" w:rsidP="009F4685">
      <w:pPr>
        <w:spacing w:after="0" w:line="276" w:lineRule="auto"/>
        <w:jc w:val="both"/>
        <w:rPr>
          <w:rFonts w:ascii="Verdana" w:eastAsia="Calibri" w:hAnsi="Verdana" w:cs="Arial"/>
          <w:noProof/>
          <w:lang w:val="es-ES_tradnl"/>
        </w:rPr>
      </w:pPr>
    </w:p>
    <w:p w14:paraId="75ED4A37" w14:textId="77777777" w:rsidR="009F4685" w:rsidRPr="0050626C" w:rsidRDefault="009F4685" w:rsidP="009F4685">
      <w:pPr>
        <w:spacing w:after="120"/>
        <w:ind w:left="709" w:right="709"/>
        <w:jc w:val="both"/>
        <w:rPr>
          <w:rFonts w:ascii="Verdana" w:eastAsia="Calibri" w:hAnsi="Verdana" w:cs="Arial"/>
          <w:noProof/>
          <w:sz w:val="21"/>
          <w:szCs w:val="21"/>
          <w:lang w:val="es-ES_tradnl"/>
        </w:rPr>
      </w:pPr>
      <w:r w:rsidRPr="0050626C">
        <w:rPr>
          <w:rFonts w:ascii="Verdana" w:eastAsia="Calibri" w:hAnsi="Verdana" w:cs="Arial"/>
          <w:noProof/>
          <w:sz w:val="21"/>
          <w:szCs w:val="21"/>
          <w:lang w:val="es-ES_tradnl"/>
        </w:rPr>
        <w:t>3.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2B4503B6" w14:textId="77777777" w:rsidR="009F4685" w:rsidRDefault="009F4685" w:rsidP="009F4685">
      <w:pPr>
        <w:spacing w:after="0"/>
        <w:ind w:left="709" w:right="709"/>
        <w:jc w:val="both"/>
        <w:rPr>
          <w:rFonts w:ascii="Verdana" w:eastAsia="Calibri" w:hAnsi="Verdana" w:cs="Arial"/>
          <w:noProof/>
          <w:sz w:val="21"/>
          <w:szCs w:val="21"/>
          <w:lang w:val="es-ES_tradnl"/>
        </w:rPr>
      </w:pPr>
      <w:r w:rsidRPr="0050626C">
        <w:rPr>
          <w:rFonts w:ascii="Verdana" w:eastAsia="Calibri" w:hAnsi="Verdana" w:cs="Arial"/>
          <w:noProof/>
          <w:sz w:val="21"/>
          <w:szCs w:val="21"/>
          <w:lang w:val="es-ES_tradnl"/>
        </w:rPr>
        <w:t>En ningún caso estos contratos generan relación laboral ni prestaciones sociales y se celebrarán por el término estrictamente indispensable.</w:t>
      </w:r>
    </w:p>
    <w:p w14:paraId="11AC2DF8" w14:textId="77777777" w:rsidR="009F4685" w:rsidRPr="0050626C" w:rsidRDefault="009F4685" w:rsidP="009F4685">
      <w:pPr>
        <w:spacing w:after="0"/>
        <w:ind w:left="709" w:right="709"/>
        <w:jc w:val="both"/>
        <w:rPr>
          <w:rFonts w:ascii="Verdana" w:eastAsia="Calibri" w:hAnsi="Verdana" w:cs="Arial"/>
          <w:b/>
          <w:noProof/>
          <w:lang w:val="es-ES_tradnl"/>
        </w:rPr>
      </w:pPr>
    </w:p>
    <w:p w14:paraId="156C3633" w14:textId="77777777" w:rsidR="009F4685" w:rsidRDefault="009F4685" w:rsidP="009F4685">
      <w:pPr>
        <w:spacing w:after="0" w:line="276" w:lineRule="auto"/>
        <w:ind w:firstLine="709"/>
        <w:jc w:val="both"/>
        <w:rPr>
          <w:rFonts w:ascii="Verdana" w:eastAsia="Calibri" w:hAnsi="Verdana" w:cs="Arial"/>
          <w:noProof/>
          <w:lang w:val="es-ES_tradnl"/>
        </w:rPr>
      </w:pPr>
      <w:r w:rsidRPr="0050626C">
        <w:rPr>
          <w:rFonts w:ascii="Verdana" w:eastAsia="Calibri" w:hAnsi="Verdana" w:cs="Arial"/>
          <w:noProof/>
          <w:lang w:val="es-ES_tradnl"/>
        </w:rPr>
        <w:t>Su celebración se formaliza a través de la modalidad de contratación directa, como lo dispone el artículo 2, numeral 4º, literal h), de la Ley 1150 de 2007:</w:t>
      </w:r>
    </w:p>
    <w:p w14:paraId="7367F15B" w14:textId="77777777" w:rsidR="009F4685" w:rsidRPr="0050626C" w:rsidRDefault="009F4685" w:rsidP="009F4685">
      <w:pPr>
        <w:spacing w:after="0" w:line="276" w:lineRule="auto"/>
        <w:ind w:firstLine="709"/>
        <w:jc w:val="both"/>
        <w:rPr>
          <w:rFonts w:ascii="Verdana" w:eastAsia="Calibri" w:hAnsi="Verdana" w:cs="Arial"/>
          <w:noProof/>
          <w:lang w:val="es-ES_tradnl"/>
        </w:rPr>
      </w:pPr>
    </w:p>
    <w:p w14:paraId="75A31E0D" w14:textId="77777777" w:rsidR="009F4685" w:rsidRPr="0050626C" w:rsidRDefault="009F4685" w:rsidP="009F4685">
      <w:pPr>
        <w:ind w:left="709" w:right="709"/>
        <w:jc w:val="both"/>
        <w:rPr>
          <w:rFonts w:ascii="Verdana" w:eastAsia="Calibri" w:hAnsi="Verdana" w:cs="Arial"/>
          <w:noProof/>
          <w:sz w:val="21"/>
          <w:szCs w:val="21"/>
          <w:lang w:val="es-ES_tradnl"/>
        </w:rPr>
      </w:pPr>
      <w:r w:rsidRPr="0050626C">
        <w:rPr>
          <w:rFonts w:ascii="Verdana" w:eastAsia="Calibri" w:hAnsi="Verdana" w:cs="Arial"/>
          <w:noProof/>
          <w:sz w:val="21"/>
          <w:szCs w:val="21"/>
          <w:lang w:val="es-ES_tradnl"/>
        </w:rPr>
        <w:t>[…]</w:t>
      </w:r>
    </w:p>
    <w:p w14:paraId="0DC4CB71" w14:textId="77777777" w:rsidR="009F4685" w:rsidRPr="0050626C" w:rsidRDefault="009F4685" w:rsidP="009F4685">
      <w:pPr>
        <w:spacing w:after="120"/>
        <w:ind w:left="709" w:right="709"/>
        <w:jc w:val="both"/>
        <w:rPr>
          <w:rFonts w:ascii="Verdana" w:eastAsia="Calibri" w:hAnsi="Verdana" w:cs="Arial"/>
          <w:noProof/>
          <w:sz w:val="21"/>
          <w:szCs w:val="21"/>
          <w:lang w:val="es-ES_tradnl"/>
        </w:rPr>
      </w:pPr>
      <w:r w:rsidRPr="0050626C">
        <w:rPr>
          <w:rFonts w:ascii="Verdana" w:eastAsia="Calibri" w:hAnsi="Verdana" w:cs="Arial"/>
          <w:noProof/>
          <w:sz w:val="21"/>
          <w:szCs w:val="21"/>
          <w:lang w:val="es-ES_tradnl"/>
        </w:rPr>
        <w:t>Contratación directa. La modalidad de selección de contratación directa, solamente procederá en los siguientes casos:</w:t>
      </w:r>
    </w:p>
    <w:p w14:paraId="51BD651F" w14:textId="77777777" w:rsidR="009F4685" w:rsidRPr="0050626C" w:rsidRDefault="009F4685" w:rsidP="009F4685">
      <w:pPr>
        <w:ind w:left="709" w:right="709"/>
        <w:jc w:val="both"/>
        <w:rPr>
          <w:rFonts w:ascii="Verdana" w:eastAsia="Calibri" w:hAnsi="Verdana" w:cs="Arial"/>
          <w:noProof/>
          <w:sz w:val="21"/>
          <w:szCs w:val="21"/>
          <w:lang w:val="es-ES_tradnl"/>
        </w:rPr>
      </w:pPr>
      <w:r w:rsidRPr="0050626C">
        <w:rPr>
          <w:rFonts w:ascii="Verdana" w:eastAsia="Calibri" w:hAnsi="Verdana" w:cs="Arial"/>
          <w:noProof/>
          <w:sz w:val="21"/>
          <w:szCs w:val="21"/>
          <w:lang w:val="es-ES_tradnl"/>
        </w:rPr>
        <w:t>[…]</w:t>
      </w:r>
    </w:p>
    <w:p w14:paraId="69DD4381" w14:textId="77777777" w:rsidR="009F4685" w:rsidRDefault="009F4685" w:rsidP="009F4685">
      <w:pPr>
        <w:spacing w:after="0"/>
        <w:ind w:left="709" w:right="709"/>
        <w:jc w:val="both"/>
        <w:rPr>
          <w:rFonts w:ascii="Verdana" w:eastAsia="Calibri" w:hAnsi="Verdana" w:cs="Arial"/>
          <w:noProof/>
          <w:sz w:val="21"/>
          <w:szCs w:val="21"/>
          <w:lang w:val="es-ES_tradnl"/>
        </w:rPr>
      </w:pPr>
      <w:r w:rsidRPr="0050626C">
        <w:rPr>
          <w:rFonts w:ascii="Verdana" w:eastAsia="Calibri" w:hAnsi="Verdana" w:cs="Arial"/>
          <w:noProof/>
          <w:sz w:val="21"/>
          <w:szCs w:val="21"/>
          <w:lang w:val="es-ES_tradnl"/>
        </w:rPr>
        <w:t>h) Para la prestación de servicios profesionales y de apoyo a la gestión, o para la ejecución de trabajos artísticos que sólo puedan encomendarse a determinadas personas naturales</w:t>
      </w:r>
      <w:r>
        <w:rPr>
          <w:rFonts w:ascii="Verdana" w:eastAsia="Calibri" w:hAnsi="Verdana" w:cs="Arial"/>
          <w:noProof/>
          <w:sz w:val="21"/>
          <w:szCs w:val="21"/>
          <w:lang w:val="es-ES_tradnl"/>
        </w:rPr>
        <w:t>.</w:t>
      </w:r>
    </w:p>
    <w:p w14:paraId="6873A59F" w14:textId="77777777" w:rsidR="009F4685" w:rsidRDefault="009F4685" w:rsidP="009F4685">
      <w:pPr>
        <w:spacing w:after="0"/>
        <w:ind w:left="709" w:right="709"/>
        <w:jc w:val="both"/>
        <w:rPr>
          <w:rFonts w:ascii="Verdana" w:eastAsia="Calibri" w:hAnsi="Verdana" w:cs="Arial"/>
          <w:noProof/>
          <w:sz w:val="21"/>
          <w:szCs w:val="21"/>
          <w:lang w:val="es-ES_tradnl"/>
        </w:rPr>
      </w:pPr>
    </w:p>
    <w:p w14:paraId="37A5A4F8" w14:textId="77777777" w:rsidR="009F4685" w:rsidRPr="008C6876" w:rsidRDefault="009F4685" w:rsidP="009F4685">
      <w:pPr>
        <w:tabs>
          <w:tab w:val="left" w:pos="0"/>
        </w:tabs>
        <w:spacing w:after="0" w:line="276" w:lineRule="auto"/>
        <w:jc w:val="both"/>
        <w:rPr>
          <w:rFonts w:ascii="Verdana" w:eastAsia="Arial" w:hAnsi="Verdana" w:cs="Arial"/>
          <w:color w:val="000000"/>
        </w:rPr>
      </w:pPr>
      <w:r>
        <w:rPr>
          <w:rFonts w:ascii="Verdana" w:eastAsia="Arial" w:hAnsi="Verdana" w:cs="Arial"/>
          <w:color w:val="000000"/>
        </w:rPr>
        <w:tab/>
      </w:r>
      <w:r w:rsidRPr="008C6876">
        <w:rPr>
          <w:rFonts w:ascii="Verdana" w:eastAsia="Arial" w:hAnsi="Verdana" w:cs="Arial"/>
          <w:color w:val="000000"/>
        </w:rPr>
        <w:t xml:space="preserve">En tal sentido, el artículo 2.2.1.2.1.4.9 del Decreto 1082 de 2015 reglamentó la contratación directa para los contratos de servicios profesionales y de apoyo a la gestión, o para la ejecución de trabajos artísticos que sólo pueden encomendarse a determinadas personas naturales, en los siguientes términos: </w:t>
      </w:r>
    </w:p>
    <w:p w14:paraId="68B6A09F" w14:textId="77777777" w:rsidR="009F4685" w:rsidRPr="008C6876" w:rsidRDefault="009F4685" w:rsidP="009F4685">
      <w:pPr>
        <w:spacing w:after="0" w:line="276" w:lineRule="auto"/>
        <w:ind w:left="709" w:right="709"/>
        <w:jc w:val="both"/>
        <w:rPr>
          <w:rFonts w:ascii="Verdana" w:eastAsia="Yu Gothic UI Semibold" w:hAnsi="Verdana" w:cs="Arial"/>
          <w:iCs/>
          <w:sz w:val="21"/>
          <w:szCs w:val="21"/>
          <w:lang w:eastAsia="es-MX"/>
        </w:rPr>
      </w:pPr>
    </w:p>
    <w:p w14:paraId="413CEE7F" w14:textId="77777777" w:rsidR="009F4685" w:rsidRPr="0029674A" w:rsidRDefault="009F4685" w:rsidP="009F4685">
      <w:pPr>
        <w:spacing w:after="0" w:line="240" w:lineRule="auto"/>
        <w:ind w:left="709" w:right="709"/>
        <w:contextualSpacing/>
        <w:jc w:val="both"/>
        <w:rPr>
          <w:rFonts w:ascii="Verdana" w:hAnsi="Verdana" w:cs="Arial"/>
          <w:sz w:val="21"/>
          <w:szCs w:val="21"/>
          <w:lang w:val="es-MX"/>
        </w:rPr>
      </w:pPr>
      <w:r w:rsidRPr="0029674A">
        <w:rPr>
          <w:rFonts w:ascii="Verdana" w:eastAsia="Yu Gothic UI Semibold" w:hAnsi="Verdana" w:cs="Arial"/>
          <w:iCs/>
          <w:sz w:val="21"/>
          <w:szCs w:val="21"/>
          <w:lang w:eastAsia="es-MX"/>
        </w:rPr>
        <w:t>“</w:t>
      </w:r>
      <w:r w:rsidRPr="0029674A">
        <w:rPr>
          <w:rFonts w:ascii="Verdana" w:hAnsi="Verdana"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99645D8" w14:textId="77777777" w:rsidR="009F4685" w:rsidRPr="0029674A" w:rsidRDefault="009F4685" w:rsidP="009F4685">
      <w:pPr>
        <w:spacing w:after="0" w:line="240" w:lineRule="auto"/>
        <w:ind w:left="709" w:right="709"/>
        <w:contextualSpacing/>
        <w:jc w:val="both"/>
        <w:rPr>
          <w:rFonts w:ascii="Verdana" w:hAnsi="Verdana" w:cs="Arial"/>
          <w:sz w:val="21"/>
          <w:szCs w:val="21"/>
          <w:lang w:val="es-MX"/>
        </w:rPr>
      </w:pPr>
    </w:p>
    <w:p w14:paraId="750242C9" w14:textId="77777777" w:rsidR="009F4685" w:rsidRPr="0029674A" w:rsidRDefault="009F4685" w:rsidP="009F4685">
      <w:pPr>
        <w:spacing w:after="0" w:line="240" w:lineRule="auto"/>
        <w:ind w:left="709" w:right="709"/>
        <w:contextualSpacing/>
        <w:jc w:val="both"/>
        <w:rPr>
          <w:rFonts w:ascii="Verdana" w:hAnsi="Verdana" w:cs="Arial"/>
          <w:sz w:val="21"/>
          <w:szCs w:val="21"/>
          <w:lang w:val="es-MX"/>
        </w:rPr>
      </w:pPr>
      <w:r w:rsidRPr="0029674A">
        <w:rPr>
          <w:rFonts w:ascii="Verdana" w:hAnsi="Verdana" w:cs="Arial"/>
          <w:sz w:val="21"/>
          <w:szCs w:val="21"/>
          <w:lang w:val="es-MX"/>
        </w:rPr>
        <w:lastRenderedPageBreak/>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2C9189F" w14:textId="77777777" w:rsidR="009F4685" w:rsidRPr="0029674A" w:rsidRDefault="009F4685" w:rsidP="009F4685">
      <w:pPr>
        <w:spacing w:after="0" w:line="240" w:lineRule="auto"/>
        <w:ind w:left="709" w:right="709"/>
        <w:contextualSpacing/>
        <w:jc w:val="both"/>
        <w:rPr>
          <w:rFonts w:ascii="Verdana" w:hAnsi="Verdana" w:cs="Arial"/>
          <w:sz w:val="21"/>
          <w:szCs w:val="21"/>
          <w:lang w:val="es-MX"/>
        </w:rPr>
      </w:pPr>
    </w:p>
    <w:p w14:paraId="27C2727D" w14:textId="77777777" w:rsidR="009F4685" w:rsidRPr="008C6876" w:rsidRDefault="009F4685" w:rsidP="009F4685">
      <w:pPr>
        <w:spacing w:after="0" w:line="240" w:lineRule="auto"/>
        <w:ind w:left="709" w:right="709"/>
        <w:contextualSpacing/>
        <w:jc w:val="both"/>
        <w:rPr>
          <w:rFonts w:ascii="Verdana" w:eastAsia="Calibri" w:hAnsi="Verdana" w:cs="Arial"/>
          <w:color w:val="000000"/>
          <w:lang w:val="es-ES" w:eastAsia="es-ES"/>
        </w:rPr>
      </w:pPr>
      <w:r w:rsidRPr="3051C5F0">
        <w:rPr>
          <w:rFonts w:ascii="Verdana" w:hAnsi="Verdana" w:cs="Arial"/>
          <w:sz w:val="21"/>
          <w:szCs w:val="21"/>
          <w:lang w:val="es-MX"/>
        </w:rPr>
        <w:t>La Entidad Estatal, para la contratación de trabajos artísticos que solamente puedan encomendarse a determinadas personas naturales, debe justificar esta situación en los estudios y documentos previos</w:t>
      </w:r>
      <w:r w:rsidRPr="3051C5F0">
        <w:rPr>
          <w:rFonts w:ascii="Verdana" w:eastAsia="Yu Gothic UI Semibold" w:hAnsi="Verdana" w:cs="Arial"/>
          <w:sz w:val="21"/>
          <w:szCs w:val="21"/>
          <w:lang w:eastAsia="es-MX"/>
        </w:rPr>
        <w:t>”</w:t>
      </w:r>
      <w:r w:rsidRPr="3051C5F0">
        <w:rPr>
          <w:rFonts w:ascii="Verdana" w:hAnsi="Verdana" w:cs="Arial"/>
          <w:sz w:val="21"/>
          <w:szCs w:val="21"/>
          <w:lang w:val="es-MX"/>
        </w:rPr>
        <w:t>.</w:t>
      </w:r>
      <w:r>
        <w:tab/>
      </w:r>
    </w:p>
    <w:p w14:paraId="69AF0072" w14:textId="77777777" w:rsidR="009F4685" w:rsidRDefault="009F4685" w:rsidP="009F4685">
      <w:pPr>
        <w:spacing w:after="0"/>
        <w:ind w:left="709" w:right="709"/>
        <w:jc w:val="both"/>
        <w:rPr>
          <w:rFonts w:ascii="Verdana" w:eastAsia="Calibri" w:hAnsi="Verdana" w:cs="Arial"/>
          <w:noProof/>
          <w:sz w:val="21"/>
          <w:szCs w:val="21"/>
          <w:lang w:val="es-ES_tradnl"/>
        </w:rPr>
      </w:pPr>
    </w:p>
    <w:p w14:paraId="79B109D9" w14:textId="77777777" w:rsidR="009F4685" w:rsidRPr="0050626C" w:rsidRDefault="009F4685" w:rsidP="009F4685">
      <w:pPr>
        <w:spacing w:after="0" w:line="276" w:lineRule="auto"/>
        <w:ind w:right="709"/>
        <w:jc w:val="both"/>
        <w:rPr>
          <w:rFonts w:ascii="Verdana" w:eastAsia="Calibri" w:hAnsi="Verdana" w:cs="Arial"/>
          <w:noProof/>
          <w:lang w:val="es-ES_tradnl"/>
        </w:rPr>
      </w:pPr>
    </w:p>
    <w:p w14:paraId="17D3D461" w14:textId="77777777" w:rsidR="009F4685" w:rsidRPr="0050626C" w:rsidRDefault="009F4685" w:rsidP="009F4685">
      <w:pPr>
        <w:spacing w:line="276" w:lineRule="auto"/>
        <w:ind w:firstLine="709"/>
        <w:jc w:val="both"/>
        <w:rPr>
          <w:rFonts w:ascii="Verdana" w:eastAsia="Calibri" w:hAnsi="Verdana" w:cs="Arial"/>
          <w:noProof/>
          <w:lang w:val="es-ES_tradnl"/>
        </w:rPr>
      </w:pPr>
      <w:r w:rsidRPr="0050626C">
        <w:rPr>
          <w:rFonts w:ascii="Verdana" w:eastAsia="Calibri" w:hAnsi="Verdana" w:cs="Arial"/>
          <w:noProof/>
          <w:lang w:val="es-ES_tradnl"/>
        </w:rPr>
        <w:t>A partir de estas disposiciones, entre otras de rango legal y reglamentario que complementan su regulación, y de los pronunciamientos judiciales más destacados, es posible resaltar las siguientes características de este contrato:</w:t>
      </w:r>
    </w:p>
    <w:p w14:paraId="34873B2C" w14:textId="77777777" w:rsidR="009F4685" w:rsidRPr="0050626C" w:rsidRDefault="009F4685" w:rsidP="009F4685">
      <w:pPr>
        <w:spacing w:before="120" w:after="120" w:line="276" w:lineRule="auto"/>
        <w:ind w:firstLine="709"/>
        <w:jc w:val="both"/>
        <w:rPr>
          <w:rFonts w:ascii="Verdana" w:eastAsia="Calibri" w:hAnsi="Verdana" w:cs="Arial"/>
          <w:noProof/>
          <w:lang w:val="es-ES_tradnl"/>
        </w:rPr>
      </w:pPr>
      <w:r w:rsidRPr="0050626C">
        <w:rPr>
          <w:rFonts w:ascii="Verdana" w:eastAsia="Calibri" w:hAnsi="Verdana" w:cs="Arial"/>
          <w:noProof/>
          <w:lang w:val="es-ES_tradnl"/>
        </w:rPr>
        <w:t xml:space="preserve">i) Solo puede celebrarse para realizar </w:t>
      </w:r>
      <w:r>
        <w:rPr>
          <w:rFonts w:ascii="Verdana" w:eastAsia="Calibri" w:hAnsi="Verdana" w:cs="Arial"/>
          <w:noProof/>
          <w:lang w:val="es-ES_tradnl"/>
        </w:rPr>
        <w:t>“</w:t>
      </w:r>
      <w:r w:rsidRPr="0050626C">
        <w:rPr>
          <w:rFonts w:ascii="Verdana" w:eastAsia="Calibri" w:hAnsi="Verdana" w:cs="Arial"/>
          <w:noProof/>
          <w:lang w:val="es-ES_tradnl"/>
        </w:rPr>
        <w:t>actividades relacionadas con la administración o funcionamiento de la entidad</w:t>
      </w:r>
      <w:r>
        <w:rPr>
          <w:rFonts w:ascii="Verdana" w:eastAsia="Calibri" w:hAnsi="Verdana" w:cs="Arial"/>
          <w:noProof/>
          <w:lang w:val="es-ES_tradnl"/>
        </w:rPr>
        <w:t>”</w:t>
      </w:r>
      <w:r w:rsidRPr="0050626C">
        <w:rPr>
          <w:rFonts w:ascii="Verdana" w:eastAsia="Calibri" w:hAnsi="Verdana" w:cs="Arial"/>
          <w:noProof/>
          <w:lang w:val="es-ES_tradnl"/>
        </w:rPr>
        <w:t>, es decir, que hagan parte de su giro ordinario o quehacer cotidiano.</w:t>
      </w:r>
    </w:p>
    <w:p w14:paraId="42F5C7B9" w14:textId="77777777" w:rsidR="009F4685" w:rsidRPr="0050626C" w:rsidRDefault="009F4685" w:rsidP="009F4685">
      <w:pPr>
        <w:spacing w:before="120" w:after="120" w:line="276" w:lineRule="auto"/>
        <w:ind w:firstLine="709"/>
        <w:jc w:val="both"/>
        <w:rPr>
          <w:rFonts w:ascii="Verdana" w:eastAsia="Calibri" w:hAnsi="Verdana" w:cs="Arial"/>
          <w:noProof/>
          <w:lang w:val="es-ES"/>
        </w:rPr>
      </w:pPr>
      <w:r w:rsidRPr="3051C5F0">
        <w:rPr>
          <w:rFonts w:ascii="Verdana" w:eastAsia="Calibri" w:hAnsi="Verdana" w:cs="Arial"/>
          <w:noProof/>
          <w:lang w:val="es-ES"/>
        </w:rPr>
        <w:t xml:space="preserve">ii)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por lo que es necesario contratar los servicios de una persona natural que </w:t>
      </w:r>
      <w:r w:rsidRPr="3051C5F0">
        <w:rPr>
          <w:rFonts w:ascii="Verdana" w:hAnsi="Verdana" w:cs="Arial"/>
          <w:sz w:val="21"/>
          <w:szCs w:val="21"/>
          <w:lang w:val="es-MX"/>
        </w:rPr>
        <w:t>esté en capacidad de ejecutar el objeto del contrato, siempre y cuando la Entidad Estatal verifique la idoneidad o experiencia requerida y relacionada con el área de que se trate</w:t>
      </w:r>
      <w:r w:rsidRPr="3051C5F0">
        <w:rPr>
          <w:rFonts w:ascii="Verdana" w:eastAsia="Calibri" w:hAnsi="Verdana" w:cs="Arial"/>
          <w:noProof/>
          <w:lang w:val="es-ES"/>
        </w:rPr>
        <w:t xml:space="preserve"> .</w:t>
      </w:r>
    </w:p>
    <w:p w14:paraId="69FBDBA5" w14:textId="77777777" w:rsidR="009F4685" w:rsidRPr="0050626C" w:rsidRDefault="009F4685" w:rsidP="009F4685">
      <w:pPr>
        <w:spacing w:before="120" w:after="120" w:line="276" w:lineRule="auto"/>
        <w:ind w:firstLine="709"/>
        <w:jc w:val="both"/>
        <w:rPr>
          <w:rFonts w:ascii="Verdana" w:eastAsia="Calibri" w:hAnsi="Verdana" w:cs="Arial"/>
          <w:noProof/>
          <w:lang w:val="es-ES_tradnl"/>
        </w:rPr>
      </w:pPr>
      <w:r w:rsidRPr="0050626C">
        <w:rPr>
          <w:rFonts w:ascii="Verdana" w:eastAsia="Calibri" w:hAnsi="Verdana" w:cs="Arial"/>
          <w:noProof/>
          <w:lang w:val="es-ES_tradnl"/>
        </w:rPr>
        <w:t>iii) Si bien se celebran para obtener la prestación personal de un servicio, se diferencian del contrato de trabajo</w:t>
      </w:r>
      <w:r w:rsidRPr="0050626C">
        <w:rPr>
          <w:rFonts w:ascii="Verdana" w:eastAsia="Calibri" w:hAnsi="Verdana" w:cs="Arial"/>
          <w:noProof/>
          <w:vertAlign w:val="superscript"/>
          <w:lang w:val="es-ES_tradnl"/>
        </w:rPr>
        <w:footnoteReference w:id="1"/>
      </w:r>
      <w:r w:rsidRPr="0050626C">
        <w:rPr>
          <w:rFonts w:ascii="Verdana" w:eastAsia="Calibri" w:hAnsi="Verdana" w:cs="Arial"/>
          <w:noProof/>
          <w:lang w:val="es-ES_tradnl"/>
        </w:rPr>
        <w:t xml:space="preserve"> en que quien celebra el contrato de prestación de servicios debe mantener autonomía e independencia en la ejecución de la labor, lo que significa que no debe existir </w:t>
      </w:r>
      <w:r w:rsidRPr="0050626C">
        <w:rPr>
          <w:rFonts w:ascii="Verdana" w:eastAsia="Calibri" w:hAnsi="Verdana" w:cs="Arial"/>
          <w:i/>
          <w:noProof/>
          <w:lang w:val="es-ES_tradnl"/>
        </w:rPr>
        <w:t xml:space="preserve">subordinación </w:t>
      </w:r>
      <w:r w:rsidRPr="0050626C">
        <w:rPr>
          <w:rFonts w:ascii="Verdana" w:eastAsia="Calibri" w:hAnsi="Verdana" w:cs="Arial"/>
          <w:iCs/>
          <w:noProof/>
          <w:lang w:val="es-ES_tradnl"/>
        </w:rPr>
        <w:t>ni</w:t>
      </w:r>
      <w:r w:rsidRPr="0050626C">
        <w:rPr>
          <w:rFonts w:ascii="Verdana" w:eastAsia="Calibri" w:hAnsi="Verdana" w:cs="Arial"/>
          <w:i/>
          <w:noProof/>
          <w:lang w:val="es-ES_tradnl"/>
        </w:rPr>
        <w:t xml:space="preserve"> dependencia</w:t>
      </w:r>
      <w:r w:rsidRPr="0050626C">
        <w:rPr>
          <w:rFonts w:ascii="Verdana" w:eastAsia="Calibri" w:hAnsi="Verdana" w:cs="Arial"/>
          <w:iCs/>
          <w:noProof/>
          <w:lang w:val="es-ES_tradnl"/>
        </w:rPr>
        <w:t>,</w:t>
      </w:r>
      <w:r w:rsidRPr="0050626C">
        <w:rPr>
          <w:rFonts w:ascii="Verdana" w:eastAsia="Calibri" w:hAnsi="Verdana" w:cs="Arial"/>
          <w:noProof/>
          <w:lang w:val="es-ES_tradnl"/>
        </w:rPr>
        <w:t xml:space="preserve"> que es uno de los elementos constitutivos del vínculo laboral. Por </w:t>
      </w:r>
      <w:r w:rsidRPr="0050626C">
        <w:rPr>
          <w:rFonts w:ascii="Verdana" w:eastAsia="Calibri" w:hAnsi="Verdana" w:cs="Arial"/>
          <w:noProof/>
          <w:lang w:val="es-ES_tradnl"/>
        </w:rPr>
        <w:lastRenderedPageBreak/>
        <w:t xml:space="preserve">eso, el artículo 32, numeral 3º, de la Ley 80 de 1993 dispone que </w:t>
      </w:r>
      <w:r>
        <w:rPr>
          <w:rFonts w:ascii="Verdana" w:eastAsia="Calibri" w:hAnsi="Verdana" w:cs="Arial"/>
          <w:noProof/>
          <w:lang w:val="es-ES_tradnl"/>
        </w:rPr>
        <w:t>“</w:t>
      </w:r>
      <w:r w:rsidRPr="0050626C">
        <w:rPr>
          <w:rFonts w:ascii="Verdana" w:eastAsia="Calibri" w:hAnsi="Verdana" w:cs="Arial"/>
          <w:noProof/>
          <w:lang w:val="es-ES_tradnl"/>
        </w:rPr>
        <w:t>En ningún caso estos contratos generan relación laboral ni prestaciones sociales</w:t>
      </w:r>
      <w:r>
        <w:rPr>
          <w:rFonts w:ascii="Verdana" w:eastAsia="Calibri" w:hAnsi="Verdana" w:cs="Arial"/>
          <w:noProof/>
          <w:lang w:val="es-ES_tradnl"/>
        </w:rPr>
        <w:t>”</w:t>
      </w:r>
      <w:r w:rsidRPr="0050626C">
        <w:rPr>
          <w:rFonts w:ascii="Verdana" w:eastAsia="Calibri" w:hAnsi="Verdana" w:cs="Arial"/>
          <w:noProof/>
          <w:lang w:val="es-ES_tradnl"/>
        </w:rPr>
        <w:t xml:space="preserve">, inciso que más que un enunciado que aluda al </w:t>
      </w:r>
      <w:r>
        <w:rPr>
          <w:rFonts w:ascii="Verdana" w:eastAsia="Calibri" w:hAnsi="Verdana" w:cs="Arial"/>
          <w:noProof/>
          <w:lang w:val="es-ES_tradnl"/>
        </w:rPr>
        <w:t>“</w:t>
      </w:r>
      <w:r w:rsidRPr="0050626C">
        <w:rPr>
          <w:rFonts w:ascii="Verdana" w:eastAsia="Calibri" w:hAnsi="Verdana" w:cs="Arial"/>
          <w:noProof/>
          <w:lang w:val="es-ES_tradnl"/>
        </w:rPr>
        <w:t>ser</w:t>
      </w:r>
      <w:r>
        <w:rPr>
          <w:rFonts w:ascii="Verdana" w:eastAsia="Calibri" w:hAnsi="Verdana" w:cs="Arial"/>
          <w:noProof/>
          <w:lang w:val="es-ES_tradnl"/>
        </w:rPr>
        <w:t>”</w:t>
      </w:r>
      <w:r w:rsidRPr="0050626C">
        <w:rPr>
          <w:rFonts w:ascii="Verdana" w:eastAsia="Calibri" w:hAnsi="Verdana" w:cs="Arial"/>
          <w:noProof/>
          <w:lang w:val="es-ES_tradnl"/>
        </w:rPr>
        <w:t xml:space="preserve"> se refiere al </w:t>
      </w:r>
      <w:r>
        <w:rPr>
          <w:rFonts w:ascii="Verdana" w:eastAsia="Calibri" w:hAnsi="Verdana" w:cs="Arial"/>
          <w:noProof/>
          <w:lang w:val="es-ES_tradnl"/>
        </w:rPr>
        <w:t>“</w:t>
      </w:r>
      <w:r w:rsidRPr="0050626C">
        <w:rPr>
          <w:rFonts w:ascii="Verdana" w:eastAsia="Calibri" w:hAnsi="Verdana" w:cs="Arial"/>
          <w:noProof/>
          <w:lang w:val="es-ES_tradnl"/>
        </w:rPr>
        <w:t>deber ser</w:t>
      </w:r>
      <w:r>
        <w:rPr>
          <w:rFonts w:ascii="Verdana" w:eastAsia="Calibri" w:hAnsi="Verdana" w:cs="Arial"/>
          <w:noProof/>
          <w:lang w:val="es-ES_tradnl"/>
        </w:rPr>
        <w:t>”</w:t>
      </w:r>
      <w:r w:rsidRPr="0050626C">
        <w:rPr>
          <w:rFonts w:ascii="Verdana" w:eastAsia="Calibri" w:hAnsi="Verdana" w:cs="Arial"/>
          <w:noProof/>
          <w:lang w:val="es-ES_tradnl"/>
        </w:rPr>
        <w:t xml:space="preserve">, pues debe interpretarse en el sentido de que los contratos de prestación de servicios profesionales </w:t>
      </w:r>
      <w:r w:rsidRPr="0050626C">
        <w:rPr>
          <w:rFonts w:ascii="Verdana" w:eastAsia="Calibri" w:hAnsi="Verdana" w:cs="Arial"/>
          <w:i/>
          <w:noProof/>
          <w:lang w:val="es-ES_tradnl"/>
        </w:rPr>
        <w:t>no pueden</w:t>
      </w:r>
      <w:r w:rsidRPr="0050626C">
        <w:rPr>
          <w:rFonts w:ascii="Verdana" w:eastAsia="Calibri" w:hAnsi="Verdana" w:cs="Arial"/>
          <w:noProof/>
          <w:lang w:val="es-ES_tradnl"/>
        </w:rPr>
        <w:t xml:space="preserve"> generar relación laboral, ni dar lugar a que las entidades estatales paguen por su cuenta los aportes al Sistema de Seguridad Social Integral del contratista. Como se indicó, no puede existir subordinación y dependencia, por lo que la relación laboral está proscrita y el contratista es quien, como </w:t>
      </w:r>
      <w:r>
        <w:rPr>
          <w:rFonts w:ascii="Verdana" w:eastAsia="Calibri" w:hAnsi="Verdana" w:cs="Arial"/>
          <w:noProof/>
          <w:lang w:val="es-ES_tradnl"/>
        </w:rPr>
        <w:t>“</w:t>
      </w:r>
      <w:r w:rsidRPr="0050626C">
        <w:rPr>
          <w:rFonts w:ascii="Verdana" w:eastAsia="Calibri" w:hAnsi="Verdana" w:cs="Arial"/>
          <w:noProof/>
          <w:lang w:val="es-ES_tradnl"/>
        </w:rPr>
        <w:t>trabajador independiente</w:t>
      </w:r>
      <w:r>
        <w:rPr>
          <w:rFonts w:ascii="Verdana" w:eastAsia="Calibri" w:hAnsi="Verdana" w:cs="Arial"/>
          <w:noProof/>
          <w:lang w:val="es-ES_tradnl"/>
        </w:rPr>
        <w:t>”</w:t>
      </w:r>
      <w:r w:rsidRPr="0050626C">
        <w:rPr>
          <w:rFonts w:ascii="Verdana" w:eastAsia="Calibri" w:hAnsi="Verdana" w:cs="Arial"/>
          <w:noProof/>
          <w:lang w:val="es-ES_tradnl"/>
        </w:rPr>
        <w:t xml:space="preserve"> –como lo califican las normas de la seguridad social– debe cotizar por su cuenta y riesgo al Sistema de Seguridad Social Integral</w:t>
      </w:r>
      <w:r w:rsidRPr="0050626C">
        <w:rPr>
          <w:rFonts w:ascii="Verdana" w:eastAsia="Calibri" w:hAnsi="Verdana" w:cs="Arial"/>
          <w:noProof/>
          <w:vertAlign w:val="superscript"/>
          <w:lang w:val="es-ES_tradnl"/>
        </w:rPr>
        <w:footnoteReference w:id="2"/>
      </w:r>
      <w:r w:rsidRPr="0050626C">
        <w:rPr>
          <w:rFonts w:ascii="Verdana" w:eastAsia="Calibri" w:hAnsi="Verdana" w:cs="Arial"/>
          <w:noProof/>
          <w:lang w:val="es-ES_tradnl"/>
        </w:rPr>
        <w:t xml:space="preserve">. </w:t>
      </w:r>
    </w:p>
    <w:p w14:paraId="7E26482B" w14:textId="77777777" w:rsidR="009F4685" w:rsidRPr="0050626C" w:rsidRDefault="009F4685" w:rsidP="009F4685">
      <w:pPr>
        <w:spacing w:before="120" w:after="120" w:line="276" w:lineRule="auto"/>
        <w:ind w:firstLine="709"/>
        <w:jc w:val="both"/>
        <w:rPr>
          <w:rFonts w:ascii="Verdana" w:eastAsia="Calibri" w:hAnsi="Verdana" w:cs="Arial"/>
          <w:noProof/>
          <w:lang w:val="es-ES_tradnl"/>
        </w:rPr>
      </w:pPr>
      <w:r w:rsidRPr="0050626C">
        <w:rPr>
          <w:rFonts w:ascii="Verdana" w:eastAsia="Calibri" w:hAnsi="Verdana" w:cs="Arial"/>
          <w:noProof/>
          <w:lang w:val="es-ES_tradnl"/>
        </w:rPr>
        <w:t xml:space="preserve">A pesar de este mandato deontológico, es posible que en la práctica se configure una relación laboral, pues el contrato de trabajo es </w:t>
      </w:r>
      <w:r w:rsidRPr="0050626C">
        <w:rPr>
          <w:rFonts w:ascii="Verdana" w:eastAsia="Calibri" w:hAnsi="Verdana" w:cs="Arial"/>
          <w:i/>
          <w:iCs/>
          <w:noProof/>
          <w:lang w:val="es-ES_tradnl"/>
        </w:rPr>
        <w:t xml:space="preserve">de </w:t>
      </w:r>
      <w:r w:rsidRPr="0050626C">
        <w:rPr>
          <w:rFonts w:ascii="Verdana" w:eastAsia="Calibri" w:hAnsi="Verdana" w:cs="Arial"/>
          <w:i/>
          <w:noProof/>
          <w:lang w:val="es-ES_tradnl"/>
        </w:rPr>
        <w:t>realidad</w:t>
      </w:r>
      <w:r w:rsidRPr="0050626C">
        <w:rPr>
          <w:rFonts w:ascii="Verdana" w:eastAsia="Calibri" w:hAnsi="Verdana"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w:t>
      </w:r>
      <w:r>
        <w:rPr>
          <w:rFonts w:ascii="Verdana" w:eastAsia="Calibri" w:hAnsi="Verdana" w:cs="Arial"/>
          <w:noProof/>
          <w:lang w:val="es-ES_tradnl"/>
        </w:rPr>
        <w:t>“</w:t>
      </w:r>
      <w:r w:rsidRPr="0050626C">
        <w:rPr>
          <w:rFonts w:ascii="Verdana" w:eastAsia="Calibri" w:hAnsi="Verdana" w:cs="Arial"/>
          <w:noProof/>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Fonts w:ascii="Verdana" w:eastAsia="Calibri" w:hAnsi="Verdana" w:cs="Arial"/>
          <w:noProof/>
          <w:lang w:val="es-ES_tradnl"/>
        </w:rPr>
        <w:t>”</w:t>
      </w:r>
      <w:r w:rsidRPr="0050626C">
        <w:rPr>
          <w:rFonts w:ascii="Verdana" w:eastAsia="Calibri" w:hAnsi="Verdana" w:cs="Arial"/>
          <w:noProof/>
          <w:vertAlign w:val="superscript"/>
          <w:lang w:val="es-ES_tradnl"/>
        </w:rPr>
        <w:footnoteReference w:id="3"/>
      </w:r>
      <w:r w:rsidRPr="0050626C">
        <w:rPr>
          <w:rFonts w:ascii="Verdana" w:eastAsia="Calibri" w:hAnsi="Verdana" w:cs="Arial"/>
          <w:noProof/>
          <w:lang w:val="es-ES_tradnl"/>
        </w:rPr>
        <w:t>.</w:t>
      </w:r>
    </w:p>
    <w:p w14:paraId="1DAB83CC" w14:textId="77777777" w:rsidR="009F4685" w:rsidRDefault="009F4685" w:rsidP="009F4685">
      <w:pPr>
        <w:spacing w:after="0" w:line="276" w:lineRule="auto"/>
        <w:ind w:firstLine="709"/>
        <w:jc w:val="both"/>
        <w:rPr>
          <w:rFonts w:ascii="Verdana" w:eastAsia="Calibri" w:hAnsi="Verdana" w:cs="Arial"/>
          <w:noProof/>
          <w:lang w:val="es-ES_tradnl"/>
        </w:rPr>
      </w:pPr>
      <w:r w:rsidRPr="0050626C">
        <w:rPr>
          <w:rFonts w:ascii="Verdana" w:eastAsia="Calibri" w:hAnsi="Verdana" w:cs="Arial"/>
          <w:noProof/>
          <w:lang w:val="es-ES_tradnl"/>
        </w:rPr>
        <w:t>iv) Deben ser temporales. Así lo consideró la Corte Constitucional, en la misma providencia a la que se aludió antes, expresando que:</w:t>
      </w:r>
    </w:p>
    <w:p w14:paraId="57EBEB6B" w14:textId="77777777" w:rsidR="009F4685" w:rsidRPr="0050626C" w:rsidRDefault="009F4685" w:rsidP="009F4685">
      <w:pPr>
        <w:spacing w:after="0" w:line="276" w:lineRule="auto"/>
        <w:ind w:firstLine="709"/>
        <w:jc w:val="both"/>
        <w:rPr>
          <w:rFonts w:ascii="Verdana" w:eastAsia="Calibri" w:hAnsi="Verdana" w:cs="Arial"/>
          <w:noProof/>
          <w:lang w:val="es-ES_tradnl"/>
        </w:rPr>
      </w:pPr>
    </w:p>
    <w:p w14:paraId="10B35E90" w14:textId="77777777" w:rsidR="009F4685" w:rsidRDefault="009F4685" w:rsidP="009F4685">
      <w:pPr>
        <w:spacing w:after="0"/>
        <w:ind w:left="709" w:right="709"/>
        <w:jc w:val="both"/>
        <w:rPr>
          <w:rFonts w:ascii="Verdana" w:eastAsia="Calibri" w:hAnsi="Verdana" w:cs="Arial"/>
          <w:noProof/>
          <w:sz w:val="21"/>
          <w:szCs w:val="21"/>
          <w:lang w:val="es-ES_tradnl"/>
        </w:rPr>
      </w:pPr>
      <w:r w:rsidRPr="0050626C">
        <w:rPr>
          <w:rFonts w:ascii="Verdana" w:eastAsia="Calibri" w:hAnsi="Verdana" w:cs="Arial"/>
          <w:noProof/>
          <w:sz w:val="21"/>
          <w:szCs w:val="21"/>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w:t>
      </w:r>
      <w:r w:rsidRPr="0050626C">
        <w:rPr>
          <w:rFonts w:ascii="Verdana" w:eastAsia="Calibri" w:hAnsi="Verdana" w:cs="Arial"/>
          <w:noProof/>
          <w:sz w:val="21"/>
          <w:szCs w:val="21"/>
          <w:lang w:val="es-ES_tradnl"/>
        </w:rPr>
        <w:lastRenderedPageBreak/>
        <w:t>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50626C">
        <w:rPr>
          <w:rFonts w:ascii="Verdana" w:eastAsia="Calibri" w:hAnsi="Verdana" w:cs="Arial"/>
          <w:noProof/>
          <w:sz w:val="21"/>
          <w:szCs w:val="21"/>
          <w:vertAlign w:val="superscript"/>
          <w:lang w:val="es-ES_tradnl"/>
        </w:rPr>
        <w:footnoteReference w:id="4"/>
      </w:r>
      <w:r w:rsidRPr="0050626C">
        <w:rPr>
          <w:rFonts w:ascii="Verdana" w:eastAsia="Calibri" w:hAnsi="Verdana" w:cs="Arial"/>
          <w:noProof/>
          <w:sz w:val="21"/>
          <w:szCs w:val="21"/>
          <w:lang w:val="es-ES_tradnl"/>
        </w:rPr>
        <w:t>.</w:t>
      </w:r>
    </w:p>
    <w:p w14:paraId="4C3F6300" w14:textId="77777777" w:rsidR="009F4685" w:rsidRPr="0050626C" w:rsidRDefault="009F4685" w:rsidP="009F4685">
      <w:pPr>
        <w:spacing w:after="0"/>
        <w:ind w:left="709" w:right="709"/>
        <w:jc w:val="both"/>
        <w:rPr>
          <w:rFonts w:ascii="Verdana" w:eastAsia="Calibri" w:hAnsi="Verdana" w:cs="Arial"/>
          <w:noProof/>
          <w:lang w:val="es-ES_tradnl"/>
        </w:rPr>
      </w:pPr>
    </w:p>
    <w:p w14:paraId="36C5C2AE" w14:textId="77777777" w:rsidR="009F4685" w:rsidRPr="008C6876" w:rsidRDefault="009F4685" w:rsidP="009F4685">
      <w:pPr>
        <w:spacing w:after="120" w:line="276" w:lineRule="auto"/>
        <w:ind w:firstLine="709"/>
        <w:jc w:val="both"/>
        <w:rPr>
          <w:rFonts w:ascii="Verdana" w:eastAsia="Calibri" w:hAnsi="Verdana" w:cs="Arial"/>
          <w:color w:val="000000"/>
          <w:lang w:val="es-ES_tradnl" w:eastAsia="es-ES_tradnl"/>
        </w:rPr>
      </w:pPr>
      <w:r w:rsidRPr="008C6876">
        <w:rPr>
          <w:rFonts w:ascii="Verdana" w:hAnsi="Verdana" w:cs="Arial"/>
          <w:noProof/>
          <w:lang w:val="es-ES_tradnl"/>
        </w:rPr>
        <w:t xml:space="preserve">v) </w:t>
      </w:r>
      <w:r w:rsidRPr="008C6876">
        <w:rPr>
          <w:rFonts w:ascii="Verdana" w:eastAsia="Calibri" w:hAnsi="Verdana" w:cs="Arial"/>
          <w:color w:val="000000"/>
          <w:lang w:val="es-ES_tradnl" w:eastAsia="es-ES_tradnl"/>
        </w:rPr>
        <w:t xml:space="preserve">Los contratos de prestación de servicios constituyen un </w:t>
      </w:r>
      <w:r w:rsidRPr="008C6876">
        <w:rPr>
          <w:rFonts w:ascii="Verdana" w:eastAsia="Calibri" w:hAnsi="Verdana" w:cs="Arial"/>
          <w:i/>
          <w:iCs/>
          <w:color w:val="000000"/>
          <w:lang w:val="es-ES_tradnl" w:eastAsia="es-ES_tradnl"/>
        </w:rPr>
        <w:t>género</w:t>
      </w:r>
      <w:r w:rsidRPr="008C6876">
        <w:rPr>
          <w:rFonts w:ascii="Verdana" w:eastAsia="Calibri" w:hAnsi="Verdana" w:cs="Arial"/>
          <w:color w:val="000000"/>
          <w:lang w:val="es-ES_tradnl" w:eastAsia="es-ES_tradnl"/>
        </w:rPr>
        <w:t xml:space="preserve"> que incluye, como </w:t>
      </w:r>
      <w:r w:rsidRPr="008C6876">
        <w:rPr>
          <w:rFonts w:ascii="Verdana" w:eastAsia="Calibri" w:hAnsi="Verdana" w:cs="Arial"/>
          <w:i/>
          <w:iCs/>
          <w:color w:val="000000"/>
          <w:lang w:val="es-ES_tradnl" w:eastAsia="es-ES_tradnl"/>
        </w:rPr>
        <w:t>especies</w:t>
      </w:r>
      <w:r w:rsidRPr="008C6876">
        <w:rPr>
          <w:rFonts w:ascii="Verdana" w:eastAsia="Calibri" w:hAnsi="Verdana" w:cs="Arial"/>
          <w:color w:val="00000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w:t>
      </w:r>
      <w:r w:rsidRPr="008C6876">
        <w:rPr>
          <w:rFonts w:ascii="Verdana" w:eastAsia="Calibri" w:hAnsi="Verdana" w:cs="Arial"/>
          <w:color w:val="000000"/>
          <w:vertAlign w:val="superscript"/>
          <w:lang w:val="es-ES_tradnl" w:eastAsia="es-ES_tradnl"/>
        </w:rPr>
        <w:footnoteReference w:id="5"/>
      </w:r>
      <w:r w:rsidRPr="008C6876">
        <w:rPr>
          <w:rFonts w:ascii="Verdana" w:eastAsia="Calibri" w:hAnsi="Verdana" w:cs="Arial"/>
          <w:color w:val="000000"/>
          <w:lang w:val="es-ES_tradnl" w:eastAsia="es-ES_tradnl"/>
        </w:rPr>
        <w:t xml:space="preserve">. La diferencia entre el contrato de prestación de servicios </w:t>
      </w:r>
      <w:r w:rsidRPr="008C6876">
        <w:rPr>
          <w:rFonts w:ascii="Verdana" w:eastAsia="Calibri" w:hAnsi="Verdana" w:cs="Arial"/>
          <w:i/>
          <w:color w:val="000000"/>
          <w:lang w:val="es-ES_tradnl" w:eastAsia="es-ES_tradnl"/>
        </w:rPr>
        <w:t>profesionales</w:t>
      </w:r>
      <w:r w:rsidRPr="008C6876">
        <w:rPr>
          <w:rFonts w:ascii="Verdana" w:eastAsia="Calibri" w:hAnsi="Verdana" w:cs="Arial"/>
          <w:color w:val="000000"/>
          <w:lang w:val="es-ES_tradnl" w:eastAsia="es-ES_tradnl"/>
        </w:rPr>
        <w:t xml:space="preserve"> con las otras dos especies del género en el cual se ubican radica en su contenido intelectual intangible y, al mismo tiempo, en la formación profesional que se exige para desempeñar la labor</w:t>
      </w:r>
      <w:r w:rsidRPr="008C6876">
        <w:rPr>
          <w:rFonts w:ascii="Verdana" w:eastAsia="Calibri" w:hAnsi="Verdana" w:cs="Arial"/>
          <w:color w:val="000000"/>
          <w:vertAlign w:val="superscript"/>
          <w:lang w:val="es-ES_tradnl" w:eastAsia="es-ES_tradnl"/>
        </w:rPr>
        <w:footnoteReference w:id="6"/>
      </w:r>
      <w:r w:rsidRPr="008C6876">
        <w:rPr>
          <w:rFonts w:ascii="Verdana" w:eastAsia="Calibri" w:hAnsi="Verdana" w:cs="Arial"/>
          <w:color w:val="000000"/>
          <w:lang w:val="es-ES_tradnl" w:eastAsia="es-ES_tradnl"/>
        </w:rPr>
        <w:t>.</w:t>
      </w:r>
    </w:p>
    <w:p w14:paraId="5BCA5238" w14:textId="77777777" w:rsidR="009F4685" w:rsidRPr="008C6876" w:rsidRDefault="009F4685" w:rsidP="009F4685">
      <w:pPr>
        <w:spacing w:after="120" w:line="276" w:lineRule="auto"/>
        <w:ind w:firstLine="709"/>
        <w:jc w:val="both"/>
        <w:rPr>
          <w:rFonts w:ascii="Verdana" w:eastAsia="Calibri" w:hAnsi="Verdana" w:cs="Arial"/>
          <w:color w:val="000000"/>
          <w:lang w:val="es-ES" w:eastAsia="es-ES"/>
        </w:rPr>
      </w:pPr>
      <w:r w:rsidRPr="3051C5F0">
        <w:rPr>
          <w:rFonts w:ascii="Verdana" w:hAnsi="Verdana" w:cs="Arial"/>
          <w:noProof/>
          <w:lang w:val="es-ES"/>
        </w:rPr>
        <w:t xml:space="preserve">vi) Se celebran a través de la modalidad de contratación directa, independientemente de la cuantía y del tipo de servicio profesional, siempre que su objeto no sea la consultoría. Esto por cuanto, como lo indicó </w:t>
      </w:r>
      <w:r w:rsidRPr="008C6876">
        <w:rPr>
          <w:rFonts w:ascii="Verdana" w:eastAsia="Arial" w:hAnsi="Verdana" w:cs="Arial"/>
          <w:color w:val="000000"/>
        </w:rPr>
        <w:t>Sentencia de Unificación Jurisprudencial de 09 de septiembre de 2021, proferida por el Consejo de Estado</w:t>
      </w:r>
      <w:r>
        <w:rPr>
          <w:rStyle w:val="Refdenotaalpie"/>
          <w:rFonts w:ascii="Verdana" w:eastAsia="Arial" w:hAnsi="Verdana" w:cs="Arial"/>
          <w:color w:val="000000"/>
        </w:rPr>
        <w:footnoteReference w:id="7"/>
      </w:r>
      <w:r w:rsidRPr="3051C5F0">
        <w:rPr>
          <w:rFonts w:ascii="Verdana" w:hAnsi="Verdana" w:cs="Arial"/>
          <w:noProof/>
          <w:lang w:val="es-ES"/>
        </w:rPr>
        <w:t>, si bien en ambos existe un componente intelectual y profesional, el objeto del contrato de consultoría es especial y debe celebrarse, por regla general, mediante un concurso de méritos</w:t>
      </w:r>
      <w:r w:rsidRPr="3051C5F0">
        <w:rPr>
          <w:rFonts w:ascii="Verdana" w:hAnsi="Verdana" w:cs="Arial"/>
          <w:noProof/>
          <w:vertAlign w:val="superscript"/>
          <w:lang w:val="es-ES"/>
        </w:rPr>
        <w:footnoteReference w:id="8"/>
      </w:r>
      <w:r w:rsidRPr="3051C5F0">
        <w:rPr>
          <w:rFonts w:ascii="Verdana" w:hAnsi="Verdana" w:cs="Arial"/>
          <w:noProof/>
          <w:lang w:val="es-ES"/>
        </w:rPr>
        <w:t>. Esto también se deriva d</w:t>
      </w:r>
      <w:r w:rsidRPr="3051C5F0">
        <w:rPr>
          <w:rFonts w:ascii="Verdana" w:eastAsia="Calibri" w:hAnsi="Verdana" w:cs="Arial"/>
          <w:color w:val="000000" w:themeColor="text1"/>
          <w:lang w:val="es-ES"/>
        </w:rPr>
        <w:t xml:space="preserve">el </w:t>
      </w:r>
      <w:r w:rsidRPr="3051C5F0">
        <w:rPr>
          <w:rFonts w:ascii="Verdana" w:eastAsia="Calibri" w:hAnsi="Verdana" w:cs="Arial"/>
          <w:color w:val="000000" w:themeColor="text1"/>
          <w:lang w:val="es-ES"/>
        </w:rPr>
        <w:lastRenderedPageBreak/>
        <w:t>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r w:rsidRPr="008C6876">
        <w:rPr>
          <w:rFonts w:ascii="Verdana" w:eastAsia="Calibri" w:hAnsi="Verdana" w:cs="Arial"/>
          <w:color w:val="000000"/>
          <w:lang w:val="es-ES" w:eastAsia="es-ES"/>
        </w:rPr>
        <w:t xml:space="preserve"> Pero, tampoco puede suscribirse un contrato de prestación de servicios profesionales para que el contratista ejecute labores que </w:t>
      </w:r>
      <w:bookmarkStart w:id="2" w:name="_Int_egOvFuwb"/>
      <w:r w:rsidRPr="008C6876">
        <w:rPr>
          <w:rFonts w:ascii="Verdana" w:eastAsia="Calibri" w:hAnsi="Verdana" w:cs="Arial"/>
          <w:color w:val="000000"/>
          <w:lang w:val="es-ES" w:eastAsia="es-ES"/>
        </w:rPr>
        <w:t>se enmarcan dentro de</w:t>
      </w:r>
      <w:bookmarkEnd w:id="2"/>
      <w:r w:rsidRPr="008C6876">
        <w:rPr>
          <w:rFonts w:ascii="Verdana" w:eastAsia="Calibri" w:hAnsi="Verdana" w:cs="Arial"/>
          <w:color w:val="000000"/>
          <w:lang w:val="es-ES" w:eastAsia="es-ES"/>
        </w:rPr>
        <w:t xml:space="preserve"> los otros contratos tipificados en el artículo 32 de la Ley 80 de 1993, como, por ejemplo, para que el contratista de prestación de servicios construya una obra.</w:t>
      </w:r>
    </w:p>
    <w:p w14:paraId="7BC11358" w14:textId="77777777" w:rsidR="009F4685" w:rsidRPr="008C6876" w:rsidRDefault="009F4685" w:rsidP="009F4685">
      <w:pPr>
        <w:spacing w:after="120" w:line="276" w:lineRule="auto"/>
        <w:ind w:firstLine="709"/>
        <w:jc w:val="both"/>
        <w:rPr>
          <w:rFonts w:ascii="Verdana" w:hAnsi="Verdana" w:cs="Arial"/>
          <w:noProof/>
          <w:lang w:val="es-ES_tradnl"/>
        </w:rPr>
      </w:pPr>
      <w:r w:rsidRPr="008C6876">
        <w:rPr>
          <w:rFonts w:ascii="Verdana" w:hAnsi="Verdana" w:cs="Arial"/>
          <w:noProof/>
          <w:lang w:val="es-ES_tradnl"/>
        </w:rPr>
        <w:t>vii) Para su celebración no se requiere expedir un acto administrativo de justificación de la contratación directa</w:t>
      </w:r>
      <w:r w:rsidRPr="008C6876">
        <w:rPr>
          <w:rFonts w:ascii="Verdana" w:hAnsi="Verdana" w:cs="Arial"/>
          <w:noProof/>
          <w:vertAlign w:val="superscript"/>
          <w:lang w:val="es-ES_tradnl"/>
        </w:rPr>
        <w:footnoteReference w:id="9"/>
      </w:r>
      <w:r w:rsidRPr="008C6876">
        <w:rPr>
          <w:rFonts w:ascii="Verdana" w:hAnsi="Verdana" w:cs="Arial"/>
          <w:noProof/>
          <w:lang w:val="es-ES_tradnl"/>
        </w:rPr>
        <w:t>.</w:t>
      </w:r>
    </w:p>
    <w:p w14:paraId="3910117A" w14:textId="77777777" w:rsidR="009F4685" w:rsidRPr="008C6876" w:rsidRDefault="009F4685" w:rsidP="009F4685">
      <w:pPr>
        <w:spacing w:after="120" w:line="276" w:lineRule="auto"/>
        <w:ind w:firstLine="709"/>
        <w:jc w:val="both"/>
        <w:rPr>
          <w:rFonts w:ascii="Verdana" w:hAnsi="Verdana" w:cs="Arial"/>
          <w:noProof/>
          <w:lang w:val="es-ES_tradnl"/>
        </w:rPr>
      </w:pPr>
      <w:r w:rsidRPr="008C6876">
        <w:rPr>
          <w:rFonts w:ascii="Verdana" w:hAnsi="Verdana" w:cs="Arial"/>
          <w:noProof/>
          <w:lang w:val="es-ES_tradnl"/>
        </w:rPr>
        <w:t>viii)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8C6876">
        <w:rPr>
          <w:rFonts w:ascii="Verdana" w:hAnsi="Verdana" w:cs="Arial"/>
          <w:noProof/>
          <w:vertAlign w:val="superscript"/>
          <w:lang w:val="es-ES_tradnl"/>
        </w:rPr>
        <w:footnoteReference w:id="10"/>
      </w:r>
      <w:r w:rsidRPr="008C6876">
        <w:rPr>
          <w:rFonts w:ascii="Verdana" w:hAnsi="Verdana" w:cs="Arial"/>
          <w:noProof/>
          <w:lang w:val="es-ES_tradnl"/>
        </w:rPr>
        <w:t>.</w:t>
      </w:r>
    </w:p>
    <w:p w14:paraId="387B4E90" w14:textId="77777777" w:rsidR="009F4685" w:rsidRPr="008C6876" w:rsidRDefault="009F4685" w:rsidP="009F4685">
      <w:pPr>
        <w:spacing w:after="120" w:line="276" w:lineRule="auto"/>
        <w:ind w:firstLine="709"/>
        <w:jc w:val="both"/>
        <w:rPr>
          <w:rFonts w:ascii="Verdana" w:hAnsi="Verdana" w:cs="Arial"/>
          <w:noProof/>
          <w:lang w:val="es-ES_tradnl"/>
        </w:rPr>
      </w:pPr>
      <w:r w:rsidRPr="008C6876">
        <w:rPr>
          <w:rFonts w:ascii="Verdana" w:hAnsi="Verdana" w:cs="Arial"/>
          <w:noProof/>
          <w:lang w:val="es-ES_tradnl"/>
        </w:rPr>
        <w:t>ix) No es obligatoria la liquidación de estos contratos, como lo establece el artículo 217 del Decreto 019 de 2012, que modificó el artículo 60 de la Ley 80 de 1993</w:t>
      </w:r>
      <w:r w:rsidRPr="008C6876">
        <w:rPr>
          <w:rFonts w:ascii="Verdana" w:hAnsi="Verdana" w:cs="Arial"/>
          <w:noProof/>
          <w:vertAlign w:val="superscript"/>
          <w:lang w:val="es-ES_tradnl"/>
        </w:rPr>
        <w:footnoteReference w:id="11"/>
      </w:r>
      <w:r w:rsidRPr="008C6876">
        <w:rPr>
          <w:rFonts w:ascii="Verdana" w:hAnsi="Verdana" w:cs="Arial"/>
          <w:noProof/>
          <w:lang w:val="es-ES_tradnl"/>
        </w:rPr>
        <w:t>.</w:t>
      </w:r>
    </w:p>
    <w:p w14:paraId="6D81AA99" w14:textId="77777777" w:rsidR="009F4685" w:rsidRPr="008C6876" w:rsidRDefault="009F4685" w:rsidP="009F4685">
      <w:pPr>
        <w:spacing w:after="120" w:line="276" w:lineRule="auto"/>
        <w:ind w:firstLine="709"/>
        <w:jc w:val="both"/>
        <w:rPr>
          <w:rFonts w:ascii="Verdana" w:hAnsi="Verdana" w:cs="Arial"/>
          <w:noProof/>
          <w:lang w:val="es-ES_tradnl"/>
        </w:rPr>
      </w:pPr>
      <w:r w:rsidRPr="008C6876">
        <w:rPr>
          <w:rFonts w:ascii="Verdana" w:hAnsi="Verdana" w:cs="Arial"/>
          <w:noProof/>
          <w:lang w:val="es-ES_tradnl"/>
        </w:rPr>
        <w:t>x) Para su celebración el contratista no requiere estar inscrito en el Registro Único de Proponentes –en adelante RUP–, como lo señala el artículo 6 de la Ley 1150 de 2007</w:t>
      </w:r>
      <w:r w:rsidRPr="008C6876">
        <w:rPr>
          <w:rFonts w:ascii="Verdana" w:hAnsi="Verdana" w:cs="Arial"/>
          <w:noProof/>
          <w:vertAlign w:val="superscript"/>
          <w:lang w:val="es-ES_tradnl"/>
        </w:rPr>
        <w:footnoteReference w:id="12"/>
      </w:r>
      <w:r w:rsidRPr="008C6876">
        <w:rPr>
          <w:rFonts w:ascii="Verdana" w:hAnsi="Verdana" w:cs="Arial"/>
          <w:noProof/>
          <w:lang w:val="es-ES_tradnl"/>
        </w:rPr>
        <w:t>.</w:t>
      </w:r>
    </w:p>
    <w:p w14:paraId="227AA9F1" w14:textId="77777777" w:rsidR="009F4685" w:rsidRPr="008C6876" w:rsidRDefault="009F4685" w:rsidP="009F4685">
      <w:pPr>
        <w:spacing w:after="120" w:line="276" w:lineRule="auto"/>
        <w:ind w:firstLine="708"/>
        <w:jc w:val="both"/>
        <w:rPr>
          <w:rFonts w:ascii="Verdana" w:hAnsi="Verdana" w:cs="Arial"/>
          <w:noProof/>
          <w:lang w:val="es-ES_tradnl"/>
        </w:rPr>
      </w:pPr>
      <w:r w:rsidRPr="008C6876">
        <w:rPr>
          <w:rFonts w:ascii="Verdana" w:hAnsi="Verdana" w:cs="Arial"/>
          <w:noProof/>
          <w:lang w:val="es-ES_tradnl"/>
        </w:rPr>
        <w:lastRenderedPageBreak/>
        <w:t>xi) No es obligtoria la exigencia de garantías</w:t>
      </w:r>
      <w:r w:rsidRPr="008C6876">
        <w:rPr>
          <w:rFonts w:ascii="Verdana" w:hAnsi="Verdana" w:cs="Arial"/>
          <w:noProof/>
          <w:vertAlign w:val="superscript"/>
          <w:lang w:val="es-ES_tradnl"/>
        </w:rPr>
        <w:footnoteReference w:id="13"/>
      </w:r>
      <w:r w:rsidRPr="008C6876">
        <w:rPr>
          <w:rFonts w:ascii="Verdana" w:hAnsi="Verdana" w:cs="Arial"/>
          <w:noProof/>
          <w:lang w:val="es-ES_tradnl"/>
        </w:rPr>
        <w:t>.</w:t>
      </w:r>
    </w:p>
    <w:p w14:paraId="56D64DDA" w14:textId="77777777" w:rsidR="009F4685" w:rsidRPr="008C6876" w:rsidRDefault="009F4685" w:rsidP="009F4685">
      <w:pPr>
        <w:spacing w:after="120" w:line="276" w:lineRule="auto"/>
        <w:ind w:firstLine="709"/>
        <w:jc w:val="both"/>
        <w:rPr>
          <w:rFonts w:ascii="Verdana" w:hAnsi="Verdana" w:cs="Arial"/>
          <w:noProof/>
          <w:lang w:val="es-ES_tradnl"/>
        </w:rPr>
      </w:pPr>
      <w:r w:rsidRPr="008C6876">
        <w:rPr>
          <w:rFonts w:ascii="Verdana" w:hAnsi="Verdana" w:cs="Arial"/>
          <w:noProof/>
          <w:lang w:val="es-ES_tradnl"/>
        </w:rPr>
        <w:t>xii) Como los demás contratos estatales, se trata de un contrato solemne que debe constar por escrito y debe ser publicado en el SECOP.</w:t>
      </w:r>
    </w:p>
    <w:p w14:paraId="76759316" w14:textId="77777777" w:rsidR="009F4685" w:rsidRDefault="009F4685" w:rsidP="009F4685">
      <w:pPr>
        <w:spacing w:after="120" w:line="276" w:lineRule="auto"/>
        <w:ind w:firstLine="709"/>
        <w:jc w:val="both"/>
        <w:rPr>
          <w:rFonts w:ascii="Verdana" w:hAnsi="Verdana" w:cs="Arial"/>
          <w:noProof/>
          <w:lang w:val="es-ES_tradnl"/>
        </w:rPr>
      </w:pPr>
      <w:r w:rsidRPr="008C6876">
        <w:rPr>
          <w:rFonts w:ascii="Verdana" w:hAnsi="Verdana" w:cs="Arial"/>
          <w:noProof/>
          <w:lang w:val="es-ES_tradnl"/>
        </w:rPr>
        <w:t xml:space="preserve">Analizadas las caracteristicas del contrato de prestación de servicios, se procede </w:t>
      </w:r>
      <w:r>
        <w:rPr>
          <w:rFonts w:ascii="Verdana" w:hAnsi="Verdana" w:cs="Arial"/>
          <w:noProof/>
          <w:lang w:val="es-ES_tradnl"/>
        </w:rPr>
        <w:t>a abordar lo concerniente al proceso de liquidación en aquellos contratos</w:t>
      </w:r>
      <w:r w:rsidRPr="008C6876">
        <w:rPr>
          <w:rFonts w:ascii="Verdana" w:hAnsi="Verdana" w:cs="Arial"/>
          <w:noProof/>
          <w:lang w:val="es-ES_tradnl"/>
        </w:rPr>
        <w:t>.</w:t>
      </w:r>
    </w:p>
    <w:p w14:paraId="1798AC9B" w14:textId="77777777" w:rsidR="009F4685" w:rsidRDefault="009F4685" w:rsidP="009F4685">
      <w:pPr>
        <w:widowControl w:val="0"/>
        <w:autoSpaceDE w:val="0"/>
        <w:autoSpaceDN w:val="0"/>
        <w:spacing w:after="0" w:line="276" w:lineRule="auto"/>
        <w:ind w:right="108" w:firstLine="708"/>
        <w:jc w:val="both"/>
        <w:rPr>
          <w:rFonts w:ascii="Verdana" w:eastAsia="Arial" w:hAnsi="Verdana" w:cs="Arial"/>
          <w:lang w:val="es-ES"/>
        </w:rPr>
      </w:pPr>
      <w:r>
        <w:rPr>
          <w:rFonts w:ascii="Verdana" w:eastAsia="Arial" w:hAnsi="Verdana" w:cs="Arial"/>
          <w:lang w:val="es-ES"/>
        </w:rPr>
        <w:t>En ese orden, la</w:t>
      </w:r>
      <w:r w:rsidRPr="00F735D3">
        <w:rPr>
          <w:rFonts w:ascii="Verdana" w:eastAsia="Arial" w:hAnsi="Verdana" w:cs="Arial"/>
          <w:lang w:val="es-ES"/>
        </w:rPr>
        <w:t xml:space="preserve"> fase de liquidación de los contratos estatales es el momento en el cual las partes realizan el balance de la ejecución del acuerdo de voluntades. Dicho balance, según el artículo 60 de la Ley 80 de 1993, tiene como objetivo que tanto el contratante como el contratista se declaren a paz y salvo, pudiendo utilizar los instrumentos de la conciliación y la transacción, entre otros. En efecto, el artículo 60 de la Ley 80 de 1993 dispone:</w:t>
      </w:r>
    </w:p>
    <w:p w14:paraId="5722624A" w14:textId="77777777" w:rsidR="009F4685" w:rsidRPr="00F735D3" w:rsidRDefault="009F4685" w:rsidP="009F4685">
      <w:pPr>
        <w:widowControl w:val="0"/>
        <w:autoSpaceDE w:val="0"/>
        <w:autoSpaceDN w:val="0"/>
        <w:spacing w:after="0" w:line="276" w:lineRule="auto"/>
        <w:ind w:right="108" w:firstLine="708"/>
        <w:jc w:val="both"/>
        <w:rPr>
          <w:rFonts w:ascii="Verdana" w:eastAsia="Arial" w:hAnsi="Verdana" w:cs="Arial"/>
          <w:lang w:val="es-ES"/>
        </w:rPr>
      </w:pPr>
    </w:p>
    <w:p w14:paraId="5D21A29F" w14:textId="77777777" w:rsidR="009F4685" w:rsidRPr="00F735D3" w:rsidRDefault="009F4685" w:rsidP="009F4685">
      <w:pPr>
        <w:widowControl w:val="0"/>
        <w:autoSpaceDE w:val="0"/>
        <w:autoSpaceDN w:val="0"/>
        <w:ind w:left="709" w:right="709"/>
        <w:jc w:val="both"/>
        <w:rPr>
          <w:rFonts w:ascii="Verdana" w:eastAsia="Arial" w:hAnsi="Verdana" w:cs="Arial"/>
          <w:sz w:val="21"/>
          <w:szCs w:val="21"/>
          <w:lang w:val="es-ES"/>
        </w:rPr>
      </w:pPr>
      <w:r w:rsidRPr="00F735D3">
        <w:rPr>
          <w:rFonts w:ascii="Verdana" w:eastAsia="Arial" w:hAnsi="Verdana" w:cs="Arial"/>
          <w:sz w:val="21"/>
          <w:szCs w:val="21"/>
          <w:lang w:val="es-ES"/>
        </w:rPr>
        <w:t>Los contratos de tracto sucesivo</w:t>
      </w:r>
      <w:r w:rsidRPr="00F735D3">
        <w:rPr>
          <w:rFonts w:ascii="Verdana" w:eastAsia="Arial" w:hAnsi="Verdana" w:cs="Arial"/>
          <w:sz w:val="21"/>
          <w:szCs w:val="21"/>
          <w:vertAlign w:val="superscript"/>
          <w:lang w:val="es-ES"/>
        </w:rPr>
        <w:footnoteReference w:id="14"/>
      </w:r>
      <w:r w:rsidRPr="00F735D3">
        <w:rPr>
          <w:rFonts w:ascii="Verdana" w:eastAsia="Arial" w:hAnsi="Verdana" w:cs="Arial"/>
          <w:sz w:val="21"/>
          <w:szCs w:val="21"/>
          <w:lang w:val="es-ES"/>
        </w:rPr>
        <w:t xml:space="preserve">, aquellos cuya ejecución o cumplimiento se prolongue en el tiempo y los demás que lo requieran, serán objeto de liquidación. </w:t>
      </w:r>
    </w:p>
    <w:p w14:paraId="6E68A39F" w14:textId="77777777" w:rsidR="009F4685" w:rsidRPr="00F735D3" w:rsidRDefault="009F4685" w:rsidP="009F4685">
      <w:pPr>
        <w:widowControl w:val="0"/>
        <w:autoSpaceDE w:val="0"/>
        <w:autoSpaceDN w:val="0"/>
        <w:ind w:left="709" w:right="709"/>
        <w:jc w:val="both"/>
        <w:rPr>
          <w:rFonts w:ascii="Verdana" w:eastAsia="Arial" w:hAnsi="Verdana" w:cs="Arial"/>
          <w:sz w:val="21"/>
          <w:szCs w:val="21"/>
          <w:lang w:val="es-ES"/>
        </w:rPr>
      </w:pPr>
      <w:r w:rsidRPr="00F735D3">
        <w:rPr>
          <w:rFonts w:ascii="Verdana" w:eastAsia="Arial" w:hAnsi="Verdana" w:cs="Arial"/>
          <w:sz w:val="21"/>
          <w:szCs w:val="21"/>
          <w:lang w:val="es-ES"/>
        </w:rPr>
        <w:t xml:space="preserve">También en esta etapa las partes acordarán los ajustes, revisiones y reconocimientos a que haya lugar. </w:t>
      </w:r>
    </w:p>
    <w:p w14:paraId="3F5A0040" w14:textId="77777777" w:rsidR="009F4685" w:rsidRPr="00F735D3" w:rsidRDefault="009F4685" w:rsidP="009F4685">
      <w:pPr>
        <w:widowControl w:val="0"/>
        <w:autoSpaceDE w:val="0"/>
        <w:autoSpaceDN w:val="0"/>
        <w:ind w:left="709" w:right="709"/>
        <w:jc w:val="both"/>
        <w:rPr>
          <w:rFonts w:ascii="Verdana" w:eastAsia="Arial" w:hAnsi="Verdana" w:cs="Arial"/>
          <w:sz w:val="21"/>
          <w:szCs w:val="21"/>
          <w:lang w:val="es-ES"/>
        </w:rPr>
      </w:pPr>
      <w:r w:rsidRPr="00F735D3">
        <w:rPr>
          <w:rFonts w:ascii="Verdana" w:eastAsia="Arial" w:hAnsi="Verdana" w:cs="Arial"/>
          <w:sz w:val="21"/>
          <w:szCs w:val="21"/>
          <w:lang w:val="es-ES"/>
        </w:rPr>
        <w:t xml:space="preserve">En el acta de liquidación constarán los acuerdos, conciliaciones y transacciones a que llegaren las partes para poner fin a las divergencias presentadas y poder declararse a paz y salvo. </w:t>
      </w:r>
    </w:p>
    <w:p w14:paraId="7AC869E5" w14:textId="77777777" w:rsidR="009F4685" w:rsidRPr="00F735D3" w:rsidRDefault="009F4685" w:rsidP="009F4685">
      <w:pPr>
        <w:widowControl w:val="0"/>
        <w:autoSpaceDE w:val="0"/>
        <w:autoSpaceDN w:val="0"/>
        <w:ind w:left="709" w:right="709"/>
        <w:jc w:val="both"/>
        <w:rPr>
          <w:rFonts w:ascii="Verdana" w:eastAsia="Arial" w:hAnsi="Verdana" w:cs="Arial"/>
          <w:sz w:val="21"/>
          <w:szCs w:val="21"/>
          <w:lang w:val="es-ES"/>
        </w:rPr>
      </w:pPr>
      <w:r w:rsidRPr="00F735D3">
        <w:rPr>
          <w:rFonts w:ascii="Verdana" w:eastAsia="Arial" w:hAnsi="Verdana" w:cs="Arial"/>
          <w:sz w:val="21"/>
          <w:szCs w:val="21"/>
          <w:lang w:val="es-ES"/>
        </w:rPr>
        <w:t xml:space="preserve">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 contrato. </w:t>
      </w:r>
    </w:p>
    <w:p w14:paraId="75935D71" w14:textId="77777777" w:rsidR="009F4685" w:rsidRDefault="009F4685" w:rsidP="009F4685">
      <w:pPr>
        <w:widowControl w:val="0"/>
        <w:autoSpaceDE w:val="0"/>
        <w:autoSpaceDN w:val="0"/>
        <w:spacing w:after="0"/>
        <w:ind w:left="709" w:right="709"/>
        <w:jc w:val="both"/>
        <w:rPr>
          <w:rFonts w:ascii="Verdana" w:eastAsia="Arial" w:hAnsi="Verdana" w:cs="Arial"/>
          <w:sz w:val="21"/>
          <w:szCs w:val="21"/>
          <w:lang w:val="es-ES"/>
        </w:rPr>
      </w:pPr>
      <w:r w:rsidRPr="00F735D3">
        <w:rPr>
          <w:rFonts w:ascii="Verdana" w:eastAsia="Arial" w:hAnsi="Verdana" w:cs="Arial"/>
          <w:sz w:val="21"/>
          <w:szCs w:val="21"/>
          <w:lang w:val="es-ES"/>
        </w:rPr>
        <w:lastRenderedPageBreak/>
        <w:t>La liquidación a que se refiere el presente artículo no será obligatoria en los contratos de prestación de servicios profesionales y de apoyo a la gestión.</w:t>
      </w:r>
    </w:p>
    <w:p w14:paraId="31749D94" w14:textId="77777777" w:rsidR="009F4685" w:rsidRPr="00F735D3" w:rsidRDefault="009F4685" w:rsidP="009F4685">
      <w:pPr>
        <w:widowControl w:val="0"/>
        <w:autoSpaceDE w:val="0"/>
        <w:autoSpaceDN w:val="0"/>
        <w:spacing w:after="0"/>
        <w:ind w:left="709" w:right="709"/>
        <w:jc w:val="both"/>
        <w:rPr>
          <w:rFonts w:ascii="Verdana" w:eastAsia="Arial" w:hAnsi="Verdana" w:cs="Arial"/>
          <w:lang w:val="es-ES"/>
        </w:rPr>
      </w:pPr>
    </w:p>
    <w:p w14:paraId="61CE1566" w14:textId="77777777" w:rsidR="009F4685" w:rsidRPr="00F735D3" w:rsidRDefault="009F4685" w:rsidP="009F4685">
      <w:pPr>
        <w:spacing w:after="120" w:line="276" w:lineRule="auto"/>
        <w:ind w:firstLine="709"/>
        <w:jc w:val="both"/>
        <w:textAlignment w:val="baseline"/>
        <w:rPr>
          <w:rFonts w:ascii="Verdana" w:eastAsia="Calibri" w:hAnsi="Verdana" w:cs="Arial"/>
          <w:b/>
          <w:color w:val="000000" w:themeColor="text1"/>
        </w:rPr>
      </w:pPr>
      <w:r w:rsidRPr="00F735D3">
        <w:rPr>
          <w:rFonts w:ascii="Verdana" w:hAnsi="Verdana" w:cs="Arial"/>
          <w:lang w:eastAsia="es-CO"/>
        </w:rPr>
        <w:t>La liquidación del contrato estatal implica una actuación posterior a la terminación normal</w:t>
      </w:r>
      <w:r w:rsidRPr="00F735D3">
        <w:rPr>
          <w:rFonts w:ascii="Verdana" w:hAnsi="Verdana" w:cs="Arial"/>
          <w:vertAlign w:val="superscript"/>
          <w:lang w:eastAsia="es-CO"/>
        </w:rPr>
        <w:footnoteReference w:id="15"/>
      </w:r>
      <w:r w:rsidRPr="00F735D3">
        <w:rPr>
          <w:rFonts w:ascii="Verdana" w:hAnsi="Verdana" w:cs="Arial"/>
          <w:vertAlign w:val="superscript"/>
          <w:lang w:eastAsia="es-CO"/>
        </w:rPr>
        <w:t xml:space="preserve"> </w:t>
      </w:r>
      <w:r w:rsidRPr="00F735D3">
        <w:rPr>
          <w:rFonts w:ascii="Verdana" w:hAnsi="Verdana" w:cs="Arial"/>
          <w:lang w:eastAsia="es-CO"/>
        </w:rPr>
        <w:t>o anormal</w:t>
      </w:r>
      <w:r w:rsidRPr="00F735D3">
        <w:rPr>
          <w:rFonts w:ascii="Verdana" w:hAnsi="Verdana" w:cs="Arial"/>
          <w:vertAlign w:val="superscript"/>
          <w:lang w:eastAsia="es-CO"/>
        </w:rPr>
        <w:footnoteReference w:id="16"/>
      </w:r>
      <w:r w:rsidRPr="00F735D3">
        <w:rPr>
          <w:rFonts w:ascii="Verdana" w:hAnsi="Verdana" w:cs="Arial"/>
          <w:vertAlign w:val="superscript"/>
          <w:lang w:eastAsia="es-CO"/>
        </w:rPr>
        <w:t xml:space="preserve"> </w:t>
      </w:r>
      <w:r w:rsidRPr="00F735D3">
        <w:rPr>
          <w:rFonts w:ascii="Verdana" w:hAnsi="Verdana" w:cs="Arial"/>
          <w:lang w:eastAsia="es-CO"/>
        </w:rPr>
        <w:t xml:space="preserve">del acuerdo. Según la Sección Tercera del Consejo de Estado, la liquidación es la actuación </w:t>
      </w:r>
      <w:r>
        <w:rPr>
          <w:rFonts w:ascii="Verdana" w:hAnsi="Verdana" w:cs="Arial"/>
          <w:lang w:eastAsia="es-CO"/>
        </w:rPr>
        <w:t>“</w:t>
      </w:r>
      <w:r w:rsidRPr="00F735D3">
        <w:rPr>
          <w:rFonts w:ascii="Verdana" w:hAnsi="Verdana" w:cs="Arial"/>
          <w:lang w:eastAsia="es-CO"/>
        </w:rPr>
        <w:t>mediante la cual lo que se busca es determinar si existen prestaciones, obligaciones o derechos a cargo o en favor de cada una de las partes, para de ésta forma realizar un balance final o un corte definitivo de las cuentas derivadas de la relación negocial, definiéndose en últimas quién le debe a quién y cuánto, bien por las partes de común acuerdo, por la administración unilateralmente o en su caso por el juez, es decir para dar así finiquito y paz y salvo a la relación negocial</w:t>
      </w:r>
      <w:r>
        <w:rPr>
          <w:rFonts w:ascii="Verdana" w:hAnsi="Verdana" w:cs="Arial"/>
          <w:lang w:eastAsia="es-CO"/>
        </w:rPr>
        <w:t>”</w:t>
      </w:r>
      <w:r w:rsidRPr="00F735D3">
        <w:rPr>
          <w:rFonts w:ascii="Verdana" w:hAnsi="Verdana" w:cs="Arial"/>
          <w:vertAlign w:val="superscript"/>
          <w:lang w:eastAsia="es-CO"/>
        </w:rPr>
        <w:footnoteReference w:id="17"/>
      </w:r>
      <w:r w:rsidRPr="00F735D3">
        <w:rPr>
          <w:rFonts w:ascii="Verdana" w:hAnsi="Verdana" w:cs="Arial"/>
          <w:lang w:eastAsia="es-CO"/>
        </w:rPr>
        <w:t>.</w:t>
      </w:r>
    </w:p>
    <w:p w14:paraId="3A17D3B4" w14:textId="77777777" w:rsidR="009F4685" w:rsidRPr="00F735D3" w:rsidRDefault="009F4685" w:rsidP="009F4685">
      <w:pPr>
        <w:pStyle w:val="Textoindependiente"/>
        <w:ind w:firstLine="709"/>
        <w:jc w:val="both"/>
        <w:rPr>
          <w:rFonts w:ascii="Verdana" w:eastAsia="Arial" w:hAnsi="Verdana" w:cs="Arial"/>
          <w:lang w:val="es-ES" w:eastAsia="en-US"/>
        </w:rPr>
      </w:pPr>
      <w:r w:rsidRPr="00F735D3">
        <w:rPr>
          <w:rStyle w:val="normaltextrun"/>
          <w:rFonts w:ascii="Verdana" w:hAnsi="Verdana" w:cs="Arial"/>
          <w:color w:val="000000"/>
          <w:shd w:val="clear" w:color="auto" w:fill="FFFFFF"/>
        </w:rPr>
        <w:t>El mencionado artículo 60 de la Ley 80 de 1993, modificado por el artículo 217 del Decreto 19 de 2012, como se observó, establece que</w:t>
      </w:r>
      <w:r>
        <w:rPr>
          <w:rStyle w:val="normaltextrun"/>
          <w:rFonts w:ascii="Verdana" w:hAnsi="Verdana" w:cs="Arial"/>
          <w:color w:val="000000"/>
          <w:shd w:val="clear" w:color="auto" w:fill="FFFFFF"/>
        </w:rPr>
        <w:t xml:space="preserve"> “</w:t>
      </w:r>
      <w:r w:rsidRPr="00F735D3">
        <w:rPr>
          <w:rStyle w:val="normaltextrun"/>
          <w:rFonts w:ascii="Verdana" w:hAnsi="Verdana" w:cs="Arial"/>
          <w:color w:val="000000"/>
          <w:shd w:val="clear" w:color="auto" w:fill="FFFFFF"/>
        </w:rPr>
        <w:t>[…] La liquidación a que se refiere el presente artículo no será obligatoria en los contratos de prestación de servicios profesionales y de apoyo a la gestión</w:t>
      </w:r>
      <w:r>
        <w:rPr>
          <w:rStyle w:val="normaltextrun"/>
          <w:rFonts w:ascii="Verdana" w:hAnsi="Verdana" w:cs="Arial"/>
          <w:color w:val="000000"/>
          <w:shd w:val="clear" w:color="auto" w:fill="FFFFFF"/>
        </w:rPr>
        <w:t>”</w:t>
      </w:r>
      <w:r w:rsidRPr="00F735D3">
        <w:rPr>
          <w:rStyle w:val="normaltextrun"/>
          <w:rFonts w:ascii="Verdana" w:hAnsi="Verdana" w:cs="Arial"/>
          <w:color w:val="000000"/>
          <w:shd w:val="clear" w:color="auto" w:fill="FFFFFF"/>
        </w:rPr>
        <w:t>. En ese sentido, se exceptúa a los contratos de prestación de servicios profesionales y de apoyo a la gestión del deberde liquidación, pero las entidades, en ejercicio de  su autonomía y de considerarlo necesario, pueden pactar la liquidación de dichos contratos, ya que la norma los exceptúa, pero no lo prohíbe.</w:t>
      </w:r>
      <w:r w:rsidRPr="00F735D3">
        <w:rPr>
          <w:rStyle w:val="eop"/>
          <w:rFonts w:ascii="Verdana" w:hAnsi="Verdana" w:cs="Arial"/>
          <w:color w:val="000000"/>
          <w:shd w:val="clear" w:color="auto" w:fill="FFFFFF"/>
        </w:rPr>
        <w:t> </w:t>
      </w:r>
      <w:r w:rsidRPr="3051C5F0" w:rsidDel="00175792">
        <w:rPr>
          <w:rFonts w:ascii="Verdana" w:eastAsia="Calibri" w:hAnsi="Verdana" w:cs="Arial"/>
          <w:color w:val="000000" w:themeColor="text1"/>
          <w:lang w:val="es-ES"/>
        </w:rPr>
        <w:t xml:space="preserve"> </w:t>
      </w:r>
    </w:p>
    <w:p w14:paraId="3F217E93" w14:textId="77777777" w:rsidR="009F4685" w:rsidRPr="00F735D3" w:rsidRDefault="009F4685" w:rsidP="009F4685">
      <w:pPr>
        <w:widowControl w:val="0"/>
        <w:autoSpaceDE w:val="0"/>
        <w:autoSpaceDN w:val="0"/>
        <w:spacing w:after="120" w:line="276" w:lineRule="auto"/>
        <w:ind w:firstLine="709"/>
        <w:jc w:val="both"/>
        <w:rPr>
          <w:rFonts w:ascii="Verdana" w:eastAsia="Arial" w:hAnsi="Verdana" w:cs="Arial"/>
          <w:lang w:val="es-ES"/>
        </w:rPr>
      </w:pPr>
      <w:r w:rsidRPr="3051C5F0">
        <w:rPr>
          <w:rFonts w:ascii="Verdana" w:eastAsia="Arial" w:hAnsi="Verdana" w:cs="Arial"/>
          <w:lang w:val="es-ES"/>
        </w:rPr>
        <w:t>En este contexto, cabe preguntarse si está norma señala que estos contratos no requieren liquidación. Para la Contraloría General de la República, en el Concepto 14.612 de 6 de marzo de 2012, analizó el artículo 217 del Decreto Ley 019 de 2012, señalando que esta busca liberar a la Administración de trámites que recarguen innecesariamente su ejercicio institucional, permitiendo que la misma entidad, de acuerdo con su autonomía, liquide o no el contrato principalmente para lograr el fin último de la liquidación cuál es el de establecer y declarar a paz y salvo a las partes por el cumplimiento de sus obligaciones contractuales.</w:t>
      </w:r>
    </w:p>
    <w:p w14:paraId="0301B39C" w14:textId="77777777" w:rsidR="009F4685" w:rsidRDefault="009F4685" w:rsidP="009F4685">
      <w:pPr>
        <w:widowControl w:val="0"/>
        <w:autoSpaceDE w:val="0"/>
        <w:autoSpaceDN w:val="0"/>
        <w:spacing w:after="0" w:line="276" w:lineRule="auto"/>
        <w:ind w:firstLine="709"/>
        <w:jc w:val="both"/>
        <w:rPr>
          <w:rFonts w:ascii="Verdana" w:eastAsia="Arial" w:hAnsi="Verdana" w:cs="Arial"/>
          <w:lang w:val="es-ES"/>
        </w:rPr>
      </w:pPr>
      <w:r w:rsidRPr="00F735D3">
        <w:rPr>
          <w:rFonts w:ascii="Verdana" w:eastAsia="Arial" w:hAnsi="Verdana" w:cs="Arial"/>
          <w:lang w:val="es-ES"/>
        </w:rPr>
        <w:lastRenderedPageBreak/>
        <w:t>Así, la liquidación no es obligatoria en los contratos de prestación de servicios profesionales y de apoyo a la gestión, pues de acuerdo con la naturaleza de este contrato, en principio,</w:t>
      </w:r>
      <w:r>
        <w:rPr>
          <w:rFonts w:ascii="Verdana" w:eastAsia="Arial" w:hAnsi="Verdana" w:cs="Arial"/>
          <w:lang w:val="es-ES"/>
        </w:rPr>
        <w:t xml:space="preserve"> </w:t>
      </w:r>
      <w:r w:rsidRPr="00F735D3">
        <w:rPr>
          <w:rFonts w:ascii="Verdana" w:eastAsia="Arial" w:hAnsi="Verdana" w:cs="Arial"/>
          <w:lang w:val="es-ES"/>
        </w:rPr>
        <w:t>no reviste una complejidad que implique hacer un ajuste final de cuentas, reconociendo saldos a favor para alguna de las partes. Sin embargo, existen casos donde estos contratos pueden tener una importancia y relevancia que establezcan obligaciones que hagan difícil hacer un ajuste de cuentas con la simple cuenta de cobro, o que conlleve a discrepancia y controversias, razón por la que la ley no prohíbe, por un lado, que se pacte la liquidación como cláusula accidental</w:t>
      </w:r>
      <w:r w:rsidRPr="00F735D3">
        <w:rPr>
          <w:rFonts w:ascii="Verdana" w:eastAsia="Arial" w:hAnsi="Verdana" w:cs="Arial"/>
          <w:vertAlign w:val="superscript"/>
          <w:lang w:val="es-ES"/>
        </w:rPr>
        <w:footnoteReference w:id="18"/>
      </w:r>
      <w:r w:rsidRPr="00F735D3">
        <w:rPr>
          <w:rFonts w:ascii="Verdana" w:eastAsia="Arial" w:hAnsi="Verdana" w:cs="Arial"/>
          <w:lang w:val="es-ES"/>
        </w:rPr>
        <w:t xml:space="preserve"> y, por otro, que las partes consideren necesaria la liquidación al finalizar el contrato como una buena práctica de la actividad contractual. Sobre este último punto, el Concepto de la Contraloría General de la Republica</w:t>
      </w:r>
      <w:r w:rsidRPr="00F735D3">
        <w:rPr>
          <w:rFonts w:ascii="Verdana" w:eastAsia="Arial" w:hAnsi="Verdana" w:cs="Arial"/>
          <w:spacing w:val="-7"/>
          <w:lang w:val="es-ES"/>
        </w:rPr>
        <w:t xml:space="preserve"> </w:t>
      </w:r>
      <w:r w:rsidRPr="00F735D3">
        <w:rPr>
          <w:rFonts w:ascii="Verdana" w:eastAsia="Arial" w:hAnsi="Verdana" w:cs="Arial"/>
          <w:lang w:val="es-ES"/>
        </w:rPr>
        <w:t>considera lo siguiente:</w:t>
      </w:r>
    </w:p>
    <w:p w14:paraId="735411DB" w14:textId="77777777" w:rsidR="009F4685" w:rsidRPr="00F735D3" w:rsidRDefault="009F4685" w:rsidP="009F4685">
      <w:pPr>
        <w:widowControl w:val="0"/>
        <w:autoSpaceDE w:val="0"/>
        <w:autoSpaceDN w:val="0"/>
        <w:spacing w:before="3" w:after="0" w:line="276" w:lineRule="auto"/>
        <w:rPr>
          <w:rFonts w:ascii="Verdana" w:eastAsia="Arial" w:hAnsi="Verdana" w:cs="Arial"/>
          <w:lang w:val="es-ES"/>
        </w:rPr>
      </w:pPr>
    </w:p>
    <w:p w14:paraId="7B3DE283" w14:textId="77777777" w:rsidR="009F4685" w:rsidRDefault="009F4685" w:rsidP="009F4685">
      <w:pPr>
        <w:widowControl w:val="0"/>
        <w:autoSpaceDE w:val="0"/>
        <w:autoSpaceDN w:val="0"/>
        <w:spacing w:before="1" w:after="0"/>
        <w:ind w:left="709" w:right="717"/>
        <w:jc w:val="both"/>
        <w:rPr>
          <w:rFonts w:ascii="Verdana" w:eastAsia="Arial" w:hAnsi="Verdana" w:cs="Arial"/>
          <w:sz w:val="21"/>
          <w:lang w:val="es-ES"/>
        </w:rPr>
      </w:pPr>
      <w:r w:rsidRPr="00F735D3">
        <w:rPr>
          <w:rFonts w:ascii="Verdana" w:eastAsia="Arial" w:hAnsi="Verdana" w:cs="Arial"/>
          <w:sz w:val="21"/>
          <w:lang w:val="es-ES"/>
        </w:rPr>
        <w:t>[…] en principio, no será necesario proceder a la liquidación de los contratos de prestación de servicios profesionales y de apoyo a la gestión. No obstante -y es aquí donde juega el aspecto de la conveniencia- habrá casos en los cuales por la complejidad del contrato y de las prestaciones de las partes puede ser necesario proceder a la liquidación del contrato con el propósito de finiquitar de manera definitiva las prestaciones recíprocas de las partes, especialmente si cabe razonablemente deducir el eventual ejercicio de acciones de orden contencioso en lo</w:t>
      </w:r>
      <w:r w:rsidRPr="00F735D3">
        <w:rPr>
          <w:rFonts w:ascii="Verdana" w:eastAsia="Arial" w:hAnsi="Verdana" w:cs="Arial"/>
          <w:position w:val="6"/>
          <w:sz w:val="13"/>
          <w:lang w:val="es-ES"/>
        </w:rPr>
        <w:t xml:space="preserve"> </w:t>
      </w:r>
      <w:r w:rsidRPr="00F735D3">
        <w:rPr>
          <w:rFonts w:ascii="Verdana" w:eastAsia="Arial" w:hAnsi="Verdana" w:cs="Arial"/>
          <w:sz w:val="21"/>
          <w:lang w:val="es-ES"/>
        </w:rPr>
        <w:t>referente a la ejecución contractual. Por supuesto -y esto se sobre entiende- en aquellos casos será necesario que el supervisor del contrato, como encargado de la verificación</w:t>
      </w:r>
      <w:r>
        <w:rPr>
          <w:rFonts w:ascii="Verdana" w:eastAsia="Arial" w:hAnsi="Verdana" w:cs="Arial"/>
          <w:sz w:val="21"/>
          <w:lang w:val="es-ES"/>
        </w:rPr>
        <w:t xml:space="preserve"> de la</w:t>
      </w:r>
      <w:r w:rsidRPr="00F735D3">
        <w:rPr>
          <w:rFonts w:ascii="Verdana" w:eastAsia="Arial" w:hAnsi="Verdana" w:cs="Arial"/>
          <w:sz w:val="21"/>
          <w:lang w:val="es-ES"/>
        </w:rPr>
        <w:t xml:space="preserve"> adecuada ejecución contractual, informe oportunamente a la autoridad competente acerca de la necesidad de dar inicio al trámite de liquidación contractual ofreciendo la justificación del caso. Entendemos que tal justificación es necesaria, toda vez que un entendimiento diverso daría al traste con la pretensión del legislador extraordinario de liberar a la administración pública y a los administrados del cumplimiento de trámites que pueden resultar innecesarios en las relaciones que sostengan.</w:t>
      </w:r>
    </w:p>
    <w:p w14:paraId="1027B859" w14:textId="77777777" w:rsidR="009F4685" w:rsidRPr="00F735D3" w:rsidRDefault="009F4685" w:rsidP="009F4685">
      <w:pPr>
        <w:widowControl w:val="0"/>
        <w:autoSpaceDE w:val="0"/>
        <w:autoSpaceDN w:val="0"/>
        <w:spacing w:before="1" w:after="0"/>
        <w:ind w:left="709" w:right="717"/>
        <w:jc w:val="both"/>
        <w:rPr>
          <w:rFonts w:ascii="Verdana" w:eastAsia="Arial" w:hAnsi="Verdana" w:cs="Arial"/>
          <w:lang w:val="es-ES"/>
        </w:rPr>
      </w:pPr>
    </w:p>
    <w:p w14:paraId="5ED7F271" w14:textId="77777777" w:rsidR="009F4685" w:rsidRDefault="009F4685" w:rsidP="009F4685">
      <w:pPr>
        <w:widowControl w:val="0"/>
        <w:autoSpaceDE w:val="0"/>
        <w:autoSpaceDN w:val="0"/>
        <w:spacing w:line="276" w:lineRule="auto"/>
        <w:ind w:firstLine="709"/>
        <w:jc w:val="both"/>
        <w:rPr>
          <w:rFonts w:ascii="Verdana" w:eastAsia="Arial" w:hAnsi="Verdana" w:cs="Arial"/>
          <w:lang w:val="es-ES"/>
        </w:rPr>
      </w:pPr>
      <w:r w:rsidRPr="00F735D3">
        <w:rPr>
          <w:rFonts w:ascii="Verdana" w:eastAsia="Arial" w:hAnsi="Verdana" w:cs="Arial"/>
          <w:lang w:val="es-ES"/>
        </w:rPr>
        <w:t xml:space="preserve">Bajo ese entendido, se aclara, que en el caso de que un contrato de prestación de servicios termine de manera anticipada, no implica necesariamente su liquidación, pues ante este evento, las partes deberán valorar </w:t>
      </w:r>
      <w:r w:rsidRPr="00F735D3">
        <w:rPr>
          <w:rFonts w:ascii="Verdana" w:eastAsia="Arial" w:hAnsi="Verdana" w:cs="Arial"/>
          <w:lang w:val="es-ES"/>
        </w:rPr>
        <w:lastRenderedPageBreak/>
        <w:t xml:space="preserve">si dadas las características del contrato o ante la eventual controversia en torno a su ejecución, justifican que este deba liquidarse. Por otro lado, de acuerdo con la voluntad de los contratantes, es posible que se pacte liquidar el contrato de prestación de servicios y, en este sentido, aplica el principio </w:t>
      </w:r>
      <w:r w:rsidRPr="00F735D3">
        <w:rPr>
          <w:rFonts w:ascii="Verdana" w:eastAsia="Arial" w:hAnsi="Verdana" w:cs="Arial"/>
          <w:i/>
          <w:lang w:val="es-ES"/>
        </w:rPr>
        <w:t>pacta sunt servanda</w:t>
      </w:r>
      <w:r w:rsidRPr="00F735D3">
        <w:rPr>
          <w:rFonts w:ascii="Verdana" w:eastAsia="Arial" w:hAnsi="Verdana" w:cs="Arial"/>
          <w:vertAlign w:val="superscript"/>
          <w:lang w:val="es-ES"/>
        </w:rPr>
        <w:footnoteReference w:id="19"/>
      </w:r>
      <w:r w:rsidRPr="00F735D3">
        <w:rPr>
          <w:rFonts w:ascii="Verdana" w:eastAsia="Arial" w:hAnsi="Verdana" w:cs="Arial"/>
          <w:lang w:val="es-ES"/>
        </w:rPr>
        <w:t>. En ambos casos, la liquidación será facultativa.</w:t>
      </w:r>
    </w:p>
    <w:p w14:paraId="1D7CB72A" w14:textId="77777777" w:rsidR="009F4685" w:rsidRDefault="009F4685" w:rsidP="009F4685">
      <w:pPr>
        <w:widowControl w:val="0"/>
        <w:autoSpaceDE w:val="0"/>
        <w:autoSpaceDN w:val="0"/>
        <w:spacing w:line="276" w:lineRule="auto"/>
        <w:ind w:firstLine="709"/>
        <w:jc w:val="both"/>
        <w:rPr>
          <w:rFonts w:ascii="Verdana" w:eastAsia="Arial MT" w:hAnsi="Verdana" w:cs="Arial"/>
          <w:lang w:eastAsia="es-ES" w:bidi="es-ES"/>
        </w:rPr>
      </w:pPr>
      <w:r>
        <w:rPr>
          <w:rFonts w:ascii="Verdana" w:eastAsia="Arial MT" w:hAnsi="Verdana" w:cs="Arial"/>
          <w:lang w:eastAsia="es-ES" w:bidi="es-ES"/>
        </w:rPr>
        <w:t>Ahora bien, frente a su interrogante en relación con la terminación del contrato de prestación de servicios, como se anotó previamente, según se desprende de la jurisprudencia del Consejo de Estado</w:t>
      </w:r>
      <w:r>
        <w:rPr>
          <w:rStyle w:val="Refdenotaalpie"/>
          <w:rFonts w:ascii="Verdana" w:eastAsia="Arial MT" w:hAnsi="Verdana" w:cs="Arial"/>
          <w:lang w:eastAsia="es-ES" w:bidi="es-ES"/>
        </w:rPr>
        <w:footnoteReference w:id="20"/>
      </w:r>
      <w:r>
        <w:rPr>
          <w:rFonts w:ascii="Verdana" w:eastAsia="Arial MT" w:hAnsi="Verdana" w:cs="Arial"/>
          <w:lang w:eastAsia="es-ES" w:bidi="es-ES"/>
        </w:rPr>
        <w:t xml:space="preserve">, existen dos maneras de terminación del contrato estatal. La primerase da, por modos o causas </w:t>
      </w:r>
      <w:r w:rsidRPr="3051C5F0">
        <w:rPr>
          <w:rFonts w:ascii="Verdana" w:eastAsia="Arial MT" w:hAnsi="Verdana" w:cs="Arial"/>
          <w:i/>
          <w:iCs/>
          <w:lang w:eastAsia="es-ES" w:bidi="es-ES"/>
        </w:rPr>
        <w:t>normales</w:t>
      </w:r>
      <w:r w:rsidRPr="0002047C">
        <w:rPr>
          <w:rFonts w:ascii="Verdana" w:eastAsia="Arial MT" w:hAnsi="Verdana" w:cs="Arial"/>
          <w:lang w:eastAsia="es-ES" w:bidi="es-ES"/>
        </w:rPr>
        <w:t xml:space="preserve"> </w:t>
      </w:r>
      <w:r>
        <w:rPr>
          <w:rFonts w:ascii="Verdana" w:eastAsia="Arial MT" w:hAnsi="Verdana" w:cs="Arial"/>
          <w:lang w:eastAsia="es-ES" w:bidi="es-ES"/>
        </w:rPr>
        <w:t>donde se incluyen</w:t>
      </w:r>
      <w:r w:rsidRPr="0002047C">
        <w:rPr>
          <w:rFonts w:ascii="Verdana" w:eastAsia="Arial MT" w:hAnsi="Verdana" w:cs="Arial"/>
          <w:lang w:eastAsia="es-ES" w:bidi="es-ES"/>
        </w:rPr>
        <w:t>: (i) el cumplimiento del objeto; (ii) el vencimiento del plazo extintivo de duración del contrato, y (iii) el acaecimiento de la condición resolutoria expresa, pactada por las partes.</w:t>
      </w:r>
    </w:p>
    <w:p w14:paraId="548B7F21" w14:textId="77777777" w:rsidR="009F4685" w:rsidRDefault="009F4685" w:rsidP="009F4685">
      <w:pPr>
        <w:widowControl w:val="0"/>
        <w:autoSpaceDE w:val="0"/>
        <w:autoSpaceDN w:val="0"/>
        <w:spacing w:line="276" w:lineRule="auto"/>
        <w:ind w:firstLine="709"/>
        <w:jc w:val="both"/>
        <w:rPr>
          <w:rFonts w:ascii="Verdana" w:eastAsia="Arial MT" w:hAnsi="Verdana" w:cs="Arial"/>
          <w:lang w:eastAsia="es-ES" w:bidi="es-ES"/>
        </w:rPr>
      </w:pPr>
      <w:r w:rsidRPr="3051C5F0">
        <w:rPr>
          <w:rFonts w:ascii="Verdana" w:eastAsia="Arial MT" w:hAnsi="Verdana" w:cs="Arial"/>
          <w:lang w:eastAsia="es-ES" w:bidi="es-ES"/>
        </w:rPr>
        <w:t xml:space="preserve">La segunda,se da por modos o causas </w:t>
      </w:r>
      <w:r w:rsidRPr="3051C5F0">
        <w:rPr>
          <w:rFonts w:ascii="Verdana" w:eastAsia="Arial MT" w:hAnsi="Verdana" w:cs="Arial"/>
          <w:i/>
          <w:iCs/>
          <w:lang w:eastAsia="es-ES" w:bidi="es-ES"/>
        </w:rPr>
        <w:t>anormales</w:t>
      </w:r>
      <w:r w:rsidRPr="3051C5F0">
        <w:rPr>
          <w:rFonts w:ascii="Verdana" w:eastAsia="Arial MT" w:hAnsi="Verdana" w:cs="Arial"/>
          <w:lang w:eastAsia="es-ES" w:bidi="es-ES"/>
        </w:rPr>
        <w:t>, que además están contempladas en el EGCAP, las cuales son: i) Por mutuo consentimiento de las partes (denominada también resciliación o mutuo disenso, arts. 13, 32 y 40 Ley 80 de 1993, arts. 1602 y 1625 inc. 1. C.C.); ii) Por la declaratoria de terminación unilateral, ante la configuración de alguna de las causales legales correspondientes; iii) Por renuncia del contratista a su ejecución, cuando la modificación unilateral dispuesta por la entidad llegue a alterar en un 20% o más el valor inicial del contrato; iv) Por renuncia del contratista a su ejecución, cuando le sobreviene una inhabilidad o incompatibilidad y no se pueda ceder el contrato; v) Por declaratoria de la caducidad ante el incumplimiento de las obligaciones esenciales del contratista que afecte de manera grave y directa la ejecución del contrato y evidencie que puede conducir a su paralización y, finalmente, vi) Por terminación unilateral de la entidad, como consecuencia de la configuración de ciertos supuestos de nulidad absoluta del contrato, entre ellos la violación al régimen de inhabilidades e incompatibilidades.</w:t>
      </w:r>
    </w:p>
    <w:p w14:paraId="0698E9A9" w14:textId="77777777" w:rsidR="009F4685" w:rsidRDefault="009F4685" w:rsidP="009F4685">
      <w:pPr>
        <w:widowControl w:val="0"/>
        <w:autoSpaceDE w:val="0"/>
        <w:autoSpaceDN w:val="0"/>
        <w:spacing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Dicho esto, se señala que, en caso de que se hubiere pactado la liquidación como clausula accidental o que las partes hubieran considerado necesaria la liquidación, aquella procede con posterioridad a </w:t>
      </w:r>
      <w:r w:rsidRPr="0014148F">
        <w:rPr>
          <w:rFonts w:ascii="Verdana" w:eastAsia="Arial MT" w:hAnsi="Verdana" w:cs="Arial"/>
          <w:lang w:eastAsia="es-ES" w:bidi="es-ES"/>
        </w:rPr>
        <w:t xml:space="preserve">la terminación </w:t>
      </w:r>
      <w:r w:rsidRPr="004676BC">
        <w:rPr>
          <w:rFonts w:ascii="Verdana" w:eastAsia="Arial MT" w:hAnsi="Verdana" w:cs="Arial"/>
          <w:i/>
          <w:iCs/>
          <w:lang w:eastAsia="es-ES" w:bidi="es-ES"/>
        </w:rPr>
        <w:t>normal</w:t>
      </w:r>
      <w:r w:rsidRPr="0014148F">
        <w:rPr>
          <w:rFonts w:ascii="Verdana" w:eastAsia="Arial MT" w:hAnsi="Verdana" w:cs="Arial"/>
          <w:lang w:eastAsia="es-ES" w:bidi="es-ES"/>
        </w:rPr>
        <w:t xml:space="preserve"> o </w:t>
      </w:r>
      <w:r w:rsidRPr="004676BC">
        <w:rPr>
          <w:rFonts w:ascii="Verdana" w:eastAsia="Arial MT" w:hAnsi="Verdana" w:cs="Arial"/>
          <w:i/>
          <w:iCs/>
          <w:lang w:eastAsia="es-ES" w:bidi="es-ES"/>
        </w:rPr>
        <w:t>anormal</w:t>
      </w:r>
      <w:r w:rsidRPr="0014148F">
        <w:rPr>
          <w:rFonts w:ascii="Verdana" w:eastAsia="Arial MT" w:hAnsi="Verdana" w:cs="Arial"/>
          <w:lang w:eastAsia="es-ES" w:bidi="es-ES"/>
        </w:rPr>
        <w:t xml:space="preserve"> del contrato estatal</w:t>
      </w:r>
      <w:r>
        <w:rPr>
          <w:rFonts w:ascii="Verdana" w:eastAsia="Arial MT" w:hAnsi="Verdana" w:cs="Arial"/>
          <w:lang w:eastAsia="es-ES" w:bidi="es-ES"/>
        </w:rPr>
        <w:t xml:space="preserve"> </w:t>
      </w:r>
      <w:r w:rsidRPr="004676BC">
        <w:rPr>
          <w:rFonts w:ascii="Verdana" w:eastAsia="Arial MT" w:hAnsi="Verdana" w:cs="Arial"/>
          <w:lang w:eastAsia="es-ES" w:bidi="es-ES"/>
        </w:rPr>
        <w:t>por causas contractuales o legales o por causas atribuibles a ambos contratantes o a uno de ellos.</w:t>
      </w:r>
    </w:p>
    <w:p w14:paraId="3348B59D" w14:textId="77777777" w:rsidR="009F4685" w:rsidRDefault="009F4685" w:rsidP="009F4685">
      <w:pPr>
        <w:widowControl w:val="0"/>
        <w:autoSpaceDE w:val="0"/>
        <w:autoSpaceDN w:val="0"/>
        <w:spacing w:line="276" w:lineRule="auto"/>
        <w:ind w:firstLine="709"/>
        <w:jc w:val="both"/>
        <w:rPr>
          <w:rFonts w:ascii="Verdana" w:eastAsia="Arial MT" w:hAnsi="Verdana" w:cs="Arial"/>
          <w:lang w:eastAsia="es-ES" w:bidi="es-ES"/>
        </w:rPr>
      </w:pPr>
      <w:r>
        <w:rPr>
          <w:rFonts w:ascii="Verdana" w:eastAsia="Arial MT" w:hAnsi="Verdana" w:cs="Arial"/>
          <w:lang w:eastAsia="es-ES" w:bidi="es-ES"/>
        </w:rPr>
        <w:lastRenderedPageBreak/>
        <w:t>Vale aclara que, p</w:t>
      </w:r>
      <w:r w:rsidRPr="00F4300C">
        <w:rPr>
          <w:rFonts w:ascii="Verdana" w:eastAsia="Arial MT" w:hAnsi="Verdana" w:cs="Arial"/>
          <w:lang w:eastAsia="es-ES" w:bidi="es-ES"/>
        </w:rPr>
        <w:t xml:space="preserve">or regla general, los contratos estatales deben constar por escrito, según </w:t>
      </w:r>
      <w:r>
        <w:rPr>
          <w:rFonts w:ascii="Verdana" w:eastAsia="Arial MT" w:hAnsi="Verdana" w:cs="Arial"/>
          <w:lang w:eastAsia="es-ES" w:bidi="es-ES"/>
        </w:rPr>
        <w:t xml:space="preserve">se desprende de </w:t>
      </w:r>
      <w:r w:rsidRPr="00F4300C">
        <w:rPr>
          <w:rFonts w:ascii="Verdana" w:eastAsia="Arial MT" w:hAnsi="Verdana" w:cs="Arial"/>
          <w:lang w:eastAsia="es-ES" w:bidi="es-ES"/>
        </w:rPr>
        <w:t>los artículos 39 y 41 de la Ley 80 de 1993, al señalar que tal es la forma</w:t>
      </w:r>
      <w:r>
        <w:rPr>
          <w:rFonts w:ascii="Verdana" w:eastAsia="Arial MT" w:hAnsi="Verdana" w:cs="Arial"/>
          <w:lang w:eastAsia="es-ES" w:bidi="es-ES"/>
        </w:rPr>
        <w:t xml:space="preserve"> </w:t>
      </w:r>
      <w:r w:rsidRPr="00F4300C">
        <w:rPr>
          <w:rFonts w:ascii="Verdana" w:eastAsia="Arial MT" w:hAnsi="Verdana" w:cs="Arial"/>
          <w:lang w:eastAsia="es-ES" w:bidi="es-ES"/>
        </w:rPr>
        <w:t>que deben adoptar dichos actos para existir jurídicamente y quedar</w:t>
      </w:r>
      <w:r>
        <w:rPr>
          <w:rFonts w:ascii="Verdana" w:eastAsia="Arial MT" w:hAnsi="Verdana" w:cs="Arial"/>
          <w:lang w:eastAsia="es-ES" w:bidi="es-ES"/>
        </w:rPr>
        <w:t xml:space="preserve"> </w:t>
      </w:r>
      <w:r w:rsidRPr="00F4300C">
        <w:rPr>
          <w:rFonts w:ascii="Verdana" w:eastAsia="Arial MT" w:hAnsi="Verdana" w:cs="Arial"/>
          <w:lang w:eastAsia="es-ES" w:bidi="es-ES"/>
        </w:rPr>
        <w:t>perfeccionados, es decir, para que sean válidos desde la perspectiva</w:t>
      </w:r>
      <w:r>
        <w:rPr>
          <w:rFonts w:ascii="Verdana" w:eastAsia="Arial MT" w:hAnsi="Verdana" w:cs="Arial"/>
          <w:lang w:eastAsia="es-ES" w:bidi="es-ES"/>
        </w:rPr>
        <w:t xml:space="preserve"> </w:t>
      </w:r>
      <w:r w:rsidRPr="00F4300C">
        <w:rPr>
          <w:rFonts w:ascii="Verdana" w:eastAsia="Arial MT" w:hAnsi="Verdana" w:cs="Arial"/>
          <w:lang w:eastAsia="es-ES" w:bidi="es-ES"/>
        </w:rPr>
        <w:t>estrictamente formal</w:t>
      </w:r>
      <w:r>
        <w:rPr>
          <w:rFonts w:ascii="Verdana" w:eastAsia="Arial MT" w:hAnsi="Verdana" w:cs="Arial"/>
          <w:lang w:eastAsia="es-ES" w:bidi="es-ES"/>
        </w:rPr>
        <w:t>. De manera que no será necesario producir un nuevo documento, como se sugiere en la consulta, que establezca una fecha de terminación de la relación contractual en particular, dado que dicha información debió consignarse en los documentos del proceso contractual.</w:t>
      </w:r>
    </w:p>
    <w:p w14:paraId="076C0AE0" w14:textId="77777777" w:rsidR="009F4685" w:rsidRDefault="009F4685" w:rsidP="009F4685">
      <w:pPr>
        <w:spacing w:line="276" w:lineRule="auto"/>
        <w:ind w:firstLine="708"/>
        <w:jc w:val="both"/>
        <w:rPr>
          <w:rFonts w:ascii="Verdana" w:eastAsia="Arial MT" w:hAnsi="Verdana" w:cs="Arial"/>
          <w:lang w:eastAsia="es-ES" w:bidi="es-ES"/>
        </w:rPr>
      </w:pPr>
      <w:r>
        <w:rPr>
          <w:rFonts w:ascii="Verdana" w:eastAsia="Arial MT" w:hAnsi="Verdana" w:cs="Arial"/>
          <w:lang w:eastAsia="es-ES" w:bidi="es-ES"/>
        </w:rPr>
        <w:t>Frente a la inquietud sobre cuáles son los contratos de tracto sucesivo, se advierte que</w:t>
      </w:r>
      <w:r w:rsidRPr="3051C5F0">
        <w:rPr>
          <w:rFonts w:ascii="Verdana" w:eastAsia="Arial MT" w:hAnsi="Verdana" w:cs="Arial"/>
          <w:lang w:eastAsia="es-ES" w:bidi="es-ES"/>
        </w:rPr>
        <w:t xml:space="preserve"> son aquellos cuya ejecución se prolonga en el tiempo, a diferencia de los denominados de ejecución instantánea, en los que el cumplimiento del contrato se produce generalmente en un solo momento . </w:t>
      </w:r>
      <w:r>
        <w:rPr>
          <w:rStyle w:val="Refdenotaalpie"/>
          <w:rFonts w:ascii="Verdana" w:eastAsia="Arial MT" w:hAnsi="Verdana" w:cs="Arial"/>
          <w:lang w:eastAsia="es-ES" w:bidi="es-ES"/>
        </w:rPr>
        <w:footnoteReference w:id="21"/>
      </w:r>
      <w:r w:rsidRPr="3051C5F0">
        <w:rPr>
          <w:lang w:eastAsia="es-ES" w:bidi="es-ES"/>
        </w:rPr>
        <w:t>￼</w:t>
      </w:r>
      <w:r w:rsidRPr="3051C5F0">
        <w:rPr>
          <w:rFonts w:ascii="Verdana" w:eastAsia="Arial MT" w:hAnsi="Verdana" w:cs="Arial"/>
          <w:lang w:eastAsia="es-ES" w:bidi="es-ES"/>
        </w:rPr>
        <w:t xml:space="preserve">, en dichos contratos </w:t>
      </w:r>
      <w:r w:rsidRPr="3051C5F0">
        <w:rPr>
          <w:rFonts w:ascii="Verdana" w:eastAsia="Arial MT" w:hAnsi="Verdana" w:cs="Arial"/>
          <w:i/>
          <w:iCs/>
          <w:lang w:eastAsia="es-ES" w:bidi="es-ES"/>
        </w:rPr>
        <w:t>las obligaciones se ejecutan de manera periódica o difieren en el tiempo o sucesivamente a medida que se van causando</w:t>
      </w:r>
      <w:r>
        <w:rPr>
          <w:rFonts w:ascii="Verdana" w:eastAsia="Arial MT" w:hAnsi="Verdana" w:cs="Arial"/>
          <w:lang w:eastAsia="es-ES" w:bidi="es-ES"/>
        </w:rPr>
        <w:t xml:space="preserve">, como los contratos de suministro o de arrendamiento, en donde los contratistas se obligan a realizar una sola prestación continuada en el tiempo o pluralidad de prestaciones sucesivas, periódicas o intermitentes, por </w:t>
      </w:r>
      <w:r w:rsidRPr="00E804A9">
        <w:rPr>
          <w:rFonts w:ascii="Verdana" w:eastAsia="Arial MT" w:hAnsi="Verdana" w:cs="Arial"/>
          <w:lang w:eastAsia="es-ES" w:bidi="es-ES"/>
        </w:rPr>
        <w:t xml:space="preserve">un </w:t>
      </w:r>
      <w:r>
        <w:rPr>
          <w:rFonts w:ascii="Verdana" w:eastAsia="Arial MT" w:hAnsi="Verdana" w:cs="Arial"/>
          <w:lang w:eastAsia="es-ES" w:bidi="es-ES"/>
        </w:rPr>
        <w:t>tiempo determinado, que se repite a fin</w:t>
      </w:r>
      <w:r w:rsidRPr="00E804A9">
        <w:rPr>
          <w:rFonts w:ascii="Verdana" w:eastAsia="Arial MT" w:hAnsi="Verdana" w:cs="Arial"/>
          <w:lang w:eastAsia="es-ES" w:bidi="es-ES"/>
        </w:rPr>
        <w:t xml:space="preserve"> </w:t>
      </w:r>
      <w:r>
        <w:rPr>
          <w:rFonts w:ascii="Verdana" w:eastAsia="Arial MT" w:hAnsi="Verdana" w:cs="Arial"/>
          <w:lang w:eastAsia="es-ES" w:bidi="es-ES"/>
        </w:rPr>
        <w:t xml:space="preserve">de satisfacer </w:t>
      </w:r>
      <w:r w:rsidRPr="000E56B8">
        <w:rPr>
          <w:rFonts w:ascii="Verdana" w:eastAsia="Arial MT" w:hAnsi="Verdana" w:cs="Arial"/>
          <w:lang w:eastAsia="es-ES" w:bidi="es-ES"/>
        </w:rPr>
        <w:t xml:space="preserve">intereses de carácter sucesivo, periódico o intermitente de forma más o menos permanente en el tiempo, </w:t>
      </w:r>
      <w:r w:rsidRPr="3051C5F0">
        <w:rPr>
          <w:rFonts w:ascii="Verdana" w:eastAsia="Arial MT" w:hAnsi="Verdana" w:cs="Arial"/>
          <w:lang w:eastAsia="es-ES" w:bidi="es-ES"/>
        </w:rPr>
        <w:t>a cambio de una contraprestación recíproca determinada o determinable, dotada de autonomía relativa dentro del marco de un único contrato.</w:t>
      </w:r>
    </w:p>
    <w:p w14:paraId="56E9E7C0" w14:textId="77777777" w:rsidR="009F4685" w:rsidRDefault="009F4685" w:rsidP="009F4685">
      <w:pPr>
        <w:spacing w:after="0" w:line="276" w:lineRule="auto"/>
        <w:ind w:firstLine="708"/>
        <w:jc w:val="both"/>
        <w:rPr>
          <w:rFonts w:ascii="Verdana" w:eastAsia="Arial MT" w:hAnsi="Verdana" w:cs="Arial"/>
          <w:lang w:eastAsia="es-ES" w:bidi="es-ES"/>
        </w:rPr>
      </w:pPr>
      <w:r>
        <w:rPr>
          <w:rFonts w:ascii="Verdana" w:eastAsia="Arial MT" w:hAnsi="Verdana" w:cs="Arial"/>
          <w:lang w:eastAsia="es-ES" w:bidi="es-ES"/>
        </w:rPr>
        <w:t>Por último, frente a inquietud que pretende establecer cuáles contratos requieren de liquidación, el Consejo de Estado ha interpretado el artículo 60 de la Ley 80 de 1993 desde una perspectiva gramatical y lógica, concluyendo que la liquidación es obligatoria en los siguientes casos:</w:t>
      </w:r>
    </w:p>
    <w:p w14:paraId="666C8950" w14:textId="77777777" w:rsidR="009F4685" w:rsidRDefault="009F4685" w:rsidP="009F4685">
      <w:pPr>
        <w:spacing w:after="0" w:line="276" w:lineRule="auto"/>
        <w:ind w:firstLine="708"/>
        <w:jc w:val="both"/>
        <w:rPr>
          <w:rFonts w:ascii="Verdana" w:eastAsia="Arial MT" w:hAnsi="Verdana" w:cs="Arial"/>
          <w:lang w:eastAsia="es-ES" w:bidi="es-ES"/>
        </w:rPr>
      </w:pPr>
    </w:p>
    <w:p w14:paraId="6CDCB6B9" w14:textId="77777777" w:rsidR="009F4685" w:rsidRPr="0036315B" w:rsidRDefault="009F4685" w:rsidP="009F4685">
      <w:pPr>
        <w:pStyle w:val="Prrafodelista"/>
        <w:numPr>
          <w:ilvl w:val="0"/>
          <w:numId w:val="3"/>
        </w:numPr>
        <w:spacing w:after="0" w:line="276" w:lineRule="auto"/>
        <w:jc w:val="both"/>
        <w:rPr>
          <w:rFonts w:ascii="Verdana" w:eastAsia="Arial MT" w:hAnsi="Verdana" w:cs="Arial"/>
          <w:lang w:eastAsia="es-ES" w:bidi="es-ES"/>
        </w:rPr>
      </w:pPr>
      <w:r w:rsidRPr="0036315B">
        <w:rPr>
          <w:rFonts w:ascii="Verdana" w:eastAsia="Arial MT" w:hAnsi="Verdana" w:cs="Arial"/>
          <w:lang w:eastAsia="es-ES" w:bidi="es-ES"/>
        </w:rPr>
        <w:t xml:space="preserve">Los contratos de tracto sucesivo, esto es, aquellos cuyas obligaciones se ejecutan de manera periódica o difieren en el tiempo o sucesivamente a medida que se van causando; </w:t>
      </w:r>
    </w:p>
    <w:p w14:paraId="6A5AD04A" w14:textId="77777777" w:rsidR="009F4685" w:rsidRDefault="009F4685" w:rsidP="009F4685">
      <w:pPr>
        <w:pStyle w:val="Prrafodelista"/>
        <w:numPr>
          <w:ilvl w:val="0"/>
          <w:numId w:val="3"/>
        </w:numPr>
        <w:spacing w:line="276" w:lineRule="auto"/>
        <w:jc w:val="both"/>
        <w:rPr>
          <w:rFonts w:ascii="Verdana" w:eastAsia="Arial MT" w:hAnsi="Verdana" w:cs="Arial"/>
          <w:lang w:eastAsia="es-ES" w:bidi="es-ES"/>
        </w:rPr>
      </w:pPr>
      <w:r w:rsidRPr="0036315B">
        <w:rPr>
          <w:rFonts w:ascii="Verdana" w:eastAsia="Arial MT" w:hAnsi="Verdana" w:cs="Arial"/>
          <w:lang w:eastAsia="es-ES" w:bidi="es-ES"/>
        </w:rPr>
        <w:t>Aquellos cuya ejecución o cumplimiento se prolongue en el tiempo (sea por la naturaleza periódica de las prestaciones o por las vicisitudes que</w:t>
      </w:r>
      <w:r>
        <w:rPr>
          <w:rFonts w:ascii="Verdana" w:eastAsia="Arial MT" w:hAnsi="Verdana" w:cs="Arial"/>
          <w:lang w:eastAsia="es-ES" w:bidi="es-ES"/>
        </w:rPr>
        <w:t xml:space="preserve"> </w:t>
      </w:r>
      <w:r w:rsidRPr="0036315B">
        <w:rPr>
          <w:rFonts w:ascii="Verdana" w:eastAsia="Arial MT" w:hAnsi="Verdana" w:cs="Arial"/>
          <w:lang w:eastAsia="es-ES" w:bidi="es-ES"/>
        </w:rPr>
        <w:t>se presenten en su ejecución que lo dilaten o prorroguen) y</w:t>
      </w:r>
    </w:p>
    <w:p w14:paraId="38F5951A" w14:textId="77777777" w:rsidR="009F4685" w:rsidRPr="00441E7F" w:rsidRDefault="009F4685" w:rsidP="009F4685">
      <w:pPr>
        <w:pStyle w:val="Prrafodelista"/>
        <w:numPr>
          <w:ilvl w:val="0"/>
          <w:numId w:val="3"/>
        </w:numPr>
        <w:spacing w:line="276" w:lineRule="auto"/>
        <w:jc w:val="both"/>
        <w:rPr>
          <w:rFonts w:ascii="Verdana" w:eastAsia="Arial MT" w:hAnsi="Verdana" w:cs="Arial"/>
          <w:lang w:eastAsia="es-ES" w:bidi="es-ES"/>
        </w:rPr>
      </w:pPr>
      <w:r w:rsidRPr="00707E02">
        <w:rPr>
          <w:rFonts w:ascii="Verdana" w:eastAsia="Arial MT" w:hAnsi="Verdana" w:cs="Arial"/>
          <w:lang w:eastAsia="es-ES" w:bidi="es-ES"/>
        </w:rPr>
        <w:t>Los demás que lo requieran, con fundamento a su naturaleza, objeto y plazo, así como a su importancia o relevancia o por la eventualidad de discrepancias y controversias en torno a su ejecución.</w:t>
      </w:r>
    </w:p>
    <w:p w14:paraId="4065E7B4" w14:textId="77777777" w:rsidR="009F4685" w:rsidRDefault="009F4685" w:rsidP="009F4685">
      <w:pPr>
        <w:spacing w:after="0" w:line="276" w:lineRule="auto"/>
        <w:jc w:val="both"/>
        <w:rPr>
          <w:rFonts w:ascii="Verdana" w:hAnsi="Verdana" w:cs="Arial"/>
        </w:rPr>
      </w:pPr>
      <w:r w:rsidRPr="00843F3C">
        <w:rPr>
          <w:rFonts w:ascii="Verdana" w:eastAsia="Times New Roman" w:hAnsi="Verdana" w:cs="Arial"/>
          <w:lang w:val="es-ES_tradnl" w:eastAsia="es-ES_tradn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076B564" w14:textId="77777777" w:rsidR="009F4685" w:rsidRDefault="009F4685" w:rsidP="009F4685">
      <w:pPr>
        <w:spacing w:after="0" w:line="276" w:lineRule="auto"/>
        <w:ind w:firstLine="709"/>
        <w:jc w:val="both"/>
        <w:rPr>
          <w:rFonts w:ascii="Verdana" w:hAnsi="Verdana" w:cs="Arial"/>
        </w:rPr>
      </w:pPr>
    </w:p>
    <w:p w14:paraId="05197E5F" w14:textId="77777777" w:rsidR="009F4685" w:rsidRPr="005B7C42" w:rsidRDefault="009F4685" w:rsidP="009F4685">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3E11A91A" w14:textId="77777777" w:rsidR="009F4685" w:rsidRPr="005B7C42" w:rsidRDefault="009F4685" w:rsidP="009F468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4685" w:rsidRPr="005B7C42" w14:paraId="1F4B650E" w14:textId="77777777" w:rsidTr="00045A0E">
        <w:trPr>
          <w:trHeight w:val="870"/>
        </w:trPr>
        <w:tc>
          <w:tcPr>
            <w:tcW w:w="8647" w:type="dxa"/>
          </w:tcPr>
          <w:p w14:paraId="469112D3" w14:textId="77777777" w:rsidR="009F4685" w:rsidRDefault="009F4685" w:rsidP="009F4685">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80 de 1993, artículos 32, numeral 3, artículo 60</w:t>
            </w:r>
          </w:p>
          <w:p w14:paraId="468C1453" w14:textId="77777777" w:rsidR="009F4685" w:rsidRDefault="009F4685" w:rsidP="009F4685">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sidRPr="00AF75C4">
              <w:rPr>
                <w:rFonts w:ascii="Verdana" w:eastAsia="Calibri" w:hAnsi="Verdana" w:cs="Arial"/>
                <w:bCs/>
                <w:color w:val="000000"/>
                <w:szCs w:val="24"/>
                <w:lang w:val="es-ES_tradnl" w:eastAsia="es-ES_tradnl" w:bidi="es-ES"/>
              </w:rPr>
              <w:t>Ley 1150 de 2007</w:t>
            </w:r>
            <w:r>
              <w:rPr>
                <w:rFonts w:ascii="Verdana" w:eastAsia="Calibri" w:hAnsi="Verdana" w:cs="Arial"/>
                <w:bCs/>
                <w:color w:val="000000"/>
                <w:szCs w:val="24"/>
                <w:lang w:val="es-ES_tradnl" w:eastAsia="es-ES_tradnl" w:bidi="es-ES"/>
              </w:rPr>
              <w:t xml:space="preserve">, </w:t>
            </w:r>
            <w:r w:rsidRPr="002535C8">
              <w:rPr>
                <w:rFonts w:ascii="Verdana" w:eastAsia="Calibri" w:hAnsi="Verdana" w:cs="Arial"/>
                <w:bCs/>
                <w:color w:val="000000"/>
                <w:szCs w:val="24"/>
                <w:lang w:val="es-ES_tradnl" w:eastAsia="es-ES_tradnl" w:bidi="es-ES"/>
              </w:rPr>
              <w:t>artículo 2, numeral 4, literal h)</w:t>
            </w:r>
          </w:p>
          <w:p w14:paraId="06F48EAB" w14:textId="77777777" w:rsidR="009F4685" w:rsidRPr="006E098F" w:rsidRDefault="009F4685" w:rsidP="009F4685">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hAnsi="Verdana" w:cs="Arial"/>
                <w:color w:val="000000" w:themeColor="text1"/>
                <w:lang w:val="es-MX"/>
              </w:rPr>
              <w:t xml:space="preserve">Decreto 1082 de 2015, artículo </w:t>
            </w:r>
            <w:r w:rsidRPr="000A3E81">
              <w:rPr>
                <w:rFonts w:ascii="Verdana" w:hAnsi="Verdana" w:cs="Arial"/>
                <w:color w:val="000000" w:themeColor="text1"/>
                <w:lang w:val="es-MX"/>
              </w:rPr>
              <w:t>2.2.1.2.1.4.9.</w:t>
            </w:r>
          </w:p>
          <w:p w14:paraId="6F11F9C7" w14:textId="77777777" w:rsidR="009F4685" w:rsidRDefault="009F4685" w:rsidP="009F4685">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eastAsia="Arial MT" w:hAnsi="Verdana" w:cs="Arial"/>
                <w:lang w:eastAsia="es-ES" w:bidi="es-ES"/>
              </w:rPr>
              <w:t>Decreto 019 de 2012, artículo 217</w:t>
            </w:r>
          </w:p>
          <w:p w14:paraId="1FA84852" w14:textId="77777777" w:rsidR="009F4685" w:rsidRPr="00255A7E" w:rsidRDefault="009F4685" w:rsidP="009F4685">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sidRPr="00255A7E">
              <w:rPr>
                <w:rFonts w:ascii="Verdana" w:eastAsia="Calibri" w:hAnsi="Verdana" w:cs="Arial"/>
                <w:bCs/>
                <w:color w:val="000000"/>
                <w:szCs w:val="24"/>
                <w:lang w:val="pt-BR" w:eastAsia="es-ES_tradnl" w:bidi="es-ES"/>
              </w:rPr>
              <w:t xml:space="preserve">Corte Constitucional. Sentencia C-154 de 1997. </w:t>
            </w:r>
            <w:r w:rsidRPr="00255A7E">
              <w:rPr>
                <w:rFonts w:ascii="Verdana" w:eastAsia="Calibri" w:hAnsi="Verdana" w:cs="Arial"/>
                <w:bCs/>
                <w:color w:val="000000"/>
                <w:szCs w:val="24"/>
                <w:lang w:val="es-ES_tradnl" w:eastAsia="es-ES_tradnl" w:bidi="es-ES"/>
              </w:rPr>
              <w:t>MP: Hernando Herrera Vergara.</w:t>
            </w:r>
          </w:p>
          <w:p w14:paraId="15EB438A" w14:textId="77777777" w:rsidR="009F4685" w:rsidRPr="00255A7E" w:rsidRDefault="009F4685" w:rsidP="009F4685">
            <w:pPr>
              <w:pStyle w:val="Prrafodelista"/>
              <w:numPr>
                <w:ilvl w:val="0"/>
                <w:numId w:val="1"/>
              </w:numPr>
              <w:spacing w:line="276" w:lineRule="auto"/>
              <w:jc w:val="both"/>
              <w:rPr>
                <w:rFonts w:ascii="Verdana" w:eastAsia="Calibri" w:hAnsi="Verdana" w:cs="Arial"/>
                <w:color w:val="000000"/>
                <w:lang w:eastAsia="es-ES" w:bidi="es-ES"/>
              </w:rPr>
            </w:pPr>
            <w:r w:rsidRPr="429AB8BB">
              <w:rPr>
                <w:rFonts w:ascii="Verdana" w:eastAsia="Calibri" w:hAnsi="Verdana" w:cs="Arial"/>
                <w:color w:val="000000" w:themeColor="text1"/>
                <w:lang w:eastAsia="es-ES" w:bidi="es-ES"/>
              </w:rPr>
              <w:t>CONSEJO DE ESTADO. Sección Tercera. Subsección C. Sentencia del 2 de diciembre de 2013. Exp. 41719. Consejero Ponente: Jaime Orlando Santofimio Gamboa.</w:t>
            </w:r>
          </w:p>
          <w:p w14:paraId="7D8ABF20" w14:textId="77777777" w:rsidR="009F4685" w:rsidRPr="00255A7E" w:rsidRDefault="009F4685" w:rsidP="009F4685">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sidRPr="00255A7E">
              <w:rPr>
                <w:rFonts w:ascii="Verdana" w:eastAsia="Calibri" w:hAnsi="Verdana" w:cs="Arial"/>
                <w:bCs/>
                <w:color w:val="000000"/>
                <w:szCs w:val="24"/>
                <w:lang w:val="es-ES_tradnl" w:eastAsia="es-ES_tradnl" w:bidi="es-ES"/>
              </w:rPr>
              <w:t>CONSEJO DE ESTADO Sala de lo Contencioso-Administrativo Sección Segunda Sentencia de unificación por importancia jurídica Bogotá, D. C., nueve (9) de septiembre de dos mil veintiuno (2021) Asunto: Sentencia de unificación de jurisprudencia conforme al artículo 271 DE LA LEY 1437 DE 2011 Medio de control: Nulidad y restablecimiento del derecho Radicado: 05001-23-33-000-2013-01143-01 (1317-2016)</w:t>
            </w:r>
          </w:p>
          <w:p w14:paraId="4ED31F17" w14:textId="77777777" w:rsidR="009F4685" w:rsidRPr="00255A7E" w:rsidRDefault="009F4685" w:rsidP="009F4685">
            <w:pPr>
              <w:pStyle w:val="Prrafodelista"/>
              <w:numPr>
                <w:ilvl w:val="0"/>
                <w:numId w:val="1"/>
              </w:numPr>
              <w:spacing w:line="276" w:lineRule="auto"/>
              <w:jc w:val="both"/>
              <w:rPr>
                <w:rFonts w:ascii="Verdana" w:eastAsia="Calibri" w:hAnsi="Verdana" w:cs="Arial"/>
                <w:color w:val="000000"/>
                <w:lang w:eastAsia="es-ES" w:bidi="es-ES"/>
              </w:rPr>
            </w:pPr>
            <w:r w:rsidRPr="429AB8BB">
              <w:rPr>
                <w:rFonts w:ascii="Verdana" w:eastAsia="Calibri" w:hAnsi="Verdana" w:cs="Arial"/>
                <w:color w:val="000000" w:themeColor="text1"/>
                <w:lang w:eastAsia="es-ES" w:bidi="es-ES"/>
              </w:rPr>
              <w:t>Consejo de Estado. Sección tercera. Sentencia del 10 de noviembre de 2016. Exp. 56.179. C.P. Jaime Orlando Santofimio Gamboa.</w:t>
            </w:r>
          </w:p>
          <w:p w14:paraId="145CA7EC" w14:textId="77777777" w:rsidR="009F4685" w:rsidRPr="00255A7E" w:rsidRDefault="009F4685" w:rsidP="009F4685">
            <w:pPr>
              <w:pStyle w:val="Prrafodelista"/>
              <w:numPr>
                <w:ilvl w:val="0"/>
                <w:numId w:val="1"/>
              </w:numPr>
              <w:spacing w:line="276" w:lineRule="auto"/>
              <w:jc w:val="both"/>
              <w:rPr>
                <w:rFonts w:ascii="Verdana" w:eastAsia="Calibri" w:hAnsi="Verdana" w:cs="Arial"/>
                <w:color w:val="000000"/>
                <w:lang w:eastAsia="es-ES" w:bidi="es-ES"/>
              </w:rPr>
            </w:pPr>
            <w:r w:rsidRPr="00255A7E">
              <w:rPr>
                <w:rFonts w:ascii="Verdana" w:eastAsia="Calibri" w:hAnsi="Verdana" w:cs="Arial"/>
                <w:bCs/>
                <w:color w:val="000000"/>
                <w:szCs w:val="24"/>
                <w:lang w:val="es-ES_tradnl" w:eastAsia="es-ES_tradnl" w:bidi="es-ES"/>
              </w:rPr>
              <w:t>Consejo de Estado. Sala de Consulta y Servicio Civil. Consejero ponente: Álvaro Namén Vargas Bogotá D.C., veintiocho (28) de junio de dos mil dieciséis (2016) Radicación número: 11001-03-06-000-2015-00067-00(2253).</w:t>
            </w:r>
          </w:p>
          <w:p w14:paraId="41A2D829" w14:textId="77777777" w:rsidR="009F4685" w:rsidRPr="00322257" w:rsidRDefault="009F4685" w:rsidP="009F4685">
            <w:pPr>
              <w:pStyle w:val="Prrafodelista"/>
              <w:numPr>
                <w:ilvl w:val="0"/>
                <w:numId w:val="1"/>
              </w:numPr>
              <w:spacing w:line="276" w:lineRule="auto"/>
              <w:jc w:val="both"/>
              <w:rPr>
                <w:rFonts w:ascii="Verdana" w:eastAsia="Calibri" w:hAnsi="Verdana" w:cs="Arial"/>
                <w:color w:val="000000"/>
                <w:lang w:eastAsia="es-ES" w:bidi="es-ES"/>
              </w:rPr>
            </w:pPr>
            <w:r w:rsidRPr="00665AC2">
              <w:rPr>
                <w:rFonts w:ascii="Verdana" w:eastAsia="Calibri" w:hAnsi="Verdana" w:cs="Arial"/>
                <w:color w:val="000000"/>
                <w:lang w:eastAsia="es-ES" w:bidi="es-ES"/>
              </w:rPr>
              <w:t>Contraloría General de la República, en el Concepto 14.612 de 6 de marzo de 2012</w:t>
            </w:r>
          </w:p>
        </w:tc>
      </w:tr>
    </w:tbl>
    <w:p w14:paraId="2A707A7E" w14:textId="77777777" w:rsidR="009F4685" w:rsidRPr="005B7C42" w:rsidRDefault="009F4685" w:rsidP="009F468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817F44A" w14:textId="77777777" w:rsidR="009F4685" w:rsidRPr="005B7C42" w:rsidRDefault="009F4685" w:rsidP="009F468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0A037D6C" w14:textId="77777777" w:rsidR="009F4685" w:rsidRPr="005B7C42" w:rsidRDefault="009F4685" w:rsidP="009F4685">
      <w:pPr>
        <w:spacing w:after="0" w:line="276" w:lineRule="auto"/>
        <w:ind w:firstLine="709"/>
        <w:jc w:val="both"/>
        <w:rPr>
          <w:rFonts w:ascii="Verdana" w:eastAsia="Times New Roman" w:hAnsi="Verdana" w:cs="Arial"/>
          <w:szCs w:val="24"/>
          <w:lang w:eastAsia="es-ES_tradnl"/>
        </w:rPr>
      </w:pPr>
    </w:p>
    <w:p w14:paraId="42EF5719" w14:textId="77777777" w:rsidR="009F4685" w:rsidRPr="005B7C42" w:rsidRDefault="009F4685" w:rsidP="009F4685">
      <w:pPr>
        <w:spacing w:after="120" w:line="276" w:lineRule="auto"/>
        <w:jc w:val="both"/>
        <w:rPr>
          <w:rStyle w:val="normaltextrun"/>
          <w:rFonts w:ascii="Verdana" w:hAnsi="Verdana"/>
          <w:color w:val="000000"/>
        </w:rPr>
      </w:pPr>
      <w:r w:rsidRPr="008C6876">
        <w:rPr>
          <w:rFonts w:ascii="Verdana" w:eastAsia="Calibri" w:hAnsi="Verdana" w:cs="Arial"/>
          <w:lang w:val="es-ES" w:eastAsia="es-ES_tradnl"/>
        </w:rPr>
        <w:t xml:space="preserve">La Agencia Nacional de Contratación Pública – Colombia Compra Eficiente </w:t>
      </w:r>
      <w:r w:rsidRPr="008C6876">
        <w:rPr>
          <w:rFonts w:ascii="Verdana" w:eastAsia="Calibri" w:hAnsi="Verdana" w:cs="Arial"/>
          <w:color w:val="000000"/>
          <w:lang w:eastAsia="es-ES_tradnl"/>
        </w:rPr>
        <w:t xml:space="preserve">ha analizado los contratos de prestación de servicios, así como los requisitos para su celebración, entre otros, en los conceptos C-175 del 12 de mayo de 2020, C-320 del 12 de mayo de 2020, C-255 del 12 de mayo de 2020, C-282 del 12 de mayo de 2020, C-238 del 18 de mayo de 2020, C-260 del 18 de mayo de 2020, </w:t>
      </w:r>
      <w:r w:rsidRPr="008C6876">
        <w:rPr>
          <w:rFonts w:ascii="Verdana" w:eastAsia="Calibri" w:hAnsi="Verdana" w:cs="Arial"/>
          <w:color w:val="000000"/>
          <w:lang w:eastAsia="es-ES_tradnl"/>
        </w:rPr>
        <w:lastRenderedPageBreak/>
        <w:t xml:space="preserve">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y C-009 del 20 de febrero de 2023. </w:t>
      </w:r>
      <w:r w:rsidRPr="00EC24FA">
        <w:rPr>
          <w:rFonts w:ascii="Verdana" w:eastAsia="Calibri" w:hAnsi="Verdana" w:cs="Arial"/>
          <w:color w:val="000000"/>
          <w:lang w:eastAsia="es-ES_tradnl"/>
        </w:rPr>
        <w:t>De igual forma, la Agencia trató el tema de la liquidación del contrato de prestación de servicios profesionales y de apoyo a la gestión en los conceptos No. 4201912000004390 del 14 de agosto de 2019, 4201912000005860 del 30 de septiembre de 2019, 4201913000006142 del 7 de octubre de 2019, 2201913000008915 del 3 de diciembre del 2019</w:t>
      </w:r>
      <w:r>
        <w:rPr>
          <w:rFonts w:ascii="Verdana" w:eastAsia="Calibri" w:hAnsi="Verdana" w:cs="Arial"/>
          <w:color w:val="000000"/>
          <w:lang w:eastAsia="es-ES_tradnl"/>
        </w:rPr>
        <w:t xml:space="preserve">, </w:t>
      </w:r>
      <w:r w:rsidRPr="00EC24FA">
        <w:rPr>
          <w:rFonts w:ascii="Verdana" w:eastAsia="Calibri" w:hAnsi="Verdana" w:cs="Arial"/>
          <w:color w:val="000000"/>
          <w:lang w:eastAsia="es-ES_tradnl"/>
        </w:rPr>
        <w:t>C-739 del 16 de diciembre del 2020</w:t>
      </w:r>
      <w:r>
        <w:rPr>
          <w:rFonts w:ascii="Verdana" w:eastAsia="Calibri" w:hAnsi="Verdana" w:cs="Arial"/>
          <w:color w:val="000000"/>
          <w:lang w:eastAsia="es-ES_tradnl"/>
        </w:rPr>
        <w:t>, C-417 del 18 de agosto de 2021 y C-446 del 18 de septiembre de 2024</w:t>
      </w:r>
      <w:r w:rsidRPr="00EC24FA">
        <w:rPr>
          <w:rFonts w:ascii="Verdana" w:eastAsia="Calibri" w:hAnsi="Verdana" w:cs="Arial"/>
          <w:color w:val="000000"/>
          <w:lang w:eastAsia="es-ES_tradnl"/>
        </w:rPr>
        <w:t xml:space="preserve">. </w:t>
      </w:r>
      <w:r>
        <w:rPr>
          <w:rFonts w:ascii="Verdana" w:eastAsia="Calibri" w:hAnsi="Verdana" w:cs="Arial"/>
          <w:shd w:val="clear" w:color="auto" w:fill="FFFFFF"/>
        </w:rPr>
        <w:t>Estos y otros conceptos los podrá consultar en el siguiente enlace:</w:t>
      </w:r>
    </w:p>
    <w:p w14:paraId="72ED4321" w14:textId="77777777" w:rsidR="009F4685" w:rsidRPr="005B7C42" w:rsidRDefault="009F4685" w:rsidP="009F4685">
      <w:pPr>
        <w:widowControl w:val="0"/>
        <w:autoSpaceDE w:val="0"/>
        <w:autoSpaceDN w:val="0"/>
        <w:spacing w:after="0" w:line="276" w:lineRule="auto"/>
        <w:jc w:val="both"/>
        <w:rPr>
          <w:rFonts w:ascii="Verdana" w:eastAsia="Calibri" w:hAnsi="Verdana" w:cs="Arial"/>
          <w:lang w:eastAsia="es-ES_tradnl"/>
        </w:rPr>
      </w:pPr>
      <w:hyperlink r:id="rId9"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13353C28" w14:textId="77777777" w:rsidR="009F4685" w:rsidRPr="005B7C42" w:rsidRDefault="009F4685" w:rsidP="009F4685">
      <w:pPr>
        <w:widowControl w:val="0"/>
        <w:autoSpaceDE w:val="0"/>
        <w:autoSpaceDN w:val="0"/>
        <w:spacing w:after="0" w:line="276" w:lineRule="auto"/>
        <w:jc w:val="both"/>
        <w:rPr>
          <w:rFonts w:ascii="Verdana" w:eastAsia="Calibri" w:hAnsi="Verdana" w:cs="Arial"/>
          <w:lang w:eastAsia="es-ES_tradnl"/>
        </w:rPr>
      </w:pPr>
    </w:p>
    <w:p w14:paraId="7C51850C" w14:textId="77777777" w:rsidR="009F4685" w:rsidRDefault="009F4685" w:rsidP="009F4685">
      <w:pPr>
        <w:spacing w:after="0" w:line="240" w:lineRule="auto"/>
        <w:jc w:val="both"/>
        <w:rPr>
          <w:rFonts w:ascii="Verdana" w:eastAsia="Calibri" w:hAnsi="Verdana" w:cs="Arial"/>
          <w:lang w:eastAsia="es-ES_tradnl"/>
        </w:rPr>
      </w:pPr>
      <w:r w:rsidRPr="003871F0">
        <w:rPr>
          <w:rFonts w:ascii="Verdana" w:eastAsia="Calibri" w:hAnsi="Verdana" w:cs="Arial"/>
          <w:lang w:eastAsia="es-ES_tradnl"/>
        </w:rPr>
        <w:t>También le invitamos a consultar la versión VII</w:t>
      </w:r>
      <w:r>
        <w:rPr>
          <w:rFonts w:ascii="Verdana" w:eastAsia="Calibri" w:hAnsi="Verdana" w:cs="Arial"/>
          <w:lang w:eastAsia="es-ES_tradnl"/>
        </w:rPr>
        <w:t>I</w:t>
      </w:r>
      <w:r w:rsidRPr="003871F0">
        <w:rPr>
          <w:rFonts w:ascii="Verdana" w:eastAsia="Calibri" w:hAnsi="Verdana" w:cs="Arial"/>
          <w:lang w:eastAsia="es-ES_tradnl"/>
        </w:rPr>
        <w:t xml:space="preserve"> de 2024, del Boletín de Relatoría de la Subdirección de Gestión Contractual relacionado con</w:t>
      </w:r>
      <w:r>
        <w:rPr>
          <w:rFonts w:ascii="Verdana" w:eastAsia="Calibri" w:hAnsi="Verdana" w:cs="Arial"/>
          <w:lang w:eastAsia="es-ES_tradnl"/>
        </w:rPr>
        <w:t xml:space="preserve"> la </w:t>
      </w:r>
      <w:r w:rsidRPr="0004573A">
        <w:rPr>
          <w:rFonts w:ascii="Verdana" w:eastAsia="Calibri" w:hAnsi="Verdana" w:cs="Arial"/>
          <w:i/>
          <w:iCs/>
          <w:lang w:eastAsia="es-ES_tradnl"/>
        </w:rPr>
        <w:t xml:space="preserve">Guía Para Promover </w:t>
      </w:r>
      <w:r>
        <w:rPr>
          <w:rFonts w:ascii="Verdana" w:eastAsia="Calibri" w:hAnsi="Verdana" w:cs="Arial"/>
          <w:i/>
          <w:iCs/>
          <w:lang w:eastAsia="es-ES_tradnl"/>
        </w:rPr>
        <w:t>l</w:t>
      </w:r>
      <w:r w:rsidRPr="0004573A">
        <w:rPr>
          <w:rFonts w:ascii="Verdana" w:eastAsia="Calibri" w:hAnsi="Verdana" w:cs="Arial"/>
          <w:i/>
          <w:iCs/>
          <w:lang w:eastAsia="es-ES_tradnl"/>
        </w:rPr>
        <w:t xml:space="preserve">a Participación </w:t>
      </w:r>
      <w:r>
        <w:rPr>
          <w:rFonts w:ascii="Verdana" w:eastAsia="Calibri" w:hAnsi="Verdana" w:cs="Arial"/>
          <w:i/>
          <w:iCs/>
          <w:lang w:eastAsia="es-ES_tradnl"/>
        </w:rPr>
        <w:t>d</w:t>
      </w:r>
      <w:r w:rsidRPr="0004573A">
        <w:rPr>
          <w:rFonts w:ascii="Verdana" w:eastAsia="Calibri" w:hAnsi="Verdana" w:cs="Arial"/>
          <w:i/>
          <w:iCs/>
          <w:lang w:eastAsia="es-ES_tradnl"/>
        </w:rPr>
        <w:t xml:space="preserve">e </w:t>
      </w:r>
      <w:r>
        <w:rPr>
          <w:rFonts w:ascii="Verdana" w:eastAsia="Calibri" w:hAnsi="Verdana" w:cs="Arial"/>
          <w:i/>
          <w:iCs/>
          <w:lang w:eastAsia="es-ES_tradnl"/>
        </w:rPr>
        <w:t>l</w:t>
      </w:r>
      <w:r w:rsidRPr="0004573A">
        <w:rPr>
          <w:rFonts w:ascii="Verdana" w:eastAsia="Calibri" w:hAnsi="Verdana" w:cs="Arial"/>
          <w:i/>
          <w:iCs/>
          <w:lang w:eastAsia="es-ES_tradnl"/>
        </w:rPr>
        <w:t xml:space="preserve">as MiPymes </w:t>
      </w:r>
      <w:r>
        <w:rPr>
          <w:rFonts w:ascii="Verdana" w:eastAsia="Calibri" w:hAnsi="Verdana" w:cs="Arial"/>
          <w:i/>
          <w:iCs/>
          <w:lang w:eastAsia="es-ES_tradnl"/>
        </w:rPr>
        <w:t>e</w:t>
      </w:r>
      <w:r w:rsidRPr="0004573A">
        <w:rPr>
          <w:rFonts w:ascii="Verdana" w:eastAsia="Calibri" w:hAnsi="Verdana" w:cs="Arial"/>
          <w:i/>
          <w:iCs/>
          <w:lang w:eastAsia="es-ES_tradnl"/>
        </w:rPr>
        <w:t xml:space="preserve">n </w:t>
      </w:r>
      <w:r>
        <w:rPr>
          <w:rFonts w:ascii="Verdana" w:eastAsia="Calibri" w:hAnsi="Verdana" w:cs="Arial"/>
          <w:i/>
          <w:iCs/>
          <w:lang w:eastAsia="es-ES_tradnl"/>
        </w:rPr>
        <w:t>l</w:t>
      </w:r>
      <w:r w:rsidRPr="0004573A">
        <w:rPr>
          <w:rFonts w:ascii="Verdana" w:eastAsia="Calibri" w:hAnsi="Verdana" w:cs="Arial"/>
          <w:i/>
          <w:iCs/>
          <w:lang w:eastAsia="es-ES_tradnl"/>
        </w:rPr>
        <w:t xml:space="preserve">os Procesos </w:t>
      </w:r>
      <w:r>
        <w:rPr>
          <w:rFonts w:ascii="Verdana" w:eastAsia="Calibri" w:hAnsi="Verdana" w:cs="Arial"/>
          <w:i/>
          <w:iCs/>
          <w:lang w:eastAsia="es-ES_tradnl"/>
        </w:rPr>
        <w:t>d</w:t>
      </w:r>
      <w:r w:rsidRPr="0004573A">
        <w:rPr>
          <w:rFonts w:ascii="Verdana" w:eastAsia="Calibri" w:hAnsi="Verdana" w:cs="Arial"/>
          <w:i/>
          <w:iCs/>
          <w:lang w:eastAsia="es-ES_tradnl"/>
        </w:rPr>
        <w:t xml:space="preserve">e Compra </w:t>
      </w:r>
      <w:r>
        <w:rPr>
          <w:rFonts w:ascii="Verdana" w:eastAsia="Calibri" w:hAnsi="Verdana" w:cs="Arial"/>
          <w:i/>
          <w:iCs/>
          <w:lang w:eastAsia="es-ES_tradnl"/>
        </w:rPr>
        <w:t>y</w:t>
      </w:r>
      <w:r w:rsidRPr="0004573A">
        <w:rPr>
          <w:rFonts w:ascii="Verdana" w:eastAsia="Calibri" w:hAnsi="Verdana" w:cs="Arial"/>
          <w:i/>
          <w:iCs/>
          <w:lang w:eastAsia="es-ES_tradnl"/>
        </w:rPr>
        <w:t xml:space="preserve"> Contratación Pública</w:t>
      </w:r>
      <w:r w:rsidRPr="0004573A">
        <w:rPr>
          <w:rFonts w:ascii="Verdana" w:eastAsia="Calibri" w:hAnsi="Verdana" w:cs="Arial"/>
          <w:lang w:eastAsia="es-ES_tradnl"/>
        </w:rPr>
        <w:t>,</w:t>
      </w:r>
      <w:r w:rsidRPr="003871F0">
        <w:rPr>
          <w:rFonts w:ascii="Verdana" w:eastAsia="Calibri" w:hAnsi="Verdana" w:cs="Arial"/>
          <w:lang w:eastAsia="es-ES_tradnl"/>
        </w:rPr>
        <w:t xml:space="preserve"> el cual se puede descargar en la página web de la Agencia: </w:t>
      </w:r>
    </w:p>
    <w:p w14:paraId="5E6A183E" w14:textId="77777777" w:rsidR="009F4685" w:rsidRDefault="009F4685" w:rsidP="009F4685">
      <w:pPr>
        <w:spacing w:after="0" w:line="240" w:lineRule="auto"/>
        <w:jc w:val="both"/>
        <w:rPr>
          <w:rFonts w:ascii="Verdana" w:eastAsia="Calibri" w:hAnsi="Verdana" w:cs="Arial"/>
          <w:lang w:eastAsia="es-ES_tradnl"/>
        </w:rPr>
      </w:pPr>
    </w:p>
    <w:p w14:paraId="2730D82B" w14:textId="77777777" w:rsidR="009F4685" w:rsidRPr="00BE151B" w:rsidRDefault="009F4685" w:rsidP="009F4685">
      <w:pPr>
        <w:spacing w:after="0" w:line="240" w:lineRule="auto"/>
        <w:jc w:val="both"/>
        <w:rPr>
          <w:rFonts w:ascii="Verdana" w:hAnsi="Verdana"/>
        </w:rPr>
      </w:pPr>
      <w:hyperlink r:id="rId10" w:history="1">
        <w:r w:rsidRPr="0011014B">
          <w:rPr>
            <w:rStyle w:val="Hipervnculo"/>
            <w:rFonts w:ascii="Verdana" w:eastAsia="Calibri" w:hAnsi="Verdana" w:cs="Arial"/>
            <w:lang w:eastAsia="es-ES_tradnl"/>
          </w:rPr>
          <w:t>https://www.colombiacompra.gov.co/sala-de-prensa/boletin-digital</w:t>
        </w:r>
      </w:hyperlink>
      <w:r w:rsidRPr="003871F0">
        <w:rPr>
          <w:rFonts w:ascii="Verdana" w:eastAsia="Calibri" w:hAnsi="Verdana" w:cs="Arial"/>
          <w:lang w:eastAsia="es-ES_tradnl"/>
        </w:rPr>
        <w:t> </w:t>
      </w:r>
    </w:p>
    <w:p w14:paraId="17E1B4B4" w14:textId="77777777" w:rsidR="009F4685" w:rsidRPr="005B7C42" w:rsidRDefault="009F4685" w:rsidP="009F4685">
      <w:pPr>
        <w:spacing w:after="0" w:line="240" w:lineRule="auto"/>
        <w:jc w:val="both"/>
        <w:rPr>
          <w:rFonts w:ascii="Verdana" w:hAnsi="Verdana"/>
        </w:rPr>
      </w:pPr>
    </w:p>
    <w:p w14:paraId="48DE1104" w14:textId="77777777" w:rsidR="009F4685" w:rsidRPr="005B7C42" w:rsidRDefault="009F4685" w:rsidP="009F4685">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0A3FA611" w14:textId="77777777" w:rsidR="009F4685" w:rsidRPr="005B7C42" w:rsidRDefault="009F4685" w:rsidP="009F4685">
      <w:pPr>
        <w:spacing w:after="0" w:line="240" w:lineRule="auto"/>
        <w:jc w:val="both"/>
        <w:rPr>
          <w:rFonts w:ascii="Verdana" w:hAnsi="Verdana"/>
        </w:rPr>
      </w:pPr>
    </w:p>
    <w:p w14:paraId="46D284F6" w14:textId="77777777" w:rsidR="009F4685" w:rsidRPr="005B7C42" w:rsidRDefault="009F4685" w:rsidP="009F4685">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1543A058" w14:textId="77777777" w:rsidR="009F4685" w:rsidRPr="005B7C42" w:rsidRDefault="009F4685" w:rsidP="009F4685">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5E6B14AD" w14:textId="77777777" w:rsidR="009F4685" w:rsidRPr="005B7C42" w:rsidRDefault="009F4685" w:rsidP="009F4685">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4D052057" w14:textId="77777777" w:rsidR="009F4685" w:rsidRPr="005B7C42" w:rsidRDefault="009F4685" w:rsidP="009F4685">
      <w:pPr>
        <w:widowControl w:val="0"/>
        <w:autoSpaceDE w:val="0"/>
        <w:autoSpaceDN w:val="0"/>
        <w:spacing w:after="0" w:line="276" w:lineRule="auto"/>
        <w:jc w:val="both"/>
        <w:rPr>
          <w:rFonts w:ascii="Verdana" w:hAnsi="Verdana"/>
        </w:rPr>
      </w:pPr>
    </w:p>
    <w:p w14:paraId="58B68E3C" w14:textId="77777777" w:rsidR="009F4685" w:rsidRPr="005B7C42" w:rsidRDefault="009F4685" w:rsidP="009F4685">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E7B6B76" w14:textId="77777777" w:rsidR="009F4685" w:rsidRPr="005B7C42" w:rsidRDefault="009F4685" w:rsidP="009F4685">
      <w:pPr>
        <w:spacing w:after="0" w:line="276" w:lineRule="auto"/>
        <w:ind w:firstLine="709"/>
        <w:jc w:val="both"/>
        <w:rPr>
          <w:rFonts w:ascii="Verdana" w:eastAsia="Times New Roman" w:hAnsi="Verdana" w:cs="Arial"/>
          <w:szCs w:val="24"/>
          <w:lang w:eastAsia="es-ES_tradnl"/>
        </w:rPr>
      </w:pPr>
    </w:p>
    <w:p w14:paraId="0FD67BA4" w14:textId="77777777" w:rsidR="009F4685" w:rsidRPr="005B7C42" w:rsidRDefault="009F4685" w:rsidP="009F4685">
      <w:pPr>
        <w:spacing w:after="0" w:line="276" w:lineRule="auto"/>
        <w:jc w:val="both"/>
        <w:rPr>
          <w:rFonts w:ascii="Verdana" w:eastAsia="Times New Roman" w:hAnsi="Verdana" w:cs="Arial"/>
          <w:lang w:eastAsia="es-CO"/>
        </w:rPr>
      </w:pPr>
      <w:bookmarkStart w:id="3" w:name="_Hlk117695077"/>
      <w:r w:rsidRPr="005B7C42">
        <w:rPr>
          <w:rFonts w:ascii="Verdana" w:eastAsia="Times New Roman" w:hAnsi="Verdana" w:cs="Arial"/>
          <w:lang w:eastAsia="es-CO"/>
        </w:rPr>
        <w:t>Atentamente,</w:t>
      </w:r>
    </w:p>
    <w:bookmarkEnd w:id="3"/>
    <w:p w14:paraId="3251FA1A" w14:textId="55A4D666" w:rsidR="009F4685" w:rsidRPr="005B7C42" w:rsidRDefault="003354F1" w:rsidP="009F4685">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2FC1E4DE" wp14:editId="3C75DC0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9F4685" w:rsidRPr="005B7C42" w14:paraId="2DEB4034" w14:textId="77777777" w:rsidTr="00045A0E">
        <w:trPr>
          <w:trHeight w:val="286"/>
        </w:trPr>
        <w:tc>
          <w:tcPr>
            <w:tcW w:w="893" w:type="dxa"/>
            <w:vAlign w:val="center"/>
            <w:hideMark/>
          </w:tcPr>
          <w:p w14:paraId="0DF481C7" w14:textId="77777777" w:rsidR="009F4685" w:rsidRPr="005B7C42" w:rsidRDefault="009F4685" w:rsidP="00045A0E">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782369F5" w14:textId="77777777" w:rsidR="009F4685" w:rsidRPr="005B7C42" w:rsidRDefault="009F4685" w:rsidP="00045A0E">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01A4E4D4" w14:textId="77777777" w:rsidR="009F4685" w:rsidRPr="005B7C42" w:rsidRDefault="009F4685" w:rsidP="00045A0E">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9F4685" w:rsidRPr="005B7C42" w14:paraId="4822F94E" w14:textId="77777777" w:rsidTr="00045A0E">
        <w:trPr>
          <w:trHeight w:val="299"/>
        </w:trPr>
        <w:tc>
          <w:tcPr>
            <w:tcW w:w="893" w:type="dxa"/>
            <w:vAlign w:val="center"/>
            <w:hideMark/>
          </w:tcPr>
          <w:p w14:paraId="350AE4A8" w14:textId="77777777" w:rsidR="009F4685" w:rsidRPr="005B7C42" w:rsidRDefault="009F4685" w:rsidP="00045A0E">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7DF2D73C" w14:textId="77777777" w:rsidR="009F4685" w:rsidRPr="005B7C42" w:rsidRDefault="009F4685" w:rsidP="00045A0E">
            <w:pPr>
              <w:rPr>
                <w:rFonts w:ascii="Verdana" w:eastAsia="Times New Roman" w:hAnsi="Verdana" w:cs="Arial"/>
                <w:sz w:val="16"/>
                <w:szCs w:val="16"/>
                <w:lang w:eastAsia="es-ES"/>
              </w:rPr>
            </w:pPr>
            <w:r>
              <w:rPr>
                <w:rFonts w:ascii="Verdana" w:eastAsia="Times New Roman" w:hAnsi="Verdana" w:cs="Arial"/>
                <w:sz w:val="16"/>
                <w:szCs w:val="16"/>
                <w:lang w:eastAsia="es-ES"/>
              </w:rPr>
              <w:t>Juan Carlos González Vásquez</w:t>
            </w:r>
          </w:p>
          <w:p w14:paraId="683804F4" w14:textId="77777777" w:rsidR="009F4685" w:rsidRPr="005B7C42" w:rsidRDefault="009F4685" w:rsidP="00045A0E">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9F4685" w:rsidRPr="005B7C42" w14:paraId="661CA7AE" w14:textId="77777777" w:rsidTr="00045A0E">
        <w:trPr>
          <w:trHeight w:val="272"/>
        </w:trPr>
        <w:tc>
          <w:tcPr>
            <w:tcW w:w="893" w:type="dxa"/>
            <w:vAlign w:val="center"/>
            <w:hideMark/>
          </w:tcPr>
          <w:p w14:paraId="00C2F810" w14:textId="77777777" w:rsidR="009F4685" w:rsidRPr="005B7C42" w:rsidRDefault="009F4685" w:rsidP="00045A0E">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52B31F4E" w14:textId="77777777" w:rsidR="009F4685" w:rsidRPr="005B7C42" w:rsidRDefault="009F4685" w:rsidP="00045A0E">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3CC4D498" w14:textId="77777777" w:rsidR="009F4685" w:rsidRPr="005B7C42" w:rsidRDefault="009F4685" w:rsidP="00045A0E">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74599D97" w14:textId="77777777" w:rsidR="009F4685" w:rsidRPr="005B7C42" w:rsidRDefault="009F4685" w:rsidP="009F4685">
      <w:pPr>
        <w:spacing w:after="0" w:line="276" w:lineRule="auto"/>
        <w:jc w:val="both"/>
        <w:rPr>
          <w:rFonts w:ascii="Verdana" w:eastAsia="Times New Roman" w:hAnsi="Verdana" w:cs="Arial"/>
        </w:rPr>
      </w:pPr>
    </w:p>
    <w:p w14:paraId="2CFFB2D3" w14:textId="77777777" w:rsidR="009F4685" w:rsidRPr="00024229" w:rsidRDefault="009F4685" w:rsidP="009F4685"/>
    <w:p w14:paraId="687C23FD" w14:textId="77777777" w:rsidR="009F4685" w:rsidRPr="0082061D" w:rsidRDefault="009F4685" w:rsidP="009F4685"/>
    <w:p w14:paraId="7D7D8ADB" w14:textId="77777777" w:rsidR="009F4685" w:rsidRPr="00E85160" w:rsidRDefault="009F4685" w:rsidP="009F4685"/>
    <w:p w14:paraId="2688C6EA" w14:textId="77777777" w:rsidR="00C24FFE" w:rsidRDefault="00C24FFE"/>
    <w:sectPr w:rsidR="00C24FFE" w:rsidSect="009F4685">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5056D5" w14:textId="77777777" w:rsidR="005C3900" w:rsidRDefault="005C3900" w:rsidP="009F4685">
      <w:pPr>
        <w:spacing w:after="0" w:line="240" w:lineRule="auto"/>
      </w:pPr>
      <w:r>
        <w:separator/>
      </w:r>
    </w:p>
  </w:endnote>
  <w:endnote w:type="continuationSeparator" w:id="0">
    <w:p w14:paraId="61D267EA" w14:textId="77777777" w:rsidR="005C3900" w:rsidRDefault="005C3900" w:rsidP="009F4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35AD2" w14:textId="77777777" w:rsidR="00E81AB3" w:rsidRDefault="00E81AB3">
    <w:pPr>
      <w:pStyle w:val="Piedepgina"/>
    </w:pPr>
  </w:p>
  <w:p w14:paraId="7ACFF6A3" w14:textId="77777777" w:rsidR="00E81AB3"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735CEF1" w14:textId="77777777" w:rsidR="00E81AB3"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50B39E" w14:textId="77777777" w:rsidR="00E81AB3"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6107737D" w14:textId="77777777" w:rsidR="00E81AB3"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AAA5D" w14:textId="77777777" w:rsidR="005C3900" w:rsidRDefault="005C3900" w:rsidP="009F4685">
      <w:pPr>
        <w:spacing w:after="0" w:line="240" w:lineRule="auto"/>
      </w:pPr>
      <w:r>
        <w:separator/>
      </w:r>
    </w:p>
  </w:footnote>
  <w:footnote w:type="continuationSeparator" w:id="0">
    <w:p w14:paraId="67F60752" w14:textId="77777777" w:rsidR="005C3900" w:rsidRDefault="005C3900" w:rsidP="009F4685">
      <w:pPr>
        <w:spacing w:after="0" w:line="240" w:lineRule="auto"/>
      </w:pPr>
      <w:r>
        <w:continuationSeparator/>
      </w:r>
    </w:p>
  </w:footnote>
  <w:footnote w:id="1">
    <w:p w14:paraId="42E0DCD1"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r w:rsidRPr="00304042">
        <w:rPr>
          <w:rStyle w:val="Refdenotaalpie"/>
          <w:rFonts w:ascii="Verdana" w:hAnsi="Verdana" w:cs="Arial"/>
          <w:sz w:val="12"/>
          <w:szCs w:val="12"/>
        </w:rPr>
        <w:footnoteRef/>
      </w:r>
      <w:r w:rsidRPr="00304042">
        <w:rPr>
          <w:rFonts w:ascii="Verdana" w:hAnsi="Verdana" w:cs="Arial"/>
          <w:sz w:val="12"/>
          <w:szCs w:val="12"/>
        </w:rPr>
        <w:t xml:space="preserve"> </w:t>
      </w:r>
      <w:r w:rsidRPr="00304042">
        <w:rPr>
          <w:rFonts w:ascii="Verdana" w:hAnsi="Verdana" w:cs="Arial"/>
          <w:sz w:val="12"/>
          <w:szCs w:val="12"/>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7840FAC"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r w:rsidRPr="00304042">
        <w:rPr>
          <w:rFonts w:ascii="Verdana" w:hAnsi="Verdana" w:cs="Arial"/>
          <w:sz w:val="12"/>
          <w:szCs w:val="12"/>
          <w:lang w:val="es-ES"/>
        </w:rPr>
        <w:t>2. Quien presta el servicio se denomina trabajador, quien lo recibe y remunera, empleador, y la remuneración, cualquiera que sea su forma, salario”.</w:t>
      </w:r>
    </w:p>
    <w:p w14:paraId="305A19D8"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p>
  </w:footnote>
  <w:footnote w:id="2">
    <w:p w14:paraId="0B9E3D94"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r w:rsidRPr="00304042">
        <w:rPr>
          <w:rStyle w:val="Refdenotaalpie"/>
          <w:rFonts w:ascii="Verdana" w:hAnsi="Verdana" w:cs="Arial"/>
          <w:sz w:val="12"/>
          <w:szCs w:val="12"/>
        </w:rPr>
        <w:footnoteRef/>
      </w:r>
      <w:r w:rsidRPr="00304042">
        <w:rPr>
          <w:rFonts w:ascii="Verdana" w:hAnsi="Verdana" w:cs="Arial"/>
          <w:sz w:val="12"/>
          <w:szCs w:val="12"/>
        </w:rPr>
        <w:t xml:space="preserve"> </w:t>
      </w:r>
      <w:r w:rsidRPr="00304042">
        <w:rPr>
          <w:rFonts w:ascii="Verdana" w:hAnsi="Verdana" w:cs="Arial"/>
          <w:sz w:val="12"/>
          <w:szCs w:val="12"/>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50ACFC87"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r w:rsidRPr="00304042">
        <w:rPr>
          <w:rFonts w:ascii="Verdana" w:hAnsi="Verdana" w:cs="Arial"/>
          <w:sz w:val="12"/>
          <w:szCs w:val="12"/>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760B5DD"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r w:rsidRPr="00304042">
        <w:rPr>
          <w:rFonts w:ascii="Verdana" w:hAnsi="Verdana" w:cs="Arial"/>
          <w:sz w:val="12"/>
          <w:szCs w:val="12"/>
          <w:lang w:val="es-ES"/>
        </w:rPr>
        <w:t>El Gobierno nacional reglamentará el mecanismo para realizar la mensualización de que trata el presente artículo.</w:t>
      </w:r>
    </w:p>
    <w:p w14:paraId="742DAB8F" w14:textId="77777777" w:rsidR="009F4685" w:rsidRPr="00304042" w:rsidRDefault="009F4685" w:rsidP="009F4685">
      <w:pPr>
        <w:pStyle w:val="Textonotapie"/>
        <w:spacing w:line="276" w:lineRule="auto"/>
        <w:ind w:firstLine="709"/>
        <w:jc w:val="both"/>
        <w:rPr>
          <w:rFonts w:ascii="Verdana" w:hAnsi="Verdana" w:cs="Arial"/>
          <w:sz w:val="12"/>
          <w:szCs w:val="12"/>
          <w:lang w:val="pt-BR"/>
        </w:rPr>
      </w:pPr>
      <w:r w:rsidRPr="00304042">
        <w:rPr>
          <w:rFonts w:ascii="Verdana" w:hAnsi="Verdana" w:cs="Arial"/>
          <w:sz w:val="12"/>
          <w:szCs w:val="12"/>
          <w:lang w:val="pt-BR"/>
        </w:rPr>
        <w:t>[…]”.</w:t>
      </w:r>
    </w:p>
    <w:p w14:paraId="171B89B5" w14:textId="77777777" w:rsidR="009F4685" w:rsidRPr="00304042" w:rsidRDefault="009F4685" w:rsidP="009F4685">
      <w:pPr>
        <w:pStyle w:val="Textonotapie"/>
        <w:spacing w:line="276" w:lineRule="auto"/>
        <w:ind w:firstLine="709"/>
        <w:jc w:val="both"/>
        <w:rPr>
          <w:rFonts w:ascii="Verdana" w:hAnsi="Verdana" w:cs="Arial"/>
          <w:sz w:val="12"/>
          <w:szCs w:val="12"/>
          <w:lang w:val="pt-BR"/>
        </w:rPr>
      </w:pPr>
    </w:p>
  </w:footnote>
  <w:footnote w:id="3">
    <w:p w14:paraId="167EA8DE"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r w:rsidRPr="00304042">
        <w:rPr>
          <w:rStyle w:val="Refdenotaalpie"/>
          <w:rFonts w:ascii="Verdana" w:hAnsi="Verdana" w:cs="Arial"/>
          <w:sz w:val="12"/>
          <w:szCs w:val="12"/>
        </w:rPr>
        <w:footnoteRef/>
      </w:r>
      <w:r w:rsidRPr="00304042">
        <w:rPr>
          <w:rFonts w:ascii="Verdana" w:hAnsi="Verdana" w:cs="Arial"/>
          <w:sz w:val="12"/>
          <w:szCs w:val="12"/>
          <w:lang w:val="pt-BR"/>
        </w:rPr>
        <w:t xml:space="preserve"> Corte Constitucional. Sentencia C-154 de 1997. </w:t>
      </w:r>
      <w:r w:rsidRPr="00304042">
        <w:rPr>
          <w:rFonts w:ascii="Verdana" w:hAnsi="Verdana" w:cs="Arial"/>
          <w:sz w:val="12"/>
          <w:szCs w:val="12"/>
          <w:lang w:val="es-ES"/>
        </w:rPr>
        <w:t>MP: Hernando Herrera Vergara.</w:t>
      </w:r>
    </w:p>
    <w:p w14:paraId="14210466"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p>
  </w:footnote>
  <w:footnote w:id="4">
    <w:p w14:paraId="51B275ED"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r w:rsidRPr="00304042">
        <w:rPr>
          <w:rStyle w:val="Refdenotaalpie"/>
          <w:rFonts w:ascii="Verdana" w:hAnsi="Verdana" w:cs="Arial"/>
          <w:sz w:val="12"/>
          <w:szCs w:val="12"/>
        </w:rPr>
        <w:footnoteRef/>
      </w:r>
      <w:r w:rsidRPr="00304042">
        <w:rPr>
          <w:rFonts w:ascii="Verdana" w:hAnsi="Verdana" w:cs="Arial"/>
          <w:sz w:val="12"/>
          <w:szCs w:val="12"/>
        </w:rPr>
        <w:t xml:space="preserve"> </w:t>
      </w:r>
      <w:r w:rsidRPr="00304042">
        <w:rPr>
          <w:rFonts w:ascii="Verdana" w:hAnsi="Verdana" w:cs="Arial"/>
          <w:sz w:val="12"/>
          <w:szCs w:val="12"/>
          <w:lang w:val="es-ES"/>
        </w:rPr>
        <w:t>Ibíd.</w:t>
      </w:r>
    </w:p>
    <w:p w14:paraId="4662D9C4" w14:textId="77777777" w:rsidR="009F4685" w:rsidRPr="00304042" w:rsidRDefault="009F4685" w:rsidP="009F4685">
      <w:pPr>
        <w:pStyle w:val="Textonotapie"/>
        <w:spacing w:line="276" w:lineRule="auto"/>
        <w:ind w:firstLine="709"/>
        <w:jc w:val="both"/>
        <w:rPr>
          <w:rFonts w:ascii="Verdana" w:hAnsi="Verdana" w:cs="Arial"/>
          <w:sz w:val="12"/>
          <w:szCs w:val="12"/>
          <w:lang w:val="es-ES"/>
        </w:rPr>
      </w:pPr>
    </w:p>
  </w:footnote>
  <w:footnote w:id="5">
    <w:p w14:paraId="594917C8" w14:textId="77777777" w:rsidR="009F4685" w:rsidRPr="00304042" w:rsidRDefault="009F4685" w:rsidP="009F4685">
      <w:pPr>
        <w:pStyle w:val="Textonotapie"/>
        <w:spacing w:line="276" w:lineRule="auto"/>
        <w:ind w:firstLine="709"/>
        <w:contextualSpacing/>
        <w:jc w:val="both"/>
        <w:rPr>
          <w:rFonts w:ascii="Verdana" w:hAnsi="Verdana" w:cs="Arial"/>
          <w:color w:val="000000"/>
          <w:sz w:val="12"/>
          <w:szCs w:val="12"/>
          <w:lang w:val="es-ES"/>
        </w:rPr>
      </w:pPr>
      <w:r w:rsidRPr="00304042">
        <w:rPr>
          <w:rStyle w:val="Refdenotaalpie"/>
          <w:rFonts w:ascii="Verdana" w:hAnsi="Verdana" w:cs="Arial"/>
          <w:color w:val="000000"/>
          <w:sz w:val="12"/>
          <w:szCs w:val="12"/>
        </w:rPr>
        <w:footnoteRef/>
      </w:r>
      <w:r w:rsidRPr="00304042">
        <w:rPr>
          <w:rFonts w:ascii="Verdana" w:hAnsi="Verdana" w:cs="Arial"/>
          <w:color w:val="000000"/>
          <w:sz w:val="12"/>
          <w:szCs w:val="12"/>
        </w:rPr>
        <w:t xml:space="preserve"> </w:t>
      </w:r>
      <w:r w:rsidRPr="00304042">
        <w:rPr>
          <w:rFonts w:ascii="Verdana" w:hAnsi="Verdana" w:cs="Arial"/>
          <w:color w:val="000000"/>
          <w:sz w:val="12"/>
          <w:szCs w:val="12"/>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4223CDB" w14:textId="77777777" w:rsidR="009F4685" w:rsidRPr="00304042" w:rsidRDefault="009F4685" w:rsidP="009F4685">
      <w:pPr>
        <w:pStyle w:val="Textonotapie"/>
        <w:spacing w:line="276" w:lineRule="auto"/>
        <w:ind w:firstLine="709"/>
        <w:contextualSpacing/>
        <w:jc w:val="both"/>
        <w:rPr>
          <w:rFonts w:ascii="Verdana" w:hAnsi="Verdana" w:cs="Arial"/>
          <w:color w:val="000000"/>
          <w:sz w:val="12"/>
          <w:szCs w:val="12"/>
          <w:lang w:val="es-ES"/>
        </w:rPr>
      </w:pPr>
      <w:r w:rsidRPr="00304042">
        <w:rPr>
          <w:rFonts w:ascii="Verdana" w:hAnsi="Verdana" w:cs="Arial"/>
          <w:color w:val="000000"/>
          <w:sz w:val="12"/>
          <w:szCs w:val="12"/>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085784D" w14:textId="77777777" w:rsidR="009F4685" w:rsidRPr="00304042" w:rsidRDefault="009F4685" w:rsidP="009F4685">
      <w:pPr>
        <w:pStyle w:val="Textonotapie"/>
        <w:spacing w:line="276" w:lineRule="auto"/>
        <w:ind w:firstLine="709"/>
        <w:contextualSpacing/>
        <w:jc w:val="both"/>
        <w:rPr>
          <w:rFonts w:ascii="Verdana" w:hAnsi="Verdana" w:cs="Arial"/>
          <w:color w:val="000000"/>
          <w:sz w:val="12"/>
          <w:szCs w:val="12"/>
          <w:lang w:val="es-ES"/>
        </w:rPr>
      </w:pPr>
      <w:r w:rsidRPr="00304042">
        <w:rPr>
          <w:rFonts w:ascii="Verdana" w:hAnsi="Verdana" w:cs="Arial"/>
          <w:color w:val="000000"/>
          <w:sz w:val="12"/>
          <w:szCs w:val="12"/>
          <w:lang w:val="es-ES"/>
        </w:rPr>
        <w:t>La Entidad Estatal, para la contratación de trabajos artísticos que solamente puedan en­comendarse a determinadas personas naturales, debe justificar esta situación en los estudios y documentos previos”.</w:t>
      </w:r>
    </w:p>
    <w:p w14:paraId="6B64D42C" w14:textId="77777777" w:rsidR="009F4685" w:rsidRPr="00304042" w:rsidRDefault="009F4685" w:rsidP="009F4685">
      <w:pPr>
        <w:pStyle w:val="Textonotapie"/>
        <w:spacing w:line="276" w:lineRule="auto"/>
        <w:ind w:firstLine="709"/>
        <w:contextualSpacing/>
        <w:jc w:val="both"/>
        <w:rPr>
          <w:rFonts w:ascii="Verdana" w:hAnsi="Verdana" w:cs="Arial"/>
          <w:color w:val="000000"/>
          <w:sz w:val="12"/>
          <w:szCs w:val="12"/>
          <w:lang w:val="es-ES"/>
        </w:rPr>
      </w:pPr>
    </w:p>
  </w:footnote>
  <w:footnote w:id="6">
    <w:p w14:paraId="162C90A7" w14:textId="77777777" w:rsidR="009F4685" w:rsidRPr="00304042" w:rsidRDefault="009F4685" w:rsidP="009F4685">
      <w:pPr>
        <w:pStyle w:val="Textonotapie"/>
        <w:spacing w:line="276" w:lineRule="auto"/>
        <w:ind w:firstLine="709"/>
        <w:contextualSpacing/>
        <w:jc w:val="both"/>
        <w:rPr>
          <w:rFonts w:ascii="Verdana" w:hAnsi="Verdana" w:cs="Arial"/>
          <w:color w:val="000000"/>
          <w:sz w:val="12"/>
          <w:szCs w:val="12"/>
          <w:lang w:val="es-ES"/>
        </w:rPr>
      </w:pPr>
      <w:r w:rsidRPr="00304042">
        <w:rPr>
          <w:rStyle w:val="Refdenotaalpie"/>
          <w:rFonts w:ascii="Verdana" w:hAnsi="Verdana" w:cs="Arial"/>
          <w:color w:val="000000"/>
          <w:sz w:val="12"/>
          <w:szCs w:val="12"/>
        </w:rPr>
        <w:footnoteRef/>
      </w:r>
      <w:r w:rsidRPr="00304042">
        <w:rPr>
          <w:rFonts w:ascii="Verdana" w:hAnsi="Verdana" w:cs="Arial"/>
          <w:color w:val="000000"/>
          <w:sz w:val="12"/>
          <w:szCs w:val="12"/>
        </w:rPr>
        <w:t xml:space="preserve"> </w:t>
      </w:r>
      <w:r w:rsidRPr="00304042">
        <w:rPr>
          <w:rFonts w:ascii="Verdana" w:hAnsi="Verdana" w:cs="Arial"/>
          <w:color w:val="000000"/>
          <w:sz w:val="12"/>
          <w:szCs w:val="12"/>
          <w:lang w:val="es-ES"/>
        </w:rPr>
        <w:t>CONSEJO DE ESTADO. Sección Tercera. Subsección C. Sentencia del 2 de diciembre de 2013. Exp. 41719. Consejero Ponente: Jaime Orlando Santofimio Gamboa.</w:t>
      </w:r>
    </w:p>
    <w:p w14:paraId="46B6031A" w14:textId="77777777" w:rsidR="009F4685" w:rsidRPr="00304042" w:rsidRDefault="009F4685" w:rsidP="009F4685">
      <w:pPr>
        <w:pStyle w:val="Textonotapie"/>
        <w:spacing w:line="276" w:lineRule="auto"/>
        <w:ind w:firstLine="709"/>
        <w:contextualSpacing/>
        <w:jc w:val="both"/>
        <w:rPr>
          <w:rFonts w:ascii="Verdana" w:hAnsi="Verdana" w:cs="Arial"/>
          <w:color w:val="000000"/>
          <w:sz w:val="12"/>
          <w:szCs w:val="12"/>
          <w:lang w:val="es-ES"/>
        </w:rPr>
      </w:pPr>
    </w:p>
  </w:footnote>
  <w:footnote w:id="7">
    <w:p w14:paraId="4FA1CB45" w14:textId="77777777" w:rsidR="009F4685" w:rsidRPr="00304042" w:rsidRDefault="009F4685" w:rsidP="009F4685">
      <w:pPr>
        <w:pStyle w:val="Textonotapie"/>
        <w:ind w:firstLine="708"/>
        <w:jc w:val="both"/>
        <w:rPr>
          <w:rFonts w:ascii="Verdana" w:hAnsi="Verdana"/>
          <w:sz w:val="12"/>
          <w:szCs w:val="12"/>
          <w:lang w:val="es-CO"/>
        </w:rPr>
      </w:pPr>
      <w:r w:rsidRPr="00304042">
        <w:rPr>
          <w:rStyle w:val="Refdenotaalpie"/>
          <w:rFonts w:ascii="Verdana" w:hAnsi="Verdana"/>
          <w:sz w:val="12"/>
          <w:szCs w:val="12"/>
        </w:rPr>
        <w:footnoteRef/>
      </w:r>
      <w:r w:rsidRPr="00304042">
        <w:rPr>
          <w:rFonts w:ascii="Verdana" w:hAnsi="Verdana"/>
          <w:sz w:val="12"/>
          <w:szCs w:val="12"/>
        </w:rPr>
        <w:t xml:space="preserve"> </w:t>
      </w:r>
      <w:r w:rsidRPr="00304042">
        <w:rPr>
          <w:rFonts w:ascii="Verdana" w:hAnsi="Verdana"/>
          <w:sz w:val="12"/>
          <w:szCs w:val="12"/>
          <w:lang w:val="es-CO"/>
        </w:rPr>
        <w:t>CONSEJO DE ESTADO Sala de lo Contencioso-Administrativo Sección Segunda Sentencia de unificación por importancia jurídica Bogotá, D. C., nueve (9) de septiembre de dos mil veintiuno (2021) Asunto: Sentencia de unificación de jurisprudencia conforme al artículo 271 DE LA LEY 1437 DE 2011 Medio de control: Nulidad y restablecimiento del derecho Radicado: 05001-23-33-000-2013-01143-01 (1317-2016)</w:t>
      </w:r>
    </w:p>
    <w:p w14:paraId="0CFFF335" w14:textId="77777777" w:rsidR="009F4685" w:rsidRPr="00304042" w:rsidRDefault="009F4685" w:rsidP="009F4685">
      <w:pPr>
        <w:pStyle w:val="Textonotapie"/>
        <w:ind w:firstLine="708"/>
        <w:jc w:val="both"/>
        <w:rPr>
          <w:rFonts w:ascii="Verdana" w:hAnsi="Verdana"/>
          <w:sz w:val="12"/>
          <w:szCs w:val="12"/>
          <w:lang w:val="es-CO"/>
        </w:rPr>
      </w:pPr>
    </w:p>
  </w:footnote>
  <w:footnote w:id="8">
    <w:p w14:paraId="5221E343" w14:textId="77777777" w:rsidR="009F4685" w:rsidRPr="00304042" w:rsidRDefault="009F4685" w:rsidP="009F4685">
      <w:pPr>
        <w:pStyle w:val="Textonotapie"/>
        <w:spacing w:line="276" w:lineRule="auto"/>
        <w:ind w:firstLine="709"/>
        <w:contextualSpacing/>
        <w:jc w:val="both"/>
        <w:rPr>
          <w:rFonts w:ascii="Verdana" w:hAnsi="Verdana" w:cs="Arial"/>
          <w:sz w:val="12"/>
          <w:szCs w:val="12"/>
        </w:rPr>
      </w:pPr>
      <w:r w:rsidRPr="00304042">
        <w:rPr>
          <w:rStyle w:val="Refdenotaalpie"/>
          <w:rFonts w:ascii="Verdana" w:hAnsi="Verdana" w:cs="Arial"/>
          <w:sz w:val="12"/>
          <w:szCs w:val="12"/>
        </w:rPr>
        <w:footnoteRef/>
      </w:r>
      <w:r w:rsidRPr="00304042">
        <w:rPr>
          <w:rFonts w:ascii="Verdana" w:hAnsi="Verdana" w:cs="Arial"/>
          <w:sz w:val="12"/>
          <w:szCs w:val="12"/>
        </w:rPr>
        <w:t xml:space="preserve"> </w:t>
      </w:r>
      <w:r w:rsidRPr="00304042">
        <w:rPr>
          <w:rFonts w:ascii="Verdana" w:hAnsi="Verdana" w:cs="Arial"/>
          <w:sz w:val="12"/>
          <w:szCs w:val="12"/>
          <w:lang w:val="es-ES"/>
        </w:rPr>
        <w:t>CONSEJO DE ESTADO. Sección Tercera. Subsección C. Sentencia de Unificación del 2 de diciembre de 2013. Exp. 41.719. C.P. Jaime Orlando Santofimio Gamboa.</w:t>
      </w:r>
      <w:r w:rsidRPr="00304042">
        <w:rPr>
          <w:rFonts w:ascii="Verdana" w:hAnsi="Verdana" w:cs="Arial"/>
          <w:sz w:val="12"/>
          <w:szCs w:val="12"/>
        </w:rPr>
        <w:t xml:space="preserve"> </w:t>
      </w:r>
    </w:p>
    <w:p w14:paraId="79186537"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7EFF40E"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Son también contratos de consultoría los que tienen por objeto la interventoría, asesoría, gerencia de obra o de proyectos, dirección, programación y la ejecución de diseños, planos, anteproyectos y proyectos.</w:t>
      </w:r>
    </w:p>
    <w:p w14:paraId="0B728758"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Ninguna orden del interventor de una obra podrá darse verbalmente. Es obligatorio para el interventor entregar por escrito sus órdenes o sugerencias y ellas deben enmarcarse dentro de los términos del respectivo contrato”.</w:t>
      </w:r>
    </w:p>
    <w:p w14:paraId="43BEEEAB"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p>
  </w:footnote>
  <w:footnote w:id="9">
    <w:p w14:paraId="0ED6FCB4"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Style w:val="Refdenotaalpie"/>
          <w:rFonts w:ascii="Verdana" w:hAnsi="Verdana" w:cs="Arial"/>
          <w:sz w:val="12"/>
          <w:szCs w:val="12"/>
        </w:rPr>
        <w:footnoteRef/>
      </w:r>
      <w:r w:rsidRPr="00304042">
        <w:rPr>
          <w:rFonts w:ascii="Verdana" w:hAnsi="Verdana" w:cs="Arial"/>
          <w:sz w:val="12"/>
          <w:szCs w:val="12"/>
        </w:rPr>
        <w:t xml:space="preserve"> </w:t>
      </w:r>
      <w:r w:rsidRPr="00304042">
        <w:rPr>
          <w:rFonts w:ascii="Verdana" w:hAnsi="Verdana" w:cs="Arial"/>
          <w:sz w:val="12"/>
          <w:szCs w:val="12"/>
          <w:lang w:val="es-ES"/>
        </w:rPr>
        <w:t>Así lo dispone el artículo 2.2.1.2.1.4.1. del Decreto 1082 de 2015: “La Entidad Estatal debe señalar en un acto administrativo la justificación para contratar bajo la modalidad de contratación directa, el cual debe contener:</w:t>
      </w:r>
    </w:p>
    <w:p w14:paraId="68A92C0D"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1. La causal que invoca para contratar directamente.</w:t>
      </w:r>
    </w:p>
    <w:p w14:paraId="3D0BE46F"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2. El objeto del contrato.</w:t>
      </w:r>
    </w:p>
    <w:p w14:paraId="0C475DE1"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3. El presupuesto para la contratación y las condiciones que exigirá al contratista.</w:t>
      </w:r>
    </w:p>
    <w:p w14:paraId="28E93544"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4. El lugar en el cual los interesados pueden consultar los estudios y documentos previos.</w:t>
      </w:r>
    </w:p>
    <w:p w14:paraId="15AD31D8"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0">
    <w:p w14:paraId="305DF187" w14:textId="77777777" w:rsidR="009F4685" w:rsidRPr="00304042" w:rsidRDefault="009F4685" w:rsidP="009F4685">
      <w:pPr>
        <w:pStyle w:val="Textonotapie"/>
        <w:spacing w:line="276" w:lineRule="auto"/>
        <w:ind w:firstLine="709"/>
        <w:contextualSpacing/>
        <w:jc w:val="both"/>
        <w:rPr>
          <w:rFonts w:ascii="Verdana" w:hAnsi="Verdana" w:cs="Arial"/>
          <w:sz w:val="12"/>
          <w:szCs w:val="12"/>
        </w:rPr>
      </w:pPr>
    </w:p>
    <w:p w14:paraId="1F079B84"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Style w:val="Refdenotaalpie"/>
          <w:rFonts w:ascii="Verdana" w:hAnsi="Verdana" w:cs="Arial"/>
          <w:sz w:val="12"/>
          <w:szCs w:val="12"/>
        </w:rPr>
        <w:footnoteRef/>
      </w:r>
      <w:r w:rsidRPr="00304042">
        <w:rPr>
          <w:rFonts w:ascii="Verdana" w:hAnsi="Verdana" w:cs="Arial"/>
          <w:sz w:val="12"/>
          <w:szCs w:val="12"/>
        </w:rPr>
        <w:t xml:space="preserve"> </w:t>
      </w:r>
      <w:r w:rsidRPr="00304042">
        <w:rPr>
          <w:rFonts w:ascii="Verdana" w:hAnsi="Verdana" w:cs="Arial"/>
          <w:sz w:val="12"/>
          <w:szCs w:val="12"/>
          <w:lang w:val="es-ES"/>
        </w:rPr>
        <w:t xml:space="preserve">La norma expresa: “Art. 14. </w:t>
      </w:r>
      <w:r w:rsidRPr="00304042">
        <w:rPr>
          <w:rFonts w:ascii="Verdana" w:hAnsi="Verdana" w:cs="Arial"/>
          <w:sz w:val="12"/>
          <w:szCs w:val="12"/>
        </w:rPr>
        <w:t>P</w:t>
      </w:r>
      <w:r w:rsidRPr="00304042">
        <w:rPr>
          <w:rFonts w:ascii="Verdana" w:hAnsi="Verdana" w:cs="Arial"/>
          <w:sz w:val="12"/>
          <w:szCs w:val="12"/>
          <w:lang w:val="es-ES"/>
        </w:rPr>
        <w:t>ara el cumplimiento de los fines de la contratación, las entidades estatales al celebrar un contrato:</w:t>
      </w:r>
    </w:p>
    <w:p w14:paraId="01E5D7C5"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w:t>
      </w:r>
    </w:p>
    <w:p w14:paraId="6993589C"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4BB53C8"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Las entidades estatales podrán pactar estas cláusulas en los contratos de suministro y de prestación de servicios.</w:t>
      </w:r>
    </w:p>
    <w:p w14:paraId="3189FAD8"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Fonts w:ascii="Verdana" w:hAnsi="Verdana" w:cs="Arial"/>
          <w:sz w:val="12"/>
          <w:szCs w:val="12"/>
          <w:lang w:val="es-ES"/>
        </w:rPr>
        <w:t>[…]”.</w:t>
      </w:r>
    </w:p>
    <w:p w14:paraId="15690C7C"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p>
  </w:footnote>
  <w:footnote w:id="11">
    <w:p w14:paraId="7A10A69E"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Style w:val="Refdenotaalpie"/>
          <w:rFonts w:ascii="Verdana" w:hAnsi="Verdana" w:cs="Arial"/>
          <w:sz w:val="12"/>
          <w:szCs w:val="12"/>
        </w:rPr>
        <w:footnoteRef/>
      </w:r>
      <w:r w:rsidRPr="00304042">
        <w:rPr>
          <w:rFonts w:ascii="Verdana" w:hAnsi="Verdana" w:cs="Arial"/>
          <w:sz w:val="12"/>
          <w:szCs w:val="12"/>
        </w:rPr>
        <w:t xml:space="preserve"> </w:t>
      </w:r>
      <w:r w:rsidRPr="00304042">
        <w:rPr>
          <w:rFonts w:ascii="Verdana" w:hAnsi="Verdana" w:cs="Arial"/>
          <w:sz w:val="12"/>
          <w:szCs w:val="12"/>
          <w:lang w:val="es-ES"/>
        </w:rPr>
        <w:t>La norma dispone: “La liquidación a que se refiere el presente artículo no será obligatoria en los contratos de prestación de servicios profesionales y de apoyo a la gestión”.</w:t>
      </w:r>
    </w:p>
    <w:p w14:paraId="6BD4F6BA"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p>
  </w:footnote>
  <w:footnote w:id="12">
    <w:p w14:paraId="640A3D2C" w14:textId="77777777" w:rsidR="009F4685" w:rsidRPr="00304042" w:rsidRDefault="009F4685" w:rsidP="009F4685">
      <w:pPr>
        <w:pStyle w:val="Textonotapie"/>
        <w:spacing w:line="276" w:lineRule="auto"/>
        <w:ind w:firstLine="709"/>
        <w:contextualSpacing/>
        <w:jc w:val="both"/>
        <w:rPr>
          <w:rFonts w:ascii="Verdana" w:hAnsi="Verdana" w:cs="Arial"/>
          <w:sz w:val="12"/>
          <w:szCs w:val="12"/>
        </w:rPr>
      </w:pPr>
      <w:r w:rsidRPr="00304042">
        <w:rPr>
          <w:rStyle w:val="Refdenotaalpie"/>
          <w:rFonts w:ascii="Verdana" w:hAnsi="Verdana" w:cs="Arial"/>
          <w:sz w:val="12"/>
          <w:szCs w:val="12"/>
        </w:rPr>
        <w:footnoteRef/>
      </w:r>
      <w:r w:rsidRPr="00304042">
        <w:rPr>
          <w:rFonts w:ascii="Verdana" w:hAnsi="Verdana" w:cs="Arial"/>
          <w:sz w:val="12"/>
          <w:szCs w:val="12"/>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7D9A7B5" w14:textId="77777777" w:rsidR="009F4685" w:rsidRPr="00304042" w:rsidRDefault="009F4685" w:rsidP="009F4685">
      <w:pPr>
        <w:pStyle w:val="Textonotapie"/>
        <w:spacing w:line="276" w:lineRule="auto"/>
        <w:ind w:firstLine="709"/>
        <w:contextualSpacing/>
        <w:jc w:val="both"/>
        <w:rPr>
          <w:rFonts w:ascii="Verdana" w:hAnsi="Verdana" w:cs="Arial"/>
          <w:sz w:val="12"/>
          <w:szCs w:val="12"/>
        </w:rPr>
      </w:pPr>
      <w:r w:rsidRPr="00304042">
        <w:rPr>
          <w:rFonts w:ascii="Verdana" w:hAnsi="Verdana" w:cs="Arial"/>
          <w:sz w:val="12"/>
          <w:szCs w:val="12"/>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403CC14" w14:textId="77777777" w:rsidR="009F4685" w:rsidRPr="00304042" w:rsidRDefault="009F4685" w:rsidP="009F4685">
      <w:pPr>
        <w:pStyle w:val="Textonotapie"/>
        <w:spacing w:line="276" w:lineRule="auto"/>
        <w:ind w:firstLine="709"/>
        <w:contextualSpacing/>
        <w:jc w:val="both"/>
        <w:rPr>
          <w:rFonts w:ascii="Verdana" w:hAnsi="Verdana" w:cs="Arial"/>
          <w:sz w:val="12"/>
          <w:szCs w:val="12"/>
        </w:rPr>
      </w:pPr>
      <w:r w:rsidRPr="00304042">
        <w:rPr>
          <w:rFonts w:ascii="Verdana" w:hAnsi="Verdana" w:cs="Arial"/>
          <w:sz w:val="12"/>
          <w:szCs w:val="12"/>
        </w:rPr>
        <w:t>[…]”.</w:t>
      </w:r>
    </w:p>
    <w:p w14:paraId="50B908E3"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p>
  </w:footnote>
  <w:footnote w:id="13">
    <w:p w14:paraId="6596BC69"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r w:rsidRPr="00304042">
        <w:rPr>
          <w:rStyle w:val="Refdenotaalpie"/>
          <w:rFonts w:ascii="Verdana" w:hAnsi="Verdana" w:cs="Arial"/>
          <w:sz w:val="12"/>
          <w:szCs w:val="12"/>
        </w:rPr>
        <w:footnoteRef/>
      </w:r>
      <w:r w:rsidRPr="00304042">
        <w:rPr>
          <w:rFonts w:ascii="Verdana" w:hAnsi="Verdana" w:cs="Arial"/>
          <w:sz w:val="12"/>
          <w:szCs w:val="12"/>
        </w:rPr>
        <w:t xml:space="preserve"> </w:t>
      </w:r>
      <w:r w:rsidRPr="00304042">
        <w:rPr>
          <w:rFonts w:ascii="Verdana" w:hAnsi="Verdana" w:cs="Arial"/>
          <w:sz w:val="12"/>
          <w:szCs w:val="12"/>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62C70114" w14:textId="77777777" w:rsidR="009F4685" w:rsidRPr="00304042" w:rsidRDefault="009F4685" w:rsidP="009F4685">
      <w:pPr>
        <w:pStyle w:val="Textonotapie"/>
        <w:spacing w:line="276" w:lineRule="auto"/>
        <w:ind w:firstLine="709"/>
        <w:contextualSpacing/>
        <w:jc w:val="both"/>
        <w:rPr>
          <w:rFonts w:ascii="Verdana" w:hAnsi="Verdana" w:cs="Arial"/>
          <w:sz w:val="12"/>
          <w:szCs w:val="12"/>
          <w:lang w:val="es-ES"/>
        </w:rPr>
      </w:pPr>
    </w:p>
  </w:footnote>
  <w:footnote w:id="14">
    <w:p w14:paraId="07813C8D" w14:textId="77777777" w:rsidR="009F4685" w:rsidRPr="00304042" w:rsidRDefault="009F4685" w:rsidP="009F4685">
      <w:pPr>
        <w:pStyle w:val="Textonotapie"/>
        <w:spacing w:line="276" w:lineRule="auto"/>
        <w:ind w:firstLine="709"/>
        <w:jc w:val="both"/>
        <w:rPr>
          <w:rFonts w:ascii="Verdana" w:hAnsi="Verdana" w:cs="Arial"/>
          <w:sz w:val="12"/>
          <w:szCs w:val="12"/>
        </w:rPr>
      </w:pPr>
      <w:r w:rsidRPr="00304042">
        <w:rPr>
          <w:rStyle w:val="Refdenotaalpie"/>
          <w:rFonts w:ascii="Verdana" w:hAnsi="Verdana" w:cs="Arial"/>
          <w:sz w:val="12"/>
          <w:szCs w:val="12"/>
        </w:rPr>
        <w:footnoteRef/>
      </w:r>
      <w:r w:rsidRPr="00304042">
        <w:rPr>
          <w:rFonts w:ascii="Verdana" w:hAnsi="Verdana" w:cs="Arial"/>
          <w:sz w:val="12"/>
          <w:szCs w:val="12"/>
        </w:rPr>
        <w:t xml:space="preserve"> Es decir, aquellos de ejecución sucesiva o de cumplimiento escalonado de obligaciones que no pueden ser cumplidas en el mismo instante en que el acuerdo nace a la vida jurídica, bien por su naturaleza o por la voluntad de las partes, como sucede con los contratos de arrendamiento o los de concesión.</w:t>
      </w:r>
    </w:p>
    <w:p w14:paraId="03FCB05D" w14:textId="77777777" w:rsidR="009F4685" w:rsidRPr="00304042" w:rsidRDefault="009F4685" w:rsidP="009F4685">
      <w:pPr>
        <w:pStyle w:val="Textonotapie"/>
        <w:spacing w:line="276" w:lineRule="auto"/>
        <w:ind w:firstLine="709"/>
        <w:jc w:val="both"/>
        <w:rPr>
          <w:rFonts w:ascii="Verdana" w:hAnsi="Verdana" w:cs="Arial"/>
          <w:sz w:val="12"/>
          <w:szCs w:val="12"/>
        </w:rPr>
      </w:pPr>
    </w:p>
  </w:footnote>
  <w:footnote w:id="15">
    <w:p w14:paraId="100689AC" w14:textId="77777777" w:rsidR="009F4685" w:rsidRPr="00304042" w:rsidRDefault="009F4685" w:rsidP="009F4685">
      <w:pPr>
        <w:spacing w:after="0" w:line="276" w:lineRule="auto"/>
        <w:ind w:firstLine="709"/>
        <w:jc w:val="both"/>
        <w:rPr>
          <w:rFonts w:ascii="Verdana" w:hAnsi="Verdana" w:cs="Arial"/>
          <w:sz w:val="12"/>
          <w:szCs w:val="12"/>
        </w:rPr>
      </w:pPr>
      <w:r w:rsidRPr="00304042">
        <w:rPr>
          <w:rStyle w:val="Refdenotaalpie"/>
          <w:rFonts w:ascii="Verdana" w:hAnsi="Verdana" w:cs="Arial"/>
          <w:sz w:val="12"/>
          <w:szCs w:val="12"/>
        </w:rPr>
        <w:footnoteRef/>
      </w:r>
      <w:r w:rsidRPr="00304042">
        <w:rPr>
          <w:rFonts w:ascii="Verdana" w:hAnsi="Verdana" w:cs="Arial"/>
          <w:sz w:val="12"/>
          <w:szCs w:val="12"/>
        </w:rPr>
        <w:t xml:space="preserve"> Vencimiento del plazo de ejecución, cumplimiento del objeto o el acaecimiento de la condición resolutoria expresa, pactada por las partes.</w:t>
      </w:r>
    </w:p>
    <w:p w14:paraId="65DC5390" w14:textId="77777777" w:rsidR="009F4685" w:rsidRPr="00304042" w:rsidRDefault="009F4685" w:rsidP="009F4685">
      <w:pPr>
        <w:spacing w:after="0" w:line="276" w:lineRule="auto"/>
        <w:ind w:firstLine="709"/>
        <w:jc w:val="both"/>
        <w:rPr>
          <w:rFonts w:ascii="Verdana" w:hAnsi="Verdana" w:cs="Arial"/>
          <w:sz w:val="12"/>
          <w:szCs w:val="12"/>
        </w:rPr>
      </w:pPr>
    </w:p>
  </w:footnote>
  <w:footnote w:id="16">
    <w:p w14:paraId="507EB179" w14:textId="77777777" w:rsidR="009F4685" w:rsidRPr="00304042" w:rsidRDefault="009F4685" w:rsidP="009F4685">
      <w:pPr>
        <w:spacing w:after="0" w:line="276" w:lineRule="auto"/>
        <w:ind w:firstLine="709"/>
        <w:jc w:val="both"/>
        <w:rPr>
          <w:rFonts w:ascii="Verdana" w:hAnsi="Verdana" w:cs="Arial"/>
          <w:sz w:val="12"/>
          <w:szCs w:val="12"/>
        </w:rPr>
      </w:pPr>
      <w:r w:rsidRPr="00304042">
        <w:rPr>
          <w:rStyle w:val="Refdenotaalpie"/>
          <w:rFonts w:ascii="Verdana" w:hAnsi="Verdana" w:cs="Arial"/>
          <w:sz w:val="12"/>
          <w:szCs w:val="12"/>
        </w:rPr>
        <w:footnoteRef/>
      </w:r>
      <w:r w:rsidRPr="00304042">
        <w:rPr>
          <w:rFonts w:ascii="Verdana" w:hAnsi="Verdana" w:cs="Arial"/>
          <w:sz w:val="12"/>
          <w:szCs w:val="12"/>
        </w:rPr>
        <w:t xml:space="preserve"> Declaratoria de caducidad, terminación unilateral, mutuo acuerdo, renuncia del contratista (cuando hay una modificación unilateral altere en un 20 % o más el valor inicial del contrato o cuando sobreviene una inhabilidad o incompatibilidad y no se pueda ceder el contrato) o evento de fuerza mayor.</w:t>
      </w:r>
    </w:p>
    <w:p w14:paraId="276B59F5" w14:textId="77777777" w:rsidR="009F4685" w:rsidRPr="00304042" w:rsidRDefault="009F4685" w:rsidP="009F4685">
      <w:pPr>
        <w:spacing w:after="0" w:line="276" w:lineRule="auto"/>
        <w:ind w:firstLine="709"/>
        <w:jc w:val="both"/>
        <w:rPr>
          <w:rFonts w:ascii="Verdana" w:hAnsi="Verdana" w:cs="Arial"/>
          <w:sz w:val="12"/>
          <w:szCs w:val="12"/>
        </w:rPr>
      </w:pPr>
    </w:p>
  </w:footnote>
  <w:footnote w:id="17">
    <w:p w14:paraId="5C66CE2A" w14:textId="77777777" w:rsidR="009F4685" w:rsidRPr="00304042" w:rsidRDefault="009F4685" w:rsidP="009F4685">
      <w:pPr>
        <w:spacing w:line="276" w:lineRule="auto"/>
        <w:ind w:firstLine="709"/>
        <w:jc w:val="both"/>
        <w:rPr>
          <w:rStyle w:val="normaltextrun"/>
          <w:rFonts w:ascii="Verdana" w:hAnsi="Verdana" w:cs="Arial"/>
          <w:sz w:val="12"/>
          <w:szCs w:val="12"/>
          <w:lang w:val="pt-BR"/>
        </w:rPr>
      </w:pPr>
      <w:r w:rsidRPr="00304042">
        <w:rPr>
          <w:rStyle w:val="Refdenotaalpie"/>
          <w:rFonts w:ascii="Verdana" w:hAnsi="Verdana" w:cs="Arial"/>
          <w:sz w:val="12"/>
          <w:szCs w:val="12"/>
        </w:rPr>
        <w:footnoteRef/>
      </w:r>
      <w:r w:rsidRPr="00304042">
        <w:rPr>
          <w:rFonts w:ascii="Verdana" w:hAnsi="Verdana" w:cs="Arial"/>
          <w:sz w:val="12"/>
          <w:szCs w:val="12"/>
        </w:rPr>
        <w:t xml:space="preserve"> Consejo de Estado. Sección tercera. Sentencia </w:t>
      </w:r>
      <w:r w:rsidRPr="00304042">
        <w:rPr>
          <w:rStyle w:val="normaltextrun"/>
          <w:rFonts w:ascii="Verdana" w:hAnsi="Verdana" w:cs="Arial"/>
          <w:sz w:val="12"/>
          <w:szCs w:val="12"/>
        </w:rPr>
        <w:t xml:space="preserve">del 10 de noviembre de 2016. </w:t>
      </w:r>
      <w:r w:rsidRPr="00304042">
        <w:rPr>
          <w:rStyle w:val="normaltextrun"/>
          <w:rFonts w:ascii="Verdana" w:hAnsi="Verdana" w:cs="Arial"/>
          <w:sz w:val="12"/>
          <w:szCs w:val="12"/>
          <w:lang w:val="pt-BR"/>
        </w:rPr>
        <w:t>Exp. 56.179. C.P. Jaime Orlando Santofimio Gamboa.</w:t>
      </w:r>
    </w:p>
    <w:p w14:paraId="6F000A01" w14:textId="77777777" w:rsidR="009F4685" w:rsidRPr="00304042" w:rsidRDefault="009F4685" w:rsidP="009F4685">
      <w:pPr>
        <w:spacing w:line="276" w:lineRule="auto"/>
        <w:ind w:firstLine="709"/>
        <w:jc w:val="both"/>
        <w:rPr>
          <w:rFonts w:ascii="Verdana" w:hAnsi="Verdana" w:cs="Arial"/>
          <w:sz w:val="12"/>
          <w:szCs w:val="12"/>
          <w:lang w:val="pt-BR"/>
        </w:rPr>
      </w:pPr>
    </w:p>
  </w:footnote>
  <w:footnote w:id="18">
    <w:p w14:paraId="6F8CC604" w14:textId="77777777" w:rsidR="009F4685" w:rsidRPr="00304042" w:rsidRDefault="009F4685" w:rsidP="009F4685">
      <w:pPr>
        <w:spacing w:line="276" w:lineRule="auto"/>
        <w:ind w:firstLine="709"/>
        <w:jc w:val="both"/>
        <w:rPr>
          <w:rFonts w:ascii="Verdana" w:hAnsi="Verdana" w:cs="Arial"/>
          <w:sz w:val="12"/>
          <w:szCs w:val="12"/>
        </w:rPr>
      </w:pPr>
      <w:r w:rsidRPr="00304042">
        <w:rPr>
          <w:rStyle w:val="Refdenotaalpie"/>
          <w:rFonts w:ascii="Verdana" w:hAnsi="Verdana" w:cs="Arial"/>
          <w:sz w:val="12"/>
          <w:szCs w:val="12"/>
        </w:rPr>
        <w:footnoteRef/>
      </w:r>
      <w:r w:rsidRPr="00304042">
        <w:rPr>
          <w:rFonts w:ascii="Verdana" w:hAnsi="Verdana" w:cs="Arial"/>
          <w:sz w:val="12"/>
          <w:szCs w:val="12"/>
          <w:lang w:val="pt-BR"/>
        </w:rPr>
        <w:t xml:space="preserve"> Código Civil: “Artículo 1501. </w:t>
      </w:r>
      <w:r w:rsidRPr="00304042">
        <w:rPr>
          <w:rFonts w:ascii="Verdana" w:hAnsi="Verdana" w:cs="Arial"/>
          <w:sz w:val="12"/>
          <w:szCs w:val="12"/>
        </w:rPr>
        <w:t>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p w14:paraId="069578D3" w14:textId="77777777" w:rsidR="009F4685" w:rsidRPr="00304042" w:rsidRDefault="009F4685" w:rsidP="009F4685">
      <w:pPr>
        <w:pStyle w:val="Textonotapie"/>
        <w:spacing w:line="276" w:lineRule="auto"/>
        <w:ind w:firstLine="709"/>
        <w:jc w:val="both"/>
        <w:rPr>
          <w:rFonts w:ascii="Verdana" w:hAnsi="Verdana" w:cs="Arial"/>
          <w:sz w:val="12"/>
          <w:szCs w:val="12"/>
          <w:lang w:val="es-CO"/>
        </w:rPr>
      </w:pPr>
    </w:p>
  </w:footnote>
  <w:footnote w:id="19">
    <w:p w14:paraId="2F48E363" w14:textId="77777777" w:rsidR="009F4685" w:rsidRPr="00304042" w:rsidRDefault="009F4685" w:rsidP="009F4685">
      <w:pPr>
        <w:spacing w:after="0" w:line="276" w:lineRule="auto"/>
        <w:ind w:firstLine="709"/>
        <w:jc w:val="both"/>
        <w:rPr>
          <w:rFonts w:ascii="Verdana" w:hAnsi="Verdana" w:cs="Arial"/>
          <w:sz w:val="12"/>
          <w:szCs w:val="12"/>
        </w:rPr>
      </w:pPr>
      <w:r w:rsidRPr="00304042">
        <w:rPr>
          <w:rStyle w:val="Refdenotaalpie"/>
          <w:rFonts w:ascii="Verdana" w:hAnsi="Verdana" w:cs="Arial"/>
          <w:sz w:val="12"/>
          <w:szCs w:val="12"/>
        </w:rPr>
        <w:footnoteRef/>
      </w:r>
      <w:r w:rsidRPr="00304042">
        <w:rPr>
          <w:rFonts w:ascii="Verdana" w:hAnsi="Verdana" w:cs="Arial"/>
          <w:sz w:val="12"/>
          <w:szCs w:val="12"/>
        </w:rPr>
        <w:t xml:space="preserve"> Código Civil: “Artículo 1602: Todo contrato legalmente celebrado es una ley para los contratantes, y no puede ser invalidado sino por su consentimiento mutuo o por causas legales”.</w:t>
      </w:r>
    </w:p>
    <w:p w14:paraId="1A48114D" w14:textId="77777777" w:rsidR="009F4685" w:rsidRPr="00304042" w:rsidRDefault="009F4685" w:rsidP="009F4685">
      <w:pPr>
        <w:spacing w:after="0" w:line="276" w:lineRule="auto"/>
        <w:ind w:firstLine="709"/>
        <w:jc w:val="both"/>
        <w:rPr>
          <w:rFonts w:ascii="Verdana" w:hAnsi="Verdana" w:cs="Arial"/>
          <w:sz w:val="12"/>
          <w:szCs w:val="12"/>
        </w:rPr>
      </w:pPr>
    </w:p>
  </w:footnote>
  <w:footnote w:id="20">
    <w:p w14:paraId="59CC83A0" w14:textId="77777777" w:rsidR="009F4685" w:rsidRPr="00304042" w:rsidRDefault="009F4685" w:rsidP="009F4685">
      <w:pPr>
        <w:pStyle w:val="Textonotapie"/>
        <w:ind w:firstLine="708"/>
        <w:jc w:val="both"/>
        <w:rPr>
          <w:rFonts w:ascii="Verdana" w:hAnsi="Verdana"/>
          <w:sz w:val="12"/>
          <w:szCs w:val="12"/>
          <w:lang w:val="es-CO"/>
        </w:rPr>
      </w:pPr>
      <w:r w:rsidRPr="00304042">
        <w:rPr>
          <w:rStyle w:val="Refdenotaalpie"/>
          <w:rFonts w:ascii="Verdana" w:hAnsi="Verdana"/>
          <w:sz w:val="12"/>
          <w:szCs w:val="12"/>
        </w:rPr>
        <w:footnoteRef/>
      </w:r>
      <w:r w:rsidRPr="00304042">
        <w:rPr>
          <w:rFonts w:ascii="Verdana" w:hAnsi="Verdana"/>
          <w:sz w:val="12"/>
          <w:szCs w:val="12"/>
        </w:rPr>
        <w:t xml:space="preserve"> </w:t>
      </w:r>
      <w:r w:rsidRPr="00304042">
        <w:rPr>
          <w:rFonts w:ascii="Verdana" w:hAnsi="Verdana"/>
          <w:sz w:val="12"/>
          <w:szCs w:val="12"/>
          <w:lang w:val="es-CO"/>
        </w:rPr>
        <w:t>Consejo de Estado. Sala de Consulta y Servicio Civil. Consejero ponente: Álvaro Namén Vargas Bogotá D.C., veintiocho (28) de junio de dos mil dieciséis (2016) Radicación número: 11001-03-06-000-2015-00067-00(2253).</w:t>
      </w:r>
    </w:p>
  </w:footnote>
  <w:footnote w:id="21">
    <w:p w14:paraId="15E26400" w14:textId="77777777" w:rsidR="009F4685" w:rsidRPr="00304042" w:rsidRDefault="009F4685" w:rsidP="009F4685">
      <w:pPr>
        <w:pStyle w:val="Textonotapie"/>
        <w:ind w:firstLine="708"/>
        <w:jc w:val="both"/>
        <w:rPr>
          <w:rFonts w:ascii="Verdana" w:hAnsi="Verdana"/>
          <w:sz w:val="12"/>
          <w:szCs w:val="12"/>
          <w:lang w:val="es-CO"/>
        </w:rPr>
      </w:pPr>
      <w:r w:rsidRPr="00304042">
        <w:rPr>
          <w:rStyle w:val="Refdenotaalpie"/>
          <w:rFonts w:ascii="Verdana" w:hAnsi="Verdana"/>
          <w:sz w:val="12"/>
          <w:szCs w:val="12"/>
        </w:rPr>
        <w:footnoteRef/>
      </w:r>
      <w:r w:rsidRPr="00304042">
        <w:rPr>
          <w:rFonts w:ascii="Verdana" w:hAnsi="Verdana"/>
          <w:sz w:val="12"/>
          <w:szCs w:val="12"/>
        </w:rPr>
        <w:t xml:space="preserve"> </w:t>
      </w:r>
      <w:r w:rsidRPr="00304042">
        <w:rPr>
          <w:rFonts w:ascii="Verdana" w:hAnsi="Verdana"/>
          <w:sz w:val="12"/>
          <w:szCs w:val="12"/>
          <w:lang w:val="es-CO"/>
        </w:rPr>
        <w:t>Consejo de Estado. Sala de Consulta y Servicio Civil. Consejero ponente: Álvaro Namén Vargas Bogotá D.C., veintiocho (28) de junio de dos mil dieciséis (2016) Radicación número: 11001-03-06-000-2015-00067-00(2253).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3036E" w14:textId="77777777" w:rsidR="00E81AB3"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11798CE" wp14:editId="214DD268">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18DA2C4" wp14:editId="71AA21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F476BFA" w14:textId="77777777" w:rsidR="00E81AB3" w:rsidRDefault="00E81AB3">
    <w:pPr>
      <w:pStyle w:val="Encabezado"/>
    </w:pPr>
  </w:p>
  <w:p w14:paraId="32062791" w14:textId="77777777" w:rsidR="00E81AB3" w:rsidRDefault="00E81AB3" w:rsidP="004A305D">
    <w:pPr>
      <w:spacing w:after="0"/>
      <w:rPr>
        <w:rFonts w:ascii="Verdana" w:hAnsi="Verdana"/>
        <w:b/>
        <w:bCs/>
      </w:rPr>
    </w:pPr>
  </w:p>
  <w:p w14:paraId="3128C609" w14:textId="77777777" w:rsidR="00E81AB3" w:rsidRPr="004A305D" w:rsidRDefault="00E81AB3" w:rsidP="00B01B1A">
    <w:pPr>
      <w:spacing w:after="0" w:line="120" w:lineRule="auto"/>
      <w:rPr>
        <w:rFonts w:ascii="Century Gothic" w:eastAsia="Geo" w:hAnsi="Century Gothic" w:cs="Geo"/>
        <w:sz w:val="16"/>
        <w:szCs w:val="16"/>
        <w:lang w:eastAsia="es-CO"/>
      </w:rPr>
    </w:pPr>
  </w:p>
  <w:p w14:paraId="04421161" w14:textId="77777777" w:rsidR="00E81AB3" w:rsidRDefault="00E81AB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BC5264"/>
    <w:multiLevelType w:val="hybridMultilevel"/>
    <w:tmpl w:val="0644B820"/>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26A7481"/>
    <w:multiLevelType w:val="hybridMultilevel"/>
    <w:tmpl w:val="F51E45A0"/>
    <w:lvl w:ilvl="0" w:tplc="FEA233C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5C5468F"/>
    <w:multiLevelType w:val="hybridMultilevel"/>
    <w:tmpl w:val="F51E45A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11006927">
    <w:abstractNumId w:val="2"/>
  </w:num>
  <w:num w:numId="2" w16cid:durableId="1004362080">
    <w:abstractNumId w:val="1"/>
  </w:num>
  <w:num w:numId="3" w16cid:durableId="749275059">
    <w:abstractNumId w:val="3"/>
  </w:num>
  <w:num w:numId="4" w16cid:durableId="109521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685"/>
    <w:rsid w:val="003354F1"/>
    <w:rsid w:val="00474DF4"/>
    <w:rsid w:val="004F471F"/>
    <w:rsid w:val="005C3900"/>
    <w:rsid w:val="00741210"/>
    <w:rsid w:val="009A376F"/>
    <w:rsid w:val="009F4685"/>
    <w:rsid w:val="00BF47AB"/>
    <w:rsid w:val="00C24FFE"/>
    <w:rsid w:val="00E81A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44FFA"/>
  <w15:chartTrackingRefBased/>
  <w15:docId w15:val="{1E005267-751F-45B5-8DE2-437A448AD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685"/>
    <w:rPr>
      <w:kern w:val="0"/>
      <w14:ligatures w14:val="none"/>
    </w:rPr>
  </w:style>
  <w:style w:type="paragraph" w:styleId="Ttulo1">
    <w:name w:val="heading 1"/>
    <w:basedOn w:val="Normal"/>
    <w:next w:val="Normal"/>
    <w:link w:val="Ttulo1Car"/>
    <w:uiPriority w:val="9"/>
    <w:qFormat/>
    <w:rsid w:val="009F46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F46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F468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F468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F468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F468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F468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F468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F468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468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F468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F468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F468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F468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F468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F468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F468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F4685"/>
    <w:rPr>
      <w:rFonts w:eastAsiaTheme="majorEastAsia" w:cstheme="majorBidi"/>
      <w:color w:val="272727" w:themeColor="text1" w:themeTint="D8"/>
    </w:rPr>
  </w:style>
  <w:style w:type="paragraph" w:styleId="Ttulo">
    <w:name w:val="Title"/>
    <w:basedOn w:val="Normal"/>
    <w:next w:val="Normal"/>
    <w:link w:val="TtuloCar"/>
    <w:uiPriority w:val="10"/>
    <w:qFormat/>
    <w:rsid w:val="009F4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F468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F468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F468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F4685"/>
    <w:pPr>
      <w:spacing w:before="160"/>
      <w:jc w:val="center"/>
    </w:pPr>
    <w:rPr>
      <w:i/>
      <w:iCs/>
      <w:color w:val="404040" w:themeColor="text1" w:themeTint="BF"/>
    </w:rPr>
  </w:style>
  <w:style w:type="character" w:customStyle="1" w:styleId="CitaCar">
    <w:name w:val="Cita Car"/>
    <w:basedOn w:val="Fuentedeprrafopredeter"/>
    <w:link w:val="Cita"/>
    <w:uiPriority w:val="29"/>
    <w:rsid w:val="009F468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F4685"/>
    <w:pPr>
      <w:ind w:left="720"/>
      <w:contextualSpacing/>
    </w:pPr>
  </w:style>
  <w:style w:type="character" w:styleId="nfasisintenso">
    <w:name w:val="Intense Emphasis"/>
    <w:basedOn w:val="Fuentedeprrafopredeter"/>
    <w:uiPriority w:val="21"/>
    <w:qFormat/>
    <w:rsid w:val="009F4685"/>
    <w:rPr>
      <w:i/>
      <w:iCs/>
      <w:color w:val="2F5496" w:themeColor="accent1" w:themeShade="BF"/>
    </w:rPr>
  </w:style>
  <w:style w:type="paragraph" w:styleId="Citadestacada">
    <w:name w:val="Intense Quote"/>
    <w:basedOn w:val="Normal"/>
    <w:next w:val="Normal"/>
    <w:link w:val="CitadestacadaCar"/>
    <w:uiPriority w:val="30"/>
    <w:qFormat/>
    <w:rsid w:val="009F46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F4685"/>
    <w:rPr>
      <w:i/>
      <w:iCs/>
      <w:color w:val="2F5496" w:themeColor="accent1" w:themeShade="BF"/>
    </w:rPr>
  </w:style>
  <w:style w:type="character" w:styleId="Referenciaintensa">
    <w:name w:val="Intense Reference"/>
    <w:basedOn w:val="Fuentedeprrafopredeter"/>
    <w:uiPriority w:val="32"/>
    <w:qFormat/>
    <w:rsid w:val="009F4685"/>
    <w:rPr>
      <w:b/>
      <w:bCs/>
      <w:smallCaps/>
      <w:color w:val="2F5496" w:themeColor="accent1" w:themeShade="BF"/>
      <w:spacing w:val="5"/>
    </w:rPr>
  </w:style>
  <w:style w:type="paragraph" w:styleId="Encabezado">
    <w:name w:val="header"/>
    <w:basedOn w:val="Normal"/>
    <w:link w:val="EncabezadoCar"/>
    <w:uiPriority w:val="99"/>
    <w:unhideWhenUsed/>
    <w:rsid w:val="009F468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F4685"/>
    <w:rPr>
      <w:kern w:val="0"/>
      <w14:ligatures w14:val="none"/>
    </w:rPr>
  </w:style>
  <w:style w:type="paragraph" w:styleId="Piedepgina">
    <w:name w:val="footer"/>
    <w:basedOn w:val="Normal"/>
    <w:link w:val="PiedepginaCar"/>
    <w:uiPriority w:val="99"/>
    <w:unhideWhenUsed/>
    <w:rsid w:val="009F468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468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F468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F468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F468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F4685"/>
    <w:rPr>
      <w:vertAlign w:val="superscript"/>
    </w:rPr>
  </w:style>
  <w:style w:type="character" w:customStyle="1" w:styleId="normaltextrun">
    <w:name w:val="normaltextrun"/>
    <w:basedOn w:val="Fuentedeprrafopredeter"/>
    <w:rsid w:val="009F4685"/>
  </w:style>
  <w:style w:type="table" w:styleId="Tablaconcuadrcula">
    <w:name w:val="Table Grid"/>
    <w:basedOn w:val="Tablanormal"/>
    <w:uiPriority w:val="39"/>
    <w:qFormat/>
    <w:rsid w:val="009F468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F4685"/>
    <w:rPr>
      <w:color w:val="0000FF"/>
      <w:u w:val="single"/>
    </w:rPr>
  </w:style>
  <w:style w:type="character" w:customStyle="1" w:styleId="eop">
    <w:name w:val="eop"/>
    <w:basedOn w:val="Fuentedeprrafopredeter"/>
    <w:rsid w:val="009F4685"/>
  </w:style>
  <w:style w:type="table" w:customStyle="1" w:styleId="Tablaconcuadrcula1">
    <w:name w:val="Tabla con cuadrícula1"/>
    <w:basedOn w:val="Tablanormal"/>
    <w:next w:val="Tablaconcuadrcula"/>
    <w:uiPriority w:val="59"/>
    <w:rsid w:val="009F4685"/>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F468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F4685"/>
  </w:style>
  <w:style w:type="paragraph" w:styleId="Textoindependiente">
    <w:name w:val="Body Text"/>
    <w:basedOn w:val="Normal"/>
    <w:link w:val="TextoindependienteCar"/>
    <w:uiPriority w:val="99"/>
    <w:unhideWhenUsed/>
    <w:rsid w:val="009F4685"/>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9F4685"/>
    <w:rPr>
      <w:rFonts w:eastAsiaTheme="minorEastAsia"/>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shuertas555@g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lombiacompra.gov.co/sala-de-prensa/boletin-digital" TargetMode="External"/><Relationship Id="rId4" Type="http://schemas.openxmlformats.org/officeDocument/2006/relationships/webSettings" Target="webSettings.xml"/><Relationship Id="rId9"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B6F50C-D224-4AF2-A21C-16091DD3A388}"/>
</file>

<file path=customXml/itemProps2.xml><?xml version="1.0" encoding="utf-8"?>
<ds:datastoreItem xmlns:ds="http://schemas.openxmlformats.org/officeDocument/2006/customXml" ds:itemID="{58F84B93-D1A5-461D-B475-CBA007E0B998}"/>
</file>

<file path=customXml/itemProps3.xml><?xml version="1.0" encoding="utf-8"?>
<ds:datastoreItem xmlns:ds="http://schemas.openxmlformats.org/officeDocument/2006/customXml" ds:itemID="{6B1F03F8-AAFE-449A-87B8-7DCA803E9F8F}"/>
</file>

<file path=docProps/app.xml><?xml version="1.0" encoding="utf-8"?>
<Properties xmlns="http://schemas.openxmlformats.org/officeDocument/2006/extended-properties" xmlns:vt="http://schemas.openxmlformats.org/officeDocument/2006/docPropsVTypes">
  <Template>Normal</Template>
  <TotalTime>2</TotalTime>
  <Pages>21</Pages>
  <Words>6686</Words>
  <Characters>36778</Characters>
  <Application>Microsoft Office Word</Application>
  <DocSecurity>0</DocSecurity>
  <Lines>306</Lines>
  <Paragraphs>86</Paragraphs>
  <ScaleCrop>false</ScaleCrop>
  <Company/>
  <LinksUpToDate>false</LinksUpToDate>
  <CharactersWithSpaces>43378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2024-12-19T16:31:00Z</dcterms:created>
  <dcterms:modified xsi:type="dcterms:W3CDTF">2024-12-27T19:15:00Z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