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2B623" w14:textId="77777777" w:rsidR="00AE36C6" w:rsidRPr="00243B75" w:rsidRDefault="00AE36C6" w:rsidP="00AE36C6">
      <w:pPr>
        <w:spacing w:line="276" w:lineRule="auto"/>
        <w:jc w:val="both"/>
        <w:rPr>
          <w:rFonts w:ascii="Arial" w:hAnsi="Arial" w:cs="Arial"/>
          <w:b/>
          <w:bCs/>
          <w:sz w:val="20"/>
          <w:szCs w:val="20"/>
        </w:rPr>
      </w:pPr>
      <w:r w:rsidRPr="00761F45">
        <w:rPr>
          <w:rFonts w:ascii="Arial" w:hAnsi="Arial" w:cs="Arial"/>
          <w:b/>
          <w:bCs/>
          <w:sz w:val="20"/>
          <w:szCs w:val="20"/>
        </w:rPr>
        <w:t>REQUISITOS HABILITANTES</w:t>
      </w:r>
      <w:r w:rsidRPr="00075CB7">
        <w:rPr>
          <w:rFonts w:ascii="Arial" w:hAnsi="Arial" w:cs="Arial"/>
          <w:b/>
          <w:bCs/>
          <w:sz w:val="20"/>
          <w:szCs w:val="20"/>
        </w:rPr>
        <w:t xml:space="preserve"> – </w:t>
      </w:r>
      <w:r w:rsidRPr="00C57060">
        <w:rPr>
          <w:rFonts w:ascii="Arial" w:hAnsi="Arial" w:cs="Arial"/>
          <w:b/>
          <w:bCs/>
          <w:sz w:val="20"/>
          <w:szCs w:val="20"/>
        </w:rPr>
        <w:t>Definición</w:t>
      </w:r>
      <w:r w:rsidRPr="00075CB7">
        <w:rPr>
          <w:rFonts w:ascii="Arial" w:hAnsi="Arial" w:cs="Arial"/>
          <w:b/>
          <w:bCs/>
          <w:sz w:val="20"/>
          <w:szCs w:val="20"/>
        </w:rPr>
        <w:t xml:space="preserve"> – Diferencia con los criterios de evaluación </w:t>
      </w:r>
    </w:p>
    <w:p w14:paraId="4A821FC6" w14:textId="77777777" w:rsidR="00AE36C6" w:rsidRPr="00075CB7" w:rsidRDefault="00AE36C6" w:rsidP="00AE36C6">
      <w:pPr>
        <w:spacing w:after="120" w:line="276" w:lineRule="auto"/>
        <w:jc w:val="both"/>
        <w:rPr>
          <w:rFonts w:ascii="Arial" w:eastAsia="Calibri" w:hAnsi="Arial" w:cs="Arial"/>
          <w:color w:val="000000" w:themeColor="text1"/>
          <w:sz w:val="20"/>
          <w:szCs w:val="20"/>
        </w:rPr>
      </w:pPr>
      <w:r w:rsidRPr="00075CB7">
        <w:rPr>
          <w:rFonts w:ascii="Arial" w:eastAsia="Calibri" w:hAnsi="Arial" w:cs="Arial"/>
          <w:color w:val="000000" w:themeColor="text1"/>
          <w:sz w:val="20"/>
          <w:szCs w:val="20"/>
        </w:rPr>
        <w:t xml:space="preserve">Los </w:t>
      </w:r>
      <w:r w:rsidRPr="00075CB7">
        <w:rPr>
          <w:rFonts w:ascii="Arial" w:eastAsia="Calibri" w:hAnsi="Arial" w:cs="Arial"/>
          <w:i/>
          <w:iCs/>
          <w:color w:val="000000" w:themeColor="text1"/>
          <w:sz w:val="20"/>
          <w:szCs w:val="20"/>
        </w:rPr>
        <w:t>requisitos habilitantes</w:t>
      </w:r>
      <w:r w:rsidRPr="00075CB7">
        <w:rPr>
          <w:rFonts w:ascii="Arial" w:eastAsia="Calibri" w:hAnsi="Arial" w:cs="Arial"/>
          <w:color w:val="000000" w:themeColor="text1"/>
          <w:sz w:val="20"/>
          <w:szCs w:val="20"/>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075CB7">
        <w:rPr>
          <w:rFonts w:ascii="Arial" w:eastAsia="Calibri" w:hAnsi="Arial" w:cs="Arial"/>
          <w:i/>
          <w:iCs/>
          <w:color w:val="000000" w:themeColor="text1"/>
          <w:sz w:val="20"/>
          <w:szCs w:val="20"/>
        </w:rPr>
        <w:t>criterios de evaluación</w:t>
      </w:r>
      <w:r w:rsidRPr="00075CB7">
        <w:rPr>
          <w:rFonts w:ascii="Arial" w:eastAsia="Calibri" w:hAnsi="Arial" w:cs="Arial"/>
          <w:color w:val="000000" w:themeColor="text1"/>
          <w:sz w:val="20"/>
          <w:szCs w:val="20"/>
        </w:rPr>
        <w:t xml:space="preserve"> –también conocidos como </w:t>
      </w:r>
      <w:r w:rsidRPr="00075CB7">
        <w:rPr>
          <w:rFonts w:ascii="Arial" w:eastAsia="Calibri" w:hAnsi="Arial" w:cs="Arial"/>
          <w:i/>
          <w:iCs/>
          <w:color w:val="000000" w:themeColor="text1"/>
          <w:sz w:val="20"/>
          <w:szCs w:val="20"/>
        </w:rPr>
        <w:t>criterios de calificación</w:t>
      </w:r>
      <w:r w:rsidRPr="00075CB7">
        <w:rPr>
          <w:rFonts w:ascii="Arial" w:eastAsia="Calibri" w:hAnsi="Arial" w:cs="Arial"/>
          <w:color w:val="000000" w:themeColor="text1"/>
          <w:sz w:val="20"/>
          <w:szCs w:val="20"/>
        </w:rPr>
        <w:t>– en que estos son los factores definidos por la entidad estatal para la asignación de puntaje en el momento de la comparación de las ofertas, y que, a partir de su ponderación, permiten establecer el orden de elegibilidad y, por ende, la propuesta ganadora. […]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w:t>
      </w:r>
    </w:p>
    <w:p w14:paraId="7D09DE92" w14:textId="27DE4E5B" w:rsidR="00AE36C6" w:rsidRPr="00243B75" w:rsidRDefault="00AE36C6" w:rsidP="00AE36C6">
      <w:pPr>
        <w:spacing w:after="120" w:line="276" w:lineRule="auto"/>
        <w:jc w:val="both"/>
        <w:rPr>
          <w:rFonts w:ascii="Arial" w:eastAsia="Calibri" w:hAnsi="Arial" w:cs="Arial"/>
          <w:color w:val="000000" w:themeColor="text1"/>
          <w:sz w:val="20"/>
          <w:szCs w:val="20"/>
        </w:rPr>
      </w:pPr>
      <w:r w:rsidRPr="00075CB7">
        <w:rPr>
          <w:rFonts w:ascii="Arial" w:hAnsi="Arial" w:cs="Arial"/>
          <w:b/>
          <w:bCs/>
          <w:sz w:val="20"/>
          <w:szCs w:val="20"/>
        </w:rPr>
        <w:t xml:space="preserve">REQUISITOS HABILITANTES </w:t>
      </w:r>
      <w:r w:rsidR="00E548CA" w:rsidRPr="00075CB7">
        <w:rPr>
          <w:rFonts w:ascii="Arial" w:hAnsi="Arial" w:cs="Arial"/>
          <w:b/>
          <w:bCs/>
          <w:sz w:val="20"/>
          <w:szCs w:val="20"/>
        </w:rPr>
        <w:t xml:space="preserve">– </w:t>
      </w:r>
      <w:r w:rsidR="00E548CA">
        <w:rPr>
          <w:rFonts w:ascii="Arial" w:hAnsi="Arial" w:cs="Arial"/>
          <w:b/>
          <w:bCs/>
          <w:color w:val="000000" w:themeColor="text1"/>
          <w:sz w:val="20"/>
          <w:szCs w:val="20"/>
        </w:rPr>
        <w:t>C</w:t>
      </w:r>
      <w:r w:rsidRPr="00075CB7">
        <w:rPr>
          <w:rFonts w:ascii="Arial" w:hAnsi="Arial" w:cs="Arial"/>
          <w:b/>
          <w:bCs/>
          <w:color w:val="000000" w:themeColor="text1"/>
          <w:sz w:val="20"/>
          <w:szCs w:val="20"/>
        </w:rPr>
        <w:t>riterios obligatorios para participar en los procedimientos de selección contractual</w:t>
      </w:r>
    </w:p>
    <w:p w14:paraId="7EAC799A" w14:textId="77777777" w:rsidR="00AE36C6" w:rsidRPr="00243B75" w:rsidRDefault="00AE36C6" w:rsidP="00AE36C6">
      <w:pPr>
        <w:spacing w:after="120" w:line="276" w:lineRule="auto"/>
        <w:jc w:val="both"/>
        <w:rPr>
          <w:rFonts w:ascii="Arial" w:eastAsia="Calibri" w:hAnsi="Arial" w:cs="Arial"/>
          <w:color w:val="000000" w:themeColor="text1"/>
          <w:sz w:val="20"/>
          <w:szCs w:val="20"/>
        </w:rPr>
      </w:pPr>
      <w:r w:rsidRPr="00075CB7">
        <w:rPr>
          <w:rFonts w:ascii="Arial" w:eastAsia="Calibri" w:hAnsi="Arial" w:cs="Arial"/>
          <w:color w:val="000000" w:themeColor="text1"/>
          <w:sz w:val="20"/>
          <w:szCs w:val="20"/>
        </w:rPr>
        <w:t xml:space="preserve">Específicamente, el numeral 1º del artículo referido establece que en los procesos de selección de contratistas serán objeto de verificación, como requisitos habilitantes, </w:t>
      </w:r>
      <w:r w:rsidRPr="00075CB7">
        <w:rPr>
          <w:rFonts w:ascii="Arial" w:eastAsia="Calibri" w:hAnsi="Arial" w:cs="Arial"/>
          <w:i/>
          <w:iCs/>
          <w:color w:val="000000" w:themeColor="text1"/>
          <w:sz w:val="20"/>
          <w:szCs w:val="20"/>
        </w:rPr>
        <w:t>entre otros</w:t>
      </w:r>
      <w:r w:rsidRPr="00075CB7">
        <w:rPr>
          <w:rFonts w:ascii="Arial" w:eastAsia="Calibri" w:hAnsi="Arial" w:cs="Arial"/>
          <w:color w:val="000000" w:themeColor="text1"/>
          <w:sz w:val="20"/>
          <w:szCs w:val="20"/>
        </w:rPr>
        <w:t xml:space="preserve">, los siguientes: i) la capacidad jurídica; </w:t>
      </w:r>
      <w:proofErr w:type="spellStart"/>
      <w:r w:rsidRPr="00075CB7">
        <w:rPr>
          <w:rFonts w:ascii="Arial" w:eastAsia="Calibri" w:hAnsi="Arial" w:cs="Arial"/>
          <w:color w:val="000000" w:themeColor="text1"/>
          <w:sz w:val="20"/>
          <w:szCs w:val="20"/>
        </w:rPr>
        <w:t>ii</w:t>
      </w:r>
      <w:proofErr w:type="spellEnd"/>
      <w:r w:rsidRPr="00075CB7">
        <w:rPr>
          <w:rFonts w:ascii="Arial" w:eastAsia="Calibri" w:hAnsi="Arial" w:cs="Arial"/>
          <w:color w:val="000000" w:themeColor="text1"/>
          <w:sz w:val="20"/>
          <w:szCs w:val="20"/>
        </w:rPr>
        <w:t xml:space="preserve">) la experiencia; </w:t>
      </w:r>
      <w:proofErr w:type="spellStart"/>
      <w:r w:rsidRPr="00075CB7">
        <w:rPr>
          <w:rFonts w:ascii="Arial" w:eastAsia="Calibri" w:hAnsi="Arial" w:cs="Arial"/>
          <w:color w:val="000000" w:themeColor="text1"/>
          <w:sz w:val="20"/>
          <w:szCs w:val="20"/>
        </w:rPr>
        <w:t>iii</w:t>
      </w:r>
      <w:proofErr w:type="spellEnd"/>
      <w:r w:rsidRPr="00075CB7">
        <w:rPr>
          <w:rFonts w:ascii="Arial" w:eastAsia="Calibri" w:hAnsi="Arial" w:cs="Arial"/>
          <w:color w:val="000000" w:themeColor="text1"/>
          <w:sz w:val="20"/>
          <w:szCs w:val="20"/>
        </w:rPr>
        <w:t xml:space="preserve">) la capacidad financiera y </w:t>
      </w:r>
      <w:proofErr w:type="spellStart"/>
      <w:r w:rsidRPr="00075CB7">
        <w:rPr>
          <w:rFonts w:ascii="Arial" w:eastAsia="Calibri" w:hAnsi="Arial" w:cs="Arial"/>
          <w:color w:val="000000" w:themeColor="text1"/>
          <w:sz w:val="20"/>
          <w:szCs w:val="20"/>
        </w:rPr>
        <w:t>iv</w:t>
      </w:r>
      <w:proofErr w:type="spellEnd"/>
      <w:r w:rsidRPr="00075CB7">
        <w:rPr>
          <w:rFonts w:ascii="Arial" w:eastAsia="Calibri" w:hAnsi="Arial" w:cs="Arial"/>
          <w:color w:val="000000" w:themeColor="text1"/>
          <w:sz w:val="20"/>
          <w:szCs w:val="20"/>
        </w:rPr>
        <w:t xml:space="preserve">) la capacidad de organización. […] </w:t>
      </w:r>
      <w:r w:rsidRPr="00075CB7">
        <w:rPr>
          <w:rFonts w:ascii="Arial" w:hAnsi="Arial" w:cs="Arial"/>
          <w:color w:val="000000" w:themeColor="text1"/>
          <w:sz w:val="20"/>
          <w:szCs w:val="20"/>
        </w:rPr>
        <w:t xml:space="preserve">Una vez fijados los requisitos habilitantes por la entidad estatal, quienes presenten ofertas deben </w:t>
      </w:r>
      <w:r w:rsidRPr="00075CB7">
        <w:rPr>
          <w:rFonts w:ascii="Arial" w:hAnsi="Arial" w:cs="Arial"/>
          <w:bCs/>
          <w:i/>
          <w:iCs/>
          <w:color w:val="000000" w:themeColor="text1"/>
          <w:sz w:val="20"/>
          <w:szCs w:val="20"/>
        </w:rPr>
        <w:t>acreditar</w:t>
      </w:r>
      <w:r w:rsidRPr="00075CB7">
        <w:rPr>
          <w:rFonts w:ascii="Arial" w:hAnsi="Arial" w:cs="Arial"/>
          <w:color w:val="000000" w:themeColor="text1"/>
          <w:sz w:val="20"/>
          <w:szCs w:val="20"/>
        </w:rPr>
        <w:t xml:space="preserve"> que cumplen con los mismos, pues, en el evento contrario, las propuestas deberán ser rechazadas. </w:t>
      </w:r>
      <w:r w:rsidRPr="00075CB7">
        <w:rPr>
          <w:rFonts w:ascii="Arial" w:eastAsia="Calibri" w:hAnsi="Arial" w:cs="Arial"/>
          <w:color w:val="000000" w:themeColor="text1"/>
          <w:sz w:val="20"/>
          <w:szCs w:val="20"/>
        </w:rPr>
        <w:t xml:space="preserve">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 </w:t>
      </w:r>
    </w:p>
    <w:p w14:paraId="39C1FECF" w14:textId="77777777" w:rsidR="00AE36C6" w:rsidRPr="00243B75" w:rsidRDefault="00AE36C6" w:rsidP="00AE36C6">
      <w:pPr>
        <w:rPr>
          <w:rFonts w:ascii="Arial" w:hAnsi="Arial" w:cs="Arial"/>
          <w:b/>
          <w:bCs/>
          <w:sz w:val="20"/>
          <w:szCs w:val="20"/>
        </w:rPr>
      </w:pPr>
      <w:r w:rsidRPr="00BA515C">
        <w:rPr>
          <w:rFonts w:ascii="Arial" w:hAnsi="Arial" w:cs="Arial"/>
          <w:b/>
          <w:bCs/>
          <w:sz w:val="20"/>
          <w:szCs w:val="20"/>
        </w:rPr>
        <w:t xml:space="preserve">REQUISITOS HABILITANTES – Carácter enunciativo </w:t>
      </w:r>
    </w:p>
    <w:p w14:paraId="62591A66" w14:textId="77777777" w:rsidR="00AE36C6" w:rsidRPr="00075CB7" w:rsidRDefault="00AE36C6" w:rsidP="00AE36C6">
      <w:pPr>
        <w:jc w:val="both"/>
        <w:rPr>
          <w:rFonts w:ascii="Arial" w:hAnsi="Arial" w:cs="Arial"/>
          <w:color w:val="000000" w:themeColor="text1"/>
          <w:sz w:val="20"/>
          <w:szCs w:val="20"/>
        </w:rPr>
      </w:pPr>
      <w:r w:rsidRPr="00075CB7">
        <w:rPr>
          <w:rFonts w:ascii="Arial" w:hAnsi="Arial" w:cs="Arial"/>
          <w:color w:val="000000" w:themeColor="text1"/>
          <w:sz w:val="20"/>
          <w:szCs w:val="20"/>
        </w:rPr>
        <w:t>[c]</w:t>
      </w:r>
      <w:proofErr w:type="spellStart"/>
      <w:r w:rsidRPr="00075CB7">
        <w:rPr>
          <w:rFonts w:ascii="Arial" w:hAnsi="Arial" w:cs="Arial"/>
          <w:color w:val="000000" w:themeColor="text1"/>
          <w:sz w:val="20"/>
          <w:szCs w:val="20"/>
        </w:rPr>
        <w:t>orresponde</w:t>
      </w:r>
      <w:proofErr w:type="spellEnd"/>
      <w:r w:rsidRPr="00075CB7">
        <w:rPr>
          <w:rFonts w:ascii="Arial" w:hAnsi="Arial" w:cs="Arial"/>
          <w:color w:val="000000" w:themeColor="text1"/>
          <w:sz w:val="20"/>
          <w:szCs w:val="20"/>
        </w:rPr>
        <w:t xml:space="preserve"> a las entidades estatales, durante la etapa de planeación del contrato estatal, estudiar y </w:t>
      </w:r>
      <w:r w:rsidRPr="00075CB7">
        <w:rPr>
          <w:rFonts w:ascii="Arial" w:hAnsi="Arial" w:cs="Arial"/>
          <w:bCs/>
          <w:iCs/>
          <w:color w:val="000000" w:themeColor="text1"/>
          <w:sz w:val="20"/>
          <w:szCs w:val="20"/>
        </w:rPr>
        <w:t>determinar</w:t>
      </w:r>
      <w:r w:rsidRPr="00075CB7">
        <w:rPr>
          <w:rFonts w:ascii="Arial" w:hAnsi="Arial" w:cs="Arial"/>
          <w:color w:val="000000" w:themeColor="text1"/>
          <w:sz w:val="20"/>
          <w:szCs w:val="20"/>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075CB7">
        <w:rPr>
          <w:rFonts w:ascii="Arial" w:hAnsi="Arial" w:cs="Arial"/>
          <w:i/>
          <w:iCs/>
          <w:color w:val="000000" w:themeColor="text1"/>
          <w:sz w:val="20"/>
          <w:szCs w:val="20"/>
        </w:rPr>
        <w:t>riesgos</w:t>
      </w:r>
      <w:r w:rsidRPr="00075CB7">
        <w:rPr>
          <w:rFonts w:ascii="Arial" w:hAnsi="Arial" w:cs="Arial"/>
          <w:color w:val="000000" w:themeColor="text1"/>
          <w:sz w:val="20"/>
          <w:szCs w:val="20"/>
        </w:rPr>
        <w:t xml:space="preserve"> </w:t>
      </w:r>
      <w:r w:rsidRPr="00075CB7">
        <w:rPr>
          <w:rFonts w:ascii="Arial" w:hAnsi="Arial" w:cs="Arial"/>
          <w:i/>
          <w:iCs/>
          <w:color w:val="000000" w:themeColor="text1"/>
          <w:sz w:val="20"/>
          <w:szCs w:val="20"/>
        </w:rPr>
        <w:t>asociados al contrato</w:t>
      </w:r>
      <w:r w:rsidRPr="00075CB7">
        <w:rPr>
          <w:rFonts w:ascii="Arial" w:hAnsi="Arial" w:cs="Arial"/>
          <w:color w:val="000000" w:themeColor="text1"/>
          <w:sz w:val="20"/>
          <w:szCs w:val="20"/>
        </w:rPr>
        <w:t>,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w:t>
      </w:r>
    </w:p>
    <w:p w14:paraId="0F5694AC" w14:textId="5F8D7CA6" w:rsidR="00AE36C6" w:rsidRPr="00243B75" w:rsidRDefault="00AE36C6" w:rsidP="00AE36C6">
      <w:pPr>
        <w:tabs>
          <w:tab w:val="left" w:pos="0"/>
        </w:tabs>
        <w:spacing w:line="276" w:lineRule="auto"/>
        <w:jc w:val="both"/>
        <w:rPr>
          <w:rFonts w:ascii="Arial" w:eastAsia="Calibri" w:hAnsi="Arial" w:cs="Arial"/>
          <w:b/>
          <w:color w:val="000000" w:themeColor="text1"/>
          <w:sz w:val="20"/>
          <w:szCs w:val="20"/>
        </w:rPr>
      </w:pPr>
      <w:r w:rsidRPr="00075CB7">
        <w:rPr>
          <w:rFonts w:ascii="Arial" w:hAnsi="Arial" w:cs="Arial"/>
          <w:b/>
          <w:bCs/>
          <w:color w:val="000000" w:themeColor="text1"/>
          <w:sz w:val="20"/>
          <w:szCs w:val="20"/>
        </w:rPr>
        <w:t>REQUISITOS HABILITANTES</w:t>
      </w:r>
      <w:r w:rsidRPr="00075CB7">
        <w:rPr>
          <w:rFonts w:ascii="Arial" w:hAnsi="Arial" w:cs="Arial"/>
          <w:color w:val="000000" w:themeColor="text1"/>
          <w:sz w:val="20"/>
          <w:szCs w:val="20"/>
        </w:rPr>
        <w:t xml:space="preserve"> </w:t>
      </w:r>
      <w:r w:rsidR="00FB4479" w:rsidRPr="00BA515C">
        <w:rPr>
          <w:rFonts w:ascii="Arial" w:hAnsi="Arial" w:cs="Arial"/>
          <w:b/>
          <w:bCs/>
          <w:sz w:val="20"/>
          <w:szCs w:val="20"/>
        </w:rPr>
        <w:t xml:space="preserve">– </w:t>
      </w:r>
      <w:r w:rsidR="00FB4479">
        <w:rPr>
          <w:rFonts w:ascii="Arial" w:eastAsia="Calibri" w:hAnsi="Arial" w:cs="Arial"/>
          <w:b/>
          <w:color w:val="000000" w:themeColor="text1"/>
          <w:sz w:val="20"/>
          <w:szCs w:val="20"/>
        </w:rPr>
        <w:t>A</w:t>
      </w:r>
      <w:r w:rsidRPr="00075CB7">
        <w:rPr>
          <w:rFonts w:ascii="Arial" w:eastAsia="Calibri" w:hAnsi="Arial" w:cs="Arial"/>
          <w:b/>
          <w:color w:val="000000" w:themeColor="text1"/>
          <w:sz w:val="20"/>
          <w:szCs w:val="20"/>
        </w:rPr>
        <w:t>utonomía de la voluntad de las entidades estatales para establecerlos</w:t>
      </w:r>
    </w:p>
    <w:p w14:paraId="07924741" w14:textId="77777777" w:rsidR="00AE36C6" w:rsidRPr="00E439E5" w:rsidRDefault="00AE36C6" w:rsidP="00AE36C6">
      <w:pPr>
        <w:spacing w:before="120" w:after="120" w:line="276" w:lineRule="auto"/>
        <w:jc w:val="both"/>
        <w:rPr>
          <w:rFonts w:ascii="Arial" w:hAnsi="Arial" w:cs="Arial"/>
          <w:color w:val="000000" w:themeColor="text1"/>
          <w:sz w:val="20"/>
          <w:szCs w:val="20"/>
        </w:rPr>
      </w:pPr>
      <w:r w:rsidRPr="00075CB7">
        <w:rPr>
          <w:rFonts w:ascii="Arial" w:hAnsi="Arial" w:cs="Arial"/>
          <w:color w:val="000000" w:themeColor="text1"/>
          <w:sz w:val="20"/>
          <w:szCs w:val="20"/>
        </w:rPr>
        <w:t xml:space="preserve">El </w:t>
      </w:r>
      <w:r w:rsidRPr="00075CB7">
        <w:rPr>
          <w:rFonts w:ascii="Arial" w:hAnsi="Arial" w:cs="Arial"/>
          <w:i/>
          <w:iCs/>
          <w:color w:val="000000" w:themeColor="text1"/>
          <w:sz w:val="20"/>
          <w:szCs w:val="20"/>
        </w:rPr>
        <w:t>principio de autonomía de la voluntad</w:t>
      </w:r>
      <w:r w:rsidRPr="00075CB7">
        <w:rPr>
          <w:rFonts w:ascii="Arial" w:hAnsi="Arial" w:cs="Arial"/>
          <w:color w:val="000000" w:themeColor="text1"/>
          <w:sz w:val="20"/>
          <w:szCs w:val="20"/>
        </w:rPr>
        <w:t xml:space="preserve">, reconocido en los artículos 13, 32 y 40 de la Ley 80 de 1993 para las entidades sometidas a esta, y en el artículo 1602 del Código Civil, para las exceptuadas de aquella, actúa entonces como el fundamento normativo que otorga a las entidades estatales competencia para que </w:t>
      </w:r>
      <w:r w:rsidRPr="00075CB7">
        <w:rPr>
          <w:rFonts w:ascii="Arial" w:hAnsi="Arial" w:cs="Arial"/>
          <w:color w:val="000000" w:themeColor="text1"/>
          <w:sz w:val="20"/>
          <w:szCs w:val="20"/>
        </w:rPr>
        <w:lastRenderedPageBreak/>
        <w:t>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11C44801" w14:textId="77777777" w:rsidR="00AE36C6" w:rsidRPr="00E439E5" w:rsidRDefault="00AE36C6" w:rsidP="00AE36C6">
      <w:pPr>
        <w:spacing w:line="240" w:lineRule="auto"/>
        <w:rPr>
          <w:rFonts w:ascii="Arial" w:eastAsia="Calibri" w:hAnsi="Arial" w:cs="Arial"/>
          <w:b/>
          <w:color w:val="000000" w:themeColor="text1"/>
          <w:sz w:val="20"/>
          <w:szCs w:val="20"/>
        </w:rPr>
      </w:pPr>
      <w:r w:rsidRPr="00401871">
        <w:rPr>
          <w:rFonts w:ascii="Arial" w:eastAsia="Calibri" w:hAnsi="Arial" w:cs="Arial"/>
          <w:b/>
          <w:color w:val="000000" w:themeColor="text1"/>
          <w:sz w:val="20"/>
          <w:szCs w:val="20"/>
        </w:rPr>
        <w:t>LEY 842 DE 2003</w:t>
      </w:r>
      <w:r w:rsidRPr="00E439E5">
        <w:rPr>
          <w:rFonts w:ascii="Arial" w:eastAsia="Calibri" w:hAnsi="Arial" w:cs="Arial"/>
          <w:b/>
          <w:color w:val="000000" w:themeColor="text1"/>
          <w:sz w:val="20"/>
          <w:szCs w:val="20"/>
        </w:rPr>
        <w:t xml:space="preserve"> – Artículo 17 – Consecuencia jurídica de su inobservancia </w:t>
      </w:r>
    </w:p>
    <w:p w14:paraId="320B1B77" w14:textId="77777777" w:rsidR="00AE36C6" w:rsidRPr="00E439E5" w:rsidRDefault="00AE36C6" w:rsidP="00AE36C6">
      <w:pPr>
        <w:tabs>
          <w:tab w:val="left" w:pos="709"/>
          <w:tab w:val="left" w:pos="851"/>
        </w:tabs>
        <w:spacing w:after="120" w:line="240" w:lineRule="auto"/>
        <w:jc w:val="both"/>
        <w:rPr>
          <w:rFonts w:ascii="Arial" w:hAnsi="Arial" w:cs="Arial"/>
          <w:color w:val="000000" w:themeColor="text1"/>
          <w:sz w:val="20"/>
          <w:szCs w:val="20"/>
        </w:rPr>
      </w:pPr>
      <w:r w:rsidRPr="00E439E5">
        <w:rPr>
          <w:rFonts w:ascii="Arial" w:eastAsia="Calibri" w:hAnsi="Arial" w:cs="Arial"/>
          <w:color w:val="000000" w:themeColor="text1"/>
          <w:sz w:val="20"/>
          <w:szCs w:val="20"/>
        </w:rPr>
        <w:t xml:space="preserve">El artículo citado establece el deber para las personas jurídicas que se dedican a la actividad de la ingeniería, de </w:t>
      </w:r>
      <w:r w:rsidRPr="00E439E5">
        <w:rPr>
          <w:rFonts w:ascii="Arial" w:hAnsi="Arial" w:cs="Arial"/>
          <w:color w:val="000000" w:themeColor="text1"/>
          <w:sz w:val="20"/>
          <w:szCs w:val="20"/>
        </w:rPr>
        <w:t>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 […] Por el contrario, retomando el artículo 17 analizado, debe tenerse en cuenta que el parágrafo de la disposición citada establece la consecuencia concreta frente al incumplimiento del deber legal establecido en dicho artículo. Nótese que la consecuencia no se relaciona con la imposibilidad de participar en los procedimientos de selección o la exigencia de acreditar su cumplimiento en dichos procedimientos; sino que prescribe una sanción concreta para el representante legal de la sociedad que incumpla el deber establecido en la disposición, al señalarse que «se aplicarán las sanciones previstas para el ejercicio ilegal de la profesión y oficio reglamentado».</w:t>
      </w:r>
    </w:p>
    <w:p w14:paraId="7D54A0D3" w14:textId="77777777" w:rsidR="00833452" w:rsidRDefault="00833452" w:rsidP="00526E9D">
      <w:pPr>
        <w:rPr>
          <w:rFonts w:ascii="Geomanist Light" w:eastAsia="Times New Roman" w:hAnsi="Geomanist Light" w:cs="Arial"/>
          <w:b/>
          <w:bCs/>
          <w:sz w:val="20"/>
          <w:szCs w:val="21"/>
          <w:lang w:eastAsia="es-CO"/>
        </w:rPr>
      </w:pPr>
    </w:p>
    <w:p w14:paraId="71599BC9" w14:textId="77777777" w:rsidR="00AE36C6" w:rsidRDefault="00AE36C6" w:rsidP="00526E9D">
      <w:pPr>
        <w:rPr>
          <w:rFonts w:ascii="Geomanist Light" w:eastAsia="Times New Roman" w:hAnsi="Geomanist Light" w:cs="Arial"/>
          <w:b/>
          <w:bCs/>
          <w:sz w:val="20"/>
          <w:szCs w:val="21"/>
          <w:lang w:eastAsia="es-CO"/>
        </w:rPr>
      </w:pPr>
    </w:p>
    <w:p w14:paraId="41F2E118" w14:textId="77777777" w:rsidR="00AE36C6" w:rsidRDefault="00AE36C6" w:rsidP="00526E9D">
      <w:pPr>
        <w:rPr>
          <w:rFonts w:ascii="Geomanist Light" w:eastAsia="Times New Roman" w:hAnsi="Geomanist Light" w:cs="Arial"/>
          <w:b/>
          <w:bCs/>
          <w:sz w:val="20"/>
          <w:szCs w:val="21"/>
          <w:lang w:eastAsia="es-CO"/>
        </w:rPr>
      </w:pPr>
    </w:p>
    <w:p w14:paraId="3FB016C0" w14:textId="77777777" w:rsidR="00AE36C6" w:rsidRDefault="00AE36C6" w:rsidP="00526E9D">
      <w:pPr>
        <w:rPr>
          <w:rFonts w:ascii="Geomanist Light" w:eastAsia="Times New Roman" w:hAnsi="Geomanist Light" w:cs="Arial"/>
          <w:b/>
          <w:bCs/>
          <w:sz w:val="20"/>
          <w:szCs w:val="21"/>
          <w:lang w:eastAsia="es-CO"/>
        </w:rPr>
      </w:pPr>
    </w:p>
    <w:p w14:paraId="50098FF8" w14:textId="77777777" w:rsidR="00AE36C6" w:rsidRDefault="00AE36C6" w:rsidP="00526E9D">
      <w:pPr>
        <w:rPr>
          <w:rFonts w:ascii="Geomanist Light" w:eastAsia="Times New Roman" w:hAnsi="Geomanist Light" w:cs="Arial"/>
          <w:b/>
          <w:bCs/>
          <w:sz w:val="20"/>
          <w:szCs w:val="21"/>
          <w:lang w:eastAsia="es-CO"/>
        </w:rPr>
      </w:pPr>
    </w:p>
    <w:p w14:paraId="0BE39D47" w14:textId="77777777" w:rsidR="00AE36C6" w:rsidRDefault="00AE36C6" w:rsidP="00526E9D">
      <w:pPr>
        <w:rPr>
          <w:rFonts w:ascii="Geomanist Light" w:eastAsia="Times New Roman" w:hAnsi="Geomanist Light" w:cs="Arial"/>
          <w:b/>
          <w:bCs/>
          <w:sz w:val="20"/>
          <w:szCs w:val="21"/>
          <w:lang w:eastAsia="es-CO"/>
        </w:rPr>
      </w:pPr>
    </w:p>
    <w:p w14:paraId="2474293D" w14:textId="77777777" w:rsidR="00AE36C6" w:rsidRDefault="00AE36C6" w:rsidP="00526E9D">
      <w:pPr>
        <w:rPr>
          <w:rFonts w:ascii="Geomanist Light" w:eastAsia="Times New Roman" w:hAnsi="Geomanist Light" w:cs="Arial"/>
          <w:b/>
          <w:bCs/>
          <w:sz w:val="20"/>
          <w:szCs w:val="21"/>
          <w:lang w:eastAsia="es-CO"/>
        </w:rPr>
      </w:pPr>
    </w:p>
    <w:p w14:paraId="313435D8" w14:textId="77777777" w:rsidR="00AE36C6" w:rsidRDefault="00AE36C6" w:rsidP="00526E9D">
      <w:pPr>
        <w:rPr>
          <w:rFonts w:ascii="Geomanist Light" w:eastAsia="Times New Roman" w:hAnsi="Geomanist Light" w:cs="Arial"/>
          <w:b/>
          <w:bCs/>
          <w:sz w:val="20"/>
          <w:szCs w:val="21"/>
          <w:lang w:eastAsia="es-CO"/>
        </w:rPr>
      </w:pPr>
    </w:p>
    <w:p w14:paraId="26614D5D" w14:textId="77777777" w:rsidR="00AE36C6" w:rsidRPr="00AE36C6" w:rsidRDefault="00AE36C6" w:rsidP="00526E9D">
      <w:pPr>
        <w:rPr>
          <w:rFonts w:ascii="Geomanist Light" w:eastAsia="Times New Roman" w:hAnsi="Geomanist Light" w:cs="Arial"/>
          <w:b/>
          <w:bCs/>
          <w:sz w:val="20"/>
          <w:szCs w:val="21"/>
          <w:lang w:eastAsia="es-CO"/>
        </w:rPr>
      </w:pPr>
    </w:p>
    <w:p w14:paraId="223727E5" w14:textId="77777777" w:rsidR="006A61DF" w:rsidRPr="00BE4F5D" w:rsidRDefault="006A61DF" w:rsidP="006A61DF">
      <w:pPr>
        <w:spacing w:line="276" w:lineRule="auto"/>
        <w:rPr>
          <w:rFonts w:ascii="Arial" w:eastAsia="Calibri" w:hAnsi="Arial" w:cs="Arial"/>
          <w:b/>
          <w:color w:val="000000" w:themeColor="text1"/>
          <w:sz w:val="18"/>
          <w:szCs w:val="18"/>
        </w:rPr>
      </w:pPr>
      <w:bookmarkStart w:id="0" w:name="_Hlk34951122"/>
    </w:p>
    <w:p w14:paraId="2C634AE8" w14:textId="77777777" w:rsidR="00225CE0" w:rsidRPr="00BE4F5D" w:rsidRDefault="00225CE0" w:rsidP="006A61DF">
      <w:pPr>
        <w:spacing w:line="276" w:lineRule="auto"/>
        <w:rPr>
          <w:rFonts w:ascii="Arial" w:eastAsia="Calibri" w:hAnsi="Arial" w:cs="Arial"/>
          <w:color w:val="000000" w:themeColor="text1"/>
          <w:sz w:val="21"/>
          <w:szCs w:val="21"/>
        </w:rPr>
      </w:pPr>
    </w:p>
    <w:p w14:paraId="39023D9B" w14:textId="77777777" w:rsidR="006A61DF" w:rsidRPr="00BE4F5D" w:rsidRDefault="006A61DF" w:rsidP="006A61DF">
      <w:pPr>
        <w:spacing w:after="0" w:line="240" w:lineRule="auto"/>
        <w:contextualSpacing/>
        <w:rPr>
          <w:rFonts w:ascii="Arial" w:eastAsia="Calibri" w:hAnsi="Arial" w:cs="Arial"/>
          <w:color w:val="000000" w:themeColor="text1"/>
          <w:sz w:val="21"/>
          <w:szCs w:val="21"/>
        </w:rPr>
      </w:pPr>
    </w:p>
    <w:p w14:paraId="3BA8ED3F" w14:textId="77777777" w:rsidR="0069789C" w:rsidRDefault="0069789C" w:rsidP="006A61DF">
      <w:pPr>
        <w:spacing w:after="0" w:line="240" w:lineRule="auto"/>
        <w:contextualSpacing/>
        <w:rPr>
          <w:rFonts w:ascii="Arial" w:eastAsia="Calibri" w:hAnsi="Arial" w:cs="Arial"/>
          <w:color w:val="000000" w:themeColor="text1"/>
          <w:sz w:val="21"/>
          <w:szCs w:val="21"/>
        </w:rPr>
      </w:pPr>
    </w:p>
    <w:p w14:paraId="218E171E" w14:textId="18F61D38" w:rsidR="0069789C" w:rsidRDefault="0069789C" w:rsidP="0069789C">
      <w:pPr>
        <w:spacing w:after="0" w:line="240" w:lineRule="auto"/>
        <w:contextualSpacing/>
        <w:jc w:val="right"/>
        <w:rPr>
          <w:rFonts w:ascii="Arial" w:eastAsia="Calibri" w:hAnsi="Arial" w:cs="Arial"/>
          <w:color w:val="000000" w:themeColor="text1"/>
          <w:sz w:val="21"/>
          <w:szCs w:val="21"/>
        </w:rPr>
      </w:pPr>
      <w:r w:rsidRPr="0069789C">
        <w:rPr>
          <w:rFonts w:ascii="Arial" w:eastAsia="Calibri" w:hAnsi="Arial" w:cs="Arial"/>
          <w:noProof/>
          <w:color w:val="000000" w:themeColor="text1"/>
          <w:sz w:val="21"/>
          <w:szCs w:val="21"/>
        </w:rPr>
        <w:drawing>
          <wp:inline distT="0" distB="0" distL="0" distR="0" wp14:anchorId="34CBBAE5" wp14:editId="18889B50">
            <wp:extent cx="3326765" cy="9144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54871" cy="922125"/>
                    </a:xfrm>
                    <a:prstGeom prst="rect">
                      <a:avLst/>
                    </a:prstGeom>
                  </pic:spPr>
                </pic:pic>
              </a:graphicData>
            </a:graphic>
          </wp:inline>
        </w:drawing>
      </w:r>
    </w:p>
    <w:p w14:paraId="684876EA" w14:textId="77777777" w:rsidR="0069789C" w:rsidRDefault="0069789C" w:rsidP="006A61DF">
      <w:pPr>
        <w:spacing w:after="0" w:line="240" w:lineRule="auto"/>
        <w:contextualSpacing/>
        <w:rPr>
          <w:rFonts w:ascii="Arial" w:eastAsia="Calibri" w:hAnsi="Arial" w:cs="Arial"/>
          <w:color w:val="000000" w:themeColor="text1"/>
          <w:sz w:val="21"/>
          <w:szCs w:val="21"/>
        </w:rPr>
      </w:pPr>
    </w:p>
    <w:p w14:paraId="036AD1F7" w14:textId="77777777" w:rsidR="0069789C" w:rsidRDefault="0069789C" w:rsidP="006A61DF">
      <w:pPr>
        <w:spacing w:after="0" w:line="240" w:lineRule="auto"/>
        <w:contextualSpacing/>
        <w:rPr>
          <w:rFonts w:ascii="Arial" w:eastAsia="Calibri" w:hAnsi="Arial" w:cs="Arial"/>
          <w:color w:val="000000" w:themeColor="text1"/>
          <w:sz w:val="21"/>
          <w:szCs w:val="21"/>
        </w:rPr>
      </w:pPr>
    </w:p>
    <w:p w14:paraId="3D609BD3" w14:textId="77777777" w:rsidR="0069789C" w:rsidRDefault="0069789C" w:rsidP="006A61DF">
      <w:pPr>
        <w:spacing w:after="0" w:line="240" w:lineRule="auto"/>
        <w:contextualSpacing/>
        <w:rPr>
          <w:rFonts w:ascii="Arial" w:eastAsia="Calibri" w:hAnsi="Arial" w:cs="Arial"/>
          <w:color w:val="000000" w:themeColor="text1"/>
          <w:sz w:val="21"/>
          <w:szCs w:val="21"/>
        </w:rPr>
      </w:pPr>
    </w:p>
    <w:p w14:paraId="26022CBD" w14:textId="15E03EE8" w:rsidR="006A61DF" w:rsidRPr="00BE4F5D" w:rsidRDefault="006A61DF" w:rsidP="006A61DF">
      <w:pPr>
        <w:spacing w:after="0" w:line="240" w:lineRule="auto"/>
        <w:contextualSpacing/>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 xml:space="preserve">Bogotá D.C., </w:t>
      </w:r>
      <w:r w:rsidR="000F641F">
        <w:rPr>
          <w:rFonts w:ascii="Arial" w:eastAsia="Calibri" w:hAnsi="Arial" w:cs="Arial"/>
          <w:color w:val="000000" w:themeColor="text1"/>
          <w:sz w:val="21"/>
          <w:szCs w:val="21"/>
        </w:rPr>
        <w:t>19 de diciembre de 2022</w:t>
      </w:r>
    </w:p>
    <w:p w14:paraId="3C7B28CD" w14:textId="77777777" w:rsidR="006A61DF" w:rsidRPr="00BE4F5D" w:rsidRDefault="006A61DF" w:rsidP="006A61DF">
      <w:pPr>
        <w:spacing w:after="0" w:line="240" w:lineRule="auto"/>
        <w:contextualSpacing/>
        <w:rPr>
          <w:rFonts w:ascii="Arial" w:eastAsia="Calibri" w:hAnsi="Arial" w:cs="Arial"/>
          <w:color w:val="000000" w:themeColor="text1"/>
          <w:sz w:val="21"/>
          <w:szCs w:val="21"/>
        </w:rPr>
      </w:pPr>
    </w:p>
    <w:p w14:paraId="78AF3CAC" w14:textId="77777777" w:rsidR="006A61DF" w:rsidRPr="00BE4F5D" w:rsidRDefault="006A61DF" w:rsidP="006A61DF">
      <w:pPr>
        <w:spacing w:after="0" w:line="240" w:lineRule="auto"/>
        <w:contextualSpacing/>
        <w:rPr>
          <w:rFonts w:ascii="Arial" w:eastAsia="Calibri" w:hAnsi="Arial" w:cs="Arial"/>
          <w:color w:val="000000" w:themeColor="text1"/>
          <w:sz w:val="21"/>
          <w:szCs w:val="21"/>
        </w:rPr>
      </w:pPr>
    </w:p>
    <w:p w14:paraId="75B77F21" w14:textId="77777777" w:rsidR="006A61DF" w:rsidRPr="00BE4F5D" w:rsidRDefault="006A61DF" w:rsidP="006A61DF">
      <w:pPr>
        <w:spacing w:after="0" w:line="240" w:lineRule="auto"/>
        <w:contextualSpacing/>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Señora</w:t>
      </w:r>
    </w:p>
    <w:p w14:paraId="1B94FD84" w14:textId="77777777" w:rsidR="006A61DF" w:rsidRPr="00BE4F5D" w:rsidRDefault="006A61DF" w:rsidP="006A61DF">
      <w:pPr>
        <w:spacing w:after="0" w:line="240" w:lineRule="auto"/>
        <w:contextualSpacing/>
        <w:rPr>
          <w:rFonts w:ascii="Arial" w:eastAsia="Calibri" w:hAnsi="Arial" w:cs="Arial"/>
          <w:b/>
          <w:color w:val="000000" w:themeColor="text1"/>
          <w:sz w:val="21"/>
          <w:szCs w:val="21"/>
        </w:rPr>
      </w:pPr>
      <w:r w:rsidRPr="3182D37E">
        <w:rPr>
          <w:rFonts w:ascii="Arial" w:eastAsia="Calibri" w:hAnsi="Arial" w:cs="Arial"/>
          <w:b/>
          <w:color w:val="000000" w:themeColor="text1"/>
          <w:sz w:val="21"/>
          <w:szCs w:val="21"/>
        </w:rPr>
        <w:t xml:space="preserve">Camila Andrea Monroy Rodríguez </w:t>
      </w:r>
    </w:p>
    <w:p w14:paraId="3DCE736A" w14:textId="77777777" w:rsidR="006A61DF" w:rsidRPr="00BE4F5D" w:rsidRDefault="00EB5F72" w:rsidP="006A61DF">
      <w:pPr>
        <w:spacing w:after="0" w:line="240" w:lineRule="auto"/>
        <w:contextualSpacing/>
        <w:rPr>
          <w:rFonts w:ascii="Arial" w:eastAsia="Calibri" w:hAnsi="Arial" w:cs="Arial"/>
          <w:color w:val="000000" w:themeColor="text1"/>
          <w:sz w:val="21"/>
          <w:szCs w:val="21"/>
        </w:rPr>
      </w:pPr>
      <w:hyperlink r:id="rId12" w:history="1">
        <w:r w:rsidR="006A61DF" w:rsidRPr="00BE4F5D">
          <w:rPr>
            <w:rStyle w:val="Hipervnculo"/>
            <w:rFonts w:ascii="Arial" w:eastAsia="Calibri" w:hAnsi="Arial" w:cs="Arial"/>
            <w:color w:val="000000" w:themeColor="text1"/>
            <w:sz w:val="21"/>
            <w:szCs w:val="21"/>
          </w:rPr>
          <w:t>cam-015@hotmail.com</w:t>
        </w:r>
      </w:hyperlink>
      <w:r w:rsidR="006A61DF" w:rsidRPr="00BE4F5D">
        <w:rPr>
          <w:rFonts w:ascii="Arial" w:eastAsia="Calibri" w:hAnsi="Arial" w:cs="Arial"/>
          <w:color w:val="000000" w:themeColor="text1"/>
          <w:sz w:val="21"/>
          <w:szCs w:val="21"/>
        </w:rPr>
        <w:t xml:space="preserve"> </w:t>
      </w:r>
    </w:p>
    <w:p w14:paraId="342E87C5" w14:textId="77777777" w:rsidR="006A61DF" w:rsidRPr="00BE4F5D" w:rsidRDefault="006A61DF" w:rsidP="006A61DF">
      <w:pPr>
        <w:spacing w:after="0" w:line="240" w:lineRule="auto"/>
        <w:contextualSpacing/>
        <w:rPr>
          <w:rFonts w:ascii="Arial" w:eastAsia="Calibri" w:hAnsi="Arial" w:cs="Arial"/>
          <w:b/>
          <w:color w:val="000000" w:themeColor="text1"/>
          <w:sz w:val="21"/>
          <w:szCs w:val="21"/>
        </w:rPr>
      </w:pPr>
    </w:p>
    <w:p w14:paraId="20144170" w14:textId="77777777" w:rsidR="00A9321B" w:rsidRDefault="006A61DF" w:rsidP="006A61DF">
      <w:pPr>
        <w:spacing w:after="0" w:line="240" w:lineRule="auto"/>
        <w:contextualSpacing/>
        <w:rPr>
          <w:rFonts w:ascii="Arial" w:eastAsia="Calibri" w:hAnsi="Arial" w:cs="Arial"/>
          <w:b/>
          <w:color w:val="000000" w:themeColor="text1"/>
          <w:sz w:val="21"/>
          <w:szCs w:val="21"/>
        </w:rPr>
      </w:pPr>
      <w:r w:rsidRPr="00BE4F5D">
        <w:rPr>
          <w:rFonts w:ascii="Arial" w:eastAsia="Calibri" w:hAnsi="Arial" w:cs="Arial"/>
          <w:b/>
          <w:color w:val="000000" w:themeColor="text1"/>
          <w:sz w:val="21"/>
          <w:szCs w:val="21"/>
        </w:rPr>
        <w:t xml:space="preserve">                                      </w:t>
      </w:r>
      <w:r w:rsidR="00A9321B">
        <w:rPr>
          <w:rFonts w:ascii="Arial" w:eastAsia="Calibri" w:hAnsi="Arial" w:cs="Arial"/>
          <w:b/>
          <w:color w:val="000000" w:themeColor="text1"/>
          <w:sz w:val="21"/>
          <w:szCs w:val="21"/>
        </w:rPr>
        <w:t xml:space="preserve">  </w:t>
      </w:r>
    </w:p>
    <w:p w14:paraId="781B575F" w14:textId="4CDCA7AA" w:rsidR="006A61DF" w:rsidRPr="00BE4F5D" w:rsidRDefault="00A9321B" w:rsidP="006A61DF">
      <w:pPr>
        <w:spacing w:after="0" w:line="240" w:lineRule="auto"/>
        <w:contextualSpacing/>
        <w:rPr>
          <w:rFonts w:ascii="Arial" w:eastAsia="Calibri" w:hAnsi="Arial" w:cs="Arial"/>
          <w:b/>
          <w:color w:val="000000" w:themeColor="text1"/>
          <w:sz w:val="21"/>
          <w:szCs w:val="21"/>
        </w:rPr>
      </w:pPr>
      <w:r>
        <w:rPr>
          <w:rFonts w:ascii="Arial" w:eastAsia="Calibri" w:hAnsi="Arial" w:cs="Arial"/>
          <w:b/>
          <w:color w:val="000000" w:themeColor="text1"/>
          <w:sz w:val="21"/>
          <w:szCs w:val="21"/>
        </w:rPr>
        <w:t xml:space="preserve">                 </w:t>
      </w:r>
      <w:r w:rsidR="006A61DF" w:rsidRPr="00BE4F5D">
        <w:rPr>
          <w:rFonts w:ascii="Arial" w:eastAsia="Calibri" w:hAnsi="Arial" w:cs="Arial"/>
          <w:b/>
          <w:color w:val="000000" w:themeColor="text1"/>
          <w:sz w:val="21"/>
          <w:szCs w:val="21"/>
        </w:rPr>
        <w:t xml:space="preserve"> </w:t>
      </w:r>
      <w:r>
        <w:rPr>
          <w:rFonts w:ascii="Arial" w:eastAsia="Calibri" w:hAnsi="Arial" w:cs="Arial"/>
          <w:b/>
          <w:color w:val="000000" w:themeColor="text1"/>
          <w:sz w:val="21"/>
          <w:szCs w:val="21"/>
        </w:rPr>
        <w:t xml:space="preserve">                       </w:t>
      </w:r>
      <w:r w:rsidR="006A61DF" w:rsidRPr="00BE4F5D">
        <w:rPr>
          <w:rFonts w:ascii="Arial" w:eastAsia="Calibri" w:hAnsi="Arial" w:cs="Arial"/>
          <w:b/>
          <w:color w:val="000000" w:themeColor="text1"/>
          <w:sz w:val="21"/>
          <w:szCs w:val="21"/>
        </w:rPr>
        <w:t xml:space="preserve">Concepto C – 868 de 2022 </w:t>
      </w:r>
    </w:p>
    <w:p w14:paraId="4BF3CA4D" w14:textId="77777777" w:rsidR="006A61DF" w:rsidRPr="00BE4F5D" w:rsidRDefault="006A61DF" w:rsidP="006A61DF">
      <w:pPr>
        <w:spacing w:after="0" w:line="240" w:lineRule="auto"/>
        <w:contextualSpacing/>
        <w:rPr>
          <w:rFonts w:ascii="Arial" w:eastAsia="Calibri" w:hAnsi="Arial" w:cs="Arial"/>
          <w:b/>
          <w:color w:val="000000" w:themeColor="text1"/>
          <w:sz w:val="21"/>
          <w:szCs w:val="21"/>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6A61DF" w:rsidRPr="00BE4F5D" w14:paraId="3666452C" w14:textId="77777777" w:rsidTr="002A31BA">
        <w:trPr>
          <w:trHeight w:val="823"/>
        </w:trPr>
        <w:tc>
          <w:tcPr>
            <w:tcW w:w="2410" w:type="dxa"/>
          </w:tcPr>
          <w:p w14:paraId="62A4D04D" w14:textId="77777777" w:rsidR="006A61DF" w:rsidRPr="00BE4F5D" w:rsidRDefault="006A61DF" w:rsidP="002A31BA">
            <w:pPr>
              <w:contextualSpacing/>
              <w:rPr>
                <w:rFonts w:ascii="Arial" w:eastAsia="Calibri" w:hAnsi="Arial" w:cs="Arial"/>
                <w:color w:val="000000" w:themeColor="text1"/>
                <w:sz w:val="21"/>
                <w:szCs w:val="21"/>
              </w:rPr>
            </w:pPr>
            <w:r w:rsidRPr="00BE4F5D">
              <w:rPr>
                <w:rFonts w:ascii="Arial" w:eastAsia="Calibri" w:hAnsi="Arial" w:cs="Arial"/>
                <w:b/>
                <w:color w:val="000000" w:themeColor="text1"/>
                <w:sz w:val="21"/>
                <w:szCs w:val="21"/>
              </w:rPr>
              <w:t>Temas:</w:t>
            </w:r>
            <w:r w:rsidRPr="00BE4F5D">
              <w:rPr>
                <w:rFonts w:ascii="Arial" w:eastAsia="Calibri" w:hAnsi="Arial" w:cs="Arial"/>
                <w:color w:val="000000" w:themeColor="text1"/>
                <w:sz w:val="21"/>
                <w:szCs w:val="21"/>
              </w:rPr>
              <w:t xml:space="preserve">                                     </w:t>
            </w:r>
          </w:p>
        </w:tc>
        <w:tc>
          <w:tcPr>
            <w:tcW w:w="6516" w:type="dxa"/>
          </w:tcPr>
          <w:p w14:paraId="67D7FC20" w14:textId="77777777" w:rsidR="006A61DF" w:rsidRPr="00BE4F5D" w:rsidRDefault="006A61DF" w:rsidP="002A31BA">
            <w:pPr>
              <w:jc w:val="both"/>
              <w:rPr>
                <w:rFonts w:ascii="Arial" w:hAnsi="Arial" w:cs="Arial"/>
                <w:sz w:val="21"/>
                <w:szCs w:val="21"/>
              </w:rPr>
            </w:pPr>
            <w:r w:rsidRPr="00BE4F5D">
              <w:rPr>
                <w:rFonts w:ascii="Arial" w:hAnsi="Arial" w:cs="Arial"/>
                <w:sz w:val="21"/>
                <w:szCs w:val="21"/>
              </w:rPr>
              <w:t xml:space="preserve">REQUISITOS HABILITANTES – Definición – Diferencia con los criterios de evaluación / REQUISITOS HABILITANTES - </w:t>
            </w:r>
            <w:r w:rsidRPr="00BE4F5D">
              <w:rPr>
                <w:rFonts w:ascii="Arial" w:hAnsi="Arial" w:cs="Arial"/>
                <w:color w:val="000000" w:themeColor="text1"/>
                <w:sz w:val="21"/>
                <w:szCs w:val="21"/>
              </w:rPr>
              <w:t>criterios obligatorios para participar en los procedimientos de selección contractual</w:t>
            </w:r>
            <w:r w:rsidRPr="00BE4F5D">
              <w:rPr>
                <w:rFonts w:ascii="Arial" w:hAnsi="Arial" w:cs="Arial"/>
                <w:sz w:val="21"/>
                <w:szCs w:val="21"/>
              </w:rPr>
              <w:t xml:space="preserve"> / REQUISITOS HABILITANTES – Carácter enunciativo / </w:t>
            </w:r>
            <w:r w:rsidRPr="3182D37E">
              <w:rPr>
                <w:rFonts w:ascii="Arial" w:hAnsi="Arial" w:cs="Arial"/>
                <w:sz w:val="21"/>
                <w:szCs w:val="21"/>
              </w:rPr>
              <w:t xml:space="preserve">REQUISITOS HABILITANTES - autonomía de la voluntad de las entidades estatales para establecerlos / LEY 842 DE 2003 – Artículo 17 – Consecuencia jurídica de su inobservancia </w:t>
            </w:r>
          </w:p>
          <w:p w14:paraId="63F055E1" w14:textId="77777777" w:rsidR="006A61DF" w:rsidRPr="00BE4F5D" w:rsidRDefault="006A61DF" w:rsidP="002A31BA">
            <w:pPr>
              <w:spacing w:line="276" w:lineRule="auto"/>
              <w:jc w:val="both"/>
              <w:rPr>
                <w:rFonts w:ascii="Arial" w:hAnsi="Arial" w:cs="Arial"/>
                <w:sz w:val="21"/>
                <w:szCs w:val="21"/>
              </w:rPr>
            </w:pPr>
          </w:p>
          <w:p w14:paraId="161B750E" w14:textId="77777777" w:rsidR="006A61DF" w:rsidRPr="00BE4F5D" w:rsidRDefault="006A61DF" w:rsidP="002A31BA">
            <w:pPr>
              <w:contextualSpacing/>
              <w:jc w:val="both"/>
              <w:rPr>
                <w:rFonts w:ascii="Arial" w:hAnsi="Arial" w:cs="Arial"/>
                <w:bCs/>
                <w:color w:val="000000" w:themeColor="text1"/>
                <w:sz w:val="21"/>
                <w:szCs w:val="21"/>
              </w:rPr>
            </w:pPr>
          </w:p>
        </w:tc>
      </w:tr>
      <w:tr w:rsidR="006A61DF" w:rsidRPr="00BE4F5D" w14:paraId="0F1228B5" w14:textId="77777777" w:rsidTr="002A31BA">
        <w:tc>
          <w:tcPr>
            <w:tcW w:w="2410" w:type="dxa"/>
          </w:tcPr>
          <w:p w14:paraId="0C786D79" w14:textId="77777777" w:rsidR="006A61DF" w:rsidRPr="00BE4F5D" w:rsidRDefault="006A61DF" w:rsidP="002A31BA">
            <w:pPr>
              <w:contextualSpacing/>
              <w:rPr>
                <w:rFonts w:ascii="Arial" w:eastAsia="Calibri" w:hAnsi="Arial" w:cs="Arial"/>
                <w:color w:val="000000" w:themeColor="text1"/>
                <w:sz w:val="21"/>
                <w:szCs w:val="21"/>
              </w:rPr>
            </w:pPr>
            <w:r w:rsidRPr="00BE4F5D">
              <w:rPr>
                <w:rFonts w:ascii="Arial" w:eastAsia="Calibri" w:hAnsi="Arial" w:cs="Arial"/>
                <w:b/>
                <w:color w:val="000000" w:themeColor="text1"/>
                <w:sz w:val="21"/>
                <w:szCs w:val="21"/>
              </w:rPr>
              <w:t>Radicación:</w:t>
            </w:r>
            <w:r w:rsidRPr="00BE4F5D">
              <w:rPr>
                <w:rFonts w:ascii="Arial" w:eastAsia="Calibri" w:hAnsi="Arial" w:cs="Arial"/>
                <w:color w:val="000000" w:themeColor="text1"/>
                <w:sz w:val="21"/>
                <w:szCs w:val="21"/>
              </w:rPr>
              <w:t xml:space="preserve">                              </w:t>
            </w:r>
          </w:p>
        </w:tc>
        <w:tc>
          <w:tcPr>
            <w:tcW w:w="6516" w:type="dxa"/>
          </w:tcPr>
          <w:p w14:paraId="030C6F30" w14:textId="77777777" w:rsidR="006A61DF" w:rsidRPr="00BE4F5D" w:rsidRDefault="006A61DF" w:rsidP="002A31BA">
            <w:pPr>
              <w:contextualSpacing/>
              <w:jc w:val="both"/>
              <w:rPr>
                <w:rFonts w:ascii="Arial" w:hAnsi="Arial" w:cs="Arial"/>
                <w:color w:val="000000" w:themeColor="text1"/>
                <w:sz w:val="21"/>
                <w:szCs w:val="21"/>
              </w:rPr>
            </w:pPr>
            <w:r w:rsidRPr="00BE4F5D">
              <w:rPr>
                <w:rFonts w:ascii="Arial" w:eastAsia="Calibri" w:hAnsi="Arial" w:cs="Arial"/>
                <w:color w:val="000000" w:themeColor="text1"/>
                <w:sz w:val="21"/>
                <w:szCs w:val="21"/>
              </w:rPr>
              <w:t>Respuesta a la consulta P20221103011099</w:t>
            </w:r>
          </w:p>
        </w:tc>
      </w:tr>
    </w:tbl>
    <w:p w14:paraId="46B057EF" w14:textId="77777777" w:rsidR="006A61DF" w:rsidRPr="00BE4F5D" w:rsidRDefault="006A61DF" w:rsidP="006A61DF">
      <w:pPr>
        <w:spacing w:after="0" w:line="276" w:lineRule="auto"/>
        <w:contextualSpacing/>
        <w:rPr>
          <w:rFonts w:ascii="Arial" w:eastAsia="Calibri" w:hAnsi="Arial" w:cs="Arial"/>
          <w:color w:val="000000" w:themeColor="text1"/>
          <w:sz w:val="21"/>
          <w:szCs w:val="21"/>
        </w:rPr>
      </w:pPr>
    </w:p>
    <w:p w14:paraId="762A54CC" w14:textId="77777777" w:rsidR="006A61DF" w:rsidRPr="00BE4F5D" w:rsidRDefault="006A61DF" w:rsidP="006A61DF">
      <w:pPr>
        <w:spacing w:after="0" w:line="276" w:lineRule="auto"/>
        <w:contextualSpacing/>
        <w:rPr>
          <w:rFonts w:ascii="Arial" w:eastAsia="Calibri" w:hAnsi="Arial" w:cs="Arial"/>
          <w:color w:val="000000" w:themeColor="text1"/>
          <w:sz w:val="21"/>
          <w:szCs w:val="21"/>
        </w:rPr>
      </w:pPr>
    </w:p>
    <w:p w14:paraId="5104024E" w14:textId="7F920639" w:rsidR="006A61DF" w:rsidRPr="00BE4F5D" w:rsidRDefault="006A61DF" w:rsidP="006A61DF">
      <w:pPr>
        <w:tabs>
          <w:tab w:val="left" w:pos="3736"/>
        </w:tabs>
        <w:spacing w:after="0" w:line="276" w:lineRule="auto"/>
        <w:contextualSpacing/>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Estimad</w:t>
      </w:r>
      <w:r w:rsidR="00CB1BCA">
        <w:rPr>
          <w:rFonts w:ascii="Arial" w:eastAsia="Calibri" w:hAnsi="Arial" w:cs="Arial"/>
          <w:color w:val="000000" w:themeColor="text1"/>
          <w:sz w:val="21"/>
          <w:szCs w:val="21"/>
        </w:rPr>
        <w:t>a</w:t>
      </w:r>
      <w:r w:rsidRPr="00BE4F5D">
        <w:rPr>
          <w:rFonts w:ascii="Arial" w:eastAsia="Calibri" w:hAnsi="Arial" w:cs="Arial"/>
          <w:color w:val="000000" w:themeColor="text1"/>
          <w:sz w:val="21"/>
          <w:szCs w:val="21"/>
        </w:rPr>
        <w:t xml:space="preserve"> señor</w:t>
      </w:r>
      <w:r w:rsidR="00A9321B">
        <w:rPr>
          <w:rFonts w:ascii="Arial" w:eastAsia="Calibri" w:hAnsi="Arial" w:cs="Arial"/>
          <w:color w:val="000000" w:themeColor="text1"/>
          <w:sz w:val="21"/>
          <w:szCs w:val="21"/>
        </w:rPr>
        <w:t>a Monroy</w:t>
      </w:r>
      <w:r w:rsidRPr="00BE4F5D">
        <w:rPr>
          <w:rFonts w:ascii="Arial" w:eastAsia="Calibri" w:hAnsi="Arial" w:cs="Arial"/>
          <w:color w:val="000000" w:themeColor="text1"/>
          <w:sz w:val="21"/>
          <w:szCs w:val="21"/>
        </w:rPr>
        <w:t>:</w:t>
      </w:r>
    </w:p>
    <w:p w14:paraId="21D94F44" w14:textId="77777777" w:rsidR="006A61DF" w:rsidRPr="00BE4F5D" w:rsidRDefault="006A61DF" w:rsidP="006A61DF">
      <w:pPr>
        <w:tabs>
          <w:tab w:val="left" w:pos="3736"/>
        </w:tabs>
        <w:spacing w:after="0" w:line="276" w:lineRule="auto"/>
        <w:contextualSpacing/>
        <w:rPr>
          <w:rFonts w:ascii="Arial" w:eastAsia="Calibri" w:hAnsi="Arial" w:cs="Arial"/>
          <w:color w:val="000000" w:themeColor="text1"/>
          <w:sz w:val="21"/>
          <w:szCs w:val="21"/>
        </w:rPr>
      </w:pPr>
    </w:p>
    <w:p w14:paraId="28C2B0E2" w14:textId="77777777" w:rsidR="006A61DF" w:rsidRPr="00BE4F5D" w:rsidRDefault="006A61DF" w:rsidP="006A61DF">
      <w:pPr>
        <w:spacing w:after="0" w:line="276" w:lineRule="auto"/>
        <w:contextualSpacing/>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 xml:space="preserve">En ejercicio de la competencia otorgada por el numeral 8 del artículo 11 y el numeral 5 del artículo 3 del Decreto Ley 4170 de 2011, la Agencia Nacional de Contratación Pública – Colombia Compra Eficiente responde su consulta remitida el 2 de noviembre de 2022. </w:t>
      </w:r>
    </w:p>
    <w:p w14:paraId="50088506" w14:textId="77777777" w:rsidR="006A61DF" w:rsidRPr="00BE4F5D" w:rsidRDefault="006A61DF" w:rsidP="006A61DF">
      <w:pPr>
        <w:spacing w:after="0" w:line="276" w:lineRule="auto"/>
        <w:contextualSpacing/>
        <w:jc w:val="both"/>
        <w:rPr>
          <w:rFonts w:ascii="Arial" w:eastAsia="Calibri" w:hAnsi="Arial" w:cs="Arial"/>
          <w:color w:val="000000" w:themeColor="text1"/>
          <w:sz w:val="21"/>
          <w:szCs w:val="21"/>
        </w:rPr>
      </w:pPr>
    </w:p>
    <w:p w14:paraId="71E4167C" w14:textId="77777777" w:rsidR="006A61DF" w:rsidRPr="00BE4F5D" w:rsidRDefault="006A61DF" w:rsidP="006A61DF">
      <w:pPr>
        <w:tabs>
          <w:tab w:val="left" w:pos="0"/>
        </w:tabs>
        <w:spacing w:after="0" w:line="276" w:lineRule="auto"/>
        <w:contextualSpacing/>
        <w:jc w:val="both"/>
        <w:rPr>
          <w:rFonts w:ascii="Arial" w:eastAsia="Calibri" w:hAnsi="Arial" w:cs="Arial"/>
          <w:b/>
          <w:color w:val="000000" w:themeColor="text1"/>
          <w:sz w:val="21"/>
          <w:szCs w:val="21"/>
        </w:rPr>
      </w:pPr>
      <w:r w:rsidRPr="00BE4F5D">
        <w:rPr>
          <w:rFonts w:ascii="Arial" w:eastAsia="Calibri" w:hAnsi="Arial" w:cs="Arial"/>
          <w:b/>
          <w:color w:val="000000" w:themeColor="text1"/>
          <w:sz w:val="21"/>
          <w:szCs w:val="21"/>
        </w:rPr>
        <w:t>1. Problema planteado</w:t>
      </w:r>
    </w:p>
    <w:p w14:paraId="563F950C" w14:textId="77777777" w:rsidR="006A61DF" w:rsidRPr="00BE4F5D" w:rsidRDefault="006A61DF" w:rsidP="006A61DF">
      <w:pPr>
        <w:tabs>
          <w:tab w:val="left" w:pos="0"/>
        </w:tabs>
        <w:spacing w:after="0" w:line="276" w:lineRule="auto"/>
        <w:contextualSpacing/>
        <w:jc w:val="both"/>
        <w:rPr>
          <w:rFonts w:ascii="Arial" w:eastAsia="Calibri" w:hAnsi="Arial" w:cs="Arial"/>
          <w:b/>
          <w:color w:val="000000" w:themeColor="text1"/>
          <w:sz w:val="21"/>
          <w:szCs w:val="21"/>
        </w:rPr>
      </w:pPr>
    </w:p>
    <w:p w14:paraId="6045CCE4" w14:textId="77777777" w:rsidR="006A61DF" w:rsidRPr="00BE4F5D" w:rsidRDefault="006A61DF" w:rsidP="006A61DF">
      <w:pPr>
        <w:pStyle w:val="gmail-msonospacing"/>
        <w:spacing w:before="0" w:beforeAutospacing="0" w:after="0" w:afterAutospacing="0" w:line="276" w:lineRule="auto"/>
        <w:ind w:right="900"/>
        <w:contextualSpacing/>
        <w:jc w:val="both"/>
        <w:rPr>
          <w:rFonts w:ascii="Arial" w:eastAsia="Calibri" w:hAnsi="Arial" w:cs="Arial"/>
          <w:color w:val="000000" w:themeColor="text1"/>
          <w:sz w:val="21"/>
          <w:szCs w:val="21"/>
          <w:lang w:val="es-ES_tradnl"/>
        </w:rPr>
      </w:pPr>
      <w:r w:rsidRPr="00BE4F5D">
        <w:rPr>
          <w:rFonts w:ascii="Arial" w:eastAsia="Calibri" w:hAnsi="Arial" w:cs="Arial"/>
          <w:color w:val="000000" w:themeColor="text1"/>
          <w:sz w:val="21"/>
          <w:szCs w:val="21"/>
          <w:lang w:val="es-ES_tradnl"/>
        </w:rPr>
        <w:t xml:space="preserve">Teniendo en cuenta lo establecido en el artículo 17 de la Ley 814 de 2003 que dice: ARTÍCULO 17. RESPONSABILIDAD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w:t>
      </w:r>
      <w:r w:rsidRPr="00BE4F5D">
        <w:rPr>
          <w:rFonts w:ascii="Arial" w:eastAsia="Calibri" w:hAnsi="Arial" w:cs="Arial"/>
          <w:color w:val="000000" w:themeColor="text1"/>
          <w:sz w:val="21"/>
          <w:szCs w:val="21"/>
          <w:lang w:val="es-ES_tradnl"/>
        </w:rPr>
        <w:lastRenderedPageBreak/>
        <w:t xml:space="preserve">auxiliares, está obligada a incluir en su nómina permanente, como mínimo, a un profesional matriculado en la carrera correspondiente al objeto social de la respectiva persona jurídica. Usted realiza las siguientes preguntas: </w:t>
      </w:r>
    </w:p>
    <w:p w14:paraId="70D2375E" w14:textId="77777777" w:rsidR="006A61DF" w:rsidRPr="00BE4F5D" w:rsidRDefault="006A61DF" w:rsidP="006A61DF">
      <w:pPr>
        <w:pStyle w:val="Default"/>
        <w:rPr>
          <w:color w:val="000000" w:themeColor="text1"/>
          <w:sz w:val="22"/>
          <w:szCs w:val="22"/>
          <w:lang w:val="es-ES_tradnl"/>
        </w:rPr>
      </w:pPr>
      <w:r w:rsidRPr="00BE4F5D">
        <w:rPr>
          <w:color w:val="000000" w:themeColor="text1"/>
          <w:sz w:val="22"/>
          <w:szCs w:val="22"/>
          <w:lang w:val="es-ES_tradnl"/>
        </w:rPr>
        <w:t xml:space="preserve"> </w:t>
      </w:r>
    </w:p>
    <w:p w14:paraId="2397AE80" w14:textId="77777777" w:rsidR="006A61DF" w:rsidRPr="00BE4F5D" w:rsidRDefault="006A61DF" w:rsidP="006A61DF">
      <w:pPr>
        <w:pStyle w:val="Default"/>
        <w:ind w:left="708" w:right="899"/>
        <w:jc w:val="both"/>
        <w:rPr>
          <w:color w:val="000000" w:themeColor="text1"/>
          <w:sz w:val="20"/>
          <w:szCs w:val="20"/>
          <w:lang w:val="es-ES_tradnl"/>
        </w:rPr>
      </w:pPr>
      <w:r w:rsidRPr="00BE4F5D">
        <w:rPr>
          <w:color w:val="000000" w:themeColor="text1"/>
          <w:sz w:val="20"/>
          <w:szCs w:val="20"/>
          <w:lang w:val="es-ES_tradnl"/>
        </w:rPr>
        <w:t xml:space="preserve">«1. Teniendo en cuenta el efecto erga omnes de la mencionada Ley ¿Este requisito (Artículo 17) puede incluirse dentro de los pliegos de condiciones de un concurso de méritos como uno de los requisitos habilitantes? </w:t>
      </w:r>
    </w:p>
    <w:p w14:paraId="7371482A" w14:textId="224DF408" w:rsidR="006A61DF" w:rsidRPr="00BE4F5D" w:rsidRDefault="006A61DF" w:rsidP="006A61DF">
      <w:pPr>
        <w:pStyle w:val="Default"/>
        <w:ind w:left="708" w:right="899"/>
        <w:jc w:val="both"/>
        <w:rPr>
          <w:color w:val="000000" w:themeColor="text1"/>
          <w:sz w:val="20"/>
          <w:szCs w:val="20"/>
          <w:lang w:val="es-ES_tradnl"/>
        </w:rPr>
      </w:pPr>
      <w:r w:rsidRPr="00BE4F5D">
        <w:rPr>
          <w:color w:val="000000" w:themeColor="text1"/>
          <w:sz w:val="20"/>
          <w:szCs w:val="20"/>
          <w:lang w:val="es-ES_tradnl"/>
        </w:rPr>
        <w:t xml:space="preserve">2. Ahora bien, los proponentes que se presentan a las diferentes modalidades de selección en forma individual o conjunta, que realizan actividades de ingeniería total o parcialmente, pero que no demuestres que cuentan con personal en ingeniería dentro de su planta de trabajo o nómina permanente, ¿Tendrían que ser rechazados de los procesos de selección con entidades públicas? Insisto, causal de rechazo que sería consecuencia del efecto erga omnes de la ley. </w:t>
      </w:r>
    </w:p>
    <w:p w14:paraId="5BEA6F1D" w14:textId="77777777" w:rsidR="006A61DF" w:rsidRPr="00BE4F5D" w:rsidRDefault="006A61DF" w:rsidP="006A61DF">
      <w:pPr>
        <w:pStyle w:val="Default"/>
        <w:spacing w:after="26"/>
        <w:ind w:left="708" w:right="899"/>
        <w:jc w:val="both"/>
        <w:rPr>
          <w:color w:val="000000" w:themeColor="text1"/>
          <w:sz w:val="20"/>
          <w:szCs w:val="20"/>
          <w:lang w:val="es-ES_tradnl"/>
        </w:rPr>
      </w:pPr>
      <w:r w:rsidRPr="00BE4F5D">
        <w:rPr>
          <w:color w:val="000000" w:themeColor="text1"/>
          <w:sz w:val="20"/>
          <w:szCs w:val="20"/>
          <w:lang w:val="es-ES_tradnl"/>
        </w:rPr>
        <w:t xml:space="preserve">3. ¿La aplicación de la Ley en comento debe exigirse como requisito jurídico y habilitante desde una entidad estatal para concursos de mérito de proyectos o contratos de consultoría en ingeniería de obras civiles? </w:t>
      </w:r>
    </w:p>
    <w:p w14:paraId="4BB59AA7" w14:textId="77777777" w:rsidR="006A61DF" w:rsidRPr="00BE4F5D" w:rsidRDefault="006A61DF" w:rsidP="006A61DF">
      <w:pPr>
        <w:pStyle w:val="Default"/>
        <w:spacing w:after="26"/>
        <w:ind w:left="708" w:right="899"/>
        <w:jc w:val="both"/>
        <w:rPr>
          <w:color w:val="000000" w:themeColor="text1"/>
          <w:sz w:val="20"/>
          <w:szCs w:val="20"/>
          <w:lang w:val="es-ES_tradnl"/>
        </w:rPr>
      </w:pPr>
      <w:r w:rsidRPr="00BE4F5D">
        <w:rPr>
          <w:color w:val="000000" w:themeColor="text1"/>
          <w:sz w:val="20"/>
          <w:szCs w:val="20"/>
          <w:lang w:val="es-ES_tradnl"/>
        </w:rPr>
        <w:t xml:space="preserve">4. ¿La aplicación de la Ley en comento debe exigirse como requisito jurídico y habilitante desde una entidad estatal para concursos de mérito de proyectos o contratos de Consultoría o interventoría en ingeniería de telecomunicaciones y electrónica? </w:t>
      </w:r>
    </w:p>
    <w:p w14:paraId="10FAE0D2" w14:textId="77777777" w:rsidR="006A61DF" w:rsidRPr="00BE4F5D" w:rsidRDefault="006A61DF" w:rsidP="006A61DF">
      <w:pPr>
        <w:pStyle w:val="Default"/>
        <w:spacing w:after="26"/>
        <w:ind w:left="708" w:right="899"/>
        <w:jc w:val="both"/>
        <w:rPr>
          <w:color w:val="000000" w:themeColor="text1"/>
          <w:sz w:val="20"/>
          <w:szCs w:val="20"/>
          <w:lang w:val="es-ES_tradnl"/>
        </w:rPr>
      </w:pPr>
      <w:r w:rsidRPr="00BE4F5D">
        <w:rPr>
          <w:color w:val="000000" w:themeColor="text1"/>
          <w:sz w:val="20"/>
          <w:szCs w:val="20"/>
          <w:lang w:val="es-ES_tradnl"/>
        </w:rPr>
        <w:t xml:space="preserve">5. ¿La aplicación de la Ley en comento debe exigirse como requisito jurídico y habilitante desde una entidad estatal para concursos de mérito de proyectos o contratos de Consultoría en ingeniería eléctrica (energía convencional y no convencional o alternativa)? </w:t>
      </w:r>
    </w:p>
    <w:p w14:paraId="038F9E34" w14:textId="77777777" w:rsidR="006A61DF" w:rsidRPr="00BE4F5D" w:rsidRDefault="006A61DF" w:rsidP="006A61DF">
      <w:pPr>
        <w:pStyle w:val="Default"/>
        <w:ind w:left="708" w:right="899"/>
        <w:jc w:val="both"/>
        <w:rPr>
          <w:color w:val="000000" w:themeColor="text1"/>
          <w:sz w:val="20"/>
          <w:szCs w:val="20"/>
          <w:lang w:val="es-ES_tradnl"/>
        </w:rPr>
      </w:pPr>
      <w:r w:rsidRPr="00BE4F5D">
        <w:rPr>
          <w:color w:val="000000" w:themeColor="text1"/>
          <w:sz w:val="20"/>
          <w:szCs w:val="20"/>
          <w:lang w:val="es-ES_tradnl"/>
        </w:rPr>
        <w:t>6. ¿La aplicación de la Ley en comento debe exigirse como requisito jurídico y habilitante desde una entidad estatal para concursos de mérito de proyectos o contratos de Consultoría de proyectos de ingeniería de sistemas de información?»</w:t>
      </w:r>
    </w:p>
    <w:p w14:paraId="37B4D010" w14:textId="77777777" w:rsidR="006A61DF" w:rsidRPr="00BE4F5D" w:rsidRDefault="006A61DF" w:rsidP="006A61DF">
      <w:pPr>
        <w:pStyle w:val="gmail-msonospacing"/>
        <w:spacing w:before="0" w:beforeAutospacing="0" w:after="0" w:afterAutospacing="0" w:line="276" w:lineRule="auto"/>
        <w:ind w:right="900"/>
        <w:contextualSpacing/>
        <w:jc w:val="both"/>
        <w:rPr>
          <w:rFonts w:ascii="Arial" w:eastAsia="Calibri" w:hAnsi="Arial" w:cs="Arial"/>
          <w:color w:val="000000" w:themeColor="text1"/>
          <w:sz w:val="21"/>
          <w:szCs w:val="21"/>
          <w:lang w:val="es-ES_tradnl"/>
        </w:rPr>
      </w:pPr>
    </w:p>
    <w:p w14:paraId="2E9EBEDE" w14:textId="77777777" w:rsidR="006A61DF" w:rsidRPr="00BE4F5D" w:rsidRDefault="006A61DF" w:rsidP="006A61DF">
      <w:pPr>
        <w:pStyle w:val="NormalWeb"/>
        <w:spacing w:before="0" w:beforeAutospacing="0" w:after="0" w:afterAutospacing="0" w:line="276" w:lineRule="auto"/>
        <w:ind w:right="51"/>
        <w:contextualSpacing/>
        <w:jc w:val="both"/>
        <w:rPr>
          <w:rFonts w:ascii="Arial" w:eastAsia="Calibri" w:hAnsi="Arial" w:cs="Arial"/>
          <w:b/>
          <w:color w:val="000000" w:themeColor="text1"/>
          <w:sz w:val="21"/>
          <w:szCs w:val="21"/>
        </w:rPr>
      </w:pPr>
      <w:r w:rsidRPr="00BE4F5D">
        <w:rPr>
          <w:rFonts w:ascii="Arial" w:eastAsia="Calibri" w:hAnsi="Arial" w:cs="Arial"/>
          <w:b/>
          <w:color w:val="000000" w:themeColor="text1"/>
          <w:sz w:val="21"/>
          <w:szCs w:val="21"/>
        </w:rPr>
        <w:t>2. Consideraciones</w:t>
      </w:r>
    </w:p>
    <w:p w14:paraId="1B0D2850" w14:textId="77777777" w:rsidR="006A61DF" w:rsidRPr="00BE4F5D" w:rsidRDefault="006A61DF" w:rsidP="006A61DF">
      <w:pPr>
        <w:pStyle w:val="NormalWeb"/>
        <w:spacing w:before="0" w:beforeAutospacing="0" w:after="0" w:afterAutospacing="0" w:line="276" w:lineRule="auto"/>
        <w:ind w:right="51"/>
        <w:contextualSpacing/>
        <w:jc w:val="both"/>
        <w:rPr>
          <w:rFonts w:ascii="Arial" w:eastAsia="Calibri" w:hAnsi="Arial" w:cs="Arial"/>
          <w:b/>
          <w:color w:val="000000" w:themeColor="text1"/>
          <w:sz w:val="21"/>
          <w:szCs w:val="21"/>
        </w:rPr>
      </w:pPr>
    </w:p>
    <w:p w14:paraId="62D03A7C" w14:textId="77777777" w:rsidR="006A61DF" w:rsidRPr="00BE4F5D" w:rsidRDefault="006A61DF" w:rsidP="006A61DF">
      <w:pPr>
        <w:spacing w:after="120" w:line="276" w:lineRule="auto"/>
        <w:jc w:val="both"/>
        <w:rPr>
          <w:rFonts w:ascii="Arial" w:hAnsi="Arial" w:cs="Arial"/>
          <w:color w:val="000000" w:themeColor="text1"/>
          <w:sz w:val="21"/>
          <w:szCs w:val="21"/>
        </w:rPr>
      </w:pPr>
      <w:r w:rsidRPr="00BE4F5D">
        <w:rPr>
          <w:rFonts w:ascii="Arial" w:hAnsi="Arial" w:cs="Arial"/>
          <w:bCs/>
          <w:color w:val="000000" w:themeColor="text1"/>
          <w:sz w:val="21"/>
          <w:szCs w:val="21"/>
        </w:rPr>
        <w:t xml:space="preserve">En ejercicio de las competencias establecidas en el numeral 5° del artículo 3 y el numeral 8°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1" w:name="_Hlk61701014"/>
      <w:bookmarkStart w:id="2" w:name="_Hlk62136649"/>
      <w:r w:rsidRPr="00BE4F5D">
        <w:rPr>
          <w:rFonts w:ascii="Arial" w:hAnsi="Arial" w:cs="Arial"/>
          <w:color w:val="000000" w:themeColor="text1"/>
          <w:sz w:val="21"/>
          <w:szCs w:val="21"/>
        </w:rPr>
        <w:t xml:space="preserve">Es necesario tener en cuenta que </w:t>
      </w:r>
      <w:bookmarkStart w:id="3" w:name="_Hlk61026958"/>
      <w:r w:rsidRPr="00BE4F5D">
        <w:rPr>
          <w:rFonts w:ascii="Arial" w:hAnsi="Arial" w:cs="Arial"/>
          <w:color w:val="000000" w:themeColor="text1"/>
          <w:sz w:val="21"/>
          <w:szCs w:val="21"/>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E4F5D">
        <w:rPr>
          <w:rFonts w:ascii="Arial" w:hAnsi="Arial" w:cs="Arial"/>
          <w:bCs/>
          <w:color w:val="000000" w:themeColor="text1"/>
          <w:sz w:val="21"/>
          <w:szCs w:val="21"/>
        </w:rPr>
        <w:t xml:space="preserve"> de todos los partícipes de la contratación estatal.</w:t>
      </w:r>
    </w:p>
    <w:bookmarkEnd w:id="1"/>
    <w:bookmarkEnd w:id="3"/>
    <w:p w14:paraId="69609471" w14:textId="77777777" w:rsidR="006A61DF" w:rsidRPr="00BE4F5D" w:rsidRDefault="006A61DF" w:rsidP="006A61DF">
      <w:pPr>
        <w:spacing w:after="120" w:line="276" w:lineRule="auto"/>
        <w:ind w:firstLine="708"/>
        <w:jc w:val="both"/>
        <w:rPr>
          <w:rFonts w:ascii="Arial" w:hAnsi="Arial" w:cs="Arial"/>
          <w:color w:val="000000" w:themeColor="text1"/>
          <w:sz w:val="21"/>
          <w:szCs w:val="21"/>
        </w:rPr>
      </w:pPr>
      <w:r w:rsidRPr="00BE4F5D">
        <w:rPr>
          <w:rFonts w:ascii="Arial" w:hAnsi="Arial" w:cs="Arial"/>
          <w:color w:val="000000" w:themeColor="text1"/>
          <w:sz w:val="21"/>
          <w:szCs w:val="21"/>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E4F5D">
        <w:rPr>
          <w:rFonts w:ascii="Arial" w:hAnsi="Arial" w:cs="Arial"/>
          <w:color w:val="000000" w:themeColor="text1"/>
          <w:sz w:val="21"/>
          <w:szCs w:val="21"/>
          <w:vertAlign w:val="superscript"/>
        </w:rPr>
        <w:footnoteReference w:id="2"/>
      </w:r>
      <w:r w:rsidRPr="00BE4F5D">
        <w:rPr>
          <w:rFonts w:ascii="Arial" w:hAnsi="Arial" w:cs="Arial"/>
          <w:color w:val="000000" w:themeColor="text1"/>
          <w:sz w:val="21"/>
          <w:szCs w:val="21"/>
        </w:rPr>
        <w:t xml:space="preserve">. Esta competencia de interpretación de </w:t>
      </w:r>
      <w:r w:rsidRPr="00BE4F5D">
        <w:rPr>
          <w:rFonts w:ascii="Arial" w:hAnsi="Arial" w:cs="Arial"/>
          <w:color w:val="000000" w:themeColor="text1"/>
          <w:sz w:val="21"/>
          <w:szCs w:val="21"/>
        </w:rPr>
        <w:lastRenderedPageBreak/>
        <w:t xml:space="preserve">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392B9462" w14:textId="77777777" w:rsidR="006A61DF" w:rsidRPr="00BE4F5D" w:rsidRDefault="006A61DF" w:rsidP="006A61DF">
      <w:pPr>
        <w:spacing w:after="120" w:line="276" w:lineRule="auto"/>
        <w:ind w:firstLine="708"/>
        <w:jc w:val="both"/>
        <w:rPr>
          <w:rFonts w:ascii="Arial" w:hAnsi="Arial" w:cs="Arial"/>
          <w:bCs/>
          <w:color w:val="000000" w:themeColor="text1"/>
          <w:sz w:val="21"/>
          <w:szCs w:val="21"/>
        </w:rPr>
      </w:pPr>
      <w:r w:rsidRPr="00BE4F5D">
        <w:rPr>
          <w:rFonts w:ascii="Arial" w:hAnsi="Arial" w:cs="Arial"/>
          <w:color w:val="000000" w:themeColor="text1"/>
          <w:sz w:val="21"/>
          <w:szCs w:val="21"/>
        </w:rPr>
        <w:t>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sustituido por la Ley 1755 de 2015, el cual señala «[…]  los conceptos emitidos por las autoridades como respuestas a peticiones realizadas en ejercicio del derecho a formular consultas no serán de obligatorio cumplimiento o ejecución».  E</w:t>
      </w:r>
      <w:r w:rsidRPr="00BE4F5D">
        <w:rPr>
          <w:rFonts w:ascii="Arial" w:hAnsi="Arial" w:cs="Arial"/>
          <w:bCs/>
          <w:color w:val="000000" w:themeColor="text1"/>
          <w:sz w:val="21"/>
          <w:szCs w:val="21"/>
        </w:rPr>
        <w:t>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BE4F5D">
        <w:rPr>
          <w:rFonts w:ascii="Arial" w:hAnsi="Arial" w:cs="Arial"/>
          <w:bCs/>
          <w:color w:val="000000" w:themeColor="text1"/>
          <w:sz w:val="21"/>
          <w:szCs w:val="21"/>
          <w:vertAlign w:val="superscript"/>
        </w:rPr>
        <w:footnoteReference w:id="3"/>
      </w:r>
      <w:r w:rsidRPr="00BE4F5D">
        <w:rPr>
          <w:rFonts w:ascii="Arial" w:hAnsi="Arial" w:cs="Arial"/>
          <w:bCs/>
          <w:color w:val="000000" w:themeColor="text1"/>
          <w:sz w:val="21"/>
          <w:szCs w:val="21"/>
        </w:rPr>
        <w:t>.</w:t>
      </w:r>
    </w:p>
    <w:p w14:paraId="57E84B91" w14:textId="77777777" w:rsidR="006A61DF" w:rsidRPr="00BE4F5D" w:rsidRDefault="006A61DF" w:rsidP="006A61DF">
      <w:pPr>
        <w:spacing w:after="120" w:line="276" w:lineRule="auto"/>
        <w:ind w:firstLine="708"/>
        <w:jc w:val="both"/>
        <w:rPr>
          <w:rFonts w:ascii="Arial" w:hAnsi="Arial" w:cs="Arial"/>
          <w:sz w:val="21"/>
          <w:szCs w:val="21"/>
        </w:rPr>
      </w:pPr>
      <w:r w:rsidRPr="00BE4F5D">
        <w:rPr>
          <w:rFonts w:ascii="Arial" w:hAnsi="Arial" w:cs="Arial"/>
          <w:sz w:val="21"/>
          <w:szCs w:val="21"/>
        </w:rPr>
        <w:t xml:space="preserve">Sin perjuicio de lo anterior, dentro de los límites de las atribuciones de la función consultiva atribuida a esta entidad, esto es, interpretando de manera general las normas relevantes, la Agencia </w:t>
      </w:r>
      <w:r w:rsidRPr="00BE4F5D">
        <w:rPr>
          <w:rFonts w:ascii="Arial" w:hAnsi="Arial" w:cs="Arial"/>
          <w:sz w:val="21"/>
          <w:szCs w:val="21"/>
        </w:rPr>
        <w:lastRenderedPageBreak/>
        <w:t xml:space="preserve">absolverá los interrogantes formulados, previo análisis de los siguientes temas: i) requisitos habilitantes: criterios obligatorios para participar en los procedimientos de selección contractual; </w:t>
      </w:r>
      <w:proofErr w:type="spellStart"/>
      <w:r w:rsidRPr="00BE4F5D">
        <w:rPr>
          <w:rFonts w:ascii="Arial" w:hAnsi="Arial" w:cs="Arial"/>
          <w:sz w:val="21"/>
          <w:szCs w:val="21"/>
        </w:rPr>
        <w:t>ii</w:t>
      </w:r>
      <w:proofErr w:type="spellEnd"/>
      <w:r w:rsidRPr="00BE4F5D">
        <w:rPr>
          <w:rFonts w:ascii="Arial" w:hAnsi="Arial" w:cs="Arial"/>
          <w:sz w:val="21"/>
          <w:szCs w:val="21"/>
        </w:rPr>
        <w:t xml:space="preserve">) carácter enunciativo de los requisitos habilitantes de la Ley 1150 de 2007 y autonomía de la voluntad de las entidades estatales para establecerlos y; </w:t>
      </w:r>
      <w:proofErr w:type="spellStart"/>
      <w:r w:rsidRPr="00BE4F5D">
        <w:rPr>
          <w:rFonts w:ascii="Arial" w:hAnsi="Arial" w:cs="Arial"/>
          <w:sz w:val="21"/>
          <w:szCs w:val="21"/>
        </w:rPr>
        <w:t>iii</w:t>
      </w:r>
      <w:proofErr w:type="spellEnd"/>
      <w:r w:rsidRPr="00BE4F5D">
        <w:rPr>
          <w:rFonts w:ascii="Arial" w:hAnsi="Arial" w:cs="Arial"/>
          <w:sz w:val="21"/>
          <w:szCs w:val="21"/>
        </w:rPr>
        <w:t xml:space="preserve">) Obligación del artículo 17 de la Ley 842 de 2003. </w:t>
      </w:r>
    </w:p>
    <w:p w14:paraId="05A7DCF6" w14:textId="77777777" w:rsidR="006A61DF" w:rsidRPr="00BE4F5D" w:rsidRDefault="006A61DF" w:rsidP="006A61DF">
      <w:pPr>
        <w:spacing w:line="276" w:lineRule="auto"/>
        <w:ind w:firstLine="708"/>
        <w:jc w:val="both"/>
        <w:rPr>
          <w:rFonts w:ascii="Arial" w:hAnsi="Arial" w:cs="Arial"/>
          <w:bCs/>
          <w:sz w:val="21"/>
          <w:szCs w:val="21"/>
          <w:lang w:val="es-MX"/>
        </w:rPr>
      </w:pPr>
      <w:r w:rsidRPr="00BE4F5D">
        <w:rPr>
          <w:rFonts w:ascii="Arial" w:eastAsia="Calibri" w:hAnsi="Arial" w:cs="Arial"/>
          <w:color w:val="000000" w:themeColor="text1"/>
          <w:sz w:val="21"/>
          <w:szCs w:val="21"/>
          <w:lang w:val="es-ES"/>
        </w:rPr>
        <w:t xml:space="preserve">Al respecto, conviene indicar que 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2020 y C-669 del 3 de diciembre de 2021  analizó la naturaleza de los requisitos habilitantes y su carácter </w:t>
      </w:r>
      <w:r w:rsidRPr="00BE4F5D">
        <w:rPr>
          <w:rFonts w:ascii="Arial" w:eastAsia="Calibri" w:hAnsi="Arial" w:cs="Arial"/>
          <w:i/>
          <w:iCs/>
          <w:color w:val="000000" w:themeColor="text1"/>
          <w:sz w:val="21"/>
          <w:szCs w:val="21"/>
          <w:lang w:val="es-ES"/>
        </w:rPr>
        <w:t>enunciativo</w:t>
      </w:r>
      <w:r w:rsidRPr="00BE4F5D">
        <w:rPr>
          <w:rFonts w:ascii="Arial" w:hAnsi="Arial" w:cs="Arial"/>
          <w:bCs/>
          <w:sz w:val="21"/>
          <w:szCs w:val="21"/>
          <w:lang w:val="es-MX"/>
        </w:rPr>
        <w:t xml:space="preserve">. </w:t>
      </w:r>
      <w:r w:rsidRPr="00BE4F5D">
        <w:rPr>
          <w:rFonts w:ascii="Arial" w:hAnsi="Arial" w:cs="Arial"/>
          <w:sz w:val="21"/>
          <w:szCs w:val="21"/>
          <w:lang w:val="es-MX"/>
        </w:rPr>
        <w:t xml:space="preserve">Las tesis desarrolladas en estos conceptos se reiteran a continuación </w:t>
      </w:r>
      <w:r w:rsidRPr="00BE4F5D">
        <w:rPr>
          <w:rFonts w:ascii="Arial" w:hAnsi="Arial" w:cs="Arial"/>
          <w:bCs/>
          <w:sz w:val="21"/>
          <w:szCs w:val="21"/>
          <w:lang w:val="es-MX"/>
        </w:rPr>
        <w:t xml:space="preserve">y se complementan en lo pertinente. </w:t>
      </w:r>
    </w:p>
    <w:p w14:paraId="13D47055" w14:textId="77777777" w:rsidR="006A61DF" w:rsidRPr="00BE4F5D" w:rsidRDefault="006A61DF" w:rsidP="006A61DF">
      <w:pPr>
        <w:spacing w:line="276" w:lineRule="auto"/>
        <w:jc w:val="both"/>
        <w:rPr>
          <w:rFonts w:ascii="Arial" w:hAnsi="Arial" w:cs="Arial"/>
          <w:b/>
          <w:bCs/>
          <w:color w:val="000000" w:themeColor="text1"/>
          <w:sz w:val="21"/>
          <w:szCs w:val="21"/>
        </w:rPr>
      </w:pPr>
      <w:r w:rsidRPr="00BE4F5D">
        <w:rPr>
          <w:rFonts w:ascii="Arial" w:hAnsi="Arial" w:cs="Arial"/>
          <w:b/>
          <w:bCs/>
          <w:color w:val="000000" w:themeColor="text1"/>
          <w:sz w:val="21"/>
          <w:szCs w:val="21"/>
        </w:rPr>
        <w:t>2.1. Requisitos habilitantes: criterios obligatorios para participar en los procedimientos de selección contractual</w:t>
      </w:r>
    </w:p>
    <w:p w14:paraId="57E631BD" w14:textId="77777777" w:rsidR="006A61DF" w:rsidRPr="00BE4F5D" w:rsidRDefault="006A61DF" w:rsidP="006A61DF">
      <w:pPr>
        <w:spacing w:after="120" w:line="276" w:lineRule="auto"/>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 xml:space="preserve">Los </w:t>
      </w:r>
      <w:r w:rsidRPr="00BE4F5D">
        <w:rPr>
          <w:rFonts w:ascii="Arial" w:eastAsia="Calibri" w:hAnsi="Arial" w:cs="Arial"/>
          <w:i/>
          <w:iCs/>
          <w:color w:val="000000" w:themeColor="text1"/>
          <w:sz w:val="21"/>
          <w:szCs w:val="21"/>
        </w:rPr>
        <w:t>requisitos habilitantes</w:t>
      </w:r>
      <w:r w:rsidRPr="00BE4F5D">
        <w:rPr>
          <w:rFonts w:ascii="Arial" w:eastAsia="Calibri" w:hAnsi="Arial" w:cs="Arial"/>
          <w:color w:val="000000" w:themeColor="text1"/>
          <w:sz w:val="21"/>
          <w:szCs w:val="21"/>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BE4F5D">
        <w:rPr>
          <w:rFonts w:ascii="Arial" w:eastAsia="Calibri" w:hAnsi="Arial" w:cs="Arial"/>
          <w:i/>
          <w:iCs/>
          <w:color w:val="000000" w:themeColor="text1"/>
          <w:sz w:val="21"/>
          <w:szCs w:val="21"/>
        </w:rPr>
        <w:t>criterios de evaluación</w:t>
      </w:r>
      <w:r w:rsidRPr="00BE4F5D">
        <w:rPr>
          <w:rFonts w:ascii="Arial" w:eastAsia="Calibri" w:hAnsi="Arial" w:cs="Arial"/>
          <w:color w:val="000000" w:themeColor="text1"/>
          <w:sz w:val="21"/>
          <w:szCs w:val="21"/>
        </w:rPr>
        <w:t xml:space="preserve"> –también conocidos como </w:t>
      </w:r>
      <w:r w:rsidRPr="00BE4F5D">
        <w:rPr>
          <w:rFonts w:ascii="Arial" w:eastAsia="Calibri" w:hAnsi="Arial" w:cs="Arial"/>
          <w:i/>
          <w:iCs/>
          <w:color w:val="000000" w:themeColor="text1"/>
          <w:sz w:val="21"/>
          <w:szCs w:val="21"/>
        </w:rPr>
        <w:t>criterios de calificación</w:t>
      </w:r>
      <w:r w:rsidRPr="00BE4F5D">
        <w:rPr>
          <w:rFonts w:ascii="Arial" w:eastAsia="Calibri" w:hAnsi="Arial" w:cs="Arial"/>
          <w:color w:val="000000" w:themeColor="text1"/>
          <w:sz w:val="21"/>
          <w:szCs w:val="21"/>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350EF6BA" w14:textId="77777777" w:rsidR="006A61DF" w:rsidRPr="00BE4F5D" w:rsidRDefault="006A61DF" w:rsidP="006A61DF">
      <w:pPr>
        <w:spacing w:after="120" w:line="276" w:lineRule="auto"/>
        <w:ind w:firstLine="708"/>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1A1C19F6" w14:textId="77777777" w:rsidR="006A61DF" w:rsidRPr="00BE4F5D" w:rsidRDefault="006A61DF" w:rsidP="006A61DF">
      <w:pPr>
        <w:spacing w:line="276" w:lineRule="auto"/>
        <w:ind w:firstLine="708"/>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431CA46B" w14:textId="77777777" w:rsidR="006A61DF" w:rsidRPr="00BE4F5D" w:rsidRDefault="006A61DF" w:rsidP="006A61DF">
      <w:pPr>
        <w:spacing w:before="120" w:line="276" w:lineRule="auto"/>
        <w:ind w:firstLine="709"/>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 xml:space="preserve">Específicamente, el numeral 1º del artículo referido establece que en los procesos de selección de contratistas serán objeto de verificación, como requisitos habilitantes, </w:t>
      </w:r>
      <w:r w:rsidRPr="00BE4F5D">
        <w:rPr>
          <w:rFonts w:ascii="Arial" w:eastAsia="Calibri" w:hAnsi="Arial" w:cs="Arial"/>
          <w:i/>
          <w:iCs/>
          <w:color w:val="000000" w:themeColor="text1"/>
          <w:sz w:val="21"/>
          <w:szCs w:val="21"/>
        </w:rPr>
        <w:t>entre otros</w:t>
      </w:r>
      <w:r w:rsidRPr="00BE4F5D">
        <w:rPr>
          <w:rFonts w:ascii="Arial" w:eastAsia="Calibri" w:hAnsi="Arial" w:cs="Arial"/>
          <w:color w:val="000000" w:themeColor="text1"/>
          <w:sz w:val="21"/>
          <w:szCs w:val="21"/>
        </w:rPr>
        <w:t xml:space="preserve">, los siguientes: i) la capacidad jurídica; </w:t>
      </w:r>
      <w:proofErr w:type="spellStart"/>
      <w:r w:rsidRPr="00BE4F5D">
        <w:rPr>
          <w:rFonts w:ascii="Arial" w:eastAsia="Calibri" w:hAnsi="Arial" w:cs="Arial"/>
          <w:color w:val="000000" w:themeColor="text1"/>
          <w:sz w:val="21"/>
          <w:szCs w:val="21"/>
        </w:rPr>
        <w:t>ii</w:t>
      </w:r>
      <w:proofErr w:type="spellEnd"/>
      <w:r w:rsidRPr="00BE4F5D">
        <w:rPr>
          <w:rFonts w:ascii="Arial" w:eastAsia="Calibri" w:hAnsi="Arial" w:cs="Arial"/>
          <w:color w:val="000000" w:themeColor="text1"/>
          <w:sz w:val="21"/>
          <w:szCs w:val="21"/>
        </w:rPr>
        <w:t xml:space="preserve">) la experiencia; </w:t>
      </w:r>
      <w:proofErr w:type="spellStart"/>
      <w:r w:rsidRPr="00BE4F5D">
        <w:rPr>
          <w:rFonts w:ascii="Arial" w:eastAsia="Calibri" w:hAnsi="Arial" w:cs="Arial"/>
          <w:color w:val="000000" w:themeColor="text1"/>
          <w:sz w:val="21"/>
          <w:szCs w:val="21"/>
        </w:rPr>
        <w:t>iii</w:t>
      </w:r>
      <w:proofErr w:type="spellEnd"/>
      <w:r w:rsidRPr="00BE4F5D">
        <w:rPr>
          <w:rFonts w:ascii="Arial" w:eastAsia="Calibri" w:hAnsi="Arial" w:cs="Arial"/>
          <w:color w:val="000000" w:themeColor="text1"/>
          <w:sz w:val="21"/>
          <w:szCs w:val="21"/>
        </w:rPr>
        <w:t xml:space="preserve">) la capacidad financiera y </w:t>
      </w:r>
      <w:proofErr w:type="spellStart"/>
      <w:r w:rsidRPr="00BE4F5D">
        <w:rPr>
          <w:rFonts w:ascii="Arial" w:eastAsia="Calibri" w:hAnsi="Arial" w:cs="Arial"/>
          <w:color w:val="000000" w:themeColor="text1"/>
          <w:sz w:val="21"/>
          <w:szCs w:val="21"/>
        </w:rPr>
        <w:t>iv</w:t>
      </w:r>
      <w:proofErr w:type="spellEnd"/>
      <w:r w:rsidRPr="00BE4F5D">
        <w:rPr>
          <w:rFonts w:ascii="Arial" w:eastAsia="Calibri" w:hAnsi="Arial" w:cs="Arial"/>
          <w:color w:val="000000" w:themeColor="text1"/>
          <w:sz w:val="21"/>
          <w:szCs w:val="21"/>
        </w:rPr>
        <w:t xml:space="preserve">) la capacidad de organización. En efecto, la normativa citada dispone: </w:t>
      </w:r>
    </w:p>
    <w:p w14:paraId="3CDC8399" w14:textId="77777777" w:rsidR="006A61DF" w:rsidRPr="00BE4F5D" w:rsidRDefault="006A61DF" w:rsidP="006A61DF">
      <w:pPr>
        <w:jc w:val="both"/>
        <w:rPr>
          <w:rFonts w:ascii="Arial" w:eastAsia="Calibri" w:hAnsi="Arial" w:cs="Arial"/>
          <w:color w:val="000000" w:themeColor="text1"/>
          <w:sz w:val="21"/>
          <w:szCs w:val="21"/>
        </w:rPr>
      </w:pPr>
    </w:p>
    <w:p w14:paraId="72B15F8B" w14:textId="77777777" w:rsidR="006A61DF" w:rsidRPr="00BE4F5D" w:rsidRDefault="006A61DF" w:rsidP="006A61DF">
      <w:pPr>
        <w:ind w:left="709" w:right="709"/>
        <w:jc w:val="both"/>
        <w:rPr>
          <w:rFonts w:ascii="Arial" w:eastAsia="Calibri" w:hAnsi="Arial" w:cs="Arial"/>
          <w:color w:val="000000" w:themeColor="text1"/>
          <w:sz w:val="20"/>
          <w:szCs w:val="20"/>
        </w:rPr>
      </w:pPr>
      <w:r w:rsidRPr="00BE4F5D">
        <w:rPr>
          <w:rFonts w:ascii="Arial" w:eastAsia="Calibri" w:hAnsi="Arial" w:cs="Arial"/>
          <w:color w:val="000000" w:themeColor="text1"/>
          <w:sz w:val="20"/>
          <w:szCs w:val="20"/>
        </w:rPr>
        <w:t xml:space="preserve">Artículo 5. De la Selección Objetiva. </w:t>
      </w:r>
    </w:p>
    <w:p w14:paraId="19AB44F8" w14:textId="77777777" w:rsidR="006A61DF" w:rsidRPr="00BE4F5D" w:rsidRDefault="006A61DF" w:rsidP="006A61DF">
      <w:pPr>
        <w:spacing w:after="120"/>
        <w:ind w:left="709" w:right="709"/>
        <w:jc w:val="both"/>
        <w:rPr>
          <w:rFonts w:ascii="Arial" w:eastAsia="Calibri" w:hAnsi="Arial" w:cs="Arial"/>
          <w:color w:val="000000" w:themeColor="text1"/>
          <w:sz w:val="20"/>
          <w:szCs w:val="20"/>
        </w:rPr>
      </w:pPr>
      <w:r w:rsidRPr="00BE4F5D">
        <w:rPr>
          <w:rFonts w:ascii="Arial" w:eastAsia="Calibri" w:hAnsi="Arial" w:cs="Arial"/>
          <w:color w:val="000000" w:themeColor="text1"/>
          <w:sz w:val="20"/>
          <w:szCs w:val="20"/>
        </w:rPr>
        <w:t>[…]</w:t>
      </w:r>
    </w:p>
    <w:p w14:paraId="5A81A01B" w14:textId="77777777" w:rsidR="006A61DF" w:rsidRPr="00BE4F5D" w:rsidRDefault="006A61DF" w:rsidP="006A61DF">
      <w:pPr>
        <w:ind w:left="709" w:right="709"/>
        <w:contextualSpacing/>
        <w:jc w:val="both"/>
        <w:rPr>
          <w:rFonts w:ascii="Arial" w:eastAsia="Calibri" w:hAnsi="Arial" w:cs="Arial"/>
          <w:color w:val="000000" w:themeColor="text1"/>
          <w:sz w:val="20"/>
          <w:szCs w:val="20"/>
        </w:rPr>
      </w:pPr>
      <w:r w:rsidRPr="00BE4F5D">
        <w:rPr>
          <w:rFonts w:ascii="Arial" w:eastAsia="Calibri" w:hAnsi="Arial" w:cs="Arial"/>
          <w:color w:val="000000" w:themeColor="text1"/>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39E8069F" w14:textId="77777777" w:rsidR="006A61DF" w:rsidRPr="00BE4F5D" w:rsidRDefault="006A61DF" w:rsidP="006A61DF">
      <w:pPr>
        <w:spacing w:line="276" w:lineRule="auto"/>
        <w:ind w:right="709"/>
        <w:jc w:val="both"/>
        <w:rPr>
          <w:rFonts w:ascii="Arial" w:eastAsia="Calibri" w:hAnsi="Arial" w:cs="Arial"/>
          <w:color w:val="000000" w:themeColor="text1"/>
          <w:sz w:val="21"/>
          <w:szCs w:val="21"/>
        </w:rPr>
      </w:pPr>
    </w:p>
    <w:p w14:paraId="1552E14C" w14:textId="77777777" w:rsidR="006A61DF" w:rsidRPr="00BE4F5D" w:rsidRDefault="006A61DF" w:rsidP="006A61DF">
      <w:pPr>
        <w:spacing w:after="120" w:line="276" w:lineRule="auto"/>
        <w:ind w:firstLine="709"/>
        <w:jc w:val="both"/>
        <w:rPr>
          <w:rFonts w:ascii="Arial" w:eastAsia="Calibri" w:hAnsi="Arial" w:cs="Arial"/>
          <w:color w:val="000000" w:themeColor="text1"/>
          <w:sz w:val="21"/>
          <w:szCs w:val="21"/>
        </w:rPr>
      </w:pPr>
      <w:r w:rsidRPr="00BE4F5D">
        <w:rPr>
          <w:rFonts w:ascii="Arial" w:hAnsi="Arial" w:cs="Arial"/>
          <w:color w:val="000000" w:themeColor="text1"/>
          <w:sz w:val="21"/>
          <w:szCs w:val="21"/>
        </w:rPr>
        <w:t xml:space="preserve">Una vez fijados los requisitos habilitantes por la entidad estatal, quienes presenten ofertas deben </w:t>
      </w:r>
      <w:r w:rsidRPr="00BE4F5D">
        <w:rPr>
          <w:rFonts w:ascii="Arial" w:hAnsi="Arial" w:cs="Arial"/>
          <w:bCs/>
          <w:i/>
          <w:iCs/>
          <w:color w:val="000000" w:themeColor="text1"/>
          <w:sz w:val="21"/>
          <w:szCs w:val="21"/>
        </w:rPr>
        <w:t>acreditar</w:t>
      </w:r>
      <w:r w:rsidRPr="00BE4F5D">
        <w:rPr>
          <w:rFonts w:ascii="Arial" w:hAnsi="Arial" w:cs="Arial"/>
          <w:color w:val="000000" w:themeColor="text1"/>
          <w:sz w:val="21"/>
          <w:szCs w:val="21"/>
        </w:rPr>
        <w:t xml:space="preserve"> que cumplen con los mismos, pues, en el evento contrario, las propuestas deberán ser rechazadas. </w:t>
      </w:r>
      <w:r w:rsidRPr="00BE4F5D">
        <w:rPr>
          <w:rFonts w:ascii="Arial" w:eastAsia="Calibri" w:hAnsi="Arial" w:cs="Arial"/>
          <w:color w:val="000000" w:themeColor="text1"/>
          <w:sz w:val="21"/>
          <w:szCs w:val="21"/>
        </w:rPr>
        <w:t>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r w:rsidRPr="00BE4F5D">
        <w:rPr>
          <w:rFonts w:ascii="Arial" w:eastAsia="Calibri" w:hAnsi="Arial" w:cs="Arial"/>
          <w:color w:val="000000" w:themeColor="text1"/>
          <w:sz w:val="21"/>
          <w:szCs w:val="21"/>
          <w:vertAlign w:val="superscript"/>
        </w:rPr>
        <w:footnoteReference w:id="4"/>
      </w:r>
      <w:r w:rsidRPr="00BE4F5D">
        <w:rPr>
          <w:rFonts w:ascii="Arial" w:eastAsia="Calibri" w:hAnsi="Arial" w:cs="Arial"/>
          <w:color w:val="000000" w:themeColor="text1"/>
          <w:sz w:val="21"/>
          <w:szCs w:val="21"/>
        </w:rPr>
        <w:t xml:space="preserve">. </w:t>
      </w:r>
    </w:p>
    <w:p w14:paraId="2799EACA" w14:textId="77777777" w:rsidR="006A61DF" w:rsidRPr="00BE4F5D" w:rsidRDefault="006A61DF" w:rsidP="006A61DF">
      <w:pPr>
        <w:spacing w:before="120" w:after="120" w:line="276" w:lineRule="auto"/>
        <w:ind w:firstLine="709"/>
        <w:contextualSpacing/>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BE4F5D">
        <w:rPr>
          <w:rFonts w:ascii="Arial" w:eastAsia="Calibri" w:hAnsi="Arial" w:cs="Arial"/>
          <w:color w:val="000000" w:themeColor="text1"/>
          <w:sz w:val="21"/>
          <w:szCs w:val="21"/>
          <w:vertAlign w:val="superscript"/>
        </w:rPr>
        <w:footnoteReference w:id="5"/>
      </w:r>
      <w:r w:rsidRPr="00BE4F5D">
        <w:rPr>
          <w:rFonts w:ascii="Arial" w:eastAsia="Calibri" w:hAnsi="Arial" w:cs="Arial"/>
          <w:color w:val="000000" w:themeColor="text1"/>
          <w:sz w:val="21"/>
          <w:szCs w:val="21"/>
        </w:rPr>
        <w:t xml:space="preserve">. </w:t>
      </w:r>
    </w:p>
    <w:p w14:paraId="56D11A7A" w14:textId="77777777" w:rsidR="006A61DF" w:rsidRPr="00BE4F5D" w:rsidRDefault="006A61DF" w:rsidP="006A61DF">
      <w:pPr>
        <w:spacing w:before="120" w:after="120" w:line="276" w:lineRule="auto"/>
        <w:ind w:firstLine="709"/>
        <w:contextualSpacing/>
        <w:jc w:val="both"/>
        <w:rPr>
          <w:rFonts w:ascii="Arial" w:eastAsia="Calibri" w:hAnsi="Arial" w:cs="Arial"/>
          <w:color w:val="000000" w:themeColor="text1"/>
          <w:sz w:val="21"/>
          <w:szCs w:val="21"/>
        </w:rPr>
      </w:pPr>
    </w:p>
    <w:p w14:paraId="2EF1A505" w14:textId="77777777" w:rsidR="006A61DF" w:rsidRPr="00BE4F5D" w:rsidRDefault="006A61DF" w:rsidP="006A61DF">
      <w:pPr>
        <w:tabs>
          <w:tab w:val="left" w:pos="0"/>
        </w:tabs>
        <w:spacing w:line="276" w:lineRule="auto"/>
        <w:jc w:val="both"/>
        <w:rPr>
          <w:rFonts w:ascii="Arial" w:eastAsia="Calibri" w:hAnsi="Arial" w:cs="Arial"/>
          <w:b/>
          <w:color w:val="000000" w:themeColor="text1"/>
          <w:sz w:val="21"/>
          <w:szCs w:val="21"/>
        </w:rPr>
      </w:pPr>
      <w:r w:rsidRPr="00BE4F5D">
        <w:rPr>
          <w:rFonts w:ascii="Arial" w:eastAsia="Calibri" w:hAnsi="Arial" w:cs="Arial"/>
          <w:b/>
          <w:color w:val="000000" w:themeColor="text1"/>
          <w:sz w:val="21"/>
          <w:szCs w:val="21"/>
        </w:rPr>
        <w:t xml:space="preserve">2.2. Carácter enunciativo de los requisitos habilitantes autonomía de la voluntad de las entidades estatales para establecerlos. </w:t>
      </w:r>
    </w:p>
    <w:p w14:paraId="07547D79" w14:textId="77777777" w:rsidR="006A61DF" w:rsidRPr="00BE4F5D" w:rsidRDefault="006A61DF" w:rsidP="006A61DF">
      <w:pPr>
        <w:spacing w:line="276" w:lineRule="auto"/>
        <w:jc w:val="both"/>
        <w:rPr>
          <w:rFonts w:ascii="Arial" w:hAnsi="Arial" w:cs="Arial"/>
          <w:color w:val="000000" w:themeColor="text1"/>
          <w:sz w:val="21"/>
          <w:szCs w:val="21"/>
        </w:rPr>
      </w:pPr>
      <w:r w:rsidRPr="00BE4F5D">
        <w:rPr>
          <w:rFonts w:ascii="Arial" w:hAnsi="Arial" w:cs="Arial"/>
          <w:color w:val="000000" w:themeColor="text1"/>
          <w:sz w:val="21"/>
          <w:szCs w:val="21"/>
        </w:rPr>
        <w:lastRenderedPageBreak/>
        <w:t>Es necesario indagar si los requisitos habilitantes establecidos en el artículo 5, numeral 1, de la Ley 1150 de 2007, tienen la característica de taxativos, esto es, si son los únicos requisitos habilitantes que puede exigirles una entidad a los proponentes. Esta pregunta tiene, al menos, dos respuestas posibles. Por un lado, que sí lo son, pues la norma no hace referencia a otros diferentes. Por el otro, que no lo son, pues esta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Pr="00BE4F5D">
        <w:rPr>
          <w:rFonts w:ascii="Arial" w:hAnsi="Arial" w:cs="Arial"/>
          <w:color w:val="000000" w:themeColor="text1"/>
          <w:sz w:val="21"/>
          <w:szCs w:val="21"/>
          <w:vertAlign w:val="superscript"/>
        </w:rPr>
        <w:footnoteReference w:id="6"/>
      </w:r>
      <w:r w:rsidRPr="00BE4F5D">
        <w:rPr>
          <w:rFonts w:ascii="Arial" w:hAnsi="Arial" w:cs="Arial"/>
          <w:color w:val="000000" w:themeColor="text1"/>
          <w:sz w:val="21"/>
          <w:szCs w:val="21"/>
        </w:rPr>
        <w:t xml:space="preserve">. Esta segunda respuesta contiene la interpretación jurídica que comparte la Agencia Nacional de Contratación Pública. </w:t>
      </w:r>
    </w:p>
    <w:p w14:paraId="4F5E3777" w14:textId="77777777" w:rsidR="006A61DF" w:rsidRPr="00BE4F5D" w:rsidRDefault="006A61DF" w:rsidP="006A61DF">
      <w:pPr>
        <w:spacing w:before="120" w:line="276" w:lineRule="auto"/>
        <w:ind w:firstLine="709"/>
        <w:jc w:val="both"/>
        <w:rPr>
          <w:rFonts w:ascii="Arial" w:hAnsi="Arial" w:cs="Arial"/>
          <w:color w:val="000000" w:themeColor="text1"/>
          <w:sz w:val="21"/>
          <w:szCs w:val="21"/>
        </w:rPr>
      </w:pPr>
      <w:r w:rsidRPr="00BE4F5D">
        <w:rPr>
          <w:rFonts w:ascii="Arial" w:hAnsi="Arial" w:cs="Arial"/>
          <w:color w:val="000000" w:themeColor="text1"/>
          <w:sz w:val="21"/>
          <w:szCs w:val="21"/>
        </w:rPr>
        <w:t>Existen otros argumentos que sustentan dicha elección interpretativa. Como lo han considerado la Corte Constitucional</w:t>
      </w:r>
      <w:r w:rsidRPr="00BE4F5D">
        <w:rPr>
          <w:rFonts w:ascii="Arial" w:hAnsi="Arial" w:cs="Arial"/>
          <w:color w:val="000000" w:themeColor="text1"/>
          <w:sz w:val="21"/>
          <w:szCs w:val="21"/>
          <w:vertAlign w:val="superscript"/>
        </w:rPr>
        <w:footnoteReference w:id="7"/>
      </w:r>
      <w:r w:rsidRPr="00BE4F5D">
        <w:rPr>
          <w:rFonts w:ascii="Arial" w:hAnsi="Arial" w:cs="Arial"/>
          <w:color w:val="000000" w:themeColor="text1"/>
          <w:sz w:val="21"/>
          <w:szCs w:val="21"/>
        </w:rPr>
        <w:t xml:space="preserve"> y el Consejo de Estado</w:t>
      </w:r>
      <w:r w:rsidRPr="00BE4F5D">
        <w:rPr>
          <w:rFonts w:ascii="Arial" w:hAnsi="Arial" w:cs="Arial"/>
          <w:color w:val="000000" w:themeColor="text1"/>
          <w:sz w:val="21"/>
          <w:szCs w:val="21"/>
          <w:vertAlign w:val="superscript"/>
        </w:rPr>
        <w:footnoteReference w:id="8"/>
      </w:r>
      <w:r w:rsidRPr="00BE4F5D">
        <w:rPr>
          <w:rFonts w:ascii="Arial" w:hAnsi="Arial" w:cs="Arial"/>
          <w:color w:val="000000" w:themeColor="text1"/>
          <w:sz w:val="21"/>
          <w:szCs w:val="21"/>
        </w:rPr>
        <w:t xml:space="preserve">,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solo fueran requisitos habilitantes los cuatro que contiene el numeral 1 de dicha disposición, ¿cómo se explica que el referido parágrafo aclare que «las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6C82A605" w14:textId="77777777" w:rsidR="006A61DF" w:rsidRPr="00BE4F5D" w:rsidRDefault="006A61DF" w:rsidP="006A61DF">
      <w:pPr>
        <w:spacing w:before="120" w:line="276" w:lineRule="auto"/>
        <w:ind w:firstLine="709"/>
        <w:jc w:val="both"/>
        <w:rPr>
          <w:rFonts w:ascii="Arial" w:hAnsi="Arial" w:cs="Arial"/>
          <w:color w:val="000000" w:themeColor="text1"/>
          <w:sz w:val="21"/>
          <w:szCs w:val="21"/>
        </w:rPr>
      </w:pPr>
      <w:r w:rsidRPr="00BE4F5D">
        <w:rPr>
          <w:rFonts w:ascii="Arial" w:hAnsi="Arial" w:cs="Arial"/>
          <w:color w:val="000000" w:themeColor="text1"/>
          <w:sz w:val="21"/>
          <w:szCs w:val="21"/>
        </w:rPr>
        <w:t xml:space="preserve">La intención del legislador, de la cual dan cuenta los antecedentes legislativos de la norma </w:t>
      </w:r>
      <w:r w:rsidRPr="00BE4F5D">
        <w:rPr>
          <w:rFonts w:ascii="Arial" w:hAnsi="Arial" w:cs="Arial"/>
          <w:i/>
          <w:iCs/>
          <w:color w:val="000000" w:themeColor="text1"/>
          <w:sz w:val="21"/>
          <w:szCs w:val="21"/>
        </w:rPr>
        <w:t>sub examine</w:t>
      </w:r>
      <w:r w:rsidRPr="00BE4F5D">
        <w:rPr>
          <w:rFonts w:ascii="Arial" w:hAnsi="Arial" w:cs="Arial"/>
          <w:color w:val="000000" w:themeColor="text1"/>
          <w:sz w:val="21"/>
          <w:szCs w:val="21"/>
        </w:rPr>
        <w:t>, también justifica la interpretación propuesta por esta Agencia, ya que fue hasta el cuarto debate legislativo en donde se incluyó el parágrafo comentado anteriormente</w:t>
      </w:r>
      <w:r w:rsidRPr="00BE4F5D">
        <w:rPr>
          <w:rFonts w:ascii="Arial" w:hAnsi="Arial" w:cs="Arial"/>
          <w:color w:val="000000" w:themeColor="text1"/>
          <w:sz w:val="21"/>
          <w:szCs w:val="21"/>
          <w:vertAlign w:val="superscript"/>
        </w:rPr>
        <w:footnoteReference w:id="9"/>
      </w:r>
      <w:r w:rsidRPr="00BE4F5D">
        <w:rPr>
          <w:rFonts w:ascii="Arial" w:hAnsi="Arial" w:cs="Arial"/>
          <w:color w:val="000000" w:themeColor="text1"/>
          <w:sz w:val="21"/>
          <w:szCs w:val="21"/>
        </w:rPr>
        <w:t xml:space="preserve">, lo que deja ver la necesidad que tenía el Congreso de aclarar que unos documentos no podrían ser tenidos como requisitos habilitantes, lo que da cuenta, a su vez, del reconocimiento tácito de la existencia de otros </w:t>
      </w:r>
      <w:r w:rsidRPr="00BE4F5D">
        <w:rPr>
          <w:rFonts w:ascii="Arial" w:hAnsi="Arial" w:cs="Arial"/>
          <w:color w:val="000000" w:themeColor="text1"/>
          <w:sz w:val="21"/>
          <w:szCs w:val="21"/>
        </w:rPr>
        <w:lastRenderedPageBreak/>
        <w:t>requisitos habilitantes, distintos a los cuatro que establece el artículo 5, parágrafo 1, de la Ley 1150 de 2007, reglamentados en el artículo 2.2.1.1.1.5.3 del Decreto 1082 de 2015</w:t>
      </w:r>
      <w:r w:rsidRPr="00BE4F5D">
        <w:rPr>
          <w:rStyle w:val="Refdenotaalpie"/>
          <w:rFonts w:ascii="Arial" w:hAnsi="Arial" w:cs="Arial"/>
          <w:color w:val="000000" w:themeColor="text1"/>
          <w:sz w:val="21"/>
          <w:szCs w:val="21"/>
        </w:rPr>
        <w:footnoteReference w:id="10"/>
      </w:r>
      <w:r w:rsidRPr="00BE4F5D">
        <w:rPr>
          <w:rFonts w:ascii="Arial" w:hAnsi="Arial" w:cs="Arial"/>
          <w:color w:val="000000" w:themeColor="text1"/>
          <w:sz w:val="21"/>
          <w:szCs w:val="21"/>
        </w:rPr>
        <w:t>.</w:t>
      </w:r>
    </w:p>
    <w:p w14:paraId="6B280D31" w14:textId="77777777" w:rsidR="006A61DF" w:rsidRPr="00BE4F5D" w:rsidRDefault="006A61DF" w:rsidP="006A61DF">
      <w:pPr>
        <w:spacing w:before="120" w:line="276" w:lineRule="auto"/>
        <w:ind w:firstLine="709"/>
        <w:jc w:val="both"/>
        <w:rPr>
          <w:rFonts w:ascii="Arial" w:hAnsi="Arial" w:cs="Arial"/>
          <w:color w:val="000000" w:themeColor="text1"/>
          <w:sz w:val="21"/>
          <w:szCs w:val="21"/>
        </w:rPr>
      </w:pPr>
      <w:r w:rsidRPr="00BE4F5D">
        <w:rPr>
          <w:rFonts w:ascii="Arial" w:hAnsi="Arial" w:cs="Arial"/>
          <w:color w:val="000000" w:themeColor="text1"/>
          <w:sz w:val="21"/>
          <w:szCs w:val="21"/>
        </w:rPr>
        <w:t xml:space="preserve">Por otro lado, en el referido «Manual para determinar y verificar los requisitos habilitantes en los Procesos de Contratación» se determinaron los parámetros para </w:t>
      </w:r>
      <w:r w:rsidRPr="00BE4F5D">
        <w:rPr>
          <w:rFonts w:ascii="Arial" w:hAnsi="Arial" w:cs="Arial"/>
          <w:i/>
          <w:iCs/>
          <w:color w:val="000000" w:themeColor="text1"/>
          <w:sz w:val="21"/>
          <w:szCs w:val="21"/>
        </w:rPr>
        <w:t>establecer</w:t>
      </w:r>
      <w:r w:rsidRPr="00BE4F5D">
        <w:rPr>
          <w:rFonts w:ascii="Arial" w:hAnsi="Arial" w:cs="Arial"/>
          <w:color w:val="000000" w:themeColor="text1"/>
          <w:sz w:val="21"/>
          <w:szCs w:val="21"/>
        </w:rPr>
        <w:t xml:space="preserve">, </w:t>
      </w:r>
      <w:r w:rsidRPr="00BE4F5D">
        <w:rPr>
          <w:rFonts w:ascii="Arial" w:hAnsi="Arial" w:cs="Arial"/>
          <w:i/>
          <w:iCs/>
          <w:color w:val="000000" w:themeColor="text1"/>
          <w:sz w:val="21"/>
          <w:szCs w:val="21"/>
        </w:rPr>
        <w:t>acreditar</w:t>
      </w:r>
      <w:r w:rsidRPr="00BE4F5D">
        <w:rPr>
          <w:rFonts w:ascii="Arial" w:hAnsi="Arial" w:cs="Arial"/>
          <w:color w:val="000000" w:themeColor="text1"/>
          <w:sz w:val="21"/>
          <w:szCs w:val="21"/>
        </w:rPr>
        <w:t xml:space="preserve"> y </w:t>
      </w:r>
      <w:r w:rsidRPr="00BE4F5D">
        <w:rPr>
          <w:rFonts w:ascii="Arial" w:hAnsi="Arial" w:cs="Arial"/>
          <w:i/>
          <w:iCs/>
          <w:color w:val="000000" w:themeColor="text1"/>
          <w:sz w:val="21"/>
          <w:szCs w:val="21"/>
        </w:rPr>
        <w:t>subsanar</w:t>
      </w:r>
      <w:r w:rsidRPr="00BE4F5D">
        <w:rPr>
          <w:rFonts w:ascii="Arial" w:hAnsi="Arial" w:cs="Arial"/>
          <w:color w:val="000000" w:themeColor="text1"/>
          <w:sz w:val="21"/>
          <w:szCs w:val="21"/>
        </w:rPr>
        <w:t xml:space="preserve">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7A8F08E8" w14:textId="77777777" w:rsidR="006A61DF" w:rsidRPr="00BE4F5D" w:rsidRDefault="006A61DF" w:rsidP="006A61DF">
      <w:pPr>
        <w:spacing w:before="120" w:after="120" w:line="276" w:lineRule="auto"/>
        <w:ind w:firstLine="709"/>
        <w:jc w:val="both"/>
        <w:rPr>
          <w:rFonts w:ascii="Arial" w:hAnsi="Arial" w:cs="Arial"/>
          <w:color w:val="000000" w:themeColor="text1"/>
          <w:sz w:val="21"/>
          <w:szCs w:val="21"/>
        </w:rPr>
      </w:pPr>
      <w:r w:rsidRPr="00BE4F5D">
        <w:rPr>
          <w:rFonts w:ascii="Arial" w:hAnsi="Arial" w:cs="Arial"/>
          <w:color w:val="000000" w:themeColor="text1"/>
          <w:sz w:val="21"/>
          <w:szCs w:val="21"/>
        </w:rPr>
        <w:t xml:space="preserve">En consecuencia, corresponde a las entidades estatales, durante la etapa de planeación del contrato estatal, estudiar y </w:t>
      </w:r>
      <w:r w:rsidRPr="00BE4F5D">
        <w:rPr>
          <w:rFonts w:ascii="Arial" w:hAnsi="Arial" w:cs="Arial"/>
          <w:bCs/>
          <w:iCs/>
          <w:color w:val="000000" w:themeColor="text1"/>
          <w:sz w:val="21"/>
          <w:szCs w:val="21"/>
        </w:rPr>
        <w:t>determinar</w:t>
      </w:r>
      <w:r w:rsidRPr="00BE4F5D">
        <w:rPr>
          <w:rFonts w:ascii="Arial" w:hAnsi="Arial" w:cs="Arial"/>
          <w:color w:val="000000" w:themeColor="text1"/>
          <w:sz w:val="21"/>
          <w:szCs w:val="21"/>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BE4F5D">
        <w:rPr>
          <w:rFonts w:ascii="Arial" w:hAnsi="Arial" w:cs="Arial"/>
          <w:i/>
          <w:iCs/>
          <w:color w:val="000000" w:themeColor="text1"/>
          <w:sz w:val="21"/>
          <w:szCs w:val="21"/>
        </w:rPr>
        <w:t>riesgos</w:t>
      </w:r>
      <w:r w:rsidRPr="00BE4F5D">
        <w:rPr>
          <w:rFonts w:ascii="Arial" w:hAnsi="Arial" w:cs="Arial"/>
          <w:color w:val="000000" w:themeColor="text1"/>
          <w:sz w:val="21"/>
          <w:szCs w:val="21"/>
        </w:rPr>
        <w:t xml:space="preserve"> </w:t>
      </w:r>
      <w:r w:rsidRPr="00BE4F5D">
        <w:rPr>
          <w:rFonts w:ascii="Arial" w:hAnsi="Arial" w:cs="Arial"/>
          <w:i/>
          <w:iCs/>
          <w:color w:val="000000" w:themeColor="text1"/>
          <w:sz w:val="21"/>
          <w:szCs w:val="21"/>
        </w:rPr>
        <w:t>asociados al contrato</w:t>
      </w:r>
      <w:r w:rsidRPr="00BE4F5D">
        <w:rPr>
          <w:rFonts w:ascii="Arial" w:hAnsi="Arial" w:cs="Arial"/>
          <w:color w:val="000000" w:themeColor="text1"/>
          <w:sz w:val="21"/>
          <w:szCs w:val="21"/>
        </w:rPr>
        <w:t>, el plazo y la complejidad de ejecución del objeto</w:t>
      </w:r>
      <w:r w:rsidRPr="00BE4F5D">
        <w:rPr>
          <w:rStyle w:val="Refdenotaalpie"/>
          <w:rFonts w:ascii="Arial" w:hAnsi="Arial" w:cs="Arial"/>
          <w:b/>
          <w:color w:val="000000" w:themeColor="text1"/>
          <w:sz w:val="21"/>
          <w:szCs w:val="21"/>
          <w:lang w:eastAsia="es-ES_tradnl"/>
        </w:rPr>
        <w:footnoteReference w:id="11"/>
      </w:r>
      <w:r w:rsidRPr="00BE4F5D">
        <w:rPr>
          <w:rFonts w:ascii="Arial" w:hAnsi="Arial" w:cs="Arial"/>
          <w:color w:val="000000" w:themeColor="text1"/>
          <w:sz w:val="21"/>
          <w:szCs w:val="21"/>
        </w:rPr>
        <w:t xml:space="preserve">.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w:t>
      </w:r>
      <w:r w:rsidRPr="00BE4F5D">
        <w:rPr>
          <w:rFonts w:ascii="Arial" w:hAnsi="Arial" w:cs="Arial"/>
          <w:color w:val="000000" w:themeColor="text1"/>
          <w:sz w:val="21"/>
          <w:szCs w:val="21"/>
        </w:rPr>
        <w:lastRenderedPageBreak/>
        <w:t xml:space="preserve">1150 de 2007, relacionado con la prohibición de exigir certificaciones de sistemas de gestión de calidad como requisito habilitante. </w:t>
      </w:r>
    </w:p>
    <w:p w14:paraId="5C55B313" w14:textId="77777777" w:rsidR="006A61DF" w:rsidRPr="00BE4F5D" w:rsidRDefault="006A61DF" w:rsidP="006A61DF">
      <w:pPr>
        <w:spacing w:before="120" w:after="120" w:line="276" w:lineRule="auto"/>
        <w:ind w:firstLine="709"/>
        <w:jc w:val="both"/>
        <w:rPr>
          <w:rFonts w:ascii="Arial" w:hAnsi="Arial" w:cs="Arial"/>
          <w:color w:val="000000" w:themeColor="text1"/>
          <w:sz w:val="21"/>
          <w:szCs w:val="21"/>
        </w:rPr>
      </w:pPr>
      <w:r w:rsidRPr="00BE4F5D">
        <w:rPr>
          <w:rFonts w:ascii="Arial" w:hAnsi="Arial" w:cs="Arial"/>
          <w:color w:val="000000" w:themeColor="text1"/>
          <w:sz w:val="21"/>
          <w:szCs w:val="21"/>
        </w:rPr>
        <w:t xml:space="preserve">Entonces, la Entidad Estatal debe verificar si los oferentes cumplen o no los requisitos habilitantes. El cumplimiento de los requisitos habilitantes en un Proceso de contratación no otorga puntaje alguno, excepto en el caso de la experiencia de los consultores, que de conformidad con el numeral 4 del artículo 5 de la Ley 1150 de 2007, estos serán factores de calificación, al respecto: </w:t>
      </w:r>
    </w:p>
    <w:p w14:paraId="5EC3D769" w14:textId="77777777" w:rsidR="006A61DF" w:rsidRPr="00BE4F5D" w:rsidRDefault="006A61DF" w:rsidP="006A61DF">
      <w:pPr>
        <w:spacing w:before="120" w:after="120" w:line="276" w:lineRule="auto"/>
        <w:ind w:left="708"/>
        <w:jc w:val="both"/>
        <w:rPr>
          <w:rFonts w:ascii="Arial" w:hAnsi="Arial" w:cs="Arial"/>
          <w:color w:val="000000" w:themeColor="text1"/>
          <w:sz w:val="20"/>
          <w:szCs w:val="20"/>
        </w:rPr>
      </w:pPr>
      <w:r w:rsidRPr="00BE4F5D">
        <w:rPr>
          <w:rFonts w:ascii="Arial" w:hAnsi="Arial" w:cs="Arial"/>
          <w:color w:val="000000" w:themeColor="text1"/>
          <w:sz w:val="20"/>
          <w:szCs w:val="20"/>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1A2BCC7C" w14:textId="77777777" w:rsidR="006A61DF" w:rsidRPr="00BE4F5D" w:rsidRDefault="006A61DF" w:rsidP="006A61DF">
      <w:pPr>
        <w:spacing w:before="120" w:after="120" w:line="276" w:lineRule="auto"/>
        <w:ind w:firstLine="709"/>
        <w:jc w:val="both"/>
        <w:rPr>
          <w:rFonts w:ascii="Arial" w:hAnsi="Arial" w:cs="Arial"/>
          <w:color w:val="000000" w:themeColor="text1"/>
          <w:sz w:val="21"/>
          <w:szCs w:val="21"/>
        </w:rPr>
      </w:pPr>
      <w:r w:rsidRPr="00BE4F5D">
        <w:rPr>
          <w:rFonts w:ascii="Arial" w:hAnsi="Arial" w:cs="Arial"/>
          <w:color w:val="000000" w:themeColor="text1"/>
          <w:sz w:val="21"/>
          <w:szCs w:val="21"/>
        </w:rPr>
        <w:t>Ahora bien,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1D5075C2" w14:textId="77777777" w:rsidR="006A61DF" w:rsidRPr="00BE4F5D" w:rsidRDefault="006A61DF" w:rsidP="006A61DF">
      <w:pPr>
        <w:spacing w:before="120" w:after="120" w:line="276" w:lineRule="auto"/>
        <w:ind w:firstLine="709"/>
        <w:jc w:val="both"/>
        <w:rPr>
          <w:rFonts w:ascii="Arial" w:hAnsi="Arial" w:cs="Arial"/>
          <w:color w:val="000000" w:themeColor="text1"/>
          <w:sz w:val="21"/>
          <w:szCs w:val="21"/>
        </w:rPr>
      </w:pPr>
      <w:r w:rsidRPr="00BE4F5D">
        <w:rPr>
          <w:rFonts w:ascii="Arial" w:hAnsi="Arial" w:cs="Arial"/>
          <w:color w:val="000000" w:themeColor="text1"/>
          <w:sz w:val="21"/>
          <w:szCs w:val="21"/>
        </w:rPr>
        <w:t xml:space="preserve">El </w:t>
      </w:r>
      <w:r w:rsidRPr="00BE4F5D">
        <w:rPr>
          <w:rFonts w:ascii="Arial" w:hAnsi="Arial" w:cs="Arial"/>
          <w:i/>
          <w:iCs/>
          <w:color w:val="000000" w:themeColor="text1"/>
          <w:sz w:val="21"/>
          <w:szCs w:val="21"/>
        </w:rPr>
        <w:t>principio de autonomía de la voluntad</w:t>
      </w:r>
      <w:r w:rsidRPr="00BE4F5D">
        <w:rPr>
          <w:rFonts w:ascii="Arial" w:hAnsi="Arial" w:cs="Arial"/>
          <w:color w:val="000000" w:themeColor="text1"/>
          <w:sz w:val="21"/>
          <w:szCs w:val="21"/>
        </w:rPr>
        <w:t>,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32C25C9C" w14:textId="77777777" w:rsidR="006A61DF" w:rsidRPr="00BE4F5D" w:rsidRDefault="006A61DF" w:rsidP="006A61DF">
      <w:pPr>
        <w:spacing w:before="120" w:line="276" w:lineRule="auto"/>
        <w:ind w:firstLine="709"/>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como el sugerido en la consulta, la entidad la carga justificativa de la entidad en los estudios previos y análisis del sector del proceso de selección, de conformidad con el artículo 2.2.1.1.1.6.2 del Decreto 1082 de 2015.</w:t>
      </w:r>
    </w:p>
    <w:p w14:paraId="65678AEF" w14:textId="77777777" w:rsidR="006A61DF" w:rsidRPr="00BE4F5D" w:rsidRDefault="006A61DF" w:rsidP="006A61DF">
      <w:pPr>
        <w:tabs>
          <w:tab w:val="left" w:pos="426"/>
        </w:tabs>
        <w:spacing w:before="120" w:line="276" w:lineRule="auto"/>
        <w:ind w:firstLine="709"/>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 xml:space="preserve">Como conclusión de lo anterior, puede decirse que aunque la Ley 1150 de 2007 estableció unos requisitos habilitantes para los proponentes: la capacidad jurídica, las condiciones de </w:t>
      </w:r>
      <w:r w:rsidRPr="00BE4F5D">
        <w:rPr>
          <w:rFonts w:ascii="Arial" w:eastAsia="Calibri" w:hAnsi="Arial" w:cs="Arial"/>
          <w:color w:val="000000" w:themeColor="text1"/>
          <w:sz w:val="21"/>
          <w:szCs w:val="21"/>
        </w:rPr>
        <w:lastRenderedPageBreak/>
        <w:t xml:space="preserve">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 </w:t>
      </w:r>
    </w:p>
    <w:p w14:paraId="5049F0DA" w14:textId="77777777" w:rsidR="006A61DF" w:rsidRPr="00BE4F5D" w:rsidRDefault="006A61DF" w:rsidP="006A61DF">
      <w:pPr>
        <w:spacing w:after="120" w:line="276" w:lineRule="auto"/>
        <w:jc w:val="both"/>
        <w:rPr>
          <w:rFonts w:ascii="Arial" w:hAnsi="Arial" w:cs="Arial"/>
          <w:b/>
          <w:bCs/>
          <w:color w:val="000000" w:themeColor="text1"/>
          <w:sz w:val="21"/>
          <w:szCs w:val="21"/>
        </w:rPr>
      </w:pPr>
      <w:r w:rsidRPr="00BE4F5D">
        <w:rPr>
          <w:rFonts w:ascii="Arial" w:hAnsi="Arial" w:cs="Arial"/>
          <w:b/>
          <w:bCs/>
          <w:color w:val="000000" w:themeColor="text1"/>
          <w:sz w:val="21"/>
          <w:szCs w:val="21"/>
        </w:rPr>
        <w:t xml:space="preserve">2.3. Obligación del artículo 17 de la Ley 842 de 2003 </w:t>
      </w:r>
    </w:p>
    <w:p w14:paraId="3FA9C8F7" w14:textId="77777777" w:rsidR="006A61DF" w:rsidRPr="00BE4F5D" w:rsidRDefault="006A61DF" w:rsidP="006A61DF">
      <w:pPr>
        <w:spacing w:after="0" w:line="276" w:lineRule="auto"/>
        <w:contextualSpacing/>
        <w:jc w:val="both"/>
        <w:rPr>
          <w:rFonts w:ascii="Arial" w:hAnsi="Arial" w:cs="Arial"/>
          <w:color w:val="000000" w:themeColor="text1"/>
          <w:sz w:val="21"/>
          <w:szCs w:val="21"/>
        </w:rPr>
      </w:pPr>
      <w:r w:rsidRPr="00BE4F5D">
        <w:rPr>
          <w:rFonts w:ascii="Arial" w:hAnsi="Arial" w:cs="Arial"/>
          <w:color w:val="000000" w:themeColor="text1"/>
          <w:sz w:val="21"/>
          <w:szCs w:val="21"/>
        </w:rPr>
        <w:t xml:space="preserve">La Ley 842 de 2003, «Por la cual se modifica la reglamentación del ejercicio de la ingeniería, de sus profesiones afines y de sus profesiones auxiliares, se adopta el Código de Ética Profesional y se dictan otras disposiciones», en su artículo 17 establece una obligación para las personas jurídicas cuyas actividades corresponden al ejercicio de la ingeniería. En efecto, el artículo indicado establece la siguiente obligación legal: </w:t>
      </w:r>
    </w:p>
    <w:p w14:paraId="6F8F898A" w14:textId="77777777" w:rsidR="006A61DF" w:rsidRPr="00BE4F5D" w:rsidRDefault="006A61DF" w:rsidP="006A61DF">
      <w:pPr>
        <w:spacing w:after="0" w:line="276" w:lineRule="auto"/>
        <w:contextualSpacing/>
        <w:jc w:val="both"/>
        <w:rPr>
          <w:rFonts w:ascii="Arial" w:hAnsi="Arial" w:cs="Arial"/>
          <w:color w:val="000000" w:themeColor="text1"/>
          <w:sz w:val="21"/>
          <w:szCs w:val="21"/>
        </w:rPr>
      </w:pPr>
    </w:p>
    <w:p w14:paraId="709C5CDB" w14:textId="77777777" w:rsidR="006A61DF" w:rsidRPr="00BE4F5D" w:rsidRDefault="006A61DF" w:rsidP="006A61DF">
      <w:pPr>
        <w:spacing w:after="0" w:line="240" w:lineRule="auto"/>
        <w:ind w:left="709" w:right="709"/>
        <w:jc w:val="both"/>
        <w:rPr>
          <w:rFonts w:ascii="Arial" w:eastAsia="Calibri" w:hAnsi="Arial" w:cs="Arial"/>
          <w:color w:val="000000" w:themeColor="text1"/>
          <w:sz w:val="20"/>
          <w:szCs w:val="20"/>
        </w:rPr>
      </w:pPr>
      <w:r w:rsidRPr="00BE4F5D">
        <w:rPr>
          <w:rFonts w:ascii="Arial" w:eastAsia="Calibri" w:hAnsi="Arial" w:cs="Arial"/>
          <w:color w:val="000000" w:themeColor="text1"/>
          <w:sz w:val="20"/>
          <w:szCs w:val="20"/>
        </w:rPr>
        <w:t>Artículo 17. Responsabilidad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39A322CA" w14:textId="77777777" w:rsidR="006A61DF" w:rsidRPr="00BE4F5D" w:rsidRDefault="006A61DF" w:rsidP="006A61DF">
      <w:pPr>
        <w:spacing w:after="0" w:line="240" w:lineRule="auto"/>
        <w:ind w:left="709" w:right="709"/>
        <w:jc w:val="both"/>
        <w:rPr>
          <w:rFonts w:ascii="Arial" w:eastAsia="Calibri" w:hAnsi="Arial" w:cs="Arial"/>
          <w:color w:val="000000" w:themeColor="text1"/>
          <w:sz w:val="20"/>
          <w:szCs w:val="20"/>
        </w:rPr>
      </w:pPr>
    </w:p>
    <w:p w14:paraId="427A6225" w14:textId="77777777" w:rsidR="006A61DF" w:rsidRPr="00BE4F5D" w:rsidRDefault="006A61DF" w:rsidP="006A61DF">
      <w:pPr>
        <w:spacing w:after="0" w:line="240" w:lineRule="auto"/>
        <w:ind w:left="709" w:right="709"/>
        <w:jc w:val="both"/>
        <w:rPr>
          <w:rFonts w:ascii="Arial" w:eastAsia="Calibri" w:hAnsi="Arial" w:cs="Arial"/>
          <w:color w:val="000000" w:themeColor="text1"/>
          <w:sz w:val="20"/>
          <w:szCs w:val="20"/>
        </w:rPr>
      </w:pPr>
      <w:r w:rsidRPr="00BE4F5D">
        <w:rPr>
          <w:rFonts w:ascii="Arial" w:eastAsia="Calibri" w:hAnsi="Arial" w:cs="Arial"/>
          <w:color w:val="000000" w:themeColor="text1"/>
          <w:sz w:val="20"/>
          <w:szCs w:val="20"/>
        </w:rPr>
        <w:t>Parágrafo.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p>
    <w:p w14:paraId="6C13F935" w14:textId="77777777" w:rsidR="006A61DF" w:rsidRPr="00BE4F5D" w:rsidRDefault="006A61DF" w:rsidP="006A61DF">
      <w:pPr>
        <w:spacing w:after="0" w:line="240" w:lineRule="auto"/>
        <w:ind w:right="709"/>
        <w:jc w:val="both"/>
        <w:rPr>
          <w:rFonts w:ascii="Arial" w:eastAsia="Calibri" w:hAnsi="Arial" w:cs="Arial"/>
          <w:color w:val="000000" w:themeColor="text1"/>
          <w:sz w:val="20"/>
          <w:szCs w:val="20"/>
        </w:rPr>
      </w:pPr>
    </w:p>
    <w:p w14:paraId="554C694D" w14:textId="77777777" w:rsidR="006A61DF" w:rsidRPr="00BE4F5D" w:rsidRDefault="006A61DF" w:rsidP="006A61DF">
      <w:pPr>
        <w:tabs>
          <w:tab w:val="left" w:pos="709"/>
          <w:tab w:val="left" w:pos="851"/>
        </w:tabs>
        <w:spacing w:after="120"/>
        <w:jc w:val="both"/>
        <w:rPr>
          <w:rFonts w:ascii="Arial" w:hAnsi="Arial" w:cs="Arial"/>
          <w:color w:val="000000" w:themeColor="text1"/>
          <w:sz w:val="21"/>
          <w:szCs w:val="18"/>
        </w:rPr>
      </w:pPr>
      <w:r w:rsidRPr="00BE4F5D">
        <w:rPr>
          <w:rFonts w:ascii="Arial" w:eastAsia="Calibri" w:hAnsi="Arial" w:cs="Arial"/>
          <w:color w:val="000000" w:themeColor="text1"/>
          <w:sz w:val="21"/>
          <w:szCs w:val="21"/>
        </w:rPr>
        <w:tab/>
        <w:t xml:space="preserve">El artículo citado establece el deber para las personas jurídicas que se dedican a la actividad de la ingeniería, de </w:t>
      </w:r>
      <w:r w:rsidRPr="00BE4F5D">
        <w:rPr>
          <w:rFonts w:ascii="Arial" w:hAnsi="Arial" w:cs="Arial"/>
          <w:color w:val="000000" w:themeColor="text1"/>
          <w:sz w:val="21"/>
          <w:szCs w:val="18"/>
        </w:rPr>
        <w:t>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w:t>
      </w:r>
    </w:p>
    <w:p w14:paraId="6F70A355" w14:textId="77777777" w:rsidR="006A61DF" w:rsidRPr="00BE4F5D" w:rsidRDefault="006A61DF" w:rsidP="006A61DF">
      <w:pPr>
        <w:tabs>
          <w:tab w:val="left" w:pos="709"/>
          <w:tab w:val="left" w:pos="851"/>
        </w:tabs>
        <w:spacing w:after="120"/>
        <w:jc w:val="both"/>
        <w:rPr>
          <w:rFonts w:ascii="Arial" w:hAnsi="Arial" w:cs="Arial"/>
          <w:color w:val="000000" w:themeColor="text1"/>
          <w:sz w:val="21"/>
          <w:szCs w:val="18"/>
        </w:rPr>
      </w:pPr>
      <w:r w:rsidRPr="00BE4F5D">
        <w:rPr>
          <w:rFonts w:ascii="Arial" w:hAnsi="Arial" w:cs="Arial"/>
          <w:color w:val="000000" w:themeColor="text1"/>
          <w:sz w:val="21"/>
          <w:szCs w:val="18"/>
        </w:rPr>
        <w:tab/>
        <w:t>A diferencia de la norma citada, y a modo de ejemplo, el artículo 20 de la misma ley sí tiene una exigencia y relación directa con las propuestas presentadas en los procesos de licitación pública, al exigir que aquellas presentadas en procesos cuyo objeto implique el desarrollo de las actividades catalogadas como ejercicio de la ingeniería, deben estar avaladas ‒o abonadas‒ por un ingeniero inscrito y con tarjeta de matrícula profesional en la respectiva rama de la ingeniería. Así, dicha obligación se refiere al cumplimiento de un requisito impuesto por el legislador que deben cumplir los proponentes con la presentación de sus ofertas</w:t>
      </w:r>
      <w:r w:rsidRPr="00BE4F5D">
        <w:rPr>
          <w:rStyle w:val="Refdenotaalpie"/>
          <w:rFonts w:ascii="Arial" w:hAnsi="Arial" w:cs="Arial"/>
          <w:color w:val="000000" w:themeColor="text1"/>
          <w:sz w:val="21"/>
          <w:szCs w:val="18"/>
        </w:rPr>
        <w:footnoteReference w:id="12"/>
      </w:r>
      <w:r w:rsidRPr="00BE4F5D">
        <w:rPr>
          <w:rFonts w:ascii="Arial" w:hAnsi="Arial" w:cs="Arial"/>
          <w:color w:val="000000" w:themeColor="text1"/>
          <w:sz w:val="21"/>
          <w:szCs w:val="18"/>
        </w:rPr>
        <w:t xml:space="preserve">. Por el contrario, retomando el artículo 17 analizado, </w:t>
      </w:r>
      <w:r w:rsidRPr="00BE4F5D">
        <w:rPr>
          <w:rFonts w:ascii="Arial" w:hAnsi="Arial" w:cs="Arial"/>
          <w:color w:val="000000" w:themeColor="text1"/>
          <w:sz w:val="21"/>
          <w:szCs w:val="18"/>
        </w:rPr>
        <w:lastRenderedPageBreak/>
        <w:t>debe tenerse en cuenta que el parágrafo de la disposición citada establece la consecuencia concreta frente al incumplimiento del deber legal establecido en dicho artículo. Nótese que la consecuencia no se relaciona con la imposibilidad de participar en los procedimientos de selección o la exigencia de acreditar su cumplimiento en dichos procedimientos; sino que prescribe una sanción concreta para el representante legal de la sociedad que incumpla el deber establecido en la disposición, al señalarse que «se aplicarán las sanciones previstas para el ejercicio ilegal de la profesión y oficio reglamentado».</w:t>
      </w:r>
    </w:p>
    <w:p w14:paraId="4F36F774" w14:textId="77777777" w:rsidR="006A61DF" w:rsidRPr="00BE4F5D" w:rsidRDefault="006A61DF" w:rsidP="006A61DF">
      <w:pPr>
        <w:tabs>
          <w:tab w:val="left" w:pos="709"/>
          <w:tab w:val="left" w:pos="851"/>
        </w:tabs>
        <w:spacing w:after="120"/>
        <w:jc w:val="both"/>
        <w:rPr>
          <w:rFonts w:ascii="Arial" w:hAnsi="Arial" w:cs="Arial"/>
          <w:color w:val="000000" w:themeColor="text1"/>
          <w:sz w:val="21"/>
          <w:szCs w:val="18"/>
        </w:rPr>
      </w:pPr>
      <w:r w:rsidRPr="00BE4F5D">
        <w:rPr>
          <w:rFonts w:ascii="Arial" w:hAnsi="Arial" w:cs="Arial"/>
          <w:color w:val="000000" w:themeColor="text1"/>
          <w:sz w:val="21"/>
          <w:szCs w:val="18"/>
        </w:rPr>
        <w:tab/>
        <w:t>En tal sentido, la consecuencia aparejada al incumplimiento del deber establecido en el artículo 17 se dirige directamente a sancionar al representante legal de la sociedad, sin que se establezca alguna consecuencia frente a la capacidad de la sociedad para participar en procedimientos de selección de contratistas.</w:t>
      </w:r>
    </w:p>
    <w:bookmarkEnd w:id="2"/>
    <w:p w14:paraId="0ABFF57C" w14:textId="77777777" w:rsidR="006A61DF" w:rsidRPr="00BE4F5D" w:rsidRDefault="006A61DF" w:rsidP="006A61DF">
      <w:pPr>
        <w:tabs>
          <w:tab w:val="left" w:pos="709"/>
        </w:tabs>
        <w:spacing w:after="0" w:line="276" w:lineRule="auto"/>
        <w:contextualSpacing/>
        <w:jc w:val="both"/>
        <w:rPr>
          <w:rFonts w:ascii="Arial" w:eastAsia="Calibri" w:hAnsi="Arial" w:cs="Arial"/>
          <w:b/>
          <w:color w:val="000000" w:themeColor="text1"/>
          <w:sz w:val="21"/>
          <w:szCs w:val="21"/>
        </w:rPr>
      </w:pPr>
    </w:p>
    <w:p w14:paraId="01394F72" w14:textId="77777777" w:rsidR="006A61DF" w:rsidRPr="00BE4F5D" w:rsidRDefault="006A61DF" w:rsidP="006A61DF">
      <w:pPr>
        <w:tabs>
          <w:tab w:val="left" w:pos="709"/>
        </w:tabs>
        <w:spacing w:after="0" w:line="276" w:lineRule="auto"/>
        <w:contextualSpacing/>
        <w:jc w:val="both"/>
        <w:rPr>
          <w:rFonts w:ascii="Arial" w:eastAsia="Calibri" w:hAnsi="Arial" w:cs="Arial"/>
          <w:b/>
          <w:color w:val="000000" w:themeColor="text1"/>
          <w:sz w:val="21"/>
          <w:szCs w:val="21"/>
        </w:rPr>
      </w:pPr>
      <w:r w:rsidRPr="00BE4F5D">
        <w:rPr>
          <w:rFonts w:ascii="Arial" w:eastAsia="Calibri" w:hAnsi="Arial" w:cs="Arial"/>
          <w:b/>
          <w:color w:val="000000" w:themeColor="text1"/>
          <w:sz w:val="21"/>
          <w:szCs w:val="21"/>
        </w:rPr>
        <w:t>3. Respuesta</w:t>
      </w:r>
    </w:p>
    <w:p w14:paraId="0EA98123" w14:textId="77777777" w:rsidR="006A61DF" w:rsidRPr="00BE4F5D" w:rsidRDefault="006A61DF" w:rsidP="006A61DF">
      <w:pPr>
        <w:tabs>
          <w:tab w:val="left" w:pos="709"/>
        </w:tabs>
        <w:spacing w:after="0" w:line="276" w:lineRule="auto"/>
        <w:contextualSpacing/>
        <w:jc w:val="both"/>
        <w:rPr>
          <w:rFonts w:ascii="Arial" w:eastAsia="Calibri" w:hAnsi="Arial" w:cs="Arial"/>
          <w:b/>
          <w:color w:val="000000" w:themeColor="text1"/>
          <w:sz w:val="21"/>
          <w:szCs w:val="21"/>
        </w:rPr>
      </w:pPr>
    </w:p>
    <w:p w14:paraId="17CBE273" w14:textId="77777777" w:rsidR="006A61DF" w:rsidRPr="00BE4F5D" w:rsidRDefault="006A61DF" w:rsidP="006A61DF">
      <w:pPr>
        <w:pStyle w:val="Default"/>
        <w:ind w:left="708" w:right="899"/>
        <w:jc w:val="both"/>
        <w:rPr>
          <w:color w:val="000000" w:themeColor="text1"/>
          <w:sz w:val="20"/>
          <w:szCs w:val="20"/>
          <w:lang w:val="es-ES_tradnl"/>
        </w:rPr>
      </w:pPr>
      <w:r w:rsidRPr="00BE4F5D">
        <w:rPr>
          <w:color w:val="000000" w:themeColor="text1"/>
          <w:sz w:val="20"/>
          <w:szCs w:val="20"/>
          <w:lang w:val="es-ES_tradnl"/>
        </w:rPr>
        <w:t xml:space="preserve">«1. Teniendo en cuenta el efecto erga omnes de la mencionada Ley ¿Este requisito (Artículo 17) puede incluirse dentro de los pliegos de condiciones de un concurso de méritos como uno de los requisitos habilitantes? </w:t>
      </w:r>
    </w:p>
    <w:p w14:paraId="03BB26BE" w14:textId="77777777" w:rsidR="006A61DF" w:rsidRPr="00BE4F5D" w:rsidRDefault="006A61DF" w:rsidP="006A61DF">
      <w:pPr>
        <w:pStyle w:val="Default"/>
        <w:ind w:left="708" w:right="899"/>
        <w:jc w:val="both"/>
        <w:rPr>
          <w:color w:val="000000" w:themeColor="text1"/>
          <w:sz w:val="20"/>
          <w:szCs w:val="20"/>
          <w:lang w:val="es-ES_tradnl"/>
        </w:rPr>
      </w:pPr>
    </w:p>
    <w:p w14:paraId="3DC9F165" w14:textId="77777777" w:rsidR="006A61DF" w:rsidRPr="00BE4F5D" w:rsidRDefault="006A61DF" w:rsidP="006A61DF">
      <w:pPr>
        <w:pStyle w:val="Default"/>
        <w:spacing w:line="276" w:lineRule="auto"/>
        <w:ind w:right="48"/>
        <w:jc w:val="both"/>
        <w:rPr>
          <w:color w:val="000000" w:themeColor="text1"/>
          <w:sz w:val="21"/>
          <w:szCs w:val="21"/>
        </w:rPr>
      </w:pPr>
      <w:r w:rsidRPr="00BE4F5D">
        <w:rPr>
          <w:color w:val="000000" w:themeColor="text1"/>
          <w:sz w:val="21"/>
          <w:szCs w:val="21"/>
          <w:lang w:val="es-ES_tradnl"/>
        </w:rPr>
        <w:t xml:space="preserve">La obligación establecida en el artículo 17 de la Ley 842 de 2003, de incluir </w:t>
      </w:r>
      <w:r w:rsidRPr="00BE4F5D">
        <w:rPr>
          <w:color w:val="000000" w:themeColor="text1"/>
          <w:sz w:val="21"/>
          <w:szCs w:val="21"/>
        </w:rPr>
        <w:t>en su «nómina permanente» al menos a un profesional matriculado en la carrera correspondiente al objeto social de la persona jurídica, no establece una consecuencia particular frente a su incidencia en los procedimientos de selección 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w:t>
      </w:r>
    </w:p>
    <w:p w14:paraId="073E91E4" w14:textId="77777777" w:rsidR="006A61DF" w:rsidRPr="00BE4F5D" w:rsidRDefault="006A61DF" w:rsidP="006A61DF">
      <w:pPr>
        <w:pStyle w:val="Default"/>
        <w:spacing w:line="276" w:lineRule="auto"/>
        <w:ind w:right="48"/>
        <w:jc w:val="both"/>
        <w:rPr>
          <w:color w:val="000000" w:themeColor="text1"/>
          <w:sz w:val="21"/>
          <w:szCs w:val="21"/>
        </w:rPr>
      </w:pPr>
    </w:p>
    <w:p w14:paraId="066F79B3" w14:textId="1AAB65CF" w:rsidR="006A61DF" w:rsidRPr="00BE4F5D" w:rsidRDefault="006A61DF" w:rsidP="006A61DF">
      <w:pPr>
        <w:spacing w:after="120" w:line="276" w:lineRule="auto"/>
        <w:ind w:firstLine="708"/>
        <w:jc w:val="both"/>
        <w:rPr>
          <w:rFonts w:ascii="Arial" w:eastAsia="Times New Roman" w:hAnsi="Arial" w:cs="Arial"/>
          <w:color w:val="000000" w:themeColor="text1"/>
          <w:sz w:val="21"/>
          <w:szCs w:val="21"/>
          <w:bdr w:val="none" w:sz="0" w:space="0" w:color="auto" w:frame="1"/>
          <w:lang w:eastAsia="es-MX"/>
        </w:rPr>
      </w:pPr>
      <w:r w:rsidRPr="00BE4F5D">
        <w:rPr>
          <w:rFonts w:ascii="Arial" w:hAnsi="Arial" w:cs="Arial"/>
          <w:color w:val="000000" w:themeColor="text1"/>
          <w:sz w:val="21"/>
          <w:szCs w:val="21"/>
        </w:rPr>
        <w:t xml:space="preserve">Sin perjuicio de lo anterior, es importante poner de presente que, </w:t>
      </w:r>
      <w:r w:rsidRPr="00BE4F5D">
        <w:rPr>
          <w:rFonts w:ascii="Arial" w:eastAsia="Times New Roman" w:hAnsi="Arial" w:cs="Arial"/>
          <w:color w:val="000000" w:themeColor="text1"/>
          <w:sz w:val="21"/>
          <w:szCs w:val="21"/>
          <w:bdr w:val="none" w:sz="0" w:space="0" w:color="auto" w:frame="1"/>
          <w:lang w:eastAsia="es-MX"/>
        </w:rPr>
        <w:t xml:space="preserve">en nuestro ordenamiento jurídico, a efectos de la determinación de los requisitos habilitantes en cada proceso contractual, no existe una configuración taxativa. Por el contrario, las </w:t>
      </w:r>
      <w:r w:rsidR="4F5307DD" w:rsidRPr="00BE4F5D">
        <w:rPr>
          <w:rFonts w:ascii="Arial" w:eastAsia="Times New Roman" w:hAnsi="Arial" w:cs="Arial"/>
          <w:color w:val="000000" w:themeColor="text1"/>
          <w:sz w:val="21"/>
          <w:szCs w:val="21"/>
          <w:bdr w:val="none" w:sz="0" w:space="0" w:color="auto" w:frame="1"/>
          <w:lang w:eastAsia="es-MX"/>
        </w:rPr>
        <w:t>E</w:t>
      </w:r>
      <w:r w:rsidR="0914F3F0" w:rsidRPr="00BE4F5D">
        <w:rPr>
          <w:rFonts w:ascii="Arial" w:eastAsia="Times New Roman" w:hAnsi="Arial" w:cs="Arial"/>
          <w:color w:val="000000" w:themeColor="text1"/>
          <w:sz w:val="21"/>
          <w:szCs w:val="21"/>
          <w:bdr w:val="none" w:sz="0" w:space="0" w:color="auto" w:frame="1"/>
          <w:lang w:eastAsia="es-MX"/>
        </w:rPr>
        <w:t xml:space="preserve">ntidades </w:t>
      </w:r>
      <w:r w:rsidR="3B926E2E" w:rsidRPr="00BE4F5D">
        <w:rPr>
          <w:rFonts w:ascii="Arial" w:eastAsia="Times New Roman" w:hAnsi="Arial" w:cs="Arial"/>
          <w:color w:val="000000" w:themeColor="text1"/>
          <w:sz w:val="21"/>
          <w:szCs w:val="21"/>
          <w:bdr w:val="none" w:sz="0" w:space="0" w:color="auto" w:frame="1"/>
          <w:lang w:eastAsia="es-MX"/>
        </w:rPr>
        <w:t>E</w:t>
      </w:r>
      <w:r w:rsidRPr="00BE4F5D">
        <w:rPr>
          <w:rFonts w:ascii="Arial" w:eastAsia="Times New Roman" w:hAnsi="Arial" w:cs="Arial"/>
          <w:color w:val="000000" w:themeColor="text1"/>
          <w:sz w:val="21"/>
          <w:szCs w:val="21"/>
          <w:bdr w:val="none" w:sz="0" w:space="0" w:color="auto" w:frame="1"/>
          <w:lang w:eastAsia="es-MX"/>
        </w:rPr>
        <w:t xml:space="preserve">statales, en ejercicio de su autonomía de la voluntad, deben decidir el contenido de los requisitos habilitantes que en cada caso o proceso de selección permitirán comprobar que los eventuales oferentes puedan estar habilitados para participar. En ese sentido, las entidades estatales podrán optar por aplicar los requisitos habilitantes teniendo en cuenta lo establecido en el artículo 6 de la Ley 1150 de 2007 (numerales 1 y 4), o si opta por aplicar requisitos adicionales a estos, como, por ejemplo, lo establecido en el artículo 17 de la Ley 842 de 2003. </w:t>
      </w:r>
    </w:p>
    <w:p w14:paraId="7D9C7F65" w14:textId="77777777" w:rsidR="006A61DF" w:rsidRPr="00BE4F5D" w:rsidRDefault="006A61DF" w:rsidP="006A61DF">
      <w:pPr>
        <w:pStyle w:val="Default"/>
        <w:ind w:left="708" w:right="899"/>
        <w:jc w:val="both"/>
        <w:rPr>
          <w:color w:val="000000" w:themeColor="text1"/>
          <w:sz w:val="20"/>
          <w:szCs w:val="20"/>
          <w:lang w:val="es-ES_tradnl"/>
        </w:rPr>
      </w:pPr>
    </w:p>
    <w:p w14:paraId="77D04ECF" w14:textId="77777777" w:rsidR="006A61DF" w:rsidRPr="00BE4F5D" w:rsidRDefault="006A61DF" w:rsidP="006A61DF">
      <w:pPr>
        <w:pStyle w:val="Default"/>
        <w:ind w:left="708" w:right="899"/>
        <w:jc w:val="both"/>
        <w:rPr>
          <w:color w:val="000000" w:themeColor="text1"/>
          <w:sz w:val="20"/>
          <w:szCs w:val="20"/>
          <w:lang w:val="es-ES_tradnl"/>
        </w:rPr>
      </w:pPr>
      <w:r w:rsidRPr="00BE4F5D">
        <w:rPr>
          <w:color w:val="000000" w:themeColor="text1"/>
          <w:sz w:val="20"/>
          <w:szCs w:val="20"/>
          <w:lang w:val="es-ES_tradnl"/>
        </w:rPr>
        <w:t xml:space="preserve">2. Ahora bien, los proponentes que se presentan a las diferentes modalidades de selección en forma individual o conjunta, que realizan actividades de ingeniería total o parcialmente, pero que no demuestres que cuentan con personal en ingeniería dentro de su planta de trabajo o nómina permanente, ¿Tendrían que ser rechazados de los procesos de selección con entidades públicas? Insisto, causal de rechazo que sería consecuencia del efecto erga omnes de la ley. </w:t>
      </w:r>
    </w:p>
    <w:p w14:paraId="0D6C44A0" w14:textId="77777777" w:rsidR="006A61DF" w:rsidRPr="00BE4F5D" w:rsidRDefault="006A61DF" w:rsidP="006A61DF">
      <w:pPr>
        <w:pStyle w:val="Default"/>
        <w:ind w:right="899"/>
        <w:jc w:val="both"/>
        <w:rPr>
          <w:color w:val="000000" w:themeColor="text1"/>
          <w:sz w:val="20"/>
          <w:szCs w:val="20"/>
          <w:lang w:val="es-ES_tradnl"/>
        </w:rPr>
      </w:pPr>
    </w:p>
    <w:p w14:paraId="0D91777C" w14:textId="77777777" w:rsidR="006A61DF" w:rsidRPr="00BE4F5D" w:rsidRDefault="006A61DF" w:rsidP="006A61DF">
      <w:pPr>
        <w:tabs>
          <w:tab w:val="left" w:pos="8789"/>
        </w:tabs>
        <w:spacing w:after="0" w:line="276" w:lineRule="auto"/>
        <w:jc w:val="both"/>
        <w:rPr>
          <w:rFonts w:ascii="Arial" w:hAnsi="Arial" w:cs="Arial"/>
          <w:color w:val="000000" w:themeColor="text1"/>
          <w:sz w:val="21"/>
          <w:szCs w:val="21"/>
        </w:rPr>
      </w:pPr>
      <w:r w:rsidRPr="00BE4F5D">
        <w:rPr>
          <w:rFonts w:ascii="Arial" w:hAnsi="Arial" w:cs="Arial"/>
          <w:color w:val="000000" w:themeColor="text1"/>
          <w:sz w:val="21"/>
          <w:szCs w:val="21"/>
        </w:rPr>
        <w:t xml:space="preserve">De conformidad con las consideraciones de este concepto, se concluye que el artículo 17 de la Ley 842 de 2003 no establece ninguna consecuencia jurídica frente a la capacidad de la sociedad para participar en procedimientos de selección de contratistas. El incumplimiento de esta obligación no se encuentra establecida como causal de rechazo de las ofertas, a menos, que las Entidades Estatales en virtud del principio de la autonomía de la voluntad decidan incluirlo como requisito habilitante o como causal de rechazo de la oferta. </w:t>
      </w:r>
    </w:p>
    <w:p w14:paraId="20A17CDB" w14:textId="77777777" w:rsidR="006A61DF" w:rsidRPr="00BE4F5D" w:rsidRDefault="006A61DF" w:rsidP="006A61DF">
      <w:pPr>
        <w:tabs>
          <w:tab w:val="left" w:pos="8789"/>
        </w:tabs>
        <w:spacing w:after="0" w:line="276" w:lineRule="auto"/>
        <w:jc w:val="both"/>
        <w:rPr>
          <w:rFonts w:ascii="Arial" w:hAnsi="Arial" w:cs="Arial"/>
          <w:color w:val="000000" w:themeColor="text1"/>
          <w:sz w:val="21"/>
          <w:szCs w:val="21"/>
        </w:rPr>
      </w:pPr>
    </w:p>
    <w:p w14:paraId="6E3FA8DC" w14:textId="77777777" w:rsidR="006A61DF" w:rsidRPr="00BE4F5D" w:rsidRDefault="006A61DF" w:rsidP="006A61DF">
      <w:pPr>
        <w:spacing w:after="0" w:line="276" w:lineRule="auto"/>
        <w:ind w:firstLine="708"/>
        <w:jc w:val="both"/>
        <w:rPr>
          <w:rFonts w:ascii="Arial" w:hAnsi="Arial" w:cs="Arial"/>
          <w:color w:val="000000" w:themeColor="text1"/>
          <w:sz w:val="21"/>
          <w:szCs w:val="21"/>
        </w:rPr>
      </w:pPr>
      <w:r w:rsidRPr="00BE4F5D">
        <w:rPr>
          <w:rFonts w:ascii="Arial" w:hAnsi="Arial" w:cs="Arial"/>
          <w:color w:val="000000" w:themeColor="text1"/>
          <w:sz w:val="21"/>
          <w:szCs w:val="21"/>
        </w:rPr>
        <w:t>Debe destacarse, que la única consecuencia que se señala en la ley es la establecida en el parágrafo del artículo 17, relacionada con una sanción concreta para el representante legal de la sociedad que incumpla el deber establecido en la disposición, al contemplarse que «se aplicarán las sanciones previstas para el ejercicio ilegal de la profesión y oficio reglamentado».</w:t>
      </w:r>
    </w:p>
    <w:p w14:paraId="1B3DEED1" w14:textId="77777777" w:rsidR="006A61DF" w:rsidRPr="00BE4F5D" w:rsidRDefault="006A61DF" w:rsidP="006A61DF">
      <w:pPr>
        <w:pStyle w:val="Default"/>
        <w:ind w:left="708" w:right="899"/>
        <w:jc w:val="both"/>
        <w:rPr>
          <w:color w:val="000000" w:themeColor="text1"/>
          <w:sz w:val="20"/>
          <w:szCs w:val="20"/>
          <w:lang w:val="es-ES_tradnl"/>
        </w:rPr>
      </w:pPr>
    </w:p>
    <w:p w14:paraId="31FF9B2C" w14:textId="77777777" w:rsidR="006A61DF" w:rsidRPr="00BE4F5D" w:rsidRDefault="006A61DF" w:rsidP="006A61DF">
      <w:pPr>
        <w:pStyle w:val="Default"/>
        <w:spacing w:after="26"/>
        <w:ind w:left="708" w:right="899"/>
        <w:jc w:val="both"/>
        <w:rPr>
          <w:color w:val="000000" w:themeColor="text1"/>
          <w:sz w:val="20"/>
          <w:szCs w:val="20"/>
          <w:lang w:val="es-ES_tradnl"/>
        </w:rPr>
      </w:pPr>
      <w:r w:rsidRPr="00BE4F5D">
        <w:rPr>
          <w:color w:val="000000" w:themeColor="text1"/>
          <w:sz w:val="20"/>
          <w:szCs w:val="20"/>
          <w:lang w:val="es-ES_tradnl"/>
        </w:rPr>
        <w:t xml:space="preserve">3. ¿La aplicación de la Ley en comento debe exigirse como requisito jurídico y habilitante desde una entidad estatal para concursos de mérito de proyectos o contratos de consultoría en ingeniería de obras civiles? </w:t>
      </w:r>
    </w:p>
    <w:p w14:paraId="35F0B942" w14:textId="77777777" w:rsidR="006A61DF" w:rsidRPr="00BE4F5D" w:rsidRDefault="006A61DF" w:rsidP="006A61DF">
      <w:pPr>
        <w:pStyle w:val="Default"/>
        <w:spacing w:after="26"/>
        <w:ind w:left="708" w:right="899"/>
        <w:jc w:val="both"/>
        <w:rPr>
          <w:color w:val="000000" w:themeColor="text1"/>
          <w:sz w:val="20"/>
          <w:szCs w:val="20"/>
          <w:lang w:val="es-ES_tradnl"/>
        </w:rPr>
      </w:pPr>
      <w:r w:rsidRPr="00BE4F5D">
        <w:rPr>
          <w:color w:val="000000" w:themeColor="text1"/>
          <w:sz w:val="20"/>
          <w:szCs w:val="20"/>
          <w:lang w:val="es-ES_tradnl"/>
        </w:rPr>
        <w:t xml:space="preserve">4. ¿La aplicación de la Ley en comento debe exigirse como requisito jurídico y habilitante desde una entidad estatal para concursos de mérito de proyectos o contratos de Consultoría o interventoría en ingeniería de telecomunicaciones y electrónica? </w:t>
      </w:r>
    </w:p>
    <w:p w14:paraId="6EFFDD62" w14:textId="77777777" w:rsidR="006A61DF" w:rsidRPr="00BE4F5D" w:rsidRDefault="006A61DF" w:rsidP="006A61DF">
      <w:pPr>
        <w:pStyle w:val="Default"/>
        <w:spacing w:after="26"/>
        <w:ind w:left="708" w:right="899"/>
        <w:jc w:val="both"/>
        <w:rPr>
          <w:color w:val="000000" w:themeColor="text1"/>
          <w:sz w:val="20"/>
          <w:szCs w:val="20"/>
          <w:lang w:val="es-ES_tradnl"/>
        </w:rPr>
      </w:pPr>
      <w:r w:rsidRPr="00BE4F5D">
        <w:rPr>
          <w:color w:val="000000" w:themeColor="text1"/>
          <w:sz w:val="20"/>
          <w:szCs w:val="20"/>
          <w:lang w:val="es-ES_tradnl"/>
        </w:rPr>
        <w:t xml:space="preserve">5. ¿La aplicación de la Ley en comento debe exigirse como requisito jurídico y habilitante desde una entidad estatal para concursos de mérito de proyectos o contratos de Consultoría en ingeniería eléctrica (energía convencional y no convencional o alternativa)? </w:t>
      </w:r>
    </w:p>
    <w:p w14:paraId="68DCF295" w14:textId="77777777" w:rsidR="006A61DF" w:rsidRPr="00BE4F5D" w:rsidRDefault="006A61DF" w:rsidP="006A61DF">
      <w:pPr>
        <w:pStyle w:val="Default"/>
        <w:ind w:left="708" w:right="899"/>
        <w:jc w:val="both"/>
        <w:rPr>
          <w:color w:val="000000" w:themeColor="text1"/>
          <w:sz w:val="20"/>
          <w:szCs w:val="20"/>
          <w:lang w:val="es-ES_tradnl"/>
        </w:rPr>
      </w:pPr>
      <w:r w:rsidRPr="00BE4F5D">
        <w:rPr>
          <w:color w:val="000000" w:themeColor="text1"/>
          <w:sz w:val="20"/>
          <w:szCs w:val="20"/>
          <w:lang w:val="es-ES_tradnl"/>
        </w:rPr>
        <w:t>6. ¿La aplicación de la Ley en comento debe exigirse como requisito jurídico y habilitante desde una entidad estatal para concursos de mérito de proyectos o contratos de Consultoría de proyectos de ingeniería de sistemas de información?»</w:t>
      </w:r>
    </w:p>
    <w:p w14:paraId="7F53333D" w14:textId="77777777" w:rsidR="006A61DF" w:rsidRPr="00BE4F5D" w:rsidRDefault="006A61DF" w:rsidP="006A61DF">
      <w:pPr>
        <w:spacing w:after="120" w:line="276" w:lineRule="auto"/>
        <w:jc w:val="both"/>
        <w:rPr>
          <w:rFonts w:ascii="Arial" w:hAnsi="Arial" w:cs="Arial"/>
          <w:color w:val="000000" w:themeColor="text1"/>
          <w:sz w:val="21"/>
          <w:szCs w:val="21"/>
        </w:rPr>
      </w:pPr>
    </w:p>
    <w:p w14:paraId="35E1A7B1" w14:textId="00EDE646" w:rsidR="006A61DF" w:rsidRPr="00BE4F5D" w:rsidRDefault="006A61DF" w:rsidP="006A61DF">
      <w:pPr>
        <w:tabs>
          <w:tab w:val="left" w:pos="426"/>
        </w:tabs>
        <w:spacing w:before="120" w:line="276" w:lineRule="auto"/>
        <w:ind w:firstLine="709"/>
        <w:jc w:val="both"/>
        <w:rPr>
          <w:rFonts w:ascii="Arial" w:eastAsia="Calibri" w:hAnsi="Arial" w:cs="Arial"/>
          <w:bCs/>
          <w:color w:val="000000" w:themeColor="text1"/>
          <w:sz w:val="21"/>
          <w:szCs w:val="21"/>
        </w:rPr>
      </w:pPr>
      <w:r w:rsidRPr="00BE4F5D">
        <w:rPr>
          <w:rFonts w:ascii="Arial" w:hAnsi="Arial" w:cs="Arial"/>
          <w:color w:val="000000" w:themeColor="text1"/>
          <w:sz w:val="21"/>
          <w:szCs w:val="21"/>
        </w:rPr>
        <w:t xml:space="preserve">Se reitera, que la Ley 1150 de 2007, en el numeral 1, estableció unos requisitos habilitantes para los proponentes: </w:t>
      </w:r>
      <w:r w:rsidRPr="00BE4F5D">
        <w:rPr>
          <w:rFonts w:ascii="Arial" w:eastAsia="Calibri" w:hAnsi="Arial" w:cs="Arial"/>
          <w:color w:val="000000" w:themeColor="text1"/>
          <w:sz w:val="21"/>
          <w:szCs w:val="21"/>
        </w:rPr>
        <w:t xml:space="preserve">la capacidad jurídica, las condiciones de experiencia, la capacidad financiera y la capacidad de organización, haciendo la salvedad, que, para el </w:t>
      </w:r>
      <w:r w:rsidR="2CC9608F" w:rsidRPr="3182D37E">
        <w:rPr>
          <w:rFonts w:ascii="Arial" w:eastAsia="Calibri" w:hAnsi="Arial" w:cs="Arial"/>
          <w:color w:val="000000" w:themeColor="text1"/>
          <w:sz w:val="21"/>
          <w:szCs w:val="21"/>
        </w:rPr>
        <w:t>P</w:t>
      </w:r>
      <w:r w:rsidRPr="00BE4F5D">
        <w:rPr>
          <w:rFonts w:ascii="Arial" w:eastAsia="Calibri" w:hAnsi="Arial" w:cs="Arial"/>
          <w:color w:val="000000" w:themeColor="text1"/>
          <w:sz w:val="21"/>
          <w:szCs w:val="21"/>
        </w:rPr>
        <w:t xml:space="preserve">roceso de </w:t>
      </w:r>
      <w:r w:rsidR="682F753F" w:rsidRPr="3182D37E">
        <w:rPr>
          <w:rFonts w:ascii="Arial" w:eastAsia="Calibri" w:hAnsi="Arial" w:cs="Arial"/>
          <w:color w:val="000000" w:themeColor="text1"/>
          <w:sz w:val="21"/>
          <w:szCs w:val="21"/>
        </w:rPr>
        <w:t>Contratación</w:t>
      </w:r>
      <w:r w:rsidRPr="00BE4F5D">
        <w:rPr>
          <w:rFonts w:ascii="Arial" w:eastAsia="Calibri" w:hAnsi="Arial" w:cs="Arial"/>
          <w:color w:val="000000" w:themeColor="text1"/>
          <w:sz w:val="21"/>
          <w:szCs w:val="21"/>
        </w:rPr>
        <w:t xml:space="preserve"> de consultores, la experiencia será un factor de calificación (numeral 4), en todo caso, los requisitos habilitantes mencionados no son taxativos, y estos pueden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 </w:t>
      </w:r>
    </w:p>
    <w:p w14:paraId="2CEB06F2" w14:textId="77777777" w:rsidR="006A61DF" w:rsidRPr="00BE4F5D" w:rsidRDefault="006A61DF" w:rsidP="006A61DF">
      <w:pPr>
        <w:spacing w:after="120" w:line="276" w:lineRule="auto"/>
        <w:ind w:firstLine="708"/>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lastRenderedPageBreak/>
        <w:t xml:space="preserve">Por lo tanto, dependerá de la entidad estatal si en virtud de su autonomía de la voluntad y discreción deciden que los proponentes deben </w:t>
      </w:r>
      <w:r w:rsidRPr="00BE4F5D">
        <w:rPr>
          <w:rFonts w:ascii="Arial" w:hAnsi="Arial" w:cs="Arial"/>
          <w:color w:val="000000" w:themeColor="text1"/>
          <w:sz w:val="21"/>
          <w:szCs w:val="18"/>
        </w:rPr>
        <w:t xml:space="preserve">incluir en su «nómina permanente» al menos a un profesional matriculado en la carrera correspondiente al objeto social de la persona jurídica, como requisito habilitante para el proceso de selección de consultores.. </w:t>
      </w:r>
    </w:p>
    <w:p w14:paraId="060EB644" w14:textId="4C763A81" w:rsidR="006A61DF" w:rsidRDefault="006A61DF" w:rsidP="00A9321B">
      <w:pPr>
        <w:spacing w:after="0" w:line="276" w:lineRule="auto"/>
        <w:contextualSpacing/>
        <w:jc w:val="both"/>
        <w:rPr>
          <w:rFonts w:ascii="Arial" w:eastAsia="Calibri" w:hAnsi="Arial" w:cs="Arial"/>
          <w:color w:val="000000" w:themeColor="text1"/>
          <w:sz w:val="21"/>
          <w:szCs w:val="21"/>
        </w:rPr>
      </w:pPr>
      <w:r w:rsidRPr="00BE4F5D">
        <w:rPr>
          <w:rFonts w:ascii="Arial" w:eastAsia="Calibri" w:hAnsi="Arial" w:cs="Arial"/>
          <w:color w:val="000000" w:themeColor="text1"/>
          <w:sz w:val="21"/>
          <w:szCs w:val="21"/>
        </w:rPr>
        <w:t>Este concepto tiene el alcance previsto en el artículo 28 del Código de Procedimiento Administrativo y de lo Contencioso Administrativo</w:t>
      </w:r>
      <w:r w:rsidR="00F57D04">
        <w:rPr>
          <w:rFonts w:ascii="Arial" w:eastAsia="Calibri" w:hAnsi="Arial" w:cs="Arial"/>
          <w:color w:val="000000" w:themeColor="text1"/>
          <w:sz w:val="21"/>
          <w:szCs w:val="21"/>
        </w:rPr>
        <w:t xml:space="preserve">. </w:t>
      </w:r>
    </w:p>
    <w:p w14:paraId="46A0E60D" w14:textId="77777777" w:rsidR="00A9321B" w:rsidRPr="00BE4F5D" w:rsidRDefault="00A9321B" w:rsidP="00A9321B">
      <w:pPr>
        <w:spacing w:after="0" w:line="276" w:lineRule="auto"/>
        <w:contextualSpacing/>
        <w:jc w:val="both"/>
        <w:rPr>
          <w:rFonts w:ascii="Arial" w:eastAsia="Calibri" w:hAnsi="Arial" w:cs="Arial"/>
          <w:color w:val="000000" w:themeColor="text1"/>
          <w:sz w:val="21"/>
          <w:szCs w:val="21"/>
        </w:rPr>
      </w:pPr>
    </w:p>
    <w:p w14:paraId="7D7307F2" w14:textId="77777777" w:rsidR="006A61DF" w:rsidRPr="00BE4F5D" w:rsidRDefault="006A61DF" w:rsidP="006A61DF">
      <w:pPr>
        <w:spacing w:line="276" w:lineRule="auto"/>
        <w:contextualSpacing/>
        <w:jc w:val="both"/>
        <w:rPr>
          <w:rFonts w:ascii="Arial" w:hAnsi="Arial" w:cs="Arial"/>
          <w:color w:val="000000" w:themeColor="text1"/>
          <w:sz w:val="21"/>
          <w:szCs w:val="21"/>
          <w:lang w:eastAsia="es-CO"/>
        </w:rPr>
      </w:pPr>
      <w:r w:rsidRPr="00BE4F5D">
        <w:rPr>
          <w:rFonts w:ascii="Arial" w:hAnsi="Arial" w:cs="Arial"/>
          <w:color w:val="000000" w:themeColor="text1"/>
          <w:sz w:val="21"/>
          <w:szCs w:val="21"/>
          <w:lang w:eastAsia="es-CO"/>
        </w:rPr>
        <w:t>Atentamente,</w:t>
      </w:r>
    </w:p>
    <w:p w14:paraId="4104C66D" w14:textId="77777777" w:rsidR="006A61DF" w:rsidRPr="00BE4F5D" w:rsidRDefault="006A61DF" w:rsidP="006A61DF">
      <w:pPr>
        <w:spacing w:line="276" w:lineRule="auto"/>
        <w:jc w:val="both"/>
        <w:rPr>
          <w:rFonts w:ascii="Arial" w:eastAsia="Arial" w:hAnsi="Arial" w:cs="Arial"/>
          <w:color w:val="000000" w:themeColor="text1"/>
          <w:sz w:val="21"/>
          <w:szCs w:val="21"/>
          <w:lang w:eastAsia="es-ES_tradnl"/>
        </w:rPr>
      </w:pPr>
    </w:p>
    <w:p w14:paraId="6F3D12A5" w14:textId="6C75F40C" w:rsidR="006A61DF" w:rsidRDefault="006A61DF" w:rsidP="006A61DF">
      <w:pPr>
        <w:spacing w:line="276" w:lineRule="auto"/>
        <w:jc w:val="center"/>
        <w:rPr>
          <w:rFonts w:ascii="Arial" w:eastAsia="Arial" w:hAnsi="Arial" w:cs="Arial"/>
          <w:color w:val="000000" w:themeColor="text1"/>
          <w:sz w:val="21"/>
          <w:szCs w:val="21"/>
          <w:lang w:eastAsia="es-ES_tradnl"/>
        </w:rPr>
      </w:pPr>
    </w:p>
    <w:p w14:paraId="042061CE" w14:textId="41BB97E1" w:rsidR="00136737" w:rsidRPr="00BE4F5D" w:rsidRDefault="00136737" w:rsidP="006A61DF">
      <w:pPr>
        <w:spacing w:line="276" w:lineRule="auto"/>
        <w:jc w:val="center"/>
        <w:rPr>
          <w:rFonts w:ascii="Arial" w:eastAsia="Arial" w:hAnsi="Arial" w:cs="Arial"/>
          <w:color w:val="000000" w:themeColor="text1"/>
          <w:sz w:val="21"/>
          <w:szCs w:val="21"/>
          <w:lang w:eastAsia="es-ES_tradnl"/>
        </w:rPr>
      </w:pPr>
      <w:r>
        <w:rPr>
          <w:noProof/>
        </w:rPr>
        <w:drawing>
          <wp:inline distT="0" distB="0" distL="0" distR="0" wp14:anchorId="54BE6A2E" wp14:editId="27FC3F94">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150135FC" w14:textId="77777777" w:rsidR="006A61DF" w:rsidRPr="00BE4F5D" w:rsidRDefault="006A61DF" w:rsidP="006A61DF">
      <w:pPr>
        <w:spacing w:line="276" w:lineRule="auto"/>
        <w:jc w:val="center"/>
        <w:rPr>
          <w:rFonts w:ascii="Arial" w:hAnsi="Arial" w:cs="Arial"/>
          <w:color w:val="000000" w:themeColor="text1"/>
          <w:sz w:val="21"/>
          <w:szCs w:val="21"/>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A61DF" w:rsidRPr="00BE4F5D" w14:paraId="79C17391" w14:textId="77777777" w:rsidTr="002A31BA">
        <w:trPr>
          <w:trHeight w:val="315"/>
        </w:trPr>
        <w:tc>
          <w:tcPr>
            <w:tcW w:w="812" w:type="dxa"/>
            <w:vAlign w:val="center"/>
            <w:hideMark/>
          </w:tcPr>
          <w:p w14:paraId="6A80C9B4" w14:textId="77777777" w:rsidR="006A61DF" w:rsidRPr="00BE4F5D" w:rsidRDefault="006A61DF" w:rsidP="002A31BA">
            <w:pPr>
              <w:jc w:val="both"/>
              <w:rPr>
                <w:rFonts w:ascii="Arial" w:hAnsi="Arial" w:cs="Arial"/>
                <w:color w:val="000000" w:themeColor="text1"/>
                <w:sz w:val="13"/>
                <w:szCs w:val="13"/>
                <w:lang w:eastAsia="es-ES"/>
              </w:rPr>
            </w:pPr>
            <w:r w:rsidRPr="00BE4F5D">
              <w:rPr>
                <w:rFonts w:ascii="Arial" w:hAnsi="Arial" w:cs="Arial"/>
                <w:color w:val="000000" w:themeColor="text1"/>
                <w:sz w:val="13"/>
                <w:szCs w:val="13"/>
                <w:lang w:eastAsia="es-ES"/>
              </w:rPr>
              <w:t>Elaboró:</w:t>
            </w:r>
          </w:p>
        </w:tc>
        <w:tc>
          <w:tcPr>
            <w:tcW w:w="4413" w:type="dxa"/>
            <w:tcBorders>
              <w:top w:val="nil"/>
              <w:left w:val="nil"/>
              <w:bottom w:val="dotted" w:sz="4" w:space="0" w:color="7F7F7F" w:themeColor="text1" w:themeTint="80"/>
              <w:right w:val="nil"/>
            </w:tcBorders>
            <w:vAlign w:val="center"/>
            <w:hideMark/>
          </w:tcPr>
          <w:p w14:paraId="69C6F154" w14:textId="77777777" w:rsidR="006A61DF" w:rsidRPr="00BE4F5D" w:rsidRDefault="006A61DF" w:rsidP="002A31BA">
            <w:pPr>
              <w:rPr>
                <w:rFonts w:ascii="Arial" w:hAnsi="Arial" w:cs="Arial"/>
                <w:color w:val="000000" w:themeColor="text1"/>
                <w:sz w:val="13"/>
                <w:szCs w:val="13"/>
                <w:lang w:eastAsia="es-ES"/>
              </w:rPr>
            </w:pPr>
            <w:r w:rsidRPr="00BE4F5D">
              <w:rPr>
                <w:rFonts w:ascii="Arial" w:hAnsi="Arial" w:cs="Arial"/>
                <w:color w:val="000000" w:themeColor="text1"/>
                <w:sz w:val="13"/>
                <w:szCs w:val="13"/>
                <w:lang w:eastAsia="es-ES"/>
              </w:rPr>
              <w:t xml:space="preserve">Álvaro </w:t>
            </w:r>
            <w:proofErr w:type="spellStart"/>
            <w:r w:rsidRPr="00BE4F5D">
              <w:rPr>
                <w:rFonts w:ascii="Arial" w:hAnsi="Arial" w:cs="Arial"/>
                <w:color w:val="000000" w:themeColor="text1"/>
                <w:sz w:val="13"/>
                <w:szCs w:val="13"/>
                <w:lang w:eastAsia="es-ES"/>
              </w:rPr>
              <w:t>Namén</w:t>
            </w:r>
            <w:proofErr w:type="spellEnd"/>
            <w:r w:rsidRPr="00BE4F5D">
              <w:rPr>
                <w:rFonts w:ascii="Arial" w:hAnsi="Arial" w:cs="Arial"/>
                <w:color w:val="000000" w:themeColor="text1"/>
                <w:sz w:val="13"/>
                <w:szCs w:val="13"/>
                <w:lang w:eastAsia="es-ES"/>
              </w:rPr>
              <w:t xml:space="preserve"> Vargas</w:t>
            </w:r>
          </w:p>
          <w:p w14:paraId="102515C9" w14:textId="77777777" w:rsidR="006A61DF" w:rsidRPr="00BE4F5D" w:rsidRDefault="006A61DF" w:rsidP="002A31BA">
            <w:pPr>
              <w:jc w:val="both"/>
              <w:rPr>
                <w:rFonts w:ascii="Arial" w:hAnsi="Arial" w:cs="Arial"/>
                <w:color w:val="000000" w:themeColor="text1"/>
                <w:sz w:val="13"/>
                <w:szCs w:val="13"/>
                <w:lang w:eastAsia="es-ES"/>
              </w:rPr>
            </w:pPr>
            <w:r w:rsidRPr="00BE4F5D">
              <w:rPr>
                <w:rFonts w:ascii="Arial" w:hAnsi="Arial" w:cs="Arial"/>
                <w:color w:val="000000" w:themeColor="text1"/>
                <w:sz w:val="13"/>
                <w:szCs w:val="13"/>
                <w:lang w:eastAsia="es-ES"/>
              </w:rPr>
              <w:t xml:space="preserve">Contratista de la Subdirección de Gestión Contractual  </w:t>
            </w:r>
          </w:p>
        </w:tc>
      </w:tr>
      <w:tr w:rsidR="006A61DF" w:rsidRPr="00BE4F5D" w14:paraId="6902F3A4" w14:textId="77777777" w:rsidTr="002A31BA">
        <w:trPr>
          <w:trHeight w:val="330"/>
        </w:trPr>
        <w:tc>
          <w:tcPr>
            <w:tcW w:w="812" w:type="dxa"/>
            <w:vAlign w:val="center"/>
            <w:hideMark/>
          </w:tcPr>
          <w:p w14:paraId="0D7B80AF" w14:textId="77777777" w:rsidR="006A61DF" w:rsidRPr="00BE4F5D" w:rsidRDefault="006A61DF" w:rsidP="002A31BA">
            <w:pPr>
              <w:jc w:val="both"/>
              <w:rPr>
                <w:rFonts w:ascii="Arial" w:hAnsi="Arial" w:cs="Arial"/>
                <w:color w:val="000000" w:themeColor="text1"/>
                <w:sz w:val="13"/>
                <w:szCs w:val="13"/>
                <w:lang w:eastAsia="es-ES"/>
              </w:rPr>
            </w:pPr>
            <w:r w:rsidRPr="00BE4F5D">
              <w:rPr>
                <w:rFonts w:ascii="Arial" w:hAnsi="Arial" w:cs="Arial"/>
                <w:color w:val="000000" w:themeColor="text1"/>
                <w:sz w:val="13"/>
                <w:szCs w:val="13"/>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04688E" w14:textId="339646EE" w:rsidR="006A61DF" w:rsidRPr="00BE4F5D" w:rsidRDefault="002C7336" w:rsidP="002A31BA">
            <w:pPr>
              <w:jc w:val="both"/>
              <w:rPr>
                <w:rFonts w:ascii="Arial" w:hAnsi="Arial" w:cs="Arial"/>
                <w:color w:val="000000" w:themeColor="text1"/>
                <w:sz w:val="13"/>
                <w:szCs w:val="13"/>
                <w:lang w:eastAsia="es-ES"/>
              </w:rPr>
            </w:pPr>
            <w:r w:rsidRPr="00BE4F5D">
              <w:rPr>
                <w:rFonts w:ascii="Arial" w:hAnsi="Arial" w:cs="Arial"/>
                <w:color w:val="000000" w:themeColor="text1"/>
                <w:sz w:val="13"/>
                <w:szCs w:val="13"/>
                <w:lang w:eastAsia="es-ES"/>
              </w:rPr>
              <w:t xml:space="preserve">Nathalia Urrego Jiménez </w:t>
            </w:r>
          </w:p>
          <w:p w14:paraId="022BE528" w14:textId="77777777" w:rsidR="006A61DF" w:rsidRPr="00BE4F5D" w:rsidRDefault="006A61DF" w:rsidP="002A31BA">
            <w:pPr>
              <w:jc w:val="both"/>
              <w:rPr>
                <w:rFonts w:ascii="Arial" w:hAnsi="Arial" w:cs="Arial"/>
                <w:color w:val="000000" w:themeColor="text1"/>
                <w:sz w:val="13"/>
                <w:szCs w:val="13"/>
                <w:lang w:eastAsia="es-ES"/>
              </w:rPr>
            </w:pPr>
            <w:r w:rsidRPr="00BE4F5D">
              <w:rPr>
                <w:rFonts w:ascii="Arial" w:hAnsi="Arial" w:cs="Arial"/>
                <w:color w:val="000000" w:themeColor="text1"/>
                <w:sz w:val="13"/>
                <w:szCs w:val="13"/>
                <w:lang w:eastAsia="es-ES"/>
              </w:rPr>
              <w:t>Contratista de la Subdirección de Gestión Contractual</w:t>
            </w:r>
          </w:p>
        </w:tc>
      </w:tr>
      <w:tr w:rsidR="006A61DF" w:rsidRPr="00BE4F5D" w14:paraId="143131C2" w14:textId="77777777" w:rsidTr="002A31BA">
        <w:trPr>
          <w:trHeight w:val="300"/>
        </w:trPr>
        <w:tc>
          <w:tcPr>
            <w:tcW w:w="812" w:type="dxa"/>
            <w:vAlign w:val="center"/>
            <w:hideMark/>
          </w:tcPr>
          <w:p w14:paraId="3149B8B1" w14:textId="77777777" w:rsidR="006A61DF" w:rsidRPr="00BE4F5D" w:rsidRDefault="006A61DF" w:rsidP="002A31BA">
            <w:pPr>
              <w:jc w:val="both"/>
              <w:rPr>
                <w:rFonts w:ascii="Arial" w:hAnsi="Arial" w:cs="Arial"/>
                <w:color w:val="000000" w:themeColor="text1"/>
                <w:sz w:val="13"/>
                <w:szCs w:val="13"/>
                <w:lang w:eastAsia="es-ES"/>
              </w:rPr>
            </w:pPr>
            <w:r w:rsidRPr="00BE4F5D">
              <w:rPr>
                <w:rFonts w:ascii="Arial" w:hAnsi="Arial" w:cs="Arial"/>
                <w:color w:val="000000" w:themeColor="text1"/>
                <w:sz w:val="13"/>
                <w:szCs w:val="13"/>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3F2E2C" w14:textId="77777777" w:rsidR="006A61DF" w:rsidRPr="00BE4F5D" w:rsidRDefault="006A61DF" w:rsidP="002A31BA">
            <w:pPr>
              <w:jc w:val="both"/>
              <w:rPr>
                <w:rFonts w:ascii="Arial" w:hAnsi="Arial" w:cs="Arial"/>
                <w:color w:val="000000" w:themeColor="text1"/>
                <w:sz w:val="13"/>
                <w:szCs w:val="13"/>
                <w:lang w:eastAsia="es-ES"/>
              </w:rPr>
            </w:pPr>
            <w:r w:rsidRPr="00BE4F5D">
              <w:rPr>
                <w:rFonts w:ascii="Arial" w:hAnsi="Arial" w:cs="Arial"/>
                <w:color w:val="000000" w:themeColor="text1"/>
                <w:sz w:val="13"/>
                <w:szCs w:val="13"/>
                <w:lang w:eastAsia="es-ES"/>
              </w:rPr>
              <w:t xml:space="preserve">Nohelia del Carmen </w:t>
            </w:r>
            <w:proofErr w:type="spellStart"/>
            <w:r w:rsidRPr="00BE4F5D">
              <w:rPr>
                <w:rFonts w:ascii="Arial" w:hAnsi="Arial" w:cs="Arial"/>
                <w:color w:val="000000" w:themeColor="text1"/>
                <w:sz w:val="13"/>
                <w:szCs w:val="13"/>
                <w:lang w:eastAsia="es-ES"/>
              </w:rPr>
              <w:t>Zawady</w:t>
            </w:r>
            <w:proofErr w:type="spellEnd"/>
            <w:r w:rsidRPr="00BE4F5D">
              <w:rPr>
                <w:rFonts w:ascii="Arial" w:hAnsi="Arial" w:cs="Arial"/>
                <w:color w:val="000000" w:themeColor="text1"/>
                <w:sz w:val="13"/>
                <w:szCs w:val="13"/>
                <w:lang w:eastAsia="es-ES"/>
              </w:rPr>
              <w:t xml:space="preserve"> Palacio </w:t>
            </w:r>
          </w:p>
          <w:p w14:paraId="36DB3FF4" w14:textId="77777777" w:rsidR="006A61DF" w:rsidRPr="00BE4F5D" w:rsidRDefault="006A61DF" w:rsidP="002A31BA">
            <w:pPr>
              <w:jc w:val="both"/>
              <w:rPr>
                <w:rFonts w:ascii="Arial" w:hAnsi="Arial" w:cs="Arial"/>
                <w:color w:val="000000" w:themeColor="text1"/>
                <w:sz w:val="13"/>
                <w:szCs w:val="13"/>
                <w:lang w:eastAsia="es-ES"/>
              </w:rPr>
            </w:pPr>
            <w:r w:rsidRPr="00BE4F5D">
              <w:rPr>
                <w:rFonts w:ascii="Arial" w:hAnsi="Arial" w:cs="Arial"/>
                <w:color w:val="000000" w:themeColor="text1"/>
                <w:sz w:val="13"/>
                <w:szCs w:val="13"/>
                <w:lang w:eastAsia="es-ES"/>
              </w:rPr>
              <w:t xml:space="preserve">Subdirectora de Gestión Contractual </w:t>
            </w:r>
          </w:p>
        </w:tc>
      </w:tr>
    </w:tbl>
    <w:p w14:paraId="3E4EA935" w14:textId="77777777" w:rsidR="006A61DF" w:rsidRPr="00BE4F5D" w:rsidRDefault="006A61DF" w:rsidP="006A61DF">
      <w:pPr>
        <w:spacing w:after="120" w:line="276" w:lineRule="auto"/>
        <w:jc w:val="both"/>
        <w:rPr>
          <w:rFonts w:ascii="Arial" w:hAnsi="Arial" w:cs="Arial"/>
          <w:color w:val="000000" w:themeColor="text1"/>
          <w:sz w:val="21"/>
          <w:szCs w:val="21"/>
        </w:rPr>
      </w:pPr>
    </w:p>
    <w:p w14:paraId="6ABE25E7" w14:textId="77777777" w:rsidR="006A61DF" w:rsidRPr="00BE4F5D" w:rsidRDefault="006A61DF" w:rsidP="006A61DF">
      <w:pPr>
        <w:rPr>
          <w:rFonts w:ascii="Arial" w:hAnsi="Arial" w:cs="Arial"/>
          <w:color w:val="000000" w:themeColor="text1"/>
          <w:sz w:val="21"/>
          <w:szCs w:val="21"/>
        </w:rPr>
      </w:pPr>
    </w:p>
    <w:p w14:paraId="279D5850" w14:textId="5A51B1C1" w:rsidR="001A1011" w:rsidRPr="00BE4F5D" w:rsidRDefault="001A1011" w:rsidP="006219F8">
      <w:pPr>
        <w:spacing w:after="0" w:line="240" w:lineRule="auto"/>
        <w:rPr>
          <w:rFonts w:ascii="Geomanist Light" w:hAnsi="Geomanist Light"/>
          <w:b/>
          <w:color w:val="404040" w:themeColor="text1" w:themeTint="BF"/>
          <w:sz w:val="20"/>
          <w:szCs w:val="21"/>
        </w:rPr>
      </w:pPr>
    </w:p>
    <w:p w14:paraId="0B1D17E7" w14:textId="762AA3C6"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5CD9DF3C" w14:textId="2D55E7D3"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53AB5A20" w14:textId="6FAD5A9C"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6879FC78" w14:textId="2AD773B8"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267F1171" w14:textId="73CCED58"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17BA4C3F" w14:textId="610BC95A"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1C3871F1" w14:textId="3C77E1C6"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5E1D3DBF" w14:textId="22D6B9E8"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22A6B3E1" w14:textId="704F73DC"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331CB6CF" w14:textId="6F9DEEA6"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18D95323" w14:textId="645730DE"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154D43B2" w14:textId="13A83168" w:rsidR="001A1011" w:rsidRPr="00BE4F5D" w:rsidRDefault="001A1011" w:rsidP="006219F8">
      <w:pPr>
        <w:spacing w:after="0" w:line="240" w:lineRule="auto"/>
        <w:rPr>
          <w:rFonts w:ascii="Geomanist Light" w:hAnsi="Geomanist Light"/>
          <w:b/>
          <w:color w:val="404040" w:themeColor="text1" w:themeTint="BF"/>
          <w:sz w:val="20"/>
          <w:szCs w:val="21"/>
          <w:lang w:val="es-ES"/>
        </w:rPr>
      </w:pPr>
    </w:p>
    <w:p w14:paraId="7B23AD64" w14:textId="22BFE0EC" w:rsidR="00C9405D" w:rsidRPr="00BE4F5D" w:rsidRDefault="00C9405D" w:rsidP="006219F8">
      <w:pPr>
        <w:spacing w:after="0" w:line="240" w:lineRule="auto"/>
        <w:rPr>
          <w:rFonts w:ascii="Geomanist Light" w:hAnsi="Geomanist Light"/>
          <w:b/>
          <w:color w:val="002060"/>
          <w:sz w:val="20"/>
          <w:szCs w:val="21"/>
          <w:lang w:val="es-ES"/>
        </w:rPr>
      </w:pPr>
    </w:p>
    <w:p w14:paraId="3624807F" w14:textId="31625BE8" w:rsidR="00C9405D" w:rsidRPr="00BE4F5D" w:rsidRDefault="00C9405D" w:rsidP="006219F8">
      <w:pPr>
        <w:spacing w:after="0" w:line="240" w:lineRule="auto"/>
        <w:rPr>
          <w:rFonts w:ascii="Geomanist Light" w:hAnsi="Geomanist Light"/>
          <w:b/>
          <w:color w:val="002060"/>
          <w:sz w:val="20"/>
          <w:szCs w:val="21"/>
          <w:lang w:val="es-ES"/>
        </w:rPr>
      </w:pPr>
    </w:p>
    <w:bookmarkEnd w:id="0"/>
    <w:p w14:paraId="0F293BF4" w14:textId="0F6FB6C1" w:rsidR="00127233" w:rsidRPr="00BE4F5D" w:rsidRDefault="00127233">
      <w:pPr>
        <w:rPr>
          <w:sz w:val="21"/>
          <w:szCs w:val="21"/>
          <w:lang w:val="es-MX"/>
        </w:rPr>
      </w:pPr>
    </w:p>
    <w:sectPr w:rsidR="00127233" w:rsidRPr="00BE4F5D"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348D7" w14:textId="77777777" w:rsidR="00080F3E" w:rsidRDefault="00080F3E" w:rsidP="004A1847">
      <w:pPr>
        <w:spacing w:after="0" w:line="240" w:lineRule="auto"/>
      </w:pPr>
      <w:r>
        <w:separator/>
      </w:r>
    </w:p>
  </w:endnote>
  <w:endnote w:type="continuationSeparator" w:id="0">
    <w:p w14:paraId="19C4E05F" w14:textId="77777777" w:rsidR="00080F3E" w:rsidRDefault="00080F3E" w:rsidP="004A1847">
      <w:pPr>
        <w:spacing w:after="0" w:line="240" w:lineRule="auto"/>
      </w:pPr>
      <w:r>
        <w:continuationSeparator/>
      </w:r>
    </w:p>
  </w:endnote>
  <w:endnote w:type="continuationNotice" w:id="1">
    <w:p w14:paraId="2B4F0D38" w14:textId="77777777" w:rsidR="00080F3E" w:rsidRDefault="00080F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5FC78" w14:textId="77777777" w:rsidR="00080F3E" w:rsidRDefault="00080F3E" w:rsidP="004A1847">
      <w:pPr>
        <w:spacing w:after="0" w:line="240" w:lineRule="auto"/>
      </w:pPr>
      <w:r>
        <w:separator/>
      </w:r>
    </w:p>
  </w:footnote>
  <w:footnote w:type="continuationSeparator" w:id="0">
    <w:p w14:paraId="4624FAC1" w14:textId="77777777" w:rsidR="00080F3E" w:rsidRDefault="00080F3E" w:rsidP="004A1847">
      <w:pPr>
        <w:spacing w:after="0" w:line="240" w:lineRule="auto"/>
      </w:pPr>
      <w:r>
        <w:continuationSeparator/>
      </w:r>
    </w:p>
  </w:footnote>
  <w:footnote w:type="continuationNotice" w:id="1">
    <w:p w14:paraId="1283D9D3" w14:textId="77777777" w:rsidR="00080F3E" w:rsidRDefault="00080F3E">
      <w:pPr>
        <w:spacing w:after="0" w:line="240" w:lineRule="auto"/>
      </w:pPr>
    </w:p>
  </w:footnote>
  <w:footnote w:id="2">
    <w:p w14:paraId="04B4507F" w14:textId="77777777" w:rsidR="006A61DF" w:rsidRPr="00BE4F5D" w:rsidRDefault="006A61DF" w:rsidP="006A61DF">
      <w:pPr>
        <w:pStyle w:val="Textonotapie"/>
        <w:ind w:firstLine="708"/>
        <w:jc w:val="both"/>
        <w:rPr>
          <w:rFonts w:ascii="Arial" w:hAnsi="Arial" w:cs="Arial"/>
          <w:sz w:val="15"/>
          <w:szCs w:val="15"/>
          <w:lang w:val="es-ES"/>
        </w:rPr>
      </w:pPr>
      <w:r w:rsidRPr="00BE4F5D">
        <w:rPr>
          <w:rStyle w:val="Refdenotaalpie"/>
          <w:rFonts w:ascii="Arial" w:hAnsi="Arial" w:cs="Arial"/>
          <w:sz w:val="15"/>
          <w:szCs w:val="15"/>
        </w:rPr>
        <w:footnoteRef/>
      </w:r>
      <w:r w:rsidRPr="00BE4F5D">
        <w:rPr>
          <w:rFonts w:ascii="Arial" w:hAnsi="Arial" w:cs="Arial"/>
          <w:sz w:val="15"/>
          <w:szCs w:val="15"/>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E4F5D">
        <w:rPr>
          <w:rFonts w:ascii="Arial" w:hAnsi="Arial" w:cs="Arial"/>
          <w:i/>
          <w:iCs/>
          <w:sz w:val="15"/>
          <w:szCs w:val="15"/>
        </w:rPr>
        <w:t xml:space="preserve">ibidem </w:t>
      </w:r>
      <w:r w:rsidRPr="00BE4F5D">
        <w:rPr>
          <w:rFonts w:ascii="Arial" w:hAnsi="Arial" w:cs="Arial"/>
          <w:sz w:val="15"/>
          <w:szCs w:val="15"/>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480D01C" w14:textId="77777777" w:rsidR="006A61DF" w:rsidRPr="00BE4F5D" w:rsidRDefault="006A61DF" w:rsidP="006A61DF">
      <w:pPr>
        <w:tabs>
          <w:tab w:val="left" w:pos="709"/>
        </w:tabs>
        <w:contextualSpacing/>
        <w:jc w:val="both"/>
        <w:rPr>
          <w:rFonts w:ascii="Arial" w:eastAsia="Calibri" w:hAnsi="Arial" w:cs="Arial"/>
          <w:bCs/>
          <w:sz w:val="15"/>
          <w:szCs w:val="15"/>
        </w:rPr>
      </w:pPr>
      <w:r w:rsidRPr="00BE4F5D">
        <w:rPr>
          <w:rFonts w:ascii="Arial" w:hAnsi="Arial" w:cs="Arial"/>
          <w:sz w:val="15"/>
          <w:szCs w:val="15"/>
        </w:rPr>
        <w:tab/>
      </w:r>
      <w:r w:rsidRPr="00BE4F5D">
        <w:rPr>
          <w:rStyle w:val="Refdenotaalpie"/>
          <w:rFonts w:ascii="Arial" w:hAnsi="Arial" w:cs="Arial"/>
          <w:sz w:val="15"/>
          <w:szCs w:val="15"/>
        </w:rPr>
        <w:footnoteRef/>
      </w:r>
      <w:r w:rsidRPr="00BE4F5D">
        <w:rPr>
          <w:rFonts w:ascii="Arial" w:hAnsi="Arial" w:cs="Arial"/>
          <w:sz w:val="15"/>
          <w:szCs w:val="15"/>
        </w:rPr>
        <w:t xml:space="preserve"> </w:t>
      </w:r>
      <w:r w:rsidRPr="00BE4F5D">
        <w:rPr>
          <w:rFonts w:ascii="Arial" w:eastAsia="Calibri" w:hAnsi="Arial" w:cs="Arial"/>
          <w:bCs/>
          <w:sz w:val="15"/>
          <w:szCs w:val="15"/>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w:t>
      </w:r>
      <w:r w:rsidRPr="00BE4F5D">
        <w:rPr>
          <w:rFonts w:ascii="Arial" w:eastAsia="Calibri" w:hAnsi="Arial" w:cs="Arial"/>
          <w:bCs/>
          <w:i/>
          <w:iCs/>
          <w:sz w:val="15"/>
          <w:szCs w:val="15"/>
        </w:rPr>
        <w:t>no serán de obligatorio cumplimiento o ejecución</w:t>
      </w:r>
      <w:r w:rsidRPr="00BE4F5D">
        <w:rPr>
          <w:rFonts w:ascii="Arial" w:eastAsia="Calibri" w:hAnsi="Arial" w:cs="Arial"/>
          <w:bCs/>
          <w:sz w:val="15"/>
          <w:szCs w:val="15"/>
        </w:rPr>
        <w:t xml:space="preserve">. De este mandato surgen las siguientes consideraciones: </w:t>
      </w:r>
    </w:p>
    <w:p w14:paraId="2CBC8FF3" w14:textId="77777777" w:rsidR="006A61DF" w:rsidRPr="00BE4F5D" w:rsidRDefault="006A61DF" w:rsidP="006A61DF">
      <w:pPr>
        <w:tabs>
          <w:tab w:val="left" w:pos="709"/>
        </w:tabs>
        <w:contextualSpacing/>
        <w:jc w:val="both"/>
        <w:rPr>
          <w:rFonts w:ascii="Arial" w:eastAsia="Calibri" w:hAnsi="Arial" w:cs="Arial"/>
          <w:bCs/>
          <w:sz w:val="15"/>
          <w:szCs w:val="15"/>
        </w:rPr>
      </w:pPr>
      <w:r w:rsidRPr="00BE4F5D">
        <w:rPr>
          <w:rFonts w:ascii="Arial" w:eastAsia="Calibri" w:hAnsi="Arial" w:cs="Arial"/>
          <w:bCs/>
          <w:sz w:val="15"/>
          <w:szCs w:val="15"/>
        </w:rPr>
        <w:tab/>
        <w:t>»La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58EB2595" w14:textId="77777777" w:rsidR="006A61DF" w:rsidRPr="00BE4F5D" w:rsidRDefault="006A61DF" w:rsidP="006A61DF">
      <w:pPr>
        <w:tabs>
          <w:tab w:val="left" w:pos="709"/>
        </w:tabs>
        <w:contextualSpacing/>
        <w:jc w:val="both"/>
        <w:rPr>
          <w:rFonts w:ascii="Arial" w:eastAsia="Calibri" w:hAnsi="Arial" w:cs="Arial"/>
          <w:bCs/>
          <w:sz w:val="15"/>
          <w:szCs w:val="15"/>
        </w:rPr>
      </w:pPr>
      <w:r w:rsidRPr="00BE4F5D">
        <w:rPr>
          <w:rFonts w:ascii="Arial" w:eastAsia="Calibri" w:hAnsi="Arial" w:cs="Arial"/>
          <w:bCs/>
          <w:sz w:val="15"/>
          <w:szCs w:val="15"/>
        </w:rPr>
        <w:tab/>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500DA9D5" w14:textId="77777777" w:rsidR="006A61DF" w:rsidRPr="00BE4F5D" w:rsidRDefault="006A61DF" w:rsidP="006A61DF">
      <w:pPr>
        <w:pStyle w:val="Textonotapie"/>
        <w:ind w:firstLine="708"/>
        <w:contextualSpacing/>
        <w:jc w:val="both"/>
        <w:rPr>
          <w:rFonts w:ascii="Arial" w:hAnsi="Arial" w:cs="Arial"/>
          <w:sz w:val="15"/>
          <w:szCs w:val="15"/>
        </w:rPr>
      </w:pPr>
      <w:r w:rsidRPr="00BE4F5D">
        <w:rPr>
          <w:rFonts w:ascii="Arial" w:eastAsia="Calibri" w:hAnsi="Arial" w:cs="Arial"/>
          <w:bCs/>
          <w:sz w:val="15"/>
          <w:szCs w:val="15"/>
        </w:rPr>
        <w:t xml:space="preserve">»La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w:t>
      </w:r>
      <w:r w:rsidRPr="00BE4F5D">
        <w:rPr>
          <w:rFonts w:ascii="Arial" w:hAnsi="Arial" w:cs="Arial"/>
          <w:sz w:val="15"/>
          <w:szCs w:val="15"/>
        </w:rPr>
        <w:t>ARBOLEDA PERDOMO, Enrique José. Comentarios al Nuevo Código de Procedimiento Administrativo y de lo Contencioso Administrativo (2ª ed.). Editorial Legis. Bogotá. 2012. p.59.</w:t>
      </w:r>
    </w:p>
    <w:p w14:paraId="37392F04" w14:textId="77777777" w:rsidR="006A61DF" w:rsidRPr="00BE4F5D" w:rsidRDefault="006A61DF" w:rsidP="006A61DF">
      <w:pPr>
        <w:pStyle w:val="Textonotapie"/>
        <w:ind w:firstLine="708"/>
        <w:contextualSpacing/>
        <w:jc w:val="both"/>
        <w:rPr>
          <w:rFonts w:ascii="Arial" w:eastAsia="Calibri" w:hAnsi="Arial" w:cs="Arial"/>
          <w:bCs/>
          <w:sz w:val="15"/>
          <w:szCs w:val="15"/>
          <w:lang w:val="es-CO"/>
        </w:rPr>
      </w:pPr>
    </w:p>
  </w:footnote>
  <w:footnote w:id="4">
    <w:p w14:paraId="27CD6FBE" w14:textId="77777777" w:rsidR="006A61DF" w:rsidRPr="00BE4F5D" w:rsidRDefault="006A61DF" w:rsidP="006A61DF">
      <w:pPr>
        <w:pStyle w:val="NormalWeb"/>
        <w:spacing w:before="0" w:beforeAutospacing="0" w:after="0" w:afterAutospacing="0"/>
        <w:ind w:firstLine="708"/>
        <w:jc w:val="both"/>
        <w:rPr>
          <w:rFonts w:ascii="Arial" w:hAnsi="Arial" w:cs="Arial"/>
          <w:sz w:val="15"/>
          <w:szCs w:val="15"/>
        </w:rPr>
      </w:pPr>
      <w:r w:rsidRPr="00BE4F5D">
        <w:rPr>
          <w:rStyle w:val="Refdenotaalpie"/>
          <w:rFonts w:ascii="Arial" w:hAnsi="Arial" w:cs="Arial"/>
          <w:sz w:val="15"/>
          <w:szCs w:val="15"/>
        </w:rPr>
        <w:footnoteRef/>
      </w:r>
      <w:r w:rsidRPr="00BE4F5D">
        <w:rPr>
          <w:rFonts w:ascii="Arial" w:hAnsi="Arial" w:cs="Arial"/>
          <w:sz w:val="15"/>
          <w:szCs w:val="15"/>
        </w:rPr>
        <w:t xml:space="preserve"> </w:t>
      </w:r>
      <w:r w:rsidRPr="00BE4F5D">
        <w:rPr>
          <w:rFonts w:ascii="Arial" w:hAnsi="Arial" w:cs="Arial"/>
          <w:sz w:val="15"/>
          <w:szCs w:val="15"/>
          <w:lang w:val="es-ES"/>
        </w:rPr>
        <w:t>Art 6 Ley 1150 de 2007 “</w:t>
      </w:r>
      <w:r w:rsidRPr="00BE4F5D">
        <w:rPr>
          <w:rFonts w:ascii="Arial" w:hAnsi="Arial" w:cs="Arial"/>
          <w:sz w:val="15"/>
          <w:szCs w:val="15"/>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F4483D9" w14:textId="77777777" w:rsidR="006A61DF" w:rsidRPr="00BE4F5D" w:rsidRDefault="006A61DF" w:rsidP="006A61DF">
      <w:pPr>
        <w:pStyle w:val="NormalWeb"/>
        <w:spacing w:before="0" w:beforeAutospacing="0" w:after="0" w:afterAutospacing="0"/>
        <w:ind w:firstLine="708"/>
        <w:jc w:val="both"/>
        <w:rPr>
          <w:rFonts w:ascii="Arial" w:hAnsi="Arial" w:cs="Arial"/>
          <w:sz w:val="15"/>
          <w:szCs w:val="15"/>
        </w:rPr>
      </w:pPr>
      <w:r w:rsidRPr="00BE4F5D">
        <w:rPr>
          <w:rFonts w:ascii="Arial" w:hAnsi="Arial" w:cs="Arial"/>
          <w:sz w:val="15"/>
          <w:szCs w:val="15"/>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282DBAC" w14:textId="77777777" w:rsidR="006A61DF" w:rsidRPr="00BE4F5D" w:rsidRDefault="006A61DF" w:rsidP="006A61DF">
      <w:pPr>
        <w:pStyle w:val="NormalWeb"/>
        <w:spacing w:before="0" w:beforeAutospacing="0" w:after="0" w:afterAutospacing="0"/>
        <w:ind w:firstLine="708"/>
        <w:jc w:val="both"/>
        <w:rPr>
          <w:rFonts w:ascii="Arial" w:hAnsi="Arial" w:cs="Arial"/>
          <w:sz w:val="15"/>
          <w:szCs w:val="15"/>
        </w:rPr>
      </w:pPr>
      <w:r w:rsidRPr="00BE4F5D">
        <w:rPr>
          <w:rFonts w:ascii="Arial" w:hAnsi="Arial" w:cs="Arial"/>
          <w:sz w:val="15"/>
          <w:szCs w:val="15"/>
        </w:rPr>
        <w:t>En dicho registro constará la información relacionada con la experiencia, capacidad jurídica, financiera y de organización del proponente y su clasificación”.</w:t>
      </w:r>
    </w:p>
    <w:p w14:paraId="01322609" w14:textId="77777777" w:rsidR="006A61DF" w:rsidRPr="00BE4F5D" w:rsidRDefault="006A61DF" w:rsidP="006A61DF">
      <w:pPr>
        <w:pStyle w:val="NormalWeb"/>
        <w:spacing w:before="0" w:beforeAutospacing="0" w:after="0" w:afterAutospacing="0"/>
        <w:ind w:firstLine="708"/>
        <w:jc w:val="both"/>
        <w:rPr>
          <w:rFonts w:ascii="Arial" w:hAnsi="Arial" w:cs="Arial"/>
          <w:sz w:val="15"/>
          <w:szCs w:val="15"/>
        </w:rPr>
      </w:pPr>
    </w:p>
  </w:footnote>
  <w:footnote w:id="5">
    <w:p w14:paraId="7BE9E4DB" w14:textId="77777777" w:rsidR="006A61DF" w:rsidRPr="00BE4F5D" w:rsidRDefault="006A61DF" w:rsidP="006A61DF">
      <w:pPr>
        <w:ind w:firstLine="708"/>
        <w:jc w:val="both"/>
        <w:rPr>
          <w:rFonts w:ascii="Arial" w:hAnsi="Arial" w:cs="Arial"/>
          <w:sz w:val="15"/>
          <w:szCs w:val="15"/>
        </w:rPr>
      </w:pPr>
      <w:r w:rsidRPr="00BE4F5D">
        <w:rPr>
          <w:rStyle w:val="Refdenotaalpie"/>
          <w:rFonts w:ascii="Arial" w:hAnsi="Arial" w:cs="Arial"/>
          <w:sz w:val="15"/>
          <w:szCs w:val="15"/>
        </w:rPr>
        <w:footnoteRef/>
      </w:r>
      <w:r w:rsidRPr="00BE4F5D">
        <w:rPr>
          <w:rFonts w:ascii="Arial" w:hAnsi="Arial" w:cs="Arial"/>
          <w:sz w:val="15"/>
          <w:szCs w:val="15"/>
        </w:rPr>
        <w:t xml:space="preserve">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56FDB19A" w14:textId="77777777" w:rsidR="006A61DF" w:rsidRPr="00BE4F5D" w:rsidRDefault="006A61DF" w:rsidP="006A61DF">
      <w:pPr>
        <w:pStyle w:val="Textonotapie"/>
        <w:rPr>
          <w:rFonts w:ascii="Arial" w:hAnsi="Arial" w:cs="Arial"/>
          <w:sz w:val="15"/>
          <w:szCs w:val="15"/>
          <w:lang w:val="es-ES"/>
        </w:rPr>
      </w:pPr>
    </w:p>
  </w:footnote>
  <w:footnote w:id="6">
    <w:p w14:paraId="5D9332B1" w14:textId="77777777" w:rsidR="006A61DF" w:rsidRPr="00BE4F5D" w:rsidRDefault="006A61DF" w:rsidP="006A61DF">
      <w:pPr>
        <w:pStyle w:val="NormalWeb"/>
        <w:spacing w:before="0" w:beforeAutospacing="0" w:after="0" w:afterAutospacing="0"/>
        <w:ind w:firstLine="709"/>
        <w:jc w:val="both"/>
        <w:rPr>
          <w:rFonts w:ascii="Arial" w:hAnsi="Arial" w:cs="Arial"/>
          <w:sz w:val="15"/>
          <w:szCs w:val="15"/>
        </w:rPr>
      </w:pPr>
      <w:r w:rsidRPr="00BE4F5D">
        <w:rPr>
          <w:rStyle w:val="Refdenotaalpie"/>
          <w:rFonts w:ascii="Arial" w:hAnsi="Arial" w:cs="Arial"/>
          <w:sz w:val="15"/>
          <w:szCs w:val="15"/>
        </w:rPr>
        <w:footnoteRef/>
      </w:r>
      <w:r w:rsidRPr="00BE4F5D">
        <w:rPr>
          <w:rFonts w:ascii="Arial" w:hAnsi="Arial" w:cs="Arial"/>
          <w:sz w:val="15"/>
          <w:szCs w:val="15"/>
        </w:rPr>
        <w:t xml:space="preserve"> </w:t>
      </w:r>
      <w:r w:rsidRPr="00BE4F5D">
        <w:rPr>
          <w:rFonts w:ascii="Arial" w:hAnsi="Arial" w:cs="Arial"/>
          <w:sz w:val="15"/>
          <w:szCs w:val="15"/>
          <w:lang w:val="es-ES"/>
        </w:rPr>
        <w:t>“</w:t>
      </w:r>
      <w:r w:rsidRPr="00BE4F5D">
        <w:rPr>
          <w:rFonts w:ascii="Arial" w:hAnsi="Arial" w:cs="Arial"/>
          <w:sz w:val="15"/>
          <w:szCs w:val="15"/>
        </w:rPr>
        <w:t>Para poder participar en los procesos de selección de los contratos de obra, la capacidad residual del proponente o K de contratación deberá ser igual o superior al que la entidad haya establecido para el efecto en los pliegos de condiciones</w:t>
      </w:r>
    </w:p>
    <w:p w14:paraId="730C90A8" w14:textId="77777777" w:rsidR="006A61DF" w:rsidRPr="00BE4F5D" w:rsidRDefault="006A61DF" w:rsidP="006A61DF">
      <w:pPr>
        <w:ind w:firstLine="709"/>
        <w:jc w:val="both"/>
        <w:rPr>
          <w:rFonts w:ascii="Arial" w:hAnsi="Arial" w:cs="Arial"/>
          <w:sz w:val="15"/>
          <w:szCs w:val="15"/>
        </w:rPr>
      </w:pPr>
      <w:r w:rsidRPr="00BE4F5D">
        <w:rPr>
          <w:rFonts w:ascii="Arial" w:hAnsi="Arial" w:cs="Arial"/>
          <w:sz w:val="15"/>
          <w:szCs w:val="15"/>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44166D80" w14:textId="77777777" w:rsidR="006A61DF" w:rsidRPr="00BE4F5D" w:rsidRDefault="006A61DF" w:rsidP="006A61DF">
      <w:pPr>
        <w:ind w:firstLine="709"/>
        <w:jc w:val="both"/>
        <w:rPr>
          <w:rFonts w:ascii="Arial" w:hAnsi="Arial" w:cs="Arial"/>
          <w:sz w:val="15"/>
          <w:szCs w:val="15"/>
        </w:rPr>
      </w:pPr>
    </w:p>
  </w:footnote>
  <w:footnote w:id="7">
    <w:p w14:paraId="2B7393B4" w14:textId="77777777" w:rsidR="006A61DF" w:rsidRPr="00BE4F5D" w:rsidRDefault="006A61DF" w:rsidP="006A61DF">
      <w:pPr>
        <w:pStyle w:val="Textonotapie"/>
        <w:ind w:firstLine="708"/>
        <w:jc w:val="both"/>
        <w:rPr>
          <w:rFonts w:ascii="Arial" w:hAnsi="Arial" w:cs="Arial"/>
          <w:sz w:val="15"/>
          <w:szCs w:val="15"/>
        </w:rPr>
      </w:pPr>
      <w:r w:rsidRPr="00BE4F5D">
        <w:rPr>
          <w:rStyle w:val="Refdenotaalpie"/>
          <w:rFonts w:ascii="Arial" w:hAnsi="Arial" w:cs="Arial"/>
          <w:sz w:val="15"/>
          <w:szCs w:val="15"/>
        </w:rPr>
        <w:footnoteRef/>
      </w:r>
      <w:r w:rsidRPr="00BE4F5D">
        <w:rPr>
          <w:rFonts w:ascii="Arial" w:hAnsi="Arial" w:cs="Arial"/>
          <w:sz w:val="15"/>
          <w:szCs w:val="15"/>
        </w:rPr>
        <w:t xml:space="preserve"> Cfr. Corte Constitucional. Sentencia C-569 de 2004. M.P. Rodrigo Uprimny Yepes.</w:t>
      </w:r>
    </w:p>
    <w:p w14:paraId="0BF62FD1" w14:textId="77777777" w:rsidR="006A61DF" w:rsidRPr="00BE4F5D" w:rsidRDefault="006A61DF" w:rsidP="006A61DF">
      <w:pPr>
        <w:pStyle w:val="Textonotapie"/>
        <w:ind w:firstLine="708"/>
        <w:jc w:val="both"/>
        <w:rPr>
          <w:rFonts w:ascii="Arial" w:hAnsi="Arial" w:cs="Arial"/>
          <w:sz w:val="15"/>
          <w:szCs w:val="15"/>
          <w:lang w:val="es-ES"/>
        </w:rPr>
      </w:pPr>
    </w:p>
  </w:footnote>
  <w:footnote w:id="8">
    <w:p w14:paraId="7E952D14" w14:textId="77777777" w:rsidR="006A61DF" w:rsidRPr="00BE4F5D" w:rsidRDefault="006A61DF" w:rsidP="006A61DF">
      <w:pPr>
        <w:pStyle w:val="Textonotapie"/>
        <w:ind w:firstLine="708"/>
        <w:jc w:val="both"/>
        <w:rPr>
          <w:rFonts w:ascii="Arial" w:hAnsi="Arial" w:cs="Arial"/>
          <w:sz w:val="15"/>
          <w:szCs w:val="15"/>
        </w:rPr>
      </w:pPr>
      <w:r w:rsidRPr="00BE4F5D">
        <w:rPr>
          <w:rStyle w:val="Refdenotaalpie"/>
          <w:rFonts w:ascii="Arial" w:hAnsi="Arial" w:cs="Arial"/>
          <w:sz w:val="15"/>
          <w:szCs w:val="15"/>
        </w:rPr>
        <w:footnoteRef/>
      </w:r>
      <w:r w:rsidRPr="00BE4F5D">
        <w:rPr>
          <w:rFonts w:ascii="Arial" w:hAnsi="Arial" w:cs="Arial"/>
          <w:sz w:val="15"/>
          <w:szCs w:val="15"/>
        </w:rPr>
        <w:t xml:space="preserve"> Cfr. Consejo de Estado. Sección Tercera. Providencias del 11 de diciembre de 2002, dictada dentro del expediente AG-1683, y del 18 de octubre de 2001, proferida dentro del plenario AG-021.</w:t>
      </w:r>
    </w:p>
    <w:p w14:paraId="3BEF5565" w14:textId="77777777" w:rsidR="006A61DF" w:rsidRPr="00BE4F5D" w:rsidRDefault="006A61DF" w:rsidP="006A61DF">
      <w:pPr>
        <w:pStyle w:val="Textonotapie"/>
        <w:ind w:firstLine="708"/>
        <w:jc w:val="both"/>
        <w:rPr>
          <w:rFonts w:ascii="Arial" w:hAnsi="Arial" w:cs="Arial"/>
          <w:sz w:val="15"/>
          <w:szCs w:val="15"/>
          <w:lang w:val="es-ES"/>
        </w:rPr>
      </w:pPr>
    </w:p>
  </w:footnote>
  <w:footnote w:id="9">
    <w:p w14:paraId="67ABEAB7" w14:textId="77777777" w:rsidR="006A61DF" w:rsidRPr="00BE4F5D" w:rsidRDefault="006A61DF" w:rsidP="006A61DF">
      <w:pPr>
        <w:pStyle w:val="Textonotapie"/>
        <w:ind w:firstLine="708"/>
        <w:jc w:val="both"/>
        <w:rPr>
          <w:rFonts w:ascii="Arial" w:hAnsi="Arial" w:cs="Arial"/>
          <w:sz w:val="15"/>
          <w:szCs w:val="15"/>
        </w:rPr>
      </w:pPr>
      <w:r w:rsidRPr="00BE4F5D">
        <w:rPr>
          <w:rStyle w:val="Refdenotaalpie"/>
          <w:rFonts w:ascii="Arial" w:hAnsi="Arial" w:cs="Arial"/>
          <w:sz w:val="15"/>
          <w:szCs w:val="15"/>
        </w:rPr>
        <w:footnoteRef/>
      </w:r>
      <w:r w:rsidRPr="00BE4F5D">
        <w:rPr>
          <w:rFonts w:ascii="Arial" w:hAnsi="Arial" w:cs="Arial"/>
          <w:sz w:val="15"/>
          <w:szCs w:val="15"/>
        </w:rPr>
        <w:t xml:space="preserve"> Gaceta 096 de 2007. Pág. 9. Allí se lee: «Parágrafo 2°. Nuevo. Se adiciona un parágrafo nuevo para </w:t>
      </w:r>
      <w:r w:rsidRPr="00BE4F5D">
        <w:rPr>
          <w:rFonts w:ascii="Arial" w:hAnsi="Arial" w:cs="Arial"/>
          <w:i/>
          <w:iCs/>
          <w:sz w:val="15"/>
          <w:szCs w:val="15"/>
        </w:rPr>
        <w:t>establecer de manera concreta</w:t>
      </w:r>
      <w:r w:rsidRPr="00BE4F5D">
        <w:rPr>
          <w:rFonts w:ascii="Arial" w:hAnsi="Arial" w:cs="Arial"/>
          <w:sz w:val="15"/>
          <w:szCs w:val="15"/>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p w14:paraId="49586551" w14:textId="77777777" w:rsidR="006A61DF" w:rsidRPr="00BE4F5D" w:rsidRDefault="006A61DF" w:rsidP="006A61DF">
      <w:pPr>
        <w:pStyle w:val="Textonotapie"/>
        <w:ind w:firstLine="708"/>
        <w:jc w:val="both"/>
        <w:rPr>
          <w:rFonts w:ascii="Arial" w:hAnsi="Arial" w:cs="Arial"/>
          <w:sz w:val="15"/>
          <w:szCs w:val="15"/>
          <w:lang w:val="es-ES"/>
        </w:rPr>
      </w:pPr>
    </w:p>
  </w:footnote>
  <w:footnote w:id="10">
    <w:p w14:paraId="5F33B169"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lang w:eastAsia="es-CO"/>
        </w:rPr>
      </w:pPr>
      <w:r w:rsidRPr="00BE4F5D">
        <w:rPr>
          <w:rFonts w:ascii="Arial" w:hAnsi="Arial" w:cs="Arial"/>
          <w:sz w:val="15"/>
          <w:szCs w:val="15"/>
        </w:rPr>
        <w:tab/>
      </w:r>
      <w:r w:rsidRPr="00BE4F5D">
        <w:rPr>
          <w:rStyle w:val="Refdenotaalpie"/>
          <w:rFonts w:ascii="Arial" w:hAnsi="Arial" w:cs="Arial"/>
          <w:sz w:val="15"/>
          <w:szCs w:val="15"/>
        </w:rPr>
        <w:footnoteRef/>
      </w:r>
      <w:r w:rsidRPr="00BE4F5D">
        <w:rPr>
          <w:rFonts w:ascii="Arial" w:hAnsi="Arial" w:cs="Arial"/>
          <w:sz w:val="15"/>
          <w:szCs w:val="15"/>
        </w:rPr>
        <w:t>«</w:t>
      </w:r>
      <w:r w:rsidRPr="00BE4F5D">
        <w:rPr>
          <w:rStyle w:val="Textoennegrita"/>
          <w:rFonts w:ascii="Arial" w:hAnsi="Arial" w:cs="Arial"/>
          <w:color w:val="000000"/>
          <w:sz w:val="15"/>
          <w:szCs w:val="15"/>
        </w:rPr>
        <w:t>Artículo 2.2.1.1.1.5.3. </w:t>
      </w:r>
      <w:r w:rsidRPr="00BE4F5D">
        <w:rPr>
          <w:rStyle w:val="nfasis"/>
          <w:rFonts w:ascii="Arial" w:hAnsi="Arial" w:cs="Arial"/>
          <w:color w:val="000000"/>
          <w:sz w:val="15"/>
          <w:szCs w:val="15"/>
        </w:rPr>
        <w:t>Requisitos habilitantes contenidos en el RUP. </w:t>
      </w:r>
      <w:r w:rsidRPr="00BE4F5D">
        <w:rPr>
          <w:rFonts w:ascii="Arial" w:hAnsi="Arial" w:cs="Arial"/>
          <w:color w:val="000000"/>
          <w:sz w:val="15"/>
          <w:szCs w:val="15"/>
        </w:rPr>
        <w:t>Las cámaras de comercio, con base en la información a la que hace referencia el artículo anterior, deben verificar y certificar los siguientes requisitos habilitantes: </w:t>
      </w:r>
    </w:p>
    <w:p w14:paraId="5D29F2F1"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t>»1. Experiencia – Los contratos celebrados por el interesado para cada uno de los bienes, obras y servicios que ofrecerá a las Entidades Estatales, identificados con el Clasificador de Bienes y Servicios en el tercer nivel y su valor expresado en smmlv. </w:t>
      </w:r>
    </w:p>
    <w:p w14:paraId="2D59F3AC"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r>
      <w:proofErr w:type="gramStart"/>
      <w:r w:rsidRPr="00BE4F5D">
        <w:rPr>
          <w:rFonts w:ascii="Arial" w:hAnsi="Arial" w:cs="Arial"/>
          <w:color w:val="000000"/>
          <w:sz w:val="15"/>
          <w:szCs w:val="15"/>
        </w:rPr>
        <w:t>»Los</w:t>
      </w:r>
      <w:proofErr w:type="gramEnd"/>
      <w:r w:rsidRPr="00BE4F5D">
        <w:rPr>
          <w:rFonts w:ascii="Arial" w:hAnsi="Arial" w:cs="Arial"/>
          <w:color w:val="000000"/>
          <w:sz w:val="15"/>
          <w:szCs w:val="15"/>
        </w:rPr>
        <w:t xml:space="preserve">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6EE5EB71"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 </w:t>
      </w:r>
    </w:p>
    <w:p w14:paraId="058645B7"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t>»3. Capacidad Financiera – los siguientes indicadores miden la fortaleza financiera del interesado: </w:t>
      </w:r>
    </w:p>
    <w:p w14:paraId="0B2D341B"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t>»3.1. Índice de liquidez: activo corriente dividido por el pasivo corriente. </w:t>
      </w:r>
    </w:p>
    <w:p w14:paraId="6034B33E"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t>»3.2. Índice de endeudamiento: pasivo total dividido por el activo total. </w:t>
      </w:r>
    </w:p>
    <w:p w14:paraId="60CD3DA5"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t>»3.3. Razón de cobertura de intereses: utilidad operacional dividida por los gastos de intereses. </w:t>
      </w:r>
    </w:p>
    <w:p w14:paraId="3CC2C0E7"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t>»4. Capacidad Organizacional – los siguientes indicadores miden el rendimiento de las inversiones y la eficiencia en el uso de activos del interesado: </w:t>
      </w:r>
    </w:p>
    <w:p w14:paraId="166F2F38"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t>»4.1. Rentabilidad del patrimonio: utilidad operacional dividida por el patrimonio. </w:t>
      </w:r>
    </w:p>
    <w:p w14:paraId="42732DE4" w14:textId="77777777" w:rsidR="006A61DF" w:rsidRPr="00BE4F5D" w:rsidRDefault="006A61DF" w:rsidP="006A61DF">
      <w:pPr>
        <w:pStyle w:val="NormalWeb"/>
        <w:spacing w:before="0" w:beforeAutospacing="0" w:after="0" w:afterAutospacing="0"/>
        <w:jc w:val="both"/>
        <w:rPr>
          <w:rFonts w:ascii="Arial" w:hAnsi="Arial" w:cs="Arial"/>
          <w:color w:val="000000"/>
          <w:sz w:val="15"/>
          <w:szCs w:val="15"/>
        </w:rPr>
      </w:pPr>
      <w:r w:rsidRPr="00BE4F5D">
        <w:rPr>
          <w:rFonts w:ascii="Arial" w:hAnsi="Arial" w:cs="Arial"/>
          <w:color w:val="000000"/>
          <w:sz w:val="15"/>
          <w:szCs w:val="15"/>
        </w:rPr>
        <w:t>  </w:t>
      </w:r>
      <w:r w:rsidRPr="00BE4F5D">
        <w:rPr>
          <w:rFonts w:ascii="Arial" w:hAnsi="Arial" w:cs="Arial"/>
          <w:color w:val="000000"/>
          <w:sz w:val="15"/>
          <w:szCs w:val="15"/>
        </w:rPr>
        <w:tab/>
        <w:t>»4.2. Rentabilidad del activo: utilidad operacional dividida por el activo total».  </w:t>
      </w:r>
    </w:p>
    <w:p w14:paraId="57B466A8" w14:textId="77777777" w:rsidR="006A61DF" w:rsidRPr="00BE4F5D" w:rsidRDefault="006A61DF" w:rsidP="006A61DF">
      <w:pPr>
        <w:pStyle w:val="Textonotapie"/>
        <w:rPr>
          <w:rFonts w:ascii="Arial" w:hAnsi="Arial" w:cs="Arial"/>
          <w:sz w:val="15"/>
          <w:szCs w:val="15"/>
        </w:rPr>
      </w:pPr>
      <w:r w:rsidRPr="00BE4F5D">
        <w:rPr>
          <w:rFonts w:ascii="Arial" w:hAnsi="Arial" w:cs="Arial"/>
          <w:sz w:val="15"/>
          <w:szCs w:val="15"/>
        </w:rPr>
        <w:t xml:space="preserve"> </w:t>
      </w:r>
    </w:p>
  </w:footnote>
  <w:footnote w:id="11">
    <w:p w14:paraId="3ED32B46" w14:textId="77777777" w:rsidR="006A61DF" w:rsidRPr="00BE4F5D" w:rsidRDefault="006A61DF" w:rsidP="006A61DF">
      <w:pPr>
        <w:pStyle w:val="Textonotapie"/>
        <w:jc w:val="both"/>
        <w:rPr>
          <w:rFonts w:ascii="Arial" w:hAnsi="Arial" w:cs="Arial"/>
          <w:sz w:val="15"/>
          <w:szCs w:val="15"/>
        </w:rPr>
      </w:pPr>
      <w:r w:rsidRPr="00BE4F5D">
        <w:rPr>
          <w:rFonts w:ascii="Arial" w:hAnsi="Arial" w:cs="Arial"/>
          <w:sz w:val="15"/>
          <w:szCs w:val="15"/>
        </w:rPr>
        <w:tab/>
      </w:r>
      <w:r w:rsidRPr="00BE4F5D">
        <w:rPr>
          <w:rStyle w:val="Refdenotaalpie"/>
          <w:rFonts w:ascii="Arial" w:hAnsi="Arial" w:cs="Arial"/>
          <w:sz w:val="15"/>
          <w:szCs w:val="15"/>
        </w:rPr>
        <w:footnoteRef/>
      </w:r>
      <w:r w:rsidRPr="00BE4F5D">
        <w:rPr>
          <w:rFonts w:ascii="Arial" w:hAnsi="Arial" w:cs="Arial"/>
          <w:sz w:val="15"/>
          <w:szCs w:val="15"/>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2">
    <w:p w14:paraId="462FFA04" w14:textId="77777777" w:rsidR="006A61DF" w:rsidRPr="00BE4F5D" w:rsidRDefault="006A61DF" w:rsidP="006A61DF">
      <w:pPr>
        <w:pStyle w:val="Textonotapie"/>
        <w:ind w:firstLine="709"/>
        <w:jc w:val="both"/>
        <w:rPr>
          <w:rFonts w:ascii="Arial" w:hAnsi="Arial" w:cs="Arial"/>
          <w:sz w:val="15"/>
          <w:szCs w:val="15"/>
        </w:rPr>
      </w:pPr>
      <w:r w:rsidRPr="00BE4F5D">
        <w:rPr>
          <w:rStyle w:val="Refdenotaalpie"/>
          <w:rFonts w:ascii="Arial" w:hAnsi="Arial" w:cs="Arial"/>
          <w:sz w:val="15"/>
          <w:szCs w:val="15"/>
        </w:rPr>
        <w:footnoteRef/>
      </w:r>
      <w:r w:rsidRPr="00BE4F5D">
        <w:rPr>
          <w:rFonts w:ascii="Arial" w:hAnsi="Arial" w:cs="Arial"/>
          <w:sz w:val="15"/>
          <w:szCs w:val="15"/>
        </w:rPr>
        <w:t xml:space="preserve"> El artículo 20 de la Ley 842 de 2003 establece: «Artículo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39974046" w14:textId="77777777" w:rsidR="006A61DF" w:rsidRPr="00BE4F5D" w:rsidRDefault="006A61DF" w:rsidP="006A61DF">
      <w:pPr>
        <w:pStyle w:val="Textonotapie"/>
        <w:ind w:firstLine="709"/>
        <w:jc w:val="both"/>
        <w:rPr>
          <w:rFonts w:ascii="Arial" w:hAnsi="Arial" w:cs="Arial"/>
          <w:sz w:val="15"/>
          <w:szCs w:val="15"/>
        </w:rPr>
      </w:pPr>
      <w:r w:rsidRPr="00BE4F5D">
        <w:rPr>
          <w:rFonts w:ascii="Arial" w:hAnsi="Arial" w:cs="Arial"/>
          <w:sz w:val="15"/>
          <w:szCs w:val="15"/>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7A898894" w14:textId="77777777" w:rsidR="006A61DF" w:rsidRPr="00BE4F5D" w:rsidRDefault="006A61DF" w:rsidP="006A61DF">
      <w:pPr>
        <w:pStyle w:val="Textonotapie"/>
        <w:ind w:firstLine="709"/>
        <w:jc w:val="both"/>
        <w:rPr>
          <w:rFonts w:ascii="Arial" w:hAnsi="Arial" w:cs="Arial"/>
          <w:sz w:val="15"/>
          <w:szCs w:val="15"/>
        </w:rPr>
      </w:pPr>
      <w:r w:rsidRPr="00BE4F5D">
        <w:rPr>
          <w:rFonts w:ascii="Arial" w:hAnsi="Arial" w:cs="Arial"/>
          <w:sz w:val="15"/>
          <w:szCs w:val="15"/>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91014903">
    <w:abstractNumId w:val="2"/>
  </w:num>
  <w:num w:numId="2" w16cid:durableId="525142829">
    <w:abstractNumId w:val="0"/>
  </w:num>
  <w:num w:numId="3" w16cid:durableId="166870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7396"/>
    <w:rsid w:val="00080F3E"/>
    <w:rsid w:val="000819B2"/>
    <w:rsid w:val="00083334"/>
    <w:rsid w:val="000956CF"/>
    <w:rsid w:val="000A683E"/>
    <w:rsid w:val="000F641F"/>
    <w:rsid w:val="0011595A"/>
    <w:rsid w:val="001220C5"/>
    <w:rsid w:val="001267F7"/>
    <w:rsid w:val="00127233"/>
    <w:rsid w:val="00130999"/>
    <w:rsid w:val="00136737"/>
    <w:rsid w:val="00164D81"/>
    <w:rsid w:val="001A1011"/>
    <w:rsid w:val="001A48D0"/>
    <w:rsid w:val="00225CE0"/>
    <w:rsid w:val="00252F9F"/>
    <w:rsid w:val="00261E2A"/>
    <w:rsid w:val="002653C1"/>
    <w:rsid w:val="0026611D"/>
    <w:rsid w:val="002951A0"/>
    <w:rsid w:val="002A64FD"/>
    <w:rsid w:val="002C7336"/>
    <w:rsid w:val="002F0839"/>
    <w:rsid w:val="00301469"/>
    <w:rsid w:val="00306EE1"/>
    <w:rsid w:val="00310B9B"/>
    <w:rsid w:val="0036461C"/>
    <w:rsid w:val="00367884"/>
    <w:rsid w:val="0039439C"/>
    <w:rsid w:val="003B69E7"/>
    <w:rsid w:val="003C013B"/>
    <w:rsid w:val="003C73FB"/>
    <w:rsid w:val="003D0F4D"/>
    <w:rsid w:val="003F58A1"/>
    <w:rsid w:val="00401871"/>
    <w:rsid w:val="00410DD6"/>
    <w:rsid w:val="004134C9"/>
    <w:rsid w:val="0043138C"/>
    <w:rsid w:val="00462A59"/>
    <w:rsid w:val="004A1847"/>
    <w:rsid w:val="004A1B6E"/>
    <w:rsid w:val="004B6B0E"/>
    <w:rsid w:val="004D25B3"/>
    <w:rsid w:val="00511405"/>
    <w:rsid w:val="00514889"/>
    <w:rsid w:val="00526E9D"/>
    <w:rsid w:val="00547856"/>
    <w:rsid w:val="00547A74"/>
    <w:rsid w:val="005566E8"/>
    <w:rsid w:val="005746AB"/>
    <w:rsid w:val="0059357F"/>
    <w:rsid w:val="005A1130"/>
    <w:rsid w:val="005D65C8"/>
    <w:rsid w:val="006219F8"/>
    <w:rsid w:val="00681FDB"/>
    <w:rsid w:val="0069789C"/>
    <w:rsid w:val="006A61DF"/>
    <w:rsid w:val="006A7DAD"/>
    <w:rsid w:val="006D70BA"/>
    <w:rsid w:val="007566FE"/>
    <w:rsid w:val="00761F45"/>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C3FAD"/>
    <w:rsid w:val="008D5C70"/>
    <w:rsid w:val="009025AF"/>
    <w:rsid w:val="00904F23"/>
    <w:rsid w:val="00906B3C"/>
    <w:rsid w:val="0095342C"/>
    <w:rsid w:val="009F33F2"/>
    <w:rsid w:val="009F6C77"/>
    <w:rsid w:val="00A07532"/>
    <w:rsid w:val="00A1085C"/>
    <w:rsid w:val="00A309E2"/>
    <w:rsid w:val="00A6518D"/>
    <w:rsid w:val="00A8066E"/>
    <w:rsid w:val="00A9321B"/>
    <w:rsid w:val="00AA4B8A"/>
    <w:rsid w:val="00AA6BF7"/>
    <w:rsid w:val="00AE36C6"/>
    <w:rsid w:val="00B01ED6"/>
    <w:rsid w:val="00B06D09"/>
    <w:rsid w:val="00B771A9"/>
    <w:rsid w:val="00B809BB"/>
    <w:rsid w:val="00B8248A"/>
    <w:rsid w:val="00BB7726"/>
    <w:rsid w:val="00BE4F5D"/>
    <w:rsid w:val="00C2329E"/>
    <w:rsid w:val="00C30461"/>
    <w:rsid w:val="00C501A2"/>
    <w:rsid w:val="00C57060"/>
    <w:rsid w:val="00C754BE"/>
    <w:rsid w:val="00C87572"/>
    <w:rsid w:val="00C9405D"/>
    <w:rsid w:val="00CB1BCA"/>
    <w:rsid w:val="00CC1B26"/>
    <w:rsid w:val="00CD284F"/>
    <w:rsid w:val="00CF23AA"/>
    <w:rsid w:val="00D01921"/>
    <w:rsid w:val="00D71707"/>
    <w:rsid w:val="00D752B7"/>
    <w:rsid w:val="00DA1854"/>
    <w:rsid w:val="00DB0887"/>
    <w:rsid w:val="00DF1E43"/>
    <w:rsid w:val="00E20894"/>
    <w:rsid w:val="00E26B7C"/>
    <w:rsid w:val="00E303B2"/>
    <w:rsid w:val="00E548CA"/>
    <w:rsid w:val="00EA3003"/>
    <w:rsid w:val="00EB3C91"/>
    <w:rsid w:val="00EB66DA"/>
    <w:rsid w:val="00F57D04"/>
    <w:rsid w:val="00F605F2"/>
    <w:rsid w:val="00F6663E"/>
    <w:rsid w:val="00F76AFC"/>
    <w:rsid w:val="00F8319B"/>
    <w:rsid w:val="00FA5516"/>
    <w:rsid w:val="00FB4479"/>
    <w:rsid w:val="00FD6F73"/>
    <w:rsid w:val="0914F3F0"/>
    <w:rsid w:val="1ABE39B8"/>
    <w:rsid w:val="1CC63BF5"/>
    <w:rsid w:val="2CC9608F"/>
    <w:rsid w:val="2F9951DC"/>
    <w:rsid w:val="3182D37E"/>
    <w:rsid w:val="368F905F"/>
    <w:rsid w:val="3B926E2E"/>
    <w:rsid w:val="3EA2D60F"/>
    <w:rsid w:val="4F5307DD"/>
    <w:rsid w:val="682F753F"/>
    <w:rsid w:val="6B8BD3AC"/>
    <w:rsid w:val="6E6CB760"/>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6A61DF"/>
    <w:pPr>
      <w:spacing w:line="240" w:lineRule="exact"/>
    </w:pPr>
    <w:rPr>
      <w:vertAlign w:val="superscript"/>
    </w:rPr>
  </w:style>
  <w:style w:type="character" w:styleId="Hipervnculo">
    <w:name w:val="Hyperlink"/>
    <w:basedOn w:val="Fuentedeprrafopredeter"/>
    <w:uiPriority w:val="99"/>
    <w:unhideWhenUsed/>
    <w:rsid w:val="006A61DF"/>
    <w:rPr>
      <w:color w:val="0000FF"/>
      <w:u w:val="single"/>
    </w:rPr>
  </w:style>
  <w:style w:type="paragraph" w:styleId="NormalWeb">
    <w:name w:val="Normal (Web)"/>
    <w:basedOn w:val="Normal"/>
    <w:link w:val="NormalWebCar"/>
    <w:uiPriority w:val="99"/>
    <w:unhideWhenUsed/>
    <w:rsid w:val="006A61DF"/>
    <w:pPr>
      <w:spacing w:before="100" w:beforeAutospacing="1" w:after="100" w:afterAutospacing="1" w:line="240" w:lineRule="auto"/>
    </w:pPr>
    <w:rPr>
      <w:rFonts w:ascii="Times New Roman" w:eastAsia="Times New Roman" w:hAnsi="Times New Roman" w:cs="Times New Roman"/>
      <w:sz w:val="24"/>
      <w:szCs w:val="24"/>
      <w:lang w:val="es-ES_tradnl" w:eastAsia="es-MX"/>
    </w:rPr>
  </w:style>
  <w:style w:type="character" w:customStyle="1" w:styleId="NormalWebCar">
    <w:name w:val="Normal (Web) Car"/>
    <w:link w:val="NormalWeb"/>
    <w:uiPriority w:val="99"/>
    <w:rsid w:val="006A61DF"/>
    <w:rPr>
      <w:rFonts w:ascii="Times New Roman" w:eastAsia="Times New Roman" w:hAnsi="Times New Roman" w:cs="Times New Roman"/>
      <w:sz w:val="24"/>
      <w:szCs w:val="24"/>
      <w:lang w:val="es-ES_tradnl" w:eastAsia="es-MX"/>
    </w:rPr>
  </w:style>
  <w:style w:type="paragraph" w:customStyle="1" w:styleId="gmail-msonospacing">
    <w:name w:val="gmail-msonospacing"/>
    <w:basedOn w:val="Normal"/>
    <w:rsid w:val="006A61DF"/>
    <w:pPr>
      <w:spacing w:before="100" w:beforeAutospacing="1" w:after="100" w:afterAutospacing="1" w:line="240" w:lineRule="auto"/>
    </w:pPr>
    <w:rPr>
      <w:rFonts w:ascii="Calibri" w:hAnsi="Calibri" w:cs="Calibri"/>
      <w:lang w:val="es-ES" w:eastAsia="es-ES"/>
    </w:rPr>
  </w:style>
  <w:style w:type="table" w:customStyle="1" w:styleId="Tablaconcuadrcula1">
    <w:name w:val="Tabla con cuadrícula1"/>
    <w:basedOn w:val="Tablanormal"/>
    <w:next w:val="Tablaconcuadrcula"/>
    <w:uiPriority w:val="59"/>
    <w:rsid w:val="006A6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6A61DF"/>
    <w:rPr>
      <w:b/>
      <w:bCs/>
    </w:rPr>
  </w:style>
  <w:style w:type="character" w:styleId="nfasis">
    <w:name w:val="Emphasis"/>
    <w:basedOn w:val="Fuentedeprrafopredeter"/>
    <w:uiPriority w:val="20"/>
    <w:qFormat/>
    <w:rsid w:val="006A61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m-015@hot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dcmitype/"/>
    <ds:schemaRef ds:uri="a6cb9e4b-f1d1-4245-83ec-6cad768d538a"/>
    <ds:schemaRef ds:uri="http://purl.org/dc/terms/"/>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infopath/2007/PartnerControls"/>
    <ds:schemaRef ds:uri="9d85dbaf-23eb-4e57-a637-93dcacc8b1a1"/>
    <ds:schemaRef ds:uri="http://schemas.microsoft.com/office/2006/metadata/propertie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02CC946C-F56C-4D00-8456-BE9CC7684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5658</Words>
  <Characters>31123</Characters>
  <Application>Microsoft Office Word</Application>
  <DocSecurity>0</DocSecurity>
  <Lines>259</Lines>
  <Paragraphs>73</Paragraphs>
  <ScaleCrop>false</ScaleCrop>
  <Company/>
  <LinksUpToDate>false</LinksUpToDate>
  <CharactersWithSpaces>36708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2023-03-03T01:21:00Z</dcterms:created>
  <dcterms:modified xsi:type="dcterms:W3CDTF">2023-03-03T01:21:00Z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