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DAEA79" w14:textId="77777777" w:rsidR="00F30B78" w:rsidRPr="00C4224D" w:rsidRDefault="00F30B78" w:rsidP="00F30B78">
      <w:pPr>
        <w:spacing w:after="0" w:line="240" w:lineRule="auto"/>
        <w:contextualSpacing/>
        <w:jc w:val="both"/>
        <w:rPr>
          <w:rFonts w:ascii="Verdana" w:eastAsia="Calibri" w:hAnsi="Verdana" w:cs="Arial"/>
          <w:b/>
          <w:lang w:val="es-MX"/>
        </w:rPr>
      </w:pPr>
      <w:bookmarkStart w:id="0" w:name="_Hlk143780582"/>
      <w:r w:rsidRPr="00C4224D">
        <w:rPr>
          <w:rFonts w:ascii="Verdana" w:eastAsia="Calibri" w:hAnsi="Verdana" w:cs="Arial"/>
          <w:b/>
          <w:lang w:val="es-MX"/>
        </w:rPr>
        <w:t>PLIEGOS DE CONDICIONES – Naturaleza</w:t>
      </w:r>
    </w:p>
    <w:p w14:paraId="6E6204FD" w14:textId="77777777" w:rsidR="00F30B78" w:rsidRPr="00C4224D" w:rsidRDefault="00F30B78" w:rsidP="00F30B78">
      <w:pPr>
        <w:spacing w:after="0" w:line="240" w:lineRule="auto"/>
        <w:contextualSpacing/>
        <w:jc w:val="both"/>
        <w:rPr>
          <w:rFonts w:ascii="Verdana" w:eastAsia="Calibri" w:hAnsi="Verdana" w:cs="Arial"/>
          <w:bCs/>
          <w:sz w:val="20"/>
          <w:szCs w:val="20"/>
          <w:lang w:val="es-MX"/>
        </w:rPr>
      </w:pPr>
    </w:p>
    <w:p w14:paraId="4166405E" w14:textId="77777777" w:rsidR="00F30B78" w:rsidRPr="00C4224D" w:rsidRDefault="00F30B78" w:rsidP="00F30B78">
      <w:pPr>
        <w:spacing w:after="0" w:line="240" w:lineRule="auto"/>
        <w:contextualSpacing/>
        <w:jc w:val="both"/>
        <w:rPr>
          <w:rFonts w:ascii="Verdana" w:eastAsia="Calibri" w:hAnsi="Verdana" w:cs="Arial"/>
          <w:color w:val="000000" w:themeColor="text1"/>
          <w:sz w:val="20"/>
          <w:szCs w:val="20"/>
        </w:rPr>
      </w:pPr>
      <w:r w:rsidRPr="00C4224D">
        <w:rPr>
          <w:rFonts w:ascii="Verdana" w:eastAsia="Calibri" w:hAnsi="Verdana" w:cs="Arial"/>
          <w:bCs/>
          <w:sz w:val="20"/>
          <w:szCs w:val="20"/>
          <w:lang w:val="es-MX"/>
        </w:rPr>
        <w:t xml:space="preserve">[…] </w:t>
      </w:r>
      <w:r w:rsidRPr="00C4224D">
        <w:rPr>
          <w:rFonts w:ascii="Verdana" w:eastAsia="Calibri" w:hAnsi="Verdana" w:cs="Arial"/>
          <w:color w:val="000000" w:themeColor="text1"/>
          <w:sz w:val="20"/>
          <w:szCs w:val="20"/>
        </w:rPr>
        <w:t xml:space="preserve">el Consejo de Estado ha determinado que el pliego de condiciones es ley para las partes, y en él se debe establecer la regulación del procedimiento de contratación, conforme a la ley, garantizando la selección objetiva del contratista.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C4224D">
        <w:rPr>
          <w:rFonts w:ascii="Verdana" w:eastAsia="Calibri" w:hAnsi="Verdana" w:cs="Arial"/>
          <w:color w:val="000000" w:themeColor="text1"/>
          <w:sz w:val="20"/>
          <w:szCs w:val="20"/>
        </w:rPr>
        <w:t>ii</w:t>
      </w:r>
      <w:proofErr w:type="spellEnd"/>
      <w:r w:rsidRPr="00C4224D">
        <w:rPr>
          <w:rFonts w:ascii="Verdana" w:eastAsia="Calibri" w:hAnsi="Verdana" w:cs="Arial"/>
          <w:color w:val="000000" w:themeColor="text1"/>
          <w:sz w:val="20"/>
          <w:szCs w:val="20"/>
        </w:rPr>
        <w:t xml:space="preserve">) modalidad y criterios de selección, </w:t>
      </w:r>
      <w:proofErr w:type="spellStart"/>
      <w:r w:rsidRPr="00C4224D">
        <w:rPr>
          <w:rFonts w:ascii="Verdana" w:eastAsia="Calibri" w:hAnsi="Verdana" w:cs="Arial"/>
          <w:color w:val="000000" w:themeColor="text1"/>
          <w:sz w:val="20"/>
          <w:szCs w:val="20"/>
        </w:rPr>
        <w:t>iii</w:t>
      </w:r>
      <w:proofErr w:type="spellEnd"/>
      <w:r w:rsidRPr="00C4224D">
        <w:rPr>
          <w:rFonts w:ascii="Verdana" w:eastAsia="Calibri" w:hAnsi="Verdana" w:cs="Arial"/>
          <w:color w:val="000000" w:themeColor="text1"/>
          <w:sz w:val="20"/>
          <w:szCs w:val="20"/>
        </w:rPr>
        <w:t xml:space="preserve">) valoración económica del bien, obra o servicio, </w:t>
      </w:r>
      <w:proofErr w:type="spellStart"/>
      <w:r w:rsidRPr="00C4224D">
        <w:rPr>
          <w:rFonts w:ascii="Verdana" w:eastAsia="Calibri" w:hAnsi="Verdana" w:cs="Arial"/>
          <w:color w:val="000000" w:themeColor="text1"/>
          <w:sz w:val="20"/>
          <w:szCs w:val="20"/>
        </w:rPr>
        <w:t>iv</w:t>
      </w:r>
      <w:proofErr w:type="spellEnd"/>
      <w:r w:rsidRPr="00C4224D">
        <w:rPr>
          <w:rFonts w:ascii="Verdana" w:eastAsia="Calibri" w:hAnsi="Verdana" w:cs="Arial"/>
          <w:color w:val="000000" w:themeColor="text1"/>
          <w:sz w:val="20"/>
          <w:szCs w:val="20"/>
        </w:rPr>
        <w:t>) reglas de la presentación y manejo de las ofertas, v) riesgos y garantías, entre otros aspectos del contrato.</w:t>
      </w:r>
    </w:p>
    <w:p w14:paraId="0AC023B4" w14:textId="77777777" w:rsidR="00F30B78" w:rsidRPr="00C4224D" w:rsidRDefault="00F30B78" w:rsidP="00F30B78">
      <w:pPr>
        <w:spacing w:after="0" w:line="240" w:lineRule="auto"/>
        <w:contextualSpacing/>
        <w:jc w:val="both"/>
        <w:rPr>
          <w:rFonts w:ascii="Verdana" w:eastAsia="Calibri" w:hAnsi="Verdana" w:cs="Arial"/>
          <w:bCs/>
          <w:sz w:val="20"/>
          <w:szCs w:val="20"/>
        </w:rPr>
      </w:pPr>
    </w:p>
    <w:p w14:paraId="082663CC" w14:textId="77777777" w:rsidR="00F30B78" w:rsidRPr="00C4224D" w:rsidRDefault="00F30B78" w:rsidP="00F30B78">
      <w:pPr>
        <w:spacing w:after="0" w:line="240" w:lineRule="auto"/>
        <w:contextualSpacing/>
        <w:jc w:val="both"/>
        <w:rPr>
          <w:rFonts w:ascii="Verdana" w:eastAsia="Calibri" w:hAnsi="Verdana" w:cs="Arial"/>
          <w:bCs/>
          <w:sz w:val="20"/>
          <w:szCs w:val="20"/>
          <w:lang w:val="es-MX"/>
        </w:rPr>
      </w:pPr>
      <w:r w:rsidRPr="00C4224D">
        <w:rPr>
          <w:rFonts w:ascii="Verdana" w:eastAsia="Calibri" w:hAnsi="Verdana" w:cs="Arial"/>
          <w:bCs/>
          <w:sz w:val="20"/>
          <w:szCs w:val="20"/>
          <w:lang w:val="es-MX"/>
        </w:rPr>
        <w:t>[…]</w:t>
      </w:r>
    </w:p>
    <w:p w14:paraId="43CF2D73" w14:textId="77777777" w:rsidR="00F30B78" w:rsidRPr="00C4224D" w:rsidRDefault="00F30B78" w:rsidP="00F30B78">
      <w:pPr>
        <w:spacing w:after="0" w:line="240" w:lineRule="auto"/>
        <w:contextualSpacing/>
        <w:jc w:val="both"/>
        <w:rPr>
          <w:rFonts w:ascii="Verdana" w:eastAsia="Calibri" w:hAnsi="Verdana" w:cs="Arial"/>
          <w:bCs/>
          <w:sz w:val="20"/>
          <w:szCs w:val="20"/>
          <w:lang w:val="es-MX"/>
        </w:rPr>
      </w:pPr>
    </w:p>
    <w:p w14:paraId="7E0F7249" w14:textId="77777777" w:rsidR="00F30B78" w:rsidRPr="00C4224D" w:rsidRDefault="00F30B78" w:rsidP="00F30B78">
      <w:pPr>
        <w:spacing w:after="0" w:line="240" w:lineRule="auto"/>
        <w:contextualSpacing/>
        <w:jc w:val="both"/>
        <w:rPr>
          <w:rFonts w:ascii="Verdana" w:eastAsia="Calibri" w:hAnsi="Verdana" w:cs="Arial"/>
          <w:sz w:val="20"/>
          <w:szCs w:val="20"/>
          <w:lang w:val="es-ES"/>
        </w:rPr>
      </w:pPr>
      <w:r w:rsidRPr="00C4224D">
        <w:rPr>
          <w:rFonts w:ascii="Verdana" w:eastAsia="Calibri" w:hAnsi="Verdana" w:cs="Arial"/>
          <w:sz w:val="20"/>
          <w:szCs w:val="20"/>
          <w:lang w:val="es-ES"/>
        </w:rPr>
        <w:t>En ese orden de ideas, el Consejo de Estado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r>
        <w:rPr>
          <w:rFonts w:ascii="Verdana" w:eastAsia="Calibri" w:hAnsi="Verdana" w:cs="Arial"/>
          <w:sz w:val="20"/>
          <w:szCs w:val="20"/>
          <w:lang w:val="es-ES"/>
        </w:rPr>
        <w:t>.</w:t>
      </w:r>
    </w:p>
    <w:p w14:paraId="31A04EBC" w14:textId="77777777" w:rsidR="00F30B78" w:rsidRPr="00C4224D" w:rsidRDefault="00F30B78" w:rsidP="00F30B78">
      <w:pPr>
        <w:spacing w:after="0" w:line="240" w:lineRule="auto"/>
        <w:contextualSpacing/>
        <w:jc w:val="both"/>
        <w:rPr>
          <w:rFonts w:ascii="Verdana" w:eastAsia="Calibri" w:hAnsi="Verdana" w:cs="Arial"/>
          <w:bCs/>
          <w:sz w:val="20"/>
          <w:szCs w:val="20"/>
          <w:lang w:val="es-MX"/>
        </w:rPr>
      </w:pPr>
    </w:p>
    <w:p w14:paraId="6DF951A5" w14:textId="77777777" w:rsidR="00F30B78" w:rsidRPr="00C4224D" w:rsidRDefault="00F30B78" w:rsidP="00F30B78">
      <w:pPr>
        <w:spacing w:after="0" w:line="240" w:lineRule="auto"/>
        <w:contextualSpacing/>
        <w:jc w:val="both"/>
        <w:rPr>
          <w:rFonts w:ascii="Verdana" w:eastAsia="Calibri" w:hAnsi="Verdana" w:cs="Arial"/>
          <w:b/>
        </w:rPr>
      </w:pPr>
      <w:r w:rsidRPr="00C4224D">
        <w:rPr>
          <w:rFonts w:ascii="Verdana" w:eastAsia="Calibri" w:hAnsi="Verdana" w:cs="Arial"/>
          <w:b/>
          <w:lang w:val="es-MX"/>
        </w:rPr>
        <w:t>PLIEGOS DE CONDICIONES – Otros documentos – Contradicción información</w:t>
      </w:r>
    </w:p>
    <w:p w14:paraId="10BE0E7F" w14:textId="77777777" w:rsidR="00F30B78" w:rsidRPr="00C4224D" w:rsidRDefault="00F30B78" w:rsidP="00F30B78">
      <w:pPr>
        <w:spacing w:after="0" w:line="240" w:lineRule="auto"/>
        <w:contextualSpacing/>
        <w:jc w:val="both"/>
        <w:rPr>
          <w:rFonts w:ascii="Verdana" w:eastAsia="Batang" w:hAnsi="Verdana" w:cs="Arial"/>
          <w:sz w:val="20"/>
          <w:szCs w:val="20"/>
          <w:lang w:val="es-MX"/>
        </w:rPr>
      </w:pPr>
    </w:p>
    <w:p w14:paraId="663ED2CF" w14:textId="77777777" w:rsidR="00F30B78" w:rsidRDefault="00F30B78" w:rsidP="00F30B78">
      <w:pPr>
        <w:spacing w:after="0" w:line="240" w:lineRule="auto"/>
        <w:contextualSpacing/>
        <w:jc w:val="both"/>
        <w:rPr>
          <w:rFonts w:ascii="Verdana" w:eastAsia="Batang" w:hAnsi="Verdana" w:cs="Arial"/>
          <w:i/>
          <w:iCs/>
          <w:sz w:val="20"/>
          <w:szCs w:val="20"/>
          <w:lang w:val="es-MX"/>
        </w:rPr>
      </w:pPr>
      <w:r w:rsidRPr="00C4224D">
        <w:rPr>
          <w:rFonts w:ascii="Verdana" w:eastAsia="Batang" w:hAnsi="Verdana" w:cs="Arial"/>
          <w:sz w:val="20"/>
          <w:szCs w:val="20"/>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C4224D">
        <w:rPr>
          <w:rFonts w:ascii="Verdana" w:eastAsia="Batang" w:hAnsi="Verdana" w:cs="Arial"/>
          <w:i/>
          <w:iCs/>
          <w:sz w:val="20"/>
          <w:szCs w:val="20"/>
          <w:lang w:val="es-MX"/>
        </w:rPr>
        <w:t xml:space="preserve">“con sujeción a los principios generales </w:t>
      </w:r>
      <w:proofErr w:type="gramStart"/>
      <w:r w:rsidRPr="00C4224D">
        <w:rPr>
          <w:rFonts w:ascii="Verdana" w:eastAsia="Batang" w:hAnsi="Verdana" w:cs="Arial"/>
          <w:i/>
          <w:iCs/>
          <w:sz w:val="20"/>
          <w:szCs w:val="20"/>
          <w:lang w:val="es-MX"/>
        </w:rPr>
        <w:t>del derechos</w:t>
      </w:r>
      <w:proofErr w:type="gramEnd"/>
      <w:r w:rsidRPr="00C4224D">
        <w:rPr>
          <w:rFonts w:ascii="Verdana" w:eastAsia="Batang" w:hAnsi="Verdana" w:cs="Arial"/>
          <w:i/>
          <w:iCs/>
          <w:sz w:val="20"/>
          <w:szCs w:val="20"/>
          <w:lang w:val="es-MX"/>
        </w:rPr>
        <w:t>, a los de la función administrativa, a la finalidad del pliego y a la protección del interés general, de conformidad con lo previsto en el artículo 23 de la Ley 80 de 1993”.</w:t>
      </w:r>
    </w:p>
    <w:p w14:paraId="132A43A4" w14:textId="77777777" w:rsidR="00F30B78" w:rsidRPr="00C4224D" w:rsidRDefault="00F30B78" w:rsidP="00F30B78">
      <w:pPr>
        <w:spacing w:after="0" w:line="240" w:lineRule="auto"/>
        <w:contextualSpacing/>
        <w:jc w:val="both"/>
        <w:rPr>
          <w:rFonts w:ascii="Verdana" w:eastAsia="Batang" w:hAnsi="Verdana" w:cs="Arial"/>
          <w:sz w:val="20"/>
          <w:szCs w:val="20"/>
          <w:lang w:val="es-MX"/>
        </w:rPr>
      </w:pPr>
    </w:p>
    <w:p w14:paraId="5771A865" w14:textId="77777777" w:rsidR="00F30B78" w:rsidRPr="00C4224D" w:rsidRDefault="00F30B78" w:rsidP="00F30B78">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lang w:val="es-MX"/>
        </w:rPr>
        <w:t xml:space="preserve">De acuerdo con lo anterior, en atención al problema jurídico planteado, es posible establecer, por ejemplo, que </w:t>
      </w:r>
      <w:r w:rsidRPr="00C4224D">
        <w:rPr>
          <w:rFonts w:ascii="Verdana" w:eastAsia="Batang" w:hAnsi="Verdana" w:cs="Arial"/>
          <w:sz w:val="20"/>
          <w:szCs w:val="20"/>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3E55FEE9" w14:textId="77777777" w:rsidR="00F30B78" w:rsidRPr="00C4224D" w:rsidRDefault="00F30B78" w:rsidP="00F30B78">
      <w:pPr>
        <w:spacing w:after="0" w:line="240" w:lineRule="auto"/>
        <w:contextualSpacing/>
        <w:jc w:val="both"/>
        <w:rPr>
          <w:rFonts w:ascii="Verdana" w:eastAsia="Calibri" w:hAnsi="Verdana" w:cs="Arial"/>
          <w:sz w:val="20"/>
          <w:szCs w:val="20"/>
        </w:rPr>
      </w:pPr>
    </w:p>
    <w:p w14:paraId="042110C8" w14:textId="77777777" w:rsidR="00F30B78" w:rsidRPr="00C4224D" w:rsidRDefault="00F30B78" w:rsidP="00F30B78">
      <w:pPr>
        <w:spacing w:after="0" w:line="240" w:lineRule="auto"/>
        <w:contextualSpacing/>
        <w:jc w:val="both"/>
        <w:rPr>
          <w:rFonts w:ascii="Verdana" w:eastAsia="Calibri" w:hAnsi="Verdana" w:cs="Arial"/>
          <w:b/>
          <w:bCs/>
          <w:lang w:val="es-ES" w:eastAsia="es-ES"/>
        </w:rPr>
      </w:pPr>
      <w:r w:rsidRPr="00C4224D">
        <w:rPr>
          <w:rFonts w:ascii="Verdana" w:eastAsia="Calibri" w:hAnsi="Verdana" w:cs="Arial"/>
          <w:b/>
          <w:bCs/>
        </w:rPr>
        <w:t>INTERPRETACIÓN – Reglas</w:t>
      </w:r>
      <w:r w:rsidRPr="00C4224D">
        <w:rPr>
          <w:rFonts w:ascii="Verdana" w:eastAsia="Calibri" w:hAnsi="Verdana" w:cs="Arial"/>
          <w:b/>
          <w:bCs/>
          <w:lang w:val="es-ES" w:eastAsia="es-ES"/>
        </w:rPr>
        <w:t xml:space="preserve"> de interpretación </w:t>
      </w:r>
    </w:p>
    <w:p w14:paraId="038D7DDC" w14:textId="77777777" w:rsidR="00F30B78" w:rsidRPr="00C4224D" w:rsidRDefault="00F30B78" w:rsidP="00F30B78">
      <w:pPr>
        <w:spacing w:after="0" w:line="240" w:lineRule="auto"/>
        <w:contextualSpacing/>
        <w:rPr>
          <w:rFonts w:ascii="Verdana" w:hAnsi="Verdana"/>
          <w:sz w:val="20"/>
          <w:szCs w:val="20"/>
          <w:lang w:val="es-ES"/>
        </w:rPr>
      </w:pPr>
    </w:p>
    <w:p w14:paraId="6622130C" w14:textId="77777777" w:rsidR="00F30B78" w:rsidRDefault="00F30B78" w:rsidP="00F30B78">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Sin perjuicio de lo anterior, la entidad, proponentes o contratista podrán acudir, en lo pertinente, a las reglas de interpretación </w:t>
      </w:r>
      <w:r w:rsidRPr="00C4224D">
        <w:rPr>
          <w:rFonts w:ascii="Verdana" w:eastAsia="Batang" w:hAnsi="Verdana" w:cs="Arial"/>
          <w:sz w:val="20"/>
          <w:szCs w:val="20"/>
          <w:lang w:val="es-MX"/>
        </w:rPr>
        <w:t xml:space="preserve">objetivas y subjetivas conforme a los artículos 1618 a 1624 del Código Civil. Por una parte, las </w:t>
      </w:r>
      <w:r w:rsidRPr="00C4224D">
        <w:rPr>
          <w:rFonts w:ascii="Verdana" w:eastAsia="Batang" w:hAnsi="Verdana" w:cs="Arial"/>
          <w:i/>
          <w:iCs/>
          <w:sz w:val="20"/>
          <w:szCs w:val="20"/>
          <w:lang w:val="es-MX"/>
        </w:rPr>
        <w:t>objetivas</w:t>
      </w:r>
      <w:r w:rsidRPr="00C4224D">
        <w:rPr>
          <w:rFonts w:ascii="Verdana" w:eastAsia="Batang" w:hAnsi="Verdana" w:cs="Arial"/>
          <w:sz w:val="20"/>
          <w:szCs w:val="20"/>
          <w:lang w:val="es-MX"/>
        </w:rPr>
        <w:t xml:space="preserve"> son las siguientes: i) una vez conocida la intención de los contratantes ha de estarse más a ella que a lo literal de las </w:t>
      </w:r>
      <w:r w:rsidRPr="00C4224D">
        <w:rPr>
          <w:rFonts w:ascii="Verdana" w:eastAsia="Batang" w:hAnsi="Verdana" w:cs="Arial"/>
          <w:sz w:val="20"/>
          <w:szCs w:val="20"/>
          <w:lang w:val="es-MX"/>
        </w:rPr>
        <w:lastRenderedPageBreak/>
        <w:t xml:space="preserve">palabras (artículo 1618 del Código Civil); </w:t>
      </w:r>
      <w:proofErr w:type="spellStart"/>
      <w:r w:rsidRPr="00C4224D">
        <w:rPr>
          <w:rFonts w:ascii="Verdana" w:eastAsia="Batang" w:hAnsi="Verdana" w:cs="Arial"/>
          <w:sz w:val="20"/>
          <w:szCs w:val="20"/>
          <w:lang w:val="es-MX"/>
        </w:rPr>
        <w:t>ii</w:t>
      </w:r>
      <w:proofErr w:type="spellEnd"/>
      <w:r w:rsidRPr="00C4224D">
        <w:rPr>
          <w:rFonts w:ascii="Verdana" w:eastAsia="Batang" w:hAnsi="Verdana" w:cs="Arial"/>
          <w:sz w:val="20"/>
          <w:szCs w:val="20"/>
          <w:lang w:val="es-MX"/>
        </w:rPr>
        <w:t xml:space="preserve">) </w:t>
      </w:r>
      <w:r w:rsidRPr="00C4224D">
        <w:rPr>
          <w:rFonts w:ascii="Verdana" w:eastAsia="Batang" w:hAnsi="Verdana" w:cs="Arial"/>
          <w:sz w:val="20"/>
          <w:szCs w:val="20"/>
        </w:rPr>
        <w:t xml:space="preserve">las estipulaciones de un contrato pueden interpretarse por la de otro que las partes hayan celebrado sobre la misma materia o por la aplicación práctica que de ellas hayan hecho (artículo 1622, incisos 2 y 3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iii</w:t>
      </w:r>
      <w:proofErr w:type="spellEnd"/>
      <w:r w:rsidRPr="00C4224D">
        <w:rPr>
          <w:rFonts w:ascii="Verdana" w:eastAsia="Batang" w:hAnsi="Verdana" w:cs="Arial"/>
          <w:sz w:val="20"/>
          <w:szCs w:val="20"/>
        </w:rPr>
        <w:t xml:space="preserve">) las cláusulas deben interpretarse unas por otras, dándole a cada una el sentido que más convenga al contrato en su totalidad (artículo 1622, inciso 1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iv</w:t>
      </w:r>
      <w:proofErr w:type="spellEnd"/>
      <w:r w:rsidRPr="00C4224D">
        <w:rPr>
          <w:rFonts w:ascii="Verdana" w:eastAsia="Batang" w:hAnsi="Verdana" w:cs="Arial"/>
          <w:sz w:val="20"/>
          <w:szCs w:val="20"/>
        </w:rPr>
        <w:t xml:space="preserve">) si en un contrato se expresa un caso para explicar la obligación se entiende que esa mención no es restrictiva sino ejemplificativa (artículo 1623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y v) se entiende que las expresiones generales contenidas en el negocio únicamente se aplican a la materia sobre la que se ha contratado (artículo 1619, inciso 2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p>
    <w:p w14:paraId="4441A10E" w14:textId="77777777" w:rsidR="00F30B78" w:rsidRDefault="00F30B78" w:rsidP="00F30B78">
      <w:pPr>
        <w:spacing w:after="0" w:line="240" w:lineRule="auto"/>
        <w:contextualSpacing/>
        <w:jc w:val="both"/>
        <w:rPr>
          <w:rFonts w:ascii="Verdana" w:eastAsia="Batang" w:hAnsi="Verdana" w:cs="Arial"/>
          <w:sz w:val="20"/>
          <w:szCs w:val="20"/>
        </w:rPr>
      </w:pPr>
    </w:p>
    <w:p w14:paraId="24CC6CEE" w14:textId="77777777" w:rsidR="00F30B78" w:rsidRPr="00C4224D" w:rsidRDefault="00F30B78" w:rsidP="00F30B78">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Por su parte, las reglas </w:t>
      </w:r>
      <w:r w:rsidRPr="00C4224D">
        <w:rPr>
          <w:rFonts w:ascii="Verdana" w:eastAsia="Batang" w:hAnsi="Verdana" w:cs="Arial"/>
          <w:i/>
          <w:iCs/>
          <w:sz w:val="20"/>
          <w:szCs w:val="20"/>
        </w:rPr>
        <w:t>subjetivas</w:t>
      </w:r>
      <w:r w:rsidRPr="00C4224D">
        <w:rPr>
          <w:rFonts w:ascii="Verdana" w:eastAsia="Batang" w:hAnsi="Verdana" w:cs="Arial"/>
          <w:sz w:val="20"/>
          <w:szCs w:val="20"/>
        </w:rPr>
        <w:t xml:space="preserve"> de interpretación se refieren a las siguientes: vi) </w:t>
      </w:r>
      <w:r w:rsidRPr="00C4224D">
        <w:rPr>
          <w:rFonts w:ascii="Verdana" w:eastAsia="Batang" w:hAnsi="Verdana" w:cs="Arial"/>
          <w:sz w:val="20"/>
          <w:szCs w:val="20"/>
          <w:lang w:val="es-MX"/>
        </w:rPr>
        <w:t xml:space="preserve">el sentido en que una cláusula pueda producir algún efecto deberá preferirse a aquel en que no produzca efecto alguno </w:t>
      </w:r>
      <w:r w:rsidRPr="00C4224D">
        <w:rPr>
          <w:rFonts w:ascii="Verdana" w:eastAsia="Batang" w:hAnsi="Verdana" w:cs="Arial"/>
          <w:sz w:val="20"/>
          <w:szCs w:val="20"/>
        </w:rPr>
        <w:t xml:space="preserve">(artículo 1620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vii</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deberá estarse a la interpretación que mejor cuadre con la naturaleza del contrato </w:t>
      </w:r>
      <w:r w:rsidRPr="00C4224D">
        <w:rPr>
          <w:rFonts w:ascii="Verdana" w:eastAsia="Batang" w:hAnsi="Verdana" w:cs="Arial"/>
          <w:sz w:val="20"/>
          <w:szCs w:val="20"/>
        </w:rPr>
        <w:t xml:space="preserve">(artículo 1621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w:t>
      </w:r>
      <w:proofErr w:type="spellStart"/>
      <w:r w:rsidRPr="00C4224D">
        <w:rPr>
          <w:rFonts w:ascii="Verdana" w:eastAsia="Batang" w:hAnsi="Verdana" w:cs="Arial"/>
          <w:sz w:val="20"/>
          <w:szCs w:val="20"/>
          <w:lang w:val="es-MX"/>
        </w:rPr>
        <w:t>viii</w:t>
      </w:r>
      <w:proofErr w:type="spellEnd"/>
      <w:r w:rsidRPr="00C4224D">
        <w:rPr>
          <w:rFonts w:ascii="Verdana" w:eastAsia="Batang" w:hAnsi="Verdana" w:cs="Arial"/>
          <w:sz w:val="20"/>
          <w:szCs w:val="20"/>
          <w:lang w:val="es-MX"/>
        </w:rPr>
        <w:t xml:space="preserve">) las cláusulas ambiguas se interpretan a favor del deudor </w:t>
      </w:r>
      <w:r w:rsidRPr="00C4224D">
        <w:rPr>
          <w:rFonts w:ascii="Verdana" w:eastAsia="Batang" w:hAnsi="Verdana" w:cs="Arial"/>
          <w:sz w:val="20"/>
          <w:szCs w:val="20"/>
        </w:rPr>
        <w:t xml:space="preserve">(artículo 1624, inciso 1 </w:t>
      </w:r>
      <w:proofErr w:type="spellStart"/>
      <w:r w:rsidRPr="00C4224D">
        <w:rPr>
          <w:rFonts w:ascii="Verdana" w:eastAsia="Batang" w:hAnsi="Verdana" w:cs="Arial"/>
          <w:sz w:val="20"/>
          <w:szCs w:val="20"/>
        </w:rPr>
        <w:t>ibídem</w:t>
      </w:r>
      <w:proofErr w:type="spellEnd"/>
      <w:r w:rsidRPr="00C4224D">
        <w:rPr>
          <w:rFonts w:ascii="Verdana" w:eastAsia="Batang" w:hAnsi="Verdana" w:cs="Arial"/>
          <w:sz w:val="20"/>
          <w:szCs w:val="20"/>
        </w:rPr>
        <w:t xml:space="preserve">); y </w:t>
      </w:r>
      <w:proofErr w:type="spellStart"/>
      <w:r w:rsidRPr="00C4224D">
        <w:rPr>
          <w:rFonts w:ascii="Verdana" w:eastAsia="Batang" w:hAnsi="Verdana" w:cs="Arial"/>
          <w:sz w:val="20"/>
          <w:szCs w:val="20"/>
        </w:rPr>
        <w:t>ix</w:t>
      </w:r>
      <w:proofErr w:type="spellEnd"/>
      <w:r w:rsidRPr="00C4224D">
        <w:rPr>
          <w:rFonts w:ascii="Verdana" w:eastAsia="Batang" w:hAnsi="Verdana" w:cs="Arial"/>
          <w:i/>
          <w:iCs/>
          <w:sz w:val="20"/>
          <w:szCs w:val="20"/>
        </w:rPr>
        <w:t>)</w:t>
      </w:r>
      <w:r w:rsidRPr="00C4224D">
        <w:rPr>
          <w:rFonts w:ascii="Verdana" w:eastAsia="Batang" w:hAnsi="Verdana" w:cs="Arial"/>
          <w:i/>
          <w:iCs/>
          <w:sz w:val="20"/>
          <w:szCs w:val="20"/>
          <w:lang w:val="es-MX"/>
        </w:rPr>
        <w:t xml:space="preserve"> las cláusulas oscuras que hayan sido extendidas o dictadas por una parte se interpretarán contra ella si la ambigüedad proviene de una explicación que ésta ha debido dar</w:t>
      </w:r>
      <w:r w:rsidRPr="00C4224D">
        <w:rPr>
          <w:rFonts w:ascii="Verdana" w:eastAsia="Batang" w:hAnsi="Verdana" w:cs="Arial"/>
          <w:sz w:val="20"/>
          <w:szCs w:val="20"/>
          <w:lang w:val="es-MX"/>
        </w:rPr>
        <w:t xml:space="preserve"> </w:t>
      </w:r>
      <w:r w:rsidRPr="00C4224D">
        <w:rPr>
          <w:rFonts w:ascii="Verdana" w:eastAsia="Batang" w:hAnsi="Verdana" w:cs="Arial"/>
          <w:sz w:val="20"/>
          <w:szCs w:val="20"/>
        </w:rPr>
        <w:t xml:space="preserve">(artículo 1624, inciso 2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w:t>
      </w:r>
    </w:p>
    <w:p w14:paraId="7C89B468" w14:textId="77777777" w:rsidR="00F30B78" w:rsidRDefault="00F30B78">
      <w:pPr>
        <w:rPr>
          <w:rFonts w:ascii="Verdana" w:hAnsi="Verdana"/>
        </w:rPr>
      </w:pPr>
      <w:r>
        <w:rPr>
          <w:rFonts w:ascii="Verdana" w:hAnsi="Verdana"/>
        </w:rPr>
        <w:br w:type="page"/>
      </w:r>
    </w:p>
    <w:p w14:paraId="3FE2184B" w14:textId="0F70FC3F" w:rsidR="00E245AB" w:rsidRDefault="00E245AB" w:rsidP="00E245AB">
      <w:pPr>
        <w:spacing w:after="0"/>
        <w:rPr>
          <w:rFonts w:ascii="Verdana" w:hAnsi="Verdana"/>
        </w:rPr>
      </w:pPr>
      <w:r w:rsidRPr="0044528D">
        <w:rPr>
          <w:rFonts w:ascii="Verdana" w:hAnsi="Verdana"/>
        </w:rPr>
        <w:lastRenderedPageBreak/>
        <w:t xml:space="preserve">Bogotá D.C., </w:t>
      </w:r>
      <w:r w:rsidR="00205F7D">
        <w:rPr>
          <w:rFonts w:ascii="Verdana" w:hAnsi="Verdana"/>
        </w:rPr>
        <w:t xml:space="preserve">30 de diciembre de 2024. </w:t>
      </w:r>
    </w:p>
    <w:p w14:paraId="5FCADBF9" w14:textId="210E3D09" w:rsidR="00E245AB" w:rsidRPr="0044528D" w:rsidRDefault="0043213E" w:rsidP="002B0D1C">
      <w:pPr>
        <w:spacing w:after="0"/>
        <w:jc w:val="right"/>
        <w:rPr>
          <w:rFonts w:ascii="Verdana" w:hAnsi="Verdana"/>
        </w:rPr>
      </w:pPr>
      <w:r w:rsidRPr="0043213E">
        <w:rPr>
          <w:rFonts w:ascii="Verdana" w:hAnsi="Verdana"/>
        </w:rPr>
        <w:drawing>
          <wp:inline distT="0" distB="0" distL="0" distR="0" wp14:anchorId="69C4D226" wp14:editId="412AA3BD">
            <wp:extent cx="2556317" cy="789788"/>
            <wp:effectExtent l="0" t="0" r="0" b="0"/>
            <wp:docPr id="19978683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68338" name=""/>
                    <pic:cNvPicPr/>
                  </pic:nvPicPr>
                  <pic:blipFill>
                    <a:blip r:embed="rId10"/>
                    <a:stretch>
                      <a:fillRect/>
                    </a:stretch>
                  </pic:blipFill>
                  <pic:spPr>
                    <a:xfrm>
                      <a:off x="0" y="0"/>
                      <a:ext cx="2570668" cy="794222"/>
                    </a:xfrm>
                    <a:prstGeom prst="rect">
                      <a:avLst/>
                    </a:prstGeom>
                  </pic:spPr>
                </pic:pic>
              </a:graphicData>
            </a:graphic>
          </wp:inline>
        </w:drawing>
      </w:r>
    </w:p>
    <w:bookmarkEnd w:id="0"/>
    <w:p w14:paraId="308EBA78" w14:textId="77777777" w:rsidR="00BE6CC7" w:rsidRPr="002379AA" w:rsidRDefault="00BE6CC7" w:rsidP="00BE6CC7">
      <w:pPr>
        <w:spacing w:after="0" w:line="240" w:lineRule="auto"/>
        <w:jc w:val="both"/>
        <w:rPr>
          <w:rFonts w:ascii="Verdana" w:eastAsia="Calibri" w:hAnsi="Verdana" w:cs="Arial"/>
          <w:lang w:val="es-ES" w:eastAsia="es-ES"/>
        </w:rPr>
      </w:pPr>
      <w:r w:rsidRPr="002379AA">
        <w:rPr>
          <w:rFonts w:ascii="Verdana" w:eastAsia="Calibri" w:hAnsi="Verdana" w:cs="Arial"/>
          <w:lang w:val="es-ES" w:eastAsia="es-ES"/>
        </w:rPr>
        <w:t>Señor</w:t>
      </w:r>
    </w:p>
    <w:p w14:paraId="6E944A5C" w14:textId="77777777" w:rsidR="00BE6CC7" w:rsidRPr="002379AA" w:rsidRDefault="00BE6CC7" w:rsidP="00BE6CC7">
      <w:pPr>
        <w:spacing w:after="0" w:line="240" w:lineRule="auto"/>
        <w:rPr>
          <w:rFonts w:ascii="Verdana" w:eastAsia="Calibri" w:hAnsi="Verdana" w:cs="Arial"/>
          <w:b/>
          <w:bCs/>
          <w:lang w:val="es-ES" w:eastAsia="es-ES"/>
        </w:rPr>
      </w:pPr>
      <w:r w:rsidRPr="002379AA">
        <w:rPr>
          <w:rFonts w:ascii="Verdana" w:eastAsia="Calibri" w:hAnsi="Verdana" w:cs="Arial"/>
          <w:b/>
          <w:bCs/>
          <w:lang w:eastAsia="es-ES"/>
        </w:rPr>
        <w:t>Leonardo Gómez Granados</w:t>
      </w:r>
      <w:r w:rsidRPr="002379AA">
        <w:rPr>
          <w:rFonts w:ascii="Verdana" w:eastAsia="Calibri" w:hAnsi="Verdana" w:cs="Arial"/>
          <w:b/>
          <w:bCs/>
          <w:lang w:val="es-ES" w:eastAsia="es-ES"/>
        </w:rPr>
        <w:t xml:space="preserve"> </w:t>
      </w:r>
    </w:p>
    <w:p w14:paraId="49F5A82D" w14:textId="77777777" w:rsidR="00BE6CC7" w:rsidRPr="002379AA" w:rsidRDefault="00BE6CC7" w:rsidP="00BE6CC7">
      <w:pPr>
        <w:spacing w:after="0" w:line="240" w:lineRule="auto"/>
        <w:rPr>
          <w:rFonts w:ascii="Verdana" w:eastAsia="Calibri" w:hAnsi="Verdana" w:cs="Arial"/>
          <w:b/>
          <w:bCs/>
          <w:lang w:eastAsia="es-ES"/>
        </w:rPr>
      </w:pPr>
      <w:r w:rsidRPr="002379AA">
        <w:rPr>
          <w:rFonts w:ascii="Verdana" w:eastAsia="Calibri" w:hAnsi="Verdana" w:cs="Arial"/>
          <w:b/>
          <w:bCs/>
          <w:lang w:eastAsia="es-ES"/>
        </w:rPr>
        <w:t xml:space="preserve">SERSECOL LTDA </w:t>
      </w:r>
    </w:p>
    <w:p w14:paraId="7041B0D1" w14:textId="77777777" w:rsidR="00BE6CC7" w:rsidRPr="002379AA" w:rsidRDefault="00BE6CC7" w:rsidP="00BE6CC7">
      <w:pPr>
        <w:spacing w:after="0" w:line="240" w:lineRule="auto"/>
        <w:rPr>
          <w:rFonts w:ascii="Verdana" w:eastAsia="Calibri" w:hAnsi="Verdana" w:cs="Arial"/>
          <w:b/>
          <w:bCs/>
          <w:lang w:val="es-ES" w:eastAsia="es-ES"/>
        </w:rPr>
      </w:pPr>
      <w:r w:rsidRPr="002379AA">
        <w:rPr>
          <w:rFonts w:ascii="Verdana" w:eastAsia="Calibri" w:hAnsi="Verdana" w:cs="Arial"/>
          <w:lang w:val="es-ES" w:eastAsia="es-ES"/>
        </w:rPr>
        <w:t>Bogotá D.C.</w:t>
      </w:r>
    </w:p>
    <w:p w14:paraId="23294667" w14:textId="77777777" w:rsidR="00BE6CC7" w:rsidRPr="002379AA" w:rsidRDefault="00BE6CC7" w:rsidP="00BE6CC7">
      <w:pPr>
        <w:spacing w:after="0" w:line="240" w:lineRule="auto"/>
        <w:rPr>
          <w:rFonts w:ascii="Verdana" w:eastAsia="Calibri" w:hAnsi="Verdana" w:cs="Arial"/>
          <w:b/>
          <w:bCs/>
          <w:lang w:val="es-ES_tradnl" w:eastAsia="es-ES_tradnl"/>
        </w:rPr>
      </w:pPr>
    </w:p>
    <w:p w14:paraId="017E964B" w14:textId="77777777" w:rsidR="00BE6CC7" w:rsidRPr="002379AA" w:rsidRDefault="00BE6CC7" w:rsidP="00BE6CC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E6CC7" w:rsidRPr="002379AA" w14:paraId="2B0EDB2E" w14:textId="77777777" w:rsidTr="00CC3993">
        <w:trPr>
          <w:trHeight w:val="243"/>
        </w:trPr>
        <w:tc>
          <w:tcPr>
            <w:tcW w:w="2689" w:type="dxa"/>
          </w:tcPr>
          <w:p w14:paraId="7058698D" w14:textId="77777777" w:rsidR="00BE6CC7" w:rsidRPr="002379AA" w:rsidRDefault="00BE6CC7" w:rsidP="00CC3993">
            <w:pPr>
              <w:jc w:val="both"/>
              <w:rPr>
                <w:rFonts w:ascii="Verdana" w:eastAsia="Calibri" w:hAnsi="Verdana" w:cs="Arial"/>
                <w:b/>
                <w:bCs/>
                <w:lang w:val="es-ES_tradnl" w:eastAsia="es-ES_tradnl"/>
              </w:rPr>
            </w:pPr>
          </w:p>
        </w:tc>
        <w:tc>
          <w:tcPr>
            <w:tcW w:w="6100" w:type="dxa"/>
          </w:tcPr>
          <w:p w14:paraId="0AD629CF" w14:textId="77777777" w:rsidR="00BE6CC7" w:rsidRPr="002379AA" w:rsidRDefault="00BE6CC7" w:rsidP="00CC3993">
            <w:pPr>
              <w:jc w:val="both"/>
              <w:rPr>
                <w:rFonts w:ascii="Verdana" w:eastAsia="Calibri" w:hAnsi="Verdana" w:cs="Arial"/>
                <w:b/>
                <w:bCs/>
                <w:lang w:val="es-ES" w:eastAsia="es-ES"/>
              </w:rPr>
            </w:pPr>
            <w:r w:rsidRPr="002379AA">
              <w:rPr>
                <w:rFonts w:ascii="Verdana" w:eastAsia="Calibri" w:hAnsi="Verdana" w:cs="Arial"/>
                <w:b/>
                <w:bCs/>
                <w:lang w:val="es-ES" w:eastAsia="es-ES"/>
              </w:rPr>
              <w:t>Concepto C- 869 de 2024</w:t>
            </w:r>
          </w:p>
          <w:p w14:paraId="550E9249" w14:textId="77777777" w:rsidR="00BE6CC7" w:rsidRPr="002379AA" w:rsidRDefault="00BE6CC7" w:rsidP="00CC3993">
            <w:pPr>
              <w:jc w:val="both"/>
              <w:rPr>
                <w:rFonts w:ascii="Verdana" w:eastAsia="Calibri" w:hAnsi="Verdana" w:cs="Arial"/>
                <w:b/>
                <w:bCs/>
                <w:lang w:val="es-ES" w:eastAsia="es-ES"/>
              </w:rPr>
            </w:pPr>
          </w:p>
        </w:tc>
      </w:tr>
      <w:tr w:rsidR="00BE6CC7" w:rsidRPr="002379AA" w14:paraId="738D4062" w14:textId="77777777" w:rsidTr="00CC3993">
        <w:trPr>
          <w:trHeight w:val="884"/>
        </w:trPr>
        <w:tc>
          <w:tcPr>
            <w:tcW w:w="2689" w:type="dxa"/>
          </w:tcPr>
          <w:p w14:paraId="73FB3352" w14:textId="77777777" w:rsidR="00BE6CC7" w:rsidRPr="002379AA" w:rsidRDefault="00BE6CC7" w:rsidP="00CC3993">
            <w:pPr>
              <w:jc w:val="both"/>
              <w:rPr>
                <w:rFonts w:ascii="Verdana" w:eastAsia="Calibri" w:hAnsi="Verdana" w:cs="Arial"/>
                <w:lang w:val="es-ES_tradnl" w:eastAsia="es-ES_tradnl"/>
              </w:rPr>
            </w:pPr>
            <w:r w:rsidRPr="002379AA">
              <w:rPr>
                <w:rFonts w:ascii="Verdana" w:eastAsia="Calibri" w:hAnsi="Verdana" w:cs="Arial"/>
                <w:b/>
                <w:lang w:val="es-ES_tradnl" w:eastAsia="es-ES_tradnl"/>
              </w:rPr>
              <w:t>Temas:</w:t>
            </w:r>
            <w:r w:rsidRPr="002379AA">
              <w:rPr>
                <w:rFonts w:ascii="Verdana" w:eastAsia="Calibri" w:hAnsi="Verdana" w:cs="Arial"/>
                <w:lang w:val="es-ES_tradnl" w:eastAsia="es-ES_tradnl"/>
              </w:rPr>
              <w:t xml:space="preserve">                   </w:t>
            </w:r>
          </w:p>
        </w:tc>
        <w:tc>
          <w:tcPr>
            <w:tcW w:w="6100" w:type="dxa"/>
          </w:tcPr>
          <w:p w14:paraId="06ECD92A" w14:textId="77777777" w:rsidR="00BE6CC7" w:rsidRPr="002379AA" w:rsidRDefault="00BE6CC7" w:rsidP="00CC3993">
            <w:pPr>
              <w:contextualSpacing/>
              <w:jc w:val="both"/>
              <w:rPr>
                <w:rFonts w:ascii="Verdana" w:eastAsia="Calibri" w:hAnsi="Verdana" w:cs="Arial"/>
                <w:lang w:val="es-ES" w:eastAsia="es-ES"/>
              </w:rPr>
            </w:pPr>
            <w:r>
              <w:rPr>
                <w:rFonts w:ascii="Verdana" w:eastAsia="Calibri" w:hAnsi="Verdana" w:cs="Arial"/>
                <w:bCs/>
                <w:lang w:val="es-MX"/>
              </w:rPr>
              <w:t xml:space="preserve">PLIEGOS DE CONDICIONES – Naturaleza / PLIEGOS DE CONDICIONES – Otros documentos – </w:t>
            </w:r>
            <w:r w:rsidRPr="002379AA">
              <w:rPr>
                <w:rFonts w:ascii="Verdana" w:eastAsia="Calibri" w:hAnsi="Verdana" w:cs="Arial"/>
                <w:bCs/>
                <w:lang w:val="es-MX"/>
              </w:rPr>
              <w:t>Contradicción información</w:t>
            </w:r>
            <w:r w:rsidRPr="002379AA">
              <w:rPr>
                <w:rFonts w:ascii="Verdana" w:eastAsia="Calibri" w:hAnsi="Verdana" w:cs="Arial"/>
              </w:rPr>
              <w:t xml:space="preserve"> / INTERPRETACIÓN – Reglas</w:t>
            </w:r>
            <w:r w:rsidRPr="002379AA">
              <w:rPr>
                <w:rFonts w:ascii="Verdana" w:eastAsia="Calibri" w:hAnsi="Verdana" w:cs="Arial"/>
                <w:lang w:val="es-ES" w:eastAsia="es-ES"/>
              </w:rPr>
              <w:t xml:space="preserve"> </w:t>
            </w:r>
            <w:r>
              <w:rPr>
                <w:rFonts w:ascii="Verdana" w:eastAsia="Calibri" w:hAnsi="Verdana" w:cs="Arial"/>
                <w:lang w:val="es-ES" w:eastAsia="es-ES"/>
              </w:rPr>
              <w:t xml:space="preserve">de interpretación </w:t>
            </w:r>
          </w:p>
          <w:p w14:paraId="4753C3D9" w14:textId="77777777" w:rsidR="00BE6CC7" w:rsidRPr="002379AA" w:rsidRDefault="00BE6CC7" w:rsidP="00CC3993">
            <w:pPr>
              <w:jc w:val="both"/>
              <w:rPr>
                <w:rFonts w:ascii="Verdana" w:eastAsia="Calibri" w:hAnsi="Verdana" w:cs="Arial"/>
                <w:lang w:val="es-ES" w:eastAsia="es-ES"/>
              </w:rPr>
            </w:pPr>
          </w:p>
        </w:tc>
      </w:tr>
      <w:tr w:rsidR="00BE6CC7" w:rsidRPr="002379AA" w14:paraId="0E4554D4" w14:textId="77777777" w:rsidTr="00CC3993">
        <w:trPr>
          <w:trHeight w:val="377"/>
        </w:trPr>
        <w:tc>
          <w:tcPr>
            <w:tcW w:w="2689" w:type="dxa"/>
          </w:tcPr>
          <w:p w14:paraId="0CEBE6AB" w14:textId="77777777" w:rsidR="00BE6CC7" w:rsidRPr="002379AA" w:rsidRDefault="00BE6CC7" w:rsidP="00CC3993">
            <w:pPr>
              <w:jc w:val="both"/>
              <w:rPr>
                <w:rFonts w:ascii="Verdana" w:eastAsia="Calibri" w:hAnsi="Verdana" w:cs="Arial"/>
                <w:b/>
                <w:lang w:val="es-ES_tradnl" w:eastAsia="es-ES_tradnl"/>
              </w:rPr>
            </w:pPr>
            <w:r w:rsidRPr="002379AA">
              <w:rPr>
                <w:rFonts w:ascii="Verdana" w:eastAsia="Calibri" w:hAnsi="Verdana" w:cs="Arial"/>
                <w:b/>
                <w:lang w:val="es-ES_tradnl" w:eastAsia="es-ES_tradnl"/>
              </w:rPr>
              <w:t>Radicación:</w:t>
            </w:r>
            <w:r w:rsidRPr="002379AA">
              <w:rPr>
                <w:rFonts w:ascii="Verdana" w:eastAsia="Calibri" w:hAnsi="Verdana" w:cs="Arial"/>
                <w:lang w:val="es-ES_tradnl" w:eastAsia="es-ES_tradnl"/>
              </w:rPr>
              <w:t xml:space="preserve">               </w:t>
            </w:r>
          </w:p>
        </w:tc>
        <w:tc>
          <w:tcPr>
            <w:tcW w:w="6100" w:type="dxa"/>
          </w:tcPr>
          <w:p w14:paraId="50FCD35C" w14:textId="77777777" w:rsidR="00BE6CC7" w:rsidRPr="002379AA" w:rsidRDefault="00BE6CC7" w:rsidP="00CC3993">
            <w:pPr>
              <w:jc w:val="both"/>
              <w:rPr>
                <w:rFonts w:ascii="Verdana" w:hAnsi="Verdana" w:cs="Arial"/>
                <w:color w:val="000000"/>
              </w:rPr>
            </w:pPr>
            <w:r w:rsidRPr="002379AA">
              <w:rPr>
                <w:rFonts w:ascii="Verdana" w:eastAsia="Calibri" w:hAnsi="Verdana" w:cs="Arial"/>
                <w:lang w:val="es-ES_tradnl" w:eastAsia="es-ES_tradnl"/>
              </w:rPr>
              <w:t xml:space="preserve">Respuesta a consulta con radicado No. </w:t>
            </w:r>
            <w:r w:rsidRPr="002379AA">
              <w:rPr>
                <w:rFonts w:ascii="Verdana" w:hAnsi="Verdana" w:cs="Arial"/>
                <w:color w:val="000000"/>
              </w:rPr>
              <w:t>P20241118011527</w:t>
            </w:r>
          </w:p>
        </w:tc>
      </w:tr>
    </w:tbl>
    <w:p w14:paraId="14D40BC8" w14:textId="77777777" w:rsidR="00BE6CC7" w:rsidRPr="002379AA" w:rsidRDefault="00BE6CC7" w:rsidP="00BE6CC7">
      <w:pPr>
        <w:spacing w:after="0" w:line="276" w:lineRule="auto"/>
        <w:jc w:val="both"/>
        <w:rPr>
          <w:rFonts w:ascii="Verdana" w:eastAsia="Calibri" w:hAnsi="Verdana" w:cs="Arial"/>
          <w:lang w:val="es-ES_tradnl" w:eastAsia="es-ES_tradnl"/>
        </w:rPr>
      </w:pPr>
    </w:p>
    <w:p w14:paraId="25D4A511" w14:textId="77777777" w:rsidR="00BE6CC7" w:rsidRPr="002379AA" w:rsidRDefault="00BE6CC7" w:rsidP="00BE6CC7">
      <w:pPr>
        <w:spacing w:after="0" w:line="276" w:lineRule="auto"/>
        <w:jc w:val="both"/>
        <w:rPr>
          <w:rFonts w:ascii="Verdana" w:eastAsia="Calibri" w:hAnsi="Verdana" w:cs="Arial"/>
          <w:lang w:val="es-ES_tradnl" w:eastAsia="es-ES_tradnl"/>
        </w:rPr>
      </w:pPr>
    </w:p>
    <w:p w14:paraId="69CD337F" w14:textId="77777777" w:rsidR="00BE6CC7" w:rsidRPr="002379AA" w:rsidRDefault="00BE6CC7" w:rsidP="00BE6CC7">
      <w:pPr>
        <w:spacing w:after="0" w:line="276" w:lineRule="auto"/>
        <w:jc w:val="both"/>
        <w:rPr>
          <w:rFonts w:ascii="Verdana" w:eastAsia="Calibri" w:hAnsi="Verdana" w:cs="Arial"/>
          <w:lang w:val="es-ES" w:eastAsia="es-ES"/>
        </w:rPr>
      </w:pPr>
      <w:r w:rsidRPr="002379AA">
        <w:rPr>
          <w:rFonts w:ascii="Verdana" w:eastAsia="Calibri" w:hAnsi="Verdana" w:cs="Arial"/>
          <w:lang w:val="es-ES" w:eastAsia="es-ES"/>
        </w:rPr>
        <w:t xml:space="preserve">Estimado señor </w:t>
      </w:r>
      <w:r w:rsidRPr="002379AA">
        <w:rPr>
          <w:rFonts w:ascii="Verdana" w:eastAsia="Calibri" w:hAnsi="Verdana" w:cs="Arial"/>
          <w:lang w:eastAsia="es-ES"/>
        </w:rPr>
        <w:t>Gómez Granados</w:t>
      </w:r>
      <w:r w:rsidRPr="002379AA">
        <w:rPr>
          <w:rFonts w:ascii="Verdana" w:eastAsia="Calibri" w:hAnsi="Verdana" w:cs="Arial"/>
          <w:lang w:val="es-ES" w:eastAsia="es-ES"/>
        </w:rPr>
        <w:t xml:space="preserve">: </w:t>
      </w:r>
    </w:p>
    <w:p w14:paraId="003D836E" w14:textId="77777777" w:rsidR="00BE6CC7" w:rsidRPr="002379AA" w:rsidRDefault="00BE6CC7" w:rsidP="00BE6CC7">
      <w:pPr>
        <w:tabs>
          <w:tab w:val="left" w:pos="3768"/>
        </w:tabs>
        <w:spacing w:after="0" w:line="276" w:lineRule="auto"/>
        <w:jc w:val="both"/>
        <w:rPr>
          <w:rFonts w:ascii="Verdana" w:eastAsia="Calibri" w:hAnsi="Verdana" w:cs="Arial"/>
          <w:lang w:val="es-ES" w:eastAsia="es-ES"/>
        </w:rPr>
      </w:pPr>
      <w:r w:rsidRPr="002379AA">
        <w:rPr>
          <w:rFonts w:ascii="Verdana" w:eastAsia="Calibri" w:hAnsi="Verdana" w:cs="Arial"/>
          <w:lang w:val="es-ES" w:eastAsia="es-ES"/>
        </w:rPr>
        <w:tab/>
      </w:r>
    </w:p>
    <w:p w14:paraId="52E7C2D7" w14:textId="77777777" w:rsidR="00BE6CC7" w:rsidRPr="002379AA" w:rsidRDefault="00BE6CC7" w:rsidP="00BE6CC7">
      <w:pPr>
        <w:spacing w:after="0" w:line="276" w:lineRule="auto"/>
        <w:jc w:val="both"/>
        <w:rPr>
          <w:rFonts w:ascii="Verdana" w:eastAsia="Calibri" w:hAnsi="Verdana" w:cs="Arial"/>
          <w:lang w:val="es-ES" w:eastAsia="es-ES"/>
        </w:rPr>
      </w:pPr>
      <w:r w:rsidRPr="002379AA">
        <w:rPr>
          <w:rFonts w:ascii="Verdana" w:eastAsia="Calibri" w:hAnsi="Verdana" w:cs="Arial"/>
          <w:lang w:val="es-ES" w:eastAsia="es-ES"/>
        </w:rPr>
        <w:t>En ejercicio de la competencia otorgada por los artículos 3, numeral 5º, y 11, numeral 8º, del Decreto Ley 4170 de 2011,</w:t>
      </w:r>
      <w:r w:rsidRPr="002379AA">
        <w:rPr>
          <w:rFonts w:ascii="Verdana" w:eastAsia="Arial MT" w:hAnsi="Verdana" w:cs="Arial MT"/>
          <w:lang w:val="es-ES" w:eastAsia="es-ES"/>
        </w:rPr>
        <w:t xml:space="preserve"> </w:t>
      </w:r>
      <w:r w:rsidRPr="002379AA">
        <w:rPr>
          <w:rFonts w:ascii="Verdana" w:hAnsi="Verdana" w:cs="Arial"/>
        </w:rPr>
        <w:t xml:space="preserve">así como lo establecido en el artículo 4 de la Resolución 1707 de 2018 expedida por esta Entidad, </w:t>
      </w:r>
      <w:r w:rsidRPr="002379AA">
        <w:rPr>
          <w:rFonts w:ascii="Verdana" w:eastAsia="Calibri" w:hAnsi="Verdana" w:cs="Arial"/>
          <w:lang w:val="es-ES" w:eastAsia="es-ES"/>
        </w:rPr>
        <w:t xml:space="preserve">la Agencia Nacional de Contratación Pública – Colombia Compra Eficiente– responde su solicitud de consulta de fecha 18 de noviembre de 2024, en la cual manifiesta lo siguiente: </w:t>
      </w:r>
    </w:p>
    <w:p w14:paraId="202A8E92" w14:textId="77777777" w:rsidR="00BE6CC7" w:rsidRPr="002379AA" w:rsidRDefault="00BE6CC7" w:rsidP="00BE6CC7">
      <w:pPr>
        <w:pStyle w:val="Prrafodelista"/>
        <w:tabs>
          <w:tab w:val="left" w:pos="142"/>
          <w:tab w:val="left" w:pos="284"/>
        </w:tabs>
        <w:spacing w:line="276" w:lineRule="auto"/>
        <w:ind w:left="0"/>
        <w:contextualSpacing w:val="0"/>
        <w:jc w:val="both"/>
        <w:rPr>
          <w:rFonts w:ascii="Verdana" w:eastAsia="Century Gothic" w:hAnsi="Verdana" w:cs="Century Gothic"/>
          <w:b/>
          <w:bCs/>
        </w:rPr>
      </w:pPr>
    </w:p>
    <w:p w14:paraId="1BAC3E73" w14:textId="77777777" w:rsidR="00BE6CC7" w:rsidRPr="002379AA" w:rsidRDefault="00BE6CC7" w:rsidP="00BE6CC7">
      <w:pPr>
        <w:spacing w:after="0" w:line="240" w:lineRule="auto"/>
        <w:ind w:left="709" w:right="709"/>
        <w:jc w:val="both"/>
        <w:rPr>
          <w:rFonts w:ascii="Verdana" w:eastAsia="Century Gothic" w:hAnsi="Verdana" w:cs="Century Gothic"/>
          <w:sz w:val="20"/>
          <w:szCs w:val="20"/>
          <w:lang w:val="es-ES"/>
        </w:rPr>
      </w:pPr>
      <w:bookmarkStart w:id="1" w:name="_Hlk95313578"/>
      <w:r w:rsidRPr="002379AA">
        <w:rPr>
          <w:rFonts w:ascii="Verdana" w:eastAsia="Century Gothic" w:hAnsi="Verdana" w:cs="Century Gothic"/>
          <w:sz w:val="20"/>
          <w:szCs w:val="20"/>
          <w:lang w:val="es-ES"/>
        </w:rPr>
        <w:t>“</w:t>
      </w:r>
      <w:r w:rsidRPr="002379AA">
        <w:rPr>
          <w:rFonts w:ascii="Verdana" w:eastAsia="Century Gothic" w:hAnsi="Verdana" w:cs="Century Gothic"/>
          <w:sz w:val="20"/>
          <w:szCs w:val="20"/>
        </w:rPr>
        <w:t xml:space="preserve">Dentro de un proceso de licitación </w:t>
      </w:r>
      <w:proofErr w:type="spellStart"/>
      <w:r w:rsidRPr="002379AA">
        <w:rPr>
          <w:rFonts w:ascii="Verdana" w:eastAsia="Century Gothic" w:hAnsi="Verdana" w:cs="Century Gothic"/>
          <w:sz w:val="20"/>
          <w:szCs w:val="20"/>
        </w:rPr>
        <w:t>publica</w:t>
      </w:r>
      <w:proofErr w:type="spellEnd"/>
      <w:r w:rsidRPr="002379AA">
        <w:rPr>
          <w:rFonts w:ascii="Verdana" w:eastAsia="Century Gothic" w:hAnsi="Verdana" w:cs="Century Gothic"/>
          <w:sz w:val="20"/>
          <w:szCs w:val="20"/>
        </w:rPr>
        <w:t xml:space="preserve"> en el cual el pliego de condiciones incluye una regla y esta es contradictoria respecto de una regla establecida en un formato para el mismo proceso, y esta situación conlleva a que unos oferentes apliquen la regla del pliego y otro apliquen la regla del formato se debería dar la aplicación al principio del derecho administrativo “in dubio pro </w:t>
      </w:r>
      <w:proofErr w:type="spellStart"/>
      <w:r w:rsidRPr="002379AA">
        <w:rPr>
          <w:rFonts w:ascii="Verdana" w:eastAsia="Century Gothic" w:hAnsi="Verdana" w:cs="Century Gothic"/>
          <w:sz w:val="20"/>
          <w:szCs w:val="20"/>
        </w:rPr>
        <w:t>actione</w:t>
      </w:r>
      <w:proofErr w:type="spellEnd"/>
      <w:r w:rsidRPr="002379AA">
        <w:rPr>
          <w:rFonts w:ascii="Verdana" w:eastAsia="Century Gothic" w:hAnsi="Verdana" w:cs="Century Gothic"/>
          <w:sz w:val="20"/>
          <w:szCs w:val="20"/>
        </w:rPr>
        <w:t xml:space="preserve">” ? o en su defecto como debe proceder la entidad </w:t>
      </w:r>
      <w:proofErr w:type="spellStart"/>
      <w:r w:rsidRPr="002379AA">
        <w:rPr>
          <w:rFonts w:ascii="Verdana" w:eastAsia="Century Gothic" w:hAnsi="Verdana" w:cs="Century Gothic"/>
          <w:sz w:val="20"/>
          <w:szCs w:val="20"/>
        </w:rPr>
        <w:t>publica</w:t>
      </w:r>
      <w:proofErr w:type="spellEnd"/>
      <w:r w:rsidRPr="002379AA">
        <w:rPr>
          <w:rFonts w:ascii="Verdana" w:eastAsia="Century Gothic" w:hAnsi="Verdana" w:cs="Century Gothic"/>
          <w:sz w:val="20"/>
          <w:szCs w:val="20"/>
        </w:rPr>
        <w:t xml:space="preserve"> para superar dicho error que conllevo a la inducción de error a los proponentes.</w:t>
      </w:r>
      <w:r w:rsidRPr="002379AA">
        <w:rPr>
          <w:rFonts w:ascii="Verdana" w:eastAsia="Century Gothic" w:hAnsi="Verdana" w:cs="Century Gothic"/>
          <w:sz w:val="20"/>
          <w:szCs w:val="20"/>
          <w:lang w:val="es-ES"/>
        </w:rPr>
        <w:t>”</w:t>
      </w:r>
      <w:bookmarkEnd w:id="1"/>
      <w:r w:rsidRPr="002379AA">
        <w:rPr>
          <w:rFonts w:ascii="Verdana" w:eastAsia="Century Gothic" w:hAnsi="Verdana" w:cs="Century Gothic"/>
          <w:sz w:val="20"/>
          <w:szCs w:val="20"/>
          <w:lang w:val="es-ES"/>
        </w:rPr>
        <w:t>.</w:t>
      </w:r>
    </w:p>
    <w:p w14:paraId="39E4793A" w14:textId="77777777" w:rsidR="00BE6CC7" w:rsidRPr="002379AA" w:rsidRDefault="00BE6CC7" w:rsidP="00BE6CC7">
      <w:pPr>
        <w:pStyle w:val="Prrafodelista"/>
        <w:tabs>
          <w:tab w:val="left" w:pos="142"/>
          <w:tab w:val="left" w:pos="284"/>
        </w:tabs>
        <w:spacing w:line="276" w:lineRule="auto"/>
        <w:ind w:left="0"/>
        <w:jc w:val="both"/>
        <w:rPr>
          <w:rFonts w:ascii="Verdana" w:eastAsia="Century Gothic" w:hAnsi="Verdana" w:cs="Century Gothic"/>
          <w:b/>
          <w:bCs/>
        </w:rPr>
      </w:pPr>
    </w:p>
    <w:p w14:paraId="0D0B696F" w14:textId="77777777" w:rsidR="00BE6CC7" w:rsidRPr="002379AA" w:rsidRDefault="00BE6CC7" w:rsidP="00BE6CC7">
      <w:pPr>
        <w:spacing w:after="120" w:line="276" w:lineRule="auto"/>
        <w:jc w:val="both"/>
        <w:rPr>
          <w:rFonts w:ascii="Verdana" w:eastAsia="Calibri" w:hAnsi="Verdana" w:cs="Arial"/>
          <w:color w:val="000000"/>
          <w:lang w:val="es-ES_tradnl" w:eastAsia="es-ES_tradnl"/>
        </w:rPr>
      </w:pPr>
      <w:r w:rsidRPr="002379AA">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379AA">
        <w:rPr>
          <w:rFonts w:ascii="Verdana" w:eastAsia="Calibri" w:hAnsi="Verdana" w:cs="Arial"/>
          <w:color w:val="000000"/>
          <w:lang w:val="es-ES_tradnl" w:eastAsia="es-ES_tradnl"/>
        </w:rPr>
        <w:tab/>
      </w:r>
    </w:p>
    <w:p w14:paraId="09D8861E" w14:textId="77777777" w:rsidR="00BE6CC7" w:rsidRPr="002379AA" w:rsidRDefault="00BE6CC7" w:rsidP="00BE6CC7">
      <w:pPr>
        <w:spacing w:after="0" w:line="276" w:lineRule="auto"/>
        <w:ind w:firstLine="709"/>
        <w:jc w:val="both"/>
        <w:rPr>
          <w:rFonts w:ascii="Verdana" w:eastAsia="Calibri" w:hAnsi="Verdana" w:cs="Arial"/>
          <w:color w:val="000000"/>
          <w:lang w:val="es-ES" w:eastAsia="es-ES"/>
        </w:rPr>
      </w:pPr>
      <w:r w:rsidRPr="002379A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w:t>
      </w:r>
      <w:r w:rsidRPr="002379AA">
        <w:rPr>
          <w:rFonts w:ascii="Verdana" w:eastAsia="Calibri" w:hAnsi="Verdana" w:cs="Arial"/>
          <w:color w:val="7030A0"/>
          <w:lang w:val="es-ES" w:eastAsia="es-ES"/>
        </w:rPr>
        <w:t xml:space="preserve">l </w:t>
      </w:r>
      <w:r w:rsidRPr="002379AA">
        <w:rPr>
          <w:rFonts w:ascii="Verdana" w:eastAsia="Calibri" w:hAnsi="Verdana" w:cs="Arial"/>
          <w:color w:val="000000"/>
          <w:lang w:val="es-ES" w:eastAsia="es-ES"/>
        </w:rPr>
        <w:t>problema</w:t>
      </w:r>
      <w:r w:rsidRPr="002379AA">
        <w:rPr>
          <w:rFonts w:ascii="Verdana" w:eastAsia="Calibri" w:hAnsi="Verdana" w:cs="Arial"/>
          <w:color w:val="7030A0"/>
          <w:lang w:val="es-ES" w:eastAsia="es-ES"/>
        </w:rPr>
        <w:t xml:space="preserve"> </w:t>
      </w:r>
      <w:r w:rsidRPr="002379AA">
        <w:rPr>
          <w:rFonts w:ascii="Verdana" w:eastAsia="Calibri" w:hAnsi="Verdana" w:cs="Arial"/>
          <w:color w:val="000000"/>
          <w:lang w:val="es-ES" w:eastAsia="es-ES"/>
        </w:rPr>
        <w:t>jurídico</w:t>
      </w:r>
      <w:r w:rsidRPr="002379AA">
        <w:rPr>
          <w:rFonts w:ascii="Verdana" w:eastAsia="Calibri" w:hAnsi="Verdana" w:cs="Arial"/>
          <w:color w:val="7030A0"/>
          <w:lang w:val="es-ES" w:eastAsia="es-ES"/>
        </w:rPr>
        <w:t xml:space="preserve"> </w:t>
      </w:r>
      <w:r w:rsidRPr="002379AA">
        <w:rPr>
          <w:rFonts w:ascii="Verdana" w:eastAsia="Calibri" w:hAnsi="Verdana" w:cs="Arial"/>
          <w:color w:val="000000"/>
          <w:lang w:val="es-ES" w:eastAsia="es-ES"/>
        </w:rPr>
        <w:t xml:space="preserve">de su consulta. </w:t>
      </w:r>
    </w:p>
    <w:p w14:paraId="529DE89E" w14:textId="77777777" w:rsidR="00BE6CC7" w:rsidRPr="00E14434" w:rsidRDefault="00BE6CC7" w:rsidP="00BE6CC7">
      <w:pPr>
        <w:spacing w:after="0" w:line="276" w:lineRule="auto"/>
        <w:ind w:firstLine="709"/>
        <w:jc w:val="both"/>
        <w:rPr>
          <w:rFonts w:ascii="Verdana" w:eastAsia="Calibri" w:hAnsi="Verdana" w:cs="Arial"/>
          <w:color w:val="000000"/>
          <w:lang w:val="es-ES" w:eastAsia="es-ES"/>
        </w:rPr>
      </w:pPr>
    </w:p>
    <w:p w14:paraId="0EF1C653" w14:textId="77777777" w:rsidR="00BE6CC7" w:rsidRPr="00E14434" w:rsidRDefault="00BE6CC7" w:rsidP="00BE6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14434">
        <w:rPr>
          <w:rFonts w:ascii="Verdana" w:eastAsia="Century Gothic" w:hAnsi="Verdana" w:cs="Century Gothic"/>
          <w:b/>
          <w:bCs/>
        </w:rPr>
        <w:t>Problema planteado:</w:t>
      </w:r>
    </w:p>
    <w:p w14:paraId="6C521838" w14:textId="77777777" w:rsidR="00BE6CC7" w:rsidRPr="00E14434" w:rsidRDefault="00BE6CC7" w:rsidP="00BE6CC7">
      <w:pPr>
        <w:tabs>
          <w:tab w:val="left" w:pos="426"/>
        </w:tabs>
        <w:spacing w:after="0" w:line="276" w:lineRule="auto"/>
        <w:jc w:val="both"/>
        <w:rPr>
          <w:rFonts w:ascii="Verdana" w:eastAsia="Century Gothic" w:hAnsi="Verdana" w:cs="Century Gothic"/>
          <w:lang w:val="es-ES"/>
        </w:rPr>
      </w:pPr>
    </w:p>
    <w:p w14:paraId="247813C8" w14:textId="77777777" w:rsidR="00BE6CC7" w:rsidRPr="00E14434" w:rsidRDefault="00BE6CC7" w:rsidP="00BE6CC7">
      <w:pPr>
        <w:spacing w:after="0" w:line="276" w:lineRule="auto"/>
        <w:jc w:val="both"/>
        <w:rPr>
          <w:rFonts w:ascii="Verdana" w:eastAsia="Century Gothic" w:hAnsi="Verdana" w:cs="Century Gothic"/>
        </w:rPr>
      </w:pPr>
      <w:r w:rsidRPr="00E14434">
        <w:rPr>
          <w:rFonts w:ascii="Verdana" w:eastAsia="Century Gothic" w:hAnsi="Verdana" w:cs="Century Gothic"/>
        </w:rPr>
        <w:t>De acuerdo con el contenido de su solicitud, esta Agencia resolverá el siguiente problema jurídico: ¿Cuáles son las reglas de interpretación que deben aplicarse cuando existen contradicciones entre el pliego de condiciones y algún formato que hacen parte del proceso de contratación?</w:t>
      </w:r>
    </w:p>
    <w:p w14:paraId="2D9BA7D0" w14:textId="77777777" w:rsidR="00BE6CC7" w:rsidRPr="00E14434" w:rsidRDefault="00BE6CC7" w:rsidP="00BE6CC7">
      <w:pPr>
        <w:spacing w:after="0" w:line="276" w:lineRule="auto"/>
        <w:jc w:val="both"/>
        <w:rPr>
          <w:rFonts w:ascii="Verdana" w:eastAsia="Calibri" w:hAnsi="Verdana" w:cs="Arial"/>
          <w:color w:val="7030A0"/>
        </w:rPr>
      </w:pPr>
    </w:p>
    <w:p w14:paraId="4781AD54" w14:textId="77777777" w:rsidR="00BE6CC7" w:rsidRPr="00E14434" w:rsidRDefault="00BE6CC7" w:rsidP="00BE6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14434">
        <w:rPr>
          <w:rFonts w:ascii="Verdana" w:eastAsia="Century Gothic" w:hAnsi="Verdana" w:cs="Century Gothic"/>
          <w:b/>
          <w:bCs/>
        </w:rPr>
        <w:t>Respuesta:</w:t>
      </w:r>
    </w:p>
    <w:p w14:paraId="54E35664" w14:textId="77777777" w:rsidR="00BE6CC7" w:rsidRPr="002379AA" w:rsidRDefault="00BE6CC7" w:rsidP="00BE6CC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6CC7" w:rsidRPr="002379AA" w14:paraId="6A00BD01" w14:textId="77777777" w:rsidTr="00CC3993">
        <w:tc>
          <w:tcPr>
            <w:tcW w:w="8828" w:type="dxa"/>
            <w:shd w:val="clear" w:color="auto" w:fill="auto"/>
          </w:tcPr>
          <w:p w14:paraId="3076233B" w14:textId="77777777" w:rsidR="00BE6CC7" w:rsidRPr="002379AA" w:rsidRDefault="00BE6CC7" w:rsidP="00CC3993">
            <w:pPr>
              <w:spacing w:after="120" w:line="276" w:lineRule="auto"/>
              <w:jc w:val="both"/>
              <w:rPr>
                <w:rFonts w:ascii="Verdana" w:eastAsia="Batang" w:hAnsi="Verdana" w:cs="Arial"/>
                <w:lang w:val="es-MX"/>
              </w:rPr>
            </w:pPr>
            <w:r>
              <w:rPr>
                <w:rFonts w:ascii="Verdana" w:eastAsia="Calibri" w:hAnsi="Verdana" w:cs="Arial"/>
                <w:lang w:val="es-MX"/>
              </w:rPr>
              <w:t xml:space="preserve">En relación con el problema jurídico, debe señalarse que, </w:t>
            </w:r>
            <w:r w:rsidRPr="002379AA">
              <w:rPr>
                <w:rFonts w:ascii="Verdana" w:eastAsia="Batang" w:hAnsi="Verdana" w:cs="Arial"/>
                <w:lang w:val="es-MX"/>
              </w:rPr>
              <w:t xml:space="preserve">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2379AA">
              <w:rPr>
                <w:rFonts w:ascii="Verdana" w:eastAsia="Batang" w:hAnsi="Verdana" w:cs="Arial"/>
                <w:i/>
                <w:iCs/>
                <w:lang w:val="es-MX"/>
              </w:rPr>
              <w:t xml:space="preserve">“con sujeción a los principios generales </w:t>
            </w:r>
            <w:proofErr w:type="gramStart"/>
            <w:r w:rsidRPr="002379AA">
              <w:rPr>
                <w:rFonts w:ascii="Verdana" w:eastAsia="Batang" w:hAnsi="Verdana" w:cs="Arial"/>
                <w:i/>
                <w:iCs/>
                <w:lang w:val="es-MX"/>
              </w:rPr>
              <w:t>del derechos</w:t>
            </w:r>
            <w:proofErr w:type="gramEnd"/>
            <w:r w:rsidRPr="002379AA">
              <w:rPr>
                <w:rFonts w:ascii="Verdana" w:eastAsia="Batang" w:hAnsi="Verdana" w:cs="Arial"/>
                <w:i/>
                <w:iCs/>
                <w:lang w:val="es-MX"/>
              </w:rPr>
              <w:t xml:space="preserve">, a los de la función administrativa, a la finalidad del pliego y a la protección del interés </w:t>
            </w:r>
            <w:r w:rsidRPr="002379AA">
              <w:rPr>
                <w:rFonts w:ascii="Verdana" w:eastAsia="Batang" w:hAnsi="Verdana" w:cs="Arial"/>
                <w:i/>
                <w:iCs/>
                <w:lang w:val="es-MX"/>
              </w:rPr>
              <w:lastRenderedPageBreak/>
              <w:t>general, de conformidad con lo previsto en el artículo 23 de la Ley 80 de 1993”</w:t>
            </w:r>
            <w:r w:rsidRPr="002379AA">
              <w:rPr>
                <w:rFonts w:ascii="Verdana" w:eastAsia="Batang" w:hAnsi="Verdana" w:cs="Arial"/>
                <w:i/>
                <w:iCs/>
                <w:vertAlign w:val="superscript"/>
                <w:lang w:val="es-MX"/>
              </w:rPr>
              <w:footnoteReference w:id="1"/>
            </w:r>
            <w:r w:rsidRPr="002379AA">
              <w:rPr>
                <w:rFonts w:ascii="Verdana" w:eastAsia="Batang" w:hAnsi="Verdana" w:cs="Arial"/>
                <w:i/>
                <w:iCs/>
                <w:lang w:val="es-MX"/>
              </w:rPr>
              <w:t>.</w:t>
            </w:r>
          </w:p>
          <w:p w14:paraId="3F324D4C" w14:textId="77777777" w:rsidR="00BE6CC7" w:rsidRPr="002379AA" w:rsidRDefault="00BE6CC7" w:rsidP="00CC3993">
            <w:pPr>
              <w:spacing w:after="120" w:line="276" w:lineRule="auto"/>
              <w:jc w:val="both"/>
              <w:rPr>
                <w:rFonts w:ascii="Verdana" w:eastAsia="Batang" w:hAnsi="Verdana" w:cs="Arial"/>
              </w:rPr>
            </w:pPr>
            <w:r w:rsidRPr="002379AA">
              <w:rPr>
                <w:rFonts w:ascii="Verdana" w:eastAsia="Batang" w:hAnsi="Verdana" w:cs="Arial"/>
                <w:lang w:val="es-MX"/>
              </w:rPr>
              <w:t xml:space="preserve">De acuerdo con lo anterior, es posible establecer, por ejemplo, que </w:t>
            </w:r>
            <w:r w:rsidRPr="002379AA">
              <w:rPr>
                <w:rFonts w:ascii="Verdana" w:eastAsia="Batang" w:hAnsi="Verdana" w:cs="Arial"/>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07CC45AA" w14:textId="77777777" w:rsidR="00BE6CC7" w:rsidRPr="002379AA" w:rsidRDefault="00BE6CC7" w:rsidP="00CC3993">
            <w:pPr>
              <w:spacing w:after="120" w:line="276" w:lineRule="auto"/>
              <w:ind w:firstLine="708"/>
              <w:jc w:val="both"/>
              <w:rPr>
                <w:rFonts w:ascii="Verdana" w:eastAsia="Batang" w:hAnsi="Verdana" w:cs="Arial"/>
              </w:rPr>
            </w:pPr>
            <w:r w:rsidRPr="002379AA">
              <w:rPr>
                <w:rFonts w:ascii="Verdana" w:eastAsia="Batang" w:hAnsi="Verdana" w:cs="Arial"/>
              </w:rPr>
              <w:t xml:space="preserve">Sin perjuicio de lo anterior, la entidad, proponentes o contratista podrán acudir, en lo pertinente, a las reglas de interpretación </w:t>
            </w:r>
            <w:r w:rsidRPr="002379AA">
              <w:rPr>
                <w:rFonts w:ascii="Verdana" w:eastAsia="Batang" w:hAnsi="Verdana" w:cs="Arial"/>
                <w:lang w:val="es-MX"/>
              </w:rPr>
              <w:t xml:space="preserve">objetivas y subjetivas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2379AA">
              <w:rPr>
                <w:rFonts w:ascii="Verdana" w:eastAsia="Batang" w:hAnsi="Verdana" w:cs="Arial"/>
                <w:lang w:val="es-MX"/>
              </w:rPr>
              <w:t>ii</w:t>
            </w:r>
            <w:proofErr w:type="spellEnd"/>
            <w:r w:rsidRPr="002379AA">
              <w:rPr>
                <w:rFonts w:ascii="Verdana" w:eastAsia="Batang" w:hAnsi="Verdana" w:cs="Arial"/>
                <w:lang w:val="es-MX"/>
              </w:rPr>
              <w:t xml:space="preserve">)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iii</w:t>
            </w:r>
            <w:proofErr w:type="spellEnd"/>
            <w:r w:rsidRPr="002379AA">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iv</w:t>
            </w:r>
            <w:proofErr w:type="spellEnd"/>
            <w:r w:rsidRPr="002379AA">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
          <w:p w14:paraId="42993132" w14:textId="77777777" w:rsidR="00BE6CC7" w:rsidRDefault="00BE6CC7" w:rsidP="00CC3993">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vii</w:t>
            </w:r>
            <w:proofErr w:type="spellEnd"/>
            <w:r w:rsidRPr="002379AA">
              <w:rPr>
                <w:rFonts w:ascii="Verdana" w:eastAsia="Batang" w:hAnsi="Verdana" w:cs="Arial"/>
              </w:rPr>
              <w:t>)</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roofErr w:type="spellStart"/>
            <w:r w:rsidRPr="002379AA">
              <w:rPr>
                <w:rFonts w:ascii="Verdana" w:eastAsia="Batang" w:hAnsi="Verdana" w:cs="Arial"/>
                <w:lang w:val="es-MX"/>
              </w:rPr>
              <w:t>viii</w:t>
            </w:r>
            <w:proofErr w:type="spellEnd"/>
            <w:r w:rsidRPr="002379AA">
              <w:rPr>
                <w:rFonts w:ascii="Verdana" w:eastAsia="Batang" w:hAnsi="Verdana" w:cs="Arial"/>
                <w:lang w:val="es-MX"/>
              </w:rPr>
              <w:t xml:space="preserve">) las cláusulas ambiguas se interpretan a favor del deudor </w:t>
            </w:r>
            <w:r w:rsidRPr="002379AA">
              <w:rPr>
                <w:rFonts w:ascii="Verdana" w:eastAsia="Batang" w:hAnsi="Verdana" w:cs="Arial"/>
              </w:rPr>
              <w:t xml:space="preserve">(artículo 1624, inciso 1 </w:t>
            </w:r>
            <w:proofErr w:type="spellStart"/>
            <w:r w:rsidRPr="002379AA">
              <w:rPr>
                <w:rFonts w:ascii="Verdana" w:eastAsia="Batang" w:hAnsi="Verdana" w:cs="Arial"/>
              </w:rPr>
              <w:t>ibídem</w:t>
            </w:r>
            <w:proofErr w:type="spellEnd"/>
            <w:r w:rsidRPr="002379AA">
              <w:rPr>
                <w:rFonts w:ascii="Verdana" w:eastAsia="Batang" w:hAnsi="Verdana" w:cs="Arial"/>
              </w:rPr>
              <w:t xml:space="preserve">); y </w:t>
            </w:r>
            <w:proofErr w:type="spellStart"/>
            <w:r w:rsidRPr="002379AA">
              <w:rPr>
                <w:rFonts w:ascii="Verdana" w:eastAsia="Batang" w:hAnsi="Verdana" w:cs="Arial"/>
              </w:rPr>
              <w:t>ix</w:t>
            </w:r>
            <w:proofErr w:type="spellEnd"/>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
          <w:p w14:paraId="0A012BFA" w14:textId="77777777" w:rsidR="00BE6CC7" w:rsidRPr="00007576" w:rsidRDefault="00BE6CC7" w:rsidP="00CC3993">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Sin embargo, la aplicación de estos criterios siempre deberá tener en cuenta las circunstancias concretas de cada caso en particular, de manera que la entidad pueda optar por la interpretación que más se adecúe a la finalidad </w:t>
            </w:r>
            <w:r w:rsidRPr="002379AA">
              <w:rPr>
                <w:rFonts w:ascii="Verdana" w:eastAsia="Batang" w:hAnsi="Verdana" w:cs="Arial"/>
              </w:rPr>
              <w:lastRenderedPageBreak/>
              <w:t xml:space="preserve">que persigue con el documento y sus anexos. </w:t>
            </w: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 xml:space="preserve">la validez o prevalencia jurídica de los documentos contractuales, pues estos deben valorarse integralmente, de acuerdo con las reglas anteriormente expuestas </w:t>
            </w:r>
            <w:r w:rsidRPr="002379AA">
              <w:rPr>
                <w:rFonts w:ascii="Verdana" w:eastAsia="Calibri" w:hAnsi="Verdana" w:cs="Arial"/>
                <w:lang w:val="es-MX"/>
              </w:rPr>
              <w:t>y atendiendo a las circunstancias adicionales de cada proceso</w:t>
            </w:r>
          </w:p>
        </w:tc>
      </w:tr>
    </w:tbl>
    <w:p w14:paraId="395FCF7E" w14:textId="77777777" w:rsidR="00BE6CC7" w:rsidRPr="002379AA" w:rsidRDefault="00BE6CC7" w:rsidP="00BE6CC7">
      <w:pPr>
        <w:tabs>
          <w:tab w:val="left" w:pos="142"/>
          <w:tab w:val="left" w:pos="284"/>
        </w:tabs>
        <w:spacing w:after="0" w:line="276" w:lineRule="auto"/>
        <w:jc w:val="both"/>
        <w:rPr>
          <w:rFonts w:ascii="Verdana" w:eastAsia="Century Gothic" w:hAnsi="Verdana" w:cs="Century Gothic"/>
          <w:b/>
          <w:bCs/>
          <w:lang w:val="es-ES"/>
        </w:rPr>
      </w:pPr>
    </w:p>
    <w:p w14:paraId="2BA7DF7A" w14:textId="77777777" w:rsidR="00BE6CC7" w:rsidRPr="002379AA" w:rsidRDefault="00BE6CC7" w:rsidP="00BE6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379AA">
        <w:rPr>
          <w:rFonts w:ascii="Verdana" w:eastAsia="Century Gothic" w:hAnsi="Verdana" w:cs="Century Gothic"/>
          <w:b/>
          <w:bCs/>
        </w:rPr>
        <w:t>Razones de la respuesta:</w:t>
      </w:r>
    </w:p>
    <w:p w14:paraId="623528D4" w14:textId="77777777" w:rsidR="00BE6CC7" w:rsidRPr="002379AA" w:rsidRDefault="00BE6CC7" w:rsidP="00BE6CC7">
      <w:pPr>
        <w:spacing w:after="0" w:line="276" w:lineRule="auto"/>
        <w:jc w:val="both"/>
        <w:rPr>
          <w:rFonts w:ascii="Verdana" w:eastAsia="Calibri" w:hAnsi="Verdana" w:cs="Arial"/>
          <w:color w:val="7030A0"/>
          <w:lang w:val="es-ES"/>
        </w:rPr>
      </w:pPr>
    </w:p>
    <w:p w14:paraId="2C6C413B" w14:textId="77777777" w:rsidR="00BE6CC7" w:rsidRPr="002379AA" w:rsidRDefault="00BE6CC7" w:rsidP="00BE6CC7">
      <w:pPr>
        <w:spacing w:after="0" w:line="276" w:lineRule="auto"/>
        <w:jc w:val="both"/>
        <w:rPr>
          <w:rFonts w:ascii="Verdana" w:eastAsia="Calibri" w:hAnsi="Verdana" w:cs="Arial"/>
          <w:lang w:val="es-ES"/>
        </w:rPr>
      </w:pPr>
      <w:r w:rsidRPr="002379AA">
        <w:rPr>
          <w:rFonts w:ascii="Verdana" w:eastAsia="Calibri" w:hAnsi="Verdana" w:cs="Arial"/>
          <w:lang w:val="es-ES"/>
        </w:rPr>
        <w:t xml:space="preserve">Lo anterior se sustenta en las siguientes consideraciones: </w:t>
      </w:r>
    </w:p>
    <w:p w14:paraId="500F43B5" w14:textId="77777777" w:rsidR="00BE6CC7" w:rsidRPr="002379AA" w:rsidRDefault="00BE6CC7" w:rsidP="00BE6CC7">
      <w:pPr>
        <w:spacing w:after="0" w:line="276" w:lineRule="auto"/>
        <w:jc w:val="both"/>
        <w:rPr>
          <w:rFonts w:ascii="Verdana" w:eastAsia="Calibri" w:hAnsi="Verdana" w:cs="Arial"/>
          <w:lang w:val="es-ES"/>
        </w:rPr>
      </w:pPr>
    </w:p>
    <w:p w14:paraId="74A55755" w14:textId="77777777" w:rsidR="00BE6CC7" w:rsidRPr="002379AA" w:rsidRDefault="00BE6CC7" w:rsidP="00BE6CC7">
      <w:pPr>
        <w:spacing w:after="0" w:line="276" w:lineRule="auto"/>
        <w:jc w:val="both"/>
        <w:rPr>
          <w:rFonts w:ascii="Verdana" w:eastAsia="Calibri" w:hAnsi="Verdana" w:cs="Arial"/>
          <w:lang w:val="es-ES"/>
        </w:rPr>
      </w:pPr>
      <w:r w:rsidRPr="002379AA">
        <w:rPr>
          <w:rFonts w:ascii="Verdana" w:eastAsia="Calibri" w:hAnsi="Verdana" w:cs="Arial"/>
          <w:lang w:val="es-ES"/>
        </w:rPr>
        <w:t>L</w:t>
      </w:r>
      <w:r w:rsidRPr="002379AA">
        <w:rPr>
          <w:rFonts w:ascii="Verdana" w:eastAsia="Calibri" w:hAnsi="Verdana" w:cs="Arial"/>
          <w:color w:val="000000" w:themeColor="text1"/>
        </w:rPr>
        <w:t>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propósito de procurar un equilibrio y el cumplimiento de sus principios, entre otros objetivos.</w:t>
      </w:r>
    </w:p>
    <w:p w14:paraId="06145D41" w14:textId="77777777" w:rsidR="00BE6CC7" w:rsidRPr="002379AA" w:rsidRDefault="00BE6CC7" w:rsidP="00BE6CC7">
      <w:pPr>
        <w:spacing w:before="120" w:after="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definidos en el pliego de condiciones</w:t>
      </w:r>
      <w:r w:rsidRPr="002379AA">
        <w:rPr>
          <w:rFonts w:ascii="Verdana" w:eastAsia="Calibri" w:hAnsi="Verdana" w:cs="Arial"/>
          <w:color w:val="000000" w:themeColor="text1"/>
          <w:vertAlign w:val="superscript"/>
        </w:rPr>
        <w:footnoteReference w:id="2"/>
      </w:r>
      <w:r w:rsidRPr="002379AA">
        <w:rPr>
          <w:rFonts w:ascii="Verdana" w:eastAsia="Calibri" w:hAnsi="Verdana" w:cs="Arial"/>
          <w:color w:val="000000" w:themeColor="text1"/>
        </w:rPr>
        <w:t>. La Ley 80 de 1993, en el artículo 24, regula el principio de transparencia, sobre el cual se indican reglas para el contenido del pliego de condiciones:</w:t>
      </w:r>
    </w:p>
    <w:p w14:paraId="564A4660" w14:textId="77777777" w:rsidR="00BE6CC7" w:rsidRPr="002379AA" w:rsidRDefault="00BE6CC7" w:rsidP="00BE6CC7">
      <w:pPr>
        <w:spacing w:after="0" w:line="276" w:lineRule="auto"/>
        <w:ind w:left="709" w:right="709"/>
        <w:jc w:val="both"/>
        <w:rPr>
          <w:rFonts w:ascii="Verdana" w:hAnsi="Verdana" w:cs="Arial"/>
          <w:color w:val="000000" w:themeColor="text1"/>
        </w:rPr>
      </w:pPr>
    </w:p>
    <w:p w14:paraId="7A7AC0D1"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5243FA00"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5o. En los pliegos de condiciones:</w:t>
      </w:r>
    </w:p>
    <w:p w14:paraId="14DAB762"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p>
    <w:p w14:paraId="25B9D4DD"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a) Se indicarán los requisitos objetivos necesarios para participar en el correspondiente proceso de selección.</w:t>
      </w:r>
    </w:p>
    <w:p w14:paraId="6527E6D8"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p>
    <w:p w14:paraId="46CFCE06"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b) Se definirán reglas objetivas, justas, claras y completas que permitan la confección de ofrecimientos de la misma índole, aseguren una escogencia objetiva y eviten la declaratoria de desierta de la licitación.</w:t>
      </w:r>
    </w:p>
    <w:p w14:paraId="2D1FA90D"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p>
    <w:p w14:paraId="32A52EA4"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05FB1808"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p>
    <w:p w14:paraId="0CD5A534"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d) No se incluirán condiciones y exigencias de imposible cumplimiento, ni exenciones de la responsabilidad derivada de los datos, informes y documentos que se suministren.</w:t>
      </w:r>
    </w:p>
    <w:p w14:paraId="7B2F7B80"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p>
    <w:p w14:paraId="67A1E5DE" w14:textId="77777777" w:rsidR="00BE6CC7" w:rsidRPr="002379AA" w:rsidRDefault="00BE6CC7" w:rsidP="00BE6CC7">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 xml:space="preserve">e) Se definirán reglas que no induzcan a error a los proponentes y contratistas y que impidan la formulación de ofrecimientos de extensión ilimitada o que dependan de la voluntad exclusiva de la entidad. [...]”. </w:t>
      </w:r>
    </w:p>
    <w:p w14:paraId="48FC65F7" w14:textId="77777777" w:rsidR="00BE6CC7" w:rsidRPr="002379AA" w:rsidRDefault="00BE6CC7" w:rsidP="00BE6CC7">
      <w:pPr>
        <w:spacing w:after="0" w:line="276" w:lineRule="auto"/>
        <w:ind w:left="709" w:right="709"/>
        <w:jc w:val="both"/>
        <w:rPr>
          <w:rFonts w:ascii="Verdana" w:hAnsi="Verdana" w:cs="Arial"/>
          <w:color w:val="000000" w:themeColor="text1"/>
        </w:rPr>
      </w:pPr>
    </w:p>
    <w:p w14:paraId="15E0994A" w14:textId="77777777" w:rsidR="00BE6CC7" w:rsidRPr="002379AA" w:rsidRDefault="00BE6CC7" w:rsidP="00BE6CC7">
      <w:pPr>
        <w:spacing w:after="120" w:line="276" w:lineRule="auto"/>
        <w:ind w:firstLine="709"/>
        <w:jc w:val="both"/>
        <w:rPr>
          <w:rFonts w:ascii="Verdana" w:hAnsi="Verdana" w:cs="Arial"/>
          <w:color w:val="000000" w:themeColor="text1"/>
        </w:rPr>
      </w:pPr>
      <w:r w:rsidRPr="002379AA">
        <w:rPr>
          <w:rFonts w:ascii="Verdana" w:eastAsia="Calibri" w:hAnsi="Verdana" w:cs="Arial"/>
          <w:color w:val="000000" w:themeColor="text1"/>
        </w:rPr>
        <w:t>Sumado a lo anterior, la Corte Constitucional ha señalado, frente a la selección objetiva, que la entidad no puede establecer reglas subjetivas, sino que deben ser razonables, de acuerdo con las normas que rigen la actividad contractual</w:t>
      </w:r>
      <w:r w:rsidRPr="002379AA">
        <w:rPr>
          <w:rFonts w:ascii="Verdana" w:eastAsia="Calibri" w:hAnsi="Verdana" w:cs="Arial"/>
          <w:color w:val="000000" w:themeColor="text1"/>
          <w:vertAlign w:val="superscript"/>
        </w:rPr>
        <w:footnoteReference w:id="3"/>
      </w:r>
      <w:r w:rsidRPr="002379AA">
        <w:rPr>
          <w:rFonts w:ascii="Verdana" w:eastAsia="Calibri" w:hAnsi="Verdana" w:cs="Arial"/>
          <w:color w:val="000000" w:themeColor="text1"/>
        </w:rPr>
        <w:t xml:space="preserve">. En otro pronunciamiento, el Consejo de Estado consideró que la autonomía que tienen las entidades frente a la configuración de los pliegos de condiciones y los criterios de selección de los procedimientos de contratación no es absoluta, pues debe tener relación con los fines de la contratación estatal </w:t>
      </w:r>
      <w:r w:rsidRPr="002379AA">
        <w:rPr>
          <w:rFonts w:ascii="Verdana" w:hAnsi="Verdana" w:cs="Arial"/>
          <w:color w:val="000000" w:themeColor="text1"/>
        </w:rPr>
        <w:t xml:space="preserve">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w:t>
      </w:r>
      <w:r w:rsidRPr="002379AA">
        <w:rPr>
          <w:rFonts w:ascii="Verdana" w:hAnsi="Verdana" w:cs="Arial"/>
          <w:color w:val="000000" w:themeColor="text1"/>
        </w:rPr>
        <w:lastRenderedPageBreak/>
        <w:t>de condiciones o términos de referencia reglas necesarias, claras, objetivas y precisas de cara a la finalidad del contrato</w:t>
      </w:r>
      <w:r w:rsidRPr="002379AA">
        <w:rPr>
          <w:rFonts w:ascii="Verdana" w:hAnsi="Verdana" w:cs="Arial"/>
          <w:color w:val="000000" w:themeColor="text1"/>
          <w:vertAlign w:val="superscript"/>
        </w:rPr>
        <w:footnoteReference w:id="4"/>
      </w:r>
      <w:r w:rsidRPr="002379AA">
        <w:rPr>
          <w:rFonts w:ascii="Verdana" w:hAnsi="Verdana" w:cs="Arial"/>
          <w:color w:val="000000" w:themeColor="text1"/>
        </w:rPr>
        <w:t>.</w:t>
      </w:r>
    </w:p>
    <w:p w14:paraId="64655637" w14:textId="77777777" w:rsidR="00BE6CC7" w:rsidRPr="002379AA" w:rsidRDefault="00BE6CC7" w:rsidP="00BE6CC7">
      <w:pPr>
        <w:spacing w:after="12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También, el Consejo de Estado ha determinado que el pliego de condiciones es ley para las partes, y en él se debe establecer la regulación del procedimiento de contratación, conforme a la ley, garantizando la selección objetiva del contratista</w:t>
      </w:r>
      <w:r w:rsidRPr="002379AA">
        <w:rPr>
          <w:rFonts w:ascii="Verdana" w:eastAsia="Calibri" w:hAnsi="Verdana" w:cs="Arial"/>
          <w:color w:val="000000" w:themeColor="text1"/>
          <w:vertAlign w:val="superscript"/>
        </w:rPr>
        <w:footnoteReference w:id="5"/>
      </w:r>
      <w:r w:rsidRPr="002379AA">
        <w:rPr>
          <w:rFonts w:ascii="Verdana" w:eastAsia="Calibri" w:hAnsi="Verdana" w:cs="Arial"/>
          <w:color w:val="000000" w:themeColor="text1"/>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2379AA">
        <w:rPr>
          <w:rFonts w:ascii="Verdana" w:eastAsia="Calibri" w:hAnsi="Verdana" w:cs="Arial"/>
          <w:color w:val="000000" w:themeColor="text1"/>
        </w:rPr>
        <w:t>ii</w:t>
      </w:r>
      <w:proofErr w:type="spellEnd"/>
      <w:r w:rsidRPr="002379AA">
        <w:rPr>
          <w:rFonts w:ascii="Verdana" w:eastAsia="Calibri" w:hAnsi="Verdana" w:cs="Arial"/>
          <w:color w:val="000000" w:themeColor="text1"/>
        </w:rPr>
        <w:t xml:space="preserve">) modalidad y criterios de selección, </w:t>
      </w:r>
      <w:proofErr w:type="spellStart"/>
      <w:r w:rsidRPr="002379AA">
        <w:rPr>
          <w:rFonts w:ascii="Verdana" w:eastAsia="Calibri" w:hAnsi="Verdana" w:cs="Arial"/>
          <w:color w:val="000000" w:themeColor="text1"/>
        </w:rPr>
        <w:t>iii</w:t>
      </w:r>
      <w:proofErr w:type="spellEnd"/>
      <w:r w:rsidRPr="002379AA">
        <w:rPr>
          <w:rFonts w:ascii="Verdana" w:eastAsia="Calibri" w:hAnsi="Verdana" w:cs="Arial"/>
          <w:color w:val="000000" w:themeColor="text1"/>
        </w:rPr>
        <w:t xml:space="preserve">) valoración económica del bien, obra o servicio, </w:t>
      </w:r>
      <w:proofErr w:type="spellStart"/>
      <w:r w:rsidRPr="002379AA">
        <w:rPr>
          <w:rFonts w:ascii="Verdana" w:eastAsia="Calibri" w:hAnsi="Verdana" w:cs="Arial"/>
          <w:color w:val="000000" w:themeColor="text1"/>
        </w:rPr>
        <w:t>iv</w:t>
      </w:r>
      <w:proofErr w:type="spellEnd"/>
      <w:r w:rsidRPr="002379AA">
        <w:rPr>
          <w:rFonts w:ascii="Verdana" w:eastAsia="Calibri" w:hAnsi="Verdana" w:cs="Arial"/>
          <w:color w:val="000000" w:themeColor="text1"/>
        </w:rPr>
        <w:t>) reglas de la presentación y manejo de las ofertas, v) riesgos y garantías, entre otros aspectos del contrato</w:t>
      </w:r>
      <w:r w:rsidRPr="002379AA">
        <w:rPr>
          <w:rFonts w:ascii="Verdana" w:eastAsia="Calibri" w:hAnsi="Verdana" w:cs="Arial"/>
          <w:color w:val="000000" w:themeColor="text1"/>
          <w:vertAlign w:val="superscript"/>
        </w:rPr>
        <w:footnoteReference w:id="6"/>
      </w:r>
      <w:r w:rsidRPr="002379AA">
        <w:rPr>
          <w:rFonts w:ascii="Verdana" w:eastAsia="Calibri" w:hAnsi="Verdana" w:cs="Arial"/>
          <w:color w:val="000000" w:themeColor="text1"/>
        </w:rPr>
        <w:t>.</w:t>
      </w:r>
    </w:p>
    <w:p w14:paraId="1EA96DE0" w14:textId="77777777" w:rsidR="00BE6CC7" w:rsidRPr="002379AA" w:rsidRDefault="00BE6CC7" w:rsidP="00BE6CC7">
      <w:pPr>
        <w:spacing w:after="120" w:line="276" w:lineRule="auto"/>
        <w:ind w:firstLine="709"/>
        <w:jc w:val="both"/>
        <w:rPr>
          <w:rFonts w:ascii="Verdana" w:hAnsi="Verdana" w:cs="Arial"/>
        </w:rPr>
      </w:pPr>
      <w:r w:rsidRPr="002379AA">
        <w:rPr>
          <w:rFonts w:ascii="Verdana" w:hAnsi="Verdana" w:cs="Arial"/>
        </w:rPr>
        <w:lastRenderedPageBreak/>
        <w:t>Conforme a lo anterior, el pliego de condiciones debe establecer las etapas del proceso de selección, así como las reglas, requisitos y condiciones aplicables en cada una de ellas. Entre estos aspectos se encuentran las causales de rechazo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la etapa selección, a las que deberán sujetarse la administración y los oferentes a efectos de lograr una selección objetiva</w:t>
      </w:r>
      <w:r w:rsidRPr="002379AA">
        <w:rPr>
          <w:rFonts w:ascii="Verdana" w:hAnsi="Verdana" w:cs="Arial"/>
          <w:vertAlign w:val="superscript"/>
        </w:rPr>
        <w:footnoteReference w:id="7"/>
      </w:r>
      <w:r w:rsidRPr="002379AA">
        <w:rPr>
          <w:rFonts w:ascii="Verdana" w:hAnsi="Verdana" w:cs="Arial"/>
        </w:rPr>
        <w:t>.</w:t>
      </w:r>
    </w:p>
    <w:p w14:paraId="64E8E172" w14:textId="77777777" w:rsidR="00BE6CC7" w:rsidRPr="002379AA" w:rsidRDefault="00BE6CC7" w:rsidP="00BE6CC7">
      <w:pPr>
        <w:spacing w:after="120" w:line="276" w:lineRule="auto"/>
        <w:jc w:val="both"/>
        <w:rPr>
          <w:rFonts w:ascii="Verdana" w:eastAsia="Calibri" w:hAnsi="Verdana" w:cs="Arial"/>
          <w:lang w:val="es-ES"/>
        </w:rPr>
      </w:pPr>
      <w:r w:rsidRPr="002379AA">
        <w:rPr>
          <w:rFonts w:ascii="Verdana" w:eastAsia="Calibri" w:hAnsi="Verdana" w:cs="Arial"/>
          <w:b/>
          <w:bCs/>
          <w:lang w:val="es-ES"/>
        </w:rPr>
        <w:tab/>
      </w:r>
      <w:r w:rsidRPr="002379AA">
        <w:rPr>
          <w:rFonts w:ascii="Verdana" w:eastAsia="Calibri" w:hAnsi="Verdana" w:cs="Arial"/>
          <w:lang w:val="es-ES"/>
        </w:rPr>
        <w:t>En ese orden de ideas, el Consejo de Estado</w:t>
      </w:r>
      <w:r w:rsidRPr="002379AA">
        <w:rPr>
          <w:rFonts w:ascii="Verdana" w:eastAsia="Calibri" w:hAnsi="Verdana" w:cs="Arial"/>
          <w:vertAlign w:val="superscript"/>
          <w:lang w:val="es-ES"/>
        </w:rPr>
        <w:footnoteReference w:id="8"/>
      </w:r>
      <w:r w:rsidRPr="002379AA">
        <w:rPr>
          <w:rFonts w:ascii="Verdana" w:eastAsia="Calibri" w:hAnsi="Verdana" w:cs="Arial"/>
          <w:lang w:val="es-ES"/>
        </w:rPr>
        <w:t xml:space="preserve">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 </w:t>
      </w:r>
    </w:p>
    <w:p w14:paraId="551DBFA9" w14:textId="77777777" w:rsidR="00BE6CC7" w:rsidRPr="002379AA" w:rsidRDefault="00BE6CC7" w:rsidP="00BE6CC7">
      <w:pPr>
        <w:spacing w:after="120" w:line="276" w:lineRule="auto"/>
        <w:ind w:firstLine="708"/>
        <w:jc w:val="both"/>
        <w:rPr>
          <w:rFonts w:ascii="Verdana" w:eastAsia="Batang" w:hAnsi="Verdana" w:cs="Arial"/>
          <w:lang w:val="es-MX"/>
        </w:rPr>
      </w:pPr>
      <w:r w:rsidRPr="002379AA">
        <w:rPr>
          <w:rFonts w:ascii="Verdana" w:eastAsia="Batang" w:hAnsi="Verdana" w:cs="Arial"/>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2379AA">
        <w:rPr>
          <w:rFonts w:ascii="Verdana" w:eastAsia="Batang" w:hAnsi="Verdana" w:cs="Arial"/>
          <w:i/>
          <w:iCs/>
          <w:lang w:val="es-MX"/>
        </w:rPr>
        <w:t xml:space="preserve">“con sujeción a los principios generales </w:t>
      </w:r>
      <w:proofErr w:type="gramStart"/>
      <w:r w:rsidRPr="002379AA">
        <w:rPr>
          <w:rFonts w:ascii="Verdana" w:eastAsia="Batang" w:hAnsi="Verdana" w:cs="Arial"/>
          <w:i/>
          <w:iCs/>
          <w:lang w:val="es-MX"/>
        </w:rPr>
        <w:t>del derechos</w:t>
      </w:r>
      <w:proofErr w:type="gramEnd"/>
      <w:r w:rsidRPr="002379AA">
        <w:rPr>
          <w:rFonts w:ascii="Verdana" w:eastAsia="Batang" w:hAnsi="Verdana" w:cs="Arial"/>
          <w:i/>
          <w:iCs/>
          <w:lang w:val="es-MX"/>
        </w:rPr>
        <w:t>, a los de la función administrativa, a la finalidad del pliego y a la protección del interés general, de conformidad con lo previsto en el artículo 23 de la Ley 80 de 1993”</w:t>
      </w:r>
      <w:r w:rsidRPr="002379AA">
        <w:rPr>
          <w:rFonts w:ascii="Verdana" w:eastAsia="Batang" w:hAnsi="Verdana" w:cs="Arial"/>
          <w:i/>
          <w:iCs/>
          <w:vertAlign w:val="superscript"/>
          <w:lang w:val="es-MX"/>
        </w:rPr>
        <w:footnoteReference w:id="9"/>
      </w:r>
      <w:r w:rsidRPr="002379AA">
        <w:rPr>
          <w:rFonts w:ascii="Verdana" w:eastAsia="Batang" w:hAnsi="Verdana" w:cs="Arial"/>
          <w:i/>
          <w:iCs/>
          <w:lang w:val="es-MX"/>
        </w:rPr>
        <w:t>.</w:t>
      </w:r>
    </w:p>
    <w:p w14:paraId="714E89C9" w14:textId="77777777" w:rsidR="00BE6CC7" w:rsidRPr="002379AA" w:rsidRDefault="00BE6CC7" w:rsidP="00BE6CC7">
      <w:pPr>
        <w:spacing w:after="120" w:line="276" w:lineRule="auto"/>
        <w:ind w:firstLine="708"/>
        <w:jc w:val="both"/>
        <w:rPr>
          <w:rFonts w:ascii="Verdana" w:eastAsia="Batang" w:hAnsi="Verdana" w:cs="Arial"/>
        </w:rPr>
      </w:pPr>
      <w:r w:rsidRPr="002379AA">
        <w:rPr>
          <w:rFonts w:ascii="Verdana" w:eastAsia="Batang" w:hAnsi="Verdana" w:cs="Arial"/>
          <w:lang w:val="es-MX"/>
        </w:rPr>
        <w:t xml:space="preserve">De acuerdo con lo anterior, en atención al problema jurídico planteado, es posible establecer, por ejemplo, que </w:t>
      </w:r>
      <w:r w:rsidRPr="002379AA">
        <w:rPr>
          <w:rFonts w:ascii="Verdana" w:eastAsia="Batang" w:hAnsi="Verdana" w:cs="Arial"/>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6D08EA97" w14:textId="77777777" w:rsidR="00BE6CC7" w:rsidRPr="002379AA" w:rsidRDefault="00BE6CC7" w:rsidP="00BE6CC7">
      <w:pPr>
        <w:spacing w:after="120" w:line="276" w:lineRule="auto"/>
        <w:ind w:firstLine="708"/>
        <w:jc w:val="both"/>
        <w:rPr>
          <w:rFonts w:ascii="Verdana" w:eastAsia="Batang" w:hAnsi="Verdana" w:cs="Arial"/>
        </w:rPr>
      </w:pPr>
      <w:r w:rsidRPr="002379AA">
        <w:rPr>
          <w:rFonts w:ascii="Verdana" w:eastAsia="Batang" w:hAnsi="Verdana" w:cs="Arial"/>
        </w:rPr>
        <w:lastRenderedPageBreak/>
        <w:t xml:space="preserve">Sin perjuicio de lo anterior, la entidad, proponentes o contratista podrán acudir, en lo pertinente, a las reglas de interpretación </w:t>
      </w:r>
      <w:r w:rsidRPr="002379AA">
        <w:rPr>
          <w:rFonts w:ascii="Verdana" w:eastAsia="Batang" w:hAnsi="Verdana" w:cs="Arial"/>
          <w:lang w:val="es-MX"/>
        </w:rPr>
        <w:t>objetivas y subjetivas</w:t>
      </w:r>
      <w:r w:rsidRPr="002379AA">
        <w:rPr>
          <w:rFonts w:ascii="Verdana" w:eastAsia="Batang" w:hAnsi="Verdana" w:cs="Arial"/>
          <w:vertAlign w:val="superscript"/>
          <w:lang w:val="es-MX"/>
        </w:rPr>
        <w:footnoteReference w:id="10"/>
      </w:r>
      <w:r w:rsidRPr="002379AA">
        <w:rPr>
          <w:rFonts w:ascii="Verdana" w:eastAsia="Batang" w:hAnsi="Verdana" w:cs="Arial"/>
          <w:lang w:val="es-MX"/>
        </w:rPr>
        <w:t xml:space="preserve">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2379AA">
        <w:rPr>
          <w:rFonts w:ascii="Verdana" w:eastAsia="Batang" w:hAnsi="Verdana" w:cs="Arial"/>
          <w:lang w:val="es-MX"/>
        </w:rPr>
        <w:t>ii</w:t>
      </w:r>
      <w:proofErr w:type="spellEnd"/>
      <w:r w:rsidRPr="002379AA">
        <w:rPr>
          <w:rFonts w:ascii="Verdana" w:eastAsia="Batang" w:hAnsi="Verdana" w:cs="Arial"/>
          <w:lang w:val="es-MX"/>
        </w:rPr>
        <w:t xml:space="preserve">)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2379AA">
        <w:rPr>
          <w:rFonts w:ascii="Verdana" w:eastAsia="Batang" w:hAnsi="Verdana" w:cs="Arial"/>
          <w:i/>
          <w:iCs/>
        </w:rPr>
        <w:t>ibídem</w:t>
      </w:r>
      <w:bookmarkStart w:id="2" w:name="_Hlk96265254"/>
      <w:proofErr w:type="spellEnd"/>
      <w:r w:rsidRPr="002379AA">
        <w:rPr>
          <w:rFonts w:ascii="Verdana" w:eastAsia="Batang" w:hAnsi="Verdana" w:cs="Arial"/>
        </w:rPr>
        <w:t xml:space="preserve">); </w:t>
      </w:r>
      <w:proofErr w:type="spellStart"/>
      <w:r w:rsidRPr="002379AA">
        <w:rPr>
          <w:rFonts w:ascii="Verdana" w:eastAsia="Batang" w:hAnsi="Verdana" w:cs="Arial"/>
        </w:rPr>
        <w:t>iii</w:t>
      </w:r>
      <w:proofErr w:type="spellEnd"/>
      <w:r w:rsidRPr="002379AA">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iv</w:t>
      </w:r>
      <w:proofErr w:type="spellEnd"/>
      <w:r w:rsidRPr="002379AA">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
    <w:p w14:paraId="0A1C8564" w14:textId="77777777" w:rsidR="00BE6CC7" w:rsidRPr="002379AA" w:rsidRDefault="00BE6CC7" w:rsidP="00BE6CC7">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vii</w:t>
      </w:r>
      <w:proofErr w:type="spellEnd"/>
      <w:r w:rsidRPr="002379AA">
        <w:rPr>
          <w:rFonts w:ascii="Verdana" w:eastAsia="Batang" w:hAnsi="Verdana" w:cs="Arial"/>
        </w:rPr>
        <w:t>)</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roofErr w:type="spellStart"/>
      <w:r w:rsidRPr="002379AA">
        <w:rPr>
          <w:rFonts w:ascii="Verdana" w:eastAsia="Batang" w:hAnsi="Verdana" w:cs="Arial"/>
          <w:lang w:val="es-MX"/>
        </w:rPr>
        <w:t>viii</w:t>
      </w:r>
      <w:proofErr w:type="spellEnd"/>
      <w:r w:rsidRPr="002379AA">
        <w:rPr>
          <w:rFonts w:ascii="Verdana" w:eastAsia="Batang" w:hAnsi="Verdana" w:cs="Arial"/>
          <w:lang w:val="es-MX"/>
        </w:rPr>
        <w:t xml:space="preserve">) las cláusulas ambiguas se interpretan a favor del deudor </w:t>
      </w:r>
      <w:r w:rsidRPr="002379AA">
        <w:rPr>
          <w:rFonts w:ascii="Verdana" w:eastAsia="Batang" w:hAnsi="Verdana" w:cs="Arial"/>
        </w:rPr>
        <w:t xml:space="preserve">(artículo 1624, inciso 1 </w:t>
      </w:r>
      <w:proofErr w:type="spellStart"/>
      <w:r w:rsidRPr="002379AA">
        <w:rPr>
          <w:rFonts w:ascii="Verdana" w:eastAsia="Batang" w:hAnsi="Verdana" w:cs="Arial"/>
        </w:rPr>
        <w:t>ibídem</w:t>
      </w:r>
      <w:proofErr w:type="spellEnd"/>
      <w:r w:rsidRPr="002379AA">
        <w:rPr>
          <w:rFonts w:ascii="Verdana" w:eastAsia="Batang" w:hAnsi="Verdana" w:cs="Arial"/>
        </w:rPr>
        <w:t xml:space="preserve">); y </w:t>
      </w:r>
      <w:proofErr w:type="spellStart"/>
      <w:r w:rsidRPr="002379AA">
        <w:rPr>
          <w:rFonts w:ascii="Verdana" w:eastAsia="Batang" w:hAnsi="Verdana" w:cs="Arial"/>
        </w:rPr>
        <w:t>ix</w:t>
      </w:r>
      <w:proofErr w:type="spellEnd"/>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bookmarkEnd w:id="2"/>
    </w:p>
    <w:p w14:paraId="0335FB6A" w14:textId="77777777" w:rsidR="00BE6CC7" w:rsidRPr="002379AA" w:rsidRDefault="00BE6CC7" w:rsidP="00BE6CC7">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Sin embargo, </w:t>
      </w:r>
      <w:bookmarkStart w:id="3" w:name="_Hlk96265891"/>
      <w:r w:rsidRPr="002379AA">
        <w:rPr>
          <w:rFonts w:ascii="Verdana" w:eastAsia="Batang" w:hAnsi="Verdana" w:cs="Arial"/>
        </w:rPr>
        <w:t xml:space="preserve">la aplicación de estos criterios siempre deberá tener en cuenta las circunstancias concretas de cada caso en particular, de manera que la entidad pueda optar por la interpretación que más se adecúe a la finalidad que persigue con el documento y sus anexos. </w:t>
      </w: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 xml:space="preserve">la validez o prevalencia jurídica de los documentos contractuales, pues </w:t>
      </w:r>
      <w:r w:rsidRPr="002379AA">
        <w:rPr>
          <w:rFonts w:ascii="Verdana" w:eastAsia="Batang" w:hAnsi="Verdana" w:cs="Arial"/>
          <w:lang w:val="es-MX"/>
        </w:rPr>
        <w:lastRenderedPageBreak/>
        <w:t>estos deben valorarse integralmente, de acuerdo con las reglas anteriormente expuestas</w:t>
      </w:r>
      <w:bookmarkEnd w:id="3"/>
      <w:r w:rsidRPr="002379AA">
        <w:rPr>
          <w:rFonts w:ascii="Verdana" w:eastAsia="Batang" w:hAnsi="Verdana" w:cs="Arial"/>
          <w:lang w:val="es-MX"/>
        </w:rPr>
        <w:t xml:space="preserve"> </w:t>
      </w:r>
      <w:r w:rsidRPr="002379AA">
        <w:rPr>
          <w:rFonts w:ascii="Verdana" w:eastAsia="Calibri" w:hAnsi="Verdana" w:cs="Arial"/>
          <w:lang w:val="es-MX"/>
        </w:rPr>
        <w:t>y atendiendo a las circunstancias adicionales de cada proceso</w:t>
      </w:r>
      <w:r w:rsidRPr="002379AA">
        <w:rPr>
          <w:rFonts w:ascii="Verdana" w:eastAsia="Batang" w:hAnsi="Verdana" w:cs="Arial"/>
          <w:vertAlign w:val="superscript"/>
          <w:lang w:val="es-MX"/>
        </w:rPr>
        <w:footnoteReference w:id="11"/>
      </w:r>
      <w:r w:rsidRPr="002379AA">
        <w:rPr>
          <w:rFonts w:ascii="Verdana" w:eastAsia="Batang" w:hAnsi="Verdana" w:cs="Arial"/>
          <w:lang w:val="es-MX"/>
        </w:rPr>
        <w:t>.</w:t>
      </w:r>
    </w:p>
    <w:p w14:paraId="48FAB9D2" w14:textId="77777777" w:rsidR="00BE6CC7" w:rsidRPr="002379AA" w:rsidRDefault="00BE6CC7" w:rsidP="00BE6CC7">
      <w:pPr>
        <w:spacing w:after="120" w:line="276" w:lineRule="auto"/>
        <w:ind w:firstLine="708"/>
        <w:jc w:val="both"/>
        <w:rPr>
          <w:rFonts w:ascii="Verdana" w:eastAsia="Batang" w:hAnsi="Verdana" w:cs="Arial"/>
        </w:rPr>
      </w:pPr>
      <w:r w:rsidRPr="002379AA">
        <w:rPr>
          <w:rFonts w:ascii="Verdana" w:eastAsia="Calibri" w:hAnsi="Verdana" w:cs="Arial"/>
          <w:lang w:val="es-MX"/>
        </w:rPr>
        <w:t>Así las cosas, ante una contradicción entre la información contemplada en</w:t>
      </w:r>
      <w:r w:rsidRPr="002379AA">
        <w:rPr>
          <w:rFonts w:ascii="Verdana" w:eastAsia="Calibri" w:hAnsi="Verdana" w:cs="Arial"/>
          <w:color w:val="000000"/>
          <w:lang w:val="es-ES" w:bidi="es-ES"/>
        </w:rPr>
        <w:t xml:space="preserve"> </w:t>
      </w:r>
      <w:r w:rsidRPr="002379AA">
        <w:rPr>
          <w:rFonts w:ascii="Verdana" w:eastAsia="Calibri" w:hAnsi="Verdana" w:cs="Arial"/>
          <w:color w:val="000000"/>
          <w:lang w:val="es-MX"/>
        </w:rPr>
        <w:t xml:space="preserve">alguno de los formatos que integran los documentos del proceso </w:t>
      </w:r>
      <w:r w:rsidRPr="002379AA">
        <w:rPr>
          <w:rFonts w:ascii="Verdana" w:eastAsia="Calibri" w:hAnsi="Verdana" w:cs="Arial"/>
          <w:lang w:val="es-MX"/>
        </w:rPr>
        <w:t xml:space="preserve">y la información contenida en el respectivo pliego de condiciones, se analizará las circunstancias en concreto de cara a los principios de la contratación estatal, de manera que la entidad adoptará la decisión que más se ajuste a la finalidad del proceso de contratación teniendo en cuenta las pautas interpretativas expuestas previamente, resaltando que aquellas disposiciones o situaciones </w:t>
      </w:r>
      <w:r w:rsidRPr="002379AA">
        <w:rPr>
          <w:rFonts w:ascii="Verdana" w:eastAsia="Batang" w:hAnsi="Verdana" w:cs="Arial"/>
        </w:rPr>
        <w:t xml:space="preserve">oscuras que hayan sido extendidas o dictadas por una parte se interpretarán contra ella si la ambigüedad proviene de una explicación que ésta ha debido dar de conformidad con el artículo 1624 del Código Civil, en ese sentido, dichas contradicciones o ambigüedades no pueden afectar a los proponentes o contratistas en el ejercicio de sus derechos. </w:t>
      </w:r>
    </w:p>
    <w:p w14:paraId="55B77C7D" w14:textId="77777777" w:rsidR="00BE6CC7" w:rsidRPr="002379AA" w:rsidRDefault="00BE6CC7" w:rsidP="00BE6CC7">
      <w:pPr>
        <w:spacing w:after="120" w:line="276" w:lineRule="auto"/>
        <w:ind w:firstLine="708"/>
        <w:jc w:val="both"/>
        <w:rPr>
          <w:rFonts w:ascii="Verdana" w:hAnsi="Verdana" w:cs="Arial"/>
          <w:color w:val="000000"/>
          <w:bdr w:val="none" w:sz="0" w:space="0" w:color="auto" w:frame="1"/>
          <w:shd w:val="clear" w:color="auto" w:fill="FFFFFF"/>
        </w:rPr>
      </w:pPr>
      <w:r w:rsidRPr="002379AA">
        <w:rPr>
          <w:rFonts w:ascii="Verdana" w:eastAsia="Batang" w:hAnsi="Verdana" w:cs="Arial"/>
        </w:rPr>
        <w:t>Ahora bien, en relación con los p</w:t>
      </w:r>
      <w:r w:rsidRPr="002379AA">
        <w:rPr>
          <w:rFonts w:ascii="Verdana" w:eastAsia="Calibri" w:hAnsi="Verdana" w:cs="Arial"/>
        </w:rPr>
        <w:t>liegos de condiciones electrónicos es menester indicar que, t</w:t>
      </w:r>
      <w:r w:rsidRPr="002379AA">
        <w:rPr>
          <w:rFonts w:ascii="Verdana" w:hAnsi="Verdana" w:cs="Arial"/>
          <w:color w:val="000000"/>
          <w:bdr w:val="none" w:sz="0" w:space="0" w:color="auto" w:frame="1"/>
          <w:shd w:val="clear" w:color="auto" w:fill="FFFFFF"/>
        </w:rPr>
        <w:t>radicionalmente, el pliego de condiciones es un documento escrito en medio físico o digital, que, como los demás documentos del proceso de contratación, se expide y luego se publica en el SECOP I, en el término dispuesto en el artículo 2.2.1.1.1.7.1 del Decreto 1082 de 2015</w:t>
      </w:r>
      <w:r w:rsidRPr="002379AA">
        <w:rPr>
          <w:rFonts w:ascii="Verdana" w:hAnsi="Verdana" w:cs="Arial"/>
          <w:color w:val="000000"/>
          <w:bdr w:val="none" w:sz="0" w:space="0" w:color="auto" w:frame="1"/>
          <w:shd w:val="clear" w:color="auto" w:fill="FFFFFF"/>
          <w:vertAlign w:val="superscript"/>
        </w:rPr>
        <w:footnoteReference w:id="12"/>
      </w:r>
      <w:r w:rsidRPr="002379AA">
        <w:rPr>
          <w:rFonts w:ascii="Verdana" w:hAnsi="Verdana" w:cs="Arial"/>
          <w:color w:val="000000"/>
          <w:bdr w:val="none" w:sz="0" w:space="0" w:color="auto" w:frame="1"/>
          <w:shd w:val="clear" w:color="auto" w:fill="FFFFFF"/>
        </w:rPr>
        <w:t xml:space="preserve">. De esta manera, el pliego de condiciones se produce por fuera de la plataforma y luego se carga para efectos de su publicidad. </w:t>
      </w:r>
    </w:p>
    <w:p w14:paraId="7B2FB806" w14:textId="77777777" w:rsidR="00BE6CC7" w:rsidRPr="002379AA" w:rsidRDefault="00BE6CC7" w:rsidP="00BE6CC7">
      <w:pPr>
        <w:spacing w:after="120" w:line="276" w:lineRule="auto"/>
        <w:ind w:firstLine="708"/>
        <w:jc w:val="both"/>
        <w:rPr>
          <w:rFonts w:ascii="Verdana" w:eastAsia="Times New Roman" w:hAnsi="Verdana" w:cs="Arial"/>
          <w:color w:val="000000"/>
          <w:bdr w:val="none" w:sz="0" w:space="0" w:color="auto" w:frame="1"/>
          <w:shd w:val="clear" w:color="auto" w:fill="FFFFFF"/>
          <w:lang w:eastAsia="es-MX"/>
        </w:rPr>
      </w:pPr>
      <w:r w:rsidRPr="002379AA">
        <w:rPr>
          <w:rFonts w:ascii="Verdana" w:eastAsia="Times New Roman" w:hAnsi="Verdana" w:cs="Arial"/>
          <w:color w:val="000000"/>
          <w:bdr w:val="none" w:sz="0" w:space="0" w:color="auto" w:frame="1"/>
          <w:shd w:val="clear" w:color="auto" w:fill="FFFFFF"/>
          <w:lang w:eastAsia="es-MX"/>
        </w:rPr>
        <w:t xml:space="preserve">Lo anterior a diferencia de </w:t>
      </w:r>
      <w:bookmarkStart w:id="4" w:name="_Hlk117498261"/>
      <w:r w:rsidRPr="002379AA">
        <w:rPr>
          <w:rFonts w:ascii="Verdana" w:eastAsia="Times New Roman" w:hAnsi="Verdana" w:cs="Arial"/>
          <w:color w:val="000000"/>
          <w:bdr w:val="none" w:sz="0" w:space="0" w:color="auto" w:frame="1"/>
          <w:shd w:val="clear" w:color="auto" w:fill="FFFFFF"/>
          <w:lang w:eastAsia="es-MX"/>
        </w:rPr>
        <w:t xml:space="preserve">los procesos adelantados a través de la SECOP II en los cuales el pliego de condiciones es un documento electrónico el cual se produce, expide y publica al interior de esta versión de la plataforma, la cual tiene carácter transaccional y no meramente publicitario. Este pliego de condiciones electrónico </w:t>
      </w:r>
      <w:r w:rsidRPr="002379AA">
        <w:rPr>
          <w:rFonts w:ascii="Verdana" w:eastAsia="Calibri" w:hAnsi="Verdana" w:cs="Arial"/>
          <w:szCs w:val="24"/>
          <w:lang w:val="es-ES" w:eastAsia="es-MX"/>
        </w:rPr>
        <w:t xml:space="preserve">está compuesto por: i) formulario y </w:t>
      </w:r>
      <w:proofErr w:type="spellStart"/>
      <w:r w:rsidRPr="002379AA">
        <w:rPr>
          <w:rFonts w:ascii="Verdana" w:eastAsia="Calibri" w:hAnsi="Verdana" w:cs="Arial"/>
          <w:szCs w:val="24"/>
          <w:lang w:val="es-ES" w:eastAsia="es-MX"/>
        </w:rPr>
        <w:t>ii</w:t>
      </w:r>
      <w:proofErr w:type="spellEnd"/>
      <w:r w:rsidRPr="002379AA">
        <w:rPr>
          <w:rFonts w:ascii="Verdana" w:eastAsia="Calibri" w:hAnsi="Verdana" w:cs="Arial"/>
          <w:szCs w:val="24"/>
          <w:lang w:val="es-ES" w:eastAsia="es-MX"/>
        </w:rPr>
        <w:t xml:space="preserve">) documentos anexos que cargue la entidad. Después de elegir la modalidad de selección en el SECOP II la entidad crea el expediente electrónico del procedimiento y habilita la creación del pliego borrador electrónico. Este pliego electrónico es un </w:t>
      </w:r>
      <w:r w:rsidRPr="002379AA">
        <w:rPr>
          <w:rFonts w:ascii="Verdana" w:eastAsia="Calibri" w:hAnsi="Verdana" w:cs="Arial"/>
          <w:szCs w:val="24"/>
          <w:lang w:val="es-ES" w:eastAsia="es-MX"/>
        </w:rPr>
        <w:lastRenderedPageBreak/>
        <w:t xml:space="preserve">formulario con seis (6) secciones: i) información general, </w:t>
      </w:r>
      <w:proofErr w:type="spellStart"/>
      <w:r w:rsidRPr="002379AA">
        <w:rPr>
          <w:rFonts w:ascii="Verdana" w:eastAsia="Calibri" w:hAnsi="Verdana" w:cs="Arial"/>
          <w:szCs w:val="24"/>
          <w:lang w:val="es-ES" w:eastAsia="es-MX"/>
        </w:rPr>
        <w:t>ii</w:t>
      </w:r>
      <w:proofErr w:type="spellEnd"/>
      <w:r w:rsidRPr="002379AA">
        <w:rPr>
          <w:rFonts w:ascii="Verdana" w:eastAsia="Calibri" w:hAnsi="Verdana" w:cs="Arial"/>
          <w:szCs w:val="24"/>
          <w:lang w:val="es-ES" w:eastAsia="es-MX"/>
        </w:rPr>
        <w:t xml:space="preserve">) configuración, </w:t>
      </w:r>
      <w:proofErr w:type="spellStart"/>
      <w:r w:rsidRPr="002379AA">
        <w:rPr>
          <w:rFonts w:ascii="Verdana" w:eastAsia="Calibri" w:hAnsi="Verdana" w:cs="Arial"/>
          <w:szCs w:val="24"/>
          <w:lang w:val="es-ES" w:eastAsia="es-MX"/>
        </w:rPr>
        <w:t>iii</w:t>
      </w:r>
      <w:proofErr w:type="spellEnd"/>
      <w:r w:rsidRPr="002379AA">
        <w:rPr>
          <w:rFonts w:ascii="Verdana" w:eastAsia="Calibri" w:hAnsi="Verdana" w:cs="Arial"/>
          <w:szCs w:val="24"/>
          <w:lang w:val="es-ES" w:eastAsia="es-MX"/>
        </w:rPr>
        <w:t xml:space="preserve">) cuestionario, </w:t>
      </w:r>
      <w:proofErr w:type="spellStart"/>
      <w:r w:rsidRPr="002379AA">
        <w:rPr>
          <w:rFonts w:ascii="Verdana" w:eastAsia="Calibri" w:hAnsi="Verdana" w:cs="Arial"/>
          <w:szCs w:val="24"/>
          <w:lang w:val="es-ES" w:eastAsia="es-MX"/>
        </w:rPr>
        <w:t>iv</w:t>
      </w:r>
      <w:proofErr w:type="spellEnd"/>
      <w:r w:rsidRPr="002379AA">
        <w:rPr>
          <w:rFonts w:ascii="Verdana" w:eastAsia="Calibri" w:hAnsi="Verdana" w:cs="Arial"/>
          <w:szCs w:val="24"/>
          <w:lang w:val="es-ES" w:eastAsia="es-MX"/>
        </w:rPr>
        <w:t>) evaluación, v) documentos del proceso y vi) documentos de la oferta.</w:t>
      </w:r>
    </w:p>
    <w:bookmarkEnd w:id="4"/>
    <w:p w14:paraId="70B3BE9B" w14:textId="77777777" w:rsidR="00BE6CC7" w:rsidRPr="002379AA" w:rsidRDefault="00BE6CC7" w:rsidP="00BE6CC7">
      <w:pPr>
        <w:spacing w:after="120" w:line="276" w:lineRule="auto"/>
        <w:ind w:firstLine="709"/>
        <w:jc w:val="both"/>
        <w:rPr>
          <w:rFonts w:ascii="Verdana" w:eastAsia="Calibri" w:hAnsi="Verdana" w:cs="Arial"/>
          <w:lang w:val="es-ES"/>
        </w:rPr>
      </w:pPr>
      <w:r w:rsidRPr="002379AA">
        <w:rPr>
          <w:rFonts w:ascii="Verdana" w:eastAsia="Calibri" w:hAnsi="Verdana" w:cs="Arial"/>
          <w:lang w:val="es-ES"/>
        </w:rPr>
        <w:t>Los formularios de los pliegos electrónicos incluyen la mayoría de los contenidos mínimos que debe contener un pliego de condiciones, con excepción de algunos temas como lo son 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3AA42709" w14:textId="77777777" w:rsidR="00BE6CC7" w:rsidRPr="002379AA" w:rsidRDefault="00BE6CC7" w:rsidP="00BE6CC7">
      <w:pPr>
        <w:spacing w:after="120" w:line="276" w:lineRule="auto"/>
        <w:ind w:firstLine="709"/>
        <w:jc w:val="both"/>
        <w:rPr>
          <w:rFonts w:ascii="Verdana" w:eastAsia="Calibri" w:hAnsi="Verdana" w:cs="Arial"/>
          <w:lang w:val="es-ES"/>
        </w:rPr>
      </w:pPr>
      <w:r w:rsidRPr="002379AA">
        <w:rPr>
          <w:rFonts w:ascii="Verdana" w:eastAsia="Calibri" w:hAnsi="Verdana" w:cs="Arial"/>
          <w:lang w:val="es-ES"/>
        </w:rPr>
        <w:t>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para que el proceso de contratación se realice a través de la plataforma SECOP II es necesario diligenciar dicho formulario en línea que debe contener los requisitos establecidos en el acto administrativo del pliego de condiciones, por lo tanto, esto no implica que las entidades no puedan adjuntar los documentos que sean necesarios y que complementen el pliego de condiciones electrónico en lo que el formulario no contemple su inclusión.</w:t>
      </w:r>
    </w:p>
    <w:p w14:paraId="467A5F4F" w14:textId="77777777" w:rsidR="00BE6CC7" w:rsidRPr="002379AA" w:rsidRDefault="00BE6CC7" w:rsidP="00BE6CC7">
      <w:pPr>
        <w:spacing w:after="0" w:line="276" w:lineRule="auto"/>
        <w:ind w:firstLine="709"/>
        <w:jc w:val="both"/>
        <w:rPr>
          <w:rFonts w:ascii="Verdana" w:eastAsia="Calibri" w:hAnsi="Verdana" w:cs="Arial"/>
        </w:rPr>
      </w:pPr>
      <w:r w:rsidRPr="002379AA">
        <w:rPr>
          <w:rFonts w:ascii="Verdana" w:eastAsia="Calibri" w:hAnsi="Verdana" w:cs="Arial"/>
          <w:lang w:val="es-ES"/>
        </w:rPr>
        <w:t xml:space="preserve">En ese contexto, frente a los eventos en los cuales </w:t>
      </w:r>
      <w:r w:rsidRPr="002379AA">
        <w:rPr>
          <w:rFonts w:ascii="Verdana" w:eastAsia="Calibri" w:hAnsi="Verdana" w:cs="Arial"/>
        </w:rPr>
        <w:t>se configure una contradicción o falta de claridad respecto del pliego de condiciones y el formulario del SECOP II, por ejemplo, sobre la presentación de algún requisito habilitante por parte de los proponentes</w:t>
      </w:r>
      <w:r w:rsidRPr="002379AA">
        <w:rPr>
          <w:rFonts w:ascii="Verdana" w:eastAsia="Calibri" w:hAnsi="Verdana" w:cs="Arial"/>
          <w:lang w:val="es-ES"/>
        </w:rPr>
        <w:t xml:space="preserve">, esta Agencia en concepto </w:t>
      </w:r>
      <w:r w:rsidRPr="002379AA">
        <w:rPr>
          <w:rFonts w:ascii="Verdana" w:eastAsia="Calibri" w:hAnsi="Verdana" w:cs="Arial"/>
        </w:rPr>
        <w:t>C-295 de 30 de abril de 2020, afirmó que:</w:t>
      </w:r>
    </w:p>
    <w:p w14:paraId="5FA727C6" w14:textId="77777777" w:rsidR="00BE6CC7" w:rsidRPr="002379AA" w:rsidRDefault="00BE6CC7" w:rsidP="00BE6CC7">
      <w:pPr>
        <w:spacing w:after="0" w:line="276" w:lineRule="auto"/>
        <w:ind w:firstLine="709"/>
        <w:jc w:val="both"/>
        <w:rPr>
          <w:rFonts w:ascii="Verdana" w:eastAsia="Calibri" w:hAnsi="Verdana" w:cs="Arial"/>
        </w:rPr>
      </w:pPr>
    </w:p>
    <w:p w14:paraId="2AADBB1C" w14:textId="77777777" w:rsidR="00BE6CC7" w:rsidRPr="002379AA" w:rsidRDefault="00BE6CC7" w:rsidP="00BE6CC7">
      <w:pPr>
        <w:spacing w:after="0" w:line="240" w:lineRule="auto"/>
        <w:ind w:left="709" w:right="709"/>
        <w:jc w:val="both"/>
        <w:rPr>
          <w:rFonts w:ascii="Verdana" w:eastAsia="Calibri" w:hAnsi="Verdana" w:cs="Arial"/>
          <w:sz w:val="20"/>
          <w:szCs w:val="20"/>
          <w:lang w:val="es-ES"/>
        </w:rPr>
      </w:pPr>
      <w:r w:rsidRPr="002379AA">
        <w:rPr>
          <w:rFonts w:ascii="Verdana" w:eastAsia="Calibri" w:hAnsi="Verdana" w:cs="Arial"/>
          <w:sz w:val="20"/>
          <w:szCs w:val="20"/>
        </w:rPr>
        <w:t>“</w:t>
      </w:r>
      <w:r w:rsidRPr="002379AA">
        <w:rPr>
          <w:rFonts w:ascii="Verdana" w:eastAsia="Calibri" w:hAnsi="Verdana" w:cs="Arial"/>
          <w:sz w:val="20"/>
          <w:szCs w:val="20"/>
          <w:lang w:val="es-ES"/>
        </w:rPr>
        <w:t>por el funcionamiento de la plataforma, no es posible que exista diferencia entre los documentos exigidos en el pliego de condiciones electrónico, y los señalados en el cuestionario de la oferta, ya que en el SECOP II hacen parte del mismo documento electrónico, por lo que los documentos requeridos en el cuestionario para la presentación de la oferta son los exigidos en el pliego de condiciones, ya que el cuestionario es parte del pliego de condiciones electrónico que es ley para las partes y los proponentes están en la obligación de cumplirlo.</w:t>
      </w:r>
    </w:p>
    <w:p w14:paraId="65EFF564" w14:textId="77777777" w:rsidR="00BE6CC7" w:rsidRPr="002379AA" w:rsidRDefault="00BE6CC7" w:rsidP="00BE6CC7">
      <w:pPr>
        <w:spacing w:after="0" w:line="240" w:lineRule="auto"/>
        <w:ind w:left="709" w:right="709"/>
        <w:jc w:val="both"/>
        <w:rPr>
          <w:rFonts w:ascii="Verdana" w:eastAsia="Calibri" w:hAnsi="Verdana" w:cs="Arial"/>
          <w:sz w:val="20"/>
          <w:szCs w:val="20"/>
          <w:lang w:val="es-ES"/>
        </w:rPr>
      </w:pPr>
    </w:p>
    <w:p w14:paraId="41A5DD76" w14:textId="77777777" w:rsidR="00BE6CC7" w:rsidRPr="002379AA" w:rsidRDefault="00BE6CC7" w:rsidP="00BE6CC7">
      <w:pPr>
        <w:spacing w:after="0" w:line="240" w:lineRule="auto"/>
        <w:ind w:left="709" w:right="709"/>
        <w:jc w:val="both"/>
        <w:rPr>
          <w:rFonts w:ascii="Verdana" w:eastAsia="Calibri" w:hAnsi="Verdana" w:cs="Arial"/>
          <w:sz w:val="20"/>
          <w:szCs w:val="20"/>
        </w:rPr>
      </w:pPr>
      <w:bookmarkStart w:id="5" w:name="_Hlk143791487"/>
      <w:r w:rsidRPr="002379AA">
        <w:rPr>
          <w:rFonts w:ascii="Verdana" w:eastAsia="Calibri" w:hAnsi="Verdana" w:cs="Arial"/>
          <w:sz w:val="20"/>
          <w:szCs w:val="20"/>
          <w:lang w:val="es-ES"/>
        </w:rPr>
        <w:t xml:space="preserve">Adicionalmente, sobre la posibilidad de que la entidad rechace una oferta por no presentar los documentos solicitados en el cuestionario, esto es, </w:t>
      </w:r>
      <w:r w:rsidRPr="002379AA">
        <w:rPr>
          <w:rFonts w:ascii="Verdana" w:eastAsia="Calibri" w:hAnsi="Verdana" w:cs="Arial"/>
          <w:sz w:val="20"/>
          <w:szCs w:val="20"/>
          <w:lang w:val="es-ES"/>
        </w:rPr>
        <w:lastRenderedPageBreak/>
        <w:t xml:space="preserve">en el pliego de condiciones electrónico, ya que de acuerdo con lo anterior son un mismo documento, se </w:t>
      </w:r>
      <w:bookmarkEnd w:id="5"/>
      <w:r w:rsidRPr="002379AA">
        <w:rPr>
          <w:rFonts w:ascii="Verdana" w:eastAsia="Calibri" w:hAnsi="Verdana" w:cs="Arial"/>
          <w:sz w:val="20"/>
          <w:szCs w:val="20"/>
          <w:lang w:val="es-ES"/>
        </w:rPr>
        <w:t xml:space="preserve">debe tener en cuenta que </w:t>
      </w:r>
      <w:r w:rsidRPr="002379AA">
        <w:rPr>
          <w:rFonts w:ascii="Verdana" w:eastAsia="Arial" w:hAnsi="Verdana" w:cs="Arial"/>
          <w:sz w:val="20"/>
          <w:szCs w:val="20"/>
          <w:lang w:val="es-ES" w:eastAsia="es-ES" w:bidi="es-ES"/>
        </w:rPr>
        <w:t xml:space="preserve">el artículo 5 de la Ley 1882 de 2018 modificó el parágrafo 1 del artículo 5 de la Ley 1150 de 2007;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w:t>
      </w:r>
      <w:r w:rsidRPr="002379AA">
        <w:rPr>
          <w:rFonts w:ascii="Verdana" w:eastAsia="Calibri" w:hAnsi="Verdana" w:cs="Arial"/>
          <w:sz w:val="20"/>
          <w:szCs w:val="20"/>
          <w:lang w:val="es-ES"/>
        </w:rPr>
        <w:t>requisitos</w:t>
      </w:r>
      <w:r w:rsidRPr="002379AA">
        <w:rPr>
          <w:rFonts w:ascii="Verdana" w:eastAsia="Arial" w:hAnsi="Verdana" w:cs="Arial"/>
          <w:sz w:val="20"/>
          <w:szCs w:val="20"/>
          <w:lang w:val="es-ES" w:eastAsia="es-ES" w:bidi="es-ES"/>
        </w:rPr>
        <w:t xml:space="preserve"> que inciden en la asignación de puntaje”</w:t>
      </w:r>
      <w:r w:rsidRPr="002379AA">
        <w:rPr>
          <w:rFonts w:ascii="Verdana" w:eastAsia="Calibri" w:hAnsi="Verdana" w:cs="Arial"/>
          <w:sz w:val="20"/>
          <w:szCs w:val="20"/>
          <w:vertAlign w:val="superscript"/>
        </w:rPr>
        <w:footnoteReference w:id="13"/>
      </w:r>
      <w:r w:rsidRPr="002379AA">
        <w:rPr>
          <w:rFonts w:ascii="Verdana" w:eastAsia="Calibri" w:hAnsi="Verdana" w:cs="Arial"/>
          <w:sz w:val="20"/>
          <w:szCs w:val="20"/>
        </w:rPr>
        <w:t>.</w:t>
      </w:r>
    </w:p>
    <w:p w14:paraId="132DD36F" w14:textId="77777777" w:rsidR="00BE6CC7" w:rsidRPr="002379AA" w:rsidRDefault="00BE6CC7" w:rsidP="00BE6CC7">
      <w:pPr>
        <w:spacing w:after="0" w:line="276" w:lineRule="auto"/>
        <w:ind w:left="709" w:right="709"/>
        <w:jc w:val="both"/>
        <w:rPr>
          <w:rFonts w:ascii="Verdana" w:eastAsia="Calibri" w:hAnsi="Verdana" w:cs="Arial"/>
        </w:rPr>
      </w:pPr>
    </w:p>
    <w:p w14:paraId="6014FB73" w14:textId="77777777" w:rsidR="00BE6CC7" w:rsidRPr="002379AA" w:rsidRDefault="00BE6CC7" w:rsidP="00BE6CC7">
      <w:pPr>
        <w:widowControl w:val="0"/>
        <w:autoSpaceDE w:val="0"/>
        <w:autoSpaceDN w:val="0"/>
        <w:spacing w:after="0" w:line="276" w:lineRule="auto"/>
        <w:ind w:firstLine="709"/>
        <w:jc w:val="both"/>
        <w:rPr>
          <w:rFonts w:ascii="Verdana" w:eastAsia="Arial" w:hAnsi="Verdana" w:cs="Arial"/>
          <w:lang w:val="es-ES" w:eastAsia="es-ES" w:bidi="es-ES"/>
        </w:rPr>
      </w:pPr>
      <w:r w:rsidRPr="002379AA">
        <w:rPr>
          <w:rFonts w:ascii="Verdana" w:eastAsia="Calibri" w:hAnsi="Verdana" w:cs="Arial"/>
          <w:lang w:val="es-ES" w:eastAsia="es-ES" w:bidi="es-ES"/>
        </w:rPr>
        <w:t xml:space="preserve">En ese sentido, a criterio de esta Agencia, y teniendo en cuenta el criterio interpretativo según el cual </w:t>
      </w:r>
      <w:r w:rsidRPr="002379AA">
        <w:rPr>
          <w:rFonts w:ascii="Verdana" w:eastAsia="Calibri" w:hAnsi="Verdana" w:cs="Arial"/>
          <w:lang w:val="es-MX" w:eastAsia="es-ES" w:bidi="es-ES"/>
        </w:rPr>
        <w:t xml:space="preserve">aquellas disposiciones o situaciones </w:t>
      </w:r>
      <w:r w:rsidRPr="002379AA">
        <w:rPr>
          <w:rFonts w:ascii="Verdana" w:eastAsia="Batang" w:hAnsi="Verdana" w:cs="Arial"/>
          <w:lang w:val="es-ES" w:eastAsia="es-ES" w:bidi="es-ES"/>
        </w:rPr>
        <w:t>oscuras que hayan sido extendidas o dictadas por una parte se interpretarán contra ella, de conformidad con el artículo 1624 del Código Civil, más aún cuando la Entidad Estatal es la que carga y emite el respectivo pliego de condiciones electrónico, y dicha ambigüedad proviene de una explicación que ésta ha debido dar ya sea en una respuesta a observaciones o en una adenda al pliego de condiciones electrónico, dicha omisión en el formulario del SECOP II de la presentación de un requisito habilitante implica que la Entidad Estatal no puede afectar la participación de los proponentes en el proceso de selección y, por lo tanto, la e</w:t>
      </w:r>
      <w:r w:rsidRPr="002379AA">
        <w:rPr>
          <w:rFonts w:ascii="Verdana" w:eastAsia="Calibri" w:hAnsi="Verdana" w:cs="Arial"/>
          <w:lang w:val="es-ES" w:eastAsia="es-ES" w:bidi="es-ES"/>
        </w:rPr>
        <w:t xml:space="preserve">ntidad teniendo en cuenta la etapa en la que se encuentre el proceso de selección, podrá determinar si es necesario revocar el acto administrativo de apertura del proceso de selección o modificar el cronograma del pliego de condiciones para la presentación de dichos documentos, respetándoles además su derecho a la subsanación a los proponentes de acuerdo con </w:t>
      </w:r>
      <w:r w:rsidRPr="002379AA">
        <w:rPr>
          <w:rFonts w:ascii="Verdana" w:eastAsia="Arial" w:hAnsi="Verdana" w:cs="Arial"/>
          <w:lang w:val="es-ES" w:eastAsia="es-ES" w:bidi="es-ES"/>
        </w:rPr>
        <w:t>el artículo 5 de la Ley 1882 de 2018, que modificó el parágrafo 1 del artículo 5 de la Ley 1150 de 2007.</w:t>
      </w:r>
    </w:p>
    <w:p w14:paraId="1FFF587A" w14:textId="77777777" w:rsidR="00BE6CC7" w:rsidRPr="002379AA" w:rsidRDefault="00BE6CC7" w:rsidP="00BE6CC7">
      <w:pPr>
        <w:widowControl w:val="0"/>
        <w:autoSpaceDE w:val="0"/>
        <w:autoSpaceDN w:val="0"/>
        <w:spacing w:after="0" w:line="276" w:lineRule="auto"/>
        <w:jc w:val="both"/>
        <w:rPr>
          <w:rFonts w:ascii="Verdana" w:hAnsi="Verdana" w:cs="Arial"/>
          <w:lang w:val="es-ES"/>
        </w:rPr>
      </w:pPr>
    </w:p>
    <w:p w14:paraId="21F1F0CD" w14:textId="77777777" w:rsidR="00BE6CC7" w:rsidRPr="002379AA" w:rsidRDefault="00BE6CC7" w:rsidP="00BE6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379AA">
        <w:rPr>
          <w:rFonts w:ascii="Verdana" w:eastAsia="Century Gothic" w:hAnsi="Verdana" w:cs="Century Gothic"/>
          <w:b/>
          <w:bCs/>
        </w:rPr>
        <w:t>Referencias normativas, jurisprudenciales y otras fuentes:</w:t>
      </w:r>
    </w:p>
    <w:p w14:paraId="59AFAFF4" w14:textId="77777777" w:rsidR="00BE6CC7" w:rsidRPr="002379AA" w:rsidRDefault="00BE6CC7" w:rsidP="00BE6CC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E6CC7" w:rsidRPr="002379AA" w14:paraId="2A12049C" w14:textId="77777777" w:rsidTr="00CC3993">
        <w:trPr>
          <w:trHeight w:val="870"/>
        </w:trPr>
        <w:tc>
          <w:tcPr>
            <w:tcW w:w="8647" w:type="dxa"/>
          </w:tcPr>
          <w:p w14:paraId="43FE086B" w14:textId="77777777" w:rsidR="00BE6CC7" w:rsidRPr="002379AA" w:rsidRDefault="00BE6CC7" w:rsidP="00BE6CC7">
            <w:pPr>
              <w:pStyle w:val="Prrafodelista"/>
              <w:numPr>
                <w:ilvl w:val="0"/>
                <w:numId w:val="17"/>
              </w:numPr>
              <w:spacing w:after="120" w:line="276" w:lineRule="auto"/>
              <w:ind w:left="360"/>
              <w:jc w:val="both"/>
              <w:rPr>
                <w:rFonts w:ascii="Verdana" w:hAnsi="Verdana" w:cs="Arial"/>
                <w:noProof/>
                <w:sz w:val="24"/>
                <w:lang w:val="es-CO"/>
              </w:rPr>
            </w:pPr>
            <w:r w:rsidRPr="002379AA">
              <w:rPr>
                <w:rFonts w:ascii="Verdana" w:hAnsi="Verdana" w:cs="Arial"/>
                <w:noProof/>
                <w:sz w:val="24"/>
                <w:lang w:val="es-CO"/>
              </w:rPr>
              <w:lastRenderedPageBreak/>
              <w:t xml:space="preserve">Ley 80 de 1993: Artícuo 24. </w:t>
            </w:r>
          </w:p>
          <w:p w14:paraId="0395D67A" w14:textId="77777777" w:rsidR="00BE6CC7" w:rsidRPr="002379AA" w:rsidRDefault="00BE6CC7" w:rsidP="00BE6CC7">
            <w:pPr>
              <w:pStyle w:val="Prrafodelista"/>
              <w:numPr>
                <w:ilvl w:val="0"/>
                <w:numId w:val="17"/>
              </w:numPr>
              <w:spacing w:after="120" w:line="276" w:lineRule="auto"/>
              <w:ind w:left="360"/>
              <w:jc w:val="both"/>
              <w:rPr>
                <w:rFonts w:ascii="Verdana" w:hAnsi="Verdana" w:cs="Arial"/>
                <w:noProof/>
                <w:sz w:val="24"/>
                <w:lang w:val="es-CO"/>
              </w:rPr>
            </w:pPr>
            <w:r w:rsidRPr="002379AA">
              <w:rPr>
                <w:rFonts w:ascii="Verdana" w:hAnsi="Verdana" w:cs="Arial"/>
                <w:noProof/>
                <w:sz w:val="24"/>
                <w:lang w:val="es-CO"/>
              </w:rPr>
              <w:t>Código Civil: Artículos 1618 a 1624.</w:t>
            </w:r>
          </w:p>
          <w:p w14:paraId="2651C57D" w14:textId="77777777" w:rsidR="00BE6CC7" w:rsidRPr="002379AA" w:rsidRDefault="00BE6CC7" w:rsidP="00BE6CC7">
            <w:pPr>
              <w:pStyle w:val="Prrafodelista"/>
              <w:numPr>
                <w:ilvl w:val="0"/>
                <w:numId w:val="17"/>
              </w:numPr>
              <w:spacing w:line="276" w:lineRule="auto"/>
              <w:ind w:left="357" w:hanging="357"/>
              <w:jc w:val="both"/>
              <w:rPr>
                <w:rFonts w:ascii="Verdana" w:hAnsi="Verdana" w:cs="Arial"/>
                <w:noProof/>
                <w:lang w:val="es-CO"/>
              </w:rPr>
            </w:pPr>
            <w:r w:rsidRPr="002379AA">
              <w:rPr>
                <w:rFonts w:ascii="Verdana" w:hAnsi="Verdana" w:cs="Arial"/>
                <w:noProof/>
                <w:sz w:val="24"/>
                <w:lang w:val="es-CO"/>
              </w:rPr>
              <w:t xml:space="preserve">Decreto 1082 de 2015: Artículo 2.2.1.1.2.1.3. </w:t>
            </w:r>
          </w:p>
        </w:tc>
      </w:tr>
    </w:tbl>
    <w:p w14:paraId="104790FE" w14:textId="77777777" w:rsidR="00BE6CC7" w:rsidRPr="002379AA" w:rsidRDefault="00BE6CC7" w:rsidP="00BE6CC7">
      <w:pPr>
        <w:widowControl w:val="0"/>
        <w:autoSpaceDE w:val="0"/>
        <w:autoSpaceDN w:val="0"/>
        <w:spacing w:after="0" w:line="276" w:lineRule="auto"/>
        <w:jc w:val="both"/>
        <w:rPr>
          <w:rFonts w:ascii="Verdana" w:hAnsi="Verdana" w:cs="Arial"/>
        </w:rPr>
      </w:pPr>
    </w:p>
    <w:p w14:paraId="24921C38" w14:textId="77777777" w:rsidR="00BE6CC7" w:rsidRPr="002379AA" w:rsidRDefault="00BE6CC7" w:rsidP="00BE6C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379AA">
        <w:rPr>
          <w:rFonts w:ascii="Verdana" w:eastAsia="Century Gothic" w:hAnsi="Verdana" w:cs="Century Gothic"/>
          <w:b/>
          <w:bCs/>
        </w:rPr>
        <w:t>Doctrina de la Agencia Nacional de Contratación Pública:</w:t>
      </w:r>
    </w:p>
    <w:p w14:paraId="14514FD0" w14:textId="77777777" w:rsidR="00BE6CC7" w:rsidRPr="002379AA" w:rsidRDefault="00BE6CC7" w:rsidP="00BE6CC7">
      <w:pPr>
        <w:widowControl w:val="0"/>
        <w:autoSpaceDE w:val="0"/>
        <w:autoSpaceDN w:val="0"/>
        <w:spacing w:after="0" w:line="276" w:lineRule="auto"/>
        <w:jc w:val="both"/>
        <w:rPr>
          <w:rFonts w:ascii="Verdana" w:hAnsi="Verdana" w:cs="Arial"/>
        </w:rPr>
      </w:pPr>
    </w:p>
    <w:p w14:paraId="0E6F8C46" w14:textId="77777777" w:rsidR="00BE6CC7" w:rsidRPr="002379AA" w:rsidRDefault="00BE6CC7" w:rsidP="00BE6CC7">
      <w:pPr>
        <w:widowControl w:val="0"/>
        <w:autoSpaceDE w:val="0"/>
        <w:autoSpaceDN w:val="0"/>
        <w:spacing w:after="0" w:line="276" w:lineRule="auto"/>
        <w:jc w:val="both"/>
        <w:rPr>
          <w:rStyle w:val="normaltextrun"/>
          <w:rFonts w:ascii="Verdana" w:hAnsi="Verdana" w:cs="Arial"/>
          <w:shd w:val="clear" w:color="auto" w:fill="FFFFFF"/>
          <w:lang w:val="es-ES"/>
        </w:rPr>
      </w:pPr>
      <w:r w:rsidRPr="002379AA">
        <w:rPr>
          <w:rFonts w:ascii="Verdana" w:eastAsia="Calibri" w:hAnsi="Verdana" w:cs="Arial"/>
        </w:rPr>
        <w:t xml:space="preserve">La Agencia Nacional de Contratación Pública – Colombia Compra Eficiente, en los conceptos C-295 de 30 de abril de 2020, C-306 del 4 de junio de 2020, C-303 del 15 de junio de 2021, C-030 de 25 de febrero de 2022, C-693 de 24 de octubre de 2022 y C-346 del 25 de agosto de 2023, se pronunció sobre el tratamiento que debe dársele cuando existen reglas contradictoras en los Pliegos de Condiciones y demás documentos del proceso. </w:t>
      </w:r>
      <w:r w:rsidRPr="002379AA">
        <w:rPr>
          <w:rStyle w:val="normaltextrun"/>
          <w:rFonts w:ascii="Verdana" w:hAnsi="Verdana" w:cs="Arial"/>
          <w:shd w:val="clear" w:color="auto" w:fill="FFFFFF"/>
          <w:lang w:val="es-ES"/>
        </w:rPr>
        <w:t>Es</w:t>
      </w:r>
      <w:r w:rsidRPr="002379AA">
        <w:rPr>
          <w:rFonts w:ascii="Verdana" w:hAnsi="Verdana"/>
        </w:rPr>
        <w:t>tos y otros conceptos se encuentran disponibles para consulta en el Sistema de relatoría de la Agencia, al cual se puede acceder a través del siguiente enlace:</w:t>
      </w:r>
      <w:r w:rsidRPr="002379AA">
        <w:rPr>
          <w:rStyle w:val="normaltextrun"/>
          <w:rFonts w:ascii="Verdana" w:hAnsi="Verdana" w:cs="Arial"/>
          <w:shd w:val="clear" w:color="auto" w:fill="FFFFFF"/>
          <w:lang w:val="es-ES"/>
        </w:rPr>
        <w:t xml:space="preserve"> </w:t>
      </w:r>
      <w:hyperlink r:id="rId11" w:history="1">
        <w:r w:rsidRPr="002379AA">
          <w:rPr>
            <w:rStyle w:val="Hipervnculo"/>
            <w:rFonts w:ascii="Verdana" w:hAnsi="Verdana" w:cs="Arial"/>
            <w:shd w:val="clear" w:color="auto" w:fill="FFFFFF"/>
            <w:lang w:val="es-ES"/>
          </w:rPr>
          <w:t>https://relatoria.colombiacompra.gov.co/busqueda/conceptos</w:t>
        </w:r>
      </w:hyperlink>
      <w:r w:rsidRPr="002379AA">
        <w:rPr>
          <w:rStyle w:val="normaltextrun"/>
          <w:rFonts w:ascii="Verdana" w:hAnsi="Verdana" w:cs="Arial"/>
          <w:shd w:val="clear" w:color="auto" w:fill="FFFFFF"/>
          <w:lang w:val="es-ES"/>
        </w:rPr>
        <w:t>.</w:t>
      </w:r>
    </w:p>
    <w:p w14:paraId="68650543" w14:textId="77777777" w:rsidR="00BE6CC7" w:rsidRPr="002379AA" w:rsidRDefault="00BE6CC7" w:rsidP="00BE6CC7">
      <w:pPr>
        <w:widowControl w:val="0"/>
        <w:autoSpaceDE w:val="0"/>
        <w:autoSpaceDN w:val="0"/>
        <w:spacing w:after="0" w:line="276" w:lineRule="auto"/>
        <w:jc w:val="both"/>
        <w:rPr>
          <w:rFonts w:ascii="Verdana" w:hAnsi="Verdana" w:cs="Arial"/>
        </w:rPr>
      </w:pPr>
    </w:p>
    <w:p w14:paraId="0687BF26" w14:textId="77777777" w:rsidR="00BE6CC7" w:rsidRPr="002379AA" w:rsidRDefault="00BE6CC7" w:rsidP="00BE6CC7">
      <w:pPr>
        <w:widowControl w:val="0"/>
        <w:autoSpaceDE w:val="0"/>
        <w:autoSpaceDN w:val="0"/>
        <w:spacing w:after="0" w:line="276" w:lineRule="auto"/>
        <w:jc w:val="both"/>
        <w:rPr>
          <w:rFonts w:ascii="Verdana" w:hAnsi="Verdana" w:cs="Arial"/>
          <w:lang w:val="es-ES_tradnl"/>
        </w:rPr>
      </w:pPr>
      <w:r w:rsidRPr="002379AA">
        <w:rPr>
          <w:rFonts w:ascii="Verdana" w:hAnsi="Verdana" w:cs="Arial"/>
        </w:rPr>
        <w:t xml:space="preserve">Este concepto tiene el alcance previsto en el artículo 28 del Código de Procedimiento Administrativo y de lo Contencioso Administrativo </w:t>
      </w:r>
      <w:r w:rsidRPr="002379AA">
        <w:rPr>
          <w:rFonts w:ascii="Verdana" w:hAnsi="Verdana" w:cs="Arial"/>
          <w:lang w:val="es-ES_tradnl"/>
        </w:rPr>
        <w:t>y las expresiones aquí utilizadas con mayúscula inicial deben ser entendidas con el significado que les otorga el artículo 2.2.1.1.1.3.1. del Decreto 1082 de 2015.</w:t>
      </w:r>
    </w:p>
    <w:p w14:paraId="20BCC62F" w14:textId="77777777" w:rsidR="00BE6CC7" w:rsidRPr="002379AA" w:rsidRDefault="00BE6CC7" w:rsidP="00BE6CC7">
      <w:pPr>
        <w:widowControl w:val="0"/>
        <w:autoSpaceDE w:val="0"/>
        <w:autoSpaceDN w:val="0"/>
        <w:spacing w:after="0" w:line="276" w:lineRule="auto"/>
        <w:jc w:val="both"/>
        <w:rPr>
          <w:rFonts w:ascii="Verdana" w:hAnsi="Verdana" w:cs="Arial"/>
        </w:rPr>
      </w:pPr>
    </w:p>
    <w:p w14:paraId="050BC774" w14:textId="77777777" w:rsidR="00BE6CC7" w:rsidRPr="002379AA" w:rsidRDefault="00BE6CC7" w:rsidP="00BE6CC7">
      <w:pPr>
        <w:spacing w:after="0" w:line="240" w:lineRule="auto"/>
        <w:rPr>
          <w:rFonts w:ascii="Verdana" w:hAnsi="Verdana" w:cs="Arial"/>
          <w:lang w:eastAsia="es-CO"/>
        </w:rPr>
      </w:pPr>
      <w:r w:rsidRPr="002379AA">
        <w:rPr>
          <w:rFonts w:ascii="Verdana" w:eastAsia="Times New Roman" w:hAnsi="Verdana" w:cs="Arial"/>
          <w:lang w:eastAsia="es-CO"/>
        </w:rPr>
        <w:t>Atentamente,</w:t>
      </w:r>
      <w:r w:rsidRPr="002379AA">
        <w:rPr>
          <w:rFonts w:ascii="Verdana" w:hAnsi="Verdana" w:cs="Arial"/>
          <w:lang w:eastAsia="es-CO"/>
        </w:rPr>
        <w:t xml:space="preserve"> </w:t>
      </w:r>
    </w:p>
    <w:p w14:paraId="2FEF6078" w14:textId="326429B6" w:rsidR="00BE6CC7" w:rsidRPr="002379AA" w:rsidRDefault="004D722A" w:rsidP="00BE6CC7">
      <w:pPr>
        <w:spacing w:line="276" w:lineRule="auto"/>
        <w:jc w:val="center"/>
        <w:rPr>
          <w:rFonts w:ascii="Verdana" w:hAnsi="Verdana" w:cs="Arial"/>
          <w:color w:val="000000"/>
          <w:lang w:val="es-ES_tradnl" w:eastAsia="es-CO"/>
        </w:rPr>
      </w:pPr>
      <w:r>
        <w:rPr>
          <w:noProof/>
        </w:rPr>
        <w:drawing>
          <wp:inline distT="0" distB="0" distL="0" distR="0" wp14:anchorId="47A0F299" wp14:editId="02676E33">
            <wp:extent cx="2823707" cy="1048082"/>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2"/>
                    <a:stretch>
                      <a:fillRect/>
                    </a:stretch>
                  </pic:blipFill>
                  <pic:spPr>
                    <a:xfrm>
                      <a:off x="0" y="0"/>
                      <a:ext cx="2833188" cy="1051601"/>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E6CC7" w:rsidRPr="002379AA" w14:paraId="382012F5" w14:textId="77777777" w:rsidTr="00CC3993">
        <w:trPr>
          <w:trHeight w:val="409"/>
        </w:trPr>
        <w:tc>
          <w:tcPr>
            <w:tcW w:w="817" w:type="dxa"/>
            <w:tcBorders>
              <w:top w:val="nil"/>
              <w:left w:val="nil"/>
              <w:bottom w:val="nil"/>
              <w:right w:val="nil"/>
            </w:tcBorders>
            <w:vAlign w:val="center"/>
            <w:hideMark/>
          </w:tcPr>
          <w:p w14:paraId="0D549F55" w14:textId="244CB066" w:rsidR="00BE6CC7" w:rsidRPr="002379AA" w:rsidRDefault="00BE6CC7" w:rsidP="00CC3993">
            <w:pPr>
              <w:spacing w:after="0" w:line="240" w:lineRule="auto"/>
              <w:jc w:val="both"/>
              <w:rPr>
                <w:rFonts w:ascii="Verdana" w:hAnsi="Verdana" w:cs="Arial"/>
                <w:sz w:val="16"/>
                <w:szCs w:val="16"/>
              </w:rPr>
            </w:pPr>
            <w:r w:rsidRPr="002379AA">
              <w:rPr>
                <w:rFonts w:ascii="Verdana" w:hAnsi="Verdana" w:cs="Arial"/>
                <w:sz w:val="16"/>
                <w:szCs w:val="16"/>
              </w:rPr>
              <w:t>Elaboró:</w:t>
            </w:r>
          </w:p>
        </w:tc>
        <w:tc>
          <w:tcPr>
            <w:tcW w:w="4937" w:type="dxa"/>
            <w:tcBorders>
              <w:top w:val="nil"/>
              <w:left w:val="nil"/>
              <w:bottom w:val="dotted" w:sz="6" w:space="0" w:color="7F7F7F" w:themeColor="text1" w:themeTint="80"/>
              <w:right w:val="nil"/>
            </w:tcBorders>
            <w:vAlign w:val="center"/>
            <w:hideMark/>
          </w:tcPr>
          <w:p w14:paraId="02713B27" w14:textId="77777777" w:rsidR="00BE6CC7" w:rsidRPr="002379AA" w:rsidRDefault="00BE6CC7" w:rsidP="00CC3993">
            <w:pPr>
              <w:spacing w:after="0" w:line="240" w:lineRule="auto"/>
              <w:jc w:val="both"/>
              <w:rPr>
                <w:rFonts w:ascii="Verdana" w:hAnsi="Verdana" w:cs="Arial"/>
                <w:sz w:val="16"/>
                <w:szCs w:val="16"/>
              </w:rPr>
            </w:pPr>
            <w:r w:rsidRPr="002379AA">
              <w:rPr>
                <w:rFonts w:ascii="Verdana" w:hAnsi="Verdana" w:cs="Arial"/>
                <w:sz w:val="16"/>
                <w:szCs w:val="16"/>
              </w:rPr>
              <w:t>Diana Lucia Saavedra Castañeda</w:t>
            </w:r>
          </w:p>
          <w:p w14:paraId="4CF6EE48" w14:textId="77777777" w:rsidR="00BE6CC7" w:rsidRPr="002379AA" w:rsidRDefault="00BE6CC7" w:rsidP="00CC3993">
            <w:pPr>
              <w:spacing w:after="0" w:line="240" w:lineRule="auto"/>
              <w:jc w:val="both"/>
              <w:rPr>
                <w:rFonts w:ascii="Verdana" w:hAnsi="Verdana" w:cs="Arial"/>
                <w:sz w:val="16"/>
                <w:szCs w:val="16"/>
              </w:rPr>
            </w:pPr>
            <w:r w:rsidRPr="002379AA">
              <w:rPr>
                <w:rFonts w:ascii="Verdana" w:hAnsi="Verdana" w:cs="Arial"/>
                <w:sz w:val="16"/>
                <w:szCs w:val="16"/>
              </w:rPr>
              <w:t>Contratista de la Subdirección de Gestión Contractual</w:t>
            </w:r>
          </w:p>
        </w:tc>
      </w:tr>
      <w:tr w:rsidR="00BE6CC7" w:rsidRPr="002379AA" w14:paraId="09D43A73" w14:textId="77777777" w:rsidTr="00CC3993">
        <w:trPr>
          <w:trHeight w:val="409"/>
        </w:trPr>
        <w:tc>
          <w:tcPr>
            <w:tcW w:w="817" w:type="dxa"/>
            <w:tcBorders>
              <w:top w:val="nil"/>
              <w:left w:val="nil"/>
              <w:right w:val="nil"/>
            </w:tcBorders>
            <w:vAlign w:val="center"/>
          </w:tcPr>
          <w:p w14:paraId="41840078" w14:textId="77777777" w:rsidR="00BE6CC7" w:rsidRPr="002379AA" w:rsidRDefault="00BE6CC7" w:rsidP="00CC3993">
            <w:pPr>
              <w:spacing w:after="0"/>
              <w:jc w:val="both"/>
              <w:rPr>
                <w:rFonts w:ascii="Verdana" w:hAnsi="Verdana" w:cs="Arial"/>
                <w:sz w:val="16"/>
                <w:szCs w:val="16"/>
              </w:rPr>
            </w:pPr>
            <w:r w:rsidRPr="002379AA">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012CFAB" w14:textId="77777777" w:rsidR="00BE6CC7" w:rsidRPr="002379AA" w:rsidRDefault="00BE6CC7" w:rsidP="00CC3993">
            <w:pPr>
              <w:spacing w:after="0" w:line="240" w:lineRule="auto"/>
              <w:jc w:val="both"/>
              <w:rPr>
                <w:rStyle w:val="normaltextrun"/>
                <w:rFonts w:ascii="Verdana" w:eastAsia="Times New Roman" w:hAnsi="Verdana" w:cs="Segoe UI"/>
                <w:color w:val="000000" w:themeColor="text1"/>
                <w:sz w:val="16"/>
                <w:szCs w:val="16"/>
                <w:lang w:eastAsia="es-CO"/>
              </w:rPr>
            </w:pPr>
            <w:r w:rsidRPr="002379AA">
              <w:rPr>
                <w:rStyle w:val="normaltextrun"/>
                <w:rFonts w:ascii="Verdana" w:eastAsia="Times New Roman" w:hAnsi="Verdana" w:cs="Segoe UI"/>
                <w:color w:val="000000" w:themeColor="text1"/>
                <w:sz w:val="16"/>
                <w:szCs w:val="16"/>
                <w:lang w:eastAsia="es-CO"/>
              </w:rPr>
              <w:t>Alejandro Sarmiento Cantillo</w:t>
            </w:r>
          </w:p>
          <w:p w14:paraId="6CB57EF4" w14:textId="77777777" w:rsidR="00BE6CC7" w:rsidRPr="002379AA" w:rsidRDefault="00BE6CC7" w:rsidP="00CC3993">
            <w:pPr>
              <w:spacing w:after="0" w:line="240" w:lineRule="auto"/>
              <w:jc w:val="both"/>
              <w:rPr>
                <w:rFonts w:ascii="Verdana" w:hAnsi="Verdana" w:cs="Arial"/>
                <w:sz w:val="16"/>
                <w:szCs w:val="16"/>
              </w:rPr>
            </w:pPr>
            <w:r w:rsidRPr="002379AA">
              <w:rPr>
                <w:rStyle w:val="normaltextrun"/>
                <w:rFonts w:ascii="Verdana" w:eastAsia="Times New Roman" w:hAnsi="Verdana" w:cs="Segoe UI"/>
                <w:color w:val="000000" w:themeColor="text1"/>
                <w:sz w:val="16"/>
                <w:szCs w:val="16"/>
                <w:lang w:eastAsia="es-CO"/>
              </w:rPr>
              <w:t xml:space="preserve">Gestor T1 </w:t>
            </w:r>
            <w:r w:rsidRPr="002379AA">
              <w:rPr>
                <w:rStyle w:val="normaltextrun"/>
                <w:rFonts w:ascii="Verdana" w:eastAsia="Times New Roman" w:hAnsi="Verdana" w:cs="Arial"/>
                <w:color w:val="000000" w:themeColor="text1"/>
                <w:sz w:val="16"/>
                <w:szCs w:val="16"/>
                <w:lang w:eastAsia="es-CO"/>
              </w:rPr>
              <w:t>‒</w:t>
            </w:r>
            <w:r w:rsidRPr="002379AA">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BE6CC7" w:rsidRPr="002379AA" w14:paraId="2B5AE981" w14:textId="77777777" w:rsidTr="00CC3993">
        <w:trPr>
          <w:trHeight w:val="389"/>
        </w:trPr>
        <w:tc>
          <w:tcPr>
            <w:tcW w:w="817" w:type="dxa"/>
            <w:tcBorders>
              <w:top w:val="nil"/>
              <w:left w:val="nil"/>
              <w:bottom w:val="nil"/>
              <w:right w:val="nil"/>
            </w:tcBorders>
            <w:vAlign w:val="center"/>
            <w:hideMark/>
          </w:tcPr>
          <w:p w14:paraId="2DD30CF1" w14:textId="436D2ACF" w:rsidR="00BE6CC7" w:rsidRPr="002379AA" w:rsidRDefault="00BE6CC7" w:rsidP="00CC3993">
            <w:pPr>
              <w:spacing w:after="0" w:line="240" w:lineRule="auto"/>
              <w:jc w:val="both"/>
              <w:rPr>
                <w:rFonts w:ascii="Verdana" w:hAnsi="Verdana" w:cs="Arial"/>
                <w:sz w:val="16"/>
                <w:szCs w:val="16"/>
              </w:rPr>
            </w:pPr>
            <w:r w:rsidRPr="002379AA">
              <w:rPr>
                <w:rFonts w:ascii="Verdana" w:hAnsi="Verdana" w:cs="Arial"/>
                <w:sz w:val="16"/>
                <w:szCs w:val="16"/>
              </w:rPr>
              <w:t>Aprobó: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4A4581D" w14:textId="77777777" w:rsidR="00BE6CC7" w:rsidRPr="002379AA" w:rsidRDefault="00BE6CC7" w:rsidP="00CC3993">
            <w:pPr>
              <w:spacing w:after="0"/>
              <w:rPr>
                <w:rFonts w:ascii="Verdana" w:eastAsia="Calibri" w:hAnsi="Verdana" w:cs="Arial"/>
                <w:sz w:val="16"/>
                <w:szCs w:val="16"/>
                <w:lang w:val="pt-BR" w:eastAsia="es-ES"/>
              </w:rPr>
            </w:pPr>
            <w:r w:rsidRPr="002379AA">
              <w:rPr>
                <w:rFonts w:ascii="Verdana" w:eastAsia="Calibri" w:hAnsi="Verdana" w:cs="Arial"/>
                <w:sz w:val="16"/>
                <w:szCs w:val="16"/>
                <w:lang w:val="pt-BR" w:eastAsia="es-ES"/>
              </w:rPr>
              <w:t>Carolina Quintero Gacharná</w:t>
            </w:r>
          </w:p>
          <w:p w14:paraId="7FD50CD9" w14:textId="77777777" w:rsidR="00BE6CC7" w:rsidRPr="002379AA" w:rsidRDefault="00BE6CC7" w:rsidP="00CC3993">
            <w:pPr>
              <w:spacing w:after="0" w:line="240" w:lineRule="auto"/>
              <w:jc w:val="both"/>
              <w:rPr>
                <w:rFonts w:ascii="Verdana" w:hAnsi="Verdana" w:cs="Arial"/>
                <w:sz w:val="16"/>
                <w:szCs w:val="16"/>
              </w:rPr>
            </w:pPr>
            <w:r w:rsidRPr="002379AA">
              <w:rPr>
                <w:rFonts w:ascii="Verdana" w:hAnsi="Verdana" w:cs="Arial"/>
                <w:sz w:val="16"/>
                <w:szCs w:val="16"/>
              </w:rPr>
              <w:t>Subdirectora de Gestión Contractual ANCP – CCE</w:t>
            </w:r>
          </w:p>
        </w:tc>
      </w:tr>
    </w:tbl>
    <w:p w14:paraId="59BCB954" w14:textId="77777777" w:rsidR="00BE6CC7" w:rsidRPr="006B5EC6" w:rsidRDefault="00BE6CC7" w:rsidP="00BE6CC7">
      <w:pPr>
        <w:pStyle w:val="Default"/>
        <w:tabs>
          <w:tab w:val="left" w:pos="2864"/>
        </w:tabs>
        <w:jc w:val="both"/>
        <w:rPr>
          <w:rFonts w:ascii="Verdana" w:hAnsi="Verdana"/>
          <w:color w:val="auto"/>
          <w:sz w:val="22"/>
          <w:szCs w:val="22"/>
          <w:lang w:val="es-ES"/>
        </w:rPr>
      </w:pPr>
    </w:p>
    <w:p w14:paraId="381E9F96" w14:textId="77777777" w:rsidR="00BE6CC7" w:rsidRPr="006B5EC6" w:rsidRDefault="00BE6CC7" w:rsidP="00BE6CC7">
      <w:pPr>
        <w:spacing w:after="0" w:line="240" w:lineRule="auto"/>
        <w:rPr>
          <w:rFonts w:ascii="Verdana" w:eastAsia="Times New Roman" w:hAnsi="Verdana" w:cs="Arial"/>
          <w:sz w:val="24"/>
          <w:szCs w:val="24"/>
          <w:lang w:val="es-ES" w:eastAsia="es-ES"/>
        </w:rPr>
      </w:pPr>
    </w:p>
    <w:p w14:paraId="3900974D" w14:textId="77777777" w:rsidR="003D5B0D" w:rsidRPr="006B5EC6" w:rsidRDefault="003D5B0D" w:rsidP="00C76B1C">
      <w:pPr>
        <w:spacing w:after="0" w:line="240" w:lineRule="auto"/>
        <w:textAlignment w:val="baseline"/>
        <w:rPr>
          <w:rFonts w:ascii="Verdana" w:eastAsia="Times New Roman" w:hAnsi="Verdana" w:cs="Segoe UI"/>
          <w:b/>
          <w:bCs/>
          <w:lang w:val="es-ES" w:eastAsia="es-CO"/>
        </w:rPr>
      </w:pPr>
    </w:p>
    <w:sectPr w:rsidR="003D5B0D" w:rsidRPr="006B5EC6"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70026EC3" w14:textId="77777777" w:rsidR="00BE6CC7" w:rsidRPr="00F12EAF" w:rsidRDefault="00BE6CC7" w:rsidP="00BE6CC7">
      <w:pPr>
        <w:pStyle w:val="Textonotapie"/>
        <w:ind w:firstLine="708"/>
        <w:contextualSpacing/>
        <w:jc w:val="both"/>
        <w:rPr>
          <w:rFonts w:ascii="Verdana" w:hAnsi="Verdana"/>
          <w:sz w:val="16"/>
          <w:szCs w:val="16"/>
        </w:rPr>
      </w:pPr>
      <w:r w:rsidRPr="00F12EAF">
        <w:rPr>
          <w:rStyle w:val="Refdenotaalpie"/>
          <w:rFonts w:ascii="Verdana" w:hAnsi="Verdana"/>
          <w:sz w:val="16"/>
          <w:szCs w:val="16"/>
        </w:rPr>
        <w:footnoteRef/>
      </w:r>
      <w:r w:rsidRPr="00F12EAF">
        <w:rPr>
          <w:rFonts w:ascii="Verdana" w:hAnsi="Verdana"/>
          <w:sz w:val="16"/>
          <w:szCs w:val="16"/>
        </w:rPr>
        <w:t xml:space="preserve"> CONSEJO DE ESTADO, Sala de lo Contencioso Administrativo, Sección Tercera, sentencias del 1 de junio de 2022, radicado 60248 y del 2 de julio de 2021, radicado 51910.</w:t>
      </w:r>
    </w:p>
  </w:footnote>
  <w:footnote w:id="2">
    <w:p w14:paraId="28602395"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Style w:val="Refdenotaalpie"/>
          <w:rFonts w:ascii="Verdana" w:hAnsi="Verdana" w:cs="Arial"/>
          <w:color w:val="000000" w:themeColor="text1"/>
          <w:sz w:val="16"/>
          <w:szCs w:val="16"/>
        </w:rPr>
        <w:footnoteRef/>
      </w:r>
      <w:r w:rsidRPr="00F12EAF">
        <w:rPr>
          <w:rFonts w:ascii="Verdana" w:hAnsi="Verdana" w:cs="Arial"/>
          <w:color w:val="000000" w:themeColor="text1"/>
          <w:sz w:val="16"/>
          <w:szCs w:val="16"/>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B41C9FF"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w:t>
      </w:r>
    </w:p>
    <w:p w14:paraId="75EEFE52"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C9F82F4" w14:textId="77777777" w:rsidR="00BE6CC7" w:rsidRPr="00F12EAF" w:rsidRDefault="00BE6CC7" w:rsidP="00BE6CC7">
      <w:pPr>
        <w:pStyle w:val="Textonotapie"/>
        <w:ind w:firstLine="708"/>
        <w:contextualSpacing/>
        <w:jc w:val="both"/>
        <w:rPr>
          <w:rFonts w:ascii="Verdana" w:hAnsi="Verdana" w:cs="Arial"/>
          <w:color w:val="000000" w:themeColor="text1"/>
          <w:sz w:val="16"/>
          <w:szCs w:val="16"/>
          <w:lang w:val="es-ES"/>
        </w:rPr>
      </w:pPr>
      <w:r w:rsidRPr="00F12EAF">
        <w:rPr>
          <w:rFonts w:ascii="Verdana" w:hAnsi="Verdana" w:cs="Arial"/>
          <w:color w:val="000000" w:themeColor="text1"/>
          <w:sz w:val="16"/>
          <w:szCs w:val="16"/>
        </w:rPr>
        <w:t>[...]”.</w:t>
      </w:r>
    </w:p>
  </w:footnote>
  <w:footnote w:id="3">
    <w:p w14:paraId="3E6FAB86" w14:textId="77777777" w:rsidR="00BE6CC7" w:rsidRPr="00F12EAF" w:rsidRDefault="00BE6CC7" w:rsidP="00BE6CC7">
      <w:pPr>
        <w:pStyle w:val="Textonotapie"/>
        <w:ind w:firstLine="708"/>
        <w:contextualSpacing/>
        <w:jc w:val="both"/>
        <w:rPr>
          <w:rFonts w:ascii="Verdana" w:hAnsi="Verdana" w:cs="Arial"/>
          <w:color w:val="000000" w:themeColor="text1"/>
          <w:sz w:val="16"/>
          <w:szCs w:val="16"/>
          <w:lang w:val="es-ES"/>
        </w:rPr>
      </w:pPr>
      <w:r w:rsidRPr="00F12EAF">
        <w:rPr>
          <w:rStyle w:val="Refdenotaalpie"/>
          <w:rFonts w:ascii="Verdana" w:hAnsi="Verdana" w:cs="Arial"/>
          <w:color w:val="000000" w:themeColor="text1"/>
          <w:sz w:val="16"/>
          <w:szCs w:val="16"/>
        </w:rPr>
        <w:footnoteRef/>
      </w:r>
      <w:r w:rsidRPr="00F12EAF">
        <w:rPr>
          <w:rFonts w:ascii="Verdana" w:hAnsi="Verdana" w:cs="Arial"/>
          <w:color w:val="000000" w:themeColor="text1"/>
          <w:sz w:val="16"/>
          <w:szCs w:val="16"/>
        </w:rPr>
        <w:t xml:space="preserve"> CORTE CONSTITUCIONAL. Sentencia C-128 de 2003. 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footnote>
  <w:footnote w:id="4">
    <w:p w14:paraId="5D140846" w14:textId="77777777" w:rsidR="00BE6CC7" w:rsidRPr="00F12EAF" w:rsidRDefault="00BE6CC7" w:rsidP="00BE6CC7">
      <w:pPr>
        <w:pStyle w:val="Textonotapie"/>
        <w:ind w:firstLine="708"/>
        <w:contextualSpacing/>
        <w:jc w:val="both"/>
        <w:rPr>
          <w:rFonts w:ascii="Verdana" w:hAnsi="Verdana" w:cs="Arial"/>
          <w:color w:val="000000" w:themeColor="text1"/>
          <w:sz w:val="16"/>
          <w:szCs w:val="16"/>
          <w:lang w:val="es-ES"/>
        </w:rPr>
      </w:pPr>
      <w:r w:rsidRPr="00F12EAF">
        <w:rPr>
          <w:rStyle w:val="Refdenotaalpie"/>
          <w:rFonts w:ascii="Verdana" w:hAnsi="Verdana" w:cs="Arial"/>
          <w:color w:val="000000" w:themeColor="text1"/>
          <w:sz w:val="16"/>
          <w:szCs w:val="16"/>
        </w:rPr>
        <w:footnoteRef/>
      </w:r>
      <w:r w:rsidRPr="00F12EAF">
        <w:rPr>
          <w:rFonts w:ascii="Verdana" w:hAnsi="Verdana" w:cs="Arial"/>
          <w:color w:val="000000" w:themeColor="text1"/>
          <w:sz w:val="16"/>
          <w:szCs w:val="16"/>
        </w:rPr>
        <w:t xml:space="preserve"> CONSEJO DE ESTADO. Sección Tercera. Sentencia del 11 de noviembre de 2009. </w:t>
      </w:r>
      <w:proofErr w:type="spellStart"/>
      <w:r w:rsidRPr="00F12EAF">
        <w:rPr>
          <w:rFonts w:ascii="Verdana" w:hAnsi="Verdana" w:cs="Arial"/>
          <w:color w:val="000000" w:themeColor="text1"/>
          <w:sz w:val="16"/>
          <w:szCs w:val="16"/>
        </w:rPr>
        <w:t>Exp</w:t>
      </w:r>
      <w:proofErr w:type="spellEnd"/>
      <w:r w:rsidRPr="00F12EAF">
        <w:rPr>
          <w:rFonts w:ascii="Verdana" w:hAnsi="Verdana" w:cs="Arial"/>
          <w:color w:val="000000" w:themeColor="text1"/>
          <w:sz w:val="16"/>
          <w:szCs w:val="16"/>
        </w:rPr>
        <w:t xml:space="preserve">. 17.366. C.P. Mauricio Fajardo </w:t>
      </w:r>
      <w:proofErr w:type="spellStart"/>
      <w:r w:rsidRPr="00F12EAF">
        <w:rPr>
          <w:rFonts w:ascii="Verdana" w:hAnsi="Verdana" w:cs="Arial"/>
          <w:color w:val="000000" w:themeColor="text1"/>
          <w:sz w:val="16"/>
          <w:szCs w:val="16"/>
        </w:rPr>
        <w:t>Gomez</w:t>
      </w:r>
      <w:proofErr w:type="spellEnd"/>
      <w:r w:rsidRPr="00F12EAF">
        <w:rPr>
          <w:rFonts w:ascii="Verdana" w:hAnsi="Verdana" w:cs="Arial"/>
          <w:color w:val="000000" w:themeColor="text1"/>
          <w:sz w:val="16"/>
          <w:szCs w:val="16"/>
        </w:rPr>
        <w:t>.</w:t>
      </w:r>
    </w:p>
  </w:footnote>
  <w:footnote w:id="5">
    <w:p w14:paraId="648E420A"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Style w:val="Refdenotaalpie"/>
          <w:rFonts w:ascii="Verdana" w:hAnsi="Verdana" w:cs="Arial"/>
          <w:color w:val="000000" w:themeColor="text1"/>
          <w:sz w:val="16"/>
          <w:szCs w:val="16"/>
        </w:rPr>
        <w:footnoteRef/>
      </w:r>
      <w:r w:rsidRPr="00F12EAF">
        <w:rPr>
          <w:rFonts w:ascii="Verdana" w:hAnsi="Verdana" w:cs="Arial"/>
          <w:color w:val="000000" w:themeColor="text1"/>
          <w:sz w:val="16"/>
          <w:szCs w:val="16"/>
        </w:rPr>
        <w:t xml:space="preserve"> CONSEJO DE ESTADO. Sección Tercera. Sentencia del 24 de julio de 2013. </w:t>
      </w:r>
      <w:proofErr w:type="spellStart"/>
      <w:r w:rsidRPr="00F12EAF">
        <w:rPr>
          <w:rFonts w:ascii="Verdana" w:hAnsi="Verdana" w:cs="Arial"/>
          <w:color w:val="000000" w:themeColor="text1"/>
          <w:sz w:val="16"/>
          <w:szCs w:val="16"/>
        </w:rPr>
        <w:t>Exp</w:t>
      </w:r>
      <w:proofErr w:type="spellEnd"/>
      <w:r w:rsidRPr="00F12EAF">
        <w:rPr>
          <w:rFonts w:ascii="Verdana" w:hAnsi="Verdana" w:cs="Arial"/>
          <w:color w:val="000000" w:themeColor="text1"/>
          <w:sz w:val="16"/>
          <w:szCs w:val="16"/>
        </w:rPr>
        <w:t>.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6">
    <w:p w14:paraId="408866F4"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Style w:val="Refdenotaalpie"/>
          <w:rFonts w:ascii="Verdana" w:hAnsi="Verdana" w:cs="Arial"/>
          <w:color w:val="000000" w:themeColor="text1"/>
          <w:sz w:val="16"/>
          <w:szCs w:val="16"/>
        </w:rPr>
        <w:footnoteRef/>
      </w:r>
      <w:r w:rsidRPr="00F12EAF">
        <w:rPr>
          <w:rFonts w:ascii="Verdana" w:hAnsi="Verdana" w:cs="Arial"/>
          <w:color w:val="000000" w:themeColor="text1"/>
          <w:sz w:val="16"/>
          <w:szCs w:val="16"/>
        </w:rPr>
        <w:t xml:space="preserve"> DECRETO 1082 DE 2015: “Artículo 2.2.1.1.2.1.3. Pliegos de condiciones. Los pliegos de condiciones deben contener por lo menos la siguiente información:</w:t>
      </w:r>
    </w:p>
    <w:p w14:paraId="4BE27901"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F12EAF">
        <w:rPr>
          <w:rFonts w:ascii="Verdana" w:hAnsi="Verdana" w:cs="Arial"/>
          <w:color w:val="000000" w:themeColor="text1"/>
          <w:sz w:val="16"/>
          <w:szCs w:val="16"/>
        </w:rPr>
        <w:t>del mismo</w:t>
      </w:r>
      <w:proofErr w:type="gramEnd"/>
      <w:r w:rsidRPr="00F12EAF">
        <w:rPr>
          <w:rFonts w:ascii="Verdana" w:hAnsi="Verdana" w:cs="Arial"/>
          <w:color w:val="000000" w:themeColor="text1"/>
          <w:sz w:val="16"/>
          <w:szCs w:val="16"/>
        </w:rPr>
        <w:t>.</w:t>
      </w:r>
    </w:p>
    <w:p w14:paraId="4A48F773"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2. La modalidad del proceso de selección y su justificación.</w:t>
      </w:r>
    </w:p>
    <w:p w14:paraId="6C49D9AE"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3. Los criterios de selección, incluyendo los factores de desempate y los incentivos cuando a ello haya lugar.</w:t>
      </w:r>
    </w:p>
    <w:p w14:paraId="6830DF6B"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4. Las condiciones de costo y/o calidad que la Entidad Estatal debe tener en cuenta para la selección objetiva, de acuerdo con la modalidad de selección del contratista.</w:t>
      </w:r>
    </w:p>
    <w:p w14:paraId="35F80BC6"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5. Las reglas aplicables a la presentación de las ofertas, su evaluación y a la adjudicación del contrato.</w:t>
      </w:r>
    </w:p>
    <w:p w14:paraId="07E88718"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6. Las causas que dan lugar a rechazar una oferta.</w:t>
      </w:r>
    </w:p>
    <w:p w14:paraId="7E93673A"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7. El valor del contrato, el plazo, el cronograma de pagos y la determinación de si debe haber lugar a la entrega de anticipo, y si hubiere, indicar su valor, el cual debe tener en cuenta los rendimientos que este pueda generar.</w:t>
      </w:r>
    </w:p>
    <w:p w14:paraId="77EC0F28"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8. Los Riesgos asociados al contrato, la forma de mitigarlos y la asignación del Riesgo entre las partes contratantes.</w:t>
      </w:r>
    </w:p>
    <w:p w14:paraId="360E71BC"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9. Las garantías exigidas en el Proceso de Contratación y sus condiciones.</w:t>
      </w:r>
    </w:p>
    <w:p w14:paraId="632E0B0B"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10. La mención de si la Entidad Estatal y el contrato objeto de los pliegos de condiciones están cubiertos por un Acuerdo Comercial.</w:t>
      </w:r>
    </w:p>
    <w:p w14:paraId="786A855A"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11. Los términos, condiciones y minuta del contrato.</w:t>
      </w:r>
    </w:p>
    <w:p w14:paraId="298ABE2A"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12. Los términos de la supervisión y/o de la interventoría del contrato.</w:t>
      </w:r>
    </w:p>
    <w:p w14:paraId="4AAE1D76"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13. El plazo dentro del cual la Entidad Estatal puede expedir Adendas.</w:t>
      </w:r>
    </w:p>
    <w:p w14:paraId="14AD074B" w14:textId="77777777" w:rsidR="00BE6CC7" w:rsidRPr="00F12EAF" w:rsidRDefault="00BE6CC7" w:rsidP="00BE6CC7">
      <w:pPr>
        <w:pStyle w:val="Textonotapie"/>
        <w:ind w:firstLine="708"/>
        <w:contextualSpacing/>
        <w:jc w:val="both"/>
        <w:rPr>
          <w:rFonts w:ascii="Verdana" w:hAnsi="Verdana" w:cs="Arial"/>
          <w:color w:val="000000" w:themeColor="text1"/>
          <w:sz w:val="16"/>
          <w:szCs w:val="16"/>
        </w:rPr>
      </w:pPr>
      <w:r w:rsidRPr="00F12EAF">
        <w:rPr>
          <w:rFonts w:ascii="Verdana" w:hAnsi="Verdana" w:cs="Arial"/>
          <w:color w:val="000000" w:themeColor="text1"/>
          <w:sz w:val="16"/>
          <w:szCs w:val="16"/>
        </w:rPr>
        <w:t>14. El Cronograma”.</w:t>
      </w:r>
    </w:p>
  </w:footnote>
  <w:footnote w:id="7">
    <w:p w14:paraId="4CFD9067" w14:textId="77777777" w:rsidR="00BE6CC7" w:rsidRPr="00F12EAF" w:rsidRDefault="00BE6CC7" w:rsidP="00BE6CC7">
      <w:pPr>
        <w:pStyle w:val="Textonotapie"/>
        <w:ind w:firstLine="708"/>
        <w:contextualSpacing/>
        <w:jc w:val="both"/>
        <w:rPr>
          <w:rFonts w:ascii="Verdana" w:hAnsi="Verdana" w:cs="Arial"/>
          <w:sz w:val="16"/>
          <w:szCs w:val="16"/>
        </w:rPr>
      </w:pPr>
      <w:r w:rsidRPr="00F12EAF">
        <w:rPr>
          <w:rStyle w:val="Refdenotaalpie"/>
          <w:rFonts w:ascii="Verdana" w:hAnsi="Verdana" w:cs="Arial"/>
          <w:sz w:val="16"/>
          <w:szCs w:val="16"/>
        </w:rPr>
        <w:footnoteRef/>
      </w:r>
      <w:r w:rsidRPr="00F12EAF">
        <w:rPr>
          <w:rFonts w:ascii="Verdana" w:hAnsi="Verdana" w:cs="Arial"/>
          <w:sz w:val="16"/>
          <w:szCs w:val="16"/>
        </w:rPr>
        <w:t xml:space="preserve"> GONZÁLEZ LÓPEZ, Edgar</w:t>
      </w:r>
      <w:r w:rsidRPr="00F12EAF">
        <w:rPr>
          <w:rFonts w:ascii="Verdana" w:hAnsi="Verdana" w:cs="Arial"/>
          <w:i/>
          <w:iCs/>
          <w:sz w:val="16"/>
          <w:szCs w:val="16"/>
        </w:rPr>
        <w:t xml:space="preserve">. </w:t>
      </w:r>
      <w:r w:rsidRPr="00F12EAF">
        <w:rPr>
          <w:rFonts w:ascii="Verdana" w:hAnsi="Verdana" w:cs="Arial"/>
          <w:sz w:val="16"/>
          <w:szCs w:val="16"/>
        </w:rPr>
        <w:t xml:space="preserve">El pliego de condiciones en la contratación. La reforma consagrada en la Ley 1150 de 2007 y sus decretos reglamentarios. Universidad Externado de Colombia. Primera edición, 2010, pp. 64.  </w:t>
      </w:r>
    </w:p>
  </w:footnote>
  <w:footnote w:id="8">
    <w:p w14:paraId="36999630" w14:textId="77777777" w:rsidR="00BE6CC7" w:rsidRPr="00F12EAF" w:rsidRDefault="00BE6CC7" w:rsidP="00BE6CC7">
      <w:pPr>
        <w:pStyle w:val="Textonotapie"/>
        <w:ind w:firstLine="708"/>
        <w:contextualSpacing/>
        <w:jc w:val="both"/>
        <w:rPr>
          <w:rFonts w:ascii="Verdana" w:hAnsi="Verdana"/>
          <w:sz w:val="16"/>
          <w:szCs w:val="16"/>
        </w:rPr>
      </w:pPr>
      <w:r w:rsidRPr="00F12EAF">
        <w:rPr>
          <w:rStyle w:val="Refdenotaalpie"/>
          <w:rFonts w:ascii="Verdana" w:hAnsi="Verdana"/>
          <w:sz w:val="16"/>
          <w:szCs w:val="16"/>
        </w:rPr>
        <w:footnoteRef/>
      </w:r>
      <w:r w:rsidRPr="00F12EAF">
        <w:rPr>
          <w:rFonts w:ascii="Verdana" w:hAnsi="Verdana"/>
          <w:sz w:val="16"/>
          <w:szCs w:val="16"/>
        </w:rPr>
        <w:t xml:space="preserve"> CONSEJO DE ESTADO, Sala de lo Contencioso Administrativo, Sección Tercera, sentencias del 1 de junio de 2022, radicado 60248; 29 de julio de 2015, radicado 40660; y, del 26 de abril de 2006, radicado 16041.</w:t>
      </w:r>
    </w:p>
  </w:footnote>
  <w:footnote w:id="9">
    <w:p w14:paraId="3D236FF4" w14:textId="77777777" w:rsidR="00BE6CC7" w:rsidRPr="00F12EAF" w:rsidRDefault="00BE6CC7" w:rsidP="00BE6CC7">
      <w:pPr>
        <w:pStyle w:val="Textonotapie"/>
        <w:ind w:firstLine="708"/>
        <w:contextualSpacing/>
        <w:jc w:val="both"/>
        <w:rPr>
          <w:rFonts w:ascii="Verdana" w:hAnsi="Verdana"/>
          <w:sz w:val="16"/>
          <w:szCs w:val="16"/>
        </w:rPr>
      </w:pPr>
      <w:r w:rsidRPr="00F12EAF">
        <w:rPr>
          <w:rStyle w:val="Refdenotaalpie"/>
          <w:rFonts w:ascii="Verdana" w:hAnsi="Verdana"/>
          <w:sz w:val="16"/>
          <w:szCs w:val="16"/>
        </w:rPr>
        <w:footnoteRef/>
      </w:r>
      <w:r w:rsidRPr="00F12EAF">
        <w:rPr>
          <w:rFonts w:ascii="Verdana" w:hAnsi="Verdana"/>
          <w:sz w:val="16"/>
          <w:szCs w:val="16"/>
        </w:rPr>
        <w:t xml:space="preserve"> CONSEJO DE ESTADO, Sala de lo Contencioso Administrativo, Sección Tercera, sentencias del 1 de junio de 2022, radicado 60248 y del 2 de julio de 2021, radicado 51910.</w:t>
      </w:r>
    </w:p>
  </w:footnote>
  <w:footnote w:id="10">
    <w:p w14:paraId="138AA62E" w14:textId="77777777" w:rsidR="00BE6CC7" w:rsidRPr="00F12EAF" w:rsidRDefault="00BE6CC7" w:rsidP="00BE6CC7">
      <w:pPr>
        <w:pStyle w:val="Textonotapie"/>
        <w:ind w:firstLine="708"/>
        <w:contextualSpacing/>
        <w:jc w:val="both"/>
        <w:rPr>
          <w:rFonts w:ascii="Verdana" w:hAnsi="Verdana" w:cs="Arial"/>
          <w:sz w:val="16"/>
          <w:szCs w:val="16"/>
        </w:rPr>
      </w:pPr>
      <w:r w:rsidRPr="00F12EAF">
        <w:rPr>
          <w:rStyle w:val="Refdenotaalpie"/>
          <w:rFonts w:ascii="Verdana" w:hAnsi="Verdana" w:cs="Arial"/>
          <w:sz w:val="16"/>
          <w:szCs w:val="16"/>
        </w:rPr>
        <w:footnoteRef/>
      </w:r>
      <w:r w:rsidRPr="00F12EAF">
        <w:rPr>
          <w:rFonts w:ascii="Verdana" w:hAnsi="Verdana" w:cs="Arial"/>
          <w:sz w:val="16"/>
          <w:szCs w:val="16"/>
        </w:rPr>
        <w:t xml:space="preserve"> SANTOFIMIO GAMBÓA, Jaime Orlando. Compendio de Derecho Administrativo. Editorial Universidad Externado de Colombia. Págs. 672-673. Bogotá, 2017.</w:t>
      </w:r>
    </w:p>
  </w:footnote>
  <w:footnote w:id="11">
    <w:p w14:paraId="4915F193" w14:textId="77777777" w:rsidR="00BE6CC7" w:rsidRPr="00F12EAF" w:rsidRDefault="00BE6CC7" w:rsidP="00BE6CC7">
      <w:pPr>
        <w:pStyle w:val="Textonotapie"/>
        <w:ind w:firstLine="708"/>
        <w:contextualSpacing/>
        <w:jc w:val="both"/>
        <w:rPr>
          <w:rFonts w:ascii="Verdana" w:hAnsi="Verdana" w:cs="Arial"/>
          <w:sz w:val="16"/>
          <w:szCs w:val="16"/>
        </w:rPr>
      </w:pPr>
      <w:r w:rsidRPr="00F12EAF">
        <w:rPr>
          <w:rStyle w:val="Refdenotaalpie"/>
          <w:rFonts w:ascii="Verdana" w:hAnsi="Verdana" w:cs="Arial"/>
          <w:sz w:val="16"/>
          <w:szCs w:val="16"/>
        </w:rPr>
        <w:footnoteRef/>
      </w:r>
      <w:r w:rsidRPr="00F12EAF">
        <w:rPr>
          <w:rFonts w:ascii="Verdana" w:hAnsi="Verdana" w:cs="Arial"/>
          <w:sz w:val="16"/>
          <w:szCs w:val="16"/>
        </w:rPr>
        <w:t xml:space="preserve"> Agencia Nacional de Contratación Pública – Colombia Compra Eficiente. Concepto </w:t>
      </w:r>
      <w:r w:rsidRPr="00F12EAF">
        <w:rPr>
          <w:rFonts w:ascii="Verdana" w:hAnsi="Verdana" w:cs="Arial"/>
          <w:bCs/>
          <w:color w:val="000000"/>
          <w:sz w:val="16"/>
          <w:szCs w:val="16"/>
          <w:lang w:val="es-ES"/>
        </w:rPr>
        <w:t>C-030 de 2022</w:t>
      </w:r>
      <w:r w:rsidRPr="00F12EAF">
        <w:rPr>
          <w:rFonts w:ascii="Verdana" w:hAnsi="Verdana" w:cs="Arial"/>
          <w:sz w:val="16"/>
          <w:szCs w:val="16"/>
        </w:rPr>
        <w:t>.</w:t>
      </w:r>
    </w:p>
  </w:footnote>
  <w:footnote w:id="12">
    <w:p w14:paraId="69E17D73" w14:textId="77777777" w:rsidR="00BE6CC7" w:rsidRPr="00F12EAF" w:rsidRDefault="00BE6CC7" w:rsidP="00BE6CC7">
      <w:pPr>
        <w:pStyle w:val="Textonotapie"/>
        <w:ind w:firstLine="709"/>
        <w:contextualSpacing/>
        <w:jc w:val="both"/>
        <w:rPr>
          <w:rFonts w:ascii="Verdana" w:hAnsi="Verdana" w:cs="Arial"/>
          <w:sz w:val="16"/>
          <w:szCs w:val="16"/>
        </w:rPr>
      </w:pPr>
      <w:r w:rsidRPr="00F12EAF">
        <w:rPr>
          <w:rStyle w:val="Refdenotaalpie"/>
          <w:rFonts w:ascii="Verdana" w:hAnsi="Verdana" w:cs="Arial"/>
          <w:sz w:val="16"/>
          <w:szCs w:val="16"/>
        </w:rPr>
        <w:footnoteRef/>
      </w:r>
      <w:r w:rsidRPr="00F12EAF">
        <w:rPr>
          <w:rFonts w:ascii="Verdana" w:hAnsi="Verdana" w:cs="Arial"/>
          <w:sz w:val="16"/>
          <w:szCs w:val="16"/>
        </w:rPr>
        <w:t xml:space="preserve"> Decreto 1082 de 2015: “Artículo 2.2.1.1.1.7.1. Publicidad en el </w:t>
      </w:r>
      <w:proofErr w:type="spellStart"/>
      <w:r w:rsidRPr="00F12EAF">
        <w:rPr>
          <w:rFonts w:ascii="Verdana" w:hAnsi="Verdana" w:cs="Arial"/>
          <w:sz w:val="16"/>
          <w:szCs w:val="16"/>
        </w:rPr>
        <w:t>Secop</w:t>
      </w:r>
      <w:proofErr w:type="spellEnd"/>
      <w:r w:rsidRPr="00F12EAF">
        <w:rPr>
          <w:rFonts w:ascii="Verdana" w:hAnsi="Verdana" w:cs="Arial"/>
          <w:sz w:val="16"/>
          <w:szCs w:val="16"/>
        </w:rPr>
        <w:t xml:space="preserve">. La Entidad Estatal está obligada a publicar en el </w:t>
      </w:r>
      <w:proofErr w:type="spellStart"/>
      <w:r w:rsidRPr="00F12EAF">
        <w:rPr>
          <w:rFonts w:ascii="Verdana" w:hAnsi="Verdana" w:cs="Arial"/>
          <w:sz w:val="16"/>
          <w:szCs w:val="16"/>
        </w:rPr>
        <w:t>Secop</w:t>
      </w:r>
      <w:proofErr w:type="spellEnd"/>
      <w:r w:rsidRPr="00F12EAF">
        <w:rPr>
          <w:rFonts w:ascii="Verdana" w:hAnsi="Verdana" w:cs="Arial"/>
          <w:sz w:val="16"/>
          <w:szCs w:val="16"/>
        </w:rPr>
        <w:t xml:space="preserve">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w:t>
      </w:r>
      <w:proofErr w:type="spellStart"/>
      <w:r w:rsidRPr="00F12EAF">
        <w:rPr>
          <w:rFonts w:ascii="Verdana" w:hAnsi="Verdana" w:cs="Arial"/>
          <w:sz w:val="16"/>
          <w:szCs w:val="16"/>
        </w:rPr>
        <w:t>Secop</w:t>
      </w:r>
      <w:proofErr w:type="spellEnd"/>
      <w:r w:rsidRPr="00F12EAF">
        <w:rPr>
          <w:rFonts w:ascii="Verdana" w:hAnsi="Verdana" w:cs="Arial"/>
          <w:sz w:val="16"/>
          <w:szCs w:val="16"/>
        </w:rPr>
        <w:t xml:space="preserve">. </w:t>
      </w:r>
    </w:p>
    <w:p w14:paraId="0A9697F2" w14:textId="77777777" w:rsidR="00BE6CC7" w:rsidRPr="00F12EAF" w:rsidRDefault="00BE6CC7" w:rsidP="00BE6CC7">
      <w:pPr>
        <w:pStyle w:val="Textonotapie"/>
        <w:ind w:firstLine="708"/>
        <w:contextualSpacing/>
        <w:jc w:val="both"/>
        <w:rPr>
          <w:rFonts w:ascii="Verdana" w:hAnsi="Verdana" w:cs="Arial"/>
          <w:sz w:val="16"/>
          <w:szCs w:val="16"/>
        </w:rPr>
      </w:pPr>
      <w:r w:rsidRPr="00F12EAF">
        <w:rPr>
          <w:rFonts w:ascii="Verdana" w:hAnsi="Verdana" w:cs="Arial"/>
          <w:sz w:val="16"/>
          <w:szCs w:val="16"/>
        </w:rPr>
        <w:t xml:space="preserve">La Entidad Estatal está obligada a publicar oportunamente el aviso de convocatoria o la invitación en los Procesos de Contratación de mínima cuantía y el proyecto de pliegos de condiciones en el </w:t>
      </w:r>
      <w:proofErr w:type="spellStart"/>
      <w:r w:rsidRPr="00F12EAF">
        <w:rPr>
          <w:rFonts w:ascii="Verdana" w:hAnsi="Verdana" w:cs="Arial"/>
          <w:sz w:val="16"/>
          <w:szCs w:val="16"/>
        </w:rPr>
        <w:t>Secop</w:t>
      </w:r>
      <w:proofErr w:type="spellEnd"/>
      <w:r w:rsidRPr="00F12EAF">
        <w:rPr>
          <w:rFonts w:ascii="Verdana" w:hAnsi="Verdana" w:cs="Arial"/>
          <w:sz w:val="16"/>
          <w:szCs w:val="16"/>
        </w:rPr>
        <w:t xml:space="preserve"> para que los interesados en el Proceso de Contratación puedan presentar observaciones o solicitar aclaraciones en el término previsto para el efecto en el artículo 2.2.1.1.2.1.4 del presente decreto”.  </w:t>
      </w:r>
    </w:p>
  </w:footnote>
  <w:footnote w:id="13">
    <w:p w14:paraId="4E4FD95C" w14:textId="77777777" w:rsidR="00BE6CC7" w:rsidRPr="00F12EAF" w:rsidRDefault="00BE6CC7" w:rsidP="00BE6CC7">
      <w:pPr>
        <w:pStyle w:val="Textonotapie"/>
        <w:ind w:firstLine="708"/>
        <w:contextualSpacing/>
        <w:jc w:val="both"/>
        <w:rPr>
          <w:rFonts w:ascii="Verdana" w:hAnsi="Verdana" w:cs="Arial"/>
          <w:sz w:val="16"/>
          <w:szCs w:val="16"/>
        </w:rPr>
      </w:pPr>
      <w:r w:rsidRPr="00F12EAF">
        <w:rPr>
          <w:rStyle w:val="Refdenotaalpie"/>
          <w:rFonts w:ascii="Verdana" w:hAnsi="Verdana" w:cs="Arial"/>
          <w:sz w:val="16"/>
          <w:szCs w:val="16"/>
        </w:rPr>
        <w:footnoteRef/>
      </w:r>
      <w:r w:rsidRPr="00F12EAF">
        <w:rPr>
          <w:rFonts w:ascii="Verdana" w:hAnsi="Verdana" w:cs="Arial"/>
          <w:sz w:val="16"/>
          <w:szCs w:val="16"/>
        </w:rPr>
        <w:t xml:space="preserve"> Ley 1150 de 2007, artículo 5, parágrafo 1: </w:t>
      </w:r>
      <w:r w:rsidRPr="00F12EAF">
        <w:rPr>
          <w:rFonts w:ascii="Verdana" w:hAnsi="Verdana" w:cs="Arial"/>
          <w:sz w:val="16"/>
          <w:szCs w:val="16"/>
          <w:lang w:val="es-CO"/>
        </w:rPr>
        <w:t>“</w:t>
      </w:r>
      <w:r w:rsidRPr="00F12EAF">
        <w:rPr>
          <w:rFonts w:ascii="Verdana" w:hAnsi="Verdana" w:cs="Arial"/>
          <w:sz w:val="16"/>
          <w:szCs w:val="16"/>
        </w:rPr>
        <w:t xml:space="preserve">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F12EAF">
        <w:rPr>
          <w:rFonts w:ascii="Verdana" w:hAnsi="Verdana" w:cs="Arial"/>
          <w:sz w:val="16"/>
          <w:szCs w:val="16"/>
        </w:rPr>
        <w:t>puntaje,</w:t>
      </w:r>
      <w:proofErr w:type="gramEnd"/>
      <w:r w:rsidRPr="00F12EAF">
        <w:rPr>
          <w:rFonts w:ascii="Verdana" w:hAnsi="Verdana" w:cs="Arial"/>
          <w:sz w:val="16"/>
          <w:szCs w:val="16"/>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8526BF8" w14:textId="77777777" w:rsidR="00BE6CC7" w:rsidRPr="00F12EAF" w:rsidRDefault="00BE6CC7" w:rsidP="00BE6CC7">
      <w:pPr>
        <w:pStyle w:val="Textonotapie"/>
        <w:ind w:firstLine="708"/>
        <w:contextualSpacing/>
        <w:jc w:val="both"/>
        <w:rPr>
          <w:rFonts w:ascii="Verdana" w:hAnsi="Verdana" w:cs="Arial"/>
          <w:sz w:val="16"/>
          <w:szCs w:val="16"/>
        </w:rPr>
      </w:pPr>
      <w:r w:rsidRPr="00F12EAF">
        <w:rPr>
          <w:rFonts w:ascii="Verdana" w:hAnsi="Verdana" w:cs="Arial"/>
          <w:sz w:val="16"/>
          <w:szCs w:val="16"/>
        </w:rPr>
        <w:t>Durante el término otorgado para subsanar las ofertas, los proponentes no podrán acreditar circunstancias ocurridas con posterioridad al cierre del proceso”.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35pt;height:11.35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0140246">
    <w:abstractNumId w:val="0"/>
  </w:num>
  <w:num w:numId="17" w16cid:durableId="784039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3328"/>
    <w:rsid w:val="000F2C1B"/>
    <w:rsid w:val="000F6486"/>
    <w:rsid w:val="00125105"/>
    <w:rsid w:val="00127233"/>
    <w:rsid w:val="001457B3"/>
    <w:rsid w:val="001511A0"/>
    <w:rsid w:val="001E4177"/>
    <w:rsid w:val="001F7DC6"/>
    <w:rsid w:val="00205F7D"/>
    <w:rsid w:val="002421BB"/>
    <w:rsid w:val="0025796E"/>
    <w:rsid w:val="002707A2"/>
    <w:rsid w:val="002951A0"/>
    <w:rsid w:val="002962BC"/>
    <w:rsid w:val="002A093D"/>
    <w:rsid w:val="002A0DD0"/>
    <w:rsid w:val="002A49AC"/>
    <w:rsid w:val="002A64FD"/>
    <w:rsid w:val="002B0D1C"/>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3213E"/>
    <w:rsid w:val="0044528D"/>
    <w:rsid w:val="004A1847"/>
    <w:rsid w:val="004A305D"/>
    <w:rsid w:val="004D722A"/>
    <w:rsid w:val="004F21C4"/>
    <w:rsid w:val="004F685F"/>
    <w:rsid w:val="005566E8"/>
    <w:rsid w:val="00574867"/>
    <w:rsid w:val="00591460"/>
    <w:rsid w:val="005B3816"/>
    <w:rsid w:val="005C3777"/>
    <w:rsid w:val="005C5CDC"/>
    <w:rsid w:val="005D476C"/>
    <w:rsid w:val="006219F8"/>
    <w:rsid w:val="00665D70"/>
    <w:rsid w:val="006900D9"/>
    <w:rsid w:val="006B5EC6"/>
    <w:rsid w:val="00706C16"/>
    <w:rsid w:val="00756841"/>
    <w:rsid w:val="007649AB"/>
    <w:rsid w:val="00771D0C"/>
    <w:rsid w:val="007833AC"/>
    <w:rsid w:val="007B268C"/>
    <w:rsid w:val="007B7171"/>
    <w:rsid w:val="007C0C0F"/>
    <w:rsid w:val="007C3DC2"/>
    <w:rsid w:val="007E5497"/>
    <w:rsid w:val="00806F5F"/>
    <w:rsid w:val="00820278"/>
    <w:rsid w:val="008233A2"/>
    <w:rsid w:val="00867F95"/>
    <w:rsid w:val="008843B6"/>
    <w:rsid w:val="00891928"/>
    <w:rsid w:val="008A446D"/>
    <w:rsid w:val="008D180B"/>
    <w:rsid w:val="008F0EA7"/>
    <w:rsid w:val="008F4DAB"/>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3DCC"/>
    <w:rsid w:val="00AB0ADB"/>
    <w:rsid w:val="00B01B1A"/>
    <w:rsid w:val="00B66319"/>
    <w:rsid w:val="00B72CD3"/>
    <w:rsid w:val="00B72FFF"/>
    <w:rsid w:val="00BC3D36"/>
    <w:rsid w:val="00BD7F72"/>
    <w:rsid w:val="00BE6CC7"/>
    <w:rsid w:val="00C04FB3"/>
    <w:rsid w:val="00C32C4B"/>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0B7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E6CC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E6CC7"/>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 ds:uri="36c82cfe-0eda-494d-b392-a9281b89aaf0"/>
    <ds:schemaRef ds:uri="http://schemas.openxmlformats.org/package/2006/metadata/core-properties"/>
    <ds:schemaRef ds:uri="8ae15d26-076e-464e-81a7-6f76a0fb3917"/>
    <ds:schemaRef ds:uri="http://purl.org/dc/terms/"/>
  </ds:schemaRefs>
</ds:datastoreItem>
</file>

<file path=customXml/itemProps3.xml><?xml version="1.0" encoding="utf-8"?>
<ds:datastoreItem xmlns:ds="http://schemas.openxmlformats.org/officeDocument/2006/customXml" ds:itemID="{0A46199A-FEF2-439D-89FC-3A52FBA7C95D}"/>
</file>

<file path=docProps/app.xml><?xml version="1.0" encoding="utf-8"?>
<Properties xmlns="http://schemas.openxmlformats.org/officeDocument/2006/extended-properties" xmlns:vt="http://schemas.openxmlformats.org/officeDocument/2006/docPropsVTypes">
  <Template>Normal</Template>
  <TotalTime>1</TotalTime>
  <Pages>14</Pages>
  <Words>4258</Words>
  <Characters>23425</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2024-12-31T03:45:00Z</dcterms:created>
  <dcterms:modified xsi:type="dcterms:W3CDTF">2024-12-31T03:45:00Z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