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A97A" w14:textId="77777777" w:rsidR="00841F3F" w:rsidRDefault="00841F3F" w:rsidP="00E245AB">
      <w:pPr>
        <w:spacing w:after="0"/>
        <w:rPr>
          <w:rFonts w:ascii="Verdana" w:hAnsi="Verdana"/>
        </w:rPr>
      </w:pPr>
      <w:bookmarkStart w:id="0" w:name="_Hlk143780582"/>
    </w:p>
    <w:p w14:paraId="7B20F815" w14:textId="77777777" w:rsidR="00841F3F" w:rsidRDefault="00841F3F" w:rsidP="00E245AB">
      <w:pPr>
        <w:spacing w:after="0"/>
        <w:rPr>
          <w:rFonts w:ascii="Verdana" w:hAnsi="Verdana"/>
        </w:rPr>
      </w:pPr>
    </w:p>
    <w:p w14:paraId="3ADA384A" w14:textId="77777777" w:rsidR="00841F3F" w:rsidRPr="00F252D7" w:rsidRDefault="00841F3F" w:rsidP="00841F3F">
      <w:pPr>
        <w:spacing w:after="0" w:line="240" w:lineRule="auto"/>
        <w:contextualSpacing/>
        <w:jc w:val="both"/>
        <w:rPr>
          <w:rFonts w:ascii="Verdana" w:eastAsia="Calibri" w:hAnsi="Verdana" w:cs="Arial"/>
          <w:b/>
          <w:noProof/>
          <w:lang w:val="es-ES_tradnl" w:eastAsia="es-ES_tradnl"/>
        </w:rPr>
      </w:pPr>
      <w:r w:rsidRPr="00F252D7">
        <w:rPr>
          <w:rFonts w:ascii="Verdana" w:eastAsia="Calibri" w:hAnsi="Verdana" w:cs="Arial"/>
          <w:b/>
          <w:noProof/>
          <w:lang w:val="es-ES_tradnl" w:eastAsia="es-ES_tradnl"/>
        </w:rPr>
        <w:t xml:space="preserve">PLANEACIÓN CONTRACTUAL – Noción </w:t>
      </w:r>
    </w:p>
    <w:p w14:paraId="60AE2FB2" w14:textId="77777777" w:rsidR="00841F3F" w:rsidRPr="00F252D7" w:rsidRDefault="00841F3F" w:rsidP="00841F3F">
      <w:pPr>
        <w:spacing w:after="0" w:line="240" w:lineRule="auto"/>
        <w:contextualSpacing/>
        <w:jc w:val="both"/>
        <w:rPr>
          <w:rFonts w:ascii="Verdana" w:eastAsia="Calibri" w:hAnsi="Verdana" w:cs="Arial"/>
          <w:b/>
          <w:noProof/>
          <w:sz w:val="20"/>
          <w:szCs w:val="20"/>
          <w:lang w:val="es-ES_tradnl" w:eastAsia="es-ES_tradnl"/>
        </w:rPr>
      </w:pPr>
    </w:p>
    <w:p w14:paraId="15689E14" w14:textId="77777777" w:rsidR="00841F3F" w:rsidRPr="00F252D7" w:rsidRDefault="00841F3F" w:rsidP="00841F3F">
      <w:pPr>
        <w:spacing w:after="0" w:line="240" w:lineRule="auto"/>
        <w:contextualSpacing/>
        <w:jc w:val="both"/>
        <w:rPr>
          <w:rFonts w:ascii="Verdana" w:eastAsia="Calibri" w:hAnsi="Verdana" w:cs="Arial"/>
          <w:bCs/>
          <w:sz w:val="20"/>
          <w:szCs w:val="20"/>
          <w:lang w:val="es-ES_tradnl" w:eastAsia="es-MX"/>
        </w:rPr>
      </w:pPr>
      <w:r w:rsidRPr="00F252D7">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698513A5" w14:textId="77777777" w:rsidR="00841F3F" w:rsidRPr="00F252D7" w:rsidRDefault="00841F3F" w:rsidP="00841F3F">
      <w:pPr>
        <w:spacing w:after="0" w:line="240" w:lineRule="auto"/>
        <w:contextualSpacing/>
        <w:jc w:val="both"/>
        <w:rPr>
          <w:rFonts w:ascii="Verdana" w:eastAsia="Times New Roman" w:hAnsi="Verdana" w:cs="Arial"/>
          <w:sz w:val="20"/>
          <w:szCs w:val="20"/>
          <w:lang w:val="es-ES_tradnl" w:eastAsia="es-MX"/>
        </w:rPr>
      </w:pPr>
    </w:p>
    <w:p w14:paraId="314F8B7E" w14:textId="77777777" w:rsidR="00841F3F" w:rsidRPr="00F252D7" w:rsidRDefault="00841F3F" w:rsidP="00841F3F">
      <w:pPr>
        <w:spacing w:after="0" w:line="240" w:lineRule="auto"/>
        <w:contextualSpacing/>
        <w:jc w:val="both"/>
        <w:rPr>
          <w:rFonts w:ascii="Verdana" w:eastAsia="Calibri" w:hAnsi="Verdana" w:cs="Arial"/>
          <w:bCs/>
          <w:sz w:val="20"/>
          <w:szCs w:val="20"/>
          <w:lang w:val="es-MX" w:eastAsia="es-ES_tradnl"/>
        </w:rPr>
      </w:pPr>
      <w:r w:rsidRPr="00F252D7">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53A71F7D" w14:textId="77777777" w:rsidR="00841F3F" w:rsidRPr="00F252D7" w:rsidRDefault="00841F3F" w:rsidP="00841F3F">
      <w:pPr>
        <w:spacing w:after="0" w:line="240" w:lineRule="auto"/>
        <w:contextualSpacing/>
        <w:jc w:val="both"/>
        <w:rPr>
          <w:rFonts w:ascii="Verdana" w:eastAsia="Calibri" w:hAnsi="Verdana" w:cs="Arial"/>
          <w:b/>
          <w:noProof/>
          <w:sz w:val="20"/>
          <w:szCs w:val="20"/>
          <w:lang w:val="es-ES_tradnl" w:eastAsia="es-ES_tradnl"/>
        </w:rPr>
      </w:pPr>
    </w:p>
    <w:p w14:paraId="4D6FD986" w14:textId="77777777" w:rsidR="00841F3F" w:rsidRPr="00F252D7" w:rsidRDefault="00841F3F" w:rsidP="00841F3F">
      <w:pPr>
        <w:spacing w:after="0" w:line="240" w:lineRule="auto"/>
        <w:contextualSpacing/>
        <w:jc w:val="both"/>
        <w:rPr>
          <w:rFonts w:ascii="Verdana" w:eastAsia="Times New Roman" w:hAnsi="Verdana" w:cs="Arial"/>
          <w:b/>
          <w:bCs/>
          <w:lang w:eastAsia="es-ES_tradnl"/>
        </w:rPr>
      </w:pPr>
      <w:r w:rsidRPr="00F252D7">
        <w:rPr>
          <w:rFonts w:ascii="Verdana" w:eastAsia="Times New Roman" w:hAnsi="Verdana" w:cs="Arial"/>
          <w:b/>
          <w:bCs/>
          <w:lang w:eastAsia="es-ES_tradnl"/>
        </w:rPr>
        <w:t>ESTUDIOS PREVIOS – Análisis del sector – Planeación en los procesos de contratación pública</w:t>
      </w:r>
    </w:p>
    <w:p w14:paraId="56F8BEB9" w14:textId="77777777" w:rsidR="00841F3F" w:rsidRPr="00F252D7" w:rsidRDefault="00841F3F" w:rsidP="00841F3F">
      <w:pPr>
        <w:spacing w:after="0" w:line="240" w:lineRule="auto"/>
        <w:contextualSpacing/>
        <w:jc w:val="both"/>
        <w:rPr>
          <w:rFonts w:ascii="Verdana" w:eastAsia="Times New Roman" w:hAnsi="Verdana" w:cs="Arial"/>
          <w:sz w:val="20"/>
          <w:szCs w:val="20"/>
          <w:lang w:eastAsia="es-ES_tradnl"/>
        </w:rPr>
      </w:pPr>
    </w:p>
    <w:p w14:paraId="1FB99F44" w14:textId="77777777" w:rsidR="00841F3F" w:rsidRPr="00F252D7" w:rsidRDefault="00841F3F" w:rsidP="00841F3F">
      <w:pPr>
        <w:spacing w:after="0" w:line="240" w:lineRule="auto"/>
        <w:contextualSpacing/>
        <w:jc w:val="both"/>
        <w:rPr>
          <w:rFonts w:ascii="Verdana" w:eastAsia="Times New Roman" w:hAnsi="Verdana" w:cs="Arial"/>
          <w:sz w:val="20"/>
          <w:szCs w:val="20"/>
          <w:lang w:val="es-ES_tradnl" w:eastAsia="es-MX"/>
        </w:rPr>
      </w:pPr>
      <w:r w:rsidRPr="00F252D7">
        <w:rPr>
          <w:rFonts w:ascii="Verdana" w:eastAsia="Calibri" w:hAnsi="Verdana" w:cs="Arial"/>
          <w:sz w:val="20"/>
          <w:szCs w:val="20"/>
          <w:lang w:eastAsia="es-ES_tradnl"/>
        </w:rPr>
        <w:t xml:space="preserve">[…] </w:t>
      </w:r>
      <w:r w:rsidRPr="00F252D7">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w:t>
      </w:r>
      <w:r w:rsidRPr="00023EC8">
        <w:rPr>
          <w:rFonts w:ascii="Verdana" w:eastAsia="Times New Roman" w:hAnsi="Verdana" w:cs="Arial"/>
          <w:sz w:val="20"/>
          <w:szCs w:val="20"/>
          <w:lang w:val="es-ES_tradnl" w:eastAsia="es-MX"/>
        </w:rPr>
        <w:t xml:space="preserve">permite que los contratos resultantes de la planeación cuenten con el sustento técnico, económico y jurídico que incidirá </w:t>
      </w:r>
      <w:r w:rsidRPr="00F252D7">
        <w:rPr>
          <w:rFonts w:ascii="Verdana" w:eastAsia="Times New Roman" w:hAnsi="Verdana" w:cs="Arial"/>
          <w:sz w:val="20"/>
          <w:szCs w:val="20"/>
          <w:lang w:val="es-ES_tradnl" w:eastAsia="es-MX"/>
        </w:rPr>
        <w:t>en una adecuada ejecución.</w:t>
      </w:r>
    </w:p>
    <w:p w14:paraId="2F1FC84C" w14:textId="77777777" w:rsidR="00841F3F" w:rsidRPr="00023EC8" w:rsidRDefault="00841F3F" w:rsidP="00841F3F">
      <w:pPr>
        <w:spacing w:after="0" w:line="240" w:lineRule="auto"/>
        <w:contextualSpacing/>
        <w:jc w:val="both"/>
        <w:rPr>
          <w:rFonts w:ascii="Verdana" w:eastAsia="Times New Roman" w:hAnsi="Verdana" w:cs="Arial"/>
          <w:b/>
          <w:bCs/>
          <w:sz w:val="20"/>
          <w:szCs w:val="20"/>
          <w:lang w:val="es-ES_tradnl" w:eastAsia="es-MX"/>
        </w:rPr>
      </w:pPr>
    </w:p>
    <w:p w14:paraId="7153E838" w14:textId="77777777" w:rsidR="00841F3F" w:rsidRPr="00023EC8" w:rsidRDefault="00841F3F" w:rsidP="00841F3F">
      <w:pPr>
        <w:jc w:val="both"/>
        <w:rPr>
          <w:rFonts w:ascii="Verdana" w:eastAsia="Times New Roman" w:hAnsi="Verdana" w:cs="Arial"/>
          <w:b/>
          <w:bCs/>
          <w:sz w:val="20"/>
          <w:szCs w:val="20"/>
          <w:lang w:val="es-ES_tradnl" w:eastAsia="es-MX"/>
        </w:rPr>
      </w:pPr>
      <w:r w:rsidRPr="00023EC8">
        <w:rPr>
          <w:rFonts w:ascii="Verdana" w:eastAsia="Times New Roman" w:hAnsi="Verdana" w:cs="Arial"/>
          <w:b/>
          <w:bCs/>
          <w:sz w:val="20"/>
          <w:szCs w:val="20"/>
          <w:lang w:val="es-ES_tradnl" w:eastAsia="es-MX"/>
        </w:rPr>
        <w:t>ESTUDIOS PREVIOS – Elaboración – Responsable – Manual de Contratación – Entidad estatal</w:t>
      </w:r>
    </w:p>
    <w:p w14:paraId="3B0099AA" w14:textId="77777777" w:rsidR="00841F3F" w:rsidRPr="00023EC8" w:rsidRDefault="00841F3F" w:rsidP="00841F3F">
      <w:pPr>
        <w:jc w:val="both"/>
        <w:rPr>
          <w:rFonts w:ascii="Verdana" w:eastAsia="Times New Roman" w:hAnsi="Verdana" w:cs="Arial"/>
          <w:sz w:val="20"/>
          <w:szCs w:val="20"/>
          <w:lang w:val="es-ES_tradnl" w:eastAsia="es-MX"/>
        </w:rPr>
      </w:pPr>
    </w:p>
    <w:p w14:paraId="2113E933" w14:textId="77777777" w:rsidR="00841F3F" w:rsidRPr="00023EC8" w:rsidRDefault="00841F3F" w:rsidP="00841F3F">
      <w:pPr>
        <w:jc w:val="both"/>
        <w:rPr>
          <w:rFonts w:ascii="Verdana" w:eastAsia="Times New Roman" w:hAnsi="Verdana" w:cs="Arial"/>
          <w:sz w:val="20"/>
          <w:szCs w:val="20"/>
          <w:lang w:val="es-ES_tradnl" w:eastAsia="es-MX"/>
        </w:rPr>
      </w:pPr>
      <w:r w:rsidRPr="00023EC8">
        <w:rPr>
          <w:rFonts w:ascii="Verdana" w:eastAsia="Times New Roman" w:hAnsi="Verdana" w:cs="Arial"/>
          <w:sz w:val="20"/>
          <w:szCs w:val="20"/>
          <w:lang w:val="es-ES_tradnl" w:eastAsia="es-MX"/>
        </w:rPr>
        <w:lastRenderedPageBreak/>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 De esta manera, de acuerdo con la estructura interna de cada entidad, la elaboración de los estudios previos corresponderá al funcionario responsable de la dependencia con la necesidad a satisfacer.</w:t>
      </w:r>
    </w:p>
    <w:p w14:paraId="13E60639"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7A897120"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05C5D037"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10D17D90"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4FCABDE6"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2FE4106D"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5B56E057"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2EE95308"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48232330" w14:textId="77777777" w:rsidR="00841F3F" w:rsidRPr="00023EC8" w:rsidRDefault="00841F3F" w:rsidP="00841F3F">
      <w:pPr>
        <w:spacing w:after="0" w:line="240" w:lineRule="auto"/>
        <w:jc w:val="both"/>
        <w:rPr>
          <w:rFonts w:ascii="Verdana" w:eastAsia="Times New Roman" w:hAnsi="Verdana" w:cs="Arial"/>
          <w:sz w:val="20"/>
          <w:szCs w:val="20"/>
          <w:lang w:val="es-ES_tradnl" w:eastAsia="es-MX"/>
        </w:rPr>
      </w:pPr>
    </w:p>
    <w:p w14:paraId="50FAB913" w14:textId="77777777" w:rsidR="00841F3F" w:rsidRDefault="00841F3F" w:rsidP="00E245AB">
      <w:pPr>
        <w:spacing w:after="0"/>
        <w:rPr>
          <w:rFonts w:ascii="Verdana" w:hAnsi="Verdana"/>
        </w:rPr>
      </w:pPr>
    </w:p>
    <w:p w14:paraId="79380706" w14:textId="77777777" w:rsidR="00841F3F" w:rsidRDefault="00841F3F" w:rsidP="00E245AB">
      <w:pPr>
        <w:spacing w:after="0"/>
        <w:rPr>
          <w:rFonts w:ascii="Verdana" w:hAnsi="Verdana"/>
        </w:rPr>
      </w:pPr>
    </w:p>
    <w:p w14:paraId="3EE83737" w14:textId="77777777" w:rsidR="00841F3F" w:rsidRDefault="00841F3F" w:rsidP="00E245AB">
      <w:pPr>
        <w:spacing w:after="0"/>
        <w:rPr>
          <w:rFonts w:ascii="Verdana" w:hAnsi="Verdana"/>
        </w:rPr>
      </w:pPr>
    </w:p>
    <w:p w14:paraId="71DA4C33" w14:textId="77777777" w:rsidR="00841F3F" w:rsidRDefault="00841F3F" w:rsidP="00E245AB">
      <w:pPr>
        <w:spacing w:after="0"/>
        <w:rPr>
          <w:rFonts w:ascii="Verdana" w:hAnsi="Verdana"/>
        </w:rPr>
      </w:pPr>
    </w:p>
    <w:p w14:paraId="41E735AF" w14:textId="77777777" w:rsidR="00841F3F" w:rsidRDefault="00841F3F" w:rsidP="00E245AB">
      <w:pPr>
        <w:spacing w:after="0"/>
        <w:rPr>
          <w:rFonts w:ascii="Verdana" w:hAnsi="Verdana"/>
        </w:rPr>
      </w:pPr>
    </w:p>
    <w:p w14:paraId="4151521A" w14:textId="77777777" w:rsidR="00841F3F" w:rsidRDefault="00841F3F" w:rsidP="00E245AB">
      <w:pPr>
        <w:spacing w:after="0"/>
        <w:rPr>
          <w:rFonts w:ascii="Verdana" w:hAnsi="Verdana"/>
        </w:rPr>
      </w:pPr>
    </w:p>
    <w:p w14:paraId="6C916B33" w14:textId="77777777" w:rsidR="00841F3F" w:rsidRDefault="00841F3F" w:rsidP="00E245AB">
      <w:pPr>
        <w:spacing w:after="0"/>
        <w:rPr>
          <w:rFonts w:ascii="Verdana" w:hAnsi="Verdana"/>
        </w:rPr>
      </w:pPr>
    </w:p>
    <w:p w14:paraId="6D413BE3" w14:textId="77777777" w:rsidR="00841F3F" w:rsidRDefault="00841F3F" w:rsidP="00E245AB">
      <w:pPr>
        <w:spacing w:after="0"/>
        <w:rPr>
          <w:rFonts w:ascii="Verdana" w:hAnsi="Verdana"/>
        </w:rPr>
      </w:pPr>
    </w:p>
    <w:p w14:paraId="6AB0636A" w14:textId="77777777" w:rsidR="00841F3F" w:rsidRDefault="00841F3F" w:rsidP="00E245AB">
      <w:pPr>
        <w:spacing w:after="0"/>
        <w:rPr>
          <w:rFonts w:ascii="Verdana" w:hAnsi="Verdana"/>
        </w:rPr>
      </w:pPr>
    </w:p>
    <w:p w14:paraId="1917692C" w14:textId="77777777" w:rsidR="00841F3F" w:rsidRDefault="00841F3F" w:rsidP="00E245AB">
      <w:pPr>
        <w:spacing w:after="0"/>
        <w:rPr>
          <w:rFonts w:ascii="Verdana" w:hAnsi="Verdana"/>
        </w:rPr>
      </w:pPr>
    </w:p>
    <w:p w14:paraId="210C71D6" w14:textId="77777777" w:rsidR="00841F3F" w:rsidRDefault="00841F3F" w:rsidP="00E245AB">
      <w:pPr>
        <w:spacing w:after="0"/>
        <w:rPr>
          <w:rFonts w:ascii="Verdana" w:hAnsi="Verdana"/>
        </w:rPr>
      </w:pPr>
    </w:p>
    <w:p w14:paraId="11247BE1" w14:textId="77777777" w:rsidR="00841F3F" w:rsidRDefault="00841F3F" w:rsidP="00E245AB">
      <w:pPr>
        <w:spacing w:after="0"/>
        <w:rPr>
          <w:rFonts w:ascii="Verdana" w:hAnsi="Verdana"/>
        </w:rPr>
      </w:pPr>
    </w:p>
    <w:p w14:paraId="0B77DCED" w14:textId="77777777" w:rsidR="00841F3F" w:rsidRDefault="00841F3F" w:rsidP="00E245AB">
      <w:pPr>
        <w:spacing w:after="0"/>
        <w:rPr>
          <w:rFonts w:ascii="Verdana" w:hAnsi="Verdana"/>
        </w:rPr>
      </w:pPr>
    </w:p>
    <w:p w14:paraId="491BB043" w14:textId="77777777" w:rsidR="00841F3F" w:rsidRDefault="00841F3F" w:rsidP="00E245AB">
      <w:pPr>
        <w:spacing w:after="0"/>
        <w:rPr>
          <w:rFonts w:ascii="Verdana" w:hAnsi="Verdana"/>
        </w:rPr>
      </w:pPr>
    </w:p>
    <w:p w14:paraId="7D65D759" w14:textId="77777777" w:rsidR="00841F3F" w:rsidRDefault="00841F3F" w:rsidP="00E245AB">
      <w:pPr>
        <w:spacing w:after="0"/>
        <w:rPr>
          <w:rFonts w:ascii="Verdana" w:hAnsi="Verdana"/>
        </w:rPr>
      </w:pPr>
    </w:p>
    <w:p w14:paraId="6A722327" w14:textId="77777777" w:rsidR="00841F3F" w:rsidRDefault="00841F3F" w:rsidP="00E245AB">
      <w:pPr>
        <w:spacing w:after="0"/>
        <w:rPr>
          <w:rFonts w:ascii="Verdana" w:hAnsi="Verdana"/>
        </w:rPr>
      </w:pPr>
    </w:p>
    <w:p w14:paraId="2DE30A71" w14:textId="77777777" w:rsidR="00841F3F" w:rsidRDefault="00841F3F" w:rsidP="00E245AB">
      <w:pPr>
        <w:spacing w:after="0"/>
        <w:rPr>
          <w:rFonts w:ascii="Verdana" w:hAnsi="Verdana"/>
        </w:rPr>
      </w:pPr>
    </w:p>
    <w:p w14:paraId="780E4FC5" w14:textId="77777777" w:rsidR="00841F3F" w:rsidRDefault="00841F3F" w:rsidP="00E245AB">
      <w:pPr>
        <w:spacing w:after="0"/>
        <w:rPr>
          <w:rFonts w:ascii="Verdana" w:hAnsi="Verdana"/>
        </w:rPr>
      </w:pPr>
    </w:p>
    <w:p w14:paraId="0D70F4C0" w14:textId="77777777" w:rsidR="00841F3F" w:rsidRDefault="00841F3F" w:rsidP="00E245AB">
      <w:pPr>
        <w:spacing w:after="0"/>
        <w:rPr>
          <w:rFonts w:ascii="Verdana" w:hAnsi="Verdana"/>
        </w:rPr>
      </w:pPr>
    </w:p>
    <w:p w14:paraId="1D1B80D3" w14:textId="77777777" w:rsidR="00841F3F" w:rsidRDefault="00841F3F" w:rsidP="00E245AB">
      <w:pPr>
        <w:spacing w:after="0"/>
        <w:rPr>
          <w:rFonts w:ascii="Verdana" w:hAnsi="Verdana"/>
        </w:rPr>
      </w:pPr>
    </w:p>
    <w:p w14:paraId="394C0CAF" w14:textId="77777777" w:rsidR="00841F3F" w:rsidRDefault="00841F3F" w:rsidP="00E245AB">
      <w:pPr>
        <w:spacing w:after="0"/>
        <w:rPr>
          <w:rFonts w:ascii="Verdana" w:hAnsi="Verdana"/>
        </w:rPr>
      </w:pPr>
    </w:p>
    <w:p w14:paraId="585F01F3" w14:textId="77777777" w:rsidR="00841F3F" w:rsidRDefault="00841F3F" w:rsidP="00E245AB">
      <w:pPr>
        <w:spacing w:after="0"/>
        <w:rPr>
          <w:rFonts w:ascii="Verdana" w:hAnsi="Verdana"/>
        </w:rPr>
      </w:pPr>
    </w:p>
    <w:p w14:paraId="12AE5EB3" w14:textId="77777777" w:rsidR="00841F3F" w:rsidRDefault="00841F3F" w:rsidP="00E245AB">
      <w:pPr>
        <w:spacing w:after="0"/>
        <w:rPr>
          <w:rFonts w:ascii="Verdana" w:hAnsi="Verdana"/>
        </w:rPr>
      </w:pPr>
    </w:p>
    <w:p w14:paraId="6253D881" w14:textId="77777777" w:rsidR="00841F3F" w:rsidRDefault="00841F3F" w:rsidP="00E245AB">
      <w:pPr>
        <w:spacing w:after="0"/>
        <w:rPr>
          <w:rFonts w:ascii="Verdana" w:hAnsi="Verdana"/>
        </w:rPr>
      </w:pPr>
    </w:p>
    <w:p w14:paraId="7F693404" w14:textId="77777777" w:rsidR="00841F3F" w:rsidRDefault="00841F3F" w:rsidP="00E245AB">
      <w:pPr>
        <w:spacing w:after="0"/>
        <w:rPr>
          <w:rFonts w:ascii="Verdana" w:hAnsi="Verdana"/>
        </w:rPr>
      </w:pPr>
    </w:p>
    <w:p w14:paraId="73A25505" w14:textId="77777777" w:rsidR="00841F3F" w:rsidRDefault="00841F3F" w:rsidP="00E245AB">
      <w:pPr>
        <w:spacing w:after="0"/>
        <w:rPr>
          <w:rFonts w:ascii="Verdana" w:hAnsi="Verdana"/>
        </w:rPr>
      </w:pPr>
    </w:p>
    <w:p w14:paraId="3FE2184B" w14:textId="0ACE7220" w:rsidR="00E245AB" w:rsidRPr="0044528D" w:rsidRDefault="00E245AB" w:rsidP="00E245AB">
      <w:pPr>
        <w:spacing w:after="0"/>
        <w:rPr>
          <w:rFonts w:ascii="Verdana" w:hAnsi="Verdana"/>
        </w:rPr>
      </w:pPr>
      <w:r w:rsidRPr="0044528D">
        <w:rPr>
          <w:rFonts w:ascii="Verdana" w:hAnsi="Verdana"/>
        </w:rPr>
        <w:t xml:space="preserve">Bogotá D.C., </w:t>
      </w:r>
      <w:r w:rsidR="00A611D8">
        <w:rPr>
          <w:rFonts w:ascii="Verdana" w:hAnsi="Verdana"/>
        </w:rPr>
        <w:t>12 de agosto de 2025</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064E5B94" w14:textId="77777777" w:rsidR="005179B9" w:rsidRDefault="005179B9" w:rsidP="005179B9">
      <w:pPr>
        <w:spacing w:after="0" w:line="240" w:lineRule="auto"/>
        <w:rPr>
          <w:rFonts w:ascii="Verdana" w:eastAsia="Calibri" w:hAnsi="Verdana" w:cs="Arial"/>
          <w:lang w:eastAsia="es-ES_tradnl"/>
        </w:rPr>
      </w:pPr>
      <w:r>
        <w:rPr>
          <w:rFonts w:ascii="Verdana" w:eastAsia="Calibri" w:hAnsi="Verdana" w:cs="Arial"/>
          <w:lang w:eastAsia="es-ES_tradnl"/>
        </w:rPr>
        <w:t>Señora</w:t>
      </w:r>
    </w:p>
    <w:p w14:paraId="071BEADA" w14:textId="77777777" w:rsidR="005179B9" w:rsidRPr="00023EC8" w:rsidRDefault="005179B9" w:rsidP="005179B9">
      <w:pPr>
        <w:spacing w:after="0" w:line="240" w:lineRule="auto"/>
        <w:rPr>
          <w:rFonts w:ascii="Verdana" w:eastAsia="Calibri" w:hAnsi="Verdana" w:cs="Arial"/>
          <w:b/>
          <w:bCs/>
          <w:lang w:eastAsia="es-ES_tradnl"/>
        </w:rPr>
      </w:pPr>
      <w:r w:rsidRPr="00023EC8">
        <w:rPr>
          <w:rFonts w:ascii="Verdana" w:eastAsia="Calibri" w:hAnsi="Verdana" w:cs="Arial"/>
          <w:b/>
          <w:bCs/>
          <w:lang w:eastAsia="es-ES_tradnl"/>
        </w:rPr>
        <w:t>Luisa Fernanda Barrantes</w:t>
      </w:r>
    </w:p>
    <w:p w14:paraId="550D5581" w14:textId="77777777" w:rsidR="005179B9" w:rsidRPr="00023EC8" w:rsidRDefault="005179B9" w:rsidP="005179B9">
      <w:pPr>
        <w:spacing w:after="0" w:line="240" w:lineRule="auto"/>
        <w:rPr>
          <w:rFonts w:ascii="Verdana" w:eastAsia="Calibri" w:hAnsi="Verdana" w:cs="Arial"/>
          <w:u w:val="single"/>
          <w:lang w:eastAsia="es-ES_tradnl"/>
        </w:rPr>
      </w:pPr>
      <w:hyperlink r:id="rId10" w:history="1">
        <w:r w:rsidRPr="00023EC8">
          <w:rPr>
            <w:rFonts w:ascii="Verdana" w:eastAsia="Calibri" w:hAnsi="Verdana" w:cs="Arial"/>
            <w:u w:val="single"/>
            <w:lang w:eastAsia="es-ES_tradnl"/>
          </w:rPr>
          <w:t>luisa.barrantes@chia.gov.co</w:t>
        </w:r>
      </w:hyperlink>
    </w:p>
    <w:p w14:paraId="7B962B6C" w14:textId="77777777" w:rsidR="005179B9" w:rsidRPr="00023EC8" w:rsidRDefault="005179B9" w:rsidP="005179B9">
      <w:pPr>
        <w:spacing w:after="0" w:line="240" w:lineRule="auto"/>
        <w:rPr>
          <w:rFonts w:ascii="Verdana" w:eastAsia="Calibri" w:hAnsi="Verdana" w:cs="Arial"/>
          <w:lang w:eastAsia="es-ES_tradnl"/>
        </w:rPr>
      </w:pPr>
      <w:r w:rsidRPr="00023EC8">
        <w:rPr>
          <w:rFonts w:ascii="Verdana" w:eastAsia="Calibri" w:hAnsi="Verdana" w:cs="Arial"/>
          <w:lang w:eastAsia="es-ES_tradnl"/>
        </w:rPr>
        <w:t xml:space="preserve">Chía, Cundinamarca </w:t>
      </w:r>
    </w:p>
    <w:p w14:paraId="4B0CCE36" w14:textId="77777777" w:rsidR="005179B9" w:rsidRDefault="005179B9" w:rsidP="005179B9">
      <w:pPr>
        <w:spacing w:after="0" w:line="240" w:lineRule="auto"/>
        <w:rPr>
          <w:rFonts w:ascii="Verdana" w:eastAsia="Calibri" w:hAnsi="Verdana" w:cs="Arial"/>
          <w:lang w:val="es-ES_tradnl" w:eastAsia="es-ES_tradnl"/>
        </w:rPr>
      </w:pPr>
    </w:p>
    <w:p w14:paraId="0759E091" w14:textId="7B2479DE" w:rsidR="00104614" w:rsidRPr="00F252D7" w:rsidRDefault="00104614" w:rsidP="00104614">
      <w:pPr>
        <w:spacing w:after="0" w:line="240" w:lineRule="auto"/>
        <w:jc w:val="right"/>
        <w:rPr>
          <w:rFonts w:ascii="Verdana" w:eastAsia="Calibri" w:hAnsi="Verdana" w:cs="Arial"/>
          <w:lang w:val="es-ES_tradnl" w:eastAsia="es-ES_tradnl"/>
        </w:rPr>
      </w:pPr>
      <w:r w:rsidRPr="00104614">
        <w:rPr>
          <w:rFonts w:ascii="Verdana" w:eastAsia="Calibri" w:hAnsi="Verdana" w:cs="Arial"/>
          <w:lang w:val="es-ES_tradnl" w:eastAsia="es-ES_tradnl"/>
        </w:rPr>
        <w:drawing>
          <wp:inline distT="0" distB="0" distL="0" distR="0" wp14:anchorId="416445C4" wp14:editId="3ED53D74">
            <wp:extent cx="2796782" cy="815411"/>
            <wp:effectExtent l="0" t="0" r="3810" b="3810"/>
            <wp:docPr id="1601790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90889" name=""/>
                    <pic:cNvPicPr/>
                  </pic:nvPicPr>
                  <pic:blipFill>
                    <a:blip r:embed="rId11"/>
                    <a:stretch>
                      <a:fillRect/>
                    </a:stretch>
                  </pic:blipFill>
                  <pic:spPr>
                    <a:xfrm>
                      <a:off x="0" y="0"/>
                      <a:ext cx="2796782" cy="815411"/>
                    </a:xfrm>
                    <a:prstGeom prst="rect">
                      <a:avLst/>
                    </a:prstGeom>
                  </pic:spPr>
                </pic:pic>
              </a:graphicData>
            </a:graphic>
          </wp:inline>
        </w:drawing>
      </w:r>
    </w:p>
    <w:p w14:paraId="454FD0BF" w14:textId="77777777" w:rsidR="005179B9" w:rsidRPr="00F252D7" w:rsidRDefault="005179B9" w:rsidP="005179B9">
      <w:pPr>
        <w:spacing w:after="0" w:line="240" w:lineRule="auto"/>
        <w:rPr>
          <w:rFonts w:ascii="Verdana" w:eastAsia="Calibri" w:hAnsi="Verdana" w:cs="Arial"/>
          <w:lang w:val="es-ES_tradnl" w:eastAsia="es-ES_tradnl"/>
        </w:rPr>
      </w:pPr>
    </w:p>
    <w:p w14:paraId="22081524" w14:textId="77777777" w:rsidR="005179B9" w:rsidRPr="00F252D7" w:rsidRDefault="005179B9" w:rsidP="005179B9">
      <w:pPr>
        <w:spacing w:after="0" w:line="240" w:lineRule="auto"/>
        <w:rPr>
          <w:rFonts w:ascii="Verdana" w:eastAsia="Calibri" w:hAnsi="Verdana" w:cs="Arial"/>
          <w:lang w:val="es-ES_tradnl" w:eastAsia="es-ES_tradnl"/>
        </w:rPr>
      </w:pPr>
    </w:p>
    <w:p w14:paraId="2B1FD32E" w14:textId="77777777" w:rsidR="005179B9" w:rsidRPr="00F252D7" w:rsidRDefault="005179B9" w:rsidP="005179B9">
      <w:pPr>
        <w:spacing w:after="0" w:line="240" w:lineRule="auto"/>
        <w:ind w:left="2694"/>
        <w:rPr>
          <w:rFonts w:ascii="Verdana" w:eastAsia="Calibri" w:hAnsi="Verdana" w:cs="Arial"/>
          <w:b/>
          <w:bCs/>
          <w:lang w:val="es-ES" w:eastAsia="es-ES_tradnl"/>
        </w:rPr>
      </w:pPr>
      <w:r w:rsidRPr="00F252D7">
        <w:rPr>
          <w:rFonts w:ascii="Verdana" w:eastAsia="Calibri" w:hAnsi="Verdana" w:cs="Arial"/>
          <w:b/>
          <w:bCs/>
          <w:lang w:val="es-ES" w:eastAsia="es-ES_tradnl"/>
        </w:rPr>
        <w:t>Concepto C-</w:t>
      </w:r>
      <w:r>
        <w:rPr>
          <w:rFonts w:ascii="Verdana" w:eastAsia="Calibri" w:hAnsi="Verdana" w:cs="Arial"/>
          <w:b/>
          <w:bCs/>
          <w:lang w:val="es-ES" w:eastAsia="es-ES_tradnl"/>
        </w:rPr>
        <w:t>869</w:t>
      </w:r>
      <w:r w:rsidRPr="00F252D7">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7EF56206" w14:textId="77777777" w:rsidR="005179B9" w:rsidRPr="00F252D7" w:rsidRDefault="005179B9" w:rsidP="005179B9">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179B9" w:rsidRPr="00F252D7" w14:paraId="28804BE2" w14:textId="77777777" w:rsidTr="00622C55">
        <w:trPr>
          <w:jc w:val="right"/>
        </w:trPr>
        <w:tc>
          <w:tcPr>
            <w:tcW w:w="1838" w:type="dxa"/>
          </w:tcPr>
          <w:p w14:paraId="26BE89FA" w14:textId="77777777" w:rsidR="005179B9" w:rsidRPr="00F252D7" w:rsidRDefault="005179B9" w:rsidP="00EF67AF">
            <w:pPr>
              <w:rPr>
                <w:rFonts w:ascii="Verdana" w:eastAsia="Calibri" w:hAnsi="Verdana" w:cs="Arial"/>
                <w:lang w:val="es-ES_tradnl" w:eastAsia="es-ES_tradnl"/>
              </w:rPr>
            </w:pPr>
            <w:r w:rsidRPr="00F252D7">
              <w:rPr>
                <w:rFonts w:ascii="Verdana" w:eastAsia="Calibri" w:hAnsi="Verdana" w:cs="Arial"/>
                <w:b/>
                <w:lang w:val="es-ES_tradnl" w:eastAsia="es-ES_tradnl"/>
              </w:rPr>
              <w:t>Temas:</w:t>
            </w:r>
          </w:p>
        </w:tc>
        <w:tc>
          <w:tcPr>
            <w:tcW w:w="6237" w:type="dxa"/>
          </w:tcPr>
          <w:p w14:paraId="76BFF0CB" w14:textId="77777777" w:rsidR="005179B9" w:rsidRPr="00EF67AF" w:rsidRDefault="005179B9" w:rsidP="00622C55">
            <w:pPr>
              <w:spacing w:line="259" w:lineRule="auto"/>
              <w:ind w:left="120"/>
              <w:jc w:val="both"/>
              <w:rPr>
                <w:rFonts w:ascii="Verdana" w:hAnsi="Verdana"/>
              </w:rPr>
            </w:pPr>
            <w:r w:rsidRPr="00EF67AF">
              <w:rPr>
                <w:rFonts w:ascii="Verdana" w:eastAsia="Times New Roman" w:hAnsi="Verdana" w:cs="Arial"/>
                <w:lang w:eastAsia="es-ES_tradnl"/>
              </w:rPr>
              <w:t xml:space="preserve">PLANEACIÓN – Estudios previos / ESTUDIOS PREVIOS – Análisis del sector – Planeación en los procesos de contratación pública / </w:t>
            </w:r>
            <w:r w:rsidRPr="00EF67AF">
              <w:rPr>
                <w:rFonts w:ascii="Verdana" w:hAnsi="Verdana"/>
              </w:rPr>
              <w:t>ESTUDIOS PREVIOS – Elaboración – Responsable – Manual de Contratación – Entidad estatal</w:t>
            </w:r>
          </w:p>
          <w:p w14:paraId="3C8585B2" w14:textId="77777777" w:rsidR="005179B9" w:rsidRDefault="005179B9" w:rsidP="00622C55">
            <w:pPr>
              <w:jc w:val="both"/>
              <w:textAlignment w:val="baseline"/>
              <w:rPr>
                <w:rFonts w:ascii="Verdana" w:eastAsia="Times New Roman" w:hAnsi="Verdana" w:cs="Arial"/>
                <w:lang w:eastAsia="es-ES_tradnl"/>
              </w:rPr>
            </w:pPr>
          </w:p>
          <w:p w14:paraId="6966D182" w14:textId="77777777" w:rsidR="005179B9" w:rsidRPr="0089765F" w:rsidRDefault="005179B9" w:rsidP="00622C55">
            <w:pPr>
              <w:jc w:val="both"/>
              <w:textAlignment w:val="baseline"/>
              <w:rPr>
                <w:rFonts w:ascii="Verdana" w:eastAsia="Times New Roman" w:hAnsi="Verdana" w:cs="Arial"/>
                <w:lang w:eastAsia="es-ES_tradnl"/>
              </w:rPr>
            </w:pPr>
          </w:p>
        </w:tc>
      </w:tr>
      <w:tr w:rsidR="005179B9" w:rsidRPr="00F252D7" w14:paraId="445BD87F" w14:textId="77777777" w:rsidTr="00622C55">
        <w:trPr>
          <w:jc w:val="right"/>
        </w:trPr>
        <w:tc>
          <w:tcPr>
            <w:tcW w:w="1838" w:type="dxa"/>
          </w:tcPr>
          <w:p w14:paraId="5CEBE6E8" w14:textId="77777777" w:rsidR="005179B9" w:rsidRPr="00F252D7" w:rsidRDefault="005179B9" w:rsidP="00622C55">
            <w:pPr>
              <w:jc w:val="center"/>
              <w:rPr>
                <w:rFonts w:ascii="Verdana" w:eastAsia="Calibri" w:hAnsi="Verdana" w:cs="Arial"/>
                <w:b/>
                <w:lang w:val="es-ES" w:eastAsia="es-ES_tradnl"/>
              </w:rPr>
            </w:pPr>
            <w:r w:rsidRPr="00F252D7">
              <w:rPr>
                <w:rFonts w:ascii="Verdana" w:eastAsia="Calibri" w:hAnsi="Verdana" w:cs="Arial"/>
                <w:b/>
                <w:lang w:val="es-ES" w:eastAsia="es-ES_tradnl"/>
              </w:rPr>
              <w:t>Radicación:</w:t>
            </w:r>
          </w:p>
        </w:tc>
        <w:tc>
          <w:tcPr>
            <w:tcW w:w="6237" w:type="dxa"/>
          </w:tcPr>
          <w:p w14:paraId="610628E6" w14:textId="77777777" w:rsidR="005179B9" w:rsidRPr="00F252D7" w:rsidRDefault="005179B9" w:rsidP="00622C55">
            <w:pPr>
              <w:jc w:val="both"/>
              <w:rPr>
                <w:rFonts w:ascii="Verdana" w:eastAsia="Calibri" w:hAnsi="Verdana" w:cs="Arial"/>
                <w:lang w:val="es-ES" w:eastAsia="es-ES_tradnl"/>
              </w:rPr>
            </w:pPr>
            <w:r w:rsidRPr="00F252D7">
              <w:rPr>
                <w:rFonts w:ascii="Verdana" w:eastAsia="Calibri" w:hAnsi="Verdana" w:cs="Arial"/>
                <w:lang w:val="es-ES" w:eastAsia="es-ES_tradnl"/>
              </w:rPr>
              <w:t xml:space="preserve">Respuesta a consulta radicado No. </w:t>
            </w:r>
            <w:r w:rsidRPr="00023EC8">
              <w:rPr>
                <w:rFonts w:ascii="Verdana" w:eastAsia="Calibri" w:hAnsi="Verdana" w:cs="Arial"/>
                <w:lang w:val="es-ES" w:eastAsia="es-ES_tradnl"/>
              </w:rPr>
              <w:t>1_2025_07_02_006604</w:t>
            </w:r>
          </w:p>
        </w:tc>
      </w:tr>
    </w:tbl>
    <w:p w14:paraId="128D4AEB" w14:textId="77777777" w:rsidR="005179B9" w:rsidRPr="00F252D7" w:rsidRDefault="005179B9" w:rsidP="005179B9">
      <w:pPr>
        <w:spacing w:after="0" w:line="240" w:lineRule="auto"/>
        <w:jc w:val="both"/>
        <w:rPr>
          <w:rFonts w:ascii="Verdana" w:eastAsia="Calibri" w:hAnsi="Verdana" w:cs="Arial"/>
          <w:lang w:val="es-ES_tradnl" w:eastAsia="es-ES_tradnl"/>
        </w:rPr>
      </w:pPr>
    </w:p>
    <w:p w14:paraId="517FD77C" w14:textId="77777777" w:rsidR="005179B9" w:rsidRPr="00F252D7" w:rsidRDefault="005179B9" w:rsidP="005179B9">
      <w:pPr>
        <w:spacing w:after="0" w:line="240" w:lineRule="auto"/>
        <w:jc w:val="both"/>
        <w:rPr>
          <w:rFonts w:ascii="Verdana" w:eastAsia="Calibri" w:hAnsi="Verdana" w:cs="Arial"/>
          <w:lang w:val="es-ES_tradnl" w:eastAsia="es-ES_tradnl"/>
        </w:rPr>
      </w:pPr>
    </w:p>
    <w:p w14:paraId="307AA024" w14:textId="77777777" w:rsidR="005179B9" w:rsidRPr="00F252D7" w:rsidRDefault="005179B9" w:rsidP="005179B9">
      <w:pPr>
        <w:spacing w:after="0" w:line="276" w:lineRule="auto"/>
        <w:contextualSpacing/>
        <w:jc w:val="both"/>
        <w:rPr>
          <w:rFonts w:ascii="Verdana" w:eastAsia="Calibri" w:hAnsi="Verdana" w:cs="Arial"/>
          <w:lang w:val="es-ES" w:eastAsia="es-ES"/>
        </w:rPr>
      </w:pPr>
      <w:r w:rsidRPr="69264BA4">
        <w:rPr>
          <w:rFonts w:ascii="Verdana" w:eastAsia="Calibri" w:hAnsi="Verdana" w:cs="Arial"/>
          <w:lang w:val="es-ES" w:eastAsia="es-ES"/>
        </w:rPr>
        <w:t>Estimada señora</w:t>
      </w:r>
      <w:r>
        <w:rPr>
          <w:rFonts w:ascii="Verdana" w:eastAsia="Calibri" w:hAnsi="Verdana" w:cs="Arial"/>
          <w:lang w:val="es-ES" w:eastAsia="es-ES"/>
        </w:rPr>
        <w:t xml:space="preserve"> Barrantes</w:t>
      </w:r>
      <w:r w:rsidRPr="69264BA4">
        <w:rPr>
          <w:rFonts w:ascii="Verdana" w:eastAsia="Calibri" w:hAnsi="Verdana" w:cs="Arial"/>
          <w:lang w:val="es-ES" w:eastAsia="es-ES"/>
        </w:rPr>
        <w:t>:</w:t>
      </w:r>
    </w:p>
    <w:p w14:paraId="6B5E54B9" w14:textId="77777777" w:rsidR="005179B9" w:rsidRPr="00F252D7" w:rsidRDefault="005179B9" w:rsidP="005179B9">
      <w:pPr>
        <w:spacing w:after="0" w:line="276" w:lineRule="auto"/>
        <w:contextualSpacing/>
        <w:jc w:val="both"/>
        <w:rPr>
          <w:rFonts w:ascii="Verdana" w:eastAsia="Calibri" w:hAnsi="Verdana" w:cs="Arial"/>
          <w:lang w:val="es-ES_tradnl" w:eastAsia="es-ES_tradnl"/>
        </w:rPr>
      </w:pPr>
    </w:p>
    <w:p w14:paraId="1CE540A2" w14:textId="77777777" w:rsidR="005179B9" w:rsidRPr="00F252D7" w:rsidRDefault="005179B9" w:rsidP="005179B9">
      <w:pPr>
        <w:spacing w:after="0" w:line="276" w:lineRule="auto"/>
        <w:contextualSpacing/>
        <w:jc w:val="both"/>
        <w:rPr>
          <w:rFonts w:ascii="Verdana" w:eastAsia="Calibri" w:hAnsi="Verdana" w:cs="Arial"/>
          <w:lang w:val="es-ES" w:eastAsia="es-ES_tradnl"/>
        </w:rPr>
      </w:pPr>
      <w:r w:rsidRPr="00F252D7">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2</w:t>
      </w:r>
      <w:r w:rsidRPr="00F252D7">
        <w:rPr>
          <w:rFonts w:ascii="Verdana" w:eastAsia="Calibri" w:hAnsi="Verdana" w:cs="Arial"/>
          <w:lang w:val="es-ES" w:eastAsia="es-ES_tradnl"/>
        </w:rPr>
        <w:t xml:space="preserve"> de </w:t>
      </w:r>
      <w:r>
        <w:rPr>
          <w:rFonts w:ascii="Verdana" w:eastAsia="Calibri" w:hAnsi="Verdana" w:cs="Arial"/>
          <w:lang w:val="es-ES" w:eastAsia="es-ES_tradnl"/>
        </w:rPr>
        <w:t>julio</w:t>
      </w:r>
      <w:r w:rsidRPr="00F252D7">
        <w:rPr>
          <w:rFonts w:ascii="Verdana" w:eastAsia="Calibri" w:hAnsi="Verdana" w:cs="Arial"/>
          <w:lang w:val="es-ES" w:eastAsia="es-ES_tradnl"/>
        </w:rPr>
        <w:t xml:space="preserve"> de 202</w:t>
      </w:r>
      <w:r>
        <w:rPr>
          <w:rFonts w:ascii="Verdana" w:eastAsia="Calibri" w:hAnsi="Verdana" w:cs="Arial"/>
          <w:lang w:val="es-ES" w:eastAsia="es-ES_tradnl"/>
        </w:rPr>
        <w:t>5</w:t>
      </w:r>
      <w:r w:rsidRPr="00F252D7">
        <w:rPr>
          <w:rFonts w:ascii="Verdana" w:eastAsia="Calibri" w:hAnsi="Verdana" w:cs="Arial"/>
          <w:lang w:val="es-ES" w:eastAsia="es-ES_tradnl"/>
        </w:rPr>
        <w:t>, en la cual manifiesta lo siguiente:</w:t>
      </w:r>
    </w:p>
    <w:p w14:paraId="21ED5168" w14:textId="77777777" w:rsidR="005179B9" w:rsidRPr="00F252D7" w:rsidRDefault="005179B9" w:rsidP="005179B9">
      <w:pPr>
        <w:spacing w:after="0" w:line="276" w:lineRule="auto"/>
        <w:contextualSpacing/>
        <w:jc w:val="both"/>
        <w:rPr>
          <w:rFonts w:ascii="Verdana" w:eastAsia="Calibri" w:hAnsi="Verdana" w:cs="Arial"/>
          <w:b/>
          <w:szCs w:val="24"/>
          <w:lang w:val="es-ES_tradnl" w:eastAsia="es-ES_tradnl"/>
        </w:rPr>
      </w:pPr>
    </w:p>
    <w:p w14:paraId="2858D25B"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eastAsia="es-ES_tradnl"/>
        </w:rPr>
      </w:pPr>
      <w:r>
        <w:rPr>
          <w:rFonts w:ascii="Verdana" w:eastAsia="Times New Roman" w:hAnsi="Verdana" w:cs="Arial"/>
          <w:sz w:val="21"/>
          <w:szCs w:val="21"/>
          <w:lang w:eastAsia="es-ES_tradnl"/>
        </w:rPr>
        <w:t>“</w:t>
      </w:r>
      <w:r w:rsidRPr="00023EC8">
        <w:rPr>
          <w:rFonts w:ascii="Verdana" w:eastAsia="Times New Roman" w:hAnsi="Verdana" w:cs="Arial"/>
          <w:sz w:val="21"/>
          <w:szCs w:val="21"/>
          <w:lang w:eastAsia="es-ES_tradnl"/>
        </w:rPr>
        <w:t>Solicito respetuosamente se me informe si un contratista que presta sus servicios profesionales a una alcaldía municipal, y que en razón de su objeto contractual elabora estudios previos para procesos contractuales, puede también firmar dichos estudios previos como responsable o autor de los mismos.</w:t>
      </w:r>
      <w:r>
        <w:rPr>
          <w:rFonts w:ascii="Verdana" w:eastAsia="Times New Roman" w:hAnsi="Verdana" w:cs="Arial"/>
          <w:sz w:val="21"/>
          <w:szCs w:val="21"/>
          <w:lang w:eastAsia="es-ES_tradnl"/>
        </w:rPr>
        <w:t>[…]“</w:t>
      </w:r>
    </w:p>
    <w:p w14:paraId="728AC326"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eastAsia="es-ES_tradnl"/>
        </w:rPr>
      </w:pPr>
    </w:p>
    <w:p w14:paraId="506D7DB1" w14:textId="77777777" w:rsidR="005179B9" w:rsidRPr="00F252D7" w:rsidRDefault="005179B9" w:rsidP="005179B9">
      <w:pPr>
        <w:spacing w:after="120" w:line="276" w:lineRule="auto"/>
        <w:ind w:firstLine="709"/>
        <w:jc w:val="both"/>
        <w:rPr>
          <w:rFonts w:ascii="Verdana" w:eastAsia="Calibri" w:hAnsi="Verdana" w:cs="Arial"/>
          <w:color w:val="000000"/>
          <w:szCs w:val="24"/>
          <w:lang w:val="es-ES_tradnl" w:eastAsia="es-ES_tradnl"/>
        </w:rPr>
      </w:pPr>
      <w:r w:rsidRPr="00F252D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52D7">
        <w:rPr>
          <w:rFonts w:ascii="Verdana" w:eastAsia="Calibri" w:hAnsi="Verdana" w:cs="Arial"/>
          <w:color w:val="000000"/>
          <w:szCs w:val="24"/>
          <w:lang w:val="es-ES_tradnl" w:eastAsia="es-ES_tradnl"/>
        </w:rPr>
        <w:tab/>
      </w:r>
    </w:p>
    <w:p w14:paraId="137BD6EE" w14:textId="77777777" w:rsidR="005179B9" w:rsidRPr="00F252D7" w:rsidRDefault="005179B9" w:rsidP="005179B9">
      <w:pPr>
        <w:spacing w:after="0" w:line="276" w:lineRule="auto"/>
        <w:ind w:firstLine="709"/>
        <w:jc w:val="both"/>
        <w:rPr>
          <w:rFonts w:ascii="Verdana" w:eastAsia="Calibri" w:hAnsi="Verdana" w:cs="Arial"/>
          <w:lang w:val="es-ES" w:eastAsia="es-ES"/>
        </w:rPr>
      </w:pPr>
      <w:r w:rsidRPr="00F252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e</w:t>
      </w:r>
      <w:r w:rsidRPr="00F252D7">
        <w:rPr>
          <w:rFonts w:ascii="Verdana" w:eastAsia="Calibri" w:hAnsi="Verdana" w:cs="Arial"/>
          <w:lang w:val="es-ES" w:eastAsia="es-ES"/>
        </w:rPr>
        <w:t xml:space="preserve">l problema jurídico de su consulta. </w:t>
      </w:r>
    </w:p>
    <w:p w14:paraId="10F123F5" w14:textId="77777777" w:rsidR="005179B9" w:rsidRPr="00F252D7" w:rsidRDefault="005179B9" w:rsidP="005179B9">
      <w:pPr>
        <w:spacing w:after="0" w:line="276" w:lineRule="auto"/>
        <w:contextualSpacing/>
        <w:jc w:val="both"/>
        <w:rPr>
          <w:rFonts w:ascii="Verdana" w:eastAsia="Times New Roman" w:hAnsi="Verdana" w:cs="Arial"/>
          <w:szCs w:val="24"/>
          <w:lang w:val="es-ES_tradnl" w:eastAsia="es-ES_tradnl"/>
        </w:rPr>
      </w:pPr>
    </w:p>
    <w:p w14:paraId="0DFD2A06" w14:textId="77777777" w:rsidR="005179B9" w:rsidRPr="00F252D7" w:rsidRDefault="005179B9" w:rsidP="005179B9">
      <w:pPr>
        <w:tabs>
          <w:tab w:val="left" w:pos="0"/>
          <w:tab w:val="left" w:pos="284"/>
        </w:tabs>
        <w:spacing w:after="0" w:line="276" w:lineRule="auto"/>
        <w:contextualSpacing/>
        <w:jc w:val="both"/>
        <w:rPr>
          <w:rFonts w:ascii="Verdana" w:eastAsia="Calibri" w:hAnsi="Verdana" w:cs="Arial"/>
          <w:b/>
          <w:lang w:val="es-ES_tradnl"/>
        </w:rPr>
      </w:pPr>
      <w:r w:rsidRPr="00F252D7">
        <w:rPr>
          <w:rFonts w:ascii="Verdana" w:eastAsia="Calibri" w:hAnsi="Verdana" w:cs="Arial"/>
          <w:b/>
          <w:lang w:val="es-ES_tradnl"/>
        </w:rPr>
        <w:t>1. Problema planteado:</w:t>
      </w:r>
    </w:p>
    <w:p w14:paraId="4441EE9D" w14:textId="77777777" w:rsidR="005179B9" w:rsidRPr="00F252D7" w:rsidRDefault="005179B9" w:rsidP="005179B9">
      <w:pPr>
        <w:tabs>
          <w:tab w:val="left" w:pos="0"/>
          <w:tab w:val="left" w:pos="284"/>
        </w:tabs>
        <w:spacing w:after="0" w:line="276" w:lineRule="auto"/>
        <w:contextualSpacing/>
        <w:jc w:val="both"/>
        <w:rPr>
          <w:rFonts w:ascii="Verdana" w:eastAsia="Calibri" w:hAnsi="Verdana" w:cs="Arial"/>
          <w:b/>
          <w:lang w:val="es-ES_tradnl"/>
        </w:rPr>
      </w:pPr>
    </w:p>
    <w:p w14:paraId="306BCCFC" w14:textId="77777777" w:rsidR="005179B9" w:rsidRPr="00F252D7" w:rsidRDefault="005179B9" w:rsidP="005179B9">
      <w:pPr>
        <w:spacing w:after="0" w:line="276" w:lineRule="auto"/>
        <w:jc w:val="both"/>
        <w:rPr>
          <w:rFonts w:ascii="Verdana" w:eastAsia="Century Gothic" w:hAnsi="Verdana" w:cs="Century Gothic"/>
        </w:rPr>
      </w:pPr>
      <w:r w:rsidRPr="00F252D7">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¿Quién debe elaborar los estudios previos para la celebración de un contrato de prestación de servicios en una entidad estatal</w:t>
      </w:r>
      <w:r w:rsidRPr="00F252D7">
        <w:rPr>
          <w:rFonts w:ascii="Verdana" w:eastAsia="Century Gothic" w:hAnsi="Verdana" w:cs="Century Gothic"/>
        </w:rPr>
        <w:t xml:space="preserve">? </w:t>
      </w:r>
    </w:p>
    <w:p w14:paraId="32A3B21E" w14:textId="77777777" w:rsidR="005179B9" w:rsidRPr="00F252D7" w:rsidRDefault="005179B9" w:rsidP="005179B9">
      <w:pPr>
        <w:spacing w:after="0" w:line="276" w:lineRule="auto"/>
        <w:ind w:firstLine="709"/>
        <w:jc w:val="both"/>
        <w:rPr>
          <w:rFonts w:ascii="Verdana" w:eastAsia="Calibri" w:hAnsi="Verdana" w:cs="Arial"/>
          <w:lang w:val="es-ES" w:eastAsia="es-ES_tradnl"/>
        </w:rPr>
      </w:pPr>
    </w:p>
    <w:p w14:paraId="4CF5092E" w14:textId="77777777" w:rsidR="005179B9" w:rsidRPr="00F252D7" w:rsidRDefault="005179B9" w:rsidP="005179B9">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2. Respuesta:</w:t>
      </w:r>
    </w:p>
    <w:p w14:paraId="6F6E1335" w14:textId="77777777" w:rsidR="005179B9" w:rsidRPr="00F252D7" w:rsidRDefault="005179B9" w:rsidP="005179B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79B9" w:rsidRPr="00F252D7" w14:paraId="244C0DC5" w14:textId="77777777" w:rsidTr="27FCA08E">
        <w:tc>
          <w:tcPr>
            <w:tcW w:w="8828" w:type="dxa"/>
          </w:tcPr>
          <w:p w14:paraId="6CE3CEDD" w14:textId="77777777" w:rsidR="005179B9" w:rsidRPr="008D3296" w:rsidRDefault="005179B9" w:rsidP="00622C55">
            <w:pPr>
              <w:pStyle w:val="Textoindependiente"/>
              <w:spacing w:line="276" w:lineRule="auto"/>
              <w:ind w:left="120" w:right="103"/>
              <w:jc w:val="both"/>
              <w:rPr>
                <w:rFonts w:ascii="Verdana" w:eastAsia="Century Gothic" w:hAnsi="Verdana" w:cs="Century Gothic"/>
              </w:rPr>
            </w:pPr>
            <w:r w:rsidRPr="008D3296">
              <w:rPr>
                <w:rFonts w:ascii="Verdana" w:eastAsia="Century Gothic" w:hAnsi="Verdana" w:cs="Century Gothic"/>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Pr>
                <w:rStyle w:val="Refdenotaalpie"/>
                <w:rFonts w:ascii="Verdana" w:eastAsia="Century Gothic" w:hAnsi="Verdana" w:cs="Century Gothic"/>
              </w:rPr>
              <w:footnoteReference w:id="1"/>
            </w:r>
            <w:r w:rsidRPr="008D3296">
              <w:rPr>
                <w:rFonts w:ascii="Verdana" w:eastAsia="Century Gothic" w:hAnsi="Verdana" w:cs="Century Gothic"/>
              </w:rPr>
              <w:t xml:space="preserve">. De esta manera, de acuerdo con la estructura interna de cada entidad, la elaboración </w:t>
            </w:r>
            <w:r w:rsidRPr="008D3296">
              <w:rPr>
                <w:rFonts w:ascii="Verdana" w:eastAsia="Century Gothic" w:hAnsi="Verdana" w:cs="Century Gothic"/>
              </w:rPr>
              <w:lastRenderedPageBreak/>
              <w:t>de los estudios previos corresponderá al funcionario responsable de la dependencia con la necesidad a satisfacer.</w:t>
            </w:r>
          </w:p>
          <w:p w14:paraId="746A5852" w14:textId="77777777" w:rsidR="00A03BD5" w:rsidRDefault="00A03BD5" w:rsidP="00A03BD5">
            <w:pPr>
              <w:pStyle w:val="Textoindependiente"/>
              <w:spacing w:before="93" w:line="278" w:lineRule="auto"/>
              <w:ind w:left="120"/>
              <w:jc w:val="both"/>
              <w:rPr>
                <w:rFonts w:ascii="Verdana" w:eastAsia="Century Gothic" w:hAnsi="Verdana" w:cs="Century Gothic"/>
              </w:rPr>
            </w:pPr>
            <w:r>
              <w:rPr>
                <w:rFonts w:ascii="Verdana" w:eastAsia="Century Gothic" w:hAnsi="Verdana" w:cs="Century Gothic"/>
              </w:rPr>
              <w:t>De igual manera, es necesario mencionar que l</w:t>
            </w:r>
            <w:r w:rsidRPr="008D3296">
              <w:rPr>
                <w:rFonts w:ascii="Verdana" w:eastAsia="Century Gothic" w:hAnsi="Verdana" w:cs="Century Gothic"/>
              </w:rPr>
              <w:t>as normas de contratación estatal no contemplan limitaci</w:t>
            </w:r>
            <w:r>
              <w:rPr>
                <w:rFonts w:ascii="Verdana" w:eastAsia="Century Gothic" w:hAnsi="Verdana" w:cs="Century Gothic"/>
              </w:rPr>
              <w:t xml:space="preserve">ones o restricciones en la ejecución de los contratos para los funcionarios que participaron en la etapa precontractual o </w:t>
            </w:r>
            <w:r w:rsidRPr="008D3296">
              <w:rPr>
                <w:rFonts w:ascii="Verdana" w:eastAsia="Century Gothic" w:hAnsi="Verdana" w:cs="Century Gothic"/>
              </w:rPr>
              <w:t>elaboración de los estudios previos</w:t>
            </w:r>
            <w:r>
              <w:rPr>
                <w:rFonts w:ascii="Verdana" w:eastAsia="Century Gothic" w:hAnsi="Verdana" w:cs="Century Gothic"/>
              </w:rPr>
              <w:t xml:space="preserve">. </w:t>
            </w:r>
          </w:p>
          <w:p w14:paraId="30A0CFAE" w14:textId="77777777" w:rsidR="005179B9" w:rsidRPr="005E0282" w:rsidRDefault="005179B9" w:rsidP="00622C55">
            <w:pPr>
              <w:pStyle w:val="Textoindependiente"/>
              <w:spacing w:before="93" w:line="278" w:lineRule="auto"/>
              <w:ind w:left="120"/>
              <w:jc w:val="both"/>
              <w:rPr>
                <w:rFonts w:ascii="Verdana" w:eastAsia="Century Gothic" w:hAnsi="Verdana" w:cs="Century Gothic"/>
              </w:rPr>
            </w:pPr>
            <w:r w:rsidRPr="008C5EF6">
              <w:rPr>
                <w:rFonts w:ascii="Verdana" w:eastAsia="Times New Roman" w:hAnsi="Verdana" w:cs="Arial"/>
                <w:color w:val="000000" w:themeColor="text1"/>
                <w:lang w:eastAsia="es-CO"/>
              </w:rPr>
              <w:t>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tc>
      </w:tr>
    </w:tbl>
    <w:p w14:paraId="14B903F4" w14:textId="77777777" w:rsidR="005179B9" w:rsidRPr="00F252D7" w:rsidRDefault="005179B9" w:rsidP="005179B9">
      <w:pPr>
        <w:spacing w:after="0" w:line="276" w:lineRule="auto"/>
        <w:contextualSpacing/>
        <w:jc w:val="both"/>
        <w:rPr>
          <w:rFonts w:ascii="Verdana" w:eastAsia="Times New Roman" w:hAnsi="Verdana" w:cs="Arial"/>
          <w:lang w:eastAsia="es-ES_tradnl"/>
        </w:rPr>
      </w:pPr>
    </w:p>
    <w:p w14:paraId="18D962C3" w14:textId="77777777" w:rsidR="005179B9" w:rsidRPr="00F252D7" w:rsidRDefault="005179B9" w:rsidP="005179B9">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lang w:val="es-ES"/>
        </w:rPr>
        <w:t>3. Razones de la respuesta:</w:t>
      </w:r>
    </w:p>
    <w:p w14:paraId="66AE9261" w14:textId="77777777" w:rsidR="005179B9" w:rsidRPr="00F252D7" w:rsidRDefault="005179B9" w:rsidP="005179B9">
      <w:pPr>
        <w:spacing w:after="0" w:line="276" w:lineRule="auto"/>
        <w:jc w:val="both"/>
        <w:rPr>
          <w:rFonts w:ascii="Verdana" w:eastAsia="Calibri" w:hAnsi="Verdana" w:cs="Arial"/>
          <w:color w:val="7030A0"/>
          <w:lang w:val="es-ES"/>
        </w:rPr>
      </w:pPr>
    </w:p>
    <w:p w14:paraId="52326E46" w14:textId="77777777" w:rsidR="005179B9" w:rsidRPr="00F252D7" w:rsidRDefault="005179B9" w:rsidP="005179B9">
      <w:pPr>
        <w:spacing w:after="0" w:line="276" w:lineRule="auto"/>
        <w:jc w:val="both"/>
        <w:rPr>
          <w:rFonts w:ascii="Verdana" w:eastAsia="Calibri" w:hAnsi="Verdana" w:cs="Arial"/>
          <w:lang w:val="es-ES"/>
        </w:rPr>
      </w:pPr>
      <w:r w:rsidRPr="00F252D7">
        <w:rPr>
          <w:rFonts w:ascii="Verdana" w:eastAsia="Calibri" w:hAnsi="Verdana" w:cs="Arial"/>
          <w:lang w:val="es-ES"/>
        </w:rPr>
        <w:t xml:space="preserve">Lo anterior se sustenta en las siguientes consideraciones: </w:t>
      </w:r>
    </w:p>
    <w:p w14:paraId="73BD67DE" w14:textId="77777777" w:rsidR="005179B9" w:rsidRPr="00F252D7" w:rsidRDefault="005179B9" w:rsidP="005179B9">
      <w:pPr>
        <w:spacing w:after="0" w:line="276" w:lineRule="auto"/>
        <w:contextualSpacing/>
        <w:jc w:val="both"/>
        <w:rPr>
          <w:rFonts w:ascii="Verdana" w:eastAsia="Times New Roman" w:hAnsi="Verdana" w:cs="Arial"/>
          <w:lang w:val="es-ES" w:eastAsia="es-ES_tradnl"/>
        </w:rPr>
      </w:pPr>
    </w:p>
    <w:p w14:paraId="444693D4" w14:textId="77777777" w:rsidR="005179B9" w:rsidRPr="00F252D7" w:rsidRDefault="005179B9" w:rsidP="005179B9">
      <w:pPr>
        <w:numPr>
          <w:ilvl w:val="0"/>
          <w:numId w:val="17"/>
        </w:numPr>
        <w:spacing w:after="120" w:line="276" w:lineRule="auto"/>
        <w:contextualSpacing/>
        <w:jc w:val="both"/>
        <w:rPr>
          <w:rFonts w:ascii="Verdana" w:eastAsia="Times New Roman" w:hAnsi="Verdana" w:cs="Arial"/>
          <w:lang w:val="es-ES_tradnl" w:eastAsia="es-MX"/>
        </w:rPr>
      </w:pPr>
      <w:bookmarkStart w:id="2" w:name="_Hlk54011258"/>
      <w:r w:rsidRPr="00F252D7">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2"/>
      <w:r w:rsidRPr="00F252D7">
        <w:rPr>
          <w:rFonts w:ascii="Verdana" w:eastAsia="Calibri" w:hAnsi="Verdana" w:cs="Arial"/>
          <w:bCs/>
          <w:lang w:val="es-ES_tradnl" w:eastAsia="es-MX"/>
        </w:rPr>
        <w:t>.</w:t>
      </w:r>
    </w:p>
    <w:p w14:paraId="62A2004F" w14:textId="77777777" w:rsidR="005179B9" w:rsidRPr="00F252D7" w:rsidRDefault="005179B9" w:rsidP="005179B9">
      <w:pPr>
        <w:spacing w:after="120" w:line="276" w:lineRule="auto"/>
        <w:ind w:left="720"/>
        <w:contextualSpacing/>
        <w:jc w:val="both"/>
        <w:rPr>
          <w:rFonts w:ascii="Verdana" w:eastAsia="Times New Roman" w:hAnsi="Verdana" w:cs="Arial"/>
          <w:lang w:val="es-ES_tradnl" w:eastAsia="es-MX"/>
        </w:rPr>
      </w:pPr>
    </w:p>
    <w:p w14:paraId="7BF2BDCC" w14:textId="77777777" w:rsidR="005179B9" w:rsidRPr="00F252D7" w:rsidRDefault="005179B9" w:rsidP="005179B9">
      <w:pPr>
        <w:numPr>
          <w:ilvl w:val="0"/>
          <w:numId w:val="17"/>
        </w:numPr>
        <w:spacing w:before="120" w:after="0" w:line="276" w:lineRule="auto"/>
        <w:contextualSpacing/>
        <w:jc w:val="both"/>
        <w:rPr>
          <w:rFonts w:ascii="Verdana" w:eastAsia="Calibri" w:hAnsi="Verdana" w:cs="Arial"/>
          <w:bCs/>
          <w:lang w:val="es-ES" w:eastAsia="es-ES_tradnl"/>
        </w:rPr>
      </w:pP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w:t>
      </w:r>
      <w:r w:rsidRPr="00F252D7">
        <w:rPr>
          <w:rFonts w:ascii="Verdana" w:eastAsia="Calibri" w:hAnsi="Verdana" w:cs="Arial"/>
          <w:bCs/>
          <w:lang w:val="es-MX" w:eastAsia="es-ES_tradnl"/>
        </w:rPr>
        <w:lastRenderedPageBreak/>
        <w:t xml:space="preserve">contrato y su correlativo respaldo presupuestal, se tienen, por ejemplo, las siguientes reglas derivadas de la aplicación del principio de economía previsto en el artículo 25 de la Ley 80 de 1993: </w:t>
      </w:r>
    </w:p>
    <w:p w14:paraId="2A6838EA" w14:textId="77777777" w:rsidR="005179B9" w:rsidRPr="00F252D7" w:rsidRDefault="005179B9" w:rsidP="005179B9">
      <w:pPr>
        <w:spacing w:after="0" w:line="276" w:lineRule="auto"/>
        <w:ind w:firstLine="709"/>
        <w:jc w:val="both"/>
        <w:rPr>
          <w:rFonts w:ascii="Verdana" w:eastAsia="Calibri" w:hAnsi="Verdana" w:cs="Arial"/>
          <w:bCs/>
          <w:lang w:val="es-ES" w:eastAsia="es-ES_tradnl"/>
        </w:rPr>
      </w:pPr>
    </w:p>
    <w:p w14:paraId="7B5C41F2"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1D5AD20F"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p>
    <w:p w14:paraId="403947B7"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w:t>
      </w:r>
    </w:p>
    <w:p w14:paraId="70810F25"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p>
    <w:p w14:paraId="222EEC37"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D28B180"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p>
    <w:p w14:paraId="1D2E6C32"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8F974D6" w14:textId="77777777" w:rsidR="005179B9" w:rsidRPr="00F252D7" w:rsidRDefault="005179B9" w:rsidP="005179B9">
      <w:pPr>
        <w:spacing w:after="0" w:line="240" w:lineRule="auto"/>
        <w:ind w:left="709" w:right="709"/>
        <w:contextualSpacing/>
        <w:jc w:val="both"/>
        <w:rPr>
          <w:rFonts w:ascii="Verdana" w:eastAsia="Calibri" w:hAnsi="Verdana" w:cs="Arial"/>
          <w:sz w:val="21"/>
          <w:szCs w:val="21"/>
          <w:lang w:val="es-MX" w:eastAsia="es-ES_tradnl"/>
        </w:rPr>
      </w:pPr>
    </w:p>
    <w:p w14:paraId="3503F1D6"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3616C24"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7B7E9344"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41E49103" w14:textId="77777777" w:rsidR="005179B9" w:rsidRPr="00F252D7" w:rsidRDefault="005179B9" w:rsidP="005179B9">
      <w:pPr>
        <w:spacing w:after="0" w:line="276" w:lineRule="auto"/>
        <w:jc w:val="both"/>
        <w:rPr>
          <w:rFonts w:ascii="Verdana" w:eastAsia="Times New Roman" w:hAnsi="Verdana" w:cs="Arial"/>
          <w:lang w:val="es-ES_tradnl" w:eastAsia="es-MX"/>
        </w:rPr>
      </w:pPr>
    </w:p>
    <w:p w14:paraId="789BFCEC" w14:textId="77777777" w:rsidR="005179B9" w:rsidRPr="00F252D7" w:rsidRDefault="005179B9" w:rsidP="005179B9">
      <w:pPr>
        <w:numPr>
          <w:ilvl w:val="0"/>
          <w:numId w:val="18"/>
        </w:numPr>
        <w:spacing w:after="0" w:line="276" w:lineRule="auto"/>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w:t>
      </w:r>
      <w:r w:rsidRPr="00F252D7">
        <w:rPr>
          <w:rFonts w:ascii="Verdana" w:eastAsia="Times New Roman" w:hAnsi="Verdana" w:cs="Arial"/>
          <w:lang w:val="es-ES_tradnl" w:eastAsia="es-MX"/>
        </w:rPr>
        <w:lastRenderedPageBreak/>
        <w:t>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252D7">
        <w:rPr>
          <w:rFonts w:ascii="Geomanist Light" w:hAnsi="Geomanist Light"/>
          <w:vertAlign w:val="superscript"/>
          <w:lang w:val="es-ES" w:eastAsia="es-MX"/>
        </w:rPr>
        <w:footnoteReference w:id="2"/>
      </w:r>
      <w:r w:rsidRPr="00F252D7">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1342EBF6" w14:textId="77777777" w:rsidR="005179B9" w:rsidRPr="00F252D7" w:rsidRDefault="005179B9" w:rsidP="005179B9">
      <w:pPr>
        <w:spacing w:after="0" w:line="276" w:lineRule="auto"/>
        <w:rPr>
          <w:rFonts w:ascii="Verdana" w:eastAsia="Times New Roman" w:hAnsi="Verdana" w:cs="Arial"/>
          <w:lang w:val="es-ES_tradnl" w:eastAsia="es-CO"/>
        </w:rPr>
      </w:pPr>
    </w:p>
    <w:p w14:paraId="09630A85"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3797551A"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43A8968B"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1. La descripción de la necesidad que la Entidad Estatal pretende satisfacer con el Proceso de Contratación. </w:t>
      </w:r>
      <w:r w:rsidRPr="00F252D7">
        <w:rPr>
          <w:rFonts w:ascii="Arial" w:eastAsia="Times New Roman" w:hAnsi="Arial" w:cs="Arial"/>
          <w:sz w:val="21"/>
          <w:szCs w:val="21"/>
          <w:lang w:val="es-ES_tradnl" w:eastAsia="es-MX"/>
        </w:rPr>
        <w:t>​</w:t>
      </w:r>
    </w:p>
    <w:p w14:paraId="35A43301"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77458567"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411BAAAB"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5D6F2B79"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3. La modalidad de selección del contratista y su justificación, incluyendo los fundamentos jurídicos. </w:t>
      </w:r>
    </w:p>
    <w:p w14:paraId="0CE3BA7F"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17763F14"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 w:eastAsia="es-MX"/>
        </w:rPr>
      </w:pPr>
      <w:r w:rsidRPr="4C0AF392">
        <w:rPr>
          <w:rFonts w:ascii="Verdana" w:eastAsia="Times New Roman" w:hAnsi="Verdana" w:cs="Arial"/>
          <w:sz w:val="21"/>
          <w:szCs w:val="21"/>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2E5EAACC"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00CB275C"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5. Los criterios para seleccionar la oferta más favorable. </w:t>
      </w:r>
    </w:p>
    <w:p w14:paraId="0CB1A055"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1560A14B"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6. El análisis de Riesgo y la forma de mitigarlo. </w:t>
      </w:r>
    </w:p>
    <w:p w14:paraId="37187301"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4000CAC3"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7. Las garantías que la Entidad Estatal contempla exigir en el proceso de contratación. </w:t>
      </w:r>
    </w:p>
    <w:p w14:paraId="796F7174"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43606E72"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lastRenderedPageBreak/>
        <w:t xml:space="preserve">8. La indicación de si el proceso de contratación está cobijado por un acuerdo comercial. </w:t>
      </w:r>
    </w:p>
    <w:p w14:paraId="6579D644"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p>
    <w:p w14:paraId="0E1DDA27" w14:textId="77777777" w:rsidR="005179B9" w:rsidRPr="00F252D7" w:rsidRDefault="005179B9" w:rsidP="005179B9">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El presente artículo no es aplicable a la contratación por mínima cuantía”.</w:t>
      </w:r>
    </w:p>
    <w:p w14:paraId="2A46CFC7" w14:textId="77777777" w:rsidR="005179B9" w:rsidRPr="00F252D7" w:rsidRDefault="005179B9" w:rsidP="005179B9">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799DD550" w14:textId="77777777" w:rsidR="005179B9" w:rsidRPr="00F252D7" w:rsidRDefault="005179B9" w:rsidP="005179B9">
      <w:pPr>
        <w:numPr>
          <w:ilvl w:val="0"/>
          <w:numId w:val="18"/>
        </w:numPr>
        <w:spacing w:after="120" w:line="276" w:lineRule="auto"/>
        <w:contextualSpacing/>
        <w:jc w:val="both"/>
        <w:rPr>
          <w:rFonts w:ascii="Verdana" w:eastAsia="Times New Roman" w:hAnsi="Verdana" w:cs="Arial"/>
          <w:lang w:val="es-ES" w:eastAsia="es-MX"/>
        </w:rPr>
      </w:pPr>
      <w:bookmarkStart w:id="3" w:name="_Hlk54011351"/>
      <w:r w:rsidRPr="69264BA4">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w:t>
      </w:r>
      <w:bookmarkEnd w:id="3"/>
      <w:r w:rsidRPr="69264BA4">
        <w:rPr>
          <w:rFonts w:ascii="Verdana" w:eastAsia="Calibri" w:hAnsi="Verdana" w:cs="Arial"/>
          <w:lang w:val="es-ES" w:eastAsia="es-MX"/>
        </w:rPr>
        <w:t xml:space="preserve">permite que los contratos resultantes de la planeación cuenten con el sustento técnico, económico y jurídico que incidirá </w:t>
      </w:r>
      <w:r w:rsidRPr="69264BA4">
        <w:rPr>
          <w:rFonts w:ascii="Verdana" w:eastAsia="Times New Roman" w:hAnsi="Verdana" w:cs="Arial"/>
          <w:lang w:val="es-ES" w:eastAsia="es-MX"/>
        </w:rPr>
        <w:t>en una adecuada ejecución.</w:t>
      </w:r>
    </w:p>
    <w:p w14:paraId="370D5DF7" w14:textId="77777777" w:rsidR="005179B9" w:rsidRPr="00F252D7" w:rsidRDefault="005179B9" w:rsidP="005179B9">
      <w:pPr>
        <w:spacing w:after="120" w:line="276" w:lineRule="auto"/>
        <w:ind w:left="720"/>
        <w:contextualSpacing/>
        <w:jc w:val="both"/>
        <w:rPr>
          <w:rFonts w:ascii="Verdana" w:eastAsia="Times New Roman" w:hAnsi="Verdana" w:cs="Arial"/>
          <w:lang w:val="es-ES_tradnl" w:eastAsia="es-MX"/>
        </w:rPr>
      </w:pPr>
    </w:p>
    <w:p w14:paraId="16DAA8F8" w14:textId="77777777" w:rsidR="005179B9" w:rsidRPr="00F252D7" w:rsidRDefault="005179B9" w:rsidP="005179B9">
      <w:pPr>
        <w:numPr>
          <w:ilvl w:val="0"/>
          <w:numId w:val="18"/>
        </w:numPr>
        <w:spacing w:after="120" w:line="276" w:lineRule="auto"/>
        <w:ind w:right="102"/>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F252D7">
        <w:rPr>
          <w:rFonts w:ascii="Geomanist Light" w:hAnsi="Geomanist Light"/>
          <w:vertAlign w:val="superscript"/>
          <w:lang w:val="es-ES" w:eastAsia="es-MX"/>
        </w:rPr>
        <w:footnoteReference w:id="3"/>
      </w:r>
      <w:r w:rsidRPr="00F252D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5" w:name="_Hlk54011438"/>
      <w:r w:rsidRPr="00F252D7">
        <w:rPr>
          <w:rFonts w:ascii="Verdana" w:eastAsia="Times New Roman" w:hAnsi="Verdana" w:cs="Arial"/>
          <w:lang w:val="es-ES_tradnl" w:eastAsia="es-MX"/>
        </w:rPr>
        <w:t xml:space="preserve">los estudios y documentos previos son necesarios antes de la celebración del contrato, pues fundamentan las condiciones </w:t>
      </w:r>
      <w:r w:rsidRPr="00F252D7">
        <w:rPr>
          <w:rFonts w:ascii="Verdana" w:eastAsia="Times New Roman" w:hAnsi="Verdana" w:cs="Arial"/>
          <w:lang w:val="es-ES_tradnl" w:eastAsia="es-MX"/>
        </w:rPr>
        <w:lastRenderedPageBreak/>
        <w:t>que la Entidad Estatal exige en su Proceso de Contratación. Sin embargo, luego de la suscripción del contrato la entidad no debe actuar unilateralmente, sino que debe respetar la buena fe contractual y proceder de acuerdo con lo pactado</w:t>
      </w:r>
      <w:bookmarkEnd w:id="5"/>
      <w:r w:rsidRPr="00F252D7">
        <w:rPr>
          <w:rFonts w:ascii="Geomanist Light" w:hAnsi="Geomanist Light"/>
          <w:vertAlign w:val="superscript"/>
          <w:lang w:val="es-ES" w:eastAsia="es-MX"/>
        </w:rPr>
        <w:footnoteReference w:id="4"/>
      </w:r>
      <w:r w:rsidRPr="00F252D7">
        <w:rPr>
          <w:rFonts w:ascii="Verdana" w:eastAsia="Times New Roman" w:hAnsi="Verdana" w:cs="Arial"/>
          <w:lang w:val="es-ES_tradnl" w:eastAsia="es-MX"/>
        </w:rPr>
        <w:t>.</w:t>
      </w:r>
    </w:p>
    <w:p w14:paraId="5D90FC92" w14:textId="77777777" w:rsidR="005179B9" w:rsidRPr="00F252D7" w:rsidRDefault="005179B9" w:rsidP="005179B9">
      <w:pPr>
        <w:ind w:left="720"/>
        <w:contextualSpacing/>
        <w:rPr>
          <w:rFonts w:ascii="Verdana" w:eastAsia="Times New Roman" w:hAnsi="Verdana" w:cs="Arial"/>
          <w:lang w:val="es-ES_tradnl" w:eastAsia="es-MX"/>
        </w:rPr>
      </w:pPr>
    </w:p>
    <w:p w14:paraId="1E365C03" w14:textId="77777777" w:rsidR="005179B9" w:rsidRPr="00F252D7" w:rsidRDefault="005179B9" w:rsidP="005179B9">
      <w:pPr>
        <w:numPr>
          <w:ilvl w:val="0"/>
          <w:numId w:val="18"/>
        </w:numPr>
        <w:spacing w:after="120" w:line="276" w:lineRule="auto"/>
        <w:contextualSpacing/>
        <w:jc w:val="both"/>
        <w:rPr>
          <w:rFonts w:ascii="Verdana" w:eastAsia="Times New Roman" w:hAnsi="Verdana" w:cs="Arial"/>
          <w:szCs w:val="24"/>
          <w:lang w:val="es-ES" w:eastAsia="es-ES_tradnl"/>
        </w:rPr>
      </w:pPr>
      <w:r w:rsidRPr="00F252D7">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ii) previo a la firma del contrato en el caso en que la modalidad de selección sea contratación directa. </w:t>
      </w:r>
    </w:p>
    <w:p w14:paraId="267492F1" w14:textId="77777777" w:rsidR="005179B9" w:rsidRPr="00F252D7" w:rsidRDefault="005179B9" w:rsidP="005179B9">
      <w:pPr>
        <w:ind w:left="720"/>
        <w:contextualSpacing/>
        <w:rPr>
          <w:rFonts w:ascii="Verdana" w:eastAsia="Times New Roman" w:hAnsi="Verdana" w:cs="Arial"/>
          <w:szCs w:val="24"/>
          <w:lang w:val="es-ES" w:eastAsia="es-ES_tradnl"/>
        </w:rPr>
      </w:pPr>
    </w:p>
    <w:p w14:paraId="6135F5B3" w14:textId="77777777" w:rsidR="005179B9" w:rsidRDefault="005179B9" w:rsidP="005179B9">
      <w:pPr>
        <w:numPr>
          <w:ilvl w:val="0"/>
          <w:numId w:val="18"/>
        </w:numPr>
        <w:spacing w:after="120" w:line="276" w:lineRule="auto"/>
        <w:contextualSpacing/>
        <w:jc w:val="both"/>
        <w:rPr>
          <w:rFonts w:ascii="Verdana" w:eastAsia="Calibri" w:hAnsi="Verdana" w:cs="Arial"/>
          <w:bCs/>
          <w:lang w:val="es-ES_tradnl" w:eastAsia="es-MX"/>
        </w:rPr>
      </w:pPr>
      <w:r w:rsidRPr="00F252D7">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p>
    <w:p w14:paraId="6E1FBF2C" w14:textId="77777777" w:rsidR="005179B9" w:rsidRPr="00F252D7" w:rsidRDefault="005179B9" w:rsidP="005179B9">
      <w:pPr>
        <w:spacing w:after="120" w:line="276" w:lineRule="auto"/>
        <w:contextualSpacing/>
        <w:jc w:val="both"/>
        <w:rPr>
          <w:rFonts w:ascii="Verdana" w:eastAsia="Calibri" w:hAnsi="Verdana" w:cs="Arial"/>
          <w:bCs/>
          <w:lang w:val="es-ES_tradnl" w:eastAsia="es-MX"/>
        </w:rPr>
      </w:pPr>
    </w:p>
    <w:p w14:paraId="52F5F172" w14:textId="77777777" w:rsidR="005179B9" w:rsidRPr="00F252D7" w:rsidRDefault="005179B9" w:rsidP="005179B9">
      <w:pPr>
        <w:ind w:left="720"/>
        <w:contextualSpacing/>
        <w:rPr>
          <w:rFonts w:ascii="Verdana" w:eastAsia="Calibri" w:hAnsi="Verdana" w:cs="Arial"/>
          <w:bCs/>
          <w:lang w:val="es-ES_tradnl" w:eastAsia="es-MX"/>
        </w:rPr>
      </w:pPr>
      <w:bookmarkStart w:id="6" w:name="_Hlk36140682"/>
    </w:p>
    <w:p w14:paraId="07864928" w14:textId="750A264F" w:rsidR="005179B9" w:rsidRDefault="005179B9" w:rsidP="0063677D">
      <w:pPr>
        <w:numPr>
          <w:ilvl w:val="0"/>
          <w:numId w:val="18"/>
        </w:numPr>
        <w:spacing w:after="120" w:line="276" w:lineRule="auto"/>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bookmarkEnd w:id="6"/>
    </w:p>
    <w:p w14:paraId="5D220491" w14:textId="77777777" w:rsidR="0063677D" w:rsidRPr="0063677D" w:rsidRDefault="0063677D" w:rsidP="0063677D">
      <w:pPr>
        <w:spacing w:after="120" w:line="276" w:lineRule="auto"/>
        <w:ind w:left="720"/>
        <w:contextualSpacing/>
        <w:jc w:val="both"/>
        <w:rPr>
          <w:rFonts w:ascii="Verdana" w:eastAsia="Calibri" w:hAnsi="Verdana" w:cs="Arial"/>
          <w:bCs/>
          <w:lang w:val="es-ES_tradnl" w:eastAsia="es-MX"/>
        </w:rPr>
      </w:pPr>
    </w:p>
    <w:p w14:paraId="45B14B50" w14:textId="77777777" w:rsidR="005179B9" w:rsidRPr="00B02DDF" w:rsidRDefault="005179B9" w:rsidP="005179B9">
      <w:pPr>
        <w:pStyle w:val="Textoindependiente"/>
        <w:numPr>
          <w:ilvl w:val="0"/>
          <w:numId w:val="19"/>
        </w:numPr>
        <w:spacing w:line="276" w:lineRule="auto"/>
        <w:ind w:right="103"/>
        <w:jc w:val="both"/>
        <w:rPr>
          <w:rFonts w:ascii="Verdana" w:eastAsia="Times New Roman" w:hAnsi="Verdana" w:cs="Arial"/>
          <w:sz w:val="21"/>
          <w:szCs w:val="21"/>
          <w:lang w:val="es-MX" w:eastAsia="es-ES_tradnl"/>
        </w:rPr>
      </w:pPr>
      <w:r w:rsidRPr="00B02DDF">
        <w:rPr>
          <w:rFonts w:ascii="Verdana" w:eastAsia="Times New Roman" w:hAnsi="Verdana" w:cs="Arial"/>
          <w:sz w:val="21"/>
          <w:szCs w:val="21"/>
          <w:lang w:val="es-MX" w:eastAsia="es-ES_tradnl"/>
        </w:rPr>
        <w:lastRenderedPageBreak/>
        <w:t>Cuando las entidades cumplen con los elementos mínimos establecidos en la norma y aquellos adicionales que identifiquen en la etapa de planeación de los procedimientos de contratación, permiten que los contratos resultantes cuenten con el sustento técnico, económico y jurídico que repercutirá en la adecuada ejecución.</w:t>
      </w:r>
    </w:p>
    <w:p w14:paraId="3DA3165A" w14:textId="77777777" w:rsidR="005179B9" w:rsidRDefault="005179B9" w:rsidP="005179B9">
      <w:pPr>
        <w:spacing w:after="0" w:line="276" w:lineRule="auto"/>
        <w:ind w:right="103"/>
        <w:contextualSpacing/>
        <w:jc w:val="both"/>
        <w:rPr>
          <w:rFonts w:ascii="Verdana" w:eastAsia="Times New Roman" w:hAnsi="Verdana" w:cs="Arial"/>
          <w:sz w:val="21"/>
          <w:szCs w:val="21"/>
          <w:lang w:val="es-MX" w:eastAsia="es-ES_tradnl"/>
        </w:rPr>
      </w:pPr>
    </w:p>
    <w:p w14:paraId="349D4FD1" w14:textId="77777777" w:rsidR="005179B9" w:rsidRPr="00B02DDF" w:rsidRDefault="005179B9" w:rsidP="005179B9">
      <w:pPr>
        <w:pStyle w:val="Prrafodelista"/>
        <w:numPr>
          <w:ilvl w:val="0"/>
          <w:numId w:val="19"/>
        </w:numPr>
        <w:spacing w:after="0" w:line="276" w:lineRule="auto"/>
        <w:ind w:right="103"/>
        <w:jc w:val="both"/>
        <w:rPr>
          <w:rFonts w:ascii="Verdana" w:eastAsia="Times New Roman" w:hAnsi="Verdana" w:cs="Arial"/>
          <w:sz w:val="21"/>
          <w:szCs w:val="21"/>
          <w:lang w:val="es-MX" w:eastAsia="es-ES_tradnl"/>
        </w:rPr>
      </w:pPr>
      <w:r w:rsidRPr="00B02DDF">
        <w:rPr>
          <w:rFonts w:ascii="Verdana" w:eastAsia="Times New Roman" w:hAnsi="Verdana" w:cs="Arial"/>
          <w:sz w:val="21"/>
          <w:szCs w:val="21"/>
          <w:lang w:val="es-MX" w:eastAsia="es-ES_tradnl"/>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B02DDF">
        <w:rPr>
          <w:lang w:eastAsia="es-ES_tradnl"/>
        </w:rPr>
        <w:footnoteReference w:id="5"/>
      </w:r>
      <w:r w:rsidRPr="00B02DDF">
        <w:rPr>
          <w:rFonts w:ascii="Verdana" w:eastAsia="Times New Roman" w:hAnsi="Verdana" w:cs="Arial"/>
          <w:sz w:val="21"/>
          <w:szCs w:val="21"/>
          <w:lang w:val="es-MX" w:eastAsia="es-ES_tradnl"/>
        </w:rPr>
        <w:t>. De esta manera, de acuerdo con la estructura interna de cada entidad, la elaboración de los estudios previos corresponderá al funcionario responsable de la dependencia con la necesidad a satisfacer.</w:t>
      </w:r>
    </w:p>
    <w:p w14:paraId="120BC598" w14:textId="77777777" w:rsidR="005179B9" w:rsidRPr="00F252D7" w:rsidRDefault="005179B9" w:rsidP="005179B9">
      <w:pPr>
        <w:ind w:left="720"/>
        <w:contextualSpacing/>
        <w:rPr>
          <w:rFonts w:ascii="Verdana" w:eastAsia="Calibri" w:hAnsi="Verdana" w:cs="Arial"/>
          <w:szCs w:val="24"/>
          <w:lang w:val="es-ES" w:eastAsia="es-ES_tradnl"/>
        </w:rPr>
      </w:pPr>
    </w:p>
    <w:p w14:paraId="68A80254" w14:textId="77777777" w:rsidR="005179B9" w:rsidRPr="00F252D7" w:rsidRDefault="005179B9" w:rsidP="005179B9">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4. Referencias normativas, jurisprudenciales y otras fuentes:</w:t>
      </w:r>
    </w:p>
    <w:p w14:paraId="106E2D81" w14:textId="77777777" w:rsidR="005179B9" w:rsidRPr="00F252D7" w:rsidRDefault="005179B9" w:rsidP="005179B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79B9" w:rsidRPr="00F252D7" w14:paraId="3236305F" w14:textId="77777777" w:rsidTr="00622C55">
        <w:trPr>
          <w:trHeight w:val="870"/>
        </w:trPr>
        <w:tc>
          <w:tcPr>
            <w:tcW w:w="8647" w:type="dxa"/>
          </w:tcPr>
          <w:p w14:paraId="6DD4714C" w14:textId="77777777" w:rsidR="005179B9" w:rsidRPr="00F252D7" w:rsidRDefault="005179B9" w:rsidP="00622C55">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lang w:val="es-ES"/>
              </w:rPr>
              <w:t xml:space="preserve">Ley 80 de 1993, artículo 25. </w:t>
            </w:r>
          </w:p>
          <w:p w14:paraId="0A0B5CBC" w14:textId="77777777" w:rsidR="005179B9" w:rsidRPr="00F252D7" w:rsidRDefault="005179B9" w:rsidP="00622C55">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lang w:val="es-ES"/>
              </w:rPr>
              <w:t>Decreto 1082 de 2015, artículos 2.2.1.1.2.1.1. y 2.2.1.1.1.6.1.</w:t>
            </w:r>
          </w:p>
          <w:p w14:paraId="70F14FF7" w14:textId="77777777" w:rsidR="005179B9" w:rsidRPr="00F252D7" w:rsidRDefault="005179B9" w:rsidP="00622C55">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lang w:val="es-ES"/>
              </w:rPr>
              <w:t>Decreto 1083 de 2015, Artículo 2.1.1.1.</w:t>
            </w:r>
          </w:p>
          <w:p w14:paraId="7495B55B" w14:textId="77777777" w:rsidR="005179B9" w:rsidRPr="00F252D7" w:rsidRDefault="005179B9" w:rsidP="00622C55">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rPr>
              <w:t>Consejo de Estado. Sección Tercera. Subsección B. Sentencia del 31 de agosto de 2011. Exp. 18.080.</w:t>
            </w:r>
          </w:p>
          <w:p w14:paraId="2E5B635D" w14:textId="77777777" w:rsidR="005179B9" w:rsidRPr="00F252D7" w:rsidRDefault="005179B9" w:rsidP="00622C55">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F252D7">
              <w:rPr>
                <w:rFonts w:ascii="Verdana" w:hAnsi="Verdana" w:cs="Arial"/>
                <w:lang w:val="es-ES"/>
              </w:rPr>
              <w:t xml:space="preserve">Colombia Compra Eficiente, Guía de Elaboración de Estudios de Sector - GEES del 24 de junio de 2022. Disponible en: </w:t>
            </w:r>
            <w:r w:rsidRPr="00F252D7">
              <w:rPr>
                <w:rFonts w:ascii="Geomanist Light" w:hAnsi="Geomanist Light"/>
                <w:lang w:val="es-ES"/>
              </w:rPr>
              <w:t xml:space="preserve"> </w:t>
            </w:r>
            <w:r w:rsidRPr="00F252D7">
              <w:rPr>
                <w:rFonts w:ascii="Verdana" w:hAnsi="Verdana" w:cs="Arial"/>
                <w:lang w:val="es-ES"/>
              </w:rPr>
              <w:t>chrome-extension://efaidnbmnnnibpcajpcglclefindmkaj/https://www.colombiacompra.gov.co/sites/cce_public/files/cce_documentos/cce-eicp-gi-18._gees_v.2_2.pdf</w:t>
            </w:r>
          </w:p>
          <w:p w14:paraId="02FFB1A4" w14:textId="77777777" w:rsidR="005179B9" w:rsidRPr="00F252D7" w:rsidRDefault="005179B9" w:rsidP="00622C55">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F252D7">
              <w:rPr>
                <w:rFonts w:ascii="Verdana" w:hAnsi="Verdana" w:cs="Arial"/>
                <w:lang w:val="es-ES"/>
              </w:rPr>
              <w:t>Departamento Administrativo de la Función Pública, Concepto 193201 del 25 de mayo de 2022.</w:t>
            </w:r>
          </w:p>
          <w:p w14:paraId="264EA5AA" w14:textId="77777777" w:rsidR="005179B9" w:rsidRPr="00F252D7" w:rsidRDefault="005179B9" w:rsidP="00622C55">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F252D7">
              <w:rPr>
                <w:rFonts w:ascii="Verdana" w:hAnsi="Verdana" w:cs="Arial"/>
                <w:lang w:val="es-ES"/>
              </w:rPr>
              <w:t>DEIK ACOSTAMADIEDO, Carolina, Guía de Contratación Estatal: Deber de planeación y modalidades de selección, Buenos Aires, 2015.</w:t>
            </w:r>
          </w:p>
        </w:tc>
      </w:tr>
    </w:tbl>
    <w:p w14:paraId="63EA6D2C" w14:textId="77777777" w:rsidR="005179B9" w:rsidRPr="00F252D7" w:rsidRDefault="005179B9" w:rsidP="005179B9">
      <w:pPr>
        <w:tabs>
          <w:tab w:val="left" w:pos="142"/>
          <w:tab w:val="left" w:pos="284"/>
        </w:tabs>
        <w:spacing w:after="0" w:line="276" w:lineRule="auto"/>
        <w:jc w:val="both"/>
        <w:rPr>
          <w:rFonts w:ascii="Verdana" w:eastAsia="Century Gothic" w:hAnsi="Verdana" w:cs="Century Gothic"/>
          <w:b/>
          <w:bCs/>
        </w:rPr>
      </w:pPr>
    </w:p>
    <w:p w14:paraId="336B27D2" w14:textId="77777777" w:rsidR="005179B9" w:rsidRPr="00F252D7" w:rsidRDefault="005179B9" w:rsidP="005179B9">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rPr>
        <w:lastRenderedPageBreak/>
        <w:t xml:space="preserve">5. </w:t>
      </w:r>
      <w:r w:rsidRPr="00F252D7">
        <w:rPr>
          <w:rFonts w:ascii="Verdana" w:eastAsia="Century Gothic" w:hAnsi="Verdana" w:cs="Century Gothic"/>
          <w:b/>
          <w:bCs/>
          <w:lang w:val="es-ES"/>
        </w:rPr>
        <w:t>Doctrina de la Agencia Nacional de Contratación Pública:</w:t>
      </w:r>
    </w:p>
    <w:p w14:paraId="30E38047" w14:textId="77777777" w:rsidR="005179B9" w:rsidRPr="00F252D7" w:rsidRDefault="005179B9" w:rsidP="005179B9">
      <w:pPr>
        <w:spacing w:after="0" w:line="276" w:lineRule="auto"/>
        <w:ind w:firstLine="709"/>
        <w:jc w:val="both"/>
        <w:rPr>
          <w:rFonts w:ascii="Verdana" w:eastAsia="Times New Roman" w:hAnsi="Verdana" w:cs="Arial"/>
          <w:szCs w:val="24"/>
          <w:lang w:val="es-ES" w:eastAsia="es-ES_tradnl"/>
        </w:rPr>
      </w:pPr>
    </w:p>
    <w:p w14:paraId="22BCE73B" w14:textId="77777777" w:rsidR="005179B9" w:rsidRPr="00F252D7" w:rsidRDefault="005179B9" w:rsidP="005179B9">
      <w:pPr>
        <w:widowControl w:val="0"/>
        <w:autoSpaceDE w:val="0"/>
        <w:autoSpaceDN w:val="0"/>
        <w:spacing w:after="0" w:line="276" w:lineRule="auto"/>
        <w:jc w:val="both"/>
        <w:rPr>
          <w:rFonts w:ascii="Verdana" w:hAnsi="Verdana" w:cs="Arial"/>
          <w:color w:val="000000" w:themeColor="text1"/>
          <w:shd w:val="clear" w:color="auto" w:fill="FFFFFF"/>
          <w:lang w:val="es-ES"/>
        </w:rPr>
      </w:pPr>
      <w:r w:rsidRPr="00F252D7">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w:t>
      </w:r>
      <w:r w:rsidRPr="00F252D7">
        <w:rPr>
          <w:rFonts w:ascii="Verdana" w:eastAsia="Calibri" w:hAnsi="Verdana" w:cs="Arial"/>
          <w:lang w:eastAsia="es-ES_tradnl"/>
        </w:rPr>
        <w:t xml:space="preserve">C-415 del 7 de julio </w:t>
      </w:r>
      <w:r w:rsidRPr="00F252D7">
        <w:rPr>
          <w:rFonts w:ascii="Verdana" w:eastAsia="Calibri" w:hAnsi="Verdana" w:cs="Arial"/>
          <w:lang w:val="es-ES_tradnl" w:eastAsia="es-ES_tradnl"/>
        </w:rPr>
        <w:t>de 2020</w:t>
      </w:r>
      <w:r w:rsidRPr="00F252D7">
        <w:rPr>
          <w:rFonts w:ascii="Verdana" w:eastAsia="Calibri" w:hAnsi="Verdana" w:cs="Arial"/>
          <w:lang w:eastAsia="es-ES_tradnl"/>
        </w:rPr>
        <w:t xml:space="preserve">, C-443 del 7 de julio de 2020, </w:t>
      </w:r>
      <w:r w:rsidRPr="00F252D7">
        <w:rPr>
          <w:rFonts w:ascii="Verdana" w:eastAsia="Times New Roman" w:hAnsi="Verdana" w:cs="Arial"/>
          <w:lang w:eastAsia="es-ES_tradnl"/>
        </w:rPr>
        <w:t>C-387 del 23 de junio de 2020</w:t>
      </w:r>
      <w:r w:rsidRPr="00F252D7">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F252D7">
        <w:rPr>
          <w:rFonts w:ascii="Verdana" w:eastAsia="Calibri" w:hAnsi="Verdana" w:cs="Arial"/>
          <w:lang w:val="es-ES" w:eastAsia="es-ES_tradnl"/>
        </w:rPr>
        <w:t>C-519 del 13 de septiembre de 2022, C-716 del 15 de noviembre de 2022, C-856 del 13 de diciembre de 2022, y C-235 del 5 de julio de 2023.</w:t>
      </w:r>
      <w:r>
        <w:rPr>
          <w:rFonts w:ascii="Verdana" w:eastAsia="Calibri" w:hAnsi="Verdana" w:cs="Arial"/>
          <w:lang w:val="es-ES" w:eastAsia="es-ES_tradnl"/>
        </w:rPr>
        <w:t xml:space="preserve"> Sobre la aplicación del Decreto 1083 de 2015 esta Agencia expidió el concepto C-258 del 12 de agosto de 2024.</w:t>
      </w:r>
      <w:r w:rsidRPr="00F252D7">
        <w:rPr>
          <w:rFonts w:ascii="Verdana" w:eastAsia="Calibri" w:hAnsi="Verdana" w:cs="Arial"/>
          <w:lang w:val="es-ES" w:eastAsia="es-ES_tradnl"/>
        </w:rPr>
        <w:t xml:space="preserve"> Estos</w:t>
      </w:r>
      <w:r w:rsidRPr="00F252D7">
        <w:rPr>
          <w:rFonts w:ascii="Verdana" w:hAnsi="Verdana"/>
        </w:rPr>
        <w:t xml:space="preserve"> y otros conceptos se encuentran disponibles para consulta en el Sistema de relatoría de la Agencia, al cual se puede acceder a través del siguiente enlace:</w:t>
      </w:r>
      <w:r w:rsidRPr="00F252D7">
        <w:rPr>
          <w:rFonts w:ascii="Verdana" w:hAnsi="Verdana" w:cs="Arial"/>
          <w:shd w:val="clear" w:color="auto" w:fill="FFFFFF"/>
          <w:lang w:val="es-ES"/>
        </w:rPr>
        <w:t xml:space="preserve"> </w:t>
      </w:r>
      <w:hyperlink r:id="rId12" w:history="1">
        <w:r w:rsidRPr="00F252D7">
          <w:rPr>
            <w:rFonts w:ascii="Verdana" w:hAnsi="Verdana" w:cs="Arial"/>
            <w:color w:val="0563C1" w:themeColor="hyperlink"/>
            <w:u w:val="single"/>
            <w:shd w:val="clear" w:color="auto" w:fill="FFFFFF"/>
            <w:lang w:val="es-ES"/>
          </w:rPr>
          <w:t>https://relatoria.colombiacompra.gov.co/busqueda/conceptos</w:t>
        </w:r>
      </w:hyperlink>
    </w:p>
    <w:p w14:paraId="43FF8831" w14:textId="77777777" w:rsidR="005179B9" w:rsidRPr="00F252D7" w:rsidRDefault="005179B9" w:rsidP="005179B9">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3D189DC3" w14:textId="77777777" w:rsidR="005179B9" w:rsidRPr="00F252D7" w:rsidRDefault="005179B9" w:rsidP="005179B9">
      <w:pPr>
        <w:spacing w:after="0" w:line="240" w:lineRule="auto"/>
        <w:jc w:val="both"/>
        <w:rPr>
          <w:rFonts w:ascii="Verdana" w:hAnsi="Verdana"/>
        </w:rPr>
      </w:pPr>
    </w:p>
    <w:p w14:paraId="74691322" w14:textId="77777777" w:rsidR="005179B9" w:rsidRPr="00F252D7" w:rsidRDefault="005179B9" w:rsidP="005179B9">
      <w:pPr>
        <w:spacing w:after="0" w:line="240" w:lineRule="auto"/>
        <w:jc w:val="both"/>
        <w:rPr>
          <w:rFonts w:ascii="Verdana" w:hAnsi="Verdana"/>
        </w:rPr>
      </w:pPr>
      <w:r w:rsidRPr="00F252D7">
        <w:rPr>
          <w:rFonts w:ascii="Verdana" w:hAnsi="Verdana"/>
        </w:rPr>
        <w:t xml:space="preserve">Por último, lo invitamos a seguirnos en las redes sociales en las cuales se difunde información institucional: </w:t>
      </w:r>
    </w:p>
    <w:p w14:paraId="7E10029F" w14:textId="77777777" w:rsidR="005179B9" w:rsidRPr="00F252D7" w:rsidRDefault="005179B9" w:rsidP="005179B9">
      <w:pPr>
        <w:spacing w:after="0" w:line="240" w:lineRule="auto"/>
        <w:jc w:val="both"/>
        <w:rPr>
          <w:rFonts w:ascii="Verdana" w:hAnsi="Verdana"/>
        </w:rPr>
      </w:pPr>
    </w:p>
    <w:p w14:paraId="474196F5" w14:textId="77777777" w:rsidR="005179B9" w:rsidRPr="00F252D7" w:rsidRDefault="005179B9" w:rsidP="005179B9">
      <w:pPr>
        <w:spacing w:after="0" w:line="240" w:lineRule="auto"/>
        <w:jc w:val="both"/>
        <w:rPr>
          <w:rFonts w:ascii="Verdana" w:hAnsi="Verdana"/>
        </w:rPr>
      </w:pPr>
      <w:r w:rsidRPr="00F252D7">
        <w:rPr>
          <w:rFonts w:ascii="Verdana" w:hAnsi="Verdana"/>
        </w:rPr>
        <w:t xml:space="preserve">Twitter: </w:t>
      </w:r>
      <w:r w:rsidRPr="00F252D7">
        <w:rPr>
          <w:rFonts w:ascii="Verdana" w:hAnsi="Verdana"/>
          <w:color w:val="4472C4" w:themeColor="accent1"/>
          <w:u w:val="single"/>
        </w:rPr>
        <w:t>@colombiacompra</w:t>
      </w:r>
      <w:r w:rsidRPr="00F252D7">
        <w:rPr>
          <w:rFonts w:ascii="Verdana" w:hAnsi="Verdana"/>
          <w:color w:val="4472C4" w:themeColor="accent1"/>
        </w:rPr>
        <w:t xml:space="preserve"> </w:t>
      </w:r>
    </w:p>
    <w:p w14:paraId="3A48FEF5" w14:textId="77777777" w:rsidR="005179B9" w:rsidRPr="00F252D7" w:rsidRDefault="005179B9" w:rsidP="005179B9">
      <w:pPr>
        <w:spacing w:after="0" w:line="240" w:lineRule="auto"/>
        <w:jc w:val="both"/>
        <w:rPr>
          <w:rFonts w:ascii="Verdana" w:hAnsi="Verdana"/>
        </w:rPr>
      </w:pPr>
      <w:r w:rsidRPr="00F252D7">
        <w:rPr>
          <w:rFonts w:ascii="Verdana" w:hAnsi="Verdana"/>
        </w:rPr>
        <w:t xml:space="preserve">Facebook: </w:t>
      </w:r>
      <w:r w:rsidRPr="00F252D7">
        <w:rPr>
          <w:rFonts w:ascii="Verdana" w:hAnsi="Verdana"/>
          <w:color w:val="4472C4" w:themeColor="accent1"/>
          <w:u w:val="single"/>
        </w:rPr>
        <w:t>ColombiaCompraEficiente</w:t>
      </w:r>
    </w:p>
    <w:p w14:paraId="1D69E18F" w14:textId="77777777" w:rsidR="005179B9" w:rsidRPr="00F252D7" w:rsidRDefault="005179B9" w:rsidP="005179B9">
      <w:pPr>
        <w:spacing w:after="0" w:line="240" w:lineRule="auto"/>
        <w:jc w:val="both"/>
        <w:rPr>
          <w:rFonts w:ascii="Verdana" w:hAnsi="Verdana"/>
        </w:rPr>
      </w:pPr>
      <w:r w:rsidRPr="00F252D7">
        <w:rPr>
          <w:rFonts w:ascii="Verdana" w:hAnsi="Verdana"/>
        </w:rPr>
        <w:t xml:space="preserve">LinkedIn: </w:t>
      </w:r>
      <w:r w:rsidRPr="00F252D7">
        <w:rPr>
          <w:rFonts w:ascii="Verdana" w:hAnsi="Verdana"/>
          <w:color w:val="4472C4" w:themeColor="accent1"/>
          <w:u w:val="single"/>
        </w:rPr>
        <w:t>Agencia Nacional de Contratación Pública - Colombia Compra Eficiente</w:t>
      </w:r>
      <w:r w:rsidRPr="00F252D7">
        <w:rPr>
          <w:rFonts w:ascii="Verdana" w:hAnsi="Verdana"/>
          <w:color w:val="4472C4" w:themeColor="accent1"/>
        </w:rPr>
        <w:t xml:space="preserve"> </w:t>
      </w:r>
      <w:r w:rsidRPr="00F252D7">
        <w:rPr>
          <w:rFonts w:ascii="Verdana" w:hAnsi="Verdana"/>
        </w:rPr>
        <w:t xml:space="preserve">Instagram: </w:t>
      </w:r>
      <w:r w:rsidRPr="00F252D7">
        <w:rPr>
          <w:rFonts w:ascii="Verdana" w:hAnsi="Verdana"/>
          <w:color w:val="4472C4" w:themeColor="accent1"/>
          <w:u w:val="single"/>
        </w:rPr>
        <w:t>@colombiacompraeficiente_cce</w:t>
      </w:r>
    </w:p>
    <w:p w14:paraId="01FEFBA7" w14:textId="77777777" w:rsidR="005179B9" w:rsidRPr="00F252D7" w:rsidRDefault="005179B9" w:rsidP="005179B9">
      <w:pPr>
        <w:widowControl w:val="0"/>
        <w:autoSpaceDE w:val="0"/>
        <w:autoSpaceDN w:val="0"/>
        <w:spacing w:after="0" w:line="276" w:lineRule="auto"/>
        <w:jc w:val="both"/>
        <w:rPr>
          <w:rFonts w:ascii="Verdana" w:hAnsi="Verdana" w:cs="Arial"/>
        </w:rPr>
      </w:pPr>
    </w:p>
    <w:p w14:paraId="2E08DAD5" w14:textId="77777777" w:rsidR="005179B9" w:rsidRPr="00F252D7" w:rsidRDefault="005179B9" w:rsidP="005179B9">
      <w:pPr>
        <w:widowControl w:val="0"/>
        <w:autoSpaceDE w:val="0"/>
        <w:autoSpaceDN w:val="0"/>
        <w:spacing w:after="0" w:line="276" w:lineRule="auto"/>
        <w:jc w:val="both"/>
        <w:rPr>
          <w:rFonts w:ascii="Verdana" w:hAnsi="Verdana" w:cs="Arial"/>
          <w:lang w:val="es-ES_tradnl"/>
        </w:rPr>
      </w:pPr>
      <w:r w:rsidRPr="00F252D7">
        <w:rPr>
          <w:rFonts w:ascii="Verdana" w:hAnsi="Verdana" w:cs="Arial"/>
        </w:rPr>
        <w:t xml:space="preserve">Este concepto tiene el alcance previsto en el artículo 28 del Código de Procedimiento Administrativo y de lo Contencioso Administrativo </w:t>
      </w:r>
      <w:r w:rsidRPr="00F252D7">
        <w:rPr>
          <w:rFonts w:ascii="Verdana" w:hAnsi="Verdana" w:cs="Arial"/>
          <w:lang w:val="es-ES_tradnl"/>
        </w:rPr>
        <w:t>y las expresiones aquí utilizadas con mayúscula inicial deben ser entendidas con el significado que les otorga el artículo 2.2.1.1.1.3.1. del Decreto 1082 de 2015.</w:t>
      </w:r>
    </w:p>
    <w:p w14:paraId="24BFFAD2" w14:textId="77777777" w:rsidR="005179B9" w:rsidRPr="00F252D7" w:rsidRDefault="005179B9" w:rsidP="005179B9">
      <w:pPr>
        <w:spacing w:after="0" w:line="276" w:lineRule="auto"/>
        <w:ind w:firstLine="709"/>
        <w:jc w:val="both"/>
        <w:rPr>
          <w:rFonts w:ascii="Verdana" w:eastAsia="Times New Roman" w:hAnsi="Verdana" w:cs="Arial"/>
          <w:szCs w:val="24"/>
          <w:lang w:val="es-ES_tradnl" w:eastAsia="es-ES_tradnl"/>
        </w:rPr>
      </w:pPr>
    </w:p>
    <w:p w14:paraId="740601CF" w14:textId="77777777" w:rsidR="005179B9" w:rsidRPr="00F252D7" w:rsidRDefault="005179B9" w:rsidP="005179B9">
      <w:pPr>
        <w:spacing w:after="0" w:line="276" w:lineRule="auto"/>
        <w:jc w:val="both"/>
        <w:rPr>
          <w:rFonts w:ascii="Verdana" w:eastAsia="Times New Roman" w:hAnsi="Verdana" w:cs="Arial"/>
          <w:lang w:val="es-ES_tradnl" w:eastAsia="es-CO"/>
        </w:rPr>
      </w:pPr>
      <w:bookmarkStart w:id="7" w:name="_Hlk117695077"/>
      <w:r w:rsidRPr="00F252D7">
        <w:rPr>
          <w:rFonts w:ascii="Verdana" w:eastAsia="Times New Roman" w:hAnsi="Verdana" w:cs="Arial"/>
          <w:lang w:val="es-ES_tradnl" w:eastAsia="es-CO"/>
        </w:rPr>
        <w:t>Atentamente,</w:t>
      </w:r>
    </w:p>
    <w:bookmarkEnd w:id="7"/>
    <w:p w14:paraId="258052E5" w14:textId="1B2F9742" w:rsidR="005179B9" w:rsidRPr="00EE0EBA" w:rsidRDefault="00467E4B" w:rsidP="005179B9">
      <w:pPr>
        <w:spacing w:line="276" w:lineRule="auto"/>
        <w:jc w:val="center"/>
        <w:rPr>
          <w:rFonts w:eastAsia="Calibri" w:cs="Arial"/>
          <w:lang w:val="es-ES_tradnl" w:eastAsia="es-CO"/>
        </w:rPr>
      </w:pPr>
      <w:r w:rsidRPr="002C3AD6">
        <w:rPr>
          <w:rFonts w:ascii="Century Gothic" w:hAnsi="Century Gothic"/>
          <w:noProof/>
        </w:rPr>
        <w:drawing>
          <wp:inline distT="0" distB="0" distL="0" distR="0" wp14:anchorId="0BCA90A7" wp14:editId="751C09B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79B9" w:rsidRPr="00EE0EBA" w14:paraId="320DF068" w14:textId="77777777" w:rsidTr="00622C55">
        <w:trPr>
          <w:trHeight w:val="315"/>
        </w:trPr>
        <w:tc>
          <w:tcPr>
            <w:tcW w:w="893" w:type="dxa"/>
            <w:vAlign w:val="center"/>
            <w:hideMark/>
          </w:tcPr>
          <w:p w14:paraId="46F8D5DC" w14:textId="77777777" w:rsidR="005179B9" w:rsidRPr="00EE0EBA" w:rsidRDefault="005179B9" w:rsidP="00622C55">
            <w:pPr>
              <w:rPr>
                <w:rFonts w:eastAsia="Calibri" w:cs="Arial"/>
                <w:sz w:val="16"/>
                <w:szCs w:val="16"/>
                <w:lang w:eastAsia="es-ES"/>
              </w:rPr>
            </w:pPr>
            <w:r w:rsidRPr="00EE0EBA">
              <w:rPr>
                <w:rFonts w:eastAsia="Calibri" w:cs="Arial"/>
                <w:sz w:val="16"/>
                <w:szCs w:val="16"/>
                <w:lang w:eastAsia="es-ES"/>
              </w:rPr>
              <w:lastRenderedPageBreak/>
              <w:t>Elaboró:</w:t>
            </w:r>
          </w:p>
        </w:tc>
        <w:tc>
          <w:tcPr>
            <w:tcW w:w="5628" w:type="dxa"/>
            <w:tcBorders>
              <w:top w:val="nil"/>
              <w:left w:val="nil"/>
              <w:bottom w:val="dotted" w:sz="4" w:space="0" w:color="7F7F7F"/>
              <w:right w:val="nil"/>
            </w:tcBorders>
            <w:vAlign w:val="center"/>
            <w:hideMark/>
          </w:tcPr>
          <w:p w14:paraId="53313B60" w14:textId="041579C8" w:rsidR="005179B9" w:rsidRPr="00EE0EBA" w:rsidRDefault="005179B9" w:rsidP="00622C55">
            <w:pPr>
              <w:rPr>
                <w:rFonts w:eastAsia="Arial" w:cs="Arial"/>
                <w:sz w:val="16"/>
                <w:szCs w:val="16"/>
              </w:rPr>
            </w:pPr>
            <w:r>
              <w:rPr>
                <w:rFonts w:eastAsia="Arial" w:cs="Arial"/>
                <w:sz w:val="16"/>
                <w:szCs w:val="16"/>
              </w:rPr>
              <w:t xml:space="preserve">Diana </w:t>
            </w:r>
            <w:r w:rsidRPr="00EE0EBA">
              <w:rPr>
                <w:rFonts w:eastAsia="Arial" w:cs="Arial"/>
                <w:sz w:val="16"/>
                <w:szCs w:val="16"/>
              </w:rPr>
              <w:t xml:space="preserve">Carolina Blanco Rodriguez </w:t>
            </w:r>
          </w:p>
          <w:p w14:paraId="22BFC5A4" w14:textId="77777777" w:rsidR="005179B9" w:rsidRPr="00EE0EBA" w:rsidRDefault="005179B9" w:rsidP="00622C55">
            <w:pPr>
              <w:rPr>
                <w:rFonts w:eastAsia="Arial" w:cs="Arial"/>
                <w:sz w:val="16"/>
                <w:szCs w:val="16"/>
              </w:rPr>
            </w:pPr>
            <w:r w:rsidRPr="00EE0EBA">
              <w:rPr>
                <w:rFonts w:eastAsia="Arial" w:cs="Arial"/>
                <w:sz w:val="16"/>
                <w:szCs w:val="16"/>
              </w:rPr>
              <w:t>Contratista de la Subdirección de Gestión Contractual</w:t>
            </w:r>
          </w:p>
        </w:tc>
      </w:tr>
      <w:tr w:rsidR="005179B9" w:rsidRPr="00EE0EBA" w14:paraId="5280BF0D" w14:textId="77777777" w:rsidTr="00622C55">
        <w:trPr>
          <w:trHeight w:val="330"/>
        </w:trPr>
        <w:tc>
          <w:tcPr>
            <w:tcW w:w="893" w:type="dxa"/>
            <w:vAlign w:val="center"/>
            <w:hideMark/>
          </w:tcPr>
          <w:p w14:paraId="5BCC98BA" w14:textId="77777777" w:rsidR="005179B9" w:rsidRPr="00EE0EBA" w:rsidRDefault="005179B9" w:rsidP="00622C55">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530BF455" w14:textId="2C86E90C" w:rsidR="005179B9" w:rsidRPr="00EE0EBA" w:rsidRDefault="005179B9" w:rsidP="00622C55">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w:t>
            </w:r>
            <w:r>
              <w:rPr>
                <w:rFonts w:eastAsia="Times New Roman" w:cs="Segoe UI"/>
                <w:sz w:val="16"/>
                <w:szCs w:val="16"/>
                <w:lang w:eastAsia="es-ES_tradnl"/>
              </w:rPr>
              <w:t>Carlos González Vásquez</w:t>
            </w:r>
          </w:p>
          <w:p w14:paraId="0CA935C7" w14:textId="77777777" w:rsidR="005179B9" w:rsidRPr="00EE0EBA" w:rsidRDefault="005179B9" w:rsidP="00622C55">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5179B9" w:rsidRPr="00EE0EBA" w14:paraId="53D93199" w14:textId="77777777" w:rsidTr="00622C55">
        <w:trPr>
          <w:trHeight w:val="300"/>
        </w:trPr>
        <w:tc>
          <w:tcPr>
            <w:tcW w:w="893" w:type="dxa"/>
            <w:vAlign w:val="center"/>
          </w:tcPr>
          <w:p w14:paraId="302E328F" w14:textId="77777777" w:rsidR="005179B9" w:rsidRPr="00EE0EBA" w:rsidRDefault="005179B9" w:rsidP="00622C55">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75673CF" w14:textId="77777777" w:rsidR="005179B9" w:rsidRPr="00EE0EBA" w:rsidRDefault="005179B9" w:rsidP="00622C55">
            <w:pPr>
              <w:rPr>
                <w:rFonts w:eastAsia="Calibri" w:cs="Arial"/>
                <w:sz w:val="16"/>
                <w:szCs w:val="16"/>
                <w:lang w:val="pt-BR" w:eastAsia="es-ES"/>
              </w:rPr>
            </w:pPr>
            <w:r w:rsidRPr="00EE0EBA">
              <w:rPr>
                <w:rFonts w:eastAsia="Calibri" w:cs="Arial"/>
                <w:sz w:val="16"/>
                <w:szCs w:val="16"/>
                <w:lang w:val="pt-BR" w:eastAsia="es-ES"/>
              </w:rPr>
              <w:t>Carolina Quintero Gacharná</w:t>
            </w:r>
          </w:p>
          <w:p w14:paraId="4AA5C090" w14:textId="77777777" w:rsidR="005179B9" w:rsidRPr="00EE0EBA" w:rsidRDefault="005179B9" w:rsidP="00622C55">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tbl>
    <w:p w14:paraId="114031B5" w14:textId="77777777" w:rsidR="002707A2" w:rsidRPr="0044528D" w:rsidRDefault="002707A2" w:rsidP="00E245AB">
      <w:pPr>
        <w:spacing w:after="0"/>
        <w:jc w:val="both"/>
        <w:rPr>
          <w:rStyle w:val="Hipervnculo"/>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9BAC" w14:textId="77777777" w:rsidR="002878CD" w:rsidRDefault="002878CD" w:rsidP="004A1847">
      <w:pPr>
        <w:spacing w:after="0" w:line="240" w:lineRule="auto"/>
      </w:pPr>
      <w:r>
        <w:separator/>
      </w:r>
    </w:p>
  </w:endnote>
  <w:endnote w:type="continuationSeparator" w:id="0">
    <w:p w14:paraId="56AF9AA0" w14:textId="77777777" w:rsidR="002878CD" w:rsidRDefault="002878C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306EF" w14:textId="77777777" w:rsidR="002878CD" w:rsidRDefault="002878CD" w:rsidP="004A1847">
      <w:pPr>
        <w:spacing w:after="0" w:line="240" w:lineRule="auto"/>
      </w:pPr>
      <w:r>
        <w:separator/>
      </w:r>
    </w:p>
  </w:footnote>
  <w:footnote w:type="continuationSeparator" w:id="0">
    <w:p w14:paraId="3ACC5ED9" w14:textId="77777777" w:rsidR="002878CD" w:rsidRDefault="002878CD" w:rsidP="004A1847">
      <w:pPr>
        <w:spacing w:after="0" w:line="240" w:lineRule="auto"/>
      </w:pPr>
      <w:r>
        <w:continuationSeparator/>
      </w:r>
    </w:p>
  </w:footnote>
  <w:footnote w:id="1">
    <w:p w14:paraId="1B5503B1" w14:textId="77777777" w:rsidR="005179B9" w:rsidRDefault="005179B9" w:rsidP="005179B9">
      <w:pPr>
        <w:pStyle w:val="Textonotapie"/>
        <w:jc w:val="both"/>
      </w:pPr>
      <w:r>
        <w:rPr>
          <w:rStyle w:val="Refdenotaalpie"/>
        </w:rPr>
        <w:footnoteRef/>
      </w:r>
      <w:r>
        <w:t xml:space="preserve"> </w:t>
      </w:r>
      <w:r w:rsidRPr="006D73C2">
        <w:rPr>
          <w:lang w:val="es-CO"/>
        </w:rPr>
        <w:t>A</w:t>
      </w:r>
      <w:r>
        <w:rPr>
          <w:lang w:val="es-CO"/>
        </w:rPr>
        <w:t>rtículo</w:t>
      </w:r>
      <w:r w:rsidRPr="006D73C2">
        <w:rPr>
          <w:lang w:val="es-CO"/>
        </w:rPr>
        <w:t> </w:t>
      </w:r>
      <w:bookmarkStart w:id="1" w:name="2.2.1.2.5.3"/>
      <w:bookmarkEnd w:id="1"/>
      <w:r w:rsidRPr="006D73C2">
        <w:rPr>
          <w:lang w:val="es-CO"/>
        </w:rPr>
        <w:t>2.2.1.2.5.3. del Decreto 1082 de 2025. Manual de contratación. Las Entidades Estatales deben contar con un manual de contratación, el cual debe cumplir con los lineamientos que para el efecto señale Colombia Compra Eficiente.</w:t>
      </w:r>
    </w:p>
  </w:footnote>
  <w:footnote w:id="2">
    <w:p w14:paraId="277B6083" w14:textId="77777777" w:rsidR="005179B9" w:rsidRPr="000405DB" w:rsidRDefault="005179B9" w:rsidP="005179B9">
      <w:pPr>
        <w:spacing w:after="0" w:line="240" w:lineRule="auto"/>
        <w:ind w:firstLine="707"/>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position w:val="6"/>
          <w:sz w:val="10"/>
          <w:szCs w:val="10"/>
        </w:rPr>
        <w:t xml:space="preserve"> </w:t>
      </w:r>
      <w:r w:rsidRPr="000405DB">
        <w:rPr>
          <w:rFonts w:ascii="Verdana" w:hAnsi="Verdana" w:cs="Arial"/>
          <w:sz w:val="10"/>
          <w:szCs w:val="10"/>
        </w:rPr>
        <w:t>DEIK ACOSTAMADIEDO, Carolina, Guía de Contratación Estatal: Deber de planeación y modalidades de selección, Buenos Aires, 2015, p. 59.</w:t>
      </w:r>
    </w:p>
    <w:p w14:paraId="433258CE" w14:textId="77777777" w:rsidR="005179B9" w:rsidRPr="000405DB" w:rsidRDefault="005179B9" w:rsidP="005179B9">
      <w:pPr>
        <w:pStyle w:val="Textonotapie"/>
        <w:contextualSpacing/>
        <w:jc w:val="both"/>
        <w:rPr>
          <w:rFonts w:ascii="Verdana" w:hAnsi="Verdana" w:cs="Arial"/>
          <w:sz w:val="10"/>
          <w:szCs w:val="10"/>
        </w:rPr>
      </w:pPr>
    </w:p>
  </w:footnote>
  <w:footnote w:id="3">
    <w:p w14:paraId="7D85C128" w14:textId="77777777" w:rsidR="005179B9" w:rsidRPr="000405DB" w:rsidRDefault="005179B9" w:rsidP="005179B9">
      <w:pPr>
        <w:pStyle w:val="Textoindependiente"/>
        <w:spacing w:after="0" w:line="240" w:lineRule="auto"/>
        <w:ind w:firstLine="709"/>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“Artículo </w:t>
      </w:r>
      <w:bookmarkStart w:id="4" w:name="_Hlk54173885"/>
      <w:r w:rsidRPr="000405DB">
        <w:rPr>
          <w:rFonts w:ascii="Verdana" w:hAnsi="Verdana" w:cs="Arial"/>
          <w:sz w:val="10"/>
          <w:szCs w:val="10"/>
        </w:rPr>
        <w:t>2.2.1.1.2.1.1</w:t>
      </w:r>
      <w:bookmarkEnd w:id="4"/>
      <w:r w:rsidRPr="000405DB">
        <w:rPr>
          <w:rFonts w:ascii="Verdana" w:hAnsi="Verdana" w:cs="Arial"/>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0F501212" w14:textId="77777777" w:rsidR="005179B9" w:rsidRPr="000405DB" w:rsidRDefault="005179B9" w:rsidP="005179B9">
      <w:pPr>
        <w:pStyle w:val="Textoindependiente"/>
        <w:spacing w:after="0" w:line="240" w:lineRule="auto"/>
        <w:ind w:firstLine="709"/>
        <w:contextualSpacing/>
        <w:jc w:val="both"/>
        <w:rPr>
          <w:rFonts w:ascii="Verdana" w:hAnsi="Verdana" w:cs="Arial"/>
          <w:sz w:val="10"/>
          <w:szCs w:val="10"/>
        </w:rPr>
      </w:pPr>
    </w:p>
    <w:p w14:paraId="0DD1FDCE" w14:textId="77777777" w:rsidR="005179B9" w:rsidRPr="000405DB" w:rsidRDefault="005179B9" w:rsidP="005179B9">
      <w:pPr>
        <w:pStyle w:val="Textonotapie"/>
        <w:ind w:firstLine="709"/>
        <w:contextualSpacing/>
        <w:jc w:val="both"/>
        <w:rPr>
          <w:rFonts w:ascii="Verdana" w:hAnsi="Verdana" w:cs="Arial"/>
          <w:sz w:val="10"/>
          <w:szCs w:val="10"/>
        </w:rPr>
      </w:pPr>
    </w:p>
  </w:footnote>
  <w:footnote w:id="4">
    <w:p w14:paraId="4C028354" w14:textId="77777777" w:rsidR="005179B9" w:rsidRPr="000405DB" w:rsidRDefault="005179B9" w:rsidP="005179B9">
      <w:pPr>
        <w:pStyle w:val="Textoindependiente"/>
        <w:spacing w:after="0" w:line="240" w:lineRule="auto"/>
        <w:ind w:firstLine="709"/>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17750FE6" w14:textId="77777777" w:rsidR="005179B9" w:rsidRPr="000405DB" w:rsidRDefault="005179B9" w:rsidP="005179B9">
      <w:pPr>
        <w:pStyle w:val="Textonotapie"/>
        <w:contextualSpacing/>
        <w:jc w:val="both"/>
        <w:rPr>
          <w:rFonts w:ascii="Verdana" w:hAnsi="Verdana" w:cs="Arial"/>
          <w:sz w:val="10"/>
          <w:szCs w:val="10"/>
        </w:rPr>
      </w:pPr>
    </w:p>
  </w:footnote>
  <w:footnote w:id="5">
    <w:p w14:paraId="00EFB0FE" w14:textId="77777777" w:rsidR="005179B9" w:rsidRDefault="005179B9" w:rsidP="005179B9">
      <w:pPr>
        <w:spacing w:before="78"/>
        <w:ind w:left="828"/>
        <w:rPr>
          <w:sz w:val="20"/>
        </w:rPr>
      </w:pPr>
      <w:r>
        <w:rPr>
          <w:rStyle w:val="Refdenotaalpie"/>
        </w:rPr>
        <w:footnoteRef/>
      </w:r>
      <w:r>
        <w:t xml:space="preserve"> </w:t>
      </w:r>
      <w:r w:rsidRPr="000F1D80">
        <w:rPr>
          <w:i/>
          <w:sz w:val="20"/>
        </w:rPr>
        <w:t xml:space="preserve">Ibidem, </w:t>
      </w:r>
      <w:r w:rsidRPr="000F1D80">
        <w:rPr>
          <w:sz w:val="20"/>
        </w:rPr>
        <w:t>P. 70.</w:t>
      </w:r>
    </w:p>
    <w:p w14:paraId="0665A9DD" w14:textId="77777777" w:rsidR="005179B9" w:rsidRPr="000F1D80" w:rsidRDefault="005179B9" w:rsidP="005179B9">
      <w:pPr>
        <w:spacing w:before="78"/>
        <w:ind w:left="828"/>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0F4636"/>
    <w:multiLevelType w:val="hybridMultilevel"/>
    <w:tmpl w:val="806AD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CD6CF5"/>
    <w:multiLevelType w:val="hybridMultilevel"/>
    <w:tmpl w:val="483A38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3D97B18"/>
    <w:multiLevelType w:val="hybridMultilevel"/>
    <w:tmpl w:val="874AA1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679089576">
    <w:abstractNumId w:val="10"/>
  </w:num>
  <w:num w:numId="17" w16cid:durableId="986321315">
    <w:abstractNumId w:val="11"/>
  </w:num>
  <w:num w:numId="18" w16cid:durableId="894588073">
    <w:abstractNumId w:val="2"/>
  </w:num>
  <w:num w:numId="19" w16cid:durableId="4177987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04614"/>
    <w:rsid w:val="001216FD"/>
    <w:rsid w:val="00125105"/>
    <w:rsid w:val="00127233"/>
    <w:rsid w:val="001511A0"/>
    <w:rsid w:val="001E4177"/>
    <w:rsid w:val="001F7DC6"/>
    <w:rsid w:val="002421BB"/>
    <w:rsid w:val="0025796E"/>
    <w:rsid w:val="002707A2"/>
    <w:rsid w:val="002878CD"/>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67E4B"/>
    <w:rsid w:val="004A1847"/>
    <w:rsid w:val="004A305D"/>
    <w:rsid w:val="004F21C4"/>
    <w:rsid w:val="004F685F"/>
    <w:rsid w:val="005179B9"/>
    <w:rsid w:val="005566E8"/>
    <w:rsid w:val="00574867"/>
    <w:rsid w:val="00582D7B"/>
    <w:rsid w:val="00591460"/>
    <w:rsid w:val="005B3816"/>
    <w:rsid w:val="005C3777"/>
    <w:rsid w:val="005C5CDC"/>
    <w:rsid w:val="005D476C"/>
    <w:rsid w:val="006219F8"/>
    <w:rsid w:val="0063677D"/>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41F3F"/>
    <w:rsid w:val="00867F95"/>
    <w:rsid w:val="008843B6"/>
    <w:rsid w:val="00891928"/>
    <w:rsid w:val="008A446D"/>
    <w:rsid w:val="008D180B"/>
    <w:rsid w:val="008F0EA7"/>
    <w:rsid w:val="009215F4"/>
    <w:rsid w:val="00923EEF"/>
    <w:rsid w:val="009419F9"/>
    <w:rsid w:val="0095685E"/>
    <w:rsid w:val="00961B09"/>
    <w:rsid w:val="00965334"/>
    <w:rsid w:val="0097093E"/>
    <w:rsid w:val="00986AC5"/>
    <w:rsid w:val="009A0DFA"/>
    <w:rsid w:val="009B2D26"/>
    <w:rsid w:val="009C71FA"/>
    <w:rsid w:val="009C72E7"/>
    <w:rsid w:val="009D3058"/>
    <w:rsid w:val="009E3E1F"/>
    <w:rsid w:val="009F3A13"/>
    <w:rsid w:val="00A03BD5"/>
    <w:rsid w:val="00A122D3"/>
    <w:rsid w:val="00A17F13"/>
    <w:rsid w:val="00A20739"/>
    <w:rsid w:val="00A33C78"/>
    <w:rsid w:val="00A611D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64AC1"/>
    <w:rsid w:val="00D7383B"/>
    <w:rsid w:val="00DA231B"/>
    <w:rsid w:val="00DB5728"/>
    <w:rsid w:val="00DC39FC"/>
    <w:rsid w:val="00DF5254"/>
    <w:rsid w:val="00E16408"/>
    <w:rsid w:val="00E20894"/>
    <w:rsid w:val="00E245AB"/>
    <w:rsid w:val="00E2764C"/>
    <w:rsid w:val="00E27F2E"/>
    <w:rsid w:val="00E50AFE"/>
    <w:rsid w:val="00E744B6"/>
    <w:rsid w:val="00E75C92"/>
    <w:rsid w:val="00E771DC"/>
    <w:rsid w:val="00E867F5"/>
    <w:rsid w:val="00E8772A"/>
    <w:rsid w:val="00E90F6B"/>
    <w:rsid w:val="00E92C27"/>
    <w:rsid w:val="00EA0E3D"/>
    <w:rsid w:val="00EC38A7"/>
    <w:rsid w:val="00ED7384"/>
    <w:rsid w:val="00EE1AA8"/>
    <w:rsid w:val="00EF67AF"/>
    <w:rsid w:val="00F31EDC"/>
    <w:rsid w:val="00F462B3"/>
    <w:rsid w:val="00F54BD0"/>
    <w:rsid w:val="00F5664F"/>
    <w:rsid w:val="00F666C4"/>
    <w:rsid w:val="00F76AFC"/>
    <w:rsid w:val="00FA47C0"/>
    <w:rsid w:val="00FB5DD1"/>
    <w:rsid w:val="00FC2B5D"/>
    <w:rsid w:val="00FF1449"/>
    <w:rsid w:val="00FF6457"/>
    <w:rsid w:val="0B55166E"/>
    <w:rsid w:val="131F9704"/>
    <w:rsid w:val="165E9519"/>
    <w:rsid w:val="1B6A40CA"/>
    <w:rsid w:val="27FCA08E"/>
    <w:rsid w:val="3302D217"/>
    <w:rsid w:val="382536D9"/>
    <w:rsid w:val="5B4EC871"/>
    <w:rsid w:val="675C5C1D"/>
    <w:rsid w:val="6EFDAB80"/>
    <w:rsid w:val="721EACB9"/>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unhideWhenUsed/>
    <w:rsid w:val="005179B9"/>
    <w:pPr>
      <w:spacing w:after="120"/>
    </w:pPr>
  </w:style>
  <w:style w:type="character" w:customStyle="1" w:styleId="TextoindependienteCar">
    <w:name w:val="Texto independiente Car"/>
    <w:basedOn w:val="Fuentedeprrafopredeter"/>
    <w:link w:val="Textoindependiente"/>
    <w:uiPriority w:val="99"/>
    <w:rsid w:val="005179B9"/>
  </w:style>
  <w:style w:type="paragraph" w:customStyle="1" w:styleId="Appelnotedebasde">
    <w:name w:val="Appel note de bas de..."/>
    <w:basedOn w:val="Normal"/>
    <w:link w:val="Refdenotaalpie"/>
    <w:uiPriority w:val="99"/>
    <w:rsid w:val="005179B9"/>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luisa.barrantes@chi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DF17A9-1318-47A0-9ACC-AF872B602C5D}"/>
</file>

<file path=docProps/app.xml><?xml version="1.0" encoding="utf-8"?>
<Properties xmlns="http://schemas.openxmlformats.org/officeDocument/2006/extended-properties" xmlns:vt="http://schemas.openxmlformats.org/officeDocument/2006/docPropsVTypes">
  <Template>Normal.dotm</Template>
  <TotalTime>4</TotalTime>
  <Pages>12</Pages>
  <Words>3178</Words>
  <Characters>17480</Characters>
  <Application>Microsoft Office Word</Application>
  <DocSecurity>0</DocSecurity>
  <Lines>145</Lines>
  <Paragraphs>41</Paragraphs>
  <ScaleCrop>false</ScaleCrop>
  <Company/>
  <LinksUpToDate>false</LinksUpToDate>
  <CharactersWithSpaces>20617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8</cp:revision>
  <cp:lastPrinted>2023-01-10T21:18:00Z</cp:lastPrinted>
  <dcterms:created xsi:type="dcterms:W3CDTF">2025-08-12T17:06:00Z</dcterms:created>
  <dcterms:modified xsi:type="dcterms:W3CDTF">2025-08-15T04:27:00Z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