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3737F" w14:textId="77777777" w:rsidR="00421742" w:rsidRPr="00DD0DA7" w:rsidRDefault="00421742" w:rsidP="00421742">
      <w:pPr>
        <w:spacing w:after="0" w:line="240" w:lineRule="auto"/>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 xml:space="preserve">LEY DE EMPRENDIMIENTO – Ley 2069 de 2020 – Finalidad </w:t>
      </w:r>
    </w:p>
    <w:p w14:paraId="51528A8E" w14:textId="77777777" w:rsidR="00421742" w:rsidRPr="00DD0DA7" w:rsidRDefault="00421742" w:rsidP="00421742">
      <w:pPr>
        <w:spacing w:after="0" w:line="240" w:lineRule="auto"/>
        <w:jc w:val="both"/>
        <w:rPr>
          <w:rFonts w:ascii="Arial" w:eastAsia="Calibri" w:hAnsi="Arial" w:cs="Arial"/>
          <w:b/>
          <w:bCs/>
          <w:color w:val="000000" w:themeColor="text1"/>
          <w:lang w:val="es-MX"/>
        </w:rPr>
      </w:pPr>
    </w:p>
    <w:p w14:paraId="669A44FF" w14:textId="77777777" w:rsidR="00421742" w:rsidRPr="00DD0DA7" w:rsidRDefault="00421742" w:rsidP="00421742">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D0DA7">
        <w:rPr>
          <w:rFonts w:ascii="Arial" w:eastAsia="Calibri" w:hAnsi="Arial" w:cs="Arial"/>
          <w:color w:val="000000" w:themeColor="text1"/>
          <w:lang w:val="es-MX"/>
        </w:rPr>
        <w:t>de acuerdo a</w:t>
      </w:r>
      <w:proofErr w:type="gramEnd"/>
      <w:r w:rsidRPr="00DD0DA7">
        <w:rPr>
          <w:rFonts w:ascii="Arial" w:eastAsia="Calibri" w:hAnsi="Arial" w:cs="Arial"/>
          <w:color w:val="000000" w:themeColor="text1"/>
          <w:lang w:val="es-MX"/>
        </w:rPr>
        <w:t xml:space="preserve"> las realidades socioeconómicas de cada región». En desarrollo de esta finalidad, se establecen medidas de apoyo para las micro, pequeñas y medianas empresas –</w:t>
      </w:r>
      <w:proofErr w:type="spellStart"/>
      <w:r w:rsidRPr="00DD0DA7">
        <w:rPr>
          <w:rFonts w:ascii="Arial" w:eastAsia="Calibri" w:hAnsi="Arial" w:cs="Arial"/>
          <w:color w:val="000000" w:themeColor="text1"/>
          <w:lang w:val="es-MX"/>
        </w:rPr>
        <w:t>mipymes</w:t>
      </w:r>
      <w:proofErr w:type="spellEnd"/>
      <w:r w:rsidRPr="00DD0DA7">
        <w:rPr>
          <w:rFonts w:ascii="Arial" w:eastAsia="Calibri" w:hAnsi="Arial" w:cs="Arial"/>
          <w:color w:val="000000" w:themeColor="text1"/>
          <w:lang w:val="es-MX"/>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755DB8E" w14:textId="77777777" w:rsidR="00421742" w:rsidRPr="00DD0DA7" w:rsidRDefault="00421742" w:rsidP="00421742">
      <w:pPr>
        <w:spacing w:after="0" w:line="240" w:lineRule="auto"/>
        <w:jc w:val="both"/>
        <w:rPr>
          <w:rFonts w:ascii="Arial" w:eastAsia="Calibri" w:hAnsi="Arial" w:cs="Arial"/>
          <w:b/>
          <w:bCs/>
          <w:color w:val="000000" w:themeColor="text1"/>
          <w:lang w:val="es-MX"/>
        </w:rPr>
      </w:pPr>
    </w:p>
    <w:p w14:paraId="43D4A629" w14:textId="77777777" w:rsidR="00421742" w:rsidRPr="00DD0DA7" w:rsidRDefault="00421742" w:rsidP="00421742">
      <w:pPr>
        <w:spacing w:after="0" w:line="240" w:lineRule="auto"/>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LEY DE EMPRENDIMIENTO – Ley 2069 de 2020 – Artículo 32 – Criterios diferenciales – Emprendimientos de mujeres – Empresas de mujeres – Necesidad de reglamentación – Decreto 1860 de 2021</w:t>
      </w:r>
    </w:p>
    <w:p w14:paraId="4FF748FD" w14:textId="77777777" w:rsidR="00421742" w:rsidRPr="00DD0DA7" w:rsidRDefault="00421742" w:rsidP="00421742">
      <w:pPr>
        <w:spacing w:after="0" w:line="240" w:lineRule="auto"/>
        <w:jc w:val="both"/>
        <w:rPr>
          <w:rFonts w:ascii="Arial" w:eastAsia="Calibri" w:hAnsi="Arial" w:cs="Arial"/>
          <w:b/>
          <w:bCs/>
          <w:color w:val="000000" w:themeColor="text1"/>
          <w:lang w:val="es-MX"/>
        </w:rPr>
      </w:pPr>
    </w:p>
    <w:p w14:paraId="5CB7E06F" w14:textId="77777777" w:rsidR="00421742" w:rsidRPr="00DD0DA7" w:rsidRDefault="00421742" w:rsidP="00421742">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 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1529E9F4" w14:textId="77777777" w:rsidR="00421742" w:rsidRPr="00DD0DA7" w:rsidRDefault="00421742" w:rsidP="00421742">
      <w:pPr>
        <w:spacing w:after="0" w:line="240" w:lineRule="auto"/>
        <w:jc w:val="both"/>
        <w:rPr>
          <w:rFonts w:ascii="Arial" w:eastAsia="Calibri" w:hAnsi="Arial" w:cs="Arial"/>
          <w:b/>
          <w:bCs/>
          <w:color w:val="000000" w:themeColor="text1"/>
          <w:lang w:val="es-MX"/>
        </w:rPr>
      </w:pPr>
    </w:p>
    <w:p w14:paraId="0400F123" w14:textId="77777777" w:rsidR="00421742" w:rsidRPr="00DD0DA7" w:rsidRDefault="00421742" w:rsidP="00421742">
      <w:pPr>
        <w:spacing w:after="0" w:line="240" w:lineRule="auto"/>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lastRenderedPageBreak/>
        <w:t>DECRETO 1860 DE 2021 – Emprendimientos y empresas de mujeres – Definición – Artículo 2.2.1.2.4.2.14 – Numeral 3 – Persona natural</w:t>
      </w:r>
    </w:p>
    <w:p w14:paraId="332F87BC" w14:textId="77777777" w:rsidR="00421742" w:rsidRPr="00DD0DA7" w:rsidRDefault="00421742" w:rsidP="00421742">
      <w:pPr>
        <w:spacing w:after="0" w:line="240" w:lineRule="auto"/>
        <w:jc w:val="both"/>
        <w:rPr>
          <w:rFonts w:ascii="Arial" w:eastAsia="Calibri" w:hAnsi="Arial" w:cs="Arial"/>
          <w:b/>
          <w:bCs/>
          <w:color w:val="000000" w:themeColor="text1"/>
          <w:lang w:val="es-MX"/>
        </w:rPr>
      </w:pPr>
    </w:p>
    <w:p w14:paraId="4176FDBB" w14:textId="77777777" w:rsidR="00421742" w:rsidRPr="00DD0DA7" w:rsidRDefault="00421742" w:rsidP="00421742">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0CF0BEE3" w14:textId="77777777" w:rsidR="00421742" w:rsidRPr="00DD0DA7" w:rsidRDefault="00421742" w:rsidP="00421742">
      <w:pPr>
        <w:spacing w:after="0" w:line="240" w:lineRule="auto"/>
        <w:jc w:val="both"/>
        <w:rPr>
          <w:rFonts w:ascii="Arial" w:eastAsia="Calibri" w:hAnsi="Arial" w:cs="Arial"/>
          <w:color w:val="000000" w:themeColor="text1"/>
          <w:lang w:val="es-MX"/>
        </w:rPr>
      </w:pPr>
    </w:p>
    <w:p w14:paraId="0AD7B6AD" w14:textId="1DEC470A" w:rsidR="00421742" w:rsidRDefault="00421742" w:rsidP="00421742">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 artículo 2.2.1.2.4.2.14. del Decreto 1082 de 2015 – deja por fuera a aquellas mujeres que no hayan ejercido actividades comerciales a través de un establecimiento de comercio y/o que no cumplan con el requerimiento del tiempo mínimo de un año de ejercicio de las actividades.  </w:t>
      </w:r>
    </w:p>
    <w:p w14:paraId="0C6DFCEA" w14:textId="77777777" w:rsidR="00421742" w:rsidRPr="00DD0DA7" w:rsidRDefault="00421742" w:rsidP="00421742">
      <w:pPr>
        <w:spacing w:after="0" w:line="240" w:lineRule="auto"/>
        <w:jc w:val="both"/>
        <w:rPr>
          <w:rFonts w:ascii="Arial" w:eastAsia="Calibri" w:hAnsi="Arial" w:cs="Arial"/>
          <w:color w:val="000000" w:themeColor="text1"/>
          <w:lang w:val="es-MX"/>
        </w:rPr>
      </w:pPr>
    </w:p>
    <w:p w14:paraId="1087C4C5" w14:textId="77777777" w:rsidR="00421742" w:rsidRPr="00DD0DA7" w:rsidRDefault="00421742" w:rsidP="00421742">
      <w:pPr>
        <w:spacing w:after="0" w:line="240" w:lineRule="auto"/>
        <w:jc w:val="both"/>
        <w:rPr>
          <w:rFonts w:ascii="Arial" w:eastAsia="Calibri" w:hAnsi="Arial" w:cs="Arial"/>
          <w:b/>
          <w:bCs/>
          <w:color w:val="000000" w:themeColor="text1"/>
          <w:lang w:val="es-ES"/>
        </w:rPr>
      </w:pPr>
      <w:r w:rsidRPr="00DD0DA7">
        <w:rPr>
          <w:rFonts w:ascii="Arial" w:eastAsia="Calibri" w:hAnsi="Arial" w:cs="Arial"/>
          <w:b/>
          <w:bCs/>
          <w:color w:val="000000" w:themeColor="text1"/>
          <w:lang w:val="es-ES"/>
        </w:rPr>
        <w:t>EMPRENDIMIENTOS Y EMPRESAS DE MUJERES – Definición – Artículo 2.2.1.2.4.2.14 – Numeral 3 – Persona natural – Registro mercantil</w:t>
      </w:r>
    </w:p>
    <w:p w14:paraId="43947CB4" w14:textId="77777777" w:rsidR="00421742" w:rsidRPr="00DD0DA7" w:rsidRDefault="00421742" w:rsidP="00421742">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De esta manera, se concluye que el numeral tercero del artículo 2.2.1.2.4.2.14 del Decreto 1082 de 2015 –adicionado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Así las cosas, es necesario que la persona natural que realiza actividades de comercio a través de un establecimiento acredite dicho registro de acuerdo con lo dispuesto por la ley comercial.</w:t>
      </w:r>
    </w:p>
    <w:p w14:paraId="3280D5A4" w14:textId="77777777" w:rsidR="00421742" w:rsidRPr="00DD0DA7" w:rsidRDefault="00421742" w:rsidP="00421742">
      <w:pPr>
        <w:spacing w:after="0" w:line="240" w:lineRule="auto"/>
        <w:jc w:val="both"/>
        <w:rPr>
          <w:rFonts w:ascii="Arial" w:eastAsia="Calibri" w:hAnsi="Arial" w:cs="Arial"/>
          <w:color w:val="000000" w:themeColor="text1"/>
          <w:lang w:val="es-MX"/>
        </w:rPr>
      </w:pPr>
    </w:p>
    <w:p w14:paraId="1390BCAA" w14:textId="731C40BB" w:rsidR="00421742" w:rsidRPr="00DD0DA7" w:rsidRDefault="00421742" w:rsidP="00421742">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artículo 2.2.1.2.4.2.14 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adjuntando copia de la cédula de ciudadanía, cédula de extranjería o pasaporte y copia del registro mercanti</w:t>
      </w:r>
      <w:r>
        <w:rPr>
          <w:rFonts w:ascii="Arial" w:eastAsia="Calibri" w:hAnsi="Arial" w:cs="Arial"/>
          <w:color w:val="000000" w:themeColor="text1"/>
          <w:lang w:val="es-MX"/>
        </w:rPr>
        <w:t>l</w:t>
      </w:r>
    </w:p>
    <w:p w14:paraId="4D65C62A" w14:textId="5848DB4C" w:rsidR="0FADF8AF" w:rsidRDefault="0FADF8AF" w:rsidP="47F383B9">
      <w:pPr>
        <w:rPr>
          <w:rFonts w:ascii="Calibri" w:eastAsia="Calibri" w:hAnsi="Calibri" w:cs="Calibri"/>
        </w:rPr>
      </w:pPr>
      <w:r w:rsidRPr="47F383B9">
        <w:rPr>
          <w:rFonts w:ascii="Arial" w:eastAsia="Arial" w:hAnsi="Arial" w:cs="Arial"/>
          <w:color w:val="000000" w:themeColor="text1"/>
          <w:sz w:val="24"/>
          <w:szCs w:val="24"/>
          <w:lang w:val="es-MX"/>
        </w:rPr>
        <w:lastRenderedPageBreak/>
        <w:t>Bogotá D.C.,25</w:t>
      </w:r>
      <w:r w:rsidRPr="47F383B9">
        <w:rPr>
          <w:rFonts w:ascii="Arial" w:eastAsia="Arial" w:hAnsi="Arial" w:cs="Arial"/>
          <w:color w:val="201F1E"/>
          <w:sz w:val="24"/>
          <w:szCs w:val="24"/>
          <w:lang w:val="es-MX"/>
        </w:rPr>
        <w:t xml:space="preserve"> de enero de 2023</w:t>
      </w:r>
    </w:p>
    <w:p w14:paraId="46FD203A" w14:textId="2A8DE29C" w:rsidR="47F383B9" w:rsidRDefault="47F383B9" w:rsidP="47F383B9">
      <w:pPr>
        <w:jc w:val="right"/>
      </w:pPr>
    </w:p>
    <w:p w14:paraId="0B491E9C" w14:textId="3B7DEA75" w:rsidR="00421742" w:rsidRPr="00F751B0" w:rsidRDefault="001F6F88" w:rsidP="00F751B0">
      <w:pPr>
        <w:jc w:val="right"/>
        <w:rPr>
          <w:rFonts w:ascii="Geomanist Light" w:eastAsia="Geomanist Light" w:hAnsi="Geomanist Light" w:cs="Geomanist Light"/>
          <w:color w:val="201F1E"/>
          <w:lang w:val="es-MX"/>
        </w:rPr>
      </w:pPr>
      <w:r w:rsidRPr="001F6F88">
        <w:rPr>
          <w:rFonts w:ascii="Geomanist Light" w:eastAsia="Geomanist Light" w:hAnsi="Geomanist Light" w:cs="Geomanist Light"/>
          <w:noProof/>
          <w:color w:val="201F1E"/>
          <w:lang w:val="es-MX"/>
        </w:rPr>
        <w:drawing>
          <wp:inline distT="0" distB="0" distL="0" distR="0" wp14:anchorId="72959AD0" wp14:editId="70611A9D">
            <wp:extent cx="3181794" cy="924054"/>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3181794" cy="924054"/>
                    </a:xfrm>
                    <a:prstGeom prst="rect">
                      <a:avLst/>
                    </a:prstGeom>
                  </pic:spPr>
                </pic:pic>
              </a:graphicData>
            </a:graphic>
          </wp:inline>
        </w:drawing>
      </w:r>
    </w:p>
    <w:p w14:paraId="70408167" w14:textId="728C4BE9" w:rsidR="00F01003" w:rsidRPr="00DD0DA7" w:rsidRDefault="00F01003" w:rsidP="00F01003">
      <w:pPr>
        <w:widowControl w:val="0"/>
        <w:autoSpaceDE w:val="0"/>
        <w:autoSpaceDN w:val="0"/>
        <w:spacing w:after="0" w:line="240" w:lineRule="auto"/>
        <w:rPr>
          <w:rFonts w:ascii="Arial" w:eastAsia="Calibri" w:hAnsi="Arial" w:cs="Arial"/>
          <w:color w:val="000000" w:themeColor="text1"/>
          <w:lang w:val="es-MX"/>
        </w:rPr>
      </w:pPr>
      <w:r w:rsidRPr="00DD0DA7">
        <w:rPr>
          <w:rFonts w:ascii="Arial" w:eastAsia="Calibri" w:hAnsi="Arial" w:cs="Arial"/>
          <w:color w:val="000000" w:themeColor="text1"/>
          <w:lang w:val="es-MX"/>
        </w:rPr>
        <w:t>Señor</w:t>
      </w:r>
    </w:p>
    <w:p w14:paraId="75B14AAB" w14:textId="77777777" w:rsidR="00F01003" w:rsidRPr="00DD0DA7" w:rsidRDefault="00F01003" w:rsidP="00F01003">
      <w:pPr>
        <w:widowControl w:val="0"/>
        <w:autoSpaceDE w:val="0"/>
        <w:autoSpaceDN w:val="0"/>
        <w:spacing w:after="0" w:line="240" w:lineRule="auto"/>
        <w:rPr>
          <w:rFonts w:ascii="Arial" w:eastAsia="Calibri" w:hAnsi="Arial" w:cs="Arial"/>
          <w:b/>
          <w:bCs/>
          <w:color w:val="000000" w:themeColor="text1"/>
          <w:lang w:val="es-MX"/>
        </w:rPr>
      </w:pPr>
      <w:proofErr w:type="spellStart"/>
      <w:r w:rsidRPr="00DD0DA7">
        <w:rPr>
          <w:rFonts w:ascii="Arial" w:eastAsia="Calibri" w:hAnsi="Arial" w:cs="Arial"/>
          <w:b/>
          <w:bCs/>
          <w:color w:val="000000" w:themeColor="text1"/>
          <w:lang w:val="es-MX"/>
        </w:rPr>
        <w:t>Alvaro</w:t>
      </w:r>
      <w:proofErr w:type="spellEnd"/>
      <w:r w:rsidRPr="00DD0DA7">
        <w:rPr>
          <w:rFonts w:ascii="Arial" w:eastAsia="Calibri" w:hAnsi="Arial" w:cs="Arial"/>
          <w:b/>
          <w:bCs/>
          <w:color w:val="000000" w:themeColor="text1"/>
          <w:lang w:val="es-MX"/>
        </w:rPr>
        <w:t xml:space="preserve"> Ramírez</w:t>
      </w:r>
    </w:p>
    <w:p w14:paraId="2D8A84DF" w14:textId="77777777" w:rsidR="00F01003" w:rsidRPr="00DD0DA7" w:rsidRDefault="003C11B1" w:rsidP="00F01003">
      <w:pPr>
        <w:widowControl w:val="0"/>
        <w:autoSpaceDE w:val="0"/>
        <w:autoSpaceDN w:val="0"/>
        <w:spacing w:after="0" w:line="240" w:lineRule="auto"/>
        <w:rPr>
          <w:rFonts w:ascii="Arial" w:hAnsi="Arial" w:cs="Arial"/>
          <w:color w:val="000000" w:themeColor="text1"/>
        </w:rPr>
      </w:pPr>
      <w:hyperlink r:id="rId12" w:history="1">
        <w:r w:rsidR="00F01003" w:rsidRPr="00DD0DA7">
          <w:rPr>
            <w:rStyle w:val="Hipervnculo"/>
            <w:rFonts w:ascii="Arial" w:hAnsi="Arial" w:cs="Arial"/>
            <w:color w:val="000000" w:themeColor="text1"/>
          </w:rPr>
          <w:t>aaramirez77@hotmail.com</w:t>
        </w:r>
      </w:hyperlink>
    </w:p>
    <w:p w14:paraId="36183781" w14:textId="77777777" w:rsidR="00F01003" w:rsidRPr="00DD0DA7" w:rsidRDefault="00F01003" w:rsidP="00F01003">
      <w:pPr>
        <w:widowControl w:val="0"/>
        <w:autoSpaceDE w:val="0"/>
        <w:autoSpaceDN w:val="0"/>
        <w:spacing w:after="0" w:line="240" w:lineRule="auto"/>
        <w:rPr>
          <w:rFonts w:ascii="Arial" w:eastAsia="Calibri" w:hAnsi="Arial" w:cs="Arial"/>
          <w:b/>
          <w:bCs/>
          <w:color w:val="000000" w:themeColor="text1"/>
          <w:lang w:val="es-MX"/>
        </w:rPr>
      </w:pPr>
      <w:r w:rsidRPr="00DD0DA7">
        <w:rPr>
          <w:rFonts w:ascii="Arial" w:hAnsi="Arial" w:cs="Arial"/>
          <w:color w:val="000000" w:themeColor="text1"/>
        </w:rPr>
        <w:t>Los patios</w:t>
      </w:r>
      <w:r w:rsidRPr="00DD0DA7">
        <w:rPr>
          <w:rFonts w:ascii="Arial" w:eastAsia="Calibri" w:hAnsi="Arial" w:cs="Arial"/>
          <w:b/>
          <w:bCs/>
          <w:color w:val="000000" w:themeColor="text1"/>
          <w:lang w:val="es-MX"/>
        </w:rPr>
        <w:t xml:space="preserve">  </w:t>
      </w:r>
    </w:p>
    <w:p w14:paraId="5A161732" w14:textId="77777777" w:rsidR="00F01003" w:rsidRPr="00DD0DA7" w:rsidRDefault="00F01003" w:rsidP="00F01003">
      <w:pPr>
        <w:widowControl w:val="0"/>
        <w:autoSpaceDE w:val="0"/>
        <w:autoSpaceDN w:val="0"/>
        <w:spacing w:after="0" w:line="240" w:lineRule="auto"/>
        <w:rPr>
          <w:rFonts w:ascii="Arial" w:eastAsia="Calibri" w:hAnsi="Arial" w:cs="Arial"/>
          <w:color w:val="000000" w:themeColor="text1"/>
          <w:lang w:val="es-MX"/>
        </w:rPr>
      </w:pPr>
    </w:p>
    <w:p w14:paraId="1C84B002" w14:textId="77777777" w:rsidR="00F01003" w:rsidRPr="00DD0DA7" w:rsidRDefault="00F01003" w:rsidP="00F01003">
      <w:pPr>
        <w:spacing w:after="0" w:line="240" w:lineRule="auto"/>
        <w:rPr>
          <w:rFonts w:ascii="Arial" w:eastAsia="Calibri" w:hAnsi="Arial" w:cs="Arial"/>
          <w:b/>
          <w:color w:val="000000" w:themeColor="text1"/>
        </w:rPr>
      </w:pPr>
    </w:p>
    <w:p w14:paraId="29610436" w14:textId="77777777" w:rsidR="00F01003" w:rsidRDefault="00F01003" w:rsidP="00F01003">
      <w:pPr>
        <w:spacing w:after="0" w:line="240" w:lineRule="auto"/>
        <w:ind w:left="2116" w:firstLine="708"/>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Concepto C – 871 de 2022</w:t>
      </w:r>
    </w:p>
    <w:p w14:paraId="09EB4A09" w14:textId="77777777" w:rsidR="00F01003" w:rsidRPr="00DD0DA7" w:rsidRDefault="00F01003" w:rsidP="00F01003">
      <w:pPr>
        <w:spacing w:after="0" w:line="240" w:lineRule="auto"/>
        <w:ind w:left="2116" w:firstLine="708"/>
        <w:rPr>
          <w:rFonts w:ascii="Arial" w:eastAsia="Calibri" w:hAnsi="Arial" w:cs="Arial"/>
          <w:b/>
          <w:bCs/>
          <w:color w:val="000000" w:themeColor="text1"/>
          <w:lang w:val="es-MX"/>
        </w:rPr>
      </w:pPr>
    </w:p>
    <w:p w14:paraId="2283FA83" w14:textId="77777777" w:rsidR="00F01003" w:rsidRDefault="00F01003" w:rsidP="00F01003">
      <w:pPr>
        <w:spacing w:after="0" w:line="240" w:lineRule="auto"/>
        <w:ind w:left="2824" w:hanging="2818"/>
        <w:jc w:val="both"/>
        <w:rPr>
          <w:rFonts w:ascii="Arial" w:eastAsia="Calibri" w:hAnsi="Arial" w:cs="Arial"/>
          <w:color w:val="000000" w:themeColor="text1"/>
          <w:lang w:val="es-MX"/>
        </w:rPr>
      </w:pPr>
      <w:r w:rsidRPr="00DD0DA7">
        <w:rPr>
          <w:rFonts w:ascii="Arial" w:eastAsia="Calibri" w:hAnsi="Arial" w:cs="Arial"/>
          <w:b/>
          <w:bCs/>
          <w:color w:val="000000" w:themeColor="text1"/>
          <w:lang w:val="es-MX"/>
        </w:rPr>
        <w:t>Temas:</w:t>
      </w:r>
      <w:r w:rsidRPr="00DD0DA7">
        <w:rPr>
          <w:rFonts w:ascii="Arial" w:eastAsia="Calibri" w:hAnsi="Arial" w:cs="Arial"/>
          <w:bCs/>
          <w:noProof/>
          <w:color w:val="000000" w:themeColor="text1"/>
          <w:lang w:val="es-ES_tradnl"/>
        </w:rPr>
        <w:t xml:space="preserve"> </w:t>
      </w:r>
      <w:r w:rsidRPr="00DD0DA7">
        <w:rPr>
          <w:rFonts w:ascii="Arial" w:eastAsia="Calibri" w:hAnsi="Arial" w:cs="Arial"/>
          <w:bCs/>
          <w:noProof/>
          <w:color w:val="000000" w:themeColor="text1"/>
          <w:lang w:val="es-ES_tradnl"/>
        </w:rPr>
        <w:tab/>
      </w:r>
      <w:r w:rsidRPr="00DD0DA7">
        <w:rPr>
          <w:rFonts w:ascii="Arial" w:eastAsia="Calibri" w:hAnsi="Arial" w:cs="Arial"/>
          <w:color w:val="000000" w:themeColor="text1"/>
          <w:lang w:val="es-MX"/>
        </w:rPr>
        <w:t xml:space="preserve">LEY DE EMPRENDIMIENTO – Ley 2069 de 2020– Finalidad / LEY DE EMPRENDIMIENTO – Ley 2069 de 2020 – Artículo 32 – Criterios diferenciales – Emprendimientos de mujeres – Empresas de mujeres – Necesidad de reglamentación – Decreto 1860 de 2021 / DECRETO 1860 DE 2021 – Emprendimientos y empresas de mujeres – Definición – Artículo 2.2.1.2.4.2.14 – </w:t>
      </w:r>
    </w:p>
    <w:p w14:paraId="3C2E32C1" w14:textId="77777777" w:rsidR="00F01003" w:rsidRPr="00DD0DA7" w:rsidRDefault="00F01003" w:rsidP="00F01003">
      <w:pPr>
        <w:spacing w:after="0" w:line="240" w:lineRule="auto"/>
        <w:ind w:left="2824" w:hanging="2818"/>
        <w:jc w:val="both"/>
        <w:rPr>
          <w:rFonts w:ascii="Arial" w:eastAsia="Calibri" w:hAnsi="Arial" w:cs="Arial"/>
          <w:color w:val="000000" w:themeColor="text1"/>
          <w:lang w:val="es-MX"/>
        </w:rPr>
      </w:pPr>
    </w:p>
    <w:p w14:paraId="535DF4AC" w14:textId="77777777" w:rsidR="00F01003" w:rsidRPr="00DD0DA7" w:rsidRDefault="00F01003" w:rsidP="00F01003">
      <w:pPr>
        <w:spacing w:after="0" w:line="240" w:lineRule="auto"/>
        <w:ind w:left="2824" w:hanging="2818"/>
        <w:jc w:val="both"/>
        <w:rPr>
          <w:rFonts w:ascii="Arial" w:eastAsia="Calibri" w:hAnsi="Arial" w:cs="Arial"/>
          <w:color w:val="000000" w:themeColor="text1"/>
          <w:lang w:val="es-MX"/>
        </w:rPr>
      </w:pPr>
      <w:r w:rsidRPr="00DD0DA7">
        <w:rPr>
          <w:rFonts w:ascii="Arial" w:eastAsia="Calibri" w:hAnsi="Arial" w:cs="Arial"/>
          <w:b/>
          <w:bCs/>
          <w:color w:val="000000" w:themeColor="text1"/>
          <w:lang w:val="es-MX"/>
        </w:rPr>
        <w:t>Radicación:</w:t>
      </w:r>
      <w:r w:rsidRPr="00DD0DA7">
        <w:rPr>
          <w:rFonts w:ascii="Arial" w:eastAsia="Calibri" w:hAnsi="Arial" w:cs="Arial"/>
          <w:bCs/>
          <w:noProof/>
          <w:color w:val="000000" w:themeColor="text1"/>
          <w:lang w:val="es-ES_tradnl"/>
        </w:rPr>
        <w:tab/>
      </w:r>
      <w:r w:rsidRPr="00DD0DA7">
        <w:rPr>
          <w:rFonts w:ascii="Arial" w:eastAsia="Calibri" w:hAnsi="Arial" w:cs="Arial"/>
          <w:color w:val="000000" w:themeColor="text1"/>
          <w:lang w:val="es-MX"/>
        </w:rPr>
        <w:t>Respuesta a consulta P20221215012249</w:t>
      </w:r>
    </w:p>
    <w:p w14:paraId="56804D2A" w14:textId="77777777" w:rsidR="00F01003" w:rsidRPr="00DD0DA7" w:rsidRDefault="00F01003" w:rsidP="00F01003">
      <w:pPr>
        <w:spacing w:after="0" w:line="240" w:lineRule="auto"/>
        <w:ind w:left="2824" w:hanging="2818"/>
        <w:jc w:val="both"/>
        <w:rPr>
          <w:rFonts w:ascii="Arial" w:eastAsia="Calibri" w:hAnsi="Arial" w:cs="Arial"/>
          <w:color w:val="000000" w:themeColor="text1"/>
          <w:lang w:val="es-ES_tradnl"/>
        </w:rPr>
      </w:pPr>
    </w:p>
    <w:p w14:paraId="131D2691" w14:textId="77777777" w:rsidR="00F01003" w:rsidRPr="00DD0DA7" w:rsidRDefault="00F01003" w:rsidP="00F01003">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Estimado señor Ramírez,    </w:t>
      </w:r>
    </w:p>
    <w:p w14:paraId="605D4823" w14:textId="77777777" w:rsidR="00F01003" w:rsidRPr="00DD0DA7" w:rsidRDefault="00F01003" w:rsidP="00F01003">
      <w:pPr>
        <w:spacing w:after="0" w:line="240" w:lineRule="auto"/>
        <w:jc w:val="both"/>
        <w:rPr>
          <w:rFonts w:ascii="Arial" w:eastAsia="Calibri" w:hAnsi="Arial" w:cs="Arial"/>
          <w:color w:val="000000" w:themeColor="text1"/>
          <w:lang w:val="es-MX"/>
        </w:rPr>
      </w:pPr>
    </w:p>
    <w:p w14:paraId="75A56125" w14:textId="77777777" w:rsidR="00F01003" w:rsidRPr="00DD0DA7" w:rsidRDefault="00F01003" w:rsidP="00F01003">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En ejercicio de la competencia otorgada por el numeral 8 del artículo 11 y el numeral 5 del artículo 3 del Decreto Ley 4170 de 2011, la Agencia Nacional de Contratación Pública− Colombia Compra Eficiente responde su consulta de fecha 15 de diciembre de 2022.</w:t>
      </w:r>
    </w:p>
    <w:p w14:paraId="648CC100" w14:textId="77777777" w:rsidR="00F01003" w:rsidRPr="00DD0DA7" w:rsidRDefault="00F01003" w:rsidP="00F01003">
      <w:pPr>
        <w:spacing w:after="0" w:line="240" w:lineRule="auto"/>
        <w:jc w:val="both"/>
        <w:rPr>
          <w:rFonts w:ascii="Arial" w:hAnsi="Arial" w:cs="Arial"/>
          <w:color w:val="000000" w:themeColor="text1"/>
          <w:lang w:val="es-ES_tradnl"/>
        </w:rPr>
      </w:pPr>
    </w:p>
    <w:p w14:paraId="06D500E2" w14:textId="77777777" w:rsidR="00F01003" w:rsidRPr="00DD0DA7" w:rsidRDefault="00F01003" w:rsidP="00F01003">
      <w:pPr>
        <w:tabs>
          <w:tab w:val="left" w:pos="284"/>
        </w:tabs>
        <w:spacing w:after="0" w:line="240" w:lineRule="auto"/>
        <w:contextualSpacing/>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 xml:space="preserve">1. Problema planteado </w:t>
      </w:r>
    </w:p>
    <w:p w14:paraId="348F9673" w14:textId="77777777" w:rsidR="00F01003" w:rsidRPr="00DD0DA7" w:rsidRDefault="00F01003" w:rsidP="00F01003">
      <w:pPr>
        <w:tabs>
          <w:tab w:val="left" w:pos="426"/>
        </w:tabs>
        <w:spacing w:after="0" w:line="240" w:lineRule="auto"/>
        <w:jc w:val="both"/>
        <w:rPr>
          <w:rFonts w:ascii="Arial" w:eastAsia="Calibri" w:hAnsi="Arial" w:cs="Arial"/>
          <w:color w:val="000000" w:themeColor="text1"/>
        </w:rPr>
      </w:pPr>
    </w:p>
    <w:p w14:paraId="038B8409" w14:textId="77777777" w:rsidR="00F01003" w:rsidRDefault="00F01003" w:rsidP="00F01003">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Usted formula la siguiente consulta aclaratoria </w:t>
      </w:r>
      <w:r>
        <w:rPr>
          <w:rFonts w:ascii="Arial" w:eastAsia="Calibri" w:hAnsi="Arial" w:cs="Arial"/>
          <w:color w:val="000000" w:themeColor="text1"/>
          <w:lang w:val="es-MX"/>
        </w:rPr>
        <w:t>con</w:t>
      </w:r>
      <w:r w:rsidRPr="00DD0DA7">
        <w:rPr>
          <w:rFonts w:ascii="Arial" w:eastAsia="Calibri" w:hAnsi="Arial" w:cs="Arial"/>
          <w:color w:val="000000" w:themeColor="text1"/>
          <w:lang w:val="es-MX"/>
        </w:rPr>
        <w:t xml:space="preserve"> relación </w:t>
      </w:r>
      <w:r>
        <w:rPr>
          <w:rFonts w:ascii="Arial" w:eastAsia="Calibri" w:hAnsi="Arial" w:cs="Arial"/>
          <w:color w:val="000000" w:themeColor="text1"/>
          <w:lang w:val="es-MX"/>
        </w:rPr>
        <w:t>a</w:t>
      </w:r>
      <w:r w:rsidRPr="00DD0DA7">
        <w:rPr>
          <w:rFonts w:ascii="Arial" w:eastAsia="Calibri" w:hAnsi="Arial" w:cs="Arial"/>
          <w:color w:val="000000" w:themeColor="text1"/>
          <w:lang w:val="es-MX"/>
        </w:rPr>
        <w:t xml:space="preserve"> la asignación del puntaje adicional para emprendimientos y empresas de mujeres según lo establecido en el artículo 2.2.1.2.4.2.14 del Decreto 1082 de 2015, adicionado por el artículo 3 del Decreto 1860 de 2021:</w:t>
      </w:r>
    </w:p>
    <w:p w14:paraId="1A5500F9" w14:textId="77777777" w:rsidR="00F01003" w:rsidRPr="00DD0DA7" w:rsidRDefault="00F01003" w:rsidP="00F01003">
      <w:pPr>
        <w:spacing w:after="0" w:line="240" w:lineRule="auto"/>
        <w:jc w:val="both"/>
        <w:rPr>
          <w:rFonts w:ascii="Arial" w:eastAsia="Calibri" w:hAnsi="Arial" w:cs="Arial"/>
          <w:color w:val="000000" w:themeColor="text1"/>
          <w:lang w:val="es-MX"/>
        </w:rPr>
      </w:pPr>
    </w:p>
    <w:p w14:paraId="4A1310AC" w14:textId="7440A9DF" w:rsidR="00F01003" w:rsidRPr="00DD0DA7" w:rsidRDefault="00F01003" w:rsidP="00F01003">
      <w:pPr>
        <w:autoSpaceDE w:val="0"/>
        <w:autoSpaceDN w:val="0"/>
        <w:adjustRightInd w:val="0"/>
        <w:spacing w:after="0" w:line="240" w:lineRule="auto"/>
        <w:jc w:val="both"/>
        <w:rPr>
          <w:rFonts w:ascii="Arial" w:hAnsi="Arial" w:cs="Arial"/>
          <w:color w:val="000000" w:themeColor="text1"/>
        </w:rPr>
      </w:pPr>
      <w:bookmarkStart w:id="0" w:name="_Hlk106025682"/>
      <w:r w:rsidRPr="51AC5A12">
        <w:rPr>
          <w:rFonts w:ascii="Arial" w:eastAsia="Calibri" w:hAnsi="Arial" w:cs="Arial"/>
          <w:color w:val="000000" w:themeColor="text1"/>
          <w:lang w:val="es-MX"/>
        </w:rPr>
        <w:t xml:space="preserve">«[…] </w:t>
      </w:r>
      <w:r w:rsidRPr="51AC5A12">
        <w:rPr>
          <w:rFonts w:ascii="Arial" w:hAnsi="Arial" w:cs="Arial"/>
          <w:color w:val="000000" w:themeColor="text1"/>
        </w:rPr>
        <w:t xml:space="preserve">interpretación de lo establecido en el artículo 2.2.1.2.4.2.14 Definición de emprendimientos y empresas de mujeres, decreto 1860 de 2021. Solicito a la agencia </w:t>
      </w:r>
      <w:proofErr w:type="spellStart"/>
      <w:r w:rsidRPr="51AC5A12">
        <w:rPr>
          <w:rFonts w:ascii="Arial" w:hAnsi="Arial" w:cs="Arial"/>
          <w:color w:val="000000" w:themeColor="text1"/>
        </w:rPr>
        <w:t>publica</w:t>
      </w:r>
      <w:proofErr w:type="spellEnd"/>
      <w:r w:rsidRPr="51AC5A12">
        <w:rPr>
          <w:rFonts w:ascii="Arial" w:hAnsi="Arial" w:cs="Arial"/>
          <w:color w:val="000000" w:themeColor="text1"/>
        </w:rPr>
        <w:t xml:space="preserve"> de contratación CCE se aclare el contenido del numeral 2 del artículo en mención, ya que existen entidades en que se anexa el certificado mencionado en el </w:t>
      </w:r>
      <w:r w:rsidR="7160D41A" w:rsidRPr="51AC5A12">
        <w:rPr>
          <w:rFonts w:ascii="Arial" w:hAnsi="Arial" w:cs="Arial"/>
          <w:color w:val="000000" w:themeColor="text1"/>
        </w:rPr>
        <w:t>párrafo</w:t>
      </w:r>
      <w:r w:rsidRPr="51AC5A12">
        <w:rPr>
          <w:rFonts w:ascii="Arial" w:hAnsi="Arial" w:cs="Arial"/>
          <w:color w:val="000000" w:themeColor="text1"/>
        </w:rPr>
        <w:t xml:space="preserve"> tercero del numeral dos del ARTÍCULO 2.2.1.2.4.2.14. que exige una certificación expedida por el representante legal y el revisor fiscal; y se presenta con frecuencia en pequeñas empresas que estas solo tiene dos cargos en el nivel </w:t>
      </w:r>
      <w:r w:rsidRPr="51AC5A12">
        <w:rPr>
          <w:rFonts w:ascii="Arial" w:hAnsi="Arial" w:cs="Arial"/>
          <w:color w:val="000000" w:themeColor="text1"/>
        </w:rPr>
        <w:lastRenderedPageBreak/>
        <w:t xml:space="preserve">directivo, entre los cuales se encuentra el representante legal que se acredita con el certificado de existencia y representación legal y otro cargo como por </w:t>
      </w:r>
      <w:proofErr w:type="spellStart"/>
      <w:r w:rsidRPr="51AC5A12">
        <w:rPr>
          <w:rFonts w:ascii="Arial" w:hAnsi="Arial" w:cs="Arial"/>
          <w:color w:val="000000" w:themeColor="text1"/>
        </w:rPr>
        <w:t>ej</w:t>
      </w:r>
      <w:proofErr w:type="spellEnd"/>
      <w:r w:rsidRPr="51AC5A12">
        <w:rPr>
          <w:rFonts w:ascii="Arial" w:hAnsi="Arial" w:cs="Arial"/>
          <w:color w:val="000000" w:themeColor="text1"/>
        </w:rPr>
        <w:t xml:space="preserve">, jefe de talento humano, jefatura de compras, contratación etc... para obtener el beneficio de que trata el artículo </w:t>
      </w:r>
      <w:proofErr w:type="spellStart"/>
      <w:r w:rsidRPr="51AC5A12">
        <w:rPr>
          <w:rFonts w:ascii="Arial" w:hAnsi="Arial" w:cs="Arial"/>
          <w:color w:val="000000" w:themeColor="text1"/>
        </w:rPr>
        <w:t>ARTÍCULO</w:t>
      </w:r>
      <w:proofErr w:type="spellEnd"/>
      <w:r w:rsidRPr="51AC5A12">
        <w:rPr>
          <w:rFonts w:ascii="Arial" w:hAnsi="Arial" w:cs="Arial"/>
          <w:color w:val="000000" w:themeColor="text1"/>
        </w:rPr>
        <w:t xml:space="preserve"> 2.2.1.2.4.2.14., si por ejemplo la personal encarga de la dirección de talento humano, es mujer y lleva en la empresa con ese cargo </w:t>
      </w:r>
      <w:r w:rsidR="28A881FE" w:rsidRPr="51AC5A12">
        <w:rPr>
          <w:rFonts w:ascii="Arial" w:hAnsi="Arial" w:cs="Arial"/>
          <w:color w:val="000000" w:themeColor="text1"/>
        </w:rPr>
        <w:t>más</w:t>
      </w:r>
      <w:r w:rsidRPr="51AC5A12">
        <w:rPr>
          <w:rFonts w:ascii="Arial" w:hAnsi="Arial" w:cs="Arial"/>
          <w:color w:val="000000" w:themeColor="text1"/>
        </w:rPr>
        <w:t xml:space="preserve"> de un año, para obtener el incentivo de 0,25 puntos es necesario que se entreguen la planillas de pago de los </w:t>
      </w:r>
      <w:r w:rsidR="67DCE012" w:rsidRPr="51AC5A12">
        <w:rPr>
          <w:rFonts w:ascii="Arial" w:hAnsi="Arial" w:cs="Arial"/>
          <w:color w:val="000000" w:themeColor="text1"/>
        </w:rPr>
        <w:t>últimos</w:t>
      </w:r>
      <w:r w:rsidRPr="51AC5A12">
        <w:rPr>
          <w:rFonts w:ascii="Arial" w:hAnsi="Arial" w:cs="Arial"/>
          <w:color w:val="000000" w:themeColor="text1"/>
        </w:rPr>
        <w:t xml:space="preserve"> 12 meses tanto de la encargada de la dirección de talento humano quien es mujer, así como del representante legal de la empresa quien es hombre, o basta solamente con entregar el certificado de aportes a seguridad social del personal del nivel directivo que ocupan </w:t>
      </w:r>
      <w:proofErr w:type="spellStart"/>
      <w:r w:rsidRPr="51AC5A12">
        <w:rPr>
          <w:rFonts w:ascii="Arial" w:hAnsi="Arial" w:cs="Arial"/>
          <w:color w:val="000000" w:themeColor="text1"/>
        </w:rPr>
        <w:t>mas</w:t>
      </w:r>
      <w:proofErr w:type="spellEnd"/>
      <w:r w:rsidRPr="51AC5A12">
        <w:rPr>
          <w:rFonts w:ascii="Arial" w:hAnsi="Arial" w:cs="Arial"/>
          <w:color w:val="000000" w:themeColor="text1"/>
        </w:rPr>
        <w:t xml:space="preserve"> del 50% de los empleos ocupados por mujeres, es decir si el representante legal es hombre ocupa el 50% de los cargos de nivel directivo y NO aparece en los certificados de aportes al sistema de seguridad social de la empresa, y solamente aparecen los cargos de nivel directivo que demuestran la participación del otro 50% ocupado por mujeres estas empresas no obtienen el incentivo de 0,25 puntos (sic)?</w:t>
      </w:r>
      <w:r w:rsidRPr="51AC5A12">
        <w:rPr>
          <w:rFonts w:ascii="Arial" w:eastAsia="Calibri" w:hAnsi="Arial" w:cs="Arial"/>
          <w:color w:val="000000" w:themeColor="text1"/>
          <w:lang w:val="es-MX"/>
        </w:rPr>
        <w:t>»</w:t>
      </w:r>
      <w:bookmarkEnd w:id="0"/>
    </w:p>
    <w:p w14:paraId="58736382" w14:textId="77777777" w:rsidR="00F01003" w:rsidRPr="00DD0DA7" w:rsidRDefault="00F01003" w:rsidP="00F01003">
      <w:pPr>
        <w:spacing w:after="0" w:line="240" w:lineRule="auto"/>
        <w:ind w:right="709"/>
        <w:jc w:val="both"/>
        <w:rPr>
          <w:rFonts w:ascii="Arial" w:eastAsia="Calibri" w:hAnsi="Arial" w:cs="Arial"/>
          <w:b/>
          <w:color w:val="000000" w:themeColor="text1"/>
        </w:rPr>
      </w:pPr>
    </w:p>
    <w:p w14:paraId="5DBD67F0" w14:textId="77777777" w:rsidR="00F01003" w:rsidRPr="00DD0DA7" w:rsidRDefault="00F01003" w:rsidP="00F01003">
      <w:pPr>
        <w:tabs>
          <w:tab w:val="left" w:pos="284"/>
        </w:tabs>
        <w:spacing w:after="0" w:line="240" w:lineRule="auto"/>
        <w:contextualSpacing/>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2. Consideraciones</w:t>
      </w:r>
    </w:p>
    <w:p w14:paraId="464949BD" w14:textId="77777777" w:rsidR="00F01003" w:rsidRPr="00DD0DA7" w:rsidRDefault="00F01003" w:rsidP="00F01003">
      <w:pPr>
        <w:spacing w:after="0" w:line="240" w:lineRule="auto"/>
        <w:ind w:right="709"/>
        <w:jc w:val="both"/>
        <w:rPr>
          <w:rFonts w:ascii="Arial" w:hAnsi="Arial" w:cs="Arial"/>
          <w:color w:val="000000" w:themeColor="text1"/>
        </w:rPr>
      </w:pPr>
    </w:p>
    <w:p w14:paraId="049EB28D" w14:textId="77777777" w:rsidR="00F01003" w:rsidRPr="00DD0DA7" w:rsidRDefault="00F01003" w:rsidP="00F01003">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Es necesario tener en cuenta que, de acuerdo con las competencias establecidas en los artículos 3.5 y 11.8 del Decreto 4170 de 2021, la Agencia Nacional de Contratación Pública - Colombia Compra Eficiente solo tiene competencia para responder solicitudes sobre la aplicación de normas de carácter general en materia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D0DA7">
        <w:rPr>
          <w:rFonts w:ascii="Arial" w:hAnsi="Arial" w:cs="Arial"/>
          <w:color w:val="000000" w:themeColor="text1"/>
          <w:vertAlign w:val="superscript"/>
          <w:lang w:val="es-ES"/>
        </w:rPr>
        <w:footnoteReference w:id="2"/>
      </w:r>
      <w:r w:rsidRPr="00DD0DA7">
        <w:rPr>
          <w:rFonts w:ascii="Arial" w:hAnsi="Arial" w:cs="Arial"/>
          <w:color w:val="000000" w:themeColor="text1"/>
          <w:lang w:val="es-ES"/>
        </w:rPr>
        <w:t xml:space="preserve">. </w:t>
      </w:r>
      <w:r w:rsidRPr="00DD0DA7">
        <w:rPr>
          <w:rFonts w:ascii="Arial" w:eastAsia="Calibri" w:hAnsi="Arial" w:cs="Arial"/>
          <w:color w:val="000000" w:themeColor="text1"/>
          <w:lang w:val="es-MX"/>
        </w:rPr>
        <w:t>Esta competencia de interpretación de normas generales, por definición, tampoco puede extenderse a la resolución de controversias, ni a brindar asesorías sobre casos puntuales.</w:t>
      </w:r>
    </w:p>
    <w:p w14:paraId="57348B5C" w14:textId="77777777" w:rsidR="00F01003" w:rsidRPr="00DD0DA7" w:rsidRDefault="00F01003" w:rsidP="00F01003">
      <w:pPr>
        <w:spacing w:after="0" w:line="240" w:lineRule="auto"/>
        <w:jc w:val="both"/>
        <w:rPr>
          <w:rFonts w:ascii="Arial" w:eastAsia="Calibri" w:hAnsi="Arial" w:cs="Arial"/>
          <w:color w:val="000000" w:themeColor="text1"/>
          <w:lang w:val="es-MX"/>
        </w:rPr>
      </w:pPr>
    </w:p>
    <w:p w14:paraId="15D334D9" w14:textId="77777777" w:rsidR="00F01003" w:rsidRPr="00DD0DA7" w:rsidRDefault="00F01003" w:rsidP="00F01003">
      <w:pPr>
        <w:widowControl w:val="0"/>
        <w:autoSpaceDE w:val="0"/>
        <w:autoSpaceDN w:val="0"/>
        <w:spacing w:after="0" w:line="240" w:lineRule="auto"/>
        <w:ind w:firstLine="708"/>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Aclarado lo anterior, para responder su consulta, en desarrollo del presente concepto, se analizarán los siguientes temas: i) reglamentación de los criterios diferenciales de la Ley 2069 de 2020; y </w:t>
      </w:r>
      <w:proofErr w:type="spellStart"/>
      <w:r w:rsidRPr="00DD0DA7">
        <w:rPr>
          <w:rFonts w:ascii="Arial" w:eastAsia="Calibri" w:hAnsi="Arial" w:cs="Arial"/>
          <w:color w:val="000000" w:themeColor="text1"/>
          <w:lang w:val="es-MX"/>
        </w:rPr>
        <w:t>ii</w:t>
      </w:r>
      <w:proofErr w:type="spellEnd"/>
      <w:r w:rsidRPr="00DD0DA7">
        <w:rPr>
          <w:rFonts w:ascii="Arial" w:eastAsia="Calibri" w:hAnsi="Arial" w:cs="Arial"/>
          <w:color w:val="000000" w:themeColor="text1"/>
          <w:lang w:val="es-MX"/>
        </w:rPr>
        <w:t>) definición de emprendimientos y empresas de mujeres en el Decreto 1860 de 2021.</w:t>
      </w:r>
      <w:r w:rsidRPr="00DD0DA7">
        <w:rPr>
          <w:rFonts w:ascii="Arial" w:eastAsia="Arial" w:hAnsi="Arial" w:cs="Arial"/>
          <w:color w:val="000000" w:themeColor="text1"/>
          <w:lang w:val="es-ES"/>
        </w:rPr>
        <w:t xml:space="preserve"> </w:t>
      </w:r>
    </w:p>
    <w:p w14:paraId="629F15F0" w14:textId="15FA3405" w:rsidR="00F01003" w:rsidRPr="00DD0DA7" w:rsidRDefault="00F01003" w:rsidP="00F01003">
      <w:pPr>
        <w:widowControl w:val="0"/>
        <w:autoSpaceDE w:val="0"/>
        <w:autoSpaceDN w:val="0"/>
        <w:spacing w:before="240" w:after="0" w:line="240" w:lineRule="auto"/>
        <w:ind w:firstLine="708"/>
        <w:jc w:val="both"/>
        <w:rPr>
          <w:rFonts w:ascii="Arial" w:eastAsia="Calibri" w:hAnsi="Arial" w:cs="Arial"/>
          <w:color w:val="000000" w:themeColor="text1"/>
          <w:lang w:val="es-MX"/>
        </w:rPr>
      </w:pPr>
      <w:r w:rsidRPr="00DD0DA7">
        <w:rPr>
          <w:rFonts w:ascii="Arial" w:eastAsia="Calibri" w:hAnsi="Arial" w:cs="Arial"/>
          <w:color w:val="000000" w:themeColor="text1"/>
          <w:lang w:val="es-MX"/>
        </w:rPr>
        <w:t>La Agencia Nacional de Contratación Pública – Colombia Compra Eficiente se ha pronunciado, en términos generales, sobre el contenido de la Ley de Emprendimiento en diferentes conceptos</w:t>
      </w:r>
      <w:r w:rsidRPr="00DD0DA7">
        <w:rPr>
          <w:rFonts w:ascii="Arial" w:eastAsia="Calibri" w:hAnsi="Arial" w:cs="Arial"/>
          <w:color w:val="000000" w:themeColor="text1"/>
          <w:vertAlign w:val="superscript"/>
          <w:lang w:val="es-ES_tradnl"/>
        </w:rPr>
        <w:footnoteReference w:id="3"/>
      </w:r>
      <w:r w:rsidRPr="00DD0DA7">
        <w:rPr>
          <w:rFonts w:ascii="Arial" w:eastAsia="Calibri" w:hAnsi="Arial" w:cs="Arial"/>
          <w:color w:val="000000" w:themeColor="text1"/>
          <w:lang w:val="es-ES_tradnl"/>
        </w:rPr>
        <w:t xml:space="preserve">, </w:t>
      </w:r>
      <w:r w:rsidRPr="00DD0DA7">
        <w:rPr>
          <w:rFonts w:ascii="Arial" w:eastAsia="Calibri" w:hAnsi="Arial" w:cs="Arial"/>
          <w:color w:val="000000" w:themeColor="text1"/>
          <w:lang w:val="es-MX"/>
        </w:rPr>
        <w:t xml:space="preserve">refiriéndose, especialmente, a lo dispuesto en el artículo 32 de la precitada </w:t>
      </w:r>
      <w:r w:rsidRPr="00DD0DA7">
        <w:rPr>
          <w:rFonts w:ascii="Arial" w:eastAsia="Calibri" w:hAnsi="Arial" w:cs="Arial"/>
          <w:color w:val="000000" w:themeColor="text1"/>
          <w:lang w:val="es-MX"/>
        </w:rPr>
        <w:lastRenderedPageBreak/>
        <w:t xml:space="preserve">ley, alusivo a los criterios diferenciales para emprendimientos y empresas de mujeres, en los conceptos C-029 de 21 de febrero de 2021, C-037 del 26 de febrero de 2021, C-141 del 8 de abril de 2021, C-114 del 13 de abril de 2021, C-031 del 1 de marzo de 2022, C-217 del 21 de abril de 2022, C-476 de 21 de junio de 2022, C-509 de 8 de agosto de 2022, C-522 de 17 de agosto de 2022, C-533 de 25 de agosto de 2022, C-587 de 21 de septiembre de 2022, C-650 de 6 de octubre de 2022, C-698 de 24 de octubre de 2022, C-715 de 28 de octubre de 2022 y C-752 del 21 de diciembre de 2022. Algunas de las consideraciones de estos conceptos se reiteran y </w:t>
      </w:r>
      <w:r>
        <w:rPr>
          <w:rFonts w:ascii="Arial" w:eastAsia="Calibri" w:hAnsi="Arial" w:cs="Arial"/>
          <w:color w:val="000000" w:themeColor="text1"/>
          <w:lang w:val="es-MX"/>
        </w:rPr>
        <w:t xml:space="preserve">se </w:t>
      </w:r>
      <w:r w:rsidRPr="00DD0DA7">
        <w:rPr>
          <w:rFonts w:ascii="Arial" w:eastAsia="Calibri" w:hAnsi="Arial" w:cs="Arial"/>
          <w:color w:val="000000" w:themeColor="text1"/>
          <w:lang w:val="es-MX"/>
        </w:rPr>
        <w:t>complementan en lo pertinente</w:t>
      </w:r>
      <w:r>
        <w:rPr>
          <w:rFonts w:ascii="Arial" w:eastAsia="Calibri" w:hAnsi="Arial" w:cs="Arial"/>
          <w:color w:val="000000" w:themeColor="text1"/>
          <w:lang w:val="es-MX"/>
        </w:rPr>
        <w:t>.</w:t>
      </w:r>
    </w:p>
    <w:p w14:paraId="0C197F5E" w14:textId="77777777" w:rsidR="00F01003" w:rsidRPr="00DD0DA7" w:rsidRDefault="00F01003" w:rsidP="00F01003">
      <w:pPr>
        <w:spacing w:after="0" w:line="240" w:lineRule="auto"/>
        <w:jc w:val="both"/>
        <w:rPr>
          <w:rFonts w:ascii="Arial" w:eastAsia="Calibri" w:hAnsi="Arial" w:cs="Arial"/>
          <w:b/>
          <w:bCs/>
          <w:color w:val="000000" w:themeColor="text1"/>
          <w:lang w:val="es-ES_tradnl"/>
        </w:rPr>
      </w:pPr>
      <w:bookmarkStart w:id="1" w:name="_Hlk94018153"/>
    </w:p>
    <w:p w14:paraId="4937F132" w14:textId="77777777" w:rsidR="00F01003" w:rsidRPr="00DD0DA7" w:rsidRDefault="00F01003" w:rsidP="00F01003">
      <w:pPr>
        <w:spacing w:after="0" w:line="240" w:lineRule="auto"/>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 xml:space="preserve">2.1. Reglamentación de los criterios diferenciales introducidos por la Ley 2069 de 2020 </w:t>
      </w:r>
      <w:bookmarkEnd w:id="1"/>
    </w:p>
    <w:p w14:paraId="022CDFE9" w14:textId="77777777" w:rsidR="00F01003" w:rsidRPr="00DD0DA7" w:rsidRDefault="00F01003" w:rsidP="00F01003">
      <w:pPr>
        <w:spacing w:after="0" w:line="240" w:lineRule="auto"/>
        <w:jc w:val="both"/>
        <w:rPr>
          <w:rFonts w:ascii="Arial" w:eastAsia="Calibri" w:hAnsi="Arial" w:cs="Arial"/>
          <w:color w:val="000000" w:themeColor="text1"/>
          <w:lang w:val="es-ES_tradnl"/>
        </w:rPr>
      </w:pPr>
    </w:p>
    <w:p w14:paraId="0E96B1D5" w14:textId="77777777" w:rsidR="00F01003" w:rsidRPr="00DD0DA7" w:rsidRDefault="00F01003" w:rsidP="00F01003">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4630F719" w14:textId="77777777" w:rsidR="00F01003" w:rsidRPr="00DD0DA7" w:rsidRDefault="00F01003" w:rsidP="00F01003">
      <w:pPr>
        <w:spacing w:after="0" w:line="240" w:lineRule="auto"/>
        <w:jc w:val="both"/>
        <w:rPr>
          <w:rFonts w:ascii="Arial" w:eastAsia="Calibri" w:hAnsi="Arial" w:cs="Arial"/>
          <w:color w:val="000000" w:themeColor="text1"/>
          <w:lang w:val="es-MX"/>
        </w:rPr>
      </w:pPr>
    </w:p>
    <w:p w14:paraId="5F8445D5" w14:textId="77777777" w:rsidR="00F01003" w:rsidRPr="00DD0DA7" w:rsidRDefault="00F01003" w:rsidP="00F01003">
      <w:pPr>
        <w:spacing w:after="0" w:line="240" w:lineRule="auto"/>
        <w:ind w:firstLine="708"/>
        <w:jc w:val="both"/>
        <w:rPr>
          <w:rFonts w:ascii="Arial" w:eastAsia="Calibri" w:hAnsi="Arial" w:cs="Arial"/>
          <w:color w:val="000000" w:themeColor="text1"/>
          <w:lang w:val="es-ES_tradnl"/>
        </w:rPr>
      </w:pPr>
      <w:r w:rsidRPr="00DD0DA7">
        <w:rPr>
          <w:rFonts w:ascii="Arial" w:eastAsia="Calibri" w:hAnsi="Arial" w:cs="Arial"/>
          <w:color w:val="000000" w:themeColor="text1"/>
          <w:lang w:val="es-MX"/>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DD0DA7">
        <w:rPr>
          <w:rFonts w:ascii="Arial" w:eastAsia="Calibri" w:hAnsi="Arial" w:cs="Arial"/>
          <w:color w:val="000000" w:themeColor="text1"/>
          <w:vertAlign w:val="superscript"/>
          <w:lang w:val="es-ES_tradnl"/>
        </w:rPr>
        <w:footnoteReference w:id="4"/>
      </w:r>
      <w:r w:rsidRPr="00DD0DA7">
        <w:rPr>
          <w:rFonts w:ascii="Arial" w:eastAsia="Calibri" w:hAnsi="Arial" w:cs="Arial"/>
          <w:color w:val="000000" w:themeColor="text1"/>
          <w:lang w:val="es-ES_tradnl"/>
        </w:rPr>
        <w:t xml:space="preserve">. </w:t>
      </w:r>
      <w:r w:rsidRPr="00DD0DA7">
        <w:rPr>
          <w:rFonts w:ascii="Arial" w:eastAsia="Calibri" w:hAnsi="Arial" w:cs="Arial"/>
          <w:color w:val="000000" w:themeColor="text1"/>
          <w:lang w:val="es-MX"/>
        </w:rPr>
        <w:t xml:space="preserve">Esto, a partir de «[…] un enfoque regionalizado </w:t>
      </w:r>
      <w:proofErr w:type="gramStart"/>
      <w:r w:rsidRPr="00DD0DA7">
        <w:rPr>
          <w:rFonts w:ascii="Arial" w:eastAsia="Calibri" w:hAnsi="Arial" w:cs="Arial"/>
          <w:color w:val="000000" w:themeColor="text1"/>
          <w:lang w:val="es-MX"/>
        </w:rPr>
        <w:t>de acuerdo a</w:t>
      </w:r>
      <w:proofErr w:type="gramEnd"/>
      <w:r w:rsidRPr="00DD0DA7">
        <w:rPr>
          <w:rFonts w:ascii="Arial" w:eastAsia="Calibri" w:hAnsi="Arial" w:cs="Arial"/>
          <w:color w:val="000000" w:themeColor="text1"/>
          <w:lang w:val="es-MX"/>
        </w:rPr>
        <w:t xml:space="preserve"> las realidades socioeconómicas de cada región». En desarrollo de esta finalidad, se establecen medidas de apoyo para las micro, pequeñas y medianas empresas –</w:t>
      </w:r>
      <w:proofErr w:type="spellStart"/>
      <w:r w:rsidRPr="00DD0DA7">
        <w:rPr>
          <w:rFonts w:ascii="Arial" w:eastAsia="Calibri" w:hAnsi="Arial" w:cs="Arial"/>
          <w:color w:val="000000" w:themeColor="text1"/>
          <w:lang w:val="es-MX"/>
        </w:rPr>
        <w:t>Mipymes</w:t>
      </w:r>
      <w:proofErr w:type="spellEnd"/>
      <w:r w:rsidRPr="00DD0DA7">
        <w:rPr>
          <w:rFonts w:ascii="Arial" w:eastAsia="Calibri" w:hAnsi="Arial" w:cs="Arial"/>
          <w:color w:val="000000" w:themeColor="text1"/>
          <w:lang w:val="es-MX"/>
        </w:rPr>
        <w:t>–, mediante la racionalización y simplificación de los trámites y tarifas</w:t>
      </w:r>
      <w:r w:rsidRPr="00DD0DA7">
        <w:rPr>
          <w:rFonts w:ascii="Arial" w:eastAsia="Calibri" w:hAnsi="Arial" w:cs="Arial"/>
          <w:color w:val="000000" w:themeColor="text1"/>
          <w:vertAlign w:val="superscript"/>
          <w:lang w:val="es-ES_tradnl"/>
        </w:rPr>
        <w:footnoteReference w:id="5"/>
      </w:r>
      <w:r w:rsidRPr="00DD0DA7">
        <w:rPr>
          <w:rFonts w:ascii="Arial" w:eastAsia="Calibri" w:hAnsi="Arial" w:cs="Arial"/>
          <w:color w:val="000000" w:themeColor="text1"/>
          <w:lang w:val="es-MX"/>
        </w:rPr>
        <w:t>, así como incentivos a favor de aquellas dentro del sistema de compras y contratación pública</w:t>
      </w:r>
      <w:r w:rsidRPr="00DD0DA7">
        <w:rPr>
          <w:rFonts w:ascii="Arial" w:eastAsia="Calibri" w:hAnsi="Arial" w:cs="Arial"/>
          <w:color w:val="000000" w:themeColor="text1"/>
          <w:vertAlign w:val="superscript"/>
          <w:lang w:val="es-ES_tradnl"/>
        </w:rPr>
        <w:footnoteReference w:id="6"/>
      </w:r>
      <w:r w:rsidRPr="00DD0DA7">
        <w:rPr>
          <w:rFonts w:ascii="Arial" w:eastAsia="Calibri" w:hAnsi="Arial" w:cs="Arial"/>
          <w:color w:val="000000" w:themeColor="text1"/>
          <w:lang w:val="es-ES_tradnl"/>
        </w:rPr>
        <w:t xml:space="preserve">. </w:t>
      </w:r>
      <w:r w:rsidRPr="00DD0DA7">
        <w:rPr>
          <w:rFonts w:ascii="Arial" w:eastAsia="Calibri" w:hAnsi="Arial" w:cs="Arial"/>
          <w:color w:val="000000" w:themeColor="text1"/>
          <w:lang w:val="es-MX"/>
        </w:rPr>
        <w:t>También se consagran mecanismos de acceso al financiamiento</w:t>
      </w:r>
      <w:r w:rsidRPr="00DD0DA7">
        <w:rPr>
          <w:rFonts w:ascii="Arial" w:eastAsia="Calibri" w:hAnsi="Arial" w:cs="Arial"/>
          <w:color w:val="000000" w:themeColor="text1"/>
          <w:vertAlign w:val="superscript"/>
          <w:lang w:val="es-ES_tradnl"/>
        </w:rPr>
        <w:footnoteReference w:id="7"/>
      </w:r>
      <w:r w:rsidRPr="00DD0DA7">
        <w:rPr>
          <w:rFonts w:ascii="Arial" w:eastAsia="Calibri" w:hAnsi="Arial" w:cs="Arial"/>
          <w:color w:val="000000" w:themeColor="text1"/>
          <w:lang w:val="es-ES_tradnl"/>
        </w:rPr>
        <w:t xml:space="preserve">, </w:t>
      </w:r>
      <w:r w:rsidRPr="00DD0DA7">
        <w:rPr>
          <w:rFonts w:ascii="Arial" w:eastAsia="Calibri" w:hAnsi="Arial" w:cs="Arial"/>
          <w:color w:val="000000" w:themeColor="text1"/>
          <w:lang w:val="es-MX"/>
        </w:rPr>
        <w:t xml:space="preserve">se unifican las fuentes de emprendimiento y de desarrollo empresarial, para </w:t>
      </w:r>
      <w:r w:rsidRPr="00DD0DA7">
        <w:rPr>
          <w:rFonts w:ascii="Arial" w:eastAsia="Calibri" w:hAnsi="Arial" w:cs="Arial"/>
          <w:color w:val="000000" w:themeColor="text1"/>
          <w:lang w:val="es-MX"/>
        </w:rPr>
        <w:lastRenderedPageBreak/>
        <w:t>fortalecer y promover los distintos sectores de la economía</w:t>
      </w:r>
      <w:r w:rsidRPr="00DD0DA7">
        <w:rPr>
          <w:rFonts w:ascii="Arial" w:eastAsia="Calibri" w:hAnsi="Arial" w:cs="Arial"/>
          <w:color w:val="000000" w:themeColor="text1"/>
          <w:vertAlign w:val="superscript"/>
          <w:lang w:val="es-ES_tradnl"/>
        </w:rPr>
        <w:footnoteReference w:id="8"/>
      </w:r>
      <w:r w:rsidRPr="00DD0DA7">
        <w:rPr>
          <w:rFonts w:ascii="Arial" w:eastAsia="Calibri" w:hAnsi="Arial" w:cs="Arial"/>
          <w:color w:val="000000" w:themeColor="text1"/>
          <w:lang w:val="es-ES_tradnl"/>
        </w:rPr>
        <w:t xml:space="preserve"> </w:t>
      </w:r>
      <w:r w:rsidRPr="00DD0DA7">
        <w:rPr>
          <w:rFonts w:ascii="Arial" w:eastAsia="Calibri" w:hAnsi="Arial" w:cs="Arial"/>
          <w:color w:val="000000" w:themeColor="text1"/>
          <w:lang w:val="es-MX"/>
        </w:rPr>
        <w:t>y se prevén medidas de educación para el emprendimiento y la innovación</w:t>
      </w:r>
      <w:r w:rsidRPr="00DD0DA7">
        <w:rPr>
          <w:rFonts w:ascii="Arial" w:eastAsia="Calibri" w:hAnsi="Arial" w:cs="Arial"/>
          <w:color w:val="000000" w:themeColor="text1"/>
          <w:vertAlign w:val="superscript"/>
          <w:lang w:val="es-ES_tradnl"/>
        </w:rPr>
        <w:footnoteReference w:id="9"/>
      </w:r>
      <w:r w:rsidRPr="00DD0DA7">
        <w:rPr>
          <w:rFonts w:ascii="Arial" w:eastAsia="Calibri" w:hAnsi="Arial" w:cs="Arial"/>
          <w:color w:val="000000" w:themeColor="text1"/>
          <w:lang w:val="es-ES_tradnl"/>
        </w:rPr>
        <w:t>.</w:t>
      </w:r>
    </w:p>
    <w:p w14:paraId="7077EEB8" w14:textId="77777777" w:rsidR="00F01003" w:rsidRPr="00DD0DA7" w:rsidRDefault="00F01003" w:rsidP="00F01003">
      <w:pPr>
        <w:spacing w:before="120" w:after="0" w:line="240" w:lineRule="auto"/>
        <w:ind w:firstLine="709"/>
        <w:jc w:val="both"/>
        <w:rPr>
          <w:rFonts w:ascii="Arial" w:eastAsia="Calibri" w:hAnsi="Arial" w:cs="Arial"/>
          <w:color w:val="000000" w:themeColor="text1"/>
          <w:lang w:val="es-ES_tradnl"/>
        </w:rPr>
      </w:pPr>
      <w:r w:rsidRPr="00DD0DA7">
        <w:rPr>
          <w:rFonts w:ascii="Arial" w:eastAsia="Calibri" w:hAnsi="Arial" w:cs="Arial"/>
          <w:color w:val="000000" w:themeColor="text1"/>
          <w:lang w:val="es-MX"/>
        </w:rPr>
        <w:t>Como se indicó, parte de la Ley 2069</w:t>
      </w:r>
      <w:r>
        <w:rPr>
          <w:rFonts w:ascii="Arial" w:eastAsia="Calibri" w:hAnsi="Arial" w:cs="Arial"/>
          <w:color w:val="000000" w:themeColor="text1"/>
          <w:lang w:val="es-MX"/>
        </w:rPr>
        <w:t xml:space="preserve"> de 2020</w:t>
      </w:r>
      <w:r w:rsidRPr="00DD0DA7">
        <w:rPr>
          <w:rFonts w:ascii="Arial" w:eastAsia="Calibri" w:hAnsi="Arial" w:cs="Arial"/>
          <w:color w:val="000000" w:themeColor="text1"/>
          <w:lang w:val="es-MX"/>
        </w:rPr>
        <w:t xml:space="preserve"> contiene normas que modifican algunos aspectos de la contratación estatal para promover el emprendimiento. Concretamente, aquellas se encuentran en el Capítulo II –artículos 30 al 36–. En su orden, tales artículos consagran: i) reglas sobre la participación de las </w:t>
      </w:r>
      <w:proofErr w:type="spellStart"/>
      <w:r w:rsidRPr="00DD0DA7">
        <w:rPr>
          <w:rFonts w:ascii="Arial" w:eastAsia="Calibri" w:hAnsi="Arial" w:cs="Arial"/>
          <w:color w:val="000000" w:themeColor="text1"/>
          <w:lang w:val="es-MX"/>
        </w:rPr>
        <w:t>Mipymes</w:t>
      </w:r>
      <w:proofErr w:type="spellEnd"/>
      <w:r w:rsidRPr="00DD0DA7">
        <w:rPr>
          <w:rFonts w:ascii="Arial" w:eastAsia="Calibri" w:hAnsi="Arial" w:cs="Arial"/>
          <w:color w:val="000000" w:themeColor="text1"/>
          <w:lang w:val="es-MX"/>
        </w:rPr>
        <w:t xml:space="preserve"> en el procedimiento de mínima cuantía, </w:t>
      </w:r>
      <w:proofErr w:type="spellStart"/>
      <w:r w:rsidRPr="00DD0DA7">
        <w:rPr>
          <w:rFonts w:ascii="Arial" w:eastAsia="Calibri" w:hAnsi="Arial" w:cs="Arial"/>
          <w:color w:val="000000" w:themeColor="text1"/>
          <w:lang w:val="es-MX"/>
        </w:rPr>
        <w:t>ii</w:t>
      </w:r>
      <w:proofErr w:type="spellEnd"/>
      <w:r w:rsidRPr="00DD0DA7">
        <w:rPr>
          <w:rFonts w:ascii="Arial" w:eastAsia="Calibri" w:hAnsi="Arial" w:cs="Arial"/>
          <w:color w:val="000000" w:themeColor="text1"/>
          <w:lang w:val="es-MX"/>
        </w:rPr>
        <w:t xml:space="preserve">) criterios diferenciales para </w:t>
      </w:r>
      <w:proofErr w:type="spellStart"/>
      <w:r w:rsidRPr="00DD0DA7">
        <w:rPr>
          <w:rFonts w:ascii="Arial" w:eastAsia="Calibri" w:hAnsi="Arial" w:cs="Arial"/>
          <w:color w:val="000000" w:themeColor="text1"/>
          <w:lang w:val="es-MX"/>
        </w:rPr>
        <w:t>Mipymes</w:t>
      </w:r>
      <w:proofErr w:type="spellEnd"/>
      <w:r w:rsidRPr="00DD0DA7">
        <w:rPr>
          <w:rFonts w:ascii="Arial" w:eastAsia="Calibri" w:hAnsi="Arial" w:cs="Arial"/>
          <w:color w:val="000000" w:themeColor="text1"/>
          <w:lang w:val="es-MX"/>
        </w:rPr>
        <w:t xml:space="preserve"> en el sistema de compras públicas, </w:t>
      </w:r>
      <w:proofErr w:type="spellStart"/>
      <w:r w:rsidRPr="00DD0DA7">
        <w:rPr>
          <w:rFonts w:ascii="Arial" w:eastAsia="Calibri" w:hAnsi="Arial" w:cs="Arial"/>
          <w:color w:val="000000" w:themeColor="text1"/>
          <w:lang w:val="es-MX"/>
        </w:rPr>
        <w:t>iii</w:t>
      </w:r>
      <w:proofErr w:type="spellEnd"/>
      <w:r w:rsidRPr="00DD0DA7">
        <w:rPr>
          <w:rFonts w:ascii="Arial" w:eastAsia="Calibri" w:hAnsi="Arial" w:cs="Arial"/>
          <w:color w:val="000000" w:themeColor="text1"/>
          <w:lang w:val="es-MX"/>
        </w:rPr>
        <w:t xml:space="preserve">) criterios diferenciales para emprendimientos y empresas de mujeres en el sistema de compras públicas, </w:t>
      </w:r>
      <w:proofErr w:type="spellStart"/>
      <w:r w:rsidRPr="00DD0DA7">
        <w:rPr>
          <w:rFonts w:ascii="Arial" w:eastAsia="Calibri" w:hAnsi="Arial" w:cs="Arial"/>
          <w:color w:val="000000" w:themeColor="text1"/>
          <w:lang w:val="es-MX"/>
        </w:rPr>
        <w:t>iv</w:t>
      </w:r>
      <w:proofErr w:type="spellEnd"/>
      <w:r w:rsidRPr="00DD0DA7">
        <w:rPr>
          <w:rFonts w:ascii="Arial" w:eastAsia="Calibri" w:hAnsi="Arial" w:cs="Arial"/>
          <w:color w:val="000000" w:themeColor="text1"/>
          <w:lang w:val="es-MX"/>
        </w:rPr>
        <w:t xml:space="preserve">) promoción del acceso de las </w:t>
      </w:r>
      <w:proofErr w:type="spellStart"/>
      <w:r w:rsidRPr="00DD0DA7">
        <w:rPr>
          <w:rFonts w:ascii="Arial" w:eastAsia="Calibri" w:hAnsi="Arial" w:cs="Arial"/>
          <w:color w:val="000000" w:themeColor="text1"/>
          <w:lang w:val="es-MX"/>
        </w:rPr>
        <w:t>Mipymes</w:t>
      </w:r>
      <w:proofErr w:type="spellEnd"/>
      <w:r w:rsidRPr="00DD0DA7">
        <w:rPr>
          <w:rFonts w:ascii="Arial" w:eastAsia="Calibri" w:hAnsi="Arial" w:cs="Arial"/>
          <w:color w:val="000000" w:themeColor="text1"/>
          <w:lang w:val="es-MX"/>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DD0DA7">
        <w:rPr>
          <w:rFonts w:ascii="Arial" w:eastAsia="Calibri" w:hAnsi="Arial" w:cs="Arial"/>
          <w:color w:val="000000" w:themeColor="text1"/>
          <w:vertAlign w:val="superscript"/>
          <w:lang w:val="es-ES_tradnl"/>
        </w:rPr>
        <w:footnoteReference w:id="10"/>
      </w:r>
      <w:r w:rsidRPr="00DD0DA7">
        <w:rPr>
          <w:rFonts w:ascii="Arial" w:eastAsia="Calibri" w:hAnsi="Arial" w:cs="Arial"/>
          <w:color w:val="000000" w:themeColor="text1"/>
          <w:lang w:val="es-ES_tradnl"/>
        </w:rPr>
        <w:t xml:space="preserve">. </w:t>
      </w:r>
    </w:p>
    <w:p w14:paraId="440DE9BA"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r w:rsidRPr="00DD0DA7">
        <w:rPr>
          <w:rFonts w:ascii="Arial" w:eastAsia="Calibri" w:hAnsi="Arial" w:cs="Arial"/>
          <w:bCs/>
          <w:color w:val="000000" w:themeColor="text1"/>
        </w:rPr>
        <w:tab/>
      </w:r>
      <w:r w:rsidRPr="00DD0DA7">
        <w:rPr>
          <w:rFonts w:ascii="Arial" w:eastAsia="Calibri" w:hAnsi="Arial" w:cs="Arial"/>
          <w:color w:val="000000" w:themeColor="text1"/>
          <w:lang w:val="es-MX"/>
        </w:rPr>
        <w:t xml:space="preserve">Dentro del referido capítulo se encuentran </w:t>
      </w:r>
      <w:bookmarkStart w:id="3" w:name="_Hlk63848566"/>
      <w:r w:rsidRPr="00DD0DA7">
        <w:rPr>
          <w:rFonts w:ascii="Arial" w:eastAsia="Calibri" w:hAnsi="Arial" w:cs="Arial"/>
          <w:color w:val="000000" w:themeColor="text1"/>
          <w:lang w:val="es-MX"/>
        </w:rPr>
        <w:t>los artículos 31 y 32 de la Ley 2069 de 2020</w:t>
      </w:r>
      <w:bookmarkEnd w:id="3"/>
      <w:r w:rsidRPr="00DD0DA7">
        <w:rPr>
          <w:rFonts w:ascii="Arial" w:eastAsia="Calibri" w:hAnsi="Arial" w:cs="Arial"/>
          <w:color w:val="000000" w:themeColor="text1"/>
          <w:lang w:val="es-MX"/>
        </w:rPr>
        <w:t xml:space="preserve">, los cuales crean una serie de incentivos para las personas interesadas en celebrar contratos con el Estado. Por un lado, el artículo 31 introduce criterios diferenciales para el acceso de las </w:t>
      </w:r>
      <w:proofErr w:type="spellStart"/>
      <w:r w:rsidRPr="00DD0DA7">
        <w:rPr>
          <w:rFonts w:ascii="Arial" w:eastAsia="Calibri" w:hAnsi="Arial" w:cs="Arial"/>
          <w:color w:val="000000" w:themeColor="text1"/>
          <w:lang w:val="es-MX"/>
        </w:rPr>
        <w:t>Mipymes</w:t>
      </w:r>
      <w:proofErr w:type="spellEnd"/>
      <w:r w:rsidRPr="00DD0DA7">
        <w:rPr>
          <w:rFonts w:ascii="Arial" w:eastAsia="Calibri" w:hAnsi="Arial" w:cs="Arial"/>
          <w:color w:val="000000" w:themeColor="text1"/>
          <w:lang w:val="es-MX"/>
        </w:rPr>
        <w:t xml:space="preserve"> al sistema de compras y contratación pública, estableciendo que «Las Entidades Estatales de acuerdo con el análisis de Sector </w:t>
      </w:r>
      <w:bookmarkStart w:id="4" w:name="_Hlk63767562"/>
      <w:r w:rsidRPr="00DD0DA7">
        <w:rPr>
          <w:rFonts w:ascii="Arial" w:eastAsia="Calibri" w:hAnsi="Arial" w:cs="Arial"/>
          <w:color w:val="000000" w:themeColor="text1"/>
          <w:lang w:val="es-MX"/>
        </w:rPr>
        <w:t>podrán incluir, en los Documentos del Proceso, requisitos diferenciales y puntajes adicionales</w:t>
      </w:r>
      <w:bookmarkEnd w:id="4"/>
      <w:r w:rsidRPr="00DD0DA7">
        <w:rPr>
          <w:rFonts w:ascii="Arial" w:eastAsia="Calibri" w:hAnsi="Arial" w:cs="Arial"/>
          <w:color w:val="000000" w:themeColor="text1"/>
          <w:lang w:val="es-MX"/>
        </w:rPr>
        <w:t xml:space="preserve">, en función del tamaño empresarial para la promoción del acceso de las MIPYMES al mercado de Compras Públicas». </w:t>
      </w:r>
    </w:p>
    <w:p w14:paraId="64CC592A"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 </w:t>
      </w:r>
    </w:p>
    <w:p w14:paraId="0E857CDF"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ab/>
        <w:t>Además,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32143DF8"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p>
    <w:p w14:paraId="4D9A2D75" w14:textId="77777777" w:rsidR="00F01003" w:rsidRPr="00DD0DA7" w:rsidRDefault="00F01003" w:rsidP="00F01003">
      <w:pPr>
        <w:tabs>
          <w:tab w:val="left" w:pos="709"/>
        </w:tabs>
        <w:spacing w:after="0" w:line="240" w:lineRule="auto"/>
        <w:jc w:val="both"/>
        <w:rPr>
          <w:rFonts w:ascii="Arial" w:eastAsia="Calibri" w:hAnsi="Arial" w:cs="Arial"/>
          <w:bCs/>
          <w:color w:val="000000" w:themeColor="text1"/>
        </w:rPr>
      </w:pPr>
      <w:r w:rsidRPr="00DD0DA7">
        <w:rPr>
          <w:rFonts w:ascii="Arial" w:eastAsia="Calibri" w:hAnsi="Arial" w:cs="Arial"/>
          <w:color w:val="000000" w:themeColor="text1"/>
          <w:lang w:val="es-MX"/>
        </w:rPr>
        <w:tab/>
        <w:t>Por otra parte, el artículo 32 de la Ley 2069 de 2020</w:t>
      </w:r>
      <w:r w:rsidRPr="00DD0DA7">
        <w:rPr>
          <w:rFonts w:ascii="Arial" w:eastAsia="Calibri" w:hAnsi="Arial" w:cs="Arial"/>
          <w:bCs/>
          <w:color w:val="000000" w:themeColor="text1"/>
          <w:vertAlign w:val="superscript"/>
        </w:rPr>
        <w:footnoteReference w:id="11"/>
      </w:r>
      <w:r w:rsidRPr="00DD0DA7">
        <w:rPr>
          <w:rFonts w:ascii="Arial" w:eastAsia="Calibri" w:hAnsi="Arial" w:cs="Arial"/>
          <w:bCs/>
          <w:color w:val="000000" w:themeColor="text1"/>
        </w:rPr>
        <w:t xml:space="preserve"> </w:t>
      </w:r>
      <w:r w:rsidRPr="00DD0DA7">
        <w:rPr>
          <w:rFonts w:ascii="Arial" w:eastAsia="Calibri" w:hAnsi="Arial" w:cs="Arial"/>
          <w:color w:val="000000" w:themeColor="text1"/>
          <w:lang w:val="es-MX"/>
        </w:rPr>
        <w:t>regula criterios diferenciales para los «emprendimientos y empresas de mujeres» en el sistema de compras y contratación pública. En relación con este aspecto, el inciso primero de la norma citada prescribe:</w:t>
      </w:r>
      <w:r w:rsidRPr="00DD0DA7">
        <w:rPr>
          <w:rFonts w:ascii="Arial" w:eastAsia="Calibri" w:hAnsi="Arial" w:cs="Arial"/>
          <w:bCs/>
          <w:color w:val="000000" w:themeColor="text1"/>
        </w:rPr>
        <w:t xml:space="preserve"> </w:t>
      </w:r>
    </w:p>
    <w:p w14:paraId="2ECEBD98" w14:textId="77777777" w:rsidR="00F01003" w:rsidRPr="00DD0DA7" w:rsidRDefault="00F01003" w:rsidP="00F01003">
      <w:pPr>
        <w:tabs>
          <w:tab w:val="left" w:pos="709"/>
        </w:tabs>
        <w:spacing w:after="0" w:line="240" w:lineRule="auto"/>
        <w:jc w:val="both"/>
        <w:rPr>
          <w:rFonts w:ascii="Arial" w:eastAsia="Calibri" w:hAnsi="Arial" w:cs="Arial"/>
          <w:bCs/>
          <w:color w:val="000000" w:themeColor="text1"/>
        </w:rPr>
      </w:pPr>
    </w:p>
    <w:p w14:paraId="4C4C2CC3" w14:textId="77777777" w:rsidR="00F01003" w:rsidRPr="00DD0DA7" w:rsidRDefault="00F01003" w:rsidP="00F01003">
      <w:pPr>
        <w:tabs>
          <w:tab w:val="left" w:pos="709"/>
        </w:tabs>
        <w:spacing w:after="0" w:line="240" w:lineRule="auto"/>
        <w:ind w:left="709" w:right="709"/>
        <w:jc w:val="both"/>
        <w:rPr>
          <w:rFonts w:ascii="Arial" w:eastAsia="Calibri" w:hAnsi="Arial" w:cs="Arial"/>
          <w:color w:val="000000" w:themeColor="text1"/>
          <w:lang w:val="es-MX"/>
        </w:rPr>
      </w:pPr>
      <w:r w:rsidRPr="00DD0DA7">
        <w:rPr>
          <w:rFonts w:ascii="Arial" w:hAnsi="Arial" w:cs="Arial"/>
          <w:color w:val="000000" w:themeColor="text1"/>
        </w:rPr>
        <w:lastRenderedPageBreak/>
        <w:t>«</w:t>
      </w:r>
      <w:r w:rsidRPr="00DD0DA7">
        <w:rPr>
          <w:rFonts w:ascii="Arial" w:eastAsia="Calibri" w:hAnsi="Arial" w:cs="Arial"/>
          <w:color w:val="000000" w:themeColor="text1"/>
          <w:lang w:val="es-MX"/>
        </w:rPr>
        <w:t xml:space="preserve">De acuerdo con el resultado del análisis del sector, las entidades estatales incluirán requisitos diferenciales y puntajes adicionales en los procesos de </w:t>
      </w:r>
      <w:bookmarkStart w:id="5" w:name="_Hlk63770487"/>
      <w:r w:rsidRPr="00DD0DA7">
        <w:rPr>
          <w:rFonts w:ascii="Arial" w:eastAsia="Calibri" w:hAnsi="Arial" w:cs="Arial"/>
          <w:color w:val="000000" w:themeColor="text1"/>
          <w:lang w:val="es-MX"/>
        </w:rPr>
        <w:t>licitación pública, selección abreviada de menor cuantía y concurso de méritos</w:t>
      </w:r>
      <w:bookmarkEnd w:id="5"/>
      <w:r w:rsidRPr="00DD0DA7">
        <w:rPr>
          <w:rFonts w:ascii="Arial" w:eastAsia="Calibri" w:hAnsi="Arial" w:cs="Arial"/>
          <w:color w:val="000000" w:themeColor="text1"/>
          <w:lang w:val="es-MX"/>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215E05B1" w14:textId="77777777" w:rsidR="00F01003" w:rsidRPr="00DD0DA7" w:rsidRDefault="00F01003" w:rsidP="00F01003">
      <w:pPr>
        <w:tabs>
          <w:tab w:val="left" w:pos="709"/>
        </w:tabs>
        <w:spacing w:after="0" w:line="240" w:lineRule="auto"/>
        <w:ind w:left="709" w:right="709"/>
        <w:jc w:val="both"/>
        <w:rPr>
          <w:rFonts w:ascii="Arial" w:eastAsia="Calibri" w:hAnsi="Arial" w:cs="Arial"/>
          <w:color w:val="000000" w:themeColor="text1"/>
          <w:lang w:val="es-MX"/>
        </w:rPr>
      </w:pPr>
    </w:p>
    <w:p w14:paraId="2F0D0A67"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r w:rsidRPr="00DD0DA7">
        <w:rPr>
          <w:rFonts w:ascii="Arial" w:eastAsia="Calibri" w:hAnsi="Arial" w:cs="Arial"/>
          <w:bCs/>
          <w:color w:val="000000" w:themeColor="text1"/>
        </w:rPr>
        <w:tab/>
      </w:r>
      <w:r w:rsidRPr="00DD0DA7">
        <w:rPr>
          <w:rFonts w:ascii="Arial" w:eastAsia="Calibri" w:hAnsi="Arial" w:cs="Arial"/>
          <w:color w:val="000000" w:themeColor="text1"/>
          <w:lang w:val="es-MX"/>
        </w:rPr>
        <w:t xml:space="preserve">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2254E69D" w14:textId="77777777" w:rsidR="00F01003" w:rsidRPr="00DD0DA7" w:rsidRDefault="00F01003" w:rsidP="00F01003">
      <w:pPr>
        <w:spacing w:before="120" w:after="0" w:line="240" w:lineRule="auto"/>
        <w:ind w:firstLine="709"/>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establecidos en el artículo 32 de la Ley 2069 de 2020. </w:t>
      </w:r>
    </w:p>
    <w:p w14:paraId="2E1FDCAB" w14:textId="77777777" w:rsidR="00F01003" w:rsidRPr="00DD0DA7" w:rsidRDefault="00F01003" w:rsidP="00F01003">
      <w:pPr>
        <w:spacing w:before="120" w:after="0" w:line="240" w:lineRule="auto"/>
        <w:ind w:firstLine="709"/>
        <w:jc w:val="both"/>
        <w:rPr>
          <w:rFonts w:ascii="Arial" w:eastAsia="Calibri" w:hAnsi="Arial" w:cs="Arial"/>
          <w:color w:val="000000" w:themeColor="text1"/>
          <w:lang w:val="es-MX"/>
        </w:rPr>
      </w:pPr>
      <w:r w:rsidRPr="00DD0DA7">
        <w:rPr>
          <w:rFonts w:ascii="Arial" w:eastAsia="Calibri" w:hAnsi="Arial" w:cs="Arial"/>
          <w:color w:val="000000" w:themeColor="text1"/>
          <w:lang w:val="es-MX"/>
        </w:rPr>
        <w:t>Con fundamento en lo anterior,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DD0DA7">
        <w:rPr>
          <w:rFonts w:ascii="Arial" w:eastAsia="Calibri" w:hAnsi="Arial" w:cs="Arial"/>
          <w:color w:val="000000" w:themeColor="text1"/>
          <w:vertAlign w:val="superscript"/>
          <w:lang w:val="es-ES_tradnl"/>
        </w:rPr>
        <w:footnoteReference w:id="12"/>
      </w:r>
      <w:r w:rsidRPr="00DD0DA7">
        <w:rPr>
          <w:rFonts w:ascii="Arial" w:eastAsia="Calibri" w:hAnsi="Arial" w:cs="Arial"/>
          <w:color w:val="000000" w:themeColor="text1"/>
          <w:lang w:val="es-ES_tradnl"/>
        </w:rPr>
        <w:t xml:space="preserve">.  </w:t>
      </w:r>
    </w:p>
    <w:p w14:paraId="1761587A" w14:textId="77777777" w:rsidR="00F01003" w:rsidRPr="00DD0DA7" w:rsidRDefault="00F01003" w:rsidP="00F01003">
      <w:pPr>
        <w:spacing w:after="0" w:line="240" w:lineRule="auto"/>
        <w:jc w:val="both"/>
        <w:rPr>
          <w:rFonts w:ascii="Arial" w:eastAsia="Calibri" w:hAnsi="Arial" w:cs="Arial"/>
          <w:color w:val="000000" w:themeColor="text1"/>
          <w:lang w:val="es-ES_tradnl"/>
        </w:rPr>
      </w:pPr>
    </w:p>
    <w:p w14:paraId="0C8BF752"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ES_tradnl"/>
        </w:rPr>
        <w:tab/>
      </w:r>
      <w:r w:rsidRPr="00DD0DA7">
        <w:rPr>
          <w:rFonts w:ascii="Arial" w:eastAsia="Calibri" w:hAnsi="Arial" w:cs="Arial"/>
          <w:color w:val="000000" w:themeColor="text1"/>
          <w:lang w:val="es-MX"/>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w:t>
      </w:r>
      <w:r w:rsidRPr="00DD0DA7">
        <w:rPr>
          <w:rFonts w:ascii="Arial" w:eastAsia="Calibri" w:hAnsi="Arial" w:cs="Arial"/>
          <w:i/>
          <w:iCs/>
          <w:color w:val="000000" w:themeColor="text1"/>
          <w:lang w:val="es-MX"/>
        </w:rPr>
        <w:t>definición</w:t>
      </w:r>
      <w:r w:rsidRPr="00DD0DA7">
        <w:rPr>
          <w:rFonts w:ascii="Arial" w:eastAsia="Calibri" w:hAnsi="Arial" w:cs="Arial"/>
          <w:color w:val="000000" w:themeColor="text1"/>
          <w:lang w:val="es-MX"/>
        </w:rPr>
        <w:t xml:space="preserve"> de emprendimientos y empresas de mujeres, mientras que la segunda establece los </w:t>
      </w:r>
      <w:r w:rsidRPr="00DD0DA7">
        <w:rPr>
          <w:rFonts w:ascii="Arial" w:eastAsia="Calibri" w:hAnsi="Arial" w:cs="Arial"/>
          <w:i/>
          <w:iCs/>
          <w:color w:val="000000" w:themeColor="text1"/>
          <w:lang w:val="es-MX"/>
        </w:rPr>
        <w:t>criterios diferenciales</w:t>
      </w:r>
      <w:r w:rsidRPr="00DD0DA7">
        <w:rPr>
          <w:rFonts w:ascii="Arial" w:eastAsia="Calibri" w:hAnsi="Arial" w:cs="Arial"/>
          <w:color w:val="000000" w:themeColor="text1"/>
          <w:lang w:val="es-MX"/>
        </w:rPr>
        <w:t xml:space="preserve"> y regula su aplicación. </w:t>
      </w:r>
    </w:p>
    <w:p w14:paraId="709BC4B3"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p>
    <w:p w14:paraId="22D604E9" w14:textId="77777777" w:rsidR="00F01003" w:rsidRPr="00DD0DA7" w:rsidRDefault="00F01003" w:rsidP="00F01003">
      <w:pPr>
        <w:tabs>
          <w:tab w:val="left" w:pos="709"/>
        </w:tabs>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lastRenderedPageBreak/>
        <w:tab/>
        <w:t>Ahora bien, para aplicar las disposiciones contenidas en el Decreto 1860 de 2021, el artículo 8</w:t>
      </w:r>
      <w:r w:rsidRPr="00DD0DA7">
        <w:rPr>
          <w:rFonts w:ascii="Arial" w:eastAsia="Times New Roman" w:hAnsi="Arial" w:cs="Arial"/>
          <w:color w:val="000000" w:themeColor="text1"/>
          <w:vertAlign w:val="superscript"/>
          <w:lang w:eastAsia="es-MX"/>
        </w:rPr>
        <w:footnoteReference w:id="13"/>
      </w:r>
      <w:r w:rsidRPr="00DD0DA7">
        <w:rPr>
          <w:rFonts w:ascii="Arial" w:eastAsia="Times New Roman" w:hAnsi="Arial" w:cs="Arial"/>
          <w:color w:val="000000" w:themeColor="text1"/>
          <w:lang w:eastAsia="es-MX"/>
        </w:rPr>
        <w:t xml:space="preserve"> </w:t>
      </w:r>
      <w:r w:rsidRPr="00DD0DA7">
        <w:rPr>
          <w:rFonts w:ascii="Arial" w:eastAsia="Calibri" w:hAnsi="Arial" w:cs="Arial"/>
          <w:color w:val="000000" w:themeColor="text1"/>
          <w:lang w:val="es-MX"/>
        </w:rPr>
        <w:t xml:space="preserve">indicó el momento a partir del cual sus disposiciones surtirían efectos. De esta forma, se estableció que estas aplicarán a los procesos de selección cuya invitación, aviso de convocatoria o documento equivalente –según corresponda–, se publique después de los tres (3) meses de su expedición, es decir, a partir del 24 de marzo de 2022, por lo que, actualmente, esta es la regulación vigente. </w:t>
      </w:r>
    </w:p>
    <w:p w14:paraId="0787181E" w14:textId="77777777" w:rsidR="00F01003" w:rsidRPr="00DD0DA7" w:rsidRDefault="00F01003" w:rsidP="00F01003">
      <w:pPr>
        <w:spacing w:after="0" w:line="240" w:lineRule="auto"/>
        <w:ind w:firstLine="709"/>
        <w:contextualSpacing/>
        <w:jc w:val="both"/>
        <w:rPr>
          <w:rFonts w:ascii="Arial" w:hAnsi="Arial" w:cs="Arial"/>
          <w:color w:val="000000" w:themeColor="text1"/>
          <w:lang w:eastAsia="es-CO"/>
        </w:rPr>
      </w:pPr>
    </w:p>
    <w:p w14:paraId="64B4F696" w14:textId="77777777" w:rsidR="00F01003" w:rsidRPr="00DD0DA7" w:rsidRDefault="00F01003" w:rsidP="00F01003">
      <w:pPr>
        <w:spacing w:after="0" w:line="240" w:lineRule="auto"/>
        <w:contextualSpacing/>
        <w:jc w:val="both"/>
        <w:rPr>
          <w:rFonts w:ascii="Arial" w:eastAsia="Calibri" w:hAnsi="Arial" w:cs="Arial"/>
          <w:b/>
          <w:bCs/>
          <w:color w:val="000000" w:themeColor="text1"/>
          <w:lang w:val="es-ES_tradnl"/>
        </w:rPr>
      </w:pPr>
      <w:r w:rsidRPr="00DD0DA7">
        <w:rPr>
          <w:rFonts w:ascii="Arial" w:eastAsia="Calibri" w:hAnsi="Arial" w:cs="Arial"/>
          <w:b/>
          <w:bCs/>
          <w:color w:val="000000" w:themeColor="text1"/>
          <w:lang w:val="es-MX"/>
        </w:rPr>
        <w:t>2.2. Definición de emprendimientos y empresas de mujeres en el Decreto 1860 de 2021. naturales.</w:t>
      </w:r>
      <w:r w:rsidRPr="00DD0DA7">
        <w:rPr>
          <w:rFonts w:ascii="Arial" w:eastAsia="Calibri" w:hAnsi="Arial" w:cs="Arial"/>
          <w:b/>
          <w:bCs/>
          <w:color w:val="000000" w:themeColor="text1"/>
          <w:lang w:val="es-ES_tradnl"/>
        </w:rPr>
        <w:t xml:space="preserve"> </w:t>
      </w:r>
    </w:p>
    <w:p w14:paraId="0D64C178" w14:textId="77777777" w:rsidR="00F01003" w:rsidRPr="00DD0DA7" w:rsidRDefault="00F01003" w:rsidP="00F01003">
      <w:pPr>
        <w:spacing w:after="0" w:line="240" w:lineRule="auto"/>
        <w:contextualSpacing/>
        <w:jc w:val="both"/>
        <w:rPr>
          <w:rFonts w:ascii="Arial" w:eastAsia="Calibri" w:hAnsi="Arial" w:cs="Arial"/>
          <w:color w:val="000000" w:themeColor="text1"/>
          <w:lang w:val="es-ES_tradnl"/>
        </w:rPr>
      </w:pPr>
    </w:p>
    <w:p w14:paraId="6D5EDE6D" w14:textId="77777777" w:rsidR="00F01003" w:rsidRPr="00DD0DA7" w:rsidRDefault="00F01003" w:rsidP="00F01003">
      <w:pPr>
        <w:spacing w:after="0" w:line="240" w:lineRule="auto"/>
        <w:jc w:val="both"/>
        <w:rPr>
          <w:rFonts w:ascii="Arial" w:eastAsia="Calibri" w:hAnsi="Arial" w:cs="Arial"/>
          <w:color w:val="000000" w:themeColor="text1"/>
          <w:lang w:val="es-MX"/>
        </w:rPr>
      </w:pPr>
      <w:r w:rsidRPr="00DD0DA7">
        <w:rPr>
          <w:rFonts w:ascii="Arial" w:eastAsia="Calibri" w:hAnsi="Arial" w:cs="Arial"/>
          <w:color w:val="000000" w:themeColor="text1"/>
          <w:lang w:val="es-MX"/>
        </w:rPr>
        <w:t>Conforme se viene explicando, el artículo 32 de la Ley 2069 de 2021 establece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6B87E086" w14:textId="77777777" w:rsidR="00F01003" w:rsidRPr="00DD0DA7" w:rsidRDefault="00F01003" w:rsidP="00F01003">
      <w:pPr>
        <w:spacing w:after="0" w:line="240" w:lineRule="auto"/>
        <w:jc w:val="both"/>
        <w:rPr>
          <w:rFonts w:ascii="Arial" w:eastAsia="Calibri" w:hAnsi="Arial" w:cs="Arial"/>
          <w:color w:val="000000" w:themeColor="text1"/>
          <w:lang w:val="es-MX"/>
        </w:rPr>
      </w:pPr>
    </w:p>
    <w:p w14:paraId="56BD684B" w14:textId="77777777" w:rsidR="00F01003" w:rsidRPr="00DD0DA7" w:rsidRDefault="00F01003" w:rsidP="00F01003">
      <w:pPr>
        <w:spacing w:after="0" w:line="240" w:lineRule="auto"/>
        <w:contextualSpacing/>
        <w:jc w:val="both"/>
        <w:rPr>
          <w:rFonts w:ascii="Arial" w:eastAsia="Calibri" w:hAnsi="Arial" w:cs="Arial"/>
          <w:color w:val="000000" w:themeColor="text1"/>
          <w:lang w:val="es-MX"/>
        </w:rPr>
      </w:pPr>
      <w:r w:rsidRPr="00DD0DA7">
        <w:rPr>
          <w:rFonts w:ascii="Arial" w:eastAsia="Calibri" w:hAnsi="Arial" w:cs="Arial"/>
          <w:color w:val="000000" w:themeColor="text1"/>
          <w:lang w:val="es-MX"/>
        </w:rPr>
        <w:tab/>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 Dicha disposición señala lo siguiente:   </w:t>
      </w:r>
    </w:p>
    <w:p w14:paraId="3B56E993"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hAnsi="Arial" w:cs="Arial"/>
          <w:color w:val="000000" w:themeColor="text1"/>
          <w:lang w:eastAsia="es-CO"/>
        </w:rPr>
      </w:pPr>
    </w:p>
    <w:p w14:paraId="104B8E90"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hAnsi="Arial" w:cs="Arial"/>
          <w:color w:val="000000" w:themeColor="text1"/>
          <w:lang w:eastAsia="es-CO"/>
        </w:rPr>
        <w:t>«</w:t>
      </w:r>
      <w:r w:rsidRPr="00DD0DA7">
        <w:rPr>
          <w:rFonts w:ascii="Arial" w:eastAsia="Calibri" w:hAnsi="Arial" w:cs="Arial"/>
          <w:color w:val="000000" w:themeColor="text1"/>
          <w:lang w:val="es-MX"/>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3DA8DBD7"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1206A36C"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Calibri" w:hAnsi="Arial" w:cs="Arial"/>
          <w:color w:val="000000" w:themeColor="text1"/>
          <w:lang w:val="es-MX"/>
        </w:rPr>
        <w:lastRenderedPageBreak/>
        <w:t xml:space="preserve"> 1. Cuando más del cincuenta por ciento (50%) de las acciones, partes de interés o cuotas de participación de la persona jurídica pertenezcan a mujeres y los derechos de propiedad </w:t>
      </w:r>
      <w:bookmarkStart w:id="6" w:name="_Hlk94001820"/>
      <w:r w:rsidRPr="00DD0DA7">
        <w:rPr>
          <w:rFonts w:ascii="Arial" w:eastAsia="Calibri" w:hAnsi="Arial" w:cs="Arial"/>
          <w:color w:val="000000" w:themeColor="text1"/>
          <w:lang w:val="es-MX"/>
        </w:rPr>
        <w:t>hayan pertenecido a estas durante al menos el último año anterior a la fecha de cierre del Proceso de Selección</w:t>
      </w:r>
      <w:bookmarkEnd w:id="6"/>
      <w:r w:rsidRPr="00DD0DA7">
        <w:rPr>
          <w:rFonts w:ascii="Arial" w:eastAsia="Calibri" w:hAnsi="Arial" w:cs="Arial"/>
          <w:color w:val="000000" w:themeColor="text1"/>
          <w:lang w:val="es-MX"/>
        </w:rPr>
        <w:t>.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23B81152"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677D3B45"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Calibri" w:hAnsi="Arial" w:cs="Arial"/>
          <w:color w:val="000000" w:themeColor="text1"/>
          <w:lang w:val="es-MX"/>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4A57C705"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247AD572"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Times New Roman" w:hAnsi="Arial" w:cs="Arial"/>
          <w:color w:val="000000" w:themeColor="text1"/>
          <w:lang w:eastAsia="es-CO"/>
        </w:rPr>
        <w:t xml:space="preserve"> </w:t>
      </w:r>
      <w:r w:rsidRPr="00E06035">
        <w:rPr>
          <w:rFonts w:ascii="Arial" w:eastAsia="Times New Roman" w:hAnsi="Arial" w:cs="Arial"/>
          <w:color w:val="000000" w:themeColor="text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75B4CF6"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24A424FA"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E06035">
        <w:rPr>
          <w:rFonts w:ascii="Arial" w:eastAsia="Times New Roman" w:hAnsi="Arial" w:cs="Arial"/>
          <w:color w:val="000000" w:themeColor="text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482B59B8"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421DCBF3"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E06035">
        <w:rPr>
          <w:rFonts w:ascii="Arial" w:eastAsia="Times New Roman" w:hAnsi="Arial" w:cs="Arial"/>
          <w:color w:val="000000" w:themeColor="text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0C25F688"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rPr>
      </w:pPr>
    </w:p>
    <w:p w14:paraId="276F7D4D"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3. Cuando la </w:t>
      </w:r>
      <w:r w:rsidRPr="00DD0DA7">
        <w:rPr>
          <w:rFonts w:ascii="Arial" w:eastAsia="Calibri" w:hAnsi="Arial" w:cs="Arial"/>
          <w:i/>
          <w:iCs/>
          <w:color w:val="000000" w:themeColor="text1"/>
          <w:lang w:val="es-MX"/>
        </w:rPr>
        <w:t>persona natural</w:t>
      </w:r>
      <w:r w:rsidRPr="00DD0DA7">
        <w:rPr>
          <w:rFonts w:ascii="Arial" w:eastAsia="Calibri" w:hAnsi="Arial" w:cs="Arial"/>
          <w:color w:val="000000" w:themeColor="text1"/>
          <w:lang w:val="es-MX"/>
        </w:rPr>
        <w:t xml:space="preserve">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7B26A7CB"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15001920"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Calibri" w:hAnsi="Arial" w:cs="Arial"/>
          <w:color w:val="000000" w:themeColor="text1"/>
          <w:lang w:val="es-MX"/>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FD09633"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401EF77F"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Calibri" w:hAnsi="Arial" w:cs="Arial"/>
          <w:color w:val="000000" w:themeColor="text1"/>
          <w:lang w:val="es-MX"/>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7F099C39" w14:textId="77777777" w:rsidR="00F01003" w:rsidRPr="00DD0DA7" w:rsidRDefault="00F01003" w:rsidP="00F01003">
      <w:pPr>
        <w:shd w:val="clear" w:color="auto" w:fill="FFFFFF"/>
        <w:spacing w:after="0" w:line="240" w:lineRule="auto"/>
        <w:ind w:left="709" w:right="709"/>
        <w:contextualSpacing/>
        <w:jc w:val="both"/>
        <w:textAlignment w:val="baseline"/>
        <w:rPr>
          <w:rFonts w:ascii="Arial" w:hAnsi="Arial" w:cs="Arial"/>
          <w:color w:val="000000" w:themeColor="text1"/>
          <w:lang w:eastAsia="es-CO"/>
        </w:rPr>
      </w:pPr>
    </w:p>
    <w:p w14:paraId="2EBB35C9" w14:textId="77777777" w:rsidR="00F01003" w:rsidRDefault="00F01003" w:rsidP="00F01003">
      <w:pPr>
        <w:spacing w:after="0" w:line="240" w:lineRule="auto"/>
        <w:ind w:firstLine="708"/>
        <w:jc w:val="both"/>
        <w:rPr>
          <w:rFonts w:ascii="Arial" w:eastAsia="Calibri" w:hAnsi="Arial" w:cs="Arial"/>
          <w:color w:val="000000" w:themeColor="text1"/>
          <w:lang w:val="es-MX"/>
        </w:rPr>
      </w:pPr>
      <w:r w:rsidRPr="00DD0DA7">
        <w:rPr>
          <w:rFonts w:ascii="Arial" w:eastAsia="Calibri" w:hAnsi="Arial" w:cs="Arial"/>
          <w:color w:val="000000" w:themeColor="text1"/>
          <w:lang w:val="es-MX"/>
        </w:rPr>
        <w:t xml:space="preserve">De esta manera, los criterios diferenciales y la asignación de puntajes adicionales en procesos de selección de contratistas del Estado, creados en favor de emprendimientos y empresas de mujeres; incluidos en el artículo 32 de la Ley 2069 de 2020 y reglamentados mediante el Decreto 1860 de 2021, únicamente, se aplicarán a los proponentes que acrediten alguna de las condiciones señaladas en el artículo 2.2.1.2.4.2.14 del Decreto 1082 de 2015 que define el concepto aludido en la ley. Respecto a la definición consagrada en la disposición objeto de estudio debe señalarse que, cada uno de los supuestos de hecho de los cuatro numerales de la norma transcrita exigen que se hayan cumplido, por lo menos, durante el año anterior a la fecha de cierre del proceso de selección. </w:t>
      </w:r>
    </w:p>
    <w:p w14:paraId="5F0B3C41" w14:textId="77777777" w:rsidR="00F01003" w:rsidRPr="00DD0DA7" w:rsidRDefault="00F01003" w:rsidP="00F01003">
      <w:pPr>
        <w:spacing w:after="0" w:line="240" w:lineRule="auto"/>
        <w:ind w:firstLine="708"/>
        <w:jc w:val="both"/>
        <w:rPr>
          <w:rFonts w:ascii="Arial" w:eastAsia="Calibri" w:hAnsi="Arial" w:cs="Arial"/>
          <w:color w:val="000000" w:themeColor="text1"/>
          <w:lang w:val="es-MX"/>
        </w:rPr>
      </w:pPr>
    </w:p>
    <w:p w14:paraId="4D137A74" w14:textId="77777777" w:rsidR="00F01003"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r w:rsidRPr="00DD0DA7">
        <w:rPr>
          <w:rFonts w:ascii="Arial" w:eastAsia="Calibri" w:hAnsi="Arial" w:cs="Arial"/>
          <w:color w:val="000000" w:themeColor="text1"/>
          <w:lang w:val="es-MX"/>
        </w:rPr>
        <w:tab/>
      </w:r>
      <w:bookmarkStart w:id="7" w:name="_Hlk112034608"/>
      <w:r w:rsidRPr="00DD0DA7">
        <w:rPr>
          <w:rFonts w:ascii="Arial" w:eastAsia="Calibri" w:hAnsi="Arial" w:cs="Arial"/>
          <w:color w:val="000000" w:themeColor="text1"/>
          <w:lang w:val="es-ES_tradnl"/>
        </w:rPr>
        <w:t xml:space="preserve">Teniendo en cuenta el objeto de la presente consulta, resulta relevante el análisis del numeral segundo del artículo antes citado, según el cual para obtener el </w:t>
      </w:r>
      <w:r>
        <w:rPr>
          <w:rFonts w:ascii="Arial" w:eastAsia="Calibri" w:hAnsi="Arial" w:cs="Arial"/>
          <w:color w:val="000000" w:themeColor="text1"/>
          <w:lang w:val="es-ES_tradnl"/>
        </w:rPr>
        <w:t>beneficio del requisito diferencial</w:t>
      </w:r>
      <w:r w:rsidRPr="00DD0DA7">
        <w:rPr>
          <w:rFonts w:ascii="Arial" w:eastAsia="Calibri" w:hAnsi="Arial" w:cs="Arial"/>
          <w:color w:val="000000" w:themeColor="text1"/>
          <w:lang w:val="es-ES_tradnl"/>
        </w:rPr>
        <w:t xml:space="preserve"> se requiere que al </w:t>
      </w:r>
      <w:r w:rsidRPr="00DD0DA7">
        <w:rPr>
          <w:rFonts w:ascii="Arial" w:eastAsia="Calibri" w:hAnsi="Arial" w:cs="Arial"/>
          <w:color w:val="000000" w:themeColor="text1"/>
          <w:lang w:val="es-MX"/>
        </w:rPr>
        <w:t xml:space="preserve">menos el cincuenta por ciento (50%) de los empleos del nivel directivo de la persona jurídica sean ejercidos por mujeres.  </w:t>
      </w:r>
    </w:p>
    <w:p w14:paraId="7F4DA31B" w14:textId="77777777" w:rsidR="00F01003"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60774362" w14:textId="77777777" w:rsidR="00F01003" w:rsidRDefault="00F01003" w:rsidP="00F01003">
      <w:pPr>
        <w:shd w:val="clear" w:color="auto" w:fill="FFFFFF"/>
        <w:spacing w:after="0" w:line="240" w:lineRule="auto"/>
        <w:ind w:left="709" w:right="709"/>
        <w:contextualSpacing/>
        <w:jc w:val="both"/>
        <w:textAlignment w:val="baseline"/>
        <w:rPr>
          <w:rFonts w:ascii="Arial" w:eastAsia="Times New Roman" w:hAnsi="Arial" w:cs="Arial"/>
          <w:color w:val="000000" w:themeColor="text1"/>
          <w:lang w:eastAsia="es-CO"/>
        </w:rPr>
      </w:pPr>
      <w:r w:rsidRPr="00DD0DA7">
        <w:rPr>
          <w:rFonts w:ascii="Arial" w:eastAsia="Calibri" w:hAnsi="Arial" w:cs="Arial"/>
          <w:color w:val="000000" w:themeColor="text1"/>
          <w:lang w:val="es-ES_tradnl"/>
        </w:rPr>
        <w:t xml:space="preserve">La disposición señala que la acreditación de dicha circunstancia deberá realizarse mediante una certificación </w:t>
      </w:r>
      <w:r w:rsidRPr="00E06035">
        <w:rPr>
          <w:rFonts w:ascii="Arial" w:eastAsia="Times New Roman" w:hAnsi="Arial" w:cs="Arial"/>
          <w:color w:val="000000" w:themeColor="text1"/>
          <w:lang w:eastAsia="es-CO"/>
        </w:rPr>
        <w:t>expedida por el representante legal y el revisor fiscal</w:t>
      </w:r>
      <w:r w:rsidRPr="00DD0DA7">
        <w:rPr>
          <w:rFonts w:ascii="Arial" w:eastAsia="Times New Roman" w:hAnsi="Arial" w:cs="Arial"/>
          <w:color w:val="000000" w:themeColor="text1"/>
          <w:lang w:eastAsia="es-CO"/>
        </w:rPr>
        <w:t>, la cual debe contener los siguientes requisitos :1. Debe señalar</w:t>
      </w:r>
      <w:r>
        <w:rPr>
          <w:rFonts w:ascii="Arial" w:eastAsia="Times New Roman" w:hAnsi="Arial" w:cs="Arial"/>
          <w:color w:val="000000" w:themeColor="text1"/>
          <w:lang w:eastAsia="es-CO"/>
        </w:rPr>
        <w:t>se</w:t>
      </w:r>
      <w:r w:rsidRPr="00E06035">
        <w:rPr>
          <w:rFonts w:ascii="Arial" w:eastAsia="Times New Roman" w:hAnsi="Arial" w:cs="Arial"/>
          <w:color w:val="000000" w:themeColor="text1"/>
          <w:lang w:eastAsia="es-CO"/>
        </w:rPr>
        <w:t xml:space="preserve"> de manera detallada </w:t>
      </w:r>
      <w:r w:rsidRPr="00E06035">
        <w:rPr>
          <w:rFonts w:ascii="Arial" w:eastAsia="Times New Roman" w:hAnsi="Arial" w:cs="Arial"/>
          <w:color w:val="000000" w:themeColor="text1"/>
          <w:u w:val="single"/>
          <w:lang w:eastAsia="es-CO"/>
        </w:rPr>
        <w:t>todas las personas</w:t>
      </w:r>
      <w:r w:rsidRPr="00E06035">
        <w:rPr>
          <w:rFonts w:ascii="Arial" w:eastAsia="Times New Roman" w:hAnsi="Arial" w:cs="Arial"/>
          <w:color w:val="000000" w:themeColor="text1"/>
          <w:lang w:eastAsia="es-CO"/>
        </w:rPr>
        <w:t xml:space="preserve"> que conforman los cargos de nivel directivo del proponente</w:t>
      </w:r>
      <w:r w:rsidRPr="00DD0DA7">
        <w:rPr>
          <w:rFonts w:ascii="Arial" w:eastAsia="Times New Roman" w:hAnsi="Arial" w:cs="Arial"/>
          <w:color w:val="000000" w:themeColor="text1"/>
          <w:lang w:eastAsia="es-CO"/>
        </w:rPr>
        <w:t xml:space="preserve">.2. </w:t>
      </w:r>
      <w:r w:rsidRPr="00E06035">
        <w:rPr>
          <w:rFonts w:ascii="Arial" w:eastAsia="Times New Roman" w:hAnsi="Arial" w:cs="Arial"/>
          <w:color w:val="000000" w:themeColor="text1"/>
          <w:lang w:eastAsia="es-CO"/>
        </w:rPr>
        <w:t xml:space="preserve"> el número de mujeres y el tiempo de vinculación.</w:t>
      </w:r>
      <w:r w:rsidRPr="00DD0DA7">
        <w:rPr>
          <w:rFonts w:ascii="Arial" w:eastAsia="Calibri" w:hAnsi="Arial" w:cs="Arial"/>
          <w:color w:val="000000" w:themeColor="text1"/>
        </w:rPr>
        <w:t xml:space="preserve">3. </w:t>
      </w:r>
      <w:r w:rsidRPr="00E06035">
        <w:rPr>
          <w:rFonts w:ascii="Arial" w:eastAsia="Times New Roman" w:hAnsi="Arial" w:cs="Arial"/>
          <w:color w:val="000000" w:themeColor="text1"/>
          <w:lang w:eastAsia="es-CO"/>
        </w:rPr>
        <w:t xml:space="preserve"> el nombre completo</w:t>
      </w:r>
      <w:r w:rsidRPr="00DD0DA7">
        <w:rPr>
          <w:rFonts w:ascii="Arial" w:eastAsia="Times New Roman" w:hAnsi="Arial" w:cs="Arial"/>
          <w:color w:val="000000" w:themeColor="text1"/>
          <w:lang w:eastAsia="es-CO"/>
        </w:rPr>
        <w:t xml:space="preserve"> de las personas que conforman el nivel directivo 4. </w:t>
      </w:r>
      <w:r w:rsidRPr="00E06035">
        <w:rPr>
          <w:rFonts w:ascii="Arial" w:eastAsia="Times New Roman" w:hAnsi="Arial" w:cs="Arial"/>
          <w:color w:val="000000" w:themeColor="text1"/>
          <w:lang w:eastAsia="es-CO"/>
        </w:rPr>
        <w:t>el número de documento de identidad de cada una de las personas que conforman el nivel directivo del proponente</w:t>
      </w:r>
      <w:r w:rsidRPr="00DD0DA7">
        <w:rPr>
          <w:rFonts w:ascii="Arial" w:eastAsia="Times New Roman" w:hAnsi="Arial" w:cs="Arial"/>
          <w:color w:val="000000" w:themeColor="text1"/>
          <w:lang w:eastAsia="es-CO"/>
        </w:rPr>
        <w:t>. 5. Se deben anexar los soportes: documentos de identidad</w:t>
      </w:r>
      <w:r w:rsidRPr="00E06035">
        <w:rPr>
          <w:rFonts w:ascii="Arial" w:eastAsia="Times New Roman" w:hAnsi="Arial" w:cs="Arial"/>
          <w:color w:val="000000" w:themeColor="text1"/>
          <w:lang w:eastAsia="es-CO"/>
        </w:rPr>
        <w:t xml:space="preserve">, copia de los contratos de trabajo o certificación laboral con las funciones </w:t>
      </w:r>
      <w:r w:rsidRPr="00DD0DA7">
        <w:rPr>
          <w:rFonts w:ascii="Arial" w:eastAsia="Times New Roman" w:hAnsi="Arial" w:cs="Arial"/>
          <w:color w:val="000000" w:themeColor="text1"/>
          <w:lang w:eastAsia="es-CO"/>
        </w:rPr>
        <w:t>y</w:t>
      </w:r>
      <w:r w:rsidRPr="00E06035">
        <w:rPr>
          <w:rFonts w:ascii="Arial" w:eastAsia="Times New Roman" w:hAnsi="Arial" w:cs="Arial"/>
          <w:color w:val="000000" w:themeColor="text1"/>
          <w:lang w:eastAsia="es-CO"/>
        </w:rPr>
        <w:t xml:space="preserve"> el certificado de aportes a seguridad social del último año en el que se demuestren los pagos realizados por el empleador.</w:t>
      </w:r>
      <w:bookmarkEnd w:id="7"/>
    </w:p>
    <w:p w14:paraId="5A60FB1D" w14:textId="77777777" w:rsidR="00F01003" w:rsidRPr="00036DC8" w:rsidRDefault="00F01003" w:rsidP="00F01003">
      <w:pPr>
        <w:shd w:val="clear" w:color="auto" w:fill="FFFFFF"/>
        <w:spacing w:after="0" w:line="240" w:lineRule="auto"/>
        <w:ind w:left="709" w:right="709"/>
        <w:contextualSpacing/>
        <w:jc w:val="both"/>
        <w:textAlignment w:val="baseline"/>
        <w:rPr>
          <w:rFonts w:ascii="Arial" w:eastAsia="Calibri" w:hAnsi="Arial" w:cs="Arial"/>
          <w:color w:val="000000" w:themeColor="text1"/>
          <w:lang w:val="es-MX"/>
        </w:rPr>
      </w:pPr>
    </w:p>
    <w:p w14:paraId="558E72AE" w14:textId="77777777" w:rsidR="00F01003" w:rsidRPr="00DD0DA7" w:rsidRDefault="00F01003" w:rsidP="00F01003">
      <w:pPr>
        <w:tabs>
          <w:tab w:val="left" w:pos="284"/>
        </w:tabs>
        <w:spacing w:after="0" w:line="240" w:lineRule="auto"/>
        <w:contextualSpacing/>
        <w:jc w:val="both"/>
        <w:rPr>
          <w:rFonts w:ascii="Arial" w:eastAsia="Calibri" w:hAnsi="Arial" w:cs="Arial"/>
          <w:b/>
          <w:bCs/>
          <w:color w:val="000000" w:themeColor="text1"/>
          <w:lang w:val="es-MX"/>
        </w:rPr>
      </w:pPr>
      <w:r w:rsidRPr="00DD0DA7">
        <w:rPr>
          <w:rFonts w:ascii="Arial" w:eastAsia="Calibri" w:hAnsi="Arial" w:cs="Arial"/>
          <w:b/>
          <w:bCs/>
          <w:color w:val="000000" w:themeColor="text1"/>
          <w:lang w:val="es-MX"/>
        </w:rPr>
        <w:t>3. Respuesta</w:t>
      </w:r>
    </w:p>
    <w:p w14:paraId="54D273AC" w14:textId="77777777" w:rsidR="00F01003" w:rsidRPr="00DD0DA7" w:rsidRDefault="00F01003" w:rsidP="00F01003">
      <w:pPr>
        <w:tabs>
          <w:tab w:val="left" w:pos="284"/>
        </w:tabs>
        <w:spacing w:after="0" w:line="240" w:lineRule="auto"/>
        <w:contextualSpacing/>
        <w:jc w:val="both"/>
        <w:rPr>
          <w:rFonts w:ascii="Arial" w:eastAsia="Calibri" w:hAnsi="Arial" w:cs="Arial"/>
          <w:color w:val="000000" w:themeColor="text1"/>
        </w:rPr>
      </w:pPr>
    </w:p>
    <w:p w14:paraId="28AC6DFE" w14:textId="274F991E" w:rsidR="00F01003" w:rsidRDefault="00F01003" w:rsidP="00F01003">
      <w:pPr>
        <w:autoSpaceDE w:val="0"/>
        <w:autoSpaceDN w:val="0"/>
        <w:adjustRightInd w:val="0"/>
        <w:spacing w:after="0" w:line="240" w:lineRule="auto"/>
        <w:jc w:val="both"/>
        <w:rPr>
          <w:rFonts w:ascii="Arial" w:hAnsi="Arial" w:cs="Arial"/>
          <w:color w:val="000000" w:themeColor="text1"/>
        </w:rPr>
      </w:pPr>
      <w:r w:rsidRPr="00DD0DA7">
        <w:rPr>
          <w:rFonts w:ascii="Arial" w:eastAsia="Calibri" w:hAnsi="Arial" w:cs="Arial"/>
          <w:color w:val="000000" w:themeColor="text1"/>
          <w:lang w:val="es-MX"/>
        </w:rPr>
        <w:t xml:space="preserve">«[…] «[…] </w:t>
      </w:r>
      <w:r w:rsidRPr="00DD0DA7">
        <w:rPr>
          <w:rFonts w:ascii="Arial" w:hAnsi="Arial" w:cs="Arial"/>
          <w:color w:val="000000" w:themeColor="text1"/>
        </w:rPr>
        <w:t xml:space="preserve">interpretación de lo establecido en el artículo 2.2.1.2.4.2.14 Definición de emprendimientos y empresas de mujeres, decreto 1860 de 2021. Solicito a la agencia </w:t>
      </w:r>
      <w:r w:rsidR="0000270B" w:rsidRPr="00DD0DA7">
        <w:rPr>
          <w:rFonts w:ascii="Arial" w:hAnsi="Arial" w:cs="Arial"/>
          <w:color w:val="000000" w:themeColor="text1"/>
        </w:rPr>
        <w:t>pública</w:t>
      </w:r>
      <w:r w:rsidRPr="00DD0DA7">
        <w:rPr>
          <w:rFonts w:ascii="Arial" w:hAnsi="Arial" w:cs="Arial"/>
          <w:color w:val="000000" w:themeColor="text1"/>
        </w:rPr>
        <w:t xml:space="preserve"> de contratación CCE se aclare el contenido del numeral 2 del artículo en mención, ya que existen entidades en que se anexa el certificado mencionado en el </w:t>
      </w:r>
      <w:r w:rsidR="0000270B" w:rsidRPr="00DD0DA7">
        <w:rPr>
          <w:rFonts w:ascii="Arial" w:hAnsi="Arial" w:cs="Arial"/>
          <w:color w:val="000000" w:themeColor="text1"/>
        </w:rPr>
        <w:t>párrafo</w:t>
      </w:r>
      <w:r w:rsidRPr="00DD0DA7">
        <w:rPr>
          <w:rFonts w:ascii="Arial" w:hAnsi="Arial" w:cs="Arial"/>
          <w:color w:val="000000" w:themeColor="text1"/>
        </w:rPr>
        <w:t xml:space="preserve"> tercero del numeral dos del ARTÍCULO 2.2.1.2.4.2.14. que exige una certificación expedida por el representante legal y el revisor fiscal; y se presenta con frecuencia en pequeñas empresas que estas solo tiene dos cargos en el nivel directivo, entre los cuales se encuentra el representante legal que se acredita con el certificado de existencia y representación legal y otro cargo como por </w:t>
      </w:r>
      <w:proofErr w:type="spellStart"/>
      <w:r w:rsidRPr="00DD0DA7">
        <w:rPr>
          <w:rFonts w:ascii="Arial" w:hAnsi="Arial" w:cs="Arial"/>
          <w:color w:val="000000" w:themeColor="text1"/>
        </w:rPr>
        <w:t>ej</w:t>
      </w:r>
      <w:proofErr w:type="spellEnd"/>
      <w:r w:rsidRPr="00DD0DA7">
        <w:rPr>
          <w:rFonts w:ascii="Arial" w:hAnsi="Arial" w:cs="Arial"/>
          <w:color w:val="000000" w:themeColor="text1"/>
        </w:rPr>
        <w:t xml:space="preserve">, jefe de talento </w:t>
      </w:r>
      <w:r w:rsidRPr="00DD0DA7">
        <w:rPr>
          <w:rFonts w:ascii="Arial" w:hAnsi="Arial" w:cs="Arial"/>
          <w:color w:val="000000" w:themeColor="text1"/>
        </w:rPr>
        <w:lastRenderedPageBreak/>
        <w:t xml:space="preserve">humano, jefatura de compras, contratación etc... para obtener el beneficio de que trata el artículo </w:t>
      </w:r>
      <w:proofErr w:type="spellStart"/>
      <w:r w:rsidRPr="00DD0DA7">
        <w:rPr>
          <w:rFonts w:ascii="Arial" w:hAnsi="Arial" w:cs="Arial"/>
          <w:color w:val="000000" w:themeColor="text1"/>
        </w:rPr>
        <w:t>ARTÍCULO</w:t>
      </w:r>
      <w:proofErr w:type="spellEnd"/>
      <w:r w:rsidRPr="00DD0DA7">
        <w:rPr>
          <w:rFonts w:ascii="Arial" w:hAnsi="Arial" w:cs="Arial"/>
          <w:color w:val="000000" w:themeColor="text1"/>
        </w:rPr>
        <w:t xml:space="preserve"> 2.2.1.2.4.2.14., si por ejemplo la personal encarga de la dirección de talento humano, es mujer y lleva en la empresa con ese cargo </w:t>
      </w:r>
      <w:r w:rsidR="0000270B" w:rsidRPr="00DD0DA7">
        <w:rPr>
          <w:rFonts w:ascii="Arial" w:hAnsi="Arial" w:cs="Arial"/>
          <w:color w:val="000000" w:themeColor="text1"/>
        </w:rPr>
        <w:t>más</w:t>
      </w:r>
      <w:r w:rsidRPr="00DD0DA7">
        <w:rPr>
          <w:rFonts w:ascii="Arial" w:hAnsi="Arial" w:cs="Arial"/>
          <w:color w:val="000000" w:themeColor="text1"/>
        </w:rPr>
        <w:t xml:space="preserve"> de un año, para obtener el incentivo de 0,25 puntos es necesario que se entreguen la planillas de pago de los </w:t>
      </w:r>
      <w:r w:rsidR="0000270B" w:rsidRPr="00DD0DA7">
        <w:rPr>
          <w:rFonts w:ascii="Arial" w:hAnsi="Arial" w:cs="Arial"/>
          <w:color w:val="000000" w:themeColor="text1"/>
        </w:rPr>
        <w:t>últimos</w:t>
      </w:r>
      <w:r w:rsidRPr="00DD0DA7">
        <w:rPr>
          <w:rFonts w:ascii="Arial" w:hAnsi="Arial" w:cs="Arial"/>
          <w:color w:val="000000" w:themeColor="text1"/>
        </w:rPr>
        <w:t xml:space="preserve"> 12 meses tanto de la encargada de la dirección de talento humano quien es mujer, así como del representante legal de la empresa quien es hombre, o basta solamente con entregar el certificado de aportes a seguridad social del personal del nivel directivo que ocupan </w:t>
      </w:r>
      <w:r w:rsidR="0000270B" w:rsidRPr="00DD0DA7">
        <w:rPr>
          <w:rFonts w:ascii="Arial" w:hAnsi="Arial" w:cs="Arial"/>
          <w:color w:val="000000" w:themeColor="text1"/>
        </w:rPr>
        <w:t>más</w:t>
      </w:r>
      <w:r w:rsidRPr="00DD0DA7">
        <w:rPr>
          <w:rFonts w:ascii="Arial" w:hAnsi="Arial" w:cs="Arial"/>
          <w:color w:val="000000" w:themeColor="text1"/>
        </w:rPr>
        <w:t xml:space="preserve"> del 50% de los empleos ocupados por mujeres, es decir si el representante legal es hombre ocupa el 50% de los cargos de nivel directivo y NO aparece en los certificados de aportes al sistema de seguridad social de la empresa, y solamente aparecen los cargos de nivel directivo que demuestran la participación del otro 50% ocupado por mujeres estas empresas no obtienen el incentivo de 0,25 puntos (sic)?</w:t>
      </w:r>
      <w:r w:rsidRPr="00DD0DA7">
        <w:rPr>
          <w:rFonts w:ascii="Arial" w:eastAsia="Calibri" w:hAnsi="Arial" w:cs="Arial"/>
          <w:color w:val="000000" w:themeColor="text1"/>
          <w:lang w:val="es-MX"/>
        </w:rPr>
        <w:t>»</w:t>
      </w:r>
      <w:bookmarkStart w:id="8" w:name="_Hlk94281581"/>
    </w:p>
    <w:p w14:paraId="7A048150" w14:textId="77777777" w:rsidR="00F01003" w:rsidRDefault="00F01003" w:rsidP="00F01003">
      <w:pPr>
        <w:autoSpaceDE w:val="0"/>
        <w:autoSpaceDN w:val="0"/>
        <w:adjustRightInd w:val="0"/>
        <w:spacing w:after="0" w:line="240" w:lineRule="auto"/>
        <w:jc w:val="both"/>
        <w:rPr>
          <w:rFonts w:ascii="Arial" w:hAnsi="Arial" w:cs="Arial"/>
          <w:color w:val="000000" w:themeColor="text1"/>
        </w:rPr>
      </w:pPr>
    </w:p>
    <w:p w14:paraId="19E1C450" w14:textId="77777777" w:rsidR="00F01003" w:rsidRPr="00295428" w:rsidRDefault="00F01003" w:rsidP="00F01003">
      <w:pPr>
        <w:autoSpaceDE w:val="0"/>
        <w:autoSpaceDN w:val="0"/>
        <w:adjustRightInd w:val="0"/>
        <w:spacing w:after="0" w:line="240" w:lineRule="auto"/>
        <w:jc w:val="both"/>
        <w:rPr>
          <w:rFonts w:ascii="Arial" w:hAnsi="Arial" w:cs="Arial"/>
          <w:color w:val="000000" w:themeColor="text1"/>
        </w:rPr>
      </w:pPr>
      <w:r w:rsidRPr="06AB0E7F">
        <w:rPr>
          <w:rFonts w:ascii="Arial" w:eastAsia="Calibri" w:hAnsi="Arial" w:cs="Arial"/>
          <w:color w:val="000000" w:themeColor="text1"/>
          <w:lang w:val="es-MX"/>
        </w:rPr>
        <w:t xml:space="preserve">De conformidad con lo expuesto, los criterios diferenciales en favor de emprendimientos y empresas de mujeres incorporados por el artículo 32 de la Ley 2069 de 2020 y reglamentados mediante el Decreto 1860 de 2021, únicamente, le </w:t>
      </w:r>
      <w:r w:rsidRPr="06AB0E7F">
        <w:rPr>
          <w:rFonts w:ascii="Arial" w:eastAsia="Calibri" w:hAnsi="Arial" w:cs="Arial"/>
          <w:lang w:val="es-MX"/>
        </w:rPr>
        <w:t>son aplicables a los proponentes que acrediten alguna de las condiciones señaladas en el artículo 2.2.1.2.4.2.14 del Decreto 1082 de 2015, mediante el cual se definió el concepto de ‘emprendimientos y empresas de mujeres</w:t>
      </w:r>
      <w:proofErr w:type="gramStart"/>
      <w:r w:rsidRPr="06AB0E7F">
        <w:rPr>
          <w:rFonts w:ascii="Arial" w:eastAsia="Calibri" w:hAnsi="Arial" w:cs="Arial"/>
          <w:lang w:val="es-MX"/>
        </w:rPr>
        <w:t>’..</w:t>
      </w:r>
      <w:proofErr w:type="gramEnd"/>
      <w:r w:rsidRPr="06AB0E7F">
        <w:rPr>
          <w:rFonts w:ascii="Arial" w:eastAsia="Calibri" w:hAnsi="Arial" w:cs="Arial"/>
          <w:lang w:val="es-MX"/>
        </w:rPr>
        <w:t xml:space="preserve"> De acuerdo con lo establecido en el numeral 2 de la disposición anterior, para ser considerada como un emprendimiento o empresa de mujeres, se debe acreditar </w:t>
      </w:r>
      <w:r w:rsidRPr="06AB0E7F">
        <w:rPr>
          <w:rFonts w:ascii="Arial" w:eastAsia="Calibri" w:hAnsi="Arial" w:cs="Arial"/>
          <w:lang w:val="es-ES"/>
        </w:rPr>
        <w:t xml:space="preserve">que al </w:t>
      </w:r>
      <w:r w:rsidRPr="06AB0E7F">
        <w:rPr>
          <w:rFonts w:ascii="Arial" w:eastAsia="Calibri" w:hAnsi="Arial" w:cs="Arial"/>
          <w:lang w:val="es-MX"/>
        </w:rPr>
        <w:t xml:space="preserve">menos el cincuenta por ciento (50%) de los empleos del nivel directivo de la persona jurídica sean ejercidos por mujeres y éstas hayan estado vinculadas laboralmente a la empresa durante al menos el último año anterior a la fecha de cierre del Proceso de Contratación en el mismo cargo u otro del mismo nivel, cuyo requisito se acredita con una certificación emitida por el Representante Legal y el Revisor Fiscal o Contador según corresponda, </w:t>
      </w:r>
      <w:r w:rsidRPr="06AB0E7F">
        <w:rPr>
          <w:rFonts w:ascii="Arial" w:eastAsia="Times New Roman" w:hAnsi="Arial" w:cs="Arial"/>
          <w:lang w:val="es-MX" w:eastAsia="es-CO"/>
        </w:rPr>
        <w:t xml:space="preserve">la cual debe contener la información y anexos establecidos en el numeral 2 del artículo </w:t>
      </w:r>
      <w:r w:rsidRPr="06AB0E7F">
        <w:rPr>
          <w:rFonts w:ascii="Arial" w:eastAsia="Calibri" w:hAnsi="Arial" w:cs="Arial"/>
          <w:lang w:val="es-MX"/>
        </w:rPr>
        <w:t>2.2.1.2.4.2.14 del Decreto 1082 de 2015</w:t>
      </w:r>
      <w:r w:rsidRPr="06AB0E7F">
        <w:rPr>
          <w:rFonts w:ascii="Arial" w:eastAsia="Times New Roman" w:hAnsi="Arial" w:cs="Arial"/>
          <w:lang w:val="es-MX" w:eastAsia="es-CO"/>
        </w:rPr>
        <w:t xml:space="preserve"> </w:t>
      </w:r>
      <w:r w:rsidRPr="06AB0E7F">
        <w:rPr>
          <w:rFonts w:ascii="Arial" w:eastAsia="Times New Roman" w:hAnsi="Arial" w:cs="Arial"/>
          <w:lang w:eastAsia="es-CO"/>
        </w:rPr>
        <w:t xml:space="preserve">. </w:t>
      </w:r>
    </w:p>
    <w:p w14:paraId="0534FA6C" w14:textId="77777777" w:rsidR="00F01003" w:rsidRPr="00DD0DA7" w:rsidRDefault="00F01003" w:rsidP="00F01003">
      <w:pPr>
        <w:spacing w:after="0" w:line="240" w:lineRule="auto"/>
        <w:contextualSpacing/>
        <w:jc w:val="both"/>
        <w:rPr>
          <w:rFonts w:ascii="Arial" w:eastAsia="Calibri" w:hAnsi="Arial" w:cs="Arial"/>
          <w:color w:val="000000" w:themeColor="text1"/>
          <w:lang w:val="es-MX"/>
        </w:rPr>
      </w:pPr>
    </w:p>
    <w:p w14:paraId="5C77AE0A" w14:textId="77777777" w:rsidR="00F01003" w:rsidRDefault="00F01003" w:rsidP="00F01003">
      <w:pPr>
        <w:spacing w:after="0" w:line="240" w:lineRule="auto"/>
        <w:contextualSpacing/>
        <w:jc w:val="both"/>
        <w:rPr>
          <w:rFonts w:ascii="Arial" w:eastAsia="Calibri" w:hAnsi="Arial" w:cs="Arial"/>
          <w:color w:val="000000" w:themeColor="text1"/>
          <w:lang w:val="es-MX"/>
        </w:rPr>
      </w:pPr>
    </w:p>
    <w:p w14:paraId="765CA74C" w14:textId="77777777" w:rsidR="00F01003" w:rsidRPr="00DD0DA7" w:rsidRDefault="00F01003" w:rsidP="00F01003">
      <w:pPr>
        <w:spacing w:after="0" w:line="240" w:lineRule="auto"/>
        <w:contextualSpacing/>
        <w:jc w:val="both"/>
        <w:rPr>
          <w:rFonts w:ascii="Arial" w:eastAsia="Calibri" w:hAnsi="Arial" w:cs="Arial"/>
          <w:color w:val="000000" w:themeColor="text1"/>
          <w:lang w:val="es-MX"/>
        </w:rPr>
      </w:pPr>
      <w:r w:rsidRPr="00DD0DA7">
        <w:rPr>
          <w:rFonts w:ascii="Arial" w:eastAsia="Calibri" w:hAnsi="Arial" w:cs="Arial"/>
          <w:color w:val="000000" w:themeColor="text1"/>
          <w:lang w:val="es-MX"/>
        </w:rPr>
        <w:t>Este concepto tiene el alcance previsto en el artículo 28 del Código de Procedimiento Administrativo y de lo Contencioso Administrativo.</w:t>
      </w:r>
    </w:p>
    <w:p w14:paraId="5B8AFD80" w14:textId="77777777" w:rsidR="00F01003" w:rsidRPr="00DD0DA7" w:rsidRDefault="00F01003" w:rsidP="00F01003">
      <w:pPr>
        <w:spacing w:after="0" w:line="240" w:lineRule="auto"/>
        <w:contextualSpacing/>
        <w:jc w:val="both"/>
        <w:rPr>
          <w:rFonts w:ascii="Arial" w:eastAsia="Calibri" w:hAnsi="Arial" w:cs="Arial"/>
          <w:color w:val="000000" w:themeColor="text1"/>
          <w:lang w:val="es-MX"/>
        </w:rPr>
      </w:pPr>
    </w:p>
    <w:bookmarkEnd w:id="8"/>
    <w:p w14:paraId="7B993171" w14:textId="27E1787B" w:rsidR="00F01003" w:rsidRPr="00DD0DA7" w:rsidRDefault="00F01003" w:rsidP="00F751B0">
      <w:pPr>
        <w:spacing w:after="0" w:line="240" w:lineRule="auto"/>
        <w:contextualSpacing/>
        <w:jc w:val="both"/>
        <w:rPr>
          <w:rFonts w:ascii="Arial" w:hAnsi="Arial" w:cs="Arial"/>
          <w:b/>
          <w:color w:val="000000" w:themeColor="text1"/>
          <w:lang w:val="es-ES"/>
        </w:rPr>
      </w:pPr>
      <w:r w:rsidRPr="00DD0DA7">
        <w:rPr>
          <w:rFonts w:ascii="Arial" w:eastAsia="Calibri" w:hAnsi="Arial" w:cs="Arial"/>
          <w:color w:val="000000" w:themeColor="text1"/>
          <w:lang w:val="es-MX"/>
        </w:rPr>
        <w:t>Atentamente,</w:t>
      </w:r>
      <w:r w:rsidRPr="00DD0DA7">
        <w:rPr>
          <w:rFonts w:ascii="Arial" w:eastAsia="Calibri" w:hAnsi="Arial" w:cs="Arial"/>
          <w:color w:val="000000" w:themeColor="text1"/>
        </w:rPr>
        <w:t xml:space="preserve"> </w:t>
      </w:r>
    </w:p>
    <w:p w14:paraId="3F0AA6F9" w14:textId="6DCD8CE5" w:rsidR="00F01003" w:rsidRPr="00DD0DA7" w:rsidRDefault="00B20684" w:rsidP="00F01003">
      <w:pPr>
        <w:spacing w:line="276" w:lineRule="auto"/>
        <w:jc w:val="center"/>
        <w:textAlignment w:val="baseline"/>
        <w:rPr>
          <w:rFonts w:ascii="Arial" w:eastAsia="Calibri" w:hAnsi="Arial" w:cs="Arial"/>
          <w:color w:val="000000" w:themeColor="text1"/>
          <w:lang w:val="es-ES"/>
        </w:rPr>
      </w:pPr>
      <w:r>
        <w:rPr>
          <w:noProof/>
        </w:rPr>
        <w:drawing>
          <wp:inline distT="0" distB="0" distL="0" distR="0" wp14:anchorId="01A327EE" wp14:editId="6B3F76F4">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r w:rsidR="00F01003" w:rsidRPr="00DD0DA7">
        <w:rPr>
          <w:rFonts w:ascii="Arial" w:eastAsia="Calibri" w:hAnsi="Arial" w:cs="Arial"/>
          <w:color w:val="000000" w:themeColor="text1"/>
          <w:sz w:val="16"/>
          <w:szCs w:val="16"/>
          <w:lang w:val="es-ES"/>
        </w:rPr>
        <w:t>  </w:t>
      </w:r>
    </w:p>
    <w:p w14:paraId="16B48017" w14:textId="77777777" w:rsidR="00F01003" w:rsidRPr="00DD0DA7" w:rsidRDefault="00F01003" w:rsidP="00F01003">
      <w:pPr>
        <w:spacing w:after="0" w:line="276" w:lineRule="auto"/>
        <w:jc w:val="center"/>
        <w:textAlignment w:val="baseline"/>
        <w:rPr>
          <w:rFonts w:ascii="Arial" w:eastAsia="Calibri" w:hAnsi="Arial" w:cs="Arial"/>
          <w:color w:val="000000" w:themeColor="text1"/>
          <w:sz w:val="16"/>
          <w:szCs w:val="16"/>
          <w:lang w:val="es-ES"/>
        </w:rPr>
      </w:pPr>
      <w:r w:rsidRPr="00DD0DA7">
        <w:rPr>
          <w:rFonts w:ascii="Arial" w:eastAsia="Calibri" w:hAnsi="Arial" w:cs="Arial"/>
          <w:color w:val="000000" w:themeColor="text1"/>
          <w:sz w:val="16"/>
          <w:szCs w:val="16"/>
          <w:lang w:val="es-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F01003" w:rsidRPr="00DD0DA7" w14:paraId="46E8971F" w14:textId="77777777" w:rsidTr="00773D00">
        <w:trPr>
          <w:trHeight w:val="315"/>
        </w:trPr>
        <w:tc>
          <w:tcPr>
            <w:tcW w:w="810" w:type="dxa"/>
            <w:tcBorders>
              <w:top w:val="nil"/>
              <w:left w:val="nil"/>
              <w:bottom w:val="nil"/>
              <w:right w:val="nil"/>
            </w:tcBorders>
            <w:shd w:val="clear" w:color="auto" w:fill="auto"/>
            <w:vAlign w:val="center"/>
            <w:hideMark/>
          </w:tcPr>
          <w:p w14:paraId="25A2BFD5"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
              </w:rPr>
            </w:pPr>
            <w:r w:rsidRPr="00DD0DA7">
              <w:rPr>
                <w:rFonts w:ascii="Arial" w:eastAsia="Calibri" w:hAnsi="Arial" w:cs="Arial"/>
                <w:color w:val="000000" w:themeColor="text1"/>
                <w:sz w:val="16"/>
                <w:szCs w:val="16"/>
                <w:lang w:val="es-ES"/>
              </w:rPr>
              <w:t>Elaboró:   </w:t>
            </w:r>
          </w:p>
        </w:tc>
        <w:tc>
          <w:tcPr>
            <w:tcW w:w="4410" w:type="dxa"/>
            <w:tcBorders>
              <w:top w:val="nil"/>
              <w:left w:val="nil"/>
              <w:bottom w:val="dotted" w:sz="6" w:space="0" w:color="7F7F7F"/>
              <w:right w:val="nil"/>
            </w:tcBorders>
            <w:shd w:val="clear" w:color="auto" w:fill="auto"/>
            <w:vAlign w:val="center"/>
            <w:hideMark/>
          </w:tcPr>
          <w:p w14:paraId="6FA6212C"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rPr>
            </w:pPr>
            <w:r w:rsidRPr="00DD0DA7">
              <w:rPr>
                <w:rFonts w:ascii="Arial" w:eastAsia="Calibri" w:hAnsi="Arial" w:cs="Arial"/>
                <w:color w:val="000000" w:themeColor="text1"/>
                <w:sz w:val="16"/>
                <w:szCs w:val="16"/>
              </w:rPr>
              <w:t xml:space="preserve">Valeska Medellín Mora </w:t>
            </w:r>
          </w:p>
          <w:p w14:paraId="53538A2C"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rPr>
            </w:pPr>
            <w:r w:rsidRPr="00DD0DA7">
              <w:rPr>
                <w:rFonts w:ascii="Arial" w:eastAsia="Calibri" w:hAnsi="Arial" w:cs="Arial"/>
                <w:color w:val="000000" w:themeColor="text1"/>
                <w:sz w:val="16"/>
                <w:szCs w:val="16"/>
              </w:rPr>
              <w:t>Gestor T1-15 de la Subdirección de Gestión Contractual</w:t>
            </w:r>
          </w:p>
        </w:tc>
      </w:tr>
      <w:tr w:rsidR="00F01003" w:rsidRPr="00DD0DA7" w14:paraId="6733E731" w14:textId="77777777" w:rsidTr="00773D00">
        <w:trPr>
          <w:trHeight w:val="315"/>
        </w:trPr>
        <w:tc>
          <w:tcPr>
            <w:tcW w:w="810" w:type="dxa"/>
            <w:tcBorders>
              <w:top w:val="nil"/>
              <w:left w:val="nil"/>
              <w:bottom w:val="nil"/>
              <w:right w:val="nil"/>
            </w:tcBorders>
            <w:shd w:val="clear" w:color="auto" w:fill="auto"/>
            <w:vAlign w:val="center"/>
            <w:hideMark/>
          </w:tcPr>
          <w:p w14:paraId="63FA51A2"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
              </w:rPr>
            </w:pPr>
            <w:r w:rsidRPr="00DD0DA7">
              <w:rPr>
                <w:rFonts w:ascii="Arial" w:eastAsia="Calibri" w:hAnsi="Arial" w:cs="Arial"/>
                <w:color w:val="000000" w:themeColor="text1"/>
                <w:sz w:val="16"/>
                <w:szCs w:val="16"/>
                <w:lang w:val="es-ES"/>
              </w:rPr>
              <w:t>Revisó:   </w:t>
            </w:r>
          </w:p>
        </w:tc>
        <w:tc>
          <w:tcPr>
            <w:tcW w:w="4410" w:type="dxa"/>
            <w:tcBorders>
              <w:top w:val="dotted" w:sz="6" w:space="0" w:color="7F7F7F"/>
              <w:left w:val="nil"/>
              <w:bottom w:val="dotted" w:sz="6" w:space="0" w:color="7F7F7F"/>
              <w:right w:val="nil"/>
            </w:tcBorders>
            <w:shd w:val="clear" w:color="auto" w:fill="auto"/>
            <w:vAlign w:val="center"/>
            <w:hideMark/>
          </w:tcPr>
          <w:p w14:paraId="151A97BC"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_tradnl"/>
              </w:rPr>
            </w:pPr>
            <w:r w:rsidRPr="00DD0DA7">
              <w:rPr>
                <w:rFonts w:ascii="Arial" w:eastAsia="Calibri" w:hAnsi="Arial" w:cs="Arial"/>
                <w:color w:val="000000" w:themeColor="text1"/>
                <w:sz w:val="16"/>
                <w:szCs w:val="16"/>
                <w:lang w:val="es-ES_tradnl"/>
              </w:rPr>
              <w:t xml:space="preserve">Diana </w:t>
            </w:r>
            <w:r>
              <w:rPr>
                <w:rFonts w:ascii="Arial" w:eastAsia="Calibri" w:hAnsi="Arial" w:cs="Arial"/>
                <w:color w:val="000000" w:themeColor="text1"/>
                <w:sz w:val="16"/>
                <w:szCs w:val="16"/>
                <w:lang w:val="es-ES_tradnl"/>
              </w:rPr>
              <w:t xml:space="preserve">Carolina </w:t>
            </w:r>
            <w:r w:rsidRPr="00DD0DA7">
              <w:rPr>
                <w:rFonts w:ascii="Arial" w:eastAsia="Calibri" w:hAnsi="Arial" w:cs="Arial"/>
                <w:color w:val="000000" w:themeColor="text1"/>
                <w:sz w:val="16"/>
                <w:szCs w:val="16"/>
                <w:lang w:val="es-ES_tradnl"/>
              </w:rPr>
              <w:t>Armenta Celis</w:t>
            </w:r>
          </w:p>
          <w:p w14:paraId="383BBFA5"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_tradnl"/>
              </w:rPr>
            </w:pPr>
            <w:r w:rsidRPr="00DD0DA7">
              <w:rPr>
                <w:rFonts w:ascii="Arial" w:eastAsia="Calibri" w:hAnsi="Arial" w:cs="Arial"/>
                <w:color w:val="000000" w:themeColor="text1"/>
                <w:sz w:val="16"/>
                <w:szCs w:val="16"/>
              </w:rPr>
              <w:t>Contratista de la Subdirección de Gestión Contractual</w:t>
            </w:r>
          </w:p>
        </w:tc>
      </w:tr>
      <w:tr w:rsidR="00F01003" w:rsidRPr="00DD0DA7" w14:paraId="645C433A" w14:textId="77777777" w:rsidTr="00773D00">
        <w:trPr>
          <w:trHeight w:val="300"/>
        </w:trPr>
        <w:tc>
          <w:tcPr>
            <w:tcW w:w="810" w:type="dxa"/>
            <w:tcBorders>
              <w:top w:val="nil"/>
              <w:left w:val="nil"/>
              <w:bottom w:val="nil"/>
              <w:right w:val="nil"/>
            </w:tcBorders>
            <w:shd w:val="clear" w:color="auto" w:fill="auto"/>
            <w:vAlign w:val="center"/>
            <w:hideMark/>
          </w:tcPr>
          <w:p w14:paraId="4D39433A"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
              </w:rPr>
            </w:pPr>
            <w:r w:rsidRPr="00DD0DA7">
              <w:rPr>
                <w:rFonts w:ascii="Arial" w:eastAsia="Calibri" w:hAnsi="Arial" w:cs="Arial"/>
                <w:color w:val="000000" w:themeColor="text1"/>
                <w:sz w:val="16"/>
                <w:szCs w:val="16"/>
                <w:lang w:val="es-ES"/>
              </w:rPr>
              <w:t>Aprobó:   </w:t>
            </w:r>
          </w:p>
        </w:tc>
        <w:tc>
          <w:tcPr>
            <w:tcW w:w="4410" w:type="dxa"/>
            <w:tcBorders>
              <w:top w:val="dotted" w:sz="6" w:space="0" w:color="7F7F7F"/>
              <w:left w:val="nil"/>
              <w:bottom w:val="dotted" w:sz="6" w:space="0" w:color="7F7F7F"/>
              <w:right w:val="nil"/>
            </w:tcBorders>
            <w:shd w:val="clear" w:color="auto" w:fill="auto"/>
            <w:vAlign w:val="center"/>
            <w:hideMark/>
          </w:tcPr>
          <w:p w14:paraId="28D4EEA6"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_tradnl"/>
              </w:rPr>
            </w:pPr>
            <w:r w:rsidRPr="00DD0DA7">
              <w:rPr>
                <w:rFonts w:ascii="Arial" w:eastAsia="Calibri" w:hAnsi="Arial" w:cs="Arial"/>
                <w:color w:val="000000" w:themeColor="text1"/>
                <w:sz w:val="16"/>
                <w:szCs w:val="16"/>
                <w:lang w:val="es-ES_tradnl"/>
              </w:rPr>
              <w:t xml:space="preserve">Nohelia del Carmen </w:t>
            </w:r>
            <w:proofErr w:type="spellStart"/>
            <w:r w:rsidRPr="00DD0DA7">
              <w:rPr>
                <w:rFonts w:ascii="Arial" w:eastAsia="Calibri" w:hAnsi="Arial" w:cs="Arial"/>
                <w:color w:val="000000" w:themeColor="text1"/>
                <w:sz w:val="16"/>
                <w:szCs w:val="16"/>
                <w:lang w:val="es-ES_tradnl"/>
              </w:rPr>
              <w:t>Zawady</w:t>
            </w:r>
            <w:proofErr w:type="spellEnd"/>
            <w:r w:rsidRPr="00DD0DA7">
              <w:rPr>
                <w:rFonts w:ascii="Arial" w:eastAsia="Calibri" w:hAnsi="Arial" w:cs="Arial"/>
                <w:color w:val="000000" w:themeColor="text1"/>
                <w:sz w:val="16"/>
                <w:szCs w:val="16"/>
                <w:lang w:val="es-ES_tradnl"/>
              </w:rPr>
              <w:t xml:space="preserve"> Palacio</w:t>
            </w:r>
          </w:p>
          <w:p w14:paraId="0BD42356" w14:textId="77777777" w:rsidR="00F01003" w:rsidRPr="00DD0DA7" w:rsidRDefault="00F01003" w:rsidP="00773D00">
            <w:pPr>
              <w:spacing w:after="0" w:line="276" w:lineRule="auto"/>
              <w:textAlignment w:val="baseline"/>
              <w:rPr>
                <w:rFonts w:ascii="Arial" w:eastAsia="Calibri" w:hAnsi="Arial" w:cs="Arial"/>
                <w:color w:val="000000" w:themeColor="text1"/>
                <w:sz w:val="16"/>
                <w:szCs w:val="16"/>
                <w:lang w:val="es-ES"/>
              </w:rPr>
            </w:pPr>
            <w:r w:rsidRPr="00DD0DA7">
              <w:rPr>
                <w:rFonts w:ascii="Arial" w:eastAsia="Calibri" w:hAnsi="Arial" w:cs="Arial"/>
                <w:color w:val="000000" w:themeColor="text1"/>
                <w:sz w:val="16"/>
                <w:szCs w:val="16"/>
                <w:lang w:val="es-ES_tradnl"/>
              </w:rPr>
              <w:t>Subdirectora de Gestión Contractual ANCP-CCE</w:t>
            </w:r>
          </w:p>
        </w:tc>
      </w:tr>
    </w:tbl>
    <w:p w14:paraId="0F293BF4" w14:textId="0F6FB6C1" w:rsidR="00127233" w:rsidRPr="00F01003" w:rsidRDefault="00127233" w:rsidP="00F751B0"/>
    <w:sectPr w:rsidR="00127233" w:rsidRPr="00F01003"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C434F" w14:textId="77777777" w:rsidR="009F3A7C" w:rsidRDefault="009F3A7C" w:rsidP="004A1847">
      <w:pPr>
        <w:spacing w:after="0" w:line="240" w:lineRule="auto"/>
      </w:pPr>
      <w:r>
        <w:separator/>
      </w:r>
    </w:p>
  </w:endnote>
  <w:endnote w:type="continuationSeparator" w:id="0">
    <w:p w14:paraId="255D0CD2" w14:textId="77777777" w:rsidR="009F3A7C" w:rsidRDefault="009F3A7C" w:rsidP="004A1847">
      <w:pPr>
        <w:spacing w:after="0" w:line="240" w:lineRule="auto"/>
      </w:pPr>
      <w:r>
        <w:continuationSeparator/>
      </w:r>
    </w:p>
  </w:endnote>
  <w:endnote w:type="continuationNotice" w:id="1">
    <w:p w14:paraId="05E3CBF9" w14:textId="77777777" w:rsidR="009F3A7C" w:rsidRDefault="009F3A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0117F" w14:textId="77777777" w:rsidR="009F3A7C" w:rsidRDefault="009F3A7C" w:rsidP="004A1847">
      <w:pPr>
        <w:spacing w:after="0" w:line="240" w:lineRule="auto"/>
      </w:pPr>
      <w:r>
        <w:separator/>
      </w:r>
    </w:p>
  </w:footnote>
  <w:footnote w:type="continuationSeparator" w:id="0">
    <w:p w14:paraId="54FBBDE7" w14:textId="77777777" w:rsidR="009F3A7C" w:rsidRDefault="009F3A7C" w:rsidP="004A1847">
      <w:pPr>
        <w:spacing w:after="0" w:line="240" w:lineRule="auto"/>
      </w:pPr>
      <w:r>
        <w:continuationSeparator/>
      </w:r>
    </w:p>
  </w:footnote>
  <w:footnote w:type="continuationNotice" w:id="1">
    <w:p w14:paraId="1DC9E096" w14:textId="77777777" w:rsidR="009F3A7C" w:rsidRDefault="009F3A7C">
      <w:pPr>
        <w:spacing w:after="0" w:line="240" w:lineRule="auto"/>
      </w:pPr>
    </w:p>
  </w:footnote>
  <w:footnote w:id="2">
    <w:p w14:paraId="2ECBAD2F" w14:textId="77777777" w:rsidR="00F01003" w:rsidRPr="00E80894" w:rsidRDefault="00F01003" w:rsidP="00F01003">
      <w:pPr>
        <w:pStyle w:val="Textonotapie"/>
        <w:ind w:firstLine="709"/>
        <w:jc w:val="both"/>
        <w:rPr>
          <w:rFonts w:ascii="Arial" w:hAnsi="Arial" w:cs="Arial"/>
          <w:color w:val="000000" w:themeColor="text1"/>
          <w:sz w:val="19"/>
          <w:szCs w:val="19"/>
        </w:rPr>
      </w:pPr>
      <w:r w:rsidRPr="00E80894">
        <w:rPr>
          <w:rStyle w:val="Refdenotaalpie"/>
          <w:rFonts w:ascii="Arial" w:hAnsi="Arial" w:cs="Arial"/>
          <w:color w:val="000000" w:themeColor="text1"/>
          <w:sz w:val="19"/>
          <w:szCs w:val="19"/>
        </w:rPr>
        <w:footnoteRef/>
      </w:r>
      <w:r w:rsidRPr="00E8089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80894">
        <w:rPr>
          <w:rFonts w:ascii="Arial" w:hAnsi="Arial" w:cs="Arial"/>
          <w:i/>
          <w:iCs/>
          <w:color w:val="000000" w:themeColor="text1"/>
          <w:sz w:val="19"/>
          <w:szCs w:val="19"/>
        </w:rPr>
        <w:t xml:space="preserve">ibidem </w:t>
      </w:r>
      <w:r w:rsidRPr="00E80894">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E80894">
        <w:rPr>
          <w:rFonts w:ascii="Arial" w:hAnsi="Arial" w:cs="Arial"/>
          <w:color w:val="000000" w:themeColor="text1"/>
          <w:sz w:val="19"/>
          <w:szCs w:val="19"/>
        </w:rPr>
        <w:t>bsolver</w:t>
      </w:r>
      <w:proofErr w:type="spellEnd"/>
      <w:r w:rsidRPr="00E80894">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E80894">
        <w:rPr>
          <w:rFonts w:ascii="Arial" w:hAnsi="Arial" w:cs="Arial"/>
          <w:color w:val="000000" w:themeColor="text1"/>
          <w:sz w:val="19"/>
          <w:szCs w:val="19"/>
        </w:rPr>
        <w:t>bsolver</w:t>
      </w:r>
      <w:proofErr w:type="spellEnd"/>
      <w:r w:rsidRPr="00E80894">
        <w:rPr>
          <w:rFonts w:ascii="Arial" w:hAnsi="Arial" w:cs="Arial"/>
          <w:color w:val="000000" w:themeColor="text1"/>
          <w:sz w:val="19"/>
          <w:szCs w:val="19"/>
        </w:rPr>
        <w:t xml:space="preserve"> consultas sobre la aplicación de normas de carácter general».</w:t>
      </w:r>
    </w:p>
  </w:footnote>
  <w:footnote w:id="3">
    <w:p w14:paraId="56BF9E5E" w14:textId="77777777" w:rsidR="00F01003" w:rsidRPr="00C20F3B" w:rsidRDefault="00F01003" w:rsidP="00F01003">
      <w:pPr>
        <w:pStyle w:val="Textonotapie"/>
        <w:ind w:firstLine="708"/>
        <w:jc w:val="both"/>
        <w:rPr>
          <w:rFonts w:ascii="Arial" w:hAnsi="Arial" w:cs="Arial"/>
          <w:color w:val="000000" w:themeColor="text1"/>
          <w:sz w:val="15"/>
          <w:szCs w:val="15"/>
          <w:lang w:val="es-CO"/>
        </w:rPr>
      </w:pPr>
      <w:r w:rsidRPr="00A55D75">
        <w:rPr>
          <w:rStyle w:val="Refdenotaalpie"/>
          <w:rFonts w:ascii="Arial" w:hAnsi="Arial" w:cs="Arial"/>
          <w:color w:val="000000" w:themeColor="text1"/>
          <w:sz w:val="19"/>
          <w:szCs w:val="19"/>
        </w:rPr>
        <w:footnoteRef/>
      </w:r>
      <w:r w:rsidRPr="00A55D75">
        <w:rPr>
          <w:rFonts w:ascii="Arial" w:hAnsi="Arial" w:cs="Arial"/>
          <w:color w:val="000000" w:themeColor="text1"/>
          <w:sz w:val="19"/>
          <w:szCs w:val="19"/>
        </w:rPr>
        <w:t xml:space="preserve"> </w:t>
      </w:r>
      <w:r w:rsidRPr="00C20F3B">
        <w:rPr>
          <w:rFonts w:ascii="Arial" w:hAnsi="Arial" w:cs="Arial"/>
          <w:color w:val="000000" w:themeColor="text1"/>
          <w:sz w:val="15"/>
          <w:szCs w:val="15"/>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102B6221" w14:textId="77777777" w:rsidR="00F01003" w:rsidRPr="00C20F3B" w:rsidRDefault="00F01003" w:rsidP="00F01003">
      <w:pPr>
        <w:pStyle w:val="Textonotapie"/>
        <w:ind w:firstLine="708"/>
        <w:jc w:val="both"/>
        <w:rPr>
          <w:rFonts w:ascii="Arial" w:hAnsi="Arial" w:cs="Arial"/>
          <w:color w:val="000000" w:themeColor="text1"/>
          <w:sz w:val="15"/>
          <w:szCs w:val="15"/>
        </w:rPr>
      </w:pPr>
    </w:p>
  </w:footnote>
  <w:footnote w:id="4">
    <w:p w14:paraId="6B6047A1" w14:textId="77777777" w:rsidR="00F01003" w:rsidRPr="00C20F3B" w:rsidRDefault="00F01003" w:rsidP="00F01003">
      <w:pPr>
        <w:pStyle w:val="Textonotapie"/>
        <w:ind w:firstLine="708"/>
        <w:jc w:val="both"/>
        <w:rPr>
          <w:rStyle w:val="Hipervnculo1"/>
          <w:rFonts w:ascii="Arial" w:hAnsi="Arial" w:cs="Arial"/>
          <w:color w:val="000000" w:themeColor="text1"/>
          <w:sz w:val="15"/>
          <w:szCs w:val="15"/>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Texto del Proyecto de Ley 122 de 2020 Cámara. Exposición de motivos. Consultado el 29 de diciembre de 2021 en la página web: </w:t>
      </w:r>
      <w:hyperlink r:id="rId1" w:history="1">
        <w:r w:rsidRPr="00C20F3B">
          <w:rPr>
            <w:rStyle w:val="Hipervnculo1"/>
            <w:rFonts w:ascii="Arial" w:hAnsi="Arial" w:cs="Arial"/>
            <w:color w:val="000000" w:themeColor="text1"/>
            <w:sz w:val="15"/>
            <w:szCs w:val="15"/>
          </w:rPr>
          <w:t>http://leyes.senado.gov.co/proyectos/index.php/textos-radicados-senado/p-ley-2020-2021/1957-proyecto-de-ley-161-de-2020</w:t>
        </w:r>
      </w:hyperlink>
    </w:p>
    <w:p w14:paraId="67A8DBCE" w14:textId="77777777" w:rsidR="00F01003" w:rsidRPr="00C20F3B" w:rsidRDefault="00F01003" w:rsidP="00F01003">
      <w:pPr>
        <w:pStyle w:val="Textonotapie"/>
        <w:ind w:firstLine="708"/>
        <w:jc w:val="both"/>
        <w:rPr>
          <w:rFonts w:ascii="Arial" w:hAnsi="Arial" w:cs="Arial"/>
          <w:color w:val="000000" w:themeColor="text1"/>
          <w:sz w:val="15"/>
          <w:szCs w:val="15"/>
        </w:rPr>
      </w:pPr>
    </w:p>
  </w:footnote>
  <w:footnote w:id="5">
    <w:p w14:paraId="54055277"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w:t>
      </w:r>
      <w:r w:rsidRPr="00C20F3B">
        <w:rPr>
          <w:rFonts w:ascii="Arial" w:hAnsi="Arial" w:cs="Arial"/>
          <w:color w:val="000000" w:themeColor="text1"/>
          <w:sz w:val="15"/>
          <w:szCs w:val="15"/>
          <w:lang w:val="es-ES"/>
        </w:rPr>
        <w:t>Artículos 2 al 29.</w:t>
      </w:r>
    </w:p>
    <w:p w14:paraId="6B3976E5"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p>
  </w:footnote>
  <w:footnote w:id="6">
    <w:p w14:paraId="16931CF7"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w:t>
      </w:r>
      <w:r w:rsidRPr="00C20F3B">
        <w:rPr>
          <w:rFonts w:ascii="Arial" w:hAnsi="Arial" w:cs="Arial"/>
          <w:color w:val="000000" w:themeColor="text1"/>
          <w:sz w:val="15"/>
          <w:szCs w:val="15"/>
          <w:lang w:val="es-ES"/>
        </w:rPr>
        <w:t>Artículos 30 al 36.</w:t>
      </w:r>
    </w:p>
    <w:p w14:paraId="24CAE741"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p>
  </w:footnote>
  <w:footnote w:id="7">
    <w:p w14:paraId="171672F2"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w:t>
      </w:r>
      <w:r w:rsidRPr="00C20F3B">
        <w:rPr>
          <w:rFonts w:ascii="Arial" w:hAnsi="Arial" w:cs="Arial"/>
          <w:color w:val="000000" w:themeColor="text1"/>
          <w:sz w:val="15"/>
          <w:szCs w:val="15"/>
          <w:lang w:val="es-ES"/>
        </w:rPr>
        <w:t>Artículos 37 al 45.</w:t>
      </w:r>
    </w:p>
    <w:p w14:paraId="53446895"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p>
  </w:footnote>
  <w:footnote w:id="8">
    <w:p w14:paraId="026CFE97"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w:t>
      </w:r>
      <w:r w:rsidRPr="00C20F3B">
        <w:rPr>
          <w:rFonts w:ascii="Arial" w:hAnsi="Arial" w:cs="Arial"/>
          <w:color w:val="000000" w:themeColor="text1"/>
          <w:sz w:val="15"/>
          <w:szCs w:val="15"/>
          <w:lang w:val="es-ES"/>
        </w:rPr>
        <w:t>Artículos 46 al 73.</w:t>
      </w:r>
    </w:p>
    <w:p w14:paraId="2A6F8DE5"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p>
  </w:footnote>
  <w:footnote w:id="9">
    <w:p w14:paraId="14A35606"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w:t>
      </w:r>
      <w:r w:rsidRPr="00C20F3B">
        <w:rPr>
          <w:rFonts w:ascii="Arial" w:hAnsi="Arial" w:cs="Arial"/>
          <w:color w:val="000000" w:themeColor="text1"/>
          <w:sz w:val="15"/>
          <w:szCs w:val="15"/>
          <w:lang w:val="es-ES"/>
        </w:rPr>
        <w:t>Artículos 74 al 83.</w:t>
      </w:r>
    </w:p>
    <w:p w14:paraId="5927E7C4" w14:textId="77777777" w:rsidR="00F01003" w:rsidRPr="00C20F3B" w:rsidRDefault="00F01003" w:rsidP="00F01003">
      <w:pPr>
        <w:pStyle w:val="Textonotapie"/>
        <w:ind w:firstLine="709"/>
        <w:jc w:val="both"/>
        <w:rPr>
          <w:rFonts w:ascii="Arial" w:hAnsi="Arial" w:cs="Arial"/>
          <w:color w:val="000000" w:themeColor="text1"/>
          <w:sz w:val="15"/>
          <w:szCs w:val="15"/>
          <w:lang w:val="es-ES"/>
        </w:rPr>
      </w:pPr>
    </w:p>
  </w:footnote>
  <w:footnote w:id="10">
    <w:p w14:paraId="6AF31DE5" w14:textId="77777777" w:rsidR="00F01003" w:rsidRPr="00C20F3B" w:rsidRDefault="00F01003" w:rsidP="00F01003">
      <w:pPr>
        <w:pStyle w:val="Textonotapie"/>
        <w:ind w:firstLine="708"/>
        <w:jc w:val="both"/>
        <w:rPr>
          <w:rFonts w:ascii="Arial" w:hAnsi="Arial" w:cs="Arial"/>
          <w:sz w:val="15"/>
          <w:szCs w:val="15"/>
        </w:rPr>
      </w:pPr>
      <w:r w:rsidRPr="00C20F3B">
        <w:rPr>
          <w:rStyle w:val="Refdenotaalpie"/>
          <w:rFonts w:ascii="Arial" w:hAnsi="Arial" w:cs="Arial"/>
          <w:sz w:val="15"/>
          <w:szCs w:val="15"/>
        </w:rPr>
        <w:footnoteRef/>
      </w:r>
      <w:r w:rsidRPr="00C20F3B">
        <w:rPr>
          <w:rFonts w:ascii="Arial" w:hAnsi="Arial" w:cs="Arial"/>
          <w:sz w:val="15"/>
          <w:szCs w:val="15"/>
        </w:rPr>
        <w:t xml:space="preserve"> </w:t>
      </w:r>
      <w:bookmarkStart w:id="2" w:name="_Hlk63862868"/>
      <w:r w:rsidRPr="00C20F3B">
        <w:rPr>
          <w:rFonts w:ascii="Arial" w:hAnsi="Arial" w:cs="Arial"/>
          <w:sz w:val="15"/>
          <w:szCs w:val="15"/>
        </w:rPr>
        <w:t>CONGRESO DE LA REPÚBLICA. Gaceta No. 670 del 11 de agosto de 2020. Exposición de motivos del Proyecto de Ley No. 122 de 2020 Cámara. p. 13.</w:t>
      </w:r>
      <w:bookmarkEnd w:id="2"/>
    </w:p>
    <w:p w14:paraId="0BCED647" w14:textId="77777777" w:rsidR="00F01003" w:rsidRPr="00C20F3B" w:rsidRDefault="00F01003" w:rsidP="00F01003">
      <w:pPr>
        <w:pStyle w:val="Textonotapie"/>
        <w:ind w:firstLine="708"/>
        <w:jc w:val="both"/>
        <w:rPr>
          <w:rFonts w:ascii="Arial" w:hAnsi="Arial" w:cs="Arial"/>
          <w:sz w:val="15"/>
          <w:szCs w:val="15"/>
          <w:lang w:val="es-ES"/>
        </w:rPr>
      </w:pPr>
    </w:p>
  </w:footnote>
  <w:footnote w:id="11">
    <w:p w14:paraId="18FF0D7B" w14:textId="77777777" w:rsidR="00F01003" w:rsidRPr="00C20F3B" w:rsidRDefault="00F01003" w:rsidP="00F01003">
      <w:pPr>
        <w:pStyle w:val="Textonotapie"/>
        <w:ind w:firstLine="709"/>
        <w:jc w:val="both"/>
        <w:rPr>
          <w:rFonts w:ascii="Arial" w:hAnsi="Arial" w:cs="Arial"/>
          <w:color w:val="000000" w:themeColor="text1"/>
          <w:sz w:val="15"/>
          <w:szCs w:val="15"/>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0BB4D731" w14:textId="77777777" w:rsidR="00F01003" w:rsidRPr="00C20F3B" w:rsidRDefault="00F01003" w:rsidP="00F01003">
      <w:pPr>
        <w:pStyle w:val="Textonotapie"/>
        <w:ind w:firstLine="708"/>
        <w:jc w:val="both"/>
        <w:rPr>
          <w:rFonts w:ascii="Arial" w:hAnsi="Arial" w:cs="Arial"/>
          <w:color w:val="000000" w:themeColor="text1"/>
          <w:sz w:val="15"/>
          <w:szCs w:val="15"/>
        </w:rPr>
      </w:pPr>
      <w:proofErr w:type="gramStart"/>
      <w:r w:rsidRPr="00C20F3B">
        <w:rPr>
          <w:rFonts w:ascii="Arial" w:hAnsi="Arial" w:cs="Arial"/>
          <w:color w:val="000000" w:themeColor="text1"/>
          <w:sz w:val="15"/>
          <w:szCs w:val="15"/>
        </w:rPr>
        <w:t>»Parágrafo</w:t>
      </w:r>
      <w:proofErr w:type="gramEnd"/>
      <w:r w:rsidRPr="00C20F3B">
        <w:rPr>
          <w:rFonts w:ascii="Arial" w:hAnsi="Arial" w:cs="Arial"/>
          <w:color w:val="000000" w:themeColor="text1"/>
          <w:sz w:val="15"/>
          <w:szCs w:val="15"/>
        </w:rPr>
        <w:t xml:space="preserve"> primero. La definición de emprendimientos y empresas de mujeres se reglamentará por el gobierno nacional».  </w:t>
      </w:r>
    </w:p>
  </w:footnote>
  <w:footnote w:id="12">
    <w:p w14:paraId="33B02C6C" w14:textId="77777777" w:rsidR="00F01003" w:rsidRPr="00C20F3B" w:rsidRDefault="00F01003" w:rsidP="00F01003">
      <w:pPr>
        <w:pStyle w:val="Textonotapie"/>
        <w:ind w:firstLine="709"/>
        <w:jc w:val="both"/>
        <w:rPr>
          <w:rFonts w:ascii="Arial" w:hAnsi="Arial" w:cs="Arial"/>
          <w:color w:val="000000" w:themeColor="text1"/>
          <w:sz w:val="15"/>
          <w:szCs w:val="15"/>
        </w:rPr>
      </w:pPr>
      <w:r w:rsidRPr="00C20F3B">
        <w:rPr>
          <w:rStyle w:val="Refdenotaalpie"/>
          <w:rFonts w:ascii="Arial" w:hAnsi="Arial" w:cs="Arial"/>
          <w:color w:val="000000" w:themeColor="text1"/>
          <w:sz w:val="15"/>
          <w:szCs w:val="15"/>
        </w:rPr>
        <w:footnoteRef/>
      </w:r>
      <w:r w:rsidRPr="00C20F3B">
        <w:rPr>
          <w:rFonts w:ascii="Arial" w:hAnsi="Arial" w:cs="Arial"/>
          <w:color w:val="000000" w:themeColor="text1"/>
          <w:sz w:val="15"/>
          <w:szCs w:val="15"/>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C20F3B">
        <w:rPr>
          <w:rFonts w:ascii="Arial" w:hAnsi="Arial" w:cs="Arial"/>
          <w:color w:val="000000" w:themeColor="text1"/>
          <w:sz w:val="15"/>
          <w:szCs w:val="15"/>
        </w:rPr>
        <w:t>Mipyme</w:t>
      </w:r>
      <w:proofErr w:type="spellEnd"/>
      <w:r w:rsidRPr="00C20F3B">
        <w:rPr>
          <w:rFonts w:ascii="Arial" w:hAnsi="Arial" w:cs="Arial"/>
          <w:color w:val="000000" w:themeColor="text1"/>
          <w:sz w:val="15"/>
          <w:szCs w:val="15"/>
        </w:rPr>
        <w:t xml:space="preserve"> y grandes almacenes; los criterios diferenciales para </w:t>
      </w:r>
      <w:proofErr w:type="spellStart"/>
      <w:r w:rsidRPr="00C20F3B">
        <w:rPr>
          <w:rFonts w:ascii="Arial" w:hAnsi="Arial" w:cs="Arial"/>
          <w:color w:val="000000" w:themeColor="text1"/>
          <w:sz w:val="15"/>
          <w:szCs w:val="15"/>
        </w:rPr>
        <w:t>Mipyme</w:t>
      </w:r>
      <w:proofErr w:type="spellEnd"/>
      <w:r w:rsidRPr="00C20F3B">
        <w:rPr>
          <w:rFonts w:ascii="Arial" w:hAnsi="Arial" w:cs="Arial"/>
          <w:color w:val="000000" w:themeColor="text1"/>
          <w:sz w:val="15"/>
          <w:szCs w:val="15"/>
        </w:rPr>
        <w:t xml:space="preserve">, y la definición y los criterios diferenciales para los emprendimientos y empresas de mujeres; las convocatorias limitadas a </w:t>
      </w:r>
      <w:proofErr w:type="spellStart"/>
      <w:r w:rsidRPr="00C20F3B">
        <w:rPr>
          <w:rFonts w:ascii="Arial" w:hAnsi="Arial" w:cs="Arial"/>
          <w:color w:val="000000" w:themeColor="text1"/>
          <w:sz w:val="15"/>
          <w:szCs w:val="15"/>
        </w:rPr>
        <w:t>Mipyme</w:t>
      </w:r>
      <w:proofErr w:type="spellEnd"/>
      <w:r w:rsidRPr="00C20F3B">
        <w:rPr>
          <w:rFonts w:ascii="Arial" w:hAnsi="Arial" w:cs="Arial"/>
          <w:color w:val="000000" w:themeColor="text1"/>
          <w:sz w:val="15"/>
          <w:szCs w:val="15"/>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3">
    <w:p w14:paraId="08A4F8DD" w14:textId="77777777" w:rsidR="00F01003" w:rsidRPr="00C20F3B" w:rsidRDefault="00F01003" w:rsidP="00F01003">
      <w:pPr>
        <w:pStyle w:val="NormalWeb"/>
        <w:shd w:val="clear" w:color="auto" w:fill="FFFFFF"/>
        <w:spacing w:after="0" w:line="240" w:lineRule="auto"/>
        <w:ind w:firstLine="708"/>
        <w:jc w:val="both"/>
        <w:rPr>
          <w:rFonts w:ascii="Arial" w:hAnsi="Arial" w:cs="Arial"/>
          <w:sz w:val="15"/>
          <w:szCs w:val="15"/>
        </w:rPr>
      </w:pPr>
      <w:r w:rsidRPr="00C20F3B">
        <w:rPr>
          <w:rStyle w:val="Refdenotaalpie"/>
          <w:rFonts w:ascii="Arial" w:hAnsi="Arial" w:cs="Arial"/>
          <w:sz w:val="15"/>
          <w:szCs w:val="15"/>
        </w:rPr>
        <w:footnoteRef/>
      </w:r>
      <w:r w:rsidRPr="00C20F3B">
        <w:rPr>
          <w:rFonts w:ascii="Arial" w:hAnsi="Arial" w:cs="Arial"/>
          <w:sz w:val="15"/>
          <w:szCs w:val="15"/>
        </w:rPr>
        <w:t xml:space="preserve"> «ARTÍCULO  8. Vigencia y derogatorias</w:t>
      </w:r>
      <w:r w:rsidRPr="00C20F3B">
        <w:rPr>
          <w:rFonts w:ascii="Arial" w:hAnsi="Arial" w:cs="Arial"/>
          <w:b/>
          <w:bCs/>
          <w:sz w:val="15"/>
          <w:szCs w:val="15"/>
        </w:rPr>
        <w:t>.</w:t>
      </w:r>
      <w:r w:rsidRPr="00C20F3B">
        <w:rPr>
          <w:rFonts w:ascii="Arial" w:hAnsi="Arial" w:cs="Arial"/>
          <w:sz w:val="15"/>
          <w:szCs w:val="15"/>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C20F3B">
          <w:rPr>
            <w:rFonts w:ascii="Arial" w:hAnsi="Arial" w:cs="Arial"/>
            <w:sz w:val="15"/>
            <w:szCs w:val="15"/>
          </w:rPr>
          <w:t>5 </w:t>
        </w:r>
      </w:hyperlink>
      <w:r w:rsidRPr="00C20F3B">
        <w:rPr>
          <w:rFonts w:ascii="Arial" w:hAnsi="Arial" w:cs="Arial"/>
          <w:sz w:val="15"/>
          <w:szCs w:val="15"/>
        </w:rPr>
        <w:t>de la Sección 1 del Capítulo 2 del Título 1 de la Parte 2 del Libro 2, así como los artículos </w:t>
      </w:r>
      <w:hyperlink r:id="rId3" w:anchor="2.2.1.2.4.2.2" w:history="1">
        <w:r w:rsidRPr="00C20F3B">
          <w:rPr>
            <w:rFonts w:ascii="Arial" w:hAnsi="Arial" w:cs="Arial"/>
            <w:sz w:val="15"/>
            <w:szCs w:val="15"/>
          </w:rPr>
          <w:t>2.2.1.2.4.2.2</w:t>
        </w:r>
      </w:hyperlink>
      <w:r w:rsidRPr="00C20F3B">
        <w:rPr>
          <w:rFonts w:ascii="Arial" w:hAnsi="Arial" w:cs="Arial"/>
          <w:sz w:val="15"/>
          <w:szCs w:val="15"/>
        </w:rPr>
        <w:t>., </w:t>
      </w:r>
      <w:hyperlink r:id="rId4" w:anchor="2.2.1.2.4.2.3" w:history="1">
        <w:r w:rsidRPr="00C20F3B">
          <w:rPr>
            <w:rFonts w:ascii="Arial" w:hAnsi="Arial" w:cs="Arial"/>
            <w:sz w:val="15"/>
            <w:szCs w:val="15"/>
          </w:rPr>
          <w:t>2.2.1.2.4.2.3</w:t>
        </w:r>
      </w:hyperlink>
      <w:r w:rsidRPr="00C20F3B">
        <w:rPr>
          <w:rFonts w:ascii="Arial" w:hAnsi="Arial" w:cs="Arial"/>
          <w:sz w:val="15"/>
          <w:szCs w:val="15"/>
        </w:rPr>
        <w:t>., </w:t>
      </w:r>
      <w:hyperlink r:id="rId5" w:anchor="2.2.1.2.4.2.4" w:history="1">
        <w:r w:rsidRPr="00C20F3B">
          <w:rPr>
            <w:rFonts w:ascii="Arial" w:hAnsi="Arial" w:cs="Arial"/>
            <w:sz w:val="15"/>
            <w:szCs w:val="15"/>
          </w:rPr>
          <w:t>2.2.1.2.4.2.4</w:t>
        </w:r>
      </w:hyperlink>
      <w:r w:rsidRPr="00C20F3B">
        <w:rPr>
          <w:rFonts w:ascii="Arial" w:hAnsi="Arial" w:cs="Arial"/>
          <w:sz w:val="15"/>
          <w:szCs w:val="15"/>
        </w:rPr>
        <w:t>., </w:t>
      </w:r>
      <w:hyperlink r:id="rId6" w:anchor="2.2.1.2.1.2.2" w:history="1">
        <w:r w:rsidRPr="00C20F3B">
          <w:rPr>
            <w:rFonts w:ascii="Arial" w:hAnsi="Arial" w:cs="Arial"/>
            <w:sz w:val="15"/>
            <w:szCs w:val="15"/>
          </w:rPr>
          <w:t>2.2.1.2.1.2.2</w:t>
        </w:r>
      </w:hyperlink>
      <w:r w:rsidRPr="00C20F3B">
        <w:rPr>
          <w:rFonts w:ascii="Arial" w:hAnsi="Arial" w:cs="Arial"/>
          <w:sz w:val="15"/>
          <w:szCs w:val="15"/>
        </w:rPr>
        <w:t>. y </w:t>
      </w:r>
      <w:hyperlink r:id="rId7" w:anchor="2.2.1.2.4.2.8" w:history="1">
        <w:r w:rsidRPr="00C20F3B">
          <w:rPr>
            <w:rFonts w:ascii="Arial" w:hAnsi="Arial" w:cs="Arial"/>
            <w:sz w:val="15"/>
            <w:szCs w:val="15"/>
          </w:rPr>
          <w:t>2.2.1.2.4.2.8</w:t>
        </w:r>
      </w:hyperlink>
      <w:r w:rsidRPr="00C20F3B">
        <w:rPr>
          <w:rFonts w:ascii="Arial" w:hAnsi="Arial" w:cs="Arial"/>
          <w:sz w:val="15"/>
          <w:szCs w:val="15"/>
        </w:rPr>
        <w:t>.; adiciona los artículos </w:t>
      </w:r>
      <w:hyperlink r:id="rId8" w:anchor="2.2.1.2.4.2.14" w:history="1">
        <w:r w:rsidRPr="00C20F3B">
          <w:rPr>
            <w:rFonts w:ascii="Arial" w:hAnsi="Arial" w:cs="Arial"/>
            <w:sz w:val="15"/>
            <w:szCs w:val="15"/>
          </w:rPr>
          <w:t>2.2.1.2.4.2.14</w:t>
        </w:r>
      </w:hyperlink>
      <w:r w:rsidRPr="00C20F3B">
        <w:rPr>
          <w:rFonts w:ascii="Arial" w:hAnsi="Arial" w:cs="Arial"/>
          <w:sz w:val="15"/>
          <w:szCs w:val="15"/>
        </w:rPr>
        <w:t>., </w:t>
      </w:r>
      <w:hyperlink r:id="rId9" w:anchor="2.2.1.2.4.2.15" w:history="1">
        <w:r w:rsidRPr="00C20F3B">
          <w:rPr>
            <w:rFonts w:ascii="Arial" w:hAnsi="Arial" w:cs="Arial"/>
            <w:sz w:val="15"/>
            <w:szCs w:val="15"/>
          </w:rPr>
          <w:t>2.2.1.2.4.2.15</w:t>
        </w:r>
      </w:hyperlink>
      <w:r w:rsidRPr="00C20F3B">
        <w:rPr>
          <w:rFonts w:ascii="Arial" w:hAnsi="Arial" w:cs="Arial"/>
          <w:sz w:val="15"/>
          <w:szCs w:val="15"/>
        </w:rPr>
        <w:t>., </w:t>
      </w:r>
      <w:hyperlink r:id="rId10" w:anchor="2.2.1.2.4.2.16" w:history="1">
        <w:r w:rsidRPr="00C20F3B">
          <w:rPr>
            <w:rFonts w:ascii="Arial" w:hAnsi="Arial" w:cs="Arial"/>
            <w:sz w:val="15"/>
            <w:szCs w:val="15"/>
          </w:rPr>
          <w:t>2.2.1.2.4.2.16</w:t>
        </w:r>
      </w:hyperlink>
      <w:r w:rsidRPr="00C20F3B">
        <w:rPr>
          <w:rFonts w:ascii="Arial" w:hAnsi="Arial" w:cs="Arial"/>
          <w:sz w:val="15"/>
          <w:szCs w:val="15"/>
        </w:rPr>
        <w:t>., </w:t>
      </w:r>
      <w:hyperlink r:id="rId11" w:anchor="2.2.1.2.4.2.17" w:history="1">
        <w:r w:rsidRPr="00C20F3B">
          <w:rPr>
            <w:rFonts w:ascii="Arial" w:hAnsi="Arial" w:cs="Arial"/>
            <w:sz w:val="15"/>
            <w:szCs w:val="15"/>
          </w:rPr>
          <w:t>2.2.1.2.4.2.17</w:t>
        </w:r>
      </w:hyperlink>
      <w:r w:rsidRPr="00C20F3B">
        <w:rPr>
          <w:rFonts w:ascii="Arial" w:hAnsi="Arial" w:cs="Arial"/>
          <w:sz w:val="15"/>
          <w:szCs w:val="15"/>
        </w:rPr>
        <w:t>.y </w:t>
      </w:r>
      <w:hyperlink r:id="rId12" w:anchor="2.2.1.2.4.2.18" w:history="1">
        <w:r w:rsidRPr="00C20F3B">
          <w:rPr>
            <w:rFonts w:ascii="Arial" w:hAnsi="Arial" w:cs="Arial"/>
            <w:sz w:val="15"/>
            <w:szCs w:val="15"/>
          </w:rPr>
          <w:t>2.2.1.2.4.2.18</w:t>
        </w:r>
      </w:hyperlink>
      <w:r w:rsidRPr="00C20F3B">
        <w:rPr>
          <w:rFonts w:ascii="Arial" w:hAnsi="Arial" w:cs="Arial"/>
          <w:sz w:val="15"/>
          <w:szCs w:val="15"/>
        </w:rPr>
        <w:t>.;adiciona un </w:t>
      </w:r>
      <w:hyperlink r:id="rId13" w:anchor="2.2.1.2.3.1.9.p" w:history="1">
        <w:r w:rsidRPr="00C20F3B">
          <w:rPr>
            <w:rFonts w:ascii="Arial" w:hAnsi="Arial" w:cs="Arial"/>
            <w:sz w:val="15"/>
            <w:szCs w:val="15"/>
          </w:rPr>
          <w:t>parágrafo </w:t>
        </w:r>
      </w:hyperlink>
      <w:r w:rsidRPr="00C20F3B">
        <w:rPr>
          <w:rFonts w:ascii="Arial" w:hAnsi="Arial" w:cs="Arial"/>
          <w:sz w:val="15"/>
          <w:szCs w:val="15"/>
        </w:rPr>
        <w:t>al artículo </w:t>
      </w:r>
      <w:hyperlink r:id="rId14" w:anchor="2.2.1.2.3.1.9" w:history="1">
        <w:r w:rsidRPr="00C20F3B">
          <w:rPr>
            <w:rFonts w:ascii="Arial" w:hAnsi="Arial" w:cs="Arial"/>
            <w:sz w:val="15"/>
            <w:szCs w:val="15"/>
          </w:rPr>
          <w:t>2.2.1.2.3.1.9</w:t>
        </w:r>
      </w:hyperlink>
      <w:r w:rsidRPr="00C20F3B">
        <w:rPr>
          <w:rFonts w:ascii="Arial" w:hAnsi="Arial" w:cs="Arial"/>
          <w:sz w:val="15"/>
          <w:szCs w:val="15"/>
        </w:rPr>
        <w:t>; y deroga el artículo </w:t>
      </w:r>
      <w:hyperlink r:id="rId15" w:anchor="2.2.1.1.2.2.9" w:history="1">
        <w:r w:rsidRPr="00C20F3B">
          <w:rPr>
            <w:rFonts w:ascii="Arial" w:hAnsi="Arial" w:cs="Arial"/>
            <w:sz w:val="15"/>
            <w:szCs w:val="15"/>
          </w:rPr>
          <w:t>2.2.1.1.2.2.9</w:t>
        </w:r>
      </w:hyperlink>
      <w:r w:rsidRPr="00C20F3B">
        <w:rPr>
          <w:rFonts w:ascii="Arial" w:hAnsi="Arial" w:cs="Arial"/>
          <w:sz w:val="15"/>
          <w:szCs w:val="15"/>
        </w:rPr>
        <w:t>. del Decreto 1082 de 2015, Único Reglamentario del Sector Administrativo de Planeación Nacional.</w:t>
      </w:r>
    </w:p>
    <w:p w14:paraId="3BEBF0A8" w14:textId="77777777" w:rsidR="00F01003" w:rsidRPr="00C20F3B" w:rsidRDefault="00F01003" w:rsidP="00F01003">
      <w:pPr>
        <w:pStyle w:val="NormalWeb"/>
        <w:shd w:val="clear" w:color="auto" w:fill="FFFFFF"/>
        <w:spacing w:after="0" w:line="240" w:lineRule="auto"/>
        <w:ind w:firstLine="708"/>
        <w:jc w:val="both"/>
        <w:rPr>
          <w:rFonts w:ascii="Arial" w:hAnsi="Arial" w:cs="Arial"/>
          <w:sz w:val="15"/>
          <w:szCs w:val="15"/>
        </w:rPr>
      </w:pPr>
      <w:r w:rsidRPr="00C20F3B">
        <w:rPr>
          <w:rFonts w:ascii="Arial" w:hAnsi="Arial" w:cs="Arial"/>
          <w:sz w:val="15"/>
          <w:szCs w:val="15"/>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57C239D" w14:textId="77777777" w:rsidR="00F01003" w:rsidRPr="00C20F3B" w:rsidRDefault="00F01003" w:rsidP="00F01003">
      <w:pPr>
        <w:pStyle w:val="NormalWeb"/>
        <w:shd w:val="clear" w:color="auto" w:fill="FFFFFF"/>
        <w:spacing w:after="0" w:line="240" w:lineRule="auto"/>
        <w:ind w:firstLine="708"/>
        <w:jc w:val="both"/>
        <w:rPr>
          <w:rFonts w:ascii="Arial" w:hAnsi="Arial" w:cs="Arial"/>
          <w:sz w:val="15"/>
          <w:szCs w:val="15"/>
        </w:rPr>
      </w:pPr>
      <w:r w:rsidRPr="00C20F3B">
        <w:rPr>
          <w:rFonts w:ascii="Arial" w:hAnsi="Arial" w:cs="Arial"/>
          <w:sz w:val="15"/>
          <w:szCs w:val="15"/>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666F1BEB" w14:textId="77777777" w:rsidR="00F01003" w:rsidRPr="00C20F3B" w:rsidRDefault="00F01003" w:rsidP="00F01003">
      <w:pPr>
        <w:pStyle w:val="Textonotapie"/>
        <w:jc w:val="both"/>
        <w:rPr>
          <w:rFonts w:ascii="Arial" w:hAnsi="Arial" w:cs="Arial"/>
          <w:sz w:val="15"/>
          <w:szCs w:val="15"/>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70B"/>
    <w:rsid w:val="000433CA"/>
    <w:rsid w:val="00060D2B"/>
    <w:rsid w:val="00065A05"/>
    <w:rsid w:val="00083334"/>
    <w:rsid w:val="000956CF"/>
    <w:rsid w:val="000A683E"/>
    <w:rsid w:val="000C5B0E"/>
    <w:rsid w:val="00111CD9"/>
    <w:rsid w:val="0011595A"/>
    <w:rsid w:val="001220C5"/>
    <w:rsid w:val="001267F7"/>
    <w:rsid w:val="00127233"/>
    <w:rsid w:val="00130999"/>
    <w:rsid w:val="00164D81"/>
    <w:rsid w:val="001812E8"/>
    <w:rsid w:val="001A1011"/>
    <w:rsid w:val="001A48D0"/>
    <w:rsid w:val="001A54FC"/>
    <w:rsid w:val="001A6659"/>
    <w:rsid w:val="001C273C"/>
    <w:rsid w:val="001F6F88"/>
    <w:rsid w:val="002653C1"/>
    <w:rsid w:val="0026611D"/>
    <w:rsid w:val="002751F2"/>
    <w:rsid w:val="002951A0"/>
    <w:rsid w:val="00295428"/>
    <w:rsid w:val="002A64FD"/>
    <w:rsid w:val="002C3B94"/>
    <w:rsid w:val="002F06C5"/>
    <w:rsid w:val="002F0839"/>
    <w:rsid w:val="00301469"/>
    <w:rsid w:val="003062C8"/>
    <w:rsid w:val="00306EE1"/>
    <w:rsid w:val="00310B9B"/>
    <w:rsid w:val="0036461C"/>
    <w:rsid w:val="00367884"/>
    <w:rsid w:val="0037490E"/>
    <w:rsid w:val="00384A13"/>
    <w:rsid w:val="00392212"/>
    <w:rsid w:val="0039439C"/>
    <w:rsid w:val="003B69E7"/>
    <w:rsid w:val="003C013B"/>
    <w:rsid w:val="003C11B1"/>
    <w:rsid w:val="003D0F4D"/>
    <w:rsid w:val="003F249B"/>
    <w:rsid w:val="003F58A1"/>
    <w:rsid w:val="00402E8E"/>
    <w:rsid w:val="00410DD6"/>
    <w:rsid w:val="004134C9"/>
    <w:rsid w:val="00421742"/>
    <w:rsid w:val="0043138C"/>
    <w:rsid w:val="004502B6"/>
    <w:rsid w:val="00462A59"/>
    <w:rsid w:val="00466F4F"/>
    <w:rsid w:val="00472977"/>
    <w:rsid w:val="004A1847"/>
    <w:rsid w:val="004B6B0E"/>
    <w:rsid w:val="004C5448"/>
    <w:rsid w:val="004C5ECC"/>
    <w:rsid w:val="004D25B3"/>
    <w:rsid w:val="004F3552"/>
    <w:rsid w:val="0050662D"/>
    <w:rsid w:val="00511405"/>
    <w:rsid w:val="00517435"/>
    <w:rsid w:val="00526E9D"/>
    <w:rsid w:val="00532E1F"/>
    <w:rsid w:val="00537DAD"/>
    <w:rsid w:val="00547856"/>
    <w:rsid w:val="00547A74"/>
    <w:rsid w:val="00554448"/>
    <w:rsid w:val="005566E8"/>
    <w:rsid w:val="005746AB"/>
    <w:rsid w:val="0059357F"/>
    <w:rsid w:val="005A1130"/>
    <w:rsid w:val="005D65C8"/>
    <w:rsid w:val="00600FDA"/>
    <w:rsid w:val="00601D0D"/>
    <w:rsid w:val="006122E3"/>
    <w:rsid w:val="006219F8"/>
    <w:rsid w:val="00621CD4"/>
    <w:rsid w:val="0063226F"/>
    <w:rsid w:val="00650143"/>
    <w:rsid w:val="00681FDB"/>
    <w:rsid w:val="006A7DAD"/>
    <w:rsid w:val="006C2E53"/>
    <w:rsid w:val="006D70BA"/>
    <w:rsid w:val="0073507C"/>
    <w:rsid w:val="00755A01"/>
    <w:rsid w:val="007566FE"/>
    <w:rsid w:val="0076726F"/>
    <w:rsid w:val="0077144B"/>
    <w:rsid w:val="00793403"/>
    <w:rsid w:val="007C0CDF"/>
    <w:rsid w:val="007D1770"/>
    <w:rsid w:val="007E1759"/>
    <w:rsid w:val="007E2A2F"/>
    <w:rsid w:val="007F2B7C"/>
    <w:rsid w:val="00811651"/>
    <w:rsid w:val="00814443"/>
    <w:rsid w:val="00815F0A"/>
    <w:rsid w:val="00816394"/>
    <w:rsid w:val="00820F5B"/>
    <w:rsid w:val="00832556"/>
    <w:rsid w:val="00833452"/>
    <w:rsid w:val="008614E5"/>
    <w:rsid w:val="008678EB"/>
    <w:rsid w:val="00875894"/>
    <w:rsid w:val="00881C10"/>
    <w:rsid w:val="008832B5"/>
    <w:rsid w:val="00883CBA"/>
    <w:rsid w:val="00890411"/>
    <w:rsid w:val="008B2596"/>
    <w:rsid w:val="008B549C"/>
    <w:rsid w:val="008B7EEA"/>
    <w:rsid w:val="008C1673"/>
    <w:rsid w:val="008D5C70"/>
    <w:rsid w:val="009025AF"/>
    <w:rsid w:val="00904F23"/>
    <w:rsid w:val="00906B3C"/>
    <w:rsid w:val="00926E7E"/>
    <w:rsid w:val="0095342C"/>
    <w:rsid w:val="00970B68"/>
    <w:rsid w:val="009C5F5A"/>
    <w:rsid w:val="009E3BCC"/>
    <w:rsid w:val="009F33F2"/>
    <w:rsid w:val="009F3A7C"/>
    <w:rsid w:val="009F6C77"/>
    <w:rsid w:val="00A07532"/>
    <w:rsid w:val="00A078E4"/>
    <w:rsid w:val="00A1085C"/>
    <w:rsid w:val="00A118F0"/>
    <w:rsid w:val="00A309E2"/>
    <w:rsid w:val="00A4034D"/>
    <w:rsid w:val="00A5243F"/>
    <w:rsid w:val="00A8066E"/>
    <w:rsid w:val="00A820B7"/>
    <w:rsid w:val="00AA4B8A"/>
    <w:rsid w:val="00AA6BF7"/>
    <w:rsid w:val="00AA6CCF"/>
    <w:rsid w:val="00AB0274"/>
    <w:rsid w:val="00AB3A9F"/>
    <w:rsid w:val="00AC0F7A"/>
    <w:rsid w:val="00AC2C77"/>
    <w:rsid w:val="00AD7F8B"/>
    <w:rsid w:val="00AE6F60"/>
    <w:rsid w:val="00B01ED6"/>
    <w:rsid w:val="00B06D09"/>
    <w:rsid w:val="00B11F35"/>
    <w:rsid w:val="00B15041"/>
    <w:rsid w:val="00B20684"/>
    <w:rsid w:val="00B20901"/>
    <w:rsid w:val="00B23BD5"/>
    <w:rsid w:val="00B43B4D"/>
    <w:rsid w:val="00B54C9F"/>
    <w:rsid w:val="00B771A9"/>
    <w:rsid w:val="00B809BB"/>
    <w:rsid w:val="00B8248A"/>
    <w:rsid w:val="00BB7726"/>
    <w:rsid w:val="00BC550D"/>
    <w:rsid w:val="00BF6DF5"/>
    <w:rsid w:val="00C20555"/>
    <w:rsid w:val="00C2329E"/>
    <w:rsid w:val="00C263F6"/>
    <w:rsid w:val="00C30461"/>
    <w:rsid w:val="00C5392E"/>
    <w:rsid w:val="00C71747"/>
    <w:rsid w:val="00C754BE"/>
    <w:rsid w:val="00C87572"/>
    <w:rsid w:val="00C91D4E"/>
    <w:rsid w:val="00C9405D"/>
    <w:rsid w:val="00CC1B26"/>
    <w:rsid w:val="00CD1338"/>
    <w:rsid w:val="00CD284F"/>
    <w:rsid w:val="00CF23AA"/>
    <w:rsid w:val="00D01921"/>
    <w:rsid w:val="00D22EE4"/>
    <w:rsid w:val="00D6628C"/>
    <w:rsid w:val="00D752B7"/>
    <w:rsid w:val="00DA1854"/>
    <w:rsid w:val="00DB0887"/>
    <w:rsid w:val="00DC4107"/>
    <w:rsid w:val="00DD0DA7"/>
    <w:rsid w:val="00DF1E43"/>
    <w:rsid w:val="00E06035"/>
    <w:rsid w:val="00E20894"/>
    <w:rsid w:val="00E26B7C"/>
    <w:rsid w:val="00E33A6F"/>
    <w:rsid w:val="00E34A84"/>
    <w:rsid w:val="00E565FE"/>
    <w:rsid w:val="00E66502"/>
    <w:rsid w:val="00E724E9"/>
    <w:rsid w:val="00EA29EF"/>
    <w:rsid w:val="00EA3003"/>
    <w:rsid w:val="00EB3C91"/>
    <w:rsid w:val="00EB66DA"/>
    <w:rsid w:val="00EB7D2A"/>
    <w:rsid w:val="00EC1D53"/>
    <w:rsid w:val="00EC6282"/>
    <w:rsid w:val="00ED4F70"/>
    <w:rsid w:val="00EE7503"/>
    <w:rsid w:val="00EF500D"/>
    <w:rsid w:val="00F01003"/>
    <w:rsid w:val="00F2580D"/>
    <w:rsid w:val="00F31C50"/>
    <w:rsid w:val="00F605F2"/>
    <w:rsid w:val="00F751B0"/>
    <w:rsid w:val="00F76AFC"/>
    <w:rsid w:val="00F8319B"/>
    <w:rsid w:val="00FA5516"/>
    <w:rsid w:val="00FB2FD4"/>
    <w:rsid w:val="00FB34B7"/>
    <w:rsid w:val="00FB71C2"/>
    <w:rsid w:val="00FD18CC"/>
    <w:rsid w:val="00FD6F73"/>
    <w:rsid w:val="00FE0320"/>
    <w:rsid w:val="00FE53A0"/>
    <w:rsid w:val="00FE6200"/>
    <w:rsid w:val="0FADF8AF"/>
    <w:rsid w:val="114DB4D9"/>
    <w:rsid w:val="1CC63BF5"/>
    <w:rsid w:val="28A881FE"/>
    <w:rsid w:val="2F9951DC"/>
    <w:rsid w:val="3EA2D60F"/>
    <w:rsid w:val="47F383B9"/>
    <w:rsid w:val="51AC5A12"/>
    <w:rsid w:val="67DCE012"/>
    <w:rsid w:val="6B8BD3AC"/>
    <w:rsid w:val="7160D41A"/>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003"/>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E724E9"/>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E724E9"/>
    <w:pPr>
      <w:spacing w:line="240" w:lineRule="exact"/>
    </w:pPr>
    <w:rPr>
      <w:vertAlign w:val="superscript"/>
    </w:rPr>
  </w:style>
  <w:style w:type="character" w:customStyle="1" w:styleId="NormalWebCar">
    <w:name w:val="Normal (Web) Car"/>
    <w:link w:val="NormalWeb"/>
    <w:uiPriority w:val="99"/>
    <w:rsid w:val="00E724E9"/>
    <w:rPr>
      <w:rFonts w:ascii="Times New Roman" w:hAnsi="Times New Roman" w:cs="Times New Roman"/>
      <w:sz w:val="24"/>
      <w:szCs w:val="24"/>
    </w:rPr>
  </w:style>
  <w:style w:type="character" w:customStyle="1" w:styleId="Hipervnculo1">
    <w:name w:val="Hipervínculo1"/>
    <w:basedOn w:val="Fuentedeprrafopredeter"/>
    <w:uiPriority w:val="99"/>
    <w:unhideWhenUsed/>
    <w:rsid w:val="00E724E9"/>
    <w:rPr>
      <w:color w:val="F2F2F2"/>
      <w:u w:val="single"/>
    </w:rPr>
  </w:style>
  <w:style w:type="paragraph" w:customStyle="1" w:styleId="Car1">
    <w:name w:val="Car1"/>
    <w:basedOn w:val="Normal"/>
    <w:next w:val="Textonotapie"/>
    <w:uiPriority w:val="99"/>
    <w:unhideWhenUsed/>
    <w:qFormat/>
    <w:rsid w:val="00E724E9"/>
    <w:pPr>
      <w:spacing w:after="0" w:line="240" w:lineRule="auto"/>
    </w:pPr>
    <w:rPr>
      <w:sz w:val="20"/>
      <w:szCs w:val="20"/>
      <w:lang w:val="es-MX"/>
    </w:rPr>
  </w:style>
  <w:style w:type="character" w:styleId="Hipervnculo">
    <w:name w:val="Hyperlink"/>
    <w:basedOn w:val="Fuentedeprrafopredeter"/>
    <w:uiPriority w:val="99"/>
    <w:unhideWhenUsed/>
    <w:rsid w:val="00532E1F"/>
    <w:rPr>
      <w:color w:val="0563C1" w:themeColor="hyperlink"/>
      <w:u w:val="single"/>
    </w:rPr>
  </w:style>
  <w:style w:type="character" w:styleId="Mencinsinresolver">
    <w:name w:val="Unresolved Mention"/>
    <w:basedOn w:val="Fuentedeprrafopredeter"/>
    <w:uiPriority w:val="99"/>
    <w:semiHidden/>
    <w:unhideWhenUsed/>
    <w:rsid w:val="00532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2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aramirez77@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microsoft.com/office/2006/documentManagement/types"/>
    <ds:schemaRef ds:uri="a6cb9e4b-f1d1-4245-83ec-6cad768d538a"/>
    <ds:schemaRef ds:uri="http://purl.org/dc/terms/"/>
    <ds:schemaRef ds:uri="http://www.w3.org/XML/1998/namespace"/>
    <ds:schemaRef ds:uri="http://schemas.openxmlformats.org/package/2006/metadata/core-properties"/>
    <ds:schemaRef ds:uri="9d85dbaf-23eb-4e57-a637-93dcacc8b1a1"/>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922876F-6016-4D27-8965-4407EBB7F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4662</Words>
  <Characters>25646</Characters>
  <Application>Microsoft Office Word</Application>
  <DocSecurity>0</DocSecurity>
  <Lines>213</Lines>
  <Paragraphs>60</Paragraphs>
  <ScaleCrop>false</ScaleCrop>
  <Company/>
  <LinksUpToDate>false</LinksUpToDate>
  <CharactersWithSpaces>30248</CharactersWithSpaces>
  <SharedDoc>false</SharedDoc>
  <HLinks>
    <vt:vector size="96" baseType="variant">
      <vt:variant>
        <vt:i4>3932187</vt:i4>
      </vt:variant>
      <vt:variant>
        <vt:i4>0</vt:i4>
      </vt:variant>
      <vt:variant>
        <vt:i4>0</vt:i4>
      </vt:variant>
      <vt:variant>
        <vt:i4>5</vt:i4>
      </vt:variant>
      <vt:variant>
        <vt:lpwstr>mailto:aaramirez77@hotmail.com</vt:lpwstr>
      </vt:variant>
      <vt:variant>
        <vt:lpwstr/>
      </vt:variant>
      <vt:variant>
        <vt:i4>2555940</vt:i4>
      </vt:variant>
      <vt:variant>
        <vt:i4>42</vt:i4>
      </vt:variant>
      <vt:variant>
        <vt:i4>0</vt:i4>
      </vt:variant>
      <vt:variant>
        <vt:i4>5</vt:i4>
      </vt:variant>
      <vt:variant>
        <vt:lpwstr>https://www.funcionpublica.gov.co/eva/gestornormativo/norma.php?i=77653</vt:lpwstr>
      </vt:variant>
      <vt:variant>
        <vt:lpwstr>2.2.1.1.2.2.9</vt:lpwstr>
      </vt:variant>
      <vt:variant>
        <vt:i4>2555941</vt:i4>
      </vt:variant>
      <vt:variant>
        <vt:i4>39</vt:i4>
      </vt:variant>
      <vt:variant>
        <vt:i4>0</vt:i4>
      </vt:variant>
      <vt:variant>
        <vt:i4>5</vt:i4>
      </vt:variant>
      <vt:variant>
        <vt:lpwstr>https://www.funcionpublica.gov.co/eva/gestornormativo/norma.php?i=77653</vt:lpwstr>
      </vt:variant>
      <vt:variant>
        <vt:lpwstr>2.2.1.2.3.1.9</vt:lpwstr>
      </vt:variant>
      <vt:variant>
        <vt:i4>589852</vt:i4>
      </vt:variant>
      <vt:variant>
        <vt:i4>36</vt:i4>
      </vt:variant>
      <vt:variant>
        <vt:i4>0</vt:i4>
      </vt:variant>
      <vt:variant>
        <vt:i4>5</vt:i4>
      </vt:variant>
      <vt:variant>
        <vt:lpwstr>https://www.funcionpublica.gov.co/eva/gestornormativo/norma.php?i=77653</vt:lpwstr>
      </vt:variant>
      <vt:variant>
        <vt:lpwstr>2.2.1.2.3.1.9.p</vt:lpwstr>
      </vt:variant>
      <vt:variant>
        <vt:i4>2031632</vt:i4>
      </vt:variant>
      <vt:variant>
        <vt:i4>33</vt:i4>
      </vt:variant>
      <vt:variant>
        <vt:i4>0</vt:i4>
      </vt:variant>
      <vt:variant>
        <vt:i4>5</vt:i4>
      </vt:variant>
      <vt:variant>
        <vt:lpwstr>https://www.funcionpublica.gov.co/eva/gestornormativo/norma.php?i=77653</vt:lpwstr>
      </vt:variant>
      <vt:variant>
        <vt:lpwstr>2.2.1.2.4.2.18</vt:lpwstr>
      </vt:variant>
      <vt:variant>
        <vt:i4>1048592</vt:i4>
      </vt:variant>
      <vt:variant>
        <vt:i4>30</vt:i4>
      </vt:variant>
      <vt:variant>
        <vt:i4>0</vt:i4>
      </vt:variant>
      <vt:variant>
        <vt:i4>5</vt:i4>
      </vt:variant>
      <vt:variant>
        <vt:lpwstr>https://www.funcionpublica.gov.co/eva/gestornormativo/norma.php?i=77653</vt:lpwstr>
      </vt:variant>
      <vt:variant>
        <vt:lpwstr>2.2.1.2.4.2.17</vt:lpwstr>
      </vt:variant>
      <vt:variant>
        <vt:i4>1114128</vt:i4>
      </vt:variant>
      <vt:variant>
        <vt:i4>27</vt:i4>
      </vt:variant>
      <vt:variant>
        <vt:i4>0</vt:i4>
      </vt:variant>
      <vt:variant>
        <vt:i4>5</vt:i4>
      </vt:variant>
      <vt:variant>
        <vt:lpwstr>https://www.funcionpublica.gov.co/eva/gestornormativo/norma.php?i=77653</vt:lpwstr>
      </vt:variant>
      <vt:variant>
        <vt:lpwstr>2.2.1.2.4.2.16</vt:lpwstr>
      </vt:variant>
      <vt:variant>
        <vt:i4>1179664</vt:i4>
      </vt:variant>
      <vt:variant>
        <vt:i4>24</vt:i4>
      </vt:variant>
      <vt:variant>
        <vt:i4>0</vt:i4>
      </vt:variant>
      <vt:variant>
        <vt:i4>5</vt:i4>
      </vt:variant>
      <vt:variant>
        <vt:lpwstr>https://www.funcionpublica.gov.co/eva/gestornormativo/norma.php?i=77653</vt:lpwstr>
      </vt:variant>
      <vt:variant>
        <vt:lpwstr>2.2.1.2.4.2.15</vt:lpwstr>
      </vt:variant>
      <vt:variant>
        <vt:i4>1245200</vt:i4>
      </vt:variant>
      <vt:variant>
        <vt:i4>21</vt:i4>
      </vt:variant>
      <vt:variant>
        <vt:i4>0</vt:i4>
      </vt:variant>
      <vt:variant>
        <vt:i4>5</vt:i4>
      </vt:variant>
      <vt:variant>
        <vt:lpwstr>https://www.funcionpublica.gov.co/eva/gestornormativo/norma.php?i=77653</vt:lpwstr>
      </vt:variant>
      <vt:variant>
        <vt:lpwstr>2.2.1.2.4.2.14</vt:lpwstr>
      </vt:variant>
      <vt:variant>
        <vt:i4>2555937</vt:i4>
      </vt:variant>
      <vt:variant>
        <vt:i4>18</vt:i4>
      </vt:variant>
      <vt:variant>
        <vt:i4>0</vt:i4>
      </vt:variant>
      <vt:variant>
        <vt:i4>5</vt:i4>
      </vt:variant>
      <vt:variant>
        <vt:lpwstr>https://www.funcionpublica.gov.co/eva/gestornormativo/norma.php?i=77653</vt:lpwstr>
      </vt:variant>
      <vt:variant>
        <vt:lpwstr>2.2.1.2.4.2.8</vt:lpwstr>
      </vt:variant>
      <vt:variant>
        <vt:i4>2555940</vt:i4>
      </vt:variant>
      <vt:variant>
        <vt:i4>15</vt:i4>
      </vt:variant>
      <vt:variant>
        <vt:i4>0</vt:i4>
      </vt:variant>
      <vt:variant>
        <vt:i4>5</vt:i4>
      </vt:variant>
      <vt:variant>
        <vt:lpwstr>https://www.funcionpublica.gov.co/eva/gestornormativo/norma.php?i=77653</vt:lpwstr>
      </vt:variant>
      <vt:variant>
        <vt:lpwstr>2.2.1.2.1.2.2</vt:lpwstr>
      </vt:variant>
      <vt:variant>
        <vt:i4>2555937</vt:i4>
      </vt:variant>
      <vt:variant>
        <vt:i4>12</vt:i4>
      </vt:variant>
      <vt:variant>
        <vt:i4>0</vt:i4>
      </vt:variant>
      <vt:variant>
        <vt:i4>5</vt:i4>
      </vt:variant>
      <vt:variant>
        <vt:lpwstr>https://www.funcionpublica.gov.co/eva/gestornormativo/norma.php?i=77653</vt:lpwstr>
      </vt:variant>
      <vt:variant>
        <vt:lpwstr>2.2.1.2.4.2.4</vt:lpwstr>
      </vt:variant>
      <vt:variant>
        <vt:i4>2555937</vt:i4>
      </vt:variant>
      <vt:variant>
        <vt:i4>9</vt:i4>
      </vt:variant>
      <vt:variant>
        <vt:i4>0</vt:i4>
      </vt:variant>
      <vt:variant>
        <vt:i4>5</vt:i4>
      </vt:variant>
      <vt:variant>
        <vt:lpwstr>https://www.funcionpublica.gov.co/eva/gestornormativo/norma.php?i=77653</vt:lpwstr>
      </vt:variant>
      <vt:variant>
        <vt:lpwstr>2.2.1.2.4.2.3</vt:lpwstr>
      </vt:variant>
      <vt:variant>
        <vt:i4>2555937</vt:i4>
      </vt:variant>
      <vt:variant>
        <vt:i4>6</vt:i4>
      </vt:variant>
      <vt:variant>
        <vt:i4>0</vt:i4>
      </vt:variant>
      <vt:variant>
        <vt:i4>5</vt:i4>
      </vt:variant>
      <vt:variant>
        <vt:lpwstr>https://www.funcionpublica.gov.co/eva/gestornormativo/norma.php?i=77653</vt:lpwstr>
      </vt:variant>
      <vt:variant>
        <vt:lpwstr>2.2.1.2.4.2.2</vt:lpwstr>
      </vt:variant>
      <vt:variant>
        <vt:i4>2555939</vt:i4>
      </vt:variant>
      <vt:variant>
        <vt:i4>3</vt:i4>
      </vt:variant>
      <vt:variant>
        <vt:i4>0</vt:i4>
      </vt:variant>
      <vt:variant>
        <vt:i4>5</vt:i4>
      </vt:variant>
      <vt:variant>
        <vt:lpwstr>https://www.funcionpublica.gov.co/eva/gestornormativo/norma.php?i=77653</vt:lpwstr>
      </vt:variant>
      <vt:variant>
        <vt:lpwstr>2.2.1.2.1.5.1</vt:lpwstr>
      </vt: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cp:lastPrinted>2023-03-01T15:35:00Z</cp:lastPrinted>
  <dcterms:created xsi:type="dcterms:W3CDTF">2023-03-23T13:32:00Z</dcterms:created>
  <dcterms:modified xsi:type="dcterms:W3CDTF">2023-03-23T13:32:00Z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