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DEF54" w14:textId="77777777" w:rsidR="00AF5A93" w:rsidRDefault="00AF5A93" w:rsidP="0079427D">
      <w:pPr>
        <w:spacing w:after="0"/>
        <w:rPr>
          <w:rFonts w:ascii="Verdana" w:hAnsi="Verdana"/>
        </w:rPr>
      </w:pPr>
    </w:p>
    <w:p w14:paraId="5DC52A4E" w14:textId="77777777" w:rsidR="00AF5A93" w:rsidRPr="00667F20" w:rsidRDefault="00AF5A93" w:rsidP="00AF5A93">
      <w:pPr>
        <w:spacing w:before="120" w:after="120" w:line="276" w:lineRule="auto"/>
        <w:jc w:val="both"/>
        <w:rPr>
          <w:rFonts w:ascii="Verdana" w:eastAsia="Times New Roman" w:hAnsi="Verdana" w:cs="Arial"/>
          <w:b/>
          <w:bCs/>
          <w:color w:val="000000" w:themeColor="text1"/>
          <w:sz w:val="21"/>
          <w:szCs w:val="21"/>
          <w:shd w:val="clear" w:color="auto" w:fill="FFFFFF"/>
          <w:lang w:val="es-ES" w:eastAsia="es-MX"/>
        </w:rPr>
      </w:pPr>
      <w:r w:rsidRPr="00667F20">
        <w:rPr>
          <w:rFonts w:ascii="Verdana" w:eastAsia="Times New Roman" w:hAnsi="Verdana" w:cs="Arial"/>
          <w:b/>
          <w:bCs/>
          <w:color w:val="000000" w:themeColor="text1"/>
          <w:sz w:val="21"/>
          <w:szCs w:val="21"/>
          <w:shd w:val="clear" w:color="auto" w:fill="FFFFFF"/>
          <w:lang w:val="es-ES" w:eastAsia="es-MX"/>
        </w:rPr>
        <w:t>SUSPENSIÓN DE CONTRATO - Concepto</w:t>
      </w:r>
    </w:p>
    <w:p w14:paraId="6FF4DAB5" w14:textId="77777777" w:rsidR="00AF5A93" w:rsidRPr="00667F20" w:rsidRDefault="00AF5A93" w:rsidP="00AF5A93">
      <w:pPr>
        <w:spacing w:before="120" w:after="120" w:line="276" w:lineRule="auto"/>
        <w:jc w:val="both"/>
        <w:rPr>
          <w:rFonts w:ascii="Verdana" w:eastAsia="Times New Roman" w:hAnsi="Verdana" w:cs="Arial"/>
          <w:color w:val="000000"/>
          <w:sz w:val="21"/>
          <w:szCs w:val="21"/>
          <w:lang w:val="es-ES_tradnl" w:eastAsia="es-ES_tradnl"/>
        </w:rPr>
      </w:pPr>
      <w:r w:rsidRPr="00667F20">
        <w:rPr>
          <w:rFonts w:ascii="Verdana" w:eastAsia="Times New Roman" w:hAnsi="Verdana" w:cs="Arial"/>
          <w:color w:val="000000"/>
          <w:sz w:val="21"/>
          <w:szCs w:val="21"/>
          <w:lang w:val="es-ES_tradnl" w:eastAsia="es-ES_tradnl"/>
        </w:rPr>
        <w:t xml:space="preserve">La </w:t>
      </w:r>
      <w:r w:rsidRPr="00667F20">
        <w:rPr>
          <w:rFonts w:ascii="Verdana" w:eastAsia="Times New Roman" w:hAnsi="Verdana" w:cs="Arial"/>
          <w:i/>
          <w:iCs/>
          <w:color w:val="000000"/>
          <w:sz w:val="21"/>
          <w:szCs w:val="21"/>
          <w:lang w:val="es-ES_tradnl" w:eastAsia="es-ES_tradnl"/>
        </w:rPr>
        <w:t>suspensión,</w:t>
      </w:r>
      <w:r w:rsidRPr="00667F20">
        <w:rPr>
          <w:rFonts w:ascii="Verdana" w:eastAsia="Times New Roman" w:hAnsi="Verdana" w:cs="Arial"/>
          <w:color w:val="000000"/>
          <w:sz w:val="21"/>
          <w:szCs w:val="21"/>
          <w:lang w:val="es-ES_tradnl" w:eastAsia="es-ES_tradnl"/>
        </w:rPr>
        <w:t xml:space="preserve"> es la medida por la cual se acuerda el cese provisional de la ejecución del contrato, por la ocurrencia de circunstancias que lo impiden o lo dificultan.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667F20">
        <w:rPr>
          <w:rFonts w:ascii="Verdana" w:eastAsia="Times New Roman" w:hAnsi="Verdana" w:cs="Arial"/>
          <w:i/>
          <w:iCs/>
          <w:color w:val="000000"/>
          <w:sz w:val="21"/>
          <w:szCs w:val="21"/>
          <w:lang w:val="es-ES_tradnl" w:eastAsia="es-ES_tradnl"/>
        </w:rPr>
        <w:t>de facto</w:t>
      </w:r>
      <w:r w:rsidRPr="00667F20">
        <w:rPr>
          <w:rFonts w:ascii="Verdana" w:eastAsia="Times New Roman" w:hAnsi="Verdana" w:cs="Arial"/>
          <w:color w:val="000000"/>
          <w:sz w:val="21"/>
          <w:szCs w:val="21"/>
          <w:lang w:val="es-ES_tradnl" w:eastAsia="es-ES_tradnl"/>
        </w:rPr>
        <w:t>,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 es decir, por factores que constituyan razones de fuerza mayor, caso fortuito o que procura la satisfacción del interés público.</w:t>
      </w:r>
    </w:p>
    <w:p w14:paraId="1F7752EF" w14:textId="77777777" w:rsidR="00AF5A93" w:rsidRPr="00667F20" w:rsidRDefault="00AF5A93" w:rsidP="00AF5A93">
      <w:pPr>
        <w:spacing w:after="0"/>
        <w:rPr>
          <w:rFonts w:ascii="Verdana" w:eastAsia="Times New Roman" w:hAnsi="Verdana" w:cs="Arial"/>
          <w:b/>
          <w:bCs/>
          <w:color w:val="000000" w:themeColor="text1"/>
          <w:sz w:val="21"/>
          <w:szCs w:val="21"/>
          <w:shd w:val="clear" w:color="auto" w:fill="FFFFFF"/>
          <w:lang w:val="es-ES_tradnl" w:eastAsia="es-MX"/>
        </w:rPr>
      </w:pPr>
    </w:p>
    <w:p w14:paraId="3FB553FF" w14:textId="77777777" w:rsidR="00AF5A93" w:rsidRPr="00667F20" w:rsidRDefault="00AF5A93" w:rsidP="00AF5A93">
      <w:pPr>
        <w:spacing w:after="0"/>
        <w:rPr>
          <w:rFonts w:ascii="Verdana" w:eastAsia="Times New Roman" w:hAnsi="Verdana" w:cs="Arial"/>
          <w:color w:val="000000" w:themeColor="text1"/>
          <w:sz w:val="21"/>
          <w:szCs w:val="21"/>
          <w:shd w:val="clear" w:color="auto" w:fill="FFFFFF"/>
          <w:lang w:val="es-ES" w:eastAsia="es-MX"/>
        </w:rPr>
      </w:pPr>
      <w:r w:rsidRPr="00667F20">
        <w:rPr>
          <w:rFonts w:ascii="Verdana" w:eastAsia="Times New Roman" w:hAnsi="Verdana" w:cs="Arial"/>
          <w:b/>
          <w:bCs/>
          <w:color w:val="000000" w:themeColor="text1"/>
          <w:sz w:val="21"/>
          <w:szCs w:val="21"/>
          <w:shd w:val="clear" w:color="auto" w:fill="FFFFFF"/>
          <w:lang w:val="es-ES" w:eastAsia="es-MX"/>
        </w:rPr>
        <w:t xml:space="preserve">SUSPENSIÓN DE CONTRATO – Requisitos Mínimos  </w:t>
      </w:r>
    </w:p>
    <w:p w14:paraId="2A6427D1" w14:textId="77777777" w:rsidR="00AF5A93" w:rsidRPr="00667F20" w:rsidRDefault="00AF5A93" w:rsidP="00AF5A93">
      <w:pPr>
        <w:spacing w:after="0"/>
        <w:jc w:val="both"/>
        <w:rPr>
          <w:rFonts w:ascii="Verdana" w:hAnsi="Verdana"/>
          <w:sz w:val="21"/>
          <w:szCs w:val="21"/>
        </w:rPr>
      </w:pPr>
    </w:p>
    <w:p w14:paraId="5F585005" w14:textId="77777777" w:rsidR="00AF5A93" w:rsidRPr="00667F20" w:rsidRDefault="00AF5A93" w:rsidP="00AF5A93">
      <w:pPr>
        <w:spacing w:after="0"/>
        <w:jc w:val="both"/>
        <w:rPr>
          <w:rFonts w:ascii="Verdana" w:eastAsia="Times New Roman" w:hAnsi="Verdana" w:cs="Arial"/>
          <w:color w:val="000000" w:themeColor="text1"/>
          <w:sz w:val="21"/>
          <w:szCs w:val="21"/>
          <w:shd w:val="clear" w:color="auto" w:fill="FFFFFF"/>
          <w:lang w:val="es-ES" w:eastAsia="es-MX"/>
        </w:rPr>
      </w:pPr>
      <w:r w:rsidRPr="00667F20">
        <w:rPr>
          <w:rFonts w:ascii="Verdana" w:hAnsi="Verdana"/>
          <w:sz w:val="21"/>
          <w:szCs w:val="21"/>
        </w:rPr>
        <w:t>Dado el interés público que gravita sobre la contratación estatal, las partes contratantes deberán en cada caso concreto: (i) ponderar que la naturaleza del contrato estatal admita la posibilidad de suspenderlo, (</w:t>
      </w:r>
      <w:proofErr w:type="spellStart"/>
      <w:r w:rsidRPr="00667F20">
        <w:rPr>
          <w:rFonts w:ascii="Verdana" w:hAnsi="Verdana"/>
          <w:sz w:val="21"/>
          <w:szCs w:val="21"/>
        </w:rPr>
        <w:t>ii</w:t>
      </w:r>
      <w:proofErr w:type="spellEnd"/>
      <w:r w:rsidRPr="00667F20">
        <w:rPr>
          <w:rFonts w:ascii="Verdana" w:hAnsi="Verdana"/>
          <w:sz w:val="21"/>
          <w:szCs w:val="21"/>
        </w:rPr>
        <w:t>) verificar que lo que se pacte no esté prohibido expresamente en la ley ni resulte contrario al orden público y a las buenas costumbres, (</w:t>
      </w:r>
      <w:proofErr w:type="spellStart"/>
      <w:r w:rsidRPr="00667F20">
        <w:rPr>
          <w:rFonts w:ascii="Verdana" w:hAnsi="Verdana"/>
          <w:sz w:val="21"/>
          <w:szCs w:val="21"/>
        </w:rPr>
        <w:t>iii</w:t>
      </w:r>
      <w:proofErr w:type="spellEnd"/>
      <w:r w:rsidRPr="00667F20">
        <w:rPr>
          <w:rFonts w:ascii="Verdana" w:hAnsi="Verdana"/>
          <w:sz w:val="21"/>
          <w:szCs w:val="21"/>
        </w:rPr>
        <w:t>) garantizar que la suspensión tenga por objeto la consecución del interés general y el cumplimiento de los fines estatales; y (</w:t>
      </w:r>
      <w:proofErr w:type="spellStart"/>
      <w:r w:rsidRPr="00667F20">
        <w:rPr>
          <w:rFonts w:ascii="Verdana" w:hAnsi="Verdana"/>
          <w:sz w:val="21"/>
          <w:szCs w:val="21"/>
        </w:rPr>
        <w:t>iv</w:t>
      </w:r>
      <w:proofErr w:type="spellEnd"/>
      <w:r w:rsidRPr="00667F20">
        <w:rPr>
          <w:rFonts w:ascii="Verdana" w:hAnsi="Verdana"/>
          <w:sz w:val="21"/>
          <w:szCs w:val="21"/>
        </w:rPr>
        <w:t>) demostrar y justificar que su ocurrencia obedece a razones de fuerza mayor, o caso fortuito, o que procura la satisfacción del interés público. (…) La suspensión temporal del contrato estatal requiere la concurrencia de la voluntad de los contratistas, lo que excluye la posibilidad de declararla unilateralmente. Lo anterior sin perjuicio de la suspensión de “facto”, en la cual no hay acuerdos, sino que únicamente se dejan constancias escritas de la ocurrencia de los eventos que impiden continuar con el cumplimiento de la obligación pactada.</w:t>
      </w:r>
    </w:p>
    <w:p w14:paraId="5A02BA83" w14:textId="77777777" w:rsidR="00AF5A93" w:rsidRPr="00667F20" w:rsidRDefault="00AF5A93" w:rsidP="00AF5A93">
      <w:pPr>
        <w:spacing w:after="0"/>
        <w:rPr>
          <w:rFonts w:ascii="Verdana" w:eastAsia="Times New Roman" w:hAnsi="Verdana" w:cs="Arial"/>
          <w:color w:val="000000" w:themeColor="text1"/>
          <w:sz w:val="21"/>
          <w:szCs w:val="21"/>
          <w:shd w:val="clear" w:color="auto" w:fill="FFFFFF"/>
          <w:lang w:val="es-ES" w:eastAsia="es-MX"/>
        </w:rPr>
      </w:pPr>
    </w:p>
    <w:p w14:paraId="35BA269B" w14:textId="77777777" w:rsidR="00AF5A93" w:rsidRPr="00667F20" w:rsidRDefault="00AF5A93" w:rsidP="00AF5A93">
      <w:pPr>
        <w:spacing w:after="0"/>
        <w:rPr>
          <w:rFonts w:ascii="Verdana" w:eastAsia="Times New Roman" w:hAnsi="Verdana" w:cs="Arial"/>
          <w:b/>
          <w:bCs/>
          <w:color w:val="000000" w:themeColor="text1"/>
          <w:sz w:val="21"/>
          <w:szCs w:val="21"/>
          <w:shd w:val="clear" w:color="auto" w:fill="FFFFFF"/>
          <w:lang w:val="es-ES" w:eastAsia="es-MX"/>
        </w:rPr>
      </w:pPr>
      <w:r w:rsidRPr="00667F20">
        <w:rPr>
          <w:rFonts w:ascii="Verdana" w:eastAsia="Times New Roman" w:hAnsi="Verdana" w:cs="Arial"/>
          <w:b/>
          <w:bCs/>
          <w:color w:val="000000" w:themeColor="text1"/>
          <w:sz w:val="21"/>
          <w:szCs w:val="21"/>
          <w:shd w:val="clear" w:color="auto" w:fill="FFFFFF"/>
          <w:lang w:val="es-ES" w:eastAsia="es-MX"/>
        </w:rPr>
        <w:t xml:space="preserve">SUSPENSIÓN DE CONTRATO – Efectos en el </w:t>
      </w:r>
      <w:r>
        <w:rPr>
          <w:rFonts w:ascii="Verdana" w:eastAsia="Times New Roman" w:hAnsi="Verdana" w:cs="Arial"/>
          <w:b/>
          <w:bCs/>
          <w:color w:val="000000" w:themeColor="text1"/>
          <w:sz w:val="21"/>
          <w:szCs w:val="21"/>
          <w:shd w:val="clear" w:color="auto" w:fill="FFFFFF"/>
          <w:lang w:val="es-ES" w:eastAsia="es-MX"/>
        </w:rPr>
        <w:t>p</w:t>
      </w:r>
      <w:r w:rsidRPr="00667F20">
        <w:rPr>
          <w:rFonts w:ascii="Verdana" w:eastAsia="Times New Roman" w:hAnsi="Verdana" w:cs="Arial"/>
          <w:b/>
          <w:bCs/>
          <w:color w:val="000000" w:themeColor="text1"/>
          <w:sz w:val="21"/>
          <w:szCs w:val="21"/>
          <w:shd w:val="clear" w:color="auto" w:fill="FFFFFF"/>
          <w:lang w:val="es-ES" w:eastAsia="es-MX"/>
        </w:rPr>
        <w:t xml:space="preserve">lazo de </w:t>
      </w:r>
      <w:r>
        <w:rPr>
          <w:rFonts w:ascii="Verdana" w:eastAsia="Times New Roman" w:hAnsi="Verdana" w:cs="Arial"/>
          <w:b/>
          <w:bCs/>
          <w:color w:val="000000" w:themeColor="text1"/>
          <w:sz w:val="21"/>
          <w:szCs w:val="21"/>
          <w:shd w:val="clear" w:color="auto" w:fill="FFFFFF"/>
          <w:lang w:val="es-ES" w:eastAsia="es-MX"/>
        </w:rPr>
        <w:t>e</w:t>
      </w:r>
      <w:r w:rsidRPr="00667F20">
        <w:rPr>
          <w:rFonts w:ascii="Verdana" w:eastAsia="Times New Roman" w:hAnsi="Verdana" w:cs="Arial"/>
          <w:b/>
          <w:bCs/>
          <w:color w:val="000000" w:themeColor="text1"/>
          <w:sz w:val="21"/>
          <w:szCs w:val="21"/>
          <w:shd w:val="clear" w:color="auto" w:fill="FFFFFF"/>
          <w:lang w:val="es-ES" w:eastAsia="es-MX"/>
        </w:rPr>
        <w:t xml:space="preserve">jecución </w:t>
      </w:r>
      <w:r>
        <w:rPr>
          <w:rFonts w:ascii="Verdana" w:eastAsia="Times New Roman" w:hAnsi="Verdana" w:cs="Arial"/>
          <w:b/>
          <w:bCs/>
          <w:color w:val="000000" w:themeColor="text1"/>
          <w:sz w:val="21"/>
          <w:szCs w:val="21"/>
          <w:shd w:val="clear" w:color="auto" w:fill="FFFFFF"/>
          <w:lang w:val="es-ES" w:eastAsia="es-MX"/>
        </w:rPr>
        <w:t>p</w:t>
      </w:r>
      <w:r w:rsidRPr="00667F20">
        <w:rPr>
          <w:rFonts w:ascii="Verdana" w:eastAsia="Times New Roman" w:hAnsi="Verdana" w:cs="Arial"/>
          <w:b/>
          <w:bCs/>
          <w:color w:val="000000" w:themeColor="text1"/>
          <w:sz w:val="21"/>
          <w:szCs w:val="21"/>
          <w:shd w:val="clear" w:color="auto" w:fill="FFFFFF"/>
          <w:lang w:val="es-ES" w:eastAsia="es-MX"/>
        </w:rPr>
        <w:t>actado</w:t>
      </w:r>
    </w:p>
    <w:p w14:paraId="4167DB2E" w14:textId="77777777" w:rsidR="00AF5A93" w:rsidRPr="00667F20" w:rsidRDefault="00AF5A93" w:rsidP="00AF5A93">
      <w:pPr>
        <w:spacing w:after="0"/>
        <w:rPr>
          <w:rFonts w:ascii="Verdana" w:eastAsia="Times New Roman" w:hAnsi="Verdana" w:cs="Arial"/>
          <w:b/>
          <w:bCs/>
          <w:color w:val="000000" w:themeColor="text1"/>
          <w:sz w:val="21"/>
          <w:szCs w:val="21"/>
          <w:shd w:val="clear" w:color="auto" w:fill="FFFFFF"/>
          <w:lang w:val="es-ES" w:eastAsia="es-MX"/>
        </w:rPr>
      </w:pPr>
    </w:p>
    <w:p w14:paraId="48504981" w14:textId="77777777" w:rsidR="00AF5A93" w:rsidRPr="00667F20" w:rsidRDefault="00AF5A93" w:rsidP="00AF5A93">
      <w:pPr>
        <w:spacing w:after="0"/>
        <w:jc w:val="both"/>
        <w:rPr>
          <w:rFonts w:ascii="Verdana" w:hAnsi="Verdana"/>
          <w:sz w:val="21"/>
          <w:szCs w:val="21"/>
        </w:rPr>
      </w:pPr>
      <w:r w:rsidRPr="00667F20">
        <w:rPr>
          <w:rFonts w:ascii="Verdana" w:hAnsi="Verdana"/>
          <w:sz w:val="21"/>
          <w:szCs w:val="21"/>
        </w:rPr>
        <w:t xml:space="preserve">Se ha establecido </w:t>
      </w:r>
      <w:proofErr w:type="gramStart"/>
      <w:r w:rsidRPr="00667F20">
        <w:rPr>
          <w:rFonts w:ascii="Verdana" w:hAnsi="Verdana"/>
          <w:sz w:val="21"/>
          <w:szCs w:val="21"/>
        </w:rPr>
        <w:t>que</w:t>
      </w:r>
      <w:proofErr w:type="gramEnd"/>
      <w:r w:rsidRPr="00667F20">
        <w:rPr>
          <w:rFonts w:ascii="Verdana" w:hAnsi="Verdana"/>
          <w:sz w:val="21"/>
          <w:szCs w:val="21"/>
        </w:rPr>
        <w:t xml:space="preserve"> durante la ocurrencia de la suspensión acordada por las partes en la ejecución del contrato, ante la imposibilidad de ejecutarlo, no se hacen exigibles determinadas obligaciones y el plazo que los contratantes tienen para cumplirlas no transcurre. Esto es que el tiempo “se detiene”, y en consecuencia no se contabiliza. Por consiguiente, al reanudar el cumplimiento de las obligaciones, el </w:t>
      </w:r>
      <w:r w:rsidRPr="00667F20">
        <w:rPr>
          <w:rFonts w:ascii="Verdana" w:hAnsi="Verdana"/>
          <w:sz w:val="21"/>
          <w:szCs w:val="21"/>
        </w:rPr>
        <w:lastRenderedPageBreak/>
        <w:t>vencimiento del plazo que inicialmente estipularon las partes se posterga por un término igual al que duró la parálisis del negocio jurídico, lo que implica que se altera o desplaza la fecha de finalización del contrato. Ahora bien, debe advertirse que la forma en que la suspensión incide en el plazo de la ejecución del contrato no es modificándolo pues en estricto sentido este continúa siendo el mismo que inicialmente se pactó. Lo que ocurre es que, por el efecto mismo de la figura, se deja de contabilizar el tiempo y reinicia el conteo una vez termina la suspensión del contrato. Lo que cambia entonces no es el plazo, sino el término o la fecha determinada en el contrato para el cumplimiento de la obligación principal.</w:t>
      </w:r>
    </w:p>
    <w:p w14:paraId="4B20B2E1" w14:textId="77777777" w:rsidR="00AF5A93" w:rsidRDefault="00AF5A93" w:rsidP="00AF5A93">
      <w:pPr>
        <w:spacing w:after="0"/>
        <w:rPr>
          <w:rFonts w:ascii="Verdana" w:hAnsi="Verdana"/>
        </w:rPr>
      </w:pPr>
    </w:p>
    <w:p w14:paraId="2AA6480E" w14:textId="77777777" w:rsidR="00AF5A93" w:rsidRDefault="00AF5A93" w:rsidP="0079427D">
      <w:pPr>
        <w:spacing w:after="0"/>
        <w:rPr>
          <w:rFonts w:ascii="Verdana" w:hAnsi="Verdana"/>
        </w:rPr>
      </w:pPr>
    </w:p>
    <w:p w14:paraId="1CB87995" w14:textId="77777777" w:rsidR="00AF5A93" w:rsidRDefault="00AF5A93" w:rsidP="0079427D">
      <w:pPr>
        <w:spacing w:after="0"/>
        <w:rPr>
          <w:rFonts w:ascii="Verdana" w:hAnsi="Verdana"/>
        </w:rPr>
      </w:pPr>
    </w:p>
    <w:p w14:paraId="31F376E0" w14:textId="77777777" w:rsidR="00AF5A93" w:rsidRDefault="00AF5A93" w:rsidP="0079427D">
      <w:pPr>
        <w:spacing w:after="0"/>
        <w:rPr>
          <w:rFonts w:ascii="Verdana" w:hAnsi="Verdana"/>
        </w:rPr>
      </w:pPr>
    </w:p>
    <w:p w14:paraId="5C2E3647" w14:textId="77777777" w:rsidR="00AF5A93" w:rsidRDefault="00AF5A93" w:rsidP="0079427D">
      <w:pPr>
        <w:spacing w:after="0"/>
        <w:rPr>
          <w:rFonts w:ascii="Verdana" w:hAnsi="Verdana"/>
        </w:rPr>
      </w:pPr>
    </w:p>
    <w:p w14:paraId="36E92CF5" w14:textId="77777777" w:rsidR="00AF5A93" w:rsidRDefault="00AF5A93" w:rsidP="0079427D">
      <w:pPr>
        <w:spacing w:after="0"/>
        <w:rPr>
          <w:rFonts w:ascii="Verdana" w:hAnsi="Verdana"/>
        </w:rPr>
      </w:pPr>
    </w:p>
    <w:p w14:paraId="6B3E2D3F" w14:textId="77777777" w:rsidR="00AF5A93" w:rsidRDefault="00AF5A93" w:rsidP="0079427D">
      <w:pPr>
        <w:spacing w:after="0"/>
        <w:rPr>
          <w:rFonts w:ascii="Verdana" w:hAnsi="Verdana"/>
        </w:rPr>
      </w:pPr>
    </w:p>
    <w:p w14:paraId="721687FC" w14:textId="77777777" w:rsidR="00AF5A93" w:rsidRDefault="00AF5A93" w:rsidP="0079427D">
      <w:pPr>
        <w:spacing w:after="0"/>
        <w:rPr>
          <w:rFonts w:ascii="Verdana" w:hAnsi="Verdana"/>
        </w:rPr>
      </w:pPr>
    </w:p>
    <w:p w14:paraId="6FF67AD0" w14:textId="77777777" w:rsidR="00AF5A93" w:rsidRDefault="00AF5A93" w:rsidP="0079427D">
      <w:pPr>
        <w:spacing w:after="0"/>
        <w:rPr>
          <w:rFonts w:ascii="Verdana" w:hAnsi="Verdana"/>
        </w:rPr>
      </w:pPr>
    </w:p>
    <w:p w14:paraId="6D6C4E54" w14:textId="77777777" w:rsidR="00AF5A93" w:rsidRDefault="00AF5A93" w:rsidP="0079427D">
      <w:pPr>
        <w:spacing w:after="0"/>
        <w:rPr>
          <w:rFonts w:ascii="Verdana" w:hAnsi="Verdana"/>
        </w:rPr>
      </w:pPr>
    </w:p>
    <w:p w14:paraId="4CD67486" w14:textId="77777777" w:rsidR="00AF5A93" w:rsidRDefault="00AF5A93" w:rsidP="0079427D">
      <w:pPr>
        <w:spacing w:after="0"/>
        <w:rPr>
          <w:rFonts w:ascii="Verdana" w:hAnsi="Verdana"/>
        </w:rPr>
      </w:pPr>
    </w:p>
    <w:p w14:paraId="0FE8AD8A" w14:textId="77777777" w:rsidR="00AF5A93" w:rsidRDefault="00AF5A93" w:rsidP="0079427D">
      <w:pPr>
        <w:spacing w:after="0"/>
        <w:rPr>
          <w:rFonts w:ascii="Verdana" w:hAnsi="Verdana"/>
        </w:rPr>
      </w:pPr>
    </w:p>
    <w:p w14:paraId="451E6CCE" w14:textId="77777777" w:rsidR="00AF5A93" w:rsidRDefault="00AF5A93" w:rsidP="0079427D">
      <w:pPr>
        <w:spacing w:after="0"/>
        <w:rPr>
          <w:rFonts w:ascii="Verdana" w:hAnsi="Verdana"/>
        </w:rPr>
      </w:pPr>
    </w:p>
    <w:p w14:paraId="487B458D" w14:textId="77777777" w:rsidR="00AF5A93" w:rsidRDefault="00AF5A93" w:rsidP="0079427D">
      <w:pPr>
        <w:spacing w:after="0"/>
        <w:rPr>
          <w:rFonts w:ascii="Verdana" w:hAnsi="Verdana"/>
        </w:rPr>
      </w:pPr>
    </w:p>
    <w:p w14:paraId="66F65866" w14:textId="77777777" w:rsidR="00AF5A93" w:rsidRDefault="00AF5A93" w:rsidP="0079427D">
      <w:pPr>
        <w:spacing w:after="0"/>
        <w:rPr>
          <w:rFonts w:ascii="Verdana" w:hAnsi="Verdana"/>
        </w:rPr>
      </w:pPr>
    </w:p>
    <w:p w14:paraId="003E1036" w14:textId="77777777" w:rsidR="00AF5A93" w:rsidRDefault="00AF5A93" w:rsidP="0079427D">
      <w:pPr>
        <w:spacing w:after="0"/>
        <w:rPr>
          <w:rFonts w:ascii="Verdana" w:hAnsi="Verdana"/>
        </w:rPr>
      </w:pPr>
    </w:p>
    <w:p w14:paraId="7AFCF15F" w14:textId="77777777" w:rsidR="00AF5A93" w:rsidRDefault="00AF5A93" w:rsidP="0079427D">
      <w:pPr>
        <w:spacing w:after="0"/>
        <w:rPr>
          <w:rFonts w:ascii="Verdana" w:hAnsi="Verdana"/>
        </w:rPr>
      </w:pPr>
    </w:p>
    <w:p w14:paraId="1AC656E3" w14:textId="77777777" w:rsidR="00AF5A93" w:rsidRDefault="00AF5A93" w:rsidP="0079427D">
      <w:pPr>
        <w:spacing w:after="0"/>
        <w:rPr>
          <w:rFonts w:ascii="Verdana" w:hAnsi="Verdana"/>
        </w:rPr>
      </w:pPr>
    </w:p>
    <w:p w14:paraId="0A67EF40" w14:textId="77777777" w:rsidR="00AF5A93" w:rsidRDefault="00AF5A93" w:rsidP="0079427D">
      <w:pPr>
        <w:spacing w:after="0"/>
        <w:rPr>
          <w:rFonts w:ascii="Verdana" w:hAnsi="Verdana"/>
        </w:rPr>
      </w:pPr>
    </w:p>
    <w:p w14:paraId="76F83502" w14:textId="77777777" w:rsidR="00AF5A93" w:rsidRDefault="00AF5A93" w:rsidP="0079427D">
      <w:pPr>
        <w:spacing w:after="0"/>
        <w:rPr>
          <w:rFonts w:ascii="Verdana" w:hAnsi="Verdana"/>
        </w:rPr>
      </w:pPr>
    </w:p>
    <w:p w14:paraId="1C9A466A" w14:textId="77777777" w:rsidR="00AF5A93" w:rsidRDefault="00AF5A93" w:rsidP="0079427D">
      <w:pPr>
        <w:spacing w:after="0"/>
        <w:rPr>
          <w:rFonts w:ascii="Verdana" w:hAnsi="Verdana"/>
        </w:rPr>
      </w:pPr>
    </w:p>
    <w:p w14:paraId="477ECC59" w14:textId="77777777" w:rsidR="00AF5A93" w:rsidRDefault="00AF5A93" w:rsidP="0079427D">
      <w:pPr>
        <w:spacing w:after="0"/>
        <w:rPr>
          <w:rFonts w:ascii="Verdana" w:hAnsi="Verdana"/>
        </w:rPr>
      </w:pPr>
    </w:p>
    <w:p w14:paraId="4A6DDF52" w14:textId="77777777" w:rsidR="00AF5A93" w:rsidRDefault="00AF5A93" w:rsidP="0079427D">
      <w:pPr>
        <w:spacing w:after="0"/>
        <w:rPr>
          <w:rFonts w:ascii="Verdana" w:hAnsi="Verdana"/>
        </w:rPr>
      </w:pPr>
    </w:p>
    <w:p w14:paraId="1BCA7266" w14:textId="77777777" w:rsidR="00AF5A93" w:rsidRDefault="00AF5A93" w:rsidP="0079427D">
      <w:pPr>
        <w:spacing w:after="0"/>
        <w:rPr>
          <w:rFonts w:ascii="Verdana" w:hAnsi="Verdana"/>
        </w:rPr>
      </w:pPr>
    </w:p>
    <w:p w14:paraId="729A7806" w14:textId="77777777" w:rsidR="00AF5A93" w:rsidRDefault="00AF5A93" w:rsidP="0079427D">
      <w:pPr>
        <w:spacing w:after="0"/>
        <w:rPr>
          <w:rFonts w:ascii="Verdana" w:hAnsi="Verdana"/>
        </w:rPr>
      </w:pPr>
    </w:p>
    <w:p w14:paraId="0A1E6A87" w14:textId="77777777" w:rsidR="00AF5A93" w:rsidRDefault="00AF5A93" w:rsidP="0079427D">
      <w:pPr>
        <w:spacing w:after="0"/>
        <w:rPr>
          <w:rFonts w:ascii="Verdana" w:hAnsi="Verdana"/>
        </w:rPr>
      </w:pPr>
    </w:p>
    <w:p w14:paraId="57CA7640" w14:textId="77777777" w:rsidR="00AF5A93" w:rsidRDefault="00AF5A93" w:rsidP="0079427D">
      <w:pPr>
        <w:spacing w:after="0"/>
        <w:rPr>
          <w:rFonts w:ascii="Verdana" w:hAnsi="Verdana"/>
        </w:rPr>
      </w:pPr>
    </w:p>
    <w:p w14:paraId="3B95AE8D" w14:textId="77777777" w:rsidR="00AF5A93" w:rsidRDefault="00AF5A93" w:rsidP="0079427D">
      <w:pPr>
        <w:spacing w:after="0"/>
        <w:rPr>
          <w:rFonts w:ascii="Verdana" w:hAnsi="Verdana"/>
        </w:rPr>
      </w:pPr>
    </w:p>
    <w:p w14:paraId="19FECE85" w14:textId="77777777" w:rsidR="00AF5A93" w:rsidRDefault="00AF5A93" w:rsidP="0079427D">
      <w:pPr>
        <w:spacing w:after="0"/>
        <w:rPr>
          <w:rFonts w:ascii="Verdana" w:hAnsi="Verdana"/>
        </w:rPr>
      </w:pPr>
    </w:p>
    <w:p w14:paraId="0681BEE3" w14:textId="77777777" w:rsidR="00AF5A93" w:rsidRDefault="00AF5A93" w:rsidP="0079427D">
      <w:pPr>
        <w:spacing w:after="0"/>
        <w:rPr>
          <w:rFonts w:ascii="Verdana" w:hAnsi="Verdana"/>
        </w:rPr>
      </w:pPr>
    </w:p>
    <w:p w14:paraId="1388806E" w14:textId="77777777" w:rsidR="00AF5A93" w:rsidRDefault="00AF5A93" w:rsidP="0079427D">
      <w:pPr>
        <w:spacing w:after="0"/>
        <w:rPr>
          <w:rFonts w:ascii="Verdana" w:hAnsi="Verdana"/>
        </w:rPr>
      </w:pPr>
    </w:p>
    <w:p w14:paraId="67A5DE9D" w14:textId="77777777" w:rsidR="00AF5A93" w:rsidRDefault="00AF5A93" w:rsidP="0079427D">
      <w:pPr>
        <w:spacing w:after="0"/>
        <w:rPr>
          <w:rFonts w:ascii="Verdana" w:hAnsi="Verdana"/>
        </w:rPr>
      </w:pPr>
    </w:p>
    <w:p w14:paraId="3FA4D51D" w14:textId="77777777" w:rsidR="00AF5A93" w:rsidRDefault="00AF5A93" w:rsidP="0079427D">
      <w:pPr>
        <w:spacing w:after="0"/>
        <w:rPr>
          <w:rFonts w:ascii="Verdana" w:hAnsi="Verdana"/>
        </w:rPr>
      </w:pPr>
    </w:p>
    <w:p w14:paraId="1C7507F9" w14:textId="77777777" w:rsidR="00AF5A93" w:rsidRDefault="00AF5A93" w:rsidP="0079427D">
      <w:pPr>
        <w:spacing w:after="0"/>
        <w:rPr>
          <w:rFonts w:ascii="Verdana" w:hAnsi="Verdana"/>
        </w:rPr>
      </w:pPr>
    </w:p>
    <w:p w14:paraId="6416E7BD" w14:textId="77777777" w:rsidR="00AF5A93" w:rsidRDefault="00AF5A93" w:rsidP="0079427D">
      <w:pPr>
        <w:spacing w:after="0"/>
        <w:rPr>
          <w:rFonts w:ascii="Verdana" w:hAnsi="Verdana"/>
        </w:rPr>
      </w:pPr>
    </w:p>
    <w:p w14:paraId="21B0DCD3" w14:textId="50BFAB2E" w:rsidR="0079427D" w:rsidRPr="0011467B" w:rsidRDefault="0079427D" w:rsidP="0079427D">
      <w:pPr>
        <w:spacing w:after="0"/>
        <w:rPr>
          <w:rFonts w:ascii="Verdana" w:hAnsi="Verdana"/>
        </w:rPr>
      </w:pPr>
      <w:r w:rsidRPr="0011467B">
        <w:rPr>
          <w:rFonts w:ascii="Verdana" w:hAnsi="Verdana"/>
        </w:rPr>
        <w:t>Bogotá D.C., [Día] [</w:t>
      </w:r>
      <w:proofErr w:type="spellStart"/>
      <w:r w:rsidRPr="0011467B">
        <w:rPr>
          <w:rFonts w:ascii="Verdana" w:hAnsi="Verdana"/>
        </w:rPr>
        <w:t>Mes.NombreCapitalizado</w:t>
      </w:r>
      <w:proofErr w:type="spellEnd"/>
      <w:r w:rsidRPr="0011467B">
        <w:rPr>
          <w:rFonts w:ascii="Verdana" w:hAnsi="Verdana"/>
        </w:rPr>
        <w:t>] [Año]</w:t>
      </w:r>
    </w:p>
    <w:p w14:paraId="19143D4E" w14:textId="7FF7E2D3" w:rsidR="0079427D" w:rsidRPr="0011467B" w:rsidRDefault="00AF5A93" w:rsidP="0079427D">
      <w:pPr>
        <w:spacing w:after="0" w:line="276" w:lineRule="auto"/>
        <w:rPr>
          <w:rFonts w:ascii="Verdana" w:hAnsi="Verdana"/>
        </w:rPr>
      </w:pPr>
      <w:r w:rsidRPr="00AF5A93">
        <w:rPr>
          <w:rFonts w:ascii="Verdana" w:eastAsia="Calibri" w:hAnsi="Verdana" w:cs="Arial"/>
          <w:lang w:val="es-ES" w:eastAsia="es-ES"/>
        </w:rPr>
        <w:drawing>
          <wp:anchor distT="0" distB="0" distL="114300" distR="114300" simplePos="0" relativeHeight="251658240" behindDoc="1" locked="0" layoutInCell="1" allowOverlap="1" wp14:anchorId="0FEDDF80" wp14:editId="6125CD81">
            <wp:simplePos x="0" y="0"/>
            <wp:positionH relativeFrom="column">
              <wp:posOffset>3148966</wp:posOffset>
            </wp:positionH>
            <wp:positionV relativeFrom="paragraph">
              <wp:posOffset>168910</wp:posOffset>
            </wp:positionV>
            <wp:extent cx="2057400" cy="600891"/>
            <wp:effectExtent l="0" t="0" r="0" b="8890"/>
            <wp:wrapNone/>
            <wp:docPr id="109309746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097469"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072278" cy="605236"/>
                    </a:xfrm>
                    <a:prstGeom prst="rect">
                      <a:avLst/>
                    </a:prstGeom>
                  </pic:spPr>
                </pic:pic>
              </a:graphicData>
            </a:graphic>
            <wp14:sizeRelH relativeFrom="page">
              <wp14:pctWidth>0</wp14:pctWidth>
            </wp14:sizeRelH>
            <wp14:sizeRelV relativeFrom="page">
              <wp14:pctHeight>0</wp14:pctHeight>
            </wp14:sizeRelV>
          </wp:anchor>
        </w:drawing>
      </w:r>
    </w:p>
    <w:p w14:paraId="3880AB15" w14:textId="6E28DE46" w:rsidR="0079427D" w:rsidRPr="00337637" w:rsidRDefault="0079427D" w:rsidP="0079427D">
      <w:pPr>
        <w:spacing w:after="0" w:line="276" w:lineRule="auto"/>
        <w:rPr>
          <w:rFonts w:ascii="Verdana" w:eastAsia="Calibri" w:hAnsi="Verdana" w:cs="Arial"/>
        </w:rPr>
      </w:pPr>
    </w:p>
    <w:p w14:paraId="3B3024FD" w14:textId="5F1D3E9C" w:rsidR="0079427D" w:rsidRPr="0011467B" w:rsidRDefault="0079427D" w:rsidP="0079427D">
      <w:pPr>
        <w:spacing w:after="0" w:line="240" w:lineRule="auto"/>
        <w:jc w:val="both"/>
        <w:rPr>
          <w:rFonts w:ascii="Verdana" w:eastAsia="Calibri" w:hAnsi="Verdana" w:cs="Arial"/>
          <w:lang w:val="es-ES" w:eastAsia="es-ES"/>
        </w:rPr>
      </w:pPr>
      <w:bookmarkStart w:id="0" w:name="_Hlk184283081"/>
      <w:r w:rsidRPr="0011467B">
        <w:rPr>
          <w:rFonts w:ascii="Verdana" w:eastAsia="Calibri" w:hAnsi="Verdana" w:cs="Arial"/>
          <w:lang w:val="es-ES" w:eastAsia="es-ES"/>
        </w:rPr>
        <w:t>Señor</w:t>
      </w:r>
      <w:r w:rsidR="00AF5A93" w:rsidRPr="00AF5A93">
        <w:rPr>
          <w:noProof/>
        </w:rPr>
        <w:t xml:space="preserve"> </w:t>
      </w:r>
    </w:p>
    <w:p w14:paraId="4107C804" w14:textId="4A40035A" w:rsidR="0079427D" w:rsidRDefault="0079427D" w:rsidP="0079427D">
      <w:pPr>
        <w:spacing w:after="0" w:line="240" w:lineRule="auto"/>
        <w:jc w:val="both"/>
        <w:rPr>
          <w:rFonts w:ascii="Verdana" w:hAnsi="Verdana"/>
          <w:b/>
          <w:bCs/>
        </w:rPr>
      </w:pPr>
      <w:r w:rsidRPr="004F7870">
        <w:rPr>
          <w:rFonts w:ascii="Verdana" w:hAnsi="Verdana"/>
          <w:b/>
          <w:bCs/>
        </w:rPr>
        <w:t>JOSE MANUEL</w:t>
      </w:r>
      <w:r>
        <w:rPr>
          <w:rFonts w:ascii="Verdana" w:hAnsi="Verdana"/>
          <w:b/>
          <w:bCs/>
        </w:rPr>
        <w:t xml:space="preserve"> </w:t>
      </w:r>
      <w:r w:rsidRPr="004F7870">
        <w:rPr>
          <w:rFonts w:ascii="Verdana" w:hAnsi="Verdana"/>
          <w:b/>
          <w:bCs/>
        </w:rPr>
        <w:t>RAMIREZ RINCON</w:t>
      </w:r>
    </w:p>
    <w:p w14:paraId="62910D94" w14:textId="77777777" w:rsidR="0079427D" w:rsidRDefault="0079427D" w:rsidP="0079427D">
      <w:pPr>
        <w:spacing w:after="0" w:line="240" w:lineRule="auto"/>
        <w:jc w:val="both"/>
      </w:pPr>
      <w:hyperlink r:id="rId11" w:history="1">
        <w:r w:rsidRPr="00D4104C">
          <w:rPr>
            <w:rStyle w:val="Hipervnculo"/>
          </w:rPr>
          <w:t>joserami144@gmail.com</w:t>
        </w:r>
      </w:hyperlink>
    </w:p>
    <w:p w14:paraId="71C2D595" w14:textId="77777777" w:rsidR="0079427D" w:rsidRPr="0011467B" w:rsidRDefault="0079427D" w:rsidP="0079427D">
      <w:pPr>
        <w:spacing w:after="0" w:line="240" w:lineRule="auto"/>
        <w:jc w:val="both"/>
        <w:rPr>
          <w:rFonts w:ascii="Verdana" w:eastAsia="Calibri" w:hAnsi="Verdana" w:cs="Arial"/>
          <w:szCs w:val="24"/>
          <w:lang w:val="es-ES_tradnl" w:eastAsia="es-ES_tradnl"/>
        </w:rPr>
      </w:pPr>
      <w:r w:rsidRPr="0011467B">
        <w:rPr>
          <w:rFonts w:ascii="Verdana" w:eastAsia="Calibri" w:hAnsi="Verdana" w:cs="Arial"/>
          <w:szCs w:val="24"/>
          <w:lang w:val="es-ES_tradnl" w:eastAsia="es-ES_tradnl"/>
        </w:rPr>
        <w:t>Bogotá D.C.</w:t>
      </w:r>
    </w:p>
    <w:p w14:paraId="5A88A7C5" w14:textId="77777777" w:rsidR="0079427D" w:rsidRPr="0011467B" w:rsidRDefault="0079427D" w:rsidP="0079427D">
      <w:pPr>
        <w:spacing w:after="0" w:line="240" w:lineRule="auto"/>
        <w:rPr>
          <w:rFonts w:ascii="Verdana" w:eastAsia="Calibri" w:hAnsi="Verdana" w:cs="Arial"/>
          <w:szCs w:val="24"/>
          <w:lang w:val="es-ES_tradnl" w:eastAsia="es-ES_tradnl"/>
        </w:rPr>
      </w:pPr>
    </w:p>
    <w:bookmarkEnd w:id="0"/>
    <w:p w14:paraId="4799071C" w14:textId="77777777" w:rsidR="0079427D" w:rsidRPr="0011467B" w:rsidRDefault="0079427D" w:rsidP="0079427D">
      <w:pPr>
        <w:spacing w:after="0" w:line="240" w:lineRule="auto"/>
        <w:ind w:left="2694"/>
        <w:rPr>
          <w:rFonts w:ascii="Verdana" w:eastAsia="Calibri" w:hAnsi="Verdana" w:cs="Arial"/>
          <w:b/>
          <w:bCs/>
          <w:lang w:val="es-ES" w:eastAsia="es-ES"/>
        </w:rPr>
      </w:pPr>
      <w:r w:rsidRPr="0011467B">
        <w:rPr>
          <w:rFonts w:ascii="Verdana" w:eastAsia="Calibri" w:hAnsi="Verdana" w:cs="Arial"/>
          <w:b/>
          <w:bCs/>
          <w:lang w:val="es-ES" w:eastAsia="es-ES"/>
        </w:rPr>
        <w:t>Concepto C-</w:t>
      </w:r>
      <w:r>
        <w:rPr>
          <w:rFonts w:ascii="Verdana" w:eastAsia="Calibri" w:hAnsi="Verdana" w:cs="Arial"/>
          <w:b/>
          <w:bCs/>
          <w:lang w:val="es-ES" w:eastAsia="es-ES"/>
        </w:rPr>
        <w:t>871</w:t>
      </w:r>
      <w:r w:rsidRPr="0011467B">
        <w:rPr>
          <w:rFonts w:ascii="Verdana" w:eastAsia="Calibri" w:hAnsi="Verdana" w:cs="Arial"/>
          <w:b/>
          <w:bCs/>
          <w:lang w:val="es-ES" w:eastAsia="es-ES"/>
        </w:rPr>
        <w:t xml:space="preserve"> de 2024</w:t>
      </w:r>
    </w:p>
    <w:p w14:paraId="54B28F24" w14:textId="77777777" w:rsidR="0079427D" w:rsidRPr="0011467B" w:rsidRDefault="0079427D" w:rsidP="0079427D">
      <w:pPr>
        <w:spacing w:after="0" w:line="240" w:lineRule="auto"/>
        <w:ind w:left="2694"/>
        <w:rPr>
          <w:rFonts w:ascii="Verdana" w:eastAsia="Calibri" w:hAnsi="Verdana" w:cs="Arial"/>
          <w:szCs w:val="24"/>
          <w:lang w:val="es-ES_tradnl" w:eastAsia="es-ES_tradnl"/>
        </w:rPr>
      </w:pPr>
    </w:p>
    <w:p w14:paraId="612A4D57" w14:textId="77777777" w:rsidR="0079427D" w:rsidRPr="0011467B" w:rsidRDefault="0079427D" w:rsidP="0079427D">
      <w:pPr>
        <w:spacing w:after="0" w:line="240" w:lineRule="auto"/>
        <w:ind w:left="2694"/>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79427D" w:rsidRPr="0011467B" w14:paraId="22B0859C" w14:textId="77777777" w:rsidTr="009315AD">
        <w:trPr>
          <w:trHeight w:val="884"/>
        </w:trPr>
        <w:tc>
          <w:tcPr>
            <w:tcW w:w="2689" w:type="dxa"/>
          </w:tcPr>
          <w:p w14:paraId="2EE5E6B6" w14:textId="77777777" w:rsidR="0079427D" w:rsidRPr="00950262" w:rsidRDefault="0079427D" w:rsidP="009315AD">
            <w:pPr>
              <w:jc w:val="both"/>
              <w:rPr>
                <w:rFonts w:ascii="Verdana" w:eastAsia="Calibri" w:hAnsi="Verdana" w:cs="Arial"/>
                <w:b/>
                <w:szCs w:val="24"/>
                <w:lang w:val="es-ES_tradnl" w:eastAsia="es-ES_tradnl"/>
              </w:rPr>
            </w:pPr>
            <w:r w:rsidRPr="00950262">
              <w:rPr>
                <w:rFonts w:ascii="Verdana" w:eastAsia="Calibri" w:hAnsi="Verdana" w:cs="Arial"/>
                <w:b/>
                <w:szCs w:val="24"/>
                <w:lang w:val="es-ES_tradnl" w:eastAsia="es-ES_tradnl"/>
              </w:rPr>
              <w:t xml:space="preserve">Temas:                   </w:t>
            </w:r>
          </w:p>
        </w:tc>
        <w:tc>
          <w:tcPr>
            <w:tcW w:w="6237" w:type="dxa"/>
          </w:tcPr>
          <w:p w14:paraId="44D0A15E" w14:textId="77777777" w:rsidR="0079427D" w:rsidRPr="00173A67" w:rsidRDefault="0079427D" w:rsidP="009315AD">
            <w:pPr>
              <w:jc w:val="both"/>
              <w:rPr>
                <w:rFonts w:ascii="Verdana" w:eastAsia="Calibri" w:hAnsi="Verdana" w:cs="Arial"/>
                <w:lang w:val="es-ES" w:eastAsia="es-ES"/>
              </w:rPr>
            </w:pPr>
            <w:r w:rsidRPr="00173A67">
              <w:rPr>
                <w:rFonts w:ascii="Verdana" w:eastAsia="Times New Roman" w:hAnsi="Verdana" w:cs="Arial"/>
                <w:lang w:val="es-ES_tradnl" w:eastAsia="es-ES_tradnl"/>
              </w:rPr>
              <w:t xml:space="preserve">SUSPENSIÓN DE CONTRATO – Concepto / SUSPENSIÓN DE CONTRATO – Requisitos Mínimos – Normativa - </w:t>
            </w:r>
            <w:r w:rsidRPr="00173A67">
              <w:rPr>
                <w:rFonts w:ascii="Verdana" w:eastAsia="Times New Roman" w:hAnsi="Verdana" w:cs="Arial"/>
                <w:lang w:eastAsia="es-ES_tradnl"/>
              </w:rPr>
              <w:t>Efectos en el plazo de ejecución pactado</w:t>
            </w:r>
          </w:p>
        </w:tc>
        <w:tc>
          <w:tcPr>
            <w:tcW w:w="6237" w:type="dxa"/>
          </w:tcPr>
          <w:p w14:paraId="12CB7768" w14:textId="77777777" w:rsidR="0079427D" w:rsidRPr="0011467B" w:rsidRDefault="0079427D" w:rsidP="009315AD">
            <w:pPr>
              <w:jc w:val="both"/>
              <w:rPr>
                <w:rFonts w:ascii="Verdana" w:hAnsi="Verdana" w:cs="Arial"/>
                <w:lang w:val="es-ES"/>
              </w:rPr>
            </w:pPr>
          </w:p>
        </w:tc>
      </w:tr>
      <w:tr w:rsidR="0079427D" w:rsidRPr="0011467B" w14:paraId="4835FB39" w14:textId="77777777" w:rsidTr="009315AD">
        <w:tc>
          <w:tcPr>
            <w:tcW w:w="2689" w:type="dxa"/>
          </w:tcPr>
          <w:p w14:paraId="69026751" w14:textId="77777777" w:rsidR="0079427D" w:rsidRPr="00950262" w:rsidRDefault="0079427D" w:rsidP="009315AD">
            <w:pPr>
              <w:spacing w:before="120"/>
              <w:jc w:val="both"/>
              <w:rPr>
                <w:rFonts w:ascii="Verdana" w:eastAsia="Calibri" w:hAnsi="Verdana" w:cs="Arial"/>
                <w:b/>
                <w:szCs w:val="24"/>
                <w:lang w:val="es-ES_tradnl" w:eastAsia="es-ES_tradnl"/>
              </w:rPr>
            </w:pPr>
            <w:r w:rsidRPr="00950262">
              <w:rPr>
                <w:rFonts w:ascii="Verdana" w:eastAsia="Calibri" w:hAnsi="Verdana" w:cs="Arial"/>
                <w:b/>
                <w:szCs w:val="24"/>
                <w:lang w:val="es-ES_tradnl" w:eastAsia="es-ES_tradnl"/>
              </w:rPr>
              <w:t xml:space="preserve">Radicación:               </w:t>
            </w:r>
          </w:p>
        </w:tc>
        <w:tc>
          <w:tcPr>
            <w:tcW w:w="6237" w:type="dxa"/>
          </w:tcPr>
          <w:p w14:paraId="1C4290BB" w14:textId="2E91313F" w:rsidR="0079427D" w:rsidRPr="0011467B" w:rsidRDefault="0079427D" w:rsidP="009315AD">
            <w:pPr>
              <w:spacing w:before="120"/>
              <w:jc w:val="both"/>
              <w:rPr>
                <w:rFonts w:ascii="Verdana" w:eastAsia="Calibri" w:hAnsi="Verdana" w:cs="Arial"/>
                <w:szCs w:val="24"/>
                <w:lang w:val="es-ES_tradnl" w:eastAsia="es-ES_tradnl"/>
              </w:rPr>
            </w:pPr>
            <w:r w:rsidRPr="0011467B">
              <w:rPr>
                <w:rFonts w:ascii="Verdana" w:eastAsia="Calibri" w:hAnsi="Verdana" w:cs="Arial"/>
                <w:szCs w:val="24"/>
                <w:lang w:val="es-ES_tradnl" w:eastAsia="es-ES_tradnl"/>
              </w:rPr>
              <w:t xml:space="preserve">Respuesta a consulta con radicado No. </w:t>
            </w:r>
            <w:r w:rsidRPr="004F7870">
              <w:rPr>
                <w:rFonts w:ascii="Verdana" w:eastAsia="Calibri" w:hAnsi="Verdana" w:cs="Arial"/>
                <w:szCs w:val="24"/>
                <w:lang w:val="es-ES_tradnl" w:eastAsia="es-ES_tradnl"/>
              </w:rPr>
              <w:t>P20241118011533</w:t>
            </w:r>
            <w:r w:rsidR="00AF5A93">
              <w:rPr>
                <w:rFonts w:ascii="Verdana" w:eastAsia="Calibri" w:hAnsi="Verdana" w:cs="Arial"/>
                <w:szCs w:val="24"/>
                <w:lang w:val="es-ES_tradnl" w:eastAsia="es-ES_tradnl"/>
              </w:rPr>
              <w:t>.</w:t>
            </w:r>
          </w:p>
        </w:tc>
        <w:tc>
          <w:tcPr>
            <w:tcW w:w="6237" w:type="dxa"/>
          </w:tcPr>
          <w:p w14:paraId="40B7048A" w14:textId="77777777" w:rsidR="0079427D" w:rsidRPr="0011467B" w:rsidRDefault="0079427D" w:rsidP="009315AD">
            <w:pPr>
              <w:spacing w:before="120"/>
              <w:jc w:val="both"/>
              <w:rPr>
                <w:rFonts w:ascii="Verdana" w:eastAsia="Calibri" w:hAnsi="Verdana" w:cs="Arial"/>
                <w:szCs w:val="24"/>
                <w:lang w:val="es-ES_tradnl" w:eastAsia="es-ES_tradnl"/>
              </w:rPr>
            </w:pPr>
          </w:p>
        </w:tc>
      </w:tr>
    </w:tbl>
    <w:p w14:paraId="59F3926C" w14:textId="77777777" w:rsidR="0079427D" w:rsidRPr="0011467B" w:rsidRDefault="0079427D" w:rsidP="0079427D">
      <w:pPr>
        <w:spacing w:after="0" w:line="240" w:lineRule="auto"/>
        <w:jc w:val="both"/>
        <w:rPr>
          <w:rFonts w:ascii="Verdana" w:eastAsia="Calibri" w:hAnsi="Verdana" w:cs="Arial"/>
          <w:szCs w:val="24"/>
          <w:lang w:val="es-ES_tradnl" w:eastAsia="es-ES_tradnl"/>
        </w:rPr>
      </w:pPr>
    </w:p>
    <w:p w14:paraId="70451578" w14:textId="77777777" w:rsidR="0079427D" w:rsidRPr="0011467B" w:rsidRDefault="0079427D" w:rsidP="0079427D">
      <w:pPr>
        <w:spacing w:after="0" w:line="240" w:lineRule="auto"/>
        <w:jc w:val="both"/>
        <w:rPr>
          <w:rFonts w:ascii="Verdana" w:eastAsia="Calibri" w:hAnsi="Verdana" w:cs="Arial"/>
          <w:szCs w:val="24"/>
          <w:lang w:val="es-ES_tradnl" w:eastAsia="es-ES_tradnl"/>
        </w:rPr>
      </w:pPr>
    </w:p>
    <w:p w14:paraId="25558D70" w14:textId="77777777" w:rsidR="0079427D" w:rsidRPr="0011467B" w:rsidRDefault="0079427D" w:rsidP="0079427D">
      <w:pPr>
        <w:spacing w:after="0" w:line="240" w:lineRule="auto"/>
        <w:jc w:val="both"/>
        <w:rPr>
          <w:rFonts w:ascii="Verdana" w:eastAsia="Calibri" w:hAnsi="Verdana" w:cs="Arial"/>
          <w:lang w:val="es-ES" w:eastAsia="es-ES"/>
        </w:rPr>
      </w:pPr>
      <w:r w:rsidRPr="0011467B">
        <w:rPr>
          <w:rFonts w:ascii="Verdana" w:eastAsia="Calibri" w:hAnsi="Verdana" w:cs="Arial"/>
          <w:lang w:val="es-ES" w:eastAsia="es-ES"/>
        </w:rPr>
        <w:t>Estimad</w:t>
      </w:r>
      <w:r>
        <w:rPr>
          <w:rFonts w:ascii="Verdana" w:eastAsia="Calibri" w:hAnsi="Verdana" w:cs="Arial"/>
          <w:lang w:val="es-ES" w:eastAsia="es-ES"/>
        </w:rPr>
        <w:t xml:space="preserve">o </w:t>
      </w:r>
      <w:r w:rsidRPr="0011467B">
        <w:rPr>
          <w:rFonts w:ascii="Verdana" w:eastAsia="Calibri" w:hAnsi="Verdana" w:cs="Arial"/>
          <w:lang w:val="es-ES" w:eastAsia="es-ES"/>
        </w:rPr>
        <w:t xml:space="preserve">señor </w:t>
      </w:r>
      <w:r>
        <w:rPr>
          <w:rFonts w:ascii="Verdana" w:eastAsia="Calibri" w:hAnsi="Verdana" w:cs="Arial"/>
          <w:lang w:val="es-ES" w:eastAsia="es-ES"/>
        </w:rPr>
        <w:t>Ramírez</w:t>
      </w:r>
      <w:r w:rsidRPr="0011467B">
        <w:rPr>
          <w:rFonts w:ascii="Verdana" w:eastAsia="Calibri" w:hAnsi="Verdana" w:cs="Arial"/>
          <w:lang w:val="es-ES" w:eastAsia="es-ES"/>
        </w:rPr>
        <w:t xml:space="preserve">: </w:t>
      </w:r>
    </w:p>
    <w:p w14:paraId="5E1FCA71" w14:textId="77777777" w:rsidR="0079427D" w:rsidRPr="0011467B" w:rsidRDefault="0079427D" w:rsidP="0079427D">
      <w:pPr>
        <w:spacing w:after="0" w:line="240" w:lineRule="auto"/>
        <w:jc w:val="both"/>
        <w:rPr>
          <w:rFonts w:ascii="Verdana" w:eastAsia="Calibri" w:hAnsi="Verdana" w:cs="Arial"/>
          <w:lang w:val="es-ES" w:eastAsia="es-ES"/>
        </w:rPr>
      </w:pPr>
    </w:p>
    <w:p w14:paraId="04A63934" w14:textId="77777777" w:rsidR="0079427D" w:rsidRPr="0011467B" w:rsidRDefault="0079427D" w:rsidP="0079427D">
      <w:pPr>
        <w:spacing w:after="0" w:line="240" w:lineRule="auto"/>
        <w:jc w:val="both"/>
        <w:rPr>
          <w:rFonts w:ascii="Verdana" w:eastAsia="Calibri" w:hAnsi="Verdana" w:cs="Arial"/>
          <w:szCs w:val="24"/>
          <w:lang w:val="es-ES_tradnl" w:eastAsia="es-ES_tradnl"/>
        </w:rPr>
      </w:pPr>
    </w:p>
    <w:p w14:paraId="77ED45CC" w14:textId="2D8CB5EE" w:rsidR="0079427D" w:rsidRPr="0011467B" w:rsidRDefault="0079427D" w:rsidP="0079427D">
      <w:pPr>
        <w:spacing w:after="120" w:line="276" w:lineRule="auto"/>
        <w:jc w:val="both"/>
        <w:rPr>
          <w:rFonts w:ascii="Verdana" w:eastAsia="Calibri" w:hAnsi="Verdana" w:cs="Arial"/>
          <w:lang w:val="es-ES" w:eastAsia="es-ES"/>
        </w:rPr>
      </w:pPr>
      <w:r w:rsidRPr="0011467B">
        <w:rPr>
          <w:rFonts w:ascii="Verdana" w:eastAsia="Calibri" w:hAnsi="Verdana" w:cs="Arial"/>
          <w:lang w:val="es-ES" w:eastAsia="es-ES"/>
        </w:rPr>
        <w:t>En ejercicio de la competencia otorgada por los artículos 3, numeral 5º, y 11, numeral 8º, del Decreto Ley 4170 de 2011,</w:t>
      </w:r>
      <w:r w:rsidRPr="0011467B">
        <w:rPr>
          <w:rFonts w:ascii="Verdana" w:eastAsia="Arial MT" w:hAnsi="Verdana" w:cs="Arial MT"/>
          <w:lang w:val="es-ES" w:eastAsia="es-ES"/>
        </w:rPr>
        <w:t xml:space="preserve"> </w:t>
      </w:r>
      <w:r w:rsidRPr="0011467B">
        <w:rPr>
          <w:rFonts w:ascii="Verdana" w:eastAsia="Calibri" w:hAnsi="Verdana" w:cs="Arial"/>
          <w:lang w:val="es-ES" w:eastAsia="es-ES"/>
        </w:rPr>
        <w:t>la Agencia Nacional de Contratación Pública – Colombia Compra Eficiente– responde la</w:t>
      </w:r>
      <w:r w:rsidR="006C7B8F">
        <w:rPr>
          <w:rFonts w:ascii="Verdana" w:eastAsia="Calibri" w:hAnsi="Verdana" w:cs="Arial"/>
          <w:lang w:val="es-ES" w:eastAsia="es-ES"/>
        </w:rPr>
        <w:t>s</w:t>
      </w:r>
      <w:r w:rsidRPr="0011467B">
        <w:rPr>
          <w:rFonts w:ascii="Verdana" w:eastAsia="Calibri" w:hAnsi="Verdana" w:cs="Arial"/>
          <w:lang w:val="es-ES" w:eastAsia="es-ES"/>
        </w:rPr>
        <w:t xml:space="preserve"> solicitud</w:t>
      </w:r>
      <w:r w:rsidR="006C7B8F">
        <w:rPr>
          <w:rFonts w:ascii="Verdana" w:eastAsia="Calibri" w:hAnsi="Verdana" w:cs="Arial"/>
          <w:lang w:val="es-ES" w:eastAsia="es-ES"/>
        </w:rPr>
        <w:t>es</w:t>
      </w:r>
      <w:r w:rsidRPr="0011467B">
        <w:rPr>
          <w:rFonts w:ascii="Verdana" w:eastAsia="Calibri" w:hAnsi="Verdana" w:cs="Arial"/>
          <w:lang w:val="es-ES" w:eastAsia="es-ES"/>
        </w:rPr>
        <w:t xml:space="preserve"> del 1</w:t>
      </w:r>
      <w:r>
        <w:rPr>
          <w:rFonts w:ascii="Verdana" w:eastAsia="Calibri" w:hAnsi="Verdana" w:cs="Arial"/>
          <w:lang w:val="es-ES" w:eastAsia="es-ES"/>
        </w:rPr>
        <w:t>8</w:t>
      </w:r>
      <w:r w:rsidRPr="0011467B">
        <w:rPr>
          <w:rFonts w:ascii="Verdana" w:eastAsia="Calibri" w:hAnsi="Verdana" w:cs="Arial"/>
          <w:lang w:val="es-ES" w:eastAsia="es-ES"/>
        </w:rPr>
        <w:t xml:space="preserve"> de</w:t>
      </w:r>
      <w:r>
        <w:rPr>
          <w:rFonts w:ascii="Verdana" w:eastAsia="Calibri" w:hAnsi="Verdana" w:cs="Arial"/>
          <w:lang w:val="es-ES" w:eastAsia="es-ES"/>
        </w:rPr>
        <w:t xml:space="preserve"> noviembre </w:t>
      </w:r>
      <w:r w:rsidRPr="0011467B">
        <w:rPr>
          <w:rFonts w:ascii="Verdana" w:eastAsia="Calibri" w:hAnsi="Verdana" w:cs="Arial"/>
          <w:lang w:val="es-ES" w:eastAsia="es-ES"/>
        </w:rPr>
        <w:t>de 2024, en la</w:t>
      </w:r>
      <w:r w:rsidR="006C7B8F">
        <w:rPr>
          <w:rFonts w:ascii="Verdana" w:eastAsia="Calibri" w:hAnsi="Verdana" w:cs="Arial"/>
          <w:lang w:val="es-ES" w:eastAsia="es-ES"/>
        </w:rPr>
        <w:t>s</w:t>
      </w:r>
      <w:r w:rsidRPr="0011467B">
        <w:rPr>
          <w:rFonts w:ascii="Verdana" w:eastAsia="Calibri" w:hAnsi="Verdana" w:cs="Arial"/>
          <w:lang w:val="es-ES" w:eastAsia="es-ES"/>
        </w:rPr>
        <w:t xml:space="preserve"> cual</w:t>
      </w:r>
      <w:r w:rsidR="006C7B8F">
        <w:rPr>
          <w:rFonts w:ascii="Verdana" w:eastAsia="Calibri" w:hAnsi="Verdana" w:cs="Arial"/>
          <w:lang w:val="es-ES" w:eastAsia="es-ES"/>
        </w:rPr>
        <w:t>es</w:t>
      </w:r>
      <w:r w:rsidRPr="0011467B">
        <w:rPr>
          <w:rFonts w:ascii="Verdana" w:eastAsia="Calibri" w:hAnsi="Verdana" w:cs="Arial"/>
          <w:lang w:val="es-ES" w:eastAsia="es-ES"/>
        </w:rPr>
        <w:t xml:space="preserve"> manifiesta lo siguiente:</w:t>
      </w:r>
    </w:p>
    <w:p w14:paraId="649B8F01" w14:textId="77777777" w:rsidR="0079427D" w:rsidRPr="0011467B" w:rsidRDefault="0079427D" w:rsidP="0079427D">
      <w:pPr>
        <w:spacing w:after="120" w:line="276" w:lineRule="auto"/>
        <w:jc w:val="both"/>
        <w:rPr>
          <w:rFonts w:ascii="Verdana" w:eastAsia="Calibri" w:hAnsi="Verdana" w:cs="Arial"/>
          <w:sz w:val="21"/>
          <w:szCs w:val="21"/>
          <w:lang w:val="es-ES" w:eastAsia="es-ES"/>
        </w:rPr>
      </w:pPr>
    </w:p>
    <w:p w14:paraId="3ECA08C8" w14:textId="618C6860" w:rsidR="0079427D" w:rsidRPr="0011467B" w:rsidRDefault="0079427D" w:rsidP="0079427D">
      <w:pPr>
        <w:spacing w:after="0" w:line="240" w:lineRule="auto"/>
        <w:ind w:left="709" w:right="709"/>
        <w:jc w:val="both"/>
        <w:rPr>
          <w:rFonts w:ascii="Verdana" w:eastAsia="Calibri" w:hAnsi="Verdana" w:cs="Arial"/>
          <w:sz w:val="21"/>
          <w:szCs w:val="21"/>
          <w:lang w:val="es-ES" w:eastAsia="es-ES"/>
        </w:rPr>
      </w:pPr>
      <w:r w:rsidRPr="0011467B">
        <w:rPr>
          <w:rFonts w:ascii="Verdana" w:eastAsia="Calibri" w:hAnsi="Verdana" w:cs="Arial"/>
          <w:sz w:val="21"/>
          <w:szCs w:val="21"/>
          <w:lang w:val="es-ES" w:eastAsia="es-ES"/>
        </w:rPr>
        <w:t>“¿</w:t>
      </w:r>
      <w:r>
        <w:rPr>
          <w:rFonts w:ascii="Verdana" w:hAnsi="Verdana" w:cs="Arial"/>
          <w:color w:val="222222"/>
          <w:shd w:val="clear" w:color="auto" w:fill="FFFFFF"/>
        </w:rPr>
        <w:t xml:space="preserve">Una entidad estatal puede suspender un contrato y </w:t>
      </w:r>
      <w:r w:rsidR="00F322E4">
        <w:rPr>
          <w:rFonts w:ascii="Verdana" w:hAnsi="Verdana" w:cs="Arial"/>
          <w:color w:val="222222"/>
          <w:shd w:val="clear" w:color="auto" w:fill="FFFFFF"/>
        </w:rPr>
        <w:t>cuáles</w:t>
      </w:r>
      <w:r>
        <w:rPr>
          <w:rFonts w:ascii="Verdana" w:hAnsi="Verdana" w:cs="Arial"/>
          <w:color w:val="222222"/>
          <w:shd w:val="clear" w:color="auto" w:fill="FFFFFF"/>
        </w:rPr>
        <w:t xml:space="preserve"> son sus </w:t>
      </w:r>
      <w:proofErr w:type="spellStart"/>
      <w:r>
        <w:rPr>
          <w:rFonts w:ascii="Verdana" w:hAnsi="Verdana" w:cs="Arial"/>
          <w:color w:val="222222"/>
          <w:shd w:val="clear" w:color="auto" w:fill="FFFFFF"/>
        </w:rPr>
        <w:t>limites</w:t>
      </w:r>
      <w:proofErr w:type="spellEnd"/>
      <w:r>
        <w:rPr>
          <w:rFonts w:ascii="Verdana" w:hAnsi="Verdana" w:cs="Arial"/>
          <w:color w:val="222222"/>
          <w:shd w:val="clear" w:color="auto" w:fill="FFFFFF"/>
        </w:rPr>
        <w:t xml:space="preserve"> conforme al ordenamiento jurídico?”</w:t>
      </w:r>
    </w:p>
    <w:p w14:paraId="67BFBE51" w14:textId="77777777" w:rsidR="0079427D" w:rsidRPr="0011467B" w:rsidRDefault="0079427D" w:rsidP="0079427D">
      <w:pPr>
        <w:spacing w:after="0" w:line="240" w:lineRule="auto"/>
        <w:ind w:left="709" w:right="709"/>
        <w:jc w:val="both"/>
        <w:rPr>
          <w:rFonts w:ascii="Verdana" w:eastAsia="Calibri" w:hAnsi="Verdana" w:cs="Arial"/>
          <w:sz w:val="20"/>
          <w:szCs w:val="20"/>
          <w:lang w:val="es-ES" w:eastAsia="es-ES"/>
        </w:rPr>
      </w:pPr>
    </w:p>
    <w:p w14:paraId="41F50537" w14:textId="77777777" w:rsidR="0079427D" w:rsidRPr="0011467B" w:rsidRDefault="0079427D" w:rsidP="0079427D">
      <w:pPr>
        <w:spacing w:after="0" w:line="240" w:lineRule="auto"/>
        <w:ind w:left="709" w:right="709"/>
        <w:jc w:val="both"/>
        <w:rPr>
          <w:rFonts w:ascii="Verdana" w:eastAsia="Calibri" w:hAnsi="Verdana" w:cs="Arial"/>
          <w:lang w:val="es-ES" w:eastAsia="es-ES_tradnl"/>
        </w:rPr>
      </w:pPr>
    </w:p>
    <w:p w14:paraId="6FD5D603" w14:textId="77777777" w:rsidR="0079427D" w:rsidRPr="0011467B" w:rsidRDefault="0079427D" w:rsidP="0079427D">
      <w:pPr>
        <w:spacing w:after="120" w:line="276" w:lineRule="auto"/>
        <w:jc w:val="both"/>
        <w:rPr>
          <w:rFonts w:ascii="Verdana" w:eastAsia="Calibri" w:hAnsi="Verdana" w:cs="Arial"/>
          <w:lang w:val="es-ES" w:eastAsia="es-ES"/>
        </w:rPr>
      </w:pPr>
      <w:r w:rsidRPr="0011467B">
        <w:rPr>
          <w:rFonts w:ascii="Verdana" w:eastAsia="Calibri" w:hAnsi="Verdana" w:cs="Arial"/>
          <w:lang w:val="es-ES_tradnl" w:eastAsia="es-ES_tradnl"/>
        </w:rPr>
        <w:tab/>
      </w:r>
      <w:r w:rsidRPr="0011467B">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w:t>
      </w:r>
      <w:r w:rsidRPr="0011467B">
        <w:rPr>
          <w:rFonts w:ascii="Verdana" w:eastAsia="Calibri" w:hAnsi="Verdana" w:cs="Arial"/>
          <w:lang w:val="es-ES" w:eastAsia="es-ES"/>
        </w:rPr>
        <w:lastRenderedPageBreak/>
        <w:t xml:space="preserve">los demás participantes de la contratación pública. Esta competencia de interpretación de normas generales, por definición, no puede extenderse a la resolución de controversias, ni a brindar asesorías sobre casos puntuales. </w:t>
      </w:r>
      <w:r w:rsidRPr="0011467B">
        <w:rPr>
          <w:rFonts w:ascii="Verdana" w:eastAsia="Calibri" w:hAnsi="Verdana" w:cs="Arial"/>
          <w:lang w:val="es-ES" w:eastAsia="es-ES"/>
        </w:rPr>
        <w:tab/>
      </w:r>
    </w:p>
    <w:p w14:paraId="7980126B" w14:textId="77777777" w:rsidR="0079427D" w:rsidRPr="0011467B" w:rsidRDefault="0079427D" w:rsidP="0079427D">
      <w:pPr>
        <w:spacing w:after="0" w:line="276" w:lineRule="auto"/>
        <w:ind w:firstLine="708"/>
        <w:jc w:val="both"/>
        <w:rPr>
          <w:rFonts w:ascii="Verdana" w:eastAsia="Calibri" w:hAnsi="Verdana" w:cs="Arial"/>
          <w:lang w:val="es-ES" w:eastAsia="es-ES"/>
        </w:rPr>
      </w:pPr>
      <w:r w:rsidRPr="0011467B">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14F9146" w14:textId="77777777" w:rsidR="0079427D" w:rsidRPr="0011467B" w:rsidRDefault="0079427D" w:rsidP="0079427D">
      <w:pPr>
        <w:spacing w:after="0" w:line="276" w:lineRule="auto"/>
        <w:ind w:firstLine="708"/>
        <w:jc w:val="both"/>
        <w:rPr>
          <w:rFonts w:ascii="Verdana" w:eastAsia="Calibri" w:hAnsi="Verdana" w:cs="Arial"/>
          <w:lang w:val="es-ES" w:eastAsia="es-ES"/>
        </w:rPr>
      </w:pPr>
    </w:p>
    <w:p w14:paraId="248514C1" w14:textId="77777777" w:rsidR="0079427D" w:rsidRPr="0011467B" w:rsidRDefault="0079427D" w:rsidP="0079427D">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11467B">
        <w:rPr>
          <w:rFonts w:ascii="Verdana" w:eastAsia="Century Gothic" w:hAnsi="Verdana" w:cs="Century Gothic"/>
          <w:b/>
          <w:bCs/>
        </w:rPr>
        <w:t>Problema planteado:</w:t>
      </w:r>
    </w:p>
    <w:p w14:paraId="207A004A" w14:textId="77777777" w:rsidR="0079427D" w:rsidRPr="0011467B" w:rsidRDefault="0079427D" w:rsidP="0079427D">
      <w:pPr>
        <w:spacing w:after="120" w:line="276" w:lineRule="auto"/>
        <w:jc w:val="both"/>
        <w:rPr>
          <w:rFonts w:ascii="Verdana" w:eastAsia="Century Gothic" w:hAnsi="Verdana" w:cs="Century Gothic"/>
        </w:rPr>
      </w:pPr>
    </w:p>
    <w:p w14:paraId="0369D800" w14:textId="58190D28" w:rsidR="0079427D" w:rsidRDefault="0079427D" w:rsidP="0079427D">
      <w:pPr>
        <w:spacing w:line="276" w:lineRule="auto"/>
        <w:jc w:val="both"/>
        <w:rPr>
          <w:rFonts w:ascii="Verdana" w:hAnsi="Verdana" w:cs="Arial"/>
        </w:rPr>
      </w:pPr>
      <w:r w:rsidRPr="0011467B">
        <w:rPr>
          <w:rFonts w:ascii="Verdana" w:eastAsia="Century Gothic" w:hAnsi="Verdana" w:cs="Century Gothic"/>
        </w:rPr>
        <w:t xml:space="preserve">De acuerdo con el contenido de su solicitud, esta Agencia resolverá </w:t>
      </w:r>
      <w:r w:rsidR="00F5731D">
        <w:rPr>
          <w:rFonts w:ascii="Verdana" w:eastAsia="Century Gothic" w:hAnsi="Verdana" w:cs="Century Gothic"/>
        </w:rPr>
        <w:t>el</w:t>
      </w:r>
      <w:r w:rsidRPr="0011467B">
        <w:rPr>
          <w:rFonts w:ascii="Verdana" w:eastAsia="Century Gothic" w:hAnsi="Verdana" w:cs="Century Gothic"/>
        </w:rPr>
        <w:t xml:space="preserve"> siguient</w:t>
      </w:r>
      <w:r>
        <w:rPr>
          <w:rFonts w:ascii="Verdana" w:eastAsia="Century Gothic" w:hAnsi="Verdana" w:cs="Century Gothic"/>
        </w:rPr>
        <w:t xml:space="preserve">e </w:t>
      </w:r>
      <w:r w:rsidRPr="0011467B">
        <w:rPr>
          <w:rFonts w:ascii="Verdana" w:eastAsia="Century Gothic" w:hAnsi="Verdana" w:cs="Century Gothic"/>
        </w:rPr>
        <w:t>prob</w:t>
      </w:r>
      <w:r>
        <w:rPr>
          <w:rFonts w:ascii="Verdana" w:eastAsia="Century Gothic" w:hAnsi="Verdana" w:cs="Century Gothic"/>
        </w:rPr>
        <w:t xml:space="preserve">lema </w:t>
      </w:r>
      <w:r w:rsidRPr="0011467B">
        <w:rPr>
          <w:rFonts w:ascii="Verdana" w:eastAsia="Century Gothic" w:hAnsi="Verdana" w:cs="Century Gothic"/>
        </w:rPr>
        <w:t>jurí</w:t>
      </w:r>
      <w:r>
        <w:rPr>
          <w:rFonts w:ascii="Verdana" w:eastAsia="Century Gothic" w:hAnsi="Verdana" w:cs="Century Gothic"/>
        </w:rPr>
        <w:t>dico</w:t>
      </w:r>
      <w:r w:rsidRPr="0011467B">
        <w:rPr>
          <w:rFonts w:ascii="Verdana" w:eastAsia="Century Gothic" w:hAnsi="Verdana" w:cs="Century Gothic"/>
        </w:rPr>
        <w:t>:</w:t>
      </w:r>
      <w:r w:rsidRPr="0011467B">
        <w:rPr>
          <w:rFonts w:ascii="Verdana" w:hAnsi="Verdana"/>
        </w:rPr>
        <w:t xml:space="preserve"> </w:t>
      </w:r>
      <w:r>
        <w:rPr>
          <w:rFonts w:ascii="Verdana" w:hAnsi="Verdana" w:cs="Arial"/>
        </w:rPr>
        <w:t>¿</w:t>
      </w:r>
      <w:bookmarkStart w:id="1" w:name="_Hlk184283354"/>
      <w:r>
        <w:rPr>
          <w:rFonts w:ascii="Verdana" w:hAnsi="Verdana" w:cs="Arial"/>
        </w:rPr>
        <w:t xml:space="preserve">Pueden las entidades </w:t>
      </w:r>
      <w:r w:rsidR="00F5731D">
        <w:rPr>
          <w:rFonts w:ascii="Verdana" w:hAnsi="Verdana" w:cs="Arial"/>
        </w:rPr>
        <w:t>e</w:t>
      </w:r>
      <w:r>
        <w:rPr>
          <w:rFonts w:ascii="Verdana" w:hAnsi="Verdana" w:cs="Arial"/>
        </w:rPr>
        <w:t>statales suspender un contrato y cuáles son los límites a esto?</w:t>
      </w:r>
      <w:bookmarkEnd w:id="1"/>
    </w:p>
    <w:p w14:paraId="0E90258F" w14:textId="77777777" w:rsidR="0079427D" w:rsidRPr="00F76FDA" w:rsidRDefault="0079427D" w:rsidP="0079427D">
      <w:pPr>
        <w:spacing w:line="276" w:lineRule="auto"/>
        <w:jc w:val="both"/>
        <w:rPr>
          <w:rFonts w:ascii="Verdana" w:hAnsi="Verdana" w:cs="Arial"/>
        </w:rPr>
      </w:pPr>
    </w:p>
    <w:p w14:paraId="4AFDA335" w14:textId="77777777" w:rsidR="0079427D" w:rsidRPr="0011467B" w:rsidRDefault="0079427D" w:rsidP="007942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1467B">
        <w:rPr>
          <w:rFonts w:ascii="Verdana" w:eastAsia="Century Gothic" w:hAnsi="Verdana" w:cs="Century Gothic"/>
          <w:b/>
          <w:bCs/>
        </w:rPr>
        <w:t>Respuesta:</w:t>
      </w:r>
    </w:p>
    <w:p w14:paraId="7F6B144C" w14:textId="77777777" w:rsidR="0079427D" w:rsidRPr="0011467B" w:rsidRDefault="0079427D" w:rsidP="0079427D">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49F6A4F7" w14:textId="25AC2F6A" w:rsidR="0079427D" w:rsidRPr="00DF24BE" w:rsidRDefault="0079427D" w:rsidP="0079427D">
      <w:pPr>
        <w:spacing w:before="120" w:line="276" w:lineRule="auto"/>
        <w:jc w:val="both"/>
        <w:rPr>
          <w:rFonts w:ascii="Verdana" w:eastAsia="Times New Roman" w:hAnsi="Verdana" w:cs="Arial"/>
          <w:color w:val="000000"/>
          <w:kern w:val="2"/>
          <w:lang w:val="es-ES_tradnl" w:eastAsia="es-ES_tradnl"/>
          <w14:ligatures w14:val="standardContextual"/>
        </w:rPr>
      </w:pPr>
      <w:r w:rsidRPr="00DF24BE">
        <w:rPr>
          <w:rFonts w:ascii="Verdana" w:eastAsia="Times New Roman" w:hAnsi="Verdana" w:cs="Arial"/>
          <w:color w:val="000000"/>
          <w:kern w:val="2"/>
          <w:lang w:val="es-ES_tradnl" w:eastAsia="es-ES_tradnl"/>
          <w14:ligatures w14:val="standardContextual"/>
        </w:rPr>
        <w:t xml:space="preserve">Esto es posible porque el segundo y tercer inciso del artículo 40 de la Ley 80 de 1993 establecen: </w:t>
      </w:r>
    </w:p>
    <w:p w14:paraId="16236D3A" w14:textId="77777777" w:rsidR="0079427D" w:rsidRPr="00DF24BE" w:rsidRDefault="0079427D" w:rsidP="0079427D">
      <w:pPr>
        <w:ind w:left="709" w:right="709"/>
        <w:jc w:val="both"/>
        <w:rPr>
          <w:rFonts w:ascii="Verdana" w:eastAsia="Times New Roman" w:hAnsi="Verdana" w:cs="Arial"/>
          <w:color w:val="000000"/>
          <w:kern w:val="2"/>
          <w:sz w:val="21"/>
          <w:szCs w:val="21"/>
          <w:lang w:val="es-ES_tradnl" w:eastAsia="es-ES_tradnl"/>
          <w14:ligatures w14:val="standardContextual"/>
        </w:rPr>
      </w:pPr>
    </w:p>
    <w:p w14:paraId="68220736" w14:textId="77777777" w:rsidR="0079427D" w:rsidRPr="00DF24BE" w:rsidRDefault="0079427D" w:rsidP="0079427D">
      <w:pPr>
        <w:ind w:left="709" w:right="709"/>
        <w:jc w:val="both"/>
        <w:rPr>
          <w:rFonts w:ascii="Verdana" w:eastAsia="Times New Roman" w:hAnsi="Verdana" w:cs="Arial"/>
          <w:color w:val="000000"/>
          <w:kern w:val="2"/>
          <w:sz w:val="20"/>
          <w:szCs w:val="20"/>
          <w:lang w:val="es-ES_tradnl" w:eastAsia="es-ES_tradnl"/>
          <w14:ligatures w14:val="standardContextual"/>
        </w:rPr>
      </w:pPr>
      <w:r w:rsidRPr="00DF24BE">
        <w:rPr>
          <w:rFonts w:ascii="Verdana" w:eastAsia="Times New Roman" w:hAnsi="Verdana" w:cs="Arial"/>
          <w:color w:val="000000"/>
          <w:kern w:val="2"/>
          <w:sz w:val="20"/>
          <w:szCs w:val="20"/>
          <w:lang w:val="es-ES_tradnl" w:eastAsia="es-ES_tradnl"/>
          <w14:ligatures w14:val="standardContextual"/>
        </w:rPr>
        <w:t>Las entidades podrán celebrar los contratos y acuerdos que permitan la autonomía de la voluntad y requieran el cumplimiento de los fines estatales.</w:t>
      </w:r>
    </w:p>
    <w:p w14:paraId="7C7B84D8" w14:textId="77403596" w:rsidR="0079427D" w:rsidRPr="00DF24BE" w:rsidRDefault="0079427D" w:rsidP="0079427D">
      <w:pPr>
        <w:ind w:left="709" w:right="709"/>
        <w:jc w:val="both"/>
        <w:rPr>
          <w:rFonts w:ascii="Verdana" w:eastAsia="Times New Roman" w:hAnsi="Verdana" w:cs="Arial"/>
          <w:color w:val="000000" w:themeColor="text1"/>
          <w:kern w:val="2"/>
          <w:sz w:val="20"/>
          <w:szCs w:val="20"/>
          <w:lang w:val="es-ES" w:eastAsia="es-ES"/>
          <w14:ligatures w14:val="standardContextual"/>
        </w:rPr>
      </w:pPr>
      <w:r w:rsidRPr="00DF24BE">
        <w:rPr>
          <w:rFonts w:ascii="Verdana" w:eastAsia="Times New Roman" w:hAnsi="Verdana" w:cs="Arial"/>
          <w:i/>
          <w:iCs/>
          <w:color w:val="000000" w:themeColor="text1"/>
          <w:kern w:val="2"/>
          <w:sz w:val="20"/>
          <w:szCs w:val="20"/>
          <w:lang w:val="es-ES" w:eastAsia="es-ES"/>
          <w14:ligatures w14:val="standardContextual"/>
        </w:rPr>
        <w:t>En los contratos que celebren las entidades estatales podrán incluirse las</w:t>
      </w:r>
      <w:r w:rsidRPr="00DF24BE">
        <w:rPr>
          <w:rFonts w:ascii="Verdana" w:eastAsia="Times New Roman" w:hAnsi="Verdana" w:cs="Arial"/>
          <w:color w:val="000000" w:themeColor="text1"/>
          <w:kern w:val="2"/>
          <w:sz w:val="20"/>
          <w:szCs w:val="20"/>
          <w:lang w:val="es-ES" w:eastAsia="es-ES"/>
          <w14:ligatures w14:val="standardContextual"/>
        </w:rPr>
        <w:t xml:space="preserve"> modalidades, </w:t>
      </w:r>
      <w:r w:rsidRPr="00DF24BE">
        <w:rPr>
          <w:rFonts w:ascii="Verdana" w:eastAsia="Times New Roman" w:hAnsi="Verdana" w:cs="Arial"/>
          <w:i/>
          <w:iCs/>
          <w:color w:val="000000" w:themeColor="text1"/>
          <w:kern w:val="2"/>
          <w:sz w:val="20"/>
          <w:szCs w:val="20"/>
          <w:lang w:val="es-ES" w:eastAsia="es-ES"/>
          <w14:ligatures w14:val="standardContextual"/>
        </w:rPr>
        <w:t>condiciones</w:t>
      </w:r>
      <w:r w:rsidRPr="00DF24BE">
        <w:rPr>
          <w:rFonts w:ascii="Verdana" w:eastAsia="Times New Roman" w:hAnsi="Verdana" w:cs="Arial"/>
          <w:color w:val="000000" w:themeColor="text1"/>
          <w:kern w:val="2"/>
          <w:sz w:val="20"/>
          <w:szCs w:val="20"/>
          <w:lang w:val="es-ES" w:eastAsia="es-ES"/>
          <w14:ligatures w14:val="standardContextual"/>
        </w:rPr>
        <w:t xml:space="preserve"> y, en general, las </w:t>
      </w:r>
      <w:r w:rsidRPr="00DF24BE">
        <w:rPr>
          <w:rFonts w:ascii="Verdana" w:eastAsia="Times New Roman" w:hAnsi="Verdana" w:cs="Arial"/>
          <w:i/>
          <w:iCs/>
          <w:color w:val="000000" w:themeColor="text1"/>
          <w:kern w:val="2"/>
          <w:sz w:val="20"/>
          <w:szCs w:val="20"/>
          <w:lang w:val="es-ES" w:eastAsia="es-ES"/>
          <w14:ligatures w14:val="standardContextual"/>
        </w:rPr>
        <w:t>cláusulas o estipulaciones</w:t>
      </w:r>
      <w:r w:rsidRPr="00DF24BE">
        <w:rPr>
          <w:rFonts w:ascii="Verdana" w:eastAsia="Times New Roman" w:hAnsi="Verdana" w:cs="Arial"/>
          <w:color w:val="000000" w:themeColor="text1"/>
          <w:kern w:val="2"/>
          <w:sz w:val="20"/>
          <w:szCs w:val="20"/>
          <w:lang w:val="es-ES" w:eastAsia="es-ES"/>
          <w14:ligatures w14:val="standardContextual"/>
        </w:rPr>
        <w:t xml:space="preserve"> que las partes consideren necesarias y convenientes, siempre que no sean contrarias a la Constitución, la ley, el orden público y a los principios y finalidades de esta ley y a los de la buena administración.</w:t>
      </w:r>
    </w:p>
    <w:p w14:paraId="29A457B1" w14:textId="77777777" w:rsidR="0079427D" w:rsidRPr="00DF24BE" w:rsidRDefault="0079427D" w:rsidP="0079427D">
      <w:pPr>
        <w:ind w:left="709" w:right="709"/>
        <w:jc w:val="both"/>
        <w:rPr>
          <w:rFonts w:ascii="Verdana" w:eastAsia="Times New Roman" w:hAnsi="Verdana" w:cs="Arial"/>
          <w:color w:val="000000"/>
          <w:kern w:val="2"/>
          <w:sz w:val="20"/>
          <w:szCs w:val="20"/>
          <w:lang w:val="es-ES" w:eastAsia="es-ES"/>
          <w14:ligatures w14:val="standardContextual"/>
        </w:rPr>
      </w:pPr>
    </w:p>
    <w:p w14:paraId="20C4F9A5" w14:textId="77777777" w:rsidR="0079427D" w:rsidRDefault="0079427D" w:rsidP="00E35633">
      <w:pPr>
        <w:spacing w:line="276" w:lineRule="auto"/>
        <w:ind w:firstLine="708"/>
        <w:jc w:val="both"/>
        <w:rPr>
          <w:rFonts w:ascii="Verdana" w:hAnsi="Verdana" w:cs="Arial"/>
          <w:kern w:val="2"/>
          <w14:ligatures w14:val="standardContextual"/>
        </w:rPr>
      </w:pPr>
      <w:r w:rsidRPr="00DF24BE">
        <w:rPr>
          <w:rFonts w:ascii="Verdana" w:hAnsi="Verdana" w:cs="Arial"/>
          <w:kern w:val="2"/>
          <w14:ligatures w14:val="standardContextual"/>
        </w:rPr>
        <w:t xml:space="preserve">La suspensión del contrato debe estar sujeta a un plazo o al cumplimiento de una condición, pactada con criterios de razonabilidad y proporcionalidad entre las partes, acorde con la situación que se presente en cada caso, ya que la finalidad de la suspensión de un contrato estatal, como medida excepcional, está encaminada a reconocer la ocurrencia de situaciones de fuerza mayor, caso fortuito o de interés público que impiden la ejecución temporal del negocio </w:t>
      </w:r>
      <w:r w:rsidRPr="00DF24BE">
        <w:rPr>
          <w:rFonts w:ascii="Verdana" w:hAnsi="Verdana" w:cs="Arial"/>
          <w:kern w:val="2"/>
          <w14:ligatures w14:val="standardContextual"/>
        </w:rPr>
        <w:lastRenderedPageBreak/>
        <w:t>jurídico, y es precisamente por este motivo que no puede permanecer indefinida en el tiempo.</w:t>
      </w:r>
    </w:p>
    <w:p w14:paraId="741FFFB5" w14:textId="17EA28AC" w:rsidR="0079427D" w:rsidRPr="0079427D" w:rsidRDefault="0079427D" w:rsidP="0079427D">
      <w:pPr>
        <w:spacing w:before="120" w:after="120" w:line="276" w:lineRule="auto"/>
        <w:ind w:left="709" w:right="709"/>
        <w:jc w:val="both"/>
        <w:rPr>
          <w:rFonts w:ascii="Verdana" w:eastAsia="Times New Roman" w:hAnsi="Verdana" w:cs="Arial"/>
          <w:color w:val="000000"/>
          <w:sz w:val="21"/>
          <w:szCs w:val="21"/>
          <w:lang w:val="es-ES_tradnl" w:eastAsia="es-ES_tradnl"/>
        </w:rPr>
      </w:pPr>
      <w:r w:rsidRPr="007C4807">
        <w:rPr>
          <w:rFonts w:ascii="Verdana" w:hAnsi="Verdana"/>
          <w:sz w:val="21"/>
          <w:szCs w:val="21"/>
        </w:rPr>
        <w:t>Dado el interés público que gravita sobre la contratación estatal, las partes contratantes deberán en cada caso concreto: (i) ponderar que la naturaleza del contrato estatal admita la posibilidad de suspenderlo, (</w:t>
      </w:r>
      <w:proofErr w:type="spellStart"/>
      <w:r w:rsidRPr="007C4807">
        <w:rPr>
          <w:rFonts w:ascii="Verdana" w:hAnsi="Verdana"/>
          <w:sz w:val="21"/>
          <w:szCs w:val="21"/>
        </w:rPr>
        <w:t>ii</w:t>
      </w:r>
      <w:proofErr w:type="spellEnd"/>
      <w:r w:rsidRPr="007C4807">
        <w:rPr>
          <w:rFonts w:ascii="Verdana" w:hAnsi="Verdana"/>
          <w:sz w:val="21"/>
          <w:szCs w:val="21"/>
        </w:rPr>
        <w:t>) verificar que lo que se pacte no esté prohibido expresamente en la ley ni resulte contrario al orden público y a las buenas costumbres, (</w:t>
      </w:r>
      <w:proofErr w:type="spellStart"/>
      <w:r w:rsidRPr="007C4807">
        <w:rPr>
          <w:rFonts w:ascii="Verdana" w:hAnsi="Verdana"/>
          <w:sz w:val="21"/>
          <w:szCs w:val="21"/>
        </w:rPr>
        <w:t>iii</w:t>
      </w:r>
      <w:proofErr w:type="spellEnd"/>
      <w:r w:rsidRPr="007C4807">
        <w:rPr>
          <w:rFonts w:ascii="Verdana" w:hAnsi="Verdana"/>
          <w:sz w:val="21"/>
          <w:szCs w:val="21"/>
        </w:rPr>
        <w:t>) garantizar que la suspensión tenga por objeto la consecución del interés general y el cumplimiento de los fines estatales</w:t>
      </w:r>
      <w:r w:rsidRPr="007C4807">
        <w:rPr>
          <w:rStyle w:val="Refdenotaalpie"/>
          <w:rFonts w:ascii="Verdana" w:hAnsi="Verdana"/>
          <w:sz w:val="21"/>
          <w:szCs w:val="21"/>
        </w:rPr>
        <w:footnoteReference w:id="2"/>
      </w:r>
      <w:r w:rsidRPr="007C4807">
        <w:rPr>
          <w:rFonts w:ascii="Verdana" w:hAnsi="Verdana"/>
          <w:sz w:val="21"/>
          <w:szCs w:val="21"/>
        </w:rPr>
        <w:t>; y (</w:t>
      </w:r>
      <w:proofErr w:type="spellStart"/>
      <w:r w:rsidRPr="007C4807">
        <w:rPr>
          <w:rFonts w:ascii="Verdana" w:hAnsi="Verdana"/>
          <w:sz w:val="21"/>
          <w:szCs w:val="21"/>
        </w:rPr>
        <w:t>iv</w:t>
      </w:r>
      <w:proofErr w:type="spellEnd"/>
      <w:r w:rsidRPr="007C4807">
        <w:rPr>
          <w:rFonts w:ascii="Verdana" w:hAnsi="Verdana"/>
          <w:sz w:val="21"/>
          <w:szCs w:val="21"/>
        </w:rPr>
        <w:t>) demostrar y justificar que su ocurrencia obedece a razones de fuerza mayor, o caso fortuito, o que procura la satisfacción del interés público. (…) La suspensión temporal del contrato estatal requiere la concurrencia de la voluntad de los contratistas, lo que excluye la posibilidad de declararla unilateralmente. Lo anterior sin perjuicio de la suspensión de “facto”, en la cual no hay acuerdos, sino que únicamente se dejan constancias escritas de la ocurrencia de los eventos que impiden continuar con el cumplimiento de la obligación pactada</w:t>
      </w:r>
      <w:r w:rsidRPr="007C4807">
        <w:rPr>
          <w:rStyle w:val="Refdenotaalpie"/>
          <w:rFonts w:ascii="Verdana" w:hAnsi="Verdana"/>
          <w:sz w:val="21"/>
          <w:szCs w:val="21"/>
        </w:rPr>
        <w:footnoteReference w:id="3"/>
      </w:r>
      <w:r w:rsidRPr="007C4807">
        <w:rPr>
          <w:rFonts w:ascii="Verdana" w:hAnsi="Verdana"/>
          <w:sz w:val="21"/>
          <w:szCs w:val="21"/>
        </w:rPr>
        <w:t>.</w:t>
      </w:r>
    </w:p>
    <w:p w14:paraId="0AA1AB35" w14:textId="77777777" w:rsidR="0079427D" w:rsidRPr="0011467B" w:rsidRDefault="0079427D" w:rsidP="0079427D">
      <w:pPr>
        <w:spacing w:before="120" w:after="0" w:line="276" w:lineRule="auto"/>
        <w:jc w:val="both"/>
        <w:rPr>
          <w:rFonts w:ascii="Verdana" w:eastAsia="Calibri" w:hAnsi="Verdana" w:cs="Arial"/>
          <w:lang w:val="es-ES_tradnl"/>
        </w:rPr>
      </w:pPr>
    </w:p>
    <w:p w14:paraId="7731CBD2" w14:textId="77777777" w:rsidR="0079427D" w:rsidRPr="001A43C5" w:rsidRDefault="0079427D" w:rsidP="0079427D">
      <w:pPr>
        <w:spacing w:after="120" w:line="276" w:lineRule="auto"/>
        <w:jc w:val="both"/>
        <w:rPr>
          <w:rFonts w:ascii="Verdana" w:eastAsia="Century Gothic" w:hAnsi="Verdana" w:cs="Century Gothic"/>
          <w:b/>
          <w:bCs/>
          <w:lang w:val="es-ES"/>
        </w:rPr>
      </w:pPr>
      <w:r w:rsidRPr="0011467B">
        <w:rPr>
          <w:rFonts w:ascii="Verdana" w:eastAsia="Century Gothic" w:hAnsi="Verdana" w:cs="Century Gothic"/>
          <w:b/>
          <w:bCs/>
          <w:lang w:val="es-ES"/>
        </w:rPr>
        <w:t>Razones de la respuesta:</w:t>
      </w:r>
    </w:p>
    <w:p w14:paraId="4C6520A3" w14:textId="77777777" w:rsidR="0079427D" w:rsidRDefault="0079427D" w:rsidP="0079427D">
      <w:pPr>
        <w:spacing w:before="120" w:after="120" w:line="276" w:lineRule="auto"/>
        <w:jc w:val="both"/>
        <w:rPr>
          <w:rFonts w:ascii="Verdana" w:hAnsi="Verdana"/>
        </w:rPr>
      </w:pPr>
      <w:r w:rsidRPr="007C4807">
        <w:rPr>
          <w:rFonts w:ascii="Verdana" w:hAnsi="Verdana"/>
        </w:rPr>
        <w:t xml:space="preserve">“En estricto sentido, el contrato no cesa con la </w:t>
      </w:r>
      <w:proofErr w:type="gramStart"/>
      <w:r w:rsidRPr="007C4807">
        <w:rPr>
          <w:rFonts w:ascii="Verdana" w:hAnsi="Verdana"/>
        </w:rPr>
        <w:t>suspensión</w:t>
      </w:r>
      <w:proofErr w:type="gramEnd"/>
      <w:r w:rsidRPr="007C4807">
        <w:rPr>
          <w:rFonts w:ascii="Verdana" w:hAnsi="Verdana"/>
        </w:rPr>
        <w:t xml:space="preserve"> sino que sigue vigente, en estado potencial o de latencia, pues mientras la terminación de un contrato afecta como es obvio su subsistencia misma, la suspensión afecta las obligaciones que a las partes les resulta temporalmente imposible de cumplir. Una vez se ha aclarado que la suspensión no perturba el vínculo contractual sino solamente las obligaciones que de él emanan, también debe señalarse que dependiendo de la magnitud de la causa que la origine puede ser total o parcial. Es decir, puede imposibilitar el cumplimiento de la totalidad de las obligaciones de las partes o, puede impedir a los contratantes honrar solo algunas de estas pudiendo continuar con la ejecución de las demás. (…) Así las cosas, la suspensión materialmente constituye un intervalo pasivo en la dinámica del </w:t>
      </w:r>
      <w:r w:rsidRPr="007C4807">
        <w:rPr>
          <w:rFonts w:ascii="Verdana" w:hAnsi="Verdana"/>
        </w:rPr>
        <w:lastRenderedPageBreak/>
        <w:t>contrato cuando el cumplimiento de una, de varias o de todas las obligaciones a que están obligadas las partes resultan imposibles de ejecutar”</w:t>
      </w:r>
      <w:r w:rsidRPr="007C4807">
        <w:rPr>
          <w:rStyle w:val="Refdenotaalpie"/>
          <w:rFonts w:ascii="Verdana" w:hAnsi="Verdana"/>
        </w:rPr>
        <w:footnoteReference w:id="4"/>
      </w:r>
      <w:r w:rsidRPr="007C4807">
        <w:rPr>
          <w:rFonts w:ascii="Verdana" w:hAnsi="Verdana"/>
        </w:rPr>
        <w:t>.</w:t>
      </w:r>
    </w:p>
    <w:p w14:paraId="4FAC65EF" w14:textId="77777777" w:rsidR="00671073" w:rsidRPr="007C4807" w:rsidRDefault="00671073" w:rsidP="0079427D">
      <w:pPr>
        <w:spacing w:before="120" w:after="120" w:line="276" w:lineRule="auto"/>
        <w:jc w:val="both"/>
        <w:rPr>
          <w:rFonts w:ascii="Verdana" w:eastAsia="Times New Roman" w:hAnsi="Verdana" w:cs="Arial"/>
          <w:color w:val="000000"/>
          <w:lang w:val="es-ES_tradnl" w:eastAsia="es-ES_tradnl"/>
        </w:rPr>
      </w:pPr>
    </w:p>
    <w:p w14:paraId="5EA1F60A" w14:textId="77777777" w:rsidR="0079427D" w:rsidRPr="007C4807" w:rsidRDefault="0079427D" w:rsidP="0079427D">
      <w:pPr>
        <w:spacing w:before="120" w:after="120" w:line="276" w:lineRule="auto"/>
        <w:ind w:firstLine="709"/>
        <w:jc w:val="both"/>
        <w:rPr>
          <w:rFonts w:ascii="Verdana" w:eastAsia="Times New Roman" w:hAnsi="Verdana" w:cs="Arial"/>
          <w:color w:val="000000"/>
          <w:lang w:val="es-ES_tradnl" w:eastAsia="es-ES_tradnl"/>
        </w:rPr>
      </w:pPr>
      <w:r w:rsidRPr="007C4807">
        <w:rPr>
          <w:rFonts w:ascii="Verdana" w:eastAsia="Times New Roman" w:hAnsi="Verdana" w:cs="Arial"/>
          <w:color w:val="000000"/>
          <w:lang w:val="es-ES_tradnl" w:eastAsia="es-ES_tradnl"/>
        </w:rPr>
        <w:t xml:space="preserve">En ese orden, la </w:t>
      </w:r>
      <w:r w:rsidRPr="007C4807">
        <w:rPr>
          <w:rFonts w:ascii="Verdana" w:eastAsia="Times New Roman" w:hAnsi="Verdana" w:cs="Arial"/>
          <w:i/>
          <w:iCs/>
          <w:color w:val="000000"/>
          <w:lang w:val="es-ES_tradnl" w:eastAsia="es-ES_tradnl"/>
        </w:rPr>
        <w:t>suspensión</w:t>
      </w:r>
      <w:r w:rsidRPr="007C4807">
        <w:rPr>
          <w:rFonts w:ascii="Verdana" w:eastAsia="Times New Roman" w:hAnsi="Verdana" w:cs="Arial"/>
          <w:color w:val="000000"/>
          <w:lang w:val="es-ES_tradnl" w:eastAsia="es-ES_tradnl"/>
        </w:rPr>
        <w:t xml:space="preserve"> es la medida por la cual se acuerda el cese provisional de la ejecución del contrato, por la ocurrencia de circunstancias que lo impiden o lo dificultan</w:t>
      </w:r>
      <w:r w:rsidRPr="007C4807">
        <w:rPr>
          <w:rStyle w:val="Refdenotaalpie"/>
          <w:rFonts w:ascii="Verdana" w:hAnsi="Verdana" w:cs="Arial"/>
        </w:rPr>
        <w:footnoteReference w:id="5"/>
      </w:r>
      <w:r w:rsidRPr="007C4807">
        <w:rPr>
          <w:rFonts w:ascii="Verdana" w:eastAsia="Times New Roman" w:hAnsi="Verdana" w:cs="Arial"/>
          <w:color w:val="000000"/>
          <w:lang w:val="es-ES_tradnl" w:eastAsia="es-ES_tradnl"/>
        </w:rPr>
        <w:t xml:space="preserve">. Las razones de aquella pueden ser de orden técnico, jurídico o económico. En la medida de lo posible, las entidades estatales, durante la fase de planeación debe precaver los riesgos que pueden afectar la ejecución normal del contrato, pero esto no elimina la probabilidad de que ocurran sucesos posteriores y extraordinarios que lleven a las partes a acordar la suspensión o que paralicen el contrato </w:t>
      </w:r>
      <w:r w:rsidRPr="007C4807">
        <w:rPr>
          <w:rFonts w:ascii="Verdana" w:eastAsia="Times New Roman" w:hAnsi="Verdana" w:cs="Arial"/>
          <w:i/>
          <w:iCs/>
          <w:color w:val="000000"/>
          <w:lang w:val="es-ES_tradnl" w:eastAsia="es-ES_tradnl"/>
        </w:rPr>
        <w:t>de facto</w:t>
      </w:r>
      <w:r w:rsidRPr="007C4807">
        <w:rPr>
          <w:rFonts w:ascii="Verdana" w:eastAsia="Times New Roman" w:hAnsi="Verdana" w:cs="Arial"/>
          <w:color w:val="000000"/>
          <w:lang w:val="es-ES_tradnl" w:eastAsia="es-ES_tradnl"/>
        </w:rPr>
        <w:t>, mientras se resuelven las situaciones que están incidiendo negativamente en el desarrollo del negocio o que lo están tornando imposible. Esto quiere decir que la suspensión puede ser acordada por las partes –como usualmente sucede y es lo más recomendable, siempre que existan motivos fundados para ello– o darse por la fuerza de los hechos, es decir, por la configuración de eventos externos e irresistibles que hagan imposible la ejecución del contrato durante un tiempo</w:t>
      </w:r>
      <w:r w:rsidRPr="007C4807">
        <w:rPr>
          <w:rStyle w:val="Refdenotaalpie"/>
          <w:rFonts w:ascii="Verdana" w:hAnsi="Verdana" w:cs="Arial"/>
        </w:rPr>
        <w:footnoteReference w:id="6"/>
      </w:r>
      <w:r w:rsidRPr="007C4807">
        <w:rPr>
          <w:rFonts w:ascii="Verdana" w:eastAsia="Times New Roman" w:hAnsi="Verdana" w:cs="Arial"/>
          <w:color w:val="000000"/>
          <w:lang w:val="es-ES_tradnl" w:eastAsia="es-ES_tradnl"/>
        </w:rPr>
        <w:t>; es decir, por factores que constituyan razones de fuerza mayor o caso fortuito</w:t>
      </w:r>
      <w:r>
        <w:rPr>
          <w:rFonts w:ascii="Verdana" w:eastAsia="Times New Roman" w:hAnsi="Verdana" w:cs="Arial"/>
          <w:color w:val="000000"/>
          <w:lang w:val="es-ES_tradnl" w:eastAsia="es-ES_tradnl"/>
        </w:rPr>
        <w:t>,</w:t>
      </w:r>
      <w:r w:rsidRPr="00A1715E">
        <w:rPr>
          <w:rFonts w:ascii="Verdana" w:eastAsia="Times New Roman" w:hAnsi="Verdana" w:cs="Arial"/>
          <w:color w:val="000000"/>
          <w:lang w:val="es-ES_tradnl" w:eastAsia="es-ES_tradnl"/>
        </w:rPr>
        <w:t xml:space="preserve"> o que procura la satisfacción del interés público</w:t>
      </w:r>
      <w:r w:rsidRPr="007C4807">
        <w:rPr>
          <w:rStyle w:val="Refdenotaalpie"/>
          <w:rFonts w:ascii="Verdana" w:hAnsi="Verdana" w:cs="Arial"/>
        </w:rPr>
        <w:footnoteReference w:id="7"/>
      </w:r>
      <w:r w:rsidRPr="007C4807">
        <w:rPr>
          <w:rFonts w:ascii="Verdana" w:eastAsia="Times New Roman" w:hAnsi="Verdana" w:cs="Arial"/>
          <w:color w:val="000000"/>
          <w:lang w:val="es-ES_tradnl" w:eastAsia="es-ES_tradnl"/>
        </w:rPr>
        <w:t xml:space="preserve">. En ese sentido se ha pronunciado el Consejo de Estado manifestando que: </w:t>
      </w:r>
    </w:p>
    <w:p w14:paraId="0668BBE5" w14:textId="77777777" w:rsidR="0079427D" w:rsidRPr="007C4807" w:rsidRDefault="0079427D" w:rsidP="0079427D">
      <w:pPr>
        <w:spacing w:before="120" w:after="120" w:line="276" w:lineRule="auto"/>
        <w:ind w:left="709" w:right="709"/>
        <w:jc w:val="both"/>
        <w:rPr>
          <w:rFonts w:ascii="Verdana" w:eastAsia="Times New Roman" w:hAnsi="Verdana" w:cs="Arial"/>
          <w:color w:val="000000"/>
          <w:sz w:val="21"/>
          <w:szCs w:val="21"/>
          <w:lang w:val="es-ES_tradnl" w:eastAsia="es-ES_tradnl"/>
        </w:rPr>
      </w:pPr>
      <w:r w:rsidRPr="007C4807">
        <w:rPr>
          <w:rFonts w:ascii="Verdana" w:hAnsi="Verdana"/>
          <w:sz w:val="21"/>
          <w:szCs w:val="21"/>
        </w:rPr>
        <w:t>Dado el interés público que gravita sobre la contratación estatal, las partes contratantes deberán en cada caso concreto: (i) ponderar que la naturaleza del contrato estatal admita la posibilidad de suspenderlo, (</w:t>
      </w:r>
      <w:proofErr w:type="spellStart"/>
      <w:r w:rsidRPr="007C4807">
        <w:rPr>
          <w:rFonts w:ascii="Verdana" w:hAnsi="Verdana"/>
          <w:sz w:val="21"/>
          <w:szCs w:val="21"/>
        </w:rPr>
        <w:t>ii</w:t>
      </w:r>
      <w:proofErr w:type="spellEnd"/>
      <w:r w:rsidRPr="007C4807">
        <w:rPr>
          <w:rFonts w:ascii="Verdana" w:hAnsi="Verdana"/>
          <w:sz w:val="21"/>
          <w:szCs w:val="21"/>
        </w:rPr>
        <w:t>) verificar que lo que se pacte no esté prohibido expresamente en la ley ni resulte contrario al orden público y a las buenas costumbres, (</w:t>
      </w:r>
      <w:proofErr w:type="spellStart"/>
      <w:r w:rsidRPr="007C4807">
        <w:rPr>
          <w:rFonts w:ascii="Verdana" w:hAnsi="Verdana"/>
          <w:sz w:val="21"/>
          <w:szCs w:val="21"/>
        </w:rPr>
        <w:t>iii</w:t>
      </w:r>
      <w:proofErr w:type="spellEnd"/>
      <w:r w:rsidRPr="007C4807">
        <w:rPr>
          <w:rFonts w:ascii="Verdana" w:hAnsi="Verdana"/>
          <w:sz w:val="21"/>
          <w:szCs w:val="21"/>
        </w:rPr>
        <w:t>) garantizar que la suspensión tenga por objeto la consecución del interés general y el cumplimiento de los fines estatales</w:t>
      </w:r>
      <w:r w:rsidRPr="007C4807">
        <w:rPr>
          <w:rStyle w:val="Refdenotaalpie"/>
          <w:rFonts w:ascii="Verdana" w:hAnsi="Verdana"/>
          <w:sz w:val="21"/>
          <w:szCs w:val="21"/>
        </w:rPr>
        <w:footnoteReference w:id="8"/>
      </w:r>
      <w:r w:rsidRPr="007C4807">
        <w:rPr>
          <w:rFonts w:ascii="Verdana" w:hAnsi="Verdana"/>
          <w:sz w:val="21"/>
          <w:szCs w:val="21"/>
        </w:rPr>
        <w:t>; y (</w:t>
      </w:r>
      <w:proofErr w:type="spellStart"/>
      <w:r w:rsidRPr="007C4807">
        <w:rPr>
          <w:rFonts w:ascii="Verdana" w:hAnsi="Verdana"/>
          <w:sz w:val="21"/>
          <w:szCs w:val="21"/>
        </w:rPr>
        <w:t>iv</w:t>
      </w:r>
      <w:proofErr w:type="spellEnd"/>
      <w:r w:rsidRPr="007C4807">
        <w:rPr>
          <w:rFonts w:ascii="Verdana" w:hAnsi="Verdana"/>
          <w:sz w:val="21"/>
          <w:szCs w:val="21"/>
        </w:rPr>
        <w:t xml:space="preserve">) demostrar y justificar que su ocurrencia obedece a razones de fuerza mayor, o caso fortuito, o que procura la satisfacción del interés público. (…) La suspensión temporal del contrato estatal requiere la </w:t>
      </w:r>
      <w:r w:rsidRPr="007C4807">
        <w:rPr>
          <w:rFonts w:ascii="Verdana" w:hAnsi="Verdana"/>
          <w:sz w:val="21"/>
          <w:szCs w:val="21"/>
        </w:rPr>
        <w:lastRenderedPageBreak/>
        <w:t>concurrencia de la voluntad de los contratistas, lo que excluye la posibilidad de declararla unilateralmente. Lo anterior sin perjuicio de la suspensión de “facto”, en la cual no hay acuerdos, sino que únicamente se dejan constancias escritas de la ocurrencia de los eventos que impiden continuar con el cumplimiento de la obligación pactada</w:t>
      </w:r>
      <w:r w:rsidRPr="007C4807">
        <w:rPr>
          <w:rStyle w:val="Refdenotaalpie"/>
          <w:rFonts w:ascii="Verdana" w:hAnsi="Verdana"/>
          <w:sz w:val="21"/>
          <w:szCs w:val="21"/>
        </w:rPr>
        <w:footnoteReference w:id="9"/>
      </w:r>
      <w:r w:rsidRPr="007C4807">
        <w:rPr>
          <w:rFonts w:ascii="Verdana" w:hAnsi="Verdana"/>
          <w:sz w:val="21"/>
          <w:szCs w:val="21"/>
        </w:rPr>
        <w:t>.</w:t>
      </w:r>
    </w:p>
    <w:p w14:paraId="7AFD06FF" w14:textId="77777777" w:rsidR="0079427D" w:rsidRPr="007C4807" w:rsidRDefault="0079427D" w:rsidP="0079427D">
      <w:pPr>
        <w:spacing w:before="120" w:after="120" w:line="276" w:lineRule="auto"/>
        <w:ind w:firstLine="709"/>
        <w:jc w:val="both"/>
        <w:rPr>
          <w:rFonts w:ascii="Verdana" w:eastAsia="Times New Roman" w:hAnsi="Verdana" w:cs="Arial"/>
          <w:color w:val="000000"/>
          <w:lang w:val="es-ES_tradnl" w:eastAsia="es-ES_tradnl"/>
        </w:rPr>
      </w:pPr>
      <w:r w:rsidRPr="007C4807">
        <w:rPr>
          <w:rFonts w:ascii="Verdana" w:eastAsia="Times New Roman" w:hAnsi="Verdana" w:cs="Arial"/>
          <w:color w:val="000000"/>
          <w:lang w:val="es-ES_tradnl" w:eastAsia="es-ES_tradnl"/>
        </w:rPr>
        <w:t>Por lo tanto, aun cuando un contrato se suspenda, conserva vigencia, pues su plazo no ha vencido, precisamente uno de los efectos de la suspensión es que se detiene provisionalmente el cómputo del plazo y, además las obligaciones de las partes están pendientes de cumplimiento a cabalidad. Solo cuando los motivos que han dado lugar a la suspensión sean permanentes e irresistibles, lo que inicialmente fue solo dicha suspensión puede dar paso a la terminación, y en este evento el deudor no será responsable, salvo que las razones de la suspensión y futura terminación le sean imputables</w:t>
      </w:r>
      <w:r w:rsidRPr="007C4807">
        <w:rPr>
          <w:rStyle w:val="Refdenotaalpie"/>
          <w:rFonts w:ascii="Verdana" w:hAnsi="Verdana" w:cs="Arial"/>
        </w:rPr>
        <w:footnoteReference w:id="10"/>
      </w:r>
      <w:r w:rsidRPr="007C4807">
        <w:rPr>
          <w:rFonts w:ascii="Verdana" w:eastAsia="Times New Roman" w:hAnsi="Verdana" w:cs="Arial"/>
          <w:color w:val="000000"/>
          <w:lang w:val="es-ES_tradnl" w:eastAsia="es-ES_tradnl"/>
        </w:rPr>
        <w:t>. Piénsese, por ejemplo, en el caso de un contrato de suministro respecto del cual el contratista le solicite a la entidad estatal la suspensión por la tardanza de uno de sus proveedores, y que luego se compruebe que la demora es atribuible a la falta de pago del contratista a dichos comerciantes, quienes por eso se niegan en adelante a seguirle vendiendo. Conductas como esta podrían hacer que la suspensión sea permanente y que la entidad estatal se vea en la obligación de terminar el contrato para no afectar la prestación del servicio a su cargo, ni, en consecuencia, los fines del Estado</w:t>
      </w:r>
      <w:r w:rsidRPr="007C4807">
        <w:rPr>
          <w:rStyle w:val="Refdenotaalpie"/>
          <w:rFonts w:ascii="Verdana" w:hAnsi="Verdana" w:cs="Arial"/>
        </w:rPr>
        <w:footnoteReference w:id="11"/>
      </w:r>
      <w:r w:rsidRPr="007C4807">
        <w:rPr>
          <w:rFonts w:ascii="Verdana" w:eastAsia="Times New Roman" w:hAnsi="Verdana" w:cs="Arial"/>
          <w:color w:val="000000"/>
          <w:lang w:val="es-ES_tradnl" w:eastAsia="es-ES_tradnl"/>
        </w:rPr>
        <w:t>.</w:t>
      </w:r>
    </w:p>
    <w:p w14:paraId="5802576D" w14:textId="77777777" w:rsidR="0079427D" w:rsidRPr="007C4807" w:rsidRDefault="0079427D" w:rsidP="0079427D">
      <w:pPr>
        <w:spacing w:before="120" w:after="0" w:line="276" w:lineRule="auto"/>
        <w:ind w:firstLine="709"/>
        <w:jc w:val="both"/>
        <w:rPr>
          <w:rFonts w:ascii="Verdana" w:eastAsia="Times New Roman" w:hAnsi="Verdana" w:cs="Arial"/>
          <w:color w:val="000000"/>
          <w:lang w:val="es-ES_tradnl" w:eastAsia="es-ES_tradnl"/>
        </w:rPr>
      </w:pPr>
      <w:r w:rsidRPr="007C4807">
        <w:rPr>
          <w:rFonts w:ascii="Verdana" w:eastAsia="Times New Roman" w:hAnsi="Verdana" w:cs="Arial"/>
          <w:color w:val="000000"/>
          <w:lang w:val="es-ES_tradnl" w:eastAsia="es-ES_tradnl"/>
        </w:rPr>
        <w:t xml:space="preserve">Ahora bien, cuando se suscribe un acta de suspensión se puede establecer, en ejercicio de la autonomía de la voluntad, que el plazo del contrato se reactivará una vez se firme el acta de reinicio correspondiente. Sin embargo, en ejercicio de la misma autonomía de la voluntad y en consideración a las razones que han motivado el cese provisional de la ejecución del contrato, otra metodología que pueden emplear las partes para elaborar el acta de suspensión es indicar en ella que la ejecución se reactivará cuando se cumpla un determinado plazo o condición, de manera automática, sin necesidad de suscribir </w:t>
      </w:r>
      <w:r w:rsidRPr="007C4807">
        <w:rPr>
          <w:rFonts w:ascii="Verdana" w:eastAsia="Times New Roman" w:hAnsi="Verdana" w:cs="Arial"/>
          <w:color w:val="000000"/>
          <w:lang w:val="es-ES_tradnl" w:eastAsia="es-ES_tradnl"/>
        </w:rPr>
        <w:lastRenderedPageBreak/>
        <w:t xml:space="preserve">un acta de reinicio. Esto es posible, porque el segundo y tercer inciso del artículo 40 de la Ley 80 de 1993 establecen: </w:t>
      </w:r>
    </w:p>
    <w:p w14:paraId="6CE0D4ED" w14:textId="77777777" w:rsidR="0079427D" w:rsidRPr="007C4807" w:rsidRDefault="0079427D" w:rsidP="0079427D">
      <w:pPr>
        <w:spacing w:after="0" w:line="240" w:lineRule="auto"/>
        <w:ind w:left="709" w:right="709"/>
        <w:jc w:val="both"/>
        <w:rPr>
          <w:rFonts w:ascii="Verdana" w:eastAsia="Times New Roman" w:hAnsi="Verdana" w:cs="Arial"/>
          <w:color w:val="000000"/>
          <w:sz w:val="21"/>
          <w:szCs w:val="21"/>
          <w:lang w:val="es-ES_tradnl" w:eastAsia="es-ES_tradnl"/>
        </w:rPr>
      </w:pPr>
    </w:p>
    <w:p w14:paraId="08556A42" w14:textId="77777777" w:rsidR="0079427D" w:rsidRPr="007C4807" w:rsidRDefault="0079427D" w:rsidP="0079427D">
      <w:pPr>
        <w:spacing w:after="0" w:line="240" w:lineRule="auto"/>
        <w:ind w:left="709" w:right="709"/>
        <w:jc w:val="both"/>
        <w:rPr>
          <w:rFonts w:ascii="Verdana" w:eastAsia="Times New Roman" w:hAnsi="Verdana" w:cs="Arial"/>
          <w:color w:val="000000"/>
          <w:sz w:val="20"/>
          <w:szCs w:val="20"/>
          <w:lang w:val="es-ES_tradnl" w:eastAsia="es-ES_tradnl"/>
        </w:rPr>
      </w:pPr>
      <w:r w:rsidRPr="007C4807">
        <w:rPr>
          <w:rFonts w:ascii="Verdana" w:eastAsia="Times New Roman" w:hAnsi="Verdana" w:cs="Arial"/>
          <w:color w:val="000000"/>
          <w:sz w:val="20"/>
          <w:szCs w:val="20"/>
          <w:lang w:val="es-ES_tradnl" w:eastAsia="es-ES_tradnl"/>
        </w:rPr>
        <w:t>Las entidades podrán celebrar los contratos y acuerdos que permitan la autonomía de la voluntad y requieran el cumplimiento de los fines estatales.</w:t>
      </w:r>
    </w:p>
    <w:p w14:paraId="4FDA17A7" w14:textId="77777777" w:rsidR="0079427D" w:rsidRPr="007C4807" w:rsidRDefault="0079427D" w:rsidP="0079427D">
      <w:pPr>
        <w:spacing w:after="0" w:line="240" w:lineRule="auto"/>
        <w:ind w:left="709" w:right="709"/>
        <w:jc w:val="both"/>
        <w:rPr>
          <w:rFonts w:ascii="Verdana" w:eastAsia="Times New Roman" w:hAnsi="Verdana" w:cs="Arial"/>
          <w:color w:val="000000"/>
          <w:sz w:val="20"/>
          <w:szCs w:val="20"/>
          <w:lang w:val="es-ES_tradnl" w:eastAsia="es-ES_tradnl"/>
        </w:rPr>
      </w:pPr>
    </w:p>
    <w:p w14:paraId="7CCA4BEA" w14:textId="77777777" w:rsidR="0079427D" w:rsidRPr="007C4807" w:rsidRDefault="0079427D" w:rsidP="0079427D">
      <w:pPr>
        <w:spacing w:after="0" w:line="240" w:lineRule="auto"/>
        <w:ind w:left="709" w:right="709"/>
        <w:jc w:val="both"/>
        <w:rPr>
          <w:rFonts w:ascii="Verdana" w:eastAsia="Times New Roman" w:hAnsi="Verdana" w:cs="Arial"/>
          <w:color w:val="000000"/>
          <w:sz w:val="20"/>
          <w:szCs w:val="20"/>
          <w:lang w:val="es-ES" w:eastAsia="es-ES"/>
        </w:rPr>
      </w:pPr>
      <w:r w:rsidRPr="007C4807">
        <w:rPr>
          <w:rFonts w:ascii="Verdana" w:eastAsia="Times New Roman" w:hAnsi="Verdana" w:cs="Arial"/>
          <w:i/>
          <w:iCs/>
          <w:color w:val="000000" w:themeColor="text1"/>
          <w:sz w:val="20"/>
          <w:szCs w:val="20"/>
          <w:lang w:val="es-ES" w:eastAsia="es-ES"/>
        </w:rPr>
        <w:t>En los contratos que celebren las entidades estatales podrán incluirse las</w:t>
      </w:r>
      <w:r w:rsidRPr="007C4807">
        <w:rPr>
          <w:rFonts w:ascii="Verdana" w:eastAsia="Times New Roman" w:hAnsi="Verdana" w:cs="Arial"/>
          <w:color w:val="000000" w:themeColor="text1"/>
          <w:sz w:val="20"/>
          <w:szCs w:val="20"/>
          <w:lang w:val="es-ES" w:eastAsia="es-ES"/>
        </w:rPr>
        <w:t xml:space="preserve"> modalidades, </w:t>
      </w:r>
      <w:r w:rsidRPr="007C4807">
        <w:rPr>
          <w:rFonts w:ascii="Verdana" w:eastAsia="Times New Roman" w:hAnsi="Verdana" w:cs="Arial"/>
          <w:i/>
          <w:iCs/>
          <w:color w:val="000000" w:themeColor="text1"/>
          <w:sz w:val="20"/>
          <w:szCs w:val="20"/>
          <w:lang w:val="es-ES" w:eastAsia="es-ES"/>
        </w:rPr>
        <w:t>condiciones</w:t>
      </w:r>
      <w:r w:rsidRPr="007C4807">
        <w:rPr>
          <w:rFonts w:ascii="Verdana" w:eastAsia="Times New Roman" w:hAnsi="Verdana" w:cs="Arial"/>
          <w:color w:val="000000" w:themeColor="text1"/>
          <w:sz w:val="20"/>
          <w:szCs w:val="20"/>
          <w:lang w:val="es-ES" w:eastAsia="es-ES"/>
        </w:rPr>
        <w:t xml:space="preserve"> y, en general, las </w:t>
      </w:r>
      <w:r w:rsidRPr="007C4807">
        <w:rPr>
          <w:rFonts w:ascii="Verdana" w:eastAsia="Times New Roman" w:hAnsi="Verdana" w:cs="Arial"/>
          <w:i/>
          <w:iCs/>
          <w:color w:val="000000" w:themeColor="text1"/>
          <w:sz w:val="20"/>
          <w:szCs w:val="20"/>
          <w:lang w:val="es-ES" w:eastAsia="es-ES"/>
        </w:rPr>
        <w:t>cláusulas o estipulaciones</w:t>
      </w:r>
      <w:r w:rsidRPr="007C4807">
        <w:rPr>
          <w:rFonts w:ascii="Verdana" w:eastAsia="Times New Roman" w:hAnsi="Verdana" w:cs="Arial"/>
          <w:color w:val="000000" w:themeColor="text1"/>
          <w:sz w:val="20"/>
          <w:szCs w:val="20"/>
          <w:lang w:val="es-ES" w:eastAsia="es-ES"/>
        </w:rPr>
        <w:t xml:space="preserve"> que las partes consideren necesarias y convenientes, siempre que no sean contrarias a la Constitución, la ley, el orden público y a los principios y finalidades de esta ley y a los de la buena administración [énfasis fuera de texto].</w:t>
      </w:r>
    </w:p>
    <w:p w14:paraId="77CF3F93" w14:textId="77777777" w:rsidR="0079427D" w:rsidRPr="007C4807" w:rsidRDefault="0079427D" w:rsidP="0079427D">
      <w:pPr>
        <w:spacing w:after="0" w:line="276" w:lineRule="auto"/>
        <w:ind w:firstLine="709"/>
        <w:jc w:val="both"/>
        <w:rPr>
          <w:rFonts w:ascii="Verdana" w:eastAsia="Times New Roman" w:hAnsi="Verdana" w:cs="Arial"/>
          <w:color w:val="000000"/>
          <w:lang w:val="es-ES_tradnl" w:eastAsia="es-ES_tradnl"/>
        </w:rPr>
      </w:pPr>
    </w:p>
    <w:p w14:paraId="64C6D613" w14:textId="77777777" w:rsidR="0079427D" w:rsidRPr="007C4807" w:rsidRDefault="0079427D" w:rsidP="0079427D">
      <w:pPr>
        <w:spacing w:after="120" w:line="276" w:lineRule="auto"/>
        <w:ind w:firstLine="709"/>
        <w:jc w:val="both"/>
        <w:rPr>
          <w:rFonts w:ascii="Verdana" w:eastAsia="Times New Roman" w:hAnsi="Verdana" w:cs="Arial"/>
          <w:color w:val="000000"/>
          <w:lang w:val="es-ES_tradnl" w:eastAsia="es-ES_tradnl"/>
        </w:rPr>
      </w:pPr>
      <w:r w:rsidRPr="007C4807">
        <w:rPr>
          <w:rFonts w:ascii="Verdana" w:eastAsia="Times New Roman" w:hAnsi="Verdana" w:cs="Arial"/>
          <w:color w:val="000000"/>
          <w:lang w:val="es-ES_tradnl" w:eastAsia="es-ES_tradnl"/>
        </w:rPr>
        <w:t xml:space="preserve">Como se observa, en los negocios jurídicos –y el acta de suspensión lo es, porque se trata de un acuerdo de voluntades para crear obligaciones– las entidades pueden incorporar las </w:t>
      </w:r>
      <w:r w:rsidRPr="007C4807">
        <w:rPr>
          <w:rFonts w:ascii="Verdana" w:eastAsia="Times New Roman" w:hAnsi="Verdana" w:cs="Arial"/>
          <w:i/>
          <w:iCs/>
          <w:color w:val="000000"/>
          <w:lang w:val="es-ES_tradnl" w:eastAsia="es-ES_tradnl"/>
        </w:rPr>
        <w:t>condiciones</w:t>
      </w:r>
      <w:r w:rsidRPr="007C4807">
        <w:rPr>
          <w:rFonts w:ascii="Verdana" w:eastAsia="Times New Roman" w:hAnsi="Verdana" w:cs="Arial"/>
          <w:color w:val="000000"/>
          <w:lang w:val="es-ES_tradnl" w:eastAsia="es-ES_tradnl"/>
        </w:rPr>
        <w:t xml:space="preserve"> y </w:t>
      </w:r>
      <w:r w:rsidRPr="007C4807">
        <w:rPr>
          <w:rFonts w:ascii="Verdana" w:eastAsia="Times New Roman" w:hAnsi="Verdana" w:cs="Arial"/>
          <w:i/>
          <w:iCs/>
          <w:color w:val="000000"/>
          <w:lang w:val="es-ES_tradnl" w:eastAsia="es-ES_tradnl"/>
        </w:rPr>
        <w:t xml:space="preserve">cláusulas </w:t>
      </w:r>
      <w:r w:rsidRPr="007C4807">
        <w:rPr>
          <w:rFonts w:ascii="Verdana" w:eastAsia="Times New Roman" w:hAnsi="Verdana" w:cs="Arial"/>
          <w:color w:val="000000"/>
          <w:lang w:val="es-ES_tradnl" w:eastAsia="es-ES_tradnl"/>
        </w:rPr>
        <w:t>que sean necesarias y convenientes. Pues bien, de conformidad con los artículos 1530 y siguientes del Código Civil –que establecen las condiciones o términos a los que pueden sujetarse las obligaciones, y que se aplican por la remisión que hacen los artículos 13, 32 y 40 de la Ley 80 de 1993 a las normas civiles y comerciales–, en el acta de suspensión puede estipularse que el plazo de ejecución del contrato se reactivará cuando se cumpla una condición o sobrevenga una fecha específica. Así lo ha reconocido el Consejo de Estado</w:t>
      </w:r>
      <w:r w:rsidRPr="007C4807">
        <w:rPr>
          <w:rStyle w:val="Refdenotaalpie"/>
          <w:rFonts w:ascii="Verdana" w:hAnsi="Verdana" w:cs="Arial"/>
        </w:rPr>
        <w:footnoteReference w:id="12"/>
      </w:r>
      <w:r w:rsidRPr="007C4807">
        <w:rPr>
          <w:rFonts w:ascii="Verdana" w:eastAsia="Times New Roman" w:hAnsi="Verdana" w:cs="Arial"/>
          <w:color w:val="000000"/>
          <w:lang w:val="es-ES_tradnl" w:eastAsia="es-ES_tradnl"/>
        </w:rPr>
        <w:t xml:space="preserve">. De este modo, atendiendo a los términos en los que se haya pactado la suspensión es posible que no sea necesario suscribir luego un acta de reinicio para que se reactive la ejecución del contrato, sino que tal reactivación opere </w:t>
      </w:r>
      <w:r w:rsidRPr="007C4807">
        <w:rPr>
          <w:rFonts w:ascii="Verdana" w:eastAsia="Times New Roman" w:hAnsi="Verdana" w:cs="Arial"/>
          <w:i/>
          <w:iCs/>
          <w:color w:val="000000"/>
          <w:lang w:val="es-ES_tradnl" w:eastAsia="es-ES_tradnl"/>
        </w:rPr>
        <w:t>automáticamente</w:t>
      </w:r>
      <w:r w:rsidRPr="007C4807">
        <w:rPr>
          <w:rFonts w:ascii="Verdana" w:eastAsia="Times New Roman" w:hAnsi="Verdana" w:cs="Arial"/>
          <w:color w:val="000000"/>
          <w:lang w:val="es-ES_tradnl" w:eastAsia="es-ES_tradnl"/>
        </w:rPr>
        <w:t xml:space="preserve">, cuando se cumpla la condición o fecha cierta. </w:t>
      </w:r>
    </w:p>
    <w:p w14:paraId="3B0F717E" w14:textId="6FB4EF39" w:rsidR="0079427D" w:rsidRPr="007C4807" w:rsidRDefault="0079427D" w:rsidP="0079427D">
      <w:pPr>
        <w:spacing w:before="120" w:after="120" w:line="276" w:lineRule="auto"/>
        <w:ind w:firstLine="709"/>
        <w:jc w:val="both"/>
        <w:rPr>
          <w:rFonts w:ascii="Verdana" w:eastAsia="Times New Roman" w:hAnsi="Verdana" w:cs="Arial"/>
          <w:color w:val="000000"/>
          <w:lang w:val="es-ES" w:eastAsia="es-ES"/>
        </w:rPr>
      </w:pPr>
      <w:r w:rsidRPr="0D1F3E97">
        <w:rPr>
          <w:rFonts w:ascii="Verdana" w:eastAsia="Times New Roman" w:hAnsi="Verdana" w:cs="Arial"/>
          <w:color w:val="000000" w:themeColor="text1"/>
          <w:lang w:val="es-ES" w:eastAsia="es-ES"/>
        </w:rPr>
        <w:t xml:space="preserve">Ha sostenido el Consejo de Estado, Sala de Consulta y Servicio Civil, </w:t>
      </w:r>
      <w:proofErr w:type="spellStart"/>
      <w:r w:rsidRPr="0D1F3E97">
        <w:rPr>
          <w:rFonts w:ascii="Verdana" w:eastAsia="Times New Roman" w:hAnsi="Verdana" w:cs="Arial"/>
          <w:color w:val="000000" w:themeColor="text1"/>
          <w:lang w:val="es-ES" w:eastAsia="es-ES"/>
        </w:rPr>
        <w:t>exp</w:t>
      </w:r>
      <w:proofErr w:type="spellEnd"/>
      <w:r w:rsidRPr="0D1F3E97">
        <w:rPr>
          <w:rFonts w:ascii="Verdana" w:eastAsia="Times New Roman" w:hAnsi="Verdana" w:cs="Arial"/>
          <w:color w:val="000000" w:themeColor="text1"/>
          <w:lang w:val="es-ES" w:eastAsia="es-ES"/>
        </w:rPr>
        <w:t xml:space="preserve">. 2278 de 2016, C.P. Germán Bula Escobar (E.), que la suspensión del contrato no modifica el término primigenio de ejecución pactado, el resultado es que, este se desplaza y altera la fecha de terminación </w:t>
      </w:r>
      <w:r w:rsidR="00413FDC" w:rsidRPr="0D1F3E97">
        <w:rPr>
          <w:rFonts w:ascii="Verdana" w:eastAsia="Times New Roman" w:hAnsi="Verdana" w:cs="Arial"/>
          <w:color w:val="000000" w:themeColor="text1"/>
          <w:lang w:val="es-ES" w:eastAsia="es-ES"/>
        </w:rPr>
        <w:t>de este</w:t>
      </w:r>
      <w:r w:rsidRPr="0D1F3E97">
        <w:rPr>
          <w:rFonts w:ascii="Verdana" w:eastAsia="Times New Roman" w:hAnsi="Verdana" w:cs="Arial"/>
          <w:color w:val="000000" w:themeColor="text1"/>
          <w:lang w:val="es-ES" w:eastAsia="es-ES"/>
        </w:rPr>
        <w:t>.</w:t>
      </w:r>
    </w:p>
    <w:p w14:paraId="5A81B967" w14:textId="77777777" w:rsidR="0079427D" w:rsidRPr="000221F1" w:rsidRDefault="0079427D" w:rsidP="0079427D">
      <w:pPr>
        <w:spacing w:before="120" w:after="120" w:line="240" w:lineRule="auto"/>
        <w:ind w:left="709" w:right="709"/>
        <w:jc w:val="both"/>
        <w:rPr>
          <w:rFonts w:ascii="Verdana" w:hAnsi="Verdana"/>
          <w:sz w:val="21"/>
          <w:szCs w:val="21"/>
        </w:rPr>
      </w:pPr>
      <w:r w:rsidRPr="000221F1">
        <w:rPr>
          <w:rFonts w:ascii="Verdana" w:hAnsi="Verdana"/>
          <w:sz w:val="21"/>
          <w:szCs w:val="21"/>
        </w:rPr>
        <w:t xml:space="preserve">Se ha establecido </w:t>
      </w:r>
      <w:proofErr w:type="gramStart"/>
      <w:r w:rsidRPr="000221F1">
        <w:rPr>
          <w:rFonts w:ascii="Verdana" w:hAnsi="Verdana"/>
          <w:sz w:val="21"/>
          <w:szCs w:val="21"/>
        </w:rPr>
        <w:t>que</w:t>
      </w:r>
      <w:proofErr w:type="gramEnd"/>
      <w:r w:rsidRPr="000221F1">
        <w:rPr>
          <w:rFonts w:ascii="Verdana" w:hAnsi="Verdana"/>
          <w:sz w:val="21"/>
          <w:szCs w:val="21"/>
        </w:rPr>
        <w:t xml:space="preserve"> durante la ocurrencia de la suspensión acordada por las partes en la ejecución del contrato, ante la imposibilidad de ejecutarlo, no se hacen exigibles determinadas obligaciones y el plazo que los contratantes tienen para cumplirlas no transcurre. Esto es que el tiempo “se detiene”, y en consecuencia no se contabiliza. Por consiguiente, al reanudar el cumplimiento de las obligaciones, el </w:t>
      </w:r>
      <w:r w:rsidRPr="000221F1">
        <w:rPr>
          <w:rFonts w:ascii="Verdana" w:hAnsi="Verdana"/>
          <w:sz w:val="21"/>
          <w:szCs w:val="21"/>
        </w:rPr>
        <w:lastRenderedPageBreak/>
        <w:t xml:space="preserve">vencimiento del plazo que inicialmente estipularon las partes se posterga por un término igual al que duró la parálisis del negocio jurídico, lo que implica que se altera o desplaza la fecha de finalización del contrato. </w:t>
      </w:r>
    </w:p>
    <w:p w14:paraId="3DB27AF6" w14:textId="77777777" w:rsidR="0079427D" w:rsidRPr="000221F1" w:rsidRDefault="0079427D" w:rsidP="0079427D">
      <w:pPr>
        <w:spacing w:before="120" w:after="120" w:line="240" w:lineRule="auto"/>
        <w:ind w:left="709" w:right="709"/>
        <w:jc w:val="both"/>
        <w:rPr>
          <w:rFonts w:ascii="Verdana" w:hAnsi="Verdana"/>
          <w:sz w:val="21"/>
          <w:szCs w:val="21"/>
        </w:rPr>
      </w:pPr>
      <w:r w:rsidRPr="000221F1">
        <w:rPr>
          <w:rFonts w:ascii="Verdana" w:hAnsi="Verdana"/>
          <w:sz w:val="21"/>
          <w:szCs w:val="21"/>
        </w:rPr>
        <w:t>Ahora bien, debe advertirse que la forma en que la suspensión incide en el plazo de la ejecución del contrato no es modificándolo pues en estricto sentido este continúa siendo el mismo que inicialmente se pactó. Lo que ocurre es que, por el efecto mismo de la figura, se deja de contabilizar el tiempo y reinicia el conteo una vez termina la suspensión del contrato. Lo que cambia entonces no es el plazo, sino el término o la fecha determinada en el contrato para el cumplimiento de la obligación principal. Por ejemplo, si el cumplimiento de un contrato se sometió a la modalidad de un plazo extintivo de 31 días que inició el 1 de marzo y debía terminar el 31 de ese mes, y el contrato se suspendió desde el 5 de marzo hasta el 11, (</w:t>
      </w:r>
      <w:proofErr w:type="spellStart"/>
      <w:r w:rsidRPr="000221F1">
        <w:rPr>
          <w:rFonts w:ascii="Verdana" w:hAnsi="Verdana"/>
          <w:sz w:val="21"/>
          <w:szCs w:val="21"/>
        </w:rPr>
        <w:t>e.i</w:t>
      </w:r>
      <w:proofErr w:type="spellEnd"/>
      <w:r w:rsidRPr="000221F1">
        <w:rPr>
          <w:rFonts w:ascii="Verdana" w:hAnsi="Verdana"/>
          <w:sz w:val="21"/>
          <w:szCs w:val="21"/>
        </w:rPr>
        <w:t xml:space="preserve">., por 6 días), esto implica que el plazo de cumplimiento de las obligaciones no expiró el 31 de marzo pues en esa fecha apenas habían trascurrido 25 días del plazo pactado, sino que se postergó por los 6 días de suspensión y en consecuencia la fecha para cumplir el contrato se trasladó en el tiempo y pasó a ser el 6 de abril, pero como puede advertirse el plazo de ejecución sigue siendo el mismo: los 31 días estipulados. </w:t>
      </w:r>
    </w:p>
    <w:p w14:paraId="03240158" w14:textId="77777777" w:rsidR="0079427D" w:rsidRPr="000221F1" w:rsidRDefault="0079427D" w:rsidP="0079427D">
      <w:pPr>
        <w:spacing w:before="120" w:after="120" w:line="240" w:lineRule="auto"/>
        <w:ind w:left="709" w:right="709"/>
        <w:jc w:val="both"/>
        <w:rPr>
          <w:rFonts w:ascii="Verdana" w:hAnsi="Verdana"/>
          <w:sz w:val="21"/>
          <w:szCs w:val="21"/>
        </w:rPr>
      </w:pPr>
      <w:r w:rsidRPr="000221F1">
        <w:rPr>
          <w:rFonts w:ascii="Verdana" w:hAnsi="Verdana"/>
          <w:sz w:val="21"/>
          <w:szCs w:val="21"/>
        </w:rPr>
        <w:t xml:space="preserve">Aclara la Sala que si bien el plazo en la contratación estatal es considerado siempre como un factor relevante del contrato, en algunos casos la oportunidad en el cumplimiento de las obligaciones es absolutamente determinante e inalterable, (v.g., -el suministro de pantallas gigantes para la inauguración de unos juegos olímpicos, o la provisión de tarjetones electorales para las elecciones presidenciales programadas para un día cierto-), y por tanto, el desplazamiento de la fecha para el cumplimiento del contrato a pesar de la ocurrencia de la suspensión no procede. </w:t>
      </w:r>
    </w:p>
    <w:p w14:paraId="17543582" w14:textId="77777777" w:rsidR="0079427D" w:rsidRDefault="0079427D" w:rsidP="0079427D">
      <w:pPr>
        <w:spacing w:before="120" w:after="120" w:line="240" w:lineRule="auto"/>
        <w:ind w:left="709" w:right="709"/>
        <w:jc w:val="both"/>
        <w:rPr>
          <w:rFonts w:ascii="Verdana" w:eastAsia="Times New Roman" w:hAnsi="Verdana" w:cs="Arial"/>
          <w:color w:val="000000"/>
          <w:sz w:val="21"/>
          <w:szCs w:val="21"/>
          <w:lang w:val="es-ES_tradnl" w:eastAsia="es-ES_tradnl"/>
        </w:rPr>
      </w:pPr>
      <w:r w:rsidRPr="000221F1">
        <w:rPr>
          <w:rFonts w:ascii="Verdana" w:hAnsi="Verdana"/>
          <w:sz w:val="21"/>
          <w:szCs w:val="21"/>
        </w:rPr>
        <w:t>También es improcedente postergar la fecha de terminación del contrato cuando se evidencia la imposibilidad material de cumplir el objeto contratado al reiniciar el contrato suspendido, pues no podría admitirse la extensión del tiempo para cumplir un objeto imposible o que ya no existe</w:t>
      </w:r>
      <w:r w:rsidRPr="000221F1">
        <w:rPr>
          <w:rStyle w:val="Refdenotaalpie"/>
          <w:rFonts w:ascii="Verdana" w:hAnsi="Verdana"/>
          <w:sz w:val="21"/>
          <w:szCs w:val="21"/>
        </w:rPr>
        <w:footnoteReference w:id="13"/>
      </w:r>
      <w:r w:rsidRPr="000221F1">
        <w:rPr>
          <w:rFonts w:ascii="Verdana" w:hAnsi="Verdana"/>
          <w:sz w:val="21"/>
          <w:szCs w:val="21"/>
        </w:rPr>
        <w:t>.</w:t>
      </w:r>
      <w:r w:rsidRPr="000221F1">
        <w:rPr>
          <w:rFonts w:ascii="Verdana" w:eastAsia="Times New Roman" w:hAnsi="Verdana" w:cs="Arial"/>
          <w:color w:val="000000"/>
          <w:sz w:val="21"/>
          <w:szCs w:val="21"/>
          <w:lang w:val="es-ES_tradnl" w:eastAsia="es-ES_tradnl"/>
        </w:rPr>
        <w:t xml:space="preserve"> </w:t>
      </w:r>
    </w:p>
    <w:p w14:paraId="149579F9" w14:textId="77777777" w:rsidR="0079427D" w:rsidRPr="000221F1" w:rsidRDefault="0079427D" w:rsidP="0079427D">
      <w:pPr>
        <w:spacing w:before="120" w:after="120" w:line="240" w:lineRule="auto"/>
        <w:ind w:left="709" w:right="709"/>
        <w:jc w:val="both"/>
        <w:rPr>
          <w:rFonts w:ascii="Verdana" w:hAnsi="Verdana"/>
          <w:sz w:val="21"/>
          <w:szCs w:val="21"/>
        </w:rPr>
      </w:pPr>
    </w:p>
    <w:p w14:paraId="45750359" w14:textId="77777777" w:rsidR="0079427D" w:rsidRPr="000A0E30" w:rsidRDefault="0079427D" w:rsidP="0079427D">
      <w:pPr>
        <w:spacing w:before="120" w:after="120" w:line="276" w:lineRule="auto"/>
        <w:ind w:firstLine="709"/>
        <w:jc w:val="both"/>
        <w:rPr>
          <w:rFonts w:ascii="Verdana" w:eastAsia="Calibri" w:hAnsi="Verdana" w:cs="Arial"/>
          <w:bCs/>
          <w:lang w:val="es-MX" w:eastAsia="es-CO"/>
        </w:rPr>
      </w:pPr>
      <w:r>
        <w:rPr>
          <w:rFonts w:ascii="Verdana" w:hAnsi="Verdana"/>
        </w:rPr>
        <w:t>En conclusión, se entiende que la “</w:t>
      </w:r>
      <w:r w:rsidRPr="000A0E30">
        <w:rPr>
          <w:rFonts w:ascii="Verdana" w:hAnsi="Verdana"/>
        </w:rPr>
        <w:t xml:space="preserve">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w:t>
      </w:r>
      <w:r w:rsidRPr="000A0E30">
        <w:rPr>
          <w:rFonts w:ascii="Verdana" w:hAnsi="Verdana"/>
        </w:rPr>
        <w:lastRenderedPageBreak/>
        <w:t xml:space="preserve">un plazo o al cumplimiento de una condición. Por lo tanto, la suspensión no adiciona el contrato en su vigencia o plazo, sino que se delimita como una medida de tipo provisional y excepcional que debe ajustarse a los criterios de necesidad y </w:t>
      </w:r>
      <w:proofErr w:type="gramStart"/>
      <w:r w:rsidRPr="000A0E30">
        <w:rPr>
          <w:rFonts w:ascii="Verdana" w:hAnsi="Verdana"/>
        </w:rPr>
        <w:t>proporcionalidad,</w:t>
      </w:r>
      <w:proofErr w:type="gramEnd"/>
      <w:r w:rsidRPr="000A0E30">
        <w:rPr>
          <w:rFonts w:ascii="Verdana" w:hAnsi="Verdana"/>
        </w:rPr>
        <w:t xml:space="preserve"> sujeta a un término o condición, período este durante el que las obligaciones contenidas en el contrato no se ejecutan, pero sin que se impute ese tiempo al plazo pactado inicialmente por las partes”</w:t>
      </w:r>
      <w:r>
        <w:rPr>
          <w:rStyle w:val="Refdenotaalpie"/>
          <w:rFonts w:ascii="Verdana" w:hAnsi="Verdana"/>
        </w:rPr>
        <w:footnoteReference w:id="14"/>
      </w:r>
      <w:r w:rsidRPr="000A0E30">
        <w:rPr>
          <w:rFonts w:ascii="Verdana" w:hAnsi="Verdana"/>
        </w:rPr>
        <w:t>.</w:t>
      </w:r>
    </w:p>
    <w:p w14:paraId="350E4885" w14:textId="77777777" w:rsidR="0079427D" w:rsidRPr="001A43C5" w:rsidRDefault="0079427D" w:rsidP="0079427D">
      <w:pPr>
        <w:spacing w:before="120" w:after="120" w:line="276" w:lineRule="auto"/>
        <w:ind w:firstLine="709"/>
        <w:jc w:val="both"/>
        <w:rPr>
          <w:rFonts w:ascii="Verdana" w:eastAsia="Calibri" w:hAnsi="Verdana" w:cs="Arial"/>
          <w:bCs/>
          <w:lang w:val="es-MX" w:eastAsia="es-CO"/>
        </w:rPr>
      </w:pPr>
      <w:r w:rsidRPr="007C4807">
        <w:rPr>
          <w:rFonts w:ascii="Verdana" w:eastAsia="Calibri" w:hAnsi="Verdana" w:cs="Arial"/>
          <w:bCs/>
          <w:lang w:val="es-MX" w:eastAsia="es-CO"/>
        </w:rPr>
        <w:t>No obstante, se debe tener en cuenta que corresponde a cada entidad pública, en ejercicio de su competencia y previa valoración de los elementos fácticos y jurídicos, determinar si es procedente o no declarar la suspensión de un contrato</w:t>
      </w:r>
      <w:r>
        <w:rPr>
          <w:rFonts w:ascii="Verdana" w:eastAsia="Calibri" w:hAnsi="Verdana" w:cs="Arial"/>
          <w:bCs/>
          <w:lang w:val="es-MX" w:eastAsia="es-CO"/>
        </w:rPr>
        <w:t>, así como la modalidad a utilizar en el reinicio de este, a</w:t>
      </w:r>
      <w:r w:rsidRPr="007C4807">
        <w:rPr>
          <w:rFonts w:ascii="Verdana" w:eastAsia="Calibri" w:hAnsi="Verdana" w:cs="Arial"/>
          <w:bCs/>
          <w:lang w:val="es-MX" w:eastAsia="es-CO"/>
        </w:rPr>
        <w:t>l tratarse de un análisis que se debe realizar en cada caso concreto.</w:t>
      </w:r>
    </w:p>
    <w:p w14:paraId="0000F255" w14:textId="77777777" w:rsidR="0079427D" w:rsidRPr="0011467B" w:rsidRDefault="0079427D" w:rsidP="0079427D">
      <w:pPr>
        <w:spacing w:after="0" w:line="276" w:lineRule="auto"/>
        <w:jc w:val="both"/>
        <w:rPr>
          <w:rFonts w:ascii="Verdana" w:hAnsi="Verdana" w:cs="Arial"/>
          <w:color w:val="000000" w:themeColor="text1"/>
        </w:rPr>
      </w:pPr>
    </w:p>
    <w:p w14:paraId="3F5D5C74" w14:textId="77777777" w:rsidR="0079427D" w:rsidRPr="0011467B" w:rsidRDefault="0079427D" w:rsidP="007942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1467B">
        <w:rPr>
          <w:rFonts w:ascii="Verdana" w:eastAsia="Century Gothic" w:hAnsi="Verdana" w:cs="Century Gothic"/>
          <w:b/>
          <w:bCs/>
        </w:rPr>
        <w:t>Referencias normativas, jurisprudenciales y otras fuentes:</w:t>
      </w:r>
    </w:p>
    <w:p w14:paraId="7BB0A31B" w14:textId="77777777" w:rsidR="0079427D" w:rsidRPr="0011467B" w:rsidRDefault="0079427D" w:rsidP="0079427D">
      <w:pPr>
        <w:spacing w:after="0" w:line="276" w:lineRule="auto"/>
        <w:ind w:right="709"/>
        <w:jc w:val="both"/>
        <w:textAlignment w:val="baseline"/>
        <w:rPr>
          <w:rFonts w:ascii="Verdana" w:eastAsia="Times New Roman" w:hAnsi="Verdana" w:cs="Arial"/>
          <w:bCs/>
          <w:lang w:val="es-ES_tradnl" w:eastAsia="es-CO"/>
        </w:rPr>
      </w:pPr>
    </w:p>
    <w:p w14:paraId="426E500C" w14:textId="77777777" w:rsidR="0079427D" w:rsidRPr="00FB3E88" w:rsidRDefault="0079427D" w:rsidP="0079427D">
      <w:pPr>
        <w:spacing w:after="0" w:line="276" w:lineRule="auto"/>
        <w:ind w:right="709"/>
        <w:jc w:val="both"/>
        <w:rPr>
          <w:rFonts w:ascii="Verdana" w:hAnsi="Verdana" w:cs="Arial"/>
          <w:color w:val="000000" w:themeColor="text1"/>
          <w:lang w:val="es-ES_tradnl"/>
        </w:rPr>
      </w:pPr>
    </w:p>
    <w:p w14:paraId="1D01C556" w14:textId="77777777" w:rsidR="0079427D" w:rsidRPr="00FB3E88" w:rsidRDefault="0079427D" w:rsidP="0079427D">
      <w:pPr>
        <w:pStyle w:val="Prrafodelista"/>
        <w:numPr>
          <w:ilvl w:val="0"/>
          <w:numId w:val="18"/>
        </w:numPr>
        <w:spacing w:after="120" w:line="276" w:lineRule="auto"/>
        <w:ind w:right="709"/>
        <w:jc w:val="both"/>
        <w:rPr>
          <w:rFonts w:ascii="Verdana" w:hAnsi="Verdana" w:cs="Arial"/>
          <w:color w:val="000000" w:themeColor="text1"/>
          <w:lang w:val="es-ES_tradnl"/>
        </w:rPr>
      </w:pPr>
      <w:r w:rsidRPr="00FB3E88">
        <w:rPr>
          <w:rFonts w:ascii="Verdana" w:eastAsia="Times New Roman" w:hAnsi="Verdana" w:cs="Arial"/>
          <w:color w:val="000000"/>
          <w:lang w:val="es-ES_tradnl" w:eastAsia="es-ES_tradnl"/>
        </w:rPr>
        <w:t xml:space="preserve">Artículos 13, 32 y 40 </w:t>
      </w:r>
      <w:r w:rsidRPr="00FB3E88">
        <w:rPr>
          <w:rFonts w:ascii="Verdana" w:hAnsi="Verdana" w:cs="Arial"/>
          <w:noProof/>
          <w:lang w:val="es-ES_tradnl"/>
        </w:rPr>
        <w:t xml:space="preserve">Ley 80 de 1993. Disponible en: </w:t>
      </w:r>
      <w:hyperlink r:id="rId12" w:history="1">
        <w:r w:rsidRPr="00FB3E88">
          <w:rPr>
            <w:rStyle w:val="Hipervnculo"/>
            <w:rFonts w:ascii="Verdana" w:hAnsi="Verdana" w:cs="Arial"/>
            <w:noProof/>
            <w:lang w:val="es-ES_tradnl"/>
          </w:rPr>
          <w:t>https://relatoria.colombiacompra.gov.co/normativa/ley-80-de-1993/</w:t>
        </w:r>
      </w:hyperlink>
      <w:r w:rsidRPr="00FB3E88">
        <w:rPr>
          <w:rFonts w:ascii="Verdana" w:hAnsi="Verdana" w:cs="Arial"/>
          <w:noProof/>
          <w:lang w:val="es-ES_tradnl"/>
        </w:rPr>
        <w:t xml:space="preserve">  </w:t>
      </w:r>
    </w:p>
    <w:p w14:paraId="67FC3A13" w14:textId="77777777" w:rsidR="0079427D" w:rsidRPr="00FB3E88" w:rsidRDefault="0079427D" w:rsidP="0079427D">
      <w:pPr>
        <w:pStyle w:val="Prrafodelista"/>
        <w:spacing w:after="120" w:line="276" w:lineRule="auto"/>
        <w:ind w:right="709"/>
        <w:jc w:val="both"/>
        <w:rPr>
          <w:rFonts w:ascii="Verdana" w:hAnsi="Verdana" w:cs="Arial"/>
          <w:color w:val="000000" w:themeColor="text1"/>
          <w:lang w:val="es-ES_tradnl"/>
        </w:rPr>
      </w:pPr>
    </w:p>
    <w:p w14:paraId="524CCFD4" w14:textId="77777777" w:rsidR="0079427D" w:rsidRPr="00FB3E88" w:rsidRDefault="0079427D" w:rsidP="0079427D">
      <w:pPr>
        <w:pStyle w:val="Prrafodelista"/>
        <w:numPr>
          <w:ilvl w:val="0"/>
          <w:numId w:val="18"/>
        </w:numPr>
        <w:spacing w:after="120" w:line="276" w:lineRule="auto"/>
        <w:ind w:right="709"/>
        <w:jc w:val="both"/>
        <w:rPr>
          <w:rFonts w:ascii="Verdana" w:hAnsi="Verdana" w:cs="Arial"/>
          <w:color w:val="000000" w:themeColor="text1"/>
          <w:lang w:val="es-ES_tradnl"/>
        </w:rPr>
      </w:pPr>
      <w:r w:rsidRPr="00FB3E88">
        <w:rPr>
          <w:rFonts w:ascii="Verdana" w:eastAsia="Times New Roman" w:hAnsi="Verdana" w:cs="Arial"/>
          <w:color w:val="000000"/>
          <w:lang w:val="es-ES_tradnl" w:eastAsia="es-ES_tradnl"/>
        </w:rPr>
        <w:t xml:space="preserve">Artículos 1530 y siguientes del Código Civil. </w:t>
      </w:r>
      <w:r w:rsidRPr="00FB3E88">
        <w:rPr>
          <w:rFonts w:ascii="Verdana" w:hAnsi="Verdana" w:cs="Arial"/>
          <w:noProof/>
          <w:lang w:val="es-ES_tradnl"/>
        </w:rPr>
        <w:t xml:space="preserve">Disponible en: </w:t>
      </w:r>
      <w:r w:rsidRPr="00FB3E88">
        <w:rPr>
          <w:rFonts w:ascii="Verdana" w:eastAsia="Times New Roman" w:hAnsi="Verdana" w:cs="Arial"/>
          <w:color w:val="000000"/>
          <w:lang w:val="es-ES_tradnl" w:eastAsia="es-ES_tradnl"/>
        </w:rPr>
        <w:t xml:space="preserve"> </w:t>
      </w:r>
      <w:hyperlink r:id="rId13" w:history="1">
        <w:r w:rsidRPr="00FB3E88">
          <w:rPr>
            <w:rStyle w:val="Hipervnculo"/>
            <w:rFonts w:ascii="Verdana" w:eastAsia="Times New Roman" w:hAnsi="Verdana" w:cs="Arial"/>
            <w:lang w:val="es-ES_tradnl" w:eastAsia="es-ES_tradnl"/>
          </w:rPr>
          <w:t>https://relatoria.colombiacompra.gov.co/normativa/codigo-civil-ley-84-de-1873/</w:t>
        </w:r>
      </w:hyperlink>
      <w:r w:rsidRPr="00FB3E88">
        <w:rPr>
          <w:rFonts w:ascii="Verdana" w:eastAsia="Times New Roman" w:hAnsi="Verdana" w:cs="Arial"/>
          <w:color w:val="000000"/>
          <w:lang w:val="es-ES_tradnl" w:eastAsia="es-ES_tradnl"/>
        </w:rPr>
        <w:t xml:space="preserve">  </w:t>
      </w:r>
    </w:p>
    <w:p w14:paraId="67CDEB8E" w14:textId="77777777" w:rsidR="0079427D" w:rsidRPr="00FB3E88" w:rsidRDefault="0079427D" w:rsidP="0079427D">
      <w:pPr>
        <w:pStyle w:val="Prrafodelista"/>
        <w:spacing w:after="120" w:line="276" w:lineRule="auto"/>
        <w:ind w:right="709"/>
        <w:jc w:val="both"/>
        <w:rPr>
          <w:rFonts w:ascii="Verdana" w:hAnsi="Verdana" w:cs="Arial"/>
          <w:color w:val="000000" w:themeColor="text1"/>
          <w:lang w:val="es-ES_tradnl"/>
        </w:rPr>
      </w:pPr>
    </w:p>
    <w:p w14:paraId="61D283DF" w14:textId="77777777" w:rsidR="0079427D" w:rsidRPr="00FB3E88" w:rsidRDefault="0079427D" w:rsidP="0079427D">
      <w:pPr>
        <w:pStyle w:val="Textonotapie"/>
        <w:numPr>
          <w:ilvl w:val="0"/>
          <w:numId w:val="17"/>
        </w:numPr>
        <w:spacing w:after="120"/>
        <w:jc w:val="both"/>
        <w:rPr>
          <w:rFonts w:ascii="Verdana" w:hAnsi="Verdana"/>
          <w:sz w:val="22"/>
          <w:szCs w:val="22"/>
        </w:rPr>
      </w:pPr>
      <w:r w:rsidRPr="00FB3E88">
        <w:rPr>
          <w:rFonts w:ascii="Verdana" w:hAnsi="Verdana"/>
          <w:sz w:val="22"/>
          <w:szCs w:val="22"/>
        </w:rPr>
        <w:t>Consejo de Estado, Sala de lo Contencioso Administrativo, Sección Tercera, Sentencia del 29 de mayo de 2003, radicado: 14.945.</w:t>
      </w:r>
    </w:p>
    <w:p w14:paraId="6419E152" w14:textId="77777777" w:rsidR="0079427D" w:rsidRPr="00FB3E88" w:rsidRDefault="0079427D" w:rsidP="0079427D">
      <w:pPr>
        <w:pStyle w:val="Textonotapie"/>
        <w:spacing w:after="120"/>
        <w:ind w:left="720"/>
        <w:jc w:val="both"/>
        <w:rPr>
          <w:rFonts w:ascii="Verdana" w:hAnsi="Verdana"/>
          <w:sz w:val="22"/>
          <w:szCs w:val="22"/>
        </w:rPr>
      </w:pPr>
    </w:p>
    <w:p w14:paraId="4FE5E26D" w14:textId="77777777" w:rsidR="0079427D" w:rsidRPr="00FB3E88" w:rsidRDefault="0079427D" w:rsidP="0079427D">
      <w:pPr>
        <w:pStyle w:val="Textonotapie"/>
        <w:numPr>
          <w:ilvl w:val="0"/>
          <w:numId w:val="17"/>
        </w:numPr>
        <w:spacing w:after="120"/>
        <w:jc w:val="both"/>
        <w:rPr>
          <w:rFonts w:ascii="Verdana" w:hAnsi="Verdana"/>
          <w:sz w:val="22"/>
          <w:szCs w:val="22"/>
          <w:lang w:val="es-ES"/>
        </w:rPr>
      </w:pPr>
      <w:r w:rsidRPr="00FB3E88">
        <w:rPr>
          <w:rFonts w:ascii="Verdana" w:hAnsi="Verdana"/>
          <w:sz w:val="22"/>
          <w:szCs w:val="22"/>
        </w:rPr>
        <w:t xml:space="preserve">Consejo de Estado, Sala de Consulta y Servicio Civil, </w:t>
      </w:r>
      <w:proofErr w:type="spellStart"/>
      <w:r w:rsidRPr="00FB3E88">
        <w:rPr>
          <w:rFonts w:ascii="Verdana" w:hAnsi="Verdana"/>
          <w:sz w:val="22"/>
          <w:szCs w:val="22"/>
        </w:rPr>
        <w:t>exp</w:t>
      </w:r>
      <w:proofErr w:type="spellEnd"/>
      <w:r w:rsidRPr="00FB3E88">
        <w:rPr>
          <w:rFonts w:ascii="Verdana" w:hAnsi="Verdana"/>
          <w:sz w:val="22"/>
          <w:szCs w:val="22"/>
        </w:rPr>
        <w:t>. 2278 de 2016, C.P. Germán Bula Escobar (E.)</w:t>
      </w:r>
    </w:p>
    <w:p w14:paraId="412C4F0E" w14:textId="77777777" w:rsidR="0079427D" w:rsidRPr="00FB3E88" w:rsidRDefault="0079427D" w:rsidP="0079427D">
      <w:pPr>
        <w:pStyle w:val="Textonotapie"/>
        <w:spacing w:after="120"/>
        <w:jc w:val="both"/>
        <w:rPr>
          <w:rFonts w:ascii="Verdana" w:hAnsi="Verdana"/>
          <w:sz w:val="22"/>
          <w:szCs w:val="22"/>
          <w:lang w:val="es-ES"/>
        </w:rPr>
      </w:pPr>
    </w:p>
    <w:p w14:paraId="5BE1B5A9" w14:textId="77777777" w:rsidR="0079427D" w:rsidRPr="00FB3E88" w:rsidRDefault="0079427D" w:rsidP="0079427D">
      <w:pPr>
        <w:pStyle w:val="Textonotapie"/>
        <w:numPr>
          <w:ilvl w:val="0"/>
          <w:numId w:val="17"/>
        </w:numPr>
        <w:spacing w:after="120"/>
        <w:jc w:val="both"/>
        <w:rPr>
          <w:rFonts w:ascii="Verdana" w:hAnsi="Verdana"/>
          <w:sz w:val="22"/>
          <w:szCs w:val="22"/>
          <w:lang w:val="es-ES"/>
        </w:rPr>
      </w:pPr>
      <w:r w:rsidRPr="00FB3E88">
        <w:rPr>
          <w:rFonts w:ascii="Verdana" w:hAnsi="Verdana" w:cs="Arial"/>
          <w:sz w:val="22"/>
          <w:szCs w:val="22"/>
        </w:rPr>
        <w:t>Consejo de Estado. Sección Tercera. Sentencia del 1 de octubre de 2018. Consejera Ponente: Marta Nubia Velásquez Rico. Expediente: 57.897.</w:t>
      </w:r>
    </w:p>
    <w:p w14:paraId="7D02EB9C" w14:textId="77777777" w:rsidR="0079427D" w:rsidRPr="00FB3E88" w:rsidRDefault="0079427D" w:rsidP="0079427D">
      <w:pPr>
        <w:pStyle w:val="Prrafodelista"/>
        <w:spacing w:after="120"/>
        <w:jc w:val="both"/>
        <w:rPr>
          <w:rFonts w:ascii="Verdana" w:hAnsi="Verdana" w:cs="Arial"/>
        </w:rPr>
      </w:pPr>
    </w:p>
    <w:p w14:paraId="7415A9FE" w14:textId="77777777" w:rsidR="0079427D" w:rsidRDefault="0079427D" w:rsidP="0079427D">
      <w:pPr>
        <w:pStyle w:val="Prrafodelista"/>
        <w:numPr>
          <w:ilvl w:val="0"/>
          <w:numId w:val="17"/>
        </w:numPr>
        <w:spacing w:after="120"/>
        <w:jc w:val="both"/>
        <w:rPr>
          <w:rFonts w:ascii="Verdana" w:hAnsi="Verdana" w:cs="Arial"/>
        </w:rPr>
      </w:pPr>
      <w:r w:rsidRPr="00FB3E88">
        <w:rPr>
          <w:rFonts w:ascii="Verdana" w:hAnsi="Verdana" w:cs="Arial"/>
        </w:rPr>
        <w:t>Consejo de Estado. Sección Tercera. Sentencia del 1 de junio de 2017. Consejero Ponente: Ramiro Pazos Guerrero. Expediente: 36.117,</w:t>
      </w:r>
    </w:p>
    <w:p w14:paraId="7E276BE2" w14:textId="77777777" w:rsidR="0079427D" w:rsidRPr="00FB3E88" w:rsidRDefault="0079427D" w:rsidP="0079427D">
      <w:pPr>
        <w:pStyle w:val="Prrafodelista"/>
        <w:spacing w:after="120"/>
        <w:rPr>
          <w:rFonts w:ascii="Verdana" w:hAnsi="Verdana"/>
        </w:rPr>
      </w:pPr>
    </w:p>
    <w:p w14:paraId="4962AB9F" w14:textId="77777777" w:rsidR="0079427D" w:rsidRPr="00FB3E88" w:rsidRDefault="0079427D" w:rsidP="0079427D">
      <w:pPr>
        <w:pStyle w:val="Prrafodelista"/>
        <w:numPr>
          <w:ilvl w:val="0"/>
          <w:numId w:val="17"/>
        </w:numPr>
        <w:spacing w:after="120"/>
        <w:jc w:val="both"/>
        <w:rPr>
          <w:rFonts w:ascii="Verdana" w:hAnsi="Verdana" w:cs="Arial"/>
        </w:rPr>
      </w:pPr>
      <w:r w:rsidRPr="00FB3E88">
        <w:rPr>
          <w:rFonts w:ascii="Verdana" w:hAnsi="Verdana"/>
        </w:rPr>
        <w:lastRenderedPageBreak/>
        <w:t xml:space="preserve">Consejo de Estado, Sala de Consulta y Servicio Civil, </w:t>
      </w:r>
      <w:proofErr w:type="spellStart"/>
      <w:r w:rsidRPr="00FB3E88">
        <w:rPr>
          <w:rFonts w:ascii="Verdana" w:hAnsi="Verdana"/>
        </w:rPr>
        <w:t>exp</w:t>
      </w:r>
      <w:proofErr w:type="spellEnd"/>
      <w:r w:rsidRPr="00FB3E88">
        <w:rPr>
          <w:rFonts w:ascii="Verdana" w:hAnsi="Verdana"/>
        </w:rPr>
        <w:t>. 2278 de 2016, C.P. Germán Bula Escobar (E.)</w:t>
      </w:r>
    </w:p>
    <w:p w14:paraId="695EC99A" w14:textId="77777777" w:rsidR="0079427D" w:rsidRPr="00FB3E88" w:rsidRDefault="0079427D" w:rsidP="0079427D">
      <w:pPr>
        <w:pStyle w:val="Textonotapie"/>
        <w:spacing w:after="120"/>
        <w:ind w:left="720"/>
        <w:jc w:val="both"/>
        <w:rPr>
          <w:rFonts w:ascii="Verdana" w:hAnsi="Verdana"/>
          <w:sz w:val="22"/>
          <w:szCs w:val="22"/>
          <w:lang w:val="es-ES"/>
        </w:rPr>
      </w:pPr>
    </w:p>
    <w:p w14:paraId="746906CA" w14:textId="77777777" w:rsidR="0079427D" w:rsidRPr="00FB3E88" w:rsidRDefault="0079427D" w:rsidP="0079427D">
      <w:pPr>
        <w:pStyle w:val="Prrafodelista"/>
        <w:numPr>
          <w:ilvl w:val="0"/>
          <w:numId w:val="17"/>
        </w:numPr>
        <w:spacing w:after="120"/>
        <w:jc w:val="both"/>
        <w:rPr>
          <w:rFonts w:ascii="Verdana" w:hAnsi="Verdana"/>
          <w:b/>
          <w:bCs/>
        </w:rPr>
      </w:pPr>
      <w:r w:rsidRPr="00FB3E88">
        <w:rPr>
          <w:rFonts w:ascii="Verdana" w:hAnsi="Verdana"/>
        </w:rPr>
        <w:t>Consejo de Estado Sentencia del 28 de abril de 2010, radicación número 07001-23-31-000-1997-0554-01(16431),</w:t>
      </w:r>
      <w:r>
        <w:rPr>
          <w:rFonts w:ascii="Verdana" w:hAnsi="Verdana"/>
        </w:rPr>
        <w:t xml:space="preserve"> </w:t>
      </w:r>
      <w:r w:rsidRPr="00FB3E88">
        <w:rPr>
          <w:rFonts w:ascii="Verdana" w:hAnsi="Verdana" w:cs="Arial"/>
          <w:lang w:eastAsia="es-CO"/>
        </w:rPr>
        <w:t xml:space="preserve">Disponible en: </w:t>
      </w:r>
      <w:hyperlink r:id="rId14" w:history="1">
        <w:r w:rsidRPr="00FB3E88">
          <w:rPr>
            <w:rStyle w:val="Hipervnculo"/>
            <w:rFonts w:ascii="Verdana" w:hAnsi="Verdana" w:cs="Arial"/>
            <w:lang w:eastAsia="es-CO"/>
          </w:rPr>
          <w:t>https://relatoria.colombiacompra.gov.co/providencias-consejo-de-estado/</w:t>
        </w:r>
      </w:hyperlink>
      <w:r w:rsidRPr="00FB3E88">
        <w:rPr>
          <w:rFonts w:ascii="Verdana" w:hAnsi="Verdana" w:cs="Arial"/>
          <w:lang w:eastAsia="es-CO"/>
        </w:rPr>
        <w:t xml:space="preserve"> </w:t>
      </w:r>
    </w:p>
    <w:p w14:paraId="7C365828" w14:textId="77777777" w:rsidR="0079427D" w:rsidRPr="0011467B" w:rsidRDefault="0079427D" w:rsidP="0079427D">
      <w:pPr>
        <w:spacing w:after="120" w:line="276" w:lineRule="auto"/>
        <w:jc w:val="both"/>
        <w:rPr>
          <w:rFonts w:ascii="Verdana" w:eastAsia="Times New Roman" w:hAnsi="Verdana" w:cs="Arial"/>
          <w:i/>
          <w:lang w:val="es-ES_tradnl" w:eastAsia="es-ES"/>
        </w:rPr>
      </w:pPr>
    </w:p>
    <w:p w14:paraId="4BE10292" w14:textId="77777777" w:rsidR="0079427D" w:rsidRPr="0011467B" w:rsidRDefault="0079427D" w:rsidP="0079427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11467B">
        <w:rPr>
          <w:rFonts w:ascii="Verdana" w:eastAsia="Century Gothic" w:hAnsi="Verdana" w:cs="Century Gothic"/>
          <w:b/>
          <w:bCs/>
        </w:rPr>
        <w:t>Doctrina de la Agencia Nacional de Contratación Pública:</w:t>
      </w:r>
    </w:p>
    <w:p w14:paraId="122C879D" w14:textId="77777777" w:rsidR="0079427D" w:rsidRPr="0011467B" w:rsidRDefault="0079427D" w:rsidP="0079427D">
      <w:pPr>
        <w:spacing w:after="120" w:line="276" w:lineRule="auto"/>
        <w:jc w:val="both"/>
        <w:rPr>
          <w:rFonts w:ascii="Verdana" w:hAnsi="Verdana" w:cs="Arial"/>
          <w:color w:val="000000" w:themeColor="text1"/>
          <w:lang w:val="es-ES"/>
        </w:rPr>
      </w:pPr>
    </w:p>
    <w:p w14:paraId="515B4D14" w14:textId="17134277" w:rsidR="0079427D" w:rsidRDefault="0079427D" w:rsidP="0079427D">
      <w:pPr>
        <w:spacing w:after="120" w:line="276" w:lineRule="auto"/>
        <w:jc w:val="both"/>
        <w:rPr>
          <w:rFonts w:ascii="Verdana" w:hAnsi="Verdana"/>
          <w:color w:val="000000"/>
          <w:shd w:val="clear" w:color="auto" w:fill="FFFFFF"/>
        </w:rPr>
      </w:pPr>
      <w:r w:rsidRPr="001B26A3">
        <w:rPr>
          <w:rFonts w:ascii="Verdana" w:eastAsia="Calibri" w:hAnsi="Verdana" w:cs="Arial"/>
          <w:lang w:val="es-ES" w:eastAsia="es-ES"/>
        </w:rPr>
        <w:t xml:space="preserve">Sobre la suspensión </w:t>
      </w:r>
      <w:r w:rsidRPr="001B26A3">
        <w:rPr>
          <w:rFonts w:ascii="Verdana" w:eastAsia="Calibri" w:hAnsi="Verdana" w:cs="Arial"/>
          <w:szCs w:val="24"/>
          <w:lang w:val="es-ES_tradnl" w:eastAsia="es-ES_tradnl"/>
        </w:rPr>
        <w:t>de los contratos estatales</w:t>
      </w:r>
      <w:r w:rsidRPr="001B26A3">
        <w:rPr>
          <w:rFonts w:ascii="Verdana" w:eastAsia="Calibri" w:hAnsi="Verdana" w:cs="Arial"/>
          <w:bCs/>
          <w:lang w:val="es-ES_tradnl"/>
        </w:rPr>
        <w:t xml:space="preserve">, </w:t>
      </w:r>
      <w:r w:rsidRPr="001B26A3">
        <w:rPr>
          <w:rStyle w:val="normaltextrun"/>
          <w:rFonts w:ascii="Verdana" w:hAnsi="Verdana" w:cs="Arial"/>
          <w:shd w:val="clear" w:color="auto" w:fill="FFFFFF"/>
          <w:lang w:val="es-ES"/>
        </w:rPr>
        <w:t xml:space="preserve">se pronunció esta Subdirección </w:t>
      </w:r>
      <w:r w:rsidRPr="001B26A3">
        <w:rPr>
          <w:rFonts w:ascii="Verdana" w:eastAsia="Calibri" w:hAnsi="Verdana" w:cs="Arial"/>
          <w:lang w:val="es-ES"/>
        </w:rPr>
        <w:t>en los conceptos</w:t>
      </w:r>
      <w:r>
        <w:rPr>
          <w:rFonts w:ascii="Verdana" w:eastAsia="Calibri" w:hAnsi="Verdana" w:cs="Arial"/>
          <w:lang w:val="es-ES"/>
        </w:rPr>
        <w:t xml:space="preserve"> </w:t>
      </w:r>
      <w:r w:rsidRPr="001B26A3">
        <w:rPr>
          <w:rFonts w:ascii="Verdana" w:eastAsia="Calibri" w:hAnsi="Verdana" w:cs="Arial"/>
          <w:szCs w:val="24"/>
          <w:lang w:val="es-ES_tradnl" w:eastAsia="es-ES_tradnl"/>
        </w:rPr>
        <w:t xml:space="preserve">Nos. </w:t>
      </w:r>
      <w:r w:rsidRPr="001B26A3">
        <w:rPr>
          <w:rFonts w:ascii="Verdana" w:eastAsia="Calibri" w:hAnsi="Verdana" w:cs="Arial"/>
          <w:lang w:val="es-ES" w:eastAsia="es-ES"/>
        </w:rPr>
        <w:t>C-379 del 30 de junio de 2020, C-870 del 15 de diciembre de 2022, C-766 del 20 de octubre de 2022, C-920 del 14 de febrero de 2023</w:t>
      </w:r>
      <w:r>
        <w:rPr>
          <w:rFonts w:ascii="Verdana" w:eastAsia="Calibri" w:hAnsi="Verdana" w:cs="Arial"/>
          <w:lang w:val="es-ES" w:eastAsia="es-ES"/>
        </w:rPr>
        <w:t xml:space="preserve">, </w:t>
      </w:r>
      <w:r w:rsidRPr="007E7704">
        <w:rPr>
          <w:rFonts w:ascii="Verdana" w:eastAsia="Calibri" w:hAnsi="Verdana" w:cs="Arial"/>
          <w:szCs w:val="24"/>
          <w:lang w:val="es-ES_tradnl" w:eastAsia="es-ES_tradnl"/>
        </w:rPr>
        <w:t>P20240131000930 del 12 de marzo de 2024</w:t>
      </w:r>
      <w:r>
        <w:rPr>
          <w:rFonts w:ascii="Verdana" w:eastAsia="Calibri" w:hAnsi="Verdana" w:cs="Arial"/>
          <w:szCs w:val="24"/>
          <w:lang w:val="es-ES_tradnl" w:eastAsia="es-ES_tradnl"/>
        </w:rPr>
        <w:t xml:space="preserve"> C-500 del 23 de septiembre de 2024</w:t>
      </w:r>
      <w:r w:rsidRPr="001B26A3">
        <w:rPr>
          <w:rFonts w:ascii="Verdana" w:eastAsia="Calibri" w:hAnsi="Verdana" w:cs="Arial"/>
          <w:lang w:val="es-ES" w:eastAsia="es-ES"/>
        </w:rPr>
        <w:t xml:space="preserve">. </w:t>
      </w:r>
      <w:bookmarkStart w:id="2" w:name="_Hlk184289476"/>
      <w:r w:rsidRPr="001B26A3">
        <w:rPr>
          <w:rFonts w:ascii="Verdana" w:hAnsi="Verdana"/>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tgtFrame="_blank" w:tooltip="Dirección URL original: https://relatoria.colombiacompra.gov.co/. Haga clic o pulse si confía en este vínculo." w:history="1">
        <w:r w:rsidRPr="001B26A3">
          <w:rPr>
            <w:rStyle w:val="Hipervnculo"/>
            <w:rFonts w:ascii="Verdana" w:hAnsi="Verdana"/>
            <w:bdr w:val="none" w:sz="0" w:space="0" w:color="auto" w:frame="1"/>
            <w:shd w:val="clear" w:color="auto" w:fill="FFFFFF"/>
          </w:rPr>
          <w:t>https://relatoria.colombiacompra.gov.co/</w:t>
        </w:r>
      </w:hyperlink>
      <w:r w:rsidRPr="001B26A3">
        <w:rPr>
          <w:rFonts w:ascii="Verdana" w:hAnsi="Verdana"/>
          <w:color w:val="000000"/>
          <w:shd w:val="clear" w:color="auto" w:fill="FFFFFF"/>
        </w:rPr>
        <w:t xml:space="preserve">  </w:t>
      </w:r>
      <w:bookmarkEnd w:id="2"/>
    </w:p>
    <w:p w14:paraId="36A8D733" w14:textId="77777777" w:rsidR="0079427D" w:rsidRPr="00DF24BE" w:rsidRDefault="0079427D" w:rsidP="0079427D">
      <w:pPr>
        <w:spacing w:after="120" w:line="276" w:lineRule="auto"/>
        <w:jc w:val="both"/>
        <w:rPr>
          <w:rFonts w:ascii="Verdana" w:hAnsi="Verdana"/>
        </w:rPr>
      </w:pPr>
      <w:bookmarkStart w:id="3" w:name="_Hlk184289447"/>
      <w:r w:rsidRPr="00DF24BE">
        <w:rPr>
          <w:rFonts w:ascii="Verdana" w:hAnsi="Verdana"/>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6" w:tgtFrame="_blank" w:tooltip="Dirección URL original: https://www.colombiacompra.gov.co/sites/cce_public/files/cce_documents/manual_para_el_manejo_de_acuerdos_comerciales_vf.pdf. Haga clic o pulse si confía en este vínculo." w:history="1">
        <w:r w:rsidRPr="00DF24BE">
          <w:rPr>
            <w:rStyle w:val="Hipervnculo"/>
            <w:rFonts w:ascii="Verdana" w:hAnsi="Verdana"/>
          </w:rPr>
          <w:t>manual_para_el_manejo_de_acuerdos_comerciales_vf.pdf</w:t>
        </w:r>
      </w:hyperlink>
    </w:p>
    <w:p w14:paraId="06549EB1" w14:textId="77777777" w:rsidR="0079427D" w:rsidRPr="00DF24BE" w:rsidRDefault="0079427D" w:rsidP="0079427D">
      <w:pPr>
        <w:spacing w:after="120" w:line="276" w:lineRule="auto"/>
        <w:jc w:val="both"/>
        <w:rPr>
          <w:rFonts w:ascii="Verdana" w:hAnsi="Verdana"/>
        </w:rPr>
      </w:pPr>
      <w:r w:rsidRPr="00DF24BE">
        <w:rPr>
          <w:rFonts w:ascii="Verdana" w:hAnsi="Verdana"/>
        </w:rPr>
        <w:t>De otra parte, te contamos que ya publicamos el borrador de la nueva Guía para Incentivar la Participación de Mujeres en el Sistema de Compras y Contratación Pública. Conoce el documento y realiza tus comentarios hasta el 2 de diciembre de 2024</w:t>
      </w:r>
      <w:r w:rsidRPr="00DF24BE">
        <w:rPr>
          <w:rFonts w:ascii="Verdana" w:hAnsi="Verdana"/>
          <w:b/>
          <w:bCs/>
        </w:rPr>
        <w:t> </w:t>
      </w:r>
      <w:r w:rsidRPr="00DF24BE">
        <w:rPr>
          <w:rFonts w:ascii="Verdana" w:hAnsi="Verdana"/>
        </w:rPr>
        <w:t>a través de estos enlaces:</w:t>
      </w:r>
    </w:p>
    <w:p w14:paraId="775893A3" w14:textId="77777777" w:rsidR="0079427D" w:rsidRPr="00DF24BE" w:rsidRDefault="0079427D" w:rsidP="0079427D">
      <w:pPr>
        <w:numPr>
          <w:ilvl w:val="0"/>
          <w:numId w:val="19"/>
        </w:numPr>
        <w:spacing w:after="120" w:line="276" w:lineRule="auto"/>
        <w:jc w:val="both"/>
        <w:rPr>
          <w:rFonts w:ascii="Verdana" w:hAnsi="Verdana"/>
        </w:rPr>
      </w:pPr>
      <w:r w:rsidRPr="00DF24BE">
        <w:rPr>
          <w:rFonts w:ascii="Verdana" w:hAnsi="Verdana"/>
        </w:rPr>
        <w:t>Enlace página ANCP-CCE: </w:t>
      </w:r>
      <w:hyperlink r:id="rId17" w:tgtFrame="_blank" w:tooltip="Dirección URL original: https://www.colombiacompra.gov.co/content/convocatorias. Haga clic o pulse si confía en este vínculo." w:history="1">
        <w:r w:rsidRPr="00DF24BE">
          <w:rPr>
            <w:rStyle w:val="Hipervnculo"/>
            <w:rFonts w:ascii="Verdana" w:hAnsi="Verdana"/>
          </w:rPr>
          <w:t>https://www.colombiacompra.gov.co/content/convocatorias</w:t>
        </w:r>
      </w:hyperlink>
    </w:p>
    <w:p w14:paraId="1C24BBEB" w14:textId="77777777" w:rsidR="0079427D" w:rsidRPr="00A64AED" w:rsidRDefault="0079427D" w:rsidP="0079427D">
      <w:pPr>
        <w:numPr>
          <w:ilvl w:val="0"/>
          <w:numId w:val="19"/>
        </w:numPr>
        <w:spacing w:after="120" w:line="276" w:lineRule="auto"/>
        <w:jc w:val="both"/>
        <w:rPr>
          <w:rFonts w:ascii="Verdana" w:hAnsi="Verdana"/>
          <w:lang w:val="en-US"/>
        </w:rPr>
      </w:pPr>
      <w:r w:rsidRPr="00A64AED">
        <w:rPr>
          <w:rFonts w:ascii="Verdana" w:hAnsi="Verdana"/>
          <w:lang w:val="en-US"/>
        </w:rPr>
        <w:t>Enlace SUCOP:  </w:t>
      </w:r>
      <w:hyperlink r:id="rId18" w:tgtFrame="_blank" w:tooltip="Dirección URL original: https://www.sucop.gov.co/entidades/colombiacompra/Normativa?IDNorma=19201. Haga clic o pulse si confía en este vínculo." w:history="1">
        <w:r w:rsidRPr="00A64AED">
          <w:rPr>
            <w:rStyle w:val="Hipervnculo"/>
            <w:rFonts w:ascii="Verdana" w:hAnsi="Verdana"/>
            <w:lang w:val="en-US"/>
          </w:rPr>
          <w:t>https://www.sucop.gov.co/entidades/colombiacompra/Normativa?IDNorma=19201</w:t>
        </w:r>
      </w:hyperlink>
    </w:p>
    <w:p w14:paraId="4849E8D5" w14:textId="77777777" w:rsidR="0079427D" w:rsidRPr="00A64AED" w:rsidRDefault="0079427D" w:rsidP="0079427D">
      <w:pPr>
        <w:spacing w:after="120" w:line="276" w:lineRule="auto"/>
        <w:jc w:val="both"/>
        <w:rPr>
          <w:rFonts w:ascii="Verdana" w:hAnsi="Verdana"/>
          <w:lang w:val="en-US"/>
        </w:rPr>
      </w:pPr>
      <w:r w:rsidRPr="00A64AED">
        <w:rPr>
          <w:rFonts w:ascii="Verdana" w:hAnsi="Verdana"/>
          <w:lang w:val="en-US"/>
        </w:rPr>
        <w:t> </w:t>
      </w:r>
    </w:p>
    <w:p w14:paraId="567611A3" w14:textId="77777777" w:rsidR="0079427D" w:rsidRPr="00DF24BE" w:rsidRDefault="0079427D" w:rsidP="0079427D">
      <w:pPr>
        <w:spacing w:after="120" w:line="276" w:lineRule="auto"/>
        <w:jc w:val="both"/>
        <w:rPr>
          <w:rFonts w:ascii="Verdana" w:hAnsi="Verdana"/>
        </w:rPr>
      </w:pPr>
      <w:r w:rsidRPr="00DF24BE">
        <w:rPr>
          <w:rFonts w:ascii="Verdana" w:hAnsi="Verdana"/>
        </w:rPr>
        <w:lastRenderedPageBreak/>
        <w:t>También le invitamos a consultar la versión VII  de 2024 , del Boletín de Relatoría de la Subdirección de Gestión Contractual relacionado con las ASOCIACIONES PÚBLICO POPULARES , el cual se puede descargar en la página web de la Agencia: </w:t>
      </w:r>
      <w:hyperlink r:id="rId19" w:tgtFrame="_blank" w:tooltip="Dirección URL original: https://www.colombiacompra.gov.co/sala-de-prensa/boletin-digital. Haga clic o pulse si confía en este vínculo." w:history="1">
        <w:r w:rsidRPr="00DF24BE">
          <w:rPr>
            <w:rStyle w:val="Hipervnculo"/>
            <w:rFonts w:ascii="Verdana" w:hAnsi="Verdana"/>
          </w:rPr>
          <w:t>https://www.colombiacompra.gov.co/sala-de-prensa/boletin-digital</w:t>
        </w:r>
      </w:hyperlink>
      <w:r w:rsidRPr="00DF24BE">
        <w:rPr>
          <w:rFonts w:ascii="Verdana" w:hAnsi="Verdana"/>
        </w:rPr>
        <w:t> ".</w:t>
      </w:r>
    </w:p>
    <w:p w14:paraId="3F49AD64" w14:textId="77777777" w:rsidR="0079427D" w:rsidRPr="0011467B" w:rsidRDefault="0079427D" w:rsidP="0079427D">
      <w:pPr>
        <w:pStyle w:val="Textonotapie"/>
        <w:jc w:val="both"/>
        <w:rPr>
          <w:rFonts w:ascii="Verdana" w:hAnsi="Verdana" w:cs="Arial"/>
          <w:sz w:val="22"/>
          <w:szCs w:val="22"/>
          <w:lang w:val="es-ES"/>
        </w:rPr>
      </w:pPr>
    </w:p>
    <w:p w14:paraId="088DB9A9" w14:textId="77777777" w:rsidR="0079427D" w:rsidRPr="0011467B" w:rsidRDefault="0079427D" w:rsidP="0079427D">
      <w:pPr>
        <w:spacing w:after="0" w:line="240" w:lineRule="auto"/>
        <w:jc w:val="both"/>
        <w:rPr>
          <w:rFonts w:ascii="Verdana" w:hAnsi="Verdana"/>
        </w:rPr>
      </w:pPr>
      <w:r w:rsidRPr="0011467B">
        <w:rPr>
          <w:rFonts w:ascii="Verdana" w:hAnsi="Verdana"/>
        </w:rPr>
        <w:t xml:space="preserve">Por último, lo invitamos a seguirnos en las redes sociales en las cuales se difunde información institucional: </w:t>
      </w:r>
    </w:p>
    <w:p w14:paraId="40184430" w14:textId="77777777" w:rsidR="0079427D" w:rsidRPr="0011467B" w:rsidRDefault="0079427D" w:rsidP="0079427D">
      <w:pPr>
        <w:spacing w:after="0" w:line="240" w:lineRule="auto"/>
        <w:jc w:val="both"/>
        <w:rPr>
          <w:rFonts w:ascii="Verdana" w:hAnsi="Verdana"/>
        </w:rPr>
      </w:pPr>
    </w:p>
    <w:p w14:paraId="7DFCBD53" w14:textId="77777777" w:rsidR="0079427D" w:rsidRPr="0011467B" w:rsidRDefault="0079427D" w:rsidP="0079427D">
      <w:pPr>
        <w:spacing w:after="0" w:line="240" w:lineRule="auto"/>
        <w:jc w:val="both"/>
        <w:rPr>
          <w:rFonts w:ascii="Verdana" w:hAnsi="Verdana"/>
        </w:rPr>
      </w:pPr>
      <w:r w:rsidRPr="0011467B">
        <w:rPr>
          <w:rFonts w:ascii="Verdana" w:hAnsi="Verdana"/>
        </w:rPr>
        <w:t xml:space="preserve">Twitter: </w:t>
      </w:r>
      <w:r w:rsidRPr="0011467B">
        <w:rPr>
          <w:rStyle w:val="Hipervnculo"/>
          <w:rFonts w:ascii="Verdana" w:hAnsi="Verdana"/>
          <w:color w:val="4472C4" w:themeColor="accent1"/>
        </w:rPr>
        <w:t>@colombiacompra</w:t>
      </w:r>
      <w:r w:rsidRPr="0011467B">
        <w:rPr>
          <w:rFonts w:ascii="Verdana" w:hAnsi="Verdana"/>
          <w:color w:val="4472C4" w:themeColor="accent1"/>
        </w:rPr>
        <w:t xml:space="preserve"> </w:t>
      </w:r>
    </w:p>
    <w:p w14:paraId="63F81BD3" w14:textId="77777777" w:rsidR="0079427D" w:rsidRPr="0011467B" w:rsidRDefault="0079427D" w:rsidP="0079427D">
      <w:pPr>
        <w:spacing w:after="0" w:line="240" w:lineRule="auto"/>
        <w:jc w:val="both"/>
        <w:rPr>
          <w:rFonts w:ascii="Verdana" w:hAnsi="Verdana"/>
        </w:rPr>
      </w:pPr>
      <w:r w:rsidRPr="0011467B">
        <w:rPr>
          <w:rFonts w:ascii="Verdana" w:hAnsi="Verdana"/>
        </w:rPr>
        <w:t xml:space="preserve">Facebook: </w:t>
      </w:r>
      <w:proofErr w:type="spellStart"/>
      <w:r w:rsidRPr="0011467B">
        <w:rPr>
          <w:rStyle w:val="Hipervnculo"/>
          <w:rFonts w:ascii="Verdana" w:hAnsi="Verdana"/>
          <w:color w:val="4472C4" w:themeColor="accent1"/>
        </w:rPr>
        <w:t>ColombiaCompraEficiente</w:t>
      </w:r>
      <w:proofErr w:type="spellEnd"/>
    </w:p>
    <w:p w14:paraId="40506577" w14:textId="77777777" w:rsidR="0079427D" w:rsidRPr="0011467B" w:rsidRDefault="0079427D" w:rsidP="0079427D">
      <w:pPr>
        <w:spacing w:after="0" w:line="240" w:lineRule="auto"/>
        <w:jc w:val="both"/>
        <w:rPr>
          <w:rFonts w:ascii="Verdana" w:hAnsi="Verdana"/>
        </w:rPr>
      </w:pPr>
      <w:r w:rsidRPr="0011467B">
        <w:rPr>
          <w:rFonts w:ascii="Verdana" w:hAnsi="Verdana"/>
        </w:rPr>
        <w:t xml:space="preserve">LinkedIn: </w:t>
      </w:r>
      <w:r w:rsidRPr="0011467B">
        <w:rPr>
          <w:rStyle w:val="Hipervnculo"/>
          <w:rFonts w:ascii="Verdana" w:hAnsi="Verdana"/>
          <w:color w:val="4472C4" w:themeColor="accent1"/>
        </w:rPr>
        <w:t>Agencia Nacional de Contratación Pública - Colombia Compra Eficiente</w:t>
      </w:r>
      <w:r w:rsidRPr="0011467B">
        <w:rPr>
          <w:rFonts w:ascii="Verdana" w:hAnsi="Verdana"/>
          <w:color w:val="4472C4" w:themeColor="accent1"/>
        </w:rPr>
        <w:t xml:space="preserve"> </w:t>
      </w:r>
      <w:r w:rsidRPr="0011467B">
        <w:rPr>
          <w:rFonts w:ascii="Verdana" w:hAnsi="Verdana"/>
        </w:rPr>
        <w:t xml:space="preserve">Instagram: </w:t>
      </w:r>
      <w:r w:rsidRPr="0011467B">
        <w:rPr>
          <w:rStyle w:val="Hipervnculo"/>
          <w:rFonts w:ascii="Verdana" w:hAnsi="Verdana"/>
          <w:color w:val="4472C4" w:themeColor="accent1"/>
        </w:rPr>
        <w:t>@colombiacompraeficiente_cce</w:t>
      </w:r>
    </w:p>
    <w:p w14:paraId="67514AB6" w14:textId="77777777" w:rsidR="0079427D" w:rsidRPr="0011467B" w:rsidRDefault="0079427D" w:rsidP="0079427D">
      <w:pPr>
        <w:spacing w:after="120" w:line="276" w:lineRule="auto"/>
        <w:jc w:val="both"/>
        <w:rPr>
          <w:rFonts w:ascii="Verdana" w:hAnsi="Verdana" w:cs="Arial"/>
          <w:lang w:val="es-ES"/>
        </w:rPr>
      </w:pPr>
    </w:p>
    <w:p w14:paraId="34AC2912" w14:textId="77777777" w:rsidR="0079427D" w:rsidRPr="0011467B" w:rsidRDefault="0079427D" w:rsidP="0079427D">
      <w:pPr>
        <w:spacing w:after="120" w:line="276" w:lineRule="auto"/>
        <w:jc w:val="both"/>
        <w:rPr>
          <w:rFonts w:ascii="Verdana" w:hAnsi="Verdana" w:cs="Arial"/>
          <w:color w:val="000000" w:themeColor="text1"/>
          <w:lang w:val="es-ES_tradnl"/>
        </w:rPr>
      </w:pPr>
      <w:r w:rsidRPr="0011467B">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4BB0622B" w14:textId="77777777" w:rsidR="0079427D" w:rsidRPr="0011467B" w:rsidRDefault="0079427D" w:rsidP="0079427D">
      <w:pPr>
        <w:spacing w:after="120" w:line="276" w:lineRule="auto"/>
        <w:jc w:val="both"/>
        <w:rPr>
          <w:rFonts w:ascii="Verdana" w:eastAsia="Times New Roman" w:hAnsi="Verdana" w:cs="Arial"/>
          <w:i/>
          <w:lang w:val="es-ES" w:eastAsia="es-ES"/>
        </w:rPr>
      </w:pPr>
    </w:p>
    <w:p w14:paraId="48B2E22A" w14:textId="77777777" w:rsidR="0079427D" w:rsidRPr="0011467B" w:rsidRDefault="0079427D" w:rsidP="0079427D">
      <w:pPr>
        <w:spacing w:after="0" w:line="240" w:lineRule="auto"/>
        <w:rPr>
          <w:rFonts w:ascii="Verdana" w:eastAsia="Times New Roman" w:hAnsi="Verdana" w:cs="Arial"/>
          <w:lang w:eastAsia="es-CO"/>
        </w:rPr>
      </w:pPr>
      <w:r w:rsidRPr="0011467B">
        <w:rPr>
          <w:rFonts w:ascii="Verdana" w:eastAsia="Times New Roman" w:hAnsi="Verdana" w:cs="Arial"/>
          <w:lang w:eastAsia="es-CO"/>
        </w:rPr>
        <w:t>Atentamente,</w:t>
      </w:r>
    </w:p>
    <w:p w14:paraId="119B373C" w14:textId="77777777" w:rsidR="0079427D" w:rsidRPr="0011467B" w:rsidRDefault="0079427D" w:rsidP="0079427D">
      <w:pPr>
        <w:spacing w:after="0" w:line="276" w:lineRule="auto"/>
        <w:jc w:val="center"/>
        <w:rPr>
          <w:rFonts w:ascii="Verdana" w:eastAsia="Times New Roman" w:hAnsi="Verdana" w:cs="Arial"/>
          <w:color w:val="000000"/>
          <w:lang w:val="es-ES_tradnl" w:eastAsia="es-CO"/>
        </w:rPr>
      </w:pPr>
    </w:p>
    <w:p w14:paraId="0AA2A156" w14:textId="3E4662CB" w:rsidR="0079427D" w:rsidRPr="0011467B" w:rsidRDefault="00AF5A93" w:rsidP="0079427D">
      <w:pPr>
        <w:spacing w:after="0" w:line="276" w:lineRule="auto"/>
        <w:jc w:val="center"/>
        <w:rPr>
          <w:rFonts w:ascii="Verdana" w:eastAsia="Times New Roman" w:hAnsi="Verdana" w:cs="Arial"/>
          <w:color w:val="000000"/>
          <w:lang w:val="es-ES_tradnl" w:eastAsia="es-CO"/>
        </w:rPr>
      </w:pPr>
      <w:bookmarkStart w:id="4" w:name="_Hlk184289275"/>
      <w:r w:rsidRPr="004D5C25">
        <w:rPr>
          <w:rFonts w:ascii="Century Gothic" w:hAnsi="Century Gothic"/>
          <w:noProof/>
        </w:rPr>
        <w:drawing>
          <wp:inline distT="0" distB="0" distL="0" distR="0" wp14:anchorId="303CFCA0" wp14:editId="2EB44AB0">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p w14:paraId="1C141DFC" w14:textId="77777777" w:rsidR="0079427D" w:rsidRPr="0011467B" w:rsidRDefault="0079427D" w:rsidP="0079427D">
      <w:pPr>
        <w:spacing w:after="0" w:line="276" w:lineRule="auto"/>
        <w:jc w:val="center"/>
        <w:rPr>
          <w:rFonts w:ascii="Verdana" w:eastAsia="Times New Roman" w:hAnsi="Verdana" w:cs="Arial"/>
          <w:color w:val="000000"/>
          <w:sz w:val="18"/>
          <w:szCs w:val="18"/>
          <w:lang w:val="es-ES" w:eastAsia="es-CO"/>
        </w:rPr>
      </w:pP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79427D" w:rsidRPr="0011467B" w14:paraId="3FBAB178" w14:textId="77777777" w:rsidTr="009315AD">
        <w:trPr>
          <w:trHeight w:val="409"/>
        </w:trPr>
        <w:tc>
          <w:tcPr>
            <w:tcW w:w="913" w:type="dxa"/>
            <w:tcBorders>
              <w:top w:val="nil"/>
              <w:left w:val="nil"/>
              <w:bottom w:val="nil"/>
              <w:right w:val="nil"/>
            </w:tcBorders>
            <w:vAlign w:val="center"/>
            <w:hideMark/>
          </w:tcPr>
          <w:p w14:paraId="4ACF19CC" w14:textId="77777777" w:rsidR="0079427D" w:rsidRPr="0011467B" w:rsidRDefault="0079427D" w:rsidP="009315AD">
            <w:pPr>
              <w:spacing w:after="0"/>
              <w:jc w:val="both"/>
              <w:rPr>
                <w:rFonts w:ascii="Verdana" w:hAnsi="Verdana" w:cs="Arial"/>
                <w:sz w:val="16"/>
                <w:szCs w:val="16"/>
              </w:rPr>
            </w:pPr>
            <w:r w:rsidRPr="0011467B">
              <w:rPr>
                <w:rFonts w:ascii="Verdana" w:hAnsi="Verdana" w:cs="Arial"/>
                <w:sz w:val="16"/>
                <w:szCs w:val="16"/>
              </w:rPr>
              <w:t>Elaboró: </w:t>
            </w:r>
          </w:p>
        </w:tc>
        <w:tc>
          <w:tcPr>
            <w:tcW w:w="5525" w:type="dxa"/>
            <w:tcBorders>
              <w:top w:val="nil"/>
              <w:left w:val="nil"/>
              <w:bottom w:val="dotted" w:sz="6" w:space="0" w:color="7F7F7F" w:themeColor="text1" w:themeTint="80"/>
              <w:right w:val="nil"/>
            </w:tcBorders>
            <w:vAlign w:val="center"/>
            <w:hideMark/>
          </w:tcPr>
          <w:p w14:paraId="061D8B5E" w14:textId="77777777" w:rsidR="0079427D" w:rsidRPr="0011467B" w:rsidRDefault="0079427D" w:rsidP="009315AD">
            <w:pPr>
              <w:spacing w:after="0"/>
              <w:jc w:val="both"/>
              <w:rPr>
                <w:rFonts w:ascii="Verdana" w:hAnsi="Verdana" w:cs="Arial"/>
                <w:sz w:val="16"/>
                <w:szCs w:val="16"/>
              </w:rPr>
            </w:pPr>
            <w:r>
              <w:rPr>
                <w:rFonts w:ascii="Verdana" w:hAnsi="Verdana" w:cs="Arial"/>
                <w:sz w:val="16"/>
                <w:szCs w:val="16"/>
              </w:rPr>
              <w:t>Keila Margarita Reyes Cassiani</w:t>
            </w:r>
          </w:p>
          <w:p w14:paraId="367849F9" w14:textId="77777777" w:rsidR="0079427D" w:rsidRPr="0011467B" w:rsidRDefault="0079427D" w:rsidP="009315AD">
            <w:pPr>
              <w:spacing w:after="0"/>
              <w:jc w:val="both"/>
              <w:rPr>
                <w:rFonts w:ascii="Verdana" w:hAnsi="Verdana" w:cs="Arial"/>
                <w:sz w:val="16"/>
                <w:szCs w:val="16"/>
              </w:rPr>
            </w:pPr>
            <w:r w:rsidRPr="0011467B">
              <w:rPr>
                <w:rFonts w:ascii="Verdana" w:hAnsi="Verdana" w:cs="Arial"/>
                <w:sz w:val="16"/>
                <w:szCs w:val="16"/>
              </w:rPr>
              <w:t>Contratista de la Subdirección de Gestión Contractual</w:t>
            </w:r>
          </w:p>
        </w:tc>
      </w:tr>
      <w:tr w:rsidR="0079427D" w:rsidRPr="0011467B" w14:paraId="34032543" w14:textId="77777777" w:rsidTr="009315AD">
        <w:trPr>
          <w:trHeight w:val="409"/>
        </w:trPr>
        <w:tc>
          <w:tcPr>
            <w:tcW w:w="913" w:type="dxa"/>
            <w:tcBorders>
              <w:top w:val="nil"/>
              <w:left w:val="nil"/>
              <w:right w:val="nil"/>
            </w:tcBorders>
            <w:vAlign w:val="center"/>
          </w:tcPr>
          <w:p w14:paraId="78372487" w14:textId="77777777" w:rsidR="0079427D" w:rsidRPr="0011467B" w:rsidRDefault="0079427D" w:rsidP="009315AD">
            <w:pPr>
              <w:spacing w:after="0"/>
              <w:jc w:val="both"/>
              <w:rPr>
                <w:rFonts w:ascii="Verdana" w:hAnsi="Verdana" w:cs="Arial"/>
                <w:sz w:val="16"/>
                <w:szCs w:val="16"/>
              </w:rPr>
            </w:pPr>
            <w:r w:rsidRPr="0011467B">
              <w:rPr>
                <w:rFonts w:ascii="Verdana" w:hAnsi="Verdana" w:cs="Arial"/>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76814A5F" w14:textId="77777777" w:rsidR="0079427D" w:rsidRPr="00AB11C1" w:rsidRDefault="0079427D" w:rsidP="009315AD">
            <w:pPr>
              <w:spacing w:after="0"/>
              <w:jc w:val="both"/>
              <w:rPr>
                <w:rStyle w:val="normaltextrun"/>
                <w:rFonts w:ascii="Verdana" w:eastAsia="Arial" w:hAnsi="Verdana" w:cs="Arial"/>
                <w:color w:val="000000" w:themeColor="text1"/>
                <w:sz w:val="16"/>
                <w:szCs w:val="16"/>
              </w:rPr>
            </w:pPr>
            <w:r>
              <w:rPr>
                <w:rStyle w:val="normaltextrun"/>
                <w:rFonts w:ascii="Verdana" w:eastAsia="Arial" w:hAnsi="Verdana" w:cs="Arial"/>
                <w:color w:val="000000" w:themeColor="text1"/>
                <w:sz w:val="16"/>
                <w:szCs w:val="16"/>
              </w:rPr>
              <w:t>X</w:t>
            </w:r>
            <w:r w:rsidRPr="00886A34">
              <w:rPr>
                <w:rStyle w:val="normaltextrun"/>
                <w:rFonts w:ascii="Verdana" w:eastAsia="Arial" w:hAnsi="Verdana" w:cs="Arial"/>
                <w:color w:val="000000" w:themeColor="text1"/>
                <w:sz w:val="16"/>
                <w:szCs w:val="16"/>
              </w:rPr>
              <w:t>imen</w:t>
            </w:r>
            <w:r w:rsidRPr="00AB11C1">
              <w:rPr>
                <w:rStyle w:val="normaltextrun"/>
                <w:rFonts w:ascii="Verdana" w:eastAsia="Arial" w:hAnsi="Verdana" w:cs="Arial"/>
                <w:color w:val="000000" w:themeColor="text1"/>
                <w:sz w:val="16"/>
                <w:szCs w:val="16"/>
              </w:rPr>
              <w:t>a Ríos López</w:t>
            </w:r>
          </w:p>
          <w:p w14:paraId="590F1E1D" w14:textId="77777777" w:rsidR="0079427D" w:rsidRPr="0011467B" w:rsidRDefault="0079427D" w:rsidP="009315AD">
            <w:pPr>
              <w:spacing w:after="0"/>
              <w:jc w:val="both"/>
              <w:rPr>
                <w:rFonts w:ascii="Verdana" w:hAnsi="Verdana" w:cs="Arial"/>
                <w:sz w:val="16"/>
                <w:szCs w:val="16"/>
              </w:rPr>
            </w:pPr>
            <w:r w:rsidRPr="00AB11C1">
              <w:rPr>
                <w:rStyle w:val="normaltextrun"/>
                <w:rFonts w:ascii="Verdana" w:eastAsia="Arial" w:hAnsi="Verdana" w:cs="Arial"/>
                <w:color w:val="000000" w:themeColor="text1"/>
                <w:sz w:val="16"/>
                <w:szCs w:val="16"/>
              </w:rPr>
              <w:t>Gestor código T1 grado 11 de la Subdirección de Gestión Contractual</w:t>
            </w:r>
          </w:p>
        </w:tc>
      </w:tr>
      <w:tr w:rsidR="0079427D" w:rsidRPr="0011467B" w14:paraId="05BD686A" w14:textId="77777777" w:rsidTr="009315AD">
        <w:trPr>
          <w:trHeight w:val="389"/>
        </w:trPr>
        <w:tc>
          <w:tcPr>
            <w:tcW w:w="913" w:type="dxa"/>
            <w:tcBorders>
              <w:top w:val="nil"/>
              <w:left w:val="nil"/>
              <w:bottom w:val="nil"/>
              <w:right w:val="nil"/>
            </w:tcBorders>
            <w:vAlign w:val="center"/>
            <w:hideMark/>
          </w:tcPr>
          <w:p w14:paraId="77B9564D" w14:textId="77777777" w:rsidR="0079427D" w:rsidRPr="0011467B" w:rsidRDefault="0079427D" w:rsidP="009315AD">
            <w:pPr>
              <w:spacing w:after="0"/>
              <w:jc w:val="both"/>
              <w:rPr>
                <w:rFonts w:ascii="Verdana" w:hAnsi="Verdana" w:cs="Arial"/>
                <w:sz w:val="16"/>
                <w:szCs w:val="16"/>
              </w:rPr>
            </w:pPr>
            <w:r w:rsidRPr="0011467B">
              <w:rPr>
                <w:rFonts w:ascii="Verdana" w:hAnsi="Verdana" w:cs="Arial"/>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1C30B572" w14:textId="77777777" w:rsidR="0079427D" w:rsidRPr="0011467B" w:rsidRDefault="0079427D" w:rsidP="009315AD">
            <w:pPr>
              <w:spacing w:after="0"/>
              <w:rPr>
                <w:rFonts w:ascii="Verdana" w:eastAsia="Calibri" w:hAnsi="Verdana" w:cs="Arial"/>
                <w:sz w:val="16"/>
                <w:szCs w:val="16"/>
                <w:lang w:val="pt-BR" w:eastAsia="es-ES"/>
              </w:rPr>
            </w:pPr>
            <w:r w:rsidRPr="0011467B">
              <w:rPr>
                <w:rFonts w:ascii="Verdana" w:eastAsia="Calibri" w:hAnsi="Verdana" w:cs="Arial"/>
                <w:sz w:val="16"/>
                <w:szCs w:val="16"/>
                <w:lang w:val="pt-BR" w:eastAsia="es-ES"/>
              </w:rPr>
              <w:t xml:space="preserve">Carolina Quintero </w:t>
            </w:r>
            <w:proofErr w:type="spellStart"/>
            <w:r w:rsidRPr="0011467B">
              <w:rPr>
                <w:rFonts w:ascii="Verdana" w:eastAsia="Calibri" w:hAnsi="Verdana" w:cs="Arial"/>
                <w:sz w:val="16"/>
                <w:szCs w:val="16"/>
                <w:lang w:val="pt-BR" w:eastAsia="es-ES"/>
              </w:rPr>
              <w:t>Gacharná</w:t>
            </w:r>
            <w:proofErr w:type="spellEnd"/>
          </w:p>
          <w:p w14:paraId="13AD986E" w14:textId="77777777" w:rsidR="0079427D" w:rsidRPr="0011467B" w:rsidRDefault="0079427D" w:rsidP="009315AD">
            <w:pPr>
              <w:spacing w:after="0"/>
              <w:jc w:val="both"/>
              <w:rPr>
                <w:rFonts w:ascii="Verdana" w:hAnsi="Verdana" w:cs="Arial"/>
                <w:sz w:val="16"/>
                <w:szCs w:val="16"/>
              </w:rPr>
            </w:pPr>
            <w:r w:rsidRPr="0011467B">
              <w:rPr>
                <w:rFonts w:ascii="Verdana" w:hAnsi="Verdana" w:cs="Arial"/>
                <w:sz w:val="16"/>
                <w:szCs w:val="16"/>
              </w:rPr>
              <w:t>Subdirectora de Gestión Contractual ANCP – CCE</w:t>
            </w:r>
          </w:p>
        </w:tc>
      </w:tr>
      <w:bookmarkEnd w:id="4"/>
    </w:tbl>
    <w:p w14:paraId="4E5B63AD" w14:textId="77777777" w:rsidR="0079427D" w:rsidRPr="009E6832" w:rsidRDefault="0079427D" w:rsidP="0079427D">
      <w:pPr>
        <w:rPr>
          <w:lang w:val="es-ES"/>
        </w:rPr>
      </w:pPr>
    </w:p>
    <w:bookmarkEnd w:id="3"/>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1F1B7D">
      <w:headerReference w:type="default" r:id="rId21"/>
      <w:footerReference w:type="default" r:id="rId22"/>
      <w:pgSz w:w="12240" w:h="15840" w:code="1"/>
      <w:pgMar w:top="1417" w:right="1701" w:bottom="1417" w:left="1701" w:header="709" w:footer="11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BD30DD" w14:textId="77777777" w:rsidR="00D77D21" w:rsidRDefault="00D77D21" w:rsidP="004A1847">
      <w:pPr>
        <w:spacing w:after="0" w:line="240" w:lineRule="auto"/>
      </w:pPr>
      <w:r>
        <w:separator/>
      </w:r>
    </w:p>
  </w:endnote>
  <w:endnote w:type="continuationSeparator" w:id="0">
    <w:p w14:paraId="301A0D21" w14:textId="77777777" w:rsidR="00D77D21" w:rsidRDefault="00D77D21" w:rsidP="004A1847">
      <w:pPr>
        <w:spacing w:after="0" w:line="240" w:lineRule="auto"/>
      </w:pPr>
      <w:r>
        <w:continuationSeparator/>
      </w:r>
    </w:p>
  </w:endnote>
  <w:endnote w:type="continuationNotice" w:id="1">
    <w:p w14:paraId="483FC5C6" w14:textId="77777777" w:rsidR="00D77D21" w:rsidRDefault="00D77D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A779E1" w14:textId="77777777" w:rsidR="00D77D21" w:rsidRDefault="00D77D21" w:rsidP="004A1847">
      <w:pPr>
        <w:spacing w:after="0" w:line="240" w:lineRule="auto"/>
      </w:pPr>
      <w:r>
        <w:separator/>
      </w:r>
    </w:p>
  </w:footnote>
  <w:footnote w:type="continuationSeparator" w:id="0">
    <w:p w14:paraId="166144B8" w14:textId="77777777" w:rsidR="00D77D21" w:rsidRDefault="00D77D21" w:rsidP="004A1847">
      <w:pPr>
        <w:spacing w:after="0" w:line="240" w:lineRule="auto"/>
      </w:pPr>
      <w:r>
        <w:continuationSeparator/>
      </w:r>
    </w:p>
  </w:footnote>
  <w:footnote w:type="continuationNotice" w:id="1">
    <w:p w14:paraId="128E17FF" w14:textId="77777777" w:rsidR="00D77D21" w:rsidRDefault="00D77D21">
      <w:pPr>
        <w:spacing w:after="0" w:line="240" w:lineRule="auto"/>
      </w:pPr>
    </w:p>
  </w:footnote>
  <w:footnote w:id="2">
    <w:p w14:paraId="00BEC0F0" w14:textId="77777777" w:rsidR="0079427D" w:rsidRPr="00886A34" w:rsidRDefault="0079427D" w:rsidP="0079427D">
      <w:pPr>
        <w:pStyle w:val="Textonotapie"/>
        <w:spacing w:after="120"/>
        <w:ind w:firstLine="708"/>
        <w:jc w:val="both"/>
        <w:rPr>
          <w:rFonts w:ascii="Verdana" w:hAnsi="Verdana"/>
          <w:sz w:val="10"/>
          <w:szCs w:val="10"/>
        </w:rPr>
      </w:pPr>
      <w:r w:rsidRPr="00886A34">
        <w:rPr>
          <w:rStyle w:val="Refdenotaalpie"/>
          <w:rFonts w:ascii="Verdana" w:hAnsi="Verdana"/>
          <w:sz w:val="10"/>
          <w:szCs w:val="10"/>
        </w:rPr>
        <w:footnoteRef/>
      </w:r>
      <w:r w:rsidRPr="00886A34">
        <w:rPr>
          <w:rFonts w:ascii="Verdana" w:hAnsi="Verdana"/>
          <w:sz w:val="10"/>
          <w:szCs w:val="10"/>
        </w:rPr>
        <w:t xml:space="preserve"> “Particularmente, en cuanto atañe al postulado de la autonomía de la libertad entiende la Corte que su objetivo consiste en otorgarle un amplio margen de libertad a la administración para que, dentro de los límites que impone el interés público, regule sus relaciones contractuales con base en la consensualidad del acuerdo de voluntades, como regla general. La consecuencia obvia de este principio es la abolición de los tipos contractuales, para acoger en su lugar una sola categoría contractual: la del contrato estatal, a la cual son aplicables las disposiciones comerciales y civiles pertinentes, salvo en las materias reguladas particularmente en dicha ley”. Corte Constitucional, sentencia C-949 de 2001.</w:t>
      </w:r>
    </w:p>
  </w:footnote>
  <w:footnote w:id="3">
    <w:p w14:paraId="30FC5D7A" w14:textId="77777777" w:rsidR="0079427D" w:rsidRPr="00886A34" w:rsidRDefault="0079427D" w:rsidP="0079427D">
      <w:pPr>
        <w:pStyle w:val="Textonotapie"/>
        <w:spacing w:after="120"/>
        <w:ind w:firstLine="708"/>
        <w:jc w:val="both"/>
        <w:rPr>
          <w:rFonts w:ascii="Verdana" w:hAnsi="Verdana"/>
          <w:sz w:val="10"/>
          <w:szCs w:val="10"/>
        </w:rPr>
      </w:pPr>
      <w:r w:rsidRPr="00886A34">
        <w:rPr>
          <w:rStyle w:val="Refdenotaalpie"/>
          <w:rFonts w:ascii="Verdana" w:hAnsi="Verdana"/>
          <w:sz w:val="10"/>
          <w:szCs w:val="10"/>
        </w:rPr>
        <w:footnoteRef/>
      </w:r>
      <w:r w:rsidRPr="00886A34">
        <w:rPr>
          <w:rFonts w:ascii="Verdana" w:hAnsi="Verdana"/>
          <w:sz w:val="10"/>
          <w:szCs w:val="10"/>
        </w:rPr>
        <w:t xml:space="preserve"> Consejo de Estado, Sala de Consulta y Servicio Civil, exp. 2278 de 2016, C.P. Germán Bula Escobar (E.)</w:t>
      </w:r>
    </w:p>
  </w:footnote>
  <w:footnote w:id="4">
    <w:p w14:paraId="5C9AE431" w14:textId="77777777" w:rsidR="0079427D" w:rsidRPr="00886A34" w:rsidRDefault="0079427D" w:rsidP="0079427D">
      <w:pPr>
        <w:pStyle w:val="Textonotapie"/>
        <w:spacing w:after="120"/>
        <w:ind w:firstLine="708"/>
        <w:jc w:val="both"/>
        <w:rPr>
          <w:rFonts w:ascii="Verdana" w:hAnsi="Verdana"/>
          <w:sz w:val="10"/>
          <w:szCs w:val="10"/>
        </w:rPr>
      </w:pPr>
    </w:p>
    <w:p w14:paraId="3D310D18" w14:textId="77777777" w:rsidR="0079427D" w:rsidRPr="00886A34" w:rsidRDefault="0079427D" w:rsidP="0079427D">
      <w:pPr>
        <w:pStyle w:val="Textonotapie"/>
        <w:spacing w:after="120"/>
        <w:ind w:firstLine="708"/>
        <w:jc w:val="both"/>
        <w:rPr>
          <w:rFonts w:ascii="Verdana" w:hAnsi="Verdana"/>
          <w:sz w:val="10"/>
          <w:szCs w:val="10"/>
          <w:lang w:val="es-ES"/>
        </w:rPr>
      </w:pPr>
      <w:r w:rsidRPr="00886A34">
        <w:rPr>
          <w:rStyle w:val="Refdenotaalpie"/>
          <w:rFonts w:ascii="Verdana" w:hAnsi="Verdana"/>
          <w:sz w:val="10"/>
          <w:szCs w:val="10"/>
        </w:rPr>
        <w:footnoteRef/>
      </w:r>
      <w:r w:rsidRPr="00886A34">
        <w:rPr>
          <w:rFonts w:ascii="Verdana" w:hAnsi="Verdana"/>
          <w:sz w:val="10"/>
          <w:szCs w:val="10"/>
        </w:rPr>
        <w:t xml:space="preserve"> Consejo de Estado, Sala de Consulta y Servicio Civil, exp. 2278 de 2016, C.P. Germán Bula Escobar (E.)</w:t>
      </w:r>
    </w:p>
  </w:footnote>
  <w:footnote w:id="5">
    <w:p w14:paraId="1DD0396C" w14:textId="77777777" w:rsidR="0079427D" w:rsidRPr="00886A34" w:rsidRDefault="0079427D" w:rsidP="0079427D">
      <w:pPr>
        <w:pStyle w:val="Textonotapie"/>
        <w:spacing w:after="120"/>
        <w:ind w:firstLine="708"/>
        <w:jc w:val="both"/>
        <w:rPr>
          <w:rFonts w:ascii="Verdana" w:hAnsi="Verdana" w:cs="Arial"/>
          <w:sz w:val="10"/>
          <w:szCs w:val="10"/>
        </w:rPr>
      </w:pPr>
    </w:p>
    <w:p w14:paraId="5837A6B2" w14:textId="77777777" w:rsidR="0079427D" w:rsidRPr="00886A34" w:rsidRDefault="0079427D" w:rsidP="0079427D">
      <w:pPr>
        <w:pStyle w:val="Textonotapie"/>
        <w:spacing w:after="120"/>
        <w:ind w:firstLine="708"/>
        <w:jc w:val="both"/>
        <w:rPr>
          <w:rFonts w:ascii="Verdana" w:hAnsi="Verdana" w:cs="Arial"/>
          <w:sz w:val="10"/>
          <w:szCs w:val="10"/>
        </w:rPr>
      </w:pPr>
      <w:r w:rsidRPr="00886A34">
        <w:rPr>
          <w:rStyle w:val="Refdenotaalpie"/>
          <w:rFonts w:ascii="Verdana" w:hAnsi="Verdana"/>
          <w:sz w:val="10"/>
          <w:szCs w:val="10"/>
        </w:rPr>
        <w:footnoteRef/>
      </w:r>
      <w:r w:rsidRPr="00886A34">
        <w:rPr>
          <w:rFonts w:ascii="Verdana" w:hAnsi="Verdana" w:cs="Arial"/>
          <w:sz w:val="10"/>
          <w:szCs w:val="10"/>
        </w:rPr>
        <w:t xml:space="preserve"> Consejo de Estado. Sección Tercera. Sentencia del 1 de octubre de 2018. Consejera Ponente: Marta Nubia Velásquez Rico. Expediente: 57.897.</w:t>
      </w:r>
    </w:p>
  </w:footnote>
  <w:footnote w:id="6">
    <w:p w14:paraId="6A02D8EC" w14:textId="77777777" w:rsidR="0079427D" w:rsidRPr="00886A34" w:rsidRDefault="0079427D" w:rsidP="0079427D">
      <w:pPr>
        <w:pStyle w:val="Textonotapie"/>
        <w:spacing w:after="120"/>
        <w:ind w:firstLine="709"/>
        <w:jc w:val="both"/>
        <w:rPr>
          <w:rFonts w:ascii="Verdana" w:hAnsi="Verdana" w:cs="Arial"/>
          <w:sz w:val="10"/>
          <w:szCs w:val="10"/>
        </w:rPr>
      </w:pPr>
      <w:r w:rsidRPr="00886A34">
        <w:rPr>
          <w:rStyle w:val="Refdenotaalpie"/>
          <w:rFonts w:ascii="Verdana" w:hAnsi="Verdana"/>
          <w:sz w:val="10"/>
          <w:szCs w:val="10"/>
        </w:rPr>
        <w:footnoteRef/>
      </w:r>
      <w:r w:rsidRPr="00886A34">
        <w:rPr>
          <w:rFonts w:ascii="Verdana" w:hAnsi="Verdana" w:cs="Arial"/>
          <w:sz w:val="10"/>
          <w:szCs w:val="10"/>
        </w:rPr>
        <w:t xml:space="preserve"> Cfr. Consejo de Estado. Sección Tercera. Sentencia del 1 de junio de 2017. Consejero Ponente: Ramiro Pazos Guerrero. Expediente: 36.117, en la cual se analizó la suspensión de un contrato estatal debido a un paro armado promovido por grupos al margen de la ley en el sitio de ejecución de la obra.</w:t>
      </w:r>
    </w:p>
  </w:footnote>
  <w:footnote w:id="7">
    <w:p w14:paraId="0A48C2E9" w14:textId="77777777" w:rsidR="0079427D" w:rsidRPr="00886A34" w:rsidRDefault="0079427D" w:rsidP="0079427D">
      <w:pPr>
        <w:pStyle w:val="Textonotapie"/>
        <w:spacing w:after="120"/>
        <w:ind w:firstLine="709"/>
        <w:jc w:val="both"/>
        <w:rPr>
          <w:rFonts w:ascii="Verdana" w:hAnsi="Verdana" w:cs="Arial"/>
          <w:sz w:val="10"/>
          <w:szCs w:val="10"/>
          <w:lang w:val="es-ES"/>
        </w:rPr>
      </w:pPr>
      <w:r w:rsidRPr="00886A34">
        <w:rPr>
          <w:rStyle w:val="Refdenotaalpie"/>
          <w:rFonts w:ascii="Verdana" w:hAnsi="Verdana"/>
          <w:sz w:val="10"/>
          <w:szCs w:val="10"/>
        </w:rPr>
        <w:footnoteRef/>
      </w:r>
      <w:r w:rsidRPr="00886A34">
        <w:rPr>
          <w:rFonts w:ascii="Verdana" w:hAnsi="Verdana" w:cs="Arial"/>
          <w:sz w:val="10"/>
          <w:szCs w:val="10"/>
        </w:rPr>
        <w:t xml:space="preserve"> </w:t>
      </w:r>
      <w:r w:rsidRPr="00886A34">
        <w:rPr>
          <w:rFonts w:ascii="Verdana" w:hAnsi="Verdana" w:cs="Arial"/>
          <w:sz w:val="10"/>
          <w:szCs w:val="10"/>
          <w:lang w:val="es-ES"/>
        </w:rPr>
        <w:t>El artículo 64 del Código Civil define la fuerza mayor o caso fortuito como “el imprevisto o que no es posible resistir, como un naufragio, un terremoto, el apresamiento de enemigos, los actos de autoridad ejercidos por un funcionario público, etc.”.</w:t>
      </w:r>
    </w:p>
  </w:footnote>
  <w:footnote w:id="8">
    <w:p w14:paraId="246A0AB6" w14:textId="77777777" w:rsidR="0079427D" w:rsidRPr="00886A34" w:rsidRDefault="0079427D" w:rsidP="0079427D">
      <w:pPr>
        <w:pStyle w:val="Textonotapie"/>
        <w:spacing w:after="120"/>
        <w:ind w:firstLine="708"/>
        <w:jc w:val="both"/>
        <w:rPr>
          <w:rFonts w:ascii="Verdana" w:hAnsi="Verdana"/>
          <w:sz w:val="10"/>
          <w:szCs w:val="10"/>
        </w:rPr>
      </w:pPr>
      <w:r w:rsidRPr="00886A34">
        <w:rPr>
          <w:rStyle w:val="Refdenotaalpie"/>
          <w:rFonts w:ascii="Verdana" w:hAnsi="Verdana"/>
          <w:sz w:val="10"/>
          <w:szCs w:val="10"/>
        </w:rPr>
        <w:footnoteRef/>
      </w:r>
      <w:r w:rsidRPr="00886A34">
        <w:rPr>
          <w:rFonts w:ascii="Verdana" w:hAnsi="Verdana"/>
          <w:sz w:val="10"/>
          <w:szCs w:val="10"/>
        </w:rPr>
        <w:t xml:space="preserve"> “Particularmente, en cuanto atañe al postulado de la autonomía de la libertad entiende la Corte que su objetivo consiste en otorgarle un amplio margen de libertad a la administración para que, dentro de los límites que impone el interés público, regule sus relaciones contractuales con base en la consensualidad del acuerdo de voluntades, como regla general. La consecuencia obvia de este principio es la abolición de los tipos contractuales, para acoger en su lugar una sola categoría contractual: la del contrato estatal, a la cual son aplicables las disposiciones comerciales y civiles pertinentes, salvo en las materias reguladas particularmente en dicha ley”. Corte Constitucional, sentencia C-949 de 2001.</w:t>
      </w:r>
    </w:p>
  </w:footnote>
  <w:footnote w:id="9">
    <w:p w14:paraId="1329A616" w14:textId="77777777" w:rsidR="0079427D" w:rsidRPr="00886A34" w:rsidRDefault="0079427D" w:rsidP="0079427D">
      <w:pPr>
        <w:pStyle w:val="Textonotapie"/>
        <w:spacing w:after="120"/>
        <w:ind w:firstLine="708"/>
        <w:jc w:val="both"/>
        <w:rPr>
          <w:rFonts w:ascii="Verdana" w:hAnsi="Verdana"/>
          <w:sz w:val="10"/>
          <w:szCs w:val="10"/>
        </w:rPr>
      </w:pPr>
      <w:r w:rsidRPr="00886A34">
        <w:rPr>
          <w:rStyle w:val="Refdenotaalpie"/>
          <w:rFonts w:ascii="Verdana" w:hAnsi="Verdana"/>
          <w:sz w:val="10"/>
          <w:szCs w:val="10"/>
        </w:rPr>
        <w:footnoteRef/>
      </w:r>
      <w:r w:rsidRPr="00886A34">
        <w:rPr>
          <w:rFonts w:ascii="Verdana" w:hAnsi="Verdana"/>
          <w:sz w:val="10"/>
          <w:szCs w:val="10"/>
        </w:rPr>
        <w:t xml:space="preserve"> Consejo de Estado, Sala de Consulta y Servicio Civil, exp. 2278 de 2016, C.P. Germán Bula Escobar (E.)</w:t>
      </w:r>
    </w:p>
  </w:footnote>
  <w:footnote w:id="10">
    <w:p w14:paraId="3FD555C9" w14:textId="77777777" w:rsidR="0079427D" w:rsidRPr="00886A34" w:rsidRDefault="0079427D" w:rsidP="0079427D">
      <w:pPr>
        <w:pStyle w:val="Textonotapie"/>
        <w:spacing w:after="120"/>
        <w:ind w:firstLine="709"/>
        <w:jc w:val="both"/>
        <w:rPr>
          <w:rFonts w:ascii="Verdana" w:hAnsi="Verdana" w:cs="Arial"/>
          <w:sz w:val="10"/>
          <w:szCs w:val="10"/>
        </w:rPr>
      </w:pPr>
    </w:p>
    <w:p w14:paraId="7648D7E8" w14:textId="77777777" w:rsidR="0079427D" w:rsidRPr="00886A34" w:rsidRDefault="0079427D" w:rsidP="0079427D">
      <w:pPr>
        <w:pStyle w:val="Textonotapie"/>
        <w:spacing w:after="120"/>
        <w:ind w:firstLine="709"/>
        <w:jc w:val="both"/>
        <w:rPr>
          <w:rFonts w:ascii="Verdana" w:hAnsi="Verdana" w:cs="Arial"/>
          <w:sz w:val="10"/>
          <w:szCs w:val="10"/>
        </w:rPr>
      </w:pPr>
      <w:r w:rsidRPr="00886A34">
        <w:rPr>
          <w:rStyle w:val="Refdenotaalpie"/>
          <w:rFonts w:ascii="Verdana" w:hAnsi="Verdana"/>
          <w:sz w:val="10"/>
          <w:szCs w:val="10"/>
        </w:rPr>
        <w:footnoteRef/>
      </w:r>
      <w:r w:rsidRPr="00886A34">
        <w:rPr>
          <w:rFonts w:ascii="Verdana" w:hAnsi="Verdana" w:cs="Arial"/>
          <w:sz w:val="10"/>
          <w:szCs w:val="10"/>
        </w:rPr>
        <w:t xml:space="preserve"> “[…] en pronunciamiento del año 2012, la Sala de esta Subsección señaló que la suspensión del contrato, más estrictamente de la ejecución del contrato, como medida excepcional procede, por regla general, de consuno entre las partes, cuando situaciones de fuerza mayor, caso fortuito o de interés público impidan, temporalmente, cumplir el objeto de las obligaciones a cargo de las partes contratantes, de modo que el principal efecto que se desprende de la suspensión es que las obligaciones convenidas no pueden hacerse exigibles mientras perdure la medida y, por lo mismo, el término o plazo pactado del contrato (de ejecución o extintivo) no corre mientras permanezca suspendido. Por esa misma razón, la suspensión debe estar sujeta a un modo específico, plazo o condición, pactado con criterios de razonabilidad y proporcionalidad, acorde con la situación que se presente en cada caso, pero no puede permanecer indefinida en el tiempo” (Consejo de Estado. Sección Tercera. Sentencia del 16 de julio de 2015. Consejero Ponente: Carlos Alberto Zambrano Barrera. Expediente: 31.634).</w:t>
      </w:r>
    </w:p>
  </w:footnote>
  <w:footnote w:id="11">
    <w:p w14:paraId="638FE1F4" w14:textId="77777777" w:rsidR="0079427D" w:rsidRPr="00886A34" w:rsidRDefault="0079427D" w:rsidP="0079427D">
      <w:pPr>
        <w:pStyle w:val="Textonotapie"/>
        <w:spacing w:after="120"/>
        <w:ind w:firstLine="709"/>
        <w:jc w:val="both"/>
        <w:rPr>
          <w:rFonts w:ascii="Verdana" w:hAnsi="Verdana" w:cs="Arial"/>
          <w:sz w:val="10"/>
          <w:szCs w:val="10"/>
        </w:rPr>
      </w:pPr>
    </w:p>
    <w:p w14:paraId="21DC4574" w14:textId="77777777" w:rsidR="0079427D" w:rsidRPr="00886A34" w:rsidRDefault="0079427D" w:rsidP="0079427D">
      <w:pPr>
        <w:pStyle w:val="Textonotapie"/>
        <w:spacing w:after="120"/>
        <w:ind w:firstLine="709"/>
        <w:jc w:val="both"/>
        <w:rPr>
          <w:rFonts w:ascii="Verdana" w:hAnsi="Verdana" w:cs="Arial"/>
          <w:sz w:val="10"/>
          <w:szCs w:val="10"/>
          <w:lang w:val="es-ES"/>
        </w:rPr>
      </w:pPr>
      <w:r w:rsidRPr="00886A34">
        <w:rPr>
          <w:rStyle w:val="Refdenotaalpie"/>
          <w:rFonts w:ascii="Verdana" w:hAnsi="Verdana"/>
          <w:sz w:val="10"/>
          <w:szCs w:val="10"/>
        </w:rPr>
        <w:footnoteRef/>
      </w:r>
      <w:r w:rsidRPr="00886A34">
        <w:rPr>
          <w:rFonts w:ascii="Verdana" w:hAnsi="Verdana" w:cs="Arial"/>
          <w:sz w:val="10"/>
          <w:szCs w:val="10"/>
        </w:rPr>
        <w:t xml:space="preserve"> </w:t>
      </w:r>
      <w:r w:rsidRPr="00886A34">
        <w:rPr>
          <w:rFonts w:ascii="Verdana" w:hAnsi="Verdana" w:cs="Arial"/>
          <w:sz w:val="10"/>
          <w:szCs w:val="10"/>
          <w:lang w:val="es-ES"/>
        </w:rPr>
        <w:t>En circunstancias como la mencionada la entidad podría hacer uso de las cláusulas de caducidad o de terminación unilateral, reguladas en los artículos 17 y 18 de la Ley 80 de 1993, según el caso.</w:t>
      </w:r>
    </w:p>
  </w:footnote>
  <w:footnote w:id="12">
    <w:p w14:paraId="1A6137A1" w14:textId="77777777" w:rsidR="0079427D" w:rsidRPr="00886A34" w:rsidRDefault="0079427D" w:rsidP="0079427D">
      <w:pPr>
        <w:pStyle w:val="Textonotapie"/>
        <w:spacing w:after="120"/>
        <w:ind w:firstLine="709"/>
        <w:jc w:val="both"/>
        <w:rPr>
          <w:rFonts w:ascii="Verdana" w:hAnsi="Verdana" w:cs="Arial"/>
          <w:sz w:val="10"/>
          <w:szCs w:val="10"/>
        </w:rPr>
      </w:pPr>
      <w:r w:rsidRPr="00886A34">
        <w:rPr>
          <w:rStyle w:val="Refdenotaalpie"/>
          <w:rFonts w:ascii="Verdana" w:hAnsi="Verdana"/>
          <w:sz w:val="10"/>
          <w:szCs w:val="10"/>
        </w:rPr>
        <w:footnoteRef/>
      </w:r>
      <w:r w:rsidRPr="00886A34">
        <w:rPr>
          <w:rFonts w:ascii="Verdana" w:hAnsi="Verdana" w:cs="Arial"/>
          <w:sz w:val="10"/>
          <w:szCs w:val="10"/>
        </w:rPr>
        <w:t xml:space="preserve"> “[…] De modo que, los contratos estatales pueden suspenderse de común acuerdo por la ocurrencia de circunstancias que lo justifiquen. Así, aunque subsiste el vínculo contractual no corre el plazo inicialmente pactado y no se ejecutan las obligaciones. El contrato se reinicia cuando se cumpla la condición o el término dispuesto en el acuerdo de suspensión o anticipadamente por convenio de las partes” (Consejo de Estado. Sección Tercera. Auto del 10 de mayo de 2019. Consejero Ponente: Guillermo Sánchez Luque. Expediente: 59.532).</w:t>
      </w:r>
    </w:p>
    <w:p w14:paraId="1E9FCFB7" w14:textId="77777777" w:rsidR="0079427D" w:rsidRPr="00886A34" w:rsidRDefault="0079427D" w:rsidP="0079427D">
      <w:pPr>
        <w:pStyle w:val="Textonotapie"/>
        <w:spacing w:after="120"/>
        <w:ind w:firstLine="709"/>
        <w:jc w:val="both"/>
        <w:rPr>
          <w:rFonts w:ascii="Verdana" w:hAnsi="Verdana" w:cs="Arial"/>
          <w:sz w:val="10"/>
          <w:szCs w:val="10"/>
          <w:lang w:val="es-CO"/>
        </w:rPr>
      </w:pPr>
    </w:p>
  </w:footnote>
  <w:footnote w:id="13">
    <w:p w14:paraId="73F06A1B" w14:textId="77777777" w:rsidR="0079427D" w:rsidRPr="00886A34" w:rsidRDefault="0079427D" w:rsidP="0079427D">
      <w:pPr>
        <w:pStyle w:val="Textonotapie"/>
        <w:spacing w:after="120"/>
        <w:ind w:firstLine="708"/>
        <w:jc w:val="both"/>
        <w:rPr>
          <w:rFonts w:ascii="Verdana" w:hAnsi="Verdana"/>
          <w:sz w:val="10"/>
          <w:szCs w:val="10"/>
        </w:rPr>
      </w:pPr>
      <w:r w:rsidRPr="00886A34">
        <w:rPr>
          <w:rStyle w:val="Refdenotaalpie"/>
          <w:rFonts w:ascii="Verdana" w:hAnsi="Verdana"/>
          <w:sz w:val="10"/>
          <w:szCs w:val="10"/>
        </w:rPr>
        <w:footnoteRef/>
      </w:r>
      <w:r w:rsidRPr="00886A34">
        <w:rPr>
          <w:rFonts w:ascii="Verdana" w:hAnsi="Verdana"/>
          <w:sz w:val="10"/>
          <w:szCs w:val="10"/>
        </w:rPr>
        <w:t xml:space="preserve"> Consejo de Estado, Sala de Consulta y Servicio Civil, exp. 2278 de 2016, C.P. Germán Bula Escobar (E.)</w:t>
      </w:r>
    </w:p>
    <w:p w14:paraId="69238AB6" w14:textId="77777777" w:rsidR="0079427D" w:rsidRPr="00886A34" w:rsidRDefault="0079427D" w:rsidP="0079427D">
      <w:pPr>
        <w:pStyle w:val="Textonotapie"/>
        <w:spacing w:after="120"/>
        <w:ind w:firstLine="708"/>
        <w:jc w:val="both"/>
        <w:rPr>
          <w:rFonts w:ascii="Verdana" w:hAnsi="Verdana"/>
          <w:sz w:val="10"/>
          <w:szCs w:val="10"/>
          <w:lang w:val="es-ES"/>
        </w:rPr>
      </w:pPr>
    </w:p>
  </w:footnote>
  <w:footnote w:id="14">
    <w:p w14:paraId="138D6088" w14:textId="77777777" w:rsidR="0079427D" w:rsidRPr="00886A34" w:rsidRDefault="0079427D" w:rsidP="0079427D">
      <w:pPr>
        <w:pStyle w:val="Textonotapie"/>
        <w:ind w:firstLine="708"/>
        <w:jc w:val="both"/>
        <w:rPr>
          <w:rFonts w:ascii="Verdana" w:hAnsi="Verdana"/>
          <w:sz w:val="10"/>
          <w:szCs w:val="10"/>
          <w:lang w:val="es-ES"/>
        </w:rPr>
      </w:pPr>
      <w:r w:rsidRPr="00886A34">
        <w:rPr>
          <w:rStyle w:val="Refdenotaalpie"/>
          <w:rFonts w:ascii="Verdana" w:hAnsi="Verdana"/>
          <w:sz w:val="10"/>
          <w:szCs w:val="10"/>
        </w:rPr>
        <w:footnoteRef/>
      </w:r>
      <w:r w:rsidRPr="00886A34">
        <w:rPr>
          <w:rFonts w:ascii="Verdana" w:hAnsi="Verdana"/>
          <w:sz w:val="10"/>
          <w:szCs w:val="10"/>
        </w:rPr>
        <w:t xml:space="preserve"> </w:t>
      </w:r>
      <w:r w:rsidRPr="00886A34">
        <w:rPr>
          <w:rFonts w:ascii="Verdana" w:hAnsi="Verdana"/>
          <w:sz w:val="10"/>
          <w:szCs w:val="10"/>
          <w:lang w:val="es-ES"/>
        </w:rPr>
        <w:t xml:space="preserve">Consejo de Estado </w:t>
      </w:r>
      <w:r w:rsidRPr="00886A34">
        <w:rPr>
          <w:rFonts w:ascii="Verdana" w:hAnsi="Verdana"/>
          <w:sz w:val="10"/>
          <w:szCs w:val="10"/>
        </w:rPr>
        <w:t>Sentencia del 28 de abril de 2010, radicación número 07001-23-31-000-1997-0554-01(16431),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716355"/>
    <w:multiLevelType w:val="multilevel"/>
    <w:tmpl w:val="1EAAA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4" w15:restartNumberingAfterBreak="0">
    <w:nsid w:val="117A1800"/>
    <w:multiLevelType w:val="hybridMultilevel"/>
    <w:tmpl w:val="9706291C"/>
    <w:lvl w:ilvl="0" w:tplc="75469966">
      <w:start w:val="1"/>
      <w:numFmt w:val="bullet"/>
      <w:lvlText w:val=""/>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5"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CC6F5F"/>
    <w:multiLevelType w:val="hybridMultilevel"/>
    <w:tmpl w:val="D2B628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948779781">
    <w:abstractNumId w:val="8"/>
  </w:num>
  <w:num w:numId="2" w16cid:durableId="19822139">
    <w:abstractNumId w:val="3"/>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3"/>
  </w:num>
  <w:num w:numId="6" w16cid:durableId="316692925">
    <w:abstractNumId w:val="14"/>
  </w:num>
  <w:num w:numId="7" w16cid:durableId="1946422806">
    <w:abstractNumId w:val="7"/>
  </w:num>
  <w:num w:numId="8" w16cid:durableId="152644682">
    <w:abstractNumId w:val="13"/>
  </w:num>
  <w:num w:numId="9" w16cid:durableId="1317221377">
    <w:abstractNumId w:val="9"/>
  </w:num>
  <w:num w:numId="10" w16cid:durableId="1471245386">
    <w:abstractNumId w:val="12"/>
  </w:num>
  <w:num w:numId="11" w16cid:durableId="289172385">
    <w:abstractNumId w:val="10"/>
  </w:num>
  <w:num w:numId="12" w16cid:durableId="1470781324">
    <w:abstractNumId w:val="1"/>
  </w:num>
  <w:num w:numId="13" w16cid:durableId="1512908409">
    <w:abstractNumId w:val="5"/>
  </w:num>
  <w:num w:numId="14" w16cid:durableId="895897244">
    <w:abstractNumId w:val="15"/>
  </w:num>
  <w:num w:numId="15" w16cid:durableId="390349800">
    <w:abstractNumId w:val="11"/>
  </w:num>
  <w:num w:numId="16" w16cid:durableId="341274352">
    <w:abstractNumId w:val="0"/>
  </w:num>
  <w:num w:numId="17" w16cid:durableId="784039179">
    <w:abstractNumId w:val="16"/>
  </w:num>
  <w:num w:numId="18" w16cid:durableId="991132821">
    <w:abstractNumId w:val="4"/>
  </w:num>
  <w:num w:numId="19" w16cid:durableId="7124607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53302"/>
    <w:rsid w:val="00061B2A"/>
    <w:rsid w:val="00082362"/>
    <w:rsid w:val="000A04C7"/>
    <w:rsid w:val="000A683E"/>
    <w:rsid w:val="000B19B9"/>
    <w:rsid w:val="000C1F99"/>
    <w:rsid w:val="000D0334"/>
    <w:rsid w:val="000E1F80"/>
    <w:rsid w:val="000F6486"/>
    <w:rsid w:val="00125105"/>
    <w:rsid w:val="00127233"/>
    <w:rsid w:val="001511A0"/>
    <w:rsid w:val="001E4177"/>
    <w:rsid w:val="001F1B7D"/>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376CC"/>
    <w:rsid w:val="003448F4"/>
    <w:rsid w:val="00374F5E"/>
    <w:rsid w:val="00377E3E"/>
    <w:rsid w:val="003A779E"/>
    <w:rsid w:val="003D0F4D"/>
    <w:rsid w:val="003D5B0D"/>
    <w:rsid w:val="003E0499"/>
    <w:rsid w:val="003F3941"/>
    <w:rsid w:val="00406575"/>
    <w:rsid w:val="00413FDC"/>
    <w:rsid w:val="00414C74"/>
    <w:rsid w:val="0042722E"/>
    <w:rsid w:val="0044528D"/>
    <w:rsid w:val="004A1847"/>
    <w:rsid w:val="004A305D"/>
    <w:rsid w:val="004D1EFC"/>
    <w:rsid w:val="004F21C4"/>
    <w:rsid w:val="004F685F"/>
    <w:rsid w:val="005566E8"/>
    <w:rsid w:val="0057164E"/>
    <w:rsid w:val="00574867"/>
    <w:rsid w:val="00591460"/>
    <w:rsid w:val="00591A37"/>
    <w:rsid w:val="005B3816"/>
    <w:rsid w:val="005C3777"/>
    <w:rsid w:val="005C5CDC"/>
    <w:rsid w:val="005D4532"/>
    <w:rsid w:val="005D476C"/>
    <w:rsid w:val="005E7E9A"/>
    <w:rsid w:val="006219F8"/>
    <w:rsid w:val="00637B0B"/>
    <w:rsid w:val="00665D70"/>
    <w:rsid w:val="00671073"/>
    <w:rsid w:val="006900D9"/>
    <w:rsid w:val="006C7B8F"/>
    <w:rsid w:val="007028BE"/>
    <w:rsid w:val="00706C16"/>
    <w:rsid w:val="007237CC"/>
    <w:rsid w:val="00756841"/>
    <w:rsid w:val="007649AB"/>
    <w:rsid w:val="007666E9"/>
    <w:rsid w:val="00771D0C"/>
    <w:rsid w:val="007833AC"/>
    <w:rsid w:val="00791D51"/>
    <w:rsid w:val="0079427D"/>
    <w:rsid w:val="007B268C"/>
    <w:rsid w:val="007B7171"/>
    <w:rsid w:val="007C009E"/>
    <w:rsid w:val="007C0C0F"/>
    <w:rsid w:val="007C3DC2"/>
    <w:rsid w:val="007E5497"/>
    <w:rsid w:val="00806F5F"/>
    <w:rsid w:val="00820278"/>
    <w:rsid w:val="00867F95"/>
    <w:rsid w:val="008843B6"/>
    <w:rsid w:val="00891928"/>
    <w:rsid w:val="008A446D"/>
    <w:rsid w:val="008D180B"/>
    <w:rsid w:val="008F0EA7"/>
    <w:rsid w:val="008F2762"/>
    <w:rsid w:val="00923EEF"/>
    <w:rsid w:val="00937D85"/>
    <w:rsid w:val="009419F9"/>
    <w:rsid w:val="00950262"/>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1081"/>
    <w:rsid w:val="00A33C78"/>
    <w:rsid w:val="00A3491A"/>
    <w:rsid w:val="00A64AED"/>
    <w:rsid w:val="00A67B5A"/>
    <w:rsid w:val="00A75E83"/>
    <w:rsid w:val="00AB0ADB"/>
    <w:rsid w:val="00AF5A93"/>
    <w:rsid w:val="00B01B1A"/>
    <w:rsid w:val="00B66319"/>
    <w:rsid w:val="00B72CD3"/>
    <w:rsid w:val="00B72FFF"/>
    <w:rsid w:val="00BC3D36"/>
    <w:rsid w:val="00BD7F72"/>
    <w:rsid w:val="00BE30AF"/>
    <w:rsid w:val="00C04FB3"/>
    <w:rsid w:val="00C330EB"/>
    <w:rsid w:val="00C41061"/>
    <w:rsid w:val="00C754BE"/>
    <w:rsid w:val="00C76B1C"/>
    <w:rsid w:val="00CB6357"/>
    <w:rsid w:val="00CC1B26"/>
    <w:rsid w:val="00D423A2"/>
    <w:rsid w:val="00D44D15"/>
    <w:rsid w:val="00D520D8"/>
    <w:rsid w:val="00D63AC2"/>
    <w:rsid w:val="00D704F6"/>
    <w:rsid w:val="00D7383B"/>
    <w:rsid w:val="00D77D21"/>
    <w:rsid w:val="00DA231B"/>
    <w:rsid w:val="00DC39FC"/>
    <w:rsid w:val="00DF5254"/>
    <w:rsid w:val="00E16408"/>
    <w:rsid w:val="00E20894"/>
    <w:rsid w:val="00E245AB"/>
    <w:rsid w:val="00E2764C"/>
    <w:rsid w:val="00E27F2E"/>
    <w:rsid w:val="00E35633"/>
    <w:rsid w:val="00E50AFE"/>
    <w:rsid w:val="00E75C92"/>
    <w:rsid w:val="00E771DC"/>
    <w:rsid w:val="00E8772A"/>
    <w:rsid w:val="00E90F6B"/>
    <w:rsid w:val="00E92C27"/>
    <w:rsid w:val="00EA0E3D"/>
    <w:rsid w:val="00EC38A7"/>
    <w:rsid w:val="00ED7384"/>
    <w:rsid w:val="00EE1AA8"/>
    <w:rsid w:val="00F31EDC"/>
    <w:rsid w:val="00F322E4"/>
    <w:rsid w:val="00F462B3"/>
    <w:rsid w:val="00F5664F"/>
    <w:rsid w:val="00F5731D"/>
    <w:rsid w:val="00F62EF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79427D"/>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79427D"/>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codigo-civil-ley-84-de-1873/" TargetMode="External"/><Relationship Id="rId18" Type="http://schemas.openxmlformats.org/officeDocument/2006/relationships/hyperlink" Target="https://nam02.safelinks.protection.outlook.com/?url=https%3A%2F%2Fwww.sucop.gov.co%2Fentidades%2Fcolombiacompra%2FNormativa%3FIDNorma%3D19201&amp;data=05%7C02%7Ckeila.reyes%40colombiacompra.gov.co%7C6192b0470d324981a09708dd0a6c28db%7C7b09041e245149d08cb179d5e3d8c1be%7C0%7C0%7C638678181871293316%7CUnknown%7CTWFpbGZsb3d8eyJFbXB0eU1hcGkiOnRydWUsIlYiOiIwLjAuMDAwMCIsIlAiOiJXaW4zMiIsIkFOIjoiTWFpbCIsIldUIjoyfQ%3D%3D%7C0%7C%7C%7C&amp;sdata=qkmIAHuBiyaRPKsa1Uj68umOpOQFs%2B%2BdCG%2BRsrOg4sk%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nam02.safelinks.protection.outlook.com/?url=https%3A%2F%2Fwww.colombiacompra.gov.co%2Fcontent%2Fconvocatorias&amp;data=05%7C02%7Ckeila.reyes%40colombiacompra.gov.co%7C6192b0470d324981a09708dd0a6c28db%7C7b09041e245149d08cb179d5e3d8c1be%7C0%7C0%7C638678181871275312%7CUnknown%7CTWFpbGZsb3d8eyJFbXB0eU1hcGkiOnRydWUsIlYiOiIwLjAuMDAwMCIsIlAiOiJXaW4zMiIsIkFOIjoiTWFpbCIsIldUIjoyfQ%3D%3D%7C0%7C%7C%7C&amp;sdata=K675DpBjIiWAG331bxUb2sO9idj9aqjXBw8PqEp43OU%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sites%2Fcce_public%2Ffiles%2Fcce_documents%2Fmanual_para_el_manejo_de_acuerdos_comerciales_vf.pdf&amp;data=05%7C02%7Ckeila.reyes%40colombiacompra.gov.co%7C6192b0470d324981a09708dd0a6c28db%7C7b09041e245149d08cb179d5e3d8c1be%7C0%7C0%7C638678181871239903%7CUnknown%7CTWFpbGZsb3d8eyJFbXB0eU1hcGkiOnRydWUsIlYiOiIwLjAuMDAwMCIsIlAiOiJXaW4zMiIsIkFOIjoiTWFpbCIsIldUIjoyfQ%3D%3D%7C0%7C%7C%7C&amp;sdata=OZAFZHsDgUWgUWCoeHvaJXplid2U6p5XrzdNR3c8jno%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oserami144@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nam02.safelinks.protection.outlook.com/?url=https%3A%2F%2Frelatoria.colombiacompra.gov.co%2F&amp;data=05%7C02%7Cjhonattan.gualdron%40colombiacompra.gov.co%7C5aad36a736844ec87b2108dcc1fa4639%7C7b09041e245149d08cb179d5e3d8c1be%7C0%7C0%7C638598527917246155%7CUnknown%7CTWFpbGZsb3d8eyJWIjoiMC4wLjAwMDAiLCJQIjoiV2luMzIiLCJBTiI6Ik1haWwiLCJXVCI6Mn0%3D%7C0%7C%7C%7C&amp;sdata=vvr1bncg52balnsi4t%2FCslEkQPef8NiUUqg4Qj8a7c8%3D&amp;reserved=0"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sala-de-prensa%2Fboletin-digital&amp;data=05%7C02%7Ckeila.reyes%40colombiacompra.gov.co%7C6192b0470d324981a09708dd0a6c28db%7C7b09041e245149d08cb179d5e3d8c1be%7C0%7C0%7C638678181871307332%7CUnknown%7CTWFpbGZsb3d8eyJFbXB0eU1hcGkiOnRydWUsIlYiOiIwLjAuMDAwMCIsIlAiOiJXaW4zMiIsIkFOIjoiTWFpbCIsIldUIjoyfQ%3D%3D%7C0%7C%7C%7C&amp;sdata=WIq7Y7%2FhRTMV3XtpxpNpzvRPXDAR8GNNXZuJxORfqA0%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latoria.colombiacompra.gov.co/providencias-consejo-de-estado/"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5B4CA33565ABFA4887DD024B77D849DF" ma:contentTypeVersion="13" ma:contentTypeDescription="Crear nuevo documento." ma:contentTypeScope="" ma:versionID="d00b3bc8a4e11ace844c69ffa9b74cd5">
  <xsd:schema xmlns:xsd="http://www.w3.org/2001/XMLSchema" xmlns:xs="http://www.w3.org/2001/XMLSchema" xmlns:p="http://schemas.microsoft.com/office/2006/metadata/properties" xmlns:ns2="8ae15d26-076e-464e-81a7-6f76a0fb3917" xmlns:ns3="36c82cfe-0eda-494d-b392-a9281b89aaf0" targetNamespace="http://schemas.microsoft.com/office/2006/metadata/properties" ma:root="true" ma:fieldsID="283a496a8d33ff127bd02a70b3db076a" ns2:_="" ns3:_="">
    <xsd:import namespace="8ae15d26-076e-464e-81a7-6f76a0fb3917"/>
    <xsd:import namespace="36c82cfe-0eda-494d-b392-a9281b89aaf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e15d26-076e-464e-81a7-6f76a0fb3917"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3ad88d4a-7227-4e1d-b72c-ce765edc4aa4}" ma:internalName="TaxCatchAll" ma:showField="CatchAllData" ma:web="8ae15d26-076e-464e-81a7-6f76a0fb391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6c82cfe-0eda-494d-b392-a9281b89aaf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6c82cfe-0eda-494d-b392-a9281b89aaf0">
      <Terms xmlns="http://schemas.microsoft.com/office/infopath/2007/PartnerControls"/>
    </lcf76f155ced4ddcb4097134ff3c332f>
    <TaxCatchAll xmlns="8ae15d26-076e-464e-81a7-6f76a0fb3917"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700FB33E-2934-46AB-917E-FB26EE1A6E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e15d26-076e-464e-81a7-6f76a0fb3917"/>
    <ds:schemaRef ds:uri="36c82cfe-0eda-494d-b392-a9281b89aa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36c82cfe-0eda-494d-b392-a9281b89aaf0"/>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4089</Words>
  <Characters>22495</Characters>
  <Application>Microsoft Office Word</Application>
  <DocSecurity>0</DocSecurity>
  <Lines>187</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Keila Margarita Reyes Cassiani</cp:lastModifiedBy>
  <cp:revision>2</cp:revision>
  <cp:lastPrinted>2023-01-10T21:18:00Z</cp:lastPrinted>
  <dcterms:created xsi:type="dcterms:W3CDTF">2024-12-19T17:08:00Z</dcterms:created>
  <dcterms:modified xsi:type="dcterms:W3CDTF">2024-12-19T17:08:00Z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0x0101005B4CA33565ABFA4887DD024B77D849DF</vt:lpwstr>
  </property>
  <property fmtid="{D5CDD505-2E9C-101B-9397-08002B2CF9AE}" pid="3" name="MediaServiceImageTags">
    <vt:lpwstr/>
  </property>
</Properties>
</file>