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8417F" w14:textId="3D7358F6" w:rsidR="003D07D2" w:rsidRDefault="00A534E3" w:rsidP="00A534E3">
      <w:pPr>
        <w:spacing w:after="0" w:line="240" w:lineRule="auto"/>
        <w:jc w:val="both"/>
        <w:rPr>
          <w:rFonts w:ascii="Verdana" w:eastAsia="Calibri" w:hAnsi="Verdana" w:cs="Arial"/>
          <w:b/>
          <w:lang w:val="es-ES_tradnl" w:eastAsia="es-ES_tradnl"/>
        </w:rPr>
      </w:pPr>
      <w:r w:rsidRPr="00A534E3">
        <w:rPr>
          <w:rFonts w:ascii="Verdana" w:eastAsia="Calibri" w:hAnsi="Verdana" w:cs="Arial"/>
          <w:b/>
          <w:lang w:val="es-ES_tradnl" w:eastAsia="es-ES_tradnl"/>
        </w:rPr>
        <w:t>CONTRATACIÓN PÚBLICA – Principio de publicidad – Principio de transparencia – Uso del SECOP</w:t>
      </w:r>
    </w:p>
    <w:p w14:paraId="6D1E32B1" w14:textId="77777777" w:rsidR="00A534E3" w:rsidRPr="007D0816" w:rsidRDefault="00A534E3" w:rsidP="003D07D2">
      <w:pPr>
        <w:spacing w:after="0" w:line="240" w:lineRule="auto"/>
        <w:rPr>
          <w:rFonts w:ascii="Verdana" w:eastAsia="Calibri" w:hAnsi="Verdana" w:cs="Arial"/>
          <w:bCs/>
          <w:sz w:val="20"/>
          <w:szCs w:val="20"/>
          <w:lang w:val="es-ES_tradnl" w:eastAsia="es-ES_tradnl"/>
        </w:rPr>
      </w:pPr>
    </w:p>
    <w:p w14:paraId="1E83DA98" w14:textId="77777777" w:rsidR="00A534E3" w:rsidRDefault="00A534E3" w:rsidP="00A534E3">
      <w:pPr>
        <w:spacing w:after="0" w:line="240" w:lineRule="auto"/>
        <w:jc w:val="both"/>
        <w:rPr>
          <w:rFonts w:ascii="Verdana" w:eastAsia="Calibri" w:hAnsi="Verdana" w:cs="Arial"/>
          <w:color w:val="000000" w:themeColor="text1"/>
          <w:sz w:val="20"/>
          <w:szCs w:val="20"/>
        </w:rPr>
      </w:pPr>
      <w:r w:rsidRPr="00A534E3">
        <w:rPr>
          <w:rFonts w:ascii="Verdana" w:eastAsia="Calibri" w:hAnsi="Verdana" w:cs="Arial"/>
          <w:color w:val="000000" w:themeColor="text1"/>
          <w:sz w:val="20"/>
          <w:szCs w:val="20"/>
        </w:rPr>
        <w:t>Uno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w:t>
      </w:r>
    </w:p>
    <w:p w14:paraId="60A6503F" w14:textId="77777777" w:rsidR="00A534E3" w:rsidRPr="00A534E3" w:rsidRDefault="00A534E3" w:rsidP="00A534E3">
      <w:pPr>
        <w:spacing w:after="0" w:line="240" w:lineRule="auto"/>
        <w:jc w:val="both"/>
        <w:rPr>
          <w:rFonts w:ascii="Verdana" w:eastAsia="Calibri" w:hAnsi="Verdana" w:cs="Arial"/>
          <w:color w:val="000000" w:themeColor="text1"/>
          <w:sz w:val="20"/>
          <w:szCs w:val="20"/>
        </w:rPr>
      </w:pPr>
    </w:p>
    <w:p w14:paraId="52F23057" w14:textId="4294DF98" w:rsidR="00A534E3" w:rsidRDefault="00A534E3" w:rsidP="00A534E3">
      <w:pPr>
        <w:spacing w:after="0" w:line="240" w:lineRule="auto"/>
        <w:jc w:val="both"/>
        <w:rPr>
          <w:rFonts w:ascii="Verdana" w:eastAsia="Calibri" w:hAnsi="Verdana" w:cs="Arial"/>
          <w:color w:val="000000" w:themeColor="text1"/>
          <w:sz w:val="20"/>
          <w:szCs w:val="20"/>
        </w:rPr>
      </w:pPr>
      <w:r w:rsidRPr="00A534E3">
        <w:rPr>
          <w:rFonts w:ascii="Verdana" w:eastAsia="Calibri" w:hAnsi="Verdana" w:cs="Arial"/>
          <w:color w:val="000000" w:themeColor="text1"/>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Calibri" w:hAnsi="Verdana" w:cs="Arial"/>
          <w:color w:val="000000" w:themeColor="text1"/>
          <w:sz w:val="20"/>
          <w:szCs w:val="20"/>
        </w:rPr>
        <w:t>”.</w:t>
      </w:r>
    </w:p>
    <w:p w14:paraId="7B16B631" w14:textId="77777777" w:rsidR="00A534E3" w:rsidRDefault="00A534E3" w:rsidP="00A534E3">
      <w:pPr>
        <w:spacing w:after="0" w:line="240" w:lineRule="auto"/>
        <w:jc w:val="both"/>
        <w:rPr>
          <w:rFonts w:ascii="Verdana" w:eastAsia="Calibri" w:hAnsi="Verdana" w:cs="Arial"/>
          <w:color w:val="000000" w:themeColor="text1"/>
          <w:sz w:val="20"/>
          <w:szCs w:val="20"/>
        </w:rPr>
      </w:pPr>
    </w:p>
    <w:p w14:paraId="2A853083" w14:textId="664984EF" w:rsidR="003D07D2" w:rsidRDefault="00A534E3" w:rsidP="003D07D2">
      <w:pPr>
        <w:spacing w:after="0" w:line="240" w:lineRule="auto"/>
        <w:jc w:val="both"/>
        <w:rPr>
          <w:rFonts w:ascii="Verdana" w:eastAsia="Calibri" w:hAnsi="Verdana" w:cs="Arial"/>
          <w:b/>
          <w:lang w:val="es-ES_tradnl" w:eastAsia="es-ES_tradnl"/>
        </w:rPr>
      </w:pPr>
      <w:r w:rsidRPr="00A534E3">
        <w:rPr>
          <w:rFonts w:ascii="Verdana" w:eastAsia="Calibri" w:hAnsi="Verdana" w:cs="Arial"/>
          <w:b/>
          <w:lang w:val="es-ES_tradnl" w:eastAsia="es-ES_tradnl"/>
        </w:rPr>
        <w:t>ENTIDADES CON RÉGIMEN ESPECIAL – Deber de publicar en SECOP – Artículo 53 Ley 2195 de 2022</w:t>
      </w:r>
    </w:p>
    <w:p w14:paraId="56E68FE8" w14:textId="77777777" w:rsidR="00A534E3" w:rsidRPr="007D0816" w:rsidRDefault="00A534E3" w:rsidP="003D07D2">
      <w:pPr>
        <w:spacing w:after="0" w:line="240" w:lineRule="auto"/>
        <w:jc w:val="both"/>
        <w:rPr>
          <w:rFonts w:ascii="Verdana" w:eastAsia="Calibri" w:hAnsi="Verdana" w:cs="Arial"/>
          <w:bCs/>
          <w:sz w:val="20"/>
          <w:szCs w:val="20"/>
          <w:lang w:val="es-ES_tradnl" w:eastAsia="es-ES_tradnl"/>
        </w:rPr>
      </w:pPr>
    </w:p>
    <w:p w14:paraId="53F07F93" w14:textId="77777777" w:rsidR="00A534E3" w:rsidRPr="00A534E3" w:rsidRDefault="00A534E3" w:rsidP="00A534E3">
      <w:pPr>
        <w:spacing w:after="0" w:line="240" w:lineRule="auto"/>
        <w:jc w:val="both"/>
        <w:rPr>
          <w:rFonts w:ascii="Verdana" w:eastAsia="Calibri" w:hAnsi="Verdana" w:cs="Arial"/>
          <w:color w:val="000000" w:themeColor="text1"/>
          <w:sz w:val="20"/>
          <w:szCs w:val="20"/>
        </w:rPr>
      </w:pPr>
      <w:r w:rsidRPr="00A534E3">
        <w:rPr>
          <w:rFonts w:ascii="Verdana" w:eastAsia="Calibri" w:hAnsi="Verdana" w:cs="Arial"/>
          <w:color w:val="000000" w:themeColor="text1"/>
          <w:sz w:val="20"/>
          <w:szCs w:val="20"/>
        </w:rPr>
        <w:t xml:space="preserve">El artículo 53 de la Ley 2195 de 2022, impone el deber de publicidad para las entidades no sometidas al Estatuto General de Contratación de la Administración Pública, incluidas las ESP, de tal manera que estas deberán publicar los documentos relacionados con su actividad contractual en el Sistema Electrónico para la Contratación Pública (SECOP II) o la plataforma transaccional que haga sus veces, señalando además que, por actividad contractual se entenderán los documentos, contratos, actos e información generada por oferentes, contratista, contratante, supervisor o interventor, tanto en la etapa precontractual, como en la contractual y la post-contractual. De modo que, bajo ese prisma, los pagos correspondientes a los contratos suscritos por la entidad pública hacen parte de los documentos producidos en la actividad contractual a la que hace referencia el artículo en estudio. </w:t>
      </w:r>
    </w:p>
    <w:p w14:paraId="4C5B03CB" w14:textId="77777777" w:rsidR="00A534E3" w:rsidRPr="00A534E3" w:rsidRDefault="00A534E3" w:rsidP="00A534E3">
      <w:pPr>
        <w:spacing w:after="0" w:line="240" w:lineRule="auto"/>
        <w:jc w:val="both"/>
        <w:rPr>
          <w:rFonts w:ascii="Verdana" w:eastAsia="Calibri" w:hAnsi="Verdana" w:cs="Arial"/>
          <w:color w:val="000000" w:themeColor="text1"/>
          <w:sz w:val="20"/>
          <w:szCs w:val="20"/>
        </w:rPr>
      </w:pPr>
    </w:p>
    <w:p w14:paraId="46082C36" w14:textId="634DA6CC" w:rsidR="00A534E3" w:rsidRDefault="00A534E3" w:rsidP="00A534E3">
      <w:pPr>
        <w:spacing w:after="0" w:line="240" w:lineRule="auto"/>
        <w:jc w:val="both"/>
        <w:rPr>
          <w:rFonts w:ascii="Verdana" w:eastAsia="Calibri" w:hAnsi="Verdana" w:cs="Arial"/>
          <w:color w:val="000000" w:themeColor="text1"/>
          <w:sz w:val="20"/>
          <w:szCs w:val="20"/>
        </w:rPr>
      </w:pPr>
      <w:r w:rsidRPr="00A534E3">
        <w:rPr>
          <w:rFonts w:ascii="Verdana" w:eastAsia="Calibri" w:hAnsi="Verdana" w:cs="Arial"/>
          <w:color w:val="000000" w:themeColor="text1"/>
          <w:sz w:val="20"/>
          <w:szCs w:val="20"/>
        </w:rPr>
        <w:t xml:space="preserve">De la misma manera, en virtud del inciso tercero de la norma ibidem, a partir del 18 de julio de 2022, las entidades exceptuadas se encuentran obligadas a publicar todos los documentos de su actividad contractual en el SECOP II, sin perjuicio de estar sometidas a regímenes de derecho privado. Por lo que se descarta de plano la posibilidad de que la publicación de la actividad contractual se realice en la plataforma SECOP I. </w:t>
      </w:r>
    </w:p>
    <w:p w14:paraId="4C9F4A1E" w14:textId="77777777" w:rsidR="003D07D2" w:rsidRPr="007D0816" w:rsidRDefault="003D07D2" w:rsidP="003D07D2">
      <w:pPr>
        <w:spacing w:after="0" w:line="240" w:lineRule="auto"/>
        <w:jc w:val="both"/>
        <w:rPr>
          <w:rFonts w:ascii="Verdana" w:eastAsia="Calibri" w:hAnsi="Verdana" w:cs="Arial"/>
          <w:color w:val="000000" w:themeColor="text1"/>
          <w:sz w:val="20"/>
          <w:szCs w:val="20"/>
        </w:rPr>
      </w:pPr>
    </w:p>
    <w:p w14:paraId="2E393575" w14:textId="77777777" w:rsidR="00A534E3" w:rsidRDefault="00A534E3" w:rsidP="003D07D2">
      <w:pPr>
        <w:tabs>
          <w:tab w:val="left" w:pos="709"/>
        </w:tabs>
        <w:spacing w:after="0" w:line="240" w:lineRule="auto"/>
        <w:jc w:val="both"/>
        <w:rPr>
          <w:rFonts w:ascii="Verdana" w:eastAsia="Calibri" w:hAnsi="Verdana" w:cs="Arial"/>
          <w:b/>
          <w:lang w:val="es-ES_tradnl" w:eastAsia="es-ES_tradnl"/>
        </w:rPr>
      </w:pPr>
      <w:r w:rsidRPr="00A534E3">
        <w:rPr>
          <w:rFonts w:ascii="Verdana" w:eastAsia="Calibri" w:hAnsi="Verdana" w:cs="Arial"/>
          <w:b/>
          <w:lang w:val="es-ES_tradnl" w:eastAsia="es-ES_tradnl"/>
        </w:rPr>
        <w:t xml:space="preserve">ACCESO A DOCUMENTACIÓN PÚBLICA – Derecho fundamental – Transparencia – Información contractual </w:t>
      </w:r>
    </w:p>
    <w:p w14:paraId="05D8A564" w14:textId="77777777" w:rsidR="00A534E3" w:rsidRDefault="00A534E3" w:rsidP="003D07D2">
      <w:pPr>
        <w:tabs>
          <w:tab w:val="left" w:pos="709"/>
        </w:tabs>
        <w:spacing w:after="0" w:line="240" w:lineRule="auto"/>
        <w:jc w:val="both"/>
        <w:rPr>
          <w:rFonts w:ascii="Verdana" w:eastAsia="Calibri" w:hAnsi="Verdana" w:cs="Arial"/>
          <w:b/>
          <w:lang w:val="es-ES_tradnl" w:eastAsia="es-ES_tradnl"/>
        </w:rPr>
      </w:pPr>
    </w:p>
    <w:p w14:paraId="726431AE" w14:textId="7BA91031" w:rsidR="003D07D2" w:rsidRDefault="00A534E3" w:rsidP="00A534E3">
      <w:pPr>
        <w:spacing w:after="0" w:line="240" w:lineRule="auto"/>
        <w:jc w:val="both"/>
        <w:rPr>
          <w:rFonts w:ascii="Verdana" w:eastAsia="Calibri" w:hAnsi="Verdana" w:cs="Arial"/>
          <w:color w:val="000000" w:themeColor="text1"/>
          <w:sz w:val="20"/>
          <w:szCs w:val="20"/>
        </w:rPr>
      </w:pPr>
      <w:r w:rsidRPr="00A534E3">
        <w:rPr>
          <w:rFonts w:ascii="Verdana" w:eastAsia="Calibri" w:hAnsi="Verdana" w:cs="Arial"/>
          <w:color w:val="000000" w:themeColor="text1"/>
          <w:sz w:val="20"/>
          <w:szCs w:val="20"/>
        </w:rPr>
        <w:t xml:space="preserve">En relación con el segundo interrogante, acerca de la viabilidad de publicar los pagos correspondientes a los contratos suscritos por la empresa de servicios públicos domiciliarios, el cumplimiento del deber de publicación de la documentación contractual </w:t>
      </w:r>
      <w:r w:rsidRPr="00A534E3">
        <w:rPr>
          <w:rFonts w:ascii="Verdana" w:eastAsia="Calibri" w:hAnsi="Verdana" w:cs="Arial"/>
          <w:color w:val="000000" w:themeColor="text1"/>
          <w:sz w:val="20"/>
          <w:szCs w:val="20"/>
        </w:rPr>
        <w:lastRenderedPageBreak/>
        <w:t>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 o las partes pertinentes en las que se evidencie este tipo de información. Para dichos eventos, la plataforma SECOP II, antes de publicar las ofertas, brinda a las entidades la opción de calificar dicha información como confidencial, lo cual impide que los documentos se publiquen.</w:t>
      </w:r>
    </w:p>
    <w:p w14:paraId="33066D58" w14:textId="77777777" w:rsidR="00A534E3" w:rsidRDefault="00A534E3" w:rsidP="00A534E3">
      <w:pPr>
        <w:spacing w:after="0" w:line="240" w:lineRule="auto"/>
        <w:jc w:val="both"/>
        <w:rPr>
          <w:rFonts w:ascii="Verdana" w:eastAsia="Calibri" w:hAnsi="Verdana" w:cs="Arial"/>
          <w:color w:val="000000" w:themeColor="text1"/>
          <w:sz w:val="20"/>
          <w:szCs w:val="20"/>
        </w:rPr>
      </w:pPr>
    </w:p>
    <w:p w14:paraId="71539E30" w14:textId="095BDCE9" w:rsidR="00A534E3" w:rsidRDefault="00A534E3" w:rsidP="00A534E3">
      <w:pPr>
        <w:tabs>
          <w:tab w:val="left" w:pos="709"/>
        </w:tabs>
        <w:spacing w:after="0" w:line="240" w:lineRule="auto"/>
        <w:jc w:val="both"/>
        <w:rPr>
          <w:rFonts w:ascii="Verdana" w:eastAsia="Calibri" w:hAnsi="Verdana" w:cs="Arial"/>
          <w:b/>
          <w:lang w:val="es-ES_tradnl" w:eastAsia="es-ES_tradnl"/>
        </w:rPr>
      </w:pPr>
      <w:r w:rsidRPr="00A534E3">
        <w:rPr>
          <w:rFonts w:ascii="Verdana" w:eastAsia="Calibri" w:hAnsi="Verdana" w:cs="Arial"/>
          <w:b/>
          <w:lang w:val="es-ES_tradnl" w:eastAsia="es-ES_tradnl"/>
        </w:rPr>
        <w:t>DATOS SENSIBLES – Reserva legal – Excepción – SECOP</w:t>
      </w:r>
    </w:p>
    <w:p w14:paraId="453AEFF8" w14:textId="77777777" w:rsidR="00A534E3" w:rsidRDefault="00A534E3" w:rsidP="00A534E3">
      <w:pPr>
        <w:tabs>
          <w:tab w:val="left" w:pos="709"/>
        </w:tabs>
        <w:spacing w:after="0" w:line="240" w:lineRule="auto"/>
        <w:jc w:val="both"/>
        <w:rPr>
          <w:rFonts w:ascii="Verdana" w:eastAsia="Calibri" w:hAnsi="Verdana" w:cs="Arial"/>
          <w:b/>
          <w:lang w:val="es-ES_tradnl" w:eastAsia="es-ES_tradnl"/>
        </w:rPr>
      </w:pPr>
    </w:p>
    <w:p w14:paraId="3BE29319" w14:textId="77777777" w:rsidR="00A534E3" w:rsidRPr="00A534E3" w:rsidRDefault="00A534E3" w:rsidP="00A534E3">
      <w:pPr>
        <w:spacing w:after="0" w:line="240" w:lineRule="auto"/>
        <w:jc w:val="both"/>
        <w:rPr>
          <w:rFonts w:ascii="Verdana" w:eastAsia="Calibri" w:hAnsi="Verdana" w:cs="Arial"/>
          <w:color w:val="000000" w:themeColor="text1"/>
          <w:sz w:val="20"/>
          <w:szCs w:val="20"/>
        </w:rPr>
      </w:pPr>
      <w:r w:rsidRPr="00A534E3">
        <w:rPr>
          <w:rFonts w:ascii="Verdana" w:eastAsia="Calibri" w:hAnsi="Verdana" w:cs="Arial"/>
          <w:color w:val="000000" w:themeColor="text1"/>
          <w:sz w:val="20"/>
          <w:szCs w:val="20"/>
        </w:rPr>
        <w:t xml:space="preserve">En resumen, el artículo 74 de la Constitución Política de 1991, en armonía con los artículos 18 y 19 de la Ley 1712 de 2014 y los artículos 24 y 25 de la Ley 1437 de 2011,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Pero esto no quiere decir que todo el documento se convierta en reservado, sino que se debe proceder como se indica a continuación. </w:t>
      </w:r>
    </w:p>
    <w:p w14:paraId="7E31E907" w14:textId="77777777" w:rsidR="00A534E3" w:rsidRDefault="00A534E3" w:rsidP="00A534E3">
      <w:pPr>
        <w:spacing w:line="276" w:lineRule="auto"/>
        <w:jc w:val="both"/>
        <w:rPr>
          <w:rFonts w:ascii="Verdana" w:eastAsia="Calibri" w:hAnsi="Verdana" w:cs="Arial"/>
          <w:color w:val="000000" w:themeColor="text1"/>
        </w:rPr>
      </w:pPr>
    </w:p>
    <w:p w14:paraId="14EE5E60" w14:textId="77777777" w:rsidR="00A534E3" w:rsidRPr="00A534E3" w:rsidRDefault="00A534E3" w:rsidP="00A534E3">
      <w:pPr>
        <w:tabs>
          <w:tab w:val="left" w:pos="709"/>
        </w:tabs>
        <w:spacing w:after="0" w:line="240" w:lineRule="auto"/>
        <w:jc w:val="both"/>
        <w:rPr>
          <w:rFonts w:ascii="Verdana" w:eastAsia="Calibri" w:hAnsi="Verdana" w:cs="Arial"/>
          <w:b/>
          <w:lang w:eastAsia="es-ES_tradnl"/>
        </w:rPr>
      </w:pPr>
    </w:p>
    <w:p w14:paraId="08D2E5F6" w14:textId="77777777" w:rsidR="003D07D2" w:rsidRDefault="003D07D2" w:rsidP="003D07D2">
      <w:pPr>
        <w:spacing w:after="0" w:line="240" w:lineRule="auto"/>
        <w:rPr>
          <w:rFonts w:ascii="Century Gothic" w:hAnsi="Century Gothic"/>
          <w:lang w:val="es-MX"/>
        </w:rPr>
      </w:pPr>
    </w:p>
    <w:p w14:paraId="098996AA" w14:textId="77777777" w:rsidR="00A534E3" w:rsidRDefault="00A534E3" w:rsidP="003D07D2">
      <w:pPr>
        <w:spacing w:after="0" w:line="240" w:lineRule="auto"/>
        <w:rPr>
          <w:rFonts w:ascii="Century Gothic" w:hAnsi="Century Gothic"/>
          <w:lang w:val="es-MX"/>
        </w:rPr>
      </w:pPr>
    </w:p>
    <w:p w14:paraId="1C9DB786" w14:textId="77777777" w:rsidR="00A534E3" w:rsidRDefault="00A534E3" w:rsidP="003D07D2">
      <w:pPr>
        <w:spacing w:after="0" w:line="240" w:lineRule="auto"/>
        <w:rPr>
          <w:rFonts w:ascii="Century Gothic" w:hAnsi="Century Gothic"/>
          <w:lang w:val="es-MX"/>
        </w:rPr>
      </w:pPr>
    </w:p>
    <w:p w14:paraId="47868594" w14:textId="77777777" w:rsidR="00A534E3" w:rsidRDefault="00A534E3" w:rsidP="003D07D2">
      <w:pPr>
        <w:spacing w:after="0" w:line="240" w:lineRule="auto"/>
        <w:rPr>
          <w:rFonts w:ascii="Century Gothic" w:hAnsi="Century Gothic"/>
          <w:lang w:val="es-MX"/>
        </w:rPr>
      </w:pPr>
    </w:p>
    <w:p w14:paraId="5E0D4019" w14:textId="77777777" w:rsidR="00A534E3" w:rsidRDefault="00A534E3" w:rsidP="003D07D2">
      <w:pPr>
        <w:spacing w:after="0" w:line="240" w:lineRule="auto"/>
        <w:rPr>
          <w:rFonts w:ascii="Century Gothic" w:hAnsi="Century Gothic"/>
          <w:lang w:val="es-MX"/>
        </w:rPr>
      </w:pPr>
    </w:p>
    <w:p w14:paraId="4BD574B6" w14:textId="77777777" w:rsidR="00A534E3" w:rsidRDefault="00A534E3" w:rsidP="003D07D2">
      <w:pPr>
        <w:spacing w:after="0" w:line="240" w:lineRule="auto"/>
        <w:rPr>
          <w:rFonts w:ascii="Century Gothic" w:hAnsi="Century Gothic"/>
          <w:lang w:val="es-MX"/>
        </w:rPr>
      </w:pPr>
    </w:p>
    <w:p w14:paraId="19E8A7B2" w14:textId="77777777" w:rsidR="00A534E3" w:rsidRDefault="00A534E3" w:rsidP="003D07D2">
      <w:pPr>
        <w:spacing w:after="0" w:line="240" w:lineRule="auto"/>
        <w:rPr>
          <w:rFonts w:ascii="Century Gothic" w:hAnsi="Century Gothic"/>
          <w:lang w:val="es-MX"/>
        </w:rPr>
      </w:pPr>
    </w:p>
    <w:p w14:paraId="08508AD1" w14:textId="77777777" w:rsidR="00A534E3" w:rsidRDefault="00A534E3" w:rsidP="003D07D2">
      <w:pPr>
        <w:spacing w:after="0" w:line="240" w:lineRule="auto"/>
        <w:rPr>
          <w:rFonts w:ascii="Century Gothic" w:hAnsi="Century Gothic"/>
          <w:lang w:val="es-MX"/>
        </w:rPr>
      </w:pPr>
    </w:p>
    <w:p w14:paraId="77D3969E" w14:textId="77777777" w:rsidR="00A534E3" w:rsidRDefault="00A534E3" w:rsidP="003D07D2">
      <w:pPr>
        <w:spacing w:after="0" w:line="240" w:lineRule="auto"/>
        <w:rPr>
          <w:rFonts w:ascii="Century Gothic" w:hAnsi="Century Gothic"/>
          <w:lang w:val="es-MX"/>
        </w:rPr>
      </w:pPr>
    </w:p>
    <w:p w14:paraId="1EE97A59" w14:textId="77777777" w:rsidR="00A534E3" w:rsidRDefault="00A534E3" w:rsidP="003D07D2">
      <w:pPr>
        <w:spacing w:after="0" w:line="240" w:lineRule="auto"/>
        <w:rPr>
          <w:rFonts w:ascii="Century Gothic" w:hAnsi="Century Gothic"/>
          <w:lang w:val="es-MX"/>
        </w:rPr>
      </w:pPr>
    </w:p>
    <w:p w14:paraId="7EA9DFB7" w14:textId="77777777" w:rsidR="00A534E3" w:rsidRDefault="00A534E3" w:rsidP="003D07D2">
      <w:pPr>
        <w:spacing w:after="0" w:line="240" w:lineRule="auto"/>
        <w:rPr>
          <w:rFonts w:ascii="Century Gothic" w:hAnsi="Century Gothic"/>
          <w:lang w:val="es-MX"/>
        </w:rPr>
      </w:pPr>
    </w:p>
    <w:p w14:paraId="389C0A68" w14:textId="77777777" w:rsidR="00A534E3" w:rsidRDefault="00A534E3" w:rsidP="003D07D2">
      <w:pPr>
        <w:spacing w:after="0" w:line="240" w:lineRule="auto"/>
        <w:rPr>
          <w:rFonts w:ascii="Century Gothic" w:hAnsi="Century Gothic"/>
          <w:lang w:val="es-MX"/>
        </w:rPr>
      </w:pPr>
    </w:p>
    <w:p w14:paraId="46B3CB22" w14:textId="77777777" w:rsidR="00A534E3" w:rsidRDefault="00A534E3" w:rsidP="003D07D2">
      <w:pPr>
        <w:spacing w:after="0" w:line="240" w:lineRule="auto"/>
        <w:rPr>
          <w:rFonts w:ascii="Century Gothic" w:hAnsi="Century Gothic"/>
          <w:lang w:val="es-MX"/>
        </w:rPr>
      </w:pPr>
    </w:p>
    <w:p w14:paraId="5276F4FA" w14:textId="77777777" w:rsidR="00A534E3" w:rsidRDefault="00A534E3" w:rsidP="003D07D2">
      <w:pPr>
        <w:spacing w:after="0" w:line="240" w:lineRule="auto"/>
        <w:rPr>
          <w:rFonts w:ascii="Century Gothic" w:hAnsi="Century Gothic"/>
          <w:lang w:val="es-MX"/>
        </w:rPr>
      </w:pPr>
    </w:p>
    <w:p w14:paraId="12CDFDF3" w14:textId="77777777" w:rsidR="00A534E3" w:rsidRDefault="00A534E3" w:rsidP="003D07D2">
      <w:pPr>
        <w:spacing w:after="0" w:line="240" w:lineRule="auto"/>
        <w:rPr>
          <w:rFonts w:ascii="Century Gothic" w:hAnsi="Century Gothic"/>
          <w:lang w:val="es-MX"/>
        </w:rPr>
      </w:pPr>
    </w:p>
    <w:p w14:paraId="1DCCCAB0" w14:textId="77777777" w:rsidR="003D07D2" w:rsidRDefault="003D07D2" w:rsidP="003D07D2">
      <w:pPr>
        <w:spacing w:after="0" w:line="240" w:lineRule="auto"/>
        <w:rPr>
          <w:rFonts w:ascii="Century Gothic" w:hAnsi="Century Gothic"/>
          <w:lang w:val="es-MX"/>
        </w:rPr>
      </w:pPr>
    </w:p>
    <w:p w14:paraId="54887DE1" w14:textId="77777777" w:rsidR="003D07D2" w:rsidRDefault="003D07D2" w:rsidP="003D07D2">
      <w:pPr>
        <w:spacing w:after="0" w:line="240" w:lineRule="auto"/>
        <w:rPr>
          <w:rFonts w:ascii="Century Gothic" w:hAnsi="Century Gothic"/>
          <w:lang w:val="es-MX"/>
        </w:rPr>
      </w:pPr>
    </w:p>
    <w:p w14:paraId="13520692" w14:textId="77777777" w:rsidR="003D07D2" w:rsidRDefault="003D07D2" w:rsidP="003D07D2">
      <w:pPr>
        <w:spacing w:after="0" w:line="240" w:lineRule="auto"/>
        <w:rPr>
          <w:rFonts w:ascii="Century Gothic" w:hAnsi="Century Gothic"/>
          <w:lang w:val="es-MX"/>
        </w:rPr>
      </w:pPr>
    </w:p>
    <w:p w14:paraId="4CD2BCBF" w14:textId="77777777" w:rsidR="003D07D2" w:rsidRDefault="003D07D2" w:rsidP="003D07D2">
      <w:pPr>
        <w:spacing w:after="0" w:line="240" w:lineRule="auto"/>
        <w:rPr>
          <w:rFonts w:ascii="Century Gothic" w:hAnsi="Century Gothic"/>
          <w:lang w:val="es-MX"/>
        </w:rPr>
      </w:pPr>
    </w:p>
    <w:p w14:paraId="4B9FBD95" w14:textId="77777777" w:rsidR="003D07D2" w:rsidRDefault="003D07D2" w:rsidP="003D07D2">
      <w:pPr>
        <w:spacing w:after="0" w:line="240" w:lineRule="auto"/>
        <w:rPr>
          <w:rFonts w:ascii="Century Gothic" w:hAnsi="Century Gothic"/>
          <w:lang w:val="es-MX"/>
        </w:rPr>
      </w:pPr>
    </w:p>
    <w:p w14:paraId="4A38E0EF" w14:textId="77777777" w:rsidR="003D07D2" w:rsidRPr="005B7C42" w:rsidRDefault="003D07D2" w:rsidP="003D07D2">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031A0892" w14:textId="77777777" w:rsidR="003D07D2" w:rsidRPr="005B7C42" w:rsidRDefault="003D07D2" w:rsidP="003D07D2">
      <w:pPr>
        <w:spacing w:after="0" w:line="240" w:lineRule="auto"/>
        <w:rPr>
          <w:rFonts w:ascii="Verdana" w:eastAsia="Times New Roman" w:hAnsi="Verdana" w:cs="Arial"/>
          <w:lang w:eastAsia="es-ES_tradnl"/>
        </w:rPr>
      </w:pPr>
    </w:p>
    <w:p w14:paraId="18C7710E" w14:textId="5F6F768E" w:rsidR="003D07D2" w:rsidRPr="005B7C42" w:rsidRDefault="00052E12" w:rsidP="003D07D2">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5223FF20" wp14:editId="0521E312">
            <wp:extent cx="3724275" cy="1100972"/>
            <wp:effectExtent l="0" t="0" r="0" b="4445"/>
            <wp:docPr id="1123776569"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776569" name="Imagen 1" descr="Interfaz de usuario gráfica, Aplicación&#10;&#10;Descripción generada automáticamente"/>
                    <pic:cNvPicPr/>
                  </pic:nvPicPr>
                  <pic:blipFill rotWithShape="1">
                    <a:blip r:embed="rId8"/>
                    <a:srcRect l="2546" t="21798" r="50951" b="31740"/>
                    <a:stretch/>
                  </pic:blipFill>
                  <pic:spPr bwMode="auto">
                    <a:xfrm>
                      <a:off x="0" y="0"/>
                      <a:ext cx="3733832" cy="1103797"/>
                    </a:xfrm>
                    <a:prstGeom prst="rect">
                      <a:avLst/>
                    </a:prstGeom>
                    <a:ln>
                      <a:noFill/>
                    </a:ln>
                    <a:extLst>
                      <a:ext uri="{53640926-AAD7-44D8-BBD7-CCE9431645EC}">
                        <a14:shadowObscured xmlns:a14="http://schemas.microsoft.com/office/drawing/2010/main"/>
                      </a:ext>
                    </a:extLst>
                  </pic:spPr>
                </pic:pic>
              </a:graphicData>
            </a:graphic>
          </wp:inline>
        </w:drawing>
      </w:r>
    </w:p>
    <w:p w14:paraId="3648D96A" w14:textId="77777777" w:rsidR="003D07D2" w:rsidRPr="005B7C42" w:rsidRDefault="003D07D2" w:rsidP="003D07D2">
      <w:pPr>
        <w:spacing w:after="0" w:line="240" w:lineRule="auto"/>
        <w:jc w:val="right"/>
        <w:rPr>
          <w:rFonts w:ascii="Verdana" w:eastAsia="Times New Roman" w:hAnsi="Verdana" w:cs="Arial"/>
          <w:lang w:eastAsia="es-ES_tradnl"/>
        </w:rPr>
      </w:pPr>
    </w:p>
    <w:p w14:paraId="23C9923F" w14:textId="5142A344" w:rsidR="003D07D2" w:rsidRDefault="003D07D2" w:rsidP="003D07D2">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27F52A3B" w14:textId="77777777" w:rsidR="003D07D2" w:rsidRDefault="003D07D2" w:rsidP="003D07D2">
      <w:pPr>
        <w:spacing w:after="0" w:line="240" w:lineRule="auto"/>
        <w:jc w:val="both"/>
        <w:rPr>
          <w:rFonts w:ascii="Verdana" w:hAnsi="Verdana"/>
          <w:b/>
          <w:bCs/>
        </w:rPr>
      </w:pPr>
      <w:r w:rsidRPr="003D07D2">
        <w:rPr>
          <w:rFonts w:ascii="Verdana" w:hAnsi="Verdana"/>
          <w:b/>
          <w:bCs/>
        </w:rPr>
        <w:t>Ana Lucia Restrepo</w:t>
      </w:r>
    </w:p>
    <w:p w14:paraId="191A5772" w14:textId="717AD5B3" w:rsidR="003D07D2" w:rsidRPr="00063F26" w:rsidRDefault="003D07D2" w:rsidP="003D07D2">
      <w:pPr>
        <w:spacing w:after="0" w:line="240" w:lineRule="auto"/>
        <w:rPr>
          <w:rFonts w:ascii="Verdana" w:eastAsia="Calibri" w:hAnsi="Verdana" w:cs="Arial"/>
          <w:lang w:eastAsia="es-ES_tradnl"/>
        </w:rPr>
      </w:pPr>
      <w:hyperlink r:id="rId9" w:history="1">
        <w:r w:rsidRPr="0061388A">
          <w:rPr>
            <w:rStyle w:val="Hipervnculo"/>
            <w:rFonts w:ascii="Verdana" w:eastAsia="Calibri" w:hAnsi="Verdana" w:cs="Arial"/>
            <w:lang w:eastAsia="es-ES_tradnl"/>
          </w:rPr>
          <w:t>serviciospublicos@frontino-antioquia.gov.co</w:t>
        </w:r>
      </w:hyperlink>
      <w:r>
        <w:rPr>
          <w:rFonts w:ascii="Verdana" w:eastAsia="Calibri" w:hAnsi="Verdana" w:cs="Arial"/>
          <w:lang w:eastAsia="es-ES_tradnl"/>
        </w:rPr>
        <w:t xml:space="preserve"> </w:t>
      </w:r>
      <w:r w:rsidRPr="00063F26">
        <w:rPr>
          <w:rFonts w:ascii="Verdana" w:eastAsia="Calibri" w:hAnsi="Verdana" w:cs="Arial"/>
          <w:lang w:eastAsia="es-ES_tradnl"/>
        </w:rPr>
        <w:t xml:space="preserve"> </w:t>
      </w:r>
    </w:p>
    <w:p w14:paraId="7088DFC9" w14:textId="5072180D" w:rsidR="003D07D2" w:rsidRDefault="003D07D2" w:rsidP="003D07D2">
      <w:pPr>
        <w:spacing w:after="0" w:line="240" w:lineRule="auto"/>
        <w:rPr>
          <w:rFonts w:ascii="Verdana" w:eastAsia="Calibri" w:hAnsi="Verdana" w:cs="Arial"/>
          <w:lang w:eastAsia="es-ES_tradnl"/>
        </w:rPr>
      </w:pPr>
      <w:r w:rsidRPr="003D07D2">
        <w:rPr>
          <w:rFonts w:ascii="Verdana" w:eastAsia="Calibri" w:hAnsi="Verdana" w:cs="Arial"/>
          <w:lang w:eastAsia="es-ES_tradnl"/>
        </w:rPr>
        <w:t>Frontino, Antioquía</w:t>
      </w:r>
      <w:r>
        <w:rPr>
          <w:rFonts w:ascii="Verdana" w:eastAsia="Calibri" w:hAnsi="Verdana" w:cs="Arial"/>
          <w:lang w:eastAsia="es-ES_tradnl"/>
        </w:rPr>
        <w:t>.</w:t>
      </w:r>
    </w:p>
    <w:p w14:paraId="70002F82" w14:textId="77777777" w:rsidR="003D07D2" w:rsidRPr="005B7C42" w:rsidRDefault="003D07D2" w:rsidP="003D07D2">
      <w:pPr>
        <w:spacing w:after="0" w:line="240" w:lineRule="auto"/>
        <w:rPr>
          <w:rFonts w:ascii="Verdana" w:eastAsia="Calibri" w:hAnsi="Verdana" w:cs="Arial"/>
          <w:lang w:eastAsia="es-ES_tradnl"/>
        </w:rPr>
      </w:pPr>
    </w:p>
    <w:p w14:paraId="4DFE0347" w14:textId="30E89865" w:rsidR="003D07D2" w:rsidRPr="005B7C42" w:rsidRDefault="003D07D2" w:rsidP="003D07D2">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8</w:t>
      </w:r>
      <w:r>
        <w:rPr>
          <w:rFonts w:ascii="Verdana" w:eastAsia="Calibri" w:hAnsi="Verdana" w:cs="Arial"/>
          <w:b/>
          <w:bCs/>
          <w:lang w:eastAsia="es-ES_tradnl"/>
        </w:rPr>
        <w:t>72</w:t>
      </w:r>
      <w:r>
        <w:rPr>
          <w:rFonts w:ascii="Verdana" w:eastAsia="Calibri" w:hAnsi="Verdana" w:cs="Arial"/>
          <w:b/>
          <w:bCs/>
          <w:lang w:eastAsia="es-ES_tradnl"/>
        </w:rPr>
        <w:t xml:space="preserve"> </w:t>
      </w:r>
      <w:r w:rsidRPr="005B7C42">
        <w:rPr>
          <w:rFonts w:ascii="Verdana" w:eastAsia="Calibri" w:hAnsi="Verdana" w:cs="Arial"/>
          <w:b/>
          <w:bCs/>
          <w:lang w:eastAsia="es-ES_tradnl"/>
        </w:rPr>
        <w:t>de 2024</w:t>
      </w:r>
    </w:p>
    <w:p w14:paraId="24D08BF1" w14:textId="77777777" w:rsidR="003D07D2" w:rsidRPr="005B7C42" w:rsidRDefault="003D07D2" w:rsidP="003D07D2">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3D07D2" w:rsidRPr="005B7C42" w14:paraId="1D505B52" w14:textId="77777777" w:rsidTr="00063F26">
        <w:trPr>
          <w:trHeight w:val="1105"/>
          <w:jc w:val="right"/>
        </w:trPr>
        <w:tc>
          <w:tcPr>
            <w:tcW w:w="2688" w:type="dxa"/>
          </w:tcPr>
          <w:p w14:paraId="6F956B86" w14:textId="77777777" w:rsidR="003D07D2" w:rsidRPr="005B7C42" w:rsidRDefault="003D07D2" w:rsidP="00063F26">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524ADEC0" w14:textId="096B3329" w:rsidR="003D07D2" w:rsidRPr="00741D53" w:rsidRDefault="003D07D2" w:rsidP="00063F26">
            <w:pPr>
              <w:jc w:val="both"/>
              <w:rPr>
                <w:rFonts w:ascii="Verdana" w:eastAsia="Times New Roman" w:hAnsi="Verdana" w:cs="Arial"/>
                <w:highlight w:val="yellow"/>
                <w:lang w:val="es-ES" w:eastAsia="es-ES_tradnl"/>
              </w:rPr>
            </w:pPr>
            <w:r w:rsidRPr="003D07D2">
              <w:rPr>
                <w:rFonts w:ascii="Verdana" w:eastAsia="Calibri" w:hAnsi="Verdana" w:cs="Arial"/>
                <w:bCs/>
                <w:color w:val="000000" w:themeColor="text1"/>
              </w:rPr>
              <w:t>CONTRATACIÓN PÚBLICA – Principio de publicidad – Principio de transparencia – Uso del SECOP / ENTIDADES CON RÉGIMEN ESPECIAL – Deber de publicar en SECOP – Artículo 53 Ley 2195 de 2022 / ACCESO A DOCUMENTACIÓN PÚBLICA – Derecho fundamental – Transparencia – Información contractual / DATOS SENSIBLES – Reserva legal – Excepción – SECOP</w:t>
            </w:r>
          </w:p>
        </w:tc>
      </w:tr>
      <w:tr w:rsidR="003D07D2" w:rsidRPr="005B7C42" w14:paraId="4B046A5A" w14:textId="77777777" w:rsidTr="00063F26">
        <w:trPr>
          <w:jc w:val="right"/>
        </w:trPr>
        <w:tc>
          <w:tcPr>
            <w:tcW w:w="2688" w:type="dxa"/>
          </w:tcPr>
          <w:p w14:paraId="2ECC1E06" w14:textId="77777777" w:rsidR="003D07D2" w:rsidRPr="005B7C42" w:rsidRDefault="003D07D2" w:rsidP="00063F26">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67A89FB9" w14:textId="2406511C" w:rsidR="003D07D2" w:rsidRPr="005B7C42" w:rsidRDefault="003D07D2" w:rsidP="00063F26">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3D07D2">
              <w:rPr>
                <w:rFonts w:ascii="Verdana" w:eastAsia="Calibri" w:hAnsi="Verdana" w:cs="Arial"/>
                <w:lang w:eastAsia="es-ES_tradnl"/>
              </w:rPr>
              <w:t>P20241118011535</w:t>
            </w:r>
          </w:p>
        </w:tc>
      </w:tr>
    </w:tbl>
    <w:p w14:paraId="0370D8FD" w14:textId="77777777" w:rsidR="003D07D2" w:rsidRPr="005B7C42" w:rsidRDefault="003D07D2" w:rsidP="003D07D2">
      <w:pPr>
        <w:spacing w:after="0" w:line="240" w:lineRule="auto"/>
        <w:jc w:val="both"/>
        <w:rPr>
          <w:rFonts w:ascii="Verdana" w:eastAsia="Calibri" w:hAnsi="Verdana" w:cs="Arial"/>
          <w:lang w:eastAsia="es-ES_tradnl"/>
        </w:rPr>
      </w:pPr>
    </w:p>
    <w:p w14:paraId="1B4110AB" w14:textId="77777777" w:rsidR="003D07D2" w:rsidRPr="005B7C42" w:rsidRDefault="003D07D2" w:rsidP="003D07D2">
      <w:pPr>
        <w:spacing w:after="0" w:line="240" w:lineRule="auto"/>
        <w:jc w:val="both"/>
        <w:rPr>
          <w:rFonts w:ascii="Verdana" w:eastAsia="Calibri" w:hAnsi="Verdana" w:cs="Arial"/>
          <w:lang w:eastAsia="es-ES_tradnl"/>
        </w:rPr>
      </w:pPr>
    </w:p>
    <w:p w14:paraId="2A2930C9" w14:textId="0F05A44E" w:rsidR="003D07D2" w:rsidRPr="005B7C42" w:rsidRDefault="003D07D2" w:rsidP="003D07D2">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a</w:t>
      </w:r>
      <w:r>
        <w:rPr>
          <w:rFonts w:ascii="Verdana" w:eastAsia="Calibri" w:hAnsi="Verdana" w:cs="Arial"/>
          <w:lang w:eastAsia="es-ES_tradnl"/>
        </w:rPr>
        <w:t xml:space="preserve"> señor</w:t>
      </w:r>
      <w:r>
        <w:rPr>
          <w:rFonts w:ascii="Verdana" w:eastAsia="Calibri" w:hAnsi="Verdana" w:cs="Arial"/>
          <w:lang w:eastAsia="es-ES_tradnl"/>
        </w:rPr>
        <w:t>a</w:t>
      </w:r>
      <w:r>
        <w:rPr>
          <w:rFonts w:ascii="Verdana" w:eastAsia="Calibri" w:hAnsi="Verdana" w:cs="Arial"/>
          <w:lang w:eastAsia="es-ES_tradnl"/>
        </w:rPr>
        <w:t xml:space="preserve"> </w:t>
      </w:r>
      <w:r w:rsidRPr="003D07D2">
        <w:rPr>
          <w:rFonts w:ascii="Verdana" w:eastAsia="Calibri" w:hAnsi="Verdana" w:cs="Arial"/>
          <w:lang w:eastAsia="es-ES_tradnl"/>
        </w:rPr>
        <w:t>Restrepo</w:t>
      </w:r>
      <w:r w:rsidRPr="005B7C42">
        <w:rPr>
          <w:rFonts w:ascii="Verdana" w:eastAsia="Calibri" w:hAnsi="Verdana" w:cs="Arial"/>
          <w:bCs/>
          <w:lang w:eastAsia="es-ES_tradnl"/>
        </w:rPr>
        <w:t>,</w:t>
      </w:r>
    </w:p>
    <w:p w14:paraId="09415F7F" w14:textId="77777777" w:rsidR="003D07D2" w:rsidRPr="005B7C42" w:rsidRDefault="003D07D2" w:rsidP="003D07D2">
      <w:pPr>
        <w:spacing w:after="0" w:line="276" w:lineRule="auto"/>
        <w:contextualSpacing/>
        <w:jc w:val="both"/>
        <w:rPr>
          <w:rFonts w:ascii="Verdana" w:eastAsia="Calibri" w:hAnsi="Verdana" w:cs="Arial"/>
          <w:lang w:eastAsia="es-ES_tradnl"/>
        </w:rPr>
      </w:pPr>
    </w:p>
    <w:p w14:paraId="2BF941C3" w14:textId="30B28F7D" w:rsidR="003D07D2" w:rsidRPr="005B7C42" w:rsidRDefault="003D07D2" w:rsidP="003D07D2">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1</w:t>
      </w:r>
      <w:r>
        <w:rPr>
          <w:rFonts w:ascii="Verdana" w:eastAsia="Calibri" w:hAnsi="Verdana" w:cs="Arial"/>
          <w:lang w:eastAsia="es-ES_tradnl"/>
        </w:rPr>
        <w:t>8</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145C9947" w14:textId="77777777" w:rsidR="003D07D2" w:rsidRPr="005B7C42" w:rsidRDefault="003D07D2" w:rsidP="003D07D2">
      <w:pPr>
        <w:spacing w:after="0" w:line="276" w:lineRule="auto"/>
        <w:jc w:val="both"/>
        <w:rPr>
          <w:rFonts w:ascii="Verdana" w:eastAsia="Calibri" w:hAnsi="Verdana" w:cs="Arial"/>
          <w:lang w:eastAsia="es-ES_tradnl"/>
        </w:rPr>
      </w:pPr>
    </w:p>
    <w:p w14:paraId="3F70FE8D" w14:textId="77777777" w:rsidR="003D07D2" w:rsidRPr="00F75C0D" w:rsidRDefault="003D07D2" w:rsidP="003D07D2">
      <w:pPr>
        <w:spacing w:after="120" w:line="276" w:lineRule="auto"/>
        <w:ind w:left="709" w:right="709"/>
        <w:jc w:val="both"/>
        <w:rPr>
          <w:rFonts w:ascii="Verdana" w:eastAsia="Times New Roman" w:hAnsi="Verdana" w:cs="Arial"/>
          <w:iCs/>
          <w:sz w:val="21"/>
          <w:szCs w:val="21"/>
          <w:lang w:eastAsia="es-ES_tradnl"/>
        </w:rPr>
      </w:pPr>
      <w:r w:rsidRPr="00F75C0D">
        <w:rPr>
          <w:rFonts w:ascii="Verdana" w:eastAsia="Times New Roman" w:hAnsi="Verdana" w:cs="Arial"/>
          <w:iCs/>
          <w:sz w:val="21"/>
          <w:szCs w:val="21"/>
          <w:lang w:eastAsia="es-ES_tradnl"/>
        </w:rPr>
        <w:t>“[…]</w:t>
      </w:r>
    </w:p>
    <w:p w14:paraId="4F051BEF" w14:textId="4ACA18B6" w:rsidR="003D07D2" w:rsidRPr="005B7C42" w:rsidRDefault="003D07D2" w:rsidP="003D07D2">
      <w:pPr>
        <w:spacing w:after="120" w:line="276" w:lineRule="auto"/>
        <w:ind w:left="709" w:right="709"/>
        <w:jc w:val="both"/>
        <w:rPr>
          <w:rFonts w:ascii="Verdana" w:eastAsia="Times New Roman" w:hAnsi="Verdana" w:cs="Arial"/>
          <w:i/>
          <w:sz w:val="20"/>
          <w:szCs w:val="20"/>
          <w:lang w:eastAsia="es-ES_tradnl"/>
        </w:rPr>
      </w:pPr>
      <w:r w:rsidRPr="003D07D2">
        <w:rPr>
          <w:rFonts w:ascii="Verdana" w:eastAsia="Times New Roman" w:hAnsi="Verdana" w:cs="Arial"/>
          <w:iCs/>
          <w:sz w:val="21"/>
          <w:szCs w:val="21"/>
          <w:lang w:eastAsia="es-ES_tradnl"/>
        </w:rPr>
        <w:t xml:space="preserve">“[…] Como Gerente (E) de la Empresa de Servicios Públicos de Frontino Antioquia, solicito de maneral formal, se de concepto jurídico sobre la viabilidad de publicar los pagos correspondientes a los contratos suscritos por la entidad en la plataforma SECO I., Lo anterior por </w:t>
      </w:r>
      <w:r w:rsidRPr="003D07D2">
        <w:rPr>
          <w:rFonts w:ascii="Verdana" w:eastAsia="Times New Roman" w:hAnsi="Verdana" w:cs="Arial"/>
          <w:iCs/>
          <w:sz w:val="21"/>
          <w:szCs w:val="21"/>
          <w:lang w:eastAsia="es-ES_tradnl"/>
        </w:rPr>
        <w:lastRenderedPageBreak/>
        <w:t>tratarse de información que consideramos sensible, toda vez que es información pública y puede exponer al contratista en algún”</w:t>
      </w:r>
      <w:r w:rsidRPr="005B7C42">
        <w:rPr>
          <w:rFonts w:ascii="Verdana" w:eastAsia="Times New Roman" w:hAnsi="Verdana" w:cs="Arial"/>
          <w:iCs/>
          <w:sz w:val="20"/>
          <w:szCs w:val="20"/>
          <w:lang w:eastAsia="es-ES_tradnl"/>
        </w:rPr>
        <w:t xml:space="preserve"> </w:t>
      </w:r>
      <w:r w:rsidRPr="00502CFF">
        <w:rPr>
          <w:rFonts w:ascii="Verdana" w:eastAsia="Times New Roman" w:hAnsi="Verdana" w:cs="Arial"/>
          <w:iCs/>
          <w:lang w:eastAsia="es-ES_tradnl"/>
        </w:rPr>
        <w:t>[SIC].</w:t>
      </w:r>
    </w:p>
    <w:p w14:paraId="120D8BF3" w14:textId="77777777" w:rsidR="003D07D2" w:rsidRPr="005B7C42" w:rsidRDefault="003D07D2" w:rsidP="003D07D2">
      <w:pPr>
        <w:spacing w:after="120" w:line="240" w:lineRule="auto"/>
        <w:ind w:left="709" w:right="709"/>
        <w:jc w:val="both"/>
        <w:rPr>
          <w:rFonts w:ascii="Verdana" w:eastAsia="Times New Roman" w:hAnsi="Verdana" w:cs="Arial"/>
          <w:i/>
          <w:lang w:eastAsia="es-ES_tradnl"/>
        </w:rPr>
      </w:pPr>
    </w:p>
    <w:p w14:paraId="2CBEA0E0" w14:textId="77777777" w:rsidR="003D07D2" w:rsidRPr="005B7C42" w:rsidRDefault="003D07D2" w:rsidP="003D07D2">
      <w:pPr>
        <w:spacing w:after="120" w:line="276" w:lineRule="auto"/>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282E82AD" w14:textId="77777777" w:rsidR="003D07D2" w:rsidRDefault="003D07D2" w:rsidP="003D07D2">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14D54E86" w14:textId="77777777" w:rsidR="003D07D2" w:rsidRPr="005B7C42" w:rsidRDefault="003D07D2" w:rsidP="003D07D2">
      <w:pPr>
        <w:spacing w:after="0" w:line="276" w:lineRule="auto"/>
        <w:ind w:firstLine="709"/>
        <w:jc w:val="both"/>
        <w:rPr>
          <w:rFonts w:ascii="Verdana" w:eastAsia="Times New Roman" w:hAnsi="Verdana" w:cs="Arial"/>
          <w:szCs w:val="24"/>
          <w:lang w:eastAsia="es-ES_tradnl"/>
        </w:rPr>
      </w:pPr>
    </w:p>
    <w:p w14:paraId="5632348F" w14:textId="77777777" w:rsidR="003D07D2" w:rsidRDefault="003D07D2" w:rsidP="003D07D2">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5F172F88" w14:textId="77777777" w:rsidR="003D07D2" w:rsidRDefault="003D07D2" w:rsidP="003D07D2">
      <w:pPr>
        <w:spacing w:after="0" w:line="276" w:lineRule="auto"/>
        <w:jc w:val="both"/>
        <w:rPr>
          <w:rFonts w:ascii="Verdana" w:eastAsia="Century Gothic" w:hAnsi="Verdana" w:cs="Century Gothic"/>
        </w:rPr>
      </w:pPr>
    </w:p>
    <w:p w14:paraId="41D0BF02" w14:textId="6FE1091F" w:rsidR="003D07D2" w:rsidRDefault="003D07D2" w:rsidP="003D07D2">
      <w:pPr>
        <w:spacing w:after="0" w:line="276" w:lineRule="auto"/>
        <w:jc w:val="both"/>
        <w:rPr>
          <w:rFonts w:ascii="Verdana" w:eastAsia="Century Gothic" w:hAnsi="Verdana" w:cs="Century Gothic"/>
        </w:rPr>
      </w:pPr>
      <w:r w:rsidRPr="003D07D2">
        <w:rPr>
          <w:rFonts w:ascii="Verdana" w:eastAsia="Century Gothic" w:hAnsi="Verdana" w:cs="Century Gothic"/>
        </w:rPr>
        <w:t>De acuerdo con el contenido de su solicitud, se evidencia que la misma está relacionada con la reserva de la información pública, particularmente en lo atinente al límite del deber de divulgación de la información en la contratación estatal. Por lo que, se resolverá su consulta desde el siguiente problema jurídico: “¿A las entidades públicas que estén exceptuadas de aplicar el Estatuto General de Contratación de la Administración Pública – EGCAP, como es el caso de las Empresas de Servicios Públicos – ESP, les asiste el deber de publicar los pagos correspondientes a los contratos que suscribe? ¿Qué documentos gozan de reserva de ley dentro de un proceso de contratación adelantado por una empresa con régimen especial como son las Empresas de servicios Públicos Domiciliarios?</w:t>
      </w:r>
    </w:p>
    <w:p w14:paraId="6BA9D3D4" w14:textId="77777777" w:rsidR="003D07D2" w:rsidRPr="005B7C42" w:rsidRDefault="003D07D2" w:rsidP="003D07D2">
      <w:pPr>
        <w:spacing w:after="0" w:line="276" w:lineRule="auto"/>
        <w:jc w:val="both"/>
        <w:rPr>
          <w:rFonts w:ascii="Verdana" w:hAnsi="Verdana"/>
        </w:rPr>
      </w:pPr>
    </w:p>
    <w:p w14:paraId="003C90B0" w14:textId="77777777" w:rsidR="003D07D2" w:rsidRPr="005B7C42" w:rsidRDefault="003D07D2" w:rsidP="003D07D2">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2E876510" w14:textId="77777777" w:rsidR="003D07D2" w:rsidRPr="005B7C42" w:rsidRDefault="003D07D2" w:rsidP="003D07D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D07D2" w:rsidRPr="00340AE0" w14:paraId="3A77974C" w14:textId="77777777" w:rsidTr="00063F26">
        <w:tc>
          <w:tcPr>
            <w:tcW w:w="8828" w:type="dxa"/>
            <w:shd w:val="clear" w:color="auto" w:fill="auto"/>
          </w:tcPr>
          <w:p w14:paraId="04ABF7F7" w14:textId="4446724F" w:rsidR="003D07D2" w:rsidRDefault="003D07D2" w:rsidP="00063F26">
            <w:pPr>
              <w:spacing w:line="276" w:lineRule="auto"/>
              <w:jc w:val="both"/>
              <w:rPr>
                <w:rFonts w:ascii="Verdana" w:eastAsia="Calibri" w:hAnsi="Verdana" w:cs="Arial"/>
                <w:color w:val="000000" w:themeColor="text1"/>
              </w:rPr>
            </w:pPr>
            <w:r w:rsidRPr="003D07D2">
              <w:rPr>
                <w:rFonts w:ascii="Verdana" w:eastAsia="Arial" w:hAnsi="Verdana" w:cs="Arial"/>
                <w:bCs/>
              </w:rPr>
              <w:t xml:space="preserve">El artículo 53 de la Ley 2195 de 2022, impone el deber de publicidad para las entidades no sometidas al Estatuto General de Contratación de la Administración Pública, incluidas las ESP, de tal manera que estas deberán publicar los documentos relacionados con su actividad contractual en el Sistema Electrónico para la Contratación Pública (SECOP II) o la plataforma transaccional que haga sus veces, señalando además que, por actividad contractual se entenderán los documentos, contratos, actos e </w:t>
            </w:r>
            <w:r w:rsidRPr="003D07D2">
              <w:rPr>
                <w:rFonts w:ascii="Verdana" w:eastAsia="Arial" w:hAnsi="Verdana" w:cs="Arial"/>
                <w:bCs/>
              </w:rPr>
              <w:t>información</w:t>
            </w:r>
            <w:r>
              <w:rPr>
                <w:rFonts w:ascii="Verdana" w:eastAsia="Calibri" w:hAnsi="Verdana" w:cs="Arial"/>
                <w:color w:val="000000" w:themeColor="text1"/>
              </w:rPr>
              <w:t xml:space="preserve"> </w:t>
            </w:r>
            <w:r w:rsidRPr="003D07D2">
              <w:rPr>
                <w:rFonts w:ascii="Verdana" w:eastAsia="Calibri" w:hAnsi="Verdana" w:cs="Arial"/>
                <w:color w:val="000000" w:themeColor="text1"/>
              </w:rPr>
              <w:t xml:space="preserve">generada por oferentes, contratista, contratante, supervisor o interventor, tanto en la etapa precontractual, como en la contractual y la </w:t>
            </w:r>
            <w:r w:rsidR="00A534E3" w:rsidRPr="003D07D2">
              <w:rPr>
                <w:rFonts w:ascii="Verdana" w:eastAsia="Calibri" w:hAnsi="Verdana" w:cs="Arial"/>
                <w:color w:val="000000" w:themeColor="text1"/>
              </w:rPr>
              <w:t>post-contractual</w:t>
            </w:r>
            <w:r w:rsidRPr="003D07D2">
              <w:rPr>
                <w:rFonts w:ascii="Verdana" w:eastAsia="Calibri" w:hAnsi="Verdana" w:cs="Arial"/>
                <w:color w:val="000000" w:themeColor="text1"/>
              </w:rPr>
              <w:t xml:space="preserve">. De modo que, bajo ese prisma, los pagos correspondientes a los contratos suscritos por la entidad pública hacen parte de los documentos producidos en la actividad contractual a la que hace referencia el artículo en estudio. </w:t>
            </w:r>
          </w:p>
          <w:p w14:paraId="49320FF5" w14:textId="77777777" w:rsidR="003D07D2" w:rsidRDefault="003D07D2" w:rsidP="00063F26">
            <w:pPr>
              <w:spacing w:line="276" w:lineRule="auto"/>
              <w:jc w:val="both"/>
              <w:rPr>
                <w:rFonts w:ascii="Verdana" w:eastAsia="Calibri" w:hAnsi="Verdana" w:cs="Arial"/>
                <w:color w:val="000000" w:themeColor="text1"/>
              </w:rPr>
            </w:pPr>
          </w:p>
          <w:p w14:paraId="75820C0D" w14:textId="77777777" w:rsidR="003D07D2" w:rsidRDefault="003D07D2" w:rsidP="00063F26">
            <w:pPr>
              <w:spacing w:line="276" w:lineRule="auto"/>
              <w:jc w:val="both"/>
              <w:rPr>
                <w:rFonts w:ascii="Verdana" w:eastAsia="Calibri" w:hAnsi="Verdana" w:cs="Arial"/>
                <w:color w:val="000000" w:themeColor="text1"/>
              </w:rPr>
            </w:pPr>
            <w:r w:rsidRPr="003D07D2">
              <w:rPr>
                <w:rFonts w:ascii="Verdana" w:eastAsia="Calibri" w:hAnsi="Verdana" w:cs="Arial"/>
                <w:color w:val="000000" w:themeColor="text1"/>
              </w:rPr>
              <w:t xml:space="preserve">De la misma manera, en virtud del inciso tercero de la norma ibidem, a partir del 18 de julio de 2022, las entidades exceptuadas se encuentran obligadas a publicar todos los documentos de su actividad contractual en el SECOP II, sin perjuicio de estar sometidas a regímenes de derecho privado. Por lo que se descarta de plano la posibilidad de que la publicación de la actividad contractual se realice en la plataforma SECOP I. </w:t>
            </w:r>
          </w:p>
          <w:p w14:paraId="61E92730" w14:textId="77777777" w:rsidR="003D07D2" w:rsidRDefault="003D07D2" w:rsidP="00063F26">
            <w:pPr>
              <w:spacing w:line="276" w:lineRule="auto"/>
              <w:jc w:val="both"/>
              <w:rPr>
                <w:rFonts w:ascii="Verdana" w:eastAsia="Calibri" w:hAnsi="Verdana" w:cs="Arial"/>
                <w:color w:val="000000" w:themeColor="text1"/>
              </w:rPr>
            </w:pPr>
          </w:p>
          <w:p w14:paraId="07999F6C" w14:textId="77777777" w:rsidR="003D07D2" w:rsidRDefault="003D07D2" w:rsidP="00063F26">
            <w:pPr>
              <w:spacing w:line="276" w:lineRule="auto"/>
              <w:jc w:val="both"/>
              <w:rPr>
                <w:rFonts w:ascii="Verdana" w:eastAsia="Calibri" w:hAnsi="Verdana" w:cs="Arial"/>
                <w:color w:val="000000" w:themeColor="text1"/>
              </w:rPr>
            </w:pPr>
            <w:r w:rsidRPr="003D07D2">
              <w:rPr>
                <w:rFonts w:ascii="Verdana" w:eastAsia="Calibri" w:hAnsi="Verdana" w:cs="Arial"/>
                <w:color w:val="000000" w:themeColor="text1"/>
              </w:rPr>
              <w:t xml:space="preserve">Ahora bien, si la EPS requiere de capacitación y orientación técnica que le permita conocer el procedimiento para la publicación en SECOP II, los invitamos a que consulten el Calendario de Capacitaciones publicado en el portal web de la ANCP-CCE que se encuentra en la parte inferior izquierda de la interfaz inicial o eleve una petición a través del canal de PQRSD dirigida a la Subdirección de Información y Desarrollo Tecnológico solicitando acompañamiento y soporte del grupo de Uso y Apropiación del SECOP II. </w:t>
            </w:r>
          </w:p>
          <w:p w14:paraId="4324526A" w14:textId="77777777" w:rsidR="003D07D2" w:rsidRDefault="003D07D2" w:rsidP="00063F26">
            <w:pPr>
              <w:spacing w:line="276" w:lineRule="auto"/>
              <w:jc w:val="both"/>
              <w:rPr>
                <w:rFonts w:ascii="Verdana" w:eastAsia="Calibri" w:hAnsi="Verdana" w:cs="Arial"/>
                <w:color w:val="000000" w:themeColor="text1"/>
              </w:rPr>
            </w:pPr>
          </w:p>
          <w:p w14:paraId="70D3DB3B" w14:textId="77777777" w:rsidR="003D07D2" w:rsidRDefault="003D07D2" w:rsidP="00063F26">
            <w:pPr>
              <w:spacing w:line="276" w:lineRule="auto"/>
              <w:jc w:val="both"/>
              <w:rPr>
                <w:rFonts w:ascii="Verdana" w:eastAsia="Calibri" w:hAnsi="Verdana" w:cs="Arial"/>
                <w:color w:val="000000" w:themeColor="text1"/>
              </w:rPr>
            </w:pPr>
            <w:r w:rsidRPr="003D07D2">
              <w:rPr>
                <w:rFonts w:ascii="Verdana" w:eastAsia="Calibri" w:hAnsi="Verdana" w:cs="Arial"/>
                <w:color w:val="000000" w:themeColor="text1"/>
              </w:rPr>
              <w:t xml:space="preserve">No obstante, se aclara que, sobre el deber de publicación de la actividad contractual en SECOP II por dichas empresas, teniendo en cuenta que el artículo 53 de la Ley 2195 de 2022 complementa lo señalado en el artículo 3 de la Ley 1150 de 2007, la contratación a la que se refiere es a aquella realizada con recursos públicos, cuya información es la que debe publicarse en el SECOP II. Esto, de acuerdo con la interpretación sistemática que permite armonizar el referido artículo 53 de la Ley 2195 de 2022 con todo el contexto normativo que establece que en dicha plataforma se debe publicar sólo la información relativa a la actividad contractual con dineros públicos. Sobre este </w:t>
            </w:r>
            <w:r w:rsidRPr="003D07D2">
              <w:rPr>
                <w:rFonts w:ascii="Verdana" w:eastAsia="Calibri" w:hAnsi="Verdana" w:cs="Arial"/>
                <w:color w:val="000000" w:themeColor="text1"/>
              </w:rPr>
              <w:lastRenderedPageBreak/>
              <w:t xml:space="preserve">tema, le invitamos a consultar el Concepto C-044 del 3 de abril de 2024 expedido por esta Subdirección. </w:t>
            </w:r>
          </w:p>
          <w:p w14:paraId="12973D50" w14:textId="77777777" w:rsidR="003D07D2" w:rsidRDefault="003D07D2" w:rsidP="00063F26">
            <w:pPr>
              <w:spacing w:line="276" w:lineRule="auto"/>
              <w:jc w:val="both"/>
              <w:rPr>
                <w:rFonts w:ascii="Verdana" w:eastAsia="Calibri" w:hAnsi="Verdana" w:cs="Arial"/>
                <w:color w:val="000000" w:themeColor="text1"/>
              </w:rPr>
            </w:pPr>
          </w:p>
          <w:p w14:paraId="665F9551" w14:textId="77777777" w:rsidR="003D07D2" w:rsidRDefault="003D07D2" w:rsidP="003D07D2">
            <w:pPr>
              <w:spacing w:line="276" w:lineRule="auto"/>
              <w:jc w:val="both"/>
              <w:rPr>
                <w:rFonts w:ascii="Verdana" w:eastAsia="Calibri" w:hAnsi="Verdana" w:cs="Arial"/>
                <w:color w:val="000000" w:themeColor="text1"/>
              </w:rPr>
            </w:pPr>
            <w:r w:rsidRPr="003D07D2">
              <w:rPr>
                <w:rFonts w:ascii="Verdana" w:eastAsia="Calibri" w:hAnsi="Verdana" w:cs="Arial"/>
                <w:color w:val="000000" w:themeColor="text1"/>
              </w:rPr>
              <w:t xml:space="preserve">En relación con el segundo interrogante, acerca de la viabilidad de publicar los pagos correspondientes a los contratos suscritos por la empresa de servicios públicos domiciliarios,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 o las partes pertinentes en las que se evidencie este tipo de información. Para dichos eventos, la plataforma SECOP II, antes de publicar las ofertas, brinda a las entidades la opción de calificar dicha información como confidencial, lo cual impide que los documentos se publiquen. </w:t>
            </w:r>
          </w:p>
          <w:p w14:paraId="476F553C" w14:textId="77777777" w:rsidR="003D07D2" w:rsidRDefault="003D07D2" w:rsidP="003D07D2">
            <w:pPr>
              <w:spacing w:line="276" w:lineRule="auto"/>
              <w:jc w:val="both"/>
              <w:rPr>
                <w:rFonts w:ascii="Verdana" w:eastAsia="Calibri" w:hAnsi="Verdana" w:cs="Arial"/>
                <w:color w:val="000000" w:themeColor="text1"/>
              </w:rPr>
            </w:pPr>
          </w:p>
          <w:p w14:paraId="63B310AD" w14:textId="77777777" w:rsidR="003D07D2" w:rsidRDefault="003D07D2" w:rsidP="003D07D2">
            <w:pPr>
              <w:spacing w:line="276" w:lineRule="auto"/>
              <w:jc w:val="both"/>
              <w:rPr>
                <w:rFonts w:ascii="Verdana" w:eastAsia="Calibri" w:hAnsi="Verdana" w:cs="Arial"/>
                <w:color w:val="000000" w:themeColor="text1"/>
              </w:rPr>
            </w:pPr>
            <w:r w:rsidRPr="003D07D2">
              <w:rPr>
                <w:rFonts w:ascii="Verdana" w:eastAsia="Calibri" w:hAnsi="Verdana" w:cs="Arial"/>
                <w:color w:val="000000" w:themeColor="text1"/>
              </w:rPr>
              <w:t xml:space="preserve">En resumen, el artículo 74 de la Constitución Política de 1991, en armonía con los artículos 18 y 19 de la Ley 1712 de 2014 y los artículos 24 y 25 de la Ley 1437 de 2011,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Pero esto no quiere decir que todo el documento se convierta en reservado, sino que se debe proceder como se indica a continuación. </w:t>
            </w:r>
          </w:p>
          <w:p w14:paraId="28D13885" w14:textId="77777777" w:rsidR="003D07D2" w:rsidRDefault="003D07D2" w:rsidP="003D07D2">
            <w:pPr>
              <w:spacing w:line="276" w:lineRule="auto"/>
              <w:jc w:val="both"/>
              <w:rPr>
                <w:rFonts w:ascii="Verdana" w:eastAsia="Calibri" w:hAnsi="Verdana" w:cs="Arial"/>
                <w:color w:val="000000" w:themeColor="text1"/>
              </w:rPr>
            </w:pPr>
          </w:p>
          <w:p w14:paraId="61C41572" w14:textId="6793B69B" w:rsidR="003D07D2" w:rsidRPr="00340AE0" w:rsidRDefault="003D07D2" w:rsidP="003D07D2">
            <w:pPr>
              <w:spacing w:line="276" w:lineRule="auto"/>
              <w:jc w:val="both"/>
              <w:rPr>
                <w:rFonts w:ascii="Verdana" w:eastAsia="Arial MT" w:hAnsi="Verdana" w:cs="Arial"/>
                <w:lang w:eastAsia="es-ES" w:bidi="es-ES"/>
              </w:rPr>
            </w:pPr>
            <w:r w:rsidRPr="003D07D2">
              <w:rPr>
                <w:rFonts w:ascii="Verdana" w:eastAsia="Calibri" w:hAnsi="Verdana" w:cs="Arial"/>
                <w:color w:val="000000" w:themeColor="text1"/>
              </w:rPr>
              <w:t xml:space="preserve">Finalmente, como este ejercicio solo se puede hacer en concreto, la Subdirección no indicará un listado taxativo de los documentos o apartados que no pueden publicarse. Simplemente, a título enunciativo, aclara que, si los datos aportados por el proponente son sensibles, como sucede con las cuentas bancarias, información relativa a los niños, niñas y adolescentes; o si contiene secretos industriales o comerciales, tales datos deben ser excluidos </w:t>
            </w:r>
            <w:r w:rsidRPr="003D07D2">
              <w:rPr>
                <w:rFonts w:ascii="Verdana" w:eastAsia="Calibri" w:hAnsi="Verdana" w:cs="Arial"/>
                <w:color w:val="000000" w:themeColor="text1"/>
              </w:rPr>
              <w:lastRenderedPageBreak/>
              <w:t>del expediente publicado en el SECOP, para proteger los derechos fundamentales, pues, en el test de ponderación, tales derechos prevalecen sobre el deber de divulgación proactiva de la información.</w:t>
            </w:r>
          </w:p>
        </w:tc>
      </w:tr>
    </w:tbl>
    <w:p w14:paraId="18F41322" w14:textId="77777777" w:rsidR="003D07D2" w:rsidRPr="005B7C42" w:rsidRDefault="003D07D2" w:rsidP="003D07D2">
      <w:pPr>
        <w:spacing w:after="0" w:line="276" w:lineRule="auto"/>
        <w:contextualSpacing/>
        <w:jc w:val="both"/>
        <w:rPr>
          <w:rFonts w:ascii="Verdana" w:eastAsia="Times New Roman" w:hAnsi="Verdana" w:cs="Arial"/>
          <w:lang w:eastAsia="es-ES_tradnl"/>
        </w:rPr>
      </w:pPr>
    </w:p>
    <w:p w14:paraId="668EAEA1" w14:textId="77777777" w:rsidR="003D07D2" w:rsidRPr="005B7C42" w:rsidRDefault="003D07D2" w:rsidP="003D07D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0ACE47EF" w14:textId="77777777" w:rsidR="003D07D2" w:rsidRPr="005B7C42" w:rsidRDefault="003D07D2" w:rsidP="003D07D2">
      <w:pPr>
        <w:spacing w:after="0" w:line="276" w:lineRule="auto"/>
        <w:jc w:val="both"/>
        <w:rPr>
          <w:rFonts w:ascii="Verdana" w:eastAsia="Calibri" w:hAnsi="Verdana" w:cs="Arial"/>
          <w:color w:val="7030A0"/>
        </w:rPr>
      </w:pPr>
    </w:p>
    <w:p w14:paraId="26AA4F74" w14:textId="77777777" w:rsidR="003D07D2" w:rsidRPr="00404167" w:rsidRDefault="003D07D2" w:rsidP="003D07D2">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6EB6CE62" w14:textId="5615E506" w:rsidR="003D07D2" w:rsidRPr="008F7498" w:rsidRDefault="003D07D2" w:rsidP="003D07D2">
      <w:pPr>
        <w:spacing w:after="120" w:line="276" w:lineRule="auto"/>
        <w:jc w:val="both"/>
        <w:rPr>
          <w:rFonts w:ascii="Verdana" w:eastAsia="Calibri" w:hAnsi="Verdana" w:cs="Arial"/>
          <w:color w:val="000000" w:themeColor="text1"/>
        </w:rPr>
      </w:pPr>
      <w:r w:rsidRPr="003D07D2">
        <w:rPr>
          <w:rFonts w:ascii="Verdana" w:eastAsia="Calibri" w:hAnsi="Verdana" w:cs="Arial"/>
          <w:bCs/>
          <w:color w:val="000000" w:themeColor="text1"/>
        </w:rPr>
        <w:t>Uno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w:t>
      </w:r>
    </w:p>
    <w:p w14:paraId="76187D1C" w14:textId="36521BFF" w:rsidR="003D07D2" w:rsidRDefault="003D07D2" w:rsidP="003D07D2">
      <w:pPr>
        <w:spacing w:after="120" w:line="276" w:lineRule="auto"/>
        <w:ind w:firstLine="708"/>
        <w:jc w:val="both"/>
        <w:rPr>
          <w:rFonts w:ascii="Verdana" w:eastAsia="Calibri" w:hAnsi="Verdana" w:cs="Arial"/>
          <w:color w:val="000000" w:themeColor="text1"/>
        </w:rPr>
      </w:pPr>
      <w:r w:rsidRPr="003D07D2">
        <w:rPr>
          <w:rFonts w:ascii="Verdana" w:eastAsia="Calibri" w:hAnsi="Verdana" w:cs="Arial"/>
          <w:color w:val="000000" w:themeColor="text1"/>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Style w:val="Refdenotaalpie"/>
          <w:rFonts w:ascii="Verdana" w:eastAsia="Calibri" w:hAnsi="Verdana" w:cs="Arial"/>
          <w:color w:val="000000" w:themeColor="text1"/>
        </w:rPr>
        <w:footnoteReference w:id="1"/>
      </w:r>
      <w:r>
        <w:rPr>
          <w:rFonts w:ascii="Verdana" w:eastAsia="Calibri" w:hAnsi="Verdana" w:cs="Arial"/>
          <w:color w:val="000000" w:themeColor="text1"/>
        </w:rPr>
        <w:t>”.</w:t>
      </w:r>
    </w:p>
    <w:p w14:paraId="79A91D0A" w14:textId="0FC50F1A" w:rsidR="003D07D2" w:rsidRDefault="003D07D2" w:rsidP="003D07D2">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3D07D2">
        <w:rPr>
          <w:rFonts w:ascii="Verdana" w:eastAsia="Calibri" w:hAnsi="Verdana" w:cs="Arial"/>
          <w:color w:val="000000" w:themeColor="text1"/>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w:t>
      </w:r>
      <w:r w:rsidRPr="003D07D2">
        <w:rPr>
          <w:rFonts w:ascii="Verdana" w:eastAsia="Calibri" w:hAnsi="Verdana" w:cs="Arial"/>
          <w:color w:val="000000" w:themeColor="text1"/>
        </w:rPr>
        <w:lastRenderedPageBreak/>
        <w:t>posesión, bajo control o custodia de un sujeto obligado es pública y no podrá ser reservada o limitada sino por disposición constitucional o legal</w:t>
      </w:r>
      <w:r>
        <w:rPr>
          <w:rStyle w:val="Refdenotaalpie"/>
          <w:rFonts w:ascii="Verdana" w:eastAsia="Calibri" w:hAnsi="Verdana" w:cs="Arial"/>
          <w:color w:val="000000" w:themeColor="text1"/>
        </w:rPr>
        <w:footnoteReference w:id="2"/>
      </w:r>
      <w:r>
        <w:rPr>
          <w:rFonts w:ascii="Verdana" w:eastAsia="Calibri" w:hAnsi="Verdana" w:cs="Arial"/>
          <w:color w:val="000000" w:themeColor="text1"/>
        </w:rPr>
        <w:t>”.</w:t>
      </w:r>
    </w:p>
    <w:p w14:paraId="76E5C5DB" w14:textId="5B9F6BDB" w:rsidR="003D07D2" w:rsidRDefault="003D07D2" w:rsidP="007B1D3B">
      <w:pPr>
        <w:spacing w:after="120" w:line="276" w:lineRule="auto"/>
        <w:ind w:firstLine="708"/>
        <w:jc w:val="both"/>
        <w:rPr>
          <w:rFonts w:ascii="Verdana" w:eastAsia="Calibri" w:hAnsi="Verdana" w:cs="Arial"/>
          <w:color w:val="000000" w:themeColor="text1"/>
        </w:rPr>
      </w:pPr>
      <w:r w:rsidRPr="003D07D2">
        <w:rPr>
          <w:rFonts w:ascii="Verdana" w:eastAsia="Calibri" w:hAnsi="Verdana" w:cs="Arial"/>
          <w:color w:val="000000" w:themeColor="text1"/>
        </w:rPr>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Pr>
          <w:rStyle w:val="Refdenotaalpie"/>
          <w:rFonts w:ascii="Verdana" w:eastAsia="Calibri" w:hAnsi="Verdana" w:cs="Arial"/>
          <w:color w:val="000000" w:themeColor="text1"/>
        </w:rPr>
        <w:footnoteReference w:id="3"/>
      </w:r>
      <w:r w:rsidR="007B1D3B" w:rsidRPr="007B1D3B">
        <w:rPr>
          <w:rFonts w:ascii="Verdana" w:eastAsia="Calibri" w:hAnsi="Verdana" w:cs="Arial"/>
          <w:color w:val="000000" w:themeColor="text1"/>
        </w:rPr>
        <w:t>, deben publicar la información relativa a su contratación. Esta obligación fue desarrollada por el Decreto Único Reglamentario 1082 de 2015</w:t>
      </w:r>
      <w:r w:rsidR="007B1D3B">
        <w:rPr>
          <w:rStyle w:val="Refdenotaalpie"/>
          <w:rFonts w:ascii="Verdana" w:eastAsia="Calibri" w:hAnsi="Verdana" w:cs="Arial"/>
          <w:color w:val="000000" w:themeColor="text1"/>
        </w:rPr>
        <w:footnoteReference w:id="4"/>
      </w:r>
      <w:r w:rsidR="007B1D3B">
        <w:rPr>
          <w:rFonts w:ascii="Verdana" w:eastAsia="Calibri" w:hAnsi="Verdana" w:cs="Arial"/>
          <w:color w:val="000000" w:themeColor="text1"/>
        </w:rPr>
        <w:t xml:space="preserve">, </w:t>
      </w:r>
      <w:r w:rsidR="007B1D3B" w:rsidRPr="007B1D3B">
        <w:rPr>
          <w:rFonts w:ascii="Verdana" w:eastAsia="Calibri" w:hAnsi="Verdana" w:cs="Arial"/>
          <w:color w:val="000000" w:themeColor="text1"/>
        </w:rPr>
        <w:t>el cual dispuso que la publicación de la información contractual de los sujetos obligados, que contratan con cargo a recursos públicos, debe hacerse en el SECOP.</w:t>
      </w:r>
    </w:p>
    <w:p w14:paraId="74BFF89D" w14:textId="189DE0F1"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Pr>
          <w:rStyle w:val="Refdenotaalpie"/>
          <w:rFonts w:ascii="Verdana" w:eastAsia="Calibri" w:hAnsi="Verdana" w:cs="Arial"/>
          <w:color w:val="000000" w:themeColor="text1"/>
        </w:rPr>
        <w:footnoteReference w:id="5"/>
      </w:r>
      <w:r>
        <w:rPr>
          <w:rFonts w:ascii="Verdana" w:eastAsia="Calibri" w:hAnsi="Verdana" w:cs="Arial"/>
          <w:color w:val="000000" w:themeColor="text1"/>
        </w:rPr>
        <w:t xml:space="preserve">. </w:t>
      </w:r>
      <w:r w:rsidRPr="007B1D3B">
        <w:rPr>
          <w:rFonts w:ascii="Verdana" w:eastAsia="Calibri" w:hAnsi="Verdana" w:cs="Arial"/>
          <w:color w:val="000000" w:themeColor="text1"/>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19DF8BB4" w14:textId="5F6F4A8A"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 xml:space="preserve">La expresión Documentos del Proceso está definida en el artículo 2.2.1.1.1.3.1. del Decreto 1082 de 2015, donde se establece que: “son: (a) los </w:t>
      </w:r>
      <w:r w:rsidRPr="007B1D3B">
        <w:rPr>
          <w:rFonts w:ascii="Verdana" w:eastAsia="Calibri" w:hAnsi="Verdana" w:cs="Arial"/>
          <w:color w:val="000000" w:themeColor="text1"/>
        </w:rPr>
        <w:lastRenderedPageBreak/>
        <w:t xml:space="preserve">estudios y documentos previos; (b) el aviso de convocatoria; (c) los pliegos de condiciones o la invitación; (d) las adendas; (e) la oferta; (f) el informe de evaluación; (g) el contrato; </w:t>
      </w:r>
      <w:r w:rsidRPr="007B1D3B">
        <w:rPr>
          <w:rFonts w:ascii="Verdana" w:eastAsia="Calibri" w:hAnsi="Verdana" w:cs="Arial"/>
          <w:i/>
          <w:iCs/>
          <w:color w:val="000000" w:themeColor="text1"/>
        </w:rPr>
        <w:t>y cualquier otro documento expedido por la Entidad Estatal durante el Proceso de Contratación</w:t>
      </w:r>
      <w:r w:rsidRPr="007B1D3B">
        <w:rPr>
          <w:rFonts w:ascii="Verdana" w:eastAsia="Calibri" w:hAnsi="Verdana" w:cs="Arial"/>
          <w:color w:val="000000" w:themeColor="text1"/>
        </w:rPr>
        <w:t>”. [Énfasis fuera de texto]</w:t>
      </w:r>
    </w:p>
    <w:p w14:paraId="6A53D0CF" w14:textId="5C8F4DD1"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w:t>
      </w:r>
      <w:r w:rsidRPr="007B1D3B">
        <w:t xml:space="preserve"> </w:t>
      </w:r>
      <w:r w:rsidRPr="007B1D3B">
        <w:rPr>
          <w:rFonts w:ascii="Verdana" w:eastAsia="Calibri" w:hAnsi="Verdana" w:cs="Arial"/>
          <w:color w:val="000000" w:themeColor="text1"/>
        </w:rPr>
        <w:t>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7AF1F217" w14:textId="6FB895FF"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r w:rsidRPr="007B1D3B">
        <w:rPr>
          <w:rFonts w:ascii="Verdana" w:eastAsia="Calibri" w:hAnsi="Verdana" w:cs="Arial"/>
          <w:color w:val="000000" w:themeColor="text1"/>
        </w:rPr>
        <w:t>post-contractual</w:t>
      </w:r>
      <w:r w:rsidRPr="007B1D3B">
        <w:rPr>
          <w:rFonts w:ascii="Verdana" w:eastAsia="Calibri" w:hAnsi="Verdana" w:cs="Arial"/>
          <w:color w:val="000000" w:themeColor="text1"/>
        </w:rPr>
        <w:t xml:space="preserve"> deberán ser publicados en SECOP dentro de los tres (3) días siguientes a su expedición, para cumplir el deber de publicidad regulado por el artículo 2.2.1.1.1.7.1. del Decreto 1082 de 2015.</w:t>
      </w:r>
    </w:p>
    <w:p w14:paraId="3F8BA6EC" w14:textId="21ADF988"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Con el propósito de garantizar el cumplimiento del mencionado deber de publicidad, se le asignó a la Agencia Nacional de Contratación Pública - Colombia Compra Eficiente, la función de administrar el SECOP</w:t>
      </w:r>
      <w:r>
        <w:rPr>
          <w:rStyle w:val="Refdenotaalpie"/>
          <w:rFonts w:ascii="Verdana" w:eastAsia="Calibri" w:hAnsi="Verdana" w:cs="Arial"/>
          <w:color w:val="000000" w:themeColor="text1"/>
        </w:rPr>
        <w:footnoteReference w:id="6"/>
      </w:r>
      <w:r w:rsidRPr="007B1D3B">
        <w:rPr>
          <w:rFonts w:ascii="Verdana" w:eastAsia="Calibri" w:hAnsi="Verdana" w:cs="Arial"/>
          <w:color w:val="000000" w:themeColor="text1"/>
        </w:rPr>
        <w:t xml:space="preserve">. Dicha plataforma ha tenido dos versiones, esto es, el SECOP I y el SECOP II. La primera versión de la plataforma –SECOP I–, sólo funciona como medio de publicidad, es decir, no es transaccional, lo que significa que el procedimiento contractual ocurre fuera </w:t>
      </w:r>
      <w:r w:rsidRPr="007B1D3B">
        <w:rPr>
          <w:rFonts w:ascii="Verdana" w:eastAsia="Calibri" w:hAnsi="Verdana" w:cs="Arial"/>
          <w:color w:val="000000" w:themeColor="text1"/>
        </w:rPr>
        <w:lastRenderedPageBreak/>
        <w:t>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AEE59E1" w14:textId="04A016CE"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En cambio, el SECOP II, es una plataforma transaccional que permite gestionar en línea los procedimientos de contratación, con cuentas y usuarios asociados a estas, para las entidades, los proveedores, y para cualquier interesa do en hacer seguimiento a la contratación pública. Desde sus cuentas, las entidades crean, evalúan y adjudican procedimientos de contratación, y gestionan la fase de ejecución del contrato. Los proveedores pueden hacer</w:t>
      </w:r>
      <w:r>
        <w:rPr>
          <w:rFonts w:ascii="Verdana" w:eastAsia="Calibri" w:hAnsi="Verdana" w:cs="Arial"/>
          <w:color w:val="000000" w:themeColor="text1"/>
        </w:rPr>
        <w:t xml:space="preserve"> </w:t>
      </w:r>
      <w:r w:rsidRPr="007B1D3B">
        <w:rPr>
          <w:rFonts w:ascii="Verdana" w:eastAsia="Calibri" w:hAnsi="Verdana" w:cs="Arial"/>
          <w:color w:val="000000" w:themeColor="text1"/>
        </w:rPr>
        <w:t>comentarios a los documentos del procedimiento, presentar ofertas y seguir el procedimiento de selección en línea.</w:t>
      </w:r>
    </w:p>
    <w:p w14:paraId="09F23B49" w14:textId="4671F3E7"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 xml:space="preserve">Ahora bien, teniendo en cuenta que la pregunta planteada es sobre la obligación de publicar por parte de una entidad de régimen especial,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r w:rsidRPr="007B1D3B">
        <w:rPr>
          <w:rFonts w:ascii="Verdana" w:eastAsia="Calibri" w:hAnsi="Verdana" w:cs="Arial"/>
          <w:color w:val="000000" w:themeColor="text1"/>
        </w:rPr>
        <w:t>post-contractual</w:t>
      </w:r>
      <w:r w:rsidRPr="007B1D3B">
        <w:rPr>
          <w:rFonts w:ascii="Verdana" w:eastAsia="Calibri" w:hAnsi="Verdana" w:cs="Arial"/>
          <w:color w:val="000000" w:themeColor="text1"/>
        </w:rPr>
        <w:t>”.</w:t>
      </w:r>
    </w:p>
    <w:p w14:paraId="41AC4446" w14:textId="361A786B"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 xml:space="preserve">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w:t>
      </w:r>
      <w:r w:rsidRPr="007B1D3B">
        <w:rPr>
          <w:rFonts w:ascii="Verdana" w:eastAsia="Calibri" w:hAnsi="Verdana" w:cs="Arial"/>
          <w:color w:val="000000" w:themeColor="text1"/>
        </w:rPr>
        <w:lastRenderedPageBreak/>
        <w:t>que estas contienen</w:t>
      </w:r>
      <w:r>
        <w:rPr>
          <w:rStyle w:val="Refdenotaalpie"/>
          <w:rFonts w:ascii="Verdana" w:eastAsia="Calibri" w:hAnsi="Verdana" w:cs="Arial"/>
          <w:color w:val="000000" w:themeColor="text1"/>
        </w:rPr>
        <w:footnoteReference w:id="7"/>
      </w:r>
      <w:r>
        <w:rPr>
          <w:rFonts w:ascii="Verdana" w:eastAsia="Calibri" w:hAnsi="Verdana" w:cs="Arial"/>
          <w:color w:val="000000" w:themeColor="text1"/>
        </w:rPr>
        <w:t xml:space="preserve">. </w:t>
      </w:r>
      <w:r w:rsidRPr="007B1D3B">
        <w:rPr>
          <w:rFonts w:ascii="Verdana" w:eastAsia="Calibri" w:hAnsi="Verdana" w:cs="Arial"/>
          <w:color w:val="000000" w:themeColor="text1"/>
        </w:rPr>
        <w:t>Lo anterior significa que, respecto de datos sensibles, información sometida a reserva o de la cual proceda un tratamiento especial que impida su publicidad, las entidades deberán proceder de conformidad con el tratamiento que impongan tales normas, tema que se retomará más adelante.</w:t>
      </w:r>
    </w:p>
    <w:p w14:paraId="66B2A235" w14:textId="17A68D3F"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distinción de su régimen jurídico, naturaleza jurídica o la pertenencia a una u otra rama del poder público</w:t>
      </w:r>
      <w:r>
        <w:rPr>
          <w:rStyle w:val="Refdenotaalpie"/>
          <w:rFonts w:ascii="Verdana" w:eastAsia="Calibri" w:hAnsi="Verdana" w:cs="Arial"/>
          <w:color w:val="000000" w:themeColor="text1"/>
        </w:rPr>
        <w:footnoteReference w:id="8"/>
      </w:r>
      <w:r>
        <w:rPr>
          <w:rFonts w:ascii="Verdana" w:eastAsia="Calibri" w:hAnsi="Verdana" w:cs="Arial"/>
          <w:color w:val="000000" w:themeColor="text1"/>
        </w:rPr>
        <w:t xml:space="preserve">. </w:t>
      </w:r>
      <w:r w:rsidRPr="007B1D3B">
        <w:rPr>
          <w:rFonts w:ascii="Verdana" w:eastAsia="Calibri" w:hAnsi="Verdana" w:cs="Arial"/>
          <w:color w:val="000000" w:themeColor="text1"/>
        </w:rPr>
        <w:t>De igual forma, en la Circular Externa No. 002 del 23 de agosto de 2024, estableció los lineamientos para la aplicación del artículo 53 de la Ley 2195 de 2022 por parte de las Entidades Estales que por disposición legal cuentan con un régimen contractual excepcional al del Estatuto General de Contratación de la Administración Pública.</w:t>
      </w:r>
    </w:p>
    <w:p w14:paraId="5BA7E867" w14:textId="46465538"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 xml:space="preserve">Del mismo modo, esta Agencia en la Circular Externa No. 002 del 23 de agosto de 2024 señaló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w:t>
      </w:r>
      <w:r w:rsidRPr="007B1D3B">
        <w:rPr>
          <w:rFonts w:ascii="Verdana" w:eastAsia="Calibri" w:hAnsi="Verdana" w:cs="Arial"/>
          <w:color w:val="000000" w:themeColor="text1"/>
        </w:rPr>
        <w:lastRenderedPageBreak/>
        <w:t>artículo 2.2.1.1.1.7.1 del Decreto 1082 de 2015 por remisión expresa del artículo 2.1.1.2.1.7 del Decreto 1081 de 2015.</w:t>
      </w:r>
    </w:p>
    <w:p w14:paraId="49E9FAF3" w14:textId="159FF15C"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No obstante, se aclara que, sobre el deber de publicación de la actividad contractual en SECOP II por dichas empresas, teniendo en cuenta que el artículo 53 de la Ley 2195 de 2022 complementa lo señalado en el artículo 3 de la Ley 1150 de 2007, debe aclararse que la contratación a la que se refiere es a aquella realizada con recursos públicos, cuya información es la que debe publicarse en el SECOP II. Esto, de acuerdo con la interpretación sistemática que permite armonizar el referido artículo 53 de la Ley 2195 de 2022 con todo el contexto normativo que establece que en dicha plataforma se debe publicar sólo la información relativa a la actividad contractual con dineros públicos. Sobre este tema, le invitamos a consultar el Concepto C-044 del 3 de abril de 2024 expedido por esta Subdirección.</w:t>
      </w:r>
    </w:p>
    <w:p w14:paraId="531DA809" w14:textId="1554F101"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Ahora bien, como se dijo atrás, el cumplimiento del deber de publicación de la documentación contractual debe armonizarse con las normas aplicables al</w:t>
      </w:r>
      <w:r>
        <w:rPr>
          <w:rFonts w:ascii="Verdana" w:eastAsia="Calibri" w:hAnsi="Verdana" w:cs="Arial"/>
          <w:color w:val="000000" w:themeColor="text1"/>
        </w:rPr>
        <w:t xml:space="preserve"> </w:t>
      </w:r>
      <w:r w:rsidRPr="007B1D3B">
        <w:rPr>
          <w:rFonts w:ascii="Verdana" w:eastAsia="Calibri" w:hAnsi="Verdana" w:cs="Arial"/>
          <w:color w:val="000000" w:themeColor="text1"/>
        </w:rPr>
        <w:t>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 o las partes pertinentes en las que se evidencie este tipo de información. Para dichos eventos, la plataforma SECOP II, antes de publicar las ofertas, brinda a las entidades la opción de calificar dicha información como confidencial, lo cual impide que los documentos se publiquen.</w:t>
      </w:r>
    </w:p>
    <w:p w14:paraId="0D9F41EF" w14:textId="4A58C975"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En ese sentido, revisado el artículo 24 de la Ley 1437 de 2011 el cual señala los documentos que gozan de reserva legal, no se observa que los pagos efectuados a los contratistas de las Empresas de Servicios Públicos, no se encuentran dentro de este listado taxativo. Ahora bien, tampoco es posible señalar que los pagos son documentos “sensibles”, debido a que la Superintendencia de industria y Comercio ha denominado que estos son aquellos que “afecta la intimidad del titular o cuyo uso indebido puede generar su discriminación”</w:t>
      </w:r>
      <w:r>
        <w:rPr>
          <w:rStyle w:val="Refdenotaalpie"/>
          <w:rFonts w:ascii="Verdana" w:eastAsia="Calibri" w:hAnsi="Verdana" w:cs="Arial"/>
          <w:color w:val="000000" w:themeColor="text1"/>
        </w:rPr>
        <w:footnoteReference w:id="9"/>
      </w:r>
      <w:r>
        <w:rPr>
          <w:rFonts w:ascii="Verdana" w:eastAsia="Calibri" w:hAnsi="Verdana" w:cs="Arial"/>
          <w:color w:val="000000" w:themeColor="text1"/>
        </w:rPr>
        <w:t>.</w:t>
      </w:r>
    </w:p>
    <w:p w14:paraId="595D5D10" w14:textId="705E8C46"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 xml:space="preserve">Debe precisarse que, en virtud del principio de transparencia, específicamente por cuenta de lo dispuesto en el numeral 4 del artículo 24 de la </w:t>
      </w:r>
      <w:r w:rsidRPr="007B1D3B">
        <w:rPr>
          <w:rFonts w:ascii="Verdana" w:eastAsia="Calibri" w:hAnsi="Verdana" w:cs="Arial"/>
          <w:color w:val="000000" w:themeColor="text1"/>
        </w:rPr>
        <w:lastRenderedPageBreak/>
        <w:t>ley 80 de 1993</w:t>
      </w:r>
      <w:r>
        <w:rPr>
          <w:rStyle w:val="Refdenotaalpie"/>
          <w:rFonts w:ascii="Verdana" w:eastAsia="Calibri" w:hAnsi="Verdana" w:cs="Arial"/>
          <w:color w:val="000000" w:themeColor="text1"/>
        </w:rPr>
        <w:footnoteReference w:id="10"/>
      </w:r>
      <w:r>
        <w:rPr>
          <w:rFonts w:ascii="Verdana" w:eastAsia="Calibri" w:hAnsi="Verdana" w:cs="Arial"/>
          <w:color w:val="000000" w:themeColor="text1"/>
        </w:rPr>
        <w:t xml:space="preserve">, </w:t>
      </w:r>
      <w:r w:rsidRPr="007B1D3B">
        <w:rPr>
          <w:rFonts w:ascii="Verdana" w:eastAsia="Calibri" w:hAnsi="Verdana" w:cs="Arial"/>
          <w:color w:val="000000" w:themeColor="text1"/>
        </w:rPr>
        <w:t>así como por el principio de máxima publicidad establecido en el artículo 2 de la Ley 1712 de 2014</w:t>
      </w:r>
      <w:r>
        <w:rPr>
          <w:rStyle w:val="Refdenotaalpie"/>
          <w:rFonts w:ascii="Verdana" w:eastAsia="Calibri" w:hAnsi="Verdana" w:cs="Arial"/>
          <w:color w:val="000000" w:themeColor="text1"/>
        </w:rPr>
        <w:footnoteReference w:id="11"/>
      </w:r>
      <w:r w:rsidRPr="007B1D3B">
        <w:rPr>
          <w:rFonts w:ascii="Verdana" w:eastAsia="Calibri" w:hAnsi="Verdana" w:cs="Arial"/>
          <w:color w:val="000000" w:themeColor="text1"/>
        </w:rPr>
        <w:t>,</w:t>
      </w:r>
      <w:r>
        <w:rPr>
          <w:rFonts w:ascii="Verdana" w:eastAsia="Calibri" w:hAnsi="Verdana" w:cs="Arial"/>
          <w:color w:val="000000" w:themeColor="text1"/>
        </w:rPr>
        <w:t xml:space="preserve"> </w:t>
      </w:r>
      <w:r w:rsidRPr="007B1D3B">
        <w:rPr>
          <w:rFonts w:ascii="Verdana" w:eastAsia="Calibri" w:hAnsi="Verdana" w:cs="Arial"/>
          <w:color w:val="000000" w:themeColor="text1"/>
        </w:rPr>
        <w:t>el contenido del expediente en el que reposa la actuación es información pública, independientemente de si se trata de documentos que deban ser publicados en SECOP.</w:t>
      </w:r>
    </w:p>
    <w:p w14:paraId="66D41BA3" w14:textId="25ED110B" w:rsidR="007B1D3B" w:rsidRDefault="007B1D3B" w:rsidP="007B1D3B">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7B1D3B">
        <w:rPr>
          <w:rFonts w:ascii="Verdana" w:eastAsia="Calibri" w:hAnsi="Verdana" w:cs="Arial"/>
          <w:color w:val="000000" w:themeColor="text1"/>
        </w:rPr>
        <w:t>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Pr>
          <w:rStyle w:val="Refdenotaalpie"/>
          <w:rFonts w:ascii="Verdana" w:eastAsia="Calibri" w:hAnsi="Verdana" w:cs="Arial"/>
          <w:color w:val="000000" w:themeColor="text1"/>
        </w:rPr>
        <w:footnoteReference w:id="12"/>
      </w:r>
      <w:r w:rsidR="00A534E3">
        <w:rPr>
          <w:rFonts w:ascii="Verdana" w:eastAsia="Calibri" w:hAnsi="Verdana" w:cs="Arial"/>
          <w:color w:val="000000" w:themeColor="text1"/>
        </w:rPr>
        <w:t xml:space="preserve">. </w:t>
      </w:r>
      <w:r w:rsidR="00A534E3" w:rsidRPr="00A534E3">
        <w:rPr>
          <w:rFonts w:ascii="Verdana" w:eastAsia="Calibri" w:hAnsi="Verdana" w:cs="Arial"/>
          <w:color w:val="000000" w:themeColor="text1"/>
        </w:rPr>
        <w:t>Esta posibilidad solo se encuentra limitada</w:t>
      </w:r>
      <w:r w:rsidR="00A534E3" w:rsidRPr="00A534E3">
        <w:t xml:space="preserve"> </w:t>
      </w:r>
      <w:r w:rsidR="00A534E3" w:rsidRPr="00A534E3">
        <w:rPr>
          <w:rFonts w:ascii="Verdana" w:eastAsia="Calibri" w:hAnsi="Verdana" w:cs="Arial"/>
          <w:color w:val="000000" w:themeColor="text1"/>
        </w:rPr>
        <w:t>respecto de la documentación que tenga la calidad de reservada, que deberá someterse al tratamiento establecido en el artículo 36 del CPACA, en lo relativo a la formación de cuadernos separados</w:t>
      </w:r>
      <w:r w:rsidR="00A534E3">
        <w:rPr>
          <w:rStyle w:val="Refdenotaalpie"/>
          <w:rFonts w:ascii="Verdana" w:eastAsia="Calibri" w:hAnsi="Verdana" w:cs="Arial"/>
          <w:color w:val="000000" w:themeColor="text1"/>
        </w:rPr>
        <w:footnoteReference w:id="13"/>
      </w:r>
      <w:r w:rsidR="00A534E3">
        <w:rPr>
          <w:rFonts w:ascii="Verdana" w:eastAsia="Calibri" w:hAnsi="Verdana" w:cs="Arial"/>
          <w:color w:val="000000" w:themeColor="text1"/>
        </w:rPr>
        <w:t>.</w:t>
      </w:r>
    </w:p>
    <w:p w14:paraId="11312878" w14:textId="4C15019C" w:rsidR="00A534E3" w:rsidRDefault="00A534E3" w:rsidP="00A534E3">
      <w:pPr>
        <w:spacing w:after="120" w:line="276" w:lineRule="auto"/>
        <w:ind w:firstLine="708"/>
        <w:jc w:val="both"/>
        <w:rPr>
          <w:rFonts w:ascii="Verdana" w:eastAsia="Calibri" w:hAnsi="Verdana" w:cs="Arial"/>
          <w:color w:val="000000" w:themeColor="text1"/>
        </w:rPr>
      </w:pPr>
      <w:r w:rsidRPr="00A534E3">
        <w:rPr>
          <w:rFonts w:ascii="Verdana" w:eastAsia="Calibri" w:hAnsi="Verdana" w:cs="Arial"/>
          <w:color w:val="000000" w:themeColor="text1"/>
        </w:rPr>
        <w:t>En consecuencia, aunque el artículo 74 de la Constitución establece que la información pública debe ser dada a conocer a la ciudadanía y así los documentos que hagan parte de la actividad contractual puedan catalogarse, prima facie, como información pública, cuando dicha documentación contenga información sometida a alguna reserva, que establezca la Constitución o la ley, operan algunas restricciones a su publicidad o suministro. Sin embargo, esto no necesariamente convierte el documento completo en reservado, es decir, en un documento que no puede publicarse.</w:t>
      </w:r>
    </w:p>
    <w:p w14:paraId="74EBAF9A" w14:textId="0ED74450" w:rsidR="00A534E3" w:rsidRDefault="00A534E3" w:rsidP="00A534E3">
      <w:pPr>
        <w:spacing w:after="120" w:line="276" w:lineRule="auto"/>
        <w:ind w:firstLine="708"/>
        <w:jc w:val="both"/>
        <w:rPr>
          <w:rFonts w:ascii="Verdana" w:eastAsia="Calibri" w:hAnsi="Verdana" w:cs="Arial"/>
          <w:color w:val="000000" w:themeColor="text1"/>
        </w:rPr>
      </w:pPr>
      <w:r w:rsidRPr="00A534E3">
        <w:rPr>
          <w:rFonts w:ascii="Verdana" w:eastAsia="Calibri" w:hAnsi="Verdana" w:cs="Arial"/>
          <w:color w:val="000000" w:themeColor="text1"/>
        </w:rPr>
        <w:t xml:space="preserve">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w:t>
      </w:r>
      <w:r w:rsidRPr="00A534E3">
        <w:rPr>
          <w:rFonts w:ascii="Verdana" w:eastAsia="Calibri" w:hAnsi="Verdana" w:cs="Arial"/>
          <w:color w:val="000000" w:themeColor="text1"/>
        </w:rPr>
        <w:lastRenderedPageBreak/>
        <w:t>sometida a reserva, pero también incluya información que no esté afectada por la reserva. Además, dicha disposición establece que la reserva de acceso a la información opera respecto al contenido de un documento público, pero no</w:t>
      </w:r>
      <w:r w:rsidRPr="00A534E3">
        <w:t xml:space="preserve"> </w:t>
      </w:r>
      <w:r w:rsidRPr="00A534E3">
        <w:rPr>
          <w:rFonts w:ascii="Verdana" w:eastAsia="Calibri" w:hAnsi="Verdana" w:cs="Arial"/>
          <w:color w:val="000000" w:themeColor="text1"/>
        </w:rPr>
        <w:t>respecto de su existencia</w:t>
      </w:r>
      <w:r>
        <w:rPr>
          <w:rStyle w:val="Refdenotaalpie"/>
          <w:rFonts w:ascii="Verdana" w:eastAsia="Calibri" w:hAnsi="Verdana" w:cs="Arial"/>
          <w:color w:val="000000" w:themeColor="text1"/>
        </w:rPr>
        <w:footnoteReference w:id="14"/>
      </w:r>
      <w:r>
        <w:rPr>
          <w:rFonts w:ascii="Verdana" w:eastAsia="Calibri" w:hAnsi="Verdana" w:cs="Arial"/>
          <w:color w:val="000000" w:themeColor="text1"/>
        </w:rPr>
        <w:t xml:space="preserve">. </w:t>
      </w:r>
      <w:r w:rsidRPr="00A534E3">
        <w:rPr>
          <w:rFonts w:ascii="Verdana" w:eastAsia="Calibri" w:hAnsi="Verdana" w:cs="Arial"/>
          <w:color w:val="000000" w:themeColor="text1"/>
        </w:rPr>
        <w:t>Sin perjuicio de lo anterior, es posible que el contenido de todo el documento o expediente no deba ser objeto de publicidad por estar amparado de forma íntegra por la reserva, dada su conexión con las causales establecidas en la Constitución o la ley.</w:t>
      </w:r>
    </w:p>
    <w:p w14:paraId="1A29ECCD" w14:textId="08550553" w:rsidR="00A534E3" w:rsidRDefault="00A534E3" w:rsidP="00A534E3">
      <w:pPr>
        <w:spacing w:after="120" w:line="276" w:lineRule="auto"/>
        <w:ind w:firstLine="708"/>
        <w:jc w:val="both"/>
        <w:rPr>
          <w:rFonts w:ascii="Verdana" w:eastAsia="Calibri" w:hAnsi="Verdana" w:cs="Arial"/>
          <w:color w:val="000000" w:themeColor="text1"/>
        </w:rPr>
      </w:pPr>
      <w:r w:rsidRPr="00A534E3">
        <w:rPr>
          <w:rFonts w:ascii="Verdana" w:eastAsia="Calibri" w:hAnsi="Verdana" w:cs="Arial"/>
          <w:color w:val="000000" w:themeColor="text1"/>
        </w:rPr>
        <w:t>De esta forma, cuando el documento contractual contenga información sensible, clasificada o reservada, para proteger la reserva de información, las autoridades deben abstenerse de publicar en el SECOP la información que tiene protección especial o está sometida a reserva, o según el caso, suministrarla. Sin embargo, de acuerdo con el segundo inciso del artículo 25 de la Ley 1437 de 2011 “La restricción por reserva legal no se extenderá a otras piezas del respectivo expediente o actuación que no estén cubiertas por ella”. Por ello, la entidad estatal puede no publicar o suministrar algún documento del proceso o aparte del mismo que contenga datos sensibles, clasificados o reservados, para no divulgarlo, pero debe publicar los demás documentos o los apartados de estos, en caso de que estos no gocen de reserva. Lo anterior, sin perjuicio de que, dependiendo de la información en específico, todo el documento o expediente no pueda publicarse o suministrarse, por ampararse en su integridad en alguna causal de reserva, dada la conexión de su contenido con la información que el constituyente o el legislador decidió limitar en cuanto a su publicidad o suministro.</w:t>
      </w:r>
    </w:p>
    <w:p w14:paraId="57455750" w14:textId="44D5D3DD" w:rsidR="00A534E3" w:rsidRDefault="00A534E3" w:rsidP="00A534E3">
      <w:pPr>
        <w:spacing w:after="120" w:line="276" w:lineRule="auto"/>
        <w:ind w:firstLine="708"/>
        <w:jc w:val="both"/>
        <w:rPr>
          <w:rFonts w:ascii="Verdana" w:eastAsia="Calibri" w:hAnsi="Verdana" w:cs="Arial"/>
          <w:color w:val="000000" w:themeColor="text1"/>
        </w:rPr>
      </w:pPr>
      <w:r w:rsidRPr="00A534E3">
        <w:rPr>
          <w:rFonts w:ascii="Verdana" w:eastAsia="Calibri" w:hAnsi="Verdana" w:cs="Arial"/>
          <w:color w:val="000000" w:themeColor="text1"/>
        </w:rPr>
        <w:t xml:space="preserve">En línea con todo lo expuesto, puede colegirse que, la reserva de información pública solo puede crearla el constituyente o el legislador. Además, para efectos de la consulta realizada a la Agencia, las Leyes estatutarias 1712 de 2014 y la 1755 de 2015 –que sustituyó los artículos 13 a 33 de la Ley 1437 de 2011– establecen reservas particulares de información pública, según el caso. Por ello, debe señalarse que al ser la creación de reservas de información pública </w:t>
      </w:r>
      <w:r w:rsidRPr="00A534E3">
        <w:rPr>
          <w:rFonts w:ascii="Verdana" w:eastAsia="Calibri" w:hAnsi="Verdana" w:cs="Arial"/>
          <w:color w:val="000000" w:themeColor="text1"/>
        </w:rPr>
        <w:lastRenderedPageBreak/>
        <w:t>un asunto reservado al constituyente o al legislador, no es factible para esta Subdirección establecerlos o determinarlos.</w:t>
      </w:r>
    </w:p>
    <w:p w14:paraId="2F94E4F7" w14:textId="38932FBA" w:rsidR="00A534E3" w:rsidRDefault="00A534E3" w:rsidP="00A534E3">
      <w:pPr>
        <w:spacing w:after="120" w:line="276" w:lineRule="auto"/>
        <w:ind w:firstLine="708"/>
        <w:jc w:val="both"/>
        <w:rPr>
          <w:rFonts w:ascii="Verdana" w:eastAsia="Calibri" w:hAnsi="Verdana" w:cs="Arial"/>
          <w:color w:val="000000" w:themeColor="text1"/>
        </w:rPr>
      </w:pPr>
      <w:r w:rsidRPr="00A534E3">
        <w:rPr>
          <w:rFonts w:ascii="Verdana" w:eastAsia="Calibri" w:hAnsi="Verdana" w:cs="Arial"/>
          <w:color w:val="000000" w:themeColor="text1"/>
        </w:rPr>
        <w:t>El enunciado constitucional, en armonía con los artículos 18 y 19 de la Ley 1712 de 2014 y los artículos 24 y 25 de la Ley 1437 de 2011, establecen que el derecho de acceso a la información o documentación pública no es absoluto, sino que puede exceptuarse cuando se configuren causales de reserva. Así mismo,</w:t>
      </w:r>
      <w:r w:rsidRPr="00A534E3">
        <w:t xml:space="preserve"> </w:t>
      </w:r>
      <w:r w:rsidRPr="00A534E3">
        <w:rPr>
          <w:rFonts w:ascii="Verdana" w:eastAsia="Calibri" w:hAnsi="Verdana" w:cs="Arial"/>
          <w:color w:val="000000" w:themeColor="text1"/>
        </w:rPr>
        <w:t>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Pero esto no quiere decir que todo el documento se convierta en reservado, sino que se debe proceder como se indica a continuación.</w:t>
      </w:r>
    </w:p>
    <w:p w14:paraId="0667509F" w14:textId="7E7F1221" w:rsidR="00A534E3" w:rsidRDefault="00A534E3" w:rsidP="00A534E3">
      <w:pPr>
        <w:spacing w:after="120" w:line="276" w:lineRule="auto"/>
        <w:ind w:firstLine="708"/>
        <w:jc w:val="both"/>
        <w:rPr>
          <w:rFonts w:ascii="Verdana" w:eastAsia="Calibri" w:hAnsi="Verdana" w:cs="Arial"/>
          <w:color w:val="000000" w:themeColor="text1"/>
        </w:rPr>
      </w:pPr>
      <w:r w:rsidRPr="00A534E3">
        <w:rPr>
          <w:rFonts w:ascii="Verdana" w:eastAsia="Calibri" w:hAnsi="Verdana" w:cs="Arial"/>
          <w:color w:val="000000" w:themeColor="text1"/>
        </w:rPr>
        <w:t>De lo anterior se concluye que, cuando el documento contractual tenga información sensible, clasificada o reservada, para proteger la información, las autoridades deben abstenerse de publicar en el SECOP la información que tiene protección especial, tal como sucede con los derechos de los menores, de conformidad con el artículo 7° de la Ley 1581 de 2012 y el artículo 2.1.1.4.1.2 del Decreto 1081 de 2015. Sin embargo, de acuerdo con el segundo inciso del artículo 25 de la Ley 1437 de 2011 “La restricción por reserva legal no se extenderá a otras piezas del respectivo expediente o actuación que no estén cubiertas por ella”. Por ello, la entidad estatal deberá excluir del documento entregado por el proponente en el procedimiento contractual la información que contenga datos sensibles, clasificados o reservados, para no divulgarla, pero debe publicar las demás piezas de la oferta o los apartados que no gozan de reserva o que no están protegidos por las disposiciones de habeas data.</w:t>
      </w:r>
    </w:p>
    <w:p w14:paraId="24849096" w14:textId="7915B6A4" w:rsidR="003D07D2" w:rsidRPr="008F7498" w:rsidRDefault="00A534E3" w:rsidP="00A534E3">
      <w:pPr>
        <w:spacing w:after="0" w:line="276" w:lineRule="auto"/>
        <w:ind w:firstLine="708"/>
        <w:jc w:val="both"/>
        <w:rPr>
          <w:rFonts w:ascii="Verdana" w:hAnsi="Verdana" w:cs="Arial"/>
          <w:color w:val="000000" w:themeColor="text1"/>
        </w:rPr>
      </w:pPr>
      <w:r w:rsidRPr="00A534E3">
        <w:rPr>
          <w:rFonts w:ascii="Verdana" w:eastAsia="Calibri" w:hAnsi="Verdana" w:cs="Arial"/>
          <w:color w:val="000000" w:themeColor="text1"/>
        </w:rPr>
        <w:t>Finalmente, se advierte que la Agencia Nacional de Contratación Pública – Colombia Compra Eficiente, por vía consultiva, no puede definir un criterio universal y absoluto sobre la materia que se aborda, sino que brinda elementos hermenéuticos de carácter general para que los partícipes del sistema de compras y contratación pública adopten la decisión que corresponda, lo cual es acorde con el principio de juridicidad.</w:t>
      </w:r>
    </w:p>
    <w:p w14:paraId="6631255C" w14:textId="77777777" w:rsidR="003D07D2" w:rsidRDefault="003D07D2" w:rsidP="003D07D2">
      <w:pPr>
        <w:tabs>
          <w:tab w:val="left" w:pos="709"/>
        </w:tabs>
        <w:spacing w:after="0" w:line="276" w:lineRule="auto"/>
        <w:ind w:firstLine="851"/>
        <w:jc w:val="both"/>
        <w:rPr>
          <w:rFonts w:ascii="Verdana" w:hAnsi="Verdana" w:cs="Arial"/>
        </w:rPr>
      </w:pPr>
    </w:p>
    <w:p w14:paraId="0673298B" w14:textId="77777777" w:rsidR="003D07D2" w:rsidRPr="005B7C42" w:rsidRDefault="003D07D2" w:rsidP="003D07D2">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Referencias normativas, jurisprudenciales y otras fuentes:</w:t>
      </w:r>
    </w:p>
    <w:p w14:paraId="0B0D7B49" w14:textId="77777777" w:rsidR="003D07D2" w:rsidRPr="005B7C42" w:rsidRDefault="003D07D2" w:rsidP="003D07D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D07D2" w:rsidRPr="005B7C42" w14:paraId="43B3AD27" w14:textId="77777777" w:rsidTr="00063F26">
        <w:trPr>
          <w:trHeight w:val="359"/>
        </w:trPr>
        <w:tc>
          <w:tcPr>
            <w:tcW w:w="8647" w:type="dxa"/>
          </w:tcPr>
          <w:p w14:paraId="3947090F" w14:textId="77777777" w:rsidR="00A534E3" w:rsidRP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hAnsi="Verdana" w:cs="Arial"/>
              </w:rPr>
              <w:lastRenderedPageBreak/>
              <w:t xml:space="preserve">Constitución Política de 1991, artículo 209. </w:t>
            </w:r>
          </w:p>
          <w:p w14:paraId="4F44C816" w14:textId="77777777" w:rsidR="00A534E3" w:rsidRP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hAnsi="Verdana" w:cs="Arial"/>
              </w:rPr>
              <w:t xml:space="preserve">Ley 30 de 1994, artículos 93 y 94. </w:t>
            </w:r>
          </w:p>
          <w:p w14:paraId="15BD8D30" w14:textId="77777777" w:rsidR="00A534E3" w:rsidRP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hAnsi="Verdana" w:cs="Arial"/>
              </w:rPr>
              <w:t xml:space="preserve">Ley 1150 de 2007, artículos 3 y 13. </w:t>
            </w:r>
          </w:p>
          <w:p w14:paraId="1B6DA8D6" w14:textId="77777777" w:rsidR="00A534E3" w:rsidRP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hAnsi="Verdana" w:cs="Arial"/>
              </w:rPr>
              <w:t xml:space="preserve">Ley 1437 de 2011, artículo 3. </w:t>
            </w:r>
          </w:p>
          <w:p w14:paraId="23E079A4" w14:textId="77777777" w:rsidR="00A534E3" w:rsidRP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hAnsi="Verdana" w:cs="Arial"/>
              </w:rPr>
              <w:t xml:space="preserve">Decreto Ley 019 de 2012, artículos 223 y 225. </w:t>
            </w:r>
          </w:p>
          <w:p w14:paraId="794F85A1" w14:textId="1D641759" w:rsidR="003D07D2" w:rsidRP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hAnsi="Verdana" w:cs="Arial"/>
              </w:rPr>
              <w:t>Ley 1712 de 2014, artículos 9 y 11.</w:t>
            </w:r>
          </w:p>
          <w:p w14:paraId="2D588402" w14:textId="77777777" w:rsidR="00A534E3"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eastAsia="Calibri" w:hAnsi="Verdana" w:cs="Arial"/>
                <w:color w:val="000000"/>
                <w:lang w:eastAsia="es-ES" w:bidi="es-ES"/>
              </w:rPr>
              <w:t xml:space="preserve">Ley 2195 de 2022, artículo 53. </w:t>
            </w:r>
          </w:p>
          <w:p w14:paraId="2D2A1D52" w14:textId="75A746EA" w:rsidR="00A534E3" w:rsidRPr="0031575C" w:rsidRDefault="00A534E3" w:rsidP="003D07D2">
            <w:pPr>
              <w:pStyle w:val="Prrafodelista"/>
              <w:numPr>
                <w:ilvl w:val="0"/>
                <w:numId w:val="1"/>
              </w:numPr>
              <w:jc w:val="both"/>
              <w:rPr>
                <w:rFonts w:ascii="Verdana" w:eastAsia="Calibri" w:hAnsi="Verdana" w:cs="Arial"/>
                <w:color w:val="000000"/>
                <w:lang w:eastAsia="es-ES" w:bidi="es-ES"/>
              </w:rPr>
            </w:pPr>
            <w:r w:rsidRPr="00A534E3">
              <w:rPr>
                <w:rFonts w:ascii="Verdana" w:eastAsia="Calibri" w:hAnsi="Verdana" w:cs="Arial"/>
                <w:color w:val="000000"/>
                <w:lang w:eastAsia="es-ES" w:bidi="es-ES"/>
              </w:rPr>
              <w:t>Decreto 1081 de 2015, artículo 2.1.1.2.1.7.</w:t>
            </w:r>
          </w:p>
        </w:tc>
      </w:tr>
    </w:tbl>
    <w:p w14:paraId="5F068D41" w14:textId="77777777" w:rsidR="003D07D2" w:rsidRPr="005B7C42" w:rsidRDefault="003D07D2" w:rsidP="003D07D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965D985" w14:textId="77777777" w:rsidR="003D07D2" w:rsidRPr="005B7C42" w:rsidRDefault="003D07D2" w:rsidP="003D07D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73569429" w14:textId="77777777" w:rsidR="003D07D2" w:rsidRPr="005B7C42" w:rsidRDefault="003D07D2" w:rsidP="003D07D2">
      <w:pPr>
        <w:spacing w:after="0" w:line="276" w:lineRule="auto"/>
        <w:ind w:firstLine="709"/>
        <w:jc w:val="both"/>
        <w:rPr>
          <w:rFonts w:ascii="Verdana" w:eastAsia="Times New Roman" w:hAnsi="Verdana" w:cs="Arial"/>
          <w:szCs w:val="24"/>
          <w:lang w:eastAsia="es-ES_tradnl"/>
        </w:rPr>
      </w:pPr>
    </w:p>
    <w:p w14:paraId="5B7EE8B9" w14:textId="68DC5BCD" w:rsidR="003D07D2" w:rsidRPr="005B7C42" w:rsidRDefault="00A534E3" w:rsidP="003D07D2">
      <w:pPr>
        <w:widowControl w:val="0"/>
        <w:autoSpaceDE w:val="0"/>
        <w:autoSpaceDN w:val="0"/>
        <w:spacing w:after="0" w:line="276" w:lineRule="auto"/>
        <w:jc w:val="both"/>
        <w:rPr>
          <w:rStyle w:val="normaltextrun"/>
          <w:rFonts w:ascii="Verdana" w:hAnsi="Verdana"/>
          <w:color w:val="000000"/>
        </w:rPr>
      </w:pPr>
      <w:r w:rsidRPr="00A534E3">
        <w:rPr>
          <w:rFonts w:ascii="Verdana" w:eastAsia="Calibri" w:hAnsi="Verdana" w:cs="Arial"/>
          <w:lang w:eastAsia="es-ES"/>
        </w:rPr>
        <w:t>Sobre la reserva de información pública como límite al deber de divulgación de la información contractual, esta Subdirección en los Conceptos C-649 del 9 de septiembre de 2022, C-005 del 21 de febrero de 2023, C-230 del 28 de junio de 2023, C-391 del 13 de noviembre de 2023 y C-189 del 31 de julio de 2024, entre otros. Estos y otros conceptos se encuentran disponibles para consulta en el Sistema de relatoría de la Agencia, al cual se puede acceder a través del siguiente enlace</w:t>
      </w:r>
      <w:r w:rsidR="003D07D2">
        <w:rPr>
          <w:rFonts w:ascii="Verdana" w:eastAsia="Calibri" w:hAnsi="Verdana" w:cs="Arial"/>
          <w:shd w:val="clear" w:color="auto" w:fill="FFFFFF"/>
        </w:rPr>
        <w:t>:</w:t>
      </w:r>
    </w:p>
    <w:p w14:paraId="2EB2D68D" w14:textId="77777777" w:rsidR="003D07D2" w:rsidRPr="005B7C42" w:rsidRDefault="003D07D2" w:rsidP="003D07D2">
      <w:pPr>
        <w:widowControl w:val="0"/>
        <w:autoSpaceDE w:val="0"/>
        <w:autoSpaceDN w:val="0"/>
        <w:spacing w:after="0" w:line="276" w:lineRule="auto"/>
        <w:jc w:val="both"/>
        <w:rPr>
          <w:rStyle w:val="normaltextrun"/>
          <w:rFonts w:ascii="Verdana" w:hAnsi="Verdana"/>
          <w:color w:val="000000"/>
        </w:rPr>
      </w:pPr>
    </w:p>
    <w:p w14:paraId="1DDDB4CB" w14:textId="77777777" w:rsidR="003D07D2" w:rsidRPr="005B7C42" w:rsidRDefault="003D07D2" w:rsidP="003D07D2">
      <w:pPr>
        <w:widowControl w:val="0"/>
        <w:autoSpaceDE w:val="0"/>
        <w:autoSpaceDN w:val="0"/>
        <w:spacing w:after="0" w:line="276" w:lineRule="auto"/>
        <w:jc w:val="both"/>
        <w:rPr>
          <w:rFonts w:ascii="Verdana" w:eastAsia="Calibri" w:hAnsi="Verdana" w:cs="Arial"/>
          <w:lang w:eastAsia="es-ES_tradnl"/>
        </w:rPr>
      </w:pPr>
      <w:hyperlink r:id="rId10"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5D6D93DB" w14:textId="77777777" w:rsidR="003D07D2" w:rsidRPr="005B7C42" w:rsidRDefault="003D07D2" w:rsidP="003D07D2">
      <w:pPr>
        <w:widowControl w:val="0"/>
        <w:autoSpaceDE w:val="0"/>
        <w:autoSpaceDN w:val="0"/>
        <w:spacing w:after="0" w:line="276" w:lineRule="auto"/>
        <w:jc w:val="both"/>
        <w:rPr>
          <w:rFonts w:ascii="Verdana" w:eastAsia="Calibri" w:hAnsi="Verdana" w:cs="Arial"/>
          <w:lang w:eastAsia="es-ES_tradnl"/>
        </w:rPr>
      </w:pPr>
    </w:p>
    <w:p w14:paraId="4FCE16AB" w14:textId="77777777" w:rsidR="003D07D2" w:rsidRDefault="003D07D2" w:rsidP="003D07D2">
      <w:pPr>
        <w:spacing w:after="0" w:line="240" w:lineRule="auto"/>
        <w:jc w:val="both"/>
        <w:rPr>
          <w:rFonts w:ascii="Verdana" w:eastAsia="Calibri" w:hAnsi="Verdana" w:cs="Arial"/>
          <w:lang w:val="es-ES" w:eastAsia="es-ES"/>
        </w:rPr>
      </w:pPr>
      <w:r w:rsidRPr="115AA27C">
        <w:rPr>
          <w:rFonts w:ascii="Verdana" w:eastAsia="Calibri" w:hAnsi="Verdana" w:cs="Arial"/>
          <w:lang w:val="es-ES" w:eastAsia="es-ES"/>
        </w:rPr>
        <w:t xml:space="preserve">Le informamos que ya se encuentra disponible la </w:t>
      </w:r>
      <w:r w:rsidRPr="115AA27C">
        <w:rPr>
          <w:rFonts w:ascii="Verdana" w:eastAsia="Calibri" w:hAnsi="Verdana" w:cs="Arial"/>
          <w:b/>
          <w:lang w:val="es-ES" w:eastAsia="es-ES"/>
        </w:rPr>
        <w:t>Guía para el manejo de ofertas artificialmente bajas en Procesos de Contratación</w:t>
      </w:r>
      <w:r w:rsidRPr="115AA27C">
        <w:rPr>
          <w:rFonts w:ascii="Verdana" w:eastAsia="Calibri" w:hAnsi="Verdana" w:cs="Arial"/>
          <w:lang w:val="es-ES" w:eastAsia="es-ES"/>
        </w:rPr>
        <w:t>. En este documento podrás consultar una serie de pautas para el manejo ofertas artificialmente bajas, en línea con las mejores prácticas internacionales en la materia. Puede consultar la versión actualizada en el siguiente enlace:</w:t>
      </w:r>
    </w:p>
    <w:p w14:paraId="30487D5B" w14:textId="77777777" w:rsidR="003D07D2" w:rsidRDefault="003D07D2" w:rsidP="003D07D2">
      <w:pPr>
        <w:spacing w:after="0" w:line="240" w:lineRule="auto"/>
        <w:jc w:val="both"/>
        <w:rPr>
          <w:rFonts w:ascii="Verdana" w:eastAsia="Calibri" w:hAnsi="Verdana" w:cs="Arial"/>
          <w:lang w:val="es-ES_tradnl" w:eastAsia="es-ES_tradnl"/>
        </w:rPr>
      </w:pPr>
    </w:p>
    <w:p w14:paraId="67FDE0BA" w14:textId="77777777" w:rsidR="003D07D2" w:rsidRDefault="003D07D2" w:rsidP="003D07D2">
      <w:pPr>
        <w:spacing w:after="0" w:line="240" w:lineRule="auto"/>
        <w:jc w:val="both"/>
        <w:rPr>
          <w:rFonts w:ascii="Verdana" w:eastAsia="Calibri" w:hAnsi="Verdana" w:cs="Arial"/>
          <w:u w:val="single"/>
          <w:lang w:eastAsia="es-ES_tradnl"/>
        </w:rPr>
      </w:pPr>
      <w:hyperlink r:id="rId11" w:history="1">
        <w:r w:rsidRPr="00B84822">
          <w:rPr>
            <w:rStyle w:val="Hipervnculo"/>
            <w:rFonts w:ascii="Verdana" w:eastAsia="Calibri" w:hAnsi="Verdana" w:cs="Arial"/>
            <w:lang w:eastAsia="es-ES_tradnl"/>
          </w:rPr>
          <w:t>https://www.colombiacompra.gov.co/manuales-guias-y-pliegos-tipo/manuales-y-guias/guia-para-el-manejo-de-ofertas-artificialmente-baja-0</w:t>
        </w:r>
      </w:hyperlink>
      <w:r w:rsidRPr="00B84822">
        <w:rPr>
          <w:rFonts w:ascii="Verdana" w:eastAsia="Calibri" w:hAnsi="Verdana" w:cs="Arial"/>
          <w:u w:val="single"/>
          <w:lang w:eastAsia="es-ES_tradnl"/>
        </w:rPr>
        <w:t> </w:t>
      </w:r>
    </w:p>
    <w:p w14:paraId="11A32327" w14:textId="77777777" w:rsidR="003D07D2" w:rsidRPr="00B84822" w:rsidRDefault="003D07D2" w:rsidP="003D07D2">
      <w:pPr>
        <w:spacing w:after="0" w:line="240" w:lineRule="auto"/>
        <w:jc w:val="both"/>
        <w:rPr>
          <w:rFonts w:ascii="Verdana" w:eastAsia="Calibri" w:hAnsi="Verdana" w:cs="Arial"/>
          <w:lang w:eastAsia="es-ES_tradnl"/>
        </w:rPr>
      </w:pPr>
    </w:p>
    <w:p w14:paraId="3A885201" w14:textId="77777777" w:rsidR="003D07D2" w:rsidRDefault="003D07D2" w:rsidP="003D07D2">
      <w:pPr>
        <w:spacing w:after="0" w:line="240" w:lineRule="auto"/>
        <w:jc w:val="both"/>
        <w:rPr>
          <w:rFonts w:ascii="Verdana" w:eastAsia="Calibri" w:hAnsi="Verdana" w:cs="Arial"/>
          <w:lang w:eastAsia="es-ES_tradnl"/>
        </w:rPr>
      </w:pPr>
      <w:r w:rsidRPr="00B84822">
        <w:rPr>
          <w:rFonts w:ascii="Verdana" w:eastAsia="Calibri" w:hAnsi="Verdana" w:cs="Arial"/>
          <w:lang w:eastAsia="es-ES_tradnl"/>
        </w:rPr>
        <w:t xml:space="preserve">De otra parte, te contamos que ya publicamos la </w:t>
      </w:r>
      <w:r w:rsidRPr="00B84822">
        <w:rPr>
          <w:rFonts w:ascii="Verdana" w:eastAsia="Calibri" w:hAnsi="Verdana" w:cs="Arial"/>
          <w:b/>
          <w:bCs/>
          <w:lang w:eastAsia="es-ES_tradnl"/>
        </w:rPr>
        <w:t>Guía para incentivar la participación de Mujeres en el Sistema de Compras y Contratación Pública</w:t>
      </w:r>
      <w:r w:rsidRPr="00B84822">
        <w:rPr>
          <w:rFonts w:ascii="Verdana" w:eastAsia="Calibri" w:hAnsi="Verdana" w:cs="Arial"/>
          <w:lang w:eastAsia="es-ES_tradnl"/>
        </w:rPr>
        <w:t xml:space="preserve">. Esta guía tiene como finalidad ofrecer información de valor para que las Entidades Estatales fomenten de manera efectiva la participación de las mujeres en el mercado de compras públicas. Puedes consultar la guía en el siguiente enlace: </w:t>
      </w:r>
    </w:p>
    <w:p w14:paraId="1ABECB1B" w14:textId="77777777" w:rsidR="003D07D2" w:rsidRDefault="003D07D2" w:rsidP="003D07D2">
      <w:pPr>
        <w:spacing w:after="0" w:line="240" w:lineRule="auto"/>
        <w:jc w:val="both"/>
        <w:rPr>
          <w:rFonts w:ascii="Verdana" w:eastAsia="Calibri" w:hAnsi="Verdana" w:cs="Arial"/>
          <w:lang w:eastAsia="es-ES_tradnl"/>
        </w:rPr>
      </w:pPr>
    </w:p>
    <w:p w14:paraId="24827D03" w14:textId="77777777" w:rsidR="003D07D2" w:rsidRDefault="003D07D2" w:rsidP="003D07D2">
      <w:pPr>
        <w:spacing w:after="0" w:line="240" w:lineRule="auto"/>
        <w:jc w:val="both"/>
        <w:rPr>
          <w:rFonts w:ascii="Verdana" w:eastAsia="Calibri" w:hAnsi="Verdana" w:cs="Arial"/>
          <w:lang w:eastAsia="es-ES_tradnl"/>
        </w:rPr>
      </w:pPr>
      <w:hyperlink r:id="rId12" w:history="1">
        <w:r w:rsidRPr="00B84822">
          <w:rPr>
            <w:rStyle w:val="Hipervnculo"/>
            <w:rFonts w:ascii="Verdana" w:eastAsia="Calibri" w:hAnsi="Verdana" w:cs="Arial"/>
            <w:lang w:eastAsia="es-ES_tradnl"/>
          </w:rPr>
          <w:t>https://www.colombiacompra.gov.co/manuales-guias-y-pliegos-tipo/manuales-y-guias/guia-para-incentivar-la-participacion-de-las-mujeres</w:t>
        </w:r>
      </w:hyperlink>
    </w:p>
    <w:p w14:paraId="3D02AA64" w14:textId="77777777" w:rsidR="003D07D2" w:rsidRPr="00B84822" w:rsidRDefault="003D07D2" w:rsidP="003D07D2">
      <w:pPr>
        <w:spacing w:after="0" w:line="240" w:lineRule="auto"/>
        <w:jc w:val="both"/>
        <w:rPr>
          <w:rFonts w:ascii="Verdana" w:eastAsia="Calibri" w:hAnsi="Verdana" w:cs="Arial"/>
          <w:lang w:eastAsia="es-ES_tradnl"/>
        </w:rPr>
      </w:pPr>
    </w:p>
    <w:p w14:paraId="2A4F910D" w14:textId="77777777" w:rsidR="003D07D2" w:rsidRDefault="003D07D2" w:rsidP="003D07D2">
      <w:pPr>
        <w:spacing w:after="0" w:line="240" w:lineRule="auto"/>
        <w:jc w:val="both"/>
        <w:rPr>
          <w:rFonts w:ascii="Verdana" w:eastAsia="Calibri" w:hAnsi="Verdana" w:cs="Arial"/>
          <w:lang w:eastAsia="es-ES_tradnl"/>
        </w:rPr>
      </w:pPr>
      <w:r w:rsidRPr="00B84822">
        <w:rPr>
          <w:rFonts w:ascii="Verdana" w:eastAsia="Calibri" w:hAnsi="Verdana" w:cs="Arial"/>
          <w:lang w:eastAsia="es-ES_tradnl"/>
        </w:rPr>
        <w:t xml:space="preserve">También te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w:t>
      </w:r>
      <w:r w:rsidRPr="00B84822">
        <w:rPr>
          <w:rFonts w:ascii="Verdana" w:eastAsia="Calibri" w:hAnsi="Verdana" w:cs="Arial"/>
          <w:lang w:eastAsia="es-ES_tradnl"/>
        </w:rPr>
        <w:lastRenderedPageBreak/>
        <w:t xml:space="preserve">participación de las MIPYMES en los procesos de compra y contratación pública, el cual se puede descargar en la página web de la Agencia: </w:t>
      </w:r>
    </w:p>
    <w:p w14:paraId="497C6794" w14:textId="77777777" w:rsidR="003D07D2" w:rsidRDefault="003D07D2" w:rsidP="003D07D2">
      <w:pPr>
        <w:spacing w:after="0" w:line="240" w:lineRule="auto"/>
        <w:jc w:val="both"/>
        <w:rPr>
          <w:rFonts w:ascii="Verdana" w:eastAsia="Calibri" w:hAnsi="Verdana" w:cs="Arial"/>
          <w:lang w:eastAsia="es-ES_tradnl"/>
        </w:rPr>
      </w:pPr>
    </w:p>
    <w:p w14:paraId="449E7A06" w14:textId="77777777" w:rsidR="003D07D2" w:rsidRPr="00B84822" w:rsidRDefault="003D07D2" w:rsidP="003D07D2">
      <w:pPr>
        <w:spacing w:after="0" w:line="240" w:lineRule="auto"/>
        <w:jc w:val="both"/>
        <w:rPr>
          <w:rFonts w:ascii="Verdana" w:eastAsia="Calibri" w:hAnsi="Verdana" w:cs="Arial"/>
          <w:lang w:eastAsia="es-ES_tradnl"/>
        </w:rPr>
      </w:pPr>
      <w:hyperlink r:id="rId13" w:history="1">
        <w:r w:rsidRPr="00B84822">
          <w:rPr>
            <w:rStyle w:val="Hipervnculo"/>
            <w:rFonts w:ascii="Verdana" w:eastAsia="Calibri" w:hAnsi="Verdana" w:cs="Arial"/>
            <w:lang w:eastAsia="es-ES_tradnl"/>
          </w:rPr>
          <w:t>https://www.colombiacompra.gov.co/sites/cce_public/files/files_2020/boletin_de_realtoria_viii.pdf</w:t>
        </w:r>
      </w:hyperlink>
    </w:p>
    <w:p w14:paraId="0EBC092E" w14:textId="77777777" w:rsidR="003D07D2" w:rsidRPr="005B7C42" w:rsidRDefault="003D07D2" w:rsidP="003D07D2">
      <w:pPr>
        <w:spacing w:after="0" w:line="240" w:lineRule="auto"/>
        <w:jc w:val="both"/>
        <w:rPr>
          <w:rFonts w:ascii="Verdana" w:hAnsi="Verdana"/>
        </w:rPr>
      </w:pPr>
    </w:p>
    <w:p w14:paraId="5EB8EABF" w14:textId="77777777" w:rsidR="003D07D2" w:rsidRPr="005B7C42" w:rsidRDefault="003D07D2" w:rsidP="003D07D2">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771294B3" w14:textId="77777777" w:rsidR="003D07D2" w:rsidRPr="005B7C42" w:rsidRDefault="003D07D2" w:rsidP="003D07D2">
      <w:pPr>
        <w:spacing w:after="0" w:line="240" w:lineRule="auto"/>
        <w:jc w:val="both"/>
        <w:rPr>
          <w:rFonts w:ascii="Verdana" w:hAnsi="Verdana"/>
        </w:rPr>
      </w:pPr>
    </w:p>
    <w:p w14:paraId="1EDF85C6" w14:textId="77777777" w:rsidR="003D07D2" w:rsidRPr="005B7C42" w:rsidRDefault="003D07D2" w:rsidP="003D07D2">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001BC264" w14:textId="77777777" w:rsidR="003D07D2" w:rsidRPr="005B7C42" w:rsidRDefault="003D07D2" w:rsidP="003D07D2">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43FD386A" w14:textId="77777777" w:rsidR="003D07D2" w:rsidRPr="005B7C42" w:rsidRDefault="003D07D2" w:rsidP="003D07D2">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646A1C4A" w14:textId="77777777" w:rsidR="003D07D2" w:rsidRPr="005B7C42" w:rsidRDefault="003D07D2" w:rsidP="003D07D2">
      <w:pPr>
        <w:widowControl w:val="0"/>
        <w:autoSpaceDE w:val="0"/>
        <w:autoSpaceDN w:val="0"/>
        <w:spacing w:after="0" w:line="276" w:lineRule="auto"/>
        <w:jc w:val="both"/>
        <w:rPr>
          <w:rFonts w:ascii="Verdana" w:hAnsi="Verdana"/>
        </w:rPr>
      </w:pPr>
    </w:p>
    <w:p w14:paraId="55CC2CAE" w14:textId="77777777" w:rsidR="003D07D2" w:rsidRPr="005B7C42" w:rsidRDefault="003D07D2" w:rsidP="003D07D2">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4DAFB56" w14:textId="77777777" w:rsidR="003D07D2" w:rsidRPr="005B7C42" w:rsidRDefault="003D07D2" w:rsidP="003D07D2">
      <w:pPr>
        <w:spacing w:after="0" w:line="276" w:lineRule="auto"/>
        <w:ind w:firstLine="709"/>
        <w:jc w:val="both"/>
        <w:rPr>
          <w:rFonts w:ascii="Verdana" w:eastAsia="Times New Roman" w:hAnsi="Verdana" w:cs="Arial"/>
          <w:szCs w:val="24"/>
          <w:lang w:eastAsia="es-ES_tradnl"/>
        </w:rPr>
      </w:pPr>
    </w:p>
    <w:p w14:paraId="2FE8C9D7" w14:textId="77777777" w:rsidR="003D07D2" w:rsidRPr="005B7C42" w:rsidRDefault="003D07D2" w:rsidP="003D07D2">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10940E68" w14:textId="0A27BEA7" w:rsidR="003D07D2" w:rsidRPr="005B7C42" w:rsidRDefault="00052E12" w:rsidP="003D07D2">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1C9C6BD" wp14:editId="24DA11B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3D07D2" w:rsidRPr="005B7C42" w14:paraId="5216805A" w14:textId="77777777" w:rsidTr="00063F26">
        <w:trPr>
          <w:trHeight w:val="286"/>
        </w:trPr>
        <w:tc>
          <w:tcPr>
            <w:tcW w:w="893" w:type="dxa"/>
            <w:vAlign w:val="center"/>
            <w:hideMark/>
          </w:tcPr>
          <w:p w14:paraId="1AF96255" w14:textId="77777777" w:rsidR="003D07D2" w:rsidRPr="005B7C42" w:rsidRDefault="003D07D2"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6C3E1358" w14:textId="77777777" w:rsidR="003D07D2" w:rsidRPr="005B7C42" w:rsidRDefault="003D07D2" w:rsidP="00063F26">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24790737" w14:textId="77777777" w:rsidR="003D07D2" w:rsidRPr="005B7C42" w:rsidRDefault="003D07D2"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3D07D2" w:rsidRPr="005B7C42" w14:paraId="4A8EBC68" w14:textId="77777777" w:rsidTr="00063F26">
        <w:trPr>
          <w:trHeight w:val="299"/>
        </w:trPr>
        <w:tc>
          <w:tcPr>
            <w:tcW w:w="893" w:type="dxa"/>
            <w:vAlign w:val="center"/>
            <w:hideMark/>
          </w:tcPr>
          <w:p w14:paraId="4446DF73" w14:textId="77777777" w:rsidR="003D07D2" w:rsidRPr="005B7C42" w:rsidRDefault="003D07D2"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DF7280D" w14:textId="66597419" w:rsidR="003D07D2" w:rsidRPr="005B7C42" w:rsidRDefault="00A534E3" w:rsidP="00063F26">
            <w:pPr>
              <w:rPr>
                <w:rFonts w:ascii="Verdana" w:eastAsia="Times New Roman" w:hAnsi="Verdana" w:cs="Arial"/>
                <w:sz w:val="16"/>
                <w:szCs w:val="16"/>
                <w:lang w:eastAsia="es-ES"/>
              </w:rPr>
            </w:pPr>
            <w:r>
              <w:rPr>
                <w:rFonts w:ascii="Verdana" w:eastAsia="Times New Roman" w:hAnsi="Verdana" w:cs="Arial"/>
                <w:sz w:val="16"/>
                <w:szCs w:val="16"/>
                <w:lang w:eastAsia="es-ES"/>
              </w:rPr>
              <w:t>Cielo Victoria González Meza</w:t>
            </w:r>
          </w:p>
          <w:p w14:paraId="3DC85C6E" w14:textId="77777777" w:rsidR="003D07D2" w:rsidRPr="005B7C42" w:rsidRDefault="003D07D2" w:rsidP="00063F26">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3D07D2" w:rsidRPr="005B7C42" w14:paraId="69BD6F7E" w14:textId="77777777" w:rsidTr="00063F26">
        <w:trPr>
          <w:trHeight w:val="272"/>
        </w:trPr>
        <w:tc>
          <w:tcPr>
            <w:tcW w:w="893" w:type="dxa"/>
            <w:vAlign w:val="center"/>
            <w:hideMark/>
          </w:tcPr>
          <w:p w14:paraId="60DEB074" w14:textId="77777777" w:rsidR="003D07D2" w:rsidRPr="005B7C42" w:rsidRDefault="003D07D2"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5A2447B4" w14:textId="77777777" w:rsidR="003D07D2" w:rsidRPr="005B7C42" w:rsidRDefault="003D07D2" w:rsidP="00063F26">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3CDF9E01" w14:textId="77777777" w:rsidR="003D07D2" w:rsidRPr="005B7C42" w:rsidRDefault="003D07D2" w:rsidP="00063F2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r w:rsidR="003D07D2" w:rsidRPr="005B7C42" w14:paraId="248BB3C3" w14:textId="77777777" w:rsidTr="00063F26">
        <w:trPr>
          <w:trHeight w:val="272"/>
        </w:trPr>
        <w:tc>
          <w:tcPr>
            <w:tcW w:w="893" w:type="dxa"/>
            <w:vAlign w:val="center"/>
          </w:tcPr>
          <w:p w14:paraId="236B1A87" w14:textId="77777777" w:rsidR="003D07D2" w:rsidRPr="005B7C42" w:rsidRDefault="003D07D2" w:rsidP="00063F26">
            <w:pPr>
              <w:rPr>
                <w:rFonts w:ascii="Verdana" w:eastAsia="Times New Roman" w:hAnsi="Verdana" w:cs="Arial"/>
                <w:sz w:val="16"/>
                <w:szCs w:val="16"/>
                <w:lang w:eastAsia="es-ES"/>
              </w:rPr>
            </w:pPr>
            <w:r>
              <w:rPr>
                <w:rFonts w:ascii="Verdana" w:eastAsia="Times New Roman" w:hAnsi="Verdana" w:cs="Arial"/>
                <w:sz w:val="16"/>
                <w:szCs w:val="16"/>
                <w:lang w:eastAsia="es-ES"/>
              </w:rPr>
              <w:t>Anexos:</w:t>
            </w:r>
          </w:p>
        </w:tc>
        <w:tc>
          <w:tcPr>
            <w:tcW w:w="4777" w:type="dxa"/>
            <w:tcBorders>
              <w:top w:val="dotted" w:sz="4" w:space="0" w:color="7F7F7F"/>
              <w:left w:val="nil"/>
              <w:bottom w:val="dotted" w:sz="4" w:space="0" w:color="7F7F7F"/>
              <w:right w:val="nil"/>
            </w:tcBorders>
            <w:vAlign w:val="center"/>
          </w:tcPr>
          <w:p w14:paraId="5EE57A25" w14:textId="5D7E8F2D" w:rsidR="003D07D2" w:rsidRPr="005B7C42" w:rsidRDefault="00A534E3" w:rsidP="00063F26">
            <w:pPr>
              <w:rPr>
                <w:rFonts w:ascii="Verdana" w:eastAsia="Times New Roman" w:hAnsi="Verdana" w:cs="Arial"/>
                <w:sz w:val="16"/>
                <w:szCs w:val="16"/>
                <w:lang w:eastAsia="es-ES"/>
              </w:rPr>
            </w:pPr>
            <w:r>
              <w:rPr>
                <w:rFonts w:ascii="Verdana" w:eastAsia="Times New Roman" w:hAnsi="Verdana" w:cs="Arial"/>
                <w:sz w:val="16"/>
                <w:szCs w:val="16"/>
                <w:lang w:eastAsia="es-ES"/>
              </w:rPr>
              <w:t>0</w:t>
            </w:r>
          </w:p>
        </w:tc>
      </w:tr>
    </w:tbl>
    <w:p w14:paraId="1E7BFCE9" w14:textId="77777777" w:rsidR="003D07D2" w:rsidRPr="005B7C42" w:rsidRDefault="003D07D2" w:rsidP="003D07D2">
      <w:pPr>
        <w:spacing w:after="0" w:line="276" w:lineRule="auto"/>
        <w:jc w:val="both"/>
        <w:rPr>
          <w:rFonts w:ascii="Verdana" w:eastAsia="Times New Roman" w:hAnsi="Verdana" w:cs="Arial"/>
        </w:rPr>
      </w:pPr>
    </w:p>
    <w:p w14:paraId="15A22B8C" w14:textId="77777777" w:rsidR="003D07D2" w:rsidRPr="00024229" w:rsidRDefault="003D07D2" w:rsidP="003D07D2"/>
    <w:p w14:paraId="096D567B" w14:textId="77777777" w:rsidR="003D07D2" w:rsidRPr="00886C00" w:rsidRDefault="003D07D2" w:rsidP="003D07D2"/>
    <w:p w14:paraId="429B5E23" w14:textId="77777777" w:rsidR="003D07D2" w:rsidRPr="00D71415" w:rsidRDefault="003D07D2" w:rsidP="003D07D2"/>
    <w:p w14:paraId="5D773A0F" w14:textId="77777777" w:rsidR="003D07D2" w:rsidRPr="00862F3B" w:rsidRDefault="003D07D2" w:rsidP="003D07D2"/>
    <w:p w14:paraId="41FB2704" w14:textId="77777777" w:rsidR="003D07D2" w:rsidRDefault="003D07D2" w:rsidP="003D07D2"/>
    <w:p w14:paraId="5B14AEED" w14:textId="77777777" w:rsidR="003D07D2" w:rsidRPr="00CE4E6C" w:rsidRDefault="003D07D2" w:rsidP="003D07D2"/>
    <w:p w14:paraId="2F953542" w14:textId="77777777" w:rsidR="00C24FFE" w:rsidRDefault="00C24FFE"/>
    <w:sectPr w:rsidR="00C24FFE" w:rsidSect="003D07D2">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75697" w14:textId="77777777" w:rsidR="00D72190" w:rsidRDefault="00D72190" w:rsidP="003D07D2">
      <w:pPr>
        <w:spacing w:after="0" w:line="240" w:lineRule="auto"/>
      </w:pPr>
      <w:r>
        <w:separator/>
      </w:r>
    </w:p>
  </w:endnote>
  <w:endnote w:type="continuationSeparator" w:id="0">
    <w:p w14:paraId="137B8C23" w14:textId="77777777" w:rsidR="00D72190" w:rsidRDefault="00D72190" w:rsidP="003D0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A3228" w14:textId="77777777" w:rsidR="00000000" w:rsidRDefault="00000000">
    <w:pPr>
      <w:pStyle w:val="Piedepgina"/>
    </w:pPr>
  </w:p>
  <w:p w14:paraId="46030538"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CEC0344"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5464450"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73B7673C"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C04F7" w14:textId="77777777" w:rsidR="00D72190" w:rsidRDefault="00D72190" w:rsidP="003D07D2">
      <w:pPr>
        <w:spacing w:after="0" w:line="240" w:lineRule="auto"/>
      </w:pPr>
      <w:r>
        <w:separator/>
      </w:r>
    </w:p>
  </w:footnote>
  <w:footnote w:type="continuationSeparator" w:id="0">
    <w:p w14:paraId="6F3F538D" w14:textId="77777777" w:rsidR="00D72190" w:rsidRDefault="00D72190" w:rsidP="003D07D2">
      <w:pPr>
        <w:spacing w:after="0" w:line="240" w:lineRule="auto"/>
      </w:pPr>
      <w:r>
        <w:continuationSeparator/>
      </w:r>
    </w:p>
  </w:footnote>
  <w:footnote w:id="1">
    <w:p w14:paraId="76DC5AEC" w14:textId="77777777" w:rsidR="003D07D2" w:rsidRDefault="003D07D2" w:rsidP="003D07D2">
      <w:pPr>
        <w:pStyle w:val="Textonotapie"/>
        <w:ind w:firstLine="708"/>
        <w:jc w:val="both"/>
        <w:rPr>
          <w:rFonts w:ascii="Verdana" w:hAnsi="Verdana"/>
          <w:sz w:val="14"/>
          <w:szCs w:val="14"/>
          <w:lang w:val="es-CO"/>
        </w:rPr>
      </w:pPr>
      <w:r w:rsidRPr="003D07D2">
        <w:rPr>
          <w:rStyle w:val="Refdenotaalpie"/>
          <w:rFonts w:ascii="Verdana" w:hAnsi="Verdana"/>
          <w:sz w:val="14"/>
          <w:szCs w:val="14"/>
        </w:rPr>
        <w:footnoteRef/>
      </w:r>
      <w:r w:rsidRPr="003D07D2">
        <w:rPr>
          <w:rFonts w:ascii="Verdana" w:hAnsi="Verdana"/>
          <w:sz w:val="14"/>
          <w:szCs w:val="14"/>
        </w:rPr>
        <w:t xml:space="preserve"> </w:t>
      </w:r>
      <w:r w:rsidRPr="003D07D2">
        <w:rPr>
          <w:rFonts w:ascii="Verdana" w:hAnsi="Verdana"/>
          <w:sz w:val="14"/>
          <w:szCs w:val="14"/>
          <w:lang w:val="es-CO"/>
        </w:rPr>
        <w:t xml:space="preserve">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 </w:t>
      </w:r>
    </w:p>
    <w:p w14:paraId="4F47AFE7" w14:textId="77777777" w:rsidR="003D07D2" w:rsidRDefault="003D07D2" w:rsidP="003D07D2">
      <w:pPr>
        <w:pStyle w:val="Textonotapie"/>
        <w:ind w:firstLine="708"/>
        <w:jc w:val="both"/>
        <w:rPr>
          <w:rFonts w:ascii="Verdana" w:hAnsi="Verdana"/>
          <w:sz w:val="14"/>
          <w:szCs w:val="14"/>
          <w:lang w:val="es-CO"/>
        </w:rPr>
      </w:pPr>
      <w:r w:rsidRPr="003D07D2">
        <w:rPr>
          <w:rFonts w:ascii="Verdana" w:hAnsi="Verdana"/>
          <w:sz w:val="14"/>
          <w:szCs w:val="14"/>
          <w:lang w:val="es-CO"/>
        </w:rPr>
        <w:t xml:space="preserve">Lo anterior, sin perjuicio de las publicaciones previstas en el numeral 3 del artículo 30 de la Ley 80 de 1993. Con el fin de materializar los objetivos a que se refiere el inciso anterior, el Gobierno Nacional desarrollará el Sistema Electrónico para la Contratación Pública, Secop, el cual: </w:t>
      </w:r>
    </w:p>
    <w:p w14:paraId="473C5BBB" w14:textId="77777777" w:rsidR="003D07D2" w:rsidRDefault="003D07D2" w:rsidP="003D07D2">
      <w:pPr>
        <w:pStyle w:val="Textonotapie"/>
        <w:ind w:firstLine="708"/>
        <w:jc w:val="both"/>
        <w:rPr>
          <w:rFonts w:ascii="Verdana" w:hAnsi="Verdana"/>
          <w:sz w:val="14"/>
          <w:szCs w:val="14"/>
          <w:lang w:val="es-CO"/>
        </w:rPr>
      </w:pPr>
      <w:r w:rsidRPr="003D07D2">
        <w:rPr>
          <w:rFonts w:ascii="Verdana" w:hAnsi="Verdana"/>
          <w:sz w:val="14"/>
          <w:szCs w:val="14"/>
          <w:lang w:val="es-CO"/>
        </w:rPr>
        <w:t xml:space="preserve">[…] </w:t>
      </w:r>
    </w:p>
    <w:p w14:paraId="726696ED" w14:textId="0C342356" w:rsidR="003D07D2" w:rsidRDefault="003D07D2" w:rsidP="003D07D2">
      <w:pPr>
        <w:pStyle w:val="Textonotapie"/>
        <w:ind w:firstLine="708"/>
        <w:jc w:val="both"/>
        <w:rPr>
          <w:rFonts w:ascii="Verdana" w:hAnsi="Verdana"/>
          <w:sz w:val="14"/>
          <w:szCs w:val="14"/>
          <w:lang w:val="es-CO"/>
        </w:rPr>
      </w:pPr>
      <w:r w:rsidRPr="003D07D2">
        <w:rPr>
          <w:rFonts w:ascii="Verdana" w:hAnsi="Verdana"/>
          <w:sz w:val="14"/>
          <w:szCs w:val="14"/>
          <w:lang w:val="es-CO"/>
        </w:rPr>
        <w:t>c) Contará con la información oficial de la contratación realizada con dineros públicos, para lo cual establecerá los patrones a que haya lugar y se encargará de su difusión a través de canales electrónico”.</w:t>
      </w:r>
    </w:p>
    <w:p w14:paraId="3F270306" w14:textId="77777777" w:rsidR="003D07D2" w:rsidRPr="003D07D2" w:rsidRDefault="003D07D2" w:rsidP="003D07D2">
      <w:pPr>
        <w:pStyle w:val="Textonotapie"/>
        <w:ind w:firstLine="708"/>
        <w:jc w:val="both"/>
        <w:rPr>
          <w:rFonts w:ascii="Verdana" w:hAnsi="Verdana"/>
          <w:sz w:val="14"/>
          <w:szCs w:val="14"/>
          <w:lang w:val="es-CO"/>
        </w:rPr>
      </w:pPr>
    </w:p>
  </w:footnote>
  <w:footnote w:id="2">
    <w:p w14:paraId="36CF6682" w14:textId="683D018C" w:rsidR="003D07D2" w:rsidRDefault="003D07D2" w:rsidP="003D07D2">
      <w:pPr>
        <w:pStyle w:val="Textonotapie"/>
        <w:ind w:firstLine="708"/>
        <w:jc w:val="both"/>
        <w:rPr>
          <w:rFonts w:ascii="Verdana" w:hAnsi="Verdana"/>
          <w:sz w:val="14"/>
          <w:szCs w:val="14"/>
          <w:lang w:val="es-CO"/>
        </w:rPr>
      </w:pPr>
      <w:r w:rsidRPr="003D07D2">
        <w:rPr>
          <w:rStyle w:val="Refdenotaalpie"/>
          <w:rFonts w:ascii="Verdana" w:hAnsi="Verdana"/>
          <w:sz w:val="14"/>
          <w:szCs w:val="14"/>
        </w:rPr>
        <w:footnoteRef/>
      </w:r>
      <w:r w:rsidRPr="003D07D2">
        <w:rPr>
          <w:rFonts w:ascii="Verdana" w:hAnsi="Verdana"/>
          <w:sz w:val="14"/>
          <w:szCs w:val="14"/>
        </w:rPr>
        <w:t xml:space="preserve"> </w:t>
      </w:r>
      <w:r w:rsidRPr="003D07D2">
        <w:rPr>
          <w:rFonts w:ascii="Verdana" w:hAnsi="Verdana"/>
          <w:sz w:val="14"/>
          <w:szCs w:val="14"/>
          <w:lang w:val="es-CO"/>
        </w:rPr>
        <w:t>Ley 1712 de 2014: “Artículo 2. Toda información en posesión, bajo control o custodia de un sujeto obligado es pública y no podrá ser reservada o limitada sino por disposición constitucional o legal, de conformidad con la presente ley</w:t>
      </w:r>
      <w:r>
        <w:rPr>
          <w:rFonts w:ascii="Verdana" w:hAnsi="Verdana"/>
          <w:sz w:val="14"/>
          <w:szCs w:val="14"/>
          <w:lang w:val="es-CO"/>
        </w:rPr>
        <w:t>”.</w:t>
      </w:r>
    </w:p>
    <w:p w14:paraId="1D612822" w14:textId="77777777" w:rsidR="003D07D2" w:rsidRPr="003D07D2" w:rsidRDefault="003D07D2" w:rsidP="003D07D2">
      <w:pPr>
        <w:pStyle w:val="Textonotapie"/>
        <w:ind w:firstLine="708"/>
        <w:jc w:val="both"/>
        <w:rPr>
          <w:rFonts w:ascii="Verdana" w:hAnsi="Verdana"/>
          <w:sz w:val="14"/>
          <w:szCs w:val="14"/>
          <w:lang w:val="es-CO"/>
        </w:rPr>
      </w:pPr>
    </w:p>
  </w:footnote>
  <w:footnote w:id="3">
    <w:p w14:paraId="25CEC845" w14:textId="65358FD7" w:rsidR="003D07D2" w:rsidRDefault="003D07D2" w:rsidP="003D07D2">
      <w:pPr>
        <w:pStyle w:val="Textonotapie"/>
        <w:ind w:firstLine="708"/>
        <w:jc w:val="both"/>
        <w:rPr>
          <w:rFonts w:ascii="Verdana" w:hAnsi="Verdana"/>
          <w:sz w:val="14"/>
          <w:szCs w:val="14"/>
          <w:lang w:val="es-CO"/>
        </w:rPr>
      </w:pPr>
      <w:r w:rsidRPr="003D07D2">
        <w:rPr>
          <w:rStyle w:val="Refdenotaalpie"/>
          <w:rFonts w:ascii="Verdana" w:hAnsi="Verdana"/>
          <w:sz w:val="14"/>
          <w:szCs w:val="14"/>
        </w:rPr>
        <w:footnoteRef/>
      </w:r>
      <w:r w:rsidRPr="003D07D2">
        <w:rPr>
          <w:rFonts w:ascii="Verdana" w:hAnsi="Verdana"/>
          <w:sz w:val="14"/>
          <w:szCs w:val="14"/>
        </w:rPr>
        <w:t xml:space="preserve"> </w:t>
      </w:r>
      <w:r w:rsidRPr="003D07D2">
        <w:rPr>
          <w:rFonts w:ascii="Verdana" w:hAnsi="Verdana"/>
          <w:sz w:val="14"/>
          <w:szCs w:val="14"/>
          <w:lang w:val="es-CO"/>
        </w:rPr>
        <w:t>Ley 1712 de 2014: “Artículo 5. Ámbito de aplicación. Las disposiciones de esta ley serán aplicables a las siguientes personas en calidad de sujetos obligados:</w:t>
      </w:r>
    </w:p>
    <w:p w14:paraId="13782936" w14:textId="4B79E858" w:rsidR="003D07D2" w:rsidRDefault="003D07D2" w:rsidP="003D07D2">
      <w:pPr>
        <w:pStyle w:val="Textonotapie"/>
        <w:ind w:firstLine="708"/>
        <w:jc w:val="both"/>
        <w:rPr>
          <w:rFonts w:ascii="Verdana" w:hAnsi="Verdana"/>
          <w:sz w:val="14"/>
          <w:szCs w:val="14"/>
          <w:lang w:val="es-CO"/>
        </w:rPr>
      </w:pPr>
      <w:r w:rsidRPr="003D07D2">
        <w:rPr>
          <w:rFonts w:ascii="Verdana" w:hAnsi="Verdana"/>
          <w:sz w:val="14"/>
          <w:szCs w:val="14"/>
          <w:lang w:val="es-CO"/>
        </w:rPr>
        <w:t>a) Toda entidad pública, incluyendo las pertenecientes a todas las Ramas del Poder Público, en todos los niveles de la estructura estatal,</w:t>
      </w:r>
      <w:r>
        <w:rPr>
          <w:rFonts w:ascii="Verdana" w:hAnsi="Verdana"/>
          <w:sz w:val="14"/>
          <w:szCs w:val="14"/>
          <w:lang w:val="es-CO"/>
        </w:rPr>
        <w:t xml:space="preserve"> </w:t>
      </w:r>
      <w:r w:rsidRPr="003D07D2">
        <w:rPr>
          <w:rFonts w:ascii="Verdana" w:hAnsi="Verdana"/>
          <w:sz w:val="14"/>
          <w:szCs w:val="14"/>
          <w:lang w:val="es-CO"/>
        </w:rPr>
        <w:t>central o descentralizada por servicios o territorialmente, en los órdenes nacional, departamental, municipal y distrital</w:t>
      </w:r>
      <w:r>
        <w:rPr>
          <w:rFonts w:ascii="Verdana" w:hAnsi="Verdana"/>
          <w:sz w:val="14"/>
          <w:szCs w:val="14"/>
          <w:lang w:val="es-CO"/>
        </w:rPr>
        <w:t>”.</w:t>
      </w:r>
    </w:p>
    <w:p w14:paraId="6C7AAE2C" w14:textId="77777777" w:rsidR="003D07D2" w:rsidRPr="007B1D3B" w:rsidRDefault="003D07D2" w:rsidP="007B1D3B">
      <w:pPr>
        <w:pStyle w:val="Textonotapie"/>
        <w:ind w:firstLine="708"/>
        <w:jc w:val="both"/>
        <w:rPr>
          <w:rFonts w:ascii="Verdana" w:hAnsi="Verdana"/>
          <w:sz w:val="14"/>
          <w:szCs w:val="14"/>
          <w:lang w:val="es-CO"/>
        </w:rPr>
      </w:pPr>
    </w:p>
  </w:footnote>
  <w:footnote w:id="4">
    <w:p w14:paraId="2622FFB0" w14:textId="6BC42410" w:rsid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 Los sujetos obligados que contratan con recursos públicos y recursos privados deben publicar la información de su gestión contractual con cargo a recursos públicos en el Sistema Electrónico para la Contratación Pública [SECOP]</w:t>
      </w:r>
      <w:r>
        <w:rPr>
          <w:rFonts w:ascii="Verdana" w:hAnsi="Verdana"/>
          <w:sz w:val="14"/>
          <w:szCs w:val="14"/>
          <w:lang w:val="es-CO"/>
        </w:rPr>
        <w:t>”.</w:t>
      </w:r>
    </w:p>
    <w:p w14:paraId="01438349" w14:textId="77777777" w:rsidR="007B1D3B" w:rsidRPr="007B1D3B" w:rsidRDefault="007B1D3B" w:rsidP="007B1D3B">
      <w:pPr>
        <w:pStyle w:val="Textonotapie"/>
        <w:ind w:firstLine="708"/>
        <w:jc w:val="both"/>
        <w:rPr>
          <w:lang w:val="es-CO"/>
        </w:rPr>
      </w:pPr>
    </w:p>
  </w:footnote>
  <w:footnote w:id="5">
    <w:p w14:paraId="29A7CE51" w14:textId="397523D5" w:rsidR="007B1D3B" w:rsidRP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Corte Constitucional. Sentencia C‒274 de 9 de mayo de 2013. M.P. María Victoria Calle Correa.</w:t>
      </w:r>
    </w:p>
  </w:footnote>
  <w:footnote w:id="6">
    <w:p w14:paraId="081DCD6F" w14:textId="652D9B5C" w:rsidR="007B1D3B" w:rsidRP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Decreto 4170 de 2011: “Artículo 3. Funciones: La Agencia Nacional de Contratación Pública –Colombia Compra Eficiente– ejercerá las siguientes funciones: [...] 8. Desarrollar y administrar el Sistema Electrónico para la Contratación Pública (SECOP) o el que haga sus veces, y gestionar nuevos desarrollos tecnológicos en los asuntos de su competencia, teniendo en cuenta los parámetros fijados por el Consejo Directivo</w:t>
      </w:r>
      <w:r>
        <w:rPr>
          <w:rFonts w:ascii="Verdana" w:hAnsi="Verdana"/>
          <w:sz w:val="14"/>
          <w:szCs w:val="14"/>
          <w:lang w:val="es-CO"/>
        </w:rPr>
        <w:t xml:space="preserve"> </w:t>
      </w:r>
      <w:r w:rsidRPr="007B1D3B">
        <w:rPr>
          <w:rFonts w:ascii="Verdana" w:hAnsi="Verdana"/>
          <w:sz w:val="14"/>
          <w:szCs w:val="14"/>
          <w:lang w:val="es-CO"/>
        </w:rPr>
        <w:t>[...]”.</w:t>
      </w:r>
    </w:p>
  </w:footnote>
  <w:footnote w:id="7">
    <w:p w14:paraId="4571457F" w14:textId="77777777" w:rsid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 xml:space="preserve">Ley 1437 de 2011: “Artículo 24. Informaciones y documentos reservados. Solo tendrán carácter reservado las informaciones y documentos expresamente sometidos a reserva por la Constitución Política o la ley, y en especial: </w:t>
      </w:r>
    </w:p>
    <w:p w14:paraId="5485960A"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1. Los relacionados con la defensa o seguridad nacionales. </w:t>
      </w:r>
    </w:p>
    <w:p w14:paraId="79373717"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2. Las instrucciones en materia diplomática o sobre negociaciones reservadas. </w:t>
      </w:r>
    </w:p>
    <w:p w14:paraId="56C0FDF1"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C7D46E4"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592F8B6"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5. Los datos referentes a la información financiera y comercial, en los términos de la Ley Estatutaria 1266 de 2008. </w:t>
      </w:r>
    </w:p>
    <w:p w14:paraId="4EB78170"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6. Los protegidos por el secreto comercial o industrial, así como los planes estratégicos de las empresas públicas de servicios públicos. </w:t>
      </w:r>
    </w:p>
    <w:p w14:paraId="61847840"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7. Los amparados por el secreto profesional. </w:t>
      </w:r>
    </w:p>
    <w:p w14:paraId="07713690"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8. Los datos genéticos humanos. </w:t>
      </w:r>
    </w:p>
    <w:p w14:paraId="7C520EB0" w14:textId="2D0A83DB"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p w14:paraId="54D83361" w14:textId="77777777" w:rsidR="007B1D3B" w:rsidRPr="007B1D3B" w:rsidRDefault="007B1D3B" w:rsidP="007B1D3B">
      <w:pPr>
        <w:pStyle w:val="Textonotapie"/>
        <w:ind w:firstLine="708"/>
        <w:jc w:val="both"/>
        <w:rPr>
          <w:rFonts w:ascii="Verdana" w:hAnsi="Verdana"/>
          <w:sz w:val="14"/>
          <w:szCs w:val="14"/>
          <w:lang w:val="es-CO"/>
        </w:rPr>
      </w:pPr>
    </w:p>
  </w:footnote>
  <w:footnote w:id="8">
    <w:p w14:paraId="5154A24F" w14:textId="77777777" w:rsid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 xml:space="preserve">“Numeral 1.1 Las Entidades Estatales de acuerdo con la definición del Decreto Reglamentario 1082 de 2015. </w:t>
      </w:r>
    </w:p>
    <w:p w14:paraId="55B63A3B" w14:textId="77777777" w:rsid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0C401AEB" w14:textId="36E3A178" w:rsidR="007B1D3B" w:rsidRPr="007B1D3B" w:rsidRDefault="007B1D3B" w:rsidP="007B1D3B">
      <w:pPr>
        <w:pStyle w:val="Textonotapie"/>
        <w:ind w:firstLine="708"/>
        <w:jc w:val="both"/>
        <w:rPr>
          <w:rFonts w:ascii="Verdana" w:hAnsi="Verdana"/>
          <w:sz w:val="14"/>
          <w:szCs w:val="14"/>
          <w:lang w:val="es-CO"/>
        </w:rPr>
      </w:pPr>
      <w:r w:rsidRPr="007B1D3B">
        <w:rPr>
          <w:rFonts w:ascii="Verdana" w:hAnsi="Verdana"/>
          <w:sz w:val="14"/>
          <w:szCs w:val="14"/>
          <w:lang w:val="es-CO"/>
        </w:rPr>
        <w:t>Los particulares deberán publicar la información oficial de la contratación realizada con cargo a recursos públicos. Estos deberán realizar la publicación a través del módulo “Régimen Especial”.</w:t>
      </w:r>
    </w:p>
  </w:footnote>
  <w:footnote w:id="9">
    <w:p w14:paraId="5A7ADCAA" w14:textId="36A58B29" w:rsidR="007B1D3B" w:rsidRP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hyperlink r:id="rId1" w:history="1">
        <w:r w:rsidRPr="007B1D3B">
          <w:rPr>
            <w:rStyle w:val="Hipervnculo"/>
            <w:rFonts w:ascii="Verdana" w:hAnsi="Verdana"/>
            <w:sz w:val="14"/>
            <w:szCs w:val="14"/>
            <w:lang w:val="es-CO"/>
          </w:rPr>
          <w:t>https://www.sic.gov.co/content/sobre-la-protección-de-datos-personales</w:t>
        </w:r>
      </w:hyperlink>
      <w:r w:rsidRPr="007B1D3B">
        <w:rPr>
          <w:rFonts w:ascii="Verdana" w:hAnsi="Verdana"/>
          <w:sz w:val="14"/>
          <w:szCs w:val="14"/>
          <w:lang w:val="es-CO"/>
        </w:rPr>
        <w:t xml:space="preserve"> </w:t>
      </w:r>
    </w:p>
  </w:footnote>
  <w:footnote w:id="10">
    <w:p w14:paraId="4B44E27B" w14:textId="1EA1C60E" w:rsid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 xml:space="preserve">Ley 80 de 1993 “Artículo 24. Del principio de transparencia. En virtud de este principio: […] 4o. Las autoridades expedirán a costa de aquellas personas que demuestren interés legítimo, copias de las actuaciones y propuestas recibidas, respetando la reserva de que gocen legalmente las patentes, procedimientos y </w:t>
      </w:r>
      <w:r w:rsidRPr="007B1D3B">
        <w:rPr>
          <w:rFonts w:ascii="Verdana" w:hAnsi="Verdana"/>
          <w:sz w:val="14"/>
          <w:szCs w:val="14"/>
          <w:lang w:val="es-CO"/>
        </w:rPr>
        <w:t>privilegios”</w:t>
      </w:r>
      <w:r w:rsidRPr="007B1D3B">
        <w:rPr>
          <w:rFonts w:ascii="Verdana" w:hAnsi="Verdana"/>
          <w:sz w:val="14"/>
          <w:szCs w:val="14"/>
          <w:lang w:val="es-CO"/>
        </w:rPr>
        <w:t>.</w:t>
      </w:r>
    </w:p>
    <w:p w14:paraId="59CC1E2C" w14:textId="77777777" w:rsidR="007B1D3B" w:rsidRPr="007B1D3B" w:rsidRDefault="007B1D3B" w:rsidP="007B1D3B">
      <w:pPr>
        <w:pStyle w:val="Textonotapie"/>
        <w:ind w:firstLine="708"/>
        <w:jc w:val="both"/>
        <w:rPr>
          <w:rFonts w:ascii="Verdana" w:hAnsi="Verdana"/>
          <w:sz w:val="14"/>
          <w:szCs w:val="14"/>
          <w:lang w:val="es-CO"/>
        </w:rPr>
      </w:pPr>
    </w:p>
  </w:footnote>
  <w:footnote w:id="11">
    <w:p w14:paraId="4BDED426" w14:textId="23DCD475" w:rsidR="007B1D3B" w:rsidRDefault="007B1D3B" w:rsidP="007B1D3B">
      <w:pPr>
        <w:pStyle w:val="Textonotapie"/>
        <w:ind w:firstLine="708"/>
        <w:jc w:val="both"/>
        <w:rPr>
          <w:rFonts w:ascii="Verdana" w:hAnsi="Verdana"/>
          <w:sz w:val="14"/>
          <w:szCs w:val="14"/>
          <w:lang w:val="es-CO"/>
        </w:rPr>
      </w:pPr>
      <w:r w:rsidRPr="007B1D3B">
        <w:rPr>
          <w:rStyle w:val="Refdenotaalpie"/>
          <w:rFonts w:ascii="Verdana" w:hAnsi="Verdana"/>
          <w:sz w:val="14"/>
          <w:szCs w:val="14"/>
        </w:rPr>
        <w:footnoteRef/>
      </w:r>
      <w:r w:rsidRPr="007B1D3B">
        <w:rPr>
          <w:rFonts w:ascii="Verdana" w:hAnsi="Verdana"/>
          <w:sz w:val="14"/>
          <w:szCs w:val="14"/>
        </w:rPr>
        <w:t xml:space="preserve"> </w:t>
      </w:r>
      <w:r w:rsidRPr="007B1D3B">
        <w:rPr>
          <w:rFonts w:ascii="Verdana" w:hAnsi="Verdana"/>
          <w:sz w:val="14"/>
          <w:szCs w:val="14"/>
          <w:lang w:val="es-CO"/>
        </w:rPr>
        <w:t>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184A3C4D" w14:textId="77777777" w:rsidR="00A534E3" w:rsidRPr="007B1D3B" w:rsidRDefault="00A534E3" w:rsidP="007B1D3B">
      <w:pPr>
        <w:pStyle w:val="Textonotapie"/>
        <w:ind w:firstLine="708"/>
        <w:jc w:val="both"/>
        <w:rPr>
          <w:rFonts w:ascii="Verdana" w:hAnsi="Verdana"/>
          <w:sz w:val="14"/>
          <w:szCs w:val="14"/>
          <w:lang w:val="es-CO"/>
        </w:rPr>
      </w:pPr>
    </w:p>
  </w:footnote>
  <w:footnote w:id="12">
    <w:p w14:paraId="3988C1B5" w14:textId="684146BB" w:rsidR="007B1D3B" w:rsidRDefault="007B1D3B" w:rsidP="00A534E3">
      <w:pPr>
        <w:pStyle w:val="Textonotapie"/>
        <w:ind w:firstLine="708"/>
        <w:jc w:val="both"/>
        <w:rPr>
          <w:rFonts w:ascii="Verdana" w:hAnsi="Verdana"/>
          <w:sz w:val="14"/>
          <w:szCs w:val="14"/>
          <w:lang w:val="es-CO"/>
        </w:rPr>
      </w:pPr>
      <w:r w:rsidRPr="00A534E3">
        <w:rPr>
          <w:rStyle w:val="Refdenotaalpie"/>
          <w:rFonts w:ascii="Verdana" w:hAnsi="Verdana"/>
          <w:sz w:val="14"/>
          <w:szCs w:val="14"/>
        </w:rPr>
        <w:footnoteRef/>
      </w:r>
      <w:r w:rsidRPr="00A534E3">
        <w:rPr>
          <w:rFonts w:ascii="Verdana" w:hAnsi="Verdana"/>
          <w:sz w:val="14"/>
          <w:szCs w:val="14"/>
        </w:rPr>
        <w:t xml:space="preserve"> </w:t>
      </w:r>
      <w:r w:rsidR="00A534E3" w:rsidRPr="00A534E3">
        <w:rPr>
          <w:rFonts w:ascii="Verdana" w:hAnsi="Verdana"/>
          <w:sz w:val="14"/>
          <w:szCs w:val="14"/>
          <w:lang w:val="es-CO"/>
        </w:rPr>
        <w:t>MATALLANA CAMACHO Ernesto. Manual de Contratación de la Administración Pública. Reforma a la Ley 80 de 1993. Universidad Externado de Colombia, Cuarta edición, 2015, pp 139.</w:t>
      </w:r>
    </w:p>
    <w:p w14:paraId="324D16EA" w14:textId="77777777" w:rsidR="00A534E3" w:rsidRPr="00A534E3" w:rsidRDefault="00A534E3" w:rsidP="00A534E3">
      <w:pPr>
        <w:pStyle w:val="Textonotapie"/>
        <w:ind w:firstLine="708"/>
        <w:jc w:val="both"/>
        <w:rPr>
          <w:rFonts w:ascii="Verdana" w:hAnsi="Verdana"/>
          <w:sz w:val="14"/>
          <w:szCs w:val="14"/>
          <w:lang w:val="es-CO"/>
        </w:rPr>
      </w:pPr>
    </w:p>
  </w:footnote>
  <w:footnote w:id="13">
    <w:p w14:paraId="1813AD44" w14:textId="304E9196" w:rsidR="00A534E3" w:rsidRPr="00A534E3" w:rsidRDefault="00A534E3" w:rsidP="00A534E3">
      <w:pPr>
        <w:pStyle w:val="Textonotapie"/>
        <w:ind w:firstLine="708"/>
        <w:jc w:val="both"/>
        <w:rPr>
          <w:rFonts w:ascii="Verdana" w:hAnsi="Verdana"/>
          <w:sz w:val="14"/>
          <w:szCs w:val="14"/>
          <w:lang w:val="es-CO"/>
        </w:rPr>
      </w:pPr>
      <w:r w:rsidRPr="00A534E3">
        <w:rPr>
          <w:rStyle w:val="Refdenotaalpie"/>
          <w:rFonts w:ascii="Verdana" w:hAnsi="Verdana"/>
          <w:sz w:val="14"/>
          <w:szCs w:val="14"/>
        </w:rPr>
        <w:footnoteRef/>
      </w:r>
      <w:r w:rsidRPr="00A534E3">
        <w:rPr>
          <w:rFonts w:ascii="Verdana" w:hAnsi="Verdana"/>
          <w:sz w:val="14"/>
          <w:szCs w:val="14"/>
        </w:rPr>
        <w:t xml:space="preserve"> </w:t>
      </w:r>
      <w:r w:rsidRPr="00A534E3">
        <w:rPr>
          <w:rFonts w:ascii="Verdana" w:hAnsi="Verdana"/>
          <w:sz w:val="14"/>
          <w:szCs w:val="14"/>
          <w:lang w:val="es-CO"/>
        </w:rPr>
        <w:t>Resultan relevantes las consideraciones expuestas en el concepto C- 322 del 16 de junio de 2020 –radicado No. 2202013000005088–, sobre la aplicación del artículo 36 del CPACA en torno al manejo de información reservada en cuadernos separados: “tratándose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4">
    <w:p w14:paraId="3CC73B97" w14:textId="77777777" w:rsidR="00A534E3" w:rsidRDefault="00A534E3" w:rsidP="00A534E3">
      <w:pPr>
        <w:pStyle w:val="Textonotapie"/>
        <w:ind w:firstLine="708"/>
        <w:jc w:val="both"/>
        <w:rPr>
          <w:rFonts w:ascii="Verdana" w:hAnsi="Verdana"/>
          <w:sz w:val="14"/>
          <w:szCs w:val="14"/>
          <w:lang w:val="es-CO"/>
        </w:rPr>
      </w:pPr>
      <w:r w:rsidRPr="00A534E3">
        <w:rPr>
          <w:rStyle w:val="Refdenotaalpie"/>
          <w:rFonts w:ascii="Verdana" w:hAnsi="Verdana"/>
          <w:sz w:val="14"/>
          <w:szCs w:val="14"/>
        </w:rPr>
        <w:footnoteRef/>
      </w:r>
      <w:r w:rsidRPr="00A534E3">
        <w:rPr>
          <w:rFonts w:ascii="Verdana" w:hAnsi="Verdana"/>
          <w:sz w:val="14"/>
          <w:szCs w:val="14"/>
        </w:rPr>
        <w:t xml:space="preserve"> </w:t>
      </w:r>
      <w:r w:rsidRPr="00A534E3">
        <w:rPr>
          <w:rFonts w:ascii="Verdana" w:hAnsi="Verdana"/>
          <w:sz w:val="14"/>
          <w:szCs w:val="14"/>
          <w:lang w:val="es-CO"/>
        </w:rPr>
        <w:t xml:space="preserve">“Artículo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w:t>
      </w:r>
      <w:r w:rsidRPr="00A534E3">
        <w:rPr>
          <w:rFonts w:ascii="Verdana" w:hAnsi="Verdana"/>
          <w:sz w:val="14"/>
          <w:szCs w:val="14"/>
          <w:lang w:val="es-CO"/>
        </w:rPr>
        <w:t>público,</w:t>
      </w:r>
      <w:r w:rsidRPr="00A534E3">
        <w:rPr>
          <w:rFonts w:ascii="Verdana" w:hAnsi="Verdana"/>
          <w:sz w:val="14"/>
          <w:szCs w:val="14"/>
          <w:lang w:val="es-CO"/>
        </w:rPr>
        <w:t xml:space="preserve"> pero no de su existencia. </w:t>
      </w:r>
    </w:p>
    <w:p w14:paraId="106514DB" w14:textId="77777777" w:rsidR="00A534E3" w:rsidRDefault="00A534E3" w:rsidP="00A534E3">
      <w:pPr>
        <w:pStyle w:val="Textonotapie"/>
        <w:ind w:firstLine="708"/>
        <w:jc w:val="both"/>
        <w:rPr>
          <w:rFonts w:ascii="Verdana" w:hAnsi="Verdana"/>
          <w:sz w:val="14"/>
          <w:szCs w:val="14"/>
          <w:lang w:val="es-CO"/>
        </w:rPr>
      </w:pPr>
      <w:r w:rsidRPr="00A534E3">
        <w:rPr>
          <w:rFonts w:ascii="Verdana" w:hAnsi="Verdana"/>
          <w:sz w:val="14"/>
          <w:szCs w:val="14"/>
          <w:lang w:val="es-CO"/>
        </w:rPr>
        <w:t xml:space="preserve">Ninguna autoridad pública puede negarse a indicar si un documento obra o no en su poder o negar la divulgación de un documento, salvo que el daño causado al interés protegido sea mayor al interés público de obtener acceso a la información. </w:t>
      </w:r>
    </w:p>
    <w:p w14:paraId="5E9389FA" w14:textId="4245F216" w:rsidR="00A534E3" w:rsidRPr="00A534E3" w:rsidRDefault="00A534E3" w:rsidP="00A534E3">
      <w:pPr>
        <w:pStyle w:val="Textonotapie"/>
        <w:ind w:firstLine="708"/>
        <w:jc w:val="both"/>
        <w:rPr>
          <w:rFonts w:ascii="Verdana" w:hAnsi="Verdana"/>
          <w:sz w:val="14"/>
          <w:szCs w:val="14"/>
          <w:lang w:val="es-CO"/>
        </w:rPr>
      </w:pPr>
      <w:r w:rsidRPr="00A534E3">
        <w:rPr>
          <w:rFonts w:ascii="Verdana" w:hAnsi="Verdana"/>
          <w:sz w:val="14"/>
          <w:szCs w:val="14"/>
          <w:lang w:val="es-CO"/>
        </w:rPr>
        <w:t xml:space="preserve">Las excepciones de acceso a la información contenidas en la presente ley no aplican en casos de violación de derechos humanos o delitos de lesa humanidad, y en todo caso deberán protegerse los derechos de las víctimas de dichas </w:t>
      </w:r>
      <w:r w:rsidRPr="00A534E3">
        <w:rPr>
          <w:rFonts w:ascii="Verdana" w:hAnsi="Verdana"/>
          <w:sz w:val="14"/>
          <w:szCs w:val="14"/>
          <w:lang w:val="es-CO"/>
        </w:rPr>
        <w:t>violaciones”</w:t>
      </w:r>
      <w:r w:rsidRPr="00A534E3">
        <w:rPr>
          <w:rFonts w:ascii="Verdana" w:hAnsi="Verdana"/>
          <w:sz w:val="14"/>
          <w:szCs w:val="14"/>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63700"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CE94370" wp14:editId="2BCD095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3EC066D" wp14:editId="40BF69C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F8AFD3" w14:textId="77777777" w:rsidR="00000000" w:rsidRDefault="00000000">
    <w:pPr>
      <w:pStyle w:val="Encabezado"/>
    </w:pPr>
  </w:p>
  <w:p w14:paraId="7B7E0DA9" w14:textId="77777777" w:rsidR="00000000" w:rsidRDefault="00000000" w:rsidP="004A305D">
    <w:pPr>
      <w:spacing w:after="0"/>
      <w:rPr>
        <w:rFonts w:ascii="Verdana" w:hAnsi="Verdana"/>
        <w:b/>
        <w:bCs/>
      </w:rPr>
    </w:pPr>
  </w:p>
  <w:p w14:paraId="2DDF0EB2" w14:textId="77777777" w:rsidR="00000000" w:rsidRPr="004A305D" w:rsidRDefault="00000000" w:rsidP="00B01B1A">
    <w:pPr>
      <w:spacing w:after="0" w:line="120" w:lineRule="auto"/>
      <w:rPr>
        <w:rFonts w:ascii="Century Gothic" w:eastAsia="Geo" w:hAnsi="Century Gothic" w:cs="Geo"/>
        <w:sz w:val="16"/>
        <w:szCs w:val="16"/>
        <w:lang w:eastAsia="es-CO"/>
      </w:rPr>
    </w:pPr>
  </w:p>
  <w:p w14:paraId="614397B5"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1100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D2"/>
    <w:rsid w:val="00052E12"/>
    <w:rsid w:val="002230A0"/>
    <w:rsid w:val="003D07D2"/>
    <w:rsid w:val="00474DF4"/>
    <w:rsid w:val="004F471F"/>
    <w:rsid w:val="007B1D3B"/>
    <w:rsid w:val="009A376F"/>
    <w:rsid w:val="00A534E3"/>
    <w:rsid w:val="00C24FFE"/>
    <w:rsid w:val="00D721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8B2FD"/>
  <w15:chartTrackingRefBased/>
  <w15:docId w15:val="{BAF741DF-2884-4323-9B5F-FA92DBB77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7D2"/>
    <w:rPr>
      <w:kern w:val="0"/>
      <w14:ligatures w14:val="none"/>
    </w:rPr>
  </w:style>
  <w:style w:type="paragraph" w:styleId="Ttulo1">
    <w:name w:val="heading 1"/>
    <w:basedOn w:val="Normal"/>
    <w:next w:val="Normal"/>
    <w:link w:val="Ttulo1Car"/>
    <w:uiPriority w:val="9"/>
    <w:qFormat/>
    <w:rsid w:val="003D07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D07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D07D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D07D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D07D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D07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07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07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07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07D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D07D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D07D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D07D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D07D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D07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07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07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07D2"/>
    <w:rPr>
      <w:rFonts w:eastAsiaTheme="majorEastAsia" w:cstheme="majorBidi"/>
      <w:color w:val="272727" w:themeColor="text1" w:themeTint="D8"/>
    </w:rPr>
  </w:style>
  <w:style w:type="paragraph" w:styleId="Ttulo">
    <w:name w:val="Title"/>
    <w:basedOn w:val="Normal"/>
    <w:next w:val="Normal"/>
    <w:link w:val="TtuloCar"/>
    <w:uiPriority w:val="10"/>
    <w:qFormat/>
    <w:rsid w:val="003D0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07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07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07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07D2"/>
    <w:pPr>
      <w:spacing w:before="160"/>
      <w:jc w:val="center"/>
    </w:pPr>
    <w:rPr>
      <w:i/>
      <w:iCs/>
      <w:color w:val="404040" w:themeColor="text1" w:themeTint="BF"/>
    </w:rPr>
  </w:style>
  <w:style w:type="character" w:customStyle="1" w:styleId="CitaCar">
    <w:name w:val="Cita Car"/>
    <w:basedOn w:val="Fuentedeprrafopredeter"/>
    <w:link w:val="Cita"/>
    <w:uiPriority w:val="29"/>
    <w:rsid w:val="003D07D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D07D2"/>
    <w:pPr>
      <w:ind w:left="720"/>
      <w:contextualSpacing/>
    </w:pPr>
  </w:style>
  <w:style w:type="character" w:styleId="nfasisintenso">
    <w:name w:val="Intense Emphasis"/>
    <w:basedOn w:val="Fuentedeprrafopredeter"/>
    <w:uiPriority w:val="21"/>
    <w:qFormat/>
    <w:rsid w:val="003D07D2"/>
    <w:rPr>
      <w:i/>
      <w:iCs/>
      <w:color w:val="2F5496" w:themeColor="accent1" w:themeShade="BF"/>
    </w:rPr>
  </w:style>
  <w:style w:type="paragraph" w:styleId="Citadestacada">
    <w:name w:val="Intense Quote"/>
    <w:basedOn w:val="Normal"/>
    <w:next w:val="Normal"/>
    <w:link w:val="CitadestacadaCar"/>
    <w:uiPriority w:val="30"/>
    <w:qFormat/>
    <w:rsid w:val="003D07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D07D2"/>
    <w:rPr>
      <w:i/>
      <w:iCs/>
      <w:color w:val="2F5496" w:themeColor="accent1" w:themeShade="BF"/>
    </w:rPr>
  </w:style>
  <w:style w:type="character" w:styleId="Referenciaintensa">
    <w:name w:val="Intense Reference"/>
    <w:basedOn w:val="Fuentedeprrafopredeter"/>
    <w:uiPriority w:val="32"/>
    <w:qFormat/>
    <w:rsid w:val="003D07D2"/>
    <w:rPr>
      <w:b/>
      <w:bCs/>
      <w:smallCaps/>
      <w:color w:val="2F5496" w:themeColor="accent1" w:themeShade="BF"/>
      <w:spacing w:val="5"/>
    </w:rPr>
  </w:style>
  <w:style w:type="paragraph" w:styleId="Encabezado">
    <w:name w:val="header"/>
    <w:basedOn w:val="Normal"/>
    <w:link w:val="EncabezadoCar"/>
    <w:uiPriority w:val="99"/>
    <w:unhideWhenUsed/>
    <w:rsid w:val="003D07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07D2"/>
    <w:rPr>
      <w:kern w:val="0"/>
      <w14:ligatures w14:val="none"/>
    </w:rPr>
  </w:style>
  <w:style w:type="paragraph" w:styleId="Piedepgina">
    <w:name w:val="footer"/>
    <w:basedOn w:val="Normal"/>
    <w:link w:val="PiedepginaCar"/>
    <w:uiPriority w:val="99"/>
    <w:unhideWhenUsed/>
    <w:rsid w:val="003D07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07D2"/>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D07D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D07D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D07D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D07D2"/>
    <w:rPr>
      <w:vertAlign w:val="superscript"/>
    </w:rPr>
  </w:style>
  <w:style w:type="character" w:customStyle="1" w:styleId="normaltextrun">
    <w:name w:val="normaltextrun"/>
    <w:basedOn w:val="Fuentedeprrafopredeter"/>
    <w:rsid w:val="003D07D2"/>
  </w:style>
  <w:style w:type="table" w:styleId="Tablaconcuadrcula">
    <w:name w:val="Table Grid"/>
    <w:basedOn w:val="Tablanormal"/>
    <w:uiPriority w:val="39"/>
    <w:qFormat/>
    <w:rsid w:val="003D07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07D2"/>
    <w:rPr>
      <w:color w:val="0000FF"/>
      <w:u w:val="single"/>
    </w:rPr>
  </w:style>
  <w:style w:type="table" w:customStyle="1" w:styleId="Tablaconcuadrcula1">
    <w:name w:val="Tabla con cuadrícula1"/>
    <w:basedOn w:val="Tablanormal"/>
    <w:next w:val="Tablaconcuadrcula"/>
    <w:uiPriority w:val="59"/>
    <w:rsid w:val="003D07D2"/>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D07D2"/>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07D2"/>
  </w:style>
  <w:style w:type="character" w:styleId="Mencinsinresolver">
    <w:name w:val="Unresolved Mention"/>
    <w:basedOn w:val="Fuentedeprrafopredeter"/>
    <w:uiPriority w:val="99"/>
    <w:semiHidden/>
    <w:unhideWhenUsed/>
    <w:rsid w:val="003D0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lombiacompra.gov.co/sites/cce_public/files/files_2020/boletin_de_realtoria_viii.pdf"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colombiacompra.gov.co/manuales-guias-y-pliegos-tipo/manuales-y-guias/guia-para-incentivar-la-participacion-de-las-mujer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2.safelinks.protection.outlook.com/?url=https%3A%2F%2Fwww.colombiacompra.gov.co%2Fmanuales-guias-y-pliegos-tipo%2Fmanuales-y-guias%2Fguia-para-el-manejo-de-ofertas-artificialmente-baja-0&amp;data=05%7C02%7Csergio.caballero%40colombiacompra.gov.co%7C925ae1c2336243aecb2908dd21173dd2%7C7b09041e245149d08cb179d5e3d8c1be%7C0%7C0%7C638703105896351532%7CUnknown%7CTWFpbGZsb3d8eyJFbXB0eU1hcGkiOnRydWUsIlYiOiIwLjAuMDAwMCIsIlAiOiJXaW4zMiIsIkFOIjoiTWFpbCIsIldUIjoyfQ%3D%3D%7C0%7C%7C%7C&amp;sdata=I10CWLN7U2GgVC43ALaje6DbObLei%2FiW0OIn%2BxizJzc%3D&amp;reserve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serviciospublicos@frontino-antioquia.gov.co"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sic.gov.co/content/sobre-la-protecci&#243;n-de-datos-persona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4E0F83-DBD3-421E-99C2-6361BF046868}">
  <ds:schemaRefs>
    <ds:schemaRef ds:uri="http://schemas.openxmlformats.org/officeDocument/2006/bibliography"/>
  </ds:schemaRefs>
</ds:datastoreItem>
</file>

<file path=customXml/itemProps2.xml><?xml version="1.0" encoding="utf-8"?>
<ds:datastoreItem xmlns:ds="http://schemas.openxmlformats.org/officeDocument/2006/customXml" ds:itemID="{7706BCDB-5A7F-4AD5-9719-F75F12167DD6}"/>
</file>

<file path=customXml/itemProps3.xml><?xml version="1.0" encoding="utf-8"?>
<ds:datastoreItem xmlns:ds="http://schemas.openxmlformats.org/officeDocument/2006/customXml" ds:itemID="{D0F794DD-67C6-4882-8F6D-FFCDB805888F}"/>
</file>

<file path=customXml/itemProps4.xml><?xml version="1.0" encoding="utf-8"?>
<ds:datastoreItem xmlns:ds="http://schemas.openxmlformats.org/officeDocument/2006/customXml" ds:itemID="{FDE098F2-14C4-403F-AC8A-BDE392952913}"/>
</file>

<file path=docProps/app.xml><?xml version="1.0" encoding="utf-8"?>
<Properties xmlns="http://schemas.openxmlformats.org/officeDocument/2006/extended-properties" xmlns:vt="http://schemas.openxmlformats.org/officeDocument/2006/docPropsVTypes">
  <Template>Normal</Template>
  <TotalTime>33</TotalTime>
  <Pages>17</Pages>
  <Words>5808</Words>
  <Characters>31947</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2024-12-27T19:29:00Z</dcterms:created>
  <dcterms:modified xsi:type="dcterms:W3CDTF">2024-12-27T20:02:00Z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