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AB1A7" w14:textId="77777777" w:rsidR="009C57C2" w:rsidRPr="00D15703" w:rsidRDefault="009C57C2" w:rsidP="009C57C2">
      <w:pPr>
        <w:spacing w:after="0" w:line="240" w:lineRule="auto"/>
        <w:jc w:val="both"/>
        <w:rPr>
          <w:rFonts w:ascii="Arial" w:hAnsi="Arial" w:cs="Arial"/>
          <w:b/>
          <w:lang w:val="es-ES_tradnl" w:eastAsia="es-ES"/>
        </w:rPr>
      </w:pPr>
      <w:r w:rsidRPr="00AC3290">
        <w:rPr>
          <w:rFonts w:ascii="Arial" w:hAnsi="Arial" w:cs="Arial"/>
          <w:b/>
          <w:lang w:val="es-ES_tradnl" w:eastAsia="es-ES"/>
        </w:rPr>
        <w:t>LIQUIDACIÓN DEL CONTRATO</w:t>
      </w:r>
      <w:r w:rsidRPr="00D15703">
        <w:rPr>
          <w:rFonts w:ascii="Arial" w:hAnsi="Arial" w:cs="Arial"/>
          <w:b/>
          <w:lang w:val="es-ES_tradnl" w:eastAsia="es-ES"/>
        </w:rPr>
        <w:t xml:space="preserve"> – </w:t>
      </w:r>
      <w:r w:rsidRPr="00EC6B4B">
        <w:rPr>
          <w:rFonts w:ascii="Arial" w:hAnsi="Arial" w:cs="Arial"/>
          <w:b/>
          <w:lang w:val="es-ES_tradnl" w:eastAsia="es-ES"/>
        </w:rPr>
        <w:t>Definición</w:t>
      </w:r>
      <w:r w:rsidRPr="00D15703">
        <w:rPr>
          <w:rFonts w:ascii="Arial" w:hAnsi="Arial" w:cs="Arial"/>
          <w:b/>
          <w:lang w:val="es-ES_tradnl" w:eastAsia="es-ES"/>
        </w:rPr>
        <w:t xml:space="preserve"> – Objetivo </w:t>
      </w:r>
    </w:p>
    <w:p w14:paraId="0DDE093F" w14:textId="77777777" w:rsidR="009C57C2" w:rsidRPr="00D15703" w:rsidRDefault="009C57C2" w:rsidP="009C57C2">
      <w:pPr>
        <w:spacing w:after="0" w:line="240" w:lineRule="auto"/>
        <w:jc w:val="both"/>
        <w:rPr>
          <w:rFonts w:ascii="Arial" w:hAnsi="Arial" w:cs="Arial"/>
          <w:b/>
          <w:sz w:val="20"/>
          <w:szCs w:val="20"/>
          <w:lang w:val="es-ES_tradnl" w:eastAsia="es-ES"/>
        </w:rPr>
      </w:pPr>
    </w:p>
    <w:p w14:paraId="1A157B7F"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La liquidación es el momento en el cual, una vez concluido el contrato estatal, las partes cruzan cuentas respecto de sus obligaciones. El objetivo de la liquidación es determinar si las partes pueden declararse a paz y salvo mutuo, o si existen obligaciones por cumplir, y con ocasión de aquella se puede acordar la forma en que deben ser cumplidas. </w:t>
      </w:r>
    </w:p>
    <w:p w14:paraId="452F8729" w14:textId="77777777" w:rsidR="009C57C2" w:rsidRPr="00D15703" w:rsidRDefault="009C57C2" w:rsidP="009C57C2">
      <w:pPr>
        <w:spacing w:after="0" w:line="240" w:lineRule="auto"/>
        <w:jc w:val="both"/>
        <w:rPr>
          <w:rFonts w:ascii="Arial" w:hAnsi="Arial" w:cs="Arial"/>
          <w:sz w:val="20"/>
          <w:szCs w:val="20"/>
          <w:lang w:val="es-ES_tradnl" w:eastAsia="es-ES"/>
        </w:rPr>
      </w:pPr>
    </w:p>
    <w:p w14:paraId="4B61096F" w14:textId="77777777" w:rsidR="009C57C2" w:rsidRPr="00D15703" w:rsidRDefault="009C57C2" w:rsidP="009C57C2">
      <w:pPr>
        <w:spacing w:after="0" w:line="240" w:lineRule="auto"/>
        <w:jc w:val="both"/>
        <w:rPr>
          <w:rFonts w:ascii="Arial" w:hAnsi="Arial" w:cs="Arial"/>
          <w:b/>
          <w:lang w:val="es-ES_tradnl" w:eastAsia="es-ES"/>
        </w:rPr>
      </w:pPr>
      <w:r w:rsidRPr="00D15703">
        <w:rPr>
          <w:rFonts w:ascii="Arial" w:hAnsi="Arial" w:cs="Arial"/>
          <w:b/>
          <w:lang w:val="es-ES_tradnl" w:eastAsia="es-ES"/>
        </w:rPr>
        <w:t xml:space="preserve">LIQUIDACIÓN DEL CONTRATO – Normativa </w:t>
      </w:r>
    </w:p>
    <w:p w14:paraId="64B3C37C" w14:textId="77777777" w:rsidR="009C57C2" w:rsidRPr="00D15703" w:rsidRDefault="009C57C2" w:rsidP="009C57C2">
      <w:pPr>
        <w:spacing w:after="0" w:line="240" w:lineRule="auto"/>
        <w:jc w:val="both"/>
        <w:rPr>
          <w:rFonts w:ascii="Arial" w:hAnsi="Arial" w:cs="Arial"/>
          <w:sz w:val="20"/>
          <w:szCs w:val="20"/>
          <w:lang w:val="es-ES_tradnl" w:eastAsia="es-ES"/>
        </w:rPr>
      </w:pPr>
    </w:p>
    <w:p w14:paraId="5F5F55EB"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67700B75" w14:textId="77777777" w:rsidR="009C57C2" w:rsidRPr="00D15703" w:rsidRDefault="009C57C2" w:rsidP="009C57C2">
      <w:pPr>
        <w:spacing w:after="0" w:line="240" w:lineRule="auto"/>
        <w:jc w:val="both"/>
        <w:rPr>
          <w:rFonts w:ascii="Arial" w:hAnsi="Arial" w:cs="Arial"/>
          <w:sz w:val="20"/>
          <w:szCs w:val="20"/>
          <w:lang w:val="es-ES_tradnl" w:eastAsia="es-ES"/>
        </w:rPr>
      </w:pPr>
    </w:p>
    <w:p w14:paraId="507487B5" w14:textId="77777777" w:rsidR="009C57C2" w:rsidRPr="00D15703" w:rsidRDefault="009C57C2" w:rsidP="009C57C2">
      <w:pPr>
        <w:spacing w:after="0" w:line="240" w:lineRule="auto"/>
        <w:jc w:val="both"/>
        <w:rPr>
          <w:rFonts w:ascii="Arial" w:hAnsi="Arial" w:cs="Arial"/>
          <w:b/>
          <w:lang w:val="es-ES_tradnl" w:eastAsia="es-ES"/>
        </w:rPr>
      </w:pPr>
      <w:r w:rsidRPr="00D15703">
        <w:rPr>
          <w:rFonts w:ascii="Arial" w:hAnsi="Arial" w:cs="Arial"/>
          <w:b/>
          <w:lang w:val="es-ES_tradnl" w:eastAsia="es-ES"/>
        </w:rPr>
        <w:t xml:space="preserve">LIQUIDACIÓN DEL CONTRATO – </w:t>
      </w:r>
      <w:r w:rsidRPr="00242089">
        <w:rPr>
          <w:rFonts w:ascii="Arial" w:hAnsi="Arial" w:cs="Arial"/>
          <w:b/>
          <w:lang w:val="es-ES_tradnl" w:eastAsia="es-ES"/>
        </w:rPr>
        <w:t>Oportunidad</w:t>
      </w:r>
      <w:r w:rsidRPr="00D15703">
        <w:rPr>
          <w:rFonts w:ascii="Arial" w:hAnsi="Arial" w:cs="Arial"/>
          <w:b/>
          <w:lang w:val="es-ES_tradnl" w:eastAsia="es-ES"/>
        </w:rPr>
        <w:t xml:space="preserve"> </w:t>
      </w:r>
    </w:p>
    <w:p w14:paraId="2186FC6E" w14:textId="77777777" w:rsidR="009C57C2" w:rsidRPr="00D15703" w:rsidRDefault="009C57C2" w:rsidP="009C57C2">
      <w:pPr>
        <w:spacing w:after="0" w:line="240" w:lineRule="auto"/>
        <w:jc w:val="both"/>
        <w:rPr>
          <w:rFonts w:ascii="Arial" w:hAnsi="Arial" w:cs="Arial"/>
          <w:sz w:val="20"/>
          <w:szCs w:val="20"/>
          <w:lang w:val="es-ES_tradnl" w:eastAsia="es-ES"/>
        </w:rPr>
      </w:pPr>
    </w:p>
    <w:p w14:paraId="528EBAFC"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D15703">
        <w:rPr>
          <w:rFonts w:ascii="Arial" w:hAnsi="Arial" w:cs="Arial"/>
          <w:sz w:val="20"/>
          <w:szCs w:val="20"/>
          <w:lang w:val="es-ES_tradnl" w:eastAsia="es-ES"/>
        </w:rPr>
        <w:t>ii</w:t>
      </w:r>
      <w:proofErr w:type="spellEnd"/>
      <w:r w:rsidRPr="00D15703">
        <w:rPr>
          <w:rFonts w:ascii="Arial" w:hAnsi="Arial" w:cs="Arial"/>
          <w:sz w:val="20"/>
          <w:szCs w:val="20"/>
          <w:lang w:val="es-ES_tradnl" w:eastAsia="es-ES"/>
        </w:rPr>
        <w:t>) la expedición del acto administrativo que ordene la terminación del contrato o (</w:t>
      </w:r>
      <w:proofErr w:type="spellStart"/>
      <w:r w:rsidRPr="00D15703">
        <w:rPr>
          <w:rFonts w:ascii="Arial" w:hAnsi="Arial" w:cs="Arial"/>
          <w:sz w:val="20"/>
          <w:szCs w:val="20"/>
          <w:lang w:val="es-ES_tradnl" w:eastAsia="es-ES"/>
        </w:rPr>
        <w:t>iii</w:t>
      </w:r>
      <w:proofErr w:type="spellEnd"/>
      <w:r w:rsidRPr="00D15703">
        <w:rPr>
          <w:rFonts w:ascii="Arial" w:hAnsi="Arial" w:cs="Arial"/>
          <w:sz w:val="20"/>
          <w:szCs w:val="20"/>
          <w:lang w:val="es-ES_tradnl" w:eastAsia="es-ES"/>
        </w:rPr>
        <w:t>) la fecha del acuerdo que disponga la terminación del contrato. […]</w:t>
      </w:r>
    </w:p>
    <w:p w14:paraId="48A84A23" w14:textId="77777777" w:rsidR="009C57C2" w:rsidRPr="00D15703" w:rsidRDefault="009C57C2" w:rsidP="009C57C2">
      <w:pPr>
        <w:spacing w:after="0" w:line="240" w:lineRule="auto"/>
        <w:jc w:val="both"/>
        <w:rPr>
          <w:rFonts w:ascii="Arial" w:hAnsi="Arial" w:cs="Arial"/>
          <w:sz w:val="20"/>
          <w:szCs w:val="20"/>
          <w:lang w:val="es-ES_tradnl" w:eastAsia="es-ES"/>
        </w:rPr>
      </w:pPr>
    </w:p>
    <w:p w14:paraId="7B30EC77"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Durante este término, el contratista puede solicitar que se adelante el trámite de liquidación. Sin embargo, es responsabilidad de la Entidad Estatal convocarlo para adelantar la liquidación de común acuerdo o notificarlo para que se presente a la liquidación, de manera que el contrato pueda ser liquidado bilateralmente, bien sea en el plazo previsto en el pliego de condiciones, el acordado por las partes, o los cuatro meses señalados en la Ley, según corresponda. Esta liquidación bilateral puede ser total o parcial, y el documento que la contiene presta mérito ejecutivo, siempre que se satisfagan los elementos para considerarlo como tal.</w:t>
      </w:r>
    </w:p>
    <w:p w14:paraId="1EEC8393" w14:textId="77777777" w:rsidR="009C57C2" w:rsidRPr="00D15703" w:rsidRDefault="009C57C2" w:rsidP="009C57C2">
      <w:pPr>
        <w:spacing w:after="0" w:line="240" w:lineRule="auto"/>
        <w:jc w:val="both"/>
        <w:rPr>
          <w:rFonts w:ascii="Arial" w:hAnsi="Arial" w:cs="Arial"/>
          <w:sz w:val="20"/>
          <w:szCs w:val="20"/>
          <w:lang w:val="es-ES_tradnl" w:eastAsia="es-ES"/>
        </w:rPr>
      </w:pPr>
    </w:p>
    <w:p w14:paraId="72805912" w14:textId="77777777" w:rsidR="009C57C2" w:rsidRPr="00D15703" w:rsidRDefault="009C57C2" w:rsidP="009C57C2">
      <w:pPr>
        <w:spacing w:after="0" w:line="240" w:lineRule="auto"/>
        <w:jc w:val="both"/>
        <w:rPr>
          <w:rFonts w:ascii="Arial" w:hAnsi="Arial" w:cs="Arial"/>
          <w:b/>
          <w:lang w:val="es-ES_tradnl" w:eastAsia="es-ES"/>
        </w:rPr>
      </w:pPr>
      <w:r w:rsidRPr="00103148">
        <w:rPr>
          <w:rFonts w:ascii="Arial" w:hAnsi="Arial" w:cs="Arial"/>
          <w:b/>
          <w:lang w:val="es-ES_tradnl" w:eastAsia="es-ES"/>
        </w:rPr>
        <w:t>TIPOS DE LIQUIDACIÓN –</w:t>
      </w:r>
      <w:r w:rsidRPr="00D15703">
        <w:rPr>
          <w:rFonts w:ascii="Arial" w:hAnsi="Arial" w:cs="Arial"/>
          <w:b/>
          <w:lang w:val="es-ES_tradnl" w:eastAsia="es-ES"/>
        </w:rPr>
        <w:t xml:space="preserve"> Liquidación Unilateral</w:t>
      </w:r>
      <w:r w:rsidRPr="00D15703">
        <w:rPr>
          <w:rFonts w:ascii="Arial" w:hAnsi="Arial" w:cs="Arial"/>
          <w:b/>
          <w:bCs/>
          <w:lang w:val="es-MX"/>
        </w:rPr>
        <w:t xml:space="preserve"> </w:t>
      </w:r>
    </w:p>
    <w:p w14:paraId="40E5E9FF" w14:textId="77777777" w:rsidR="009C57C2" w:rsidRPr="00D15703" w:rsidRDefault="009C57C2" w:rsidP="009C57C2">
      <w:pPr>
        <w:spacing w:after="0" w:line="240" w:lineRule="auto"/>
        <w:jc w:val="both"/>
        <w:rPr>
          <w:rFonts w:ascii="Arial" w:hAnsi="Arial" w:cs="Arial"/>
          <w:b/>
          <w:lang w:val="es-ES_tradnl" w:eastAsia="es-ES"/>
        </w:rPr>
      </w:pPr>
    </w:p>
    <w:p w14:paraId="4F4EA930" w14:textId="77777777" w:rsidR="009C57C2" w:rsidRPr="00D15703" w:rsidRDefault="009C57C2" w:rsidP="009C57C2">
      <w:pPr>
        <w:spacing w:after="20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Si no es posible efectuar la liquidación de manera bilateral, el ordenamiento jurídico prevé una facultad, de carácter subsidiario, para que la Entidad Estatal realice la liquidación unilateralmente. […] 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17BD7034" w14:textId="77777777" w:rsidR="009C57C2" w:rsidRPr="00D15703" w:rsidRDefault="009C57C2" w:rsidP="009C57C2">
      <w:pPr>
        <w:spacing w:after="20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p>
    <w:p w14:paraId="59864598" w14:textId="77777777" w:rsidR="009C57C2" w:rsidRPr="00D15703" w:rsidRDefault="009C57C2" w:rsidP="009C57C2">
      <w:pPr>
        <w:spacing w:after="20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En suma, de acuerdo con el artículo 11 de la Ley 1150 de 2007, existen tres tipos de liquidación: i) bilateral, </w:t>
      </w:r>
      <w:proofErr w:type="spellStart"/>
      <w:r w:rsidRPr="00D15703">
        <w:rPr>
          <w:rFonts w:ascii="Arial" w:hAnsi="Arial" w:cs="Arial"/>
          <w:sz w:val="20"/>
          <w:szCs w:val="20"/>
          <w:lang w:val="es-ES_tradnl" w:eastAsia="es-ES"/>
        </w:rPr>
        <w:t>ii</w:t>
      </w:r>
      <w:proofErr w:type="spellEnd"/>
      <w:r w:rsidRPr="00D15703">
        <w:rPr>
          <w:rFonts w:ascii="Arial" w:hAnsi="Arial" w:cs="Arial"/>
          <w:sz w:val="20"/>
          <w:szCs w:val="20"/>
          <w:lang w:val="es-ES_tradnl" w:eastAsia="es-ES"/>
        </w:rPr>
        <w:t xml:space="preserve">) unilateral y </w:t>
      </w:r>
      <w:proofErr w:type="spellStart"/>
      <w:r w:rsidRPr="00D15703">
        <w:rPr>
          <w:rFonts w:ascii="Arial" w:hAnsi="Arial" w:cs="Arial"/>
          <w:sz w:val="20"/>
          <w:szCs w:val="20"/>
          <w:lang w:val="es-ES_tradnl" w:eastAsia="es-ES"/>
        </w:rPr>
        <w:t>iii</w:t>
      </w:r>
      <w:proofErr w:type="spellEnd"/>
      <w:r w:rsidRPr="00D15703">
        <w:rPr>
          <w:rFonts w:ascii="Arial" w:hAnsi="Arial" w:cs="Arial"/>
          <w:sz w:val="20"/>
          <w:szCs w:val="20"/>
          <w:lang w:val="es-ES_tradnl" w:eastAsia="es-ES"/>
        </w:rPr>
        <w:t xml:space="preserve">)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w:t>
      </w:r>
      <w:r w:rsidRPr="00D15703">
        <w:rPr>
          <w:rFonts w:ascii="Arial" w:hAnsi="Arial" w:cs="Arial"/>
          <w:sz w:val="20"/>
          <w:szCs w:val="20"/>
          <w:lang w:val="es-ES_tradnl" w:eastAsia="es-ES"/>
        </w:rPr>
        <w:lastRenderedPageBreak/>
        <w:t>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0F28B5BC" w14:textId="2048FA0B" w:rsidR="009C57C2" w:rsidRPr="00D15703" w:rsidRDefault="009C57C2" w:rsidP="009C57C2">
      <w:pPr>
        <w:spacing w:after="0" w:line="240" w:lineRule="auto"/>
        <w:jc w:val="both"/>
        <w:rPr>
          <w:rFonts w:ascii="Arial" w:hAnsi="Arial" w:cs="Arial"/>
          <w:b/>
          <w:lang w:val="es-ES_tradnl" w:eastAsia="es-ES"/>
        </w:rPr>
      </w:pPr>
      <w:r w:rsidRPr="008D3AB4">
        <w:rPr>
          <w:rFonts w:ascii="Arial" w:hAnsi="Arial" w:cs="Arial"/>
          <w:b/>
          <w:lang w:val="es-ES_tradnl" w:eastAsia="es-ES"/>
        </w:rPr>
        <w:t>LIQUIDACIÓN UNILATERAL</w:t>
      </w:r>
      <w:r w:rsidR="008D3AB4" w:rsidRPr="008D3AB4">
        <w:rPr>
          <w:rFonts w:ascii="Arial" w:hAnsi="Arial" w:cs="Arial"/>
          <w:b/>
          <w:lang w:val="es-ES_tradnl" w:eastAsia="es-ES"/>
        </w:rPr>
        <w:t xml:space="preserve"> DE</w:t>
      </w:r>
      <w:r w:rsidR="008D3AB4">
        <w:rPr>
          <w:rFonts w:ascii="Arial" w:hAnsi="Arial" w:cs="Arial"/>
          <w:b/>
          <w:lang w:val="es-ES_tradnl" w:eastAsia="es-ES"/>
        </w:rPr>
        <w:t xml:space="preserve"> CONTRATOS</w:t>
      </w:r>
      <w:r w:rsidRPr="00D15703">
        <w:rPr>
          <w:rFonts w:ascii="Arial" w:hAnsi="Arial" w:cs="Arial"/>
          <w:b/>
          <w:lang w:val="es-ES_tradnl" w:eastAsia="es-ES"/>
        </w:rPr>
        <w:t xml:space="preserve"> – Muerte o incapacidad física permanente del contratista</w:t>
      </w:r>
      <w:r w:rsidR="00470932">
        <w:rPr>
          <w:rFonts w:ascii="Arial" w:hAnsi="Arial" w:cs="Arial"/>
          <w:b/>
          <w:lang w:val="es-ES_tradnl" w:eastAsia="es-ES"/>
        </w:rPr>
        <w:t xml:space="preserve"> – Persona Natural – Persona jurídica</w:t>
      </w:r>
    </w:p>
    <w:p w14:paraId="27D094C9" w14:textId="77777777" w:rsidR="009C57C2" w:rsidRPr="00D15703" w:rsidRDefault="009C57C2" w:rsidP="009C57C2">
      <w:pPr>
        <w:spacing w:after="0" w:line="240" w:lineRule="auto"/>
        <w:jc w:val="both"/>
        <w:rPr>
          <w:rFonts w:ascii="Arial" w:hAnsi="Arial" w:cs="Arial"/>
          <w:sz w:val="20"/>
          <w:szCs w:val="20"/>
          <w:lang w:val="es-ES_tradnl" w:eastAsia="es-ES"/>
        </w:rPr>
      </w:pPr>
    </w:p>
    <w:p w14:paraId="07E8B24C"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De este modo, y concordancia con lo dispuesto en el artículo 8 de la Ley 153 de 1887, es viable que, ante el vacío de regulación concreta en el planteamiento de la consulta, se acuda a la </w:t>
      </w:r>
      <w:proofErr w:type="spellStart"/>
      <w:r w:rsidRPr="00D15703">
        <w:rPr>
          <w:rFonts w:ascii="Arial" w:hAnsi="Arial" w:cs="Arial"/>
          <w:sz w:val="20"/>
          <w:szCs w:val="20"/>
          <w:lang w:val="es-ES_tradnl" w:eastAsia="es-ES"/>
        </w:rPr>
        <w:t>analogia</w:t>
      </w:r>
      <w:proofErr w:type="spellEnd"/>
      <w:r w:rsidRPr="00D15703">
        <w:rPr>
          <w:rFonts w:ascii="Arial" w:hAnsi="Arial" w:cs="Arial"/>
          <w:sz w:val="20"/>
          <w:szCs w:val="20"/>
          <w:lang w:val="es-ES_tradnl" w:eastAsia="es-ES"/>
        </w:rPr>
        <w:t xml:space="preserve"> </w:t>
      </w:r>
      <w:proofErr w:type="spellStart"/>
      <w:proofErr w:type="gramStart"/>
      <w:r w:rsidRPr="00D15703">
        <w:rPr>
          <w:rFonts w:ascii="Arial" w:hAnsi="Arial" w:cs="Arial"/>
          <w:sz w:val="20"/>
          <w:szCs w:val="20"/>
          <w:lang w:val="es-ES_tradnl" w:eastAsia="es-ES"/>
        </w:rPr>
        <w:t>legis</w:t>
      </w:r>
      <w:proofErr w:type="spellEnd"/>
      <w:r w:rsidRPr="00D15703">
        <w:rPr>
          <w:rFonts w:ascii="Arial" w:hAnsi="Arial" w:cs="Arial"/>
          <w:sz w:val="20"/>
          <w:szCs w:val="20"/>
          <w:lang w:val="es-ES_tradnl" w:eastAsia="es-ES"/>
        </w:rPr>
        <w:t>[</w:t>
      </w:r>
      <w:proofErr w:type="gramEnd"/>
      <w:r w:rsidRPr="00D15703">
        <w:rPr>
          <w:rFonts w:ascii="Arial" w:hAnsi="Arial" w:cs="Arial"/>
          <w:sz w:val="20"/>
          <w:szCs w:val="20"/>
          <w:lang w:val="es-ES_tradnl" w:eastAsia="es-ES"/>
        </w:rPr>
        <w:t>…]</w:t>
      </w:r>
    </w:p>
    <w:p w14:paraId="050CC7D5" w14:textId="77777777" w:rsidR="009C57C2" w:rsidRPr="00D15703" w:rsidRDefault="009C57C2" w:rsidP="009C57C2">
      <w:pPr>
        <w:spacing w:after="0" w:line="240" w:lineRule="auto"/>
        <w:jc w:val="both"/>
        <w:rPr>
          <w:rFonts w:ascii="Arial" w:hAnsi="Arial" w:cs="Arial"/>
          <w:sz w:val="20"/>
          <w:szCs w:val="20"/>
          <w:lang w:val="es-ES_tradnl" w:eastAsia="es-ES"/>
        </w:rPr>
      </w:pPr>
    </w:p>
    <w:p w14:paraId="565AEF06" w14:textId="77777777" w:rsidR="009C57C2" w:rsidRPr="00D15703" w:rsidRDefault="009C57C2" w:rsidP="009C57C2">
      <w:pPr>
        <w:spacing w:after="0" w:line="240" w:lineRule="auto"/>
        <w:jc w:val="both"/>
        <w:rPr>
          <w:rFonts w:ascii="Arial" w:hAnsi="Arial" w:cs="Arial"/>
          <w:sz w:val="20"/>
          <w:szCs w:val="20"/>
          <w:lang w:val="es-ES_tradnl" w:eastAsia="es-ES"/>
        </w:rPr>
      </w:pPr>
      <w:r w:rsidRPr="00D15703">
        <w:rPr>
          <w:rFonts w:ascii="Arial" w:hAnsi="Arial" w:cs="Arial"/>
          <w:sz w:val="20"/>
          <w:szCs w:val="20"/>
          <w:lang w:val="es-ES_tradnl" w:eastAsia="es-ES"/>
        </w:rPr>
        <w:t xml:space="preserve">En virtud de lo anterior, se puede afirmar que la muerte o incapacidad física permanente del contratista, si es persona natural o por disolución de la persona jurídica del contratista, constituye un hecho que impide la liquidación bilateral por las razones ya expuestas en el desarrollo de este concepto para la terminación unilateral y tal sentido la entidad estatal tiene la facultad de liquidarlo unilateralmente durante el término de 2 meses contados a partir del vencimiento del plazo que acuerden las partes para efectuar la liquidación bilateralmente, o ante el silencio de estas, del vencimiento de los 4 meses supletivos establecidos en la Ley. En todo caso, transcurridos estos 2 meses, la liquidación podrá ser realizada en cualquier tiempo, dentro de los dos años siguientes al vencimiento del término referido. </w:t>
      </w:r>
    </w:p>
    <w:p w14:paraId="79909F4E" w14:textId="77777777" w:rsidR="009C57C2" w:rsidRPr="00D15703" w:rsidRDefault="009C57C2" w:rsidP="009C57C2">
      <w:pPr>
        <w:spacing w:after="200" w:line="240" w:lineRule="auto"/>
        <w:jc w:val="both"/>
        <w:rPr>
          <w:rFonts w:ascii="Arial" w:hAnsi="Arial" w:cs="Arial"/>
          <w:sz w:val="20"/>
          <w:szCs w:val="20"/>
          <w:lang w:val="es-ES_tradnl" w:eastAsia="es-ES"/>
        </w:rPr>
      </w:pPr>
    </w:p>
    <w:p w14:paraId="3C3C6348" w14:textId="77777777" w:rsidR="009C57C2" w:rsidRPr="00D15703" w:rsidRDefault="009C57C2" w:rsidP="009C57C2">
      <w:pPr>
        <w:spacing w:after="0" w:line="240" w:lineRule="auto"/>
        <w:jc w:val="both"/>
        <w:rPr>
          <w:rFonts w:ascii="Arial" w:hAnsi="Arial" w:cs="Arial"/>
          <w:bCs/>
          <w:sz w:val="20"/>
          <w:szCs w:val="20"/>
          <w:lang w:val="es-ES_tradnl" w:eastAsia="es-ES"/>
        </w:rPr>
      </w:pPr>
    </w:p>
    <w:p w14:paraId="73B98304" w14:textId="77777777" w:rsidR="009C57C2" w:rsidRPr="00D15703" w:rsidRDefault="009C57C2" w:rsidP="009C57C2">
      <w:pPr>
        <w:spacing w:after="200" w:line="240" w:lineRule="auto"/>
        <w:rPr>
          <w:rFonts w:ascii="Arial" w:eastAsia="Calibri" w:hAnsi="Arial" w:cs="Arial"/>
          <w:b/>
          <w:bCs/>
          <w:color w:val="000000" w:themeColor="text1"/>
          <w:sz w:val="20"/>
          <w:szCs w:val="20"/>
        </w:rPr>
      </w:pPr>
      <w:r w:rsidRPr="00D15703">
        <w:rPr>
          <w:rFonts w:ascii="Arial" w:eastAsia="Calibri" w:hAnsi="Arial" w:cs="Arial"/>
          <w:b/>
          <w:bCs/>
          <w:color w:val="000000" w:themeColor="text1"/>
          <w:sz w:val="20"/>
          <w:szCs w:val="20"/>
        </w:rPr>
        <w:br w:type="page"/>
      </w:r>
    </w:p>
    <w:p w14:paraId="2EE423B2" w14:textId="77777777" w:rsidR="009C57C2" w:rsidRPr="00D15703" w:rsidRDefault="009C57C2" w:rsidP="009C57C2">
      <w:pPr>
        <w:spacing w:after="0" w:line="276" w:lineRule="auto"/>
        <w:jc w:val="both"/>
        <w:rPr>
          <w:rFonts w:ascii="Arial" w:eastAsia="Calibri" w:hAnsi="Arial" w:cs="Arial"/>
          <w:b/>
          <w:bCs/>
          <w:color w:val="000000" w:themeColor="text1"/>
          <w:sz w:val="20"/>
          <w:szCs w:val="20"/>
        </w:rPr>
      </w:pPr>
    </w:p>
    <w:p w14:paraId="013A253B" w14:textId="77777777" w:rsidR="009C57C2" w:rsidRPr="00D15703" w:rsidRDefault="009C57C2" w:rsidP="009C57C2">
      <w:pPr>
        <w:spacing w:after="0" w:line="276" w:lineRule="auto"/>
        <w:jc w:val="right"/>
        <w:rPr>
          <w:rFonts w:ascii="Arial" w:eastAsia="Calibri" w:hAnsi="Arial" w:cs="Arial"/>
          <w:b/>
          <w:bCs/>
          <w:sz w:val="16"/>
          <w:szCs w:val="16"/>
        </w:rPr>
      </w:pPr>
      <w:r w:rsidRPr="00D15703">
        <w:rPr>
          <w:rFonts w:ascii="Arial" w:eastAsia="Times New Roman" w:hAnsi="Arial" w:cs="Arial"/>
          <w:b/>
          <w:bCs/>
          <w:sz w:val="16"/>
          <w:szCs w:val="16"/>
          <w:lang w:eastAsia="es-ES"/>
        </w:rPr>
        <w:t>CCE-DES-FM-17</w:t>
      </w:r>
    </w:p>
    <w:p w14:paraId="262882C4" w14:textId="5A3094A8" w:rsidR="00DF73BF" w:rsidRDefault="00D15703" w:rsidP="009C57C2">
      <w:pPr>
        <w:spacing w:after="0" w:line="240" w:lineRule="auto"/>
        <w:jc w:val="both"/>
        <w:rPr>
          <w:rFonts w:ascii="Arial" w:eastAsia="Calibri" w:hAnsi="Arial" w:cs="Arial"/>
        </w:rPr>
      </w:pPr>
      <w:bookmarkStart w:id="0" w:name="_Hlk96417464"/>
      <w:r>
        <w:rPr>
          <w:rFonts w:ascii="Arial" w:eastAsia="Calibri" w:hAnsi="Arial" w:cs="Arial"/>
        </w:rPr>
        <w:t xml:space="preserve">Bogotá D.C. 21 de </w:t>
      </w:r>
      <w:proofErr w:type="gramStart"/>
      <w:r>
        <w:rPr>
          <w:rFonts w:ascii="Arial" w:eastAsia="Calibri" w:hAnsi="Arial" w:cs="Arial"/>
        </w:rPr>
        <w:t>Diciembre</w:t>
      </w:r>
      <w:proofErr w:type="gramEnd"/>
      <w:r>
        <w:rPr>
          <w:rFonts w:ascii="Arial" w:eastAsia="Calibri" w:hAnsi="Arial" w:cs="Arial"/>
        </w:rPr>
        <w:t xml:space="preserve"> de 2022</w:t>
      </w:r>
    </w:p>
    <w:p w14:paraId="14C3C780" w14:textId="2EF9812D" w:rsidR="00D15703" w:rsidRDefault="00D15703" w:rsidP="009C57C2">
      <w:pPr>
        <w:spacing w:after="0" w:line="240" w:lineRule="auto"/>
        <w:jc w:val="both"/>
        <w:rPr>
          <w:rFonts w:ascii="Arial" w:eastAsia="Calibri" w:hAnsi="Arial" w:cs="Arial"/>
        </w:rPr>
      </w:pPr>
    </w:p>
    <w:p w14:paraId="34DD666D" w14:textId="06EF55AE" w:rsidR="00D15703" w:rsidRDefault="00196440" w:rsidP="00196440">
      <w:pPr>
        <w:spacing w:after="0" w:line="240" w:lineRule="auto"/>
        <w:jc w:val="right"/>
        <w:rPr>
          <w:rFonts w:ascii="Arial" w:eastAsia="Calibri" w:hAnsi="Arial" w:cs="Arial"/>
        </w:rPr>
      </w:pPr>
      <w:r>
        <w:rPr>
          <w:noProof/>
          <w:lang w:val="en-US"/>
        </w:rPr>
        <w:drawing>
          <wp:inline distT="0" distB="0" distL="0" distR="0" wp14:anchorId="26B6BA1F" wp14:editId="6D48D8C0">
            <wp:extent cx="3036094" cy="7143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8282" t="63268" r="15621" b="17439"/>
                    <a:stretch/>
                  </pic:blipFill>
                  <pic:spPr bwMode="auto">
                    <a:xfrm>
                      <a:off x="0" y="0"/>
                      <a:ext cx="3037722" cy="714758"/>
                    </a:xfrm>
                    <a:prstGeom prst="rect">
                      <a:avLst/>
                    </a:prstGeom>
                    <a:ln>
                      <a:noFill/>
                    </a:ln>
                    <a:extLst>
                      <a:ext uri="{53640926-AAD7-44D8-BBD7-CCE9431645EC}">
                        <a14:shadowObscured xmlns:a14="http://schemas.microsoft.com/office/drawing/2010/main"/>
                      </a:ext>
                    </a:extLst>
                  </pic:spPr>
                </pic:pic>
              </a:graphicData>
            </a:graphic>
          </wp:inline>
        </w:drawing>
      </w:r>
    </w:p>
    <w:p w14:paraId="30852327" w14:textId="78CD5A22" w:rsidR="00196440" w:rsidRDefault="00196440" w:rsidP="009C57C2">
      <w:pPr>
        <w:spacing w:after="0" w:line="240" w:lineRule="auto"/>
        <w:jc w:val="both"/>
        <w:rPr>
          <w:rFonts w:ascii="Arial" w:eastAsia="Calibri" w:hAnsi="Arial" w:cs="Arial"/>
        </w:rPr>
      </w:pPr>
    </w:p>
    <w:p w14:paraId="7907D078" w14:textId="77777777" w:rsidR="00196440" w:rsidRDefault="00196440" w:rsidP="009C57C2">
      <w:pPr>
        <w:spacing w:after="0" w:line="240" w:lineRule="auto"/>
        <w:jc w:val="both"/>
        <w:rPr>
          <w:rFonts w:ascii="Arial" w:eastAsia="Calibri" w:hAnsi="Arial" w:cs="Arial"/>
        </w:rPr>
      </w:pPr>
    </w:p>
    <w:p w14:paraId="23180F96" w14:textId="33F3AC5F" w:rsidR="009C57C2" w:rsidRPr="00D15703" w:rsidRDefault="009C57C2" w:rsidP="009C57C2">
      <w:pPr>
        <w:spacing w:after="0" w:line="240" w:lineRule="auto"/>
        <w:jc w:val="both"/>
        <w:rPr>
          <w:rFonts w:ascii="Arial" w:eastAsia="Calibri" w:hAnsi="Arial" w:cs="Arial"/>
        </w:rPr>
      </w:pPr>
      <w:r w:rsidRPr="00D15703">
        <w:rPr>
          <w:rFonts w:ascii="Arial" w:eastAsia="Calibri" w:hAnsi="Arial" w:cs="Arial"/>
        </w:rPr>
        <w:t>Señora</w:t>
      </w:r>
    </w:p>
    <w:p w14:paraId="6D1AC0EC" w14:textId="77777777" w:rsidR="009C57C2" w:rsidRPr="00D15703" w:rsidRDefault="009C57C2" w:rsidP="009C57C2">
      <w:pPr>
        <w:spacing w:after="0" w:line="240" w:lineRule="auto"/>
        <w:jc w:val="both"/>
        <w:rPr>
          <w:rFonts w:ascii="Arial" w:eastAsia="Calibri" w:hAnsi="Arial" w:cs="Arial"/>
          <w:b/>
          <w:bCs/>
        </w:rPr>
      </w:pPr>
      <w:proofErr w:type="spellStart"/>
      <w:r w:rsidRPr="00D15703">
        <w:rPr>
          <w:rFonts w:ascii="Arial" w:eastAsia="Calibri" w:hAnsi="Arial" w:cs="Arial"/>
          <w:b/>
          <w:bCs/>
        </w:rPr>
        <w:t>Carine</w:t>
      </w:r>
      <w:proofErr w:type="spellEnd"/>
      <w:r w:rsidRPr="00D15703">
        <w:rPr>
          <w:rFonts w:ascii="Arial" w:eastAsia="Calibri" w:hAnsi="Arial" w:cs="Arial"/>
          <w:b/>
          <w:bCs/>
        </w:rPr>
        <w:t xml:space="preserve"> </w:t>
      </w:r>
      <w:proofErr w:type="spellStart"/>
      <w:r w:rsidRPr="00D15703">
        <w:rPr>
          <w:rFonts w:ascii="Arial" w:eastAsia="Calibri" w:hAnsi="Arial" w:cs="Arial"/>
          <w:b/>
          <w:bCs/>
        </w:rPr>
        <w:t>Pening</w:t>
      </w:r>
      <w:proofErr w:type="spellEnd"/>
      <w:r w:rsidRPr="00D15703">
        <w:rPr>
          <w:rFonts w:ascii="Arial" w:eastAsia="Calibri" w:hAnsi="Arial" w:cs="Arial"/>
          <w:b/>
          <w:bCs/>
        </w:rPr>
        <w:t xml:space="preserve"> Gaviria</w:t>
      </w:r>
    </w:p>
    <w:p w14:paraId="3668149C" w14:textId="77777777" w:rsidR="009C57C2" w:rsidRPr="00D15703" w:rsidRDefault="009C57C2" w:rsidP="009C57C2">
      <w:pPr>
        <w:spacing w:after="0" w:line="240" w:lineRule="auto"/>
        <w:jc w:val="both"/>
        <w:rPr>
          <w:rFonts w:ascii="Arial" w:eastAsia="Calibri" w:hAnsi="Arial" w:cs="Arial"/>
        </w:rPr>
      </w:pPr>
      <w:r w:rsidRPr="00D15703">
        <w:rPr>
          <w:rFonts w:ascii="Arial" w:eastAsia="Calibri" w:hAnsi="Arial" w:cs="Arial"/>
        </w:rPr>
        <w:t>Bogotá D.C.</w:t>
      </w:r>
    </w:p>
    <w:p w14:paraId="51EB7212" w14:textId="77777777" w:rsidR="009C57C2" w:rsidRPr="00D15703" w:rsidRDefault="009C57C2" w:rsidP="009C57C2">
      <w:pPr>
        <w:spacing w:after="0" w:line="240" w:lineRule="auto"/>
        <w:jc w:val="both"/>
        <w:rPr>
          <w:rFonts w:ascii="Arial" w:eastAsia="Calibri" w:hAnsi="Arial" w:cs="Arial"/>
        </w:rPr>
      </w:pPr>
    </w:p>
    <w:p w14:paraId="50840EBB" w14:textId="77777777" w:rsidR="009C57C2" w:rsidRPr="00D15703" w:rsidRDefault="009C57C2" w:rsidP="009C57C2">
      <w:pPr>
        <w:spacing w:after="0" w:line="240" w:lineRule="auto"/>
        <w:ind w:left="2694"/>
        <w:jc w:val="both"/>
        <w:rPr>
          <w:rFonts w:ascii="Arial" w:hAnsi="Arial" w:cs="Arial"/>
        </w:rPr>
      </w:pPr>
      <w:r w:rsidRPr="00D15703">
        <w:rPr>
          <w:rFonts w:ascii="Arial" w:eastAsia="Calibri" w:hAnsi="Arial" w:cs="Arial"/>
          <w:b/>
        </w:rPr>
        <w:t>Concepto C – 873 de 2022</w:t>
      </w:r>
      <w:r w:rsidRPr="00D15703">
        <w:rPr>
          <w:rFonts w:ascii="Arial" w:hAnsi="Arial" w:cs="Arial"/>
        </w:rPr>
        <w:t xml:space="preserve"> </w:t>
      </w:r>
    </w:p>
    <w:p w14:paraId="7535EEE0" w14:textId="77777777" w:rsidR="009C57C2" w:rsidRPr="00D15703" w:rsidRDefault="009C57C2" w:rsidP="009C57C2">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C57C2" w:rsidRPr="00DF73BF" w14:paraId="7308A58D" w14:textId="77777777" w:rsidTr="00D54CED">
        <w:trPr>
          <w:trHeight w:val="485"/>
        </w:trPr>
        <w:tc>
          <w:tcPr>
            <w:tcW w:w="2689" w:type="dxa"/>
            <w:hideMark/>
          </w:tcPr>
          <w:p w14:paraId="311A0A80" w14:textId="77777777" w:rsidR="009C57C2" w:rsidRPr="00D15703" w:rsidRDefault="009C57C2" w:rsidP="009C57C2">
            <w:pPr>
              <w:spacing w:after="200" w:line="276" w:lineRule="auto"/>
              <w:contextualSpacing/>
              <w:jc w:val="both"/>
              <w:rPr>
                <w:rFonts w:ascii="Arial" w:eastAsia="Calibri" w:hAnsi="Arial" w:cs="Arial"/>
                <w:noProof/>
                <w:lang w:val="es-ES_tradnl"/>
              </w:rPr>
            </w:pPr>
            <w:r w:rsidRPr="00D15703">
              <w:rPr>
                <w:rFonts w:ascii="Arial" w:eastAsia="Calibri" w:hAnsi="Arial" w:cs="Arial"/>
                <w:b/>
                <w:noProof/>
                <w:lang w:val="es-ES_tradnl"/>
              </w:rPr>
              <w:t>Temas:</w:t>
            </w:r>
            <w:r w:rsidRPr="00D15703">
              <w:rPr>
                <w:rFonts w:ascii="Arial" w:eastAsia="Calibri" w:hAnsi="Arial" w:cs="Arial"/>
                <w:noProof/>
                <w:lang w:val="es-ES_tradnl"/>
              </w:rPr>
              <w:t xml:space="preserve">    </w:t>
            </w:r>
          </w:p>
        </w:tc>
        <w:tc>
          <w:tcPr>
            <w:tcW w:w="6237" w:type="dxa"/>
            <w:hideMark/>
          </w:tcPr>
          <w:p w14:paraId="4F11A58B" w14:textId="77777777" w:rsidR="009C57C2" w:rsidRPr="00D15703" w:rsidRDefault="009C57C2" w:rsidP="009C57C2">
            <w:pPr>
              <w:spacing w:after="120" w:line="276" w:lineRule="auto"/>
              <w:ind w:right="703"/>
              <w:jc w:val="both"/>
              <w:rPr>
                <w:rFonts w:ascii="Arial" w:eastAsia="Calibri" w:hAnsi="Arial" w:cs="Arial"/>
                <w:lang w:val="es-ES_tradnl"/>
              </w:rPr>
            </w:pPr>
            <w:r w:rsidRPr="00D15703">
              <w:rPr>
                <w:rFonts w:ascii="Arial" w:eastAsia="Calibri" w:hAnsi="Arial" w:cs="Arial"/>
                <w:bCs/>
                <w:lang w:val="es-ES_tradnl"/>
              </w:rPr>
              <w:t xml:space="preserve">LIQUIDACIÓN DEL CONTRATO – Definición – Objetivo / LIQUIDACIÓN DEL CONTRATO – Normativa / LIQUIDACIÓN DEL CONTRATO – Oportunidad / </w:t>
            </w:r>
            <w:r w:rsidRPr="00D15703">
              <w:rPr>
                <w:rFonts w:ascii="Arial" w:hAnsi="Arial" w:cs="Arial"/>
                <w:lang w:val="es-ES_tradnl" w:eastAsia="es-ES"/>
              </w:rPr>
              <w:t>TIPOS DE LIQUIDACIÓN – Liquidación Unilateral / LIQUIDACIÓN UNILATERAL – Muerte o incapacidad física permanente del contratista, si es persona natural</w:t>
            </w:r>
            <w:r w:rsidRPr="00D15703">
              <w:rPr>
                <w:rFonts w:ascii="Arial" w:hAnsi="Arial" w:cs="Arial"/>
                <w:bCs/>
                <w:lang w:val="es-MX"/>
              </w:rPr>
              <w:t xml:space="preserve"> o por disolución de la persona jurídica del contratista</w:t>
            </w:r>
          </w:p>
        </w:tc>
      </w:tr>
      <w:tr w:rsidR="009C57C2" w:rsidRPr="00DF73BF" w14:paraId="3CA63B6D" w14:textId="77777777" w:rsidTr="00D54CED">
        <w:tc>
          <w:tcPr>
            <w:tcW w:w="2689" w:type="dxa"/>
          </w:tcPr>
          <w:p w14:paraId="2DC40D2E" w14:textId="77777777" w:rsidR="009C57C2" w:rsidRPr="00D15703" w:rsidRDefault="009C57C2" w:rsidP="009C57C2">
            <w:pPr>
              <w:spacing w:after="200" w:line="276" w:lineRule="auto"/>
              <w:contextualSpacing/>
              <w:jc w:val="both"/>
              <w:rPr>
                <w:rFonts w:ascii="Arial" w:eastAsia="Calibri" w:hAnsi="Arial" w:cs="Arial"/>
                <w:b/>
                <w:noProof/>
                <w:lang w:val="es-ES_tradnl"/>
              </w:rPr>
            </w:pPr>
            <w:r w:rsidRPr="00D15703">
              <w:rPr>
                <w:rFonts w:ascii="Arial" w:eastAsia="Calibri" w:hAnsi="Arial" w:cs="Arial"/>
                <w:b/>
                <w:noProof/>
                <w:lang w:val="es-ES_tradnl"/>
              </w:rPr>
              <w:t>Radicación:</w:t>
            </w:r>
            <w:r w:rsidRPr="00D15703">
              <w:rPr>
                <w:rFonts w:ascii="Arial" w:eastAsia="Calibri" w:hAnsi="Arial" w:cs="Arial"/>
                <w:noProof/>
                <w:lang w:val="es-ES_tradnl"/>
              </w:rPr>
              <w:t xml:space="preserve">               </w:t>
            </w:r>
          </w:p>
        </w:tc>
        <w:tc>
          <w:tcPr>
            <w:tcW w:w="6237" w:type="dxa"/>
          </w:tcPr>
          <w:p w14:paraId="553A7A65" w14:textId="77777777" w:rsidR="009C57C2" w:rsidRPr="00D15703" w:rsidRDefault="009C57C2" w:rsidP="009C57C2">
            <w:pPr>
              <w:spacing w:after="200" w:line="276" w:lineRule="auto"/>
              <w:contextualSpacing/>
              <w:jc w:val="both"/>
              <w:rPr>
                <w:rFonts w:ascii="Arial" w:eastAsia="Calibri" w:hAnsi="Arial" w:cs="Arial"/>
                <w:noProof/>
                <w:lang w:val="es-ES_tradnl"/>
              </w:rPr>
            </w:pPr>
            <w:r w:rsidRPr="00D15703">
              <w:rPr>
                <w:rFonts w:ascii="Arial" w:eastAsia="Calibri" w:hAnsi="Arial" w:cs="Arial"/>
                <w:noProof/>
                <w:lang w:val="es-ES_tradnl"/>
              </w:rPr>
              <w:t>Respuesta a consulta P20221109011250</w:t>
            </w:r>
          </w:p>
          <w:p w14:paraId="3F7668FB" w14:textId="77777777" w:rsidR="009C57C2" w:rsidRPr="00D15703" w:rsidRDefault="009C57C2" w:rsidP="009C57C2">
            <w:pPr>
              <w:spacing w:after="200" w:line="276" w:lineRule="auto"/>
              <w:contextualSpacing/>
              <w:jc w:val="both"/>
              <w:rPr>
                <w:rFonts w:ascii="Arial" w:eastAsia="Calibri" w:hAnsi="Arial" w:cs="Arial"/>
                <w:noProof/>
                <w:lang w:val="es-ES_tradnl"/>
              </w:rPr>
            </w:pPr>
            <w:r w:rsidRPr="00D15703">
              <w:rPr>
                <w:rFonts w:ascii="Arial" w:eastAsia="Calibri" w:hAnsi="Arial" w:cs="Arial"/>
                <w:noProof/>
                <w:lang w:val="es-ES_tradnl"/>
              </w:rPr>
              <w:t xml:space="preserve">                  </w:t>
            </w:r>
          </w:p>
        </w:tc>
      </w:tr>
    </w:tbl>
    <w:p w14:paraId="5042A10F" w14:textId="77777777" w:rsidR="009C57C2" w:rsidRPr="00D15703" w:rsidRDefault="009C57C2" w:rsidP="009C57C2">
      <w:pPr>
        <w:spacing w:after="200" w:line="276" w:lineRule="auto"/>
        <w:jc w:val="both"/>
        <w:rPr>
          <w:rFonts w:ascii="Arial" w:eastAsia="Calibri" w:hAnsi="Arial" w:cs="Arial"/>
        </w:rPr>
      </w:pPr>
      <w:r w:rsidRPr="00D15703">
        <w:rPr>
          <w:rFonts w:ascii="Arial" w:eastAsia="Calibri" w:hAnsi="Arial" w:cs="Arial"/>
        </w:rPr>
        <w:t xml:space="preserve">Estimada Señora </w:t>
      </w:r>
      <w:proofErr w:type="spellStart"/>
      <w:r w:rsidRPr="00D15703">
        <w:rPr>
          <w:rFonts w:ascii="Arial" w:eastAsia="Calibri" w:hAnsi="Arial" w:cs="Arial"/>
        </w:rPr>
        <w:t>Pening</w:t>
      </w:r>
      <w:proofErr w:type="spellEnd"/>
      <w:r w:rsidRPr="00D15703">
        <w:rPr>
          <w:rFonts w:ascii="Arial" w:eastAsia="Calibri" w:hAnsi="Arial" w:cs="Arial"/>
        </w:rPr>
        <w:t>:</w:t>
      </w:r>
    </w:p>
    <w:p w14:paraId="27299BD6" w14:textId="77777777" w:rsidR="009C57C2" w:rsidRPr="00D15703" w:rsidRDefault="009C57C2" w:rsidP="009C57C2">
      <w:pPr>
        <w:spacing w:after="200" w:line="276" w:lineRule="auto"/>
        <w:ind w:right="51"/>
        <w:jc w:val="both"/>
        <w:rPr>
          <w:rFonts w:ascii="Arial" w:eastAsia="Calibri" w:hAnsi="Arial" w:cs="Arial"/>
        </w:rPr>
      </w:pPr>
      <w:r w:rsidRPr="00D15703">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radicada el 9 de noviembre de 2022. </w:t>
      </w:r>
    </w:p>
    <w:p w14:paraId="024C1CFD" w14:textId="77777777" w:rsidR="009C57C2" w:rsidRDefault="009C57C2" w:rsidP="009C57C2">
      <w:pPr>
        <w:numPr>
          <w:ilvl w:val="0"/>
          <w:numId w:val="4"/>
        </w:numPr>
        <w:tabs>
          <w:tab w:val="left" w:pos="284"/>
        </w:tabs>
        <w:spacing w:after="200" w:line="240" w:lineRule="auto"/>
        <w:ind w:left="426"/>
        <w:contextualSpacing/>
        <w:jc w:val="both"/>
        <w:rPr>
          <w:rFonts w:ascii="Arial" w:eastAsia="Calibri" w:hAnsi="Arial" w:cs="Arial"/>
          <w:b/>
          <w:szCs w:val="24"/>
        </w:rPr>
      </w:pPr>
      <w:r w:rsidRPr="00D15703">
        <w:rPr>
          <w:rFonts w:ascii="Arial" w:eastAsia="Calibri" w:hAnsi="Arial" w:cs="Arial"/>
          <w:b/>
          <w:szCs w:val="24"/>
        </w:rPr>
        <w:t xml:space="preserve">Problema planteado </w:t>
      </w:r>
    </w:p>
    <w:p w14:paraId="06F99823" w14:textId="77777777" w:rsidR="00DF73BF" w:rsidRPr="00D15703" w:rsidRDefault="00DF73BF" w:rsidP="00D15703">
      <w:pPr>
        <w:tabs>
          <w:tab w:val="left" w:pos="284"/>
        </w:tabs>
        <w:spacing w:after="200" w:line="240" w:lineRule="auto"/>
        <w:ind w:left="426"/>
        <w:contextualSpacing/>
        <w:jc w:val="both"/>
        <w:rPr>
          <w:rFonts w:ascii="Arial" w:eastAsia="Calibri" w:hAnsi="Arial" w:cs="Arial"/>
          <w:b/>
          <w:szCs w:val="24"/>
        </w:rPr>
      </w:pPr>
    </w:p>
    <w:p w14:paraId="3D00CAE3" w14:textId="77777777" w:rsidR="009C57C2" w:rsidRPr="00D15703" w:rsidRDefault="009C57C2" w:rsidP="009C57C2">
      <w:pPr>
        <w:spacing w:after="200" w:line="276" w:lineRule="auto"/>
        <w:ind w:right="49"/>
        <w:jc w:val="both"/>
        <w:rPr>
          <w:rFonts w:ascii="Arial" w:eastAsia="Times New Roman" w:hAnsi="Arial" w:cs="Arial"/>
          <w:lang w:eastAsia="es-CO"/>
        </w:rPr>
      </w:pPr>
      <w:bookmarkStart w:id="1" w:name="_Hlk103091300"/>
      <w:r w:rsidRPr="00D15703">
        <w:rPr>
          <w:rFonts w:ascii="Arial" w:eastAsia="Times New Roman" w:hAnsi="Arial" w:cs="Arial"/>
          <w:lang w:eastAsia="es-CO"/>
        </w:rPr>
        <w:t>Usted formula solicitud de consulta compuesta por los siguientes interrogantes:</w:t>
      </w:r>
    </w:p>
    <w:p w14:paraId="62742A0D" w14:textId="77777777" w:rsidR="009C57C2" w:rsidRPr="00D15703" w:rsidRDefault="009C57C2" w:rsidP="009C57C2">
      <w:pPr>
        <w:tabs>
          <w:tab w:val="left" w:pos="7938"/>
        </w:tabs>
        <w:spacing w:after="200" w:line="240" w:lineRule="auto"/>
        <w:ind w:left="709" w:right="900"/>
        <w:jc w:val="both"/>
        <w:rPr>
          <w:rFonts w:ascii="Arial" w:eastAsia="Times New Roman" w:hAnsi="Arial" w:cs="Arial"/>
          <w:sz w:val="21"/>
          <w:szCs w:val="21"/>
          <w:lang w:eastAsia="es-CO"/>
        </w:rPr>
      </w:pPr>
      <w:r w:rsidRPr="00D15703">
        <w:rPr>
          <w:rFonts w:ascii="Arial" w:eastAsia="Times New Roman" w:hAnsi="Arial" w:cs="Arial"/>
          <w:sz w:val="21"/>
          <w:szCs w:val="21"/>
          <w:lang w:eastAsia="es-CO"/>
        </w:rPr>
        <w:t>«</w:t>
      </w:r>
      <w:r w:rsidRPr="00D15703">
        <w:rPr>
          <w:rFonts w:ascii="Arial" w:eastAsia="Arial" w:hAnsi="Arial" w:cs="Arial"/>
          <w:color w:val="000000"/>
          <w:sz w:val="21"/>
          <w:szCs w:val="21"/>
          <w:lang w:eastAsia="es-CO"/>
        </w:rPr>
        <w:t xml:space="preserve">1. </w:t>
      </w:r>
      <w:r w:rsidRPr="00D15703">
        <w:rPr>
          <w:rFonts w:ascii="Arial" w:eastAsia="Times New Roman" w:hAnsi="Arial" w:cs="Arial"/>
          <w:sz w:val="21"/>
          <w:szCs w:val="21"/>
          <w:lang w:eastAsia="es-CO"/>
        </w:rPr>
        <w:t>¿Puede la entidad estatal liquidar el contrato en forma unilateral cuando existe acta de terminación anticipada firmada entre las partes y el contratista falleció sin que se pagaran los recursos y se liberara el saldo no ejecutado?</w:t>
      </w:r>
    </w:p>
    <w:p w14:paraId="1D7E1F6C" w14:textId="1DDB12EB" w:rsidR="009C57C2" w:rsidRPr="00D15703" w:rsidRDefault="009C57C2" w:rsidP="009C57C2">
      <w:pPr>
        <w:tabs>
          <w:tab w:val="left" w:pos="7938"/>
        </w:tabs>
        <w:spacing w:after="200" w:line="240" w:lineRule="auto"/>
        <w:ind w:left="709" w:right="902"/>
        <w:jc w:val="both"/>
        <w:rPr>
          <w:rFonts w:ascii="Arial" w:hAnsi="Arial" w:cs="Arial"/>
          <w:sz w:val="21"/>
          <w:szCs w:val="21"/>
          <w:lang w:val="es-MX"/>
        </w:rPr>
      </w:pPr>
      <w:r w:rsidRPr="00D15703">
        <w:rPr>
          <w:rFonts w:ascii="Arial" w:hAnsi="Arial" w:cs="Arial"/>
          <w:sz w:val="21"/>
          <w:szCs w:val="21"/>
          <w:lang w:val="es-MX"/>
        </w:rPr>
        <w:t>2. ¿Puede la entidad estatal liquidar unilateralmente el contrato estatal, cuando el contrato se ejecutó en debida forma, se encuentra terminado, la sociedad con la que se firmó el contrato se encuentra disuelta y deben liberarse saldos no ejecutados?»</w:t>
      </w:r>
      <w:bookmarkEnd w:id="1"/>
      <w:r w:rsidR="0045008F">
        <w:rPr>
          <w:rFonts w:ascii="Arial" w:hAnsi="Arial" w:cs="Arial"/>
          <w:sz w:val="21"/>
          <w:szCs w:val="21"/>
          <w:lang w:val="es-MX"/>
        </w:rPr>
        <w:t>.</w:t>
      </w:r>
    </w:p>
    <w:p w14:paraId="0A883EE4" w14:textId="77777777" w:rsidR="009C57C2" w:rsidRPr="00D15703" w:rsidRDefault="009C57C2" w:rsidP="009C57C2">
      <w:pPr>
        <w:spacing w:after="200" w:line="240" w:lineRule="auto"/>
        <w:ind w:right="709"/>
        <w:jc w:val="both"/>
        <w:rPr>
          <w:rFonts w:ascii="Arial" w:eastAsia="Calibri" w:hAnsi="Arial" w:cs="Arial"/>
          <w:b/>
          <w:szCs w:val="24"/>
          <w:lang w:eastAsia="es-CO"/>
        </w:rPr>
      </w:pPr>
      <w:r w:rsidRPr="00D15703">
        <w:rPr>
          <w:rFonts w:ascii="Arial" w:eastAsia="Calibri" w:hAnsi="Arial" w:cs="Arial"/>
          <w:b/>
          <w:szCs w:val="24"/>
          <w:lang w:eastAsia="es-CO"/>
        </w:rPr>
        <w:t>2. Consideraciones</w:t>
      </w:r>
      <w:bookmarkStart w:id="2" w:name="_Hlk96420298"/>
    </w:p>
    <w:p w14:paraId="27E15D56" w14:textId="77777777" w:rsidR="009C57C2" w:rsidRPr="00D15703" w:rsidRDefault="009C57C2" w:rsidP="00D15703">
      <w:pPr>
        <w:tabs>
          <w:tab w:val="left" w:pos="426"/>
        </w:tabs>
        <w:spacing w:after="120" w:line="276" w:lineRule="auto"/>
        <w:jc w:val="both"/>
        <w:rPr>
          <w:rFonts w:ascii="Arial" w:eastAsia="Calibri" w:hAnsi="Arial" w:cs="Arial"/>
          <w:color w:val="000000" w:themeColor="text1"/>
          <w:lang w:val="es-ES"/>
        </w:rPr>
      </w:pPr>
      <w:r w:rsidRPr="00D15703">
        <w:rPr>
          <w:rFonts w:ascii="Arial" w:eastAsia="Calibri" w:hAnsi="Arial" w:cs="Arial"/>
          <w:color w:val="000000" w:themeColor="text1"/>
          <w:lang w:val="es-ES"/>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0BC6820A" w14:textId="77777777" w:rsidR="009C57C2" w:rsidRPr="00D15703" w:rsidRDefault="009C57C2" w:rsidP="00D15703">
      <w:pPr>
        <w:tabs>
          <w:tab w:val="left" w:pos="426"/>
        </w:tabs>
        <w:spacing w:after="120" w:line="276" w:lineRule="auto"/>
        <w:ind w:firstLine="425"/>
        <w:jc w:val="both"/>
        <w:rPr>
          <w:rFonts w:ascii="Arial" w:eastAsia="Calibri" w:hAnsi="Arial" w:cs="Arial"/>
          <w:color w:val="000000" w:themeColor="text1"/>
          <w:lang w:val="es-ES"/>
        </w:rPr>
      </w:pPr>
      <w:r w:rsidRPr="00D15703">
        <w:rPr>
          <w:rFonts w:ascii="Arial" w:eastAsia="Calibri" w:hAnsi="Arial" w:cs="Arial"/>
          <w:color w:val="000000" w:themeColor="text1"/>
          <w:lang w:val="es-ES"/>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cada entidad y, en caso de conflicto, a las autoridades judiciales, fiscales y disciplinarias. </w:t>
      </w:r>
    </w:p>
    <w:p w14:paraId="5581FE44" w14:textId="0200B2AF" w:rsidR="009C57C2" w:rsidRDefault="009C57C2" w:rsidP="00D15703">
      <w:pPr>
        <w:widowControl w:val="0"/>
        <w:autoSpaceDE w:val="0"/>
        <w:autoSpaceDN w:val="0"/>
        <w:spacing w:after="0" w:line="276" w:lineRule="auto"/>
        <w:ind w:firstLine="709"/>
        <w:jc w:val="both"/>
        <w:rPr>
          <w:rFonts w:ascii="Arial" w:eastAsia="Calibri" w:hAnsi="Arial" w:cs="Arial"/>
          <w:color w:val="000000" w:themeColor="text1"/>
          <w:lang w:val="es-ES"/>
        </w:rPr>
      </w:pPr>
      <w:r w:rsidRPr="00D15703">
        <w:rPr>
          <w:rFonts w:ascii="Arial" w:eastAsia="Calibri" w:hAnsi="Arial" w:cs="Arial"/>
          <w:color w:val="000000" w:themeColor="text1"/>
          <w:lang w:val="es-ES"/>
        </w:rPr>
        <w:t>Sin perjuicio de lo anterior, la Subdirección de Gestión Contractual, dentro de los límites de sus atribuciones, resolverá la consulta conforme a las normas generales en materia de contratación estatal</w:t>
      </w:r>
      <w:r w:rsidR="00AA0483">
        <w:rPr>
          <w:rFonts w:ascii="Arial" w:eastAsia="Calibri" w:hAnsi="Arial" w:cs="Arial"/>
          <w:color w:val="000000" w:themeColor="text1"/>
          <w:lang w:val="es-ES"/>
        </w:rPr>
        <w:t xml:space="preserve">, </w:t>
      </w:r>
      <w:r w:rsidR="008C0020">
        <w:rPr>
          <w:rFonts w:ascii="Arial" w:eastAsia="Calibri" w:hAnsi="Arial" w:cs="Arial"/>
          <w:color w:val="000000" w:themeColor="text1"/>
          <w:lang w:val="es-ES"/>
        </w:rPr>
        <w:t xml:space="preserve">para efectos de lo cual se realizarán algunas consideraciones sobre </w:t>
      </w:r>
      <w:r w:rsidR="003F2443">
        <w:rPr>
          <w:rFonts w:ascii="Arial" w:eastAsia="Calibri" w:hAnsi="Arial" w:cs="Arial"/>
          <w:color w:val="000000" w:themeColor="text1"/>
          <w:lang w:val="es-ES"/>
        </w:rPr>
        <w:t>la</w:t>
      </w:r>
      <w:r w:rsidR="008C0020">
        <w:rPr>
          <w:rFonts w:ascii="Arial" w:eastAsia="Calibri" w:hAnsi="Arial" w:cs="Arial"/>
          <w:color w:val="000000" w:themeColor="text1"/>
          <w:lang w:val="es-ES"/>
        </w:rPr>
        <w:t xml:space="preserve"> </w:t>
      </w:r>
      <w:r w:rsidR="008C0020" w:rsidRPr="008C0020">
        <w:rPr>
          <w:rFonts w:ascii="Arial" w:eastAsia="Calibri" w:hAnsi="Arial" w:cs="Arial"/>
          <w:color w:val="000000" w:themeColor="text1"/>
          <w:lang w:val="es-ES"/>
        </w:rPr>
        <w:t>liquidación de los contratos estatales</w:t>
      </w:r>
      <w:r w:rsidR="003F2443">
        <w:rPr>
          <w:rFonts w:ascii="Arial" w:eastAsia="Calibri" w:hAnsi="Arial" w:cs="Arial"/>
          <w:color w:val="000000" w:themeColor="text1"/>
          <w:lang w:val="es-ES"/>
        </w:rPr>
        <w:t>, tipos y términos para realizarla.</w:t>
      </w:r>
      <w:r w:rsidR="008C0020">
        <w:rPr>
          <w:rFonts w:ascii="Arial" w:eastAsia="Calibri" w:hAnsi="Arial" w:cs="Arial"/>
          <w:color w:val="000000" w:themeColor="text1"/>
          <w:lang w:val="es-ES"/>
        </w:rPr>
        <w:t xml:space="preserve"> </w:t>
      </w:r>
      <w:r w:rsidRPr="00D15703">
        <w:rPr>
          <w:rFonts w:ascii="Arial" w:hAnsi="Arial" w:cs="Arial"/>
          <w:lang w:val="es-ES_tradnl"/>
        </w:rPr>
        <w:t>La Agencia Nacional de Contratación Pública – Colombia Compra Eficiente</w:t>
      </w:r>
      <w:r w:rsidRPr="00D15703">
        <w:rPr>
          <w:rFonts w:ascii="Arial" w:hAnsi="Arial" w:cs="Arial"/>
          <w:lang w:val="es-ES"/>
        </w:rPr>
        <w:t xml:space="preserve">, </w:t>
      </w:r>
      <w:r w:rsidRPr="00D15703">
        <w:rPr>
          <w:rFonts w:ascii="Arial" w:eastAsia="Calibri" w:hAnsi="Arial" w:cs="Arial"/>
          <w:color w:val="000000" w:themeColor="text1"/>
          <w:lang w:val="es-ES_tradnl"/>
        </w:rPr>
        <w:t>se pronunció sobre la liquidación de los contratos en el concepto con radicado No. 4201912000004908 del 27 de septiembre de 2019 y los conceptos con número interno CU-028 de 25 de febrero de 2020, C-221 de 21 de abril de 2020 y C-444 del 23 de julio de 2021. Adicionalmente, se analizó la garantía de cumplimiento y la liquidación de los contratos estatales en los conceptos C-479 del 27 de julio de 2020, C-625 del 28 de septiembre del 2020, C-078 del 17 de marzo de 2021 y C-769 del 16 de noviembre de 2022</w:t>
      </w:r>
      <w:r w:rsidRPr="00D15703">
        <w:rPr>
          <w:rFonts w:ascii="Arial" w:eastAsia="Calibri" w:hAnsi="Arial" w:cs="Arial"/>
          <w:color w:val="000000" w:themeColor="text1"/>
          <w:vertAlign w:val="superscript"/>
          <w:lang w:val="es-ES_tradnl"/>
        </w:rPr>
        <w:footnoteReference w:id="2"/>
      </w:r>
      <w:r w:rsidRPr="00D15703">
        <w:rPr>
          <w:rFonts w:ascii="Arial" w:hAnsi="Arial" w:cs="Arial"/>
          <w:color w:val="000000"/>
          <w:lang w:val="es-ES"/>
        </w:rPr>
        <w:t>. Las tesis expuestas en dichas oportunidades se reiteran a continuación</w:t>
      </w:r>
      <w:r w:rsidRPr="00D15703">
        <w:rPr>
          <w:rFonts w:ascii="Arial" w:eastAsia="Calibri" w:hAnsi="Arial" w:cs="Arial"/>
          <w:color w:val="000000"/>
          <w:lang w:val="es-ES_tradnl"/>
        </w:rPr>
        <w:t xml:space="preserve">. </w:t>
      </w:r>
      <w:r w:rsidRPr="00D15703">
        <w:rPr>
          <w:rFonts w:ascii="Arial" w:eastAsia="Calibri" w:hAnsi="Arial" w:cs="Arial"/>
          <w:color w:val="000000" w:themeColor="text1"/>
          <w:lang w:val="es-ES"/>
        </w:rPr>
        <w:t xml:space="preserve"> </w:t>
      </w:r>
    </w:p>
    <w:p w14:paraId="3A1E6C8D" w14:textId="77777777" w:rsidR="003F2443" w:rsidRPr="00D15703" w:rsidRDefault="003F2443" w:rsidP="00D15703">
      <w:pPr>
        <w:widowControl w:val="0"/>
        <w:autoSpaceDE w:val="0"/>
        <w:autoSpaceDN w:val="0"/>
        <w:spacing w:after="0" w:line="276" w:lineRule="auto"/>
        <w:ind w:firstLine="709"/>
        <w:jc w:val="both"/>
        <w:rPr>
          <w:rFonts w:ascii="Arial" w:eastAsia="Calibri" w:hAnsi="Arial" w:cs="Arial"/>
          <w:color w:val="000000" w:themeColor="text1"/>
          <w:lang w:val="es-ES"/>
        </w:rPr>
      </w:pPr>
    </w:p>
    <w:p w14:paraId="7704570F" w14:textId="77777777" w:rsidR="009C57C2" w:rsidRPr="00D15703" w:rsidRDefault="009C57C2" w:rsidP="009C57C2">
      <w:pPr>
        <w:spacing w:after="200" w:line="276" w:lineRule="auto"/>
        <w:jc w:val="both"/>
        <w:rPr>
          <w:rFonts w:ascii="Arial" w:hAnsi="Arial" w:cs="Arial"/>
          <w:b/>
          <w:lang w:val="es-ES_tradnl"/>
        </w:rPr>
      </w:pPr>
      <w:r w:rsidRPr="00D15703">
        <w:rPr>
          <w:rFonts w:ascii="Arial" w:eastAsia="Calibri" w:hAnsi="Arial" w:cs="Arial"/>
          <w:b/>
          <w:lang w:val="es-MX"/>
        </w:rPr>
        <w:t xml:space="preserve">2.1. </w:t>
      </w:r>
      <w:bookmarkEnd w:id="2"/>
      <w:r w:rsidRPr="00D15703">
        <w:rPr>
          <w:rFonts w:ascii="Arial" w:hAnsi="Arial" w:cs="Arial"/>
          <w:b/>
          <w:lang w:val="es-ES_tradnl"/>
        </w:rPr>
        <w:t>Liquidación de los contratos estatales</w:t>
      </w:r>
    </w:p>
    <w:p w14:paraId="7C8CCAEA" w14:textId="77777777" w:rsidR="009C57C2" w:rsidRPr="00D15703" w:rsidRDefault="009C57C2" w:rsidP="009C57C2">
      <w:pPr>
        <w:spacing w:after="200" w:line="276" w:lineRule="auto"/>
        <w:jc w:val="both"/>
        <w:rPr>
          <w:rFonts w:ascii="Arial" w:hAnsi="Arial" w:cs="Arial"/>
          <w:color w:val="000000" w:themeColor="text1"/>
          <w:lang w:val="es-ES_tradnl"/>
        </w:rPr>
      </w:pPr>
      <w:r w:rsidRPr="00D15703">
        <w:rPr>
          <w:rFonts w:ascii="Arial" w:hAnsi="Arial" w:cs="Arial"/>
          <w:color w:val="000000" w:themeColor="text1"/>
          <w:lang w:val="es-ES_tradnl"/>
        </w:rPr>
        <w:t xml:space="preserve">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w:t>
      </w:r>
      <w:r w:rsidRPr="00D15703">
        <w:rPr>
          <w:rFonts w:ascii="Arial" w:hAnsi="Arial" w:cs="Arial"/>
          <w:color w:val="000000" w:themeColor="text1"/>
          <w:lang w:val="es-ES_tradnl"/>
        </w:rPr>
        <w:lastRenderedPageBreak/>
        <w:t>forma en que deben ser cumplidas</w:t>
      </w:r>
      <w:r w:rsidRPr="00D15703">
        <w:rPr>
          <w:rFonts w:ascii="Arial" w:hAnsi="Arial" w:cs="Arial"/>
          <w:color w:val="000000" w:themeColor="text1"/>
          <w:vertAlign w:val="superscript"/>
          <w:lang w:val="es-ES_tradnl"/>
        </w:rPr>
        <w:footnoteReference w:id="3"/>
      </w:r>
      <w:r w:rsidRPr="00D15703">
        <w:rPr>
          <w:rFonts w:ascii="Arial" w:hAnsi="Arial" w:cs="Arial"/>
          <w:color w:val="000000" w:themeColor="text1"/>
          <w:lang w:val="es-ES_tradnl"/>
        </w:rPr>
        <w:t>. En armonía con lo anterior, la doctrina ha definido la liquidación de la siguiente manera:</w:t>
      </w:r>
    </w:p>
    <w:p w14:paraId="40516593" w14:textId="77777777" w:rsidR="009C57C2" w:rsidRPr="00D15703" w:rsidRDefault="009C57C2" w:rsidP="009C57C2">
      <w:pPr>
        <w:spacing w:after="200" w:line="240" w:lineRule="auto"/>
        <w:ind w:left="709" w:right="758"/>
        <w:jc w:val="both"/>
        <w:rPr>
          <w:rFonts w:ascii="Arial" w:hAnsi="Arial" w:cs="Arial"/>
          <w:sz w:val="21"/>
          <w:szCs w:val="21"/>
          <w:lang w:val="es-MX"/>
        </w:rPr>
      </w:pPr>
      <w:r w:rsidRPr="00D15703">
        <w:rPr>
          <w:rFonts w:ascii="Arial" w:hAnsi="Arial" w:cs="Arial"/>
          <w:i/>
          <w:iCs/>
          <w:color w:val="000000" w:themeColor="text1"/>
          <w:sz w:val="21"/>
          <w:szCs w:val="21"/>
          <w:lang w:val="es-ES_tradnl"/>
        </w:rPr>
        <w:t>«</w:t>
      </w:r>
      <w:r w:rsidRPr="00D15703">
        <w:rPr>
          <w:rFonts w:ascii="Arial" w:hAnsi="Arial" w:cs="Arial"/>
          <w:sz w:val="21"/>
          <w:szCs w:val="21"/>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D15703">
        <w:rPr>
          <w:rFonts w:ascii="Arial" w:hAnsi="Arial" w:cs="Arial"/>
          <w:sz w:val="21"/>
          <w:szCs w:val="21"/>
          <w:lang w:val="es-MX"/>
        </w:rPr>
        <w:t>ii</w:t>
      </w:r>
      <w:proofErr w:type="spellEnd"/>
      <w:r w:rsidRPr="00D15703">
        <w:rPr>
          <w:rFonts w:ascii="Arial" w:hAnsi="Arial" w:cs="Arial"/>
          <w:sz w:val="21"/>
          <w:szCs w:val="21"/>
          <w:lang w:val="es-MX"/>
        </w:rPr>
        <w:t>) definir la situación jurídica de las partes, estableciendo si pueden constituirse o no a paz y salvo; lo que exige, en la práctica, que los negociantes dialoguen e intenten ponerse de acuerdo (aspecto subjetivo)</w:t>
      </w:r>
      <w:r w:rsidRPr="00D15703">
        <w:rPr>
          <w:rFonts w:ascii="Arial" w:hAnsi="Arial" w:cs="Arial"/>
          <w:sz w:val="21"/>
          <w:szCs w:val="21"/>
          <w:vertAlign w:val="superscript"/>
          <w:lang w:val="es-MX"/>
        </w:rPr>
        <w:footnoteReference w:id="4"/>
      </w:r>
      <w:r w:rsidRPr="00D15703">
        <w:rPr>
          <w:rFonts w:ascii="Arial" w:hAnsi="Arial" w:cs="Arial"/>
          <w:sz w:val="21"/>
          <w:szCs w:val="21"/>
          <w:lang w:val="es-MX"/>
        </w:rPr>
        <w:t>.</w:t>
      </w:r>
      <w:r w:rsidRPr="00D15703">
        <w:rPr>
          <w:rFonts w:ascii="Arial" w:hAnsi="Arial" w:cs="Arial"/>
          <w:i/>
          <w:iCs/>
          <w:color w:val="000000" w:themeColor="text1"/>
          <w:sz w:val="21"/>
          <w:szCs w:val="21"/>
          <w:lang w:val="es-ES_tradnl"/>
        </w:rPr>
        <w:t>»</w:t>
      </w:r>
      <w:r w:rsidRPr="00D15703">
        <w:rPr>
          <w:rFonts w:ascii="Arial" w:hAnsi="Arial" w:cs="Arial"/>
          <w:sz w:val="21"/>
          <w:szCs w:val="21"/>
          <w:lang w:val="es-MX"/>
        </w:rPr>
        <w:t xml:space="preserve"> </w:t>
      </w:r>
    </w:p>
    <w:p w14:paraId="0DB287E8" w14:textId="77777777" w:rsidR="009C57C2" w:rsidRPr="00D15703" w:rsidRDefault="009C57C2" w:rsidP="00D15703">
      <w:pPr>
        <w:spacing w:after="120" w:line="276" w:lineRule="auto"/>
        <w:ind w:firstLine="709"/>
        <w:jc w:val="both"/>
        <w:rPr>
          <w:rFonts w:ascii="Arial" w:hAnsi="Arial" w:cs="Arial"/>
          <w:color w:val="000000" w:themeColor="text1"/>
          <w:sz w:val="21"/>
          <w:szCs w:val="21"/>
          <w:lang w:val="es-ES_tradnl"/>
        </w:rPr>
      </w:pPr>
      <w:r w:rsidRPr="00D15703">
        <w:rPr>
          <w:rFonts w:ascii="Arial" w:hAnsi="Arial" w:cs="Arial"/>
          <w:color w:val="000000" w:themeColor="text1"/>
          <w:lang w:val="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D15703">
        <w:rPr>
          <w:rFonts w:ascii="Arial" w:hAnsi="Arial" w:cs="Arial"/>
          <w:i/>
          <w:iCs/>
          <w:color w:val="000000" w:themeColor="text1"/>
          <w:lang w:val="es-ES_tradnl"/>
        </w:rPr>
        <w:t>liquidar</w:t>
      </w:r>
      <w:r w:rsidRPr="00D15703">
        <w:rPr>
          <w:rFonts w:ascii="Arial" w:hAnsi="Arial" w:cs="Arial"/>
          <w:color w:val="000000" w:themeColor="text1"/>
          <w:lang w:val="es-ES_tradnl"/>
        </w:rPr>
        <w:t xml:space="preserve"> supone un ajuste en relación con las cuentas y el estado de cumplimiento del contrato estatal y, por el otro, que la </w:t>
      </w:r>
      <w:r w:rsidRPr="00D15703">
        <w:rPr>
          <w:rFonts w:ascii="Arial" w:hAnsi="Arial" w:cs="Arial"/>
          <w:i/>
          <w:iCs/>
          <w:color w:val="000000" w:themeColor="text1"/>
          <w:lang w:val="es-ES_tradnl"/>
        </w:rPr>
        <w:t>liquidación</w:t>
      </w:r>
      <w:r w:rsidRPr="00D15703">
        <w:rPr>
          <w:rFonts w:ascii="Arial" w:hAnsi="Arial" w:cs="Arial"/>
          <w:color w:val="000000" w:themeColor="text1"/>
          <w:lang w:val="es-ES_tradnl"/>
        </w:rPr>
        <w:t xml:space="preserve"> debe incluir el análisis de las condiciones de calidad y oportunidad en la entrega de los bienes, obras o servicios, así como el balance económico y el comportamiento financiero del negocio</w:t>
      </w:r>
      <w:r w:rsidRPr="00D15703">
        <w:rPr>
          <w:rFonts w:ascii="Arial" w:hAnsi="Arial" w:cs="Arial"/>
          <w:color w:val="000000" w:themeColor="text1"/>
          <w:vertAlign w:val="superscript"/>
          <w:lang w:val="es-ES_tradnl"/>
        </w:rPr>
        <w:footnoteReference w:id="5"/>
      </w:r>
      <w:r w:rsidRPr="00D15703">
        <w:rPr>
          <w:rFonts w:ascii="Arial" w:hAnsi="Arial" w:cs="Arial"/>
          <w:color w:val="000000" w:themeColor="text1"/>
          <w:lang w:val="es-ES_tradnl"/>
        </w:rPr>
        <w:t xml:space="preserve">. </w:t>
      </w:r>
    </w:p>
    <w:p w14:paraId="1514780C" w14:textId="77777777" w:rsidR="009C57C2" w:rsidRPr="00D15703" w:rsidRDefault="009C57C2" w:rsidP="009C57C2">
      <w:pPr>
        <w:spacing w:after="200" w:line="276" w:lineRule="auto"/>
        <w:ind w:firstLine="709"/>
        <w:jc w:val="both"/>
        <w:rPr>
          <w:rFonts w:ascii="Arial" w:hAnsi="Arial" w:cs="Arial"/>
          <w:color w:val="000000" w:themeColor="text1"/>
          <w:lang w:val="es-ES_tradnl"/>
        </w:rPr>
      </w:pPr>
      <w:r w:rsidRPr="00D15703">
        <w:rPr>
          <w:rFonts w:ascii="Arial" w:hAnsi="Arial" w:cs="Arial"/>
          <w:color w:val="000000" w:themeColor="text1"/>
          <w:lang w:val="es-ES_tradnl"/>
        </w:rPr>
        <w:lastRenderedPageBreak/>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4D4E10A4" w14:textId="77777777" w:rsidR="009C57C2" w:rsidRPr="00D15703" w:rsidRDefault="009C57C2" w:rsidP="009C57C2">
      <w:pPr>
        <w:spacing w:after="200" w:line="240" w:lineRule="auto"/>
        <w:ind w:left="709" w:right="758"/>
        <w:jc w:val="both"/>
        <w:rPr>
          <w:rFonts w:ascii="Arial" w:hAnsi="Arial" w:cs="Arial"/>
          <w:color w:val="000000"/>
          <w:sz w:val="21"/>
          <w:szCs w:val="21"/>
          <w:shd w:val="clear" w:color="auto" w:fill="FFFFFF"/>
          <w:lang w:val="es-ES_tradnl"/>
        </w:rPr>
      </w:pPr>
      <w:r w:rsidRPr="00D15703">
        <w:rPr>
          <w:rFonts w:ascii="Arial" w:hAnsi="Arial" w:cs="Arial"/>
          <w:i/>
          <w:iCs/>
          <w:color w:val="000000" w:themeColor="text1"/>
          <w:lang w:val="es-ES_tradnl"/>
        </w:rPr>
        <w:t>«</w:t>
      </w:r>
      <w:r w:rsidRPr="00D15703">
        <w:rPr>
          <w:rFonts w:ascii="Arial" w:hAnsi="Arial" w:cs="Arial"/>
          <w:sz w:val="21"/>
          <w:szCs w:val="21"/>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D15703">
        <w:rPr>
          <w:rFonts w:ascii="Arial" w:hAnsi="Arial" w:cs="Arial"/>
          <w:color w:val="000000"/>
          <w:sz w:val="21"/>
          <w:szCs w:val="21"/>
          <w:shd w:val="clear" w:color="auto" w:fill="FFFFFF"/>
          <w:vertAlign w:val="superscript"/>
          <w:lang w:val="es-MX"/>
        </w:rPr>
        <w:footnoteReference w:id="6"/>
      </w:r>
      <w:r w:rsidRPr="00D15703">
        <w:rPr>
          <w:rFonts w:ascii="Arial" w:hAnsi="Arial" w:cs="Arial"/>
          <w:color w:val="000000"/>
          <w:sz w:val="21"/>
          <w:szCs w:val="21"/>
          <w:shd w:val="clear" w:color="auto" w:fill="FFFFFF"/>
          <w:lang w:val="es-MX"/>
        </w:rPr>
        <w:t>.</w:t>
      </w:r>
      <w:r w:rsidRPr="00D15703">
        <w:rPr>
          <w:rFonts w:ascii="Arial" w:hAnsi="Arial" w:cs="Arial"/>
          <w:i/>
          <w:iCs/>
          <w:color w:val="000000" w:themeColor="text1"/>
          <w:lang w:val="es-ES_tradnl"/>
        </w:rPr>
        <w:t>»</w:t>
      </w:r>
    </w:p>
    <w:p w14:paraId="46E14AD4" w14:textId="77777777" w:rsidR="009C57C2" w:rsidRPr="00D15703" w:rsidRDefault="009C57C2" w:rsidP="009C57C2">
      <w:pPr>
        <w:spacing w:after="200" w:line="276" w:lineRule="auto"/>
        <w:ind w:firstLine="708"/>
        <w:jc w:val="both"/>
        <w:rPr>
          <w:rFonts w:ascii="Arial" w:hAnsi="Arial" w:cs="Arial"/>
          <w:color w:val="000000" w:themeColor="text1"/>
          <w:lang w:val="es-ES_tradnl"/>
        </w:rPr>
      </w:pPr>
      <w:r w:rsidRPr="00D15703">
        <w:rPr>
          <w:rFonts w:ascii="Arial" w:hAnsi="Arial" w:cs="Arial"/>
          <w:color w:val="000000" w:themeColor="text1"/>
          <w:lang w:val="es-ES_tradnl"/>
        </w:rPr>
        <w:t>Así las cosas, de acuerdo con el artículo 60 de la Ley 80 de 1993, los contratos de tracto sucesivo, aquellos cuyo cumplimiento o ejecución se prolongue en el tiempo y los demás que lo requieran «</w:t>
      </w:r>
      <w:r w:rsidRPr="00D15703">
        <w:rPr>
          <w:rFonts w:ascii="Arial" w:hAnsi="Arial" w:cs="Arial"/>
          <w:i/>
          <w:iCs/>
          <w:color w:val="000000" w:themeColor="text1"/>
          <w:lang w:val="es-ES_tradnl"/>
        </w:rPr>
        <w:t>serán objeto de liquidación</w:t>
      </w:r>
      <w:r w:rsidRPr="00D15703">
        <w:rPr>
          <w:rFonts w:ascii="Arial" w:hAnsi="Arial" w:cs="Arial"/>
          <w:color w:val="000000" w:themeColor="text1"/>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D15703">
        <w:rPr>
          <w:rFonts w:ascii="Arial" w:hAnsi="Arial" w:cs="Arial"/>
          <w:color w:val="000000" w:themeColor="text1"/>
          <w:vertAlign w:val="superscript"/>
          <w:lang w:val="es-ES_tradnl"/>
        </w:rPr>
        <w:footnoteReference w:id="7"/>
      </w:r>
      <w:r w:rsidRPr="00D15703">
        <w:rPr>
          <w:rFonts w:ascii="Arial" w:hAnsi="Arial" w:cs="Arial"/>
          <w:color w:val="000000" w:themeColor="text1"/>
          <w:lang w:val="es-ES_tradnl"/>
        </w:rPr>
        <w:t xml:space="preserve">, así como la probabilidad de que puedan surgir diferencias durante la ejecución del contrato; sin perjuicio de que, como se indicó, todos los contratos estatales de </w:t>
      </w:r>
      <w:r w:rsidRPr="00D15703">
        <w:rPr>
          <w:rFonts w:ascii="Arial" w:hAnsi="Arial" w:cs="Arial"/>
          <w:i/>
          <w:iCs/>
          <w:color w:val="000000" w:themeColor="text1"/>
          <w:lang w:val="es-ES_tradnl"/>
        </w:rPr>
        <w:t>tracto sucesivo</w:t>
      </w:r>
      <w:r w:rsidRPr="00D15703">
        <w:rPr>
          <w:rFonts w:ascii="Arial" w:hAnsi="Arial" w:cs="Arial"/>
          <w:color w:val="000000" w:themeColor="text1"/>
          <w:lang w:val="es-ES_tradnl"/>
        </w:rPr>
        <w:t xml:space="preserve"> o aquellos cuya ejecución se prolongue en el tiempo siempre deban liquidarse, convirtiéndose en estos contratos en una cláusula de la naturaleza, conforme a la clasificación prevista en el Código Civil.</w:t>
      </w:r>
    </w:p>
    <w:p w14:paraId="4C008C65" w14:textId="77777777" w:rsidR="009C57C2" w:rsidRPr="00D15703" w:rsidRDefault="009C57C2" w:rsidP="009C57C2">
      <w:pPr>
        <w:spacing w:after="240" w:line="276" w:lineRule="auto"/>
        <w:jc w:val="both"/>
        <w:rPr>
          <w:rFonts w:ascii="Arial" w:hAnsi="Arial" w:cs="Arial"/>
          <w:b/>
          <w:bCs/>
          <w:lang w:val="es-ES_tradnl"/>
        </w:rPr>
      </w:pPr>
      <w:r w:rsidRPr="00D15703">
        <w:rPr>
          <w:rFonts w:ascii="Arial" w:hAnsi="Arial" w:cs="Arial"/>
          <w:b/>
          <w:bCs/>
          <w:lang w:val="es-ES_tradnl"/>
        </w:rPr>
        <w:t>2.2. Tipos de liquidación y término para efectuarla</w:t>
      </w:r>
    </w:p>
    <w:p w14:paraId="4C16CF50" w14:textId="77777777" w:rsidR="009C57C2" w:rsidRPr="00D15703" w:rsidRDefault="009C57C2" w:rsidP="009C57C2">
      <w:pPr>
        <w:spacing w:after="200" w:line="276" w:lineRule="auto"/>
        <w:jc w:val="both"/>
        <w:rPr>
          <w:rFonts w:ascii="Arial" w:hAnsi="Arial" w:cs="Arial"/>
          <w:color w:val="000000" w:themeColor="text1"/>
          <w:lang w:val="es-ES_tradnl"/>
        </w:rPr>
      </w:pPr>
      <w:r w:rsidRPr="00D15703">
        <w:rPr>
          <w:rFonts w:ascii="Arial" w:hAnsi="Arial" w:cs="Arial"/>
          <w:color w:val="000000" w:themeColor="text1"/>
          <w:lang w:val="es-ES_tradnl"/>
        </w:rPr>
        <w:t>El artículo 11 de la Ley 1150 de 2007</w:t>
      </w:r>
      <w:r w:rsidRPr="00D15703">
        <w:rPr>
          <w:rFonts w:ascii="Arial" w:hAnsi="Arial" w:cs="Arial"/>
          <w:color w:val="000000" w:themeColor="text1"/>
          <w:vertAlign w:val="superscript"/>
          <w:lang w:val="es-ES_tradnl"/>
        </w:rPr>
        <w:footnoteReference w:id="8"/>
      </w:r>
      <w:r w:rsidRPr="00D15703">
        <w:rPr>
          <w:rFonts w:ascii="Arial" w:hAnsi="Arial" w:cs="Arial"/>
          <w:color w:val="000000" w:themeColor="text1"/>
          <w:lang w:val="es-ES_tradnl"/>
        </w:rPr>
        <w:t xml:space="preserve"> contiene las reglas de tipo procedimental para liquidar los contratos estatales, las cuales se pasan a explicar. En primer lugar, en ejercicio de la autonomía </w:t>
      </w:r>
      <w:r w:rsidRPr="00D15703">
        <w:rPr>
          <w:rFonts w:ascii="Arial" w:hAnsi="Arial" w:cs="Arial"/>
          <w:color w:val="000000" w:themeColor="text1"/>
          <w:lang w:val="es-ES_tradnl"/>
        </w:rPr>
        <w:lastRenderedPageBreak/>
        <w:t xml:space="preserve">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D15703">
        <w:rPr>
          <w:rFonts w:ascii="Arial" w:hAnsi="Arial" w:cs="Arial"/>
          <w:color w:val="000000" w:themeColor="text1"/>
          <w:lang w:val="es-ES_tradnl"/>
        </w:rPr>
        <w:t>ii</w:t>
      </w:r>
      <w:proofErr w:type="spellEnd"/>
      <w:r w:rsidRPr="00D15703">
        <w:rPr>
          <w:rFonts w:ascii="Arial" w:hAnsi="Arial" w:cs="Arial"/>
          <w:color w:val="000000" w:themeColor="text1"/>
          <w:lang w:val="es-ES_tradnl"/>
        </w:rPr>
        <w:t xml:space="preserve">) la expedición del acto administrativo que ordene la terminación del contrato; o, </w:t>
      </w:r>
      <w:proofErr w:type="spellStart"/>
      <w:r w:rsidRPr="00D15703">
        <w:rPr>
          <w:rFonts w:ascii="Arial" w:hAnsi="Arial" w:cs="Arial"/>
          <w:color w:val="000000" w:themeColor="text1"/>
          <w:lang w:val="es-ES_tradnl"/>
        </w:rPr>
        <w:t>iii</w:t>
      </w:r>
      <w:proofErr w:type="spellEnd"/>
      <w:r w:rsidRPr="00D15703">
        <w:rPr>
          <w:rFonts w:ascii="Arial" w:hAnsi="Arial" w:cs="Arial"/>
          <w:color w:val="000000" w:themeColor="text1"/>
          <w:lang w:val="es-ES_tradnl"/>
        </w:rPr>
        <w:t>) la fecha del acuerdo que disponga la terminación del contrato.</w:t>
      </w:r>
    </w:p>
    <w:p w14:paraId="221C1AFD" w14:textId="77777777" w:rsidR="009C57C2" w:rsidRPr="00D15703" w:rsidRDefault="009C57C2" w:rsidP="00D15703">
      <w:pPr>
        <w:spacing w:after="120" w:line="276" w:lineRule="auto"/>
        <w:ind w:firstLine="709"/>
        <w:jc w:val="both"/>
        <w:rPr>
          <w:rFonts w:ascii="Arial" w:hAnsi="Arial" w:cs="Arial"/>
          <w:lang w:val="es-ES_tradnl"/>
        </w:rPr>
      </w:pPr>
      <w:r w:rsidRPr="00D15703">
        <w:rPr>
          <w:rFonts w:ascii="Arial" w:hAnsi="Arial" w:cs="Arial"/>
          <w:lang w:val="es-ES_tradnl"/>
        </w:rPr>
        <w:t xml:space="preserve">El artículo 11 de la Ley 1150 de 2007 señala que la liquidación de mutuo acuerdo deberá realizar dentro del plazo previsto en </w:t>
      </w:r>
      <w:r w:rsidRPr="00D15703">
        <w:rPr>
          <w:rFonts w:ascii="Arial" w:hAnsi="Arial" w:cs="Arial"/>
          <w:i/>
          <w:iCs/>
          <w:lang w:val="es-ES_tradnl"/>
        </w:rPr>
        <w:t>«los pliegos de condiciones o sus equivalentes, o dentro del que acuerden las partes para el efecto».</w:t>
      </w:r>
      <w:r w:rsidRPr="00D15703">
        <w:rPr>
          <w:rFonts w:ascii="Arial" w:hAnsi="Arial" w:cs="Arial"/>
          <w:lang w:val="es-ES_tradnl"/>
        </w:rPr>
        <w:t xml:space="preserve"> Para dilucidar a qué se refiere la norma con «equivalentes» resulta necesario tener presente que el pliego de condiciones es un documento contentivo de las reglas aplicables a un determinado proceso de selección, que </w:t>
      </w:r>
      <w:r w:rsidRPr="00D15703">
        <w:rPr>
          <w:rFonts w:ascii="Arial" w:hAnsi="Arial" w:cs="Arial"/>
          <w:i/>
          <w:iCs/>
          <w:lang w:val="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w:t>
      </w:r>
      <w:r w:rsidRPr="00D15703">
        <w:rPr>
          <w:rFonts w:ascii="Arial" w:hAnsi="Arial" w:cs="Arial"/>
          <w:i/>
          <w:iCs/>
          <w:spacing w:val="-7"/>
          <w:lang w:val="es-ES_tradnl"/>
        </w:rPr>
        <w:t xml:space="preserve"> </w:t>
      </w:r>
      <w:r w:rsidRPr="00D15703">
        <w:rPr>
          <w:rFonts w:ascii="Arial" w:hAnsi="Arial" w:cs="Arial"/>
          <w:i/>
          <w:iCs/>
          <w:lang w:val="es-ES_tradnl"/>
        </w:rPr>
        <w:t>celebrar»</w:t>
      </w:r>
      <w:r w:rsidRPr="00D15703">
        <w:rPr>
          <w:rFonts w:ascii="Arial" w:hAnsi="Arial" w:cs="Arial"/>
          <w:i/>
          <w:iCs/>
          <w:vertAlign w:val="superscript"/>
          <w:lang w:val="es-ES_tradnl"/>
        </w:rPr>
        <w:footnoteReference w:id="9"/>
      </w:r>
      <w:r w:rsidRPr="00D15703">
        <w:rPr>
          <w:rFonts w:ascii="Arial" w:hAnsi="Arial" w:cs="Arial"/>
          <w:i/>
          <w:iCs/>
          <w:lang w:val="es-ES_tradnl"/>
        </w:rPr>
        <w:t>.</w:t>
      </w:r>
      <w:r w:rsidRPr="00D15703">
        <w:rPr>
          <w:rFonts w:ascii="Arial" w:hAnsi="Arial" w:cs="Arial"/>
          <w:lang w:val="es-ES_tradnl"/>
        </w:rPr>
        <w:t xml:space="preserve"> A partir de tales características debe determinarse la equivalencia de un documento con un pliego de condiciones, la cual se puede ejemplificar claramente con la invitación a participar en los procesos de mínima cuantía</w:t>
      </w:r>
      <w:r w:rsidRPr="00D15703">
        <w:rPr>
          <w:rFonts w:ascii="Arial" w:hAnsi="Arial" w:cs="Arial"/>
          <w:vertAlign w:val="superscript"/>
          <w:lang w:val="es-ES_tradnl"/>
        </w:rPr>
        <w:footnoteReference w:id="10"/>
      </w:r>
      <w:r w:rsidRPr="00D15703">
        <w:rPr>
          <w:rFonts w:ascii="Arial" w:hAnsi="Arial" w:cs="Arial"/>
          <w:lang w:val="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00D15703">
        <w:rPr>
          <w:rFonts w:ascii="Arial" w:hAnsi="Arial" w:cs="Arial"/>
          <w:i/>
          <w:iCs/>
          <w:lang w:val="es-ES_tradnl"/>
        </w:rPr>
        <w:t>Ibídem</w:t>
      </w:r>
      <w:proofErr w:type="spellEnd"/>
      <w:r w:rsidRPr="00D15703">
        <w:rPr>
          <w:rFonts w:ascii="Arial" w:hAnsi="Arial" w:cs="Arial"/>
          <w:i/>
          <w:iCs/>
          <w:lang w:val="es-ES_tradnl"/>
        </w:rPr>
        <w:t xml:space="preserve">, </w:t>
      </w:r>
      <w:r w:rsidRPr="00D15703">
        <w:rPr>
          <w:rFonts w:ascii="Arial" w:hAnsi="Arial" w:cs="Arial"/>
          <w:lang w:val="es-ES_tradnl"/>
        </w:rPr>
        <w:t xml:space="preserve">dentro del cual es viable establecer el plazo para la liquidación de mutuo acuerdo. </w:t>
      </w:r>
    </w:p>
    <w:p w14:paraId="2B44171B" w14:textId="77777777" w:rsidR="009C57C2" w:rsidRPr="00D15703" w:rsidRDefault="009C57C2" w:rsidP="00D15703">
      <w:pPr>
        <w:spacing w:after="120" w:line="276" w:lineRule="auto"/>
        <w:ind w:firstLine="709"/>
        <w:jc w:val="both"/>
        <w:rPr>
          <w:rFonts w:ascii="Arial" w:hAnsi="Arial" w:cs="Arial"/>
          <w:lang w:val="es-ES_tradnl"/>
        </w:rPr>
      </w:pPr>
      <w:r w:rsidRPr="00D15703">
        <w:rPr>
          <w:rFonts w:ascii="Arial" w:hAnsi="Arial" w:cs="Arial"/>
          <w:lang w:val="es-ES_tradnl"/>
        </w:rPr>
        <w:t>De otra parte, cuando el artículo 11 de la Ley 1150 de 2007 hace referencia al término que «</w:t>
      </w:r>
      <w:r w:rsidRPr="00D15703">
        <w:rPr>
          <w:rFonts w:ascii="Arial" w:hAnsi="Arial" w:cs="Arial"/>
          <w:i/>
          <w:iCs/>
          <w:lang w:val="es-ES_tradnl"/>
        </w:rPr>
        <w:t>acuerden las partes</w:t>
      </w:r>
      <w:r w:rsidRPr="00D15703">
        <w:rPr>
          <w:rFonts w:ascii="Arial" w:hAnsi="Arial" w:cs="Arial"/>
          <w:lang w:val="es-ES_tradnl"/>
        </w:rPr>
        <w:t xml:space="preserve">»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w:t>
      </w:r>
      <w:r w:rsidRPr="00D15703">
        <w:rPr>
          <w:rFonts w:ascii="Arial" w:hAnsi="Arial" w:cs="Arial"/>
          <w:lang w:val="es-ES_tradnl"/>
        </w:rPr>
        <w:lastRenderedPageBreak/>
        <w:t>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sidRPr="00D15703">
        <w:rPr>
          <w:rFonts w:ascii="Arial" w:hAnsi="Arial" w:cs="Arial"/>
          <w:vertAlign w:val="superscript"/>
          <w:lang w:val="es-ES_tradnl"/>
        </w:rPr>
        <w:footnoteReference w:id="11"/>
      </w:r>
      <w:r w:rsidRPr="00D15703">
        <w:rPr>
          <w:rFonts w:ascii="Arial" w:hAnsi="Arial" w:cs="Arial"/>
          <w:lang w:val="es-ES_tradnl"/>
        </w:rPr>
        <w:t>. Esto, de cara a lo consultado, significa que para que un documento en el que se fije el plazo para la liquidación de común acuerdo sea válido, requiere de la confluencia de los mencionados elementos.</w:t>
      </w:r>
    </w:p>
    <w:p w14:paraId="6E372D50" w14:textId="77777777" w:rsidR="009C57C2" w:rsidRPr="00D15703" w:rsidRDefault="009C57C2" w:rsidP="00D15703">
      <w:pPr>
        <w:spacing w:after="120" w:line="276" w:lineRule="auto"/>
        <w:ind w:firstLine="709"/>
        <w:jc w:val="both"/>
        <w:rPr>
          <w:rFonts w:ascii="Arial" w:hAnsi="Arial" w:cs="Arial"/>
          <w:lang w:val="es-ES_tradnl"/>
        </w:rPr>
      </w:pPr>
      <w:r w:rsidRPr="00D15703">
        <w:rPr>
          <w:rFonts w:ascii="Arial" w:hAnsi="Arial" w:cs="Arial"/>
          <w:lang w:val="es-ES_tradn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D15703">
        <w:rPr>
          <w:rFonts w:ascii="Arial" w:hAnsi="Arial" w:cs="Arial"/>
          <w:vertAlign w:val="superscript"/>
          <w:lang w:val="es-ES_tradnl"/>
        </w:rPr>
        <w:footnoteReference w:id="12"/>
      </w:r>
      <w:r w:rsidRPr="00D15703">
        <w:rPr>
          <w:rFonts w:ascii="Arial" w:hAnsi="Arial" w:cs="Arial"/>
          <w:lang w:val="es-ES_tradnl"/>
        </w:rPr>
        <w:t>, lo cual implica que las mismas se desarrollen en procura de la economía y la celeridad</w:t>
      </w:r>
      <w:r w:rsidRPr="00D15703">
        <w:rPr>
          <w:rFonts w:ascii="Arial" w:hAnsi="Arial" w:cs="Arial"/>
          <w:vertAlign w:val="superscript"/>
          <w:lang w:val="es-ES_tradnl"/>
        </w:rPr>
        <w:footnoteReference w:id="13"/>
      </w:r>
      <w:r w:rsidRPr="00D15703">
        <w:rPr>
          <w:rFonts w:ascii="Arial" w:hAnsi="Arial" w:cs="Arial"/>
          <w:lang w:val="es-ES_tradnl"/>
        </w:rPr>
        <w:t>. Esto significa que, en ejercicio de la facultad que les asiste para fijar el plazo para la liquidación bilateral, las partes deben actuar en garantía de estos principios, por lo que el término que se acuerde debe ser fijado de manera razonable.</w:t>
      </w:r>
    </w:p>
    <w:p w14:paraId="55D25357" w14:textId="77777777" w:rsidR="009C57C2" w:rsidRPr="00D15703" w:rsidRDefault="009C57C2" w:rsidP="009C57C2">
      <w:pPr>
        <w:spacing w:after="200" w:line="276" w:lineRule="auto"/>
        <w:ind w:firstLine="709"/>
        <w:jc w:val="both"/>
        <w:rPr>
          <w:rFonts w:ascii="Arial" w:hAnsi="Arial" w:cs="Arial"/>
          <w:color w:val="000000" w:themeColor="text1"/>
          <w:lang w:val="es-ES_tradnl"/>
        </w:rPr>
      </w:pPr>
      <w:r w:rsidRPr="00D15703">
        <w:rPr>
          <w:rFonts w:ascii="Arial" w:hAnsi="Arial" w:cs="Arial"/>
          <w:color w:val="000000" w:themeColor="text1"/>
          <w:lang w:val="es-ES_tradnl"/>
        </w:rPr>
        <w:lastRenderedPageBreak/>
        <w:t>Durante este término, el contratista puede solicitar que se adelante el trámite de liquidación. Sin embargo, es responsabilidad de la Entidad Estatal convocarlo para adelantar la liquidación de común acuerdo o notificarlo para que se presente a realizarla</w:t>
      </w:r>
      <w:r w:rsidRPr="00D15703">
        <w:rPr>
          <w:rFonts w:ascii="Arial" w:hAnsi="Arial" w:cs="Arial"/>
          <w:color w:val="000000" w:themeColor="text1"/>
          <w:vertAlign w:val="superscript"/>
          <w:lang w:val="es-ES_tradnl"/>
        </w:rPr>
        <w:footnoteReference w:id="14"/>
      </w:r>
      <w:r w:rsidRPr="00D15703">
        <w:rPr>
          <w:rFonts w:ascii="Arial" w:hAnsi="Arial" w:cs="Arial"/>
          <w:color w:val="000000" w:themeColor="text1"/>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D15703">
        <w:rPr>
          <w:rFonts w:ascii="Arial" w:hAnsi="Arial" w:cs="Arial"/>
          <w:iCs/>
          <w:color w:val="000000" w:themeColor="text1"/>
          <w:vertAlign w:val="superscript"/>
          <w:lang w:val="es-ES_tradnl"/>
        </w:rPr>
        <w:footnoteReference w:id="15"/>
      </w:r>
      <w:r w:rsidRPr="00D15703">
        <w:rPr>
          <w:rFonts w:ascii="Arial" w:hAnsi="Arial" w:cs="Arial"/>
          <w:color w:val="000000" w:themeColor="text1"/>
          <w:lang w:val="es-ES_tradnl"/>
        </w:rPr>
        <w:t xml:space="preserve">, y </w:t>
      </w:r>
      <w:r w:rsidRPr="00D15703">
        <w:rPr>
          <w:rFonts w:ascii="Arial" w:hAnsi="Arial" w:cs="Arial"/>
          <w:iCs/>
          <w:color w:val="000000" w:themeColor="text1"/>
          <w:lang w:val="es-ES_tradnl"/>
        </w:rPr>
        <w:t>el documento que la contiene presta mérito ejecutivo, siempre que se satisfagan los elementos para considerarlo como tal</w:t>
      </w:r>
      <w:r w:rsidRPr="00D15703">
        <w:rPr>
          <w:rFonts w:ascii="Arial" w:hAnsi="Arial" w:cs="Arial"/>
          <w:color w:val="000000" w:themeColor="text1"/>
          <w:lang w:val="es-ES_tradnl"/>
        </w:rPr>
        <w:t>.</w:t>
      </w:r>
    </w:p>
    <w:p w14:paraId="00D4256C" w14:textId="77777777" w:rsidR="009C57C2" w:rsidRPr="00D15703" w:rsidRDefault="009C57C2" w:rsidP="009C57C2">
      <w:pPr>
        <w:spacing w:after="200" w:line="276" w:lineRule="auto"/>
        <w:ind w:firstLine="705"/>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ES"/>
        </w:rPr>
        <w:t xml:space="preserve">Si no es posible efectuar la liquidación de manera bilateral, el ordenamiento jurídico prevé una facultad, de carácter subsidiario, para que la Entidad Estatal realice la liquidación unilateralmente. En relación con este aspecto, la </w:t>
      </w:r>
      <w:r w:rsidRPr="00D15703">
        <w:rPr>
          <w:rFonts w:ascii="Arial" w:hAnsi="Arial" w:cs="Arial"/>
          <w:color w:val="000000" w:themeColor="text1"/>
          <w:bdr w:val="none" w:sz="0" w:space="0" w:color="auto" w:frame="1"/>
          <w:shd w:val="clear" w:color="auto" w:fill="FFFFFF"/>
          <w:lang w:val="es-MX"/>
        </w:rPr>
        <w:t xml:space="preserve">Sala de Consulta y Servicio Civil del </w:t>
      </w:r>
      <w:r w:rsidRPr="00D15703">
        <w:rPr>
          <w:rFonts w:ascii="Arial" w:hAnsi="Arial" w:cs="Arial"/>
          <w:color w:val="000000" w:themeColor="text1"/>
          <w:bdr w:val="none" w:sz="0" w:space="0" w:color="auto" w:frame="1"/>
          <w:shd w:val="clear" w:color="auto" w:fill="FFFFFF"/>
          <w:lang w:val="es-ES"/>
        </w:rPr>
        <w:t>Consejo de Estado</w:t>
      </w:r>
      <w:r w:rsidRPr="00D15703">
        <w:rPr>
          <w:rFonts w:ascii="Arial" w:hAnsi="Arial" w:cs="Arial"/>
          <w:color w:val="000000" w:themeColor="text1"/>
          <w:bdr w:val="none" w:sz="0" w:space="0" w:color="auto" w:frame="1"/>
          <w:shd w:val="clear" w:color="auto" w:fill="FFFFFF"/>
          <w:lang w:val="es-MX"/>
        </w:rPr>
        <w:t>, en concepto del 28 de junio de 2016</w:t>
      </w:r>
      <w:r w:rsidRPr="00D15703">
        <w:rPr>
          <w:rFonts w:ascii="Arial" w:hAnsi="Arial" w:cs="Arial"/>
          <w:color w:val="000000" w:themeColor="text1"/>
          <w:bdr w:val="none" w:sz="0" w:space="0" w:color="auto" w:frame="1"/>
          <w:shd w:val="clear" w:color="auto" w:fill="FFFFFF"/>
          <w:vertAlign w:val="superscript"/>
          <w:lang w:val="es-MX"/>
        </w:rPr>
        <w:footnoteReference w:id="16"/>
      </w:r>
      <w:r w:rsidRPr="00D15703">
        <w:rPr>
          <w:rFonts w:ascii="Arial" w:hAnsi="Arial" w:cs="Arial"/>
          <w:color w:val="000000" w:themeColor="text1"/>
          <w:bdr w:val="none" w:sz="0" w:space="0" w:color="auto" w:frame="1"/>
          <w:shd w:val="clear" w:color="auto" w:fill="FFFFFF"/>
          <w:lang w:val="es-MX"/>
        </w:rPr>
        <w:t>, manifestó que:  </w:t>
      </w:r>
    </w:p>
    <w:p w14:paraId="65AC5A87" w14:textId="6FD382D1" w:rsidR="009C57C2" w:rsidRPr="00D15703" w:rsidRDefault="009C57C2" w:rsidP="009C57C2">
      <w:pPr>
        <w:spacing w:after="200" w:line="240" w:lineRule="auto"/>
        <w:ind w:left="705" w:right="750"/>
        <w:jc w:val="both"/>
        <w:rPr>
          <w:rFonts w:ascii="Arial" w:hAnsi="Arial" w:cs="Arial"/>
          <w:color w:val="000000" w:themeColor="text1"/>
          <w:sz w:val="21"/>
          <w:szCs w:val="21"/>
          <w:lang w:val="es-MX"/>
        </w:rPr>
      </w:pPr>
      <w:r w:rsidRPr="00D15703">
        <w:rPr>
          <w:rFonts w:ascii="Arial" w:hAnsi="Arial" w:cs="Arial"/>
          <w:i/>
          <w:iCs/>
          <w:sz w:val="21"/>
          <w:szCs w:val="21"/>
          <w:lang w:val="es-ES_tradnl"/>
        </w:rPr>
        <w:t>«</w:t>
      </w:r>
      <w:r w:rsidRPr="00D15703">
        <w:rPr>
          <w:rFonts w:ascii="Arial" w:eastAsia="Calibri" w:hAnsi="Arial" w:cs="Arial"/>
          <w:color w:val="000000" w:themeColor="text1"/>
          <w:sz w:val="21"/>
          <w:szCs w:val="21"/>
          <w:lang w:val="es-ES"/>
        </w:rPr>
        <w:t>[</w:t>
      </w:r>
      <w:r w:rsidRPr="00D15703">
        <w:rPr>
          <w:rFonts w:ascii="Arial" w:hAnsi="Arial" w:cs="Arial"/>
          <w:color w:val="000000" w:themeColor="text1"/>
          <w:sz w:val="21"/>
          <w:szCs w:val="21"/>
          <w:bdr w:val="none" w:sz="0" w:space="0" w:color="auto" w:frame="1"/>
          <w:shd w:val="clear" w:color="auto" w:fill="FFFFFF"/>
          <w:lang w:val="es-MX"/>
        </w:rPr>
        <w:t>…]</w:t>
      </w:r>
      <w:r w:rsidR="00F000C3">
        <w:rPr>
          <w:rFonts w:ascii="Arial" w:hAnsi="Arial" w:cs="Arial"/>
          <w:color w:val="000000" w:themeColor="text1"/>
          <w:sz w:val="21"/>
          <w:szCs w:val="21"/>
          <w:bdr w:val="none" w:sz="0" w:space="0" w:color="auto" w:frame="1"/>
          <w:shd w:val="clear" w:color="auto" w:fill="FFFFFF"/>
          <w:lang w:val="es-MX"/>
        </w:rPr>
        <w:t xml:space="preserve"> </w:t>
      </w:r>
      <w:r w:rsidRPr="00D15703">
        <w:rPr>
          <w:rFonts w:ascii="Arial" w:hAnsi="Arial" w:cs="Arial"/>
          <w:color w:val="000000" w:themeColor="text1"/>
          <w:sz w:val="21"/>
          <w:szCs w:val="21"/>
          <w:bdr w:val="none" w:sz="0" w:space="0" w:color="auto" w:frame="1"/>
          <w:shd w:val="clear" w:color="auto" w:fill="FFFFFF"/>
          <w:lang w:val="es-ES"/>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D15703">
        <w:rPr>
          <w:rFonts w:ascii="Arial" w:hAnsi="Arial" w:cs="Arial"/>
          <w:sz w:val="21"/>
          <w:szCs w:val="21"/>
          <w:lang w:val="es-ES_tradnl"/>
        </w:rPr>
        <w:t>»</w:t>
      </w:r>
      <w:r w:rsidR="001B378E" w:rsidRPr="00D15703">
        <w:rPr>
          <w:rFonts w:ascii="Arial" w:hAnsi="Arial" w:cs="Arial"/>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r w:rsidRPr="00D15703">
        <w:rPr>
          <w:rFonts w:ascii="Arial" w:hAnsi="Arial" w:cs="Arial"/>
          <w:color w:val="000000" w:themeColor="text1"/>
          <w:sz w:val="21"/>
          <w:szCs w:val="21"/>
          <w:bdr w:val="none" w:sz="0" w:space="0" w:color="auto" w:frame="1"/>
          <w:shd w:val="clear" w:color="auto" w:fill="FFFFFF"/>
          <w:lang w:val="es-MX"/>
        </w:rPr>
        <w:t>  </w:t>
      </w:r>
    </w:p>
    <w:p w14:paraId="2019D306" w14:textId="77777777" w:rsidR="009C57C2" w:rsidRPr="00D15703" w:rsidRDefault="009C57C2" w:rsidP="009C57C2">
      <w:pPr>
        <w:spacing w:after="200" w:line="276" w:lineRule="auto"/>
        <w:ind w:firstLine="705"/>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ES"/>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19C1544A" w14:textId="77777777" w:rsidR="009C57C2" w:rsidRPr="00D15703" w:rsidRDefault="009C57C2" w:rsidP="009C57C2">
      <w:pPr>
        <w:spacing w:after="200" w:line="276" w:lineRule="auto"/>
        <w:ind w:firstLine="705"/>
        <w:jc w:val="both"/>
        <w:rPr>
          <w:rFonts w:ascii="Arial" w:hAnsi="Arial" w:cs="Arial"/>
          <w:color w:val="000000" w:themeColor="text1"/>
          <w:bdr w:val="none" w:sz="0" w:space="0" w:color="auto" w:frame="1"/>
          <w:shd w:val="clear" w:color="auto" w:fill="FFFFFF"/>
          <w:lang w:val="es-MX"/>
        </w:rPr>
      </w:pPr>
      <w:r w:rsidRPr="00D15703">
        <w:rPr>
          <w:rFonts w:ascii="Arial" w:hAnsi="Arial" w:cs="Arial"/>
          <w:color w:val="000000" w:themeColor="text1"/>
          <w:bdr w:val="none" w:sz="0" w:space="0" w:color="auto" w:frame="1"/>
          <w:shd w:val="clear" w:color="auto" w:fill="FFFFFF"/>
          <w:lang w:val="es-ES"/>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w:t>
      </w:r>
      <w:r w:rsidRPr="00D15703">
        <w:rPr>
          <w:rFonts w:ascii="Arial" w:hAnsi="Arial" w:cs="Arial"/>
          <w:color w:val="000000" w:themeColor="text1"/>
          <w:bdr w:val="none" w:sz="0" w:space="0" w:color="auto" w:frame="1"/>
          <w:shd w:val="clear" w:color="auto" w:fill="FFFFFF"/>
          <w:lang w:val="es-ES"/>
        </w:rPr>
        <w:lastRenderedPageBreak/>
        <w:t xml:space="preserve">solicitada judicialmente por el interesado. En este sentido, en decisión de unificación de la </w:t>
      </w:r>
      <w:r w:rsidRPr="00D15703">
        <w:rPr>
          <w:rFonts w:ascii="Arial" w:hAnsi="Arial" w:cs="Arial"/>
          <w:color w:val="000000" w:themeColor="text1"/>
          <w:bdr w:val="none" w:sz="0" w:space="0" w:color="auto" w:frame="1"/>
          <w:shd w:val="clear" w:color="auto" w:fill="FFFFFF"/>
          <w:lang w:val="es-MX"/>
        </w:rPr>
        <w:t>Sección Tercera</w:t>
      </w:r>
      <w:r w:rsidRPr="00D15703">
        <w:rPr>
          <w:rFonts w:ascii="Arial" w:hAnsi="Arial" w:cs="Arial"/>
          <w:color w:val="000000" w:themeColor="text1"/>
          <w:bdr w:val="none" w:sz="0" w:space="0" w:color="auto" w:frame="1"/>
          <w:shd w:val="clear" w:color="auto" w:fill="FFFFFF"/>
          <w:lang w:val="es-ES"/>
        </w:rPr>
        <w:t xml:space="preserve"> del Consejo de Estado, del</w:t>
      </w:r>
      <w:r w:rsidRPr="00D15703">
        <w:rPr>
          <w:rFonts w:ascii="Arial" w:hAnsi="Arial" w:cs="Arial"/>
          <w:color w:val="000000" w:themeColor="text1"/>
          <w:bdr w:val="none" w:sz="0" w:space="0" w:color="auto" w:frame="1"/>
          <w:shd w:val="clear" w:color="auto" w:fill="FFFFFF"/>
          <w:lang w:val="es-MX"/>
        </w:rPr>
        <w:t> 1 de agosto de 2019</w:t>
      </w:r>
      <w:r w:rsidRPr="00D15703">
        <w:rPr>
          <w:rFonts w:ascii="Arial" w:hAnsi="Arial" w:cs="Arial"/>
          <w:color w:val="000000" w:themeColor="text1"/>
          <w:bdr w:val="none" w:sz="0" w:space="0" w:color="auto" w:frame="1"/>
          <w:shd w:val="clear" w:color="auto" w:fill="FFFFFF"/>
          <w:vertAlign w:val="superscript"/>
          <w:lang w:val="es-MX"/>
        </w:rPr>
        <w:footnoteReference w:id="17"/>
      </w:r>
      <w:r w:rsidRPr="00D15703">
        <w:rPr>
          <w:rFonts w:ascii="Arial" w:hAnsi="Arial" w:cs="Arial"/>
          <w:color w:val="000000" w:themeColor="text1"/>
          <w:bdr w:val="none" w:sz="0" w:space="0" w:color="auto" w:frame="1"/>
          <w:shd w:val="clear" w:color="auto" w:fill="FFFFFF"/>
          <w:lang w:val="es-MX"/>
        </w:rPr>
        <w:t>, se expresó: </w:t>
      </w:r>
    </w:p>
    <w:p w14:paraId="28CB5CD2" w14:textId="204E8251" w:rsidR="009C57C2" w:rsidRPr="00D15703" w:rsidRDefault="009C57C2" w:rsidP="009C57C2">
      <w:pPr>
        <w:spacing w:after="200" w:line="240" w:lineRule="auto"/>
        <w:ind w:left="705" w:right="750"/>
        <w:jc w:val="both"/>
        <w:rPr>
          <w:rFonts w:ascii="Arial" w:hAnsi="Arial" w:cs="Arial"/>
          <w:color w:val="000000" w:themeColor="text1"/>
          <w:sz w:val="21"/>
          <w:szCs w:val="21"/>
          <w:lang w:val="es-ES"/>
        </w:rPr>
      </w:pPr>
      <w:r w:rsidRPr="00D15703">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D15703">
        <w:rPr>
          <w:rFonts w:ascii="Arial" w:hAnsi="Arial" w:cs="Arial"/>
          <w:color w:val="000000" w:themeColor="text1"/>
          <w:sz w:val="21"/>
          <w:szCs w:val="21"/>
          <w:bdr w:val="none" w:sz="0" w:space="0" w:color="auto" w:frame="1"/>
          <w:shd w:val="clear" w:color="auto" w:fill="FFFFFF"/>
          <w:lang w:val="es-ES"/>
        </w:rPr>
        <w:t>liquidatorio</w:t>
      </w:r>
      <w:proofErr w:type="spellEnd"/>
      <w:r w:rsidRPr="00D15703">
        <w:rPr>
          <w:rFonts w:ascii="Arial" w:hAnsi="Arial" w:cs="Arial"/>
          <w:color w:val="000000" w:themeColor="text1"/>
          <w:sz w:val="21"/>
          <w:szCs w:val="21"/>
          <w:bdr w:val="none" w:sz="0" w:space="0" w:color="auto" w:frame="1"/>
          <w:shd w:val="clear" w:color="auto" w:fill="FFFFFF"/>
          <w:lang w:val="es-ES"/>
        </w:rPr>
        <w:t> se logre dentro del lapso de dos años contados a partir del vencimiento del término legalmente conocido para la liquidación unilateral, pues ese es el lapso que el ordenamiento ha fijado para el ejercicio oportuno de la acción</w:t>
      </w:r>
      <w:r w:rsidRPr="00D15703">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p>
    <w:p w14:paraId="1CB4B823" w14:textId="77777777" w:rsidR="009C57C2" w:rsidRPr="00D15703" w:rsidRDefault="009C57C2" w:rsidP="009C57C2">
      <w:pPr>
        <w:spacing w:after="200" w:line="276" w:lineRule="auto"/>
        <w:ind w:right="106" w:firstLine="705"/>
        <w:jc w:val="both"/>
        <w:rPr>
          <w:rFonts w:ascii="Arial" w:hAnsi="Arial" w:cs="Arial"/>
          <w:color w:val="000000" w:themeColor="text1"/>
          <w:bdr w:val="none" w:sz="0" w:space="0" w:color="auto" w:frame="1"/>
          <w:shd w:val="clear" w:color="auto" w:fill="FFFFFF"/>
          <w:lang w:val="es-MX"/>
        </w:rPr>
      </w:pPr>
      <w:r w:rsidRPr="00D15703">
        <w:rPr>
          <w:rFonts w:ascii="Arial" w:hAnsi="Arial" w:cs="Arial"/>
          <w:color w:val="000000" w:themeColor="text1"/>
          <w:bdr w:val="none" w:sz="0" w:space="0" w:color="auto" w:frame="1"/>
          <w:shd w:val="clear" w:color="auto" w:fill="FFFFFF"/>
          <w:lang w:val="es-MX"/>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w:t>
      </w:r>
    </w:p>
    <w:p w14:paraId="5C08D401" w14:textId="7EEA27AD" w:rsidR="009C57C2" w:rsidRPr="00D15703" w:rsidRDefault="009C57C2" w:rsidP="009C57C2">
      <w:pPr>
        <w:spacing w:after="200" w:line="240" w:lineRule="auto"/>
        <w:ind w:left="709" w:right="758"/>
        <w:jc w:val="both"/>
        <w:rPr>
          <w:rFonts w:ascii="Arial" w:hAnsi="Arial" w:cs="Arial"/>
          <w:color w:val="000000" w:themeColor="text1"/>
          <w:sz w:val="21"/>
          <w:szCs w:val="21"/>
          <w:bdr w:val="none" w:sz="0" w:space="0" w:color="auto" w:frame="1"/>
          <w:shd w:val="clear" w:color="auto" w:fill="FFFFFF"/>
          <w:lang w:val="es-ES"/>
        </w:rPr>
      </w:pPr>
      <w:r w:rsidRPr="00D15703">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MX"/>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sidRPr="00D15703">
        <w:rPr>
          <w:rFonts w:ascii="Arial" w:hAnsi="Arial" w:cs="Arial"/>
          <w:color w:val="000000" w:themeColor="text1"/>
          <w:sz w:val="21"/>
          <w:szCs w:val="21"/>
          <w:bdr w:val="none" w:sz="0" w:space="0" w:color="auto" w:frame="1"/>
          <w:shd w:val="clear" w:color="auto" w:fill="FFFFFF"/>
          <w:lang w:val="es-MX"/>
        </w:rPr>
        <w:t>mas</w:t>
      </w:r>
      <w:proofErr w:type="spellEnd"/>
      <w:r w:rsidRPr="00D15703">
        <w:rPr>
          <w:rFonts w:ascii="Arial" w:hAnsi="Arial" w:cs="Arial"/>
          <w:color w:val="000000" w:themeColor="text1"/>
          <w:sz w:val="21"/>
          <w:szCs w:val="21"/>
          <w:bdr w:val="none" w:sz="0" w:space="0" w:color="auto" w:frame="1"/>
          <w:shd w:val="clear" w:color="auto" w:fill="FFFFFF"/>
          <w:lang w:val="es-MX"/>
        </w:rPr>
        <w:t xml:space="preserve"> (sic) acorde con los efectos que la legislación procesal le atribuye a la presentación de la demanda, y que no están condicionados a su notificación. Desde este enfoque, la Sala declarará que la </w:t>
      </w:r>
      <w:r w:rsidRPr="00D15703">
        <w:rPr>
          <w:rFonts w:ascii="Arial" w:hAnsi="Arial" w:cs="Arial"/>
          <w:color w:val="000000" w:themeColor="text1"/>
          <w:sz w:val="21"/>
          <w:szCs w:val="21"/>
          <w:bdr w:val="none" w:sz="0" w:space="0" w:color="auto" w:frame="1"/>
          <w:shd w:val="clear" w:color="auto" w:fill="FFFFFF"/>
          <w:lang w:val="es-MX"/>
        </w:rPr>
        <w:lastRenderedPageBreak/>
        <w:t>Administración perdió competencia para liquidar el contrato en forma unilateral, a partir de la fecha en que se presentó la demanda que pretendió su liquidación judicial</w:t>
      </w:r>
      <w:r w:rsidRPr="00D15703">
        <w:rPr>
          <w:rFonts w:ascii="Arial" w:hAnsi="Arial" w:cs="Arial"/>
          <w:i/>
          <w:iCs/>
          <w:sz w:val="21"/>
          <w:szCs w:val="21"/>
          <w:lang w:val="es-ES_tradnl"/>
        </w:rPr>
        <w:t>»</w:t>
      </w:r>
      <w:r w:rsidR="00F61F51">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p>
    <w:p w14:paraId="59BA1A88" w14:textId="77777777" w:rsidR="009C57C2" w:rsidRPr="00D15703" w:rsidRDefault="009C57C2" w:rsidP="00D15703">
      <w:pPr>
        <w:spacing w:after="120" w:line="276" w:lineRule="auto"/>
        <w:ind w:right="108" w:firstLine="703"/>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MX"/>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 </w:t>
      </w:r>
    </w:p>
    <w:p w14:paraId="5398AA06" w14:textId="77777777" w:rsidR="009C57C2" w:rsidRPr="00D15703" w:rsidRDefault="009C57C2" w:rsidP="00D15703">
      <w:pPr>
        <w:spacing w:after="120" w:line="276" w:lineRule="auto"/>
        <w:ind w:right="108" w:firstLine="703"/>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MX"/>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los seis meses que trata en artículo 11 de la Ley 1150 de</w:t>
      </w:r>
      <w:r w:rsidRPr="00D15703">
        <w:rPr>
          <w:rFonts w:ascii="Arial" w:hAnsi="Arial" w:cs="Arial"/>
          <w:color w:val="000000" w:themeColor="text1"/>
          <w:spacing w:val="-25"/>
          <w:bdr w:val="none" w:sz="0" w:space="0" w:color="auto" w:frame="1"/>
          <w:shd w:val="clear" w:color="auto" w:fill="FFFFFF"/>
          <w:lang w:val="es-MX"/>
        </w:rPr>
        <w:t> </w:t>
      </w:r>
      <w:r w:rsidRPr="00D15703">
        <w:rPr>
          <w:rFonts w:ascii="Arial" w:hAnsi="Arial" w:cs="Arial"/>
          <w:color w:val="000000" w:themeColor="text1"/>
          <w:bdr w:val="none" w:sz="0" w:space="0" w:color="auto" w:frame="1"/>
          <w:shd w:val="clear" w:color="auto" w:fill="FFFFFF"/>
          <w:lang w:val="es-MX"/>
        </w:rPr>
        <w:t>2011. </w:t>
      </w:r>
    </w:p>
    <w:p w14:paraId="22BF811F" w14:textId="77777777" w:rsidR="009C57C2" w:rsidRPr="00D15703" w:rsidRDefault="009C57C2" w:rsidP="00D15703">
      <w:pPr>
        <w:spacing w:after="120" w:line="276" w:lineRule="auto"/>
        <w:ind w:firstLine="703"/>
        <w:jc w:val="both"/>
        <w:rPr>
          <w:rFonts w:ascii="Arial" w:hAnsi="Arial" w:cs="Arial"/>
          <w:color w:val="000000" w:themeColor="text1"/>
          <w:bdr w:val="none" w:sz="0" w:space="0" w:color="auto" w:frame="1"/>
          <w:shd w:val="clear" w:color="auto" w:fill="FFFFFF"/>
          <w:lang w:val="es-MX"/>
        </w:rPr>
      </w:pPr>
      <w:r w:rsidRPr="00D15703">
        <w:rPr>
          <w:rFonts w:ascii="Arial" w:hAnsi="Arial" w:cs="Arial"/>
          <w:color w:val="000000" w:themeColor="text1"/>
          <w:bdr w:val="none" w:sz="0" w:space="0" w:color="auto" w:frame="1"/>
          <w:shd w:val="clear" w:color="auto" w:fill="FFFFFF"/>
          <w:lang w:val="es-ES"/>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r w:rsidRPr="00D15703">
        <w:rPr>
          <w:rFonts w:ascii="Arial" w:hAnsi="Arial" w:cs="Arial"/>
          <w:color w:val="000000" w:themeColor="text1"/>
          <w:bdr w:val="none" w:sz="0" w:space="0" w:color="auto" w:frame="1"/>
          <w:shd w:val="clear" w:color="auto" w:fill="FFFFFF"/>
          <w:lang w:val="es-MX"/>
        </w:rPr>
        <w:t> </w:t>
      </w:r>
    </w:p>
    <w:p w14:paraId="27C94D0B" w14:textId="77777777" w:rsidR="009C57C2" w:rsidRPr="00D15703" w:rsidRDefault="009C57C2" w:rsidP="00D15703">
      <w:pPr>
        <w:spacing w:after="120" w:line="276" w:lineRule="auto"/>
        <w:ind w:firstLine="703"/>
        <w:jc w:val="both"/>
        <w:rPr>
          <w:rFonts w:ascii="Arial" w:hAnsi="Arial" w:cs="Arial"/>
          <w:color w:val="000000" w:themeColor="text1"/>
          <w:bdr w:val="none" w:sz="0" w:space="0" w:color="auto" w:frame="1"/>
          <w:shd w:val="clear" w:color="auto" w:fill="FFFFFF"/>
          <w:lang w:val="es-MX"/>
        </w:rPr>
      </w:pPr>
      <w:r w:rsidRPr="00D15703">
        <w:rPr>
          <w:rFonts w:ascii="Arial" w:hAnsi="Arial" w:cs="Arial"/>
          <w:lang w:val="es-ES_tradnl"/>
        </w:rPr>
        <w:t>Por tanto, si se trata de un contrato en el cual no existe pacto sobre el término para la liquidación bilateral, el término supletivo aplicaría, y se podría liquidar el contrato dentro de los 4 meses siguientes a su terminación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p w14:paraId="709D5D1C" w14:textId="77777777" w:rsidR="009C57C2" w:rsidRDefault="009C57C2" w:rsidP="00563C14">
      <w:pPr>
        <w:spacing w:after="0" w:line="276" w:lineRule="auto"/>
        <w:ind w:firstLine="709"/>
        <w:jc w:val="both"/>
        <w:rPr>
          <w:rFonts w:ascii="Arial" w:hAnsi="Arial" w:cs="Arial"/>
          <w:lang w:val="es-ES_tradnl"/>
        </w:rPr>
      </w:pPr>
      <w:r w:rsidRPr="00D15703">
        <w:rPr>
          <w:rFonts w:ascii="Arial" w:hAnsi="Arial" w:cs="Arial"/>
          <w:lang w:val="es-ES_tradnl"/>
        </w:rPr>
        <w:t>En suma, de</w:t>
      </w:r>
      <w:r w:rsidRPr="00D15703">
        <w:rPr>
          <w:rFonts w:ascii="Arial" w:hAnsi="Arial" w:cs="Arial"/>
          <w:iCs/>
          <w:lang w:val="es-ES_tradnl"/>
        </w:rPr>
        <w:t xml:space="preserve"> acuerdo con el artículo 11 de la Ley 1150 de 2007, existen tres tipos de liquidación: i) bilateral, </w:t>
      </w:r>
      <w:proofErr w:type="spellStart"/>
      <w:r w:rsidRPr="00D15703">
        <w:rPr>
          <w:rFonts w:ascii="Arial" w:hAnsi="Arial" w:cs="Arial"/>
          <w:iCs/>
          <w:lang w:val="es-ES_tradnl"/>
        </w:rPr>
        <w:t>ii</w:t>
      </w:r>
      <w:proofErr w:type="spellEnd"/>
      <w:r w:rsidRPr="00D15703">
        <w:rPr>
          <w:rFonts w:ascii="Arial" w:hAnsi="Arial" w:cs="Arial"/>
          <w:iCs/>
          <w:lang w:val="es-ES_tradnl"/>
        </w:rPr>
        <w:t xml:space="preserve">) unilateral y </w:t>
      </w:r>
      <w:proofErr w:type="spellStart"/>
      <w:r w:rsidRPr="00D15703">
        <w:rPr>
          <w:rFonts w:ascii="Arial" w:hAnsi="Arial" w:cs="Arial"/>
          <w:iCs/>
          <w:lang w:val="es-ES_tradnl"/>
        </w:rPr>
        <w:t>iii</w:t>
      </w:r>
      <w:proofErr w:type="spellEnd"/>
      <w:r w:rsidRPr="00D15703">
        <w:rPr>
          <w:rFonts w:ascii="Arial" w:hAnsi="Arial" w:cs="Arial"/>
          <w:iCs/>
          <w:lang w:val="es-ES_tradnl"/>
        </w:rPr>
        <w:t>) judicial. En términos generales, la primera, que puede ser total o parcial, debe hacerse en el término que estipulen las partes o, en su defecto, dentro del término supletivo de cuatro meses. La segunda se debe practicar d</w:t>
      </w:r>
      <w:r w:rsidRPr="00D15703">
        <w:rPr>
          <w:rFonts w:ascii="Arial" w:hAnsi="Arial" w:cs="Arial"/>
          <w:lang w:val="es-ES_tradnl"/>
        </w:rPr>
        <w:t xml:space="preserve">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w:t>
      </w:r>
      <w:r w:rsidRPr="00D15703">
        <w:rPr>
          <w:rFonts w:ascii="Arial" w:hAnsi="Arial" w:cs="Arial"/>
          <w:lang w:val="es-ES_tradnl"/>
        </w:rPr>
        <w:lastRenderedPageBreak/>
        <w:t>solicitando dicha liquidación y para ello existe un plazo máximo de 2 años contados a partir de los dos meses establecidos en la Ley para realizar la liquidación unilateral, de conformidad con la citada sentencia de unificación del Consejo de Estado.</w:t>
      </w:r>
    </w:p>
    <w:p w14:paraId="2A279DF2" w14:textId="77777777" w:rsidR="00563C14" w:rsidRPr="00D15703" w:rsidRDefault="00563C14" w:rsidP="00D15703">
      <w:pPr>
        <w:spacing w:after="0" w:line="276" w:lineRule="auto"/>
        <w:ind w:firstLine="709"/>
        <w:jc w:val="both"/>
        <w:rPr>
          <w:rFonts w:ascii="Arial" w:hAnsi="Arial" w:cs="Arial"/>
          <w:lang w:val="es-ES_tradnl"/>
        </w:rPr>
      </w:pPr>
    </w:p>
    <w:p w14:paraId="6009EB43" w14:textId="77777777" w:rsidR="009C57C2" w:rsidRPr="00D15703" w:rsidRDefault="009C57C2" w:rsidP="009C57C2">
      <w:pPr>
        <w:spacing w:after="200" w:line="276" w:lineRule="auto"/>
        <w:jc w:val="both"/>
        <w:rPr>
          <w:rFonts w:ascii="Arial" w:hAnsi="Arial" w:cs="Arial"/>
          <w:b/>
          <w:lang w:val="es-ES_tradnl"/>
        </w:rPr>
      </w:pPr>
      <w:r w:rsidRPr="00D15703">
        <w:rPr>
          <w:rFonts w:ascii="Arial" w:hAnsi="Arial" w:cs="Arial"/>
          <w:b/>
          <w:lang w:val="es-ES_tradnl"/>
        </w:rPr>
        <w:t xml:space="preserve">2.3. Liquidación Unilateral </w:t>
      </w:r>
    </w:p>
    <w:p w14:paraId="77935F59" w14:textId="77777777" w:rsidR="009C57C2" w:rsidRPr="00D15703" w:rsidRDefault="009C57C2" w:rsidP="00D15703">
      <w:pPr>
        <w:spacing w:after="120" w:line="276" w:lineRule="auto"/>
        <w:jc w:val="both"/>
        <w:rPr>
          <w:rFonts w:ascii="Arial" w:hAnsi="Arial" w:cs="Arial"/>
          <w:lang w:val="es-MX"/>
        </w:rPr>
      </w:pPr>
      <w:r w:rsidRPr="00D15703">
        <w:rPr>
          <w:rFonts w:ascii="Arial" w:hAnsi="Arial" w:cs="Arial"/>
          <w:lang w:val="es-MX"/>
        </w:rPr>
        <w:t xml:space="preserve">Conforme a lo expuesto, así como a lo señalado en el artículo 11 de la Ley 1150 de 2007, una vez expirado el plazo expreso indicado en los pliegos de condiciones o en el contrato o, en su defecto, el tácito o supletivo de cuatro meses previsto en la ley, sin que el contratista se haya presentado a la liquidación o las partes no hubieren llegado a un acuerdo, las entidades estatales tendrán la facultad de liquidar en forma unilateral dentro de los dos (2) meses siguientes, y para ello se deberá de expedir el correspondiente acto administrativo. </w:t>
      </w:r>
    </w:p>
    <w:p w14:paraId="6BBDDCC1" w14:textId="77777777" w:rsidR="009C57C2" w:rsidRPr="00D15703" w:rsidRDefault="009C57C2" w:rsidP="00D15703">
      <w:pPr>
        <w:spacing w:after="120" w:line="276" w:lineRule="auto"/>
        <w:ind w:firstLine="851"/>
        <w:jc w:val="both"/>
        <w:rPr>
          <w:rFonts w:ascii="Arial" w:hAnsi="Arial" w:cs="Arial"/>
          <w:lang w:val="es-MX"/>
        </w:rPr>
      </w:pPr>
      <w:r w:rsidRPr="00D15703">
        <w:rPr>
          <w:rFonts w:ascii="Arial" w:hAnsi="Arial" w:cs="Arial"/>
          <w:lang w:val="es-MX"/>
        </w:rPr>
        <w:t xml:space="preserve">Frente al particular, es importante precisar que, al tener la liquidación unilateral un carácter subsidiario o supletorio, resulta indispensable la convocatoria que debe hacer la entidad contratante al contratista con el fin de intentar la liquidación bilateral, puesto que dicha actuación garantiza el derecho del contratista al debido proceso, así como su posibilidad de ejercer el derecho de defensa y contradicción. </w:t>
      </w:r>
    </w:p>
    <w:p w14:paraId="6DCAC907" w14:textId="77777777" w:rsidR="009C57C2" w:rsidRPr="00D15703" w:rsidRDefault="009C57C2" w:rsidP="009C57C2">
      <w:pPr>
        <w:spacing w:after="200" w:line="276" w:lineRule="auto"/>
        <w:ind w:firstLine="851"/>
        <w:jc w:val="both"/>
        <w:rPr>
          <w:rFonts w:ascii="Arial" w:hAnsi="Arial" w:cs="Arial"/>
          <w:lang w:val="es-MX"/>
        </w:rPr>
      </w:pPr>
      <w:r w:rsidRPr="00D15703">
        <w:rPr>
          <w:rFonts w:ascii="Arial" w:hAnsi="Arial" w:cs="Arial"/>
          <w:lang w:val="es-MX"/>
        </w:rPr>
        <w:t xml:space="preserve">Frente a este tema la Sección Tercera del Consejo de Estado ha sido enfática en señalar: </w:t>
      </w:r>
    </w:p>
    <w:p w14:paraId="178F078F" w14:textId="77777777" w:rsidR="009C57C2" w:rsidRPr="00D15703" w:rsidRDefault="009C57C2" w:rsidP="009C57C2">
      <w:pPr>
        <w:spacing w:after="200" w:line="240" w:lineRule="auto"/>
        <w:ind w:left="851" w:right="900"/>
        <w:jc w:val="both"/>
        <w:rPr>
          <w:rFonts w:ascii="Arial" w:hAnsi="Arial" w:cs="Arial"/>
          <w:lang w:val="es-MX"/>
        </w:rPr>
      </w:pPr>
      <w:r w:rsidRPr="00D15703">
        <w:rPr>
          <w:rFonts w:ascii="Arial" w:hAnsi="Arial" w:cs="Arial"/>
          <w:sz w:val="21"/>
          <w:szCs w:val="21"/>
          <w:lang w:val="es-MX"/>
        </w:rPr>
        <w:t xml:space="preserve"> “[L]a finalidad del procedimiento administrativo de liquidación está encaminada, ante todo a procurar que el contrato culmine de la misma forma en que tuvo su génesis, es decir, mediante el acuerdo de voluntades. Para ello resulta indispensable que la entidad pública agote todos los medios a su disposición para procurar la participación activa del contratista en la liquidación… si el contratista nunca tuvo conocimiento del inicio del procedimiento, bien porque no fue convocado, o bien porque se le impidió intervenir en el trámite del mismo, resulta evidente que no será procedente ni legalmente viable el ejercicio de la prerrogativa de liquidación unilateral, entre otras razones por la vulneración del debido proceso.</w:t>
      </w:r>
      <w:r w:rsidRPr="00D15703">
        <w:rPr>
          <w:rFonts w:ascii="Arial" w:hAnsi="Arial" w:cs="Arial"/>
          <w:sz w:val="21"/>
          <w:szCs w:val="21"/>
          <w:vertAlign w:val="superscript"/>
          <w:lang w:val="es-MX"/>
        </w:rPr>
        <w:footnoteReference w:id="18"/>
      </w:r>
      <w:r w:rsidRPr="00D15703">
        <w:rPr>
          <w:rFonts w:ascii="Arial" w:hAnsi="Arial" w:cs="Arial"/>
          <w:sz w:val="21"/>
          <w:szCs w:val="21"/>
          <w:lang w:val="es-MX"/>
        </w:rPr>
        <w:t>”</w:t>
      </w:r>
      <w:r w:rsidRPr="00D15703">
        <w:rPr>
          <w:rFonts w:ascii="Arial" w:hAnsi="Arial" w:cs="Arial"/>
          <w:lang w:val="es-MX"/>
        </w:rPr>
        <w:t xml:space="preserve"> </w:t>
      </w:r>
    </w:p>
    <w:p w14:paraId="6521AFB8" w14:textId="77777777" w:rsidR="009C57C2" w:rsidRPr="00D15703" w:rsidRDefault="009C57C2" w:rsidP="009C57C2">
      <w:pPr>
        <w:spacing w:after="200" w:line="276" w:lineRule="auto"/>
        <w:ind w:firstLine="851"/>
        <w:jc w:val="both"/>
        <w:rPr>
          <w:rFonts w:ascii="Arial" w:hAnsi="Arial" w:cs="Arial"/>
          <w:lang w:val="es-MX"/>
        </w:rPr>
      </w:pPr>
      <w:r w:rsidRPr="00D15703">
        <w:rPr>
          <w:rFonts w:ascii="Arial" w:hAnsi="Arial" w:cs="Arial"/>
          <w:lang w:val="es-MX"/>
        </w:rPr>
        <w:t xml:space="preserve">En el mismo sentido, la Sala de Consulta y Servicio Civil, en sentencia del veintiocho (28) de junio de dos mil dieciséis (2016) Radicación número: 11001-03-06-000-2015-00067-00(2253), </w:t>
      </w:r>
      <w:proofErr w:type="gramStart"/>
      <w:r w:rsidRPr="00D15703">
        <w:rPr>
          <w:rFonts w:ascii="Arial" w:hAnsi="Arial" w:cs="Arial"/>
          <w:lang w:val="es-MX"/>
        </w:rPr>
        <w:t>Consejero</w:t>
      </w:r>
      <w:proofErr w:type="gramEnd"/>
      <w:r w:rsidRPr="00D15703">
        <w:rPr>
          <w:rFonts w:ascii="Arial" w:hAnsi="Arial" w:cs="Arial"/>
          <w:lang w:val="es-MX"/>
        </w:rPr>
        <w:t xml:space="preserve"> ponente Álvaro </w:t>
      </w:r>
      <w:proofErr w:type="spellStart"/>
      <w:r w:rsidRPr="00D15703">
        <w:rPr>
          <w:rFonts w:ascii="Arial" w:hAnsi="Arial" w:cs="Arial"/>
          <w:lang w:val="es-MX"/>
        </w:rPr>
        <w:t>Namén</w:t>
      </w:r>
      <w:proofErr w:type="spellEnd"/>
      <w:r w:rsidRPr="00D15703">
        <w:rPr>
          <w:rFonts w:ascii="Arial" w:hAnsi="Arial" w:cs="Arial"/>
          <w:lang w:val="es-MX"/>
        </w:rPr>
        <w:t xml:space="preserve"> Vargas Bogotá D.C., se pronunció en los siguientes términos:</w:t>
      </w:r>
    </w:p>
    <w:p w14:paraId="585F1D94" w14:textId="77777777" w:rsidR="009C57C2" w:rsidRPr="00D15703" w:rsidRDefault="009C57C2" w:rsidP="009C57C2">
      <w:pPr>
        <w:spacing w:after="200" w:line="240" w:lineRule="auto"/>
        <w:ind w:left="851" w:right="900"/>
        <w:jc w:val="both"/>
        <w:rPr>
          <w:rFonts w:ascii="Arial" w:hAnsi="Arial" w:cs="Arial"/>
          <w:sz w:val="21"/>
          <w:szCs w:val="21"/>
          <w:lang w:val="es-MX"/>
        </w:rPr>
      </w:pPr>
      <w:r w:rsidRPr="00D15703">
        <w:rPr>
          <w:rFonts w:ascii="Arial" w:hAnsi="Arial" w:cs="Arial"/>
          <w:sz w:val="21"/>
          <w:szCs w:val="21"/>
          <w:lang w:val="es-MX"/>
        </w:rPr>
        <w:t xml:space="preserve">Así, es necesario considerar que la Ley 80 de 1993 establece que en las actuaciones contractuales se aplicarán las normas que rigen los procedimientos y actuaciones en la función administrativa, en tanto que sean compatibles con la contratación estatal y, en subsidio, se aplicarán las normas procesales civiles (artículo 77). Congruente con esta disposición, el CPACA precisa que las normas que corresponden al procedimiento administrativo, “se aplican a todos los </w:t>
      </w:r>
      <w:r w:rsidRPr="00D15703">
        <w:rPr>
          <w:rFonts w:ascii="Arial" w:hAnsi="Arial" w:cs="Arial"/>
          <w:sz w:val="21"/>
          <w:szCs w:val="21"/>
          <w:lang w:val="es-MX"/>
        </w:rPr>
        <w:lastRenderedPageBreak/>
        <w:t xml:space="preserve">organismos y entidades que conforman las ramas del poder público en sus distintos órdenes, sectores y niveles, a los órganos autónomos e independientes del Estado y a los particulares, cuando cumplan funciones administrativas” (artículo 2). </w:t>
      </w:r>
    </w:p>
    <w:p w14:paraId="53FE9AA5" w14:textId="77777777" w:rsidR="009C57C2" w:rsidRPr="00D15703" w:rsidRDefault="009C57C2" w:rsidP="009C57C2">
      <w:pPr>
        <w:spacing w:after="200" w:line="240" w:lineRule="auto"/>
        <w:ind w:left="851" w:right="900"/>
        <w:jc w:val="both"/>
        <w:rPr>
          <w:rFonts w:ascii="Arial" w:hAnsi="Arial" w:cs="Arial"/>
          <w:sz w:val="21"/>
          <w:szCs w:val="21"/>
          <w:lang w:val="es-MX"/>
        </w:rPr>
      </w:pPr>
      <w:r w:rsidRPr="00D15703">
        <w:rPr>
          <w:rFonts w:ascii="Arial" w:hAnsi="Arial" w:cs="Arial"/>
          <w:sz w:val="21"/>
          <w:szCs w:val="21"/>
          <w:lang w:val="es-MX"/>
        </w:rPr>
        <w:t xml:space="preserve">Por lo anterior, el acto mediante el cual se liquide unilateralmente un contrato, en tanto que es expresión de función administrativa y obedece a una actuación administrativa, deberá desarrollarse “con arreglo a los principios del debido proceso, igualdad, imparcialidad, buena fe, moralidad, participación, responsabilidad, transparencia, publicidad, coordinación, eficacia, economía y celeridad” (artículo 3, CPACA). </w:t>
      </w:r>
    </w:p>
    <w:p w14:paraId="697F8AA6" w14:textId="77777777" w:rsidR="009C57C2" w:rsidRPr="00D15703" w:rsidRDefault="009C57C2" w:rsidP="009C57C2">
      <w:pPr>
        <w:spacing w:after="200" w:line="240" w:lineRule="auto"/>
        <w:ind w:left="851" w:right="900"/>
        <w:jc w:val="both"/>
        <w:rPr>
          <w:rFonts w:ascii="Arial" w:hAnsi="Arial" w:cs="Arial"/>
          <w:b/>
          <w:lang w:val="es-ES_tradnl"/>
        </w:rPr>
      </w:pPr>
      <w:r w:rsidRPr="00D15703">
        <w:rPr>
          <w:rFonts w:ascii="Arial" w:hAnsi="Arial" w:cs="Arial"/>
          <w:sz w:val="21"/>
          <w:szCs w:val="21"/>
          <w:lang w:val="es-MX"/>
        </w:rPr>
        <w:t>En ese orden de ideas, el acto que contenga la liquidación unilateral del contrato estatal llevada a cabo por parte de la entidad estatal vulnerando los principios y reglas que atañen al contenido, la competencia, la publicidad o, en términos generales, la ley, estará afectado de invalidez y, por lo tanto, será susceptible de nulidad</w:t>
      </w:r>
      <w:r w:rsidRPr="00D15703">
        <w:rPr>
          <w:rFonts w:ascii="Arial" w:hAnsi="Arial" w:cs="Arial"/>
          <w:lang w:val="es-MX"/>
        </w:rPr>
        <w:t>.</w:t>
      </w:r>
    </w:p>
    <w:p w14:paraId="5CF6F2EC" w14:textId="77777777" w:rsidR="009C57C2" w:rsidRPr="00D15703" w:rsidRDefault="009C57C2" w:rsidP="00D15703">
      <w:pPr>
        <w:tabs>
          <w:tab w:val="left" w:pos="851"/>
        </w:tabs>
        <w:spacing w:after="120" w:line="276" w:lineRule="auto"/>
        <w:ind w:firstLine="851"/>
        <w:jc w:val="both"/>
        <w:rPr>
          <w:rFonts w:ascii="Arial" w:hAnsi="Arial" w:cs="Arial"/>
          <w:lang w:val="es-MX"/>
        </w:rPr>
      </w:pPr>
      <w:r w:rsidRPr="00D15703">
        <w:rPr>
          <w:rFonts w:ascii="Arial" w:hAnsi="Arial" w:cs="Arial"/>
          <w:lang w:val="es-MX"/>
        </w:rPr>
        <w:t>En línea con lo anterior, para que pueda adelantarse la liquidación unilateral de un contrato es preciso que se cite al contratista para tal efecto y que: (i) no se presente o (</w:t>
      </w:r>
      <w:proofErr w:type="spellStart"/>
      <w:r w:rsidRPr="00D15703">
        <w:rPr>
          <w:rFonts w:ascii="Arial" w:hAnsi="Arial" w:cs="Arial"/>
          <w:lang w:val="es-MX"/>
        </w:rPr>
        <w:t>ii</w:t>
      </w:r>
      <w:proofErr w:type="spellEnd"/>
      <w:r w:rsidRPr="00D15703">
        <w:rPr>
          <w:rFonts w:ascii="Arial" w:hAnsi="Arial" w:cs="Arial"/>
          <w:lang w:val="es-MX"/>
        </w:rPr>
        <w:t xml:space="preserve">) no se logre acuerdo; cumplidos estos presupuestos la entidad puede adoptar la liquidación definitiva por lo cual la presencia del contratista al trámite </w:t>
      </w:r>
      <w:proofErr w:type="spellStart"/>
      <w:r w:rsidRPr="00D15703">
        <w:rPr>
          <w:rFonts w:ascii="Arial" w:hAnsi="Arial" w:cs="Arial"/>
          <w:lang w:val="es-MX"/>
        </w:rPr>
        <w:t>liquidatorio</w:t>
      </w:r>
      <w:proofErr w:type="spellEnd"/>
      <w:r w:rsidRPr="00D15703">
        <w:rPr>
          <w:rFonts w:ascii="Arial" w:hAnsi="Arial" w:cs="Arial"/>
          <w:lang w:val="es-MX"/>
        </w:rPr>
        <w:t xml:space="preserve"> es necesaria para agotar las posibles actuaciones entre las partes que, posiblemente, culminen en un acto bilateral.</w:t>
      </w:r>
    </w:p>
    <w:p w14:paraId="006775B1" w14:textId="77777777" w:rsidR="009C57C2" w:rsidRDefault="009C57C2" w:rsidP="0010498A">
      <w:pPr>
        <w:spacing w:after="0" w:line="276" w:lineRule="auto"/>
        <w:ind w:firstLine="851"/>
        <w:jc w:val="both"/>
        <w:rPr>
          <w:rFonts w:ascii="Arial" w:hAnsi="Arial" w:cs="Arial"/>
          <w:lang w:val="es-MX"/>
        </w:rPr>
      </w:pPr>
      <w:r w:rsidRPr="00D15703">
        <w:rPr>
          <w:rFonts w:ascii="Arial" w:hAnsi="Arial" w:cs="Arial"/>
          <w:lang w:val="es-MX"/>
        </w:rPr>
        <w:t>Ahora bien, es importante precisar que si bien, es necesaria la convocatoria o citación al contratista para comparecer a la liquidación bilateral, no debe perderse de vista que ello no implica como tal la necesidad de adelantar un procedimiento administrativo propiamente dicho, ya que no se trata de un procedimiento sancionatorio sino del ejercicio de una facultad otorgada por el legislador mismo. Lo anterior, fue analizado en sentencia de la Sala de lo Contencioso Administrativo del Consejo de Estado</w:t>
      </w:r>
      <w:r w:rsidRPr="00D15703">
        <w:rPr>
          <w:rFonts w:ascii="Arial" w:hAnsi="Arial" w:cs="Arial"/>
          <w:sz w:val="21"/>
          <w:szCs w:val="21"/>
          <w:vertAlign w:val="superscript"/>
          <w:lang w:val="es-MX"/>
        </w:rPr>
        <w:footnoteReference w:id="19"/>
      </w:r>
      <w:r w:rsidRPr="00D15703">
        <w:rPr>
          <w:rFonts w:ascii="Arial" w:hAnsi="Arial" w:cs="Arial"/>
          <w:sz w:val="21"/>
          <w:szCs w:val="21"/>
          <w:lang w:val="es-MX"/>
        </w:rPr>
        <w:t xml:space="preserve"> </w:t>
      </w:r>
      <w:r w:rsidRPr="00D15703">
        <w:rPr>
          <w:rFonts w:ascii="Arial" w:hAnsi="Arial" w:cs="Arial"/>
          <w:lang w:val="es-MX"/>
        </w:rPr>
        <w:t>en los siguientes términos:</w:t>
      </w:r>
    </w:p>
    <w:p w14:paraId="6ACDD389" w14:textId="77777777" w:rsidR="0010498A" w:rsidRPr="00D15703" w:rsidRDefault="0010498A" w:rsidP="00D15703">
      <w:pPr>
        <w:spacing w:after="0" w:line="276" w:lineRule="auto"/>
        <w:ind w:firstLine="851"/>
        <w:jc w:val="both"/>
        <w:rPr>
          <w:rFonts w:ascii="Arial" w:hAnsi="Arial" w:cs="Arial"/>
          <w:sz w:val="21"/>
          <w:szCs w:val="21"/>
          <w:lang w:val="es-MX"/>
        </w:rPr>
      </w:pPr>
    </w:p>
    <w:p w14:paraId="1C1AADF7" w14:textId="486A320C" w:rsidR="009C57C2" w:rsidRPr="00D15703" w:rsidRDefault="0010498A" w:rsidP="009C57C2">
      <w:pPr>
        <w:spacing w:after="240" w:line="240" w:lineRule="auto"/>
        <w:ind w:left="851" w:right="851"/>
        <w:jc w:val="both"/>
        <w:rPr>
          <w:rFonts w:ascii="Arial" w:hAnsi="Arial" w:cs="Arial"/>
          <w:sz w:val="21"/>
          <w:szCs w:val="21"/>
          <w:lang w:val="es-MX"/>
        </w:rPr>
      </w:pPr>
      <w:r>
        <w:rPr>
          <w:rFonts w:ascii="Arial" w:hAnsi="Arial" w:cs="Arial"/>
          <w:sz w:val="21"/>
          <w:szCs w:val="21"/>
          <w:lang w:val="es-MX"/>
        </w:rPr>
        <w:t>«</w:t>
      </w:r>
      <w:r w:rsidR="009C57C2" w:rsidRPr="00D15703">
        <w:rPr>
          <w:rFonts w:ascii="Arial" w:hAnsi="Arial" w:cs="Arial"/>
          <w:sz w:val="21"/>
          <w:szCs w:val="21"/>
          <w:lang w:val="es-MX"/>
        </w:rPr>
        <w:t>Así, de acuerdo con la ley la liquidación unilateral puede adelantarse sin necesidad de un procedimiento administrativo en el que se permitan descargos y decreto de pruebas al contratista ya que no corresponde a un trámite sancionatorio sino al ejercicio de una facultad legal que permite establecer mediante acto administrativo el cruce de cuentas final del contrato.  </w:t>
      </w:r>
    </w:p>
    <w:p w14:paraId="4690AC15" w14:textId="0F40F181" w:rsidR="009C57C2" w:rsidRPr="00D15703" w:rsidRDefault="009C57C2" w:rsidP="009C57C2">
      <w:pPr>
        <w:spacing w:after="240" w:line="240" w:lineRule="auto"/>
        <w:ind w:left="851" w:right="851"/>
        <w:jc w:val="both"/>
        <w:rPr>
          <w:rFonts w:ascii="Arial" w:hAnsi="Arial" w:cs="Arial"/>
          <w:lang w:val="es-MX"/>
        </w:rPr>
      </w:pPr>
      <w:r w:rsidRPr="00D15703">
        <w:rPr>
          <w:rFonts w:ascii="Arial" w:hAnsi="Arial" w:cs="Arial"/>
          <w:sz w:val="21"/>
          <w:szCs w:val="21"/>
          <w:lang w:val="es-MX"/>
        </w:rPr>
        <w:t xml:space="preserve">La Constitución Política dispone que el debido proceso se garantizará en todas las actuaciones administrativas y ello impone el respeto de las formas propias de cada procedimiento, de modo que cuando el legislador ha regulado la forma en que estos se surten el debido proceso se garantiza acogiéndose al trámite legal o reglamentariamente previsto; la Ley 80 de 1993  faculta a la administración para liquidar el contrato en forma directa con la sola condición de haber citado al </w:t>
      </w:r>
      <w:r w:rsidRPr="00D15703">
        <w:rPr>
          <w:rFonts w:ascii="Arial" w:hAnsi="Arial" w:cs="Arial"/>
          <w:sz w:val="21"/>
          <w:szCs w:val="21"/>
          <w:lang w:val="es-MX"/>
        </w:rPr>
        <w:lastRenderedPageBreak/>
        <w:t>contratista para intentar pactarla, fracasado lo cual se habilita el ejercicio de la competencia para hacerlo unilateralmente</w:t>
      </w:r>
      <w:r w:rsidR="0010498A">
        <w:rPr>
          <w:rFonts w:ascii="Arial" w:hAnsi="Arial" w:cs="Arial"/>
          <w:sz w:val="21"/>
          <w:szCs w:val="21"/>
          <w:lang w:val="es-MX"/>
        </w:rPr>
        <w:t>»</w:t>
      </w:r>
      <w:r w:rsidRPr="00D15703">
        <w:rPr>
          <w:rFonts w:ascii="Arial" w:hAnsi="Arial" w:cs="Arial"/>
          <w:sz w:val="21"/>
          <w:szCs w:val="21"/>
          <w:lang w:val="es-MX"/>
        </w:rPr>
        <w:t>.</w:t>
      </w:r>
    </w:p>
    <w:p w14:paraId="37267134" w14:textId="77777777"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De este modo, la liquidación unilateral no es un acuerdo sino una imposición de la voluntad que la administración ejerce sobre el contratista y se materializa a través de la expedición de un acto administrativo. En tal sentido, su reconocimiento como una de las potestades excepciones o cláusulas exorbitantes ha variado de posición tanto en la jurisprudencia del Consejo de Estado como en la doctrina. Las primeras veces que el tema fue tratado por el alto tribunal, la posición fue que la liquidación unilateral era una exorbitancia como se describe a continuación.</w:t>
      </w:r>
    </w:p>
    <w:p w14:paraId="58D1ADFB" w14:textId="77777777" w:rsidR="009C57C2" w:rsidRPr="00D15703" w:rsidRDefault="009C57C2" w:rsidP="00D15703">
      <w:pPr>
        <w:tabs>
          <w:tab w:val="left" w:pos="426"/>
        </w:tabs>
        <w:spacing w:after="120" w:line="276" w:lineRule="auto"/>
        <w:ind w:firstLine="709"/>
        <w:jc w:val="both"/>
        <w:rPr>
          <w:rFonts w:ascii="Arial" w:hAnsi="Arial" w:cs="Arial"/>
          <w:sz w:val="24"/>
          <w:lang w:val="es-MX"/>
        </w:rPr>
      </w:pPr>
      <w:r w:rsidRPr="00D15703">
        <w:rPr>
          <w:rFonts w:ascii="Arial" w:hAnsi="Arial" w:cs="Arial"/>
          <w:lang w:val="es-MX"/>
        </w:rPr>
        <w:t>En la sentencia con radicado No. 4.303, del 13 de mayo de 1988, la Sección Tercera del Consejo de Estado, cuando aún se encontraba vigente el Decreto 222 de 1983, consideró que la liquidación unilateral tenía una doble connotación, como acto administrativo y como ejercicio de una potestad exorbitante</w:t>
      </w:r>
      <w:r w:rsidRPr="00D15703">
        <w:rPr>
          <w:rFonts w:ascii="Arial" w:hAnsi="Arial" w:cs="Arial"/>
          <w:sz w:val="24"/>
          <w:vertAlign w:val="superscript"/>
          <w:lang w:val="es-MX"/>
        </w:rPr>
        <w:footnoteReference w:id="20"/>
      </w:r>
      <w:r w:rsidRPr="00D15703">
        <w:rPr>
          <w:rFonts w:ascii="Arial" w:hAnsi="Arial" w:cs="Arial"/>
          <w:sz w:val="24"/>
          <w:lang w:val="es-MX"/>
        </w:rPr>
        <w:t>.</w:t>
      </w:r>
    </w:p>
    <w:p w14:paraId="7F0C6B11" w14:textId="77777777" w:rsidR="009C57C2" w:rsidRPr="00D15703" w:rsidRDefault="009C57C2" w:rsidP="00D15703">
      <w:pPr>
        <w:tabs>
          <w:tab w:val="left" w:pos="426"/>
        </w:tabs>
        <w:spacing w:after="120" w:line="276" w:lineRule="auto"/>
        <w:ind w:firstLine="709"/>
        <w:jc w:val="both"/>
        <w:rPr>
          <w:rFonts w:ascii="Arial" w:hAnsi="Arial" w:cs="Arial"/>
          <w:lang w:val="es-MX"/>
        </w:rPr>
      </w:pPr>
      <w:r w:rsidRPr="00D15703">
        <w:rPr>
          <w:rFonts w:ascii="Arial" w:hAnsi="Arial" w:cs="Arial"/>
          <w:lang w:val="es-MX"/>
        </w:rPr>
        <w:t xml:space="preserve">En el mismo sentido, las sentencias con radicado interno 8.126 del 13 de mayo de 1995, Consejero Ponente Juan de Dios Montes Hernández, radicado No. 10.703, del 18 de julio de 1997, Sección Tercera, Consejero ponente Juan de Dios Montes Hernández y radicado No. 10.781 del 18 de noviembre de 1999, Sección Tercera, Consejero Ponente Ricardo Hoyos Duque, también calificaron de exorbitante a la liquidación unilateral, al considerar que ante la imposibilidad de realizar una liquidación de común acuerdo, la normativa previó la posibilidad de que la entidad estatal lo realizará unilateralmente, como una prerrogativa de poder público, para evitar la paralización de los procedimientos administrativos y garantizar la culminación de los procesos contractuales, sin necesidad de intervención de un tercero y que la exorbitancia supone el ejercicio de facultades unilaterales que la ley únicamente otorga a una de las partes del contrato: la entidad estatal, para que lo ejerza dentro de un lapso de tiempo. Es decir, por disposición legal la Administración ostenta, de manera temporal, la competencia para ejercer unilateralmente determinadas facultades que le son propias por su naturaleza de entidad estatal. </w:t>
      </w:r>
    </w:p>
    <w:p w14:paraId="1A74792B"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Posteriormente, la sentencia con radicado No. 11001-03-26-000-2002-0012-01(22.195), del 4 de julio de 2002, Sección Tercera, Consejero Ponente: </w:t>
      </w:r>
      <w:proofErr w:type="spellStart"/>
      <w:r w:rsidRPr="00D15703">
        <w:rPr>
          <w:rFonts w:ascii="Arial" w:hAnsi="Arial" w:cs="Arial"/>
          <w:lang w:val="es-MX"/>
        </w:rPr>
        <w:t>Jesus</w:t>
      </w:r>
      <w:proofErr w:type="spellEnd"/>
      <w:r w:rsidRPr="00D15703">
        <w:rPr>
          <w:rFonts w:ascii="Arial" w:hAnsi="Arial" w:cs="Arial"/>
          <w:lang w:val="es-MX"/>
        </w:rPr>
        <w:t xml:space="preserve"> María Carrillo Ballesteros, produjo un cambio en la línea que venía proponiendo el Consejo de Estado al disponer que la liquidación unilateral, de la que es titular la Administración, por lo dispuesto por el artículo 60 de la Ley 80 de 1993, no es un poder excepcional o privativo de la Administración, pues el ejercicio de dicha facultad únicamente supone poner fin al contrato teniendo en cuenta el desarrollo económico del mismo y los saldos existentes entre las partes, situación que por sí misma no es ejercicio de un poder excepcional de las entidades estatales, sino el simple ejercicio de una </w:t>
      </w:r>
      <w:r w:rsidRPr="00D15703">
        <w:rPr>
          <w:rFonts w:ascii="Arial" w:hAnsi="Arial" w:cs="Arial"/>
          <w:lang w:val="es-MX"/>
        </w:rPr>
        <w:lastRenderedPageBreak/>
        <w:t>facultad necesaria para concluir los procesos de contratación ante la imposibilidad de llegar a un acuerdo entre las partes.</w:t>
      </w:r>
      <w:r w:rsidRPr="00D15703">
        <w:rPr>
          <w:rFonts w:ascii="Arial" w:hAnsi="Arial" w:cs="Arial"/>
          <w:sz w:val="24"/>
          <w:lang w:val="es-MX"/>
        </w:rPr>
        <w:t xml:space="preserve"> </w:t>
      </w:r>
    </w:p>
    <w:p w14:paraId="01592231" w14:textId="77777777" w:rsidR="009C57C2" w:rsidRPr="00D15703" w:rsidRDefault="009C57C2" w:rsidP="00D15703">
      <w:pPr>
        <w:tabs>
          <w:tab w:val="left" w:pos="426"/>
        </w:tabs>
        <w:spacing w:after="120" w:line="276" w:lineRule="auto"/>
        <w:ind w:right="51" w:firstLine="851"/>
        <w:jc w:val="both"/>
        <w:rPr>
          <w:rFonts w:ascii="Arial" w:hAnsi="Arial" w:cs="Arial"/>
          <w:sz w:val="24"/>
          <w:lang w:val="es-MX"/>
        </w:rPr>
      </w:pPr>
      <w:r w:rsidRPr="00D15703">
        <w:rPr>
          <w:rFonts w:ascii="Arial" w:hAnsi="Arial" w:cs="Arial"/>
          <w:lang w:val="es-MX"/>
        </w:rPr>
        <w:t xml:space="preserve">Sin embargo, a pesar de que lo anterior fue la </w:t>
      </w:r>
      <w:r w:rsidRPr="00D15703">
        <w:rPr>
          <w:rFonts w:ascii="Arial" w:hAnsi="Arial" w:cs="Arial"/>
          <w:i/>
          <w:iCs/>
          <w:lang w:val="es-MX"/>
        </w:rPr>
        <w:t xml:space="preserve">ratio </w:t>
      </w:r>
      <w:proofErr w:type="spellStart"/>
      <w:r w:rsidRPr="00D15703">
        <w:rPr>
          <w:rFonts w:ascii="Arial" w:hAnsi="Arial" w:cs="Arial"/>
          <w:i/>
          <w:iCs/>
          <w:lang w:val="es-MX"/>
        </w:rPr>
        <w:t>decidendi</w:t>
      </w:r>
      <w:proofErr w:type="spellEnd"/>
      <w:r w:rsidRPr="00D15703">
        <w:rPr>
          <w:rFonts w:ascii="Arial" w:hAnsi="Arial" w:cs="Arial"/>
          <w:lang w:val="es-MX"/>
        </w:rPr>
        <w:t xml:space="preserve"> de la sentencia, la aclaración de voto realizada por Ricardo Hoyos Duque difiere de lo expuesto. Para el consejero no es posible afirmar que la liquidación unilateral no suponga el ejercicio de un poder exorbitante, pues las decisiones unilaterales, por el simple hecho de provenir del querer de una sola parte y tener efectos aplicables a todos los sujetos del contrato estatal, son facultades que a pesar de tener fines legítimos -evitar la paralización-, son excepcionales al derecho común, pues se trata de poderes otorgados para el cumplimiento de fines estatales y generar economía y eficiencia en la etapa final del contrato estatal. </w:t>
      </w:r>
    </w:p>
    <w:p w14:paraId="538174C9"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El 31 de agosto de 2006 el Consejo de Estado, Sección Tercera, en sentencia con radicado No. 25000-23-26-000-1991-07664-01(14.287), </w:t>
      </w:r>
      <w:proofErr w:type="gramStart"/>
      <w:r w:rsidRPr="00D15703">
        <w:rPr>
          <w:rFonts w:ascii="Arial" w:hAnsi="Arial" w:cs="Arial"/>
          <w:lang w:val="es-MX"/>
        </w:rPr>
        <w:t>Consejero</w:t>
      </w:r>
      <w:proofErr w:type="gramEnd"/>
      <w:r w:rsidRPr="00D15703">
        <w:rPr>
          <w:rFonts w:ascii="Arial" w:hAnsi="Arial" w:cs="Arial"/>
          <w:lang w:val="es-MX"/>
        </w:rPr>
        <w:t xml:space="preserve"> Ponente Mauricio Fajardo Gómez, afirmó que la liquidación unilateral no era una facultad exorbitante de la Administración, en la medida en que, basándose en un criterio estructural, ni el Decreto-Ley 222 de 1983 ni la Ley 80 de 1993 le dieron está naturaleza. Sumado a lo anterior, la línea se fundamentó en jurisprudencia que había tomado la misma posición argumentando que los poderes unilaterales de la Administración tienen por finalidad la correcta ejecución del contrato, y por tanto aquellas facultades que a pesar de ser unilaterales no tienen este fin no podrían ser consideradas exorbitantes. Así pues, el hecho de que una facultad o poder sea unilateral no otorga por sí mismo la calidad de exorbitante.</w:t>
      </w:r>
    </w:p>
    <w:p w14:paraId="286A2BB3"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Ahora bien, en la sentencia con radicado No. 73001-23-31-000-1999-9333-01(19.333), del 4 de julio de 2007, Sección Tercera, </w:t>
      </w:r>
      <w:proofErr w:type="gramStart"/>
      <w:r w:rsidRPr="00D15703">
        <w:rPr>
          <w:rFonts w:ascii="Arial" w:hAnsi="Arial" w:cs="Arial"/>
          <w:lang w:val="es-MX"/>
        </w:rPr>
        <w:t>Consejero</w:t>
      </w:r>
      <w:proofErr w:type="gramEnd"/>
      <w:r w:rsidRPr="00D15703">
        <w:rPr>
          <w:rFonts w:ascii="Arial" w:hAnsi="Arial" w:cs="Arial"/>
          <w:lang w:val="es-MX"/>
        </w:rPr>
        <w:t xml:space="preserve"> Ponente: Germán </w:t>
      </w:r>
      <w:proofErr w:type="spellStart"/>
      <w:r w:rsidRPr="00D15703">
        <w:rPr>
          <w:rFonts w:ascii="Arial" w:hAnsi="Arial" w:cs="Arial"/>
          <w:lang w:val="es-MX"/>
        </w:rPr>
        <w:t>Rodriguez</w:t>
      </w:r>
      <w:proofErr w:type="spellEnd"/>
      <w:r w:rsidRPr="00D15703">
        <w:rPr>
          <w:rFonts w:ascii="Arial" w:hAnsi="Arial" w:cs="Arial"/>
          <w:lang w:val="es-MX"/>
        </w:rPr>
        <w:t xml:space="preserve"> Villamizar, el Consejo de Estado planteó una tercera tesis sobre el tema, y por tanto una nueva posición. Explicó que en la liquidación unilateral podían existir varios tipos de actos, algunos de los cuales constituían el ejercicio de una facultad exorbitante y otros que, a pesar de ser una manifestación unilateral de la Administración, no surgían de una facultad excepcional. </w:t>
      </w:r>
    </w:p>
    <w:p w14:paraId="0C1B2774" w14:textId="78011846"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Bajo este contexto y a pesar de que en 2006 la jurisprudencia del Consejo de Estado calificó como no exorbitante a la liquidación unilateral, en sentencia con radicado No. 11001-03-26-000- 2009-00001-00(36.252), del 10 de junio de 2009, Sección Tercera, Consejero ponente: Mauricio Fajardo Gómez, dispuso que los jueces arbitrales no podían ejercer control de los actos administrativos en los que la Administración hiciera uso de las facultades excepcionales, dentro de los que se incluyen los actos de liquidación unilateral. De esta forma, después de un estudio de la sentencia de constitucionalidad C-1436 de 2000, determinó que los poderes o potestades excepcionales de la administración no se reducen, en materia contractual, a los que enuncia el artículo 14 de la </w:t>
      </w:r>
      <w:r w:rsidR="003A1D65">
        <w:rPr>
          <w:rFonts w:ascii="Arial" w:hAnsi="Arial" w:cs="Arial"/>
          <w:lang w:val="es-MX"/>
        </w:rPr>
        <w:t>L</w:t>
      </w:r>
      <w:r w:rsidRPr="00D15703">
        <w:rPr>
          <w:rFonts w:ascii="Arial" w:hAnsi="Arial" w:cs="Arial"/>
          <w:lang w:val="es-MX"/>
        </w:rPr>
        <w:t xml:space="preserve">ey 80 de 1993, sino que muchos otros comparten esa naturaleza. </w:t>
      </w:r>
    </w:p>
    <w:p w14:paraId="08C5542D" w14:textId="5D0D1C28" w:rsidR="009C57C2" w:rsidRPr="00D15703" w:rsidRDefault="009C57C2" w:rsidP="00D15703">
      <w:pPr>
        <w:tabs>
          <w:tab w:val="left" w:pos="426"/>
        </w:tabs>
        <w:spacing w:after="120" w:line="276" w:lineRule="auto"/>
        <w:ind w:right="51" w:firstLine="851"/>
        <w:jc w:val="both"/>
        <w:rPr>
          <w:rFonts w:ascii="Arial" w:hAnsi="Arial" w:cs="Arial"/>
          <w:sz w:val="24"/>
          <w:lang w:val="es-MX"/>
        </w:rPr>
      </w:pPr>
      <w:r w:rsidRPr="00D15703">
        <w:rPr>
          <w:rFonts w:ascii="Arial" w:hAnsi="Arial" w:cs="Arial"/>
          <w:lang w:val="es-MX"/>
        </w:rPr>
        <w:t>Ahora bien, de acuerdo a lo dispuesto por el Consejo de Estado en el exp</w:t>
      </w:r>
      <w:r w:rsidR="000A7AAD">
        <w:rPr>
          <w:rFonts w:ascii="Arial" w:hAnsi="Arial" w:cs="Arial"/>
          <w:lang w:val="es-MX"/>
        </w:rPr>
        <w:t>ediente No.</w:t>
      </w:r>
      <w:r w:rsidRPr="00D15703">
        <w:rPr>
          <w:rFonts w:ascii="Arial" w:hAnsi="Arial" w:cs="Arial"/>
          <w:lang w:val="es-MX"/>
        </w:rPr>
        <w:t xml:space="preserve"> 36.252, del 10 de junio de 2009, Consejero ponente: Mauricio Fajardo Gómez, el fallo de la Corte Constitucional debe ser entendido de tal forma que solo cobija las facultades exorbitantes </w:t>
      </w:r>
      <w:r w:rsidRPr="00D15703">
        <w:rPr>
          <w:rFonts w:ascii="Arial" w:hAnsi="Arial" w:cs="Arial"/>
          <w:lang w:val="es-MX"/>
        </w:rPr>
        <w:lastRenderedPageBreak/>
        <w:t>contempladas por los artículos 14 y siguientes de la Ley 80 de 1993, sin que ello implique que sean las únicas potestades excepcionales que consagra la norma, pues se deben entender como poder exorbitante todos los poderes de carácter excepcional a los cuales recurre la Administración en su calidad de tal, independientemente de su ubicación normativa.</w:t>
      </w:r>
      <w:r w:rsidRPr="00D15703">
        <w:rPr>
          <w:rFonts w:ascii="Arial" w:hAnsi="Arial" w:cs="Arial"/>
          <w:sz w:val="24"/>
          <w:lang w:val="es-MX"/>
        </w:rPr>
        <w:t xml:space="preserve"> </w:t>
      </w:r>
    </w:p>
    <w:p w14:paraId="153AFD52" w14:textId="77777777" w:rsidR="009C57C2" w:rsidRPr="00D15703" w:rsidRDefault="009C57C2" w:rsidP="009C57C2">
      <w:pPr>
        <w:tabs>
          <w:tab w:val="left" w:pos="426"/>
        </w:tabs>
        <w:spacing w:after="240" w:line="276" w:lineRule="auto"/>
        <w:ind w:right="49" w:firstLine="851"/>
        <w:jc w:val="both"/>
        <w:rPr>
          <w:rFonts w:ascii="Arial" w:hAnsi="Arial" w:cs="Arial"/>
          <w:sz w:val="24"/>
          <w:lang w:val="es-MX"/>
        </w:rPr>
      </w:pPr>
      <w:r w:rsidRPr="00D15703">
        <w:rPr>
          <w:rFonts w:ascii="Arial" w:hAnsi="Arial" w:cs="Arial"/>
          <w:lang w:val="es-MX"/>
        </w:rPr>
        <w:t>De este modo, reafirmando que la liquidación unilateral es un poder excepcional, las sentencias con radicado No. 05001-23-26-000-1990-00842-01(17.322) del 14 de abril de 2010; 25000-23- 26-000-1992-07954-01(18.082) del 19 de octubre de 2011 y 05001-23-24-000-1995-01110- 01(21.483) del 18 de julio de 2012, de la Sección Tercera, Consejero Ponente Enrique Gil Botero, determinaron que esta surge ante la imposibilidad de realizar una liquidación bilateral generando la necesidad de establecer mecanismos en favor de las entidades estatales para finiquitar procesos que son necesarios para culminar los procesos contractuales.</w:t>
      </w:r>
    </w:p>
    <w:p w14:paraId="1314E465"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Posteriormente, introduciendo diferencias, y contradicción, el Consejo de Estado en sentencia con radicado No. 52001-23-31-000-2003-00665-01(32.797), del 16 de marzo de 2015, Sección Tercera, Subsección C, Consejero Ponente Jaime Orlando Santofimio Gamboa, se pronunció indicando que la liquidación unilateral del contrato es una facultad legal que no implica el ejercicio de una potestad exorbitante, pues no se encuentra en la lista que la Ley 80 de 1993 contempla como tal, es decir, que esta sentencia se basa en un criterio meramente de forma para definir si una cláusula es o no exorbitante. </w:t>
      </w:r>
    </w:p>
    <w:p w14:paraId="238AB39C"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Sumado a lo anterior, en la sentencia con radicado No. 25000-23-26-000-2011-00143- 01(55836) del 24 de abril de 2017, Sección Tercera, Subsección C, Consejero Ponente, Jaime Orlando Santofimio Gamboa, al analizar si en un convenio interadministrativo una entidad estatal había extralimitado su competencia al liquidarlo de manera unilateral, determinó que dado que la liquidación unilateral no supone el ejercicio de un poder exorbitante, por no estar contenida en el artículo 14 de la Ley 80 de 1993, nada impide que las partes en un convenio interadministrativo pacten su ejercicio. Esto tendría como fundamento que la liquidación unilateral, al no ser una cláusula exorbitante, no estaría cubierta por la prohibición que contempla la Ley 80 de 1993 respecto de la imposibilidad que en los contratos o convenios interadministrativos se pacten cláusulas o estipulaciones excepcionales, y por tanto es viable que las entidades, en este tipo de acuerdos de voluntades –interadministrativos-, pacten la liquidación unilateral.</w:t>
      </w:r>
    </w:p>
    <w:p w14:paraId="1B193500" w14:textId="5E28801D"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Finalmente, en esta línea jurisprudencial, el Consejo de Estado, en sentencia con radicado No. 73001-23-33-000-2014-00205-00(55756), del 4 de mayo de 2018, Sección Tercera Subsección A, Consejera Ponente: Marta Nubia Velásquez Rico, consideró que en un contrato celebrado por dos entidades estatales, un municipio y una ESE, la entidad estatal contratante se encontraba facultada para liquidar unilateralmente el convenio interadministrativo en la medida en que los contratos de tracto sucesivo, como el de prestación de servicios sometido a examen, serán objeto de liquidación de mutuo acuerdo o de forma unilateral a falta de aquella, sin que exista una excepción a la aplicabilidad de dicha facultad de la Administración. De esta forma, en dicho caso, el municipio – contratante-, por ministerio de lo dispuesto en la Ley 80 de 1993 y en </w:t>
      </w:r>
      <w:r w:rsidRPr="00D15703">
        <w:rPr>
          <w:rFonts w:ascii="Arial" w:hAnsi="Arial" w:cs="Arial"/>
          <w:lang w:val="es-MX"/>
        </w:rPr>
        <w:lastRenderedPageBreak/>
        <w:t xml:space="preserve">la Ley 1150 de 2007, tenía la facultad de liquidar unilateralmente el contrato, sin que la ESE, a pesar de ser entidad estatal, también tuviese dicha facultad, pues la misma </w:t>
      </w:r>
      <w:r w:rsidR="000A4EB0">
        <w:rPr>
          <w:rFonts w:ascii="Arial" w:hAnsi="Arial" w:cs="Arial"/>
          <w:lang w:val="es-MX"/>
        </w:rPr>
        <w:t>«</w:t>
      </w:r>
      <w:r w:rsidRPr="00D15703">
        <w:rPr>
          <w:rFonts w:ascii="Arial" w:hAnsi="Arial" w:cs="Arial"/>
          <w:lang w:val="es-MX"/>
        </w:rPr>
        <w:t>se halla reservada a la entidad estatal, que dentro el vínculo negocial hubiera desempeñado el rol de contratante, esto es, aquella que hubiera demandado de otro la prestación de un servicio para el cumplimiento de su cometido misional, condición que en este caso ostentó el ente territorial y no la empresa social del Estado</w:t>
      </w:r>
      <w:r w:rsidR="000A4EB0">
        <w:rPr>
          <w:rFonts w:ascii="Arial" w:hAnsi="Arial" w:cs="Arial"/>
          <w:lang w:val="es-MX"/>
        </w:rPr>
        <w:t>»</w:t>
      </w:r>
      <w:r w:rsidRPr="00D15703">
        <w:rPr>
          <w:rFonts w:ascii="Arial" w:hAnsi="Arial" w:cs="Arial"/>
          <w:lang w:val="es-MX"/>
        </w:rPr>
        <w:t xml:space="preserve">. </w:t>
      </w:r>
    </w:p>
    <w:p w14:paraId="311305DC" w14:textId="77777777" w:rsidR="009C57C2" w:rsidRPr="00D15703" w:rsidRDefault="009C57C2" w:rsidP="00D15703">
      <w:pPr>
        <w:tabs>
          <w:tab w:val="left" w:pos="426"/>
        </w:tabs>
        <w:spacing w:after="120" w:line="276" w:lineRule="auto"/>
        <w:ind w:right="51" w:firstLine="851"/>
        <w:jc w:val="both"/>
        <w:rPr>
          <w:rFonts w:ascii="Arial" w:hAnsi="Arial" w:cs="Arial"/>
          <w:lang w:val="es-MX"/>
        </w:rPr>
      </w:pPr>
      <w:r w:rsidRPr="00D15703">
        <w:rPr>
          <w:rFonts w:ascii="Arial" w:hAnsi="Arial" w:cs="Arial"/>
          <w:lang w:val="es-MX"/>
        </w:rPr>
        <w:t xml:space="preserve">En suma, de lo expuesto hasta el momento se advierten dos posiciones respecto a la naturaleza de la liquidación unilateral: </w:t>
      </w:r>
    </w:p>
    <w:p w14:paraId="41D49FFD" w14:textId="77777777" w:rsidR="009C57C2" w:rsidRPr="00D15703" w:rsidRDefault="009C57C2" w:rsidP="00D15703">
      <w:pPr>
        <w:numPr>
          <w:ilvl w:val="0"/>
          <w:numId w:val="5"/>
        </w:numPr>
        <w:tabs>
          <w:tab w:val="left" w:pos="426"/>
        </w:tabs>
        <w:spacing w:after="120" w:line="276" w:lineRule="auto"/>
        <w:ind w:left="0" w:right="51" w:firstLine="851"/>
        <w:jc w:val="both"/>
        <w:rPr>
          <w:rFonts w:ascii="Arial" w:hAnsi="Arial" w:cs="Arial"/>
        </w:rPr>
      </w:pPr>
      <w:r w:rsidRPr="00D15703">
        <w:rPr>
          <w:rFonts w:ascii="Arial" w:hAnsi="Arial" w:cs="Arial"/>
        </w:rPr>
        <w:t xml:space="preserve">La tesis mayoritaria, y sostenida en el tiempo que ha considerado que la liquidación unilateral es una cláusula exorbitante o poder excepcional, porque es una facultad unilateral exclusiva de la entidad estatal, que a pesar de no estar contemplada en el artículo 14 de la Ley 80 de 1993 su naturaleza es evidentemente excepcional al derecho común, y </w:t>
      </w:r>
    </w:p>
    <w:p w14:paraId="50420106" w14:textId="77777777" w:rsidR="009C57C2" w:rsidRPr="00D15703" w:rsidRDefault="009C57C2" w:rsidP="00D15703">
      <w:pPr>
        <w:numPr>
          <w:ilvl w:val="0"/>
          <w:numId w:val="5"/>
        </w:numPr>
        <w:tabs>
          <w:tab w:val="left" w:pos="426"/>
        </w:tabs>
        <w:spacing w:after="120" w:line="276" w:lineRule="auto"/>
        <w:ind w:left="0" w:right="51" w:firstLine="851"/>
        <w:jc w:val="both"/>
        <w:rPr>
          <w:rFonts w:ascii="Arial" w:hAnsi="Arial" w:cs="Arial"/>
          <w:lang w:val="es-MX"/>
        </w:rPr>
      </w:pPr>
      <w:r w:rsidRPr="00D15703">
        <w:rPr>
          <w:rFonts w:ascii="Arial" w:hAnsi="Arial" w:cs="Arial"/>
        </w:rPr>
        <w:t xml:space="preserve">La tesis menos reiterada, propuesta por el algunos </w:t>
      </w:r>
      <w:proofErr w:type="gramStart"/>
      <w:r w:rsidRPr="00D15703">
        <w:rPr>
          <w:rFonts w:ascii="Arial" w:hAnsi="Arial" w:cs="Arial"/>
        </w:rPr>
        <w:t>Consejeros</w:t>
      </w:r>
      <w:proofErr w:type="gramEnd"/>
      <w:r w:rsidRPr="00D15703">
        <w:rPr>
          <w:rFonts w:ascii="Arial" w:hAnsi="Arial" w:cs="Arial"/>
        </w:rPr>
        <w:t xml:space="preserve"> en forma intermitente, que considera que la liquidación unilateral no es una facultad exorbitante o poder excepcional, toda vez que la Ley 80 de 1993 no la calificó expresamente así. De esta forma, la Ley 80 de 1993, en el artículo 14, establece, entre otras, la interpretación, modificación y terminación unilaterales como cláusulas excepcionales al derecho común, que no pueden ser pactadas en los contratos o convenios interadministrativos, por prohibición expresa del Estatuto General de la Contratación Pública. Adicionalmente, el artículo 11 de la Ley 1150 de 2007, que otorga la facultad legal a las entidades estatales de liquidar unilateralmente los contratos, no contempla excepción a su aplicabilidad. </w:t>
      </w:r>
    </w:p>
    <w:p w14:paraId="0F2E29E9" w14:textId="77777777" w:rsidR="009C57C2" w:rsidRPr="00D15703" w:rsidRDefault="009C57C2" w:rsidP="009C57C2">
      <w:pPr>
        <w:tabs>
          <w:tab w:val="left" w:pos="426"/>
        </w:tabs>
        <w:spacing w:after="240" w:line="276" w:lineRule="auto"/>
        <w:ind w:right="49" w:firstLine="851"/>
        <w:jc w:val="both"/>
        <w:rPr>
          <w:rFonts w:ascii="Arial" w:hAnsi="Arial" w:cs="Arial"/>
          <w:lang w:val="es-MX"/>
        </w:rPr>
      </w:pPr>
      <w:r w:rsidRPr="00D15703">
        <w:rPr>
          <w:rFonts w:ascii="Arial" w:hAnsi="Arial" w:cs="Arial"/>
          <w:lang w:val="es-MX"/>
        </w:rPr>
        <w:t xml:space="preserve">Ahora bien, al respecto la posición de la Agencia Nacional de Contratación Pública - Colombia Compra Eficiente comparte la posición jurisprudencial que considera que la liquidación unilateral es una cláusula o poder exorbitante. Así lo señaló en concepto con radicado 2201913000007096 del 25 de septiembre de 2019 así: </w:t>
      </w:r>
    </w:p>
    <w:p w14:paraId="790A843E" w14:textId="782F49D5" w:rsidR="009C57C2" w:rsidRPr="00D15703" w:rsidRDefault="00677327" w:rsidP="009C57C2">
      <w:pPr>
        <w:tabs>
          <w:tab w:val="left" w:pos="426"/>
        </w:tabs>
        <w:spacing w:after="240" w:line="240" w:lineRule="auto"/>
        <w:ind w:left="851" w:right="851"/>
        <w:jc w:val="both"/>
        <w:rPr>
          <w:rFonts w:ascii="Arial" w:hAnsi="Arial" w:cs="Arial"/>
          <w:sz w:val="21"/>
          <w:szCs w:val="21"/>
          <w:lang w:val="es-MX"/>
        </w:rPr>
      </w:pPr>
      <w:r>
        <w:rPr>
          <w:rFonts w:ascii="Arial" w:hAnsi="Arial" w:cs="Arial"/>
          <w:sz w:val="21"/>
          <w:szCs w:val="21"/>
          <w:lang w:val="es-MX"/>
        </w:rPr>
        <w:t>«</w:t>
      </w:r>
      <w:r w:rsidR="009C57C2" w:rsidRPr="00D15703">
        <w:rPr>
          <w:rFonts w:ascii="Arial" w:hAnsi="Arial" w:cs="Arial"/>
          <w:sz w:val="21"/>
          <w:szCs w:val="21"/>
          <w:lang w:val="es-MX"/>
        </w:rPr>
        <w:t xml:space="preserve">Lo anterior porque la liquidación unilateral contempla el ejercicio de privilegios ajenos al derecho común, por ejemplo, el hecho de que de forma unilateral una de las partes de la relación declare que el contratista tiene deudas y determine el valor al que asciende, cuando aquel que realiza la declaración se constituye como el mismo acreedor. </w:t>
      </w:r>
    </w:p>
    <w:p w14:paraId="23802BFF" w14:textId="77777777" w:rsidR="009C57C2" w:rsidRPr="00D15703" w:rsidRDefault="009C57C2" w:rsidP="009C57C2">
      <w:pPr>
        <w:tabs>
          <w:tab w:val="left" w:pos="426"/>
        </w:tabs>
        <w:spacing w:after="240" w:line="240" w:lineRule="auto"/>
        <w:ind w:left="851" w:right="851"/>
        <w:jc w:val="both"/>
        <w:rPr>
          <w:rFonts w:ascii="Arial" w:hAnsi="Arial" w:cs="Arial"/>
          <w:sz w:val="21"/>
          <w:szCs w:val="21"/>
          <w:lang w:val="es-MX"/>
        </w:rPr>
      </w:pPr>
      <w:r w:rsidRPr="00D15703">
        <w:rPr>
          <w:rFonts w:ascii="Arial" w:hAnsi="Arial" w:cs="Arial"/>
          <w:sz w:val="21"/>
          <w:szCs w:val="21"/>
          <w:lang w:val="es-MX"/>
        </w:rPr>
        <w:t xml:space="preserve">De esta forma, dado que la liquidación unilateral es una facultad que tienen las entidades estatales de hacer un balance final o ajuste de cuentas del contrato, para terminar la relación jurídica obligacional cuando el contratista no se presente a la liquidación o las partes no lleguen a un acuerdo sobre su contenido, el acto administrativo que surge del ejercicio de dicho poder es un título ejecutivo generado por quien es parte del negocio jurídico, y que puede contener saldos a su favor que podrían conllevar que el juez libre un mandamiento ejecutivo o se ejecute su cobro coactivamente. </w:t>
      </w:r>
    </w:p>
    <w:p w14:paraId="072497A7" w14:textId="77777777" w:rsidR="009C57C2" w:rsidRPr="00D15703" w:rsidRDefault="009C57C2" w:rsidP="009C57C2">
      <w:pPr>
        <w:tabs>
          <w:tab w:val="left" w:pos="426"/>
        </w:tabs>
        <w:spacing w:after="240" w:line="240" w:lineRule="auto"/>
        <w:ind w:left="851" w:right="851"/>
        <w:jc w:val="both"/>
        <w:rPr>
          <w:rFonts w:ascii="Arial" w:hAnsi="Arial" w:cs="Arial"/>
          <w:sz w:val="21"/>
          <w:szCs w:val="21"/>
          <w:lang w:val="es-MX"/>
        </w:rPr>
      </w:pPr>
      <w:r w:rsidRPr="00D15703">
        <w:rPr>
          <w:rFonts w:ascii="Arial" w:hAnsi="Arial" w:cs="Arial"/>
          <w:sz w:val="21"/>
          <w:szCs w:val="21"/>
          <w:lang w:val="es-MX"/>
        </w:rPr>
        <w:lastRenderedPageBreak/>
        <w:t xml:space="preserve">Por otra parte, una cláusula es o no exorbitante atendiendo a su naturaleza y no por la simple ubicación en un artículo de la Ley 80 de 1993, es decir, que se debe realizar un análisis de su contenido material para definir si contiene o no un privilegio que en sentido estricto no se confiere en el derecho común. De esta forma, independientemente de la ubicación, las cláusulas que contengan facultades diferentes al derecho común deben considerarse como exorbitantes. </w:t>
      </w:r>
    </w:p>
    <w:p w14:paraId="21DA961F" w14:textId="6337D8C9" w:rsidR="009C57C2" w:rsidRPr="00D15703" w:rsidRDefault="009C57C2" w:rsidP="009C57C2">
      <w:pPr>
        <w:tabs>
          <w:tab w:val="left" w:pos="426"/>
        </w:tabs>
        <w:spacing w:after="240" w:line="240" w:lineRule="auto"/>
        <w:ind w:left="851" w:right="851"/>
        <w:jc w:val="both"/>
        <w:rPr>
          <w:rFonts w:ascii="Arial" w:hAnsi="Arial" w:cs="Arial"/>
          <w:lang w:val="es-MX"/>
        </w:rPr>
      </w:pPr>
      <w:r w:rsidRPr="00D15703">
        <w:rPr>
          <w:rFonts w:ascii="Arial" w:hAnsi="Arial" w:cs="Arial"/>
          <w:sz w:val="21"/>
          <w:szCs w:val="21"/>
          <w:lang w:val="es-MX"/>
        </w:rPr>
        <w:t>Adicionalmente, la Corte Constitucional, en el análisis de la sentencia C-1436 de 2000, no dijo que las potestades excepcionales fueran las contenidas en un artículo especifico de la Ley 80 de 1993, sino que las definió como aquellas a través de las cuales a la entidad pública se le reconocen una serie de prerrogativas con fundamento en la prevalencia del interés general y los fines estatales, sin importar el artículo en el que se encuentran ubicadas. Así, es claro que la Corte Constitucional no consideró que las cláusulas exorbitantes únicamente fueran las consagradas en el artículo 14 de la Ley 80 de 1993, razón por la cual, en la misma línea, se debe considerar que la exorbitancia se predica de cualquier poder que se otorgue para una de las partes, sin perjuicio de la igualdad que debe regir las relaciones negociales</w:t>
      </w:r>
      <w:r w:rsidR="00677327">
        <w:rPr>
          <w:rFonts w:ascii="Arial" w:hAnsi="Arial" w:cs="Arial"/>
          <w:sz w:val="21"/>
          <w:szCs w:val="21"/>
          <w:lang w:val="es-MX"/>
        </w:rPr>
        <w:t>»</w:t>
      </w:r>
      <w:r w:rsidRPr="00D15703">
        <w:rPr>
          <w:rFonts w:ascii="Arial" w:hAnsi="Arial" w:cs="Arial"/>
          <w:sz w:val="21"/>
          <w:szCs w:val="21"/>
          <w:lang w:val="es-MX"/>
        </w:rPr>
        <w:t>.</w:t>
      </w:r>
      <w:r w:rsidRPr="00D15703">
        <w:rPr>
          <w:rFonts w:ascii="Arial" w:hAnsi="Arial" w:cs="Arial"/>
          <w:lang w:val="es-MX"/>
        </w:rPr>
        <w:t xml:space="preserve"> </w:t>
      </w:r>
    </w:p>
    <w:p w14:paraId="59BDDC6E" w14:textId="77777777" w:rsidR="009C57C2" w:rsidRPr="00D15703" w:rsidRDefault="009C57C2" w:rsidP="009C57C2">
      <w:pPr>
        <w:tabs>
          <w:tab w:val="left" w:pos="426"/>
        </w:tabs>
        <w:spacing w:after="240" w:line="276" w:lineRule="auto"/>
        <w:ind w:firstLine="851"/>
        <w:jc w:val="both"/>
        <w:rPr>
          <w:rFonts w:ascii="Arial" w:hAnsi="Arial" w:cs="Arial"/>
          <w:lang w:val="es-MX"/>
        </w:rPr>
      </w:pPr>
      <w:r w:rsidRPr="00D15703">
        <w:rPr>
          <w:rFonts w:ascii="Arial" w:hAnsi="Arial" w:cs="Arial"/>
          <w:lang w:val="es-MX"/>
        </w:rPr>
        <w:t xml:space="preserve">Finalmente, en relación con el contenido y el alcance del acto administrativo que liquida unilateralmente un contrato, la jurisprudencia de la Sección Tercera del Consejo de Estado ha concluido que guarda coherencia con el de la liquidación bilateral, en los siguientes términos: </w:t>
      </w:r>
    </w:p>
    <w:p w14:paraId="63BE5880" w14:textId="77777777" w:rsidR="009C57C2" w:rsidRPr="00D15703" w:rsidRDefault="009C57C2" w:rsidP="009C57C2">
      <w:pPr>
        <w:tabs>
          <w:tab w:val="left" w:pos="426"/>
        </w:tabs>
        <w:spacing w:after="240" w:line="240" w:lineRule="auto"/>
        <w:ind w:left="851" w:right="851"/>
        <w:jc w:val="both"/>
        <w:rPr>
          <w:rFonts w:ascii="Arial" w:hAnsi="Arial" w:cs="Arial"/>
          <w:lang w:val="es-MX"/>
        </w:rPr>
      </w:pPr>
      <w:r w:rsidRPr="00D15703">
        <w:rPr>
          <w:rFonts w:ascii="Arial" w:hAnsi="Arial" w:cs="Arial"/>
          <w:sz w:val="21"/>
          <w:szCs w:val="21"/>
          <w:lang w:val="es-MX"/>
        </w:rPr>
        <w:t>[L]a entidad estatal queda facultada para indicar las condiciones del estado del negocio, donde puede declararse a paz y salvo o deudora o acreedora del contratista, lo mismo que tiene la potestad de determinar, según su apreciación de los hechos y del derecho, todos los demás aspectos que hacen parte de la liquidación del contrato… Desde este punto de vista, es decir, del contenido del acto, no existe diferencia entre la liquidación bilateral y la unilateral, porque la una como la otra están llamadas a concluir el negocio mediante la determinación concreta y clara de los aspectos técnicos, económicos y financieros que quedan pendientes, como de lo ejecutado y recibido a satisfacción</w:t>
      </w:r>
      <w:r w:rsidRPr="00D15703">
        <w:rPr>
          <w:rFonts w:ascii="Arial" w:hAnsi="Arial" w:cs="Arial"/>
          <w:vertAlign w:val="superscript"/>
          <w:lang w:val="es-MX"/>
        </w:rPr>
        <w:footnoteReference w:id="21"/>
      </w:r>
      <w:r w:rsidRPr="00D15703">
        <w:rPr>
          <w:rFonts w:ascii="Arial" w:hAnsi="Arial" w:cs="Arial"/>
          <w:lang w:val="es-MX"/>
        </w:rPr>
        <w:t xml:space="preserve">. </w:t>
      </w:r>
    </w:p>
    <w:p w14:paraId="18561FF6" w14:textId="77777777" w:rsidR="009C57C2" w:rsidRPr="00D15703" w:rsidRDefault="009C57C2" w:rsidP="009C57C2">
      <w:pPr>
        <w:tabs>
          <w:tab w:val="left" w:pos="426"/>
        </w:tabs>
        <w:spacing w:after="240" w:line="276" w:lineRule="auto"/>
        <w:ind w:firstLine="851"/>
        <w:jc w:val="both"/>
        <w:rPr>
          <w:rFonts w:ascii="Arial" w:hAnsi="Arial" w:cs="Arial"/>
          <w:lang w:val="es-MX"/>
        </w:rPr>
      </w:pPr>
      <w:r w:rsidRPr="00D15703">
        <w:rPr>
          <w:rFonts w:ascii="Arial" w:hAnsi="Arial" w:cs="Arial"/>
          <w:lang w:val="es-MX"/>
        </w:rPr>
        <w:t>Como puede apreciarse, desde la perspectiva formal y de acuerdo con la naturaleza que es propia de los contratos y actos administrativos, existen diferencias entre la liquidación bilateral y la unilateral</w:t>
      </w:r>
      <w:r w:rsidRPr="00D15703">
        <w:rPr>
          <w:rFonts w:ascii="Arial" w:hAnsi="Arial" w:cs="Arial"/>
          <w:vertAlign w:val="superscript"/>
          <w:lang w:val="es-MX"/>
        </w:rPr>
        <w:footnoteReference w:id="22"/>
      </w:r>
      <w:r w:rsidRPr="00D15703">
        <w:rPr>
          <w:rFonts w:ascii="Arial" w:hAnsi="Arial" w:cs="Arial"/>
          <w:lang w:val="es-MX"/>
        </w:rPr>
        <w:t>, aun cuando desde la óptica del contenido y del alcance, se puede afirmar que son similares.</w:t>
      </w:r>
    </w:p>
    <w:p w14:paraId="3B14E4B4" w14:textId="77777777" w:rsidR="009C57C2" w:rsidRPr="00D15703" w:rsidRDefault="009C57C2" w:rsidP="009C57C2">
      <w:pPr>
        <w:spacing w:after="200" w:line="276" w:lineRule="auto"/>
        <w:jc w:val="both"/>
        <w:rPr>
          <w:rFonts w:ascii="Arial" w:hAnsi="Arial" w:cs="Arial"/>
          <w:b/>
          <w:bCs/>
          <w:lang w:val="es-MX"/>
        </w:rPr>
      </w:pPr>
      <w:r w:rsidRPr="00D15703">
        <w:rPr>
          <w:rFonts w:ascii="Arial" w:hAnsi="Arial" w:cs="Arial"/>
          <w:b/>
          <w:bCs/>
          <w:lang w:val="es-MX"/>
        </w:rPr>
        <w:lastRenderedPageBreak/>
        <w:t xml:space="preserve">2.4. Terminación y liquidación unilateral del contrato estatal por muerte del contratista persona natural, o por disolución de la persona jurídica del contratista </w:t>
      </w:r>
    </w:p>
    <w:p w14:paraId="2B969A0B" w14:textId="77777777" w:rsidR="009C57C2" w:rsidRPr="00D15703" w:rsidRDefault="009C57C2" w:rsidP="009C57C2">
      <w:pPr>
        <w:spacing w:after="120" w:line="276" w:lineRule="auto"/>
        <w:jc w:val="both"/>
        <w:rPr>
          <w:rFonts w:ascii="Arial" w:hAnsi="Arial" w:cs="Arial"/>
          <w:color w:val="000000" w:themeColor="text1"/>
          <w:lang w:val="es-MX"/>
        </w:rPr>
      </w:pPr>
      <w:r w:rsidRPr="00D15703">
        <w:rPr>
          <w:rFonts w:ascii="Arial" w:hAnsi="Arial" w:cs="Arial"/>
          <w:color w:val="000000" w:themeColor="text1"/>
          <w:lang w:val="es-MX"/>
        </w:rPr>
        <w:t>El artículo 3 de la Ley 80 de 1993 dispone que en la celebración de los contratos y en la ejecución de los mismos,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4BA06ADE" w14:textId="77777777" w:rsidR="009C57C2" w:rsidRPr="00D15703" w:rsidRDefault="009C57C2" w:rsidP="009C57C2">
      <w:pPr>
        <w:spacing w:before="120" w:after="120" w:line="276" w:lineRule="auto"/>
        <w:ind w:firstLine="708"/>
        <w:jc w:val="both"/>
        <w:rPr>
          <w:rFonts w:ascii="Arial" w:hAnsi="Arial" w:cs="Arial"/>
          <w:color w:val="000000" w:themeColor="text1"/>
          <w:lang w:val="es-MX"/>
        </w:rPr>
      </w:pPr>
      <w:r w:rsidRPr="00D15703">
        <w:rPr>
          <w:rFonts w:ascii="Arial" w:hAnsi="Arial" w:cs="Arial"/>
          <w:color w:val="000000" w:themeColor="text1"/>
          <w:lang w:val="es-MX"/>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proofErr w:type="spellStart"/>
      <w:r w:rsidRPr="00D15703">
        <w:rPr>
          <w:rFonts w:ascii="Arial" w:hAnsi="Arial" w:cs="Arial"/>
          <w:i/>
          <w:iCs/>
          <w:color w:val="000000" w:themeColor="text1"/>
          <w:lang w:val="es-MX"/>
        </w:rPr>
        <w:t>imperium</w:t>
      </w:r>
      <w:proofErr w:type="spellEnd"/>
      <w:r w:rsidRPr="00D15703">
        <w:rPr>
          <w:rFonts w:ascii="Arial" w:hAnsi="Arial" w:cs="Arial"/>
          <w:i/>
          <w:iCs/>
          <w:color w:val="000000" w:themeColor="text1"/>
          <w:lang w:val="es-MX"/>
        </w:rPr>
        <w:t xml:space="preserve"> </w:t>
      </w:r>
      <w:r w:rsidRPr="00D15703">
        <w:rPr>
          <w:rFonts w:ascii="Arial" w:hAnsi="Arial" w:cs="Arial"/>
          <w:color w:val="000000" w:themeColor="text1"/>
          <w:lang w:val="es-MX"/>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D15703">
        <w:rPr>
          <w:rFonts w:ascii="Arial" w:hAnsi="Arial" w:cs="Arial"/>
          <w:color w:val="000000" w:themeColor="text1"/>
          <w:vertAlign w:val="superscript"/>
          <w:lang w:val="es-MX"/>
        </w:rPr>
        <w:footnoteReference w:id="23"/>
      </w:r>
      <w:r w:rsidRPr="00D15703">
        <w:rPr>
          <w:rFonts w:ascii="Arial" w:hAnsi="Arial" w:cs="Arial"/>
          <w:color w:val="000000" w:themeColor="text1"/>
          <w:lang w:val="es-MX"/>
        </w:rPr>
        <w:t xml:space="preserve">.  </w:t>
      </w:r>
    </w:p>
    <w:p w14:paraId="64309C70" w14:textId="77777777" w:rsidR="009C57C2" w:rsidRPr="00D15703" w:rsidRDefault="009C57C2" w:rsidP="009C57C2">
      <w:pPr>
        <w:spacing w:before="120" w:after="120" w:line="276" w:lineRule="auto"/>
        <w:jc w:val="both"/>
        <w:rPr>
          <w:rFonts w:ascii="Arial" w:hAnsi="Arial" w:cs="Arial"/>
          <w:color w:val="000000" w:themeColor="text1"/>
          <w:lang w:val="es-MX"/>
        </w:rPr>
      </w:pPr>
      <w:r w:rsidRPr="00D15703">
        <w:rPr>
          <w:rFonts w:ascii="Arial" w:hAnsi="Arial" w:cs="Arial"/>
          <w:color w:val="000000" w:themeColor="text1"/>
          <w:lang w:val="es-MX"/>
        </w:rPr>
        <w:t> </w:t>
      </w:r>
      <w:r w:rsidRPr="00D15703">
        <w:rPr>
          <w:rFonts w:ascii="Arial" w:hAnsi="Arial" w:cs="Arial"/>
          <w:color w:val="000000" w:themeColor="text1"/>
          <w:lang w:val="es-MX"/>
        </w:rPr>
        <w:tab/>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D15703">
        <w:rPr>
          <w:rFonts w:ascii="Arial" w:hAnsi="Arial" w:cs="Arial"/>
          <w:color w:val="000000" w:themeColor="text1"/>
          <w:vertAlign w:val="superscript"/>
          <w:lang w:val="es-MX"/>
        </w:rPr>
        <w:footnoteReference w:id="24"/>
      </w:r>
      <w:r w:rsidRPr="00D15703">
        <w:rPr>
          <w:rFonts w:ascii="Arial" w:hAnsi="Arial" w:cs="Arial"/>
          <w:color w:val="000000" w:themeColor="text1"/>
          <w:lang w:val="es-MX"/>
        </w:rPr>
        <w:t xml:space="preserve"> se establece que la administración debe estar dotada de mecanismos eficaces, así fueren excepcionales, que contribuyan a la adecuada realización de la finalidad contractual y de los fines estatales. Es por eso </w:t>
      </w:r>
      <w:proofErr w:type="gramStart"/>
      <w:r w:rsidRPr="00D15703">
        <w:rPr>
          <w:rFonts w:ascii="Arial" w:hAnsi="Arial" w:cs="Arial"/>
          <w:color w:val="000000" w:themeColor="text1"/>
          <w:lang w:val="es-MX"/>
        </w:rPr>
        <w:t>que</w:t>
      </w:r>
      <w:proofErr w:type="gramEnd"/>
      <w:r w:rsidRPr="00D15703">
        <w:rPr>
          <w:rFonts w:ascii="Arial" w:hAnsi="Arial" w:cs="Arial"/>
          <w:color w:val="000000" w:themeColor="text1"/>
          <w:lang w:val="es-MX"/>
        </w:rPr>
        <w:t xml:space="preserv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37EE7411" w14:textId="77777777" w:rsidR="009C57C2" w:rsidRPr="00D15703" w:rsidRDefault="009C57C2" w:rsidP="009C57C2">
      <w:pPr>
        <w:spacing w:before="120" w:after="120" w:line="276" w:lineRule="auto"/>
        <w:ind w:firstLine="708"/>
        <w:jc w:val="both"/>
        <w:rPr>
          <w:rFonts w:ascii="Arial" w:hAnsi="Arial" w:cs="Arial"/>
          <w:color w:val="000000" w:themeColor="text1"/>
          <w:lang w:val="es-MX"/>
        </w:rPr>
      </w:pPr>
      <w:r w:rsidRPr="00D15703">
        <w:rPr>
          <w:rFonts w:ascii="Arial" w:hAnsi="Arial" w:cs="Arial"/>
          <w:color w:val="000000" w:themeColor="text1"/>
          <w:lang w:val="es-MX"/>
        </w:rPr>
        <w:t xml:space="preserve">En este sentido, los motivos aducidos por la entidad estatal para ejercer las cláusulas excepcionales deben ser graves, ya que no cualquier hecho puede provocarla pues son inescindibles al interés general, sin que se pueda desconocer las compensaciones e </w:t>
      </w:r>
      <w:r w:rsidRPr="00D15703">
        <w:rPr>
          <w:rFonts w:ascii="Arial" w:hAnsi="Arial" w:cs="Arial"/>
          <w:color w:val="000000" w:themeColor="text1"/>
          <w:lang w:val="es-MX"/>
        </w:rPr>
        <w:lastRenderedPageBreak/>
        <w:t>indemnizaciones a que tendrán derecho las personas objeto de tales medidas, traducida en la contraprestación necesaria para mantener la igualdad contractual.</w:t>
      </w:r>
    </w:p>
    <w:p w14:paraId="51E781EC" w14:textId="77777777" w:rsidR="009C57C2" w:rsidRPr="00D15703" w:rsidRDefault="009C57C2" w:rsidP="009C57C2">
      <w:pPr>
        <w:spacing w:before="120" w:after="120" w:line="276" w:lineRule="auto"/>
        <w:jc w:val="both"/>
        <w:rPr>
          <w:rFonts w:ascii="Arial" w:hAnsi="Arial" w:cs="Arial"/>
          <w:color w:val="000000" w:themeColor="text1"/>
          <w:lang w:val="es-MX"/>
        </w:rPr>
      </w:pPr>
      <w:r w:rsidRPr="00D15703">
        <w:rPr>
          <w:rFonts w:ascii="Arial" w:hAnsi="Arial" w:cs="Arial"/>
          <w:color w:val="000000" w:themeColor="text1"/>
          <w:lang w:val="es-MX"/>
        </w:rPr>
        <w:t> </w:t>
      </w:r>
      <w:r w:rsidRPr="00D15703">
        <w:rPr>
          <w:rFonts w:ascii="Arial" w:hAnsi="Arial" w:cs="Arial"/>
          <w:color w:val="000000" w:themeColor="text1"/>
          <w:lang w:val="es-MX"/>
        </w:rPr>
        <w:tab/>
        <w:t xml:space="preserve">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D15703">
        <w:rPr>
          <w:rFonts w:ascii="Arial" w:hAnsi="Arial" w:cs="Arial"/>
          <w:color w:val="000000" w:themeColor="text1"/>
          <w:lang w:val="es-MX"/>
        </w:rPr>
        <w:t>ii</w:t>
      </w:r>
      <w:proofErr w:type="spellEnd"/>
      <w:r w:rsidRPr="00D15703">
        <w:rPr>
          <w:rFonts w:ascii="Arial" w:hAnsi="Arial" w:cs="Arial"/>
          <w:color w:val="000000" w:themeColor="text1"/>
          <w:lang w:val="es-MX"/>
        </w:rPr>
        <w:t xml:space="preserve">) que dicho acto debe ser el resultado de un análisis soportado en la realidad del contrato, es decir, debe estar debidamente motivado y </w:t>
      </w:r>
      <w:proofErr w:type="spellStart"/>
      <w:r w:rsidRPr="00D15703">
        <w:rPr>
          <w:rFonts w:ascii="Arial" w:hAnsi="Arial" w:cs="Arial"/>
          <w:color w:val="000000" w:themeColor="text1"/>
          <w:lang w:val="es-MX"/>
        </w:rPr>
        <w:t>iii</w:t>
      </w:r>
      <w:proofErr w:type="spellEnd"/>
      <w:r w:rsidRPr="00D15703">
        <w:rPr>
          <w:rFonts w:ascii="Arial" w:hAnsi="Arial" w:cs="Arial"/>
          <w:color w:val="000000" w:themeColor="text1"/>
          <w:lang w:val="es-MX"/>
        </w:rPr>
        <w:t>) que la causal que se alegue en la decisión se encuentre enmarcada en los eventos que la ley ha dispuesto.</w:t>
      </w:r>
    </w:p>
    <w:p w14:paraId="39701B18" w14:textId="77777777" w:rsidR="009C57C2" w:rsidRPr="00D15703" w:rsidRDefault="009C57C2" w:rsidP="009C57C2">
      <w:pPr>
        <w:spacing w:before="120" w:after="200" w:line="276" w:lineRule="auto"/>
        <w:jc w:val="both"/>
        <w:rPr>
          <w:rFonts w:ascii="Arial" w:hAnsi="Arial" w:cs="Arial"/>
          <w:color w:val="000000" w:themeColor="text1"/>
          <w:lang w:val="es-MX"/>
        </w:rPr>
      </w:pPr>
      <w:r w:rsidRPr="00D15703">
        <w:rPr>
          <w:rFonts w:ascii="Arial" w:hAnsi="Arial" w:cs="Arial"/>
          <w:color w:val="000000" w:themeColor="text1"/>
          <w:lang w:val="es-MX"/>
        </w:rPr>
        <w:t> </w:t>
      </w:r>
      <w:r w:rsidRPr="00D15703">
        <w:rPr>
          <w:rFonts w:ascii="Arial" w:hAnsi="Arial" w:cs="Arial"/>
          <w:color w:val="000000" w:themeColor="text1"/>
          <w:lang w:val="es-MX"/>
        </w:rPr>
        <w:tab/>
        <w:t>El artículo 17 de la Ley 80 de 1993 establece expresamente en que eventos procede la terminación unilateral del contrato. Al efecto, la norma establece las siguientes causales:</w:t>
      </w:r>
    </w:p>
    <w:p w14:paraId="1CCC31D3"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Artículo 17. De la terminación unilateral</w:t>
      </w:r>
      <w:r w:rsidRPr="00D15703">
        <w:rPr>
          <w:rFonts w:ascii="Arial" w:hAnsi="Arial" w:cs="Arial"/>
          <w:b/>
          <w:bCs/>
          <w:color w:val="000000"/>
          <w:sz w:val="21"/>
          <w:szCs w:val="21"/>
          <w:lang w:val="es-MX" w:eastAsia="es-CO"/>
        </w:rPr>
        <w:t>.</w:t>
      </w:r>
      <w:r w:rsidRPr="00D15703">
        <w:rPr>
          <w:rFonts w:ascii="Arial" w:hAnsi="Arial" w:cs="Arial"/>
          <w:color w:val="000000"/>
          <w:sz w:val="21"/>
          <w:szCs w:val="21"/>
          <w:lang w:val="es-MX" w:eastAsia="es-CO"/>
        </w:rPr>
        <w:t> La entidad en acto administrativo debidamente motivado dispondrá la terminación anticipada del contrato en los siguientes eventos: </w:t>
      </w:r>
    </w:p>
    <w:p w14:paraId="60A037C7"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1o. Cuando las exigencias del servicio público lo requieran o la situación de orden público lo imponga. </w:t>
      </w:r>
    </w:p>
    <w:p w14:paraId="7D88BC1C" w14:textId="77777777" w:rsidR="009C57C2" w:rsidRPr="00D15703" w:rsidRDefault="009C57C2" w:rsidP="009C57C2">
      <w:pPr>
        <w:spacing w:after="200" w:line="240" w:lineRule="auto"/>
        <w:ind w:left="709" w:right="709"/>
        <w:jc w:val="both"/>
        <w:rPr>
          <w:rFonts w:ascii="Arial" w:hAnsi="Arial" w:cs="Arial"/>
          <w:i/>
          <w:iCs/>
          <w:color w:val="000000"/>
          <w:sz w:val="21"/>
          <w:szCs w:val="21"/>
          <w:u w:val="single"/>
          <w:lang w:val="es-MX" w:eastAsia="es-CO"/>
        </w:rPr>
      </w:pPr>
      <w:r w:rsidRPr="00D15703">
        <w:rPr>
          <w:rFonts w:ascii="Arial" w:hAnsi="Arial" w:cs="Arial"/>
          <w:i/>
          <w:iCs/>
          <w:color w:val="000000"/>
          <w:sz w:val="21"/>
          <w:szCs w:val="21"/>
          <w:u w:val="single"/>
          <w:lang w:val="es-MX" w:eastAsia="es-CO"/>
        </w:rPr>
        <w:t>2o. Por muerte o incapacidad física permanente del contratista, si es persona natural, o por disolución de la persona jurídica del contratista. </w:t>
      </w:r>
    </w:p>
    <w:p w14:paraId="01A570D1"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3o. Por interdicción judicial o declaración de quiebra del contratista. </w:t>
      </w:r>
    </w:p>
    <w:p w14:paraId="42E5B21B"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4o. Por cesación de pagos, concurso de acreedores o embargos judiciales del contratista que afecten de manera grave el cumplimiento del contrato. </w:t>
      </w:r>
    </w:p>
    <w:p w14:paraId="00EE87C9"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Sin embargo, en los casos a que se refieren los numerales 2o. y 3o. de este artículo podrá continuarse la ejecución con el garante de la obligación. </w:t>
      </w:r>
    </w:p>
    <w:p w14:paraId="59DBDE05" w14:textId="77777777" w:rsidR="009C57C2" w:rsidRPr="00D15703" w:rsidRDefault="009C57C2" w:rsidP="009C57C2">
      <w:pPr>
        <w:spacing w:after="200" w:line="240" w:lineRule="auto"/>
        <w:ind w:left="709" w:right="709"/>
        <w:jc w:val="both"/>
        <w:rPr>
          <w:rFonts w:ascii="Arial" w:hAnsi="Arial" w:cs="Arial"/>
          <w:color w:val="000000"/>
          <w:sz w:val="21"/>
          <w:szCs w:val="21"/>
          <w:lang w:val="es-MX" w:eastAsia="es-CO"/>
        </w:rPr>
      </w:pPr>
      <w:r w:rsidRPr="00D15703">
        <w:rPr>
          <w:rFonts w:ascii="Arial" w:hAnsi="Arial" w:cs="Arial"/>
          <w:color w:val="000000"/>
          <w:sz w:val="21"/>
          <w:szCs w:val="21"/>
          <w:lang w:val="es-MX"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 [Énfasis fuera de texto]</w:t>
      </w:r>
    </w:p>
    <w:p w14:paraId="62E141E7" w14:textId="77777777" w:rsidR="009C57C2" w:rsidRPr="00D15703" w:rsidRDefault="009C57C2" w:rsidP="009C57C2">
      <w:pPr>
        <w:spacing w:after="200" w:line="276" w:lineRule="auto"/>
        <w:ind w:firstLine="708"/>
        <w:jc w:val="both"/>
        <w:rPr>
          <w:rFonts w:ascii="Arial" w:hAnsi="Arial" w:cs="Arial"/>
          <w:color w:val="000000" w:themeColor="text1"/>
          <w:lang w:val="es-MX"/>
        </w:rPr>
      </w:pPr>
      <w:r w:rsidRPr="00D15703">
        <w:rPr>
          <w:rFonts w:ascii="Arial" w:hAnsi="Arial" w:cs="Arial"/>
          <w:color w:val="000000" w:themeColor="text1"/>
          <w:lang w:val="es-MX"/>
        </w:rPr>
        <w:t xml:space="preserve">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w:t>
      </w:r>
      <w:r w:rsidRPr="00D15703">
        <w:rPr>
          <w:rFonts w:ascii="Arial" w:hAnsi="Arial" w:cs="Arial"/>
          <w:color w:val="000000" w:themeColor="text1"/>
          <w:lang w:val="es-MX"/>
        </w:rPr>
        <w:lastRenderedPageBreak/>
        <w:t>causales expresadas en dicha norma […]»</w:t>
      </w:r>
      <w:r w:rsidRPr="00D15703">
        <w:rPr>
          <w:rFonts w:ascii="Arial" w:hAnsi="Arial" w:cs="Arial"/>
          <w:color w:val="000000" w:themeColor="text1"/>
          <w:vertAlign w:val="superscript"/>
          <w:lang w:val="es-MX"/>
        </w:rPr>
        <w:footnoteReference w:id="25"/>
      </w:r>
      <w:r w:rsidRPr="00D15703">
        <w:rPr>
          <w:rFonts w:ascii="Arial" w:hAnsi="Arial" w:cs="Arial"/>
          <w:color w:val="000000" w:themeColor="text1"/>
          <w:lang w:val="es-MX"/>
        </w:rPr>
        <w:t xml:space="preserve">. En igual sentido lo ha reconocido el Consejo de Estado al poner de presente que: </w:t>
      </w:r>
    </w:p>
    <w:p w14:paraId="76AA2949" w14:textId="7B56AD17" w:rsidR="009C57C2" w:rsidRPr="00D15703" w:rsidRDefault="003819DE" w:rsidP="00D15703">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w:t>
      </w:r>
      <w:r w:rsidR="009C57C2" w:rsidRPr="00D15703">
        <w:rPr>
          <w:rFonts w:ascii="Arial" w:eastAsia="Times New Roman" w:hAnsi="Arial" w:cs="Arial"/>
          <w:sz w:val="21"/>
          <w:szCs w:val="21"/>
          <w:lang w:eastAsia="es-CO"/>
        </w:rPr>
        <w:t xml:space="preserve">Según los explícitos dictados de la referida Ley 80, es claro que dicha forma de terminación unilateral tiene </w:t>
      </w:r>
      <w:r w:rsidR="009C57C2" w:rsidRPr="00D15703">
        <w:rPr>
          <w:rFonts w:ascii="Arial" w:eastAsia="Times New Roman" w:hAnsi="Arial" w:cs="Arial"/>
          <w:i/>
          <w:iCs/>
          <w:sz w:val="21"/>
          <w:szCs w:val="21"/>
          <w:lang w:eastAsia="es-CO"/>
        </w:rPr>
        <w:t xml:space="preserve">“(...) el exclusivo objeto de evitar la paralización o la afectación grave de los servicios públicos a su cargo </w:t>
      </w:r>
      <w:r w:rsidR="009C57C2" w:rsidRPr="00D15703">
        <w:rPr>
          <w:rFonts w:ascii="Arial" w:eastAsia="Times New Roman" w:hAnsi="Arial" w:cs="Arial"/>
          <w:sz w:val="21"/>
          <w:szCs w:val="21"/>
          <w:lang w:eastAsia="es-CO"/>
        </w:rPr>
        <w:t xml:space="preserve">[se refiere a la entidad estatal contratante] </w:t>
      </w:r>
      <w:r w:rsidR="009C57C2" w:rsidRPr="00D15703">
        <w:rPr>
          <w:rFonts w:ascii="Arial" w:eastAsia="Times New Roman" w:hAnsi="Arial" w:cs="Arial"/>
          <w:i/>
          <w:iCs/>
          <w:sz w:val="21"/>
          <w:szCs w:val="21"/>
          <w:lang w:eastAsia="es-CO"/>
        </w:rPr>
        <w:t xml:space="preserve">y asegurar la inmediata, continua y adecuada prestación (...)” </w:t>
      </w:r>
      <w:r w:rsidR="009C57C2" w:rsidRPr="00D15703">
        <w:rPr>
          <w:rFonts w:ascii="Arial" w:eastAsia="Times New Roman" w:hAnsi="Arial" w:cs="Arial"/>
          <w:sz w:val="21"/>
          <w:szCs w:val="21"/>
          <w:lang w:eastAsia="es-CO"/>
        </w:rPr>
        <w:t xml:space="preserve">de los mismos. </w:t>
      </w:r>
    </w:p>
    <w:p w14:paraId="78FEC4B6" w14:textId="77777777" w:rsidR="009C57C2" w:rsidRPr="00D15703" w:rsidRDefault="009C57C2" w:rsidP="00D15703">
      <w:pPr>
        <w:spacing w:after="0" w:line="240" w:lineRule="auto"/>
        <w:ind w:left="709" w:right="709"/>
        <w:jc w:val="both"/>
        <w:rPr>
          <w:rFonts w:ascii="Arial" w:eastAsia="Times New Roman" w:hAnsi="Arial" w:cs="Arial"/>
          <w:sz w:val="21"/>
          <w:szCs w:val="21"/>
          <w:lang w:eastAsia="es-CO"/>
        </w:rPr>
      </w:pPr>
    </w:p>
    <w:p w14:paraId="60CD693C" w14:textId="77777777" w:rsidR="009C57C2" w:rsidRPr="00D15703" w:rsidRDefault="009C57C2" w:rsidP="00D15703">
      <w:pPr>
        <w:spacing w:after="0" w:line="240" w:lineRule="auto"/>
        <w:ind w:left="709" w:right="709"/>
        <w:jc w:val="both"/>
        <w:rPr>
          <w:rFonts w:ascii="Arial" w:eastAsia="Times New Roman" w:hAnsi="Arial" w:cs="Arial"/>
          <w:sz w:val="21"/>
          <w:szCs w:val="21"/>
          <w:lang w:eastAsia="es-CO"/>
        </w:rPr>
      </w:pPr>
      <w:r w:rsidRPr="00D15703">
        <w:rPr>
          <w:rFonts w:ascii="Arial" w:eastAsia="Times New Roman" w:hAnsi="Arial" w:cs="Arial"/>
          <w:sz w:val="21"/>
          <w:szCs w:val="21"/>
          <w:lang w:eastAsia="es-CO"/>
        </w:rPr>
        <w:t xml:space="preserve">Esta modalidad de terminación unilateral únicamente puede tener aplicación respecto de aquellos específicos contratos estatales señalados en el numeral 2o del artículo 14 de la Ley 80, esto es: </w:t>
      </w:r>
      <w:r w:rsidRPr="00D15703">
        <w:rPr>
          <w:rFonts w:ascii="Arial" w:eastAsia="Times New Roman" w:hAnsi="Arial" w:cs="Arial"/>
          <w:i/>
          <w:iCs/>
          <w:sz w:val="21"/>
          <w:szCs w:val="21"/>
          <w:lang w:eastAsia="es-CO"/>
        </w:rPr>
        <w:t xml:space="preserve">a) “en los contratos que tengan por objeto el ejercicio de una actividad que constituya monopolio estatal”; b) </w:t>
      </w:r>
      <w:r w:rsidRPr="00D15703">
        <w:rPr>
          <w:rFonts w:ascii="Arial" w:eastAsia="Times New Roman" w:hAnsi="Arial" w:cs="Arial"/>
          <w:sz w:val="21"/>
          <w:szCs w:val="21"/>
          <w:lang w:eastAsia="es-CO"/>
        </w:rPr>
        <w:t xml:space="preserve">en los contratos que tengan por objeto </w:t>
      </w:r>
      <w:r w:rsidRPr="00D15703">
        <w:rPr>
          <w:rFonts w:ascii="Arial" w:eastAsia="Times New Roman" w:hAnsi="Arial" w:cs="Arial"/>
          <w:i/>
          <w:iCs/>
          <w:sz w:val="21"/>
          <w:szCs w:val="21"/>
          <w:lang w:eastAsia="es-CO"/>
        </w:rPr>
        <w:t xml:space="preserve">“la prestación de servicios públicos”; c) </w:t>
      </w:r>
      <w:r w:rsidRPr="00D15703">
        <w:rPr>
          <w:rFonts w:ascii="Arial" w:eastAsia="Times New Roman" w:hAnsi="Arial" w:cs="Arial"/>
          <w:sz w:val="21"/>
          <w:szCs w:val="21"/>
          <w:lang w:eastAsia="es-CO"/>
        </w:rPr>
        <w:t xml:space="preserve">en los contratos que tengan por objeto </w:t>
      </w:r>
      <w:r w:rsidRPr="00D15703">
        <w:rPr>
          <w:rFonts w:ascii="Arial" w:eastAsia="Times New Roman" w:hAnsi="Arial" w:cs="Arial"/>
          <w:i/>
          <w:iCs/>
          <w:sz w:val="21"/>
          <w:szCs w:val="21"/>
          <w:lang w:eastAsia="es-CO"/>
        </w:rPr>
        <w:t xml:space="preserve">“la explotación y concesión de bienes del Estado” </w:t>
      </w:r>
      <w:r w:rsidRPr="00D15703">
        <w:rPr>
          <w:rFonts w:ascii="Arial" w:eastAsia="Times New Roman" w:hAnsi="Arial" w:cs="Arial"/>
          <w:sz w:val="21"/>
          <w:szCs w:val="21"/>
          <w:lang w:eastAsia="es-CO"/>
        </w:rPr>
        <w:t xml:space="preserve">y </w:t>
      </w:r>
      <w:r w:rsidRPr="00D15703">
        <w:rPr>
          <w:rFonts w:ascii="Arial" w:eastAsia="Times New Roman" w:hAnsi="Arial" w:cs="Arial"/>
          <w:i/>
          <w:iCs/>
          <w:sz w:val="21"/>
          <w:szCs w:val="21"/>
          <w:lang w:eastAsia="es-CO"/>
        </w:rPr>
        <w:t>d) “en los contratos de obra”</w:t>
      </w:r>
      <w:r w:rsidRPr="00D15703">
        <w:rPr>
          <w:rFonts w:ascii="Arial" w:eastAsia="Times New Roman" w:hAnsi="Arial" w:cs="Arial"/>
          <w:sz w:val="21"/>
          <w:szCs w:val="21"/>
          <w:lang w:eastAsia="es-CO"/>
        </w:rPr>
        <w:t xml:space="preserve">, en cuanto en todos ellos resulta imperativa la inclusión de la cláusula excepcional de terminación unilateral; así́ mismo podría aplicarse en aquellos </w:t>
      </w:r>
      <w:r w:rsidRPr="00D15703">
        <w:rPr>
          <w:rFonts w:ascii="Arial" w:eastAsia="Times New Roman" w:hAnsi="Arial" w:cs="Arial"/>
          <w:i/>
          <w:iCs/>
          <w:sz w:val="21"/>
          <w:szCs w:val="21"/>
          <w:lang w:eastAsia="es-CO"/>
        </w:rPr>
        <w:t xml:space="preserve">f) “contratos de suministro” </w:t>
      </w:r>
      <w:r w:rsidRPr="00D15703">
        <w:rPr>
          <w:rFonts w:ascii="Arial" w:eastAsia="Times New Roman" w:hAnsi="Arial" w:cs="Arial"/>
          <w:sz w:val="21"/>
          <w:szCs w:val="21"/>
          <w:lang w:eastAsia="es-CO"/>
        </w:rPr>
        <w:t xml:space="preserve">y </w:t>
      </w:r>
      <w:r w:rsidRPr="00D15703">
        <w:rPr>
          <w:rFonts w:ascii="Arial" w:eastAsia="Times New Roman" w:hAnsi="Arial" w:cs="Arial"/>
          <w:i/>
          <w:iCs/>
          <w:sz w:val="21"/>
          <w:szCs w:val="21"/>
          <w:lang w:eastAsia="es-CO"/>
        </w:rPr>
        <w:t xml:space="preserve">g) </w:t>
      </w:r>
      <w:r w:rsidRPr="00D15703">
        <w:rPr>
          <w:rFonts w:ascii="Arial" w:eastAsia="Times New Roman" w:hAnsi="Arial" w:cs="Arial"/>
          <w:sz w:val="21"/>
          <w:szCs w:val="21"/>
          <w:lang w:eastAsia="es-CO"/>
        </w:rPr>
        <w:t xml:space="preserve">contratos </w:t>
      </w:r>
      <w:r w:rsidRPr="00D15703">
        <w:rPr>
          <w:rFonts w:ascii="Arial" w:eastAsia="Times New Roman" w:hAnsi="Arial" w:cs="Arial"/>
          <w:i/>
          <w:iCs/>
          <w:sz w:val="21"/>
          <w:szCs w:val="21"/>
          <w:lang w:eastAsia="es-CO"/>
        </w:rPr>
        <w:t xml:space="preserve">“de prestación de servicios”, </w:t>
      </w:r>
      <w:r w:rsidRPr="00D15703">
        <w:rPr>
          <w:rFonts w:ascii="Arial" w:eastAsia="Times New Roman" w:hAnsi="Arial" w:cs="Arial"/>
          <w:sz w:val="21"/>
          <w:szCs w:val="21"/>
          <w:lang w:eastAsia="es-CO"/>
        </w:rPr>
        <w:t xml:space="preserve">en los cuales se hubiere incluido expresamente esa cláusula excepcional, comoquiera que en estos dos (2) últimos dicha estipulación resulta facultativa y, por tanto, se encuentra expresamente autorizada por la ley su inclusión. </w:t>
      </w:r>
    </w:p>
    <w:p w14:paraId="434B0B06" w14:textId="77777777" w:rsidR="009C57C2" w:rsidRPr="00D15703" w:rsidRDefault="009C57C2" w:rsidP="00D15703">
      <w:pPr>
        <w:spacing w:after="0" w:line="240" w:lineRule="auto"/>
        <w:ind w:left="709" w:right="709"/>
        <w:jc w:val="both"/>
        <w:rPr>
          <w:rFonts w:ascii="Arial" w:eastAsia="Times New Roman" w:hAnsi="Arial" w:cs="Arial"/>
          <w:sz w:val="21"/>
          <w:szCs w:val="21"/>
          <w:lang w:eastAsia="es-CO"/>
        </w:rPr>
      </w:pPr>
    </w:p>
    <w:p w14:paraId="30F2B20F" w14:textId="77777777" w:rsidR="009C57C2" w:rsidRPr="00D15703" w:rsidRDefault="009C57C2" w:rsidP="00D15703">
      <w:pPr>
        <w:spacing w:after="0" w:line="240" w:lineRule="auto"/>
        <w:ind w:left="709" w:right="709"/>
        <w:jc w:val="both"/>
        <w:rPr>
          <w:rFonts w:ascii="Arial" w:eastAsia="Times New Roman" w:hAnsi="Arial" w:cs="Arial"/>
          <w:sz w:val="21"/>
          <w:szCs w:val="21"/>
          <w:lang w:eastAsia="es-CO"/>
        </w:rPr>
      </w:pPr>
      <w:r w:rsidRPr="00D15703">
        <w:rPr>
          <w:rFonts w:ascii="Arial" w:eastAsia="Times New Roman" w:hAnsi="Arial" w:cs="Arial"/>
          <w:sz w:val="21"/>
          <w:szCs w:val="21"/>
          <w:lang w:eastAsia="es-CO"/>
        </w:rPr>
        <w:t xml:space="preserve">Tal como lo ordena el inciso 2o del numeral 1o del citado artículo 14 de la Ley 80, cada vez que una entidad estatal ejerza esta potestad excepcional de terminación unilateral </w:t>
      </w:r>
      <w:r w:rsidRPr="00D15703">
        <w:rPr>
          <w:rFonts w:ascii="Arial" w:eastAsia="Times New Roman" w:hAnsi="Arial" w:cs="Arial"/>
          <w:i/>
          <w:iCs/>
          <w:sz w:val="21"/>
          <w:szCs w:val="21"/>
          <w:lang w:eastAsia="es-CO"/>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69A5AADC" w14:textId="77777777" w:rsidR="009C57C2" w:rsidRPr="00D15703" w:rsidRDefault="009C57C2" w:rsidP="00D15703">
      <w:pPr>
        <w:spacing w:after="0" w:line="240" w:lineRule="auto"/>
        <w:ind w:left="709" w:right="709"/>
        <w:jc w:val="both"/>
        <w:rPr>
          <w:rFonts w:ascii="Arial" w:eastAsia="Times New Roman" w:hAnsi="Arial" w:cs="Arial"/>
          <w:sz w:val="21"/>
          <w:szCs w:val="21"/>
          <w:lang w:eastAsia="es-CO"/>
        </w:rPr>
      </w:pPr>
    </w:p>
    <w:p w14:paraId="1398A9B8" w14:textId="52C7BCB7" w:rsidR="009C57C2" w:rsidRPr="00D15703" w:rsidRDefault="009C57C2" w:rsidP="00D15703">
      <w:pPr>
        <w:spacing w:after="0" w:line="240" w:lineRule="auto"/>
        <w:ind w:left="709" w:right="709"/>
        <w:jc w:val="both"/>
        <w:rPr>
          <w:rFonts w:ascii="Arial" w:eastAsia="Times New Roman" w:hAnsi="Arial" w:cs="Arial"/>
          <w:sz w:val="21"/>
          <w:szCs w:val="21"/>
          <w:lang w:eastAsia="es-CO"/>
        </w:rPr>
      </w:pPr>
      <w:r w:rsidRPr="00D15703">
        <w:rPr>
          <w:rFonts w:ascii="Arial" w:eastAsia="Times New Roman" w:hAnsi="Arial" w:cs="Arial"/>
          <w:sz w:val="21"/>
          <w:szCs w:val="21"/>
          <w:lang w:eastAsia="es-CO"/>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sidR="003819DE">
        <w:rPr>
          <w:rFonts w:ascii="Arial" w:eastAsia="Times New Roman" w:hAnsi="Arial" w:cs="Arial"/>
          <w:sz w:val="21"/>
          <w:szCs w:val="21"/>
          <w:lang w:eastAsia="es-CO"/>
        </w:rPr>
        <w:t>.</w:t>
      </w:r>
      <w:r w:rsidRPr="00D15703">
        <w:rPr>
          <w:rFonts w:ascii="Arial" w:eastAsia="Times New Roman" w:hAnsi="Arial" w:cs="Arial"/>
          <w:sz w:val="21"/>
          <w:szCs w:val="21"/>
          <w:vertAlign w:val="superscript"/>
          <w:lang w:eastAsia="es-CO"/>
        </w:rPr>
        <w:footnoteReference w:id="26"/>
      </w:r>
    </w:p>
    <w:p w14:paraId="62B3AB9E" w14:textId="77777777" w:rsidR="009C57C2" w:rsidRPr="00D15703" w:rsidRDefault="009C57C2" w:rsidP="009C57C2">
      <w:pPr>
        <w:spacing w:after="0" w:line="276" w:lineRule="auto"/>
        <w:ind w:left="709" w:right="709"/>
        <w:jc w:val="both"/>
        <w:rPr>
          <w:rFonts w:ascii="Arial" w:eastAsia="Times New Roman" w:hAnsi="Arial" w:cs="Arial"/>
          <w:sz w:val="21"/>
          <w:szCs w:val="21"/>
          <w:lang w:eastAsia="es-CO"/>
        </w:rPr>
      </w:pPr>
    </w:p>
    <w:p w14:paraId="21CBB9F2" w14:textId="77777777" w:rsidR="009C57C2" w:rsidRPr="00D15703" w:rsidRDefault="009C57C2" w:rsidP="009C57C2">
      <w:pPr>
        <w:spacing w:after="120" w:line="276" w:lineRule="auto"/>
        <w:ind w:firstLine="709"/>
        <w:jc w:val="both"/>
        <w:rPr>
          <w:rFonts w:ascii="Arial" w:hAnsi="Arial" w:cs="Arial"/>
          <w:color w:val="000000"/>
          <w:shd w:val="clear" w:color="auto" w:fill="FFFFFF"/>
          <w:lang w:val="es-MX" w:eastAsia="es-CO"/>
        </w:rPr>
      </w:pPr>
      <w:r w:rsidRPr="00D15703">
        <w:rPr>
          <w:rFonts w:ascii="Arial" w:hAnsi="Arial" w:cs="Arial"/>
          <w:lang w:val="es-MX"/>
        </w:rPr>
        <w:t xml:space="preserve">Conforme a lo anterior, la terminación unilateral del contrato </w:t>
      </w:r>
      <w:r w:rsidRPr="00D15703">
        <w:rPr>
          <w:rFonts w:ascii="Arial" w:hAnsi="Arial"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D15703">
        <w:rPr>
          <w:rFonts w:ascii="Arial" w:hAnsi="Arial" w:cs="Arial"/>
          <w:color w:val="000000"/>
          <w:shd w:val="clear" w:color="auto" w:fill="FFFFFF"/>
          <w:lang w:val="es-MX" w:eastAsia="es-CO"/>
        </w:rPr>
        <w:t xml:space="preserve">Lo anterior indica que la terminación unilateral </w:t>
      </w:r>
      <w:r w:rsidRPr="00D15703">
        <w:rPr>
          <w:rFonts w:ascii="Arial" w:hAnsi="Arial" w:cs="Arial"/>
          <w:color w:val="000000"/>
          <w:shd w:val="clear" w:color="auto" w:fill="FFFFFF"/>
          <w:lang w:val="es-MX" w:eastAsia="es-CO"/>
        </w:rPr>
        <w:lastRenderedPageBreak/>
        <w:t xml:space="preserve">del contrato estatal no entraña una sanción, por lo que, a partir de su ejecutoria no se genera inhabilidad para el contratista por este solo hecho. </w:t>
      </w:r>
    </w:p>
    <w:p w14:paraId="1FA941D2" w14:textId="77777777" w:rsidR="009C57C2" w:rsidRPr="00D15703" w:rsidRDefault="009C57C2" w:rsidP="009C57C2">
      <w:pPr>
        <w:spacing w:after="120" w:line="276" w:lineRule="auto"/>
        <w:ind w:firstLine="709"/>
        <w:jc w:val="both"/>
        <w:rPr>
          <w:rFonts w:ascii="Arial" w:eastAsia="Times New Roman" w:hAnsi="Arial" w:cs="Arial"/>
          <w:lang w:eastAsia="es-CO"/>
        </w:rPr>
      </w:pPr>
      <w:r w:rsidRPr="00D15703">
        <w:rPr>
          <w:rFonts w:ascii="Arial" w:eastAsia="Times New Roman" w:hAnsi="Arial" w:cs="Arial"/>
          <w:lang w:eastAsia="es-CO"/>
        </w:rPr>
        <w:t xml:space="preserve">Ahora bien, la causal de terminación unilateral consagrada en el numeral 2 del artículo 17 de la Ley 80 de 1993, prevé «[…] muerte o incapacidad física permanente del contratista, si es persona natural, o por disolución de la persona jurídica del contratista». Esta causal se explica, tanto para la persona natural como para la persona jurídica, por la naturaleza </w:t>
      </w:r>
      <w:r w:rsidRPr="00D15703">
        <w:rPr>
          <w:rFonts w:ascii="Arial" w:eastAsia="Times New Roman" w:hAnsi="Arial" w:cs="Arial"/>
          <w:i/>
          <w:iCs/>
          <w:lang w:eastAsia="es-CO"/>
        </w:rPr>
        <w:t xml:space="preserve">intuito </w:t>
      </w:r>
      <w:proofErr w:type="spellStart"/>
      <w:r w:rsidRPr="00D15703">
        <w:rPr>
          <w:rFonts w:ascii="Arial" w:eastAsia="Times New Roman" w:hAnsi="Arial" w:cs="Arial"/>
          <w:i/>
          <w:iCs/>
          <w:lang w:eastAsia="es-CO"/>
        </w:rPr>
        <w:t>personae</w:t>
      </w:r>
      <w:proofErr w:type="spellEnd"/>
      <w:r w:rsidRPr="00D15703">
        <w:rPr>
          <w:rFonts w:ascii="Arial" w:eastAsia="Times New Roman" w:hAnsi="Arial" w:cs="Arial"/>
          <w:lang w:eastAsia="es-CO"/>
        </w:rPr>
        <w:t xml:space="preserve"> del contrato estatal, según lo previsto en el inciso tercero del artículo 41 de la Ley 80 de 1993</w:t>
      </w:r>
      <w:r w:rsidRPr="00D15703">
        <w:rPr>
          <w:rFonts w:ascii="Arial" w:eastAsia="Times New Roman" w:hAnsi="Arial" w:cs="Arial"/>
          <w:vertAlign w:val="superscript"/>
          <w:lang w:eastAsia="es-CO"/>
        </w:rPr>
        <w:footnoteReference w:id="27"/>
      </w:r>
      <w:r w:rsidRPr="00D15703">
        <w:rPr>
          <w:rFonts w:ascii="Arial" w:eastAsia="Times New Roman" w:hAnsi="Arial" w:cs="Arial"/>
          <w:lang w:eastAsia="es-CO"/>
        </w:rPr>
        <w:t>.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contrato, máxime aun considerado que tales calidades no se trasmiten a sus herederos o causahabientes</w:t>
      </w:r>
      <w:r w:rsidRPr="00D15703">
        <w:rPr>
          <w:rFonts w:ascii="Arial" w:eastAsia="Times New Roman" w:hAnsi="Arial" w:cs="Arial"/>
          <w:vertAlign w:val="superscript"/>
          <w:lang w:eastAsia="es-CO"/>
        </w:rPr>
        <w:footnoteReference w:id="28"/>
      </w:r>
      <w:r w:rsidRPr="00D15703">
        <w:rPr>
          <w:rFonts w:ascii="Arial" w:eastAsia="Times New Roman" w:hAnsi="Arial" w:cs="Arial"/>
          <w:lang w:eastAsia="es-CO"/>
        </w:rPr>
        <w:t>.</w:t>
      </w:r>
    </w:p>
    <w:p w14:paraId="3B4EE503" w14:textId="77777777" w:rsidR="009C57C2" w:rsidRPr="00D15703" w:rsidRDefault="009C57C2" w:rsidP="009C57C2">
      <w:pPr>
        <w:spacing w:before="120" w:after="120" w:line="276" w:lineRule="auto"/>
        <w:ind w:firstLine="708"/>
        <w:jc w:val="both"/>
        <w:rPr>
          <w:rFonts w:ascii="Arial" w:hAnsi="Arial" w:cs="Arial"/>
          <w:color w:val="000000" w:themeColor="text1"/>
          <w:lang w:val="es-MX"/>
        </w:rPr>
      </w:pPr>
      <w:r w:rsidRPr="00D15703">
        <w:rPr>
          <w:rFonts w:ascii="Arial" w:hAnsi="Arial" w:cs="Arial"/>
          <w:lang w:val="es-MX"/>
        </w:rPr>
        <w:t>Con todo, en aplicación del derecho civil, la muerte de una persona natural puede implicar la apertura de un proceso de sucesión, mediante el cual se transmiten todos los derechos y obligaciones que estaban a nombre del causante</w:t>
      </w:r>
      <w:r w:rsidRPr="00D15703">
        <w:rPr>
          <w:rFonts w:ascii="Arial" w:hAnsi="Arial" w:cs="Arial"/>
          <w:vertAlign w:val="superscript"/>
          <w:lang w:val="es-MX"/>
        </w:rPr>
        <w:footnoteReference w:id="29"/>
      </w:r>
      <w:r w:rsidRPr="00D15703">
        <w:rPr>
          <w:rFonts w:ascii="Arial" w:hAnsi="Arial" w:cs="Arial"/>
          <w:lang w:val="es-MX"/>
        </w:rPr>
        <w:t>, es decir, si el causante tenía un contrato vigente al momento de fallecer, esta posición podría llegar a ser ocupada por sus herederos, si cumplen con las condiciones necesarias para ejecutar el contrato.</w:t>
      </w:r>
      <w:r w:rsidRPr="00D15703">
        <w:rPr>
          <w:rFonts w:ascii="Arial" w:hAnsi="Arial" w:cs="Arial"/>
          <w:color w:val="000000" w:themeColor="text1"/>
          <w:lang w:val="es-MX"/>
        </w:rPr>
        <w:t xml:space="preserve"> Lo anterior ha sido reconocido por parte del Consejo de Estado, donde ha puesto de presente: «[…] </w:t>
      </w:r>
      <w:r w:rsidRPr="00D15703">
        <w:rPr>
          <w:rFonts w:ascii="Arial" w:hAnsi="Arial" w:cs="Arial"/>
          <w:lang w:val="es-MX"/>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D15703">
        <w:rPr>
          <w:rFonts w:ascii="Arial" w:hAnsi="Arial" w:cs="Arial"/>
          <w:noProof/>
          <w:lang w:val="es-ES_tradnl"/>
        </w:rPr>
        <w:t>».</w:t>
      </w:r>
      <w:r w:rsidRPr="00D15703">
        <w:rPr>
          <w:rFonts w:ascii="Arial" w:hAnsi="Arial" w:cs="Arial"/>
          <w:vertAlign w:val="superscript"/>
          <w:lang w:val="es-MX"/>
        </w:rPr>
        <w:footnoteReference w:id="30"/>
      </w:r>
    </w:p>
    <w:p w14:paraId="5CB4881E" w14:textId="77777777" w:rsidR="009C57C2" w:rsidRDefault="009C57C2" w:rsidP="00D15703">
      <w:pPr>
        <w:spacing w:after="0" w:line="276" w:lineRule="auto"/>
        <w:ind w:firstLine="708"/>
        <w:jc w:val="both"/>
        <w:rPr>
          <w:rFonts w:ascii="Arial" w:hAnsi="Arial" w:cs="Arial"/>
          <w:noProof/>
          <w:lang w:val="es-ES_tradnl"/>
        </w:rPr>
      </w:pPr>
      <w:r w:rsidRPr="00D15703">
        <w:rPr>
          <w:rFonts w:ascii="Arial" w:hAnsi="Arial" w:cs="Arial"/>
          <w:lang w:val="es-MX"/>
        </w:rPr>
        <w:t xml:space="preserve">Además, sea para contratistas persona natural o persona jurídica, el inciso final del artículo 17 de la Ley 80 de 1993 dispone que «[…] </w:t>
      </w:r>
      <w:r w:rsidRPr="00D15703">
        <w:rPr>
          <w:rFonts w:ascii="Arial" w:hAnsi="Arial" w:cs="Arial"/>
          <w:color w:val="000000" w:themeColor="text1"/>
          <w:lang w:val="es-MX"/>
        </w:rPr>
        <w:t>en los casos a que se refieren los numerales 2o. y 3o. de este artículo podrá continuarse la ejecución con el garante de la obligación</w:t>
      </w:r>
      <w:r w:rsidRPr="00D15703">
        <w:rPr>
          <w:rFonts w:ascii="Arial" w:hAnsi="Arial" w:cs="Arial"/>
          <w:noProof/>
          <w:lang w:val="es-ES_tradnl"/>
        </w:rPr>
        <w:t xml:space="preserve">». Es decir, si la </w:t>
      </w:r>
      <w:r w:rsidRPr="00D15703">
        <w:rPr>
          <w:rFonts w:ascii="Arial" w:hAnsi="Arial" w:cs="Arial"/>
          <w:noProof/>
          <w:lang w:val="es-ES_tradnl"/>
        </w:rPr>
        <w:lastRenderedPageBreak/>
        <w:t xml:space="preserve">persona natural muere o es declarada con incapacidad fisica permanente o si la persona jurídica se disuelve, la ejecución contractual puede continuar con el garante de la obligación. </w:t>
      </w:r>
    </w:p>
    <w:p w14:paraId="7993FA59" w14:textId="77777777" w:rsidR="00D40A30" w:rsidRPr="00D15703" w:rsidRDefault="00D40A30" w:rsidP="00D15703">
      <w:pPr>
        <w:spacing w:after="0" w:line="240" w:lineRule="auto"/>
        <w:ind w:firstLine="708"/>
        <w:jc w:val="both"/>
        <w:rPr>
          <w:rFonts w:ascii="Arial" w:hAnsi="Arial" w:cs="Arial"/>
          <w:noProof/>
          <w:lang w:val="es-ES_tradnl"/>
        </w:rPr>
      </w:pPr>
    </w:p>
    <w:p w14:paraId="14D6D38C" w14:textId="77777777" w:rsidR="009C57C2" w:rsidRDefault="009C57C2" w:rsidP="00D40A30">
      <w:pPr>
        <w:spacing w:after="0" w:line="276" w:lineRule="auto"/>
        <w:jc w:val="both"/>
        <w:rPr>
          <w:rFonts w:ascii="Arial" w:hAnsi="Arial" w:cs="Arial"/>
          <w:b/>
          <w:bCs/>
          <w:i/>
          <w:lang w:val="es-MX"/>
        </w:rPr>
      </w:pPr>
      <w:r w:rsidRPr="00D15703">
        <w:rPr>
          <w:rFonts w:ascii="Arial" w:hAnsi="Arial" w:cs="Arial"/>
          <w:b/>
          <w:bCs/>
          <w:i/>
          <w:lang w:val="es-MX"/>
        </w:rPr>
        <w:t>2.4.1. Muerte del contratista persona natural</w:t>
      </w:r>
    </w:p>
    <w:p w14:paraId="5872D0CD" w14:textId="77777777" w:rsidR="00D40A30" w:rsidRPr="00D15703" w:rsidRDefault="00D40A30" w:rsidP="00D15703">
      <w:pPr>
        <w:spacing w:after="0" w:line="276" w:lineRule="auto"/>
        <w:jc w:val="both"/>
        <w:rPr>
          <w:rFonts w:ascii="Arial" w:hAnsi="Arial" w:cs="Arial"/>
          <w:i/>
          <w:noProof/>
          <w:lang w:val="es-ES_tradnl"/>
        </w:rPr>
      </w:pPr>
    </w:p>
    <w:p w14:paraId="107E63E0" w14:textId="77777777" w:rsidR="009C57C2" w:rsidRDefault="009C57C2" w:rsidP="00D40A30">
      <w:pPr>
        <w:spacing w:after="0" w:line="276" w:lineRule="auto"/>
        <w:jc w:val="both"/>
        <w:rPr>
          <w:rFonts w:ascii="Arial" w:hAnsi="Arial" w:cs="Arial"/>
          <w:noProof/>
          <w:lang w:val="es-ES_tradnl"/>
        </w:rPr>
      </w:pPr>
      <w:r w:rsidRPr="00D15703">
        <w:rPr>
          <w:rFonts w:ascii="Arial" w:hAnsi="Arial" w:cs="Arial"/>
          <w:noProof/>
          <w:lang w:val="es-ES_tradnl"/>
        </w:rPr>
        <w:t>Sobre el particular, la doctrina se ha pronunciado en el sentido de avalar la procedencia de la aplicación de esta causal en los casos en los que se presenta la muerte del contratista. En este sentido el autor Pino Ricci ha manifestado:</w:t>
      </w:r>
    </w:p>
    <w:p w14:paraId="6A932EB1" w14:textId="77777777" w:rsidR="00D40A30" w:rsidRPr="00D15703" w:rsidRDefault="00D40A30" w:rsidP="00D15703">
      <w:pPr>
        <w:spacing w:after="0" w:line="276" w:lineRule="auto"/>
        <w:jc w:val="both"/>
        <w:rPr>
          <w:rFonts w:ascii="Arial" w:hAnsi="Arial" w:cs="Arial"/>
          <w:noProof/>
          <w:lang w:val="es-ES_tradnl"/>
        </w:rPr>
      </w:pPr>
    </w:p>
    <w:p w14:paraId="5BCA3CD3" w14:textId="77777777" w:rsidR="009C57C2" w:rsidRPr="00D15703" w:rsidRDefault="009C57C2" w:rsidP="00D15703">
      <w:pPr>
        <w:spacing w:after="200" w:line="240" w:lineRule="auto"/>
        <w:ind w:left="709" w:right="709"/>
        <w:jc w:val="both"/>
        <w:rPr>
          <w:rFonts w:ascii="Arial" w:hAnsi="Arial" w:cs="Arial"/>
          <w:noProof/>
          <w:sz w:val="21"/>
          <w:szCs w:val="21"/>
          <w:lang w:val="es-ES_tradnl"/>
        </w:rPr>
      </w:pPr>
      <w:r w:rsidRPr="00D15703">
        <w:rPr>
          <w:rFonts w:ascii="Arial" w:hAnsi="Arial" w:cs="Arial"/>
          <w:sz w:val="21"/>
          <w:szCs w:val="21"/>
          <w:lang w:val="es-MX"/>
        </w:rPr>
        <w:t>«</w:t>
      </w:r>
      <w:r w:rsidRPr="00D15703">
        <w:rPr>
          <w:rFonts w:ascii="Arial" w:hAnsi="Arial" w:cs="Arial"/>
          <w:noProof/>
          <w:sz w:val="21"/>
          <w:szCs w:val="21"/>
          <w:lang w:val="es-ES_tradnl"/>
        </w:rPr>
        <w:t>La muerte del contratista genera la terminación unilateral del contrato. Las entidades estatales no pueden asumir las consecuencias de la muerte del contratista frente a sus derechos y obligaciones, particularmente lo relacionado con el juicio o trámite de la sucesión. En el caso de los consorcios y uniones temporales, la muerte de uno de sus integrantes también genera la terminación unilateral del contrato.</w:t>
      </w:r>
      <w:r w:rsidRPr="00D15703">
        <w:rPr>
          <w:rFonts w:ascii="Arial" w:hAnsi="Arial" w:cs="Arial"/>
          <w:sz w:val="21"/>
          <w:szCs w:val="21"/>
          <w:lang w:val="es-MX"/>
        </w:rPr>
        <w:t>»</w:t>
      </w:r>
      <w:r w:rsidRPr="00D15703">
        <w:rPr>
          <w:rFonts w:ascii="Arial" w:hAnsi="Arial" w:cs="Arial"/>
          <w:noProof/>
          <w:sz w:val="21"/>
          <w:szCs w:val="21"/>
          <w:vertAlign w:val="superscript"/>
          <w:lang w:val="es-ES_tradnl"/>
        </w:rPr>
        <w:footnoteReference w:id="31"/>
      </w:r>
    </w:p>
    <w:p w14:paraId="788C4A2F" w14:textId="77777777" w:rsidR="009C57C2" w:rsidRPr="00D15703" w:rsidRDefault="009C57C2" w:rsidP="009C57C2">
      <w:pPr>
        <w:spacing w:after="200" w:line="276" w:lineRule="auto"/>
        <w:ind w:firstLine="708"/>
        <w:jc w:val="both"/>
        <w:rPr>
          <w:rFonts w:ascii="Arial" w:hAnsi="Arial" w:cs="Arial"/>
          <w:noProof/>
          <w:lang w:val="es-ES_tradnl"/>
        </w:rPr>
      </w:pPr>
      <w:r w:rsidRPr="00D15703">
        <w:rPr>
          <w:rFonts w:ascii="Arial" w:hAnsi="Arial" w:cs="Arial"/>
          <w:noProof/>
          <w:lang w:val="es-ES_tradnl"/>
        </w:rPr>
        <w:t>En el mismo sentido, Palacio Hincapié sostiene que la muerte justifica la terminación del contrato, así:</w:t>
      </w:r>
    </w:p>
    <w:p w14:paraId="3906DD9E" w14:textId="539F8CB3" w:rsidR="009C57C2" w:rsidRDefault="009C57C2" w:rsidP="00D40A30">
      <w:pPr>
        <w:spacing w:after="0" w:line="240" w:lineRule="auto"/>
        <w:ind w:left="709" w:right="709"/>
        <w:jc w:val="both"/>
        <w:rPr>
          <w:rFonts w:ascii="Arial" w:hAnsi="Arial" w:cs="Arial"/>
          <w:sz w:val="21"/>
          <w:szCs w:val="21"/>
          <w:lang w:val="es-MX"/>
        </w:rPr>
      </w:pPr>
      <w:r w:rsidRPr="00D15703">
        <w:rPr>
          <w:rFonts w:ascii="Arial" w:hAnsi="Arial" w:cs="Arial"/>
          <w:sz w:val="21"/>
          <w:szCs w:val="21"/>
          <w:lang w:val="es-MX"/>
        </w:rPr>
        <w:t>«</w:t>
      </w:r>
      <w:r w:rsidRPr="00D15703">
        <w:rPr>
          <w:rFonts w:ascii="Arial" w:hAnsi="Arial" w:cs="Arial"/>
          <w:noProof/>
          <w:sz w:val="21"/>
          <w:szCs w:val="21"/>
          <w:lang w:val="es-ES_tradnl"/>
        </w:rPr>
        <w:t>La terminación unilateral en este evento no es una sanción al contratista, sino la simple reafirmación de que un contrato es intuito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w:t>
      </w:r>
      <w:r w:rsidRPr="00D15703">
        <w:rPr>
          <w:rFonts w:ascii="Arial" w:hAnsi="Arial" w:cs="Arial"/>
          <w:sz w:val="21"/>
          <w:szCs w:val="21"/>
          <w:lang w:val="es-MX"/>
        </w:rPr>
        <w:t>»</w:t>
      </w:r>
      <w:r w:rsidR="00D40A30">
        <w:rPr>
          <w:rFonts w:ascii="Arial" w:hAnsi="Arial" w:cs="Arial"/>
          <w:sz w:val="21"/>
          <w:szCs w:val="21"/>
          <w:lang w:val="es-MX"/>
        </w:rPr>
        <w:t>.</w:t>
      </w:r>
      <w:r w:rsidRPr="00D15703">
        <w:rPr>
          <w:rFonts w:ascii="Arial" w:hAnsi="Arial" w:cs="Arial"/>
          <w:noProof/>
          <w:sz w:val="21"/>
          <w:szCs w:val="21"/>
          <w:vertAlign w:val="superscript"/>
          <w:lang w:val="es-ES_tradnl"/>
        </w:rPr>
        <w:footnoteReference w:id="32"/>
      </w:r>
    </w:p>
    <w:p w14:paraId="3C7AFF4F" w14:textId="77777777" w:rsidR="00D40A30" w:rsidRPr="00D15703" w:rsidRDefault="00D40A30" w:rsidP="00D15703">
      <w:pPr>
        <w:spacing w:after="0" w:line="240" w:lineRule="auto"/>
        <w:ind w:left="709" w:right="709"/>
        <w:jc w:val="both"/>
        <w:rPr>
          <w:rFonts w:ascii="Arial" w:hAnsi="Arial" w:cs="Arial"/>
          <w:noProof/>
          <w:sz w:val="21"/>
          <w:szCs w:val="21"/>
          <w:lang w:val="es-ES_tradnl"/>
        </w:rPr>
      </w:pPr>
    </w:p>
    <w:p w14:paraId="5770C9A5" w14:textId="77777777" w:rsidR="009C57C2" w:rsidRPr="00D15703" w:rsidRDefault="009C57C2" w:rsidP="009C57C2">
      <w:pPr>
        <w:spacing w:after="120" w:line="276" w:lineRule="auto"/>
        <w:ind w:firstLine="708"/>
        <w:jc w:val="both"/>
        <w:rPr>
          <w:rFonts w:ascii="Arial" w:hAnsi="Arial" w:cs="Arial"/>
          <w:lang w:val="es-MX"/>
        </w:rPr>
      </w:pPr>
      <w:r w:rsidRPr="00D15703">
        <w:rPr>
          <w:rFonts w:ascii="Arial" w:hAnsi="Arial" w:cs="Arial"/>
          <w:noProof/>
          <w:lang w:val="es-ES_tradnl"/>
        </w:rPr>
        <w:t xml:space="preserve">Según estas consideraciones, la causal del numeral 2 del artículo 17 de la Ley 80 de 1993 resulta aplicable en aquellos eventos de deceso del contratista en virtud del carácter </w:t>
      </w:r>
      <w:r w:rsidRPr="00D15703">
        <w:rPr>
          <w:rFonts w:ascii="Arial" w:hAnsi="Arial" w:cs="Arial"/>
          <w:i/>
          <w:iCs/>
          <w:lang w:val="es-MX"/>
        </w:rPr>
        <w:t xml:space="preserve">intuito </w:t>
      </w:r>
      <w:proofErr w:type="spellStart"/>
      <w:r w:rsidRPr="00D15703">
        <w:rPr>
          <w:rFonts w:ascii="Arial" w:hAnsi="Arial" w:cs="Arial"/>
          <w:i/>
          <w:iCs/>
          <w:lang w:val="es-MX"/>
        </w:rPr>
        <w:t>personae</w:t>
      </w:r>
      <w:proofErr w:type="spellEnd"/>
      <w:r w:rsidRPr="00D15703">
        <w:rPr>
          <w:rFonts w:ascii="Arial" w:hAnsi="Arial" w:cs="Arial"/>
          <w:i/>
          <w:iCs/>
          <w:lang w:val="es-MX"/>
        </w:rPr>
        <w:t xml:space="preserve"> </w:t>
      </w:r>
      <w:r w:rsidRPr="00D15703">
        <w:rPr>
          <w:rFonts w:ascii="Arial" w:hAnsi="Arial" w:cs="Arial"/>
          <w:lang w:val="es-MX"/>
        </w:rPr>
        <w:t>del</w:t>
      </w:r>
      <w:r w:rsidRPr="00D15703">
        <w:rPr>
          <w:rFonts w:ascii="Arial" w:hAnsi="Arial" w:cs="Arial"/>
          <w:i/>
          <w:iCs/>
          <w:lang w:val="es-MX"/>
        </w:rPr>
        <w:t xml:space="preserve"> </w:t>
      </w:r>
      <w:r w:rsidRPr="00D15703">
        <w:rPr>
          <w:rFonts w:ascii="Arial" w:hAnsi="Arial" w:cs="Arial"/>
          <w:lang w:val="es-MX"/>
        </w:rPr>
        <w:t xml:space="preserve">contrato, que se vería afectado por la falta de una de las personas cuyas calidades, determinaron la escogencia como contratista. </w:t>
      </w:r>
    </w:p>
    <w:p w14:paraId="1CF49137" w14:textId="77777777" w:rsidR="009C57C2" w:rsidRPr="00D15703" w:rsidRDefault="009C57C2" w:rsidP="009C57C2">
      <w:pPr>
        <w:spacing w:after="120" w:line="276" w:lineRule="auto"/>
        <w:ind w:firstLine="708"/>
        <w:jc w:val="both"/>
        <w:rPr>
          <w:rFonts w:ascii="Arial" w:hAnsi="Arial" w:cs="Arial"/>
          <w:noProof/>
          <w:lang w:val="es-ES_tradnl"/>
        </w:rPr>
      </w:pPr>
      <w:r w:rsidRPr="00D15703">
        <w:rPr>
          <w:rFonts w:ascii="Arial" w:hAnsi="Arial" w:cs="Arial"/>
          <w:lang w:val="es-MX"/>
        </w:rPr>
        <w:t xml:space="preserve">Lo anterior permite concluir, con apoyo en la doctrina, que, ante el deceso del contratista resultaría procedente el ejercicio de la potestad de terminación unilateral, considerando </w:t>
      </w:r>
      <w:r w:rsidRPr="00D15703">
        <w:rPr>
          <w:rFonts w:ascii="Arial" w:hAnsi="Arial" w:cs="Arial"/>
          <w:noProof/>
          <w:lang w:val="es-ES_tradnl"/>
        </w:rPr>
        <w:t xml:space="preserve">que la prestación de un servicio y el desarrollo de un contrato podrían afectarse gravemente por este hecho, el cual supone la ausencia de la persona encargada de ejecutar el contrato. En ese sentido, la facultad de dar por terminado de manera unilateral y anticipada el contrato se ofrece como una herramienta para que las entidades estatales puedan garantizar la continua prestación de servicios a su cargo y el cumplimiento de los fines del contrato.  </w:t>
      </w:r>
    </w:p>
    <w:p w14:paraId="6D73AF63" w14:textId="77777777" w:rsidR="009C57C2" w:rsidRPr="00D15703" w:rsidRDefault="009C57C2" w:rsidP="009C57C2">
      <w:pPr>
        <w:spacing w:after="200" w:line="276" w:lineRule="auto"/>
        <w:ind w:firstLine="708"/>
        <w:jc w:val="both"/>
        <w:rPr>
          <w:rFonts w:ascii="Arial" w:hAnsi="Arial" w:cs="Arial"/>
          <w:noProof/>
          <w:lang w:val="es-ES_tradnl"/>
        </w:rPr>
      </w:pPr>
      <w:r w:rsidRPr="00D15703">
        <w:rPr>
          <w:rFonts w:ascii="Arial" w:hAnsi="Arial" w:cs="Arial"/>
          <w:noProof/>
          <w:lang w:val="es-ES_tradnl"/>
        </w:rPr>
        <w:t xml:space="preserve">Ahora bien, para efectos de la consulta realizada, es menester precisar que la normativa del Sistema de Compra Pública no establece un procedimiento reglado especificamente para la </w:t>
      </w:r>
      <w:r w:rsidRPr="00D15703">
        <w:rPr>
          <w:rFonts w:ascii="Arial" w:hAnsi="Arial" w:cs="Arial"/>
          <w:noProof/>
          <w:lang w:val="es-ES_tradnl"/>
        </w:rPr>
        <w:lastRenderedPageBreak/>
        <w:t xml:space="preserve">liquidación unilateral en eventos de muerte del contratista, ni la forma de realizar el pago de las sumas debidas a un contratista fallecido. </w:t>
      </w:r>
    </w:p>
    <w:p w14:paraId="0A1C62F4" w14:textId="77777777" w:rsidR="009C57C2" w:rsidRPr="00D15703" w:rsidRDefault="009C57C2" w:rsidP="009C57C2">
      <w:pPr>
        <w:spacing w:after="200" w:line="276" w:lineRule="auto"/>
        <w:ind w:firstLine="708"/>
        <w:jc w:val="both"/>
        <w:rPr>
          <w:rFonts w:ascii="Arial" w:hAnsi="Arial" w:cs="Arial"/>
          <w:noProof/>
          <w:lang w:val="es-ES_tradnl"/>
        </w:rPr>
      </w:pPr>
      <w:r w:rsidRPr="00D15703">
        <w:rPr>
          <w:rFonts w:ascii="Arial" w:hAnsi="Arial" w:cs="Arial"/>
          <w:noProof/>
          <w:lang w:val="es-ES_tradnl"/>
        </w:rPr>
        <w:t xml:space="preserve">Sin embargo, </w:t>
      </w:r>
      <w:r w:rsidRPr="00D15703">
        <w:rPr>
          <w:rFonts w:ascii="Arial" w:hAnsi="Arial" w:cs="Arial"/>
          <w:lang w:val="es-ES_tradnl"/>
        </w:rPr>
        <w:t xml:space="preserve">la causal de terminación unilateral consagrada en el numeral 2 del artículo 17 de la Ley 80 de 1993 ha sido desarrollada en forma expresa previendo como supuestos de hecho que ameritan la terminación unilateral y anticipada del contrato la «[…] muerte o incapacidad física permanente del contratista, si es persona natural, o por disolución de la persona jurídica del contratista». </w:t>
      </w:r>
    </w:p>
    <w:p w14:paraId="7E0CD306" w14:textId="77777777" w:rsidR="009C57C2" w:rsidRPr="00D15703" w:rsidRDefault="009C57C2" w:rsidP="009C57C2">
      <w:pPr>
        <w:spacing w:after="200" w:line="276" w:lineRule="auto"/>
        <w:ind w:firstLine="851"/>
        <w:jc w:val="both"/>
        <w:rPr>
          <w:rFonts w:ascii="Arial" w:hAnsi="Arial" w:cs="Arial"/>
          <w:lang w:val="es-MX"/>
        </w:rPr>
      </w:pPr>
      <w:r w:rsidRPr="00D15703">
        <w:rPr>
          <w:rFonts w:ascii="Arial" w:hAnsi="Arial" w:cs="Arial"/>
          <w:lang w:val="es-ES_tradnl"/>
        </w:rPr>
        <w:t xml:space="preserve">De este modo, y concordancia con lo dispuesto en el artículo </w:t>
      </w:r>
      <w:r w:rsidRPr="00D15703">
        <w:rPr>
          <w:rFonts w:ascii="Arial" w:hAnsi="Arial" w:cs="Arial"/>
          <w:lang w:val="es-MX"/>
        </w:rPr>
        <w:t xml:space="preserve">8 de la Ley 153 de 1887, </w:t>
      </w:r>
      <w:r w:rsidRPr="00D15703">
        <w:rPr>
          <w:rFonts w:ascii="Arial" w:hAnsi="Arial" w:cs="Arial"/>
          <w:lang w:val="es-ES_tradnl"/>
        </w:rPr>
        <w:t xml:space="preserve">es viable que, ante el </w:t>
      </w:r>
      <w:r w:rsidRPr="00D15703">
        <w:rPr>
          <w:rFonts w:ascii="Arial" w:hAnsi="Arial" w:cs="Arial"/>
          <w:lang w:val="es-MX"/>
        </w:rPr>
        <w:t xml:space="preserve">vacío de regulación concreta en el planteamiento de la consulta, se acuda a la </w:t>
      </w:r>
      <w:proofErr w:type="spellStart"/>
      <w:r w:rsidRPr="00D15703">
        <w:rPr>
          <w:rFonts w:ascii="Arial" w:hAnsi="Arial" w:cs="Arial"/>
          <w:i/>
          <w:lang w:val="es-MX"/>
        </w:rPr>
        <w:t>analogia</w:t>
      </w:r>
      <w:proofErr w:type="spellEnd"/>
      <w:r w:rsidRPr="00D15703">
        <w:rPr>
          <w:rFonts w:ascii="Arial" w:hAnsi="Arial" w:cs="Arial"/>
          <w:i/>
          <w:lang w:val="es-MX"/>
        </w:rPr>
        <w:t xml:space="preserve"> </w:t>
      </w:r>
      <w:proofErr w:type="spellStart"/>
      <w:r w:rsidRPr="00D15703">
        <w:rPr>
          <w:rFonts w:ascii="Arial" w:hAnsi="Arial" w:cs="Arial"/>
          <w:i/>
          <w:lang w:val="es-MX"/>
        </w:rPr>
        <w:t>legis</w:t>
      </w:r>
      <w:proofErr w:type="spellEnd"/>
      <w:r w:rsidRPr="00D15703">
        <w:rPr>
          <w:rFonts w:ascii="Arial" w:hAnsi="Arial" w:cs="Arial"/>
          <w:i/>
          <w:lang w:val="es-MX"/>
        </w:rPr>
        <w:t xml:space="preserve">, </w:t>
      </w:r>
      <w:r w:rsidRPr="00D15703">
        <w:rPr>
          <w:rFonts w:ascii="Arial" w:hAnsi="Arial" w:cs="Arial"/>
          <w:lang w:val="es-MX"/>
        </w:rPr>
        <w:t xml:space="preserve">analizada por la Corte Constitucional, en los siguientes términos: </w:t>
      </w:r>
    </w:p>
    <w:p w14:paraId="4D0889B6" w14:textId="56EFEB4C" w:rsidR="009C57C2" w:rsidRPr="00D15703" w:rsidRDefault="00A0534D" w:rsidP="009C57C2">
      <w:pPr>
        <w:spacing w:after="200" w:line="240" w:lineRule="auto"/>
        <w:ind w:left="851" w:right="851"/>
        <w:jc w:val="both"/>
        <w:rPr>
          <w:rFonts w:ascii="Arial" w:hAnsi="Arial" w:cs="Arial"/>
          <w:sz w:val="21"/>
          <w:szCs w:val="21"/>
          <w:lang w:val="es-MX"/>
        </w:rPr>
      </w:pPr>
      <w:r>
        <w:rPr>
          <w:rFonts w:ascii="Arial" w:hAnsi="Arial" w:cs="Arial"/>
          <w:sz w:val="21"/>
          <w:szCs w:val="21"/>
          <w:lang w:val="es-MX"/>
        </w:rPr>
        <w:t>«</w:t>
      </w:r>
      <w:r w:rsidR="009C57C2" w:rsidRPr="00D15703">
        <w:rPr>
          <w:rFonts w:ascii="Arial" w:hAnsi="Arial" w:cs="Arial"/>
          <w:sz w:val="21"/>
          <w:szCs w:val="21"/>
          <w:lang w:val="es-MX"/>
        </w:rPr>
        <w:t xml:space="preserve">La analogía es la aplicación de la ley a situaciones no contempladas expresamente en ella, pero que sólo difieren de las que sí lo están en aspectos jurídicamente irrelevantes, es decir, ajenos a aquéllos que explican y fundamentan la ratio </w:t>
      </w:r>
      <w:proofErr w:type="spellStart"/>
      <w:r w:rsidR="009C57C2" w:rsidRPr="00D15703">
        <w:rPr>
          <w:rFonts w:ascii="Arial" w:hAnsi="Arial" w:cs="Arial"/>
          <w:sz w:val="21"/>
          <w:szCs w:val="21"/>
          <w:lang w:val="es-MX"/>
        </w:rPr>
        <w:t>juris</w:t>
      </w:r>
      <w:proofErr w:type="spellEnd"/>
      <w:r w:rsidR="009C57C2" w:rsidRPr="00D15703">
        <w:rPr>
          <w:rFonts w:ascii="Arial" w:hAnsi="Arial" w:cs="Arial"/>
          <w:sz w:val="21"/>
          <w:szCs w:val="21"/>
          <w:lang w:val="es-MX"/>
        </w:rPr>
        <w:t xml:space="preserve"> o razón de ser de la norma. La consagración positiva de la analogía halla su justificación en el principio de igualdad, base a la vez de la justicia, pues, en función de ésta, los seres y las situaciones iguales deben recibir un tratamiento igual. Discernir los aspectos relevantes de los irrelevantes implica, desde luego, un esfuerzo interpretativo que en nada difiere del que ordinariamente tiene que realizar el juez para determinar si un caso particular es o no subsumible en una norma de carácter general. La analogía no constituye una fuente autónoma, diferente de la legislación. El juez que acude a ella no hace nada distinto de atenerse al imperio de la ley. Su consagración en la disposición que se examina resulta, pues, a tono con el artículo 230 de la Constitución (…) Cuando el juez razona por analogía, aplica la ley a una situación no contemplada explícitamente en ella, pero esencialmente igual, para los efectos de su regulación jurídica, a la que sí lo está. Esta modalidad se conoce en doctrina como </w:t>
      </w:r>
      <w:proofErr w:type="spellStart"/>
      <w:r w:rsidR="009C57C2" w:rsidRPr="00D15703">
        <w:rPr>
          <w:rFonts w:ascii="Arial" w:hAnsi="Arial" w:cs="Arial"/>
          <w:sz w:val="21"/>
          <w:szCs w:val="21"/>
          <w:lang w:val="es-MX"/>
        </w:rPr>
        <w:t>analogia</w:t>
      </w:r>
      <w:proofErr w:type="spellEnd"/>
      <w:r w:rsidR="009C57C2" w:rsidRPr="00D15703">
        <w:rPr>
          <w:rFonts w:ascii="Arial" w:hAnsi="Arial" w:cs="Arial"/>
          <w:sz w:val="21"/>
          <w:szCs w:val="21"/>
          <w:lang w:val="es-MX"/>
        </w:rPr>
        <w:t xml:space="preserve"> </w:t>
      </w:r>
      <w:proofErr w:type="spellStart"/>
      <w:r w:rsidR="009C57C2" w:rsidRPr="00D15703">
        <w:rPr>
          <w:rFonts w:ascii="Arial" w:hAnsi="Arial" w:cs="Arial"/>
          <w:sz w:val="21"/>
          <w:szCs w:val="21"/>
          <w:lang w:val="es-MX"/>
        </w:rPr>
        <w:t>legis</w:t>
      </w:r>
      <w:proofErr w:type="spellEnd"/>
      <w:r w:rsidR="009C57C2" w:rsidRPr="00D15703">
        <w:rPr>
          <w:rFonts w:ascii="Arial" w:hAnsi="Arial" w:cs="Arial"/>
          <w:sz w:val="21"/>
          <w:szCs w:val="21"/>
          <w:lang w:val="es-MX"/>
        </w:rPr>
        <w:t xml:space="preserve">, y se la contrasta con la </w:t>
      </w:r>
      <w:proofErr w:type="spellStart"/>
      <w:r w:rsidR="009C57C2" w:rsidRPr="00D15703">
        <w:rPr>
          <w:rFonts w:ascii="Arial" w:hAnsi="Arial" w:cs="Arial"/>
          <w:sz w:val="21"/>
          <w:szCs w:val="21"/>
          <w:lang w:val="es-MX"/>
        </w:rPr>
        <w:t>analogia</w:t>
      </w:r>
      <w:proofErr w:type="spellEnd"/>
      <w:r w:rsidR="009C57C2" w:rsidRPr="00D15703">
        <w:rPr>
          <w:rFonts w:ascii="Arial" w:hAnsi="Arial" w:cs="Arial"/>
          <w:sz w:val="21"/>
          <w:szCs w:val="21"/>
          <w:lang w:val="es-MX"/>
        </w:rPr>
        <w:t xml:space="preserve"> </w:t>
      </w:r>
      <w:proofErr w:type="spellStart"/>
      <w:r w:rsidR="009C57C2" w:rsidRPr="00D15703">
        <w:rPr>
          <w:rFonts w:ascii="Arial" w:hAnsi="Arial" w:cs="Arial"/>
          <w:sz w:val="21"/>
          <w:szCs w:val="21"/>
          <w:lang w:val="es-MX"/>
        </w:rPr>
        <w:t>juris</w:t>
      </w:r>
      <w:proofErr w:type="spellEnd"/>
      <w:r w:rsidR="009C57C2" w:rsidRPr="00D15703">
        <w:rPr>
          <w:rFonts w:ascii="Arial" w:hAnsi="Arial" w:cs="Arial"/>
          <w:sz w:val="21"/>
          <w:szCs w:val="21"/>
          <w:lang w:val="es-MX"/>
        </w:rPr>
        <w:t xml:space="preserve"> en la cual, a partir de diversas disposiciones del ordenamiento, se extraen los principios generales que las informan, por una suerte de inducción, y se aplican a casos o situaciones no previstas de modo expreso en una norma determinada</w:t>
      </w:r>
      <w:r w:rsidR="006300A5">
        <w:rPr>
          <w:rFonts w:ascii="Arial" w:hAnsi="Arial" w:cs="Arial"/>
          <w:sz w:val="21"/>
          <w:szCs w:val="21"/>
          <w:lang w:val="es-MX"/>
        </w:rPr>
        <w:t>»</w:t>
      </w:r>
      <w:r w:rsidR="009C57C2" w:rsidRPr="00D15703">
        <w:rPr>
          <w:rFonts w:ascii="Arial" w:hAnsi="Arial" w:cs="Arial"/>
          <w:sz w:val="21"/>
          <w:szCs w:val="21"/>
          <w:vertAlign w:val="superscript"/>
          <w:lang w:val="es-MX"/>
        </w:rPr>
        <w:footnoteReference w:id="33"/>
      </w:r>
      <w:r w:rsidR="009C57C2" w:rsidRPr="00D15703">
        <w:rPr>
          <w:rFonts w:ascii="Arial" w:hAnsi="Arial" w:cs="Arial"/>
          <w:sz w:val="21"/>
          <w:szCs w:val="21"/>
          <w:lang w:val="es-MX"/>
        </w:rPr>
        <w:t>.</w:t>
      </w:r>
    </w:p>
    <w:p w14:paraId="5B97E0C2" w14:textId="77777777" w:rsidR="009C57C2" w:rsidRPr="00D15703" w:rsidRDefault="009C57C2" w:rsidP="00D15703">
      <w:pPr>
        <w:spacing w:after="120" w:line="276" w:lineRule="auto"/>
        <w:ind w:firstLine="851"/>
        <w:jc w:val="both"/>
        <w:rPr>
          <w:rFonts w:ascii="Arial" w:hAnsi="Arial" w:cs="Arial"/>
          <w:lang w:val="es-ES_tradnl" w:eastAsia="es-ES"/>
        </w:rPr>
      </w:pPr>
      <w:r w:rsidRPr="00D15703">
        <w:rPr>
          <w:rFonts w:ascii="Arial" w:hAnsi="Arial" w:cs="Arial"/>
          <w:lang w:val="es-MX"/>
        </w:rPr>
        <w:t xml:space="preserve">En virtud de lo anterior, se puede afirmar que </w:t>
      </w:r>
      <w:r w:rsidRPr="00D15703">
        <w:rPr>
          <w:rFonts w:ascii="Arial" w:hAnsi="Arial" w:cs="Arial"/>
          <w:lang w:val="es-ES_tradnl" w:eastAsia="es-ES"/>
        </w:rPr>
        <w:t xml:space="preserve">la </w:t>
      </w:r>
      <w:r w:rsidRPr="00D15703">
        <w:rPr>
          <w:rFonts w:ascii="Arial" w:hAnsi="Arial" w:cs="Arial"/>
          <w:iCs/>
          <w:color w:val="000000"/>
          <w:lang w:val="es-MX" w:eastAsia="es-CO"/>
        </w:rPr>
        <w:t xml:space="preserve">muerte o incapacidad física permanente del contratista, si es persona natural </w:t>
      </w:r>
      <w:r w:rsidRPr="00D15703">
        <w:rPr>
          <w:rFonts w:ascii="Arial" w:hAnsi="Arial" w:cs="Arial"/>
          <w:lang w:val="es-ES_tradnl" w:eastAsia="es-ES"/>
        </w:rPr>
        <w:t xml:space="preserve">constituye un hecho que impide la liquidación bilateral por las razones ya expuestas en el desarrollo de este concepto para la terminación unilateral y tal sentido la entidad estatal tiene la facultad de liquidarlo unilateralmente durante el término de 2 meses contados a partir del vencimiento del plazo que acuerden las partes para efectuar la liquidación bilateralmente, o ante el silencio de estas, del vencimiento de los 4 meses supletivos establecidos en la Ley. En todo caso, transcurridos estos 2 meses, la liquidación podrá ser realizada en cualquier tiempo, dentro de los dos años siguientes al vencimiento del término referido. </w:t>
      </w:r>
    </w:p>
    <w:p w14:paraId="6C9663EA" w14:textId="77777777" w:rsidR="009C57C2" w:rsidRPr="00D15703" w:rsidRDefault="009C57C2" w:rsidP="00D15703">
      <w:pPr>
        <w:spacing w:after="120" w:line="276" w:lineRule="auto"/>
        <w:ind w:firstLine="708"/>
        <w:jc w:val="both"/>
        <w:rPr>
          <w:rFonts w:ascii="Arial" w:hAnsi="Arial" w:cs="Arial"/>
          <w:noProof/>
          <w:lang w:val="es-ES_tradnl"/>
        </w:rPr>
      </w:pPr>
      <w:r w:rsidRPr="00D15703">
        <w:rPr>
          <w:rFonts w:ascii="Arial" w:hAnsi="Arial" w:cs="Arial"/>
          <w:noProof/>
          <w:lang w:val="es-ES_tradnl"/>
        </w:rPr>
        <w:lastRenderedPageBreak/>
        <w:t xml:space="preserve">De este modo, conforme a lo considerado en el presente concepto, en la liquidación uniltaeral se deberá proceder a realizar las respectivas indemnizaciones, compensaciones y reajustes a los que haya lugar en favor de los involucrados, como, por ejemplo, los causababientes del fallecido.    </w:t>
      </w:r>
    </w:p>
    <w:p w14:paraId="4441911B" w14:textId="2AE58F29" w:rsidR="009C57C2" w:rsidRPr="00D15703" w:rsidRDefault="009C57C2" w:rsidP="00D15703">
      <w:pPr>
        <w:spacing w:after="200" w:line="276" w:lineRule="auto"/>
        <w:ind w:firstLine="708"/>
        <w:jc w:val="both"/>
        <w:rPr>
          <w:rFonts w:ascii="Arial" w:hAnsi="Arial" w:cs="Arial"/>
          <w:lang w:val="es-ES_tradnl"/>
        </w:rPr>
      </w:pPr>
      <w:r w:rsidRPr="00D15703">
        <w:rPr>
          <w:rFonts w:ascii="Arial" w:hAnsi="Arial" w:cs="Arial"/>
          <w:noProof/>
          <w:lang w:val="es-ES_tradnl"/>
        </w:rPr>
        <w:t xml:space="preserve">Lo anterior, en concordancia con lo dispuesto en los artículos 1008 y 1155 del Código Civil, ya que los sucesores, sean herederos y/o legatarios, se convierten en acreedores de los deudores que tuviera el causante al momento de su muerte, pues representan al difunto para sucederle en todos sus bienes, derechos y obligaciones transmisibles. De este modo, en aquellos eventos en los cuales con ocasión de la liquidación se generen saldos a favor del contratista, estos integran su masa sucesoral y por lo tanto, sus herederos y/o legatarios podrían tener derecho a reclamar dichas sumas de dinero. </w:t>
      </w:r>
      <w:r w:rsidRPr="00D15703">
        <w:rPr>
          <w:rFonts w:ascii="Arial" w:hAnsi="Arial" w:cs="Arial"/>
          <w:lang w:val="es-ES_tradnl"/>
        </w:rPr>
        <w:t xml:space="preserve">Al respecto, la </w:t>
      </w:r>
      <w:r w:rsidRPr="00D15703">
        <w:rPr>
          <w:rFonts w:ascii="Arial" w:hAnsi="Arial" w:cs="Arial"/>
          <w:lang w:val="es-MX"/>
        </w:rPr>
        <w:t>Sala de lo Contencioso Administrativo del Consejo de Estado expresó:</w:t>
      </w:r>
    </w:p>
    <w:p w14:paraId="226890ED" w14:textId="22BB4BE2" w:rsidR="009C57C2" w:rsidRDefault="00821758" w:rsidP="000C6798">
      <w:pPr>
        <w:tabs>
          <w:tab w:val="left" w:pos="426"/>
        </w:tabs>
        <w:spacing w:after="0" w:line="240" w:lineRule="auto"/>
        <w:ind w:left="851" w:right="851"/>
        <w:jc w:val="both"/>
        <w:rPr>
          <w:rFonts w:ascii="Arial" w:hAnsi="Arial" w:cs="Arial"/>
          <w:lang w:val="es-MX"/>
        </w:rPr>
      </w:pPr>
      <w:r>
        <w:rPr>
          <w:rFonts w:ascii="Arial" w:hAnsi="Arial" w:cs="Arial"/>
          <w:lang w:val="es-MX"/>
        </w:rPr>
        <w:t>«</w:t>
      </w:r>
      <w:r w:rsidR="009C57C2" w:rsidRPr="00D15703">
        <w:rPr>
          <w:rFonts w:ascii="Arial" w:hAnsi="Arial" w:cs="Arial"/>
          <w:lang w:val="es-MX"/>
        </w:rPr>
        <w:t>En relación con lo anterior la Sala advierte que, en efecto, 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Ello no podía ocurrir en este caso, porque el contrato terminó como consecuencia de un acto administrativo vigente proferido por la entidad estatal Contratante como consecuencia de la muerte del causante. Sus herederos no podían incluir como activo transmisible en la sucesión los derechos del causante en el contrato; lo que podían haber incluido eran los derechos resultantes de la liquidación del contrato</w:t>
      </w:r>
      <w:r>
        <w:rPr>
          <w:rFonts w:ascii="Arial" w:hAnsi="Arial" w:cs="Arial"/>
          <w:lang w:val="es-MX"/>
        </w:rPr>
        <w:t>»</w:t>
      </w:r>
      <w:r w:rsidR="009C57C2" w:rsidRPr="00D15703">
        <w:rPr>
          <w:rFonts w:ascii="Arial" w:hAnsi="Arial" w:cs="Arial"/>
          <w:vertAlign w:val="superscript"/>
          <w:lang w:val="es-MX"/>
        </w:rPr>
        <w:footnoteReference w:id="34"/>
      </w:r>
      <w:r w:rsidR="009C57C2" w:rsidRPr="00D15703">
        <w:rPr>
          <w:rFonts w:ascii="Arial" w:hAnsi="Arial" w:cs="Arial"/>
          <w:lang w:val="es-MX"/>
        </w:rPr>
        <w:t>.</w:t>
      </w:r>
    </w:p>
    <w:p w14:paraId="5A10C505" w14:textId="77777777" w:rsidR="000C6798" w:rsidRPr="00D15703" w:rsidRDefault="000C6798" w:rsidP="00D15703">
      <w:pPr>
        <w:tabs>
          <w:tab w:val="left" w:pos="426"/>
        </w:tabs>
        <w:spacing w:after="0" w:line="240" w:lineRule="auto"/>
        <w:ind w:left="851" w:right="851"/>
        <w:jc w:val="both"/>
        <w:rPr>
          <w:rFonts w:ascii="Arial" w:hAnsi="Arial" w:cs="Arial"/>
          <w:lang w:val="es-MX"/>
        </w:rPr>
      </w:pPr>
    </w:p>
    <w:p w14:paraId="0CECCC6C" w14:textId="77777777" w:rsidR="000C6798" w:rsidRDefault="009C57C2" w:rsidP="00D15703">
      <w:pPr>
        <w:spacing w:after="0" w:line="276" w:lineRule="auto"/>
        <w:jc w:val="both"/>
        <w:rPr>
          <w:rFonts w:ascii="Arial" w:hAnsi="Arial" w:cs="Arial"/>
          <w:b/>
          <w:bCs/>
          <w:i/>
          <w:lang w:val="es-MX"/>
        </w:rPr>
      </w:pPr>
      <w:r w:rsidRPr="00D15703">
        <w:rPr>
          <w:rFonts w:ascii="Arial" w:hAnsi="Arial" w:cs="Arial"/>
          <w:b/>
          <w:bCs/>
          <w:i/>
          <w:lang w:val="es-MX"/>
        </w:rPr>
        <w:t>2.4.2. Disolución de la persona jurídica del contratista</w:t>
      </w:r>
    </w:p>
    <w:p w14:paraId="208C9EF4" w14:textId="7B4B258F" w:rsidR="009C57C2" w:rsidRPr="00D15703" w:rsidRDefault="009C57C2" w:rsidP="00D15703">
      <w:pPr>
        <w:spacing w:after="0" w:line="276" w:lineRule="auto"/>
        <w:jc w:val="both"/>
        <w:rPr>
          <w:rFonts w:ascii="Arial" w:hAnsi="Arial" w:cs="Arial"/>
          <w:iCs/>
          <w:noProof/>
          <w:lang w:val="es-ES_tradnl"/>
        </w:rPr>
      </w:pPr>
      <w:r w:rsidRPr="00D15703">
        <w:rPr>
          <w:rFonts w:ascii="Arial" w:hAnsi="Arial" w:cs="Arial"/>
          <w:b/>
          <w:bCs/>
          <w:i/>
          <w:lang w:val="es-MX"/>
        </w:rPr>
        <w:t xml:space="preserve"> </w:t>
      </w:r>
    </w:p>
    <w:p w14:paraId="4DBABBB9" w14:textId="77777777" w:rsidR="009C57C2" w:rsidRPr="00D15703" w:rsidRDefault="009C57C2" w:rsidP="00D15703">
      <w:pPr>
        <w:tabs>
          <w:tab w:val="left" w:pos="426"/>
        </w:tabs>
        <w:spacing w:after="120" w:line="276" w:lineRule="auto"/>
        <w:jc w:val="both"/>
        <w:rPr>
          <w:rFonts w:ascii="Arial" w:hAnsi="Arial" w:cs="Arial"/>
          <w:lang w:val="es-MX"/>
        </w:rPr>
      </w:pPr>
      <w:r w:rsidRPr="00D15703">
        <w:rPr>
          <w:rFonts w:ascii="Arial" w:hAnsi="Arial" w:cs="Arial"/>
          <w:lang w:val="es-MX"/>
        </w:rPr>
        <w:t>El artículo 633 del Código Civil define la persona jurídica como aquella nacida de la voluntad de seres o personas físicas que, una vez constituida, adquiere plena capacidad para actuar, ejerciendo derechos y contrayendo obligaciones civiles, lo que a su vez le permite crear, modificar o extinguir relaciones jurídicas de forma voluntaria y autónoma.</w:t>
      </w:r>
    </w:p>
    <w:p w14:paraId="0FC0942F" w14:textId="77777777"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 xml:space="preserve">De este modo, las personas jurídicas se encuentran legitimadas para comparecer a los procesos judiciales o administrativos, a través de sus representantes legales, con arreglo a lo que disponga la Constitución, la Ley o los Estatutos. Es claro entonces que la capacidad de las </w:t>
      </w:r>
      <w:proofErr w:type="gramStart"/>
      <w:r w:rsidRPr="00D15703">
        <w:rPr>
          <w:rFonts w:ascii="Arial" w:hAnsi="Arial" w:cs="Arial"/>
          <w:lang w:val="es-MX"/>
        </w:rPr>
        <w:t>sociedades,</w:t>
      </w:r>
      <w:proofErr w:type="gramEnd"/>
      <w:r w:rsidRPr="00D15703">
        <w:rPr>
          <w:rFonts w:ascii="Arial" w:hAnsi="Arial" w:cs="Arial"/>
          <w:lang w:val="es-MX"/>
        </w:rPr>
        <w:t xml:space="preserve"> implica dotarlas de facultades para actuar, en tanto dichas personas jurídicas existan. Así pues, resulta importante precisar que legalmente, la persona jurídica societaria existe desde el momento mismo de su constitución por escritura pública inscrita en el registro mercantil.  </w:t>
      </w:r>
    </w:p>
    <w:p w14:paraId="6A0178BB" w14:textId="77777777" w:rsidR="009C57C2" w:rsidRPr="00D15703" w:rsidRDefault="009C57C2" w:rsidP="00D15703">
      <w:pPr>
        <w:tabs>
          <w:tab w:val="left" w:pos="426"/>
        </w:tabs>
        <w:spacing w:after="120" w:line="276" w:lineRule="auto"/>
        <w:ind w:firstLine="851"/>
        <w:jc w:val="both"/>
        <w:rPr>
          <w:rFonts w:ascii="Arial" w:eastAsia="Calibri" w:hAnsi="Arial" w:cs="Arial"/>
          <w:b/>
        </w:rPr>
      </w:pPr>
      <w:r w:rsidRPr="00D15703">
        <w:rPr>
          <w:rFonts w:ascii="Arial" w:hAnsi="Arial" w:cs="Arial"/>
          <w:lang w:val="es-MX"/>
        </w:rPr>
        <w:lastRenderedPageBreak/>
        <w:t xml:space="preserve">Ahora bien, la disolución de la sociedad es un acto jurídico que opera cuando se produce alguna de las causales enunciadas en el artículo 218 del Código de Comercio, que tienen efectos en el tiempo, dependientes de la causal misma. Dicho acto afecta la existencia de la sociedad e implica la restricción parcial de su capacidad jurídica, como quiera que no </w:t>
      </w:r>
      <w:proofErr w:type="gramStart"/>
      <w:r w:rsidRPr="00D15703">
        <w:rPr>
          <w:rFonts w:ascii="Arial" w:hAnsi="Arial" w:cs="Arial"/>
          <w:lang w:val="es-MX"/>
        </w:rPr>
        <w:t>puede</w:t>
      </w:r>
      <w:proofErr w:type="gramEnd"/>
      <w:r w:rsidRPr="00D15703">
        <w:rPr>
          <w:rFonts w:ascii="Arial" w:hAnsi="Arial" w:cs="Arial"/>
          <w:lang w:val="es-MX"/>
        </w:rPr>
        <w:t xml:space="preserve"> continuar desarrollando el objeto social con el que se constituyó. </w:t>
      </w:r>
    </w:p>
    <w:p w14:paraId="55819DD6" w14:textId="77777777"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Dicho esto, debe precisarse que la disolución de la sociedad da paso a su inmediata liquidación; así pues, en adelante la capacidad jurídica de la sociedad disuelta solo se tendría para realizar los actos relacionados su inmediata liquidación y queda restringida la posibilidad de realizar actos u operaciones para fines distintos.</w:t>
      </w:r>
    </w:p>
    <w:p w14:paraId="6890F6E7" w14:textId="77777777" w:rsidR="009C57C2" w:rsidRDefault="009C57C2" w:rsidP="00AC4B09">
      <w:pPr>
        <w:tabs>
          <w:tab w:val="left" w:pos="426"/>
        </w:tabs>
        <w:spacing w:after="0" w:line="276" w:lineRule="auto"/>
        <w:ind w:firstLine="851"/>
        <w:jc w:val="both"/>
        <w:rPr>
          <w:rFonts w:ascii="Arial" w:hAnsi="Arial" w:cs="Arial"/>
          <w:lang w:val="es-MX"/>
        </w:rPr>
      </w:pPr>
      <w:r w:rsidRPr="00D15703">
        <w:rPr>
          <w:rFonts w:ascii="Arial" w:hAnsi="Arial" w:cs="Arial"/>
          <w:lang w:val="es-MX"/>
        </w:rPr>
        <w:t>Frente a esto el Consejo de Estado, Sala de lo Contencioso Administrativo en sentencia de 30 de abril de 2014 se pronunció en los siguientes términos:</w:t>
      </w:r>
    </w:p>
    <w:p w14:paraId="3BA0DEAA" w14:textId="77777777" w:rsidR="00AC4B09" w:rsidRPr="00D15703" w:rsidRDefault="00AC4B09" w:rsidP="00D15703">
      <w:pPr>
        <w:tabs>
          <w:tab w:val="left" w:pos="426"/>
        </w:tabs>
        <w:spacing w:after="0" w:line="276" w:lineRule="auto"/>
        <w:ind w:firstLine="851"/>
        <w:jc w:val="both"/>
        <w:rPr>
          <w:rFonts w:ascii="Arial" w:hAnsi="Arial" w:cs="Arial"/>
          <w:lang w:val="es-MX"/>
        </w:rPr>
      </w:pPr>
    </w:p>
    <w:p w14:paraId="1C5CE5CB" w14:textId="77777777" w:rsidR="009C57C2" w:rsidRPr="00D15703" w:rsidRDefault="009C57C2" w:rsidP="009C57C2">
      <w:pPr>
        <w:tabs>
          <w:tab w:val="left" w:pos="426"/>
        </w:tabs>
        <w:spacing w:after="240" w:line="240" w:lineRule="auto"/>
        <w:ind w:left="851" w:right="851"/>
        <w:jc w:val="both"/>
        <w:rPr>
          <w:rFonts w:ascii="Arial" w:hAnsi="Arial" w:cs="Arial"/>
          <w:sz w:val="21"/>
          <w:szCs w:val="21"/>
          <w:lang w:val="es-MX"/>
        </w:rPr>
      </w:pPr>
      <w:r w:rsidRPr="00D15703">
        <w:rPr>
          <w:rFonts w:ascii="Arial" w:hAnsi="Arial" w:cs="Arial"/>
          <w:sz w:val="21"/>
          <w:szCs w:val="21"/>
          <w:lang w:val="es-MX"/>
        </w:rPr>
        <w:t xml:space="preserve">La disolución de la sociedad da paso a su inmediata liquidación; de acuerdo con ello, el artículo 222 del mismo ordenamiento, sólo auspicia la capacidad jurídica de la sociedad disuelta para realizar los actos relacionados con ese cometido – la inmediata liquidación - y descarta toda operación o acto ajeno al mismo, responsabilizando de su realización al liquidador y al revisor fiscal que no se hubiere opuesto a ejecutarlos, tanto frente a la sociedad, como frente a los asociados y a terceros. El nombre de la sociedad disuelta siempre debe adicionarse con la expresión "en liquidación". La inmediata liquidación que ordena la </w:t>
      </w:r>
      <w:proofErr w:type="gramStart"/>
      <w:r w:rsidRPr="00D15703">
        <w:rPr>
          <w:rFonts w:ascii="Arial" w:hAnsi="Arial" w:cs="Arial"/>
          <w:sz w:val="21"/>
          <w:szCs w:val="21"/>
          <w:lang w:val="es-MX"/>
        </w:rPr>
        <w:t>norma,</w:t>
      </w:r>
      <w:proofErr w:type="gramEnd"/>
      <w:r w:rsidRPr="00D15703">
        <w:rPr>
          <w:rFonts w:ascii="Arial" w:hAnsi="Arial" w:cs="Arial"/>
          <w:sz w:val="21"/>
          <w:szCs w:val="21"/>
          <w:lang w:val="es-MX"/>
        </w:rPr>
        <w:t xml:space="preserve"> refiere a la ejecución del procedimiento reglado para repartir el patrimonio social entre los socios, previa satisfacción de los acreedores sociales, protegiendo sus especiales intereses. Se trata de establecer lo que se tiene y lo que se debe, de satisfacer las obligaciones pendientes, de saldar el pasivo externo, de determinar el activo neto divisible entre los asociados y de distribuirles el remanente.</w:t>
      </w:r>
    </w:p>
    <w:p w14:paraId="32E86979" w14:textId="77777777" w:rsidR="009C57C2" w:rsidRPr="00D15703" w:rsidRDefault="009C57C2" w:rsidP="009C57C2">
      <w:pPr>
        <w:tabs>
          <w:tab w:val="left" w:pos="426"/>
        </w:tabs>
        <w:spacing w:after="240" w:line="240" w:lineRule="auto"/>
        <w:ind w:left="851" w:right="851"/>
        <w:jc w:val="both"/>
        <w:rPr>
          <w:rFonts w:ascii="Arial" w:eastAsia="Calibri" w:hAnsi="Arial" w:cs="Arial"/>
          <w:b/>
        </w:rPr>
      </w:pPr>
      <w:r w:rsidRPr="00D15703">
        <w:rPr>
          <w:rFonts w:ascii="Arial" w:hAnsi="Arial" w:cs="Arial"/>
          <w:lang w:val="es-ES_tradnl"/>
        </w:rPr>
        <w:t xml:space="preserve">[…] </w:t>
      </w:r>
      <w:r w:rsidRPr="00D15703">
        <w:rPr>
          <w:rFonts w:ascii="Arial" w:hAnsi="Arial" w:cs="Arial"/>
          <w:sz w:val="21"/>
          <w:szCs w:val="21"/>
          <w:lang w:val="es-MX"/>
        </w:rPr>
        <w:t>En ese sentido, la Sala ha precisado que cuando una sociedad se encuentra en liquidación, no puede iniciar nuevas operaciones para desarrollar su objeto social, pero sí continuar y culminar las pendientes al sobrevenir el estado de liquidación</w:t>
      </w:r>
      <w:r w:rsidRPr="00D15703">
        <w:rPr>
          <w:rFonts w:ascii="Arial" w:hAnsi="Arial" w:cs="Arial"/>
          <w:sz w:val="24"/>
          <w:lang w:val="es-MX"/>
        </w:rPr>
        <w:t>.</w:t>
      </w:r>
    </w:p>
    <w:p w14:paraId="192320CC" w14:textId="77777777" w:rsidR="009C57C2" w:rsidRPr="00D15703" w:rsidRDefault="009C57C2" w:rsidP="009C57C2">
      <w:pPr>
        <w:tabs>
          <w:tab w:val="left" w:pos="426"/>
        </w:tabs>
        <w:spacing w:after="240" w:line="240" w:lineRule="auto"/>
        <w:ind w:left="851" w:right="851"/>
        <w:jc w:val="both"/>
        <w:rPr>
          <w:rFonts w:ascii="Arial" w:hAnsi="Arial" w:cs="Arial"/>
          <w:sz w:val="21"/>
          <w:szCs w:val="21"/>
          <w:lang w:val="es-MX"/>
        </w:rPr>
      </w:pPr>
      <w:r w:rsidRPr="00D15703">
        <w:rPr>
          <w:rFonts w:ascii="Arial" w:hAnsi="Arial" w:cs="Arial"/>
          <w:sz w:val="21"/>
          <w:szCs w:val="21"/>
          <w:lang w:val="es-MX"/>
        </w:rPr>
        <w:t xml:space="preserve">Ello implica que la sociedad continúa existiendo, no obstante que varía la destinación de su patrimonio inicialmente utilizado para realizar el objeto social, para reservarlo a “la disgregación de los activos patrimoniales con miras a cubrir los pasivos y adjudicar a los asociados el remanente, si lo hubiere”. En suma, el patrimonio de la sociedad, en estado de liquidación, deja de ser de explotación y se torna en patrimonio de liquidación”. </w:t>
      </w:r>
    </w:p>
    <w:p w14:paraId="73AE03C7" w14:textId="77777777" w:rsidR="009C57C2" w:rsidRDefault="009C57C2" w:rsidP="00AC4B09">
      <w:pPr>
        <w:tabs>
          <w:tab w:val="left" w:pos="426"/>
        </w:tabs>
        <w:spacing w:after="0" w:line="240" w:lineRule="auto"/>
        <w:ind w:left="851" w:right="851"/>
        <w:jc w:val="both"/>
        <w:rPr>
          <w:rFonts w:ascii="Arial" w:hAnsi="Arial" w:cs="Arial"/>
          <w:sz w:val="21"/>
          <w:szCs w:val="21"/>
          <w:lang w:val="es-MX"/>
        </w:rPr>
      </w:pPr>
      <w:r w:rsidRPr="00D15703">
        <w:rPr>
          <w:rFonts w:ascii="Arial" w:hAnsi="Arial" w:cs="Arial"/>
          <w:lang w:val="es-ES_tradnl"/>
        </w:rPr>
        <w:t xml:space="preserve">[…] </w:t>
      </w:r>
      <w:r w:rsidRPr="00D15703">
        <w:rPr>
          <w:rFonts w:ascii="Arial" w:hAnsi="Arial" w:cs="Arial"/>
          <w:sz w:val="21"/>
          <w:szCs w:val="21"/>
          <w:lang w:val="es-MX"/>
        </w:rPr>
        <w:t xml:space="preserve">Una vez aprobadas las cuentas finales de liquidación, se entrega a cada asociado lo que le corresponde, citando a los ausentes en la forma prevista por la legislación comercial (art. 249 </w:t>
      </w:r>
      <w:proofErr w:type="spellStart"/>
      <w:r w:rsidRPr="00D15703">
        <w:rPr>
          <w:rFonts w:ascii="Arial" w:hAnsi="Arial" w:cs="Arial"/>
          <w:sz w:val="21"/>
          <w:szCs w:val="21"/>
          <w:lang w:val="es-MX"/>
        </w:rPr>
        <w:t>ibídem</w:t>
      </w:r>
      <w:proofErr w:type="spellEnd"/>
      <w:r w:rsidRPr="00D15703">
        <w:rPr>
          <w:rFonts w:ascii="Arial" w:hAnsi="Arial" w:cs="Arial"/>
          <w:sz w:val="21"/>
          <w:szCs w:val="21"/>
          <w:lang w:val="es-MX"/>
        </w:rPr>
        <w:t xml:space="preserve">). La aprobación de dichas cuentas finales, debidamente inscrita en el registro mercantil (art. 28, </w:t>
      </w:r>
      <w:proofErr w:type="spellStart"/>
      <w:r w:rsidRPr="00D15703">
        <w:rPr>
          <w:rFonts w:ascii="Arial" w:hAnsi="Arial" w:cs="Arial"/>
          <w:sz w:val="21"/>
          <w:szCs w:val="21"/>
          <w:lang w:val="es-MX"/>
        </w:rPr>
        <w:t>N°</w:t>
      </w:r>
      <w:proofErr w:type="spellEnd"/>
      <w:r w:rsidRPr="00D15703">
        <w:rPr>
          <w:rFonts w:ascii="Arial" w:hAnsi="Arial" w:cs="Arial"/>
          <w:sz w:val="21"/>
          <w:szCs w:val="21"/>
          <w:lang w:val="es-MX"/>
        </w:rPr>
        <w:t xml:space="preserve"> 9), marca la terminación del proceso de liquidación, de manera que durante el interregno transcurrido entre </w:t>
      </w:r>
      <w:r w:rsidRPr="00D15703">
        <w:rPr>
          <w:rFonts w:ascii="Arial" w:hAnsi="Arial" w:cs="Arial"/>
          <w:sz w:val="21"/>
          <w:szCs w:val="21"/>
          <w:lang w:val="es-MX"/>
        </w:rPr>
        <w:lastRenderedPageBreak/>
        <w:t xml:space="preserve">el inicio del mismo y el momento inmediatamente anterior a su terminación, la sociedad continúa existiendo. </w:t>
      </w:r>
    </w:p>
    <w:p w14:paraId="416C28C6" w14:textId="77777777" w:rsidR="00AC4B09" w:rsidRPr="00D15703" w:rsidRDefault="00AC4B09" w:rsidP="00D15703">
      <w:pPr>
        <w:tabs>
          <w:tab w:val="left" w:pos="426"/>
        </w:tabs>
        <w:spacing w:after="0" w:line="240" w:lineRule="auto"/>
        <w:ind w:left="851" w:right="851"/>
        <w:jc w:val="both"/>
        <w:rPr>
          <w:rFonts w:ascii="Arial" w:hAnsi="Arial" w:cs="Arial"/>
          <w:sz w:val="21"/>
          <w:szCs w:val="21"/>
          <w:lang w:val="es-MX"/>
        </w:rPr>
      </w:pPr>
    </w:p>
    <w:p w14:paraId="75D3E90B" w14:textId="77777777"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 xml:space="preserve">De lo anterior se colige, para efectos de la consulta realizada que se deben tener en cuenta dos supuestos fácticos a saber: i) si la sociedad se halla disuelta, pero está en proceso de liquidación; y </w:t>
      </w:r>
      <w:proofErr w:type="spellStart"/>
      <w:r w:rsidRPr="00D15703">
        <w:rPr>
          <w:rFonts w:ascii="Arial" w:hAnsi="Arial" w:cs="Arial"/>
          <w:lang w:val="es-MX"/>
        </w:rPr>
        <w:t>ii</w:t>
      </w:r>
      <w:proofErr w:type="spellEnd"/>
      <w:r w:rsidRPr="00D15703">
        <w:rPr>
          <w:rFonts w:ascii="Arial" w:hAnsi="Arial" w:cs="Arial"/>
          <w:lang w:val="es-MX"/>
        </w:rPr>
        <w:t>) si la sociedad está disuelta y ha finalizado su proceso de liquidación.</w:t>
      </w:r>
    </w:p>
    <w:p w14:paraId="67B70930" w14:textId="43B1F375"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 xml:space="preserve">Lo anterior cobra importancia bajo el entendido que en el primero de los eventos esto es, </w:t>
      </w:r>
      <w:r w:rsidRPr="00D15703">
        <w:rPr>
          <w:rFonts w:ascii="Arial" w:hAnsi="Arial" w:cs="Arial"/>
          <w:i/>
          <w:lang w:val="es-MX"/>
        </w:rPr>
        <w:t>si la sociedad se halla disuelta, pero aún se encuentra en proceso de liquidación está en proceso de liquidación,</w:t>
      </w:r>
      <w:r w:rsidRPr="00D15703">
        <w:rPr>
          <w:rFonts w:ascii="Arial" w:hAnsi="Arial" w:cs="Arial"/>
          <w:lang w:val="es-MX"/>
        </w:rPr>
        <w:t xml:space="preserve"> la sociedad continúa existiendo y si bien, no puede iniciar nuevas operaciones para desarrollar su objeto social, sí podría continuar y culminar las pendientes al sobrevenir el estado de liquidación, inclusive el trámite de liquidación bilateral de un contrato finalizado cuya ejecución se haya dado estando vigente la sociedad. Así pues, en este evento solo procede la liquidación unilateral una vez agotada la convocatoria o citación al contratista para comparecer a la liquidación bilateral sin que el contratista concurra o en el evento en que no se hubiere logrado acuerdo entre las partes frente a su contenido.</w:t>
      </w:r>
    </w:p>
    <w:p w14:paraId="73E86B9F" w14:textId="6D579AB5" w:rsidR="009C57C2" w:rsidRPr="00D15703" w:rsidRDefault="009C57C2" w:rsidP="00D15703">
      <w:pPr>
        <w:tabs>
          <w:tab w:val="left" w:pos="426"/>
        </w:tabs>
        <w:spacing w:after="120" w:line="276" w:lineRule="auto"/>
        <w:ind w:firstLine="851"/>
        <w:jc w:val="both"/>
        <w:rPr>
          <w:rFonts w:ascii="Arial" w:hAnsi="Arial" w:cs="Arial"/>
          <w:lang w:val="es-MX"/>
        </w:rPr>
      </w:pPr>
      <w:r w:rsidRPr="00D15703">
        <w:rPr>
          <w:rFonts w:ascii="Arial" w:hAnsi="Arial" w:cs="Arial"/>
          <w:lang w:val="es-MX"/>
        </w:rPr>
        <w:t>Contrario a lo anterior, en el segundo evento, es decir, si la sociedad se halla disuelta y liquidada, desaparece del mundo jurídico y por ende pierde la capacidad para actuar en cualquier proceso administrativo</w:t>
      </w:r>
      <w:r w:rsidR="000A66E0">
        <w:rPr>
          <w:rFonts w:ascii="Arial" w:hAnsi="Arial" w:cs="Arial"/>
          <w:lang w:val="es-MX"/>
        </w:rPr>
        <w:t>,</w:t>
      </w:r>
      <w:r w:rsidRPr="00D15703">
        <w:rPr>
          <w:rFonts w:ascii="Arial" w:hAnsi="Arial" w:cs="Arial"/>
          <w:lang w:val="es-MX"/>
        </w:rPr>
        <w:t xml:space="preserve"> como en este caso sería la liquidación bilateral, por tanto, mal podría ser parte dentro de un proceso una persona jurídica que no existe; de tal suerte que también tendría procedencia de la </w:t>
      </w:r>
      <w:proofErr w:type="spellStart"/>
      <w:r w:rsidRPr="00D15703">
        <w:rPr>
          <w:rFonts w:ascii="Arial" w:hAnsi="Arial" w:cs="Arial"/>
          <w:i/>
          <w:lang w:val="es-MX"/>
        </w:rPr>
        <w:t>analogia</w:t>
      </w:r>
      <w:proofErr w:type="spellEnd"/>
      <w:r w:rsidRPr="00D15703">
        <w:rPr>
          <w:rFonts w:ascii="Arial" w:hAnsi="Arial" w:cs="Arial"/>
          <w:i/>
          <w:lang w:val="es-MX"/>
        </w:rPr>
        <w:t xml:space="preserve"> </w:t>
      </w:r>
      <w:proofErr w:type="spellStart"/>
      <w:r w:rsidRPr="00D15703">
        <w:rPr>
          <w:rFonts w:ascii="Arial" w:hAnsi="Arial" w:cs="Arial"/>
          <w:i/>
          <w:lang w:val="es-MX"/>
        </w:rPr>
        <w:t>legis</w:t>
      </w:r>
      <w:proofErr w:type="spellEnd"/>
      <w:r w:rsidRPr="00D15703">
        <w:rPr>
          <w:rFonts w:ascii="Arial" w:hAnsi="Arial" w:cs="Arial"/>
          <w:i/>
          <w:lang w:val="es-MX"/>
        </w:rPr>
        <w:t xml:space="preserve"> </w:t>
      </w:r>
      <w:r w:rsidRPr="00D15703">
        <w:rPr>
          <w:rFonts w:ascii="Arial" w:hAnsi="Arial" w:cs="Arial"/>
          <w:lang w:val="es-MX"/>
        </w:rPr>
        <w:t xml:space="preserve">anteriormente referida, en el sentido que la disolución y liquidación de la persona jurídica </w:t>
      </w:r>
      <w:r w:rsidRPr="00D15703">
        <w:rPr>
          <w:rFonts w:ascii="Arial" w:hAnsi="Arial" w:cs="Arial"/>
          <w:lang w:val="es-ES_tradnl" w:eastAsia="es-ES"/>
        </w:rPr>
        <w:t>impide la liquidación bilateral por las razones ya expuestas en el desarrollo de este concepto para la terminación unilateral y tal sentido la entidad estatal tiene la facultad de liquidarlo unilateralmente durante el término de 2 meses contados a partir del vencimiento del plazo que acuerden las partes para efectuar la liquidación bilateralmente, o ante el silencio de estas, del vencimiento de los 4 meses supletivos establecidos en la Ley. En todo caso, transcurridos estos 2 meses, la liquidación podrá ser realizada en cualquier tiempo, dentro de los dos años siguientes al vencimiento del término referido.</w:t>
      </w:r>
    </w:p>
    <w:p w14:paraId="3675B643" w14:textId="77777777" w:rsidR="009C57C2" w:rsidRPr="00D15703" w:rsidRDefault="009C57C2" w:rsidP="009C57C2">
      <w:pPr>
        <w:tabs>
          <w:tab w:val="left" w:pos="426"/>
        </w:tabs>
        <w:spacing w:after="240" w:line="276" w:lineRule="auto"/>
        <w:ind w:firstLine="851"/>
        <w:jc w:val="both"/>
        <w:rPr>
          <w:rFonts w:ascii="Arial" w:hAnsi="Arial" w:cs="Arial"/>
          <w:sz w:val="24"/>
          <w:lang w:val="es-MX"/>
        </w:rPr>
      </w:pPr>
      <w:r w:rsidRPr="00D15703">
        <w:rPr>
          <w:rFonts w:ascii="Arial" w:hAnsi="Arial" w:cs="Arial"/>
          <w:lang w:val="es-MX"/>
        </w:rPr>
        <w:t xml:space="preserve">Al respecto la Superintendencia de Sociedades se pronunció indicando que, con la inscripción en el registro mercantil, de la cuenta final de liquidación, </w:t>
      </w:r>
      <w:r w:rsidRPr="00D15703">
        <w:rPr>
          <w:rFonts w:ascii="Arial" w:hAnsi="Arial" w:cs="Arial"/>
          <w:sz w:val="21"/>
          <w:szCs w:val="21"/>
          <w:lang w:val="es-MX"/>
        </w:rPr>
        <w:t>«</w:t>
      </w:r>
      <w:r w:rsidRPr="00D15703">
        <w:rPr>
          <w:rFonts w:ascii="Arial" w:hAnsi="Arial" w:cs="Arial"/>
          <w:lang w:val="es-MX"/>
        </w:rPr>
        <w:t>desaparece del mundo jurídico la sociedad, y por ende todos sus órganos de administración y de fiscalización si existieren, desapareciendo así del tráfico mercantil como persona jurídica, en consecuencia no puede de ninguna manera seguir actuando ejerciendo derechos y adquiriendo obligaciones</w:t>
      </w:r>
      <w:r w:rsidRPr="00D15703">
        <w:rPr>
          <w:rFonts w:ascii="Arial" w:eastAsia="Times New Roman" w:hAnsi="Arial" w:cs="Arial"/>
          <w:sz w:val="21"/>
          <w:szCs w:val="21"/>
          <w:lang w:val="es-MX"/>
        </w:rPr>
        <w:t>»</w:t>
      </w:r>
      <w:r w:rsidRPr="00D15703">
        <w:rPr>
          <w:rFonts w:ascii="Arial" w:hAnsi="Arial" w:cs="Arial"/>
          <w:lang w:val="es-MX"/>
        </w:rPr>
        <w:t xml:space="preserve">, y </w:t>
      </w:r>
      <w:r w:rsidRPr="00D15703">
        <w:rPr>
          <w:rFonts w:ascii="Arial" w:hAnsi="Arial" w:cs="Arial"/>
          <w:sz w:val="21"/>
          <w:szCs w:val="21"/>
          <w:lang w:val="es-MX"/>
        </w:rPr>
        <w:t>«</w:t>
      </w:r>
      <w:r w:rsidRPr="00D15703">
        <w:rPr>
          <w:rFonts w:ascii="Arial" w:hAnsi="Arial" w:cs="Arial"/>
          <w:lang w:val="es-MX"/>
        </w:rPr>
        <w:t>al ser inscrita la cuenta final de liquidación en el registro mercantil, se extingue la vida jurídica de la sociedad, por tanto mal podría ser parte dentro de un proceso una persona jurídica que no existe</w:t>
      </w:r>
      <w:r w:rsidRPr="00D15703">
        <w:rPr>
          <w:rFonts w:ascii="Arial" w:eastAsia="Times New Roman" w:hAnsi="Arial" w:cs="Arial"/>
          <w:sz w:val="21"/>
          <w:szCs w:val="21"/>
          <w:lang w:val="es-MX"/>
        </w:rPr>
        <w:t>»</w:t>
      </w:r>
      <w:r w:rsidRPr="00D15703">
        <w:rPr>
          <w:rFonts w:ascii="Arial" w:hAnsi="Arial" w:cs="Arial"/>
          <w:sz w:val="24"/>
          <w:vertAlign w:val="superscript"/>
          <w:lang w:val="es-MX"/>
        </w:rPr>
        <w:footnoteReference w:id="35"/>
      </w:r>
      <w:r w:rsidRPr="00D15703">
        <w:rPr>
          <w:rFonts w:ascii="Arial" w:hAnsi="Arial" w:cs="Arial"/>
          <w:sz w:val="24"/>
          <w:lang w:val="es-MX"/>
        </w:rPr>
        <w:t>.</w:t>
      </w:r>
    </w:p>
    <w:p w14:paraId="5CDDF9C9" w14:textId="77777777" w:rsidR="009C57C2" w:rsidRPr="00D15703" w:rsidRDefault="009C57C2" w:rsidP="009C57C2">
      <w:pPr>
        <w:tabs>
          <w:tab w:val="left" w:pos="426"/>
        </w:tabs>
        <w:spacing w:after="240" w:line="240" w:lineRule="auto"/>
        <w:jc w:val="both"/>
        <w:rPr>
          <w:rFonts w:ascii="Arial" w:eastAsia="Calibri" w:hAnsi="Arial" w:cs="Arial"/>
          <w:b/>
        </w:rPr>
      </w:pPr>
      <w:r w:rsidRPr="00D15703">
        <w:rPr>
          <w:rFonts w:ascii="Arial" w:eastAsia="Calibri" w:hAnsi="Arial" w:cs="Arial"/>
          <w:b/>
        </w:rPr>
        <w:t>3. Respuesta</w:t>
      </w:r>
      <w:bookmarkStart w:id="10" w:name="_Hlk57650395"/>
    </w:p>
    <w:p w14:paraId="4AC47EDE" w14:textId="77777777" w:rsidR="009C57C2" w:rsidRPr="00D15703" w:rsidRDefault="009C57C2" w:rsidP="00D15703">
      <w:pPr>
        <w:tabs>
          <w:tab w:val="left" w:pos="7938"/>
        </w:tabs>
        <w:spacing w:after="0" w:line="240" w:lineRule="auto"/>
        <w:ind w:left="709" w:right="900"/>
        <w:jc w:val="both"/>
        <w:rPr>
          <w:rFonts w:ascii="Arial" w:eastAsia="Times New Roman" w:hAnsi="Arial" w:cs="Arial"/>
          <w:sz w:val="21"/>
          <w:szCs w:val="21"/>
          <w:lang w:eastAsia="es-CO"/>
        </w:rPr>
      </w:pPr>
      <w:r w:rsidRPr="00D15703">
        <w:rPr>
          <w:rFonts w:ascii="Arial" w:eastAsia="Times New Roman" w:hAnsi="Arial" w:cs="Arial"/>
          <w:sz w:val="21"/>
          <w:szCs w:val="21"/>
          <w:lang w:eastAsia="es-CO"/>
        </w:rPr>
        <w:lastRenderedPageBreak/>
        <w:t>«</w:t>
      </w:r>
      <w:r w:rsidRPr="00D15703">
        <w:rPr>
          <w:rFonts w:ascii="Arial" w:eastAsia="Arial" w:hAnsi="Arial" w:cs="Arial"/>
          <w:color w:val="000000"/>
          <w:sz w:val="21"/>
          <w:szCs w:val="21"/>
          <w:lang w:eastAsia="es-CO"/>
        </w:rPr>
        <w:t xml:space="preserve">1. </w:t>
      </w:r>
      <w:r w:rsidRPr="00D15703">
        <w:rPr>
          <w:rFonts w:ascii="Arial" w:eastAsia="Times New Roman" w:hAnsi="Arial" w:cs="Arial"/>
          <w:sz w:val="21"/>
          <w:szCs w:val="21"/>
          <w:lang w:eastAsia="es-CO"/>
        </w:rPr>
        <w:t>¿Puede la entidad estatal liquidar el contrato en forma unilateral cuando existe acta de terminación anticipada firmada entre las partes y el contratista falleció sin que se pagaran los recursos y se liberara el saldo no ejecutado?»</w:t>
      </w:r>
    </w:p>
    <w:p w14:paraId="4408D2D7" w14:textId="77777777" w:rsidR="00AE30E4" w:rsidRDefault="00AE30E4" w:rsidP="00AE30E4">
      <w:pPr>
        <w:tabs>
          <w:tab w:val="left" w:pos="7938"/>
        </w:tabs>
        <w:spacing w:after="0" w:line="240" w:lineRule="auto"/>
        <w:ind w:left="709" w:right="902"/>
        <w:jc w:val="both"/>
        <w:rPr>
          <w:rFonts w:ascii="Arial" w:hAnsi="Arial" w:cs="Arial"/>
          <w:sz w:val="21"/>
          <w:szCs w:val="21"/>
          <w:lang w:val="es-MX"/>
        </w:rPr>
      </w:pPr>
    </w:p>
    <w:p w14:paraId="1ABE1FCB" w14:textId="1CD5A7FF" w:rsidR="009C57C2" w:rsidRDefault="009C57C2" w:rsidP="00AE30E4">
      <w:pPr>
        <w:tabs>
          <w:tab w:val="left" w:pos="7938"/>
        </w:tabs>
        <w:spacing w:after="0" w:line="240" w:lineRule="auto"/>
        <w:ind w:left="709" w:right="902"/>
        <w:jc w:val="both"/>
        <w:rPr>
          <w:rFonts w:ascii="Arial" w:hAnsi="Arial" w:cs="Arial"/>
          <w:sz w:val="21"/>
          <w:szCs w:val="21"/>
          <w:lang w:val="es-MX"/>
        </w:rPr>
      </w:pPr>
      <w:r w:rsidRPr="00D15703">
        <w:rPr>
          <w:rFonts w:ascii="Arial" w:hAnsi="Arial" w:cs="Arial"/>
          <w:sz w:val="21"/>
          <w:szCs w:val="21"/>
          <w:lang w:val="es-MX"/>
        </w:rPr>
        <w:t>2. ¿Puede la entidad estatal liquidar unilateralmente el contrato estatal, cuando el contrato se ejecutó en debida forma, se encuentra terminado, la sociedad con la que se firmó el contrato se encuentra disuelta y deben liberarse saldos no ejecutados?»</w:t>
      </w:r>
    </w:p>
    <w:p w14:paraId="623B3428" w14:textId="77777777" w:rsidR="00AE30E4" w:rsidRPr="00D15703" w:rsidRDefault="00AE30E4" w:rsidP="00D15703">
      <w:pPr>
        <w:tabs>
          <w:tab w:val="left" w:pos="7938"/>
        </w:tabs>
        <w:spacing w:after="0" w:line="240" w:lineRule="auto"/>
        <w:ind w:left="709" w:right="902"/>
        <w:jc w:val="both"/>
        <w:rPr>
          <w:rFonts w:ascii="Arial" w:hAnsi="Arial" w:cs="Arial"/>
          <w:sz w:val="21"/>
          <w:szCs w:val="21"/>
          <w:lang w:val="es-MX"/>
        </w:rPr>
      </w:pPr>
    </w:p>
    <w:p w14:paraId="0AD65EEE" w14:textId="4B9AA8F8" w:rsidR="009C57C2" w:rsidRPr="00D15703" w:rsidRDefault="00182574" w:rsidP="00D15703">
      <w:pPr>
        <w:spacing w:after="120" w:line="276" w:lineRule="auto"/>
        <w:jc w:val="both"/>
        <w:rPr>
          <w:rFonts w:ascii="Arial" w:hAnsi="Arial" w:cs="Arial"/>
          <w:lang w:val="es-MX"/>
        </w:rPr>
      </w:pPr>
      <w:r>
        <w:rPr>
          <w:rFonts w:ascii="Arial" w:hAnsi="Arial" w:cs="Arial"/>
          <w:lang w:val="es-MX"/>
        </w:rPr>
        <w:t>Conforme a lo expuesto</w:t>
      </w:r>
      <w:r w:rsidR="009C57C2" w:rsidRPr="00D15703">
        <w:rPr>
          <w:rFonts w:ascii="Arial" w:hAnsi="Arial" w:cs="Arial"/>
          <w:lang w:val="es-MX"/>
        </w:rPr>
        <w:t xml:space="preserve">, </w:t>
      </w:r>
      <w:r w:rsidR="009C57C2" w:rsidRPr="00D15703">
        <w:rPr>
          <w:rFonts w:ascii="Arial" w:hAnsi="Arial" w:cs="Arial"/>
          <w:lang w:val="es-ES_tradnl"/>
        </w:rPr>
        <w:t xml:space="preserve">ni el Estatuto General de Contratación de la Administración Pública –Leyes 80 de 1993 y 1150 de 2007–, ni otras leyes complementarias –como las Leyes 1474 de 2011, 1882 de 2018–, ni el Decreto 1082 de 2015, establecen causales expresas para </w:t>
      </w:r>
      <w:r w:rsidR="009C57C2" w:rsidRPr="00D15703">
        <w:rPr>
          <w:rFonts w:ascii="Arial" w:hAnsi="Arial" w:cs="Arial"/>
          <w:i/>
          <w:iCs/>
          <w:lang w:val="es-ES_tradnl"/>
        </w:rPr>
        <w:t xml:space="preserve">no </w:t>
      </w:r>
      <w:r w:rsidR="009C57C2" w:rsidRPr="00D15703">
        <w:rPr>
          <w:rFonts w:ascii="Arial" w:hAnsi="Arial" w:cs="Arial"/>
          <w:lang w:val="es-ES_tradnl"/>
        </w:rPr>
        <w:t xml:space="preserve">liquidar un contrato. </w:t>
      </w:r>
      <w:r w:rsidR="009C57C2" w:rsidRPr="00D15703">
        <w:rPr>
          <w:rFonts w:ascii="Arial" w:hAnsi="Arial" w:cs="Arial"/>
          <w:i/>
          <w:iCs/>
          <w:lang w:val="es-ES_tradnl"/>
        </w:rPr>
        <w:t>Contrario sensu,</w:t>
      </w:r>
      <w:r w:rsidR="009C57C2" w:rsidRPr="00D15703">
        <w:rPr>
          <w:rFonts w:ascii="Arial" w:hAnsi="Arial" w:cs="Arial"/>
          <w:lang w:val="es-ES_tradnl"/>
        </w:rPr>
        <w:t xml:space="preserve"> los artículos 60 de la Ley 80 de 1993 y 11 de la Ley 1150 de 2007 establecen como obligación radicada en las entidades estatales sometidas al Estatuto General de Contratación de la Administración Pública, la liquidación de los contratos de tracto sucesivo –es decir, aquellos cuya ejecución se prolongue en el tiempo–, así como los demás que lo requieran.</w:t>
      </w:r>
    </w:p>
    <w:p w14:paraId="5D047C11" w14:textId="77777777" w:rsidR="009C57C2" w:rsidRPr="00D15703" w:rsidRDefault="009C57C2" w:rsidP="00D15703">
      <w:pPr>
        <w:spacing w:after="120" w:line="276" w:lineRule="auto"/>
        <w:ind w:firstLine="709"/>
        <w:jc w:val="both"/>
        <w:rPr>
          <w:rFonts w:ascii="Arial" w:hAnsi="Arial" w:cs="Arial"/>
          <w:lang w:val="es-ES_tradnl"/>
        </w:rPr>
      </w:pPr>
      <w:r w:rsidRPr="00D15703">
        <w:rPr>
          <w:rFonts w:ascii="Arial" w:hAnsi="Arial" w:cs="Arial"/>
          <w:lang w:val="es-MX"/>
        </w:rPr>
        <w:t xml:space="preserve">En línea con lo anterior, la legislación actual en materia de contratación estatal establece en términos generales que, siempre que no sea posible </w:t>
      </w:r>
      <w:r w:rsidRPr="00D15703">
        <w:rPr>
          <w:rFonts w:ascii="Arial" w:hAnsi="Arial" w:cs="Arial"/>
          <w:lang w:val="es-ES_tradnl" w:eastAsia="es-ES"/>
        </w:rPr>
        <w:t>efectuar la liquidación de manera bilateral, el ordenamiento jurídico prevé una facultad, de carácter subsidiario, para que la Entidad Estatal realice la liquidación unilateralmente dentro del término de 2 meses contados a partir del vencimiento del plazo que acuerden las partes para liquidar bilateralmente o, ante el silencio de estas, del vencimiento de los 4 meses supletivo establecido por la ley.  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w:t>
      </w:r>
    </w:p>
    <w:p w14:paraId="18F6E5CB" w14:textId="075108F0" w:rsidR="009C57C2" w:rsidRPr="00D15703" w:rsidRDefault="009C57C2" w:rsidP="00D15703">
      <w:pPr>
        <w:spacing w:after="120" w:line="276" w:lineRule="auto"/>
        <w:ind w:firstLine="709"/>
        <w:jc w:val="both"/>
        <w:rPr>
          <w:rFonts w:ascii="Arial" w:hAnsi="Arial" w:cs="Arial"/>
          <w:noProof/>
          <w:lang w:val="es-ES_tradnl"/>
        </w:rPr>
      </w:pPr>
      <w:r w:rsidRPr="00D15703">
        <w:rPr>
          <w:rFonts w:ascii="Arial" w:hAnsi="Arial" w:cs="Arial"/>
          <w:noProof/>
          <w:lang w:val="es-ES_tradnl"/>
        </w:rPr>
        <w:t>Ahora bien la normativa del Sistema de Compra Pública no establece un procedimiento reglado y específico para la liquidación unilateral en eventos de muerte del contratista</w:t>
      </w:r>
      <w:r w:rsidRPr="00D15703">
        <w:rPr>
          <w:rFonts w:ascii="Arial" w:hAnsi="Arial" w:cs="Arial"/>
          <w:lang w:val="es-ES_tradnl"/>
        </w:rPr>
        <w:t>, si es persona natural, o por disolución de la persona jurídica del contratista</w:t>
      </w:r>
      <w:r w:rsidRPr="00D15703">
        <w:rPr>
          <w:rFonts w:ascii="Arial" w:hAnsi="Arial" w:cs="Arial"/>
          <w:noProof/>
          <w:lang w:val="es-ES_tradnl"/>
        </w:rPr>
        <w:t xml:space="preserve">, ni la forma de realizar el pago de las sumas debidas a un contratista fallecido o disuelto en el caso de personas jurídicas. Sin embargo, </w:t>
      </w:r>
      <w:r w:rsidRPr="00D15703">
        <w:rPr>
          <w:rFonts w:ascii="Arial" w:hAnsi="Arial" w:cs="Arial"/>
          <w:lang w:val="es-ES_tradnl"/>
        </w:rPr>
        <w:t xml:space="preserve">la causal de terminación unilateral consagrada en el numeral 2 del artículo 17 de la Ley 80 de 1993 ha sido desarrollada en forma expresa previendo como supuestos de hecho que ameritan la terminación unilateral y anticipada del contrato la «[…] muerte o incapacidad física permanente del contratista, si es persona natural, o por disolución de la persona jurídica del contratista». </w:t>
      </w:r>
    </w:p>
    <w:p w14:paraId="52DA69FF" w14:textId="4AD0A6AB" w:rsidR="009C57C2" w:rsidRPr="00D15703" w:rsidRDefault="009C57C2" w:rsidP="00D15703">
      <w:pPr>
        <w:spacing w:after="120" w:line="276" w:lineRule="auto"/>
        <w:ind w:firstLine="851"/>
        <w:jc w:val="both"/>
        <w:rPr>
          <w:rFonts w:ascii="Arial" w:hAnsi="Arial" w:cs="Arial"/>
          <w:lang w:val="es-ES_tradnl" w:eastAsia="es-ES"/>
        </w:rPr>
      </w:pPr>
      <w:r w:rsidRPr="00D15703">
        <w:rPr>
          <w:rFonts w:ascii="Arial" w:hAnsi="Arial" w:cs="Arial"/>
          <w:lang w:val="es-ES_tradnl"/>
        </w:rPr>
        <w:t xml:space="preserve">De este modo, y concordancia con lo dispuesto en el artículo </w:t>
      </w:r>
      <w:r w:rsidRPr="00D15703">
        <w:rPr>
          <w:rFonts w:ascii="Arial" w:hAnsi="Arial" w:cs="Arial"/>
          <w:lang w:val="es-MX"/>
        </w:rPr>
        <w:t xml:space="preserve">8 de la Ley 153 de 1887, </w:t>
      </w:r>
      <w:r w:rsidRPr="00D15703">
        <w:rPr>
          <w:rFonts w:ascii="Arial" w:hAnsi="Arial" w:cs="Arial"/>
          <w:lang w:val="es-ES_tradnl"/>
        </w:rPr>
        <w:t xml:space="preserve">es viable que, ante el </w:t>
      </w:r>
      <w:r w:rsidRPr="00D15703">
        <w:rPr>
          <w:rFonts w:ascii="Arial" w:hAnsi="Arial" w:cs="Arial"/>
          <w:lang w:val="es-MX"/>
        </w:rPr>
        <w:t xml:space="preserve">vacío de regulación concreta en el planteamiento de la consulta, se acuda a la </w:t>
      </w:r>
      <w:r w:rsidR="00A03B14" w:rsidRPr="00A03B14">
        <w:rPr>
          <w:rFonts w:ascii="Arial" w:hAnsi="Arial" w:cs="Arial"/>
          <w:i/>
          <w:lang w:val="es-MX"/>
        </w:rPr>
        <w:t>analogía</w:t>
      </w:r>
      <w:r w:rsidRPr="00D15703">
        <w:rPr>
          <w:rFonts w:ascii="Arial" w:hAnsi="Arial" w:cs="Arial"/>
          <w:i/>
          <w:lang w:val="es-MX"/>
        </w:rPr>
        <w:t xml:space="preserve"> </w:t>
      </w:r>
      <w:proofErr w:type="spellStart"/>
      <w:r w:rsidRPr="00D15703">
        <w:rPr>
          <w:rFonts w:ascii="Arial" w:hAnsi="Arial" w:cs="Arial"/>
          <w:i/>
          <w:lang w:val="es-MX"/>
        </w:rPr>
        <w:t>legis</w:t>
      </w:r>
      <w:proofErr w:type="spellEnd"/>
      <w:r w:rsidRPr="00D15703">
        <w:rPr>
          <w:rFonts w:ascii="Arial" w:hAnsi="Arial" w:cs="Arial"/>
          <w:i/>
          <w:lang w:val="es-MX"/>
        </w:rPr>
        <w:t xml:space="preserve">, </w:t>
      </w:r>
      <w:r w:rsidRPr="00D15703">
        <w:rPr>
          <w:rFonts w:ascii="Arial" w:hAnsi="Arial" w:cs="Arial"/>
          <w:lang w:val="es-MX"/>
        </w:rPr>
        <w:t xml:space="preserve">y en tal sentido, se puede afirmar que, </w:t>
      </w:r>
      <w:r w:rsidRPr="00D15703">
        <w:rPr>
          <w:rFonts w:ascii="Arial" w:hAnsi="Arial" w:cs="Arial"/>
          <w:lang w:val="es-ES_tradnl" w:eastAsia="es-ES"/>
        </w:rPr>
        <w:t xml:space="preserve">que la muerte o incapacidad física permanente del contratista, si es persona natural o por disolución de la persona jurídica del </w:t>
      </w:r>
      <w:r w:rsidRPr="00D15703">
        <w:rPr>
          <w:rFonts w:ascii="Arial" w:hAnsi="Arial" w:cs="Arial"/>
          <w:lang w:val="es-ES_tradnl" w:eastAsia="es-ES"/>
        </w:rPr>
        <w:lastRenderedPageBreak/>
        <w:t xml:space="preserve">contratista, constituye un hecho que impide la liquidación bilateral por las razones ya expuestas en el desarrollo de este concepto para la terminación unilateral y tal sentido la entidad estatal tiene la facultad de liquidarlo unilateralmente en los términos  y presupuestos del artículo 11 de la Ley 1150 de 2007. </w:t>
      </w:r>
    </w:p>
    <w:p w14:paraId="20213FE5" w14:textId="77777777" w:rsidR="009C57C2" w:rsidRDefault="009C57C2" w:rsidP="00AE30E4">
      <w:pPr>
        <w:spacing w:before="240" w:after="0" w:line="276" w:lineRule="auto"/>
        <w:ind w:firstLine="851"/>
        <w:jc w:val="both"/>
        <w:rPr>
          <w:rFonts w:ascii="Arial" w:hAnsi="Arial" w:cs="Arial"/>
          <w:noProof/>
          <w:lang w:val="es-ES_tradnl"/>
        </w:rPr>
      </w:pPr>
      <w:r w:rsidRPr="00D15703">
        <w:rPr>
          <w:rFonts w:ascii="Arial" w:hAnsi="Arial" w:cs="Arial"/>
          <w:noProof/>
          <w:lang w:val="es-ES_tradnl"/>
        </w:rPr>
        <w:t xml:space="preserve">De este modo, conforme a lo considerado en el presente concepto, en la liquidación unilateral se deberá proceder a realizar las respectivas indemnizaciones, compensaciones y reajustes a los que haya lugar en favor de los involucrados, como, por ejemplo, los causababientes del fallecido. En todo caso, corresponderá a cada entidad estatal realizar el análisis  respectivo que permita establecer las circunstancias específicas de cada caso en particular para determinar la existencia de saldos a favor del contratista fallecido o disuelto, los titulares de dichos saldos y la forma derealizar su devolución, así como los valores objeto de liberación. </w:t>
      </w:r>
    </w:p>
    <w:p w14:paraId="7BFA26BD" w14:textId="77777777" w:rsidR="00AE30E4" w:rsidRPr="00D15703" w:rsidRDefault="00AE30E4" w:rsidP="00D15703">
      <w:pPr>
        <w:spacing w:after="0" w:line="276" w:lineRule="auto"/>
        <w:ind w:firstLine="851"/>
        <w:jc w:val="both"/>
        <w:rPr>
          <w:rFonts w:ascii="Arial" w:hAnsi="Arial" w:cs="Arial"/>
          <w:noProof/>
          <w:lang w:val="es-ES_tradnl"/>
        </w:rPr>
      </w:pPr>
    </w:p>
    <w:p w14:paraId="369CE904" w14:textId="77777777" w:rsidR="009C57C2" w:rsidRDefault="009C57C2" w:rsidP="00A03B14">
      <w:pPr>
        <w:spacing w:after="0" w:line="276" w:lineRule="auto"/>
        <w:jc w:val="both"/>
        <w:rPr>
          <w:rFonts w:ascii="Arial" w:eastAsia="Calibri" w:hAnsi="Arial" w:cs="Arial"/>
        </w:rPr>
      </w:pPr>
      <w:r w:rsidRPr="00D15703">
        <w:rPr>
          <w:rFonts w:ascii="Arial" w:eastAsia="Calibri" w:hAnsi="Arial" w:cs="Arial"/>
        </w:rPr>
        <w:t>Este concepto tiene el alcance previsto en el artículo 28 del Código de Procedimiento Administrativo y de lo Contencioso Administrativo.</w:t>
      </w:r>
    </w:p>
    <w:p w14:paraId="7AC4BAB6" w14:textId="77777777" w:rsidR="00A03B14" w:rsidRPr="00D15703" w:rsidRDefault="00A03B14" w:rsidP="00D15703">
      <w:pPr>
        <w:spacing w:after="0" w:line="276" w:lineRule="auto"/>
        <w:jc w:val="both"/>
        <w:rPr>
          <w:rFonts w:ascii="Arial" w:eastAsia="Times New Roman" w:hAnsi="Arial" w:cs="Arial"/>
          <w:lang w:eastAsia="es-ES_tradnl"/>
        </w:rPr>
      </w:pPr>
    </w:p>
    <w:p w14:paraId="3CA41A77" w14:textId="77777777" w:rsidR="009C57C2" w:rsidRPr="00D15703" w:rsidRDefault="009C57C2" w:rsidP="009C57C2">
      <w:pPr>
        <w:spacing w:after="200" w:line="276" w:lineRule="auto"/>
        <w:jc w:val="both"/>
        <w:rPr>
          <w:rFonts w:ascii="Arial" w:eastAsia="Times New Roman" w:hAnsi="Arial" w:cs="Arial"/>
          <w:lang w:eastAsia="es-CO"/>
        </w:rPr>
      </w:pPr>
      <w:r w:rsidRPr="00D15703">
        <w:rPr>
          <w:rFonts w:ascii="Arial" w:eastAsia="Times New Roman" w:hAnsi="Arial" w:cs="Arial"/>
          <w:lang w:eastAsia="es-CO"/>
        </w:rPr>
        <w:t>Atentamente,</w:t>
      </w:r>
      <w:bookmarkEnd w:id="0"/>
      <w:bookmarkEnd w:id="10"/>
    </w:p>
    <w:p w14:paraId="7E98232A" w14:textId="3BD0B5CA" w:rsidR="009C57C2" w:rsidRPr="00D15703" w:rsidRDefault="00196440" w:rsidP="009C57C2">
      <w:pPr>
        <w:spacing w:before="120" w:after="120" w:line="276" w:lineRule="auto"/>
        <w:jc w:val="center"/>
        <w:rPr>
          <w:rFonts w:ascii="Arial" w:eastAsia="Calibri" w:hAnsi="Arial" w:cs="Arial"/>
          <w:sz w:val="24"/>
          <w:lang w:val="es-MX"/>
        </w:rPr>
      </w:pPr>
      <w:r>
        <w:rPr>
          <w:noProof/>
          <w:lang w:val="en-US"/>
        </w:rPr>
        <w:drawing>
          <wp:inline distT="0" distB="0" distL="0" distR="0" wp14:anchorId="50DACE2A" wp14:editId="7523FB8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9C57C2" w:rsidRPr="00DF73BF" w14:paraId="2139EE82" w14:textId="77777777" w:rsidTr="00D54CED">
        <w:trPr>
          <w:trHeight w:val="286"/>
        </w:trPr>
        <w:tc>
          <w:tcPr>
            <w:tcW w:w="817" w:type="dxa"/>
            <w:vAlign w:val="center"/>
          </w:tcPr>
          <w:p w14:paraId="2D89FD97"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Elaboró:</w:t>
            </w:r>
          </w:p>
        </w:tc>
        <w:tc>
          <w:tcPr>
            <w:tcW w:w="4445" w:type="dxa"/>
            <w:tcBorders>
              <w:bottom w:val="dotted" w:sz="4" w:space="0" w:color="7F7F7F"/>
            </w:tcBorders>
            <w:vAlign w:val="center"/>
          </w:tcPr>
          <w:p w14:paraId="21D26319"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 xml:space="preserve">Diana Fabiola Herrera Hernández </w:t>
            </w:r>
          </w:p>
          <w:p w14:paraId="1F30765F"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Contratista de la Subdirección de Gestión Contractual</w:t>
            </w:r>
          </w:p>
        </w:tc>
      </w:tr>
      <w:tr w:rsidR="009C57C2" w:rsidRPr="00DF73BF" w14:paraId="35336365" w14:textId="77777777" w:rsidTr="00D54CED">
        <w:trPr>
          <w:trHeight w:val="286"/>
        </w:trPr>
        <w:tc>
          <w:tcPr>
            <w:tcW w:w="817" w:type="dxa"/>
            <w:vAlign w:val="center"/>
          </w:tcPr>
          <w:p w14:paraId="467FBC74"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Revisó:</w:t>
            </w:r>
          </w:p>
        </w:tc>
        <w:tc>
          <w:tcPr>
            <w:tcW w:w="4445" w:type="dxa"/>
            <w:tcBorders>
              <w:bottom w:val="dotted" w:sz="4" w:space="0" w:color="7F7F7F"/>
            </w:tcBorders>
            <w:vAlign w:val="center"/>
          </w:tcPr>
          <w:p w14:paraId="2D6D9611" w14:textId="77777777" w:rsidR="009C57C2" w:rsidRPr="00D15703" w:rsidRDefault="009C57C2" w:rsidP="009C57C2">
            <w:pPr>
              <w:spacing w:line="276" w:lineRule="auto"/>
              <w:jc w:val="both"/>
              <w:rPr>
                <w:rFonts w:ascii="Arial" w:hAnsi="Arial" w:cs="Arial"/>
                <w:sz w:val="16"/>
                <w:szCs w:val="16"/>
              </w:rPr>
            </w:pPr>
            <w:r w:rsidRPr="00D15703">
              <w:rPr>
                <w:rFonts w:ascii="Arial" w:hAnsi="Arial" w:cs="Arial"/>
                <w:sz w:val="16"/>
                <w:szCs w:val="16"/>
                <w:lang w:val="es-MX"/>
              </w:rPr>
              <w:t>Alejandro Sarmiento Cantillo</w:t>
            </w:r>
          </w:p>
          <w:p w14:paraId="6022E18A"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Gestor T1-15 de la Subdirección de Gestión Contractual</w:t>
            </w:r>
          </w:p>
        </w:tc>
      </w:tr>
      <w:tr w:rsidR="009C57C2" w:rsidRPr="00DF73BF" w14:paraId="26A55CCC" w14:textId="77777777" w:rsidTr="00D54CED">
        <w:trPr>
          <w:trHeight w:val="299"/>
        </w:trPr>
        <w:tc>
          <w:tcPr>
            <w:tcW w:w="817" w:type="dxa"/>
            <w:vAlign w:val="center"/>
          </w:tcPr>
          <w:p w14:paraId="0F78E1A0"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Aprobó:</w:t>
            </w:r>
          </w:p>
        </w:tc>
        <w:tc>
          <w:tcPr>
            <w:tcW w:w="4445" w:type="dxa"/>
            <w:tcBorders>
              <w:top w:val="dotted" w:sz="4" w:space="0" w:color="7F7F7F"/>
              <w:bottom w:val="dotted" w:sz="4" w:space="0" w:color="7F7F7F"/>
            </w:tcBorders>
            <w:vAlign w:val="center"/>
          </w:tcPr>
          <w:p w14:paraId="2B7478FD"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 xml:space="preserve">Nohelia del Carmen </w:t>
            </w:r>
            <w:proofErr w:type="spellStart"/>
            <w:r w:rsidRPr="00D15703">
              <w:rPr>
                <w:rFonts w:ascii="Arial" w:hAnsi="Arial" w:cs="Arial"/>
                <w:sz w:val="16"/>
                <w:szCs w:val="16"/>
                <w:lang w:val="es-MX"/>
              </w:rPr>
              <w:t>Zawady</w:t>
            </w:r>
            <w:proofErr w:type="spellEnd"/>
            <w:r w:rsidRPr="00D15703">
              <w:rPr>
                <w:rFonts w:ascii="Arial" w:hAnsi="Arial" w:cs="Arial"/>
                <w:sz w:val="16"/>
                <w:szCs w:val="16"/>
                <w:lang w:val="es-MX"/>
              </w:rPr>
              <w:t xml:space="preserve"> Palacio</w:t>
            </w:r>
          </w:p>
          <w:p w14:paraId="2E524ECA" w14:textId="77777777" w:rsidR="009C57C2" w:rsidRPr="00D15703" w:rsidRDefault="009C57C2" w:rsidP="009C57C2">
            <w:pPr>
              <w:jc w:val="both"/>
              <w:rPr>
                <w:rFonts w:ascii="Arial" w:hAnsi="Arial" w:cs="Arial"/>
                <w:sz w:val="16"/>
                <w:szCs w:val="16"/>
                <w:lang w:val="es-MX"/>
              </w:rPr>
            </w:pPr>
            <w:r w:rsidRPr="00D15703">
              <w:rPr>
                <w:rFonts w:ascii="Arial" w:hAnsi="Arial" w:cs="Arial"/>
                <w:sz w:val="16"/>
                <w:szCs w:val="16"/>
                <w:lang w:val="es-MX"/>
              </w:rPr>
              <w:t xml:space="preserve">Subdirectora de Gestión Contractual ANCP – CCE </w:t>
            </w:r>
          </w:p>
        </w:tc>
      </w:tr>
    </w:tbl>
    <w:p w14:paraId="30E5C78A" w14:textId="77777777" w:rsidR="009C57C2" w:rsidRPr="00D15703" w:rsidRDefault="009C57C2" w:rsidP="009C57C2">
      <w:pPr>
        <w:spacing w:after="200" w:line="276" w:lineRule="auto"/>
        <w:jc w:val="both"/>
        <w:rPr>
          <w:rFonts w:ascii="Arial" w:eastAsia="Times New Roman" w:hAnsi="Arial" w:cs="Arial"/>
          <w:lang w:eastAsia="es-CO"/>
        </w:rPr>
      </w:pPr>
    </w:p>
    <w:p w14:paraId="7A24D345" w14:textId="77777777" w:rsidR="009C57C2" w:rsidRPr="00D15703" w:rsidRDefault="009C57C2" w:rsidP="009C57C2">
      <w:pPr>
        <w:spacing w:after="200" w:line="276" w:lineRule="auto"/>
        <w:jc w:val="center"/>
        <w:rPr>
          <w:rFonts w:ascii="Arial" w:eastAsia="Times New Roman" w:hAnsi="Arial" w:cs="Arial"/>
          <w:color w:val="000000"/>
          <w:sz w:val="24"/>
          <w:lang w:val="es-ES_tradnl" w:eastAsia="es-CO"/>
        </w:rPr>
      </w:pPr>
    </w:p>
    <w:p w14:paraId="71C9EB9C" w14:textId="77777777" w:rsidR="009C57C2" w:rsidRPr="00D15703" w:rsidRDefault="009C57C2" w:rsidP="009C57C2">
      <w:pPr>
        <w:spacing w:after="200" w:line="276" w:lineRule="auto"/>
        <w:jc w:val="both"/>
        <w:rPr>
          <w:rFonts w:ascii="Arial" w:hAnsi="Arial" w:cs="Arial"/>
          <w:sz w:val="24"/>
          <w:lang w:val="es-MX"/>
        </w:rPr>
      </w:pPr>
    </w:p>
    <w:p w14:paraId="0F293BF4" w14:textId="0F6FB6C1" w:rsidR="00127233" w:rsidRPr="00D15703" w:rsidRDefault="00127233" w:rsidP="009C57C2">
      <w:pPr>
        <w:rPr>
          <w:rFonts w:ascii="Arial" w:hAnsi="Arial" w:cs="Arial"/>
          <w:lang w:val="es-MX"/>
        </w:rPr>
      </w:pPr>
    </w:p>
    <w:sectPr w:rsidR="00127233" w:rsidRPr="00D15703"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DD411" w14:textId="77777777" w:rsidR="00FD4CE4" w:rsidRDefault="00FD4CE4" w:rsidP="004A1847">
      <w:pPr>
        <w:spacing w:after="0" w:line="240" w:lineRule="auto"/>
      </w:pPr>
      <w:r>
        <w:separator/>
      </w:r>
    </w:p>
  </w:endnote>
  <w:endnote w:type="continuationSeparator" w:id="0">
    <w:p w14:paraId="6A4FF864" w14:textId="77777777" w:rsidR="00FD4CE4" w:rsidRDefault="00FD4CE4" w:rsidP="004A1847">
      <w:pPr>
        <w:spacing w:after="0" w:line="240" w:lineRule="auto"/>
      </w:pPr>
      <w:r>
        <w:continuationSeparator/>
      </w:r>
    </w:p>
  </w:endnote>
  <w:endnote w:type="continuationNotice" w:id="1">
    <w:p w14:paraId="23C117AC" w14:textId="77777777" w:rsidR="00FD4CE4" w:rsidRDefault="00FD4C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5478003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196440">
            <w:rPr>
              <w:rFonts w:ascii="Geomanist Light" w:hAnsi="Geomanist Light"/>
              <w:b/>
              <w:bCs/>
              <w:noProof/>
              <w:sz w:val="18"/>
              <w:szCs w:val="18"/>
            </w:rPr>
            <w:t>28</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196440">
            <w:rPr>
              <w:rFonts w:ascii="Geomanist Light" w:hAnsi="Geomanist Light"/>
              <w:b/>
              <w:bCs/>
              <w:noProof/>
              <w:sz w:val="18"/>
              <w:szCs w:val="18"/>
            </w:rPr>
            <w:t>29</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1154A" w14:textId="77777777" w:rsidR="00FD4CE4" w:rsidRDefault="00FD4CE4" w:rsidP="004A1847">
      <w:pPr>
        <w:spacing w:after="0" w:line="240" w:lineRule="auto"/>
      </w:pPr>
      <w:r>
        <w:separator/>
      </w:r>
    </w:p>
  </w:footnote>
  <w:footnote w:type="continuationSeparator" w:id="0">
    <w:p w14:paraId="0FB6328A" w14:textId="77777777" w:rsidR="00FD4CE4" w:rsidRDefault="00FD4CE4" w:rsidP="004A1847">
      <w:pPr>
        <w:spacing w:after="0" w:line="240" w:lineRule="auto"/>
      </w:pPr>
      <w:r>
        <w:continuationSeparator/>
      </w:r>
    </w:p>
  </w:footnote>
  <w:footnote w:type="continuationNotice" w:id="1">
    <w:p w14:paraId="1350DDF3" w14:textId="77777777" w:rsidR="00FD4CE4" w:rsidRDefault="00FD4CE4">
      <w:pPr>
        <w:spacing w:after="0" w:line="240" w:lineRule="auto"/>
      </w:pPr>
    </w:p>
  </w:footnote>
  <w:footnote w:id="2">
    <w:p w14:paraId="53F9CC1C" w14:textId="77777777" w:rsidR="009C57C2" w:rsidRPr="00FC7D26" w:rsidRDefault="009C57C2" w:rsidP="00D15703">
      <w:pPr>
        <w:pStyle w:val="Textonotapie"/>
        <w:ind w:firstLine="709"/>
        <w:jc w:val="both"/>
        <w:rPr>
          <w:rStyle w:val="Hipervnculo"/>
          <w:rFonts w:ascii="Arial" w:hAnsi="Arial" w:cs="Arial"/>
          <w:color w:val="000000" w:themeColor="text1"/>
          <w:sz w:val="16"/>
          <w:szCs w:val="16"/>
          <w:lang w:val="es-CO"/>
        </w:rPr>
      </w:pPr>
      <w:r w:rsidRPr="00D15703">
        <w:rPr>
          <w:rStyle w:val="Refdenotaalpie"/>
          <w:rFonts w:ascii="Arial" w:hAnsi="Arial" w:cs="Arial"/>
          <w:sz w:val="16"/>
          <w:szCs w:val="16"/>
        </w:rPr>
        <w:footnoteRef/>
      </w:r>
      <w:r w:rsidRPr="00D15703">
        <w:rPr>
          <w:rFonts w:ascii="Arial" w:hAnsi="Arial" w:cs="Arial"/>
          <w:sz w:val="16"/>
          <w:szCs w:val="16"/>
        </w:rPr>
        <w:t xml:space="preserve"> </w:t>
      </w:r>
      <w:r w:rsidRPr="00D15703">
        <w:rPr>
          <w:rFonts w:ascii="Arial" w:hAnsi="Arial" w:cs="Arial"/>
          <w:color w:val="000000" w:themeColor="text1"/>
          <w:sz w:val="16"/>
          <w:szCs w:val="16"/>
          <w:lang w:val="es-CO"/>
        </w:rPr>
        <w:t xml:space="preserve">Estos conceptos pueden ser consultados en la relatoría de la Agencia en el siguiente enlace: </w:t>
      </w:r>
      <w:hyperlink r:id="rId1" w:history="1">
        <w:r w:rsidRPr="00D15703">
          <w:rPr>
            <w:rStyle w:val="Hipervnculo"/>
            <w:rFonts w:ascii="Arial" w:hAnsi="Arial" w:cs="Arial"/>
            <w:color w:val="000000" w:themeColor="text1"/>
            <w:sz w:val="16"/>
            <w:szCs w:val="16"/>
            <w:lang w:val="es-CO"/>
          </w:rPr>
          <w:t>https://relatoria.colombiacompra.gov.co/busqueda/conceptos#</w:t>
        </w:r>
      </w:hyperlink>
    </w:p>
    <w:p w14:paraId="3EFE2C08" w14:textId="77777777" w:rsidR="003F2443" w:rsidRPr="00D15703" w:rsidRDefault="003F2443" w:rsidP="00D15703">
      <w:pPr>
        <w:pStyle w:val="Textonotapie"/>
        <w:ind w:firstLine="709"/>
        <w:jc w:val="both"/>
        <w:rPr>
          <w:rFonts w:ascii="Arial" w:hAnsi="Arial" w:cs="Arial"/>
          <w:sz w:val="16"/>
          <w:szCs w:val="16"/>
        </w:rPr>
      </w:pPr>
    </w:p>
  </w:footnote>
  <w:footnote w:id="3">
    <w:p w14:paraId="31183773" w14:textId="77777777" w:rsidR="009C57C2" w:rsidRPr="00D15703" w:rsidRDefault="009C57C2" w:rsidP="00D15703">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D15703">
        <w:rPr>
          <w:rFonts w:ascii="Arial" w:hAnsi="Arial" w:cs="Arial"/>
          <w:color w:val="000000" w:themeColor="text1"/>
          <w:sz w:val="16"/>
          <w:szCs w:val="16"/>
          <w:shd w:val="clear" w:color="auto" w:fill="FFFFFF"/>
        </w:rPr>
        <w:t>»</w:t>
      </w:r>
      <w:r w:rsidRPr="00D15703">
        <w:rPr>
          <w:rFonts w:ascii="Arial" w:hAnsi="Arial" w:cs="Arial"/>
          <w:color w:val="000000" w:themeColor="text1"/>
          <w:sz w:val="16"/>
          <w:szCs w:val="16"/>
        </w:rPr>
        <w:t xml:space="preserve"> EXPOSITO, Juan Carlos. Forma y contenido del contrato estatal. Bogotá: Universidad Externado de Colombia, p. 89 y 90.</w:t>
      </w:r>
    </w:p>
    <w:p w14:paraId="0913F220" w14:textId="77777777" w:rsidR="009C57C2" w:rsidRPr="00D15703" w:rsidRDefault="009C57C2" w:rsidP="00D15703">
      <w:pPr>
        <w:pStyle w:val="Textonotapie"/>
        <w:ind w:firstLine="708"/>
        <w:jc w:val="both"/>
        <w:rPr>
          <w:rFonts w:ascii="Arial" w:hAnsi="Arial" w:cs="Arial"/>
          <w:color w:val="000000" w:themeColor="text1"/>
          <w:sz w:val="16"/>
          <w:szCs w:val="16"/>
        </w:rPr>
      </w:pPr>
      <w:r w:rsidRPr="00D15703">
        <w:rPr>
          <w:rFonts w:ascii="Arial" w:hAnsi="Arial" w:cs="Arial"/>
          <w:color w:val="000000" w:themeColor="text1"/>
          <w:sz w:val="16"/>
          <w:szCs w:val="16"/>
        </w:rPr>
        <w:t xml:space="preserve"> </w:t>
      </w:r>
    </w:p>
  </w:footnote>
  <w:footnote w:id="4">
    <w:p w14:paraId="5D3C63B4" w14:textId="77777777" w:rsidR="009C57C2" w:rsidRPr="00FC7D26" w:rsidRDefault="009C57C2" w:rsidP="00D15703">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DÍAZ DÍEZ, Cristian Andrés. La liquidación. Serie: Las Cláusulas del Contrato Estatal. Medellín: Librería Jurídica Sánchez y Centro de Estudios de Derecho Administrativo –CEDA–, 2013, pp. 53-54.</w:t>
      </w:r>
    </w:p>
    <w:p w14:paraId="19038375" w14:textId="77777777" w:rsidR="00FC7D26" w:rsidRPr="00D15703" w:rsidRDefault="00FC7D26" w:rsidP="00D15703">
      <w:pPr>
        <w:pStyle w:val="Textonotapie"/>
        <w:ind w:firstLine="708"/>
        <w:jc w:val="both"/>
        <w:rPr>
          <w:rFonts w:ascii="Arial" w:hAnsi="Arial" w:cs="Arial"/>
          <w:color w:val="000000" w:themeColor="text1"/>
          <w:sz w:val="16"/>
          <w:szCs w:val="16"/>
          <w:lang w:val="es-CO"/>
        </w:rPr>
      </w:pPr>
    </w:p>
  </w:footnote>
  <w:footnote w:id="5">
    <w:p w14:paraId="70C9E56D" w14:textId="185F5780" w:rsidR="009C57C2" w:rsidRPr="00D15703" w:rsidRDefault="009C57C2" w:rsidP="00D15703">
      <w:pPr>
        <w:spacing w:after="0"/>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w:t>
      </w:r>
      <w:r w:rsidR="00720E9D" w:rsidRPr="00720E9D">
        <w:rPr>
          <w:rFonts w:ascii="Arial" w:hAnsi="Arial" w:cs="Arial"/>
          <w:color w:val="000000" w:themeColor="text1"/>
          <w:sz w:val="16"/>
          <w:szCs w:val="16"/>
        </w:rPr>
        <w:t>CONSEJO DE ESTADO</w:t>
      </w:r>
      <w:r w:rsidRPr="00D15703">
        <w:rPr>
          <w:rFonts w:ascii="Arial" w:hAnsi="Arial" w:cs="Arial"/>
          <w:color w:val="000000" w:themeColor="text1"/>
          <w:sz w:val="16"/>
          <w:szCs w:val="16"/>
        </w:rPr>
        <w:t xml:space="preserve">. Sección Tercera. Subsección C. 20 de octubre de 2014, M.P: Enrique Gil Botero. </w:t>
      </w:r>
      <w:proofErr w:type="spellStart"/>
      <w:r w:rsidRPr="00D15703">
        <w:rPr>
          <w:rFonts w:ascii="Arial" w:hAnsi="Arial" w:cs="Arial"/>
          <w:color w:val="000000" w:themeColor="text1"/>
          <w:sz w:val="16"/>
          <w:szCs w:val="16"/>
        </w:rPr>
        <w:t>Exp</w:t>
      </w:r>
      <w:proofErr w:type="spellEnd"/>
      <w:r w:rsidRPr="00D15703">
        <w:rPr>
          <w:rFonts w:ascii="Arial" w:hAnsi="Arial" w:cs="Arial"/>
          <w:color w:val="000000" w:themeColor="text1"/>
          <w:sz w:val="16"/>
          <w:szCs w:val="16"/>
        </w:rPr>
        <w:t>.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6">
    <w:p w14:paraId="0C737C2A" w14:textId="18479850" w:rsidR="009C57C2" w:rsidRDefault="009C57C2" w:rsidP="00FC7D26">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w:t>
      </w:r>
      <w:r w:rsidR="00720E9D" w:rsidRPr="00720E9D">
        <w:rPr>
          <w:rFonts w:ascii="Arial" w:hAnsi="Arial" w:cs="Arial"/>
          <w:color w:val="000000" w:themeColor="text1"/>
          <w:sz w:val="16"/>
          <w:szCs w:val="16"/>
        </w:rPr>
        <w:t xml:space="preserve">EXPÓSITO VÉLEZ. </w:t>
      </w:r>
      <w:r w:rsidRPr="00D15703">
        <w:rPr>
          <w:rFonts w:ascii="Arial" w:hAnsi="Arial" w:cs="Arial"/>
          <w:color w:val="000000" w:themeColor="text1"/>
          <w:sz w:val="16"/>
          <w:szCs w:val="16"/>
        </w:rPr>
        <w:t>Juan Carlos. Forma y contenido del contrato estatal, p. 90.</w:t>
      </w:r>
    </w:p>
    <w:p w14:paraId="4AF125C4" w14:textId="77777777" w:rsidR="00720E9D" w:rsidRPr="00D15703" w:rsidRDefault="00720E9D" w:rsidP="00D15703">
      <w:pPr>
        <w:pStyle w:val="Textonotapie"/>
        <w:ind w:firstLine="708"/>
        <w:jc w:val="both"/>
        <w:rPr>
          <w:rFonts w:ascii="Arial" w:hAnsi="Arial" w:cs="Arial"/>
          <w:color w:val="000000" w:themeColor="text1"/>
          <w:sz w:val="16"/>
          <w:szCs w:val="16"/>
        </w:rPr>
      </w:pPr>
    </w:p>
  </w:footnote>
  <w:footnote w:id="7">
    <w:p w14:paraId="456F0A95" w14:textId="77777777" w:rsidR="009C57C2" w:rsidRDefault="009C57C2" w:rsidP="00FC7D26">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CONSEJO DE ESTADO, Sala de Consulta y Servicio Civil. Radicado No. 1453. Concepto de 6 de agosto de 2003. MP. Augusto Trejos.</w:t>
      </w:r>
    </w:p>
    <w:p w14:paraId="3F2AE151" w14:textId="77777777" w:rsidR="00720E9D" w:rsidRPr="00D15703" w:rsidRDefault="00720E9D" w:rsidP="00D15703">
      <w:pPr>
        <w:pStyle w:val="Textonotapie"/>
        <w:ind w:firstLine="708"/>
        <w:jc w:val="both"/>
        <w:rPr>
          <w:rFonts w:ascii="Arial" w:hAnsi="Arial" w:cs="Arial"/>
          <w:color w:val="000000" w:themeColor="text1"/>
          <w:sz w:val="16"/>
          <w:szCs w:val="16"/>
        </w:rPr>
      </w:pPr>
    </w:p>
  </w:footnote>
  <w:footnote w:id="8">
    <w:p w14:paraId="4FF5E03A" w14:textId="77777777" w:rsidR="009C57C2" w:rsidRPr="00D15703" w:rsidRDefault="009C57C2" w:rsidP="00D15703">
      <w:pPr>
        <w:pStyle w:val="Textonotapie"/>
        <w:ind w:firstLine="708"/>
        <w:jc w:val="both"/>
        <w:rPr>
          <w:rFonts w:ascii="Arial" w:hAnsi="Arial" w:cs="Arial"/>
          <w:color w:val="000000" w:themeColor="text1"/>
          <w:sz w:val="16"/>
          <w:szCs w:val="16"/>
          <w:lang w:val="es-ES"/>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w:t>
      </w:r>
      <w:r w:rsidRPr="00D15703">
        <w:rPr>
          <w:rFonts w:ascii="Arial" w:hAnsi="Arial" w:cs="Arial"/>
          <w:color w:val="000000" w:themeColor="text1"/>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26A7F2B4" w14:textId="77777777" w:rsidR="009C57C2" w:rsidRPr="00D15703" w:rsidRDefault="009C57C2" w:rsidP="00D15703">
      <w:pPr>
        <w:pStyle w:val="Textonotapie"/>
        <w:ind w:firstLine="708"/>
        <w:jc w:val="both"/>
        <w:rPr>
          <w:rFonts w:ascii="Arial" w:hAnsi="Arial" w:cs="Arial"/>
          <w:color w:val="000000" w:themeColor="text1"/>
          <w:sz w:val="16"/>
          <w:szCs w:val="16"/>
          <w:lang w:val="es-ES"/>
        </w:rPr>
      </w:pPr>
      <w:r w:rsidRPr="00D15703">
        <w:rPr>
          <w:rFonts w:ascii="Arial" w:hAnsi="Arial" w:cs="Arial"/>
          <w:color w:val="000000" w:themeColor="text1"/>
          <w:sz w:val="16"/>
          <w:szCs w:val="16"/>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1416B0DF" w14:textId="77777777" w:rsidR="009C57C2" w:rsidRPr="00D15703" w:rsidRDefault="009C57C2" w:rsidP="00D15703">
      <w:pPr>
        <w:pStyle w:val="Textonotapie"/>
        <w:ind w:firstLine="708"/>
        <w:jc w:val="both"/>
        <w:rPr>
          <w:rFonts w:ascii="Arial" w:hAnsi="Arial" w:cs="Arial"/>
          <w:color w:val="000000" w:themeColor="text1"/>
          <w:sz w:val="16"/>
          <w:szCs w:val="16"/>
          <w:lang w:val="es-ES"/>
        </w:rPr>
      </w:pPr>
      <w:r w:rsidRPr="00D15703">
        <w:rPr>
          <w:rFonts w:ascii="Arial" w:hAnsi="Arial" w:cs="Arial"/>
          <w:color w:val="000000" w:themeColor="text1"/>
          <w:sz w:val="16"/>
          <w:szCs w:val="16"/>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58C0772" w14:textId="77777777" w:rsidR="009C57C2" w:rsidRPr="00D15703" w:rsidRDefault="009C57C2" w:rsidP="00D15703">
      <w:pPr>
        <w:pStyle w:val="Textonotapie"/>
        <w:ind w:firstLine="708"/>
        <w:jc w:val="both"/>
        <w:rPr>
          <w:rFonts w:ascii="Arial" w:hAnsi="Arial" w:cs="Arial"/>
          <w:color w:val="000000" w:themeColor="text1"/>
          <w:sz w:val="16"/>
          <w:szCs w:val="16"/>
          <w:lang w:val="es-ES"/>
        </w:rPr>
      </w:pPr>
      <w:r w:rsidRPr="00D15703">
        <w:rPr>
          <w:rFonts w:ascii="Arial" w:hAnsi="Arial" w:cs="Arial"/>
          <w:color w:val="000000" w:themeColor="text1"/>
          <w:sz w:val="16"/>
          <w:szCs w:val="16"/>
          <w:lang w:val="es-ES"/>
        </w:rPr>
        <w:t>» Los contratistas tendrán derecho a efectuar salvedades a la liquidación por mutuo acuerdo, y en este evento la liquidación unilateral solo procederá en relación con los aspectos que no hayan sido objeto de acuerdo».</w:t>
      </w:r>
    </w:p>
  </w:footnote>
  <w:footnote w:id="9">
    <w:p w14:paraId="28066F3E" w14:textId="77777777" w:rsidR="009C57C2" w:rsidRDefault="009C57C2" w:rsidP="00FC7D26">
      <w:pPr>
        <w:pStyle w:val="Textonotapie"/>
        <w:ind w:firstLine="709"/>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CONSEJO DE ESTADO, Sección Tercera, Subsección C, Sentencia del 24 de julio de 2013, radicado No. 25.642, </w:t>
      </w:r>
      <w:proofErr w:type="gramStart"/>
      <w:r w:rsidRPr="00D15703">
        <w:rPr>
          <w:rFonts w:ascii="Arial" w:hAnsi="Arial" w:cs="Arial"/>
          <w:color w:val="000000" w:themeColor="text1"/>
          <w:sz w:val="16"/>
          <w:szCs w:val="16"/>
        </w:rPr>
        <w:t>Consejero</w:t>
      </w:r>
      <w:proofErr w:type="gramEnd"/>
      <w:r w:rsidRPr="00D15703">
        <w:rPr>
          <w:rFonts w:ascii="Arial" w:hAnsi="Arial" w:cs="Arial"/>
          <w:color w:val="000000" w:themeColor="text1"/>
          <w:sz w:val="16"/>
          <w:szCs w:val="16"/>
        </w:rPr>
        <w:t xml:space="preserve"> Ponente Enrique Gil Botero.</w:t>
      </w:r>
    </w:p>
    <w:p w14:paraId="6D574D73" w14:textId="77777777" w:rsidR="0046366A" w:rsidRPr="00D15703" w:rsidRDefault="0046366A" w:rsidP="00D15703">
      <w:pPr>
        <w:pStyle w:val="Textonotapie"/>
        <w:ind w:firstLine="709"/>
        <w:jc w:val="both"/>
        <w:rPr>
          <w:rFonts w:ascii="Arial" w:hAnsi="Arial" w:cs="Arial"/>
          <w:color w:val="000000" w:themeColor="text1"/>
          <w:sz w:val="16"/>
          <w:szCs w:val="16"/>
          <w:lang w:val="es-CO"/>
        </w:rPr>
      </w:pPr>
    </w:p>
  </w:footnote>
  <w:footnote w:id="10">
    <w:p w14:paraId="19E6544C" w14:textId="77777777" w:rsidR="009C57C2" w:rsidRPr="00D15703" w:rsidRDefault="009C57C2" w:rsidP="00D15703">
      <w:pPr>
        <w:pStyle w:val="NormalWeb"/>
        <w:spacing w:after="0"/>
        <w:ind w:firstLine="709"/>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Decreto 1082 de 2015 «</w:t>
      </w:r>
      <w:r w:rsidRPr="00D15703">
        <w:rPr>
          <w:rStyle w:val="Textoennegrita"/>
          <w:rFonts w:ascii="Arial" w:hAnsi="Arial" w:cs="Arial"/>
          <w:color w:val="000000" w:themeColor="text1"/>
          <w:sz w:val="16"/>
          <w:szCs w:val="16"/>
        </w:rPr>
        <w:t>Artículo 2.2.1.2.1.5.2. </w:t>
      </w:r>
      <w:r w:rsidRPr="00D15703">
        <w:rPr>
          <w:rStyle w:val="nfasis"/>
          <w:rFonts w:ascii="Arial" w:eastAsiaTheme="minorEastAsia" w:hAnsi="Arial" w:cs="Arial"/>
          <w:color w:val="000000" w:themeColor="text1"/>
          <w:sz w:val="16"/>
          <w:szCs w:val="16"/>
        </w:rPr>
        <w:t>Procedimiento para la contratación de mínima cuantía. </w:t>
      </w:r>
      <w:r w:rsidRPr="00D15703">
        <w:rPr>
          <w:rFonts w:ascii="Arial" w:hAnsi="Arial" w:cs="Arial"/>
          <w:color w:val="000000" w:themeColor="text1"/>
          <w:sz w:val="16"/>
          <w:szCs w:val="16"/>
        </w:rPr>
        <w:t>Las siguientes reglas son aplicables a la contratación cuyo valor no excede del 10% de la menor cuantía de la Entidad Estatal, independientemente de su objeto: </w:t>
      </w:r>
    </w:p>
    <w:p w14:paraId="343CB8FC" w14:textId="77777777" w:rsidR="009C57C2" w:rsidRDefault="009C57C2" w:rsidP="00FC7D26">
      <w:pPr>
        <w:pStyle w:val="NormalWeb"/>
        <w:spacing w:after="0"/>
        <w:jc w:val="both"/>
        <w:rPr>
          <w:rFonts w:ascii="Arial" w:hAnsi="Arial" w:cs="Arial"/>
          <w:color w:val="000000" w:themeColor="text1"/>
          <w:sz w:val="16"/>
          <w:szCs w:val="16"/>
        </w:rPr>
      </w:pPr>
      <w:r w:rsidRPr="00D15703">
        <w:rPr>
          <w:rFonts w:ascii="Arial" w:hAnsi="Arial" w:cs="Arial"/>
          <w:color w:val="000000" w:themeColor="text1"/>
          <w:sz w:val="16"/>
          <w:szCs w:val="16"/>
        </w:rPr>
        <w:t>  </w:t>
      </w:r>
      <w:r w:rsidRPr="00D15703">
        <w:rPr>
          <w:rFonts w:ascii="Arial" w:hAnsi="Arial" w:cs="Arial"/>
          <w:color w:val="000000" w:themeColor="text1"/>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0CA72D3E" w14:textId="77777777" w:rsidR="0046366A" w:rsidRPr="00D15703" w:rsidRDefault="0046366A" w:rsidP="00D15703">
      <w:pPr>
        <w:pStyle w:val="NormalWeb"/>
        <w:spacing w:after="0"/>
        <w:jc w:val="both"/>
        <w:rPr>
          <w:rFonts w:ascii="Arial" w:hAnsi="Arial" w:cs="Arial"/>
          <w:color w:val="000000" w:themeColor="text1"/>
          <w:sz w:val="16"/>
          <w:szCs w:val="16"/>
        </w:rPr>
      </w:pPr>
    </w:p>
  </w:footnote>
  <w:footnote w:id="11">
    <w:p w14:paraId="18915911" w14:textId="77777777" w:rsidR="009C57C2" w:rsidRPr="00D15703" w:rsidRDefault="009C57C2" w:rsidP="00D15703">
      <w:pPr>
        <w:pStyle w:val="NormalWeb"/>
        <w:spacing w:after="0"/>
        <w:ind w:firstLine="720"/>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Ley 80 de 1993 «</w:t>
      </w:r>
      <w:r w:rsidRPr="00D15703">
        <w:rPr>
          <w:rStyle w:val="Textoennegrita"/>
          <w:rFonts w:ascii="Arial" w:hAnsi="Arial" w:cs="Arial"/>
          <w:color w:val="000000" w:themeColor="text1"/>
          <w:sz w:val="16"/>
          <w:szCs w:val="16"/>
        </w:rPr>
        <w:t>Articulo 39. De la forma del contrato estatal. </w:t>
      </w:r>
      <w:r w:rsidRPr="00D15703">
        <w:rPr>
          <w:rFonts w:ascii="Arial" w:hAnsi="Arial" w:cs="Arial"/>
          <w:color w:val="000000" w:themeColor="text1"/>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1B129986" w14:textId="77777777" w:rsidR="009C57C2" w:rsidRPr="00D15703" w:rsidRDefault="009C57C2" w:rsidP="00D15703">
      <w:pPr>
        <w:pStyle w:val="NormalWeb"/>
        <w:spacing w:after="0"/>
        <w:jc w:val="both"/>
        <w:rPr>
          <w:rFonts w:ascii="Arial" w:hAnsi="Arial" w:cs="Arial"/>
          <w:color w:val="000000" w:themeColor="text1"/>
          <w:sz w:val="16"/>
          <w:szCs w:val="16"/>
        </w:rPr>
      </w:pPr>
      <w:r w:rsidRPr="00D15703">
        <w:rPr>
          <w:rFonts w:ascii="Arial" w:hAnsi="Arial" w:cs="Arial"/>
          <w:color w:val="000000" w:themeColor="text1"/>
          <w:sz w:val="16"/>
          <w:szCs w:val="16"/>
        </w:rPr>
        <w:t>  </w:t>
      </w:r>
      <w:r w:rsidRPr="00D15703">
        <w:rPr>
          <w:rFonts w:ascii="Arial" w:hAnsi="Arial" w:cs="Arial"/>
          <w:color w:val="000000" w:themeColor="text1"/>
          <w:sz w:val="16"/>
          <w:szCs w:val="16"/>
        </w:rPr>
        <w:tab/>
        <w:t>[…]</w:t>
      </w:r>
      <w:bookmarkStart w:id="3" w:name="ver_1790147"/>
      <w:bookmarkStart w:id="4" w:name="ver_30220791"/>
      <w:bookmarkStart w:id="5" w:name="ver_1790148"/>
      <w:bookmarkEnd w:id="3"/>
      <w:bookmarkEnd w:id="4"/>
    </w:p>
    <w:p w14:paraId="339873EF" w14:textId="77777777" w:rsidR="009C57C2" w:rsidRPr="00D15703" w:rsidRDefault="009C57C2" w:rsidP="00D15703">
      <w:pPr>
        <w:pStyle w:val="NormalWeb"/>
        <w:spacing w:after="0"/>
        <w:ind w:firstLine="720"/>
        <w:jc w:val="both"/>
        <w:rPr>
          <w:rFonts w:ascii="Arial" w:hAnsi="Arial" w:cs="Arial"/>
          <w:color w:val="000000" w:themeColor="text1"/>
          <w:sz w:val="16"/>
          <w:szCs w:val="16"/>
        </w:rPr>
      </w:pPr>
      <w:proofErr w:type="gramStart"/>
      <w:r w:rsidRPr="00D15703">
        <w:rPr>
          <w:rStyle w:val="Textoennegrita"/>
          <w:rFonts w:ascii="Arial" w:hAnsi="Arial" w:cs="Arial"/>
          <w:color w:val="000000" w:themeColor="text1"/>
          <w:sz w:val="16"/>
          <w:szCs w:val="16"/>
        </w:rPr>
        <w:t>»Articulo</w:t>
      </w:r>
      <w:proofErr w:type="gramEnd"/>
      <w:r w:rsidRPr="00D15703">
        <w:rPr>
          <w:rStyle w:val="Textoennegrita"/>
          <w:rFonts w:ascii="Arial" w:hAnsi="Arial" w:cs="Arial"/>
          <w:color w:val="000000" w:themeColor="text1"/>
          <w:sz w:val="16"/>
          <w:szCs w:val="16"/>
        </w:rPr>
        <w:t xml:space="preserve"> 40. Del contenido del contrato estatal.</w:t>
      </w:r>
      <w:r w:rsidRPr="00D15703">
        <w:rPr>
          <w:rFonts w:ascii="Arial" w:hAnsi="Arial" w:cs="Arial"/>
          <w:color w:val="000000" w:themeColor="text1"/>
          <w:sz w:val="16"/>
          <w:szCs w:val="16"/>
        </w:rPr>
        <w:t> Las estipulaciones de los contratos serán las que de acuerdo con las normas civiles, comerciales y las previstas en esta ley, correspondan a su esencia y naturaleza. </w:t>
      </w:r>
    </w:p>
    <w:p w14:paraId="7AA471E3" w14:textId="77777777" w:rsidR="009C57C2" w:rsidRPr="00D15703" w:rsidRDefault="009C57C2" w:rsidP="00D15703">
      <w:pPr>
        <w:pStyle w:val="NormalWeb"/>
        <w:spacing w:after="0"/>
        <w:ind w:firstLine="720"/>
        <w:jc w:val="both"/>
        <w:rPr>
          <w:rFonts w:ascii="Arial" w:hAnsi="Arial" w:cs="Arial"/>
          <w:color w:val="000000" w:themeColor="text1"/>
          <w:sz w:val="16"/>
          <w:szCs w:val="16"/>
        </w:rPr>
      </w:pPr>
      <w:proofErr w:type="gramStart"/>
      <w:r w:rsidRPr="00D15703">
        <w:rPr>
          <w:rFonts w:ascii="Arial" w:hAnsi="Arial" w:cs="Arial"/>
          <w:color w:val="000000" w:themeColor="text1"/>
          <w:sz w:val="16"/>
          <w:szCs w:val="16"/>
        </w:rPr>
        <w:t>»Las</w:t>
      </w:r>
      <w:proofErr w:type="gramEnd"/>
      <w:r w:rsidRPr="00D15703">
        <w:rPr>
          <w:rFonts w:ascii="Arial" w:hAnsi="Arial" w:cs="Arial"/>
          <w:color w:val="000000" w:themeColor="text1"/>
          <w:sz w:val="16"/>
          <w:szCs w:val="16"/>
        </w:rPr>
        <w:t xml:space="preserve"> entidades podrán celebrar los contratos y acuerdos que permitan la autonomía de la voluntad y requieran el cumplimiento de los fines estatales. </w:t>
      </w:r>
    </w:p>
    <w:p w14:paraId="11B1F80B" w14:textId="77777777" w:rsidR="009C57C2" w:rsidRPr="00D15703" w:rsidRDefault="009C57C2" w:rsidP="00D15703">
      <w:pPr>
        <w:pStyle w:val="NormalWeb"/>
        <w:spacing w:after="0"/>
        <w:jc w:val="both"/>
        <w:rPr>
          <w:rFonts w:ascii="Arial" w:hAnsi="Arial" w:cs="Arial"/>
          <w:color w:val="000000" w:themeColor="text1"/>
          <w:sz w:val="16"/>
          <w:szCs w:val="16"/>
        </w:rPr>
      </w:pPr>
      <w:r w:rsidRPr="00D15703">
        <w:rPr>
          <w:rFonts w:ascii="Arial" w:hAnsi="Arial" w:cs="Arial"/>
          <w:color w:val="000000" w:themeColor="text1"/>
          <w:sz w:val="16"/>
          <w:szCs w:val="16"/>
        </w:rPr>
        <w:t>  </w:t>
      </w:r>
      <w:r w:rsidRPr="00D15703">
        <w:rPr>
          <w:rFonts w:ascii="Arial" w:hAnsi="Arial" w:cs="Arial"/>
          <w:color w:val="000000" w:themeColor="text1"/>
          <w:sz w:val="16"/>
          <w:szCs w:val="16"/>
        </w:rPr>
        <w:tab/>
        <w:t>[…]  </w:t>
      </w:r>
    </w:p>
    <w:p w14:paraId="73858B18" w14:textId="77777777" w:rsidR="009C57C2" w:rsidRPr="00D15703" w:rsidRDefault="009C57C2" w:rsidP="00D15703">
      <w:pPr>
        <w:pStyle w:val="NormalWeb"/>
        <w:spacing w:after="0"/>
        <w:ind w:firstLine="720"/>
        <w:jc w:val="both"/>
        <w:rPr>
          <w:rFonts w:ascii="Arial" w:hAnsi="Arial" w:cs="Arial"/>
          <w:color w:val="000000" w:themeColor="text1"/>
          <w:sz w:val="16"/>
          <w:szCs w:val="16"/>
        </w:rPr>
      </w:pPr>
      <w:bookmarkStart w:id="6" w:name="ver_30161420"/>
      <w:bookmarkStart w:id="7" w:name="ver_1790149"/>
      <w:bookmarkStart w:id="8" w:name="ver_30161408"/>
      <w:bookmarkStart w:id="9" w:name="ver_30161443"/>
      <w:bookmarkEnd w:id="5"/>
      <w:bookmarkEnd w:id="6"/>
      <w:bookmarkEnd w:id="7"/>
      <w:bookmarkEnd w:id="8"/>
      <w:bookmarkEnd w:id="9"/>
      <w:proofErr w:type="gramStart"/>
      <w:r w:rsidRPr="00D15703">
        <w:rPr>
          <w:rStyle w:val="Textoennegrita"/>
          <w:rFonts w:ascii="Arial" w:hAnsi="Arial" w:cs="Arial"/>
          <w:color w:val="000000" w:themeColor="text1"/>
          <w:sz w:val="16"/>
          <w:szCs w:val="16"/>
        </w:rPr>
        <w:t>»Artículo</w:t>
      </w:r>
      <w:proofErr w:type="gramEnd"/>
      <w:r w:rsidRPr="00D15703">
        <w:rPr>
          <w:rStyle w:val="Textoennegrita"/>
          <w:rFonts w:ascii="Arial" w:hAnsi="Arial" w:cs="Arial"/>
          <w:color w:val="000000" w:themeColor="text1"/>
          <w:sz w:val="16"/>
          <w:szCs w:val="16"/>
        </w:rPr>
        <w:t xml:space="preserve"> 41. Del perfeccionamiento del contrato.</w:t>
      </w:r>
      <w:r w:rsidRPr="00D15703">
        <w:rPr>
          <w:rFonts w:ascii="Arial" w:hAnsi="Arial" w:cs="Arial"/>
          <w:color w:val="000000" w:themeColor="text1"/>
          <w:sz w:val="16"/>
          <w:szCs w:val="16"/>
        </w:rPr>
        <w:t> Los contratos del Estado se perfeccionan cuando se logre acuerdo sobre el objeto y la contraprestación y éste se eleve a escrito […]».</w:t>
      </w:r>
    </w:p>
    <w:p w14:paraId="65361466" w14:textId="77777777" w:rsidR="009C57C2" w:rsidRPr="00D15703" w:rsidRDefault="009C57C2" w:rsidP="00D15703">
      <w:pPr>
        <w:pStyle w:val="Textonotapie"/>
        <w:jc w:val="both"/>
        <w:rPr>
          <w:rFonts w:ascii="Arial" w:hAnsi="Arial" w:cs="Arial"/>
          <w:color w:val="000000" w:themeColor="text1"/>
          <w:sz w:val="16"/>
          <w:szCs w:val="16"/>
          <w:lang w:val="es-CO"/>
        </w:rPr>
      </w:pPr>
    </w:p>
  </w:footnote>
  <w:footnote w:id="12">
    <w:p w14:paraId="66B9707C" w14:textId="77777777" w:rsidR="009C57C2" w:rsidRPr="00D15703" w:rsidRDefault="009C57C2" w:rsidP="00D15703">
      <w:pPr>
        <w:pStyle w:val="Textonotapie"/>
        <w:ind w:firstLine="709"/>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Ley 80 de 1993 «</w:t>
      </w:r>
      <w:r w:rsidRPr="00D15703">
        <w:rPr>
          <w:rStyle w:val="Textoennegrita"/>
          <w:rFonts w:ascii="Arial" w:hAnsi="Arial" w:cs="Arial"/>
          <w:color w:val="000000" w:themeColor="text1"/>
          <w:sz w:val="16"/>
          <w:szCs w:val="16"/>
        </w:rPr>
        <w:t>Artículo 77. De la normatividad aplicable en las actuaciones administrativas.</w:t>
      </w:r>
      <w:r w:rsidRPr="00D15703">
        <w:rPr>
          <w:rFonts w:ascii="Arial" w:hAnsi="Arial" w:cs="Arial"/>
          <w:color w:val="000000" w:themeColor="text1"/>
          <w:sz w:val="16"/>
          <w:szCs w:val="16"/>
        </w:rPr>
        <w:t xml:space="preserve"> En cuanto sean compatibles con la finalidad y los principios de esta ley, las normas que rigen los procedimientos y actuaciones en la función </w:t>
      </w:r>
      <w:proofErr w:type="gramStart"/>
      <w:r w:rsidRPr="00D15703">
        <w:rPr>
          <w:rFonts w:ascii="Arial" w:hAnsi="Arial" w:cs="Arial"/>
          <w:color w:val="000000" w:themeColor="text1"/>
          <w:sz w:val="16"/>
          <w:szCs w:val="16"/>
        </w:rPr>
        <w:t>administrativa,</w:t>
      </w:r>
      <w:proofErr w:type="gramEnd"/>
      <w:r w:rsidRPr="00D15703">
        <w:rPr>
          <w:rFonts w:ascii="Arial" w:hAnsi="Arial" w:cs="Arial"/>
          <w:color w:val="000000" w:themeColor="text1"/>
          <w:sz w:val="16"/>
          <w:szCs w:val="16"/>
        </w:rPr>
        <w:t xml:space="preserve"> serán aplicables en las actuaciones contractuales. A falta de estas, regirán las disposiciones del Código de Procedimiento Civil» […]». </w:t>
      </w:r>
    </w:p>
  </w:footnote>
  <w:footnote w:id="13">
    <w:p w14:paraId="731D204F" w14:textId="77777777" w:rsidR="009C57C2" w:rsidRPr="00D15703" w:rsidRDefault="009C57C2" w:rsidP="00D15703">
      <w:pPr>
        <w:pStyle w:val="NormalWeb"/>
        <w:spacing w:after="0"/>
        <w:ind w:firstLine="709"/>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Ley 80 de 1993 «</w:t>
      </w:r>
      <w:r w:rsidRPr="00D15703">
        <w:rPr>
          <w:rStyle w:val="Textoennegrita"/>
          <w:rFonts w:ascii="Arial" w:hAnsi="Arial" w:cs="Arial"/>
          <w:color w:val="000000" w:themeColor="text1"/>
          <w:sz w:val="16"/>
          <w:szCs w:val="16"/>
        </w:rPr>
        <w:t>Artículo 25. Del principio de economía.</w:t>
      </w:r>
      <w:r w:rsidRPr="00D15703">
        <w:rPr>
          <w:rFonts w:ascii="Arial" w:hAnsi="Arial" w:cs="Arial"/>
          <w:color w:val="000000" w:themeColor="text1"/>
          <w:sz w:val="16"/>
          <w:szCs w:val="16"/>
        </w:rPr>
        <w:t> En virtud de este principio: </w:t>
      </w:r>
    </w:p>
    <w:p w14:paraId="3F6D59AE" w14:textId="77777777" w:rsidR="009C57C2" w:rsidRPr="00D15703" w:rsidRDefault="009C57C2" w:rsidP="00D15703">
      <w:pPr>
        <w:pStyle w:val="NormalWeb"/>
        <w:spacing w:after="0"/>
        <w:ind w:firstLine="709"/>
        <w:jc w:val="both"/>
        <w:rPr>
          <w:rFonts w:ascii="Arial" w:hAnsi="Arial" w:cs="Arial"/>
          <w:color w:val="000000" w:themeColor="text1"/>
          <w:sz w:val="16"/>
          <w:szCs w:val="16"/>
        </w:rPr>
      </w:pPr>
      <w:r w:rsidRPr="00D15703">
        <w:rPr>
          <w:rFonts w:ascii="Arial" w:hAnsi="Arial" w:cs="Arial"/>
          <w:color w:val="000000" w:themeColor="text1"/>
          <w:sz w:val="16"/>
          <w:szCs w:val="16"/>
        </w:rPr>
        <w:t>[…]</w:t>
      </w:r>
    </w:p>
    <w:p w14:paraId="6116401A" w14:textId="77777777" w:rsidR="009C57C2" w:rsidRPr="00D15703" w:rsidRDefault="009C57C2" w:rsidP="00D15703">
      <w:pPr>
        <w:pStyle w:val="NormalWeb"/>
        <w:spacing w:after="0"/>
        <w:ind w:firstLine="709"/>
        <w:jc w:val="both"/>
        <w:rPr>
          <w:rFonts w:ascii="Arial" w:hAnsi="Arial" w:cs="Arial"/>
          <w:color w:val="000000" w:themeColor="text1"/>
          <w:sz w:val="16"/>
          <w:szCs w:val="16"/>
        </w:rPr>
      </w:pPr>
      <w:r w:rsidRPr="00D15703">
        <w:rPr>
          <w:rFonts w:ascii="Arial" w:hAnsi="Arial" w:cs="Arial"/>
          <w:color w:val="000000" w:themeColor="text1"/>
          <w:sz w:val="16"/>
          <w:szCs w:val="16"/>
        </w:rPr>
        <w:t>»4o. Los trámites se adelantarán con austeridad de tiempo, medios y gastos y se impedirán las dilaciones y los retardos en la ejecución del contrato. </w:t>
      </w:r>
    </w:p>
    <w:p w14:paraId="2DA601C2" w14:textId="77777777" w:rsidR="009C57C2" w:rsidRPr="00D15703" w:rsidRDefault="009C57C2" w:rsidP="00D15703">
      <w:pPr>
        <w:pStyle w:val="NormalWeb"/>
        <w:spacing w:after="0"/>
        <w:jc w:val="both"/>
        <w:rPr>
          <w:rFonts w:ascii="Arial" w:hAnsi="Arial" w:cs="Arial"/>
          <w:color w:val="000000" w:themeColor="text1"/>
          <w:sz w:val="16"/>
          <w:szCs w:val="16"/>
        </w:rPr>
      </w:pPr>
      <w:r w:rsidRPr="00D15703">
        <w:rPr>
          <w:rFonts w:ascii="Arial" w:hAnsi="Arial" w:cs="Arial"/>
          <w:color w:val="000000" w:themeColor="text1"/>
          <w:sz w:val="16"/>
          <w:szCs w:val="16"/>
        </w:rPr>
        <w:t>  </w:t>
      </w:r>
      <w:r w:rsidRPr="00D15703">
        <w:rPr>
          <w:rFonts w:ascii="Arial" w:hAnsi="Arial" w:cs="Arial"/>
          <w:color w:val="000000" w:themeColor="text1"/>
          <w:sz w:val="16"/>
          <w:szCs w:val="16"/>
        </w:rPr>
        <w:tab/>
        <w:t>»5o. Se adoptarán procedimientos que garanticen la pronta solución de las diferencias y controversias que con motivo de la celebración y ejecución del contrato se presenten […]».</w:t>
      </w:r>
    </w:p>
  </w:footnote>
  <w:footnote w:id="14">
    <w:p w14:paraId="549E40EC" w14:textId="77777777" w:rsidR="009C57C2" w:rsidRPr="00D15703" w:rsidRDefault="009C57C2" w:rsidP="00D15703">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COLOMBIA COMPRA EFICIENTE. Guía para la Liquidación de los Procesos de Contratación. página 5, disponible en: </w:t>
      </w:r>
      <w:hyperlink r:id="rId2" w:history="1">
        <w:r w:rsidRPr="00D15703">
          <w:rPr>
            <w:rStyle w:val="Hipervnculo"/>
            <w:rFonts w:ascii="Arial" w:hAnsi="Arial" w:cs="Arial"/>
            <w:color w:val="000000" w:themeColor="text1"/>
            <w:sz w:val="16"/>
            <w:szCs w:val="16"/>
          </w:rPr>
          <w:t>https://www.colombiacompra.gov.co/sites/cce_public/files/cce_documents/cce_guia_liquidacion_procesos.pdf</w:t>
        </w:r>
      </w:hyperlink>
      <w:r w:rsidRPr="00D15703">
        <w:rPr>
          <w:rFonts w:ascii="Arial" w:hAnsi="Arial" w:cs="Arial"/>
          <w:color w:val="000000" w:themeColor="text1"/>
          <w:sz w:val="16"/>
          <w:szCs w:val="16"/>
        </w:rPr>
        <w:t xml:space="preserve"> </w:t>
      </w:r>
    </w:p>
  </w:footnote>
  <w:footnote w:id="15">
    <w:p w14:paraId="562D8895" w14:textId="77777777" w:rsidR="009C57C2" w:rsidRPr="00D15703" w:rsidRDefault="009C57C2" w:rsidP="00D15703">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6">
    <w:p w14:paraId="2BDD96B8" w14:textId="77777777" w:rsidR="009C57C2" w:rsidRDefault="009C57C2" w:rsidP="00FC7D26">
      <w:pPr>
        <w:pStyle w:val="Textonotapie"/>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CONSEJO DE ESTADO. Sala de Consulta y Servicio Civil. Concepto de 28 de </w:t>
      </w:r>
      <w:proofErr w:type="gramStart"/>
      <w:r w:rsidRPr="00D15703">
        <w:rPr>
          <w:rFonts w:ascii="Arial" w:hAnsi="Arial" w:cs="Arial"/>
          <w:color w:val="000000" w:themeColor="text1"/>
          <w:sz w:val="16"/>
          <w:szCs w:val="16"/>
        </w:rPr>
        <w:t>Junio</w:t>
      </w:r>
      <w:proofErr w:type="gramEnd"/>
      <w:r w:rsidRPr="00D15703">
        <w:rPr>
          <w:rFonts w:ascii="Arial" w:hAnsi="Arial" w:cs="Arial"/>
          <w:color w:val="000000" w:themeColor="text1"/>
          <w:sz w:val="16"/>
          <w:szCs w:val="16"/>
        </w:rPr>
        <w:t xml:space="preserve"> de 2016. Radicación: 2253. C.P. Álvaro </w:t>
      </w:r>
      <w:proofErr w:type="spellStart"/>
      <w:r w:rsidRPr="00D15703">
        <w:rPr>
          <w:rFonts w:ascii="Arial" w:hAnsi="Arial" w:cs="Arial"/>
          <w:color w:val="000000" w:themeColor="text1"/>
          <w:sz w:val="16"/>
          <w:szCs w:val="16"/>
        </w:rPr>
        <w:t>Namén</w:t>
      </w:r>
      <w:proofErr w:type="spellEnd"/>
      <w:r w:rsidRPr="00D15703">
        <w:rPr>
          <w:rFonts w:ascii="Arial" w:hAnsi="Arial" w:cs="Arial"/>
          <w:color w:val="000000" w:themeColor="text1"/>
          <w:sz w:val="16"/>
          <w:szCs w:val="16"/>
        </w:rPr>
        <w:t xml:space="preserve"> Vargas. </w:t>
      </w:r>
    </w:p>
    <w:p w14:paraId="37A13696" w14:textId="77777777" w:rsidR="00071F97" w:rsidRPr="00D15703" w:rsidRDefault="00071F97" w:rsidP="00D15703">
      <w:pPr>
        <w:pStyle w:val="Textonotapie"/>
        <w:ind w:firstLine="708"/>
        <w:jc w:val="both"/>
        <w:rPr>
          <w:rFonts w:ascii="Arial" w:hAnsi="Arial" w:cs="Arial"/>
          <w:color w:val="000000" w:themeColor="text1"/>
          <w:sz w:val="16"/>
          <w:szCs w:val="16"/>
        </w:rPr>
      </w:pPr>
    </w:p>
  </w:footnote>
  <w:footnote w:id="17">
    <w:p w14:paraId="6EEBDB78" w14:textId="77777777" w:rsidR="009C57C2" w:rsidRPr="00D15703" w:rsidRDefault="009C57C2" w:rsidP="00D15703">
      <w:pPr>
        <w:pStyle w:val="Textonotapie"/>
        <w:ind w:firstLine="708"/>
        <w:jc w:val="both"/>
        <w:rPr>
          <w:rFonts w:ascii="Arial" w:hAnsi="Arial" w:cs="Arial"/>
          <w:color w:val="000000" w:themeColor="text1"/>
          <w:sz w:val="16"/>
          <w:szCs w:val="16"/>
          <w:lang w:val="es-ES"/>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CONSEJO DE ESTADO. Sección Tercera. </w:t>
      </w:r>
      <w:r w:rsidRPr="00D15703">
        <w:rPr>
          <w:rFonts w:ascii="Arial" w:hAnsi="Arial" w:cs="Arial"/>
          <w:color w:val="000000" w:themeColor="text1"/>
          <w:sz w:val="16"/>
          <w:szCs w:val="16"/>
          <w:lang w:val="es-CO"/>
        </w:rPr>
        <w:t xml:space="preserve">Sala Plena. Auto del 1 de agosto de 2019. </w:t>
      </w:r>
      <w:proofErr w:type="spellStart"/>
      <w:r w:rsidRPr="00D15703">
        <w:rPr>
          <w:rFonts w:ascii="Arial" w:hAnsi="Arial" w:cs="Arial"/>
          <w:color w:val="000000" w:themeColor="text1"/>
          <w:sz w:val="16"/>
          <w:szCs w:val="16"/>
        </w:rPr>
        <w:t>Exp</w:t>
      </w:r>
      <w:proofErr w:type="spellEnd"/>
      <w:r w:rsidRPr="00D15703">
        <w:rPr>
          <w:rFonts w:ascii="Arial" w:hAnsi="Arial" w:cs="Arial"/>
          <w:color w:val="000000" w:themeColor="text1"/>
          <w:sz w:val="16"/>
          <w:szCs w:val="16"/>
        </w:rPr>
        <w:t xml:space="preserve">. 62009. C.P. Jaime Enrique Rodríguez Navas. </w:t>
      </w:r>
      <w:r w:rsidRPr="00D15703">
        <w:rPr>
          <w:rFonts w:ascii="Arial" w:hAnsi="Arial" w:cs="Arial"/>
          <w:color w:val="000000" w:themeColor="text1"/>
          <w:sz w:val="16"/>
          <w:szCs w:val="16"/>
          <w:lang w:val="es-ES"/>
        </w:rPr>
        <w:t xml:space="preserve"> </w:t>
      </w:r>
    </w:p>
  </w:footnote>
  <w:footnote w:id="18">
    <w:p w14:paraId="694F877F" w14:textId="77777777" w:rsidR="009C57C2" w:rsidRPr="00D15703" w:rsidRDefault="009C57C2" w:rsidP="00D15703">
      <w:pPr>
        <w:pStyle w:val="Textonotapie"/>
        <w:ind w:firstLine="851"/>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Consejo de Estado, Sección Tercera, Sentencia de 3 de octubre de 2012, </w:t>
      </w:r>
      <w:proofErr w:type="spellStart"/>
      <w:r w:rsidRPr="00D15703">
        <w:rPr>
          <w:rFonts w:ascii="Arial" w:hAnsi="Arial" w:cs="Arial"/>
          <w:sz w:val="16"/>
          <w:szCs w:val="16"/>
        </w:rPr>
        <w:t>Exp</w:t>
      </w:r>
      <w:proofErr w:type="spellEnd"/>
      <w:r w:rsidRPr="00D15703">
        <w:rPr>
          <w:rFonts w:ascii="Arial" w:hAnsi="Arial" w:cs="Arial"/>
          <w:sz w:val="16"/>
          <w:szCs w:val="16"/>
        </w:rPr>
        <w:t xml:space="preserve">. </w:t>
      </w:r>
      <w:proofErr w:type="spellStart"/>
      <w:r w:rsidRPr="00D15703">
        <w:rPr>
          <w:rFonts w:ascii="Arial" w:hAnsi="Arial" w:cs="Arial"/>
          <w:sz w:val="16"/>
          <w:szCs w:val="16"/>
        </w:rPr>
        <w:t>n.°</w:t>
      </w:r>
      <w:proofErr w:type="spellEnd"/>
      <w:r w:rsidRPr="00D15703">
        <w:rPr>
          <w:rFonts w:ascii="Arial" w:hAnsi="Arial" w:cs="Arial"/>
          <w:sz w:val="16"/>
          <w:szCs w:val="16"/>
        </w:rPr>
        <w:t xml:space="preserve"> 23.400</w:t>
      </w:r>
    </w:p>
  </w:footnote>
  <w:footnote w:id="19">
    <w:p w14:paraId="2B0E0B8C" w14:textId="77777777" w:rsidR="009C57C2" w:rsidRPr="00D15703" w:rsidRDefault="009C57C2" w:rsidP="00FC7D26">
      <w:pPr>
        <w:pStyle w:val="centrado"/>
        <w:spacing w:before="0" w:beforeAutospacing="0" w:after="0" w:afterAutospacing="0"/>
        <w:ind w:firstLine="851"/>
        <w:jc w:val="both"/>
        <w:rPr>
          <w:rFonts w:ascii="Arial" w:eastAsiaTheme="minorHAnsi" w:hAnsi="Arial" w:cs="Arial"/>
          <w:sz w:val="16"/>
          <w:szCs w:val="16"/>
          <w:lang w:val="es-MX"/>
        </w:rPr>
      </w:pPr>
      <w:r w:rsidRPr="00D15703">
        <w:rPr>
          <w:rStyle w:val="Refdenotaalpie"/>
          <w:rFonts w:ascii="Arial" w:hAnsi="Arial" w:cs="Arial"/>
          <w:sz w:val="16"/>
          <w:szCs w:val="16"/>
        </w:rPr>
        <w:footnoteRef/>
      </w:r>
      <w:r w:rsidRPr="00D15703">
        <w:rPr>
          <w:rFonts w:ascii="Arial" w:hAnsi="Arial" w:cs="Arial"/>
          <w:sz w:val="16"/>
          <w:szCs w:val="16"/>
          <w:lang w:val="es-ES"/>
        </w:rPr>
        <w:t xml:space="preserve"> Sentencia del </w:t>
      </w:r>
      <w:r w:rsidRPr="00D15703">
        <w:rPr>
          <w:rFonts w:ascii="Arial" w:eastAsiaTheme="minorHAnsi" w:hAnsi="Arial" w:cs="Arial"/>
          <w:sz w:val="16"/>
          <w:szCs w:val="16"/>
          <w:lang w:val="es-MX"/>
        </w:rPr>
        <w:t>dieciocho (18) de noviembre de 2021 - SALA DE LO CONTENCIOSO ADMINISTRATIVO - SECCIÓN TERCERA – SUBSECCIÓN B - Magistrado ponente: Fredy Ibarra Martínez- Expediente: 25000232600020070000301 (51.508)</w:t>
      </w:r>
    </w:p>
    <w:p w14:paraId="54DDCFBA" w14:textId="77777777" w:rsidR="009C57C2" w:rsidRPr="00D15703" w:rsidRDefault="009C57C2" w:rsidP="00D15703">
      <w:pPr>
        <w:pStyle w:val="Textonotapie"/>
        <w:jc w:val="both"/>
        <w:rPr>
          <w:rFonts w:ascii="Arial" w:hAnsi="Arial" w:cs="Arial"/>
          <w:sz w:val="16"/>
          <w:szCs w:val="16"/>
          <w:lang w:val="es-ES"/>
        </w:rPr>
      </w:pPr>
    </w:p>
  </w:footnote>
  <w:footnote w:id="20">
    <w:p w14:paraId="5C76F28D" w14:textId="77777777" w:rsidR="009C57C2" w:rsidRPr="00D15703" w:rsidRDefault="009C57C2" w:rsidP="00D15703">
      <w:pPr>
        <w:pStyle w:val="Textonotapie"/>
        <w:ind w:firstLine="851"/>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Consejo de Estado, Sentencia con radicado No. 4303 del 13 de mayo de 1988, citada en la sentencia con radicado No. 17001-23-31-000-1997-08021-01(23519) del 30 de enero de 2013, Sección Tercera, Subsección C, </w:t>
      </w:r>
      <w:proofErr w:type="gramStart"/>
      <w:r w:rsidRPr="00D15703">
        <w:rPr>
          <w:rFonts w:ascii="Arial" w:hAnsi="Arial" w:cs="Arial"/>
          <w:sz w:val="16"/>
          <w:szCs w:val="16"/>
        </w:rPr>
        <w:t>Consejero</w:t>
      </w:r>
      <w:proofErr w:type="gramEnd"/>
      <w:r w:rsidRPr="00D15703">
        <w:rPr>
          <w:rFonts w:ascii="Arial" w:hAnsi="Arial" w:cs="Arial"/>
          <w:sz w:val="16"/>
          <w:szCs w:val="16"/>
        </w:rPr>
        <w:t xml:space="preserve"> Ponente: Enrique Gil Botero.</w:t>
      </w:r>
    </w:p>
  </w:footnote>
  <w:footnote w:id="21">
    <w:p w14:paraId="5A43FF36" w14:textId="0DAAEC10" w:rsidR="009C57C2" w:rsidRDefault="009C57C2" w:rsidP="00FC7D26">
      <w:pPr>
        <w:pStyle w:val="Textonotapie"/>
        <w:tabs>
          <w:tab w:val="left" w:pos="851"/>
        </w:tabs>
        <w:ind w:firstLine="851"/>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w:t>
      </w:r>
      <w:r w:rsidR="00C66830" w:rsidRPr="00C66830">
        <w:rPr>
          <w:rFonts w:ascii="Arial" w:hAnsi="Arial" w:cs="Arial"/>
          <w:sz w:val="16"/>
          <w:szCs w:val="16"/>
        </w:rPr>
        <w:t>CONSEJO DE ESTADO</w:t>
      </w:r>
      <w:r w:rsidRPr="00D15703">
        <w:rPr>
          <w:rFonts w:ascii="Arial" w:hAnsi="Arial" w:cs="Arial"/>
          <w:sz w:val="16"/>
          <w:szCs w:val="16"/>
        </w:rPr>
        <w:t xml:space="preserve">, Sección Tercera, Sentencia del 20 de octubre de 2014, </w:t>
      </w:r>
      <w:proofErr w:type="spellStart"/>
      <w:r w:rsidRPr="00D15703">
        <w:rPr>
          <w:rFonts w:ascii="Arial" w:hAnsi="Arial" w:cs="Arial"/>
          <w:sz w:val="16"/>
          <w:szCs w:val="16"/>
        </w:rPr>
        <w:t>Exp</w:t>
      </w:r>
      <w:proofErr w:type="spellEnd"/>
      <w:r w:rsidRPr="00D15703">
        <w:rPr>
          <w:rFonts w:ascii="Arial" w:hAnsi="Arial" w:cs="Arial"/>
          <w:sz w:val="16"/>
          <w:szCs w:val="16"/>
        </w:rPr>
        <w:t xml:space="preserve">. </w:t>
      </w:r>
      <w:r w:rsidR="00C66830">
        <w:rPr>
          <w:rFonts w:ascii="Arial" w:hAnsi="Arial" w:cs="Arial"/>
          <w:sz w:val="16"/>
          <w:szCs w:val="16"/>
        </w:rPr>
        <w:t>No.</w:t>
      </w:r>
      <w:r w:rsidRPr="00D15703">
        <w:rPr>
          <w:rFonts w:ascii="Arial" w:hAnsi="Arial" w:cs="Arial"/>
          <w:sz w:val="16"/>
          <w:szCs w:val="16"/>
        </w:rPr>
        <w:t xml:space="preserve"> 27.777</w:t>
      </w:r>
    </w:p>
    <w:p w14:paraId="5A122AE1" w14:textId="77777777" w:rsidR="00C66830" w:rsidRPr="00D15703" w:rsidRDefault="00C66830" w:rsidP="00D15703">
      <w:pPr>
        <w:pStyle w:val="Textonotapie"/>
        <w:tabs>
          <w:tab w:val="left" w:pos="851"/>
        </w:tabs>
        <w:ind w:firstLine="851"/>
        <w:jc w:val="both"/>
        <w:rPr>
          <w:rFonts w:ascii="Arial" w:hAnsi="Arial" w:cs="Arial"/>
          <w:sz w:val="16"/>
          <w:szCs w:val="16"/>
        </w:rPr>
      </w:pPr>
    </w:p>
  </w:footnote>
  <w:footnote w:id="22">
    <w:p w14:paraId="7DA29B59" w14:textId="77777777" w:rsidR="009C57C2" w:rsidRPr="00D15703" w:rsidRDefault="009C57C2" w:rsidP="00D15703">
      <w:pPr>
        <w:pStyle w:val="Textonotapie"/>
        <w:ind w:firstLine="851"/>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En efecto mientras la liquidación bilateral se materializa en un acta suscrita por ambas partes y configura un negocio jurídico y puede ser demandada, en orden a lograr la prosperidad de las pretensiones, únicamente en aquellos aspectos puntuales que fueron materia de salvedades, o por motivos de nulidad absoluta o relativa o por hechos posteriores o no conocidos, cuando la liquidación se hace en forma unilateral, el contratista solo queda facultado para impugnar el acto administrativo correspondiente y reclamar por cualquier inconformidad que tenga con ocasión de la ejecución del contrato.</w:t>
      </w:r>
    </w:p>
  </w:footnote>
  <w:footnote w:id="23">
    <w:p w14:paraId="622E9247" w14:textId="77777777" w:rsidR="009C57C2" w:rsidRDefault="009C57C2" w:rsidP="00FC7D26">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EXPÓSITO VÉLEZ, Juan Carlos. Forma y contenido del contrato estatal, Bogotá: Universidad Externado de Colombia, 2013, p. 190. </w:t>
      </w:r>
    </w:p>
    <w:p w14:paraId="52102F5E" w14:textId="77777777" w:rsidR="00C66830" w:rsidRPr="00D15703" w:rsidRDefault="00C66830" w:rsidP="00D15703">
      <w:pPr>
        <w:pStyle w:val="Textonotapie"/>
        <w:ind w:firstLine="708"/>
        <w:jc w:val="both"/>
        <w:rPr>
          <w:rFonts w:ascii="Arial" w:hAnsi="Arial" w:cs="Arial"/>
          <w:sz w:val="16"/>
          <w:szCs w:val="16"/>
        </w:rPr>
      </w:pPr>
    </w:p>
  </w:footnote>
  <w:footnote w:id="24">
    <w:p w14:paraId="2FAE8BD4" w14:textId="77777777" w:rsidR="009C57C2" w:rsidRPr="00D15703" w:rsidRDefault="009C57C2" w:rsidP="00D15703">
      <w:pPr>
        <w:spacing w:after="0"/>
        <w:ind w:firstLine="708"/>
        <w:jc w:val="both"/>
        <w:rPr>
          <w:rFonts w:ascii="Arial" w:hAnsi="Arial" w:cs="Arial"/>
          <w:color w:val="000000" w:themeColor="text1"/>
          <w:sz w:val="16"/>
          <w:szCs w:val="16"/>
        </w:rPr>
      </w:pPr>
      <w:r w:rsidRPr="00D15703">
        <w:rPr>
          <w:rStyle w:val="Refdenotaalpie"/>
          <w:rFonts w:ascii="Arial" w:hAnsi="Arial" w:cs="Arial"/>
          <w:color w:val="000000" w:themeColor="text1"/>
          <w:sz w:val="16"/>
          <w:szCs w:val="16"/>
        </w:rPr>
        <w:footnoteRef/>
      </w:r>
      <w:r w:rsidRPr="00D15703">
        <w:rPr>
          <w:rFonts w:ascii="Arial" w:hAnsi="Arial" w:cs="Arial"/>
          <w:color w:val="000000" w:themeColor="text1"/>
          <w:sz w:val="16"/>
          <w:szCs w:val="16"/>
        </w:rPr>
        <w:t xml:space="preserve"> Diario Oficial No. 41.094 de 28 de octubre de 1993</w:t>
      </w:r>
    </w:p>
  </w:footnote>
  <w:footnote w:id="25">
    <w:p w14:paraId="56371C48" w14:textId="77777777" w:rsidR="009C57C2" w:rsidRPr="00D15703" w:rsidRDefault="009C57C2" w:rsidP="00D15703">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EXPÓSITO VÉLEZ, Juan Carlos. Forma y contenido del contrato estatal, Bogotá: Universidad Externado de Colombia, 2013, p. 202 y 203. </w:t>
      </w:r>
    </w:p>
  </w:footnote>
  <w:footnote w:id="26">
    <w:p w14:paraId="1B44CEF3" w14:textId="77777777" w:rsidR="009C57C2" w:rsidRPr="00D15703" w:rsidRDefault="009C57C2" w:rsidP="00D15703">
      <w:pPr>
        <w:pStyle w:val="Textonotapie"/>
        <w:ind w:firstLine="708"/>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w:t>
      </w:r>
      <w:r w:rsidRPr="00D15703">
        <w:rPr>
          <w:rFonts w:ascii="Arial" w:hAnsi="Arial" w:cs="Arial"/>
          <w:sz w:val="16"/>
          <w:szCs w:val="16"/>
          <w:lang w:val="es-ES"/>
        </w:rPr>
        <w:t xml:space="preserve">CONSEJO DE ESTADO. Sección Tercera. Subsección A. Sentencia de 9 de mayo de 2012. </w:t>
      </w:r>
      <w:proofErr w:type="spellStart"/>
      <w:r w:rsidRPr="00D15703">
        <w:rPr>
          <w:rFonts w:ascii="Arial" w:hAnsi="Arial" w:cs="Arial"/>
          <w:sz w:val="16"/>
          <w:szCs w:val="16"/>
          <w:lang w:val="es-ES"/>
        </w:rPr>
        <w:t>Exp</w:t>
      </w:r>
      <w:proofErr w:type="spellEnd"/>
      <w:r w:rsidRPr="00D15703">
        <w:rPr>
          <w:rFonts w:ascii="Arial" w:hAnsi="Arial" w:cs="Arial"/>
          <w:sz w:val="16"/>
          <w:szCs w:val="16"/>
          <w:lang w:val="es-ES"/>
        </w:rPr>
        <w:t>. 20.968. C.P. Mauricio Fajardo Gómez.</w:t>
      </w:r>
    </w:p>
  </w:footnote>
  <w:footnote w:id="27">
    <w:p w14:paraId="39C3FD1F" w14:textId="77777777" w:rsidR="009C57C2" w:rsidRPr="00D15703" w:rsidRDefault="009C57C2" w:rsidP="00D15703">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Artículo 41 de la Ley 80 de 1993. Del perfeccionamiento del contrato estatal: «[…]</w:t>
      </w:r>
    </w:p>
    <w:p w14:paraId="2ED2549F" w14:textId="77777777" w:rsidR="009C57C2" w:rsidRPr="00D15703" w:rsidRDefault="009C57C2" w:rsidP="00D15703">
      <w:pPr>
        <w:pStyle w:val="Textonotapie"/>
        <w:ind w:firstLine="708"/>
        <w:jc w:val="both"/>
        <w:rPr>
          <w:rFonts w:ascii="Arial" w:hAnsi="Arial" w:cs="Arial"/>
          <w:sz w:val="16"/>
          <w:szCs w:val="16"/>
        </w:rPr>
      </w:pPr>
      <w:r w:rsidRPr="00D15703">
        <w:rPr>
          <w:rFonts w:ascii="Arial" w:hAnsi="Arial" w:cs="Arial"/>
          <w:sz w:val="16"/>
          <w:szCs w:val="16"/>
        </w:rPr>
        <w:t xml:space="preserve">Los contratos estatales son intuito </w:t>
      </w:r>
      <w:proofErr w:type="spellStart"/>
      <w:r w:rsidRPr="00D15703">
        <w:rPr>
          <w:rFonts w:ascii="Arial" w:hAnsi="Arial" w:cs="Arial"/>
          <w:sz w:val="16"/>
          <w:szCs w:val="16"/>
        </w:rPr>
        <w:t>personae</w:t>
      </w:r>
      <w:proofErr w:type="spellEnd"/>
      <w:r w:rsidRPr="00D15703">
        <w:rPr>
          <w:rFonts w:ascii="Arial" w:hAnsi="Arial" w:cs="Arial"/>
          <w:sz w:val="16"/>
          <w:szCs w:val="16"/>
        </w:rPr>
        <w:t xml:space="preserve"> y, en consecuencia, una vez celebrados no podrán cederse sin previa autorización escrita de la entidad contratante. […]».</w:t>
      </w:r>
    </w:p>
  </w:footnote>
  <w:footnote w:id="28">
    <w:p w14:paraId="560520BE" w14:textId="77777777" w:rsidR="009C57C2" w:rsidRPr="00D15703" w:rsidRDefault="009C57C2" w:rsidP="00D15703">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1DC5EFB8" w14:textId="77777777" w:rsidR="009C57C2" w:rsidRPr="00D15703" w:rsidRDefault="009C57C2" w:rsidP="00D15703">
      <w:pPr>
        <w:pStyle w:val="Textonotapie"/>
        <w:ind w:firstLine="708"/>
        <w:jc w:val="both"/>
        <w:rPr>
          <w:rFonts w:ascii="Arial" w:hAnsi="Arial" w:cs="Arial"/>
          <w:sz w:val="16"/>
          <w:szCs w:val="16"/>
        </w:rPr>
      </w:pPr>
      <w:proofErr w:type="gramStart"/>
      <w:r w:rsidRPr="00D15703">
        <w:rPr>
          <w:rFonts w:ascii="Arial" w:hAnsi="Arial" w:cs="Arial"/>
          <w:sz w:val="16"/>
          <w:szCs w:val="16"/>
        </w:rPr>
        <w:t>»Respecto</w:t>
      </w:r>
      <w:proofErr w:type="gramEnd"/>
      <w:r w:rsidRPr="00D15703">
        <w:rPr>
          <w:rFonts w:ascii="Arial" w:hAnsi="Arial" w:cs="Arial"/>
          <w:sz w:val="16"/>
          <w:szCs w:val="16"/>
        </w:rPr>
        <w:t xml:space="preserve"> de la incapacidad física permanente del contratista, la misma se constituye en una causal de terminación unilateral del contrato por las mismas razones determinadas para la muerte del colaborador de la administración. </w:t>
      </w:r>
    </w:p>
    <w:p w14:paraId="4D8A1F63" w14:textId="77777777" w:rsidR="009C57C2" w:rsidRDefault="009C57C2" w:rsidP="00FC7D26">
      <w:pPr>
        <w:pStyle w:val="Textonotapie"/>
        <w:ind w:firstLine="708"/>
        <w:jc w:val="both"/>
        <w:rPr>
          <w:rFonts w:ascii="Arial" w:hAnsi="Arial" w:cs="Arial"/>
          <w:sz w:val="16"/>
          <w:szCs w:val="16"/>
        </w:rPr>
      </w:pPr>
      <w:proofErr w:type="gramStart"/>
      <w:r w:rsidRPr="00D15703">
        <w:rPr>
          <w:rFonts w:ascii="Arial" w:hAnsi="Arial" w:cs="Arial"/>
          <w:sz w:val="16"/>
          <w:szCs w:val="16"/>
        </w:rPr>
        <w:t>»[</w:t>
      </w:r>
      <w:proofErr w:type="gramEnd"/>
      <w:r w:rsidRPr="00D15703">
        <w:rPr>
          <w:rFonts w:ascii="Arial" w:hAnsi="Arial" w:cs="Arial"/>
          <w:sz w:val="16"/>
          <w:szCs w:val="16"/>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p w14:paraId="1AF4CA53" w14:textId="77777777" w:rsidR="00D40A30" w:rsidRPr="00D15703" w:rsidRDefault="00D40A30" w:rsidP="00D15703">
      <w:pPr>
        <w:pStyle w:val="Textonotapie"/>
        <w:ind w:firstLine="708"/>
        <w:jc w:val="both"/>
        <w:rPr>
          <w:rFonts w:ascii="Arial" w:hAnsi="Arial" w:cs="Arial"/>
          <w:sz w:val="16"/>
          <w:szCs w:val="16"/>
        </w:rPr>
      </w:pPr>
    </w:p>
  </w:footnote>
  <w:footnote w:id="29">
    <w:p w14:paraId="46E305FC" w14:textId="77777777" w:rsidR="009C57C2" w:rsidRPr="00D15703" w:rsidRDefault="009C57C2" w:rsidP="00D15703">
      <w:pPr>
        <w:pStyle w:val="Textonotapie"/>
        <w:ind w:firstLine="708"/>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w:t>
      </w:r>
      <w:r w:rsidRPr="00D15703">
        <w:rPr>
          <w:rFonts w:ascii="Arial" w:hAnsi="Arial" w:cs="Arial"/>
          <w:sz w:val="16"/>
          <w:szCs w:val="16"/>
          <w:lang w:val="es-ES"/>
        </w:rPr>
        <w:t xml:space="preserve">Artículo 1008 del Código Civil. </w:t>
      </w:r>
    </w:p>
  </w:footnote>
  <w:footnote w:id="30">
    <w:p w14:paraId="433B2235" w14:textId="77777777" w:rsidR="00D40A30" w:rsidRDefault="00D40A30" w:rsidP="00FC7D26">
      <w:pPr>
        <w:pStyle w:val="Textonotapie"/>
        <w:ind w:firstLine="708"/>
        <w:jc w:val="both"/>
        <w:rPr>
          <w:rFonts w:ascii="Arial" w:hAnsi="Arial" w:cs="Arial"/>
          <w:sz w:val="16"/>
          <w:szCs w:val="16"/>
        </w:rPr>
      </w:pPr>
    </w:p>
    <w:p w14:paraId="0E697967" w14:textId="712EE1B9" w:rsidR="009C57C2" w:rsidRPr="00D15703" w:rsidRDefault="009C57C2" w:rsidP="00D15703">
      <w:pPr>
        <w:pStyle w:val="Textonotapie"/>
        <w:ind w:firstLine="708"/>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w:t>
      </w:r>
      <w:r w:rsidR="007343BC" w:rsidRPr="007343BC">
        <w:rPr>
          <w:rFonts w:ascii="Arial" w:hAnsi="Arial" w:cs="Arial"/>
          <w:sz w:val="16"/>
          <w:szCs w:val="16"/>
          <w:lang w:val="es-ES"/>
        </w:rPr>
        <w:t>CONSEJO DE ESTADO</w:t>
      </w:r>
      <w:r w:rsidRPr="00D15703">
        <w:rPr>
          <w:rFonts w:ascii="Arial" w:hAnsi="Arial" w:cs="Arial"/>
          <w:sz w:val="16"/>
          <w:szCs w:val="16"/>
          <w:lang w:val="es-ES"/>
        </w:rPr>
        <w:t xml:space="preserve">. Sección Tercera. Subsección B. Sentencia de 8 de mayo de 2019. </w:t>
      </w:r>
      <w:proofErr w:type="spellStart"/>
      <w:r w:rsidRPr="00D15703">
        <w:rPr>
          <w:rFonts w:ascii="Arial" w:hAnsi="Arial" w:cs="Arial"/>
          <w:sz w:val="16"/>
          <w:szCs w:val="16"/>
          <w:lang w:val="es-ES"/>
        </w:rPr>
        <w:t>Exp</w:t>
      </w:r>
      <w:proofErr w:type="spellEnd"/>
      <w:r w:rsidRPr="00D15703">
        <w:rPr>
          <w:rFonts w:ascii="Arial" w:hAnsi="Arial" w:cs="Arial"/>
          <w:sz w:val="16"/>
          <w:szCs w:val="16"/>
          <w:lang w:val="es-ES"/>
        </w:rPr>
        <w:t xml:space="preserve">: 56343. MP: Martin Bermúdez Muñoz. </w:t>
      </w:r>
    </w:p>
  </w:footnote>
  <w:footnote w:id="31">
    <w:p w14:paraId="7F632A9F" w14:textId="77777777" w:rsidR="009C57C2" w:rsidRDefault="009C57C2" w:rsidP="00FC7D26">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PINO RICCI, Jorge. El régimen jurídico de los contratos estatales. Primera edición, 2005, Universidad Externado de Colombia. pp. 354.  </w:t>
      </w:r>
    </w:p>
    <w:p w14:paraId="21CA007C" w14:textId="77777777" w:rsidR="007343BC" w:rsidRPr="00D15703" w:rsidRDefault="007343BC" w:rsidP="00D15703">
      <w:pPr>
        <w:pStyle w:val="Textonotapie"/>
        <w:ind w:firstLine="708"/>
        <w:jc w:val="both"/>
        <w:rPr>
          <w:rFonts w:ascii="Arial" w:hAnsi="Arial" w:cs="Arial"/>
          <w:sz w:val="16"/>
          <w:szCs w:val="16"/>
        </w:rPr>
      </w:pPr>
    </w:p>
  </w:footnote>
  <w:footnote w:id="32">
    <w:p w14:paraId="1A671D89" w14:textId="77777777" w:rsidR="009C57C2" w:rsidRPr="00D15703" w:rsidRDefault="009C57C2" w:rsidP="00D15703">
      <w:pPr>
        <w:pStyle w:val="Textonotapie"/>
        <w:ind w:firstLine="708"/>
        <w:jc w:val="both"/>
        <w:rPr>
          <w:rFonts w:ascii="Arial" w:hAnsi="Arial" w:cs="Arial"/>
          <w:sz w:val="16"/>
          <w:szCs w:val="16"/>
        </w:rPr>
      </w:pPr>
      <w:r w:rsidRPr="00D15703">
        <w:rPr>
          <w:rStyle w:val="Refdenotaalpie"/>
          <w:rFonts w:ascii="Arial" w:hAnsi="Arial" w:cs="Arial"/>
          <w:sz w:val="16"/>
          <w:szCs w:val="16"/>
        </w:rPr>
        <w:footnoteRef/>
      </w:r>
      <w:r w:rsidRPr="00D15703">
        <w:rPr>
          <w:rFonts w:ascii="Arial" w:hAnsi="Arial" w:cs="Arial"/>
          <w:sz w:val="16"/>
          <w:szCs w:val="16"/>
        </w:rPr>
        <w:t xml:space="preserve"> PALACIO HINCAPIÉ, Juan A. La contratación de entidades estatales. Octava edición. 2020. Librería Jurídica Sánchez. </w:t>
      </w:r>
      <w:proofErr w:type="spellStart"/>
      <w:r w:rsidRPr="00D15703">
        <w:rPr>
          <w:rFonts w:ascii="Arial" w:hAnsi="Arial" w:cs="Arial"/>
          <w:sz w:val="16"/>
          <w:szCs w:val="16"/>
        </w:rPr>
        <w:t>pp</w:t>
      </w:r>
      <w:proofErr w:type="spellEnd"/>
      <w:r w:rsidRPr="00D15703">
        <w:rPr>
          <w:rFonts w:ascii="Arial" w:hAnsi="Arial" w:cs="Arial"/>
          <w:sz w:val="16"/>
          <w:szCs w:val="16"/>
        </w:rPr>
        <w:t xml:space="preserve"> 565-566.</w:t>
      </w:r>
    </w:p>
  </w:footnote>
  <w:footnote w:id="33">
    <w:p w14:paraId="00E4C958" w14:textId="5CF04FD3" w:rsidR="009C57C2" w:rsidRPr="00D15703" w:rsidRDefault="009C57C2" w:rsidP="00D15703">
      <w:pPr>
        <w:pStyle w:val="Textonotapie"/>
        <w:ind w:firstLine="851"/>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w:t>
      </w:r>
      <w:r w:rsidR="006300A5" w:rsidRPr="009B3745">
        <w:rPr>
          <w:rFonts w:ascii="Arial" w:hAnsi="Arial" w:cs="Arial"/>
          <w:sz w:val="16"/>
          <w:szCs w:val="16"/>
        </w:rPr>
        <w:t>CORTE CONSTITUCIONAL</w:t>
      </w:r>
      <w:r w:rsidR="006300A5">
        <w:rPr>
          <w:rFonts w:ascii="Arial" w:hAnsi="Arial" w:cs="Arial"/>
          <w:sz w:val="16"/>
          <w:szCs w:val="16"/>
        </w:rPr>
        <w:t xml:space="preserve">. </w:t>
      </w:r>
      <w:r w:rsidRPr="00D15703">
        <w:rPr>
          <w:rFonts w:ascii="Arial" w:hAnsi="Arial" w:cs="Arial"/>
          <w:sz w:val="16"/>
          <w:szCs w:val="16"/>
        </w:rPr>
        <w:t>Sentencia C-083 de 1995</w:t>
      </w:r>
      <w:r w:rsidR="006300A5">
        <w:rPr>
          <w:rFonts w:ascii="Arial" w:hAnsi="Arial" w:cs="Arial"/>
          <w:sz w:val="16"/>
          <w:szCs w:val="16"/>
        </w:rPr>
        <w:t xml:space="preserve">. </w:t>
      </w:r>
      <w:r w:rsidRPr="00D15703">
        <w:rPr>
          <w:rFonts w:ascii="Arial" w:hAnsi="Arial" w:cs="Arial"/>
          <w:sz w:val="16"/>
          <w:szCs w:val="16"/>
        </w:rPr>
        <w:t>M.P. Carlos Gaviria Díaz</w:t>
      </w:r>
    </w:p>
  </w:footnote>
  <w:footnote w:id="34">
    <w:p w14:paraId="640CEDC3" w14:textId="42F9FD0B" w:rsidR="009C57C2" w:rsidRPr="00D15703" w:rsidRDefault="009C57C2" w:rsidP="00D15703">
      <w:pPr>
        <w:pStyle w:val="Textonotapie"/>
        <w:ind w:firstLine="851"/>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w:t>
      </w:r>
      <w:r w:rsidR="004D74E2">
        <w:rPr>
          <w:rFonts w:ascii="Arial" w:hAnsi="Arial" w:cs="Arial"/>
          <w:sz w:val="16"/>
          <w:szCs w:val="16"/>
        </w:rPr>
        <w:t>CONSEJO DE ESTADO.</w:t>
      </w:r>
      <w:r w:rsidRPr="00D15703">
        <w:rPr>
          <w:rFonts w:ascii="Arial" w:hAnsi="Arial" w:cs="Arial"/>
          <w:sz w:val="16"/>
          <w:szCs w:val="16"/>
        </w:rPr>
        <w:t xml:space="preserve"> Sección Tercera Subsección B</w:t>
      </w:r>
      <w:r w:rsidR="009B2005">
        <w:rPr>
          <w:rFonts w:ascii="Arial" w:hAnsi="Arial" w:cs="Arial"/>
          <w:sz w:val="16"/>
          <w:szCs w:val="16"/>
        </w:rPr>
        <w:t xml:space="preserve">. </w:t>
      </w:r>
      <w:r w:rsidR="009B2005" w:rsidRPr="009B3745">
        <w:rPr>
          <w:rFonts w:ascii="Arial" w:hAnsi="Arial" w:cs="Arial"/>
          <w:sz w:val="16"/>
          <w:szCs w:val="16"/>
        </w:rPr>
        <w:t>Sentencia del 8 de mayo de 2019</w:t>
      </w:r>
      <w:r w:rsidR="009B2005">
        <w:rPr>
          <w:rFonts w:ascii="Arial" w:hAnsi="Arial" w:cs="Arial"/>
          <w:sz w:val="16"/>
          <w:szCs w:val="16"/>
        </w:rPr>
        <w:t>.</w:t>
      </w:r>
      <w:r w:rsidRPr="00D15703">
        <w:rPr>
          <w:rFonts w:ascii="Arial" w:hAnsi="Arial" w:cs="Arial"/>
          <w:sz w:val="16"/>
          <w:szCs w:val="16"/>
        </w:rPr>
        <w:t>C</w:t>
      </w:r>
      <w:r w:rsidR="009B2005">
        <w:rPr>
          <w:rFonts w:ascii="Arial" w:hAnsi="Arial" w:cs="Arial"/>
          <w:sz w:val="16"/>
          <w:szCs w:val="16"/>
        </w:rPr>
        <w:t xml:space="preserve">.P. </w:t>
      </w:r>
      <w:r w:rsidR="009B2005" w:rsidRPr="009B2005">
        <w:rPr>
          <w:rFonts w:ascii="Arial" w:hAnsi="Arial" w:cs="Arial"/>
          <w:sz w:val="16"/>
          <w:szCs w:val="16"/>
        </w:rPr>
        <w:t>Martín Bermúdez Muñoz</w:t>
      </w:r>
      <w:r w:rsidRPr="00D15703">
        <w:rPr>
          <w:rFonts w:ascii="Arial" w:hAnsi="Arial" w:cs="Arial"/>
          <w:sz w:val="16"/>
          <w:szCs w:val="16"/>
        </w:rPr>
        <w:t xml:space="preserve"> </w:t>
      </w:r>
      <w:proofErr w:type="spellStart"/>
      <w:r w:rsidR="009B2005">
        <w:rPr>
          <w:rFonts w:ascii="Arial" w:hAnsi="Arial" w:cs="Arial"/>
          <w:sz w:val="16"/>
          <w:szCs w:val="16"/>
        </w:rPr>
        <w:t>Exp</w:t>
      </w:r>
      <w:proofErr w:type="spellEnd"/>
      <w:r w:rsidR="009B2005">
        <w:rPr>
          <w:rFonts w:ascii="Arial" w:hAnsi="Arial" w:cs="Arial"/>
          <w:sz w:val="16"/>
          <w:szCs w:val="16"/>
        </w:rPr>
        <w:t>.</w:t>
      </w:r>
      <w:r w:rsidR="00196A4B">
        <w:rPr>
          <w:rFonts w:ascii="Arial" w:hAnsi="Arial" w:cs="Arial"/>
          <w:sz w:val="16"/>
          <w:szCs w:val="16"/>
        </w:rPr>
        <w:t xml:space="preserve"> No. </w:t>
      </w:r>
      <w:r w:rsidRPr="00D15703">
        <w:rPr>
          <w:rFonts w:ascii="Arial" w:hAnsi="Arial" w:cs="Arial"/>
          <w:sz w:val="16"/>
          <w:szCs w:val="16"/>
        </w:rPr>
        <w:t>56</w:t>
      </w:r>
      <w:r w:rsidR="00196A4B">
        <w:rPr>
          <w:rFonts w:ascii="Arial" w:hAnsi="Arial" w:cs="Arial"/>
          <w:sz w:val="16"/>
          <w:szCs w:val="16"/>
        </w:rPr>
        <w:t>.</w:t>
      </w:r>
      <w:r w:rsidRPr="00D15703">
        <w:rPr>
          <w:rFonts w:ascii="Arial" w:hAnsi="Arial" w:cs="Arial"/>
          <w:sz w:val="16"/>
          <w:szCs w:val="16"/>
        </w:rPr>
        <w:t>343</w:t>
      </w:r>
      <w:r w:rsidR="00196A4B">
        <w:rPr>
          <w:rFonts w:ascii="Arial" w:hAnsi="Arial" w:cs="Arial"/>
          <w:sz w:val="16"/>
          <w:szCs w:val="16"/>
        </w:rPr>
        <w:t>.</w:t>
      </w:r>
    </w:p>
  </w:footnote>
  <w:footnote w:id="35">
    <w:p w14:paraId="5F0A45E7" w14:textId="77777777" w:rsidR="009C57C2" w:rsidRPr="00D15703" w:rsidRDefault="009C57C2" w:rsidP="00D15703">
      <w:pPr>
        <w:pStyle w:val="Textonotapie"/>
        <w:ind w:firstLine="851"/>
        <w:jc w:val="both"/>
        <w:rPr>
          <w:rFonts w:ascii="Arial" w:hAnsi="Arial" w:cs="Arial"/>
          <w:sz w:val="16"/>
          <w:szCs w:val="16"/>
          <w:lang w:val="es-ES"/>
        </w:rPr>
      </w:pPr>
      <w:r w:rsidRPr="00D15703">
        <w:rPr>
          <w:rStyle w:val="Refdenotaalpie"/>
          <w:rFonts w:ascii="Arial" w:hAnsi="Arial" w:cs="Arial"/>
          <w:sz w:val="16"/>
          <w:szCs w:val="16"/>
        </w:rPr>
        <w:footnoteRef/>
      </w:r>
      <w:r w:rsidRPr="00D15703">
        <w:rPr>
          <w:rFonts w:ascii="Arial" w:hAnsi="Arial" w:cs="Arial"/>
          <w:sz w:val="16"/>
          <w:szCs w:val="16"/>
        </w:rPr>
        <w:t xml:space="preserve"> Oficio 220-036327 de 21 de mayo de 2008 de la Superintendencia de Sociedad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D15703" w:rsidRDefault="00906B3C" w:rsidP="008614E5">
    <w:pPr>
      <w:spacing w:after="0"/>
      <w:rPr>
        <w:rFonts w:ascii="Arial" w:hAnsi="Arial" w:cs="Arial"/>
        <w:b/>
        <w:bCs/>
        <w:color w:val="002060"/>
        <w:sz w:val="16"/>
        <w:szCs w:val="16"/>
      </w:rPr>
    </w:pPr>
    <w:r w:rsidRPr="00D15703">
      <w:rPr>
        <w:rFonts w:ascii="Arial" w:eastAsia="Arial Nova" w:hAnsi="Arial" w:cs="Arial"/>
        <w:b/>
        <w:bCs/>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D15703">
      <w:rPr>
        <w:rFonts w:ascii="Arial" w:hAnsi="Arial" w:cs="Arial"/>
        <w:b/>
        <w:bCs/>
        <w:color w:val="002060"/>
        <w:sz w:val="16"/>
        <w:szCs w:val="16"/>
      </w:rPr>
      <w:t>FORMATO PQRSD</w:t>
    </w:r>
  </w:p>
  <w:p w14:paraId="077278A1" w14:textId="2CAB5B77" w:rsidR="007566FE" w:rsidRPr="00D15703" w:rsidRDefault="007566FE" w:rsidP="00793403">
    <w:pPr>
      <w:pBdr>
        <w:top w:val="nil"/>
        <w:left w:val="nil"/>
        <w:bottom w:val="nil"/>
        <w:right w:val="nil"/>
        <w:between w:val="nil"/>
      </w:pBdr>
      <w:tabs>
        <w:tab w:val="center" w:pos="4419"/>
        <w:tab w:val="right" w:pos="8838"/>
        <w:tab w:val="center" w:pos="5400"/>
      </w:tabs>
      <w:spacing w:after="0"/>
      <w:rPr>
        <w:rFonts w:ascii="Arial" w:eastAsia="Geo" w:hAnsi="Arial" w:cs="Arial"/>
        <w:b/>
        <w:color w:val="002060"/>
        <w:sz w:val="16"/>
        <w:szCs w:val="16"/>
        <w:lang w:eastAsia="es-CO"/>
      </w:rPr>
    </w:pPr>
    <w:r w:rsidRPr="00D15703">
      <w:rPr>
        <w:rFonts w:ascii="Arial" w:eastAsia="Geo" w:hAnsi="Arial" w:cs="Arial"/>
        <w:b/>
        <w:color w:val="000000"/>
        <w:sz w:val="16"/>
        <w:szCs w:val="16"/>
        <w:lang w:eastAsia="es-CO"/>
      </w:rPr>
      <w:t xml:space="preserve">Código: </w:t>
    </w:r>
    <w:r w:rsidRPr="00D15703">
      <w:rPr>
        <w:rFonts w:ascii="Arial" w:eastAsia="Geo" w:hAnsi="Arial" w:cs="Arial"/>
        <w:bCs/>
        <w:color w:val="000000"/>
        <w:sz w:val="16"/>
        <w:szCs w:val="16"/>
        <w:lang w:eastAsia="es-CO"/>
      </w:rPr>
      <w:t>CCE-PQRSD-FM-08</w:t>
    </w:r>
  </w:p>
  <w:p w14:paraId="74FC5262" w14:textId="51A6AFCE" w:rsidR="00793403" w:rsidRPr="00D15703" w:rsidRDefault="00793403" w:rsidP="008614E5">
    <w:pPr>
      <w:spacing w:after="0"/>
      <w:rPr>
        <w:rFonts w:ascii="Arial" w:eastAsia="Geo" w:hAnsi="Arial" w:cs="Arial"/>
        <w:sz w:val="16"/>
        <w:szCs w:val="16"/>
        <w:lang w:eastAsia="es-CO"/>
      </w:rPr>
    </w:pPr>
    <w:r w:rsidRPr="00D15703">
      <w:rPr>
        <w:rFonts w:ascii="Arial" w:eastAsia="Arial Nova" w:hAnsi="Arial" w:cs="Arial"/>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D15703">
      <w:rPr>
        <w:rFonts w:ascii="Arial" w:eastAsia="Geo" w:hAnsi="Arial" w:cs="Arial"/>
        <w:b/>
        <w:color w:val="000000"/>
        <w:sz w:val="16"/>
        <w:szCs w:val="16"/>
        <w:lang w:eastAsia="es-CO"/>
      </w:rPr>
      <w:t>Versión</w:t>
    </w:r>
    <w:r w:rsidR="007566FE" w:rsidRPr="00D15703">
      <w:rPr>
        <w:rFonts w:ascii="Arial" w:eastAsia="Arial Nova" w:hAnsi="Arial" w:cs="Arial"/>
        <w:b/>
        <w:color w:val="000000"/>
        <w:sz w:val="16"/>
        <w:szCs w:val="16"/>
        <w:lang w:eastAsia="es-CO"/>
      </w:rPr>
      <w:t xml:space="preserve">: </w:t>
    </w:r>
    <w:r w:rsidR="007566FE" w:rsidRPr="00D15703">
      <w:rPr>
        <w:rFonts w:ascii="Arial" w:eastAsia="Geo" w:hAnsi="Arial" w:cs="Arial"/>
        <w:sz w:val="16"/>
        <w:szCs w:val="16"/>
        <w:lang w:eastAsia="es-CO"/>
      </w:rPr>
      <w:t>0</w:t>
    </w:r>
    <w:r w:rsidR="00C9405D" w:rsidRPr="00D15703">
      <w:rPr>
        <w:rFonts w:ascii="Arial" w:eastAsia="Geo" w:hAnsi="Arial" w:cs="Arial"/>
        <w:sz w:val="16"/>
        <w:szCs w:val="16"/>
        <w:lang w:eastAsia="es-CO"/>
      </w:rPr>
      <w:t>2</w:t>
    </w:r>
    <w:r w:rsidR="007566FE" w:rsidRPr="00D15703">
      <w:rPr>
        <w:rFonts w:ascii="Arial" w:eastAsia="Geo" w:hAnsi="Arial" w:cs="Arial"/>
        <w:sz w:val="16"/>
        <w:szCs w:val="16"/>
        <w:lang w:eastAsia="es-CO"/>
      </w:rPr>
      <w:t xml:space="preserve"> DEL </w:t>
    </w:r>
    <w:r w:rsidR="00C9405D" w:rsidRPr="00D15703">
      <w:rPr>
        <w:rFonts w:ascii="Arial" w:eastAsia="Geo" w:hAnsi="Arial" w:cs="Arial"/>
        <w:sz w:val="16"/>
        <w:szCs w:val="16"/>
        <w:lang w:eastAsia="es-CO"/>
      </w:rPr>
      <w:t>28</w:t>
    </w:r>
    <w:r w:rsidR="007566FE" w:rsidRPr="00D15703">
      <w:rPr>
        <w:rFonts w:ascii="Arial" w:eastAsia="Geo" w:hAnsi="Arial" w:cs="Arial"/>
        <w:sz w:val="16"/>
        <w:szCs w:val="16"/>
        <w:lang w:eastAsia="es-CO"/>
      </w:rPr>
      <w:t xml:space="preserve"> DE </w:t>
    </w:r>
    <w:r w:rsidR="00C9405D" w:rsidRPr="00D15703">
      <w:rPr>
        <w:rFonts w:ascii="Arial" w:eastAsia="Geo" w:hAnsi="Arial" w:cs="Arial"/>
        <w:sz w:val="16"/>
        <w:szCs w:val="16"/>
        <w:lang w:eastAsia="es-CO"/>
      </w:rPr>
      <w:t>SEPTIEMBRE</w:t>
    </w:r>
    <w:r w:rsidR="007566FE" w:rsidRPr="00D15703">
      <w:rPr>
        <w:rFonts w:ascii="Arial" w:eastAsia="Geo" w:hAnsi="Arial" w:cs="Arial"/>
        <w:sz w:val="16"/>
        <w:szCs w:val="16"/>
        <w:lang w:eastAsia="es-CO"/>
      </w:rPr>
      <w:t xml:space="preserve"> DE 2022</w:t>
    </w:r>
  </w:p>
  <w:p w14:paraId="60144E94" w14:textId="49B57718" w:rsidR="00793403" w:rsidRPr="00D15703" w:rsidRDefault="00793403" w:rsidP="008614E5">
    <w:pPr>
      <w:spacing w:after="0"/>
      <w:rPr>
        <w:rFonts w:ascii="Arial" w:hAnsi="Arial" w:cs="Arial"/>
        <w:color w:val="002060"/>
        <w:sz w:val="16"/>
        <w:szCs w:val="16"/>
      </w:rPr>
    </w:pPr>
  </w:p>
  <w:p w14:paraId="1D9AD711" w14:textId="5827BD16" w:rsidR="004A1847" w:rsidRPr="00D15703" w:rsidRDefault="004A1847" w:rsidP="00906B3C">
    <w:pPr>
      <w:pStyle w:val="Encabezado"/>
      <w:tabs>
        <w:tab w:val="clear" w:pos="4419"/>
        <w:tab w:val="clear" w:pos="8838"/>
      </w:tabs>
      <w:ind w:left="3545" w:firstLine="709"/>
      <w:rPr>
        <w:rFonts w:ascii="Arial" w:hAnsi="Arial" w:cs="Arial"/>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6A31021"/>
    <w:multiLevelType w:val="hybridMultilevel"/>
    <w:tmpl w:val="3954A0A0"/>
    <w:lvl w:ilvl="0" w:tplc="9EC476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9800797">
    <w:abstractNumId w:val="3"/>
  </w:num>
  <w:num w:numId="2" w16cid:durableId="993146500">
    <w:abstractNumId w:val="0"/>
  </w:num>
  <w:num w:numId="3" w16cid:durableId="907689955">
    <w:abstractNumId w:val="2"/>
  </w:num>
  <w:num w:numId="4" w16cid:durableId="1892037330">
    <w:abstractNumId w:val="1"/>
  </w:num>
  <w:num w:numId="5" w16cid:durableId="1374505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71F97"/>
    <w:rsid w:val="00083334"/>
    <w:rsid w:val="000956CF"/>
    <w:rsid w:val="000A4EB0"/>
    <w:rsid w:val="000A66E0"/>
    <w:rsid w:val="000A683E"/>
    <w:rsid w:val="000A7AAD"/>
    <w:rsid w:val="000C6798"/>
    <w:rsid w:val="00103148"/>
    <w:rsid w:val="0010498A"/>
    <w:rsid w:val="0011595A"/>
    <w:rsid w:val="001220C5"/>
    <w:rsid w:val="001267F7"/>
    <w:rsid w:val="00127233"/>
    <w:rsid w:val="00130999"/>
    <w:rsid w:val="00164D81"/>
    <w:rsid w:val="00182574"/>
    <w:rsid w:val="00196440"/>
    <w:rsid w:val="00196A4B"/>
    <w:rsid w:val="001A1011"/>
    <w:rsid w:val="001A48D0"/>
    <w:rsid w:val="001B378E"/>
    <w:rsid w:val="00203AF7"/>
    <w:rsid w:val="00242089"/>
    <w:rsid w:val="002653C1"/>
    <w:rsid w:val="0026611D"/>
    <w:rsid w:val="002951A0"/>
    <w:rsid w:val="002A64FD"/>
    <w:rsid w:val="002F0839"/>
    <w:rsid w:val="00301469"/>
    <w:rsid w:val="00306EE1"/>
    <w:rsid w:val="00310B9B"/>
    <w:rsid w:val="0036461C"/>
    <w:rsid w:val="00367884"/>
    <w:rsid w:val="003819DE"/>
    <w:rsid w:val="003866C1"/>
    <w:rsid w:val="0039439C"/>
    <w:rsid w:val="003A1D65"/>
    <w:rsid w:val="003B69E7"/>
    <w:rsid w:val="003C013B"/>
    <w:rsid w:val="003C2BD5"/>
    <w:rsid w:val="003D0F4D"/>
    <w:rsid w:val="003F063D"/>
    <w:rsid w:val="003F2443"/>
    <w:rsid w:val="003F58A1"/>
    <w:rsid w:val="00410DD6"/>
    <w:rsid w:val="004134C9"/>
    <w:rsid w:val="0043138C"/>
    <w:rsid w:val="0045008F"/>
    <w:rsid w:val="00462A59"/>
    <w:rsid w:val="0046366A"/>
    <w:rsid w:val="0046381A"/>
    <w:rsid w:val="00470932"/>
    <w:rsid w:val="004A1847"/>
    <w:rsid w:val="004B6B0E"/>
    <w:rsid w:val="004D25B3"/>
    <w:rsid w:val="004D74E2"/>
    <w:rsid w:val="00511405"/>
    <w:rsid w:val="005217DD"/>
    <w:rsid w:val="00526E9D"/>
    <w:rsid w:val="00547856"/>
    <w:rsid w:val="00547A74"/>
    <w:rsid w:val="005566E8"/>
    <w:rsid w:val="00563C14"/>
    <w:rsid w:val="00567D4F"/>
    <w:rsid w:val="005746AB"/>
    <w:rsid w:val="0059357F"/>
    <w:rsid w:val="005A1130"/>
    <w:rsid w:val="005D65C8"/>
    <w:rsid w:val="006219F8"/>
    <w:rsid w:val="006300A5"/>
    <w:rsid w:val="00677327"/>
    <w:rsid w:val="00681FDB"/>
    <w:rsid w:val="006A7DAD"/>
    <w:rsid w:val="006D70BA"/>
    <w:rsid w:val="0072094E"/>
    <w:rsid w:val="00720E9D"/>
    <w:rsid w:val="007343BC"/>
    <w:rsid w:val="007566FE"/>
    <w:rsid w:val="0076726F"/>
    <w:rsid w:val="0077144B"/>
    <w:rsid w:val="00793403"/>
    <w:rsid w:val="007B0CD6"/>
    <w:rsid w:val="007C0CDF"/>
    <w:rsid w:val="007E2A2F"/>
    <w:rsid w:val="007F2B7C"/>
    <w:rsid w:val="00811651"/>
    <w:rsid w:val="00820F5B"/>
    <w:rsid w:val="00821758"/>
    <w:rsid w:val="00833452"/>
    <w:rsid w:val="008614E5"/>
    <w:rsid w:val="008678EB"/>
    <w:rsid w:val="00875894"/>
    <w:rsid w:val="00881C10"/>
    <w:rsid w:val="00890411"/>
    <w:rsid w:val="008B20B4"/>
    <w:rsid w:val="008C0020"/>
    <w:rsid w:val="008D3AB4"/>
    <w:rsid w:val="008D4CBF"/>
    <w:rsid w:val="008D5C70"/>
    <w:rsid w:val="009025AF"/>
    <w:rsid w:val="00904F23"/>
    <w:rsid w:val="00906B3C"/>
    <w:rsid w:val="0095342C"/>
    <w:rsid w:val="00965FE4"/>
    <w:rsid w:val="00980300"/>
    <w:rsid w:val="009B2005"/>
    <w:rsid w:val="009C0313"/>
    <w:rsid w:val="009C57C2"/>
    <w:rsid w:val="009F33F2"/>
    <w:rsid w:val="009F6C77"/>
    <w:rsid w:val="00A03B14"/>
    <w:rsid w:val="00A0534D"/>
    <w:rsid w:val="00A07532"/>
    <w:rsid w:val="00A1085C"/>
    <w:rsid w:val="00A309E2"/>
    <w:rsid w:val="00A61699"/>
    <w:rsid w:val="00A8066E"/>
    <w:rsid w:val="00AA0483"/>
    <w:rsid w:val="00AA4B8A"/>
    <w:rsid w:val="00AA6BF7"/>
    <w:rsid w:val="00AC3290"/>
    <w:rsid w:val="00AC4B09"/>
    <w:rsid w:val="00AE30E4"/>
    <w:rsid w:val="00B01ED6"/>
    <w:rsid w:val="00B06D09"/>
    <w:rsid w:val="00B771A9"/>
    <w:rsid w:val="00B809BB"/>
    <w:rsid w:val="00B8248A"/>
    <w:rsid w:val="00B94EB5"/>
    <w:rsid w:val="00BB7726"/>
    <w:rsid w:val="00C2329E"/>
    <w:rsid w:val="00C30461"/>
    <w:rsid w:val="00C66830"/>
    <w:rsid w:val="00C754BE"/>
    <w:rsid w:val="00C87572"/>
    <w:rsid w:val="00C91730"/>
    <w:rsid w:val="00C9405D"/>
    <w:rsid w:val="00CC1B26"/>
    <w:rsid w:val="00CD284F"/>
    <w:rsid w:val="00CF23AA"/>
    <w:rsid w:val="00D01921"/>
    <w:rsid w:val="00D15703"/>
    <w:rsid w:val="00D40A30"/>
    <w:rsid w:val="00D47043"/>
    <w:rsid w:val="00D752B7"/>
    <w:rsid w:val="00D82E91"/>
    <w:rsid w:val="00DA1854"/>
    <w:rsid w:val="00DB0887"/>
    <w:rsid w:val="00DF1E43"/>
    <w:rsid w:val="00DF73BF"/>
    <w:rsid w:val="00E20894"/>
    <w:rsid w:val="00E26B7C"/>
    <w:rsid w:val="00EA3003"/>
    <w:rsid w:val="00EB3C91"/>
    <w:rsid w:val="00EB66DA"/>
    <w:rsid w:val="00EC6B4B"/>
    <w:rsid w:val="00F000C3"/>
    <w:rsid w:val="00F12025"/>
    <w:rsid w:val="00F40190"/>
    <w:rsid w:val="00F605F2"/>
    <w:rsid w:val="00F61F51"/>
    <w:rsid w:val="00F76AFC"/>
    <w:rsid w:val="00F8319B"/>
    <w:rsid w:val="00FA5516"/>
    <w:rsid w:val="00FC7D26"/>
    <w:rsid w:val="00FD4CE4"/>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9C57C2"/>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9C57C2"/>
    <w:pPr>
      <w:spacing w:line="240" w:lineRule="exact"/>
      <w:jc w:val="both"/>
    </w:pPr>
    <w:rPr>
      <w:vertAlign w:val="superscript"/>
    </w:rPr>
  </w:style>
  <w:style w:type="table" w:customStyle="1" w:styleId="Tablaconcuadrcula1">
    <w:name w:val="Tabla con cuadrícula1"/>
    <w:basedOn w:val="Tablanormal"/>
    <w:next w:val="Tablaconcuadrcula"/>
    <w:uiPriority w:val="59"/>
    <w:rsid w:val="009C5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C57C2"/>
    <w:rPr>
      <w:color w:val="0563C1" w:themeColor="hyperlink"/>
      <w:u w:val="single"/>
    </w:rPr>
  </w:style>
  <w:style w:type="character" w:styleId="Textoennegrita">
    <w:name w:val="Strong"/>
    <w:basedOn w:val="Fuentedeprrafopredeter"/>
    <w:uiPriority w:val="22"/>
    <w:qFormat/>
    <w:rsid w:val="009C57C2"/>
    <w:rPr>
      <w:b/>
      <w:bCs/>
    </w:rPr>
  </w:style>
  <w:style w:type="character" w:styleId="nfasis">
    <w:name w:val="Emphasis"/>
    <w:basedOn w:val="Fuentedeprrafopredeter"/>
    <w:uiPriority w:val="20"/>
    <w:qFormat/>
    <w:rsid w:val="009C57C2"/>
    <w:rPr>
      <w:i/>
      <w:iCs/>
    </w:rPr>
  </w:style>
  <w:style w:type="paragraph" w:customStyle="1" w:styleId="centrado">
    <w:name w:val="centrado"/>
    <w:basedOn w:val="Normal"/>
    <w:rsid w:val="009C57C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5217D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1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liquidacion_proceso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C79FF-66B9-4ED4-B011-1ACB3EAA5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purl.org/dc/elements/1.1/"/>
    <ds:schemaRef ds:uri="http://purl.org/dc/dcmitype/"/>
    <ds:schemaRef ds:uri="9d85dbaf-23eb-4e57-a637-93dcacc8b1a1"/>
    <ds:schemaRef ds:uri="http://purl.org/dc/terms/"/>
    <ds:schemaRef ds:uri="http://www.w3.org/XML/1998/namespace"/>
    <ds:schemaRef ds:uri="http://schemas.microsoft.com/office/2006/documentManagement/types"/>
    <ds:schemaRef ds:uri="http://schemas.microsoft.com/office/infopath/2007/PartnerControl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1C443A0-D963-4288-830D-E1903A33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12236</Words>
  <Characters>67304</Characters>
  <Application>Microsoft Office Word</Application>
  <DocSecurity>0</DocSecurity>
  <Lines>560</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2023-03-03T02:42:00Z</dcterms:created>
  <dcterms:modified xsi:type="dcterms:W3CDTF">2023-03-03T02:42:00Z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