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C8EAF" w14:textId="4BED355C" w:rsidR="00B202B2" w:rsidRPr="00995E3D" w:rsidRDefault="00B202B2" w:rsidP="00B202B2">
      <w:pPr>
        <w:spacing w:after="0" w:line="240" w:lineRule="auto"/>
        <w:jc w:val="both"/>
        <w:rPr>
          <w:rFonts w:ascii="Verdana" w:eastAsia="Geomanist Light" w:hAnsi="Verdana" w:cs="Arial"/>
          <w:b/>
          <w:bCs/>
          <w:lang w:val="es-ES_tradnl"/>
        </w:rPr>
      </w:pPr>
      <w:bookmarkStart w:id="0" w:name="_Hlk143780582"/>
      <w:r w:rsidRPr="00995E3D">
        <w:rPr>
          <w:rFonts w:ascii="Verdana" w:eastAsia="Geomanist Light" w:hAnsi="Verdana" w:cs="Arial"/>
          <w:b/>
          <w:bCs/>
          <w:lang w:val="es-ES_tradnl"/>
        </w:rPr>
        <w:t>PUBLICACIÓN EN SECOP – Principio de publicidad – Principio de transparencia</w:t>
      </w:r>
    </w:p>
    <w:p w14:paraId="005AABAA" w14:textId="77777777" w:rsidR="00B202B2" w:rsidRPr="00995E3D" w:rsidRDefault="00B202B2" w:rsidP="00B202B2">
      <w:pPr>
        <w:spacing w:after="0" w:line="240" w:lineRule="auto"/>
        <w:jc w:val="both"/>
        <w:rPr>
          <w:rFonts w:ascii="Verdana" w:eastAsia="Geomanist Light" w:hAnsi="Verdana" w:cs="Arial"/>
          <w:lang w:val="es-ES_tradnl"/>
        </w:rPr>
      </w:pPr>
    </w:p>
    <w:p w14:paraId="3178554D" w14:textId="77777777" w:rsidR="00B202B2" w:rsidRPr="004051A5" w:rsidRDefault="00B202B2" w:rsidP="00B202B2">
      <w:pPr>
        <w:spacing w:after="0" w:line="240" w:lineRule="auto"/>
        <w:jc w:val="both"/>
        <w:rPr>
          <w:rFonts w:ascii="Verdana" w:eastAsia="Geomanist Light" w:hAnsi="Verdana" w:cs="Arial"/>
          <w:sz w:val="20"/>
          <w:szCs w:val="20"/>
          <w:lang w:val="es-ES"/>
        </w:rPr>
      </w:pPr>
      <w:r w:rsidRPr="004051A5">
        <w:rPr>
          <w:rFonts w:ascii="Verdana" w:eastAsia="Geomanist Light" w:hAnsi="Verdana" w:cs="Arial"/>
          <w:sz w:val="20"/>
          <w:szCs w:val="20"/>
          <w:lang w:val="es-ES"/>
        </w:rPr>
        <w:t xml:space="preserve">El principio de publicidad impone a las autoridades el deber de dar a conocer sus actos, contratos y decisiones, para que se divulguen y eventualmente se controlen dichas actuaciones. Es por eso </w:t>
      </w:r>
      <w:proofErr w:type="gramStart"/>
      <w:r w:rsidRPr="004051A5">
        <w:rPr>
          <w:rFonts w:ascii="Verdana" w:eastAsia="Geomanist Light" w:hAnsi="Verdana" w:cs="Arial"/>
          <w:sz w:val="20"/>
          <w:szCs w:val="20"/>
          <w:lang w:val="es-ES"/>
        </w:rPr>
        <w:t>que</w:t>
      </w:r>
      <w:proofErr w:type="gramEnd"/>
      <w:r w:rsidRPr="004051A5">
        <w:rPr>
          <w:rFonts w:ascii="Verdana" w:eastAsia="Geomanist Light" w:hAnsi="Verdana" w:cs="Arial"/>
          <w:sz w:val="20"/>
          <w:szCs w:val="20"/>
          <w:lang w:val="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706D3BD2" w14:textId="77777777" w:rsidR="00B202B2" w:rsidRPr="004051A5" w:rsidRDefault="00B202B2" w:rsidP="00B202B2">
      <w:pPr>
        <w:spacing w:after="0" w:line="240" w:lineRule="auto"/>
        <w:jc w:val="both"/>
        <w:rPr>
          <w:rFonts w:ascii="Verdana" w:eastAsia="Geomanist Light" w:hAnsi="Verdana" w:cs="Arial"/>
          <w:sz w:val="20"/>
          <w:szCs w:val="20"/>
          <w:lang w:val="es-ES_tradnl"/>
        </w:rPr>
      </w:pPr>
      <w:r w:rsidRPr="004051A5">
        <w:rPr>
          <w:rFonts w:ascii="Verdana" w:eastAsia="Geomanist Light" w:hAnsi="Verdana" w:cs="Arial"/>
          <w:sz w:val="20"/>
          <w:szCs w:val="20"/>
          <w:lang w:val="es-ES_tradnl"/>
        </w:rPr>
        <w:t>[…]</w:t>
      </w:r>
    </w:p>
    <w:p w14:paraId="299CCF24" w14:textId="77777777" w:rsidR="00B202B2" w:rsidRPr="004051A5" w:rsidRDefault="00B202B2" w:rsidP="00B202B2">
      <w:pPr>
        <w:spacing w:after="0" w:line="240" w:lineRule="auto"/>
        <w:jc w:val="both"/>
        <w:rPr>
          <w:rFonts w:ascii="Verdana" w:eastAsia="Geomanist Light" w:hAnsi="Verdana" w:cs="Arial"/>
          <w:sz w:val="20"/>
          <w:szCs w:val="20"/>
          <w:lang w:val="es-ES_tradnl"/>
        </w:rPr>
      </w:pPr>
      <w:r w:rsidRPr="004051A5">
        <w:rPr>
          <w:rFonts w:ascii="Verdana" w:eastAsia="Geomanist Light" w:hAnsi="Verdana" w:cs="Arial"/>
          <w:sz w:val="20"/>
          <w:szCs w:val="20"/>
          <w:lang w:val="es-ES_tradnl"/>
        </w:rPr>
        <w:t>[…]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w:t>
      </w:r>
    </w:p>
    <w:p w14:paraId="7FC3689F" w14:textId="77777777" w:rsidR="00B202B2" w:rsidRDefault="00B202B2" w:rsidP="00B202B2">
      <w:pPr>
        <w:spacing w:after="0" w:line="240" w:lineRule="auto"/>
        <w:jc w:val="both"/>
        <w:rPr>
          <w:rFonts w:ascii="Verdana" w:eastAsia="Geomanist Light" w:hAnsi="Verdana" w:cs="Arial"/>
          <w:b/>
          <w:lang w:val="es-ES_tradnl"/>
        </w:rPr>
      </w:pPr>
    </w:p>
    <w:p w14:paraId="0691A615" w14:textId="77777777" w:rsidR="00B202B2" w:rsidRPr="002B1E07" w:rsidRDefault="00B202B2" w:rsidP="00B202B2">
      <w:pPr>
        <w:spacing w:after="0" w:line="240" w:lineRule="auto"/>
        <w:jc w:val="both"/>
        <w:rPr>
          <w:rFonts w:ascii="Verdana" w:eastAsia="Geomanist Light" w:hAnsi="Verdana" w:cs="Arial"/>
          <w:b/>
          <w:lang w:val="es-ES"/>
        </w:rPr>
      </w:pPr>
      <w:r w:rsidRPr="002B1E07">
        <w:rPr>
          <w:rFonts w:ascii="Verdana" w:eastAsia="Geomanist Light" w:hAnsi="Verdana" w:cs="Arial"/>
          <w:b/>
          <w:lang w:val="es-ES"/>
        </w:rPr>
        <w:t xml:space="preserve">DÍAS HÁBILES </w:t>
      </w:r>
      <w:r w:rsidRPr="002B1E07">
        <w:rPr>
          <w:rFonts w:ascii="Verdana" w:eastAsia="Geomanist Light" w:hAnsi="Verdana" w:cs="Arial"/>
          <w:b/>
          <w:lang w:val="es-MX"/>
        </w:rPr>
        <w:t xml:space="preserve">– </w:t>
      </w:r>
      <w:r w:rsidRPr="002B1E07">
        <w:rPr>
          <w:rFonts w:ascii="Verdana" w:eastAsia="Geomanist Light" w:hAnsi="Verdana" w:cs="Arial"/>
          <w:b/>
          <w:lang w:val="es-ES"/>
        </w:rPr>
        <w:t xml:space="preserve">Concepto </w:t>
      </w:r>
      <w:r w:rsidRPr="002B1E07">
        <w:rPr>
          <w:rFonts w:ascii="Verdana" w:eastAsia="Geomanist Light" w:hAnsi="Verdana" w:cs="Arial"/>
          <w:b/>
          <w:lang w:val="es-MX"/>
        </w:rPr>
        <w:t>–</w:t>
      </w:r>
      <w:r w:rsidRPr="002B1E07">
        <w:rPr>
          <w:rFonts w:ascii="Verdana" w:eastAsia="Geomanist Light" w:hAnsi="Verdana" w:cs="Arial"/>
          <w:b/>
          <w:lang w:val="es-ES"/>
        </w:rPr>
        <w:t xml:space="preserve"> Cómputo de términos</w:t>
      </w:r>
    </w:p>
    <w:p w14:paraId="1C9D3318" w14:textId="77777777" w:rsidR="00B202B2" w:rsidRPr="002B1E07" w:rsidRDefault="00B202B2" w:rsidP="00B202B2">
      <w:pPr>
        <w:spacing w:after="0" w:line="240" w:lineRule="auto"/>
        <w:jc w:val="both"/>
        <w:rPr>
          <w:rFonts w:ascii="Verdana" w:eastAsia="Geomanist Light" w:hAnsi="Verdana" w:cs="Arial"/>
          <w:bCs/>
          <w:lang w:val="es-ES"/>
        </w:rPr>
      </w:pPr>
    </w:p>
    <w:p w14:paraId="55BDF3CA" w14:textId="77777777" w:rsidR="00B202B2" w:rsidRPr="004051A5" w:rsidRDefault="00B202B2" w:rsidP="00B202B2">
      <w:pPr>
        <w:spacing w:after="0" w:line="240" w:lineRule="auto"/>
        <w:jc w:val="both"/>
        <w:rPr>
          <w:rFonts w:ascii="Verdana" w:eastAsia="Geomanist Light" w:hAnsi="Verdana" w:cs="Arial"/>
          <w:sz w:val="20"/>
          <w:szCs w:val="20"/>
          <w:lang w:val="es-MX"/>
        </w:rPr>
      </w:pPr>
      <w:r w:rsidRPr="004051A5">
        <w:rPr>
          <w:rFonts w:ascii="Verdana" w:eastAsia="Geomanist Light" w:hAnsi="Verdana" w:cs="Arial"/>
          <w:bCs/>
          <w:sz w:val="20"/>
          <w:szCs w:val="20"/>
          <w:lang w:val="es-ES"/>
        </w:rPr>
        <w:t>Si bien las reglas establecidas en estas normas no definen el concepto de día hábil, sí evidencian que, a menos de previsión expresa en contrario, los plazos de días no incluyen los vacantes y feriados, lo cual, en línea con la definición de uso común referida con anterioridad, permite inferir que por hábiles se entienden los días laborables. […] 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w:t>
      </w:r>
    </w:p>
    <w:p w14:paraId="733E5E94" w14:textId="77777777" w:rsidR="00B202B2" w:rsidRDefault="00B202B2" w:rsidP="00B202B2">
      <w:pPr>
        <w:spacing w:after="0" w:line="240" w:lineRule="auto"/>
        <w:rPr>
          <w:rFonts w:ascii="Verdana" w:eastAsia="Geomanist Light" w:hAnsi="Verdana" w:cs="Arial"/>
          <w:sz w:val="20"/>
          <w:szCs w:val="20"/>
          <w:lang w:val="es-MX"/>
        </w:rPr>
      </w:pPr>
    </w:p>
    <w:p w14:paraId="3A33BD3E" w14:textId="2E65BAC1" w:rsidR="00457DA2" w:rsidRPr="00457DA2" w:rsidRDefault="00457DA2" w:rsidP="00457DA2">
      <w:pPr>
        <w:jc w:val="both"/>
        <w:rPr>
          <w:rFonts w:ascii="Verdana" w:eastAsia="Calibri" w:hAnsi="Verdana" w:cs="Arial"/>
          <w:b/>
          <w:lang w:val="es-ES_tradnl" w:eastAsia="es-ES"/>
        </w:rPr>
      </w:pPr>
      <w:r w:rsidRPr="00457DA2">
        <w:rPr>
          <w:rFonts w:ascii="Verdana" w:eastAsia="Calibri" w:hAnsi="Verdana" w:cs="Arial"/>
          <w:b/>
          <w:lang w:eastAsia="es-ES"/>
        </w:rPr>
        <w:t>DÍAS HÁBILES – Cómputo – Regla interpretativa</w:t>
      </w:r>
      <w:r w:rsidRPr="00457DA2">
        <w:rPr>
          <w:rFonts w:ascii="Verdana" w:eastAsia="Calibri" w:hAnsi="Verdana" w:cs="Arial"/>
          <w:b/>
          <w:lang w:val="es-ES_tradnl" w:eastAsia="es-ES"/>
        </w:rPr>
        <w:t xml:space="preserve"> </w:t>
      </w:r>
    </w:p>
    <w:p w14:paraId="2C4E1AD4" w14:textId="093EC0F2" w:rsidR="00FB2BD8" w:rsidRPr="009B1828" w:rsidRDefault="00FB2BD8" w:rsidP="00FB2BD8">
      <w:pPr>
        <w:tabs>
          <w:tab w:val="left" w:pos="709"/>
        </w:tabs>
        <w:spacing w:after="0" w:line="240" w:lineRule="auto"/>
        <w:jc w:val="both"/>
        <w:rPr>
          <w:rFonts w:ascii="Verdana" w:eastAsia="Geomanist Light" w:hAnsi="Verdana" w:cs="Arial"/>
          <w:bCs/>
          <w:sz w:val="20"/>
          <w:szCs w:val="20"/>
          <w:lang w:val="es-ES"/>
        </w:rPr>
      </w:pPr>
      <w:r w:rsidRPr="009B1828">
        <w:rPr>
          <w:rFonts w:ascii="Verdana" w:eastAsia="Geomanist Light" w:hAnsi="Verdana" w:cs="Arial"/>
          <w:bCs/>
          <w:sz w:val="20"/>
          <w:szCs w:val="20"/>
          <w:lang w:val="es-ES"/>
        </w:rPr>
        <w:t>[…]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w:t>
      </w:r>
    </w:p>
    <w:p w14:paraId="4B67F7AE" w14:textId="77777777" w:rsidR="00FB2BD8" w:rsidRPr="00E20FF0" w:rsidRDefault="00FB2BD8" w:rsidP="00FB2BD8">
      <w:pPr>
        <w:tabs>
          <w:tab w:val="left" w:pos="709"/>
        </w:tabs>
        <w:spacing w:after="0" w:line="240" w:lineRule="auto"/>
        <w:jc w:val="both"/>
        <w:rPr>
          <w:rFonts w:ascii="Century Gothic" w:eastAsia="Calibri" w:hAnsi="Century Gothic" w:cs="Arial"/>
          <w:color w:val="000000"/>
          <w:sz w:val="20"/>
          <w:szCs w:val="20"/>
          <w:lang w:val="es-ES_tradnl"/>
        </w:rPr>
      </w:pPr>
    </w:p>
    <w:p w14:paraId="3FE2184B" w14:textId="07BAB6B9" w:rsidR="00E245AB" w:rsidRPr="0044528D" w:rsidRDefault="00E245AB" w:rsidP="00E245AB">
      <w:pPr>
        <w:spacing w:after="0"/>
        <w:rPr>
          <w:rFonts w:ascii="Verdana" w:hAnsi="Verdana"/>
        </w:rPr>
      </w:pPr>
      <w:r w:rsidRPr="0044528D">
        <w:rPr>
          <w:rFonts w:ascii="Verdana" w:hAnsi="Verdana"/>
        </w:rPr>
        <w:lastRenderedPageBreak/>
        <w:t xml:space="preserve">Bogotá D.C., </w:t>
      </w:r>
      <w:r w:rsidR="009B1828">
        <w:rPr>
          <w:rFonts w:ascii="Verdana" w:hAnsi="Verdana"/>
        </w:rPr>
        <w:t>12 de agosto de 2025</w:t>
      </w:r>
      <w:r w:rsidR="00891928" w:rsidRPr="0044528D">
        <w:rPr>
          <w:rFonts w:ascii="Verdana" w:hAnsi="Verdana"/>
        </w:rPr>
        <w:tab/>
      </w:r>
    </w:p>
    <w:p w14:paraId="5FCADBF9" w14:textId="15BF7490" w:rsidR="00E245AB" w:rsidRPr="0044528D" w:rsidRDefault="00E245AB" w:rsidP="00E245AB">
      <w:pPr>
        <w:spacing w:after="0"/>
        <w:rPr>
          <w:rFonts w:ascii="Verdana" w:hAnsi="Verdana"/>
        </w:rPr>
      </w:pPr>
    </w:p>
    <w:p w14:paraId="0D9F291A" w14:textId="2C14E4BE" w:rsidR="00EF3D91" w:rsidRDefault="00EF3D91" w:rsidP="00EF3D91">
      <w:pPr>
        <w:spacing w:after="0" w:line="240" w:lineRule="auto"/>
        <w:jc w:val="both"/>
        <w:rPr>
          <w:rFonts w:ascii="Verdana" w:eastAsia="Calibri" w:hAnsi="Verdana" w:cs="Arial"/>
          <w:lang w:val="es-ES"/>
        </w:rPr>
      </w:pPr>
    </w:p>
    <w:p w14:paraId="2DF87C93" w14:textId="7B983146" w:rsidR="00EF3D91" w:rsidRPr="009322DA" w:rsidRDefault="005354B4" w:rsidP="00EF3D91">
      <w:pPr>
        <w:spacing w:after="0" w:line="240" w:lineRule="auto"/>
        <w:rPr>
          <w:rFonts w:ascii="Verdana" w:eastAsia="Calibri" w:hAnsi="Verdana" w:cs="Arial"/>
          <w:lang w:val="es-MX" w:eastAsia="es-ES"/>
        </w:rPr>
      </w:pPr>
      <w:r w:rsidRPr="005354B4">
        <w:rPr>
          <w:rFonts w:ascii="Verdana" w:eastAsia="Calibri" w:hAnsi="Verdana" w:cs="Arial"/>
          <w:b/>
          <w:bCs/>
          <w:lang w:val="es-MX" w:eastAsia="es-ES"/>
        </w:rPr>
        <w:drawing>
          <wp:anchor distT="0" distB="0" distL="114300" distR="114300" simplePos="0" relativeHeight="251658752" behindDoc="0" locked="0" layoutInCell="1" allowOverlap="1" wp14:anchorId="5A88D4F7" wp14:editId="18A73B33">
            <wp:simplePos x="0" y="0"/>
            <wp:positionH relativeFrom="margin">
              <wp:align>right</wp:align>
            </wp:positionH>
            <wp:positionV relativeFrom="paragraph">
              <wp:posOffset>18857</wp:posOffset>
            </wp:positionV>
            <wp:extent cx="2706370" cy="774065"/>
            <wp:effectExtent l="0" t="0" r="0" b="6985"/>
            <wp:wrapSquare wrapText="bothSides"/>
            <wp:docPr id="17263856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8560"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06370" cy="774065"/>
                    </a:xfrm>
                    <a:prstGeom prst="rect">
                      <a:avLst/>
                    </a:prstGeom>
                  </pic:spPr>
                </pic:pic>
              </a:graphicData>
            </a:graphic>
            <wp14:sizeRelH relativeFrom="margin">
              <wp14:pctWidth>0</wp14:pctWidth>
            </wp14:sizeRelH>
            <wp14:sizeRelV relativeFrom="margin">
              <wp14:pctHeight>0</wp14:pctHeight>
            </wp14:sizeRelV>
          </wp:anchor>
        </w:drawing>
      </w:r>
      <w:r w:rsidR="00EF3D91" w:rsidRPr="009322DA">
        <w:rPr>
          <w:rFonts w:ascii="Verdana" w:eastAsia="Calibri" w:hAnsi="Verdana" w:cs="Arial"/>
          <w:lang w:val="es-MX" w:eastAsia="es-ES"/>
        </w:rPr>
        <w:t>Señor</w:t>
      </w:r>
    </w:p>
    <w:p w14:paraId="30CFDABC" w14:textId="066213A4" w:rsidR="00EF3D91" w:rsidRPr="00AA0D32" w:rsidRDefault="00EF3D91" w:rsidP="00EF3D91">
      <w:pPr>
        <w:spacing w:after="0" w:line="240" w:lineRule="auto"/>
        <w:rPr>
          <w:rFonts w:ascii="Verdana" w:eastAsia="Calibri" w:hAnsi="Verdana" w:cs="Arial"/>
          <w:b/>
          <w:bCs/>
          <w:lang w:val="es-MX" w:eastAsia="es-ES"/>
        </w:rPr>
      </w:pPr>
      <w:r w:rsidRPr="00AA0D32">
        <w:rPr>
          <w:rFonts w:ascii="Verdana" w:eastAsia="Calibri" w:hAnsi="Verdana" w:cs="Arial"/>
          <w:b/>
          <w:bCs/>
          <w:lang w:val="es-MX" w:eastAsia="es-ES"/>
        </w:rPr>
        <w:t>Juan David Pati</w:t>
      </w:r>
      <w:r>
        <w:rPr>
          <w:rFonts w:ascii="Verdana" w:eastAsia="Calibri" w:hAnsi="Verdana" w:cs="Arial"/>
          <w:b/>
          <w:bCs/>
          <w:lang w:val="es-MX" w:eastAsia="es-ES"/>
        </w:rPr>
        <w:t>ñ</w:t>
      </w:r>
      <w:r w:rsidRPr="00AA0D32">
        <w:rPr>
          <w:rFonts w:ascii="Verdana" w:eastAsia="Calibri" w:hAnsi="Verdana" w:cs="Arial"/>
          <w:b/>
          <w:bCs/>
          <w:lang w:val="es-MX" w:eastAsia="es-ES"/>
        </w:rPr>
        <w:t xml:space="preserve">o </w:t>
      </w:r>
      <w:proofErr w:type="spellStart"/>
      <w:r w:rsidRPr="00AA0D32">
        <w:rPr>
          <w:rFonts w:ascii="Verdana" w:eastAsia="Calibri" w:hAnsi="Verdana" w:cs="Arial"/>
          <w:b/>
          <w:bCs/>
          <w:lang w:val="es-MX" w:eastAsia="es-ES"/>
        </w:rPr>
        <w:t>Trasladino</w:t>
      </w:r>
      <w:proofErr w:type="spellEnd"/>
    </w:p>
    <w:p w14:paraId="31073524" w14:textId="77777777" w:rsidR="00EF3D91" w:rsidRPr="00AA0D32" w:rsidRDefault="00EF3D91" w:rsidP="00EF3D91">
      <w:pPr>
        <w:spacing w:after="0" w:line="240" w:lineRule="auto"/>
        <w:rPr>
          <w:rFonts w:ascii="Verdana" w:hAnsi="Verdana"/>
        </w:rPr>
      </w:pPr>
      <w:hyperlink r:id="rId11" w:history="1">
        <w:r w:rsidRPr="00AA0D32">
          <w:rPr>
            <w:rStyle w:val="Hipervnculo"/>
            <w:rFonts w:ascii="Verdana" w:hAnsi="Verdana"/>
          </w:rPr>
          <w:t>davidsanti090815@gmail.com</w:t>
        </w:r>
      </w:hyperlink>
    </w:p>
    <w:p w14:paraId="7C8E6D8E" w14:textId="77777777" w:rsidR="00EF3D91" w:rsidRPr="00AA0D32" w:rsidRDefault="00EF3D91" w:rsidP="00EF3D91">
      <w:pPr>
        <w:spacing w:after="0" w:line="240" w:lineRule="auto"/>
        <w:rPr>
          <w:rFonts w:ascii="Verdana" w:eastAsia="Calibri" w:hAnsi="Verdana" w:cs="Arial"/>
          <w:b/>
          <w:bCs/>
          <w:lang w:val="es-ES" w:eastAsia="es-ES"/>
        </w:rPr>
      </w:pPr>
      <w:r w:rsidRPr="00AA0D32">
        <w:rPr>
          <w:rFonts w:ascii="Verdana" w:hAnsi="Verdana"/>
        </w:rPr>
        <w:t xml:space="preserve">El </w:t>
      </w:r>
      <w:r>
        <w:rPr>
          <w:rFonts w:ascii="Verdana" w:hAnsi="Verdana"/>
        </w:rPr>
        <w:t>D</w:t>
      </w:r>
      <w:r w:rsidRPr="00AA0D32">
        <w:rPr>
          <w:rFonts w:ascii="Verdana" w:hAnsi="Verdana"/>
        </w:rPr>
        <w:t>orado</w:t>
      </w:r>
      <w:r w:rsidRPr="00AA0D32">
        <w:rPr>
          <w:rFonts w:ascii="Verdana" w:eastAsia="Calibri" w:hAnsi="Verdana" w:cs="Arial"/>
          <w:lang w:val="es-MX" w:eastAsia="es-ES"/>
        </w:rPr>
        <w:t>, Meta</w:t>
      </w:r>
    </w:p>
    <w:p w14:paraId="7F0DEBB9" w14:textId="77777777" w:rsidR="00EF3D91" w:rsidRPr="00AA0D32" w:rsidRDefault="00EF3D91" w:rsidP="00EF3D91">
      <w:pPr>
        <w:spacing w:after="0" w:line="240" w:lineRule="auto"/>
        <w:rPr>
          <w:rFonts w:ascii="Verdana" w:eastAsia="Calibri" w:hAnsi="Verdana" w:cs="Arial"/>
          <w:b/>
          <w:bCs/>
          <w:lang w:val="es-ES_tradnl" w:eastAsia="es-ES_tradnl"/>
        </w:rPr>
      </w:pPr>
    </w:p>
    <w:p w14:paraId="5419243F" w14:textId="77777777" w:rsidR="00EF3D91" w:rsidRPr="009322DA" w:rsidRDefault="00EF3D91" w:rsidP="00EF3D91">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F3D91" w:rsidRPr="009322DA" w14:paraId="17A7A795" w14:textId="77777777" w:rsidTr="71FDCEDB">
        <w:trPr>
          <w:trHeight w:val="884"/>
        </w:trPr>
        <w:tc>
          <w:tcPr>
            <w:tcW w:w="2689" w:type="dxa"/>
          </w:tcPr>
          <w:p w14:paraId="63907175" w14:textId="77777777" w:rsidR="00EF3D91" w:rsidRPr="009322DA" w:rsidRDefault="00EF3D91" w:rsidP="000964B0">
            <w:pPr>
              <w:jc w:val="both"/>
              <w:rPr>
                <w:rFonts w:ascii="Verdana" w:hAnsi="Verdana" w:cs="Arial"/>
                <w:b/>
                <w:bCs/>
                <w:lang w:val="es-ES_tradnl" w:eastAsia="es-ES_tradnl"/>
              </w:rPr>
            </w:pPr>
          </w:p>
        </w:tc>
        <w:tc>
          <w:tcPr>
            <w:tcW w:w="6100" w:type="dxa"/>
            <w:hideMark/>
          </w:tcPr>
          <w:p w14:paraId="375D76E9" w14:textId="09E2F5B8" w:rsidR="00EF3D91" w:rsidRPr="009322DA" w:rsidRDefault="00EF3D91" w:rsidP="000964B0">
            <w:pPr>
              <w:jc w:val="both"/>
              <w:rPr>
                <w:rFonts w:ascii="Verdana" w:hAnsi="Verdana" w:cs="Arial"/>
                <w:b/>
                <w:bCs/>
                <w:lang w:val="es-ES" w:eastAsia="es-ES"/>
              </w:rPr>
            </w:pPr>
            <w:r w:rsidRPr="71FDCEDB">
              <w:rPr>
                <w:rFonts w:ascii="Verdana" w:hAnsi="Verdana" w:cs="Arial"/>
                <w:b/>
                <w:bCs/>
                <w:lang w:val="es-ES" w:eastAsia="es-ES"/>
              </w:rPr>
              <w:t>Concepto C-</w:t>
            </w:r>
            <w:r w:rsidR="0011595B">
              <w:rPr>
                <w:rFonts w:ascii="Verdana" w:hAnsi="Verdana" w:cs="Arial"/>
                <w:b/>
                <w:bCs/>
                <w:lang w:val="es-ES" w:eastAsia="es-ES"/>
              </w:rPr>
              <w:t>874</w:t>
            </w:r>
            <w:r w:rsidR="0011595B" w:rsidRPr="71FDCEDB">
              <w:rPr>
                <w:rFonts w:ascii="Verdana" w:hAnsi="Verdana" w:cs="Arial"/>
                <w:b/>
                <w:bCs/>
                <w:lang w:val="es-ES" w:eastAsia="es-ES"/>
              </w:rPr>
              <w:t xml:space="preserve"> </w:t>
            </w:r>
            <w:r w:rsidRPr="71FDCEDB">
              <w:rPr>
                <w:rFonts w:ascii="Verdana" w:hAnsi="Verdana" w:cs="Arial"/>
                <w:b/>
                <w:bCs/>
                <w:lang w:val="es-ES" w:eastAsia="es-ES"/>
              </w:rPr>
              <w:t>de 2025</w:t>
            </w:r>
          </w:p>
        </w:tc>
      </w:tr>
      <w:tr w:rsidR="00EF3D91" w:rsidRPr="009322DA" w14:paraId="52C90F06" w14:textId="77777777" w:rsidTr="71FDCEDB">
        <w:trPr>
          <w:trHeight w:val="884"/>
        </w:trPr>
        <w:tc>
          <w:tcPr>
            <w:tcW w:w="2689" w:type="dxa"/>
            <w:hideMark/>
          </w:tcPr>
          <w:p w14:paraId="15D4B7ED" w14:textId="77777777" w:rsidR="00EF3D91" w:rsidRPr="009322DA" w:rsidRDefault="00EF3D91" w:rsidP="000964B0">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00" w:type="dxa"/>
          </w:tcPr>
          <w:p w14:paraId="5FDD95CF" w14:textId="256405C9" w:rsidR="00EF3D91" w:rsidRPr="004E5FEB" w:rsidRDefault="00EF3D91" w:rsidP="000964B0">
            <w:pPr>
              <w:jc w:val="both"/>
              <w:rPr>
                <w:rFonts w:ascii="Verdana" w:eastAsia="Calibri" w:hAnsi="Verdana" w:cs="Arial"/>
                <w:lang w:val="es-ES_tradnl" w:eastAsia="es-ES"/>
              </w:rPr>
            </w:pPr>
            <w:r w:rsidRPr="00D208FB">
              <w:rPr>
                <w:rFonts w:ascii="Verdana" w:eastAsia="Calibri" w:hAnsi="Verdana" w:cs="Arial"/>
                <w:bCs/>
                <w:lang w:eastAsia="es-ES"/>
              </w:rPr>
              <w:t xml:space="preserve">PUBLICACIÓN EN SECOP – Principio de publicidad – Principio de transparencia </w:t>
            </w:r>
            <w:r>
              <w:rPr>
                <w:rFonts w:ascii="Verdana" w:eastAsia="Calibri" w:hAnsi="Verdana" w:cs="Arial"/>
                <w:bCs/>
                <w:lang w:eastAsia="es-ES"/>
              </w:rPr>
              <w:t xml:space="preserve">/ </w:t>
            </w:r>
            <w:r w:rsidRPr="00772836">
              <w:rPr>
                <w:rFonts w:ascii="Verdana" w:eastAsia="Calibri" w:hAnsi="Verdana" w:cs="Arial"/>
                <w:bCs/>
                <w:lang w:eastAsia="es-ES"/>
              </w:rPr>
              <w:t>DÍAS HÁBILES – Concepto – Cómputo de términos / DÍAS HÁBILES – Cómputo – Regla interpretativa</w:t>
            </w:r>
            <w:r w:rsidRPr="00772836">
              <w:rPr>
                <w:rFonts w:ascii="Verdana" w:eastAsia="Calibri" w:hAnsi="Verdana" w:cs="Arial"/>
                <w:lang w:val="es-ES_tradnl" w:eastAsia="es-ES"/>
              </w:rPr>
              <w:t xml:space="preserve"> </w:t>
            </w:r>
          </w:p>
        </w:tc>
      </w:tr>
      <w:tr w:rsidR="00EF3D91" w:rsidRPr="009322DA" w14:paraId="0FFEB45A" w14:textId="77777777" w:rsidTr="71FDCEDB">
        <w:tc>
          <w:tcPr>
            <w:tcW w:w="2689" w:type="dxa"/>
            <w:hideMark/>
          </w:tcPr>
          <w:p w14:paraId="06523771" w14:textId="77777777" w:rsidR="00EF3D91" w:rsidRPr="009322DA" w:rsidRDefault="00EF3D91" w:rsidP="000964B0">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00" w:type="dxa"/>
          </w:tcPr>
          <w:p w14:paraId="1B25B0DC" w14:textId="77777777" w:rsidR="00EF3D91" w:rsidRPr="009322DA" w:rsidRDefault="00EF3D91" w:rsidP="000964B0">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8B0220">
              <w:rPr>
                <w:rFonts w:ascii="Verdana" w:hAnsi="Verdana"/>
                <w:lang w:eastAsia="es-ES_tradnl"/>
              </w:rPr>
              <w:t>1_2025_07_02_006620</w:t>
            </w:r>
          </w:p>
        </w:tc>
      </w:tr>
    </w:tbl>
    <w:p w14:paraId="39599EA9" w14:textId="77777777" w:rsidR="00EF3D91" w:rsidRPr="009322DA" w:rsidRDefault="00EF3D91" w:rsidP="00EF3D91">
      <w:pPr>
        <w:spacing w:after="0" w:line="240" w:lineRule="auto"/>
        <w:jc w:val="both"/>
        <w:rPr>
          <w:rFonts w:ascii="Verdana" w:eastAsia="Calibri" w:hAnsi="Verdana" w:cs="Arial"/>
          <w:lang w:val="es-ES_tradnl" w:eastAsia="es-ES_tradnl"/>
        </w:rPr>
      </w:pPr>
    </w:p>
    <w:p w14:paraId="3E289B8D" w14:textId="77777777" w:rsidR="00EF3D91" w:rsidRPr="009322DA" w:rsidRDefault="00EF3D91" w:rsidP="00EF3D91">
      <w:pPr>
        <w:spacing w:after="0" w:line="240" w:lineRule="auto"/>
        <w:jc w:val="both"/>
        <w:rPr>
          <w:rFonts w:ascii="Verdana" w:eastAsia="Calibri" w:hAnsi="Verdana" w:cs="Arial"/>
          <w:lang w:val="es-ES_tradnl" w:eastAsia="es-ES_tradnl"/>
        </w:rPr>
      </w:pPr>
    </w:p>
    <w:p w14:paraId="36E4481D" w14:textId="77777777" w:rsidR="00EF3D91" w:rsidRPr="009322DA" w:rsidRDefault="00EF3D91" w:rsidP="00EF3D91">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 Patiño</w:t>
      </w:r>
      <w:r w:rsidRPr="009322DA">
        <w:rPr>
          <w:rFonts w:ascii="Verdana" w:eastAsia="Calibri" w:hAnsi="Verdana" w:cs="Arial"/>
          <w:lang w:val="es-ES" w:eastAsia="es-ES"/>
        </w:rPr>
        <w:t xml:space="preserve">: </w:t>
      </w:r>
    </w:p>
    <w:p w14:paraId="6EAF5CD8" w14:textId="77777777" w:rsidR="00EF3D91" w:rsidRPr="009322DA" w:rsidRDefault="00EF3D91" w:rsidP="00EF3D91">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5889C247" w14:textId="02599E9A" w:rsidR="00EF3D91" w:rsidRPr="009322DA" w:rsidRDefault="005D34CF" w:rsidP="00EF3D91">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fecha</w:t>
      </w:r>
      <w:r w:rsidR="00EF3D91" w:rsidRPr="009322DA">
        <w:rPr>
          <w:rFonts w:ascii="Verdana" w:eastAsia="Calibri" w:hAnsi="Verdana" w:cs="Arial"/>
          <w:lang w:val="es-ES" w:eastAsia="es-ES"/>
        </w:rPr>
        <w:t xml:space="preserve"> </w:t>
      </w:r>
      <w:r w:rsidR="00EF3D91">
        <w:rPr>
          <w:rFonts w:ascii="Verdana" w:eastAsia="Calibri" w:hAnsi="Verdana" w:cs="Arial"/>
          <w:lang w:val="es-ES" w:eastAsia="es-ES"/>
        </w:rPr>
        <w:t>2</w:t>
      </w:r>
      <w:r w:rsidR="00EF3D91" w:rsidRPr="009322DA">
        <w:rPr>
          <w:rFonts w:ascii="Verdana" w:eastAsia="Calibri" w:hAnsi="Verdana" w:cs="Arial"/>
          <w:lang w:val="es-ES" w:eastAsia="es-ES"/>
        </w:rPr>
        <w:t xml:space="preserve"> de </w:t>
      </w:r>
      <w:r>
        <w:rPr>
          <w:rFonts w:ascii="Verdana" w:eastAsia="Calibri" w:hAnsi="Verdana" w:cs="Arial"/>
          <w:lang w:val="es-ES" w:eastAsia="es-ES"/>
        </w:rPr>
        <w:t>julio</w:t>
      </w:r>
      <w:r w:rsidR="00EF3D91" w:rsidRPr="009322DA">
        <w:rPr>
          <w:rFonts w:ascii="Verdana" w:eastAsia="Calibri" w:hAnsi="Verdana" w:cs="Arial"/>
          <w:lang w:val="es-ES" w:eastAsia="es-ES"/>
        </w:rPr>
        <w:t xml:space="preserve"> de 202</w:t>
      </w:r>
      <w:r>
        <w:rPr>
          <w:rFonts w:ascii="Verdana" w:eastAsia="Calibri" w:hAnsi="Verdana" w:cs="Arial"/>
          <w:lang w:val="es-ES" w:eastAsia="es-ES"/>
        </w:rPr>
        <w:t>5</w:t>
      </w:r>
      <w:r w:rsidR="00EF3D91" w:rsidRPr="009322DA">
        <w:rPr>
          <w:rFonts w:ascii="Verdana" w:eastAsia="Calibri" w:hAnsi="Verdana" w:cs="Arial"/>
          <w:lang w:val="es-ES" w:eastAsia="es-ES"/>
        </w:rPr>
        <w:t xml:space="preserve">, en la cual manifiesta lo siguiente: </w:t>
      </w:r>
    </w:p>
    <w:p w14:paraId="37EF08B7" w14:textId="77777777" w:rsidR="00EF3D91" w:rsidRPr="009322DA" w:rsidRDefault="00EF3D91" w:rsidP="00EF3D91">
      <w:pPr>
        <w:spacing w:after="0" w:line="240" w:lineRule="auto"/>
        <w:ind w:left="709" w:right="709"/>
        <w:jc w:val="both"/>
        <w:rPr>
          <w:rFonts w:ascii="Verdana" w:eastAsia="Century Gothic" w:hAnsi="Verdana" w:cs="Century Gothic"/>
          <w:sz w:val="20"/>
          <w:szCs w:val="20"/>
          <w:lang w:val="es-ES"/>
        </w:rPr>
      </w:pPr>
      <w:bookmarkStart w:id="1" w:name="_Hlk95313578"/>
    </w:p>
    <w:p w14:paraId="682E3609" w14:textId="77777777" w:rsidR="00EF3D91" w:rsidRDefault="00EF3D91" w:rsidP="00EF3D91">
      <w:pPr>
        <w:spacing w:line="240" w:lineRule="auto"/>
        <w:ind w:left="709" w:right="709"/>
        <w:jc w:val="both"/>
        <w:rPr>
          <w:rFonts w:ascii="Verdana" w:eastAsia="Century Gothic" w:hAnsi="Verdana" w:cs="Century Gothic"/>
          <w:i/>
          <w:iCs/>
          <w:sz w:val="20"/>
          <w:szCs w:val="20"/>
        </w:rPr>
      </w:pPr>
      <w:r w:rsidRPr="00772836">
        <w:rPr>
          <w:rFonts w:ascii="Verdana" w:eastAsia="Century Gothic" w:hAnsi="Verdana" w:cs="Century Gothic"/>
          <w:i/>
          <w:iCs/>
          <w:sz w:val="20"/>
          <w:szCs w:val="20"/>
          <w:lang w:val="es-ES"/>
        </w:rPr>
        <w:t>“</w:t>
      </w:r>
      <w:r w:rsidRPr="006922B7">
        <w:rPr>
          <w:rFonts w:ascii="Verdana" w:eastAsia="Century Gothic" w:hAnsi="Verdana" w:cs="Century Gothic"/>
          <w:i/>
          <w:iCs/>
          <w:sz w:val="20"/>
          <w:szCs w:val="20"/>
        </w:rPr>
        <w:t>Cordial Saludo,</w:t>
      </w:r>
    </w:p>
    <w:p w14:paraId="4FDBE424" w14:textId="77777777" w:rsidR="00EF3D91" w:rsidRPr="00DD6B81" w:rsidRDefault="00EF3D91" w:rsidP="00EF3D91">
      <w:pPr>
        <w:spacing w:line="240" w:lineRule="auto"/>
        <w:ind w:left="709" w:right="709"/>
        <w:jc w:val="both"/>
        <w:rPr>
          <w:rFonts w:ascii="Verdana" w:eastAsia="Century Gothic" w:hAnsi="Verdana" w:cs="Century Gothic"/>
          <w:i/>
          <w:iCs/>
          <w:sz w:val="20"/>
          <w:szCs w:val="20"/>
          <w:lang w:val="es-ES"/>
        </w:rPr>
      </w:pPr>
      <w:r w:rsidRPr="00DD6B81">
        <w:rPr>
          <w:rFonts w:ascii="Verdana" w:eastAsia="Century Gothic" w:hAnsi="Verdana" w:cs="Century Gothic"/>
          <w:i/>
          <w:iCs/>
          <w:sz w:val="20"/>
          <w:szCs w:val="20"/>
          <w:lang w:val="es-ES"/>
        </w:rPr>
        <w:t xml:space="preserve">¿la entidad estatal </w:t>
      </w:r>
      <w:proofErr w:type="spellStart"/>
      <w:r w:rsidRPr="00DD6B81">
        <w:rPr>
          <w:rFonts w:ascii="Verdana" w:eastAsia="Century Gothic" w:hAnsi="Verdana" w:cs="Century Gothic"/>
          <w:i/>
          <w:iCs/>
          <w:sz w:val="20"/>
          <w:szCs w:val="20"/>
          <w:lang w:val="es-ES"/>
        </w:rPr>
        <w:t>esta</w:t>
      </w:r>
      <w:proofErr w:type="spellEnd"/>
      <w:r w:rsidRPr="00DD6B81">
        <w:rPr>
          <w:rFonts w:ascii="Verdana" w:eastAsia="Century Gothic" w:hAnsi="Verdana" w:cs="Century Gothic"/>
          <w:i/>
          <w:iCs/>
          <w:sz w:val="20"/>
          <w:szCs w:val="20"/>
          <w:lang w:val="es-ES"/>
        </w:rPr>
        <w:t xml:space="preserve"> obligado a publicar al </w:t>
      </w:r>
      <w:proofErr w:type="spellStart"/>
      <w:r w:rsidRPr="00DD6B81">
        <w:rPr>
          <w:rFonts w:ascii="Verdana" w:eastAsia="Century Gothic" w:hAnsi="Verdana" w:cs="Century Gothic"/>
          <w:i/>
          <w:iCs/>
          <w:sz w:val="20"/>
          <w:szCs w:val="20"/>
          <w:lang w:val="es-ES"/>
        </w:rPr>
        <w:t>secop</w:t>
      </w:r>
      <w:proofErr w:type="spellEnd"/>
      <w:r w:rsidRPr="00DD6B81">
        <w:rPr>
          <w:rFonts w:ascii="Verdana" w:eastAsia="Century Gothic" w:hAnsi="Verdana" w:cs="Century Gothic"/>
          <w:i/>
          <w:iCs/>
          <w:sz w:val="20"/>
          <w:szCs w:val="20"/>
          <w:lang w:val="es-ES"/>
        </w:rPr>
        <w:t xml:space="preserve"> 1, el aviso de limitación o no a</w:t>
      </w:r>
      <w:r>
        <w:rPr>
          <w:rFonts w:ascii="Verdana" w:eastAsia="Century Gothic" w:hAnsi="Verdana" w:cs="Century Gothic"/>
          <w:i/>
          <w:iCs/>
          <w:sz w:val="20"/>
          <w:szCs w:val="20"/>
          <w:lang w:val="es-ES"/>
        </w:rPr>
        <w:t xml:space="preserve"> </w:t>
      </w:r>
      <w:proofErr w:type="spellStart"/>
      <w:r w:rsidRPr="00DD6B81">
        <w:rPr>
          <w:rFonts w:ascii="Verdana" w:eastAsia="Century Gothic" w:hAnsi="Verdana" w:cs="Century Gothic"/>
          <w:i/>
          <w:iCs/>
          <w:sz w:val="20"/>
          <w:szCs w:val="20"/>
          <w:lang w:val="es-ES"/>
        </w:rPr>
        <w:t>Mipymes</w:t>
      </w:r>
      <w:proofErr w:type="spellEnd"/>
      <w:r w:rsidRPr="00DD6B81">
        <w:rPr>
          <w:rFonts w:ascii="Verdana" w:eastAsia="Century Gothic" w:hAnsi="Verdana" w:cs="Century Gothic"/>
          <w:i/>
          <w:iCs/>
          <w:sz w:val="20"/>
          <w:szCs w:val="20"/>
          <w:lang w:val="es-ES"/>
        </w:rPr>
        <w:t>?</w:t>
      </w:r>
    </w:p>
    <w:p w14:paraId="41CC0FFF" w14:textId="77777777" w:rsidR="00EF3D91" w:rsidRDefault="00EF3D91" w:rsidP="00EF3D91">
      <w:pPr>
        <w:spacing w:line="240" w:lineRule="auto"/>
        <w:ind w:left="709" w:right="709"/>
        <w:jc w:val="both"/>
        <w:rPr>
          <w:rFonts w:ascii="Verdana" w:eastAsia="Century Gothic" w:hAnsi="Verdana" w:cs="Century Gothic"/>
          <w:i/>
          <w:iCs/>
          <w:sz w:val="20"/>
          <w:szCs w:val="20"/>
          <w:lang w:val="es-ES"/>
        </w:rPr>
      </w:pPr>
      <w:r w:rsidRPr="00DD6B81">
        <w:rPr>
          <w:rFonts w:ascii="Verdana" w:eastAsia="Century Gothic" w:hAnsi="Verdana" w:cs="Century Gothic"/>
          <w:i/>
          <w:iCs/>
          <w:sz w:val="20"/>
          <w:szCs w:val="20"/>
          <w:lang w:val="es-ES"/>
        </w:rPr>
        <w:t xml:space="preserve">Después de publicado el aviso si el proceso efectivamente se limitó a </w:t>
      </w:r>
      <w:proofErr w:type="spellStart"/>
      <w:r w:rsidRPr="00DD6B81">
        <w:rPr>
          <w:rFonts w:ascii="Verdana" w:eastAsia="Century Gothic" w:hAnsi="Verdana" w:cs="Century Gothic"/>
          <w:i/>
          <w:iCs/>
          <w:sz w:val="20"/>
          <w:szCs w:val="20"/>
          <w:lang w:val="es-ES"/>
        </w:rPr>
        <w:t>Mipyme</w:t>
      </w:r>
      <w:proofErr w:type="spellEnd"/>
      <w:r w:rsidRPr="00DD6B81">
        <w:rPr>
          <w:rFonts w:ascii="Verdana" w:eastAsia="Century Gothic" w:hAnsi="Verdana" w:cs="Century Gothic"/>
          <w:i/>
          <w:iCs/>
          <w:sz w:val="20"/>
          <w:szCs w:val="20"/>
          <w:lang w:val="es-ES"/>
        </w:rPr>
        <w:t xml:space="preserve"> o si</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podrá participar cualquier otro interesado el decreto 1860 de 2021, establece se</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dispondrá un término adicional dentro del cual los proponentes podrán presentar</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sus ofertas, el cual será de mínimo un (1) día hábil luego de publicado el aviso en</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 xml:space="preserve">que se informe si el proceso se limita o no a </w:t>
      </w:r>
      <w:proofErr w:type="spellStart"/>
      <w:r w:rsidRPr="00DD6B81">
        <w:rPr>
          <w:rFonts w:ascii="Verdana" w:eastAsia="Century Gothic" w:hAnsi="Verdana" w:cs="Century Gothic"/>
          <w:i/>
          <w:iCs/>
          <w:sz w:val="20"/>
          <w:szCs w:val="20"/>
          <w:lang w:val="es-ES"/>
        </w:rPr>
        <w:t>Mipyme</w:t>
      </w:r>
      <w:proofErr w:type="spellEnd"/>
      <w:r>
        <w:rPr>
          <w:rFonts w:ascii="Verdana" w:eastAsia="Century Gothic" w:hAnsi="Verdana" w:cs="Century Gothic"/>
          <w:i/>
          <w:iCs/>
          <w:sz w:val="20"/>
          <w:szCs w:val="20"/>
          <w:lang w:val="es-ES"/>
        </w:rPr>
        <w:t xml:space="preserve"> </w:t>
      </w:r>
    </w:p>
    <w:p w14:paraId="4C8E7816" w14:textId="77777777" w:rsidR="00EF3D91" w:rsidRPr="00DD6B81" w:rsidRDefault="00EF3D91" w:rsidP="00EF3D91">
      <w:pPr>
        <w:spacing w:line="240" w:lineRule="auto"/>
        <w:ind w:left="709" w:right="709"/>
        <w:jc w:val="both"/>
        <w:rPr>
          <w:rFonts w:ascii="Verdana" w:eastAsia="Century Gothic" w:hAnsi="Verdana" w:cs="Century Gothic"/>
          <w:i/>
          <w:iCs/>
          <w:sz w:val="20"/>
          <w:szCs w:val="20"/>
          <w:lang w:val="es-ES"/>
        </w:rPr>
      </w:pPr>
      <w:r w:rsidRPr="00DD6B81">
        <w:rPr>
          <w:rFonts w:ascii="Verdana" w:eastAsia="Century Gothic" w:hAnsi="Verdana" w:cs="Century Gothic"/>
          <w:i/>
          <w:iCs/>
          <w:sz w:val="20"/>
          <w:szCs w:val="20"/>
          <w:lang w:val="es-ES"/>
        </w:rPr>
        <w:t>¿EL día hábil debe ser contabilizado el siguiente día de la publicación del aviso o la</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 xml:space="preserve">entidad lo puede tomar trascurrido las 24 horas de la publicación del aviso en </w:t>
      </w:r>
      <w:proofErr w:type="spellStart"/>
      <w:r w:rsidRPr="00DD6B81">
        <w:rPr>
          <w:rFonts w:ascii="Verdana" w:eastAsia="Century Gothic" w:hAnsi="Verdana" w:cs="Century Gothic"/>
          <w:i/>
          <w:iCs/>
          <w:sz w:val="20"/>
          <w:szCs w:val="20"/>
          <w:lang w:val="es-ES"/>
        </w:rPr>
        <w:t>secop</w:t>
      </w:r>
      <w:proofErr w:type="spellEnd"/>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1?</w:t>
      </w:r>
    </w:p>
    <w:p w14:paraId="10A1C4A7" w14:textId="77777777" w:rsidR="00EF3D91" w:rsidRDefault="00EF3D91" w:rsidP="00EF3D91">
      <w:pPr>
        <w:spacing w:line="240" w:lineRule="auto"/>
        <w:ind w:left="709" w:right="709"/>
        <w:jc w:val="both"/>
        <w:rPr>
          <w:rFonts w:ascii="Verdana" w:eastAsia="Calibri" w:hAnsi="Verdana" w:cs="Arial"/>
          <w:i/>
          <w:iCs/>
          <w:sz w:val="20"/>
          <w:szCs w:val="20"/>
          <w:shd w:val="clear" w:color="auto" w:fill="FFFFFF"/>
        </w:rPr>
      </w:pPr>
      <w:r w:rsidRPr="00DD6B81">
        <w:rPr>
          <w:rFonts w:ascii="Verdana" w:eastAsia="Century Gothic" w:hAnsi="Verdana" w:cs="Century Gothic"/>
          <w:i/>
          <w:iCs/>
          <w:sz w:val="20"/>
          <w:szCs w:val="20"/>
          <w:lang w:val="es-ES"/>
        </w:rPr>
        <w:lastRenderedPageBreak/>
        <w:t>en caso de que se negativa la respuesta con respecto la expresión de trascurrido</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 xml:space="preserve">las 24 horas de la publicación el aviso </w:t>
      </w:r>
      <w:proofErr w:type="gramStart"/>
      <w:r w:rsidRPr="00DD6B81">
        <w:rPr>
          <w:rFonts w:ascii="Verdana" w:eastAsia="Century Gothic" w:hAnsi="Verdana" w:cs="Century Gothic"/>
          <w:i/>
          <w:iCs/>
          <w:sz w:val="20"/>
          <w:szCs w:val="20"/>
          <w:lang w:val="es-ES"/>
        </w:rPr>
        <w:t>¿La entidad estatal que normas estaría</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infringiendo e incurriera en algunas sanciones los funcionarios o servidores públicos</w:t>
      </w:r>
      <w:r>
        <w:rPr>
          <w:rFonts w:ascii="Verdana" w:eastAsia="Century Gothic" w:hAnsi="Verdana" w:cs="Century Gothic"/>
          <w:i/>
          <w:iCs/>
          <w:sz w:val="20"/>
          <w:szCs w:val="20"/>
          <w:lang w:val="es-ES"/>
        </w:rPr>
        <w:t xml:space="preserve"> </w:t>
      </w:r>
      <w:r w:rsidRPr="00DD6B81">
        <w:rPr>
          <w:rFonts w:ascii="Verdana" w:eastAsia="Century Gothic" w:hAnsi="Verdana" w:cs="Century Gothic"/>
          <w:i/>
          <w:iCs/>
          <w:sz w:val="20"/>
          <w:szCs w:val="20"/>
          <w:lang w:val="es-ES"/>
        </w:rPr>
        <w:t xml:space="preserve">que adelanta el proceso contractual.? </w:t>
      </w:r>
      <w:r w:rsidRPr="00772836">
        <w:rPr>
          <w:rFonts w:ascii="Verdana" w:eastAsia="Century Gothic" w:hAnsi="Verdana" w:cs="Century Gothic"/>
          <w:i/>
          <w:iCs/>
          <w:sz w:val="20"/>
          <w:szCs w:val="20"/>
          <w:lang w:val="es-ES"/>
        </w:rPr>
        <w:t>”</w:t>
      </w:r>
      <w:bookmarkEnd w:id="1"/>
      <w:proofErr w:type="gramEnd"/>
      <w:r w:rsidRPr="00772836">
        <w:rPr>
          <w:rFonts w:ascii="Verdana" w:eastAsia="Century Gothic" w:hAnsi="Verdana" w:cs="Century Gothic"/>
          <w:i/>
          <w:iCs/>
          <w:sz w:val="20"/>
          <w:szCs w:val="20"/>
          <w:lang w:val="es-ES"/>
        </w:rPr>
        <w:t>.</w:t>
      </w:r>
      <w:r>
        <w:rPr>
          <w:rFonts w:ascii="Verdana" w:eastAsia="Century Gothic" w:hAnsi="Verdana" w:cs="Century Gothic"/>
          <w:i/>
          <w:iCs/>
          <w:sz w:val="20"/>
          <w:szCs w:val="20"/>
          <w:lang w:val="es-ES"/>
        </w:rPr>
        <w:t xml:space="preserve"> [SIC]</w:t>
      </w:r>
    </w:p>
    <w:p w14:paraId="4BEB7E29" w14:textId="77777777" w:rsidR="00EF3D91" w:rsidRPr="009322DA" w:rsidRDefault="00EF3D91" w:rsidP="00EF3D91">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2453DB37" w14:textId="77777777" w:rsidR="00EF3D91" w:rsidRPr="009322DA" w:rsidRDefault="00EF3D91" w:rsidP="00EF3D91">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00D8B2C" w14:textId="77777777" w:rsidR="00EF3D91" w:rsidRPr="009322DA" w:rsidRDefault="00EF3D91" w:rsidP="00EF3D91">
      <w:pPr>
        <w:spacing w:after="0" w:line="276" w:lineRule="auto"/>
        <w:ind w:firstLine="709"/>
        <w:jc w:val="both"/>
        <w:rPr>
          <w:rFonts w:ascii="Verdana" w:eastAsia="Calibri" w:hAnsi="Verdana" w:cs="Arial"/>
          <w:lang w:val="es-ES" w:eastAsia="es-ES"/>
        </w:rPr>
      </w:pPr>
    </w:p>
    <w:p w14:paraId="62A0E7AE" w14:textId="77777777" w:rsidR="00EF3D91" w:rsidRPr="009322DA" w:rsidRDefault="00EF3D91" w:rsidP="00EF3D9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51E4F01A" w14:textId="77777777" w:rsidR="00EF3D91" w:rsidRPr="009322DA" w:rsidRDefault="00EF3D91" w:rsidP="00EF3D91">
      <w:pPr>
        <w:tabs>
          <w:tab w:val="left" w:pos="426"/>
        </w:tabs>
        <w:spacing w:after="0" w:line="276" w:lineRule="auto"/>
        <w:jc w:val="both"/>
        <w:rPr>
          <w:rFonts w:ascii="Verdana" w:eastAsia="Century Gothic" w:hAnsi="Verdana" w:cs="Century Gothic"/>
          <w:lang w:val="es-ES"/>
        </w:rPr>
      </w:pPr>
    </w:p>
    <w:p w14:paraId="5ACDD64E" w14:textId="2FAFEE4B" w:rsidR="003720E0" w:rsidRPr="003720E0" w:rsidRDefault="00EF3D91" w:rsidP="003720E0">
      <w:pPr>
        <w:spacing w:after="0" w:line="276" w:lineRule="auto"/>
        <w:jc w:val="both"/>
        <w:rPr>
          <w:rFonts w:ascii="Verdana" w:eastAsia="Century Gothic" w:hAnsi="Verdana" w:cs="Century Gothic"/>
        </w:rPr>
      </w:pPr>
      <w:r w:rsidRPr="009322DA">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322DA">
        <w:rPr>
          <w:rFonts w:ascii="Verdana" w:eastAsia="Century Gothic" w:hAnsi="Verdana" w:cs="Century Gothic"/>
        </w:rPr>
        <w:t xml:space="preserve"> siguiente problema jurídico:</w:t>
      </w:r>
      <w:r>
        <w:rPr>
          <w:rFonts w:ascii="Verdana" w:eastAsia="Century Gothic" w:hAnsi="Verdana" w:cs="Century Gothic"/>
        </w:rPr>
        <w:t xml:space="preserve"> i) </w:t>
      </w:r>
      <w:r w:rsidR="003720E0" w:rsidRPr="003720E0">
        <w:rPr>
          <w:rFonts w:ascii="Verdana" w:eastAsia="Century Gothic" w:hAnsi="Verdana" w:cs="Century Gothic"/>
          <w:b/>
          <w:bCs/>
        </w:rPr>
        <w:t>i)</w:t>
      </w:r>
      <w:r w:rsidR="003720E0" w:rsidRPr="003720E0">
        <w:rPr>
          <w:rFonts w:ascii="Verdana" w:eastAsia="Century Gothic" w:hAnsi="Verdana" w:cs="Century Gothic"/>
        </w:rPr>
        <w:t xml:space="preserve"> ¿Resulta obligatorio publicar en SECOP I el aviso de convocatoria limitada a </w:t>
      </w:r>
      <w:proofErr w:type="spellStart"/>
      <w:r w:rsidR="003720E0" w:rsidRPr="003720E0">
        <w:rPr>
          <w:rFonts w:ascii="Verdana" w:eastAsia="Century Gothic" w:hAnsi="Verdana" w:cs="Century Gothic"/>
        </w:rPr>
        <w:t>mipymes</w:t>
      </w:r>
      <w:proofErr w:type="spellEnd"/>
      <w:r w:rsidR="003720E0" w:rsidRPr="003720E0">
        <w:rPr>
          <w:rFonts w:ascii="Verdana" w:eastAsia="Century Gothic" w:hAnsi="Verdana" w:cs="Century Gothic"/>
        </w:rPr>
        <w:t xml:space="preserve"> dentro de un proceso de selección por mínima cuantía?</w:t>
      </w:r>
      <w:r w:rsidR="002A07AB">
        <w:rPr>
          <w:rFonts w:ascii="Verdana" w:eastAsia="Century Gothic" w:hAnsi="Verdana" w:cs="Century Gothic"/>
        </w:rPr>
        <w:t xml:space="preserve"> </w:t>
      </w:r>
      <w:proofErr w:type="spellStart"/>
      <w:r w:rsidR="003720E0" w:rsidRPr="003720E0">
        <w:rPr>
          <w:rFonts w:ascii="Verdana" w:eastAsia="Century Gothic" w:hAnsi="Verdana" w:cs="Century Gothic"/>
          <w:b/>
          <w:bCs/>
        </w:rPr>
        <w:t>ii</w:t>
      </w:r>
      <w:proofErr w:type="spellEnd"/>
      <w:r w:rsidR="003720E0" w:rsidRPr="003720E0">
        <w:rPr>
          <w:rFonts w:ascii="Verdana" w:eastAsia="Century Gothic" w:hAnsi="Verdana" w:cs="Century Gothic"/>
          <w:b/>
          <w:bCs/>
        </w:rPr>
        <w:t>)</w:t>
      </w:r>
      <w:r w:rsidR="003720E0" w:rsidRPr="003720E0">
        <w:rPr>
          <w:rFonts w:ascii="Verdana" w:eastAsia="Century Gothic" w:hAnsi="Verdana" w:cs="Century Gothic"/>
        </w:rPr>
        <w:t xml:space="preserve"> ¿Cuál es el criterio aplicable para el cómputo de los días hábiles destinados a la presentación de ofertas, una vez publicado el aviso de convocatoria a </w:t>
      </w:r>
      <w:proofErr w:type="spellStart"/>
      <w:r w:rsidR="003720E0" w:rsidRPr="003720E0">
        <w:rPr>
          <w:rFonts w:ascii="Verdana" w:eastAsia="Century Gothic" w:hAnsi="Verdana" w:cs="Century Gothic"/>
        </w:rPr>
        <w:t>mipymes</w:t>
      </w:r>
      <w:proofErr w:type="spellEnd"/>
      <w:r w:rsidR="003720E0" w:rsidRPr="003720E0">
        <w:rPr>
          <w:rFonts w:ascii="Verdana" w:eastAsia="Century Gothic" w:hAnsi="Verdana" w:cs="Century Gothic"/>
        </w:rPr>
        <w:t xml:space="preserve"> en el marco de un proceso de mínima cuantía en SECOP I?</w:t>
      </w:r>
    </w:p>
    <w:p w14:paraId="4F018EFC" w14:textId="25A3555D" w:rsidR="00EF3D91" w:rsidRPr="009322DA" w:rsidRDefault="00EF3D91" w:rsidP="00EF3D91">
      <w:pPr>
        <w:spacing w:after="0" w:line="276" w:lineRule="auto"/>
        <w:jc w:val="both"/>
        <w:rPr>
          <w:rFonts w:ascii="Verdana" w:eastAsia="Calibri" w:hAnsi="Verdana" w:cs="Arial"/>
          <w:lang w:val="es-ES"/>
        </w:rPr>
      </w:pPr>
    </w:p>
    <w:p w14:paraId="09D72CF2" w14:textId="77777777" w:rsidR="00EF3D91" w:rsidRPr="009322DA" w:rsidRDefault="00EF3D91" w:rsidP="00EF3D9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F3D91" w:rsidRPr="009322DA" w14:paraId="66AEDA23" w14:textId="77777777" w:rsidTr="71FDCEDB">
        <w:tc>
          <w:tcPr>
            <w:tcW w:w="8828" w:type="dxa"/>
            <w:tcBorders>
              <w:top w:val="dotted" w:sz="4" w:space="0" w:color="auto"/>
              <w:left w:val="dotted" w:sz="4" w:space="0" w:color="auto"/>
              <w:bottom w:val="dotted" w:sz="4" w:space="0" w:color="auto"/>
              <w:right w:val="dotted" w:sz="4" w:space="0" w:color="auto"/>
            </w:tcBorders>
          </w:tcPr>
          <w:p w14:paraId="1EE3F9C3" w14:textId="77777777" w:rsidR="00EF3D91" w:rsidRPr="000D0AF3" w:rsidRDefault="00EF3D91" w:rsidP="00EF3D91">
            <w:pPr>
              <w:pStyle w:val="Prrafodelista"/>
              <w:numPr>
                <w:ilvl w:val="0"/>
                <w:numId w:val="18"/>
              </w:numPr>
              <w:spacing w:before="120" w:after="120" w:line="276" w:lineRule="auto"/>
              <w:ind w:left="34" w:hanging="5"/>
              <w:jc w:val="both"/>
              <w:rPr>
                <w:rFonts w:ascii="Verdana" w:eastAsia="Calibri" w:hAnsi="Verdana" w:cs="Arial"/>
              </w:rPr>
            </w:pPr>
            <w:r>
              <w:rPr>
                <w:rFonts w:ascii="Verdana" w:eastAsia="Calibri" w:hAnsi="Verdana" w:cs="Arial"/>
              </w:rPr>
              <w:t>E</w:t>
            </w:r>
            <w:r w:rsidRPr="000D0AF3">
              <w:rPr>
                <w:rFonts w:ascii="Verdana" w:eastAsia="Calibri" w:hAnsi="Verdana" w:cs="Arial"/>
              </w:rPr>
              <w:t xml:space="preserve">l principio de publicidad impone a las autoridades administrativas el deber de dar a conocer sus actos, contratos y decisiones para que se divulguen y eventualmente se controlen. Por ello, en la contratación estatal, el literal c) </w:t>
            </w:r>
            <w:r w:rsidRPr="000D0AF3">
              <w:rPr>
                <w:rFonts w:ascii="Verdana" w:eastAsia="Calibri" w:hAnsi="Verdana" w:cs="Arial"/>
              </w:rPr>
              <w:lastRenderedPageBreak/>
              <w:t>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2AF16A02" w14:textId="77777777" w:rsidR="00EF3D91" w:rsidRPr="00E57ECB" w:rsidRDefault="00EF3D91" w:rsidP="000964B0">
            <w:pPr>
              <w:spacing w:before="120" w:line="276" w:lineRule="auto"/>
              <w:ind w:firstLine="709"/>
              <w:jc w:val="both"/>
              <w:rPr>
                <w:rFonts w:ascii="Verdana" w:eastAsia="Calibri" w:hAnsi="Verdana" w:cs="Arial"/>
              </w:rPr>
            </w:pPr>
            <w:r>
              <w:rPr>
                <w:rFonts w:ascii="Verdana" w:eastAsia="Calibri" w:hAnsi="Verdana" w:cs="Arial"/>
                <w:lang w:val="es-ES"/>
              </w:rPr>
              <w:t xml:space="preserve">De conformidad con lo </w:t>
            </w:r>
            <w:r>
              <w:rPr>
                <w:rFonts w:ascii="Verdana" w:eastAsia="Calibri" w:hAnsi="Verdana" w:cs="Arial"/>
              </w:rPr>
              <w:t xml:space="preserve">señalado en </w:t>
            </w:r>
            <w:r w:rsidRPr="00E57ECB">
              <w:rPr>
                <w:rFonts w:ascii="Verdana" w:eastAsia="Calibri" w:hAnsi="Verdana" w:cs="Arial"/>
              </w:rPr>
              <w:t xml:space="preserve">el </w:t>
            </w:r>
            <w:r>
              <w:rPr>
                <w:rFonts w:ascii="Verdana" w:eastAsia="Calibri" w:hAnsi="Verdana" w:cs="Arial"/>
              </w:rPr>
              <w:t xml:space="preserve">artículo 2 del </w:t>
            </w:r>
            <w:r w:rsidRPr="00E57ECB">
              <w:rPr>
                <w:rFonts w:ascii="Verdana" w:eastAsia="Calibri" w:hAnsi="Verdana" w:cs="Arial"/>
              </w:rPr>
              <w:t>Decreto 1860 de 2021</w:t>
            </w:r>
            <w:r>
              <w:rPr>
                <w:rFonts w:ascii="Verdana" w:eastAsia="Calibri" w:hAnsi="Verdana" w:cs="Arial"/>
              </w:rPr>
              <w:t xml:space="preserve"> que modificó el artículo </w:t>
            </w:r>
            <w:r w:rsidRPr="00CF44B4">
              <w:rPr>
                <w:rFonts w:ascii="Verdana" w:eastAsia="Calibri" w:hAnsi="Verdana" w:cs="Arial"/>
              </w:rPr>
              <w:t>2.2.1.2.1.5.2. </w:t>
            </w:r>
            <w:r w:rsidRPr="003B39D3">
              <w:rPr>
                <w:rFonts w:ascii="Verdana" w:eastAsia="Calibri" w:hAnsi="Verdana" w:cs="Arial"/>
              </w:rPr>
              <w:t xml:space="preserve"> del</w:t>
            </w:r>
            <w:r>
              <w:rPr>
                <w:rFonts w:ascii="Verdana" w:eastAsia="Calibri" w:hAnsi="Verdana" w:cs="Arial"/>
              </w:rPr>
              <w:t xml:space="preserve"> Decreto 1082</w:t>
            </w:r>
            <w:r w:rsidRPr="00E57ECB">
              <w:rPr>
                <w:rFonts w:ascii="Verdana" w:eastAsia="Calibri" w:hAnsi="Verdana" w:cs="Arial"/>
              </w:rPr>
              <w:t>, es contundente al establecer que:</w:t>
            </w:r>
            <w:r>
              <w:rPr>
                <w:rFonts w:ascii="Verdana" w:eastAsia="Calibri" w:hAnsi="Verdana" w:cs="Arial"/>
              </w:rPr>
              <w:t xml:space="preserve"> </w:t>
            </w:r>
            <w:r w:rsidRPr="00E57ECB">
              <w:rPr>
                <w:rFonts w:ascii="Verdana" w:eastAsia="Calibri" w:hAnsi="Verdana" w:cs="Arial"/>
              </w:rPr>
              <w:t>"</w:t>
            </w:r>
            <w:r>
              <w:rPr>
                <w:rFonts w:ascii="Verdana" w:eastAsia="Calibri" w:hAnsi="Verdana" w:cs="Arial"/>
              </w:rPr>
              <w:t>se</w:t>
            </w:r>
            <w:r w:rsidRPr="003D75A8">
              <w:rPr>
                <w:rFonts w:ascii="Verdana" w:eastAsia="Calibri" w:hAnsi="Verdana" w:cs="Arial"/>
              </w:rPr>
              <w:t xml:space="preserve"> publicará un aviso en el SECOP precisando si el proceso efectivamente se limitó a </w:t>
            </w:r>
            <w:proofErr w:type="spellStart"/>
            <w:r w:rsidRPr="003D75A8">
              <w:rPr>
                <w:rFonts w:ascii="Verdana" w:eastAsia="Calibri" w:hAnsi="Verdana" w:cs="Arial"/>
              </w:rPr>
              <w:t>Mipyme</w:t>
            </w:r>
            <w:proofErr w:type="spellEnd"/>
            <w:r w:rsidRPr="003D75A8">
              <w:rPr>
                <w:rFonts w:ascii="Verdana" w:eastAsia="Calibri" w:hAnsi="Verdana" w:cs="Arial"/>
              </w:rPr>
              <w:t xml:space="preserve"> o si podrá participar cualquier otro interesado</w:t>
            </w:r>
            <w:r w:rsidRPr="00E57ECB">
              <w:rPr>
                <w:rFonts w:ascii="Verdana" w:eastAsia="Calibri" w:hAnsi="Verdana" w:cs="Arial"/>
              </w:rPr>
              <w:t>”.</w:t>
            </w:r>
          </w:p>
          <w:p w14:paraId="0A7CA319" w14:textId="77777777" w:rsidR="00EF3D91" w:rsidRDefault="00EF3D91" w:rsidP="000964B0">
            <w:pPr>
              <w:spacing w:before="120" w:line="276" w:lineRule="auto"/>
              <w:ind w:firstLine="709"/>
              <w:jc w:val="both"/>
              <w:rPr>
                <w:rFonts w:ascii="Verdana" w:eastAsia="Calibri" w:hAnsi="Verdana" w:cs="Arial"/>
              </w:rPr>
            </w:pPr>
            <w:r w:rsidRPr="00E57ECB">
              <w:rPr>
                <w:rFonts w:ascii="Verdana" w:eastAsia="Calibri" w:hAnsi="Verdana" w:cs="Arial"/>
              </w:rPr>
              <w:t>Esta disposición es de vital importancia y su carácter es obligatorio</w:t>
            </w:r>
            <w:r>
              <w:rPr>
                <w:rFonts w:ascii="Verdana" w:eastAsia="Calibri" w:hAnsi="Verdana" w:cs="Arial"/>
              </w:rPr>
              <w:t>, dado que l</w:t>
            </w:r>
            <w:r w:rsidRPr="00E57ECB">
              <w:rPr>
                <w:rFonts w:ascii="Verdana" w:eastAsia="Calibri" w:hAnsi="Verdana" w:cs="Arial"/>
              </w:rPr>
              <w:t>a publicación de este aviso en el Sistema Electrónico para la Contratación Pública (SECOP) no es una mera formalidad, sino un requisito esencial que materializa los principios de transparencia y publicidad en la contratación estatal</w:t>
            </w:r>
            <w:r>
              <w:rPr>
                <w:rFonts w:ascii="Verdana" w:eastAsia="Calibri" w:hAnsi="Verdana" w:cs="Arial"/>
              </w:rPr>
              <w:t xml:space="preserve">, pues la </w:t>
            </w:r>
            <w:r w:rsidRPr="008F028B">
              <w:rPr>
                <w:rFonts w:ascii="Verdana" w:eastAsia="Calibri" w:hAnsi="Verdana" w:cs="Arial"/>
              </w:rPr>
              <w:t xml:space="preserve"> publicación de este aviso tiene como objetivo garantizar la </w:t>
            </w:r>
            <w:r w:rsidRPr="0078162C">
              <w:rPr>
                <w:rFonts w:ascii="Verdana" w:eastAsia="Calibri" w:hAnsi="Verdana" w:cs="Arial"/>
              </w:rPr>
              <w:t>transparencia y publicidad</w:t>
            </w:r>
            <w:r w:rsidRPr="008F028B">
              <w:rPr>
                <w:rFonts w:ascii="Verdana" w:eastAsia="Calibri" w:hAnsi="Verdana" w:cs="Arial"/>
              </w:rPr>
              <w:t xml:space="preserve"> del proceso, permitiendo a los potenciales oferentes, especialmente a las MiPymes, conocer las condiciones de participación desde el inicio</w:t>
            </w:r>
            <w:r>
              <w:rPr>
                <w:rFonts w:ascii="Verdana" w:eastAsia="Calibri" w:hAnsi="Verdana" w:cs="Arial"/>
              </w:rPr>
              <w:t xml:space="preserve"> del proceso.</w:t>
            </w:r>
          </w:p>
          <w:p w14:paraId="6A89BDC9" w14:textId="77777777" w:rsidR="00EF3D91" w:rsidRPr="00CF44B4" w:rsidRDefault="00EF3D91" w:rsidP="000964B0">
            <w:pPr>
              <w:pStyle w:val="Prrafodelista"/>
              <w:spacing w:after="120" w:line="276" w:lineRule="auto"/>
              <w:ind w:left="1080" w:firstLine="709"/>
              <w:jc w:val="both"/>
              <w:rPr>
                <w:rFonts w:ascii="Verdana" w:eastAsia="Calibri" w:hAnsi="Verdana" w:cs="Arial"/>
                <w:lang w:val="es-CO"/>
              </w:rPr>
            </w:pPr>
          </w:p>
          <w:p w14:paraId="1DDCB72E" w14:textId="77777777" w:rsidR="00EF3D91" w:rsidRDefault="00D05910" w:rsidP="71FDCEDB">
            <w:pPr>
              <w:spacing w:after="120" w:line="276" w:lineRule="auto"/>
              <w:ind w:firstLine="709"/>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00EF3D91" w:rsidRPr="71FDCEDB">
              <w:rPr>
                <w:rFonts w:ascii="Verdana" w:eastAsia="Calibri" w:hAnsi="Verdana" w:cs="Arial"/>
                <w:lang w:val="es-ES"/>
              </w:rPr>
              <w:t xml:space="preserve">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incluido el de mínima cuantía. Conforme a esta regla, a las entidades que utilizan SECOP I, para cumplir con el término mínimo de un día hábil para recibir ofertas, les bastará con recibir ofertas por el lapso correspondiente a una jornada laboral diaria. </w:t>
            </w:r>
          </w:p>
          <w:p w14:paraId="390DEFA2" w14:textId="05566F78" w:rsidR="00A642A9" w:rsidRPr="00A642A9" w:rsidRDefault="00A642A9" w:rsidP="002A07AB">
            <w:pPr>
              <w:spacing w:after="120" w:line="276" w:lineRule="auto"/>
              <w:ind w:firstLine="709"/>
              <w:jc w:val="both"/>
              <w:rPr>
                <w:rFonts w:ascii="Verdana" w:eastAsia="Calibri" w:hAnsi="Verdana" w:cs="Arial"/>
              </w:rPr>
            </w:pPr>
            <w:r>
              <w:rPr>
                <w:rFonts w:ascii="Verdana" w:eastAsia="Calibri" w:hAnsi="Verdana" w:cs="Arial"/>
              </w:rPr>
              <w:t xml:space="preserve">No obstante, </w:t>
            </w:r>
            <w:r w:rsidRPr="007A0E81">
              <w:rPr>
                <w:rFonts w:ascii="Verdana" w:eastAsia="Calibri" w:hAnsi="Verdana" w:cs="Arial"/>
              </w:rPr>
              <w:t xml:space="preserve">debe advertirse que el análisis requerido para establecer </w:t>
            </w:r>
            <w:r>
              <w:rPr>
                <w:rFonts w:ascii="Verdana" w:eastAsia="Calibri" w:hAnsi="Verdana" w:cs="Arial"/>
              </w:rPr>
              <w:t>los plazos</w:t>
            </w:r>
            <w:r w:rsidRPr="007A0E81">
              <w:rPr>
                <w:rFonts w:ascii="Verdana" w:eastAsia="Calibri" w:hAnsi="Verdana" w:cs="Arial"/>
              </w:rPr>
              <w:t xml:space="preserve"> debe ser realizado por la entidad contratante en consideración a las particularidades y especificaciones del respectivo objeto contractual, de acuerdo con lo explicado supra, así como las cláusulas fijadas en los documentos del proceso. De esta manera, lo explicado en el presente concepto no puede ser interpretado como un pronunciamiento respecto del plazo aludido en la petición, ni las afirmaciones aquí realizadas pueden ser interpretadas </w:t>
            </w:r>
            <w:r w:rsidRPr="007A0E81">
              <w:rPr>
                <w:rFonts w:ascii="Verdana" w:eastAsia="Calibri" w:hAnsi="Verdana" w:cs="Arial"/>
              </w:rPr>
              <w:lastRenderedPageBreak/>
              <w:t>como juicios de valor sobre circunstancias relacionadas con los hechos que motivan la petición.</w:t>
            </w:r>
          </w:p>
        </w:tc>
      </w:tr>
    </w:tbl>
    <w:p w14:paraId="5CF36B12" w14:textId="77777777" w:rsidR="00EF3D91" w:rsidRPr="009322DA" w:rsidRDefault="00EF3D91" w:rsidP="00EF3D91">
      <w:pPr>
        <w:tabs>
          <w:tab w:val="left" w:pos="142"/>
          <w:tab w:val="left" w:pos="284"/>
        </w:tabs>
        <w:spacing w:after="0" w:line="276" w:lineRule="auto"/>
        <w:jc w:val="both"/>
        <w:rPr>
          <w:rFonts w:ascii="Verdana" w:eastAsia="Century Gothic" w:hAnsi="Verdana" w:cs="Century Gothic"/>
          <w:b/>
          <w:bCs/>
          <w:lang w:val="es-ES"/>
        </w:rPr>
      </w:pPr>
    </w:p>
    <w:p w14:paraId="015F8322" w14:textId="77777777" w:rsidR="00EF3D91" w:rsidRPr="009322DA" w:rsidRDefault="00EF3D91" w:rsidP="00EF3D91">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483670EA" w14:textId="77777777" w:rsidR="00EF3D91" w:rsidRPr="009322DA" w:rsidRDefault="00EF3D91" w:rsidP="00EF3D91">
      <w:pPr>
        <w:spacing w:after="0" w:line="276" w:lineRule="auto"/>
        <w:jc w:val="both"/>
        <w:rPr>
          <w:rFonts w:ascii="Verdana" w:eastAsia="Calibri" w:hAnsi="Verdana" w:cs="Arial"/>
          <w:lang w:val="es-ES"/>
        </w:rPr>
      </w:pPr>
    </w:p>
    <w:p w14:paraId="6B96985F" w14:textId="77777777" w:rsidR="00EF3D91" w:rsidRDefault="00EF3D91" w:rsidP="00EF3D91">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0B60783D" w14:textId="77777777" w:rsidR="00EF3D91" w:rsidRDefault="00EF3D91" w:rsidP="00EF3D91">
      <w:pPr>
        <w:spacing w:before="120" w:after="120" w:line="276" w:lineRule="auto"/>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Para absolver el primer problema jurídico es necesario abordar e</w:t>
      </w:r>
      <w:r w:rsidRPr="005817C0">
        <w:rPr>
          <w:rFonts w:ascii="Verdana" w:eastAsia="Times New Roman" w:hAnsi="Verdana" w:cs="Arial"/>
          <w:lang w:val="es-ES_tradnl" w:eastAsia="es-ES_tradnl"/>
          <w14:ligatures w14:val="standardContextual"/>
        </w:rPr>
        <w:t>l principio de publicidad</w:t>
      </w:r>
      <w:r>
        <w:rPr>
          <w:rFonts w:ascii="Verdana" w:eastAsia="Times New Roman" w:hAnsi="Verdana" w:cs="Arial"/>
          <w:lang w:val="es-ES_tradnl" w:eastAsia="es-ES_tradnl"/>
          <w14:ligatures w14:val="standardContextual"/>
        </w:rPr>
        <w:t>, este</w:t>
      </w:r>
      <w:r w:rsidRPr="005817C0">
        <w:rPr>
          <w:rFonts w:ascii="Verdana" w:eastAsia="Times New Roman" w:hAnsi="Verdana" w:cs="Arial"/>
          <w:lang w:val="es-ES_tradnl" w:eastAsia="es-ES_tradnl"/>
          <w14:ligatures w14:val="standardContextual"/>
        </w:rPr>
        <w:t xml:space="preserve">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1"/>
      </w:r>
      <w:r w:rsidRPr="005817C0">
        <w:rPr>
          <w:rFonts w:ascii="Verdana" w:eastAsia="Times New Roman" w:hAnsi="Verdana" w:cs="Arial"/>
          <w:lang w:val="es-ES_tradnl" w:eastAsia="es-ES_tradnl"/>
          <w14:ligatures w14:val="standardContextual"/>
        </w:rPr>
        <w:t>.</w:t>
      </w:r>
    </w:p>
    <w:p w14:paraId="0EF17C3A" w14:textId="77777777" w:rsidR="00EF3D91" w:rsidRDefault="00EF3D91" w:rsidP="00EF3D91">
      <w:pPr>
        <w:spacing w:before="120" w:after="120" w:line="276" w:lineRule="auto"/>
        <w:ind w:firstLine="709"/>
        <w:jc w:val="both"/>
        <w:rPr>
          <w:rFonts w:ascii="Verdana" w:eastAsia="Times New Roman" w:hAnsi="Verdana" w:cs="Arial"/>
          <w:lang w:val="es-ES" w:eastAsia="es-ES"/>
          <w14:ligatures w14:val="standardContextual"/>
        </w:rPr>
      </w:pPr>
      <w:r w:rsidRPr="3C523C55">
        <w:rPr>
          <w:rFonts w:ascii="Verdana" w:eastAsia="Times New Roman" w:hAnsi="Verdana" w:cs="Arial"/>
          <w:lang w:val="es-ES" w:eastAsia="es-ES"/>
          <w14:ligatures w14:val="standardContextual"/>
        </w:rPr>
        <w:t xml:space="preserve">Así mismo,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w:t>
      </w:r>
      <w:r w:rsidRPr="3C523C55">
        <w:rPr>
          <w:rFonts w:ascii="Verdana" w:eastAsia="Times New Roman" w:hAnsi="Verdana" w:cs="Arial"/>
          <w:lang w:val="es-ES" w:eastAsia="es-ES"/>
          <w14:ligatures w14:val="standardContextual"/>
        </w:rPr>
        <w:lastRenderedPageBreak/>
        <w:t>reservada o limitada sino por disposición constitucional o legal”</w:t>
      </w:r>
      <w:r w:rsidRPr="3C523C55">
        <w:rPr>
          <w:rFonts w:ascii="Verdana" w:eastAsia="Times New Roman" w:hAnsi="Verdana" w:cs="Arial"/>
          <w:vertAlign w:val="superscript"/>
          <w:lang w:val="es-ES" w:eastAsia="es-ES"/>
          <w14:ligatures w14:val="standardContextual"/>
        </w:rPr>
        <w:footnoteReference w:id="2"/>
      </w:r>
      <w:r w:rsidRPr="3C523C55">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61377C29" w14:textId="77777777" w:rsidR="00EF3D91" w:rsidRPr="00CF44B4" w:rsidRDefault="00EF3D91" w:rsidP="00EF3D91">
      <w:pPr>
        <w:pStyle w:val="NormalWeb"/>
        <w:spacing w:before="0" w:beforeAutospacing="0" w:after="120" w:afterAutospacing="0" w:line="276" w:lineRule="auto"/>
        <w:ind w:firstLine="709"/>
        <w:jc w:val="both"/>
        <w:rPr>
          <w:rFonts w:ascii="Verdana" w:eastAsiaTheme="minorHAnsi" w:hAnsi="Verdana" w:cs="Arial"/>
          <w:sz w:val="22"/>
          <w:szCs w:val="22"/>
          <w:lang w:eastAsia="en-US"/>
        </w:rPr>
      </w:pPr>
      <w:r w:rsidRPr="008768AB">
        <w:rPr>
          <w:rFonts w:ascii="Verdana" w:eastAsiaTheme="minorHAnsi" w:hAnsi="Verdana" w:cs="Arial"/>
          <w:sz w:val="22"/>
          <w:szCs w:val="22"/>
          <w:lang w:eastAsia="en-US"/>
        </w:rPr>
        <w:t>La ley citada establece, en el literal e) del artículo 9, que los sujetos obligados, que son todas las entidades públicas</w:t>
      </w:r>
      <w:r w:rsidRPr="008768AB">
        <w:rPr>
          <w:rStyle w:val="Refdenotaalpie"/>
          <w:rFonts w:ascii="Verdana" w:eastAsiaTheme="minorHAnsi" w:hAnsi="Verdana" w:cs="Arial"/>
          <w:sz w:val="22"/>
          <w:szCs w:val="22"/>
          <w:lang w:eastAsia="en-US"/>
        </w:rPr>
        <w:footnoteReference w:id="3"/>
      </w:r>
      <w:r w:rsidRPr="008768AB">
        <w:rPr>
          <w:rFonts w:ascii="Verdana" w:eastAsiaTheme="minorHAnsi" w:hAnsi="Verdana" w:cs="Arial"/>
          <w:sz w:val="22"/>
          <w:szCs w:val="22"/>
          <w:lang w:eastAsia="en-US"/>
        </w:rPr>
        <w:t>, deben publicar la información relativa a su contratación. Esta obligación fue desarrollada por el Decreto Único Reglamentario 1081 de 2015</w:t>
      </w:r>
      <w:r w:rsidRPr="008768AB">
        <w:rPr>
          <w:rStyle w:val="Refdenotaalpie"/>
          <w:rFonts w:ascii="Verdana" w:eastAsiaTheme="minorHAnsi" w:hAnsi="Verdana" w:cs="Arial"/>
          <w:sz w:val="22"/>
          <w:szCs w:val="22"/>
          <w:lang w:eastAsia="en-US"/>
        </w:rPr>
        <w:footnoteReference w:id="4"/>
      </w:r>
      <w:r w:rsidRPr="008768AB">
        <w:rPr>
          <w:rFonts w:ascii="Verdana" w:eastAsiaTheme="minorHAnsi" w:hAnsi="Verdana" w:cs="Arial"/>
          <w:sz w:val="22"/>
          <w:szCs w:val="22"/>
          <w:lang w:eastAsia="en-US"/>
        </w:rPr>
        <w:t>, el cual dispuso que la publicación de la información contractual de los sujetos obligados, que contratan con cargo a recursos públicos, debe hacerse en el Sistema Electrónico de Contratación Pública –</w:t>
      </w:r>
      <w:r w:rsidRPr="008768AB">
        <w:rPr>
          <w:rFonts w:ascii="Verdana" w:eastAsiaTheme="minorHAnsi" w:hAnsi="Verdana" w:cs="Arial"/>
          <w:sz w:val="22"/>
          <w:szCs w:val="22"/>
          <w:lang w:eastAsia="en-US"/>
        </w:rPr>
        <w:softHyphen/>
        <w:t xml:space="preserve"> </w:t>
      </w:r>
      <w:r w:rsidRPr="008768AB">
        <w:rPr>
          <w:rFonts w:ascii="Verdana" w:eastAsiaTheme="minorHAnsi" w:hAnsi="Verdana" w:cs="Arial"/>
          <w:sz w:val="22"/>
          <w:szCs w:val="22"/>
          <w:lang w:eastAsia="en-US"/>
        </w:rPr>
        <w:softHyphen/>
        <w:t>SECOP.</w:t>
      </w:r>
      <w:r>
        <w:rPr>
          <w:rFonts w:ascii="Verdana" w:eastAsiaTheme="minorHAnsi" w:hAnsi="Verdana" w:cs="Arial"/>
          <w:sz w:val="22"/>
          <w:szCs w:val="22"/>
          <w:lang w:eastAsia="en-US"/>
        </w:rPr>
        <w:t xml:space="preserve"> Igualmente, </w:t>
      </w:r>
      <w:r w:rsidRPr="008768AB">
        <w:rPr>
          <w:rFonts w:ascii="Verdana" w:hAnsi="Verdana" w:cs="Arial"/>
          <w:sz w:val="22"/>
          <w:szCs w:val="22"/>
          <w:lang w:val="es-ES"/>
        </w:rPr>
        <w:t xml:space="preserve">de acuerdo con el literal g) del artículo 11 de la misma ley, todos los destinatarios de la ley de transparencia deben garantizar la publicidad de </w:t>
      </w:r>
      <w:r>
        <w:rPr>
          <w:rFonts w:ascii="Verdana" w:hAnsi="Verdana" w:cs="Arial"/>
          <w:lang w:val="es-ES"/>
        </w:rPr>
        <w:t>“</w:t>
      </w:r>
      <w:r w:rsidRPr="008768AB">
        <w:rPr>
          <w:rFonts w:ascii="Verdana" w:hAnsi="Verdana" w:cs="Arial"/>
          <w:sz w:val="22"/>
          <w:szCs w:val="22"/>
          <w:lang w:val="es-ES"/>
        </w:rPr>
        <w:t>sus procedimientos, lineamientos, políticas en materia de adquisiciones y compras, así como todos los datos de adjudicación y ejecución de contratos, incluidos concursos y licitaciones</w:t>
      </w:r>
      <w:r>
        <w:rPr>
          <w:rFonts w:ascii="Verdana" w:hAnsi="Verdana" w:cs="Arial"/>
          <w:lang w:val="es-ES"/>
        </w:rPr>
        <w:t>”</w:t>
      </w:r>
      <w:r w:rsidRPr="008768AB">
        <w:rPr>
          <w:rFonts w:ascii="Verdana" w:hAnsi="Verdana" w:cs="Arial"/>
          <w:sz w:val="22"/>
          <w:szCs w:val="22"/>
          <w:lang w:val="es-ES"/>
        </w:rPr>
        <w:t xml:space="preserve">, y esta información también debe estar en el SECOP. </w:t>
      </w:r>
    </w:p>
    <w:p w14:paraId="28A3087D" w14:textId="77777777" w:rsidR="00EF3D91" w:rsidRPr="00E57ECB" w:rsidRDefault="00EF3D91" w:rsidP="00EF3D91">
      <w:pPr>
        <w:spacing w:after="120" w:line="276" w:lineRule="auto"/>
        <w:ind w:firstLine="709"/>
        <w:jc w:val="both"/>
        <w:rPr>
          <w:rFonts w:ascii="Verdana" w:eastAsia="Calibri" w:hAnsi="Verdana" w:cs="Arial"/>
        </w:rPr>
      </w:pPr>
      <w:r>
        <w:rPr>
          <w:rFonts w:ascii="Verdana" w:eastAsia="Calibri" w:hAnsi="Verdana" w:cs="Arial"/>
        </w:rPr>
        <w:t>Por otra parte, frente a la limitación de convocatorias a MiPymes, e</w:t>
      </w:r>
      <w:r w:rsidRPr="00E57ECB">
        <w:rPr>
          <w:rFonts w:ascii="Verdana" w:eastAsia="Calibri" w:hAnsi="Verdana" w:cs="Arial"/>
        </w:rPr>
        <w:t>l Decreto 1082 de 2015, en su Artículo 2.2.1.2.4.2.2</w:t>
      </w:r>
      <w:r>
        <w:rPr>
          <w:rFonts w:ascii="Verdana" w:eastAsia="Calibri" w:hAnsi="Verdana" w:cs="Arial"/>
        </w:rPr>
        <w:t xml:space="preserve">, </w:t>
      </w:r>
      <w:r w:rsidRPr="00E57ECB">
        <w:rPr>
          <w:rFonts w:ascii="Verdana" w:eastAsia="Calibri" w:hAnsi="Verdana" w:cs="Arial"/>
        </w:rPr>
        <w:t>modificado por</w:t>
      </w:r>
      <w:r w:rsidRPr="00852B43">
        <w:rPr>
          <w:rFonts w:ascii="Verdana" w:eastAsia="Calibri" w:hAnsi="Verdana" w:cs="Arial"/>
        </w:rPr>
        <w:t xml:space="preserve"> el Art</w:t>
      </w:r>
      <w:r>
        <w:rPr>
          <w:rFonts w:ascii="Verdana" w:eastAsia="Calibri" w:hAnsi="Verdana" w:cs="Arial"/>
        </w:rPr>
        <w:t>ículo</w:t>
      </w:r>
      <w:r w:rsidRPr="00852B43">
        <w:rPr>
          <w:rFonts w:ascii="Verdana" w:eastAsia="Calibri" w:hAnsi="Verdana" w:cs="Arial"/>
        </w:rPr>
        <w:t xml:space="preserve"> 5 del Decreto 1860 de 2021</w:t>
      </w:r>
      <w:r w:rsidRPr="00E57ECB">
        <w:rPr>
          <w:rFonts w:ascii="Verdana" w:eastAsia="Calibri" w:hAnsi="Verdana" w:cs="Arial"/>
        </w:rPr>
        <w:t xml:space="preserve">, establece los requisitos y las condiciones bajo las cuales las entidades estatales deben limitar las convocatorias de procesos de contratación con pluralidad de oferentes a las MiPymes colombianas con mínimo un (1) año de existencia. </w:t>
      </w:r>
    </w:p>
    <w:p w14:paraId="118963DA" w14:textId="77777777" w:rsidR="00EF3D91" w:rsidRPr="002B635A" w:rsidRDefault="00EF3D91" w:rsidP="00EF3D91">
      <w:pPr>
        <w:spacing w:after="120" w:line="276" w:lineRule="auto"/>
        <w:ind w:firstLine="709"/>
        <w:jc w:val="both"/>
        <w:rPr>
          <w:rFonts w:ascii="Verdana" w:eastAsia="Calibri" w:hAnsi="Verdana" w:cs="Arial"/>
        </w:rPr>
      </w:pPr>
      <w:r>
        <w:rPr>
          <w:rFonts w:ascii="Verdana" w:eastAsia="Calibri" w:hAnsi="Verdana" w:cs="Arial"/>
        </w:rPr>
        <w:lastRenderedPageBreak/>
        <w:t xml:space="preserve">El procedimiento para adelantar procesos a través de la modalidad de mínima cuantía </w:t>
      </w:r>
      <w:r w:rsidRPr="002B635A">
        <w:rPr>
          <w:rFonts w:ascii="Verdana" w:eastAsia="Calibri" w:hAnsi="Verdana" w:cs="Arial"/>
        </w:rPr>
        <w:t>se encuentra reglamentado por el artículo 2.2.1.2.1.5.2. del Decreto 1082 de 2015, modificado por el artículo 2 del Decreto 1860 de 2021. El numeral 3 del artículo en mención establece que “La invitación se publicará por un término no inferior a un (1) día hábil para que los interesados se informen de su contenido y formulen observaciones o comentarios […]” y que “De conformidad con el parágrafo del presente artículo, dentro del mismo término para formular observaciones se podrán presentar las solicitudes para limitar la convocatoria a MiPymes colombianas”. Adicionalmente, el numeral 4 dispone que en el cronograma se debe señalar “El momento en que publicará un aviso en el SECOP precisando si el proceso efectivamente se limitó a MiPymes o si podrá participar cualquier otro interesado”. Por otra parte, también es importante tener en cuenta el parágrafo del artículo 2.2.1.2.1.5.2.</w:t>
      </w:r>
      <w:r>
        <w:rPr>
          <w:rFonts w:ascii="Verdana" w:eastAsia="Calibri" w:hAnsi="Verdana" w:cs="Arial"/>
        </w:rPr>
        <w:t xml:space="preserve"> </w:t>
      </w:r>
      <w:r w:rsidRPr="00A57A6B">
        <w:rPr>
          <w:rFonts w:ascii="Verdana" w:eastAsia="Calibri" w:hAnsi="Verdana" w:cs="Arial"/>
        </w:rPr>
        <w:t>Modificado por el Art. </w:t>
      </w:r>
      <w:hyperlink r:id="rId12" w:anchor="2" w:history="1">
        <w:r w:rsidRPr="00A57A6B">
          <w:rPr>
            <w:rStyle w:val="Hipervnculo"/>
            <w:rFonts w:ascii="Verdana" w:eastAsia="Calibri" w:hAnsi="Verdana" w:cs="Arial"/>
          </w:rPr>
          <w:t>2 </w:t>
        </w:r>
      </w:hyperlink>
      <w:r w:rsidRPr="00A57A6B">
        <w:rPr>
          <w:rFonts w:ascii="Verdana" w:eastAsia="Calibri" w:hAnsi="Verdana" w:cs="Arial"/>
        </w:rPr>
        <w:t>del Decreto 1860 de 2021</w:t>
      </w:r>
      <w:r w:rsidRPr="002B635A">
        <w:rPr>
          <w:rFonts w:ascii="Verdana" w:eastAsia="Calibri" w:hAnsi="Verdana" w:cs="Arial"/>
        </w:rPr>
        <w:t xml:space="preserve">, a cuyo tenor: </w:t>
      </w:r>
    </w:p>
    <w:p w14:paraId="5EC85DC3" w14:textId="77777777" w:rsidR="00EF3D91" w:rsidRDefault="00EF3D91" w:rsidP="00EF3D91">
      <w:pPr>
        <w:spacing w:after="0" w:line="240" w:lineRule="auto"/>
        <w:ind w:left="709" w:right="616"/>
        <w:jc w:val="both"/>
        <w:rPr>
          <w:rFonts w:ascii="Verdana" w:eastAsia="Calibri" w:hAnsi="Verdana" w:cs="Arial"/>
          <w:sz w:val="20"/>
          <w:szCs w:val="20"/>
        </w:rPr>
      </w:pPr>
      <w:r w:rsidRPr="00CF44B4">
        <w:rPr>
          <w:rFonts w:ascii="Verdana" w:eastAsia="Calibri" w:hAnsi="Verdana" w:cs="Arial"/>
          <w:sz w:val="20"/>
          <w:szCs w:val="20"/>
        </w:rPr>
        <w:t>De conformidad con el parágrafo 1 del artículo 30 y el artículo 34 de la Ley 2069 de 2020, en estos procedimientos de selección para MiPymes se aplicará lo prescrito en los artículos 2.2.1.2.4.2.2 a 2.2.1.2.4.2.4 de este Decreto. No obstante, de conformidad con el numeral 3 del presente artículo, las solicitudes para limitar el proceso a MiPymes se recibirán durante el término previsto en dicho numeral. Además, en el aviso de que trata el numeral 4 de este artículo se indicará si en el proceso aplican las limitaciones territoriales de que trata el artículo 2.2.1.2.4.2.3 o si podrá participar cualquier MiPymes nacional.</w:t>
      </w:r>
    </w:p>
    <w:p w14:paraId="47C1EB30" w14:textId="77777777" w:rsidR="00EF3D91" w:rsidRDefault="00EF3D91" w:rsidP="00EF3D91">
      <w:pPr>
        <w:spacing w:after="0" w:line="276" w:lineRule="auto"/>
        <w:jc w:val="both"/>
        <w:rPr>
          <w:rFonts w:ascii="Verdana" w:eastAsia="Calibri" w:hAnsi="Verdana" w:cs="Arial"/>
          <w:sz w:val="20"/>
          <w:szCs w:val="20"/>
        </w:rPr>
      </w:pPr>
    </w:p>
    <w:p w14:paraId="7568791C" w14:textId="77777777" w:rsidR="00EF3D91" w:rsidRPr="00E57ECB" w:rsidRDefault="00EF3D91" w:rsidP="00EF3D91">
      <w:pPr>
        <w:spacing w:after="120" w:line="276" w:lineRule="auto"/>
        <w:ind w:firstLine="709"/>
        <w:jc w:val="both"/>
        <w:rPr>
          <w:rFonts w:ascii="Verdana" w:eastAsia="Calibri" w:hAnsi="Verdana" w:cs="Arial"/>
        </w:rPr>
      </w:pPr>
      <w:r>
        <w:rPr>
          <w:rFonts w:ascii="Verdana" w:eastAsia="Calibri" w:hAnsi="Verdana" w:cs="Arial"/>
        </w:rPr>
        <w:t xml:space="preserve">De conformidad con lo explicado, y a lo señalado en </w:t>
      </w:r>
      <w:r w:rsidRPr="00E57ECB">
        <w:rPr>
          <w:rFonts w:ascii="Verdana" w:eastAsia="Calibri" w:hAnsi="Verdana" w:cs="Arial"/>
        </w:rPr>
        <w:t>el Decreto 1860 de 2021, Artículo 2, numeral 4, que modific</w:t>
      </w:r>
      <w:r>
        <w:rPr>
          <w:rFonts w:ascii="Verdana" w:eastAsia="Calibri" w:hAnsi="Verdana" w:cs="Arial"/>
        </w:rPr>
        <w:t>ó</w:t>
      </w:r>
      <w:r w:rsidRPr="00E57ECB">
        <w:rPr>
          <w:rFonts w:ascii="Verdana" w:eastAsia="Calibri" w:hAnsi="Verdana" w:cs="Arial"/>
        </w:rPr>
        <w:t xml:space="preserve"> el Decreto 1082 de 2015, es contundente al establecer que:</w:t>
      </w:r>
      <w:r>
        <w:rPr>
          <w:rFonts w:ascii="Verdana" w:eastAsia="Calibri" w:hAnsi="Verdana" w:cs="Arial"/>
        </w:rPr>
        <w:t xml:space="preserve"> </w:t>
      </w:r>
      <w:r w:rsidRPr="00E57ECB">
        <w:rPr>
          <w:rFonts w:ascii="Verdana" w:eastAsia="Calibri" w:hAnsi="Verdana" w:cs="Arial"/>
        </w:rPr>
        <w:t xml:space="preserve">"la entidad estatal debe publicar un aviso en el SECOP precisando si el proceso efectivamente se limitó a </w:t>
      </w:r>
      <w:proofErr w:type="spellStart"/>
      <w:r w:rsidRPr="00E57ECB">
        <w:rPr>
          <w:rFonts w:ascii="Verdana" w:eastAsia="Calibri" w:hAnsi="Verdana" w:cs="Arial"/>
        </w:rPr>
        <w:t>Mipyme</w:t>
      </w:r>
      <w:proofErr w:type="spellEnd"/>
      <w:r w:rsidRPr="00E57ECB">
        <w:rPr>
          <w:rFonts w:ascii="Verdana" w:eastAsia="Calibri" w:hAnsi="Verdana" w:cs="Arial"/>
        </w:rPr>
        <w:t xml:space="preserve"> o si podrá participar cualquier otro interesado”.</w:t>
      </w:r>
    </w:p>
    <w:p w14:paraId="43FB1DDC" w14:textId="77777777" w:rsidR="00EF3D91" w:rsidRDefault="00EF3D91" w:rsidP="00EF3D91">
      <w:pPr>
        <w:spacing w:after="120" w:line="276" w:lineRule="auto"/>
        <w:ind w:firstLine="709"/>
        <w:jc w:val="both"/>
        <w:rPr>
          <w:rFonts w:ascii="Verdana" w:eastAsia="Calibri" w:hAnsi="Verdana" w:cs="Arial"/>
        </w:rPr>
      </w:pPr>
      <w:r w:rsidRPr="00E57ECB">
        <w:rPr>
          <w:rFonts w:ascii="Verdana" w:eastAsia="Calibri" w:hAnsi="Verdana" w:cs="Arial"/>
        </w:rPr>
        <w:t>Esta disposición es de vital importancia y su carácter es obligatorio</w:t>
      </w:r>
      <w:r>
        <w:rPr>
          <w:rFonts w:ascii="Verdana" w:eastAsia="Calibri" w:hAnsi="Verdana" w:cs="Arial"/>
        </w:rPr>
        <w:t>, dado que l</w:t>
      </w:r>
      <w:r w:rsidRPr="00E57ECB">
        <w:rPr>
          <w:rFonts w:ascii="Verdana" w:eastAsia="Calibri" w:hAnsi="Verdana" w:cs="Arial"/>
        </w:rPr>
        <w:t>a publicación de este aviso en el Sistema Electrónico para la Contratación Pública (SECOP) no es una mera formalidad, sino un requisito esencial que materializa los principios de transparencia y publicidad en la contratación estatal</w:t>
      </w:r>
      <w:r>
        <w:rPr>
          <w:rFonts w:ascii="Verdana" w:eastAsia="Calibri" w:hAnsi="Verdana" w:cs="Arial"/>
        </w:rPr>
        <w:t xml:space="preserve">, pues la </w:t>
      </w:r>
      <w:r w:rsidRPr="008F028B">
        <w:rPr>
          <w:rFonts w:ascii="Verdana" w:eastAsia="Calibri" w:hAnsi="Verdana" w:cs="Arial"/>
        </w:rPr>
        <w:t xml:space="preserve"> publicación de este aviso tiene como objetivo garantizar la </w:t>
      </w:r>
      <w:r w:rsidRPr="0078162C">
        <w:rPr>
          <w:rFonts w:ascii="Verdana" w:eastAsia="Calibri" w:hAnsi="Verdana" w:cs="Arial"/>
        </w:rPr>
        <w:t>transparencia y publicidad</w:t>
      </w:r>
      <w:r w:rsidRPr="008F028B">
        <w:rPr>
          <w:rFonts w:ascii="Verdana" w:eastAsia="Calibri" w:hAnsi="Verdana" w:cs="Arial"/>
        </w:rPr>
        <w:t xml:space="preserve"> del proceso, permitiendo a los potenciales oferentes, especialmente a las MiPymes, conocer las condiciones de participación desde el inicio</w:t>
      </w:r>
      <w:r>
        <w:rPr>
          <w:rFonts w:ascii="Verdana" w:eastAsia="Calibri" w:hAnsi="Verdana" w:cs="Arial"/>
        </w:rPr>
        <w:t xml:space="preserve"> del proceso.</w:t>
      </w:r>
    </w:p>
    <w:p w14:paraId="13B54FF9" w14:textId="77777777" w:rsidR="00EF3D91" w:rsidRDefault="00EF3D91" w:rsidP="00EF3D91">
      <w:pPr>
        <w:spacing w:after="120" w:line="276" w:lineRule="auto"/>
        <w:ind w:firstLine="709"/>
        <w:jc w:val="both"/>
        <w:rPr>
          <w:rFonts w:ascii="Verdana" w:eastAsia="Calibri" w:hAnsi="Verdana" w:cs="Arial"/>
        </w:rPr>
      </w:pPr>
      <w:r w:rsidRPr="002B635A">
        <w:rPr>
          <w:rFonts w:ascii="Verdana" w:eastAsia="Calibri" w:hAnsi="Verdana" w:cs="Arial"/>
        </w:rPr>
        <w:lastRenderedPageBreak/>
        <w:t>Puede concluirse, entonces, que, en el procedimiento de mínima cuantía, la limitación de la convocatoria a MiPymes se debe hacer mediante la publicación de un aviso en el SECOP, luego de analizadas las solicitudes presentadas dentro del término de publicación de la invitación previsto en el numeral 3 del artículo 2.2.1.2.1.5.2. del Decreto 1082 de 2015, modificado por el artículo 2 del Decreto 1860 de 2021. De igual modo, en dicho aviso, se deberá indicar si en el proceso pueden participar las MiPymes domiciliadas en el municipio o departamento, según corresponda, o cualquier MiPymes nacional.</w:t>
      </w:r>
      <w:r>
        <w:rPr>
          <w:rFonts w:ascii="Verdana" w:eastAsia="Calibri" w:hAnsi="Verdana" w:cs="Arial"/>
        </w:rPr>
        <w:t xml:space="preserve"> </w:t>
      </w:r>
    </w:p>
    <w:p w14:paraId="2DC9CF23" w14:textId="77777777" w:rsidR="00EF3D91" w:rsidRPr="00F23F0C" w:rsidRDefault="00EF3D91" w:rsidP="00EF3D91">
      <w:pPr>
        <w:tabs>
          <w:tab w:val="left" w:pos="0"/>
        </w:tabs>
        <w:spacing w:before="120" w:after="120"/>
        <w:ind w:firstLine="709"/>
        <w:jc w:val="both"/>
        <w:rPr>
          <w:rFonts w:ascii="Verdana" w:eastAsia="Calibri" w:hAnsi="Verdana" w:cs="Arial"/>
          <w:bCs/>
          <w:lang w:val="es-ES"/>
        </w:rPr>
      </w:pPr>
      <w:r w:rsidRPr="00CF44B4">
        <w:rPr>
          <w:rFonts w:ascii="Verdana" w:eastAsia="Calibri" w:hAnsi="Verdana" w:cs="Arial"/>
          <w:lang w:val="es-ES"/>
        </w:rPr>
        <w:t xml:space="preserve">Ahora bien, de conformidad con el segundo problema jurídico planteado </w:t>
      </w:r>
      <w:r>
        <w:rPr>
          <w:rFonts w:ascii="Verdana" w:eastAsia="Arial" w:hAnsi="Verdana" w:cs="Arial"/>
          <w:lang w:eastAsia="es-ES" w:bidi="es-ES"/>
        </w:rPr>
        <w:t>resulta importante revisar l</w:t>
      </w:r>
      <w:r w:rsidRPr="003F12B6">
        <w:rPr>
          <w:rFonts w:ascii="Verdana" w:eastAsia="Arial" w:hAnsi="Verdana" w:cs="Arial"/>
          <w:lang w:eastAsia="es-ES" w:bidi="es-ES"/>
        </w:rPr>
        <w:t xml:space="preserve">a postura vigente de esta Agencia en relación con la definición de </w:t>
      </w:r>
      <w:r w:rsidRPr="008827EB">
        <w:rPr>
          <w:rFonts w:ascii="Verdana" w:eastAsia="Arial" w:hAnsi="Verdana" w:cs="Arial"/>
          <w:i/>
          <w:iCs/>
          <w:lang w:eastAsia="es-ES" w:bidi="es-ES"/>
        </w:rPr>
        <w:t>día hábil</w:t>
      </w:r>
      <w:r w:rsidRPr="003F12B6">
        <w:rPr>
          <w:rFonts w:ascii="Verdana" w:eastAsia="Arial" w:hAnsi="Verdana" w:cs="Arial"/>
          <w:lang w:eastAsia="es-ES" w:bidi="es-ES"/>
        </w:rPr>
        <w:t xml:space="preserve"> en los procesos de contratación pública</w:t>
      </w:r>
      <w:r>
        <w:rPr>
          <w:rFonts w:ascii="Verdana" w:eastAsia="Arial" w:hAnsi="Verdana" w:cs="Arial"/>
          <w:lang w:eastAsia="es-ES" w:bidi="es-ES"/>
        </w:rPr>
        <w:t xml:space="preserve">, que </w:t>
      </w:r>
      <w:r w:rsidRPr="003F12B6">
        <w:rPr>
          <w:rFonts w:ascii="Verdana" w:eastAsia="Arial" w:hAnsi="Verdana" w:cs="Arial"/>
          <w:lang w:eastAsia="es-ES" w:bidi="es-ES"/>
        </w:rPr>
        <w:t xml:space="preserve">parte de la tesis según la cual </w:t>
      </w:r>
      <w:r w:rsidRPr="00F23F0C">
        <w:rPr>
          <w:rFonts w:ascii="Verdana" w:eastAsia="Calibri" w:hAnsi="Verdana" w:cs="Arial"/>
          <w:bCs/>
        </w:rPr>
        <w:t xml:space="preserve">no existe una acepción unívoca de </w:t>
      </w:r>
      <w:r>
        <w:rPr>
          <w:rFonts w:ascii="Verdana" w:eastAsia="Calibri" w:hAnsi="Verdana" w:cs="Arial"/>
          <w:bCs/>
        </w:rPr>
        <w:t>dicha acepción</w:t>
      </w:r>
      <w:r w:rsidRPr="00F23F0C">
        <w:rPr>
          <w:rFonts w:ascii="Verdana" w:eastAsia="Calibri" w:hAnsi="Verdana" w:cs="Arial"/>
          <w:bCs/>
        </w:rPr>
        <w:t>, pues no existe certidumbre de cuáles son los días de la semana que pueden entenderse como hábiles, y ello en principio posibilita que las entidades</w:t>
      </w:r>
      <w:r>
        <w:rPr>
          <w:rFonts w:ascii="Verdana" w:eastAsia="Calibri" w:hAnsi="Verdana" w:cs="Arial"/>
          <w:bCs/>
        </w:rPr>
        <w:t xml:space="preserve"> los</w:t>
      </w:r>
      <w:r w:rsidRPr="00F23F0C">
        <w:rPr>
          <w:rFonts w:ascii="Verdana" w:eastAsia="Calibri" w:hAnsi="Verdana" w:cs="Arial"/>
          <w:bCs/>
        </w:rPr>
        <w:t xml:space="preserve"> regulen de manera disímil</w:t>
      </w:r>
      <w:r w:rsidRPr="00F23F0C">
        <w:rPr>
          <w:rFonts w:ascii="Verdana" w:eastAsia="Calibri" w:hAnsi="Verdana" w:cs="Arial"/>
          <w:bCs/>
          <w:lang w:val="es-ES"/>
        </w:rPr>
        <w:t xml:space="preserve">. </w:t>
      </w:r>
    </w:p>
    <w:p w14:paraId="321C36BA" w14:textId="73A53112" w:rsidR="00EF3D91" w:rsidRPr="00CF44B4" w:rsidRDefault="00EF3D91" w:rsidP="00EF3D91">
      <w:pPr>
        <w:spacing w:after="120"/>
        <w:ind w:firstLine="709"/>
        <w:jc w:val="both"/>
        <w:rPr>
          <w:rFonts w:ascii="Verdana" w:hAnsi="Verdana"/>
          <w:bCs/>
          <w:color w:val="000000"/>
        </w:rPr>
      </w:pPr>
      <w:r>
        <w:rPr>
          <w:rFonts w:ascii="Verdana" w:eastAsia="Calibri" w:hAnsi="Verdana" w:cs="Arial"/>
          <w:lang w:val="es-ES"/>
        </w:rPr>
        <w:t>E</w:t>
      </w:r>
      <w:r w:rsidRPr="00CF44B4">
        <w:rPr>
          <w:rFonts w:ascii="Verdana" w:hAnsi="Verdana"/>
          <w:bCs/>
          <w:color w:val="000000"/>
        </w:rPr>
        <w:t>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en cualquier modalidad de selección, que propende por la provisión pronta y ágil de los bienes de las entidades estatales</w:t>
      </w:r>
      <w:r>
        <w:rPr>
          <w:rFonts w:ascii="Verdana" w:hAnsi="Verdana"/>
          <w:bCs/>
          <w:color w:val="000000"/>
        </w:rPr>
        <w:t xml:space="preserve">, más </w:t>
      </w:r>
      <w:proofErr w:type="gramStart"/>
      <w:r w:rsidR="00DF5553">
        <w:rPr>
          <w:rFonts w:ascii="Verdana" w:hAnsi="Verdana"/>
          <w:bCs/>
          <w:color w:val="000000"/>
        </w:rPr>
        <w:t>aun</w:t>
      </w:r>
      <w:proofErr w:type="gramEnd"/>
      <w:r>
        <w:rPr>
          <w:rFonts w:ascii="Verdana" w:hAnsi="Verdana"/>
          <w:bCs/>
          <w:color w:val="000000"/>
        </w:rPr>
        <w:t xml:space="preserve"> tratándose de la modalidad de mínima cuantía</w:t>
      </w:r>
      <w:r w:rsidRPr="00CF44B4">
        <w:rPr>
          <w:rFonts w:ascii="Verdana" w:hAnsi="Verdana"/>
          <w:bCs/>
          <w:color w:val="000000"/>
        </w:rPr>
        <w:t>.</w:t>
      </w:r>
    </w:p>
    <w:p w14:paraId="7F6C3C35" w14:textId="77777777" w:rsidR="00EF3D91" w:rsidRPr="00CF44B4" w:rsidRDefault="00EF3D91" w:rsidP="00EF3D91">
      <w:pPr>
        <w:spacing w:after="120"/>
        <w:ind w:firstLine="709"/>
        <w:jc w:val="both"/>
        <w:rPr>
          <w:rFonts w:ascii="Verdana" w:eastAsia="Calibri" w:hAnsi="Verdana" w:cs="Arial"/>
          <w:bCs/>
          <w:color w:val="000000"/>
        </w:rPr>
      </w:pPr>
      <w:r w:rsidRPr="00CF44B4">
        <w:rPr>
          <w:rFonts w:ascii="Verdana" w:eastAsia="Calibri" w:hAnsi="Verdana" w:cs="Arial"/>
          <w:bCs/>
          <w:color w:val="000000"/>
          <w:lang w:val="es-MX"/>
        </w:rPr>
        <w:t>Debe reconocerse que no existe una acepción unívoca de día hábil, pues no existe certidumbre de cuáles son los días de la semana que pueden entenderse como hábiles, y ello en principio posibilita que las entidades regulen de manera disímil los términos de las diferentes modalidades de selección de nuestro ordenamiento</w:t>
      </w:r>
      <w:r w:rsidRPr="00CF44B4">
        <w:rPr>
          <w:rFonts w:ascii="Verdana" w:eastAsia="Calibri" w:hAnsi="Verdana" w:cs="Arial"/>
          <w:bCs/>
          <w:color w:val="000000"/>
        </w:rPr>
        <w:t xml:space="preserve">. </w:t>
      </w:r>
    </w:p>
    <w:p w14:paraId="764EB7C2" w14:textId="77777777" w:rsidR="00EF3D91" w:rsidRPr="00CF44B4" w:rsidRDefault="00EF3D91" w:rsidP="00EF3D91">
      <w:pPr>
        <w:spacing w:after="120"/>
        <w:ind w:firstLine="709"/>
        <w:jc w:val="both"/>
        <w:rPr>
          <w:rFonts w:ascii="Verdana" w:eastAsia="Calibri" w:hAnsi="Verdana" w:cs="Arial"/>
          <w:bCs/>
          <w:color w:val="000000"/>
        </w:rPr>
      </w:pPr>
      <w:r w:rsidRPr="00CF44B4">
        <w:rPr>
          <w:rFonts w:ascii="Verdana" w:eastAsia="Calibri" w:hAnsi="Verdana" w:cs="Arial"/>
          <w:bCs/>
          <w:color w:val="000000"/>
        </w:rPr>
        <w:t xml:space="preserve">La ausencia de definición legal de día hábil autoriza acudir al sentido natural y obvio de la palabra </w:t>
      </w:r>
      <w:r w:rsidRPr="00CF44B4">
        <w:rPr>
          <w:rFonts w:ascii="Verdana" w:eastAsia="Calibri" w:hAnsi="Verdana" w:cs="Arial"/>
          <w:bCs/>
          <w:i/>
          <w:iCs/>
          <w:color w:val="000000"/>
        </w:rPr>
        <w:t>hábil</w:t>
      </w:r>
      <w:r w:rsidRPr="00CF44B4">
        <w:rPr>
          <w:rFonts w:ascii="Verdana" w:eastAsia="Calibri" w:hAnsi="Verdana" w:cs="Arial"/>
          <w:bCs/>
          <w:color w:val="000000"/>
        </w:rPr>
        <w:t>,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BC67D2">
        <w:rPr>
          <w:vertAlign w:val="superscript"/>
        </w:rPr>
        <w:footnoteReference w:id="5"/>
      </w:r>
      <w:r w:rsidRPr="00CF44B4">
        <w:rPr>
          <w:rFonts w:ascii="Verdana" w:eastAsia="Calibri" w:hAnsi="Verdana" w:cs="Arial"/>
          <w:bCs/>
          <w:color w:val="000000"/>
        </w:rPr>
        <w:t xml:space="preserve">. La última acepción se ajusta al entendimiento normativo. Sin embargo, no es suficiente para absolver lo que se indaga, en la </w:t>
      </w:r>
      <w:r w:rsidRPr="00CF44B4">
        <w:rPr>
          <w:rFonts w:ascii="Verdana" w:eastAsia="Calibri" w:hAnsi="Verdana" w:cs="Arial"/>
          <w:bCs/>
          <w:color w:val="000000"/>
        </w:rPr>
        <w:lastRenderedPageBreak/>
        <w:t>medida en que corresponde al ordenamiento jurídico establecer cuáles son los días válidos para realizar las actuaciones.</w:t>
      </w:r>
      <w:r w:rsidRPr="00CF44B4">
        <w:rPr>
          <w:rFonts w:ascii="Verdana" w:eastAsia="Calibri" w:hAnsi="Verdana" w:cs="Arial"/>
          <w:bCs/>
          <w:color w:val="000000"/>
        </w:rPr>
        <w:tab/>
      </w:r>
    </w:p>
    <w:p w14:paraId="44EC8D14" w14:textId="77777777" w:rsidR="00EF3D91" w:rsidRPr="00BC67D2" w:rsidRDefault="00EF3D91" w:rsidP="00EF3D91">
      <w:pPr>
        <w:spacing w:after="120"/>
        <w:ind w:firstLine="709"/>
        <w:jc w:val="both"/>
        <w:rPr>
          <w:rFonts w:ascii="Verdana" w:eastAsia="Calibri" w:hAnsi="Verdana" w:cs="Arial"/>
          <w:bCs/>
          <w:color w:val="000000"/>
          <w:sz w:val="18"/>
          <w:szCs w:val="18"/>
          <w:lang w:val="es-ES"/>
        </w:rPr>
      </w:pPr>
      <w:r w:rsidRPr="00CF44B4">
        <w:rPr>
          <w:rFonts w:ascii="Verdana" w:eastAsia="Calibri" w:hAnsi="Verdana" w:cs="Arial"/>
          <w:bCs/>
          <w:color w:val="000000"/>
        </w:rPr>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disponen que:</w:t>
      </w:r>
    </w:p>
    <w:p w14:paraId="41ED1EFE" w14:textId="77777777" w:rsidR="00EF3D91" w:rsidRPr="00CF44B4" w:rsidRDefault="00EF3D91" w:rsidP="00EF3D91">
      <w:pPr>
        <w:spacing w:line="240" w:lineRule="auto"/>
        <w:ind w:left="709" w:right="616"/>
        <w:jc w:val="both"/>
        <w:rPr>
          <w:rFonts w:ascii="Verdana" w:eastAsia="Calibri" w:hAnsi="Verdana" w:cs="Arial"/>
          <w:bCs/>
          <w:color w:val="000000"/>
          <w:sz w:val="20"/>
          <w:szCs w:val="20"/>
          <w:lang w:val="es-MX"/>
        </w:rPr>
      </w:pPr>
      <w:r w:rsidRPr="00CF44B4">
        <w:rPr>
          <w:rFonts w:ascii="Verdana" w:eastAsia="Calibri" w:hAnsi="Verdana" w:cs="Arial"/>
          <w:bCs/>
          <w:color w:val="000000"/>
          <w:sz w:val="20"/>
          <w:szCs w:val="20"/>
          <w:lang w:val="es-MX"/>
        </w:rPr>
        <w:t>“Artículo 59.</w:t>
      </w:r>
      <w:r w:rsidRPr="00CF44B4">
        <w:rPr>
          <w:rFonts w:ascii="Verdana" w:eastAsia="Calibri" w:hAnsi="Verdana" w:cs="Arial"/>
          <w:b/>
          <w:bCs/>
          <w:color w:val="000000"/>
          <w:sz w:val="20"/>
          <w:szCs w:val="20"/>
          <w:lang w:val="es-MX"/>
        </w:rPr>
        <w:t> </w:t>
      </w:r>
      <w:r w:rsidRPr="00CF44B4">
        <w:rPr>
          <w:rFonts w:ascii="Verdana" w:eastAsia="Calibri" w:hAnsi="Verdana" w:cs="Arial"/>
          <w:bCs/>
          <w:color w:val="000000"/>
          <w:sz w:val="20"/>
          <w:szCs w:val="20"/>
          <w:lang w:val="es-MX"/>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40CAD13D" w14:textId="77777777" w:rsidR="00EF3D91" w:rsidRPr="00CF44B4" w:rsidRDefault="00EF3D91" w:rsidP="00EF3D91">
      <w:pPr>
        <w:spacing w:line="240" w:lineRule="auto"/>
        <w:ind w:left="709" w:right="616" w:firstLine="708"/>
        <w:jc w:val="both"/>
        <w:rPr>
          <w:rFonts w:ascii="Verdana" w:eastAsia="Calibri" w:hAnsi="Verdana" w:cs="Arial"/>
          <w:bCs/>
          <w:color w:val="000000"/>
          <w:sz w:val="20"/>
          <w:szCs w:val="20"/>
          <w:lang w:val="es-MX"/>
        </w:rPr>
      </w:pPr>
      <w:r w:rsidRPr="00CF44B4">
        <w:rPr>
          <w:rFonts w:ascii="Verdana" w:eastAsia="Calibri" w:hAnsi="Verdana" w:cs="Arial"/>
          <w:bCs/>
          <w:color w:val="000000"/>
          <w:sz w:val="20"/>
          <w:szCs w:val="20"/>
          <w:lang w:val="es-MX"/>
        </w:rPr>
        <w:t>[…]</w:t>
      </w:r>
    </w:p>
    <w:p w14:paraId="3FC9D844" w14:textId="77777777" w:rsidR="00EF3D91" w:rsidRPr="00CF44B4" w:rsidRDefault="00EF3D91" w:rsidP="00EF3D91">
      <w:pPr>
        <w:spacing w:line="240" w:lineRule="auto"/>
        <w:ind w:left="709" w:right="616"/>
        <w:jc w:val="both"/>
        <w:rPr>
          <w:rFonts w:ascii="Verdana" w:eastAsia="Calibri" w:hAnsi="Verdana" w:cs="Arial"/>
          <w:bCs/>
          <w:color w:val="000000"/>
          <w:sz w:val="20"/>
          <w:szCs w:val="20"/>
          <w:lang w:val="es-MX"/>
        </w:rPr>
      </w:pPr>
      <w:r w:rsidRPr="00CF44B4">
        <w:rPr>
          <w:rFonts w:ascii="Verdana" w:eastAsia="Calibri" w:hAnsi="Verdana" w:cs="Arial"/>
          <w:bCs/>
          <w:color w:val="000000"/>
          <w:sz w:val="20"/>
          <w:szCs w:val="20"/>
          <w:lang w:val="es-MX"/>
        </w:rPr>
        <w:t>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3D7A9101" w14:textId="77777777" w:rsidR="00EF3D91" w:rsidRPr="00CF44B4" w:rsidRDefault="00EF3D91" w:rsidP="00EF3D91">
      <w:pPr>
        <w:spacing w:after="120"/>
        <w:ind w:firstLine="709"/>
        <w:jc w:val="both"/>
        <w:rPr>
          <w:rFonts w:ascii="Verdana" w:eastAsia="Calibri" w:hAnsi="Verdana" w:cs="Arial"/>
          <w:bCs/>
          <w:color w:val="000000"/>
        </w:rPr>
      </w:pPr>
      <w:r w:rsidRPr="00CF44B4">
        <w:rPr>
          <w:rFonts w:ascii="Verdana" w:eastAsia="Calibri" w:hAnsi="Verdana" w:cs="Arial"/>
          <w:bCs/>
          <w:color w:val="000000"/>
        </w:rPr>
        <w:t xml:space="preserve">El artículo 59 establece que los plazos a los que se haga mención en la ley terminan a la medianoche, y que por </w:t>
      </w:r>
      <w:r w:rsidRPr="00CF44B4">
        <w:rPr>
          <w:rFonts w:ascii="Verdana" w:eastAsia="Calibri" w:hAnsi="Verdana" w:cs="Arial"/>
          <w:bCs/>
          <w:i/>
          <w:iCs/>
          <w:color w:val="000000"/>
        </w:rPr>
        <w:t xml:space="preserve">día </w:t>
      </w:r>
      <w:r w:rsidRPr="00CF44B4">
        <w:rPr>
          <w:rFonts w:ascii="Verdana" w:eastAsia="Calibri" w:hAnsi="Verdana" w:cs="Arial"/>
          <w:bCs/>
          <w:color w:val="000000"/>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BC67D2">
        <w:rPr>
          <w:vertAlign w:val="superscript"/>
        </w:rPr>
        <w:footnoteReference w:id="6"/>
      </w:r>
      <w:r w:rsidRPr="00CF44B4">
        <w:rPr>
          <w:rFonts w:ascii="Verdana" w:eastAsia="Calibri" w:hAnsi="Verdana" w:cs="Arial"/>
          <w:bCs/>
          <w:color w:val="000000"/>
        </w:rPr>
        <w:t>.</w:t>
      </w:r>
    </w:p>
    <w:p w14:paraId="2219A736" w14:textId="77777777" w:rsidR="00EF3D91" w:rsidRPr="00CF44B4" w:rsidRDefault="00EF3D91" w:rsidP="00EF3D91">
      <w:pPr>
        <w:spacing w:after="120"/>
        <w:ind w:firstLine="709"/>
        <w:jc w:val="both"/>
        <w:rPr>
          <w:rFonts w:ascii="Verdana" w:eastAsia="Calibri" w:hAnsi="Verdana" w:cs="Arial"/>
          <w:bCs/>
          <w:color w:val="000000"/>
        </w:rPr>
      </w:pPr>
      <w:r w:rsidRPr="00CF44B4">
        <w:rPr>
          <w:rFonts w:ascii="Verdana" w:eastAsia="Calibri" w:hAnsi="Verdana" w:cs="Arial"/>
          <w:bCs/>
          <w:color w:val="000000"/>
        </w:rPr>
        <w:t xml:space="preserve">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w:t>
      </w:r>
      <w:r w:rsidRPr="00CF44B4">
        <w:rPr>
          <w:rFonts w:ascii="Verdana" w:eastAsia="Calibri" w:hAnsi="Verdana" w:cs="Arial"/>
          <w:bCs/>
          <w:color w:val="000000"/>
        </w:rPr>
        <w:lastRenderedPageBreak/>
        <w:t>público. Así, por ejemplo, en la sentencia del 12 de abril de 1978 explicó lo siguiente:</w:t>
      </w:r>
    </w:p>
    <w:p w14:paraId="4D307FE8" w14:textId="77777777" w:rsidR="00EF3D91" w:rsidRPr="00BC67D2" w:rsidRDefault="00EF3D91" w:rsidP="00EF3D91">
      <w:pPr>
        <w:ind w:left="709" w:right="616"/>
        <w:jc w:val="both"/>
        <w:rPr>
          <w:rFonts w:ascii="Verdana" w:eastAsia="Calibri" w:hAnsi="Verdana" w:cs="Arial"/>
          <w:bCs/>
          <w:color w:val="000000"/>
          <w:sz w:val="20"/>
          <w:szCs w:val="20"/>
          <w:lang w:val="es-MX"/>
        </w:rPr>
      </w:pPr>
      <w:r w:rsidRPr="00BC67D2">
        <w:rPr>
          <w:rFonts w:ascii="Verdana" w:eastAsia="Calibri" w:hAnsi="Verdana" w:cs="Arial"/>
          <w:bCs/>
          <w:color w:val="000000"/>
          <w:sz w:val="20"/>
          <w:szCs w:val="20"/>
          <w:lang w:val="es-MX"/>
        </w:rPr>
        <w:t>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fuerza suficientes para producir o causar todos los efectos, aunque las sesiones no se hayan realizado efectivamente</w:t>
      </w:r>
      <w:r w:rsidRPr="00BC67D2">
        <w:rPr>
          <w:rFonts w:ascii="Verdana" w:eastAsia="Calibri" w:hAnsi="Verdana" w:cs="Arial"/>
          <w:bCs/>
          <w:color w:val="000000"/>
          <w:sz w:val="20"/>
          <w:szCs w:val="20"/>
          <w:vertAlign w:val="superscript"/>
          <w:lang w:val="es-MX"/>
        </w:rPr>
        <w:footnoteReference w:id="7"/>
      </w:r>
      <w:r w:rsidRPr="00BC67D2">
        <w:rPr>
          <w:rFonts w:ascii="Verdana" w:eastAsia="Calibri" w:hAnsi="Verdana" w:cs="Arial"/>
          <w:bCs/>
          <w:color w:val="000000"/>
          <w:sz w:val="20"/>
          <w:szCs w:val="20"/>
          <w:lang w:val="es-MX"/>
        </w:rPr>
        <w:t>.</w:t>
      </w:r>
    </w:p>
    <w:p w14:paraId="58A7D773" w14:textId="77777777" w:rsidR="00EF3D91" w:rsidRPr="00CF44B4" w:rsidRDefault="00EF3D91" w:rsidP="00EF3D91">
      <w:pPr>
        <w:spacing w:after="120"/>
        <w:ind w:firstLine="709"/>
        <w:jc w:val="both"/>
        <w:rPr>
          <w:rFonts w:ascii="Verdana" w:eastAsia="Calibri" w:hAnsi="Verdana" w:cs="Arial"/>
          <w:bCs/>
          <w:color w:val="000000"/>
        </w:rPr>
      </w:pPr>
      <w:r w:rsidRPr="00CF44B4">
        <w:rPr>
          <w:rFonts w:ascii="Verdana" w:eastAsia="Calibri" w:hAnsi="Verdana" w:cs="Arial"/>
          <w:bCs/>
          <w:color w:val="000000"/>
        </w:rPr>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3A012D65" w14:textId="77777777" w:rsidR="00EF3D91" w:rsidRPr="00BC67D2" w:rsidRDefault="00EF3D91" w:rsidP="00EF3D91">
      <w:pPr>
        <w:spacing w:line="240" w:lineRule="auto"/>
        <w:ind w:left="851" w:right="616"/>
        <w:jc w:val="both"/>
        <w:rPr>
          <w:rFonts w:ascii="Verdana" w:eastAsia="Calibri" w:hAnsi="Verdana" w:cs="Arial"/>
          <w:bCs/>
          <w:color w:val="000000"/>
          <w:sz w:val="20"/>
          <w:szCs w:val="20"/>
        </w:rPr>
      </w:pPr>
      <w:r w:rsidRPr="00BC67D2">
        <w:rPr>
          <w:rFonts w:ascii="Verdana" w:eastAsia="Calibri" w:hAnsi="Verdana" w:cs="Arial"/>
          <w:bCs/>
          <w:color w:val="000000"/>
          <w:sz w:val="20"/>
          <w:szCs w:val="20"/>
        </w:rPr>
        <w:t>[E]l cómputo de días hábiles de que trata el artículo 62 de la Ley 4.ª de 1913 debe realizarse con base en los días laborables forzosos, teniendo por tales todos los del año, excluidos los señalados por la ley como de descanso remunerado.</w:t>
      </w:r>
    </w:p>
    <w:p w14:paraId="5A3754A1" w14:textId="77777777" w:rsidR="00EF3D91" w:rsidRDefault="00EF3D91" w:rsidP="00EF3D91">
      <w:pPr>
        <w:spacing w:line="240" w:lineRule="auto"/>
        <w:ind w:left="851" w:right="616"/>
        <w:jc w:val="both"/>
        <w:rPr>
          <w:rFonts w:ascii="Verdana" w:eastAsia="Calibri" w:hAnsi="Verdana" w:cs="Arial"/>
          <w:bCs/>
          <w:color w:val="000000"/>
          <w:sz w:val="20"/>
          <w:szCs w:val="20"/>
        </w:rPr>
      </w:pPr>
      <w:r w:rsidRPr="00BC67D2">
        <w:rPr>
          <w:rFonts w:ascii="Verdana" w:eastAsia="Calibri" w:hAnsi="Verdana" w:cs="Arial"/>
          <w:bCs/>
          <w:color w:val="000000"/>
          <w:sz w:val="20"/>
          <w:szCs w:val="20"/>
        </w:rPr>
        <w:t xml:space="preserve">Así, el criterio que determina el carácter de hábil de los días, para el cómputo de los términos legales, es el de su </w:t>
      </w:r>
      <w:proofErr w:type="spellStart"/>
      <w:r w:rsidRPr="00BC67D2">
        <w:rPr>
          <w:rFonts w:ascii="Verdana" w:eastAsia="Calibri" w:hAnsi="Verdana" w:cs="Arial"/>
          <w:bCs/>
          <w:color w:val="000000"/>
          <w:sz w:val="20"/>
          <w:szCs w:val="20"/>
        </w:rPr>
        <w:t>laborabilidad</w:t>
      </w:r>
      <w:proofErr w:type="spellEnd"/>
      <w:r w:rsidRPr="00BC67D2">
        <w:rPr>
          <w:rFonts w:ascii="Verdana" w:eastAsia="Calibri" w:hAnsi="Verdana" w:cs="Arial"/>
          <w:bCs/>
          <w:color w:val="000000"/>
          <w:sz w:val="20"/>
          <w:szCs w:val="20"/>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BC67D2">
        <w:rPr>
          <w:rFonts w:ascii="Verdana" w:eastAsia="Calibri" w:hAnsi="Verdana" w:cs="Arial"/>
          <w:bCs/>
          <w:color w:val="000000"/>
          <w:sz w:val="20"/>
          <w:szCs w:val="20"/>
        </w:rPr>
        <w:t>1.°</w:t>
      </w:r>
      <w:proofErr w:type="gramEnd"/>
      <w:r w:rsidRPr="00BC67D2">
        <w:rPr>
          <w:rFonts w:ascii="Verdana" w:eastAsia="Calibri" w:hAnsi="Verdana" w:cs="Arial"/>
          <w:bCs/>
          <w:color w:val="000000"/>
          <w:sz w:val="20"/>
          <w:szCs w:val="20"/>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BC67D2">
        <w:rPr>
          <w:rFonts w:ascii="Verdana" w:eastAsia="Calibri" w:hAnsi="Verdana" w:cs="Arial"/>
          <w:bCs/>
          <w:color w:val="000000"/>
          <w:sz w:val="20"/>
          <w:szCs w:val="20"/>
          <w:vertAlign w:val="superscript"/>
        </w:rPr>
        <w:footnoteReference w:id="8"/>
      </w:r>
      <w:r w:rsidRPr="00BC67D2">
        <w:rPr>
          <w:rFonts w:ascii="Verdana" w:eastAsia="Calibri" w:hAnsi="Verdana" w:cs="Arial"/>
          <w:bCs/>
          <w:color w:val="000000"/>
          <w:sz w:val="20"/>
          <w:szCs w:val="20"/>
        </w:rPr>
        <w:t>.</w:t>
      </w:r>
    </w:p>
    <w:p w14:paraId="17B695A2" w14:textId="77777777" w:rsidR="00EF3D91" w:rsidRPr="00CF44B4" w:rsidRDefault="00EF3D91" w:rsidP="00EF3D91">
      <w:pPr>
        <w:spacing w:after="120" w:line="276" w:lineRule="auto"/>
        <w:ind w:firstLine="709"/>
        <w:jc w:val="both"/>
        <w:rPr>
          <w:rFonts w:ascii="Verdana" w:eastAsia="Calibri" w:hAnsi="Verdana" w:cs="Arial"/>
          <w:bCs/>
          <w:color w:val="000000"/>
        </w:rPr>
      </w:pPr>
      <w:bookmarkStart w:id="2" w:name="_Hlk100070990"/>
      <w:r w:rsidRPr="00CF44B4">
        <w:rPr>
          <w:rFonts w:ascii="Verdana" w:eastAsia="Calibri" w:hAnsi="Verdana" w:cs="Arial"/>
          <w:bCs/>
          <w:color w:val="000000"/>
        </w:rPr>
        <w:lastRenderedPageBreak/>
        <w:t>De esta manera,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BC67D2">
        <w:rPr>
          <w:vertAlign w:val="superscript"/>
        </w:rPr>
        <w:footnoteReference w:id="9"/>
      </w:r>
      <w:r w:rsidRPr="00CF44B4">
        <w:rPr>
          <w:rFonts w:ascii="Verdana" w:eastAsia="Calibri" w:hAnsi="Verdana" w:cs="Arial"/>
          <w:bCs/>
          <w:color w:val="000000"/>
        </w:rPr>
        <w:t xml:space="preserve">,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w:t>
      </w:r>
      <w:r w:rsidRPr="00CF44B4">
        <w:rPr>
          <w:rFonts w:ascii="Verdana" w:eastAsia="Calibri" w:hAnsi="Verdana" w:cs="Arial" w:hint="eastAsia"/>
          <w:bCs/>
          <w:color w:val="000000"/>
        </w:rPr>
        <w:t>―</w:t>
      </w:r>
      <w:r w:rsidRPr="00CF44B4">
        <w:rPr>
          <w:rFonts w:ascii="Verdana" w:eastAsia="Calibri" w:hAnsi="Verdana" w:cs="Arial"/>
          <w:bCs/>
          <w:color w:val="000000"/>
        </w:rPr>
        <w:t>sábados y domingos</w:t>
      </w:r>
      <w:r w:rsidRPr="00CF44B4">
        <w:rPr>
          <w:rFonts w:ascii="Verdana" w:eastAsia="Calibri" w:hAnsi="Verdana" w:cs="Arial" w:hint="eastAsia"/>
          <w:bCs/>
          <w:color w:val="000000"/>
        </w:rPr>
        <w:t>―</w:t>
      </w:r>
      <w:r w:rsidRPr="00CF44B4">
        <w:rPr>
          <w:rFonts w:ascii="Verdana" w:eastAsia="Calibri" w:hAnsi="Verdana" w:cs="Arial"/>
          <w:bCs/>
          <w:color w:val="000000"/>
        </w:rPr>
        <w:t xml:space="preserve"> normalmente para brindarle un buen servicio a la población campesina, que acostumbra ir al casco urbano en estos dos días y descansan un día de la semana </w:t>
      </w:r>
      <w:r w:rsidRPr="00CF44B4">
        <w:rPr>
          <w:rFonts w:ascii="Verdana" w:eastAsia="Calibri" w:hAnsi="Verdana" w:cs="Arial" w:hint="eastAsia"/>
          <w:bCs/>
          <w:color w:val="000000"/>
        </w:rPr>
        <w:t>―</w:t>
      </w:r>
      <w:r w:rsidRPr="00CF44B4">
        <w:rPr>
          <w:rFonts w:ascii="Verdana" w:eastAsia="Calibri" w:hAnsi="Verdana" w:cs="Arial"/>
          <w:bCs/>
          <w:color w:val="000000"/>
        </w:rPr>
        <w:t>usualmente el miércoles</w:t>
      </w:r>
      <w:r w:rsidRPr="00CF44B4">
        <w:rPr>
          <w:rFonts w:ascii="Verdana" w:eastAsia="Calibri" w:hAnsi="Verdana" w:cs="Arial" w:hint="eastAsia"/>
          <w:bCs/>
          <w:color w:val="000000"/>
        </w:rPr>
        <w:t>―”</w:t>
      </w:r>
      <w:r w:rsidRPr="00BC67D2">
        <w:rPr>
          <w:vertAlign w:val="superscript"/>
        </w:rPr>
        <w:footnoteReference w:id="10"/>
      </w:r>
      <w:r w:rsidRPr="00CF44B4">
        <w:rPr>
          <w:rFonts w:ascii="Verdana" w:eastAsia="Calibri" w:hAnsi="Verdana" w:cs="Arial"/>
          <w:bCs/>
          <w:color w:val="000000"/>
        </w:rPr>
        <w:t xml:space="preserve">, ejemplo donde los días laborables o hábiles son todos los de la semana, con excepción del miércoles. </w:t>
      </w:r>
    </w:p>
    <w:p w14:paraId="529725F7" w14:textId="77777777" w:rsidR="00EF3D91" w:rsidRPr="00CF44B4" w:rsidRDefault="00EF3D91" w:rsidP="00EF3D91">
      <w:pPr>
        <w:spacing w:after="120" w:line="276" w:lineRule="auto"/>
        <w:ind w:firstLine="709"/>
        <w:jc w:val="both"/>
        <w:rPr>
          <w:rFonts w:ascii="Verdana" w:eastAsia="Calibri" w:hAnsi="Verdana" w:cs="Arial"/>
          <w:bCs/>
          <w:color w:val="000000"/>
        </w:rPr>
      </w:pPr>
      <w:r w:rsidRPr="00CF44B4">
        <w:rPr>
          <w:rFonts w:ascii="Verdana" w:eastAsia="Calibri" w:hAnsi="Verdana" w:cs="Arial"/>
          <w:bCs/>
          <w:color w:val="000000"/>
        </w:rPr>
        <w:t xml:space="preserve">Esto implica, respecto del término para publicar la invitación y para la presentación de ofertas en procedimientos contractuales, así como para el cómputo de los demás términos en días hábiles propios de los procesos de selección, que deberá transcurrir dentro de los días definidos por cada entidad estatal como laborables en su correspondiente reglamento o manual de funciones. </w:t>
      </w:r>
      <w:bookmarkEnd w:id="2"/>
    </w:p>
    <w:p w14:paraId="0B9864D4" w14:textId="77777777" w:rsidR="00EF3D91" w:rsidRPr="00CF44B4" w:rsidRDefault="00EF3D91" w:rsidP="00EF3D91">
      <w:pPr>
        <w:spacing w:after="120" w:line="276" w:lineRule="auto"/>
        <w:ind w:firstLine="709"/>
        <w:jc w:val="both"/>
        <w:rPr>
          <w:rFonts w:ascii="Verdana" w:eastAsia="Calibri" w:hAnsi="Verdana" w:cs="Arial"/>
          <w:bCs/>
          <w:color w:val="000000"/>
        </w:rPr>
      </w:pPr>
      <w:r w:rsidRPr="00CF44B4">
        <w:rPr>
          <w:rFonts w:ascii="Verdana" w:eastAsia="Calibri" w:hAnsi="Verdana" w:cs="Arial"/>
          <w:bCs/>
          <w:color w:val="000000"/>
        </w:rPr>
        <w:t xml:space="preserve">Lo anterior 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w:t>
      </w:r>
      <w:proofErr w:type="spellStart"/>
      <w:r w:rsidRPr="00CF44B4">
        <w:rPr>
          <w:rFonts w:ascii="Verdana" w:eastAsia="Calibri" w:hAnsi="Verdana" w:cs="Arial"/>
          <w:bCs/>
          <w:color w:val="000000"/>
        </w:rPr>
        <w:t>ii</w:t>
      </w:r>
      <w:proofErr w:type="spellEnd"/>
      <w:r w:rsidRPr="00CF44B4">
        <w:rPr>
          <w:rFonts w:ascii="Verdana" w:eastAsia="Calibri" w:hAnsi="Verdana" w:cs="Arial"/>
          <w:bCs/>
          <w:color w:val="000000"/>
        </w:rPr>
        <w:t xml:space="preserve">) que el día hábil al que hace referencia la ley está comprendido por las horas durante las cuales la entidad atiende al público durante un día fijado como laborable, por lo que si se establece </w:t>
      </w:r>
      <w:r w:rsidRPr="00CF44B4">
        <w:rPr>
          <w:rFonts w:ascii="Verdana" w:eastAsia="Calibri" w:hAnsi="Verdana" w:cs="Arial"/>
          <w:bCs/>
          <w:color w:val="000000"/>
        </w:rPr>
        <w:lastRenderedPageBreak/>
        <w:t xml:space="preserve">un horario de atención entre las 8:00 y las 17:00 horas, para cumplir el plazo mínimo la entidad debe publicar la invitación y recibir ofertas únicamente durante dicho lapso; o </w:t>
      </w:r>
      <w:proofErr w:type="spellStart"/>
      <w:r w:rsidRPr="00CF44B4">
        <w:rPr>
          <w:rFonts w:ascii="Verdana" w:eastAsia="Calibri" w:hAnsi="Verdana" w:cs="Arial"/>
          <w:bCs/>
          <w:color w:val="000000"/>
        </w:rPr>
        <w:t>iii</w:t>
      </w:r>
      <w:proofErr w:type="spellEnd"/>
      <w:r w:rsidRPr="00CF44B4">
        <w:rPr>
          <w:rFonts w:ascii="Verdana" w:eastAsia="Calibri" w:hAnsi="Verdana" w:cs="Arial"/>
          <w:bCs/>
          <w:color w:val="000000"/>
        </w:rPr>
        <w:t xml:space="preserve">) que el término de un día hábil está constituido por las veinticuatro horas que conforman uno de los días laborables definidos por la entidad, empezando a las 00:00 horas y terminando a las 23:59 de dicho día. </w:t>
      </w:r>
    </w:p>
    <w:p w14:paraId="7060C24C" w14:textId="77777777" w:rsidR="00EF3D91" w:rsidRDefault="00EF3D91" w:rsidP="00EF3D91">
      <w:pPr>
        <w:spacing w:after="120" w:line="276" w:lineRule="auto"/>
        <w:ind w:firstLine="709"/>
        <w:jc w:val="both"/>
        <w:rPr>
          <w:rFonts w:ascii="Verdana" w:eastAsia="Calibri" w:hAnsi="Verdana" w:cs="Arial"/>
          <w:bCs/>
          <w:color w:val="000000"/>
        </w:rPr>
      </w:pPr>
      <w:r w:rsidRPr="00CF44B4">
        <w:rPr>
          <w:rFonts w:ascii="Verdana" w:eastAsia="Calibri" w:hAnsi="Verdana" w:cs="Arial"/>
          <w:bCs/>
          <w:color w:val="000000"/>
        </w:rPr>
        <w:t xml:space="preserve">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w:t>
      </w:r>
    </w:p>
    <w:p w14:paraId="7B67E0D2" w14:textId="6887F836" w:rsidR="00EF3D91" w:rsidRDefault="00FD4782" w:rsidP="00EF3D91">
      <w:pPr>
        <w:spacing w:after="120" w:line="276" w:lineRule="auto"/>
        <w:ind w:firstLine="709"/>
        <w:jc w:val="both"/>
        <w:rPr>
          <w:rFonts w:ascii="Verdana" w:eastAsia="Calibri" w:hAnsi="Verdana" w:cs="Arial"/>
          <w:bCs/>
          <w:color w:val="000000"/>
        </w:rPr>
      </w:pPr>
      <w:r>
        <w:rPr>
          <w:rFonts w:ascii="Verdana" w:eastAsia="Calibri" w:hAnsi="Verdana" w:cs="Arial"/>
          <w:bCs/>
          <w:color w:val="000000"/>
          <w:lang w:val="es-MX"/>
        </w:rPr>
        <w:t>La</w:t>
      </w:r>
      <w:r w:rsidR="00EF3D91" w:rsidRPr="00CF44B4">
        <w:rPr>
          <w:rFonts w:ascii="Verdana" w:eastAsia="Calibri" w:hAnsi="Verdana" w:cs="Arial"/>
          <w:bCs/>
          <w:color w:val="000000"/>
          <w:lang w:val="es-MX"/>
        </w:rPr>
        <w:t xml:space="preserve">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00EF3D91" w:rsidRPr="00CF44B4">
        <w:rPr>
          <w:rFonts w:ascii="Verdana" w:eastAsia="Calibri" w:hAnsi="Verdana" w:cs="Arial"/>
          <w:bCs/>
          <w:color w:val="000000"/>
        </w:rPr>
        <w:t>A esto se suma el hecho de que las entidades no suelen tener horarios de atención al público de veinticuatro horas diarias, comoquiera que solo están obligadas a garantizar la atención durante cuarenta horas semanales</w:t>
      </w:r>
      <w:r w:rsidR="00EF3D91" w:rsidRPr="00BC67D2">
        <w:rPr>
          <w:vertAlign w:val="superscript"/>
        </w:rPr>
        <w:footnoteReference w:id="11"/>
      </w:r>
      <w:r w:rsidR="00EF3D91" w:rsidRPr="00CF44B4">
        <w:rPr>
          <w:rFonts w:ascii="Verdana" w:eastAsia="Calibri" w:hAnsi="Verdana" w:cs="Arial"/>
          <w:bCs/>
          <w:color w:val="000000"/>
        </w:rPr>
        <w:t>.</w:t>
      </w:r>
    </w:p>
    <w:p w14:paraId="5B28CE3A" w14:textId="77777777" w:rsidR="00EF3D91" w:rsidRPr="00582780" w:rsidRDefault="00EF3D91" w:rsidP="00EF3D91">
      <w:pPr>
        <w:tabs>
          <w:tab w:val="left" w:pos="0"/>
        </w:tabs>
        <w:spacing w:after="120" w:line="276" w:lineRule="auto"/>
        <w:ind w:firstLine="709"/>
        <w:jc w:val="both"/>
        <w:rPr>
          <w:rFonts w:ascii="Verdana" w:eastAsia="Calibri" w:hAnsi="Verdana" w:cs="Arial"/>
          <w:bCs/>
          <w:lang w:val="es-ES"/>
        </w:rPr>
      </w:pPr>
      <w:r w:rsidRPr="00582780">
        <w:rPr>
          <w:rFonts w:ascii="Verdana" w:eastAsia="Calibri" w:hAnsi="Verdana" w:cs="Arial"/>
          <w:bCs/>
          <w:lang w:val="es-ES"/>
        </w:rPr>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477C5D50" w14:textId="77777777" w:rsidR="00EF3D91" w:rsidRPr="00582780" w:rsidRDefault="00EF3D91" w:rsidP="00EF3D91">
      <w:pPr>
        <w:tabs>
          <w:tab w:val="left" w:pos="0"/>
        </w:tabs>
        <w:spacing w:after="120" w:line="276" w:lineRule="auto"/>
        <w:ind w:firstLine="709"/>
        <w:jc w:val="both"/>
        <w:rPr>
          <w:rFonts w:ascii="Verdana" w:eastAsia="Calibri" w:hAnsi="Verdana" w:cs="Arial"/>
          <w:bCs/>
          <w:lang w:val="es-ES"/>
        </w:rPr>
      </w:pPr>
      <w:r w:rsidRPr="00582780">
        <w:rPr>
          <w:rFonts w:ascii="Verdana" w:eastAsia="Calibri" w:hAnsi="Verdana" w:cs="Arial"/>
          <w:bCs/>
          <w:lang w:val="es-ES"/>
        </w:rPr>
        <w:lastRenderedPageBreak/>
        <w:t>En ese sentido,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w:t>
      </w:r>
      <w:r>
        <w:rPr>
          <w:rFonts w:ascii="Verdana" w:eastAsia="Calibri" w:hAnsi="Verdana" w:cs="Arial"/>
          <w:bCs/>
          <w:lang w:val="es-ES"/>
        </w:rPr>
        <w:t>, incluido el de</w:t>
      </w:r>
      <w:r w:rsidRPr="00582780">
        <w:rPr>
          <w:rFonts w:ascii="Verdana" w:eastAsia="Calibri" w:hAnsi="Verdana" w:cs="Arial"/>
          <w:bCs/>
          <w:lang w:val="es-ES"/>
        </w:rPr>
        <w:t xml:space="preserve"> mínima cuantía. Conforme a esta regla, a las entidades que utilizan SECOP I, para cumplir con el término mínimo de un día hábil para recibir ofertas, les bastará con recibir ofertas por el lapso correspondiente a una jornada laboral diaria. </w:t>
      </w:r>
    </w:p>
    <w:p w14:paraId="0914A287" w14:textId="77777777" w:rsidR="00EF3D91" w:rsidRPr="00582780" w:rsidRDefault="00EF3D91" w:rsidP="00EF3D91">
      <w:pPr>
        <w:tabs>
          <w:tab w:val="left" w:pos="0"/>
        </w:tabs>
        <w:spacing w:after="120" w:line="276" w:lineRule="auto"/>
        <w:ind w:firstLine="709"/>
        <w:jc w:val="both"/>
        <w:rPr>
          <w:rFonts w:ascii="Verdana" w:eastAsia="Calibri" w:hAnsi="Verdana" w:cs="Arial"/>
          <w:bCs/>
          <w:lang w:val="es-ES"/>
        </w:rPr>
      </w:pPr>
      <w:r w:rsidRPr="00582780">
        <w:rPr>
          <w:rFonts w:ascii="Verdana" w:eastAsia="Calibri" w:hAnsi="Verdana" w:cs="Arial"/>
          <w:bCs/>
          <w:lang w:val="es-ES"/>
        </w:rPr>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77ABCE0F" w14:textId="77777777" w:rsidR="00EF3D91" w:rsidRPr="00582780" w:rsidRDefault="00EF3D91" w:rsidP="00EF3D91">
      <w:pPr>
        <w:tabs>
          <w:tab w:val="left" w:pos="0"/>
        </w:tabs>
        <w:spacing w:after="120" w:line="276" w:lineRule="auto"/>
        <w:ind w:firstLine="709"/>
        <w:jc w:val="both"/>
        <w:rPr>
          <w:rFonts w:ascii="Verdana" w:eastAsia="Calibri" w:hAnsi="Verdana" w:cs="Arial"/>
          <w:bCs/>
          <w:lang w:val="es-ES"/>
        </w:rPr>
      </w:pPr>
      <w:r w:rsidRPr="00582780">
        <w:rPr>
          <w:rFonts w:ascii="Verdana" w:eastAsia="Calibri" w:hAnsi="Verdana" w:cs="Arial"/>
          <w:bCs/>
          <w:lang w:val="es-ES"/>
        </w:rPr>
        <w:t>De conformidad con los mandatos derivados del principio de transparencia, consagrado en el artículo 24 de la Ley 80 de 1993, y lo dispuesto en el artículo 2.2.1.1.2.1.3 del Decreto 1082 de 2015</w:t>
      </w:r>
      <w:r w:rsidRPr="00582780">
        <w:rPr>
          <w:rFonts w:ascii="Verdana" w:eastAsia="Calibri" w:hAnsi="Verdana" w:cs="Arial"/>
          <w:bCs/>
          <w:vertAlign w:val="superscript"/>
          <w:lang w:val="es-ES"/>
        </w:rPr>
        <w:footnoteReference w:id="12"/>
      </w:r>
      <w:r w:rsidRPr="00582780">
        <w:rPr>
          <w:rFonts w:ascii="Verdana" w:eastAsia="Calibri" w:hAnsi="Verdana" w:cs="Arial"/>
          <w:bCs/>
          <w:lang w:val="es-ES"/>
        </w:rPr>
        <w:t xml:space="preserve">, en el pliego de condiciones deben definirse </w:t>
      </w:r>
      <w:r>
        <w:rPr>
          <w:rFonts w:ascii="Verdana" w:eastAsia="Calibri" w:hAnsi="Verdana" w:cs="Arial"/>
          <w:bCs/>
          <w:lang w:val="es-ES"/>
        </w:rPr>
        <w:t>“</w:t>
      </w:r>
      <w:r w:rsidRPr="00582780">
        <w:rPr>
          <w:rFonts w:ascii="Verdana" w:eastAsia="Calibri" w:hAnsi="Verdana" w:cs="Arial"/>
          <w:bCs/>
          <w:lang w:val="es-ES"/>
        </w:rPr>
        <w:t>las reglas aplicables a la presentación de las ofertas, su evaluación y a la adjudicación del contrato</w:t>
      </w:r>
      <w:r>
        <w:rPr>
          <w:rFonts w:ascii="Verdana" w:eastAsia="Calibri" w:hAnsi="Verdana" w:cs="Arial"/>
          <w:bCs/>
          <w:lang w:val="es-ES"/>
        </w:rPr>
        <w:t>”</w:t>
      </w:r>
      <w:r w:rsidRPr="00582780">
        <w:rPr>
          <w:rFonts w:ascii="Verdana" w:eastAsia="Calibri" w:hAnsi="Verdana" w:cs="Arial"/>
          <w:bCs/>
          <w:lang w:val="es-ES"/>
        </w:rPr>
        <w:t xml:space="preserve">, así como el cronograma del proceso de selección, lo cual también es aplicable a la invitación en los procesos de mínima cuantía. Esto implica que para dar aplicación a la anterior regla las entidades deberán establecer, en la respectiva invitación, el lapso durante el cual recibirán ofertas, definiendo expresamente </w:t>
      </w:r>
      <w:r>
        <w:rPr>
          <w:rFonts w:ascii="Verdana" w:eastAsia="Calibri" w:hAnsi="Verdana" w:cs="Arial"/>
          <w:bCs/>
          <w:lang w:val="es-ES"/>
        </w:rPr>
        <w:t xml:space="preserve">el día y </w:t>
      </w:r>
      <w:r w:rsidRPr="00582780">
        <w:rPr>
          <w:rFonts w:ascii="Verdana" w:eastAsia="Calibri" w:hAnsi="Verdana" w:cs="Arial"/>
          <w:bCs/>
          <w:lang w:val="es-ES"/>
        </w:rPr>
        <w:t xml:space="preserve">la hora hasta la cual recibirán las ofertas, de tal manera que este pueda ser conocido con anticipación por los interesados en participar.    </w:t>
      </w:r>
    </w:p>
    <w:p w14:paraId="150D1E6C" w14:textId="77777777" w:rsidR="00EF3D91" w:rsidRDefault="00EF3D91" w:rsidP="00EF3D91">
      <w:pPr>
        <w:spacing w:after="120" w:line="276" w:lineRule="auto"/>
        <w:ind w:firstLine="709"/>
        <w:jc w:val="both"/>
        <w:rPr>
          <w:rFonts w:ascii="Verdana" w:eastAsia="Calibri" w:hAnsi="Verdana" w:cs="Arial"/>
        </w:rPr>
      </w:pPr>
      <w:r w:rsidRPr="007A0E81">
        <w:rPr>
          <w:rFonts w:ascii="Verdana" w:eastAsia="Calibri" w:hAnsi="Verdana" w:cs="Arial"/>
          <w:bCs/>
          <w:color w:val="000000" w:themeColor="text1"/>
          <w:lang w:val="es-ES"/>
        </w:rPr>
        <w:lastRenderedPageBreak/>
        <w:t>L</w:t>
      </w:r>
      <w:r w:rsidRPr="007A0E81">
        <w:rPr>
          <w:rFonts w:ascii="Verdana" w:eastAsia="Calibri" w:hAnsi="Verdana" w:cs="Arial"/>
          <w:bCs/>
          <w:color w:val="000000" w:themeColor="text1"/>
        </w:rPr>
        <w:t xml:space="preserve">o explicado hasta ahora, pone de manifiesto que la definición y las características generales del plazo, derivadas de las normas del Código Civil, deben complementarse con los preceptos especiales que en esta materia contiene la Ley 80 de 1993. En todo caso, </w:t>
      </w:r>
      <w:r w:rsidRPr="007A0E81">
        <w:rPr>
          <w:rFonts w:ascii="Verdana" w:eastAsia="Calibri" w:hAnsi="Verdana" w:cs="Arial"/>
        </w:rPr>
        <w:t>corresponderá a la entidad estatal decidir</w:t>
      </w:r>
      <w:r>
        <w:rPr>
          <w:rFonts w:ascii="Verdana" w:eastAsia="Calibri" w:hAnsi="Verdana" w:cs="Arial"/>
        </w:rPr>
        <w:t xml:space="preserve"> la forma de</w:t>
      </w:r>
      <w:r w:rsidRPr="007A0E81">
        <w:rPr>
          <w:rFonts w:ascii="Verdana" w:eastAsia="Calibri" w:hAnsi="Verdana" w:cs="Arial"/>
        </w:rPr>
        <w:t xml:space="preserve"> compatibilizar las reglas civiles de cómputo de plazos con la lógica del </w:t>
      </w:r>
      <w:r>
        <w:rPr>
          <w:rFonts w:ascii="Verdana" w:eastAsia="Calibri" w:hAnsi="Verdana" w:cs="Arial"/>
        </w:rPr>
        <w:t>proceso de selección y los mecanismos para recibir las ofertas, en el caso de la consulta no es de manera transaccional a través del SECOP II, sino física mediante el SECOP I.</w:t>
      </w:r>
    </w:p>
    <w:p w14:paraId="3354CA36" w14:textId="77777777" w:rsidR="00EF3D91" w:rsidRPr="007A0E81" w:rsidRDefault="00EF3D91" w:rsidP="00EF3D91">
      <w:pPr>
        <w:spacing w:after="120" w:line="276" w:lineRule="auto"/>
        <w:jc w:val="both"/>
        <w:rPr>
          <w:rFonts w:ascii="Verdana" w:eastAsia="Calibri" w:hAnsi="Verdana" w:cs="Arial"/>
        </w:rPr>
      </w:pPr>
      <w:r>
        <w:rPr>
          <w:rFonts w:ascii="Verdana" w:eastAsia="Calibri" w:hAnsi="Verdana" w:cs="Arial"/>
        </w:rPr>
        <w:t xml:space="preserve">No obstante, </w:t>
      </w:r>
      <w:r w:rsidRPr="007A0E81">
        <w:rPr>
          <w:rFonts w:ascii="Verdana" w:eastAsia="Calibri" w:hAnsi="Verdana" w:cs="Arial"/>
        </w:rPr>
        <w:t xml:space="preserve">debe advertirse que el análisis requerido para establecer </w:t>
      </w:r>
      <w:r>
        <w:rPr>
          <w:rFonts w:ascii="Verdana" w:eastAsia="Calibri" w:hAnsi="Verdana" w:cs="Arial"/>
        </w:rPr>
        <w:t>los plazos</w:t>
      </w:r>
      <w:r w:rsidRPr="007A0E81">
        <w:rPr>
          <w:rFonts w:ascii="Verdana" w:eastAsia="Calibri" w:hAnsi="Verdana" w:cs="Arial"/>
        </w:rPr>
        <w:t xml:space="preserve"> debe ser realizado por la entidad contratante en consideración a las particularidades y especificaciones del respectivo objeto contractual, de acuerdo con lo explicado supra, así como las cláusulas fijadas en los documentos del proceso. De esta manera, lo explicado en el presente concepto no puede ser interpretado como un pronunciamiento respecto del plazo aludido en la petición, ni las afirmaciones aquí realizadas pueden ser interpretadas como juicios de valor sobre circunstancias relacionadas con los hechos que motivan la petición.</w:t>
      </w:r>
    </w:p>
    <w:p w14:paraId="56DE3D34" w14:textId="77777777" w:rsidR="00EF3D91" w:rsidRPr="009322DA" w:rsidRDefault="00EF3D91" w:rsidP="00EF3D91">
      <w:pPr>
        <w:jc w:val="both"/>
        <w:rPr>
          <w:rFonts w:ascii="Verdana" w:eastAsia="Calibri" w:hAnsi="Verdana" w:cs="Arial"/>
          <w:b/>
          <w:bCs/>
        </w:rPr>
      </w:pPr>
      <w:r w:rsidRPr="009322DA">
        <w:rPr>
          <w:rFonts w:ascii="Verdana" w:eastAsia="Calibri" w:hAnsi="Verdana" w:cs="Arial"/>
          <w:b/>
          <w:bCs/>
        </w:rPr>
        <w:t>4. Referencias</w:t>
      </w:r>
      <w:r>
        <w:rPr>
          <w:rFonts w:ascii="Verdana" w:eastAsia="Calibri" w:hAnsi="Verdana" w:cs="Arial"/>
          <w:b/>
          <w:bCs/>
        </w:rPr>
        <w:t xml:space="preserve"> </w:t>
      </w:r>
      <w:r w:rsidRPr="009322DA">
        <w:rPr>
          <w:rFonts w:ascii="Verdana" w:eastAsia="Calibri" w:hAnsi="Verdana" w:cs="Arial"/>
          <w:b/>
          <w:bCs/>
        </w:rPr>
        <w:t>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F3D91" w:rsidRPr="009322DA" w14:paraId="2C940DB4" w14:textId="77777777" w:rsidTr="000964B0">
        <w:trPr>
          <w:trHeight w:val="1068"/>
        </w:trPr>
        <w:tc>
          <w:tcPr>
            <w:tcW w:w="8647" w:type="dxa"/>
            <w:tcBorders>
              <w:top w:val="dotted" w:sz="4" w:space="0" w:color="auto"/>
              <w:left w:val="dotted" w:sz="4" w:space="0" w:color="auto"/>
              <w:bottom w:val="dotted" w:sz="4" w:space="0" w:color="auto"/>
              <w:right w:val="dotted" w:sz="4" w:space="0" w:color="auto"/>
            </w:tcBorders>
          </w:tcPr>
          <w:p w14:paraId="26DEC796" w14:textId="77777777" w:rsidR="00EF3D91"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sidRPr="006D50BC">
              <w:rPr>
                <w:rFonts w:ascii="Verdana" w:hAnsi="Verdana" w:cs="Arial"/>
                <w:lang w:val="es-MX"/>
              </w:rPr>
              <w:t xml:space="preserve">Ley </w:t>
            </w:r>
            <w:r>
              <w:rPr>
                <w:rFonts w:ascii="Verdana" w:hAnsi="Verdana" w:cs="Arial"/>
                <w:lang w:val="es-MX"/>
              </w:rPr>
              <w:t>80 de 1993; articulo 24.</w:t>
            </w:r>
          </w:p>
          <w:p w14:paraId="4B9B9B36" w14:textId="77777777" w:rsidR="00EF3D91"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Pr>
                <w:rFonts w:ascii="Verdana" w:hAnsi="Verdana" w:cs="Arial"/>
                <w:lang w:val="es-MX"/>
              </w:rPr>
              <w:t>Ley 4 de 1913; artículos 59 y 62.</w:t>
            </w:r>
          </w:p>
          <w:p w14:paraId="2B9E38AA" w14:textId="77777777" w:rsidR="00EF3D91"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Pr>
                <w:rFonts w:ascii="Verdana" w:hAnsi="Verdana" w:cs="Arial"/>
                <w:lang w:val="es-MX"/>
              </w:rPr>
              <w:t>Ley 51 de 1983; articulo 1.</w:t>
            </w:r>
          </w:p>
          <w:p w14:paraId="6FF0A79F" w14:textId="77777777" w:rsidR="00EF3D91"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Pr>
                <w:rFonts w:ascii="Verdana" w:hAnsi="Verdana" w:cs="Arial"/>
                <w:lang w:val="es-MX"/>
              </w:rPr>
              <w:t>Ley 1437 de 2011; articulo 7.</w:t>
            </w:r>
          </w:p>
          <w:p w14:paraId="7E5B851B" w14:textId="77777777" w:rsidR="00EF3D91" w:rsidRPr="007D4BAC"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sidRPr="00955C78">
              <w:rPr>
                <w:rFonts w:ascii="Verdana" w:hAnsi="Verdana" w:cs="Arial"/>
              </w:rPr>
              <w:t>Decreto 1082 de 2015, artículo 2</w:t>
            </w:r>
            <w:r>
              <w:rPr>
                <w:rFonts w:ascii="Verdana" w:hAnsi="Verdana" w:cs="Arial"/>
              </w:rPr>
              <w:t>.2.1.1.2.1.3.</w:t>
            </w:r>
            <w:r w:rsidRPr="00955C78">
              <w:rPr>
                <w:rFonts w:ascii="Verdana" w:hAnsi="Verdana" w:cs="Arial"/>
              </w:rPr>
              <w:t xml:space="preserve"> </w:t>
            </w:r>
          </w:p>
          <w:p w14:paraId="180E50E0" w14:textId="77777777" w:rsidR="00EF3D91" w:rsidRPr="007D4BAC"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Pr>
                <w:rFonts w:ascii="Verdana" w:hAnsi="Verdana" w:cs="Arial"/>
              </w:rPr>
              <w:t xml:space="preserve">Sentencia </w:t>
            </w:r>
            <w:r w:rsidRPr="007D4BAC">
              <w:rPr>
                <w:rFonts w:ascii="Verdana" w:hAnsi="Verdana" w:cs="Arial"/>
              </w:rPr>
              <w:t>del 12 de abril de 1978.</w:t>
            </w:r>
            <w:r>
              <w:rPr>
                <w:rFonts w:ascii="Verdana" w:hAnsi="Verdana" w:cs="Arial"/>
              </w:rPr>
              <w:t xml:space="preserve"> </w:t>
            </w:r>
            <w:r w:rsidRPr="007D4BAC">
              <w:rPr>
                <w:rFonts w:ascii="Verdana" w:hAnsi="Verdana" w:cs="Arial"/>
              </w:rPr>
              <w:t>Consejo de Estado. Sala Plena de lo Contencioso Administrativo</w:t>
            </w:r>
            <w:r>
              <w:rPr>
                <w:rFonts w:ascii="Verdana" w:hAnsi="Verdana" w:cs="Arial"/>
              </w:rPr>
              <w:t xml:space="preserve"> </w:t>
            </w:r>
            <w:r w:rsidRPr="007D4BAC">
              <w:rPr>
                <w:rFonts w:ascii="Verdana" w:hAnsi="Verdana" w:cs="Arial"/>
              </w:rPr>
              <w:t xml:space="preserve">C.P. Carlos Portocarrero Mutis. </w:t>
            </w:r>
            <w:proofErr w:type="spellStart"/>
            <w:r w:rsidRPr="007D4BAC">
              <w:rPr>
                <w:rFonts w:ascii="Verdana" w:hAnsi="Verdana" w:cs="Arial"/>
              </w:rPr>
              <w:t>Exp</w:t>
            </w:r>
            <w:proofErr w:type="spellEnd"/>
            <w:r w:rsidRPr="007D4BAC">
              <w:rPr>
                <w:rFonts w:ascii="Verdana" w:hAnsi="Verdana" w:cs="Arial"/>
              </w:rPr>
              <w:t>. 355.</w:t>
            </w:r>
          </w:p>
          <w:p w14:paraId="784162C9" w14:textId="77777777" w:rsidR="00EF3D91" w:rsidRPr="007D4BAC"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sidRPr="007D4BAC">
              <w:rPr>
                <w:rFonts w:ascii="Verdana" w:hAnsi="Verdana" w:cs="Arial"/>
              </w:rPr>
              <w:t>Auto del 26 de febrero de 1983</w:t>
            </w:r>
            <w:r>
              <w:rPr>
                <w:rFonts w:ascii="Verdana" w:hAnsi="Verdana" w:cs="Arial"/>
              </w:rPr>
              <w:t xml:space="preserve">, </w:t>
            </w:r>
            <w:r w:rsidRPr="007D4BAC">
              <w:rPr>
                <w:rFonts w:ascii="Verdana" w:hAnsi="Verdana" w:cs="Arial"/>
              </w:rPr>
              <w:t>Consejo de Estado. Sección Cuarta.</w:t>
            </w:r>
          </w:p>
          <w:p w14:paraId="7F77A8CF" w14:textId="77777777" w:rsidR="00EF3D91" w:rsidRPr="00955C78" w:rsidRDefault="00EF3D91" w:rsidP="000964B0">
            <w:pPr>
              <w:widowControl w:val="0"/>
              <w:numPr>
                <w:ilvl w:val="0"/>
                <w:numId w:val="17"/>
              </w:numPr>
              <w:autoSpaceDE w:val="0"/>
              <w:autoSpaceDN w:val="0"/>
              <w:spacing w:after="120" w:line="276" w:lineRule="auto"/>
              <w:contextualSpacing/>
              <w:jc w:val="both"/>
              <w:rPr>
                <w:rFonts w:ascii="Verdana" w:hAnsi="Verdana" w:cs="Arial"/>
                <w:lang w:val="es-MX"/>
              </w:rPr>
            </w:pPr>
            <w:r w:rsidRPr="007D4BAC">
              <w:rPr>
                <w:rFonts w:ascii="Verdana" w:hAnsi="Verdana" w:cs="Arial"/>
              </w:rPr>
              <w:t>MARÍN CORTÉS, Fabián G. Derecho de petición y procedimiento administrativo. 1</w:t>
            </w:r>
            <w:r w:rsidRPr="007D4BAC">
              <w:rPr>
                <w:rFonts w:ascii="Verdana" w:hAnsi="Verdana" w:cs="Arial"/>
                <w:u w:val="single"/>
                <w:vertAlign w:val="superscript"/>
              </w:rPr>
              <w:t>a</w:t>
            </w:r>
            <w:r w:rsidRPr="007D4BAC">
              <w:rPr>
                <w:rFonts w:ascii="Verdana" w:hAnsi="Verdana" w:cs="Arial"/>
              </w:rPr>
              <w:t xml:space="preserve"> ed. Medellín: Librería Jurídica Sánchez R </w:t>
            </w:r>
            <w:proofErr w:type="spellStart"/>
            <w:r w:rsidRPr="007D4BAC">
              <w:rPr>
                <w:rFonts w:ascii="Verdana" w:hAnsi="Verdana" w:cs="Arial"/>
              </w:rPr>
              <w:t>Ltda</w:t>
            </w:r>
            <w:proofErr w:type="spellEnd"/>
            <w:r w:rsidRPr="007D4BAC">
              <w:rPr>
                <w:rFonts w:ascii="Verdana" w:hAnsi="Verdana" w:cs="Arial"/>
              </w:rPr>
              <w:t xml:space="preserve"> y Centro de Estudios de Derecho Administrativo, 2017. p. 417.  </w:t>
            </w:r>
          </w:p>
        </w:tc>
      </w:tr>
    </w:tbl>
    <w:p w14:paraId="46DE79A6" w14:textId="77777777" w:rsidR="00EF3D91" w:rsidRPr="009322DA" w:rsidRDefault="00EF3D91" w:rsidP="00EF3D91">
      <w:pPr>
        <w:tabs>
          <w:tab w:val="left" w:pos="142"/>
          <w:tab w:val="left" w:pos="284"/>
        </w:tabs>
        <w:spacing w:after="0" w:line="276" w:lineRule="auto"/>
        <w:jc w:val="both"/>
        <w:rPr>
          <w:rFonts w:ascii="Verdana" w:eastAsia="Calibri" w:hAnsi="Verdana" w:cs="Arial"/>
        </w:rPr>
      </w:pPr>
    </w:p>
    <w:p w14:paraId="5FEDA52D" w14:textId="77777777" w:rsidR="00EF3D91" w:rsidRDefault="00EF3D91" w:rsidP="00EF3D91">
      <w:pPr>
        <w:tabs>
          <w:tab w:val="left" w:pos="142"/>
          <w:tab w:val="left" w:pos="284"/>
        </w:tabs>
        <w:spacing w:after="0" w:line="276" w:lineRule="auto"/>
        <w:jc w:val="both"/>
        <w:rPr>
          <w:rFonts w:ascii="Verdana" w:eastAsia="Century Gothic" w:hAnsi="Verdana" w:cs="Century Gothic"/>
          <w:b/>
          <w:bCs/>
          <w:lang w:val="es-ES"/>
        </w:rPr>
      </w:pPr>
      <w:r w:rsidRPr="00196A7A">
        <w:rPr>
          <w:rFonts w:ascii="Verdana" w:eastAsia="Calibri" w:hAnsi="Verdana" w:cs="Arial"/>
          <w:b/>
          <w:bCs/>
        </w:rPr>
        <w:t>5.</w:t>
      </w:r>
      <w:r>
        <w:rPr>
          <w:rFonts w:ascii="Verdana" w:eastAsia="Calibri" w:hAnsi="Verdana" w:cs="Arial"/>
          <w:b/>
          <w:bCs/>
        </w:rPr>
        <w:t xml:space="preserve"> </w:t>
      </w:r>
      <w:r w:rsidRPr="00196A7A">
        <w:rPr>
          <w:rFonts w:ascii="Verdana" w:eastAsia="Century Gothic" w:hAnsi="Verdana" w:cs="Century Gothic"/>
          <w:b/>
          <w:bCs/>
          <w:lang w:val="es-ES"/>
        </w:rPr>
        <w:t>Doctrina</w:t>
      </w:r>
      <w:r w:rsidRPr="009322DA">
        <w:rPr>
          <w:rFonts w:ascii="Verdana" w:eastAsia="Century Gothic" w:hAnsi="Verdana" w:cs="Century Gothic"/>
          <w:b/>
          <w:bCs/>
          <w:lang w:val="es-ES"/>
        </w:rPr>
        <w:t xml:space="preserve"> de la Agencia Nacional de Contratación Pública:</w:t>
      </w:r>
    </w:p>
    <w:p w14:paraId="3AE6A150" w14:textId="77777777" w:rsidR="00EF3D91" w:rsidRDefault="00EF3D91" w:rsidP="00EF3D91">
      <w:pPr>
        <w:tabs>
          <w:tab w:val="left" w:pos="142"/>
          <w:tab w:val="left" w:pos="284"/>
        </w:tabs>
        <w:spacing w:after="0" w:line="276" w:lineRule="auto"/>
        <w:jc w:val="both"/>
        <w:rPr>
          <w:rFonts w:ascii="Verdana" w:eastAsia="Century Gothic" w:hAnsi="Verdana" w:cs="Century Gothic"/>
          <w:b/>
          <w:bCs/>
          <w:lang w:val="es-ES"/>
        </w:rPr>
      </w:pPr>
    </w:p>
    <w:p w14:paraId="3CC75E78" w14:textId="77777777" w:rsidR="00EF3D91" w:rsidRDefault="00EF3D91" w:rsidP="00EF3D91">
      <w:pPr>
        <w:spacing w:after="0" w:line="276" w:lineRule="auto"/>
        <w:jc w:val="both"/>
        <w:rPr>
          <w:rFonts w:ascii="Verdana" w:eastAsia="Calibri" w:hAnsi="Verdana" w:cs="Arial"/>
          <w:color w:val="000000" w:themeColor="text1"/>
          <w:shd w:val="clear" w:color="auto" w:fill="FFFFFF"/>
        </w:rPr>
      </w:pPr>
      <w:r w:rsidRPr="00CF44B4">
        <w:rPr>
          <w:rFonts w:ascii="Verdana" w:eastAsia="Calibri" w:hAnsi="Verdana" w:cs="Arial"/>
          <w:shd w:val="clear" w:color="auto" w:fill="FFFFFF"/>
          <w:lang w:val="es-ES"/>
        </w:rPr>
        <w:t xml:space="preserve">La Agencia Nacional de Contratación Pública –Colombia Compra Eficiente–, en ejercicio de la función consultiva, se ha pronunciado en múltiples ocasiones sobre el principio de publicidad y acceso a la información pública en la contratación. La postura de la Agencia al respecto, en lo relacionado con las </w:t>
      </w:r>
      <w:r w:rsidRPr="00CF44B4">
        <w:rPr>
          <w:rFonts w:ascii="Verdana" w:eastAsia="Calibri" w:hAnsi="Verdana" w:cs="Arial"/>
          <w:shd w:val="clear" w:color="auto" w:fill="FFFFFF"/>
          <w:lang w:val="es-ES"/>
        </w:rPr>
        <w:lastRenderedPageBreak/>
        <w:t xml:space="preserve">entidades regidas por el Estatuto General de Contratación de la Administración Pública fue unificada en el concepto CU-367 del 23 de julio de 2020, reiterado en los conceptos </w:t>
      </w:r>
      <w:r>
        <w:rPr>
          <w:rFonts w:ascii="Verdana" w:eastAsia="Calibri" w:hAnsi="Verdana" w:cs="Arial"/>
          <w:shd w:val="clear" w:color="auto" w:fill="FFFFFF"/>
          <w:lang w:val="es-ES"/>
        </w:rPr>
        <w:t xml:space="preserve">C-199 del 13 de julio de 2023, C-364 del 6 de septiembre de 2023, C-393 del 9 de septiembre de 2024, entre otros. </w:t>
      </w:r>
      <w:proofErr w:type="gramStart"/>
      <w:r>
        <w:rPr>
          <w:rFonts w:ascii="Verdana" w:eastAsia="Calibri" w:hAnsi="Verdana" w:cs="Arial"/>
          <w:shd w:val="clear" w:color="auto" w:fill="FFFFFF"/>
          <w:lang w:val="es-ES"/>
        </w:rPr>
        <w:t>Asimismo</w:t>
      </w:r>
      <w:proofErr w:type="gramEnd"/>
      <w:r>
        <w:rPr>
          <w:rFonts w:ascii="Verdana" w:eastAsia="Calibri" w:hAnsi="Verdana" w:cs="Arial"/>
          <w:shd w:val="clear" w:color="auto" w:fill="FFFFFF"/>
          <w:lang w:val="es-ES"/>
        </w:rPr>
        <w:t xml:space="preserve"> se </w:t>
      </w:r>
      <w:r w:rsidRPr="00DD781E">
        <w:rPr>
          <w:rStyle w:val="normaltextrun"/>
          <w:rFonts w:ascii="Verdana" w:hAnsi="Verdana" w:cs="Arial"/>
          <w:shd w:val="clear" w:color="auto" w:fill="FFFFFF"/>
          <w:lang w:val="es-ES"/>
        </w:rPr>
        <w:t xml:space="preserve">ha pronunciado sobre el </w:t>
      </w:r>
      <w:r w:rsidRPr="00A83E5E">
        <w:rPr>
          <w:rFonts w:ascii="Verdana" w:hAnsi="Verdana" w:cs="Arial"/>
          <w:shd w:val="clear" w:color="auto" w:fill="FFFFFF"/>
          <w:lang w:val="es-ES"/>
        </w:rPr>
        <w:t>cómputo de los términos en días hábiles, tema que ha sido estudiado por esta Subdirección en los conceptos</w:t>
      </w:r>
      <w:r w:rsidRPr="00A83E5E">
        <w:rPr>
          <w:rFonts w:ascii="Verdana" w:hAnsi="Verdana" w:cs="Arial"/>
          <w:shd w:val="clear" w:color="auto" w:fill="FFFFFF"/>
        </w:rPr>
        <w:t xml:space="preserve"> </w:t>
      </w:r>
      <w:r w:rsidRPr="00A83E5E">
        <w:rPr>
          <w:rFonts w:ascii="Verdana" w:hAnsi="Verdana" w:cs="Arial"/>
          <w:shd w:val="clear" w:color="auto" w:fill="FFFFFF"/>
          <w:lang w:val="es-ES"/>
        </w:rPr>
        <w:t>C-734 de 2020</w:t>
      </w:r>
      <w:r>
        <w:rPr>
          <w:rFonts w:ascii="Verdana" w:hAnsi="Verdana" w:cs="Arial"/>
          <w:shd w:val="clear" w:color="auto" w:fill="FFFFFF"/>
          <w:lang w:val="es-ES"/>
        </w:rPr>
        <w:t>,</w:t>
      </w:r>
      <w:r w:rsidRPr="00A83E5E">
        <w:rPr>
          <w:rFonts w:ascii="Verdana" w:hAnsi="Verdana" w:cs="Arial"/>
          <w:shd w:val="clear" w:color="auto" w:fill="FFFFFF"/>
          <w:lang w:val="es-ES"/>
        </w:rPr>
        <w:t xml:space="preserve"> C-118 de 2021</w:t>
      </w:r>
      <w:r>
        <w:rPr>
          <w:rFonts w:ascii="Verdana" w:hAnsi="Verdana" w:cs="Arial"/>
          <w:shd w:val="clear" w:color="auto" w:fill="FFFFFF"/>
          <w:lang w:val="es-ES"/>
        </w:rPr>
        <w:t xml:space="preserve">, </w:t>
      </w:r>
      <w:r>
        <w:rPr>
          <w:rStyle w:val="normaltextrun"/>
          <w:rFonts w:ascii="Verdana" w:hAnsi="Verdana" w:cs="Arial"/>
          <w:shd w:val="clear" w:color="auto" w:fill="FFFFFF"/>
        </w:rPr>
        <w:t>C-135 del 28 de marzo de 2022 y C-271 del 4 de mayo de 2022</w:t>
      </w:r>
      <w:r>
        <w:rPr>
          <w:rFonts w:ascii="Verdana" w:eastAsia="Calibri" w:hAnsi="Verdana" w:cs="Arial"/>
          <w:bCs/>
          <w:color w:val="000000" w:themeColor="text1"/>
          <w:lang w:eastAsia="es-ES_tradnl"/>
        </w:rPr>
        <w:t>,</w:t>
      </w:r>
      <w:r>
        <w:rPr>
          <w:rFonts w:ascii="Verdana" w:hAnsi="Verdana" w:cs="Arial"/>
          <w:shd w:val="clear" w:color="auto" w:fill="FFFFFF"/>
          <w:lang w:val="es-ES"/>
        </w:rPr>
        <w:t xml:space="preserve"> C-514 del 17 de octubre de 2024 y C-604 del 26 de junio de 2025</w:t>
      </w:r>
      <w:r w:rsidRPr="00EA761C">
        <w:rPr>
          <w:rStyle w:val="normaltextrun"/>
          <w:rFonts w:ascii="Verdana" w:hAnsi="Verdana" w:cs="Arial"/>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Pr>
          <w:rFonts w:ascii="Verdana" w:eastAsia="Calibri" w:hAnsi="Verdana" w:cs="Arial"/>
          <w:color w:val="000000" w:themeColor="text1"/>
          <w:shd w:val="clear" w:color="auto" w:fill="FFFFFF"/>
        </w:rPr>
        <w:t>.</w:t>
      </w:r>
      <w:r w:rsidRPr="008328CE">
        <w:rPr>
          <w:rFonts w:ascii="Verdana" w:eastAsia="Calibri" w:hAnsi="Verdana" w:cs="Arial"/>
          <w:color w:val="000000" w:themeColor="text1"/>
          <w:shd w:val="clear" w:color="auto" w:fill="FFFFFF"/>
        </w:rPr>
        <w:t xml:space="preserve"> </w:t>
      </w:r>
    </w:p>
    <w:p w14:paraId="477FE45B" w14:textId="77777777" w:rsidR="00EF3D91" w:rsidRDefault="00EF3D91" w:rsidP="00EF3D91">
      <w:pPr>
        <w:spacing w:after="0" w:line="276" w:lineRule="auto"/>
        <w:jc w:val="both"/>
        <w:rPr>
          <w:rFonts w:ascii="Verdana" w:eastAsia="Calibri" w:hAnsi="Verdana" w:cs="Arial"/>
          <w:color w:val="000000" w:themeColor="text1"/>
          <w:shd w:val="clear" w:color="auto" w:fill="FFFFFF"/>
        </w:rPr>
      </w:pPr>
    </w:p>
    <w:p w14:paraId="10684AD5" w14:textId="77777777" w:rsidR="00EF3D91" w:rsidRPr="009322DA" w:rsidRDefault="00EF3D91" w:rsidP="00EF3D91">
      <w:pPr>
        <w:spacing w:after="0" w:line="276" w:lineRule="auto"/>
        <w:jc w:val="both"/>
        <w:rPr>
          <w:rFonts w:ascii="Verdana" w:eastAsia="Calibri" w:hAnsi="Verdana" w:cs="Arial"/>
          <w:color w:val="FF0000"/>
          <w:shd w:val="clear" w:color="auto" w:fill="FFFFFF"/>
        </w:rPr>
      </w:pPr>
    </w:p>
    <w:p w14:paraId="0C0B83B5" w14:textId="77777777" w:rsidR="00EF3D91" w:rsidRPr="009322DA" w:rsidRDefault="00EF3D91" w:rsidP="00EF3D91">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30C85E51" w14:textId="77777777" w:rsidR="00EF3D91" w:rsidRPr="0044528D" w:rsidRDefault="00EF3D91" w:rsidP="00EF3D91">
      <w:pPr>
        <w:spacing w:after="0" w:line="240" w:lineRule="auto"/>
        <w:jc w:val="both"/>
        <w:rPr>
          <w:rFonts w:ascii="Verdana" w:hAnsi="Verdana"/>
        </w:rPr>
      </w:pPr>
    </w:p>
    <w:p w14:paraId="11D71FAC" w14:textId="77777777" w:rsidR="00EF3D91" w:rsidRPr="0044528D" w:rsidRDefault="00EF3D91" w:rsidP="00EF3D91">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04E6BF96" w14:textId="77777777" w:rsidR="00EF3D91" w:rsidRPr="0044528D" w:rsidRDefault="00EF3D91" w:rsidP="00EF3D91">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23509684" w14:textId="77777777" w:rsidR="00EF3D91" w:rsidRPr="0044528D" w:rsidRDefault="00EF3D91" w:rsidP="00EF3D91">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65AB0232" w14:textId="77777777" w:rsidR="00EF3D91" w:rsidRPr="0044528D" w:rsidRDefault="00EF3D91" w:rsidP="00EF3D91">
      <w:pPr>
        <w:widowControl w:val="0"/>
        <w:autoSpaceDE w:val="0"/>
        <w:autoSpaceDN w:val="0"/>
        <w:spacing w:after="0" w:line="276" w:lineRule="auto"/>
        <w:jc w:val="both"/>
        <w:rPr>
          <w:rFonts w:ascii="Verdana" w:hAnsi="Verdana"/>
        </w:rPr>
      </w:pPr>
    </w:p>
    <w:p w14:paraId="6C801380" w14:textId="77777777" w:rsidR="00EF3D91" w:rsidRPr="009322DA" w:rsidRDefault="00EF3D91" w:rsidP="00EF3D91">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0878FF74" w14:textId="77777777" w:rsidR="00EF3D91" w:rsidRPr="009322DA" w:rsidRDefault="00EF3D91" w:rsidP="00EF3D91">
      <w:pPr>
        <w:widowControl w:val="0"/>
        <w:autoSpaceDE w:val="0"/>
        <w:autoSpaceDN w:val="0"/>
        <w:spacing w:after="0" w:line="276" w:lineRule="auto"/>
        <w:jc w:val="both"/>
        <w:rPr>
          <w:rFonts w:ascii="Verdana" w:eastAsia="Calibri" w:hAnsi="Verdana" w:cs="Arial"/>
        </w:rPr>
      </w:pPr>
    </w:p>
    <w:p w14:paraId="24ECB2A0" w14:textId="77777777" w:rsidR="00EF3D91" w:rsidRPr="007A0E81" w:rsidRDefault="00EF3D91" w:rsidP="00EF3D91">
      <w:pPr>
        <w:spacing w:after="0" w:line="276" w:lineRule="auto"/>
        <w:rPr>
          <w:rFonts w:ascii="Verdana" w:hAnsi="Verdana" w:cs="Arial"/>
          <w:lang w:eastAsia="es-CO"/>
        </w:rPr>
      </w:pPr>
      <w:r w:rsidRPr="007A0E81">
        <w:rPr>
          <w:rFonts w:ascii="Verdana" w:eastAsia="Times New Roman" w:hAnsi="Verdana" w:cs="Arial"/>
          <w:lang w:eastAsia="es-CO"/>
        </w:rPr>
        <w:t>Atentamente,</w:t>
      </w:r>
      <w:r w:rsidRPr="007A0E81">
        <w:rPr>
          <w:rFonts w:ascii="Verdana" w:hAnsi="Verdana" w:cs="Arial"/>
          <w:lang w:eastAsia="es-CO"/>
        </w:rPr>
        <w:t xml:space="preserve"> </w:t>
      </w:r>
    </w:p>
    <w:p w14:paraId="278D616B" w14:textId="61F06401" w:rsidR="00EF3D91" w:rsidRPr="007A0E81" w:rsidRDefault="009E01F4" w:rsidP="00EF3D91">
      <w:pPr>
        <w:spacing w:after="0"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E396D87" wp14:editId="5C2BB4D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F3D91" w:rsidRPr="007A0E81" w14:paraId="5D85FEC3" w14:textId="77777777" w:rsidTr="000964B0">
        <w:trPr>
          <w:trHeight w:val="315"/>
        </w:trPr>
        <w:tc>
          <w:tcPr>
            <w:tcW w:w="893" w:type="dxa"/>
            <w:vAlign w:val="center"/>
            <w:hideMark/>
          </w:tcPr>
          <w:p w14:paraId="75DF0FAC" w14:textId="77777777" w:rsidR="00EF3D91" w:rsidRPr="007A0E81" w:rsidRDefault="00EF3D91" w:rsidP="000964B0">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09693678" w14:textId="77777777" w:rsidR="00EF3D91" w:rsidRPr="007A0E81" w:rsidRDefault="00EF3D91" w:rsidP="000964B0">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245B4C2C" w14:textId="77777777" w:rsidR="00EF3D91" w:rsidRPr="007A0E81" w:rsidRDefault="00EF3D91" w:rsidP="000964B0">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EF3D91" w:rsidRPr="007A0E81" w14:paraId="21EC63CB" w14:textId="77777777" w:rsidTr="000964B0">
        <w:trPr>
          <w:trHeight w:val="330"/>
        </w:trPr>
        <w:tc>
          <w:tcPr>
            <w:tcW w:w="893" w:type="dxa"/>
            <w:vAlign w:val="center"/>
            <w:hideMark/>
          </w:tcPr>
          <w:p w14:paraId="788B6351" w14:textId="77777777" w:rsidR="00EF3D91" w:rsidRPr="007A0E81" w:rsidRDefault="00EF3D91" w:rsidP="000964B0">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66E0A85" w14:textId="77777777" w:rsidR="00EF3D91" w:rsidRPr="007A0E81" w:rsidRDefault="00EF3D91" w:rsidP="000964B0">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Juan Carlos González Vázquez</w:t>
            </w:r>
          </w:p>
          <w:p w14:paraId="16965FF8" w14:textId="77777777" w:rsidR="00EF3D91" w:rsidRPr="007A0E81" w:rsidRDefault="00EF3D91" w:rsidP="000964B0">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EF3D91" w:rsidRPr="007A0E81" w14:paraId="156E10C3" w14:textId="77777777" w:rsidTr="000964B0">
        <w:trPr>
          <w:trHeight w:val="300"/>
        </w:trPr>
        <w:tc>
          <w:tcPr>
            <w:tcW w:w="893" w:type="dxa"/>
            <w:vAlign w:val="center"/>
          </w:tcPr>
          <w:p w14:paraId="04BD2D27" w14:textId="77777777" w:rsidR="00EF3D91" w:rsidRPr="007A0E81" w:rsidRDefault="00EF3D91" w:rsidP="000964B0">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879F2CE" w14:textId="77777777" w:rsidR="00EF3D91" w:rsidRPr="007A0E81" w:rsidRDefault="00EF3D91" w:rsidP="000964B0">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2964A72C" w14:textId="77777777" w:rsidR="00EF3D91" w:rsidRPr="007A0E81" w:rsidRDefault="00EF3D91" w:rsidP="000964B0">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1D4E7" w14:textId="77777777" w:rsidR="00B04A81" w:rsidRDefault="00B04A81" w:rsidP="004A1847">
      <w:pPr>
        <w:spacing w:after="0" w:line="240" w:lineRule="auto"/>
      </w:pPr>
      <w:r>
        <w:separator/>
      </w:r>
    </w:p>
  </w:endnote>
  <w:endnote w:type="continuationSeparator" w:id="0">
    <w:p w14:paraId="055D56DD" w14:textId="77777777" w:rsidR="00B04A81" w:rsidRDefault="00B04A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66717" w14:textId="77777777" w:rsidR="00B04A81" w:rsidRDefault="00B04A81" w:rsidP="004A1847">
      <w:pPr>
        <w:spacing w:after="0" w:line="240" w:lineRule="auto"/>
      </w:pPr>
      <w:r>
        <w:separator/>
      </w:r>
    </w:p>
  </w:footnote>
  <w:footnote w:type="continuationSeparator" w:id="0">
    <w:p w14:paraId="3FF71ACD" w14:textId="77777777" w:rsidR="00B04A81" w:rsidRDefault="00B04A81" w:rsidP="004A1847">
      <w:pPr>
        <w:spacing w:after="0" w:line="240" w:lineRule="auto"/>
      </w:pPr>
      <w:r>
        <w:continuationSeparator/>
      </w:r>
    </w:p>
  </w:footnote>
  <w:footnote w:id="1">
    <w:p w14:paraId="33918469" w14:textId="77777777" w:rsidR="00EF3D91" w:rsidRPr="00F43222" w:rsidRDefault="00EF3D91" w:rsidP="00EF3D91">
      <w:pPr>
        <w:pStyle w:val="Textonotapie"/>
        <w:ind w:firstLine="709"/>
        <w:jc w:val="both"/>
        <w:rPr>
          <w:rFonts w:ascii="Verdana" w:hAnsi="Verdana" w:cs="Arial"/>
          <w:color w:val="000000" w:themeColor="text1"/>
          <w:sz w:val="18"/>
          <w:szCs w:val="18"/>
        </w:rPr>
      </w:pPr>
      <w:r w:rsidRPr="00F43222">
        <w:rPr>
          <w:rStyle w:val="Refdenotaalpie"/>
          <w:rFonts w:ascii="Verdana" w:hAnsi="Verdana" w:cs="Arial"/>
          <w:color w:val="000000" w:themeColor="text1"/>
          <w:sz w:val="18"/>
          <w:szCs w:val="18"/>
        </w:rPr>
        <w:footnoteRef/>
      </w:r>
      <w:r w:rsidRPr="00F43222">
        <w:rPr>
          <w:rFonts w:ascii="Verdana" w:hAnsi="Verdana"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0916FFB" w14:textId="77777777" w:rsidR="00EF3D91" w:rsidRPr="00F43222" w:rsidRDefault="00EF3D91" w:rsidP="00EF3D91">
      <w:pPr>
        <w:pStyle w:val="Textonotapie"/>
        <w:ind w:firstLine="709"/>
        <w:jc w:val="both"/>
        <w:rPr>
          <w:rFonts w:ascii="Verdana" w:hAnsi="Verdana" w:cs="Arial"/>
          <w:color w:val="000000" w:themeColor="text1"/>
          <w:sz w:val="18"/>
          <w:szCs w:val="18"/>
        </w:rPr>
      </w:pPr>
      <w:r w:rsidRPr="00F43222">
        <w:rPr>
          <w:rFonts w:ascii="Verdana" w:hAnsi="Verdana" w:cs="Arial"/>
          <w:color w:val="000000" w:themeColor="text1"/>
          <w:sz w:val="18"/>
          <w:szCs w:val="18"/>
        </w:rPr>
        <w:t>Lo anterior, sin perjuicio de las publicaciones previstas en el numeral 3 del artículo 30 de la Ley 80 de 1993.</w:t>
      </w:r>
    </w:p>
    <w:p w14:paraId="1681E719" w14:textId="77777777" w:rsidR="00EF3D91" w:rsidRPr="00F43222" w:rsidRDefault="00EF3D91" w:rsidP="00EF3D91">
      <w:pPr>
        <w:pStyle w:val="Textonotapie"/>
        <w:ind w:firstLine="709"/>
        <w:jc w:val="both"/>
        <w:rPr>
          <w:rFonts w:ascii="Verdana" w:hAnsi="Verdana" w:cs="Arial"/>
          <w:color w:val="000000" w:themeColor="text1"/>
          <w:sz w:val="18"/>
          <w:szCs w:val="18"/>
        </w:rPr>
      </w:pPr>
      <w:r w:rsidRPr="00F43222">
        <w:rPr>
          <w:rFonts w:ascii="Verdana" w:hAnsi="Verdana" w:cs="Arial"/>
          <w:color w:val="000000" w:themeColor="text1"/>
          <w:sz w:val="18"/>
          <w:szCs w:val="18"/>
        </w:rPr>
        <w:t xml:space="preserve">Con el fin de materializar los objetivos a que se refiere el inciso anterior, el Gobierno Nacional desarrollará el Sistema Electrónico para la Contratación Pública, </w:t>
      </w:r>
      <w:proofErr w:type="spellStart"/>
      <w:r w:rsidRPr="00F43222">
        <w:rPr>
          <w:rFonts w:ascii="Verdana" w:hAnsi="Verdana" w:cs="Arial"/>
          <w:color w:val="000000" w:themeColor="text1"/>
          <w:sz w:val="18"/>
          <w:szCs w:val="18"/>
        </w:rPr>
        <w:t>Secop</w:t>
      </w:r>
      <w:proofErr w:type="spellEnd"/>
      <w:r w:rsidRPr="00F43222">
        <w:rPr>
          <w:rFonts w:ascii="Verdana" w:hAnsi="Verdana" w:cs="Arial"/>
          <w:color w:val="000000" w:themeColor="text1"/>
          <w:sz w:val="18"/>
          <w:szCs w:val="18"/>
        </w:rPr>
        <w:t xml:space="preserve">, el cual: </w:t>
      </w:r>
    </w:p>
    <w:p w14:paraId="108B67C0" w14:textId="77777777" w:rsidR="00EF3D91" w:rsidRPr="00F43222" w:rsidRDefault="00EF3D91" w:rsidP="00EF3D91">
      <w:pPr>
        <w:pStyle w:val="Textonotapie"/>
        <w:ind w:firstLine="709"/>
        <w:jc w:val="both"/>
        <w:rPr>
          <w:rFonts w:ascii="Verdana" w:hAnsi="Verdana" w:cs="Arial"/>
          <w:color w:val="000000" w:themeColor="text1"/>
          <w:sz w:val="18"/>
          <w:szCs w:val="18"/>
        </w:rPr>
      </w:pPr>
      <w:r w:rsidRPr="00F43222">
        <w:rPr>
          <w:rFonts w:ascii="Verdana" w:hAnsi="Verdana" w:cs="Arial"/>
          <w:color w:val="000000" w:themeColor="text1"/>
          <w:sz w:val="18"/>
          <w:szCs w:val="18"/>
        </w:rPr>
        <w:t>[…]</w:t>
      </w:r>
    </w:p>
    <w:p w14:paraId="4F17F708" w14:textId="77777777" w:rsidR="00EF3D91" w:rsidRPr="00F43222" w:rsidRDefault="00EF3D91" w:rsidP="00EF3D91">
      <w:pPr>
        <w:pStyle w:val="Textonotapie"/>
        <w:ind w:firstLine="709"/>
        <w:jc w:val="both"/>
        <w:rPr>
          <w:rFonts w:ascii="Verdana" w:hAnsi="Verdana" w:cs="Arial"/>
          <w:color w:val="000000" w:themeColor="text1"/>
          <w:sz w:val="18"/>
          <w:szCs w:val="18"/>
        </w:rPr>
      </w:pPr>
      <w:r w:rsidRPr="00F43222">
        <w:rPr>
          <w:rFonts w:ascii="Verdana" w:hAnsi="Verdana"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656CD648" w14:textId="77777777" w:rsidR="00EF3D91" w:rsidRPr="00F43222" w:rsidRDefault="00EF3D91" w:rsidP="00EF3D91">
      <w:pPr>
        <w:pStyle w:val="Textonotapie"/>
        <w:ind w:firstLine="709"/>
        <w:jc w:val="both"/>
        <w:rPr>
          <w:rFonts w:ascii="Verdana" w:hAnsi="Verdana" w:cs="Arial"/>
          <w:color w:val="000000" w:themeColor="text1"/>
          <w:sz w:val="18"/>
          <w:szCs w:val="18"/>
          <w:lang w:val="es-CO"/>
        </w:rPr>
      </w:pPr>
    </w:p>
  </w:footnote>
  <w:footnote w:id="2">
    <w:p w14:paraId="1B6562F9" w14:textId="77777777" w:rsidR="00EF3D91" w:rsidRPr="00F43222" w:rsidRDefault="00EF3D91" w:rsidP="00EF3D91">
      <w:pPr>
        <w:pStyle w:val="Textonotapie"/>
        <w:ind w:firstLine="709"/>
        <w:jc w:val="both"/>
        <w:rPr>
          <w:rFonts w:ascii="Verdana" w:hAnsi="Verdana" w:cs="Arial"/>
          <w:color w:val="000000" w:themeColor="text1"/>
          <w:sz w:val="18"/>
          <w:szCs w:val="18"/>
        </w:rPr>
      </w:pPr>
      <w:r w:rsidRPr="00F43222">
        <w:rPr>
          <w:rStyle w:val="Refdenotaalpie"/>
          <w:rFonts w:ascii="Verdana" w:hAnsi="Verdana" w:cs="Arial"/>
          <w:color w:val="000000" w:themeColor="text1"/>
          <w:sz w:val="18"/>
          <w:szCs w:val="18"/>
        </w:rPr>
        <w:footnoteRef/>
      </w:r>
      <w:r w:rsidRPr="00F43222">
        <w:rPr>
          <w:rFonts w:ascii="Verdana" w:hAnsi="Verdana"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B92A3A1" w14:textId="77777777" w:rsidR="00EF3D91" w:rsidRPr="00F43222" w:rsidRDefault="00EF3D91" w:rsidP="00EF3D91">
      <w:pPr>
        <w:pStyle w:val="Textonotapie"/>
        <w:ind w:firstLine="709"/>
        <w:jc w:val="both"/>
        <w:rPr>
          <w:rFonts w:ascii="Verdana" w:hAnsi="Verdana" w:cs="Arial"/>
          <w:color w:val="000000" w:themeColor="text1"/>
          <w:sz w:val="18"/>
          <w:szCs w:val="18"/>
          <w:lang w:val="es-CO"/>
        </w:rPr>
      </w:pPr>
    </w:p>
  </w:footnote>
  <w:footnote w:id="3">
    <w:p w14:paraId="639C21AA" w14:textId="77777777" w:rsidR="00EF3D91" w:rsidRPr="00CF44B4" w:rsidRDefault="00EF3D91" w:rsidP="00EF3D91">
      <w:pPr>
        <w:pStyle w:val="Textonotapie"/>
        <w:jc w:val="both"/>
        <w:rPr>
          <w:rFonts w:ascii="Verdana" w:hAnsi="Verdana" w:cs="Arial"/>
          <w:color w:val="000000" w:themeColor="text1"/>
          <w:sz w:val="18"/>
          <w:szCs w:val="18"/>
        </w:rPr>
      </w:pPr>
      <w:r w:rsidRPr="00CF44B4">
        <w:rPr>
          <w:rStyle w:val="Refdenotaalpie"/>
          <w:rFonts w:ascii="Verdana" w:hAnsi="Verdana" w:cs="Arial"/>
          <w:color w:val="000000" w:themeColor="text1"/>
          <w:sz w:val="18"/>
          <w:szCs w:val="18"/>
        </w:rPr>
        <w:footnoteRef/>
      </w:r>
      <w:r w:rsidRPr="00CF44B4">
        <w:rPr>
          <w:rFonts w:ascii="Verdana" w:hAnsi="Verdana" w:cs="Arial"/>
          <w:color w:val="000000" w:themeColor="text1"/>
          <w:sz w:val="18"/>
          <w:szCs w:val="18"/>
        </w:rPr>
        <w:t xml:space="preserve"> Ley 1712 de 2014: “Artículo 5. Ámbito de aplicación. Las disposiciones de esta ley serán aplicables a las siguientes personas en calidad de sujetos obligados: </w:t>
      </w:r>
    </w:p>
    <w:p w14:paraId="77C47037" w14:textId="77777777" w:rsidR="00EF3D91" w:rsidRPr="00723483" w:rsidRDefault="00EF3D91" w:rsidP="00EF3D91">
      <w:pPr>
        <w:pStyle w:val="Textonotapie"/>
        <w:jc w:val="both"/>
        <w:rPr>
          <w:rFonts w:ascii="Arial" w:hAnsi="Arial" w:cs="Arial"/>
          <w:color w:val="000000" w:themeColor="text1"/>
          <w:sz w:val="14"/>
          <w:szCs w:val="14"/>
        </w:rPr>
      </w:pPr>
      <w:r w:rsidRPr="00CF44B4">
        <w:rPr>
          <w:rFonts w:ascii="Verdana" w:hAnsi="Verdana"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4">
    <w:p w14:paraId="4611D8AE" w14:textId="77777777" w:rsidR="00EF3D91" w:rsidRPr="00CF44B4" w:rsidRDefault="00EF3D91" w:rsidP="00EF3D91">
      <w:pPr>
        <w:pStyle w:val="Textonotapie"/>
        <w:jc w:val="both"/>
        <w:rPr>
          <w:rFonts w:ascii="Verdana" w:hAnsi="Verdana" w:cs="Arial"/>
          <w:color w:val="000000" w:themeColor="text1"/>
          <w:sz w:val="18"/>
          <w:szCs w:val="18"/>
        </w:rPr>
      </w:pPr>
      <w:r w:rsidRPr="00CF44B4">
        <w:rPr>
          <w:rFonts w:ascii="Verdana" w:hAnsi="Verdana" w:cs="Arial"/>
          <w:color w:val="000000" w:themeColor="text1"/>
          <w:sz w:val="18"/>
          <w:szCs w:val="18"/>
          <w:vertAlign w:val="superscript"/>
          <w:lang w:eastAsia="es-ES"/>
        </w:rPr>
        <w:footnoteRef/>
      </w:r>
      <w:r w:rsidRPr="00CF44B4">
        <w:rPr>
          <w:rFonts w:ascii="Verdana" w:hAnsi="Verdana" w:cs="Arial"/>
          <w:color w:val="000000" w:themeColor="text1"/>
          <w:sz w:val="18"/>
          <w:szCs w:val="18"/>
          <w:vertAlign w:val="superscript"/>
          <w:lang w:eastAsia="es-ES"/>
        </w:rPr>
        <w:t xml:space="preserve"> </w:t>
      </w:r>
      <w:r w:rsidRPr="00CF44B4">
        <w:rPr>
          <w:rFonts w:ascii="Verdana" w:hAnsi="Verdana" w:cs="Arial"/>
          <w:color w:val="000000" w:themeColor="text1"/>
          <w:sz w:val="18"/>
          <w:szCs w:val="18"/>
          <w:lang w:eastAsia="es-ES"/>
        </w:rPr>
        <w:t>“</w:t>
      </w:r>
      <w:r w:rsidRPr="00CF44B4">
        <w:rPr>
          <w:rFonts w:ascii="Verdana" w:hAnsi="Verdana"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5B257DD" w14:textId="77777777" w:rsidR="00EF3D91" w:rsidRPr="00CF44B4" w:rsidRDefault="00EF3D91" w:rsidP="00EF3D91">
      <w:pPr>
        <w:pStyle w:val="Textonotapie"/>
        <w:jc w:val="both"/>
        <w:rPr>
          <w:rFonts w:ascii="Verdana" w:hAnsi="Verdana" w:cs="Arial"/>
          <w:color w:val="000000" w:themeColor="text1"/>
          <w:sz w:val="18"/>
          <w:szCs w:val="18"/>
          <w:lang w:eastAsia="es-ES"/>
        </w:rPr>
      </w:pPr>
      <w:r w:rsidRPr="00CF44B4">
        <w:rPr>
          <w:rFonts w:ascii="Verdana" w:hAnsi="Verdana" w:cs="Arial"/>
          <w:color w:val="000000" w:themeColor="text1"/>
          <w:sz w:val="18"/>
          <w:szCs w:val="18"/>
        </w:rPr>
        <w:t>[…].</w:t>
      </w:r>
    </w:p>
    <w:p w14:paraId="15E18C29" w14:textId="77777777" w:rsidR="00EF3D91" w:rsidRPr="00723483" w:rsidRDefault="00EF3D91" w:rsidP="00EF3D91">
      <w:pPr>
        <w:pStyle w:val="Textonotapie"/>
        <w:jc w:val="both"/>
        <w:rPr>
          <w:rFonts w:ascii="Arial" w:hAnsi="Arial" w:cs="Arial"/>
          <w:color w:val="000000" w:themeColor="text1"/>
          <w:sz w:val="14"/>
          <w:szCs w:val="14"/>
          <w:lang w:eastAsia="es-ES"/>
        </w:rPr>
      </w:pPr>
      <w:r w:rsidRPr="00CF44B4">
        <w:rPr>
          <w:rFonts w:ascii="Verdana" w:hAnsi="Verdana" w:cs="Arial"/>
          <w:color w:val="000000" w:themeColor="text1"/>
          <w:sz w:val="18"/>
          <w:szCs w:val="18"/>
          <w:lang w:eastAsia="es-ES"/>
        </w:rPr>
        <w:t>“Los sujetos obligados que contratan con recursos públicos y recursos privados, deben publicar la información de su gestión contractual con cargo a recursos públicos en el Sistema Electrónico para la Contratación Pública [SECOP</w:t>
      </w:r>
      <w:r w:rsidRPr="00723483">
        <w:rPr>
          <w:rFonts w:ascii="Arial" w:hAnsi="Arial" w:cs="Arial"/>
          <w:color w:val="000000" w:themeColor="text1"/>
          <w:sz w:val="14"/>
          <w:szCs w:val="14"/>
          <w:lang w:eastAsia="es-ES"/>
        </w:rPr>
        <w:t>]”.</w:t>
      </w:r>
    </w:p>
  </w:footnote>
  <w:footnote w:id="5">
    <w:p w14:paraId="08CAB054" w14:textId="77777777" w:rsidR="00EF3D91" w:rsidRPr="00CF44B4" w:rsidRDefault="00EF3D91" w:rsidP="00EF3D91">
      <w:pPr>
        <w:pStyle w:val="Textonotapie"/>
        <w:ind w:firstLine="708"/>
        <w:jc w:val="both"/>
        <w:rPr>
          <w:rFonts w:ascii="Verdana" w:hAnsi="Verdana" w:cs="Arial"/>
          <w:color w:val="000000"/>
          <w:sz w:val="18"/>
          <w:szCs w:val="18"/>
          <w:lang w:val="es-CO"/>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w:t>
      </w:r>
      <w:r w:rsidRPr="00CF44B4">
        <w:rPr>
          <w:rFonts w:ascii="Verdana" w:hAnsi="Verdana" w:cs="Arial"/>
          <w:color w:val="000000"/>
          <w:sz w:val="18"/>
          <w:szCs w:val="18"/>
          <w:lang w:val="es-CO"/>
        </w:rPr>
        <w:t xml:space="preserve">Real Academia Española de la Lengua. Diccionario de la Lengua Española. Edición Tricentenario. Disponible en: </w:t>
      </w:r>
      <w:hyperlink r:id="rId1" w:history="1">
        <w:r w:rsidRPr="00CF44B4">
          <w:rPr>
            <w:rFonts w:ascii="Verdana" w:hAnsi="Verdana" w:cs="Arial"/>
            <w:color w:val="000000"/>
            <w:sz w:val="18"/>
            <w:szCs w:val="18"/>
          </w:rPr>
          <w:t>https://dle.rae.es/h%C3%A1bil</w:t>
        </w:r>
      </w:hyperlink>
      <w:r w:rsidRPr="00CF44B4">
        <w:rPr>
          <w:rFonts w:ascii="Verdana" w:hAnsi="Verdana" w:cs="Arial"/>
          <w:color w:val="000000"/>
          <w:sz w:val="18"/>
          <w:szCs w:val="18"/>
          <w:lang w:val="es-CO"/>
        </w:rPr>
        <w:t xml:space="preserve"> </w:t>
      </w:r>
    </w:p>
  </w:footnote>
  <w:footnote w:id="6">
    <w:p w14:paraId="62DB392A" w14:textId="77777777" w:rsidR="00EF3D91" w:rsidRPr="00CF44B4" w:rsidRDefault="00EF3D91" w:rsidP="00EF3D91">
      <w:pPr>
        <w:pStyle w:val="Textonotapie"/>
        <w:ind w:firstLine="708"/>
        <w:jc w:val="both"/>
        <w:rPr>
          <w:rFonts w:ascii="Verdana" w:hAnsi="Verdana" w:cs="Arial"/>
          <w:color w:val="000000"/>
          <w:sz w:val="18"/>
          <w:szCs w:val="18"/>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MARÍN CORTÉS, Fabián G. Derecho de petición y procedimiento administrativo. 1</w:t>
      </w:r>
      <w:r w:rsidRPr="00CF44B4">
        <w:rPr>
          <w:rFonts w:ascii="Verdana" w:hAnsi="Verdana" w:cs="Arial"/>
          <w:color w:val="000000"/>
          <w:sz w:val="18"/>
          <w:szCs w:val="18"/>
          <w:u w:val="single"/>
          <w:vertAlign w:val="superscript"/>
        </w:rPr>
        <w:t>a</w:t>
      </w:r>
      <w:r w:rsidRPr="00CF44B4">
        <w:rPr>
          <w:rFonts w:ascii="Verdana" w:hAnsi="Verdana" w:cs="Arial"/>
          <w:color w:val="000000"/>
          <w:sz w:val="18"/>
          <w:szCs w:val="18"/>
        </w:rPr>
        <w:t xml:space="preserve"> ed. Medellín: Librería Jurídica Sánchez R </w:t>
      </w:r>
      <w:proofErr w:type="spellStart"/>
      <w:r w:rsidRPr="00CF44B4">
        <w:rPr>
          <w:rFonts w:ascii="Verdana" w:hAnsi="Verdana" w:cs="Arial"/>
          <w:color w:val="000000"/>
          <w:sz w:val="18"/>
          <w:szCs w:val="18"/>
        </w:rPr>
        <w:t>Ltda</w:t>
      </w:r>
      <w:proofErr w:type="spellEnd"/>
      <w:r w:rsidRPr="00CF44B4">
        <w:rPr>
          <w:rFonts w:ascii="Verdana" w:hAnsi="Verdana" w:cs="Arial"/>
          <w:color w:val="000000"/>
          <w:sz w:val="18"/>
          <w:szCs w:val="18"/>
        </w:rPr>
        <w:t xml:space="preserve"> y Centro de Estudios de Derecho Administrativo, 2017. p. 417. </w:t>
      </w:r>
    </w:p>
  </w:footnote>
  <w:footnote w:id="7">
    <w:p w14:paraId="0F2CF85F" w14:textId="77777777" w:rsidR="00EF3D91" w:rsidRPr="00CF44B4" w:rsidRDefault="00EF3D91" w:rsidP="00EF3D91">
      <w:pPr>
        <w:pStyle w:val="Textonotapie"/>
        <w:ind w:firstLine="708"/>
        <w:jc w:val="both"/>
        <w:rPr>
          <w:rFonts w:ascii="Verdana" w:hAnsi="Verdana" w:cs="Arial"/>
          <w:color w:val="000000"/>
          <w:sz w:val="18"/>
          <w:szCs w:val="18"/>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w:t>
      </w:r>
      <w:r w:rsidRPr="00CF44B4">
        <w:rPr>
          <w:rFonts w:ascii="Verdana" w:hAnsi="Verdana" w:cs="Arial"/>
          <w:color w:val="000000"/>
          <w:sz w:val="18"/>
          <w:szCs w:val="18"/>
          <w:lang w:val="es-CO"/>
        </w:rPr>
        <w:t xml:space="preserve">Consejo de Estado. </w:t>
      </w:r>
      <w:r w:rsidRPr="00CF44B4">
        <w:rPr>
          <w:rFonts w:ascii="Verdana" w:hAnsi="Verdana" w:cs="Arial"/>
          <w:color w:val="000000"/>
          <w:sz w:val="18"/>
          <w:szCs w:val="18"/>
        </w:rPr>
        <w:t xml:space="preserve">Sala Plena de lo Contencioso Administrativo. Sentencia del 12 de abril de 1978. C.P. Carlos Portocarrero Mutis. </w:t>
      </w:r>
      <w:proofErr w:type="spellStart"/>
      <w:r w:rsidRPr="00CF44B4">
        <w:rPr>
          <w:rFonts w:ascii="Verdana" w:hAnsi="Verdana" w:cs="Arial"/>
          <w:color w:val="000000"/>
          <w:sz w:val="18"/>
          <w:szCs w:val="18"/>
        </w:rPr>
        <w:t>Exp</w:t>
      </w:r>
      <w:proofErr w:type="spellEnd"/>
      <w:r w:rsidRPr="00CF44B4">
        <w:rPr>
          <w:rFonts w:ascii="Verdana" w:hAnsi="Verdana" w:cs="Arial"/>
          <w:color w:val="000000"/>
          <w:sz w:val="18"/>
          <w:szCs w:val="18"/>
        </w:rPr>
        <w:t>. 355.</w:t>
      </w:r>
    </w:p>
    <w:p w14:paraId="4B410E81" w14:textId="77777777" w:rsidR="00EF3D91" w:rsidRPr="0071028F" w:rsidRDefault="00EF3D91" w:rsidP="00EF3D91">
      <w:pPr>
        <w:pStyle w:val="Textonotapie"/>
        <w:ind w:firstLine="708"/>
        <w:jc w:val="both"/>
        <w:rPr>
          <w:rFonts w:ascii="Century Gothic" w:hAnsi="Century Gothic" w:cs="Arial"/>
          <w:color w:val="000000"/>
          <w:sz w:val="14"/>
          <w:szCs w:val="14"/>
        </w:rPr>
      </w:pPr>
    </w:p>
  </w:footnote>
  <w:footnote w:id="8">
    <w:p w14:paraId="19D65B55" w14:textId="77777777" w:rsidR="00EF3D91" w:rsidRPr="00CF44B4" w:rsidRDefault="00EF3D91" w:rsidP="00EF3D91">
      <w:pPr>
        <w:pStyle w:val="Textonotapie"/>
        <w:ind w:firstLine="708"/>
        <w:jc w:val="both"/>
        <w:rPr>
          <w:rFonts w:ascii="Verdana" w:hAnsi="Verdana" w:cs="Arial"/>
          <w:color w:val="000000"/>
          <w:sz w:val="18"/>
          <w:szCs w:val="18"/>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Consejo de Estado. Sección Cuarta. Auto del 26 de febrero de 1983.</w:t>
      </w:r>
    </w:p>
    <w:p w14:paraId="4F7A9801" w14:textId="77777777" w:rsidR="00EF3D91" w:rsidRPr="00CF44B4" w:rsidRDefault="00EF3D91" w:rsidP="00EF3D91">
      <w:pPr>
        <w:pStyle w:val="Textonotapie"/>
        <w:ind w:firstLine="708"/>
        <w:jc w:val="both"/>
        <w:rPr>
          <w:rFonts w:ascii="Verdana" w:hAnsi="Verdana" w:cs="Arial"/>
          <w:color w:val="000000"/>
          <w:sz w:val="18"/>
          <w:szCs w:val="18"/>
          <w:lang w:val="es-CO"/>
        </w:rPr>
      </w:pPr>
    </w:p>
  </w:footnote>
  <w:footnote w:id="9">
    <w:p w14:paraId="2D264D2F" w14:textId="77777777" w:rsidR="00EF3D91" w:rsidRPr="00CF44B4" w:rsidRDefault="00EF3D91" w:rsidP="00EF3D91">
      <w:pPr>
        <w:pStyle w:val="Textonotapie"/>
        <w:ind w:firstLine="708"/>
        <w:jc w:val="both"/>
        <w:rPr>
          <w:rFonts w:ascii="Verdana" w:hAnsi="Verdana" w:cs="Arial"/>
          <w:color w:val="000000"/>
          <w:sz w:val="18"/>
          <w:szCs w:val="18"/>
          <w:lang w:val="es-CO"/>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MARÍN CORTÉS, Fabián G. Derecho de petición y procedimiento administrativo. 1</w:t>
      </w:r>
      <w:r w:rsidRPr="00CF44B4">
        <w:rPr>
          <w:rFonts w:ascii="Verdana" w:hAnsi="Verdana" w:cs="Arial"/>
          <w:color w:val="000000"/>
          <w:sz w:val="18"/>
          <w:szCs w:val="18"/>
          <w:u w:val="single"/>
          <w:vertAlign w:val="superscript"/>
        </w:rPr>
        <w:t>a</w:t>
      </w:r>
      <w:r w:rsidRPr="00CF44B4">
        <w:rPr>
          <w:rFonts w:ascii="Verdana" w:hAnsi="Verdana" w:cs="Arial"/>
          <w:color w:val="000000"/>
          <w:sz w:val="18"/>
          <w:szCs w:val="18"/>
        </w:rPr>
        <w:t xml:space="preserve"> ed. Medellín: Librería Jurídica Sánchez R </w:t>
      </w:r>
      <w:proofErr w:type="spellStart"/>
      <w:r w:rsidRPr="00CF44B4">
        <w:rPr>
          <w:rFonts w:ascii="Verdana" w:hAnsi="Verdana" w:cs="Arial"/>
          <w:color w:val="000000"/>
          <w:sz w:val="18"/>
          <w:szCs w:val="18"/>
        </w:rPr>
        <w:t>Ltda</w:t>
      </w:r>
      <w:proofErr w:type="spellEnd"/>
      <w:r w:rsidRPr="00CF44B4">
        <w:rPr>
          <w:rFonts w:ascii="Verdana" w:hAnsi="Verdana" w:cs="Arial"/>
          <w:color w:val="000000"/>
          <w:sz w:val="18"/>
          <w:szCs w:val="18"/>
        </w:rPr>
        <w:t xml:space="preserve"> y Centro de Estudios de Derecho Administrativo, 2017. p. 417.  </w:t>
      </w:r>
    </w:p>
  </w:footnote>
  <w:footnote w:id="10">
    <w:p w14:paraId="316BD05A" w14:textId="77777777" w:rsidR="00EF3D91" w:rsidRPr="00CF44B4" w:rsidRDefault="00EF3D91" w:rsidP="00EF3D91">
      <w:pPr>
        <w:pStyle w:val="Textonotapie"/>
        <w:ind w:firstLine="708"/>
        <w:jc w:val="both"/>
        <w:rPr>
          <w:rFonts w:ascii="Verdana" w:hAnsi="Verdana" w:cs="Arial"/>
          <w:color w:val="000000"/>
          <w:sz w:val="18"/>
          <w:szCs w:val="18"/>
        </w:rPr>
      </w:pPr>
    </w:p>
    <w:p w14:paraId="1024E317" w14:textId="77777777" w:rsidR="00EF3D91" w:rsidRPr="00A61D2A" w:rsidRDefault="00EF3D91" w:rsidP="00EF3D91">
      <w:pPr>
        <w:pStyle w:val="Textonotapie"/>
        <w:ind w:firstLine="708"/>
        <w:jc w:val="both"/>
        <w:rPr>
          <w:rFonts w:ascii="Century Gothic" w:hAnsi="Century Gothic" w:cs="Arial"/>
          <w:color w:val="000000"/>
          <w:sz w:val="14"/>
          <w:szCs w:val="14"/>
          <w:lang w:val="es-CO"/>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w:t>
      </w:r>
      <w:proofErr w:type="spellStart"/>
      <w:r w:rsidRPr="00CF44B4">
        <w:rPr>
          <w:rFonts w:ascii="Verdana" w:hAnsi="Verdana" w:cs="Arial"/>
          <w:i/>
          <w:color w:val="000000"/>
          <w:sz w:val="18"/>
          <w:szCs w:val="18"/>
        </w:rPr>
        <w:t>Ibídem</w:t>
      </w:r>
      <w:proofErr w:type="spellEnd"/>
      <w:r w:rsidRPr="00CF44B4">
        <w:rPr>
          <w:rFonts w:ascii="Verdana" w:hAnsi="Verdana" w:cs="Arial"/>
          <w:i/>
          <w:color w:val="000000"/>
          <w:sz w:val="18"/>
          <w:szCs w:val="18"/>
        </w:rPr>
        <w:t>.</w:t>
      </w:r>
      <w:r w:rsidRPr="00A61D2A">
        <w:rPr>
          <w:rFonts w:ascii="Century Gothic" w:hAnsi="Century Gothic" w:cs="Arial"/>
          <w:color w:val="000000"/>
          <w:sz w:val="14"/>
          <w:szCs w:val="14"/>
        </w:rPr>
        <w:t xml:space="preserve"> </w:t>
      </w:r>
    </w:p>
  </w:footnote>
  <w:footnote w:id="11">
    <w:p w14:paraId="7228AD63" w14:textId="77777777" w:rsidR="00EF3D91" w:rsidRPr="00CF44B4" w:rsidRDefault="00EF3D91" w:rsidP="00EF3D91">
      <w:pPr>
        <w:pStyle w:val="Textonotapie"/>
        <w:ind w:firstLine="708"/>
        <w:jc w:val="both"/>
        <w:rPr>
          <w:rFonts w:ascii="Verdana" w:hAnsi="Verdana" w:cs="Arial"/>
          <w:color w:val="000000"/>
          <w:sz w:val="18"/>
          <w:szCs w:val="18"/>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Ley 1437 de 2011: “Artículo 7°. Deberes de las autoridades en la atención al público. Las autoridades tendrán, frente a las personas que ante ellas acudan y en relación con los asuntos que tramiten, los siguientes deberes: </w:t>
      </w:r>
    </w:p>
    <w:p w14:paraId="1D90AC79" w14:textId="77777777" w:rsidR="00EF3D91" w:rsidRPr="00CF44B4" w:rsidRDefault="00EF3D91" w:rsidP="00EF3D91">
      <w:pPr>
        <w:pStyle w:val="Textonotapie"/>
        <w:jc w:val="both"/>
        <w:rPr>
          <w:rFonts w:ascii="Verdana" w:hAnsi="Verdana" w:cs="Arial"/>
          <w:color w:val="000000"/>
          <w:sz w:val="18"/>
          <w:szCs w:val="18"/>
        </w:rPr>
      </w:pPr>
      <w:r w:rsidRPr="00CF44B4">
        <w:rPr>
          <w:rFonts w:ascii="Verdana" w:hAnsi="Verdana" w:cs="Arial"/>
          <w:color w:val="000000"/>
          <w:sz w:val="18"/>
          <w:szCs w:val="18"/>
        </w:rPr>
        <w:t xml:space="preserve">  </w:t>
      </w:r>
      <w:r w:rsidRPr="00CF44B4">
        <w:rPr>
          <w:rFonts w:ascii="Verdana" w:hAnsi="Verdana" w:cs="Arial"/>
          <w:color w:val="000000"/>
          <w:sz w:val="18"/>
          <w:szCs w:val="18"/>
        </w:rPr>
        <w:tab/>
        <w:t>[…]</w:t>
      </w:r>
    </w:p>
    <w:p w14:paraId="52355B06" w14:textId="77777777" w:rsidR="00EF3D91" w:rsidRPr="00CF44B4" w:rsidRDefault="00EF3D91" w:rsidP="00EF3D91">
      <w:pPr>
        <w:pStyle w:val="Textonotapie"/>
        <w:ind w:firstLine="708"/>
        <w:jc w:val="both"/>
        <w:rPr>
          <w:rFonts w:ascii="Verdana" w:hAnsi="Verdana" w:cs="Arial"/>
          <w:color w:val="000000"/>
          <w:sz w:val="18"/>
          <w:szCs w:val="18"/>
          <w:lang w:val="es-CO"/>
        </w:rPr>
      </w:pPr>
      <w:r w:rsidRPr="00CF44B4">
        <w:rPr>
          <w:rFonts w:ascii="Verdana" w:hAnsi="Verdana" w:cs="Arial"/>
          <w:color w:val="000000"/>
          <w:sz w:val="18"/>
          <w:szCs w:val="18"/>
        </w:rPr>
        <w:t>2. Garantizar atención personal al público, como mínimo durante cuarenta (40) horas a la semana, las cuales se distribuirán en horarios que satisfagan las necesidades del servicio […]”.</w:t>
      </w:r>
    </w:p>
  </w:footnote>
  <w:footnote w:id="12">
    <w:p w14:paraId="63F1D071" w14:textId="77777777" w:rsidR="00EF3D91" w:rsidRPr="00CF44B4" w:rsidRDefault="00EF3D91" w:rsidP="00EF3D91">
      <w:pPr>
        <w:pStyle w:val="Textonotapie"/>
        <w:ind w:firstLine="708"/>
        <w:jc w:val="both"/>
        <w:rPr>
          <w:rFonts w:ascii="Verdana" w:hAnsi="Verdana" w:cs="Arial"/>
          <w:color w:val="000000"/>
          <w:sz w:val="18"/>
          <w:szCs w:val="18"/>
        </w:rPr>
      </w:pPr>
    </w:p>
    <w:p w14:paraId="4ED66208" w14:textId="77777777" w:rsidR="00EF3D91" w:rsidRPr="00CF44B4" w:rsidRDefault="00EF3D91" w:rsidP="00EF3D91">
      <w:pPr>
        <w:pStyle w:val="Textonotapie"/>
        <w:ind w:firstLine="708"/>
        <w:jc w:val="both"/>
        <w:rPr>
          <w:rFonts w:ascii="Verdana" w:hAnsi="Verdana" w:cs="Arial"/>
          <w:color w:val="000000"/>
          <w:sz w:val="18"/>
          <w:szCs w:val="18"/>
        </w:rPr>
      </w:pPr>
      <w:r w:rsidRPr="00CF44B4">
        <w:rPr>
          <w:rStyle w:val="Refdenotaalpie"/>
          <w:rFonts w:ascii="Verdana" w:hAnsi="Verdana" w:cs="Arial"/>
          <w:color w:val="000000"/>
          <w:sz w:val="18"/>
          <w:szCs w:val="18"/>
        </w:rPr>
        <w:footnoteRef/>
      </w:r>
      <w:r w:rsidRPr="00CF44B4">
        <w:rPr>
          <w:rFonts w:ascii="Verdana" w:hAnsi="Verdana" w:cs="Arial"/>
          <w:color w:val="000000"/>
          <w:sz w:val="18"/>
          <w:szCs w:val="18"/>
        </w:rPr>
        <w:t xml:space="preserve"> “Artículo 2.2.1.1.2.1.3. Pliegos de condiciones. Los pliegos de condiciones deben contener por lo menos la siguiente información: </w:t>
      </w:r>
    </w:p>
    <w:p w14:paraId="117BA4BA" w14:textId="77777777" w:rsidR="00EF3D91" w:rsidRPr="00CF44B4" w:rsidRDefault="00EF3D91" w:rsidP="00EF3D91">
      <w:pPr>
        <w:pStyle w:val="Textonotapie"/>
        <w:ind w:firstLine="708"/>
        <w:jc w:val="both"/>
        <w:rPr>
          <w:rFonts w:ascii="Verdana" w:hAnsi="Verdana" w:cs="Arial"/>
          <w:color w:val="000000"/>
          <w:sz w:val="18"/>
          <w:szCs w:val="18"/>
        </w:rPr>
      </w:pPr>
      <w:r w:rsidRPr="00CF44B4">
        <w:rPr>
          <w:rFonts w:ascii="Verdana" w:hAnsi="Verdana" w:cs="Arial"/>
          <w:color w:val="000000"/>
          <w:sz w:val="18"/>
          <w:szCs w:val="18"/>
        </w:rPr>
        <w:t>[…]</w:t>
      </w:r>
    </w:p>
    <w:p w14:paraId="4F6B228D" w14:textId="77777777" w:rsidR="00EF3D91" w:rsidRPr="00CF44B4" w:rsidRDefault="00EF3D91" w:rsidP="00EF3D91">
      <w:pPr>
        <w:pStyle w:val="Textonotapie"/>
        <w:ind w:firstLine="708"/>
        <w:jc w:val="both"/>
        <w:rPr>
          <w:rFonts w:ascii="Verdana" w:hAnsi="Verdana" w:cs="Arial"/>
          <w:color w:val="000000"/>
          <w:sz w:val="18"/>
          <w:szCs w:val="18"/>
        </w:rPr>
      </w:pPr>
      <w:r w:rsidRPr="00CF44B4">
        <w:rPr>
          <w:rFonts w:ascii="Verdana" w:hAnsi="Verdana" w:cs="Arial"/>
          <w:color w:val="000000"/>
          <w:sz w:val="18"/>
          <w:szCs w:val="18"/>
        </w:rPr>
        <w:t xml:space="preserve">5. Las reglas aplicables a la presentación de las ofertas, su evaluación y a la adjudicación del contrato. </w:t>
      </w:r>
    </w:p>
    <w:p w14:paraId="5C1950CA" w14:textId="77777777" w:rsidR="00EF3D91" w:rsidRPr="00CF44B4" w:rsidRDefault="00EF3D91" w:rsidP="00EF3D91">
      <w:pPr>
        <w:pStyle w:val="Textonotapie"/>
        <w:ind w:firstLine="708"/>
        <w:jc w:val="both"/>
        <w:rPr>
          <w:rFonts w:ascii="Verdana" w:hAnsi="Verdana" w:cs="Arial"/>
          <w:color w:val="000000"/>
          <w:sz w:val="18"/>
          <w:szCs w:val="18"/>
        </w:rPr>
      </w:pPr>
      <w:r w:rsidRPr="00CF44B4">
        <w:rPr>
          <w:rFonts w:ascii="Verdana" w:hAnsi="Verdana" w:cs="Arial"/>
          <w:color w:val="000000"/>
          <w:sz w:val="18"/>
          <w:szCs w:val="18"/>
        </w:rPr>
        <w:t>[…]</w:t>
      </w:r>
    </w:p>
    <w:p w14:paraId="523D3FDB" w14:textId="77777777" w:rsidR="00EF3D91" w:rsidRPr="00CF44B4" w:rsidRDefault="00EF3D91" w:rsidP="00EF3D91">
      <w:pPr>
        <w:pStyle w:val="Textonotapie"/>
        <w:ind w:firstLine="708"/>
        <w:jc w:val="both"/>
        <w:rPr>
          <w:rFonts w:ascii="Verdana" w:hAnsi="Verdana" w:cs="Arial"/>
          <w:color w:val="000000"/>
          <w:sz w:val="18"/>
          <w:szCs w:val="18"/>
        </w:rPr>
      </w:pPr>
      <w:r w:rsidRPr="00CF44B4">
        <w:rPr>
          <w:rFonts w:ascii="Verdana" w:hAnsi="Verdana" w:cs="Arial"/>
          <w:color w:val="000000"/>
          <w:sz w:val="18"/>
          <w:szCs w:val="18"/>
        </w:rPr>
        <w:t>14. El Cronograma”.</w:t>
      </w:r>
    </w:p>
    <w:p w14:paraId="12C792AC" w14:textId="77777777" w:rsidR="00EF3D91" w:rsidRPr="00CF44B4" w:rsidRDefault="00EF3D91" w:rsidP="00EF3D91">
      <w:pPr>
        <w:pStyle w:val="Textonotapie"/>
        <w:ind w:firstLine="708"/>
        <w:jc w:val="both"/>
        <w:rPr>
          <w:rFonts w:ascii="Verdana" w:hAnsi="Verdana" w:cs="Arial"/>
          <w:color w:val="000000"/>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67F67"/>
    <w:multiLevelType w:val="hybridMultilevel"/>
    <w:tmpl w:val="27789F4C"/>
    <w:lvl w:ilvl="0" w:tplc="7E8C62F2">
      <w:start w:val="1"/>
      <w:numFmt w:val="lowerRoman"/>
      <w:lvlText w:val="%1)"/>
      <w:lvlJc w:val="left"/>
      <w:pPr>
        <w:ind w:left="1080" w:hanging="9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089576">
    <w:abstractNumId w:val="10"/>
  </w:num>
  <w:num w:numId="18" w16cid:durableId="38360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64B0"/>
    <w:rsid w:val="000A683E"/>
    <w:rsid w:val="000B19B9"/>
    <w:rsid w:val="000D0334"/>
    <w:rsid w:val="000F6486"/>
    <w:rsid w:val="0011595B"/>
    <w:rsid w:val="00125105"/>
    <w:rsid w:val="00127233"/>
    <w:rsid w:val="001511A0"/>
    <w:rsid w:val="001D554D"/>
    <w:rsid w:val="001E4177"/>
    <w:rsid w:val="001F7DC6"/>
    <w:rsid w:val="00236889"/>
    <w:rsid w:val="002421BB"/>
    <w:rsid w:val="0025796E"/>
    <w:rsid w:val="002707A2"/>
    <w:rsid w:val="002806F9"/>
    <w:rsid w:val="002860C0"/>
    <w:rsid w:val="002951A0"/>
    <w:rsid w:val="002962BC"/>
    <w:rsid w:val="002A0294"/>
    <w:rsid w:val="002A07AB"/>
    <w:rsid w:val="002A093D"/>
    <w:rsid w:val="002A0DD0"/>
    <w:rsid w:val="002A49AC"/>
    <w:rsid w:val="002A64FD"/>
    <w:rsid w:val="002C61DA"/>
    <w:rsid w:val="002C7A84"/>
    <w:rsid w:val="002E4FD9"/>
    <w:rsid w:val="00322A85"/>
    <w:rsid w:val="00324168"/>
    <w:rsid w:val="003448F4"/>
    <w:rsid w:val="003720E0"/>
    <w:rsid w:val="00374F5E"/>
    <w:rsid w:val="00377E3E"/>
    <w:rsid w:val="003A779E"/>
    <w:rsid w:val="003D0F4D"/>
    <w:rsid w:val="003D5B0D"/>
    <w:rsid w:val="003E0499"/>
    <w:rsid w:val="003F3941"/>
    <w:rsid w:val="00406575"/>
    <w:rsid w:val="00414C74"/>
    <w:rsid w:val="0042722E"/>
    <w:rsid w:val="0044528D"/>
    <w:rsid w:val="00457DA2"/>
    <w:rsid w:val="00494B93"/>
    <w:rsid w:val="004A1847"/>
    <w:rsid w:val="004A305D"/>
    <w:rsid w:val="004E5FEB"/>
    <w:rsid w:val="004F21C4"/>
    <w:rsid w:val="004F2849"/>
    <w:rsid w:val="004F685F"/>
    <w:rsid w:val="005354B4"/>
    <w:rsid w:val="00546CE8"/>
    <w:rsid w:val="005566E8"/>
    <w:rsid w:val="00574867"/>
    <w:rsid w:val="0058698E"/>
    <w:rsid w:val="00591460"/>
    <w:rsid w:val="005B3816"/>
    <w:rsid w:val="005C3777"/>
    <w:rsid w:val="005C5CDC"/>
    <w:rsid w:val="005D34CF"/>
    <w:rsid w:val="005D476C"/>
    <w:rsid w:val="006150C5"/>
    <w:rsid w:val="00617823"/>
    <w:rsid w:val="006219F8"/>
    <w:rsid w:val="00665D70"/>
    <w:rsid w:val="006900D9"/>
    <w:rsid w:val="00706C16"/>
    <w:rsid w:val="0071567E"/>
    <w:rsid w:val="007163C8"/>
    <w:rsid w:val="00735F77"/>
    <w:rsid w:val="00756841"/>
    <w:rsid w:val="00763768"/>
    <w:rsid w:val="007649AB"/>
    <w:rsid w:val="00766D7F"/>
    <w:rsid w:val="00771D0C"/>
    <w:rsid w:val="007833AC"/>
    <w:rsid w:val="007B268C"/>
    <w:rsid w:val="007B7171"/>
    <w:rsid w:val="007C0C0F"/>
    <w:rsid w:val="007C3DC2"/>
    <w:rsid w:val="007E5497"/>
    <w:rsid w:val="00806F5F"/>
    <w:rsid w:val="00820278"/>
    <w:rsid w:val="00867F95"/>
    <w:rsid w:val="008843B6"/>
    <w:rsid w:val="00891928"/>
    <w:rsid w:val="008A446D"/>
    <w:rsid w:val="008B4980"/>
    <w:rsid w:val="008D180B"/>
    <w:rsid w:val="008F0EA7"/>
    <w:rsid w:val="00923EEF"/>
    <w:rsid w:val="009419F9"/>
    <w:rsid w:val="0095685E"/>
    <w:rsid w:val="00961B09"/>
    <w:rsid w:val="00965334"/>
    <w:rsid w:val="0097093E"/>
    <w:rsid w:val="00986AC5"/>
    <w:rsid w:val="009A0DFA"/>
    <w:rsid w:val="009A7072"/>
    <w:rsid w:val="009B1828"/>
    <w:rsid w:val="009B2D26"/>
    <w:rsid w:val="009B5101"/>
    <w:rsid w:val="009C375F"/>
    <w:rsid w:val="009C71FA"/>
    <w:rsid w:val="009C72E7"/>
    <w:rsid w:val="009D3058"/>
    <w:rsid w:val="009E01F4"/>
    <w:rsid w:val="009E35B5"/>
    <w:rsid w:val="009F3A13"/>
    <w:rsid w:val="00A122D3"/>
    <w:rsid w:val="00A17F13"/>
    <w:rsid w:val="00A20739"/>
    <w:rsid w:val="00A33C78"/>
    <w:rsid w:val="00A642A9"/>
    <w:rsid w:val="00AB0ADB"/>
    <w:rsid w:val="00AC51EA"/>
    <w:rsid w:val="00AE3E5D"/>
    <w:rsid w:val="00B01B1A"/>
    <w:rsid w:val="00B045EC"/>
    <w:rsid w:val="00B04A81"/>
    <w:rsid w:val="00B202B2"/>
    <w:rsid w:val="00B452B8"/>
    <w:rsid w:val="00B66319"/>
    <w:rsid w:val="00B72CD3"/>
    <w:rsid w:val="00B72FFF"/>
    <w:rsid w:val="00B80B05"/>
    <w:rsid w:val="00BC3D36"/>
    <w:rsid w:val="00BD7F72"/>
    <w:rsid w:val="00C04FB3"/>
    <w:rsid w:val="00C330EB"/>
    <w:rsid w:val="00C41061"/>
    <w:rsid w:val="00C63B13"/>
    <w:rsid w:val="00C754BE"/>
    <w:rsid w:val="00C75AD3"/>
    <w:rsid w:val="00C76B1C"/>
    <w:rsid w:val="00CB6357"/>
    <w:rsid w:val="00CC1B26"/>
    <w:rsid w:val="00D05910"/>
    <w:rsid w:val="00D423A2"/>
    <w:rsid w:val="00D520D8"/>
    <w:rsid w:val="00D63AC2"/>
    <w:rsid w:val="00D7383B"/>
    <w:rsid w:val="00DA231B"/>
    <w:rsid w:val="00DA3CAD"/>
    <w:rsid w:val="00DB5753"/>
    <w:rsid w:val="00DC39FC"/>
    <w:rsid w:val="00DF5254"/>
    <w:rsid w:val="00DF5553"/>
    <w:rsid w:val="00E16408"/>
    <w:rsid w:val="00E20894"/>
    <w:rsid w:val="00E245AB"/>
    <w:rsid w:val="00E2764C"/>
    <w:rsid w:val="00E27F2E"/>
    <w:rsid w:val="00E50AFE"/>
    <w:rsid w:val="00E539CD"/>
    <w:rsid w:val="00E67A53"/>
    <w:rsid w:val="00E75C92"/>
    <w:rsid w:val="00E771DC"/>
    <w:rsid w:val="00E8772A"/>
    <w:rsid w:val="00E90F6B"/>
    <w:rsid w:val="00E92C27"/>
    <w:rsid w:val="00EA0E3D"/>
    <w:rsid w:val="00EC38A7"/>
    <w:rsid w:val="00ED7384"/>
    <w:rsid w:val="00EE1AA8"/>
    <w:rsid w:val="00EF3D91"/>
    <w:rsid w:val="00F31EDC"/>
    <w:rsid w:val="00F462B3"/>
    <w:rsid w:val="00F5664F"/>
    <w:rsid w:val="00F666C4"/>
    <w:rsid w:val="00F76AFC"/>
    <w:rsid w:val="00FA47C0"/>
    <w:rsid w:val="00FA60F2"/>
    <w:rsid w:val="00FB2BD8"/>
    <w:rsid w:val="00FB5DD1"/>
    <w:rsid w:val="00FC2B5D"/>
    <w:rsid w:val="00FD4782"/>
    <w:rsid w:val="00FD7F5F"/>
    <w:rsid w:val="00FF1449"/>
    <w:rsid w:val="0E98A528"/>
    <w:rsid w:val="13E3D234"/>
    <w:rsid w:val="165E9519"/>
    <w:rsid w:val="382536D9"/>
    <w:rsid w:val="3C523C55"/>
    <w:rsid w:val="445B5F0A"/>
    <w:rsid w:val="54B16A60"/>
    <w:rsid w:val="6EFDAB80"/>
    <w:rsid w:val="71FDCEDB"/>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12F9D20A-B401-4396-93CB-ECC8A0A9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F3D91"/>
    <w:pPr>
      <w:spacing w:line="240" w:lineRule="exact"/>
    </w:pPr>
    <w:rPr>
      <w:vertAlign w:val="superscript"/>
    </w:rPr>
  </w:style>
  <w:style w:type="table" w:customStyle="1" w:styleId="Tablaconcuadrcula1">
    <w:name w:val="Tabla con cuadrícula1"/>
    <w:basedOn w:val="Tablanormal"/>
    <w:next w:val="Tablaconcuadrcula"/>
    <w:uiPriority w:val="39"/>
    <w:qFormat/>
    <w:rsid w:val="00EF3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F3D91"/>
    <w:rPr>
      <w:rFonts w:ascii="Geomanist Light" w:hAnsi="Geomanist Light"/>
      <w:lang w:val="es-ES"/>
    </w:rPr>
  </w:style>
  <w:style w:type="character" w:customStyle="1" w:styleId="NormalWebCar">
    <w:name w:val="Normal (Web) Car"/>
    <w:link w:val="NormalWeb"/>
    <w:uiPriority w:val="99"/>
    <w:rsid w:val="00EF3D91"/>
    <w:rPr>
      <w:rFonts w:ascii="Times New Roman" w:eastAsia="Times New Roman" w:hAnsi="Times New Roman" w:cs="Times New Roman"/>
      <w:sz w:val="24"/>
      <w:szCs w:val="24"/>
      <w:lang w:eastAsia="es-CO"/>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494B93"/>
    <w:rPr>
      <w:b/>
      <w:bCs/>
    </w:rPr>
  </w:style>
  <w:style w:type="character" w:customStyle="1" w:styleId="AsuntodelcomentarioCar">
    <w:name w:val="Asunto del comentario Car"/>
    <w:basedOn w:val="TextocomentarioCar"/>
    <w:link w:val="Asuntodelcomentario"/>
    <w:uiPriority w:val="99"/>
    <w:semiHidden/>
    <w:rsid w:val="00494B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cionpublica.gov.co/eva/gestornormativo/norma.php?i=17518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santi090815@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21B33DF-E120-418A-93B4-90E02420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5064</Words>
  <Characters>27852</Characters>
  <Application>Microsoft Office Word</Application>
  <DocSecurity>0</DocSecurity>
  <Lines>232</Lines>
  <Paragraphs>65</Paragraphs>
  <ScaleCrop>false</ScaleCrop>
  <Company/>
  <LinksUpToDate>false</LinksUpToDate>
  <CharactersWithSpaces>32851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2025-08-15T15:10:00Z</dcterms:created>
  <dcterms:modified xsi:type="dcterms:W3CDTF">2025-08-15T15:10:00Z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