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23C48" w14:textId="77777777" w:rsidR="00152E24" w:rsidRPr="00166E18" w:rsidRDefault="00152E24" w:rsidP="00152E24">
      <w:pPr>
        <w:spacing w:after="0" w:line="240" w:lineRule="auto"/>
        <w:jc w:val="both"/>
        <w:rPr>
          <w:rFonts w:ascii="Verdana" w:eastAsia="Geomanist Light" w:hAnsi="Verdana" w:cs="Arial"/>
          <w:b/>
          <w:bCs/>
          <w:lang w:val="es-ES_tradnl"/>
        </w:rPr>
      </w:pPr>
      <w:bookmarkStart w:id="0" w:name="_Hlk181166130"/>
      <w:bookmarkStart w:id="1" w:name="_Hlk143780582"/>
      <w:bookmarkStart w:id="2" w:name="_Hlk204353692"/>
      <w:r w:rsidRPr="00166E18">
        <w:rPr>
          <w:rFonts w:ascii="Verdana" w:eastAsia="Geomanist Light" w:hAnsi="Verdana" w:cs="Arial"/>
          <w:b/>
          <w:bCs/>
          <w:lang w:val="es-ES_tradnl"/>
        </w:rPr>
        <w:t>ENTIDAD SIN ANIMO DE LUCRO ESAL – Definición</w:t>
      </w:r>
    </w:p>
    <w:p w14:paraId="1A0F67FB" w14:textId="77777777" w:rsidR="00152E24" w:rsidRPr="00166E18" w:rsidRDefault="00152E24" w:rsidP="00152E24">
      <w:pPr>
        <w:spacing w:after="0" w:line="240" w:lineRule="auto"/>
        <w:jc w:val="both"/>
        <w:rPr>
          <w:rFonts w:ascii="Verdana" w:eastAsia="Geomanist Light" w:hAnsi="Verdana" w:cs="Arial"/>
          <w:lang w:val="es-ES_tradnl"/>
        </w:rPr>
      </w:pPr>
    </w:p>
    <w:p w14:paraId="5C14C925" w14:textId="77777777" w:rsidR="00152E24" w:rsidRPr="00C71956" w:rsidRDefault="00152E24" w:rsidP="00152E24">
      <w:pPr>
        <w:spacing w:after="0" w:line="240" w:lineRule="auto"/>
        <w:jc w:val="both"/>
        <w:rPr>
          <w:rFonts w:ascii="Verdana" w:eastAsia="Geomanist Light" w:hAnsi="Verdana" w:cs="Arial"/>
          <w:sz w:val="20"/>
          <w:szCs w:val="20"/>
          <w:lang w:val="es-ES_tradnl"/>
        </w:rPr>
      </w:pPr>
      <w:r w:rsidRPr="00C71956">
        <w:rPr>
          <w:rFonts w:ascii="Verdana" w:eastAsia="Geomanist Light" w:hAnsi="Verdana" w:cs="Arial"/>
          <w:sz w:val="20"/>
          <w:szCs w:val="20"/>
          <w:lang w:val="es-ES_tradnl"/>
        </w:rPr>
        <w:t>Las entidades sin ánimo de lucro justifican su existencia en la medida que ayudan al Estado en el cumplimiento de las finalidades, esto es,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14:paraId="24757CCA" w14:textId="77777777" w:rsidR="00152E24" w:rsidRPr="00C71956" w:rsidRDefault="00152E24" w:rsidP="00152E24">
      <w:pPr>
        <w:spacing w:after="0" w:line="240" w:lineRule="auto"/>
        <w:jc w:val="both"/>
        <w:rPr>
          <w:rFonts w:ascii="Verdana" w:eastAsia="Geomanist Light" w:hAnsi="Verdana" w:cs="Arial"/>
          <w:sz w:val="20"/>
          <w:szCs w:val="20"/>
          <w:lang w:val="es-ES_tradnl"/>
        </w:rPr>
      </w:pPr>
    </w:p>
    <w:p w14:paraId="4A411DE2" w14:textId="77777777" w:rsidR="00152E24" w:rsidRPr="00C71956" w:rsidRDefault="00152E24" w:rsidP="00152E24">
      <w:pPr>
        <w:spacing w:after="0" w:line="240" w:lineRule="auto"/>
        <w:jc w:val="both"/>
        <w:rPr>
          <w:rFonts w:ascii="Verdana" w:eastAsia="Geomanist Light" w:hAnsi="Verdana" w:cs="Arial"/>
          <w:sz w:val="20"/>
          <w:szCs w:val="20"/>
          <w:lang w:val="es-ES"/>
        </w:rPr>
      </w:pPr>
      <w:r w:rsidRPr="00C71956">
        <w:rPr>
          <w:rFonts w:ascii="Verdana" w:eastAsia="Geomanist Light" w:hAnsi="Verdana" w:cs="Arial"/>
          <w:sz w:val="20"/>
          <w:szCs w:val="20"/>
          <w:lang w:val="es-ES"/>
        </w:rPr>
        <w:t xml:space="preserve">El elemento característico de estas entidades es la ausencia de lucro, el cual está relacionado con que no haya una distribución o reparto de utilidades a sus miembros, tesis que, </w:t>
      </w:r>
      <w:proofErr w:type="gramStart"/>
      <w:r w:rsidRPr="00C71956">
        <w:rPr>
          <w:rFonts w:ascii="Verdana" w:eastAsia="Geomanist Light" w:hAnsi="Verdana" w:cs="Arial"/>
          <w:sz w:val="20"/>
          <w:szCs w:val="20"/>
          <w:lang w:val="es-ES"/>
        </w:rPr>
        <w:t>de acuerdo al</w:t>
      </w:r>
      <w:proofErr w:type="gramEnd"/>
      <w:r w:rsidRPr="00C71956">
        <w:rPr>
          <w:rFonts w:ascii="Verdana" w:eastAsia="Geomanist Light" w:hAnsi="Verdana" w:cs="Arial"/>
          <w:sz w:val="20"/>
          <w:szCs w:val="20"/>
          <w:lang w:val="es-ES"/>
        </w:rPr>
        <w:t xml:space="preserve"> precedente judicial del Consejo de Estado, en Sentencia No. 1444 del 6 de febrero de 1987, M.P. POLICARPO CASTILLO DÁVILA, también precisa de la siguiente manera:</w:t>
      </w:r>
    </w:p>
    <w:p w14:paraId="3F245266" w14:textId="77777777" w:rsidR="00152E24" w:rsidRPr="00C71956" w:rsidRDefault="00152E24" w:rsidP="00152E24">
      <w:pPr>
        <w:spacing w:after="0" w:line="240" w:lineRule="auto"/>
        <w:jc w:val="both"/>
        <w:rPr>
          <w:rFonts w:ascii="Verdana" w:eastAsia="Geomanist Light" w:hAnsi="Verdana" w:cs="Arial"/>
          <w:sz w:val="20"/>
          <w:szCs w:val="20"/>
          <w:lang w:val="es-ES_tradnl"/>
        </w:rPr>
      </w:pPr>
    </w:p>
    <w:p w14:paraId="6F79F116" w14:textId="77777777" w:rsidR="00152E24" w:rsidRPr="00C71956" w:rsidRDefault="00152E24" w:rsidP="00152E24">
      <w:pPr>
        <w:spacing w:after="0" w:line="240" w:lineRule="auto"/>
        <w:jc w:val="both"/>
        <w:rPr>
          <w:rFonts w:ascii="Verdana" w:eastAsia="Geomanist Light" w:hAnsi="Verdana" w:cs="Arial"/>
          <w:sz w:val="20"/>
          <w:szCs w:val="20"/>
          <w:lang w:val="es-ES"/>
        </w:rPr>
      </w:pPr>
      <w:r w:rsidRPr="00C71956">
        <w:rPr>
          <w:rFonts w:ascii="Verdana" w:eastAsia="Geomanist Light" w:hAnsi="Verdana" w:cs="Arial"/>
          <w:sz w:val="20"/>
          <w:szCs w:val="20"/>
          <w:lang w:val="es-ES"/>
        </w:rPr>
        <w:t>“El criterio de lucro o las finalidades de lucro no se relacionan, no pueden relacionarse a las utilidades obtenidas, sino a la destinación que se les dé. La estipulación o norma, que elimina los fines de lucro, es la que tiene como consecuencia, la de que los rendimientos o utilidades obtenidas no sean objeto de distribución o reparto entre socios o integrantes de la persona moral que las genera. Este criterio o concepto ha sido tradicionalmente concebido y respetado siempre”</w:t>
      </w:r>
      <w:r>
        <w:rPr>
          <w:rFonts w:ascii="Verdana" w:eastAsia="Geomanist Light" w:hAnsi="Verdana" w:cs="Arial"/>
          <w:sz w:val="20"/>
          <w:szCs w:val="20"/>
          <w:lang w:val="es-ES"/>
        </w:rPr>
        <w:t>.</w:t>
      </w:r>
    </w:p>
    <w:p w14:paraId="3422D79F" w14:textId="77777777" w:rsidR="00152E24" w:rsidRPr="00166E18" w:rsidRDefault="00152E24" w:rsidP="00152E24">
      <w:pPr>
        <w:spacing w:after="0" w:line="240" w:lineRule="auto"/>
        <w:jc w:val="both"/>
        <w:rPr>
          <w:rFonts w:ascii="Verdana" w:eastAsia="Geomanist Light" w:hAnsi="Verdana" w:cs="Arial"/>
          <w:lang w:val="es-ES_tradnl"/>
        </w:rPr>
      </w:pPr>
    </w:p>
    <w:p w14:paraId="37B6C7B4" w14:textId="77777777" w:rsidR="00152E24" w:rsidRPr="00166E18" w:rsidRDefault="00152E24" w:rsidP="00152E24">
      <w:pPr>
        <w:spacing w:after="0" w:line="240" w:lineRule="auto"/>
        <w:jc w:val="both"/>
        <w:rPr>
          <w:rFonts w:ascii="Verdana" w:eastAsia="Geomanist Light" w:hAnsi="Verdana" w:cs="Arial"/>
          <w:b/>
          <w:bCs/>
          <w:lang w:val="es-ES_tradnl"/>
        </w:rPr>
      </w:pPr>
      <w:r w:rsidRPr="00166E18">
        <w:rPr>
          <w:rFonts w:ascii="Verdana" w:eastAsia="Geomanist Light" w:hAnsi="Verdana" w:cs="Arial"/>
          <w:b/>
          <w:bCs/>
          <w:lang w:val="es-ES_tradnl"/>
        </w:rPr>
        <w:t>INHABILIDADES – Definición – Finalidad – Limitación a capacidad</w:t>
      </w:r>
    </w:p>
    <w:p w14:paraId="7A180F2A" w14:textId="77777777" w:rsidR="00152E24" w:rsidRPr="00166E18" w:rsidRDefault="00152E24" w:rsidP="00152E24">
      <w:pPr>
        <w:spacing w:after="0" w:line="240" w:lineRule="auto"/>
        <w:jc w:val="both"/>
        <w:rPr>
          <w:rFonts w:ascii="Verdana" w:eastAsia="Geomanist Light" w:hAnsi="Verdana" w:cs="Arial"/>
          <w:lang w:val="es-ES_tradnl"/>
        </w:rPr>
      </w:pPr>
    </w:p>
    <w:p w14:paraId="080AC91B" w14:textId="77777777" w:rsidR="00152E24" w:rsidRPr="00C71956" w:rsidRDefault="00152E24" w:rsidP="00152E24">
      <w:pPr>
        <w:spacing w:after="0" w:line="240" w:lineRule="auto"/>
        <w:jc w:val="both"/>
        <w:rPr>
          <w:rFonts w:ascii="Verdana" w:eastAsia="Geomanist Light" w:hAnsi="Verdana" w:cs="Arial"/>
          <w:sz w:val="20"/>
          <w:szCs w:val="20"/>
          <w:lang w:val="es-ES_tradnl"/>
        </w:rPr>
      </w:pPr>
      <w:r w:rsidRPr="00C71956">
        <w:rPr>
          <w:rFonts w:ascii="Verdana" w:eastAsia="Geomanist Light" w:hAnsi="Verdana" w:cs="Arial"/>
          <w:sz w:val="20"/>
          <w:szCs w:val="20"/>
          <w:lang w:val="es-ES_tradnl"/>
        </w:rPr>
        <w:t>Las inhabilidades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20D1B440" w14:textId="77777777" w:rsidR="00152E24" w:rsidRPr="00C71956" w:rsidRDefault="00152E24" w:rsidP="00152E24">
      <w:pPr>
        <w:spacing w:after="0" w:line="240" w:lineRule="auto"/>
        <w:jc w:val="both"/>
        <w:rPr>
          <w:rFonts w:ascii="Verdana" w:eastAsia="Geomanist Light" w:hAnsi="Verdana" w:cs="Arial"/>
          <w:sz w:val="20"/>
          <w:szCs w:val="20"/>
          <w:lang w:val="es-ES_tradnl"/>
        </w:rPr>
      </w:pPr>
    </w:p>
    <w:p w14:paraId="27FCD1DE" w14:textId="77777777" w:rsidR="00152E24" w:rsidRPr="00C71956" w:rsidRDefault="00152E24" w:rsidP="00152E24">
      <w:pPr>
        <w:spacing w:after="0" w:line="240" w:lineRule="auto"/>
        <w:jc w:val="both"/>
        <w:rPr>
          <w:rFonts w:ascii="Verdana" w:eastAsia="Geomanist Light" w:hAnsi="Verdana" w:cs="Arial"/>
          <w:sz w:val="20"/>
          <w:szCs w:val="20"/>
          <w:lang w:val="es-ES_tradnl"/>
        </w:rPr>
      </w:pPr>
      <w:r w:rsidRPr="00C71956">
        <w:rPr>
          <w:rFonts w:ascii="Verdana" w:eastAsia="Geomanist Light" w:hAnsi="Verdana" w:cs="Arial"/>
          <w:sz w:val="20"/>
          <w:szCs w:val="20"/>
          <w:lang w:val="es-ES_tradnl"/>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w:t>
      </w:r>
      <w:r>
        <w:rPr>
          <w:rFonts w:ascii="Verdana" w:eastAsia="Geomanist Light" w:hAnsi="Verdana" w:cs="Arial"/>
          <w:sz w:val="20"/>
          <w:szCs w:val="20"/>
          <w:lang w:val="es-ES_tradnl"/>
        </w:rPr>
        <w:t xml:space="preserve"> </w:t>
      </w:r>
      <w:r w:rsidRPr="00C71956">
        <w:rPr>
          <w:rFonts w:ascii="Verdana" w:eastAsia="Geomanist Light" w:hAnsi="Verdana" w:cs="Arial"/>
          <w:sz w:val="20"/>
          <w:szCs w:val="20"/>
          <w:lang w:val="es-ES_tradnl"/>
        </w:rPr>
        <w:t>limitación a la capacidad para contratar con las entidades del Estado y obedecen a la falta de aptitud o a la carencia de una cualidad, calidad o requisito en el sujeto incapacitado quien por esta razón no podrá hacer parte de una relación contractual».</w:t>
      </w:r>
    </w:p>
    <w:p w14:paraId="290C0A97" w14:textId="77777777" w:rsidR="00152E24" w:rsidRPr="00166E18" w:rsidRDefault="00152E24" w:rsidP="00152E24">
      <w:pPr>
        <w:spacing w:after="0" w:line="240" w:lineRule="auto"/>
        <w:jc w:val="both"/>
        <w:rPr>
          <w:rFonts w:ascii="Verdana" w:eastAsia="Geomanist Light" w:hAnsi="Verdana" w:cs="Arial"/>
          <w:lang w:val="es-ES_tradnl"/>
        </w:rPr>
      </w:pPr>
    </w:p>
    <w:p w14:paraId="4DFF0DA2" w14:textId="77777777" w:rsidR="00152E24" w:rsidRPr="00166E18" w:rsidRDefault="00152E24" w:rsidP="00152E24">
      <w:pPr>
        <w:spacing w:after="0" w:line="240" w:lineRule="auto"/>
        <w:jc w:val="both"/>
        <w:rPr>
          <w:rFonts w:ascii="Verdana" w:eastAsia="Geomanist Light" w:hAnsi="Verdana" w:cs="Arial"/>
          <w:b/>
          <w:bCs/>
          <w:lang w:val="es-ES_tradnl"/>
        </w:rPr>
      </w:pPr>
      <w:r w:rsidRPr="00166E18">
        <w:rPr>
          <w:rFonts w:ascii="Verdana" w:eastAsia="Geomanist Light" w:hAnsi="Verdana" w:cs="Arial"/>
          <w:b/>
          <w:bCs/>
          <w:lang w:val="es-ES_tradnl"/>
        </w:rPr>
        <w:t>INHABILIDADES – Taxatividad – Principio de legalidad – Interpretación restrictiva– Entidades sin ánimo de lucro</w:t>
      </w:r>
    </w:p>
    <w:p w14:paraId="4CBAE454" w14:textId="77777777" w:rsidR="00152E24" w:rsidRPr="00166E18" w:rsidRDefault="00152E24" w:rsidP="00152E24">
      <w:pPr>
        <w:spacing w:after="0" w:line="240" w:lineRule="auto"/>
        <w:jc w:val="both"/>
        <w:rPr>
          <w:rFonts w:ascii="Verdana" w:eastAsia="Geomanist Light" w:hAnsi="Verdana" w:cs="Arial"/>
          <w:lang w:val="es-ES_tradnl"/>
        </w:rPr>
      </w:pPr>
    </w:p>
    <w:p w14:paraId="38D65A9C" w14:textId="77777777" w:rsidR="00152E24" w:rsidRPr="00C71956" w:rsidRDefault="00152E24" w:rsidP="00152E24">
      <w:pPr>
        <w:spacing w:after="0" w:line="240" w:lineRule="auto"/>
        <w:jc w:val="both"/>
        <w:rPr>
          <w:rFonts w:ascii="Verdana" w:eastAsia="Geomanist Light" w:hAnsi="Verdana" w:cs="Arial"/>
          <w:sz w:val="20"/>
          <w:szCs w:val="20"/>
          <w:lang w:val="es-ES_tradnl"/>
        </w:rPr>
      </w:pPr>
      <w:r w:rsidRPr="00C71956">
        <w:rPr>
          <w:rFonts w:ascii="Verdana" w:eastAsia="Geomanist Light" w:hAnsi="Verdana" w:cs="Arial"/>
          <w:sz w:val="20"/>
          <w:szCs w:val="20"/>
          <w:lang w:val="es-ES_tradnl"/>
        </w:rPr>
        <w:t xml:space="preserve">Ahora bien, las inhabilidades e incompatibilidades al ser restricciones o límites especiales a la capacidad para presentar ofertas y celebrar contratos estatales, solo pueden </w:t>
      </w:r>
      <w:r w:rsidRPr="00C71956">
        <w:rPr>
          <w:rFonts w:ascii="Verdana" w:eastAsia="Geomanist Light" w:hAnsi="Verdana" w:cs="Arial"/>
          <w:sz w:val="20"/>
          <w:szCs w:val="20"/>
          <w:lang w:val="es-ES_tradnl"/>
        </w:rPr>
        <w:lastRenderedPageBreak/>
        <w:t xml:space="preserve">tipificarse en la ley –o sea, deben satisfacer el principio de legalidad –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w:t>
      </w:r>
    </w:p>
    <w:p w14:paraId="125EE253" w14:textId="77777777" w:rsidR="00152E24" w:rsidRDefault="00152E24" w:rsidP="00152E24">
      <w:pPr>
        <w:spacing w:after="0" w:line="240" w:lineRule="auto"/>
        <w:rPr>
          <w:rFonts w:ascii="Verdana" w:eastAsia="Geomanist Light" w:hAnsi="Verdana" w:cs="Arial"/>
          <w:lang w:val="es-ES_tradnl"/>
        </w:rPr>
      </w:pPr>
    </w:p>
    <w:p w14:paraId="5D1D40D9" w14:textId="77777777" w:rsidR="00152E24" w:rsidRDefault="00152E24" w:rsidP="00152E24">
      <w:pPr>
        <w:spacing w:after="0" w:line="240" w:lineRule="auto"/>
        <w:rPr>
          <w:rFonts w:ascii="Verdana" w:eastAsia="Geomanist Light" w:hAnsi="Verdana" w:cs="Arial"/>
          <w:lang w:val="es-ES_tradnl"/>
        </w:rPr>
      </w:pPr>
    </w:p>
    <w:p w14:paraId="464DB599" w14:textId="77777777" w:rsidR="00152E24" w:rsidRDefault="00152E24" w:rsidP="00152E24">
      <w:pPr>
        <w:spacing w:after="0" w:line="240" w:lineRule="auto"/>
        <w:rPr>
          <w:rFonts w:ascii="Verdana" w:eastAsia="Geomanist Light" w:hAnsi="Verdana" w:cs="Arial"/>
          <w:lang w:val="es-ES_tradnl"/>
        </w:rPr>
      </w:pPr>
    </w:p>
    <w:p w14:paraId="2E3C9695" w14:textId="77777777" w:rsidR="00152E24" w:rsidRDefault="00152E24" w:rsidP="00152E24">
      <w:pPr>
        <w:spacing w:after="0" w:line="240" w:lineRule="auto"/>
        <w:rPr>
          <w:rFonts w:ascii="Verdana" w:eastAsia="Geomanist Light" w:hAnsi="Verdana" w:cs="Arial"/>
          <w:lang w:val="es-ES_tradnl"/>
        </w:rPr>
      </w:pPr>
    </w:p>
    <w:p w14:paraId="6569B076" w14:textId="77777777" w:rsidR="00152E24" w:rsidRDefault="00152E24" w:rsidP="00152E24">
      <w:pPr>
        <w:spacing w:after="0" w:line="240" w:lineRule="auto"/>
        <w:rPr>
          <w:rFonts w:ascii="Verdana" w:eastAsia="Geomanist Light" w:hAnsi="Verdana" w:cs="Arial"/>
          <w:lang w:val="es-ES_tradnl"/>
        </w:rPr>
      </w:pPr>
    </w:p>
    <w:p w14:paraId="22A39302" w14:textId="77777777" w:rsidR="00152E24" w:rsidRDefault="00152E24" w:rsidP="00152E24">
      <w:pPr>
        <w:spacing w:after="0" w:line="240" w:lineRule="auto"/>
        <w:rPr>
          <w:rFonts w:ascii="Verdana" w:eastAsia="Times New Roman" w:hAnsi="Verdana" w:cs="Arial"/>
          <w:lang w:eastAsia="es-ES_tradnl"/>
        </w:rPr>
      </w:pPr>
    </w:p>
    <w:p w14:paraId="784B7C07" w14:textId="77777777" w:rsidR="00152E24" w:rsidRDefault="00152E24" w:rsidP="00152E24">
      <w:pPr>
        <w:spacing w:after="0" w:line="240" w:lineRule="auto"/>
        <w:rPr>
          <w:rFonts w:ascii="Verdana" w:eastAsia="Times New Roman" w:hAnsi="Verdana" w:cs="Arial"/>
          <w:lang w:eastAsia="es-ES_tradnl"/>
        </w:rPr>
      </w:pPr>
    </w:p>
    <w:p w14:paraId="02E2239D" w14:textId="77777777" w:rsidR="00152E24" w:rsidRDefault="00152E24" w:rsidP="00152E24">
      <w:pPr>
        <w:spacing w:after="0" w:line="240" w:lineRule="auto"/>
        <w:rPr>
          <w:rFonts w:ascii="Verdana" w:eastAsia="Times New Roman" w:hAnsi="Verdana" w:cs="Arial"/>
          <w:lang w:eastAsia="es-ES_tradnl"/>
        </w:rPr>
      </w:pPr>
    </w:p>
    <w:p w14:paraId="387CF64F" w14:textId="77777777" w:rsidR="00152E24" w:rsidRDefault="00152E24" w:rsidP="00152E24">
      <w:pPr>
        <w:spacing w:after="0" w:line="240" w:lineRule="auto"/>
        <w:rPr>
          <w:rFonts w:ascii="Verdana" w:eastAsia="Times New Roman" w:hAnsi="Verdana" w:cs="Arial"/>
          <w:lang w:eastAsia="es-ES_tradnl"/>
        </w:rPr>
      </w:pPr>
    </w:p>
    <w:p w14:paraId="2D01F7FD" w14:textId="77777777" w:rsidR="00152E24" w:rsidRDefault="00152E24" w:rsidP="00152E24">
      <w:pPr>
        <w:spacing w:after="0" w:line="240" w:lineRule="auto"/>
        <w:rPr>
          <w:rFonts w:ascii="Verdana" w:eastAsia="Times New Roman" w:hAnsi="Verdana" w:cs="Arial"/>
          <w:lang w:eastAsia="es-ES_tradnl"/>
        </w:rPr>
      </w:pPr>
    </w:p>
    <w:p w14:paraId="3F9373BC" w14:textId="77777777" w:rsidR="00152E24" w:rsidRDefault="00152E24" w:rsidP="00152E24">
      <w:pPr>
        <w:spacing w:after="0" w:line="240" w:lineRule="auto"/>
        <w:rPr>
          <w:rFonts w:ascii="Verdana" w:eastAsia="Times New Roman" w:hAnsi="Verdana" w:cs="Arial"/>
          <w:lang w:eastAsia="es-ES_tradnl"/>
        </w:rPr>
      </w:pPr>
    </w:p>
    <w:p w14:paraId="16CBD070" w14:textId="77777777" w:rsidR="00152E24" w:rsidRDefault="00152E24" w:rsidP="00152E24">
      <w:pPr>
        <w:spacing w:after="0" w:line="240" w:lineRule="auto"/>
        <w:rPr>
          <w:rFonts w:ascii="Verdana" w:eastAsia="Times New Roman" w:hAnsi="Verdana" w:cs="Arial"/>
          <w:lang w:eastAsia="es-ES_tradnl"/>
        </w:rPr>
      </w:pPr>
    </w:p>
    <w:p w14:paraId="240803B3" w14:textId="77777777" w:rsidR="00152E24" w:rsidRDefault="00152E24" w:rsidP="00152E24">
      <w:pPr>
        <w:spacing w:after="0" w:line="240" w:lineRule="auto"/>
        <w:rPr>
          <w:rFonts w:ascii="Verdana" w:eastAsia="Times New Roman" w:hAnsi="Verdana" w:cs="Arial"/>
          <w:lang w:eastAsia="es-ES_tradnl"/>
        </w:rPr>
      </w:pPr>
    </w:p>
    <w:p w14:paraId="6282A78B" w14:textId="77777777" w:rsidR="00152E24" w:rsidRDefault="00152E24" w:rsidP="00152E24">
      <w:pPr>
        <w:spacing w:after="0" w:line="240" w:lineRule="auto"/>
        <w:rPr>
          <w:rFonts w:ascii="Verdana" w:eastAsia="Times New Roman" w:hAnsi="Verdana" w:cs="Arial"/>
          <w:lang w:eastAsia="es-ES_tradnl"/>
        </w:rPr>
      </w:pPr>
    </w:p>
    <w:p w14:paraId="49625E35" w14:textId="77777777" w:rsidR="00152E24" w:rsidRDefault="00152E24" w:rsidP="00152E24">
      <w:pPr>
        <w:spacing w:after="0" w:line="240" w:lineRule="auto"/>
        <w:rPr>
          <w:rFonts w:ascii="Verdana" w:eastAsia="Times New Roman" w:hAnsi="Verdana" w:cs="Arial"/>
          <w:lang w:eastAsia="es-ES_tradnl"/>
        </w:rPr>
      </w:pPr>
    </w:p>
    <w:p w14:paraId="5DC4E182" w14:textId="77777777" w:rsidR="00152E24" w:rsidRDefault="00152E24" w:rsidP="00152E24">
      <w:pPr>
        <w:spacing w:after="0" w:line="240" w:lineRule="auto"/>
        <w:rPr>
          <w:rFonts w:ascii="Verdana" w:eastAsia="Times New Roman" w:hAnsi="Verdana" w:cs="Arial"/>
          <w:lang w:eastAsia="es-ES_tradnl"/>
        </w:rPr>
      </w:pPr>
    </w:p>
    <w:p w14:paraId="650C124A" w14:textId="77777777" w:rsidR="00152E24" w:rsidRDefault="00152E24" w:rsidP="00152E24">
      <w:pPr>
        <w:spacing w:after="0" w:line="240" w:lineRule="auto"/>
        <w:rPr>
          <w:rFonts w:ascii="Verdana" w:eastAsia="Times New Roman" w:hAnsi="Verdana" w:cs="Arial"/>
          <w:lang w:eastAsia="es-ES_tradnl"/>
        </w:rPr>
      </w:pPr>
    </w:p>
    <w:p w14:paraId="1B268776" w14:textId="77777777" w:rsidR="00152E24" w:rsidRDefault="00152E24" w:rsidP="00152E24">
      <w:pPr>
        <w:spacing w:after="0" w:line="240" w:lineRule="auto"/>
        <w:rPr>
          <w:rFonts w:ascii="Verdana" w:eastAsia="Times New Roman" w:hAnsi="Verdana" w:cs="Arial"/>
          <w:lang w:eastAsia="es-ES_tradnl"/>
        </w:rPr>
      </w:pPr>
    </w:p>
    <w:p w14:paraId="4D74E8B5" w14:textId="77777777" w:rsidR="00B01239" w:rsidRDefault="00B01239" w:rsidP="00B01239">
      <w:pPr>
        <w:jc w:val="both"/>
        <w:rPr>
          <w:rFonts w:ascii="Verdana" w:eastAsia="Calibri" w:hAnsi="Verdana" w:cs="Arial"/>
          <w:b/>
          <w:color w:val="000000" w:themeColor="text1"/>
        </w:rPr>
      </w:pPr>
    </w:p>
    <w:p w14:paraId="5DCEDB69" w14:textId="77777777" w:rsidR="00152E24" w:rsidRDefault="00152E24" w:rsidP="00B01239">
      <w:pPr>
        <w:jc w:val="both"/>
        <w:rPr>
          <w:rFonts w:ascii="Verdana" w:eastAsia="Calibri" w:hAnsi="Verdana" w:cs="Arial"/>
          <w:b/>
          <w:color w:val="000000" w:themeColor="text1"/>
        </w:rPr>
      </w:pPr>
    </w:p>
    <w:p w14:paraId="7B15B7D0" w14:textId="77777777" w:rsidR="00152E24" w:rsidRDefault="00152E24" w:rsidP="00B01239">
      <w:pPr>
        <w:jc w:val="both"/>
        <w:rPr>
          <w:rFonts w:ascii="Verdana" w:eastAsia="Calibri" w:hAnsi="Verdana" w:cs="Arial"/>
          <w:b/>
          <w:color w:val="000000" w:themeColor="text1"/>
        </w:rPr>
      </w:pPr>
    </w:p>
    <w:p w14:paraId="3D7A820E" w14:textId="77777777" w:rsidR="00152E24" w:rsidRDefault="00152E24" w:rsidP="00B01239">
      <w:pPr>
        <w:jc w:val="both"/>
        <w:rPr>
          <w:rFonts w:ascii="Verdana" w:eastAsia="Calibri" w:hAnsi="Verdana" w:cs="Arial"/>
          <w:b/>
          <w:color w:val="000000" w:themeColor="text1"/>
        </w:rPr>
      </w:pPr>
    </w:p>
    <w:p w14:paraId="5B418274" w14:textId="77777777" w:rsidR="00152E24" w:rsidRDefault="00152E24" w:rsidP="00B01239">
      <w:pPr>
        <w:jc w:val="both"/>
        <w:rPr>
          <w:rFonts w:ascii="Verdana" w:eastAsia="Calibri" w:hAnsi="Verdana" w:cs="Arial"/>
          <w:b/>
          <w:color w:val="000000" w:themeColor="text1"/>
        </w:rPr>
      </w:pPr>
    </w:p>
    <w:p w14:paraId="7275DA12" w14:textId="77777777" w:rsidR="00152E24" w:rsidRDefault="00152E24" w:rsidP="00B01239">
      <w:pPr>
        <w:jc w:val="both"/>
        <w:rPr>
          <w:rFonts w:ascii="Verdana" w:eastAsia="Calibri" w:hAnsi="Verdana" w:cs="Arial"/>
          <w:b/>
          <w:color w:val="000000" w:themeColor="text1"/>
        </w:rPr>
      </w:pPr>
    </w:p>
    <w:p w14:paraId="47C0C16E" w14:textId="77777777" w:rsidR="00152E24" w:rsidRDefault="00152E24" w:rsidP="00B01239">
      <w:pPr>
        <w:jc w:val="both"/>
        <w:rPr>
          <w:rFonts w:ascii="Verdana" w:eastAsia="Calibri" w:hAnsi="Verdana" w:cs="Arial"/>
          <w:b/>
          <w:color w:val="000000" w:themeColor="text1"/>
        </w:rPr>
      </w:pPr>
    </w:p>
    <w:p w14:paraId="730996DC" w14:textId="77777777" w:rsidR="00152E24" w:rsidRDefault="00152E24" w:rsidP="00B01239">
      <w:pPr>
        <w:jc w:val="both"/>
        <w:rPr>
          <w:rFonts w:ascii="Verdana" w:eastAsia="Calibri" w:hAnsi="Verdana" w:cs="Arial"/>
          <w:b/>
          <w:color w:val="000000" w:themeColor="text1"/>
        </w:rPr>
      </w:pPr>
    </w:p>
    <w:p w14:paraId="19810D59" w14:textId="77777777" w:rsidR="00152E24" w:rsidRDefault="00152E24" w:rsidP="00B01239">
      <w:pPr>
        <w:jc w:val="both"/>
        <w:rPr>
          <w:rFonts w:ascii="Verdana" w:eastAsia="Calibri" w:hAnsi="Verdana" w:cs="Arial"/>
          <w:b/>
          <w:color w:val="000000" w:themeColor="text1"/>
        </w:rPr>
      </w:pPr>
    </w:p>
    <w:p w14:paraId="541C4BC1" w14:textId="77777777" w:rsidR="00152E24" w:rsidRDefault="00152E24" w:rsidP="00B01239">
      <w:pPr>
        <w:jc w:val="both"/>
        <w:rPr>
          <w:rFonts w:ascii="Verdana" w:eastAsia="Calibri" w:hAnsi="Verdana" w:cs="Arial"/>
          <w:b/>
          <w:color w:val="000000" w:themeColor="text1"/>
        </w:rPr>
      </w:pPr>
    </w:p>
    <w:p w14:paraId="101AABD7" w14:textId="77777777" w:rsidR="00152E24" w:rsidRDefault="00152E24" w:rsidP="00B01239">
      <w:pPr>
        <w:jc w:val="both"/>
        <w:rPr>
          <w:rFonts w:ascii="Verdana" w:eastAsia="Calibri" w:hAnsi="Verdana" w:cs="Arial"/>
          <w:b/>
          <w:color w:val="000000" w:themeColor="text1"/>
        </w:rPr>
      </w:pPr>
    </w:p>
    <w:p w14:paraId="112C54CB" w14:textId="77777777" w:rsidR="00152E24" w:rsidRDefault="00152E24" w:rsidP="00B01239">
      <w:pPr>
        <w:jc w:val="both"/>
        <w:rPr>
          <w:rFonts w:ascii="Verdana" w:eastAsia="Calibri" w:hAnsi="Verdana" w:cs="Arial"/>
          <w:b/>
          <w:color w:val="000000" w:themeColor="text1"/>
        </w:rPr>
      </w:pPr>
    </w:p>
    <w:p w14:paraId="434DE651" w14:textId="77777777" w:rsidR="00152E24" w:rsidRDefault="00152E24" w:rsidP="00B01239">
      <w:pPr>
        <w:jc w:val="both"/>
        <w:rPr>
          <w:rFonts w:ascii="Verdana" w:eastAsia="Calibri" w:hAnsi="Verdana" w:cs="Arial"/>
          <w:b/>
          <w:color w:val="000000" w:themeColor="text1"/>
        </w:rPr>
      </w:pPr>
    </w:p>
    <w:p w14:paraId="01D2A70F" w14:textId="2DF9DED0" w:rsidR="00B01239" w:rsidRDefault="00B01239" w:rsidP="00B35422">
      <w:pPr>
        <w:spacing w:after="0" w:line="240" w:lineRule="auto"/>
        <w:rPr>
          <w:rFonts w:ascii="Verdana" w:hAnsi="Verdana"/>
        </w:rPr>
      </w:pPr>
      <w:r>
        <w:rPr>
          <w:rFonts w:ascii="Verdana" w:hAnsi="Verdana"/>
        </w:rPr>
        <w:t>B</w:t>
      </w:r>
      <w:r w:rsidRPr="0044528D">
        <w:rPr>
          <w:rFonts w:ascii="Verdana" w:hAnsi="Verdana"/>
        </w:rPr>
        <w:t xml:space="preserve">ogotá D.C., </w:t>
      </w:r>
      <w:r w:rsidR="009C78AE">
        <w:rPr>
          <w:rFonts w:ascii="Verdana" w:hAnsi="Verdana"/>
        </w:rPr>
        <w:t>13 de agosto de 2025.</w:t>
      </w:r>
    </w:p>
    <w:p w14:paraId="095F9B15" w14:textId="77777777" w:rsidR="00B01239" w:rsidRDefault="00B01239" w:rsidP="00B35422">
      <w:pPr>
        <w:spacing w:after="0" w:line="240" w:lineRule="auto"/>
        <w:rPr>
          <w:rFonts w:ascii="Verdana" w:hAnsi="Verdana"/>
        </w:rPr>
      </w:pPr>
      <w:bookmarkStart w:id="3" w:name="_Hlk180638295"/>
      <w:bookmarkEnd w:id="0"/>
    </w:p>
    <w:p w14:paraId="33CD23B0" w14:textId="3C97D5FD" w:rsidR="00B01239" w:rsidRDefault="009C78AE" w:rsidP="009C78AE">
      <w:pPr>
        <w:spacing w:after="0" w:line="240" w:lineRule="auto"/>
        <w:jc w:val="right"/>
        <w:rPr>
          <w:rFonts w:ascii="Verdana" w:hAnsi="Verdana"/>
        </w:rPr>
      </w:pPr>
      <w:r>
        <w:rPr>
          <w:rFonts w:ascii="Verdana" w:hAnsi="Verdana"/>
          <w:noProof/>
        </w:rPr>
        <w:drawing>
          <wp:inline distT="0" distB="0" distL="0" distR="0" wp14:anchorId="544A21DA" wp14:editId="1FEF5B8C">
            <wp:extent cx="2143125" cy="695325"/>
            <wp:effectExtent l="0" t="0" r="9525" b="9525"/>
            <wp:docPr id="12653580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695325"/>
                    </a:xfrm>
                    <a:prstGeom prst="rect">
                      <a:avLst/>
                    </a:prstGeom>
                    <a:noFill/>
                    <a:ln>
                      <a:noFill/>
                    </a:ln>
                  </pic:spPr>
                </pic:pic>
              </a:graphicData>
            </a:graphic>
          </wp:inline>
        </w:drawing>
      </w:r>
    </w:p>
    <w:p w14:paraId="6C361E15" w14:textId="77777777" w:rsidR="009C78AE" w:rsidRDefault="009C78AE" w:rsidP="00B35422">
      <w:pPr>
        <w:spacing w:after="0" w:line="240" w:lineRule="auto"/>
        <w:rPr>
          <w:rFonts w:ascii="Verdana" w:hAnsi="Verdana"/>
        </w:rPr>
      </w:pPr>
    </w:p>
    <w:p w14:paraId="5FDEE41A" w14:textId="77777777" w:rsidR="00B01239" w:rsidRDefault="00B01239" w:rsidP="00595202">
      <w:pPr>
        <w:spacing w:after="0" w:line="240" w:lineRule="auto"/>
        <w:jc w:val="both"/>
        <w:rPr>
          <w:rFonts w:ascii="Verdana" w:eastAsia="Calibri" w:hAnsi="Verdana" w:cs="Arial"/>
          <w:lang w:eastAsia="es-ES"/>
        </w:rPr>
      </w:pPr>
      <w:bookmarkStart w:id="4" w:name="_Hlk181166167"/>
      <w:r w:rsidRPr="005E62E2">
        <w:rPr>
          <w:rFonts w:ascii="Verdana" w:eastAsia="Calibri" w:hAnsi="Verdana" w:cs="Arial"/>
          <w:lang w:eastAsia="es-ES"/>
        </w:rPr>
        <w:t>Señor</w:t>
      </w:r>
    </w:p>
    <w:p w14:paraId="04E1ADDA" w14:textId="18322AE6" w:rsidR="00B01239" w:rsidRPr="008C6C5F" w:rsidRDefault="00554209" w:rsidP="00595202">
      <w:pPr>
        <w:spacing w:after="0" w:line="240" w:lineRule="auto"/>
        <w:rPr>
          <w:rFonts w:ascii="Verdana" w:eastAsia="Calibri" w:hAnsi="Verdana" w:cs="Arial"/>
          <w:b/>
          <w:bCs/>
          <w:lang w:eastAsia="es-ES"/>
        </w:rPr>
      </w:pPr>
      <w:r w:rsidRPr="008C6C5F">
        <w:rPr>
          <w:rFonts w:ascii="Verdana" w:eastAsia="Calibri" w:hAnsi="Verdana" w:cs="Arial"/>
          <w:b/>
          <w:bCs/>
          <w:lang w:eastAsia="es-ES"/>
        </w:rPr>
        <w:t xml:space="preserve">Santiago Melo </w:t>
      </w:r>
      <w:proofErr w:type="spellStart"/>
      <w:r w:rsidRPr="008C6C5F">
        <w:rPr>
          <w:rFonts w:ascii="Verdana" w:eastAsia="Calibri" w:hAnsi="Verdana" w:cs="Arial"/>
          <w:b/>
          <w:bCs/>
          <w:lang w:eastAsia="es-ES"/>
        </w:rPr>
        <w:t>Garcia</w:t>
      </w:r>
      <w:proofErr w:type="spellEnd"/>
    </w:p>
    <w:p w14:paraId="60D72B4E" w14:textId="77777777" w:rsidR="00B01239" w:rsidRPr="008C6C5F" w:rsidRDefault="00B01239" w:rsidP="00595202">
      <w:pPr>
        <w:spacing w:after="0" w:line="240" w:lineRule="auto"/>
        <w:rPr>
          <w:rFonts w:ascii="Verdana" w:hAnsi="Verdana"/>
        </w:rPr>
      </w:pPr>
      <w:r w:rsidRPr="008C6C5F">
        <w:rPr>
          <w:rFonts w:ascii="Verdana" w:hAnsi="Verdana"/>
        </w:rPr>
        <w:t>samega_93@hotmail.com</w:t>
      </w:r>
    </w:p>
    <w:p w14:paraId="39A5487F" w14:textId="77777777" w:rsidR="00B01239" w:rsidRDefault="00B01239" w:rsidP="00595202">
      <w:pPr>
        <w:spacing w:after="0" w:line="240" w:lineRule="auto"/>
        <w:rPr>
          <w:rFonts w:ascii="Verdana" w:eastAsia="Calibri" w:hAnsi="Verdana" w:cs="Arial"/>
          <w:color w:val="000000"/>
          <w:lang w:val="es-ES_tradnl" w:eastAsia="es-ES_tradnl"/>
        </w:rPr>
      </w:pPr>
      <w:r w:rsidRPr="008C6C5F">
        <w:rPr>
          <w:rFonts w:ascii="Verdana" w:eastAsia="Calibri" w:hAnsi="Verdana" w:cs="Arial"/>
          <w:color w:val="000000"/>
          <w:lang w:val="es-ES_tradnl" w:eastAsia="es-ES_tradnl"/>
        </w:rPr>
        <w:t>Bogotá D.C.</w:t>
      </w:r>
    </w:p>
    <w:p w14:paraId="14DAFEF7" w14:textId="77777777" w:rsidR="00B01239" w:rsidRPr="00FE3DEC" w:rsidRDefault="00B01239" w:rsidP="00595202">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B01239" w:rsidRPr="00593A5F" w14:paraId="6A7BAFAD" w14:textId="77777777" w:rsidTr="00B35422">
        <w:trPr>
          <w:trHeight w:val="190"/>
        </w:trPr>
        <w:tc>
          <w:tcPr>
            <w:tcW w:w="2410" w:type="dxa"/>
          </w:tcPr>
          <w:p w14:paraId="30740081" w14:textId="77777777" w:rsidR="00B01239" w:rsidRPr="00E5644F" w:rsidRDefault="00B01239" w:rsidP="00595202">
            <w:pPr>
              <w:jc w:val="both"/>
              <w:rPr>
                <w:rFonts w:ascii="Verdana" w:eastAsia="Calibri" w:hAnsi="Verdana" w:cs="Arial"/>
                <w:b/>
                <w:bCs/>
                <w:color w:val="7030A0"/>
                <w:lang w:val="es-ES_tradnl" w:eastAsia="es-ES_tradnl"/>
              </w:rPr>
            </w:pPr>
          </w:p>
        </w:tc>
        <w:tc>
          <w:tcPr>
            <w:tcW w:w="6804" w:type="dxa"/>
            <w:gridSpan w:val="2"/>
          </w:tcPr>
          <w:p w14:paraId="097C02A6" w14:textId="77777777" w:rsidR="00B01239" w:rsidRDefault="00B01239" w:rsidP="00595202">
            <w:pPr>
              <w:jc w:val="both"/>
              <w:rPr>
                <w:rFonts w:ascii="Verdana" w:eastAsia="Calibri" w:hAnsi="Verdana" w:cs="Arial"/>
                <w:b/>
                <w:bCs/>
                <w:lang w:val="es-ES" w:eastAsia="es-ES"/>
              </w:rPr>
            </w:pPr>
            <w:r w:rsidRPr="0096584C">
              <w:rPr>
                <w:rFonts w:ascii="Verdana" w:eastAsia="Calibri" w:hAnsi="Verdana" w:cs="Arial"/>
                <w:b/>
                <w:bCs/>
                <w:lang w:val="es-ES" w:eastAsia="es-ES"/>
              </w:rPr>
              <w:t xml:space="preserve">Concepto C- </w:t>
            </w:r>
            <w:r>
              <w:rPr>
                <w:rFonts w:ascii="Verdana" w:eastAsia="Calibri" w:hAnsi="Verdana" w:cs="Arial"/>
                <w:b/>
                <w:bCs/>
                <w:lang w:val="es-ES" w:eastAsia="es-ES"/>
              </w:rPr>
              <w:t>875</w:t>
            </w:r>
            <w:r w:rsidRPr="0096584C">
              <w:rPr>
                <w:rFonts w:ascii="Verdana" w:eastAsia="Calibri" w:hAnsi="Verdana" w:cs="Arial"/>
                <w:b/>
                <w:bCs/>
                <w:lang w:val="es-ES" w:eastAsia="es-ES"/>
              </w:rPr>
              <w:t xml:space="preserve"> de 2025</w:t>
            </w:r>
          </w:p>
          <w:p w14:paraId="6D44263C" w14:textId="77777777" w:rsidR="0017471C" w:rsidRPr="0096584C" w:rsidRDefault="0017471C" w:rsidP="00595202">
            <w:pPr>
              <w:jc w:val="both"/>
              <w:rPr>
                <w:rFonts w:ascii="Verdana" w:eastAsia="Calibri" w:hAnsi="Verdana" w:cs="Arial"/>
                <w:b/>
                <w:bCs/>
                <w:color w:val="7030A0"/>
                <w:lang w:val="es-ES" w:eastAsia="es-ES"/>
              </w:rPr>
            </w:pPr>
          </w:p>
        </w:tc>
      </w:tr>
      <w:tr w:rsidR="00B01239" w:rsidRPr="00A52DE7" w14:paraId="1848296C" w14:textId="77777777" w:rsidTr="0004622A">
        <w:trPr>
          <w:trHeight w:val="884"/>
        </w:trPr>
        <w:tc>
          <w:tcPr>
            <w:tcW w:w="2410" w:type="dxa"/>
          </w:tcPr>
          <w:p w14:paraId="260F5EA2" w14:textId="77777777" w:rsidR="00B01239" w:rsidRPr="00593A5F" w:rsidRDefault="00B01239" w:rsidP="0059520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36AE3E13" w14:textId="08656D42" w:rsidR="00B01239" w:rsidRDefault="00B01239" w:rsidP="00595202">
            <w:pPr>
              <w:jc w:val="both"/>
              <w:rPr>
                <w:rFonts w:ascii="Verdana" w:hAnsi="Verdana" w:cs="Arial"/>
                <w:lang w:eastAsia="es-CO"/>
              </w:rPr>
            </w:pPr>
            <w:r w:rsidRPr="00166E18">
              <w:rPr>
                <w:rFonts w:ascii="Verdana" w:eastAsia="Calibri" w:hAnsi="Verdana" w:cs="Arial"/>
                <w:lang w:val="es-ES" w:eastAsia="es-ES"/>
              </w:rPr>
              <w:t>ENTIDAD SIN ANIMO DE LUCRO ESAL – Definición /</w:t>
            </w:r>
            <w:r w:rsidR="00B258FB">
              <w:rPr>
                <w:rFonts w:ascii="Verdana" w:eastAsia="Calibri" w:hAnsi="Verdana" w:cs="Arial"/>
                <w:lang w:val="es-ES" w:eastAsia="es-ES"/>
              </w:rPr>
              <w:t xml:space="preserve"> </w:t>
            </w:r>
            <w:r w:rsidR="00B35422" w:rsidRPr="00B35422">
              <w:rPr>
                <w:rFonts w:ascii="Verdana" w:eastAsia="Calibri" w:hAnsi="Verdana" w:cs="Arial"/>
                <w:lang w:val="es-ES" w:eastAsia="es-ES"/>
              </w:rPr>
              <w:t>INHABILIDADES – Definición – Finalidad – Limitación a capacidad</w:t>
            </w:r>
            <w:r w:rsidR="00B35422">
              <w:rPr>
                <w:rFonts w:ascii="Verdana" w:eastAsia="Calibri" w:hAnsi="Verdana" w:cs="Arial"/>
                <w:lang w:val="es-ES" w:eastAsia="es-ES"/>
              </w:rPr>
              <w:t>-</w:t>
            </w:r>
            <w:r w:rsidR="00B35422">
              <w:t xml:space="preserve"> </w:t>
            </w:r>
            <w:r w:rsidR="00B35422" w:rsidRPr="00B35422">
              <w:rPr>
                <w:rFonts w:ascii="Verdana" w:eastAsia="Calibri" w:hAnsi="Verdana" w:cs="Arial"/>
                <w:lang w:val="es-ES" w:eastAsia="es-ES"/>
              </w:rPr>
              <w:t>INHABILIDADES – Taxatividad – Principio de legalidad – Interpretación restrictiva– Entidades sin ánimo de lucro</w:t>
            </w:r>
          </w:p>
          <w:p w14:paraId="559034D8" w14:textId="77777777" w:rsidR="00B01239" w:rsidRPr="00A52DE7" w:rsidRDefault="00B01239" w:rsidP="00595202">
            <w:pPr>
              <w:jc w:val="both"/>
              <w:rPr>
                <w:rFonts w:ascii="Verdana" w:eastAsia="Calibri" w:hAnsi="Verdana" w:cs="Arial"/>
                <w:b/>
                <w:highlight w:val="yellow"/>
                <w:lang w:val="es-ES" w:eastAsia="es-ES"/>
              </w:rPr>
            </w:pPr>
          </w:p>
        </w:tc>
      </w:tr>
      <w:tr w:rsidR="00B01239" w:rsidRPr="00593A5F" w14:paraId="6FFB54A0" w14:textId="77777777" w:rsidTr="0004622A">
        <w:tc>
          <w:tcPr>
            <w:tcW w:w="2410" w:type="dxa"/>
          </w:tcPr>
          <w:p w14:paraId="2369DDBE" w14:textId="22887B11" w:rsidR="00B01239" w:rsidRPr="006730E9" w:rsidRDefault="00B258FB" w:rsidP="00595202">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B01239" w:rsidRPr="006730E9">
              <w:rPr>
                <w:rFonts w:ascii="Verdana" w:eastAsia="Calibri" w:hAnsi="Verdana" w:cs="Arial"/>
                <w:b/>
                <w:lang w:val="es-ES_tradnl" w:eastAsia="es-ES_tradnl"/>
              </w:rPr>
              <w:t>Radicación:</w:t>
            </w:r>
            <w:r w:rsidR="00B01239" w:rsidRPr="006730E9">
              <w:rPr>
                <w:rFonts w:ascii="Verdana" w:eastAsia="Calibri" w:hAnsi="Verdana" w:cs="Arial"/>
                <w:lang w:val="es-ES_tradnl" w:eastAsia="es-ES_tradnl"/>
              </w:rPr>
              <w:t xml:space="preserve">               </w:t>
            </w:r>
          </w:p>
        </w:tc>
        <w:tc>
          <w:tcPr>
            <w:tcW w:w="6804" w:type="dxa"/>
            <w:gridSpan w:val="2"/>
          </w:tcPr>
          <w:p w14:paraId="2F6C7CC5" w14:textId="77777777" w:rsidR="00B01239" w:rsidRPr="006730E9" w:rsidRDefault="00B01239" w:rsidP="00595202">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8C6C5F">
              <w:rPr>
                <w:rFonts w:ascii="Verdana" w:eastAsia="Calibri" w:hAnsi="Verdana" w:cs="Arial"/>
                <w:lang w:val="es-ES_tradnl" w:eastAsia="es-ES_tradnl"/>
              </w:rPr>
              <w:t>1_2025_07_03_006621</w:t>
            </w:r>
          </w:p>
        </w:tc>
      </w:tr>
      <w:tr w:rsidR="00B01239" w:rsidRPr="00DB23D2" w14:paraId="1781EAEC" w14:textId="77777777" w:rsidTr="0004622A">
        <w:trPr>
          <w:gridAfter w:val="1"/>
          <w:wAfter w:w="336" w:type="dxa"/>
          <w:trHeight w:val="233"/>
        </w:trPr>
        <w:tc>
          <w:tcPr>
            <w:tcW w:w="8878" w:type="dxa"/>
            <w:gridSpan w:val="2"/>
          </w:tcPr>
          <w:p w14:paraId="17EA6DC5" w14:textId="77777777" w:rsidR="00B01239" w:rsidRPr="00DB23D2" w:rsidRDefault="00B01239" w:rsidP="0004622A">
            <w:pPr>
              <w:spacing w:after="120" w:line="276" w:lineRule="auto"/>
              <w:jc w:val="both"/>
              <w:rPr>
                <w:rFonts w:ascii="Verdana" w:eastAsia="Calibri" w:hAnsi="Verdana" w:cs="Arial"/>
                <w:lang w:val="es-ES_tradnl" w:eastAsia="es-ES"/>
              </w:rPr>
            </w:pPr>
          </w:p>
        </w:tc>
      </w:tr>
    </w:tbl>
    <w:p w14:paraId="6E1E16BB" w14:textId="77777777" w:rsidR="00B01239" w:rsidRPr="006730E9" w:rsidRDefault="00B01239" w:rsidP="00B0123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Melo;</w:t>
      </w:r>
    </w:p>
    <w:p w14:paraId="135AEA37" w14:textId="77777777" w:rsidR="00B01239" w:rsidRDefault="00B01239" w:rsidP="00B0123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1D7F136" w14:textId="77777777" w:rsidR="00B01239" w:rsidRPr="006730E9" w:rsidRDefault="00B01239" w:rsidP="00B0123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w:t>
      </w:r>
      <w:r>
        <w:rPr>
          <w:rFonts w:ascii="Verdana" w:eastAsia="Calibri" w:hAnsi="Verdana" w:cs="Arial"/>
          <w:lang w:val="es-ES" w:eastAsia="es-ES"/>
        </w:rPr>
        <w:t xml:space="preserve"> a</w:t>
      </w:r>
      <w:r w:rsidRPr="006730E9">
        <w:rPr>
          <w:rFonts w:ascii="Verdana" w:eastAsia="Calibri" w:hAnsi="Verdana" w:cs="Arial"/>
          <w:lang w:val="es-ES" w:eastAsia="es-ES"/>
        </w:rPr>
        <w:t xml:space="preserv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03 </w:t>
      </w:r>
      <w:r w:rsidRPr="00E5644F">
        <w:rPr>
          <w:rFonts w:ascii="Verdana" w:eastAsia="Calibri" w:hAnsi="Verdana" w:cs="Arial"/>
          <w:lang w:val="es-ES" w:eastAsia="es-ES"/>
        </w:rPr>
        <w:t xml:space="preserve">de </w:t>
      </w:r>
      <w:r>
        <w:rPr>
          <w:rFonts w:ascii="Verdana" w:eastAsia="Calibri" w:hAnsi="Verdana" w:cs="Arial"/>
          <w:lang w:val="es-ES" w:eastAsia="es-ES"/>
        </w:rPr>
        <w:t>julio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744D650D" w14:textId="77777777" w:rsidR="00B01239" w:rsidRPr="00326382" w:rsidRDefault="00B01239" w:rsidP="00B01239">
      <w:pPr>
        <w:spacing w:after="0" w:line="240" w:lineRule="auto"/>
        <w:ind w:left="709" w:right="474"/>
        <w:jc w:val="both"/>
        <w:rPr>
          <w:rFonts w:ascii="Verdana" w:hAnsi="Verdana" w:cs="Arial"/>
          <w:sz w:val="20"/>
          <w:szCs w:val="20"/>
          <w:shd w:val="clear" w:color="auto" w:fill="FFFFFF"/>
        </w:rPr>
      </w:pPr>
      <w:bookmarkStart w:id="5" w:name="_Hlk95313578"/>
    </w:p>
    <w:bookmarkEnd w:id="5"/>
    <w:p w14:paraId="582AAC04" w14:textId="77777777" w:rsidR="00B01239" w:rsidRDefault="00B01239" w:rsidP="00B01239">
      <w:pPr>
        <w:tabs>
          <w:tab w:val="left" w:pos="142"/>
          <w:tab w:val="left" w:pos="567"/>
        </w:tabs>
        <w:ind w:left="709" w:right="709"/>
        <w:jc w:val="both"/>
        <w:rPr>
          <w:rFonts w:ascii="Verdana" w:eastAsia="Century Gothic" w:hAnsi="Verdana" w:cs="Century Gothic"/>
          <w:i/>
          <w:iCs/>
          <w:sz w:val="20"/>
          <w:szCs w:val="20"/>
        </w:rPr>
      </w:pPr>
      <w:r w:rsidRPr="00C33DBE">
        <w:rPr>
          <w:rFonts w:ascii="Verdana" w:eastAsia="Century Gothic" w:hAnsi="Verdana" w:cs="Century Gothic"/>
          <w:i/>
          <w:iCs/>
          <w:sz w:val="20"/>
          <w:szCs w:val="20"/>
        </w:rPr>
        <w:t xml:space="preserve">“(…) </w:t>
      </w:r>
    </w:p>
    <w:p w14:paraId="7815FEE0" w14:textId="77777777" w:rsidR="00B01239" w:rsidRPr="008C6C5F" w:rsidRDefault="00B01239" w:rsidP="00B01239">
      <w:pPr>
        <w:tabs>
          <w:tab w:val="left" w:pos="142"/>
          <w:tab w:val="left" w:pos="567"/>
        </w:tabs>
        <w:ind w:left="709" w:right="709"/>
        <w:jc w:val="both"/>
        <w:rPr>
          <w:rFonts w:ascii="Verdana" w:eastAsia="Century Gothic" w:hAnsi="Verdana" w:cs="Century Gothic"/>
          <w:i/>
          <w:iCs/>
        </w:rPr>
      </w:pPr>
      <w:bookmarkStart w:id="6" w:name="_Hlk203460035"/>
      <w:r w:rsidRPr="00866C2B">
        <w:rPr>
          <w:rFonts w:ascii="Verdana" w:eastAsia="Century Gothic" w:hAnsi="Verdana" w:cs="Century Gothic"/>
          <w:i/>
          <w:iCs/>
        </w:rPr>
        <w:t xml:space="preserve"> </w:t>
      </w:r>
      <w:r w:rsidRPr="008C6C5F">
        <w:rPr>
          <w:rFonts w:ascii="Verdana" w:eastAsia="Century Gothic" w:hAnsi="Verdana" w:cs="Century Gothic"/>
          <w:i/>
          <w:iCs/>
        </w:rPr>
        <w:t>1. En una entidad sin ánimo de lucro de tipo asociación, en la que algunos de sus</w:t>
      </w:r>
      <w:r>
        <w:rPr>
          <w:rFonts w:ascii="Verdana" w:eastAsia="Century Gothic" w:hAnsi="Verdana" w:cs="Century Gothic"/>
          <w:i/>
          <w:iCs/>
        </w:rPr>
        <w:t xml:space="preserve"> </w:t>
      </w:r>
      <w:r w:rsidRPr="008C6C5F">
        <w:rPr>
          <w:rFonts w:ascii="Verdana" w:eastAsia="Century Gothic" w:hAnsi="Verdana" w:cs="Century Gothic"/>
          <w:i/>
          <w:iCs/>
        </w:rPr>
        <w:t>miembros de junta directiva son servidores públicos y tienen cargos de dirección en</w:t>
      </w:r>
      <w:r>
        <w:rPr>
          <w:rFonts w:ascii="Verdana" w:eastAsia="Century Gothic" w:hAnsi="Verdana" w:cs="Century Gothic"/>
          <w:i/>
          <w:iCs/>
        </w:rPr>
        <w:t xml:space="preserve"> </w:t>
      </w:r>
      <w:r w:rsidRPr="008C6C5F">
        <w:rPr>
          <w:rFonts w:ascii="Verdana" w:eastAsia="Century Gothic" w:hAnsi="Verdana" w:cs="Century Gothic"/>
          <w:i/>
          <w:iCs/>
        </w:rPr>
        <w:t>la entidad estatal ¿puede dicha asociación celebrar convenios y contratos con la</w:t>
      </w:r>
      <w:r>
        <w:rPr>
          <w:rFonts w:ascii="Verdana" w:eastAsia="Century Gothic" w:hAnsi="Verdana" w:cs="Century Gothic"/>
          <w:i/>
          <w:iCs/>
        </w:rPr>
        <w:t xml:space="preserve"> </w:t>
      </w:r>
      <w:r w:rsidRPr="008C6C5F">
        <w:rPr>
          <w:rFonts w:ascii="Verdana" w:eastAsia="Century Gothic" w:hAnsi="Verdana" w:cs="Century Gothic"/>
          <w:i/>
          <w:iCs/>
        </w:rPr>
        <w:t>entidad estatal donde dichos miembros de junta directiva son servidores públicos y</w:t>
      </w:r>
      <w:r>
        <w:rPr>
          <w:rFonts w:ascii="Verdana" w:eastAsia="Century Gothic" w:hAnsi="Verdana" w:cs="Century Gothic"/>
          <w:i/>
          <w:iCs/>
        </w:rPr>
        <w:t xml:space="preserve"> </w:t>
      </w:r>
      <w:r w:rsidRPr="008C6C5F">
        <w:rPr>
          <w:rFonts w:ascii="Verdana" w:eastAsia="Century Gothic" w:hAnsi="Verdana" w:cs="Century Gothic"/>
          <w:i/>
          <w:iCs/>
        </w:rPr>
        <w:t>tienen cargos de dirección?</w:t>
      </w:r>
    </w:p>
    <w:p w14:paraId="7EDFC704" w14:textId="77777777" w:rsidR="00B01239" w:rsidRPr="00866C2B" w:rsidRDefault="00B01239" w:rsidP="00B01239">
      <w:pPr>
        <w:tabs>
          <w:tab w:val="left" w:pos="142"/>
          <w:tab w:val="left" w:pos="567"/>
        </w:tabs>
        <w:ind w:left="709" w:right="709"/>
        <w:jc w:val="both"/>
        <w:rPr>
          <w:rFonts w:ascii="Verdana" w:eastAsia="Century Gothic" w:hAnsi="Verdana" w:cs="Century Gothic"/>
          <w:i/>
          <w:iCs/>
        </w:rPr>
      </w:pPr>
      <w:r w:rsidRPr="008C6C5F">
        <w:rPr>
          <w:rFonts w:ascii="Verdana" w:eastAsia="Century Gothic" w:hAnsi="Verdana" w:cs="Century Gothic"/>
          <w:i/>
          <w:iCs/>
        </w:rPr>
        <w:lastRenderedPageBreak/>
        <w:t>2. En una entidad sin ánimo de lucro de tipo asociación, en la que sus asociados</w:t>
      </w:r>
      <w:r>
        <w:rPr>
          <w:rFonts w:ascii="Verdana" w:eastAsia="Century Gothic" w:hAnsi="Verdana" w:cs="Century Gothic"/>
          <w:i/>
          <w:iCs/>
        </w:rPr>
        <w:t xml:space="preserve"> </w:t>
      </w:r>
      <w:r w:rsidRPr="008C6C5F">
        <w:rPr>
          <w:rFonts w:ascii="Verdana" w:eastAsia="Century Gothic" w:hAnsi="Verdana" w:cs="Century Gothic"/>
          <w:i/>
          <w:iCs/>
        </w:rPr>
        <w:t>son servidores públicos ¿puede dicha asociación celebrar convenios y contratos</w:t>
      </w:r>
      <w:r>
        <w:rPr>
          <w:rFonts w:ascii="Verdana" w:eastAsia="Century Gothic" w:hAnsi="Verdana" w:cs="Century Gothic"/>
          <w:i/>
          <w:iCs/>
        </w:rPr>
        <w:t xml:space="preserve"> </w:t>
      </w:r>
      <w:r w:rsidRPr="008C6C5F">
        <w:rPr>
          <w:rFonts w:ascii="Verdana" w:eastAsia="Century Gothic" w:hAnsi="Verdana" w:cs="Century Gothic"/>
          <w:i/>
          <w:iCs/>
        </w:rPr>
        <w:t>con la entidad estatal donde dichos asociados son servidores públicos?</w:t>
      </w:r>
    </w:p>
    <w:p w14:paraId="69E2D72B" w14:textId="77777777" w:rsidR="00B01239" w:rsidRPr="00CD7324" w:rsidRDefault="00B01239" w:rsidP="00B01239">
      <w:pPr>
        <w:tabs>
          <w:tab w:val="left" w:pos="142"/>
          <w:tab w:val="left" w:pos="567"/>
        </w:tabs>
        <w:ind w:left="709" w:right="709"/>
        <w:jc w:val="both"/>
        <w:rPr>
          <w:rFonts w:ascii="Verdana" w:eastAsia="Century Gothic" w:hAnsi="Verdana" w:cs="Century Gothic"/>
          <w:i/>
          <w:iCs/>
          <w:sz w:val="20"/>
          <w:szCs w:val="20"/>
        </w:rPr>
      </w:pPr>
      <w:r w:rsidRPr="00D86E93">
        <w:rPr>
          <w:rFonts w:ascii="Verdana" w:eastAsia="Century Gothic" w:hAnsi="Verdana" w:cs="Century Gothic"/>
          <w:i/>
          <w:iCs/>
          <w:sz w:val="20"/>
          <w:szCs w:val="20"/>
        </w:rPr>
        <w:t xml:space="preserve"> </w:t>
      </w:r>
      <w:bookmarkEnd w:id="6"/>
      <w:r w:rsidRPr="00C33DBE">
        <w:rPr>
          <w:rFonts w:ascii="Verdana" w:eastAsia="Century Gothic" w:hAnsi="Verdana" w:cs="Century Gothic"/>
          <w:i/>
          <w:iCs/>
          <w:sz w:val="20"/>
          <w:szCs w:val="20"/>
        </w:rPr>
        <w:t>(…)</w:t>
      </w:r>
      <w:r>
        <w:rPr>
          <w:rFonts w:ascii="Verdana" w:eastAsia="Century Gothic" w:hAnsi="Verdana" w:cs="Century Gothic"/>
          <w:i/>
          <w:iCs/>
          <w:sz w:val="20"/>
          <w:szCs w:val="20"/>
        </w:rPr>
        <w:t>”</w:t>
      </w:r>
      <w:r w:rsidRPr="00CD7324">
        <w:rPr>
          <w:rFonts w:ascii="Verdana" w:eastAsia="Century Gothic" w:hAnsi="Verdana" w:cs="Century Gothic"/>
          <w:i/>
          <w:iCs/>
          <w:sz w:val="20"/>
          <w:szCs w:val="20"/>
        </w:rPr>
        <w:t xml:space="preserve"> </w:t>
      </w:r>
    </w:p>
    <w:p w14:paraId="3E656A0F" w14:textId="77777777" w:rsidR="00B01239" w:rsidRPr="00AA3B9F" w:rsidRDefault="00B01239" w:rsidP="00B01239">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53A28855" w14:textId="77777777" w:rsidR="00B01239" w:rsidRPr="00AA3B9F" w:rsidRDefault="00B01239" w:rsidP="00B01239">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1D54F847" w14:textId="77777777" w:rsidR="00B01239" w:rsidRDefault="00B01239" w:rsidP="00B01239">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5FC575A3" w14:textId="77777777" w:rsidR="00B01239" w:rsidRDefault="00B01239" w:rsidP="00B0123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353ED0BF" w14:textId="77777777" w:rsidR="00B01239" w:rsidRDefault="00B01239" w:rsidP="00B01239">
      <w:pPr>
        <w:pStyle w:val="Prrafodelista"/>
        <w:tabs>
          <w:tab w:val="left" w:pos="142"/>
          <w:tab w:val="left" w:pos="284"/>
        </w:tabs>
        <w:spacing w:after="0" w:line="276" w:lineRule="auto"/>
        <w:ind w:left="0"/>
        <w:jc w:val="both"/>
        <w:rPr>
          <w:rFonts w:ascii="Verdana" w:eastAsia="Century Gothic" w:hAnsi="Verdana" w:cs="Century Gothic"/>
          <w:b/>
          <w:bCs/>
        </w:rPr>
      </w:pPr>
    </w:p>
    <w:p w14:paraId="45DB03C2" w14:textId="17D9368F" w:rsidR="00B01239" w:rsidRPr="00DF4493" w:rsidRDefault="00B01239" w:rsidP="00B01239">
      <w:pPr>
        <w:pStyle w:val="Prrafodelista"/>
        <w:ind w:left="0" w:right="49"/>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el </w:t>
      </w:r>
      <w:r w:rsidRPr="00E21BD1">
        <w:rPr>
          <w:rFonts w:ascii="Verdana" w:eastAsia="Calibri" w:hAnsi="Verdana" w:cs="Arial"/>
          <w:lang w:eastAsia="es-ES"/>
        </w:rPr>
        <w:t>siguiente problema jurídico</w:t>
      </w:r>
      <w:bookmarkStart w:id="7" w:name="_Hlk196737317"/>
      <w:r>
        <w:rPr>
          <w:rFonts w:ascii="Verdana" w:eastAsia="Calibri" w:hAnsi="Verdana" w:cs="Arial"/>
          <w:lang w:eastAsia="es-ES"/>
        </w:rPr>
        <w:t>:</w:t>
      </w:r>
      <w:r>
        <w:rPr>
          <w:rFonts w:ascii="Verdana" w:eastAsia="Calibri" w:hAnsi="Verdana" w:cs="Arial"/>
          <w:lang w:val="es-CO" w:eastAsia="es-ES"/>
        </w:rPr>
        <w:t xml:space="preserve"> </w:t>
      </w:r>
      <w:r w:rsidRPr="00DF4493">
        <w:rPr>
          <w:rFonts w:ascii="Verdana" w:eastAsia="Century Gothic" w:hAnsi="Verdana" w:cs="Century Gothic"/>
        </w:rPr>
        <w:t>¿</w:t>
      </w:r>
      <w:r w:rsidRPr="000D6242">
        <w:rPr>
          <w:rFonts w:ascii="Verdana" w:eastAsia="Century Gothic" w:hAnsi="Verdana" w:cs="Century Gothic"/>
          <w:lang w:val="es-CO"/>
        </w:rPr>
        <w:t xml:space="preserve">Puede </w:t>
      </w:r>
      <w:r>
        <w:rPr>
          <w:rFonts w:ascii="Verdana" w:eastAsia="Century Gothic" w:hAnsi="Verdana" w:cs="Century Gothic"/>
          <w:lang w:val="es-CO"/>
        </w:rPr>
        <w:t>una</w:t>
      </w:r>
      <w:r w:rsidRPr="000D6242">
        <w:rPr>
          <w:rFonts w:ascii="Verdana" w:eastAsia="Century Gothic" w:hAnsi="Verdana" w:cs="Century Gothic"/>
          <w:lang w:val="es-CO"/>
        </w:rPr>
        <w:t xml:space="preserve"> </w:t>
      </w:r>
      <w:r w:rsidRPr="00B959F0">
        <w:rPr>
          <w:rFonts w:ascii="Verdana" w:eastAsia="Arial" w:hAnsi="Verdana" w:cs="Arial"/>
        </w:rPr>
        <w:t>Entidad Sin Ánimo de Lucro</w:t>
      </w:r>
      <w:r w:rsidRPr="000D6242">
        <w:rPr>
          <w:rFonts w:ascii="Verdana" w:eastAsia="Century Gothic" w:hAnsi="Verdana" w:cs="Century Gothic"/>
          <w:lang w:val="es-CO"/>
        </w:rPr>
        <w:t xml:space="preserve"> </w:t>
      </w:r>
      <w:r>
        <w:rPr>
          <w:rFonts w:ascii="Verdana" w:eastAsia="Century Gothic" w:hAnsi="Verdana" w:cs="Century Gothic"/>
          <w:lang w:val="es-CO"/>
        </w:rPr>
        <w:t>cuyos</w:t>
      </w:r>
      <w:r w:rsidRPr="000D6242">
        <w:rPr>
          <w:rFonts w:ascii="Verdana" w:eastAsia="Century Gothic" w:hAnsi="Verdana" w:cs="Century Gothic"/>
          <w:lang w:val="es-CO"/>
        </w:rPr>
        <w:t xml:space="preserve"> miembros directivos ejercen </w:t>
      </w:r>
      <w:r>
        <w:rPr>
          <w:rFonts w:ascii="Verdana" w:eastAsia="Century Gothic" w:hAnsi="Verdana" w:cs="Century Gothic"/>
          <w:lang w:val="es-CO"/>
        </w:rPr>
        <w:t>como</w:t>
      </w:r>
      <w:r w:rsidRPr="000D6242">
        <w:rPr>
          <w:rFonts w:ascii="Verdana" w:eastAsia="Century Gothic" w:hAnsi="Verdana" w:cs="Century Gothic"/>
          <w:lang w:val="es-CO"/>
        </w:rPr>
        <w:t xml:space="preserve"> servidor</w:t>
      </w:r>
      <w:r>
        <w:rPr>
          <w:rFonts w:ascii="Verdana" w:eastAsia="Century Gothic" w:hAnsi="Verdana" w:cs="Century Gothic"/>
          <w:lang w:val="es-CO"/>
        </w:rPr>
        <w:t>es</w:t>
      </w:r>
      <w:r w:rsidRPr="000D6242">
        <w:rPr>
          <w:rFonts w:ascii="Verdana" w:eastAsia="Century Gothic" w:hAnsi="Verdana" w:cs="Century Gothic"/>
          <w:lang w:val="es-CO"/>
        </w:rPr>
        <w:t xml:space="preserve"> público</w:t>
      </w:r>
      <w:r>
        <w:rPr>
          <w:rFonts w:ascii="Verdana" w:eastAsia="Century Gothic" w:hAnsi="Verdana" w:cs="Century Gothic"/>
          <w:lang w:val="es-CO"/>
        </w:rPr>
        <w:t xml:space="preserve">s, </w:t>
      </w:r>
      <w:r w:rsidRPr="000D6242">
        <w:rPr>
          <w:rFonts w:ascii="Verdana" w:eastAsia="Century Gothic" w:hAnsi="Verdana" w:cs="Century Gothic"/>
          <w:lang w:val="es-CO"/>
        </w:rPr>
        <w:t xml:space="preserve">celebrar convenios o contratos </w:t>
      </w:r>
      <w:r w:rsidR="0004613B" w:rsidRPr="000D6242">
        <w:rPr>
          <w:rFonts w:ascii="Verdana" w:eastAsia="Century Gothic" w:hAnsi="Verdana" w:cs="Century Gothic"/>
          <w:lang w:val="es-CO"/>
        </w:rPr>
        <w:t xml:space="preserve">con </w:t>
      </w:r>
      <w:r w:rsidR="00592246">
        <w:rPr>
          <w:rFonts w:ascii="Verdana" w:eastAsia="Century Gothic" w:hAnsi="Verdana" w:cs="Century Gothic"/>
          <w:lang w:val="es-CO"/>
        </w:rPr>
        <w:t>Entidades</w:t>
      </w:r>
      <w:r w:rsidR="00592246" w:rsidRPr="000D6242">
        <w:rPr>
          <w:rFonts w:ascii="Verdana" w:eastAsia="Century Gothic" w:hAnsi="Verdana" w:cs="Century Gothic"/>
          <w:lang w:val="es-CO"/>
        </w:rPr>
        <w:t xml:space="preserve"> Pública</w:t>
      </w:r>
      <w:r w:rsidR="00592246">
        <w:rPr>
          <w:rFonts w:ascii="Verdana" w:eastAsia="Century Gothic" w:hAnsi="Verdana" w:cs="Century Gothic"/>
          <w:lang w:val="es-CO"/>
        </w:rPr>
        <w:t>s</w:t>
      </w:r>
      <w:r w:rsidRPr="00DF4493">
        <w:rPr>
          <w:rFonts w:ascii="Verdana" w:eastAsia="Century Gothic" w:hAnsi="Verdana" w:cs="Century Gothic"/>
        </w:rPr>
        <w:t xml:space="preserve">?  </w:t>
      </w:r>
    </w:p>
    <w:p w14:paraId="7E2BF12E" w14:textId="77777777" w:rsidR="00B01239" w:rsidRDefault="00B01239" w:rsidP="00B01239">
      <w:pPr>
        <w:pStyle w:val="Prrafodelista"/>
        <w:tabs>
          <w:tab w:val="left" w:pos="142"/>
          <w:tab w:val="left" w:pos="284"/>
        </w:tabs>
        <w:spacing w:after="0" w:line="276" w:lineRule="auto"/>
        <w:ind w:left="0"/>
        <w:jc w:val="both"/>
        <w:rPr>
          <w:rFonts w:ascii="Verdana" w:hAnsi="Verdana"/>
        </w:rPr>
      </w:pPr>
    </w:p>
    <w:bookmarkEnd w:id="7"/>
    <w:p w14:paraId="76D06B64" w14:textId="77777777" w:rsidR="00B01239" w:rsidRPr="00593A5F" w:rsidRDefault="00B01239" w:rsidP="00B0123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34B4DAEF" w14:textId="77777777" w:rsidR="00B01239" w:rsidRPr="00593A5F" w:rsidRDefault="00B01239" w:rsidP="00B0123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01239" w:rsidRPr="00593A5F" w14:paraId="61990665" w14:textId="77777777" w:rsidTr="0004622A">
        <w:tc>
          <w:tcPr>
            <w:tcW w:w="8828" w:type="dxa"/>
          </w:tcPr>
          <w:p w14:paraId="0F0226FE" w14:textId="77777777" w:rsidR="001B2087" w:rsidRDefault="001B2087" w:rsidP="001B2087">
            <w:pPr>
              <w:spacing w:after="120" w:line="276" w:lineRule="auto"/>
              <w:jc w:val="both"/>
              <w:rPr>
                <w:rFonts w:ascii="Verdana" w:eastAsia="Aptos" w:hAnsi="Verdana" w:cs="Arial"/>
                <w:shd w:val="clear" w:color="auto" w:fill="FFFFFF"/>
              </w:rPr>
            </w:pPr>
            <w:bookmarkStart w:id="8" w:name="_Hlk82170746"/>
            <w:r>
              <w:rPr>
                <w:rFonts w:ascii="Verdana" w:eastAsia="Calibri" w:hAnsi="Verdana" w:cs="Arial"/>
              </w:rPr>
              <w:t xml:space="preserve">Frente al problema jurídico planteado debe señalarse que, </w:t>
            </w:r>
            <w:r w:rsidRPr="00841E86">
              <w:rPr>
                <w:rFonts w:ascii="Verdana" w:eastAsia="Calibri" w:hAnsi="Verdana" w:cs="Arial"/>
              </w:rPr>
              <w:t xml:space="preserve">una ESAL es una persona jurídica capaz de ejercer derechos y contraer obligaciones, cuya finalidad es que sus utilidades o beneficios sean reinvertidos en el objeto social </w:t>
            </w:r>
            <w:r w:rsidRPr="00841E86">
              <w:rPr>
                <w:rFonts w:ascii="Verdana" w:eastAsia="Calibri" w:hAnsi="Verdana" w:cs="Arial"/>
              </w:rPr>
              <w:lastRenderedPageBreak/>
              <w:t xml:space="preserve">para el cual han sido creadas, es decir, la finalidad no es repartir las utilidades a sus miembros, llámese asociados, fundadores o cooperados. </w:t>
            </w:r>
            <w:r w:rsidRPr="00841E86">
              <w:rPr>
                <w:rFonts w:ascii="Verdana" w:eastAsia="Aptos" w:hAnsi="Verdana" w:cs="Arial"/>
                <w:shd w:val="clear" w:color="auto" w:fill="FFFFFF"/>
              </w:rPr>
              <w:t xml:space="preserve">Aunque las ESAL no tienen como objetivo la generación de utilidades, esto no les impide participar en contratos o actividades comerciales que generen ingresos, siempre y cuando estos se reinviertan en el cumplimiento de sus fines sociales y no se distribuyan entre sus miembros. </w:t>
            </w:r>
          </w:p>
          <w:p w14:paraId="609EA0BC" w14:textId="77777777" w:rsidR="001B2087" w:rsidRDefault="001B2087" w:rsidP="001B2087">
            <w:pPr>
              <w:pStyle w:val="Prrafodelista"/>
              <w:spacing w:after="120" w:line="276" w:lineRule="auto"/>
              <w:ind w:left="0" w:firstLine="709"/>
              <w:contextualSpacing w:val="0"/>
              <w:jc w:val="both"/>
              <w:rPr>
                <w:rFonts w:ascii="Verdana" w:eastAsia="Calibri" w:hAnsi="Verdana" w:cs="Arial"/>
              </w:rPr>
            </w:pPr>
            <w:r w:rsidRPr="001D4BE9">
              <w:rPr>
                <w:rFonts w:ascii="Verdana" w:eastAsia="Calibri" w:hAnsi="Verdana" w:cs="Arial"/>
              </w:rPr>
              <w:t xml:space="preserve">Por tanto, es claro que las ESAL tienen capacidad para contratar bajo las reglas del EGCAP al ser personas jurídicas consideradas legalmente capaces, en los términos del artículo 6 de la Ley 80 de 1993. </w:t>
            </w:r>
            <w:r>
              <w:rPr>
                <w:rFonts w:ascii="Verdana" w:eastAsia="Calibri" w:hAnsi="Verdana" w:cs="Arial"/>
              </w:rPr>
              <w:t>Incluso</w:t>
            </w:r>
            <w:r w:rsidRPr="001D4BE9">
              <w:rPr>
                <w:rFonts w:ascii="Verdana" w:eastAsia="Calibri" w:hAnsi="Verdana" w:cs="Arial"/>
              </w:rPr>
              <w:t>, el Decreto 092 de 2017 reguló un régimen especial de contratación</w:t>
            </w:r>
            <w:r>
              <w:rPr>
                <w:rFonts w:ascii="Verdana" w:eastAsia="Calibri" w:hAnsi="Verdana" w:cs="Arial"/>
              </w:rPr>
              <w:t xml:space="preserve"> con este tipo personas jurídicas. S</w:t>
            </w:r>
            <w:r w:rsidRPr="001D4BE9">
              <w:rPr>
                <w:rFonts w:ascii="Verdana" w:eastAsia="Calibri" w:hAnsi="Verdana" w:cs="Arial"/>
              </w:rPr>
              <w:t xml:space="preserve">in embargo, </w:t>
            </w:r>
            <w:r>
              <w:rPr>
                <w:rFonts w:ascii="Verdana" w:eastAsia="Calibri" w:hAnsi="Verdana" w:cs="Arial"/>
              </w:rPr>
              <w:t xml:space="preserve">es importante aclarar que </w:t>
            </w:r>
            <w:r w:rsidRPr="001D4BE9">
              <w:rPr>
                <w:rFonts w:ascii="Verdana" w:eastAsia="Calibri" w:hAnsi="Verdana" w:cs="Arial"/>
              </w:rPr>
              <w:t>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w:t>
            </w:r>
            <w:r>
              <w:rPr>
                <w:rFonts w:ascii="Verdana" w:eastAsia="Calibri" w:hAnsi="Verdana" w:cs="Arial"/>
              </w:rPr>
              <w:t xml:space="preserve"> tienen capacidad </w:t>
            </w:r>
            <w:proofErr w:type="spellStart"/>
            <w:r>
              <w:rPr>
                <w:rFonts w:ascii="Verdana" w:eastAsia="Calibri" w:hAnsi="Verdana" w:cs="Arial"/>
              </w:rPr>
              <w:t>juridica</w:t>
            </w:r>
            <w:proofErr w:type="spellEnd"/>
            <w:r>
              <w:rPr>
                <w:rFonts w:ascii="Verdana" w:eastAsia="Calibri" w:hAnsi="Verdana" w:cs="Arial"/>
              </w:rPr>
              <w:t xml:space="preserve"> para contratar con el Estado tanto en los procesos de selección </w:t>
            </w:r>
            <w:r w:rsidRPr="001D4BE9">
              <w:rPr>
                <w:rFonts w:ascii="Verdana" w:eastAsia="Calibri" w:hAnsi="Verdana" w:cs="Arial"/>
              </w:rPr>
              <w:t>regidos por las reglas del</w:t>
            </w:r>
            <w:r>
              <w:rPr>
                <w:rFonts w:ascii="Verdana" w:eastAsia="Calibri" w:hAnsi="Verdana" w:cs="Arial"/>
              </w:rPr>
              <w:t xml:space="preserve"> </w:t>
            </w:r>
            <w:r w:rsidRPr="001D4BE9">
              <w:rPr>
                <w:rFonts w:ascii="Verdana" w:eastAsia="Calibri" w:hAnsi="Verdana" w:cs="Arial"/>
              </w:rPr>
              <w:t>EGCAP, caso en el cual participan con las mismas reglas aplicables a los demás oferentes</w:t>
            </w:r>
            <w:r>
              <w:rPr>
                <w:rFonts w:ascii="Verdana" w:eastAsia="Calibri" w:hAnsi="Verdana" w:cs="Arial"/>
              </w:rPr>
              <w:t xml:space="preserve">, como a través de las figuras reguladas </w:t>
            </w:r>
            <w:r w:rsidRPr="001D4BE9">
              <w:rPr>
                <w:rFonts w:ascii="Verdana" w:eastAsia="Calibri" w:hAnsi="Verdana" w:cs="Arial"/>
              </w:rPr>
              <w:t>en el Decreto 092 de 2017</w:t>
            </w:r>
            <w:r>
              <w:rPr>
                <w:rFonts w:ascii="Verdana" w:eastAsia="Calibri" w:hAnsi="Verdana" w:cs="Arial"/>
              </w:rPr>
              <w:t>.</w:t>
            </w:r>
          </w:p>
          <w:p w14:paraId="40892A8F" w14:textId="77777777" w:rsidR="001B2087" w:rsidRDefault="001B2087" w:rsidP="001B2087">
            <w:pPr>
              <w:spacing w:after="120" w:line="276" w:lineRule="auto"/>
              <w:ind w:right="51" w:firstLine="709"/>
              <w:jc w:val="both"/>
              <w:rPr>
                <w:rFonts w:ascii="Verdana" w:eastAsia="Aptos" w:hAnsi="Verdana" w:cs="Arial"/>
                <w:shd w:val="clear" w:color="auto" w:fill="FFFFFF"/>
              </w:rPr>
            </w:pPr>
            <w:r>
              <w:rPr>
                <w:rFonts w:ascii="Verdana" w:eastAsia="Aptos" w:hAnsi="Verdana" w:cs="Arial"/>
                <w:shd w:val="clear" w:color="auto" w:fill="FFFFFF"/>
              </w:rPr>
              <w:t>Ahora bien, e</w:t>
            </w:r>
            <w:r w:rsidRPr="00176E0A">
              <w:rPr>
                <w:rFonts w:ascii="Verdana" w:eastAsia="Aptos" w:hAnsi="Verdana" w:cs="Arial"/>
                <w:shd w:val="clear" w:color="auto" w:fill="FFFFFF"/>
              </w:rPr>
              <w:t>l régimen de inhabilidades e incompatibilidades en materia de contratación estatal se encuentra dispuesto en el artículo 8 de la Ley 80 de 1993</w:t>
            </w:r>
            <w:r w:rsidRPr="00F26FFB">
              <w:rPr>
                <w:rFonts w:ascii="Verdana" w:eastAsia="Aptos" w:hAnsi="Verdana" w:cs="Arial"/>
                <w:i/>
                <w:iCs/>
                <w:shd w:val="clear" w:color="auto" w:fill="FFFFFF"/>
              </w:rPr>
              <w:t xml:space="preserve">. </w:t>
            </w:r>
            <w:r w:rsidRPr="00F26FFB">
              <w:rPr>
                <w:rFonts w:ascii="Verdana" w:eastAsia="Aptos" w:hAnsi="Verdana" w:cs="Arial"/>
                <w:shd w:val="clear" w:color="auto" w:fill="FFFFFF"/>
              </w:rPr>
              <w:t xml:space="preserve">En su </w:t>
            </w:r>
            <w:r>
              <w:rPr>
                <w:rFonts w:ascii="Verdana" w:eastAsia="Aptos" w:hAnsi="Verdana" w:cs="Arial"/>
                <w:shd w:val="clear" w:color="auto" w:fill="FFFFFF"/>
              </w:rPr>
              <w:t>literal d) del numeral 2 del artículo 8 de la Ley 80 de 1993, frente a la posibilidad de</w:t>
            </w:r>
            <w:r w:rsidRPr="00195B7F">
              <w:rPr>
                <w:rFonts w:ascii="Verdana" w:eastAsia="Aptos" w:hAnsi="Verdana" w:cs="Arial"/>
                <w:shd w:val="clear" w:color="auto" w:fill="FFFFFF"/>
              </w:rPr>
              <w:t xml:space="preserve"> participar en licitaciones o concursos </w:t>
            </w:r>
            <w:r>
              <w:rPr>
                <w:rFonts w:ascii="Verdana" w:eastAsia="Aptos" w:hAnsi="Verdana" w:cs="Arial"/>
                <w:shd w:val="clear" w:color="auto" w:fill="FFFFFF"/>
              </w:rPr>
              <w:t>con la misma entidad en donde el funcionario ejerce sus funciones, señala que son inhábiles para participar en procesos de selección, así como para celebrar contratos con Entidades Estatales: “L</w:t>
            </w:r>
            <w:r w:rsidRPr="00195B7F">
              <w:rPr>
                <w:rFonts w:ascii="Verdana" w:eastAsia="Aptos" w:hAnsi="Verdana" w:cs="Arial"/>
                <w:shd w:val="clear" w:color="auto" w:fill="FFFFFF"/>
              </w:rPr>
              <w:t>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Pr>
                <w:rFonts w:ascii="Verdana" w:eastAsia="Aptos" w:hAnsi="Verdana" w:cs="Arial"/>
                <w:shd w:val="clear" w:color="auto" w:fill="FFFFFF"/>
              </w:rPr>
              <w:t xml:space="preserve">”. </w:t>
            </w:r>
          </w:p>
          <w:p w14:paraId="693276C1" w14:textId="77777777" w:rsidR="001B2087" w:rsidRDefault="001B2087" w:rsidP="001B2087">
            <w:pPr>
              <w:pStyle w:val="Prrafodelista"/>
              <w:spacing w:after="120" w:line="276" w:lineRule="auto"/>
              <w:ind w:left="0" w:firstLine="709"/>
              <w:contextualSpacing w:val="0"/>
              <w:jc w:val="both"/>
              <w:rPr>
                <w:rFonts w:ascii="Verdana" w:eastAsia="Arial" w:hAnsi="Verdana" w:cs="Arial"/>
                <w:bCs/>
                <w:color w:val="000000" w:themeColor="text1"/>
              </w:rPr>
            </w:pPr>
            <w:r w:rsidRPr="00AD7FF6">
              <w:rPr>
                <w:rFonts w:ascii="Verdana" w:eastAsia="Arial" w:hAnsi="Verdana" w:cs="Arial"/>
                <w:bCs/>
                <w:color w:val="000000" w:themeColor="text1"/>
              </w:rPr>
              <w:t xml:space="preserve">Con base en lo expuesto, se concluye que, si bien las ESAL pueden participar en procesos de contratación con el Estado siempre que cumplan los requisitos legales y reglamentarios, dicha posibilidad se ve limitada cuando en </w:t>
            </w:r>
            <w:r w:rsidRPr="00AD7FF6">
              <w:rPr>
                <w:rFonts w:ascii="Verdana" w:eastAsia="Arial" w:hAnsi="Verdana" w:cs="Arial"/>
                <w:bCs/>
                <w:color w:val="000000" w:themeColor="text1"/>
              </w:rPr>
              <w:lastRenderedPageBreak/>
              <w:t>su junta directiva participan servidores públicos que ostentan cargos de dirección, o manejo en la Entidad Estatal con la cual se pretende contratar. En estos casos, conforme a lo dispuesto en literales d)</w:t>
            </w:r>
            <w:r>
              <w:rPr>
                <w:rFonts w:ascii="Verdana" w:eastAsia="Arial" w:hAnsi="Verdana" w:cs="Arial"/>
                <w:bCs/>
                <w:color w:val="000000" w:themeColor="text1"/>
              </w:rPr>
              <w:t xml:space="preserve"> </w:t>
            </w:r>
            <w:r w:rsidRPr="00AD7FF6">
              <w:rPr>
                <w:rFonts w:ascii="Verdana" w:eastAsia="Arial" w:hAnsi="Verdana" w:cs="Arial"/>
                <w:bCs/>
                <w:color w:val="000000" w:themeColor="text1"/>
              </w:rPr>
              <w:t>del artículo 8 de la Ley 80 de 1993, se configura una inhabilidad e incompatibilidad que impide la celebración del contrato, en tanto se busca evitar el favorecimiento indebido, el conflicto de intereses y garantizar los principios de transparencia, moralidad y selección objetiva que rigen la contratación estatal</w:t>
            </w:r>
            <w:r>
              <w:rPr>
                <w:rFonts w:ascii="Verdana" w:eastAsia="Arial" w:hAnsi="Verdana" w:cs="Arial"/>
                <w:bCs/>
                <w:color w:val="000000" w:themeColor="text1"/>
              </w:rPr>
              <w:t>.</w:t>
            </w:r>
          </w:p>
          <w:p w14:paraId="5002BCE7" w14:textId="77777777" w:rsidR="001B2087" w:rsidRPr="00841E86" w:rsidRDefault="001B2087" w:rsidP="001B2087">
            <w:pPr>
              <w:pStyle w:val="Prrafodelista"/>
              <w:spacing w:after="120" w:line="276" w:lineRule="auto"/>
              <w:ind w:left="0" w:firstLine="709"/>
              <w:contextualSpacing w:val="0"/>
              <w:jc w:val="both"/>
              <w:rPr>
                <w:rFonts w:ascii="Verdana" w:eastAsia="Arial" w:hAnsi="Verdana" w:cs="Arial"/>
                <w:bCs/>
                <w:color w:val="000000" w:themeColor="text1"/>
              </w:rPr>
            </w:pPr>
            <w:r w:rsidRPr="00841E86">
              <w:rPr>
                <w:rFonts w:ascii="Verdana" w:eastAsia="Arial" w:hAnsi="Verdana" w:cs="Arial"/>
                <w:bCs/>
                <w:color w:val="000000" w:themeColor="text1"/>
              </w:rPr>
              <w:t xml:space="preserve">Es importante precisar que dicha inhabilidad aplica tanto para participar en los procesos regidos por el Estatuto General de Contratación de la Administración Pública, como en los procesos regidos por el Decreto 092 de 2017. Este último en la medida que el artículo 6 del Decreto 092 de 2017 hace una remisión Leyes 80 de 1993, 1150 de 2007 y 1474 de 2011 para los efectos de las prohibiciones, inhabilidades e incompatibilidades aplicables a la contratación regida por dicho cuerpo normativo. </w:t>
            </w:r>
          </w:p>
          <w:bookmarkEnd w:id="8"/>
          <w:p w14:paraId="51C6FAFD" w14:textId="35908AA3" w:rsidR="00B01239" w:rsidRDefault="00B01239" w:rsidP="00B35422">
            <w:pPr>
              <w:spacing w:after="120" w:line="276" w:lineRule="auto"/>
              <w:ind w:firstLine="284"/>
              <w:jc w:val="both"/>
            </w:pPr>
            <w:r>
              <w:rPr>
                <w:rFonts w:ascii="Verdana" w:eastAsia="Calibri" w:hAnsi="Verdana" w:cs="Arial"/>
                <w:lang w:val="es-ES" w:eastAsia="es-ES"/>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61D2732A" w14:textId="05235234" w:rsidR="00B01239" w:rsidRPr="00831CDD" w:rsidRDefault="00B01239" w:rsidP="00B35422">
            <w:pPr>
              <w:widowControl w:val="0"/>
              <w:spacing w:after="120" w:line="276" w:lineRule="auto"/>
              <w:jc w:val="both"/>
              <w:rPr>
                <w:rFonts w:ascii="Verdana" w:hAnsi="Verdana" w:cs="Arial"/>
                <w:bCs/>
                <w:color w:val="000000" w:themeColor="text1"/>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cs="Arial"/>
                <w:iCs/>
                <w:color w:val="000000" w:themeColor="text1"/>
              </w:rPr>
              <w:t xml:space="preserve">        </w:t>
            </w:r>
          </w:p>
        </w:tc>
      </w:tr>
    </w:tbl>
    <w:p w14:paraId="00DA5743" w14:textId="77777777" w:rsidR="00B01239" w:rsidRDefault="00B01239" w:rsidP="00CB37B1">
      <w:pPr>
        <w:tabs>
          <w:tab w:val="left" w:pos="142"/>
          <w:tab w:val="left" w:pos="284"/>
        </w:tabs>
        <w:spacing w:after="0" w:line="276" w:lineRule="auto"/>
        <w:jc w:val="both"/>
        <w:rPr>
          <w:rFonts w:ascii="Verdana" w:eastAsia="Century Gothic" w:hAnsi="Verdana" w:cs="Century Gothic"/>
          <w:b/>
          <w:bCs/>
          <w:lang w:val="es-ES"/>
        </w:rPr>
      </w:pPr>
    </w:p>
    <w:p w14:paraId="535268A0" w14:textId="77777777" w:rsidR="00B01239" w:rsidRDefault="00B01239" w:rsidP="00CB37B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B84A050" w14:textId="77777777" w:rsidR="00B01239" w:rsidRDefault="00B01239" w:rsidP="00CB37B1">
      <w:pPr>
        <w:pStyle w:val="Prrafodelista"/>
        <w:spacing w:after="0" w:line="276" w:lineRule="auto"/>
        <w:ind w:left="284"/>
        <w:jc w:val="both"/>
        <w:rPr>
          <w:rFonts w:ascii="Verdana" w:eastAsia="Calibri" w:hAnsi="Verdana" w:cs="Arial"/>
        </w:rPr>
      </w:pPr>
    </w:p>
    <w:p w14:paraId="4A06E85D" w14:textId="75FE6342" w:rsidR="00B01239" w:rsidRPr="00B715C6" w:rsidRDefault="00B01239" w:rsidP="00B35422">
      <w:pPr>
        <w:spacing w:after="120" w:line="276" w:lineRule="auto"/>
        <w:jc w:val="both"/>
        <w:rPr>
          <w:rFonts w:ascii="Verdana" w:eastAsia="Calibri" w:hAnsi="Verdana" w:cs="Arial"/>
        </w:rPr>
      </w:pPr>
      <w:r w:rsidRPr="00B715C6">
        <w:rPr>
          <w:rFonts w:ascii="Verdana" w:eastAsia="Calibri" w:hAnsi="Verdana" w:cs="Arial"/>
        </w:rPr>
        <w:t xml:space="preserve">Las </w:t>
      </w:r>
      <w:r w:rsidR="00923896">
        <w:rPr>
          <w:rFonts w:ascii="Verdana" w:eastAsia="Calibri" w:hAnsi="Verdana" w:cs="Arial"/>
        </w:rPr>
        <w:t>ESAL</w:t>
      </w:r>
      <w:r w:rsidRPr="00B715C6">
        <w:rPr>
          <w:rFonts w:ascii="Verdana" w:eastAsia="Calibri" w:hAnsi="Verdana" w:cs="Arial"/>
        </w:rPr>
        <w:t xml:space="preserve"> justifican su existencia en la medida que ayudan al Estado en el cumplimiento de las finalidades, esto es, servir a la comunidad, promover la prosperidad general y garantizar la efectividad de los principios, derechos y </w:t>
      </w:r>
      <w:r w:rsidRPr="00B715C6">
        <w:rPr>
          <w:rFonts w:ascii="Verdana" w:eastAsia="Calibri" w:hAnsi="Verdana" w:cs="Arial"/>
        </w:rPr>
        <w:lastRenderedPageBreak/>
        <w:t>deberes consagrados en la Constitución</w:t>
      </w:r>
      <w:r w:rsidR="00B86411">
        <w:rPr>
          <w:rFonts w:ascii="Verdana" w:eastAsia="Calibri" w:hAnsi="Verdana" w:cs="Arial"/>
        </w:rPr>
        <w:t>,</w:t>
      </w:r>
      <w:r w:rsidRPr="00B715C6">
        <w:rPr>
          <w:rFonts w:ascii="Verdana" w:eastAsia="Calibri" w:hAnsi="Verdana" w:cs="Arial"/>
        </w:rPr>
        <w:t xml:space="preserve"> facilitar la participación de todos en las decisiones que los afectan y en la vida económica, política, administrativa y cultural de la Nación</w:t>
      </w:r>
      <w:r w:rsidR="00B86411">
        <w:rPr>
          <w:rFonts w:ascii="Verdana" w:eastAsia="Calibri" w:hAnsi="Verdana" w:cs="Arial"/>
        </w:rPr>
        <w:t>,</w:t>
      </w:r>
      <w:r w:rsidRPr="00B715C6">
        <w:rPr>
          <w:rFonts w:ascii="Verdana" w:eastAsia="Calibri" w:hAnsi="Verdana" w:cs="Arial"/>
        </w:rPr>
        <w:t xml:space="preserve"> defender la independencia nacional, mantener la integridad territorial y asegurar la convivencia pacífica y la vigencia de un orden justo.</w:t>
      </w:r>
    </w:p>
    <w:p w14:paraId="4191B475" w14:textId="52007E8B" w:rsidR="00B01239" w:rsidRPr="00B715C6" w:rsidRDefault="00A12215" w:rsidP="00B01239">
      <w:pPr>
        <w:spacing w:after="0" w:line="276" w:lineRule="auto"/>
        <w:ind w:firstLine="426"/>
        <w:jc w:val="both"/>
        <w:rPr>
          <w:rFonts w:ascii="Verdana" w:eastAsia="Calibri" w:hAnsi="Verdana" w:cs="Arial"/>
        </w:rPr>
      </w:pPr>
      <w:r>
        <w:rPr>
          <w:rFonts w:ascii="Verdana" w:eastAsia="Calibri" w:hAnsi="Verdana" w:cs="Arial"/>
        </w:rPr>
        <w:tab/>
      </w:r>
      <w:r w:rsidR="00B01239" w:rsidRPr="00B715C6">
        <w:rPr>
          <w:rFonts w:ascii="Verdana" w:eastAsia="Calibri" w:hAnsi="Verdana" w:cs="Arial"/>
        </w:rPr>
        <w:t>El elemento característico de estas entidades es la ausencia de lucro, el cual está relacionado con que no haya una distribución o reparto de utilidades a sus miembros</w:t>
      </w:r>
      <w:r>
        <w:rPr>
          <w:rFonts w:ascii="Verdana" w:eastAsia="Calibri" w:hAnsi="Verdana" w:cs="Arial"/>
        </w:rPr>
        <w:t xml:space="preserve">. Al respecto, </w:t>
      </w:r>
      <w:r w:rsidR="00B01239" w:rsidRPr="00B715C6">
        <w:rPr>
          <w:rFonts w:ascii="Verdana" w:eastAsia="Calibri" w:hAnsi="Verdana" w:cs="Arial"/>
        </w:rPr>
        <w:t>el Consejo de Estado</w:t>
      </w:r>
      <w:r>
        <w:rPr>
          <w:rFonts w:ascii="Verdana" w:eastAsia="Calibri" w:hAnsi="Verdana" w:cs="Arial"/>
        </w:rPr>
        <w:t xml:space="preserve"> ha</w:t>
      </w:r>
      <w:r w:rsidR="00B01239" w:rsidRPr="00B715C6">
        <w:rPr>
          <w:rFonts w:ascii="Verdana" w:eastAsia="Calibri" w:hAnsi="Verdana" w:cs="Arial"/>
        </w:rPr>
        <w:t xml:space="preserve"> precisa</w:t>
      </w:r>
      <w:r>
        <w:rPr>
          <w:rFonts w:ascii="Verdana" w:eastAsia="Calibri" w:hAnsi="Verdana" w:cs="Arial"/>
        </w:rPr>
        <w:t>do</w:t>
      </w:r>
      <w:r w:rsidR="00B01239" w:rsidRPr="00B715C6">
        <w:rPr>
          <w:rFonts w:ascii="Verdana" w:eastAsia="Calibri" w:hAnsi="Verdana" w:cs="Arial"/>
        </w:rPr>
        <w:t>:</w:t>
      </w:r>
    </w:p>
    <w:p w14:paraId="0DC4BEC7" w14:textId="77777777" w:rsidR="00B01239" w:rsidRPr="001D4BE9" w:rsidRDefault="00B01239" w:rsidP="00B01239">
      <w:pPr>
        <w:spacing w:after="0" w:line="276" w:lineRule="auto"/>
        <w:ind w:left="720"/>
        <w:contextualSpacing/>
        <w:jc w:val="both"/>
        <w:rPr>
          <w:rFonts w:ascii="Verdana" w:eastAsia="Calibri" w:hAnsi="Verdana" w:cs="Arial"/>
        </w:rPr>
      </w:pPr>
    </w:p>
    <w:p w14:paraId="4FD79CB4" w14:textId="77777777" w:rsidR="00B01239" w:rsidRPr="00B715C6" w:rsidRDefault="00B01239" w:rsidP="00B35422">
      <w:pPr>
        <w:spacing w:after="0" w:line="240" w:lineRule="auto"/>
        <w:ind w:left="709" w:right="709"/>
        <w:jc w:val="both"/>
        <w:rPr>
          <w:rFonts w:ascii="Verdana" w:eastAsia="Calibri" w:hAnsi="Verdana" w:cs="Arial"/>
          <w:sz w:val="20"/>
          <w:szCs w:val="20"/>
        </w:rPr>
      </w:pPr>
      <w:r w:rsidRPr="00B715C6">
        <w:rPr>
          <w:rFonts w:ascii="Verdana" w:eastAsia="Calibri" w:hAnsi="Verdana" w:cs="Arial"/>
          <w:sz w:val="20"/>
          <w:szCs w:val="20"/>
        </w:rPr>
        <w:t>“El criterio de lucro o las finalidades de lucro no se relacionan, no pueden relacionarse a las utilidades obtenidas, sino a la destinación que se les dé. La estipulación o norma, que elimina los fines de lucro, es la que tiene como consecuencia, la de que los rendimientos o utilidades obtenidas no sean objeto de distribución o reparto entre socios o integrantes de la persona moral que las genera. Este criterio o concepto ha sido tradicionalmente concebido y respetado siempre.</w:t>
      </w:r>
      <w:r w:rsidRPr="00B715C6">
        <w:rPr>
          <w:rStyle w:val="Refdenotaalpie"/>
          <w:rFonts w:ascii="Verdana" w:eastAsia="Calibri" w:hAnsi="Verdana" w:cs="Arial"/>
          <w:sz w:val="20"/>
          <w:szCs w:val="20"/>
        </w:rPr>
        <w:footnoteReference w:id="1"/>
      </w:r>
      <w:r w:rsidRPr="00B715C6">
        <w:rPr>
          <w:rFonts w:ascii="Verdana" w:eastAsia="Calibri" w:hAnsi="Verdana" w:cs="Arial"/>
          <w:sz w:val="20"/>
          <w:szCs w:val="20"/>
        </w:rPr>
        <w:t xml:space="preserve">” </w:t>
      </w:r>
    </w:p>
    <w:p w14:paraId="1DA37903" w14:textId="77777777" w:rsidR="00B01239" w:rsidRDefault="00B01239" w:rsidP="00B01239">
      <w:pPr>
        <w:pStyle w:val="Prrafodelista"/>
        <w:spacing w:after="0" w:line="276" w:lineRule="auto"/>
        <w:ind w:left="0"/>
        <w:jc w:val="both"/>
        <w:rPr>
          <w:rFonts w:ascii="Verdana" w:eastAsia="Calibri" w:hAnsi="Verdana" w:cs="Arial"/>
        </w:rPr>
      </w:pPr>
    </w:p>
    <w:p w14:paraId="236636D7" w14:textId="4A002B30" w:rsidR="00B01239" w:rsidRDefault="00B01239" w:rsidP="00B35422">
      <w:pPr>
        <w:pStyle w:val="Prrafodelista"/>
        <w:spacing w:after="120" w:line="276" w:lineRule="auto"/>
        <w:ind w:left="0" w:firstLine="709"/>
        <w:contextualSpacing w:val="0"/>
        <w:jc w:val="both"/>
        <w:rPr>
          <w:rFonts w:ascii="Verdana" w:eastAsia="Calibri" w:hAnsi="Verdana" w:cs="Arial"/>
        </w:rPr>
      </w:pPr>
      <w:r w:rsidRPr="001D4BE9">
        <w:rPr>
          <w:rFonts w:ascii="Verdana" w:eastAsia="Calibri" w:hAnsi="Verdana" w:cs="Arial"/>
        </w:rPr>
        <w:t>Ahora bien, respecto a la capacidad de las ESAL de participar en los procesos de contratación pública del EGCAP, se debe aclarar que la capacidad jurídica es la aptitud que recae en los sujetos activos o pasivos de las relaciones jurídicas</w:t>
      </w:r>
      <w:r>
        <w:rPr>
          <w:rStyle w:val="Refdenotaalpie"/>
          <w:rFonts w:ascii="Verdana" w:eastAsia="Calibri" w:hAnsi="Verdana" w:cs="Arial"/>
        </w:rPr>
        <w:footnoteReference w:id="2"/>
      </w:r>
      <w:r w:rsidRPr="001D4BE9">
        <w:rPr>
          <w:rFonts w:ascii="Verdana" w:eastAsia="Calibri" w:hAnsi="Verdana" w:cs="Arial"/>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w:t>
      </w:r>
      <w:proofErr w:type="spellStart"/>
      <w:r w:rsidRPr="001D4BE9">
        <w:rPr>
          <w:rFonts w:ascii="Verdana" w:eastAsia="Calibri" w:hAnsi="Verdana" w:cs="Arial"/>
        </w:rPr>
        <w:t>ii</w:t>
      </w:r>
      <w:proofErr w:type="spellEnd"/>
      <w:r w:rsidRPr="001D4BE9">
        <w:rPr>
          <w:rFonts w:ascii="Verdana" w:eastAsia="Calibri" w:hAnsi="Verdana" w:cs="Arial"/>
        </w:rPr>
        <w:t>) de no estar incursa en inhabilidades o incompatibilidades que impiden la celebración del negocio.</w:t>
      </w:r>
      <w:r w:rsidR="00B14280">
        <w:rPr>
          <w:rFonts w:ascii="Verdana" w:eastAsia="Calibri" w:hAnsi="Verdana" w:cs="Arial"/>
        </w:rPr>
        <w:t xml:space="preserve"> Así las cosas, se procede a analizar cada un</w:t>
      </w:r>
      <w:r w:rsidR="00196E5D">
        <w:rPr>
          <w:rFonts w:ascii="Verdana" w:eastAsia="Calibri" w:hAnsi="Verdana" w:cs="Arial"/>
        </w:rPr>
        <w:t xml:space="preserve">o de estos aspectos para dar respuesta a la consulta. </w:t>
      </w:r>
    </w:p>
    <w:p w14:paraId="35A7CEEC" w14:textId="392A8A46" w:rsidR="00B01239" w:rsidRPr="001D4BE9" w:rsidRDefault="003A743E" w:rsidP="00B35422">
      <w:pPr>
        <w:pStyle w:val="Prrafodelista"/>
        <w:spacing w:after="120" w:line="276" w:lineRule="auto"/>
        <w:ind w:left="0" w:firstLine="709"/>
        <w:contextualSpacing w:val="0"/>
        <w:jc w:val="both"/>
        <w:rPr>
          <w:rFonts w:ascii="Verdana" w:eastAsia="Calibri" w:hAnsi="Verdana" w:cs="Arial"/>
        </w:rPr>
      </w:pPr>
      <w:r>
        <w:rPr>
          <w:rFonts w:ascii="Verdana" w:eastAsia="Calibri" w:hAnsi="Verdana" w:cs="Arial"/>
        </w:rPr>
        <w:t>En primer lugar, p</w:t>
      </w:r>
      <w:r w:rsidR="00B01239" w:rsidRPr="001D4BE9">
        <w:rPr>
          <w:rFonts w:ascii="Verdana" w:eastAsia="Calibri" w:hAnsi="Verdana" w:cs="Arial"/>
        </w:rPr>
        <w:t>ara efectos de la aplicación del EGCAP, la capacidad para contratar la tienen las personas consideradas legalmente capaces en las disposiciones vigentes</w:t>
      </w:r>
      <w:r w:rsidR="00B01239">
        <w:rPr>
          <w:rStyle w:val="Refdenotaalpie"/>
          <w:rFonts w:ascii="Verdana" w:eastAsia="Calibri" w:hAnsi="Verdana" w:cs="Arial"/>
        </w:rPr>
        <w:footnoteReference w:id="3"/>
      </w:r>
      <w:r w:rsidR="00B01239" w:rsidRPr="001D4BE9">
        <w:rPr>
          <w:rFonts w:ascii="Verdana" w:eastAsia="Calibri" w:hAnsi="Verdana" w:cs="Arial"/>
        </w:rPr>
        <w:t xml:space="preserve">, así como otras formas asociativas. De modo que, cuando se señala que las personas jurídicas tienen capacidad jurídica para contratar se hace referencia a la posibilidad que tienen para adelantar actividades en el marco de su objeto social, a las facultades que le han sido </w:t>
      </w:r>
      <w:r w:rsidR="00B01239" w:rsidRPr="001D4BE9">
        <w:rPr>
          <w:rFonts w:ascii="Verdana" w:eastAsia="Calibri" w:hAnsi="Verdana" w:cs="Arial"/>
        </w:rPr>
        <w:lastRenderedPageBreak/>
        <w:t>otorgadas al representante legal y a la ausencia de inhabilidades, incompatibilidades o prohibiciones para contratar, derivadas de la ley.</w:t>
      </w:r>
    </w:p>
    <w:p w14:paraId="3A0ECD29" w14:textId="3E1238B6" w:rsidR="00346218" w:rsidRDefault="00B01239" w:rsidP="006D3626">
      <w:pPr>
        <w:pStyle w:val="Prrafodelista"/>
        <w:spacing w:after="120" w:line="276" w:lineRule="auto"/>
        <w:ind w:left="0" w:firstLine="709"/>
        <w:contextualSpacing w:val="0"/>
        <w:jc w:val="both"/>
        <w:rPr>
          <w:rFonts w:ascii="Verdana" w:eastAsia="Calibri" w:hAnsi="Verdana" w:cs="Arial"/>
        </w:rPr>
      </w:pPr>
      <w:r w:rsidRPr="001D4BE9">
        <w:rPr>
          <w:rFonts w:ascii="Verdana" w:eastAsia="Calibri" w:hAnsi="Verdana" w:cs="Arial"/>
        </w:rPr>
        <w:t xml:space="preserve">Por tanto, es claro que las ESAL tienen capacidad para contratar bajo las reglas del EGCAP al ser personas jurídicas consideradas legalmente capaces, en los términos del artículo 6 de la Ley 80 de 1993. </w:t>
      </w:r>
      <w:r w:rsidR="00105408">
        <w:rPr>
          <w:rFonts w:ascii="Verdana" w:eastAsia="Calibri" w:hAnsi="Verdana" w:cs="Arial"/>
        </w:rPr>
        <w:t>Incluso</w:t>
      </w:r>
      <w:r w:rsidRPr="001D4BE9">
        <w:rPr>
          <w:rFonts w:ascii="Verdana" w:eastAsia="Calibri" w:hAnsi="Verdana" w:cs="Arial"/>
        </w:rPr>
        <w:t>, el Decreto 092 de 2017 reguló un régimen especial de contratación</w:t>
      </w:r>
      <w:r w:rsidR="00A26749">
        <w:rPr>
          <w:rFonts w:ascii="Verdana" w:eastAsia="Calibri" w:hAnsi="Verdana" w:cs="Arial"/>
        </w:rPr>
        <w:t xml:space="preserve"> con este tipo personas jurídicas. S</w:t>
      </w:r>
      <w:r w:rsidRPr="001D4BE9">
        <w:rPr>
          <w:rFonts w:ascii="Verdana" w:eastAsia="Calibri" w:hAnsi="Verdana" w:cs="Arial"/>
        </w:rPr>
        <w:t xml:space="preserve">in embargo, </w:t>
      </w:r>
      <w:r w:rsidR="00A26749">
        <w:rPr>
          <w:rFonts w:ascii="Verdana" w:eastAsia="Calibri" w:hAnsi="Verdana" w:cs="Arial"/>
        </w:rPr>
        <w:t xml:space="preserve">es importante aclarar que </w:t>
      </w:r>
      <w:r w:rsidRPr="001D4BE9">
        <w:rPr>
          <w:rFonts w:ascii="Verdana" w:eastAsia="Calibri" w:hAnsi="Verdana" w:cs="Arial"/>
        </w:rPr>
        <w:t>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w:t>
      </w:r>
      <w:r w:rsidR="00346218">
        <w:rPr>
          <w:rFonts w:ascii="Verdana" w:eastAsia="Calibri" w:hAnsi="Verdana" w:cs="Arial"/>
        </w:rPr>
        <w:t xml:space="preserve"> tienen capacidad </w:t>
      </w:r>
      <w:proofErr w:type="spellStart"/>
      <w:r w:rsidR="00346218">
        <w:rPr>
          <w:rFonts w:ascii="Verdana" w:eastAsia="Calibri" w:hAnsi="Verdana" w:cs="Arial"/>
        </w:rPr>
        <w:t>juridica</w:t>
      </w:r>
      <w:proofErr w:type="spellEnd"/>
      <w:r w:rsidR="00346218">
        <w:rPr>
          <w:rFonts w:ascii="Verdana" w:eastAsia="Calibri" w:hAnsi="Verdana" w:cs="Arial"/>
        </w:rPr>
        <w:t xml:space="preserve"> para contratar con el Estado</w:t>
      </w:r>
      <w:r w:rsidR="00E640C5">
        <w:rPr>
          <w:rFonts w:ascii="Verdana" w:eastAsia="Calibri" w:hAnsi="Verdana" w:cs="Arial"/>
        </w:rPr>
        <w:t xml:space="preserve"> tanto en los procesos de selección </w:t>
      </w:r>
      <w:r w:rsidR="00346218" w:rsidRPr="001D4BE9">
        <w:rPr>
          <w:rFonts w:ascii="Verdana" w:eastAsia="Calibri" w:hAnsi="Verdana" w:cs="Arial"/>
        </w:rPr>
        <w:t>regidos por las reglas del</w:t>
      </w:r>
      <w:r w:rsidR="00346218">
        <w:rPr>
          <w:rFonts w:ascii="Verdana" w:eastAsia="Calibri" w:hAnsi="Verdana" w:cs="Arial"/>
        </w:rPr>
        <w:t xml:space="preserve"> </w:t>
      </w:r>
      <w:r w:rsidR="00346218" w:rsidRPr="001D4BE9">
        <w:rPr>
          <w:rFonts w:ascii="Verdana" w:eastAsia="Calibri" w:hAnsi="Verdana" w:cs="Arial"/>
        </w:rPr>
        <w:t>EGCAP, caso en el cual participan con las mismas reglas aplicables a los demás oferentes</w:t>
      </w:r>
      <w:r w:rsidR="00E640C5">
        <w:rPr>
          <w:rFonts w:ascii="Verdana" w:eastAsia="Calibri" w:hAnsi="Verdana" w:cs="Arial"/>
        </w:rPr>
        <w:t xml:space="preserve">, como </w:t>
      </w:r>
      <w:r w:rsidR="00302606">
        <w:rPr>
          <w:rFonts w:ascii="Verdana" w:eastAsia="Calibri" w:hAnsi="Verdana" w:cs="Arial"/>
        </w:rPr>
        <w:t xml:space="preserve">a través de las figuras reguladas </w:t>
      </w:r>
      <w:r w:rsidR="00E640C5" w:rsidRPr="001D4BE9">
        <w:rPr>
          <w:rFonts w:ascii="Verdana" w:eastAsia="Calibri" w:hAnsi="Verdana" w:cs="Arial"/>
        </w:rPr>
        <w:t>en el Decreto 092 de 2017</w:t>
      </w:r>
      <w:r w:rsidR="00302606">
        <w:rPr>
          <w:rFonts w:ascii="Verdana" w:eastAsia="Calibri" w:hAnsi="Verdana" w:cs="Arial"/>
        </w:rPr>
        <w:t>.</w:t>
      </w:r>
    </w:p>
    <w:p w14:paraId="5F752D88" w14:textId="4B93FCF1" w:rsidR="00B01239" w:rsidRPr="008303CD" w:rsidRDefault="00B01239" w:rsidP="00B35422">
      <w:pPr>
        <w:pStyle w:val="Prrafodelista"/>
        <w:spacing w:after="120" w:line="276" w:lineRule="auto"/>
        <w:ind w:left="0" w:firstLine="709"/>
        <w:contextualSpacing w:val="0"/>
        <w:jc w:val="both"/>
        <w:rPr>
          <w:rFonts w:ascii="Verdana" w:eastAsia="Aptos" w:hAnsi="Verdana" w:cs="Arial"/>
          <w:shd w:val="clear" w:color="auto" w:fill="FFFFFF"/>
        </w:rPr>
      </w:pPr>
      <w:r w:rsidRPr="003518A7">
        <w:rPr>
          <w:rFonts w:ascii="Verdana" w:eastAsia="Calibri" w:hAnsi="Verdana" w:cs="Arial"/>
        </w:rPr>
        <w:t>Con fundamento a lo anterior,</w:t>
      </w:r>
      <w:r w:rsidR="002309DE">
        <w:rPr>
          <w:rFonts w:ascii="Verdana" w:eastAsia="Calibri" w:hAnsi="Verdana" w:cs="Arial"/>
        </w:rPr>
        <w:t xml:space="preserve"> se afirma que </w:t>
      </w:r>
      <w:r w:rsidRPr="003518A7">
        <w:rPr>
          <w:rFonts w:ascii="Verdana" w:eastAsia="Calibri" w:hAnsi="Verdana" w:cs="Arial"/>
        </w:rPr>
        <w:t xml:space="preserve">una </w:t>
      </w:r>
      <w:r w:rsidR="002309DE">
        <w:rPr>
          <w:rFonts w:ascii="Verdana" w:eastAsia="Calibri" w:hAnsi="Verdana" w:cs="Arial"/>
        </w:rPr>
        <w:t>ESAL es</w:t>
      </w:r>
      <w:r w:rsidRPr="003518A7">
        <w:rPr>
          <w:rFonts w:ascii="Verdana" w:eastAsia="Calibri" w:hAnsi="Verdana" w:cs="Arial"/>
        </w:rPr>
        <w:t xml:space="preserve"> una persona jurídica capaz de ejercer derechos y contraer obligaciones, cuya finalidad es que sus utilidades o beneficios sean reinvertidos en el objeto social para el cual han sido creadas, es decir, la finalidad no es repartir las utilidades a sus miembros, llámese asociados, fundadores o cooperados.</w:t>
      </w:r>
      <w:r w:rsidR="00730E38">
        <w:rPr>
          <w:rFonts w:ascii="Verdana" w:eastAsia="Calibri" w:hAnsi="Verdana" w:cs="Arial"/>
        </w:rPr>
        <w:t xml:space="preserve"> </w:t>
      </w:r>
      <w:r w:rsidR="00B6337B">
        <w:rPr>
          <w:rFonts w:ascii="Verdana" w:eastAsia="Aptos" w:hAnsi="Verdana" w:cs="Arial"/>
          <w:shd w:val="clear" w:color="auto" w:fill="FFFFFF"/>
        </w:rPr>
        <w:t>A</w:t>
      </w:r>
      <w:r w:rsidRPr="008303CD">
        <w:rPr>
          <w:rFonts w:ascii="Verdana" w:eastAsia="Aptos" w:hAnsi="Verdana" w:cs="Arial"/>
          <w:shd w:val="clear" w:color="auto" w:fill="FFFFFF"/>
        </w:rPr>
        <w:t>unque las ESAL no tienen como objetivo la generación de utilidades, esto no les impide participar en contratos o actividades comerciales que generen ingresos, siempre y cuando estos se reinviertan en el cumplimiento de sus fines sociales y no se distribuyan entre sus miembros</w:t>
      </w:r>
      <w:r w:rsidR="002167CC">
        <w:rPr>
          <w:rFonts w:ascii="Verdana" w:eastAsia="Aptos" w:hAnsi="Verdana" w:cs="Arial"/>
          <w:shd w:val="clear" w:color="auto" w:fill="FFFFFF"/>
        </w:rPr>
        <w:t xml:space="preserve">. </w:t>
      </w:r>
      <w:r w:rsidR="00350E74">
        <w:rPr>
          <w:rFonts w:ascii="Verdana" w:eastAsia="Aptos" w:hAnsi="Verdana" w:cs="Arial"/>
          <w:shd w:val="clear" w:color="auto" w:fill="FFFFFF"/>
        </w:rPr>
        <w:t>Así las cosas, se concluye que</w:t>
      </w:r>
      <w:r w:rsidR="002029A9">
        <w:rPr>
          <w:rFonts w:ascii="Verdana" w:eastAsia="Aptos" w:hAnsi="Verdana" w:cs="Arial"/>
          <w:shd w:val="clear" w:color="auto" w:fill="FFFFFF"/>
        </w:rPr>
        <w:t xml:space="preserve"> </w:t>
      </w:r>
      <w:r w:rsidR="00350E74">
        <w:rPr>
          <w:rFonts w:ascii="Verdana" w:eastAsia="Aptos" w:hAnsi="Verdana" w:cs="Arial"/>
          <w:shd w:val="clear" w:color="auto" w:fill="FFFFFF"/>
        </w:rPr>
        <w:t>las</w:t>
      </w:r>
      <w:r w:rsidRPr="008303CD">
        <w:rPr>
          <w:rFonts w:ascii="Verdana" w:eastAsia="Aptos" w:hAnsi="Verdana" w:cs="Arial"/>
          <w:shd w:val="clear" w:color="auto" w:fill="FFFFFF"/>
        </w:rPr>
        <w:t xml:space="preserve"> ESAL tienen capacidad jurídica para contratar</w:t>
      </w:r>
      <w:r w:rsidR="00350E74">
        <w:rPr>
          <w:rFonts w:ascii="Verdana" w:eastAsia="Aptos" w:hAnsi="Verdana" w:cs="Arial"/>
          <w:shd w:val="clear" w:color="auto" w:fill="FFFFFF"/>
        </w:rPr>
        <w:t xml:space="preserve"> con el Estado</w:t>
      </w:r>
      <w:r w:rsidRPr="008303CD">
        <w:rPr>
          <w:rFonts w:ascii="Verdana" w:eastAsia="Aptos" w:hAnsi="Verdana" w:cs="Arial"/>
          <w:shd w:val="clear" w:color="auto" w:fill="FFFFFF"/>
        </w:rPr>
        <w:t>, en el marco de su objeto social</w:t>
      </w:r>
      <w:r w:rsidR="00521A5F">
        <w:rPr>
          <w:rFonts w:ascii="Verdana" w:eastAsia="Aptos" w:hAnsi="Verdana" w:cs="Arial"/>
          <w:shd w:val="clear" w:color="auto" w:fill="FFFFFF"/>
        </w:rPr>
        <w:t>, conforme</w:t>
      </w:r>
      <w:r w:rsidRPr="008303CD">
        <w:rPr>
          <w:rFonts w:ascii="Verdana" w:eastAsia="Aptos" w:hAnsi="Verdana" w:cs="Arial"/>
          <w:shd w:val="clear" w:color="auto" w:fill="FFFFFF"/>
        </w:rPr>
        <w:t xml:space="preserve"> a las facultades que le han sido otorgadas al representante legal y a la ausencia de inhabilidades, incompatibilidades o prohibiciones para contratar, derivadas de la ley.</w:t>
      </w:r>
    </w:p>
    <w:p w14:paraId="70F291B8" w14:textId="45B10734" w:rsidR="00B01239" w:rsidRDefault="00C3628C" w:rsidP="00B35422">
      <w:pPr>
        <w:pStyle w:val="Prrafodelista"/>
        <w:spacing w:after="120" w:line="276" w:lineRule="auto"/>
        <w:ind w:left="0" w:firstLine="709"/>
        <w:contextualSpacing w:val="0"/>
        <w:jc w:val="both"/>
        <w:rPr>
          <w:rFonts w:ascii="Verdana" w:eastAsia="Calibri" w:hAnsi="Verdana" w:cs="Arial"/>
        </w:rPr>
      </w:pPr>
      <w:r>
        <w:rPr>
          <w:rFonts w:ascii="Verdana" w:eastAsia="Calibri" w:hAnsi="Verdana" w:cs="Arial"/>
        </w:rPr>
        <w:t>En segundo lugar</w:t>
      </w:r>
      <w:r w:rsidR="00B01239" w:rsidRPr="003518A7">
        <w:rPr>
          <w:rFonts w:ascii="Verdana" w:eastAsia="Calibri" w:hAnsi="Verdana" w:cs="Arial"/>
        </w:rPr>
        <w:t>,</w:t>
      </w:r>
      <w:r>
        <w:rPr>
          <w:rFonts w:ascii="Verdana" w:eastAsia="Calibri" w:hAnsi="Verdana" w:cs="Arial"/>
        </w:rPr>
        <w:t xml:space="preserve"> teniendo en cuenta que uno de los presupuestos de la capacidad </w:t>
      </w:r>
      <w:proofErr w:type="spellStart"/>
      <w:r>
        <w:rPr>
          <w:rFonts w:ascii="Verdana" w:eastAsia="Calibri" w:hAnsi="Verdana" w:cs="Arial"/>
        </w:rPr>
        <w:t>juridica</w:t>
      </w:r>
      <w:proofErr w:type="spellEnd"/>
      <w:r>
        <w:rPr>
          <w:rFonts w:ascii="Verdana" w:eastAsia="Calibri" w:hAnsi="Verdana" w:cs="Arial"/>
        </w:rPr>
        <w:t xml:space="preserve"> para contratar con el Estado es la ausencia de inhabilidades e incompatibilidades, </w:t>
      </w:r>
      <w:r w:rsidR="000009F2">
        <w:rPr>
          <w:rFonts w:ascii="Verdana" w:eastAsia="Calibri" w:hAnsi="Verdana" w:cs="Arial"/>
        </w:rPr>
        <w:t>se procede a analizar el régimen que las rige. Las inhabilidades o incompatibilidades</w:t>
      </w:r>
      <w:r w:rsidR="00B01239" w:rsidRPr="003518A7">
        <w:rPr>
          <w:rFonts w:ascii="Verdana" w:eastAsia="Calibri" w:hAnsi="Verdana" w:cs="Arial"/>
        </w:rPr>
        <w:t xml:space="preserve">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0679D117" w14:textId="6E9C579A" w:rsidR="00E86C47" w:rsidRPr="00B35422" w:rsidRDefault="00552BA6" w:rsidP="00E86C47">
      <w:pPr>
        <w:pStyle w:val="Prrafodelista"/>
        <w:spacing w:after="120" w:line="276" w:lineRule="auto"/>
        <w:ind w:left="0" w:firstLine="709"/>
        <w:contextualSpacing w:val="0"/>
        <w:jc w:val="both"/>
        <w:rPr>
          <w:rFonts w:ascii="Verdana" w:eastAsia="Aptos" w:hAnsi="Verdana" w:cs="Arial"/>
          <w:shd w:val="clear" w:color="auto" w:fill="FFFFFF"/>
        </w:rPr>
      </w:pPr>
      <w:r w:rsidRPr="008303CD">
        <w:rPr>
          <w:rFonts w:ascii="Verdana" w:eastAsia="Aptos" w:hAnsi="Verdana" w:cs="Arial"/>
          <w:shd w:val="clear" w:color="auto" w:fill="FFFFFF"/>
        </w:rPr>
        <w:lastRenderedPageBreak/>
        <w:t>En este orden de ideas, las inhabilidades para contratar con el Estado son un conjunto de restricciones establecidas por el constituyente o el legislador, que afectan directamente la capacidad de las personas para establecer relaciones contractuales con el Estado, que pueden resultar de condenas, sanciones o situaciones previamente establecidas por el ordenamiento jurídico.</w:t>
      </w:r>
      <w:r w:rsidR="00E86C47">
        <w:rPr>
          <w:rFonts w:ascii="Verdana" w:eastAsia="Aptos" w:hAnsi="Verdana" w:cs="Arial"/>
          <w:shd w:val="clear" w:color="auto" w:fill="FFFFFF"/>
        </w:rPr>
        <w:t xml:space="preserve"> L</w:t>
      </w:r>
      <w:r w:rsidR="00E86C47" w:rsidRPr="003518A7">
        <w:rPr>
          <w:rFonts w:ascii="Verdana" w:eastAsia="Calibri" w:hAnsi="Verdana" w:cs="Arial"/>
        </w:rPr>
        <w:t>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00E86C47">
        <w:rPr>
          <w:rStyle w:val="Refdenotaalpie"/>
          <w:rFonts w:ascii="Verdana" w:eastAsia="Calibri" w:hAnsi="Verdana" w:cs="Arial"/>
        </w:rPr>
        <w:footnoteReference w:id="4"/>
      </w:r>
      <w:r w:rsidR="00E86C47" w:rsidRPr="003518A7">
        <w:rPr>
          <w:rFonts w:ascii="Verdana" w:eastAsia="Calibri" w:hAnsi="Verdana" w:cs="Arial"/>
        </w:rPr>
        <w:t>.</w:t>
      </w:r>
    </w:p>
    <w:p w14:paraId="79EDDF12" w14:textId="77777777" w:rsidR="00B01239" w:rsidRPr="003518A7" w:rsidRDefault="00B01239" w:rsidP="00B35422">
      <w:pPr>
        <w:pStyle w:val="Prrafodelista"/>
        <w:spacing w:after="0" w:line="276" w:lineRule="auto"/>
        <w:ind w:left="0" w:firstLine="709"/>
        <w:contextualSpacing w:val="0"/>
        <w:jc w:val="both"/>
        <w:rPr>
          <w:rFonts w:ascii="Verdana" w:eastAsia="Calibri" w:hAnsi="Verdana" w:cs="Arial"/>
        </w:rPr>
      </w:pPr>
      <w:r w:rsidRPr="003518A7">
        <w:rPr>
          <w:rFonts w:ascii="Verdana" w:eastAsia="Calibri" w:hAnsi="Verdana" w:cs="Arial"/>
        </w:rPr>
        <w:t>Se puede afirmar que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w:t>
      </w:r>
    </w:p>
    <w:p w14:paraId="3593B837" w14:textId="77777777" w:rsidR="00B01239" w:rsidRPr="001D4BE9" w:rsidRDefault="00B01239" w:rsidP="00B01239">
      <w:pPr>
        <w:spacing w:after="0" w:line="276" w:lineRule="auto"/>
        <w:contextualSpacing/>
        <w:jc w:val="both"/>
        <w:rPr>
          <w:rFonts w:ascii="Verdana" w:eastAsia="Calibri" w:hAnsi="Verdana" w:cs="Arial"/>
        </w:rPr>
      </w:pPr>
    </w:p>
    <w:p w14:paraId="7F0EE76D" w14:textId="77777777" w:rsidR="00B01239" w:rsidRPr="00B715C6" w:rsidRDefault="00B01239" w:rsidP="00B35422">
      <w:pPr>
        <w:spacing w:after="0" w:line="276" w:lineRule="auto"/>
        <w:ind w:left="709" w:right="709"/>
        <w:contextualSpacing/>
        <w:jc w:val="both"/>
        <w:rPr>
          <w:rFonts w:ascii="Verdana" w:eastAsia="Calibri" w:hAnsi="Verdana" w:cs="Arial"/>
          <w:sz w:val="20"/>
          <w:szCs w:val="20"/>
        </w:rPr>
      </w:pPr>
      <w:r w:rsidRPr="00B715C6">
        <w:rPr>
          <w:rFonts w:ascii="Verdana" w:eastAsia="Calibri" w:hAnsi="Verdana" w:cs="Arial"/>
          <w:sz w:val="20"/>
          <w:szCs w:val="20"/>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79D12B71" w14:textId="77777777" w:rsidR="00B01239" w:rsidRPr="001D4BE9" w:rsidRDefault="00B01239" w:rsidP="00B01239">
      <w:pPr>
        <w:spacing w:after="0" w:line="276" w:lineRule="auto"/>
        <w:contextualSpacing/>
        <w:jc w:val="both"/>
        <w:rPr>
          <w:rFonts w:ascii="Verdana" w:eastAsia="Calibri" w:hAnsi="Verdana" w:cs="Arial"/>
        </w:rPr>
      </w:pPr>
    </w:p>
    <w:p w14:paraId="687C8F26" w14:textId="27C27DEA" w:rsidR="00B01239" w:rsidRDefault="00B01239" w:rsidP="00B35422">
      <w:pPr>
        <w:spacing w:after="120" w:line="276" w:lineRule="auto"/>
        <w:ind w:firstLine="567"/>
        <w:jc w:val="both"/>
        <w:rPr>
          <w:rFonts w:ascii="Verdana" w:eastAsia="Calibri" w:hAnsi="Verdana" w:cs="Arial"/>
        </w:rPr>
      </w:pPr>
      <w:r w:rsidRPr="001D4BE9">
        <w:rPr>
          <w:rFonts w:ascii="Verdana" w:eastAsia="Calibri" w:hAnsi="Verdana" w:cs="Arial"/>
        </w:rPr>
        <w:t xml:space="preserve">El carácter reconocidamente taxativo y restrictivo de este régimen,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w:t>
      </w:r>
      <w:r w:rsidRPr="001D4BE9">
        <w:rPr>
          <w:rFonts w:ascii="Verdana" w:eastAsia="Calibri" w:hAnsi="Verdana" w:cs="Arial"/>
        </w:rPr>
        <w:lastRenderedPageBreak/>
        <w:t>restringir, en ese caso, el derecho a la igualdad y el reconocimiento de la personalidad jurídica de las personas que resultan rechazadas del ámbito contractual del Estado.”</w:t>
      </w:r>
      <w:r>
        <w:rPr>
          <w:rStyle w:val="Refdenotaalpie"/>
          <w:rFonts w:ascii="Verdana" w:eastAsia="Calibri" w:hAnsi="Verdana" w:cs="Arial"/>
        </w:rPr>
        <w:footnoteReference w:id="5"/>
      </w:r>
    </w:p>
    <w:p w14:paraId="67751177" w14:textId="77777777" w:rsidR="00B01239" w:rsidRPr="003518A7" w:rsidRDefault="00B01239" w:rsidP="00B35422">
      <w:pPr>
        <w:pStyle w:val="Prrafodelista"/>
        <w:spacing w:after="120" w:line="276" w:lineRule="auto"/>
        <w:ind w:left="0" w:firstLine="567"/>
        <w:contextualSpacing w:val="0"/>
        <w:jc w:val="both"/>
        <w:rPr>
          <w:rFonts w:ascii="Verdana" w:eastAsia="Calibri" w:hAnsi="Verdana" w:cs="Arial"/>
        </w:rPr>
      </w:pPr>
      <w:r w:rsidRPr="003518A7">
        <w:rPr>
          <w:rFonts w:ascii="Verdana" w:eastAsia="Calibri" w:hAnsi="Verdana" w:cs="Arial"/>
        </w:rPr>
        <w:t>Ahora bien, las inhabilidades e incompatibilidades al ser restricciones o límites especiales a la capacidad para presentar ofertas y celebrar contratos estatales, solo pueden tipificarse en la ley –o sea, deben satisfacer el principio de legalidad – y su interpretación debe ser restrictiva ,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 Tal ha sido la postura de la jurisprudencia, tanto de la Corte Constitucional como de la Sección Tercera del Consejo de Estado.</w:t>
      </w:r>
    </w:p>
    <w:p w14:paraId="112BF732" w14:textId="77777777" w:rsidR="00B01239" w:rsidRDefault="00B01239" w:rsidP="00B35422">
      <w:pPr>
        <w:pStyle w:val="Prrafodelista"/>
        <w:spacing w:after="120" w:line="276" w:lineRule="auto"/>
        <w:ind w:left="0" w:firstLine="567"/>
        <w:contextualSpacing w:val="0"/>
        <w:jc w:val="both"/>
        <w:rPr>
          <w:rFonts w:ascii="Verdana" w:eastAsia="Calibri" w:hAnsi="Verdana" w:cs="Arial"/>
        </w:rPr>
      </w:pPr>
      <w:r w:rsidRPr="003518A7">
        <w:rPr>
          <w:rFonts w:ascii="Verdana" w:eastAsia="Calibri" w:hAnsi="Verdana" w:cs="Arial"/>
        </w:rPr>
        <w:t xml:space="preserve">En efecto, el máximo tribunal constitucional ha indicado que, al tratar de precisar el sentido de este tipo de normas, […] </w:t>
      </w:r>
      <w:r>
        <w:rPr>
          <w:rFonts w:ascii="Verdana" w:eastAsia="Calibri" w:hAnsi="Verdana" w:cs="Arial"/>
        </w:rPr>
        <w:t>“</w:t>
      </w:r>
      <w:r w:rsidRPr="003518A7">
        <w:rPr>
          <w:rFonts w:ascii="Verdana" w:eastAsia="Calibri" w:hAnsi="Verdana" w:cs="Arial"/>
        </w:rPr>
        <w:t>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Pr>
          <w:rFonts w:ascii="Verdana" w:eastAsia="Calibri" w:hAnsi="Verdana" w:cs="Arial"/>
        </w:rPr>
        <w:t>”</w:t>
      </w:r>
      <w:r>
        <w:rPr>
          <w:rStyle w:val="Refdenotaalpie"/>
          <w:rFonts w:ascii="Verdana" w:eastAsia="Calibri" w:hAnsi="Verdana" w:cs="Arial"/>
        </w:rPr>
        <w:footnoteReference w:id="6"/>
      </w:r>
      <w:r w:rsidRPr="003518A7">
        <w:rPr>
          <w:rFonts w:ascii="Verdana" w:eastAsia="Calibri" w:hAnsi="Verdana" w:cs="Arial"/>
        </w:rPr>
        <w:t>.</w:t>
      </w:r>
    </w:p>
    <w:p w14:paraId="2DBD5D6E" w14:textId="6B654250" w:rsidR="00B01239" w:rsidRDefault="00B01239" w:rsidP="00DF77A7">
      <w:pPr>
        <w:pStyle w:val="Prrafodelista"/>
        <w:spacing w:after="0" w:line="276" w:lineRule="auto"/>
        <w:ind w:left="0" w:firstLine="567"/>
        <w:contextualSpacing w:val="0"/>
        <w:jc w:val="both"/>
        <w:rPr>
          <w:rFonts w:ascii="Verdana" w:hAnsi="Verdana"/>
        </w:rPr>
      </w:pPr>
      <w:r w:rsidRPr="003518A7">
        <w:rPr>
          <w:rFonts w:ascii="Verdana" w:hAnsi="Verdana"/>
        </w:rPr>
        <w:t xml:space="preserve">Por su parte, el Consejo de Estado ha acogido también este criterio, considerando –como expresa la Sala de Consulta y Servicio Civil–, que </w:t>
      </w:r>
      <w:r>
        <w:rPr>
          <w:rFonts w:ascii="Verdana" w:hAnsi="Verdana"/>
        </w:rPr>
        <w:t>“</w:t>
      </w:r>
      <w:r w:rsidRPr="003518A7">
        <w:rPr>
          <w:rFonts w:ascii="Verdana" w:hAnsi="Verdana"/>
        </w:rPr>
        <w:t>La interpretación</w:t>
      </w:r>
      <w:r w:rsidRPr="003518A7">
        <w:rPr>
          <w:rFonts w:ascii="Verdana" w:hAnsi="Verdana"/>
          <w:spacing w:val="-1"/>
        </w:rPr>
        <w:t xml:space="preserve"> </w:t>
      </w:r>
      <w:r w:rsidRPr="003518A7">
        <w:rPr>
          <w:rFonts w:ascii="Verdana" w:hAnsi="Verdana"/>
        </w:rPr>
        <w:t>restrictiva</w:t>
      </w:r>
      <w:r w:rsidRPr="003518A7">
        <w:rPr>
          <w:rFonts w:ascii="Verdana" w:hAnsi="Verdana"/>
          <w:spacing w:val="-3"/>
        </w:rPr>
        <w:t xml:space="preserve"> </w:t>
      </w:r>
      <w:r w:rsidRPr="003518A7">
        <w:rPr>
          <w:rFonts w:ascii="Verdana" w:hAnsi="Verdana"/>
        </w:rPr>
        <w:t>de</w:t>
      </w:r>
      <w:r w:rsidRPr="003518A7">
        <w:rPr>
          <w:rFonts w:ascii="Verdana" w:hAnsi="Verdana"/>
          <w:spacing w:val="-6"/>
        </w:rPr>
        <w:t xml:space="preserve"> </w:t>
      </w:r>
      <w:r w:rsidRPr="003518A7">
        <w:rPr>
          <w:rFonts w:ascii="Verdana" w:hAnsi="Verdana"/>
        </w:rPr>
        <w:t>las</w:t>
      </w:r>
      <w:r w:rsidRPr="003518A7">
        <w:rPr>
          <w:rFonts w:ascii="Verdana" w:hAnsi="Verdana"/>
          <w:spacing w:val="-5"/>
        </w:rPr>
        <w:t xml:space="preserve"> </w:t>
      </w:r>
      <w:r w:rsidRPr="003518A7">
        <w:rPr>
          <w:rFonts w:ascii="Verdana" w:hAnsi="Verdana"/>
        </w:rPr>
        <w:t>normas</w:t>
      </w:r>
      <w:r w:rsidRPr="003518A7">
        <w:rPr>
          <w:rFonts w:ascii="Verdana" w:hAnsi="Verdana"/>
          <w:spacing w:val="-4"/>
        </w:rPr>
        <w:t xml:space="preserve"> </w:t>
      </w:r>
      <w:r w:rsidRPr="003518A7">
        <w:rPr>
          <w:rFonts w:ascii="Verdana" w:hAnsi="Verdana"/>
        </w:rPr>
        <w:t>que</w:t>
      </w:r>
      <w:r w:rsidRPr="003518A7">
        <w:rPr>
          <w:rFonts w:ascii="Verdana" w:hAnsi="Verdana"/>
          <w:spacing w:val="-5"/>
        </w:rPr>
        <w:t xml:space="preserve"> </w:t>
      </w:r>
      <w:r w:rsidRPr="003518A7">
        <w:rPr>
          <w:rFonts w:ascii="Verdana" w:hAnsi="Verdana"/>
        </w:rPr>
        <w:t>establecen</w:t>
      </w:r>
      <w:r w:rsidRPr="003518A7">
        <w:rPr>
          <w:rFonts w:ascii="Verdana" w:hAnsi="Verdana"/>
          <w:spacing w:val="-3"/>
        </w:rPr>
        <w:t xml:space="preserve"> </w:t>
      </w:r>
      <w:r w:rsidRPr="003518A7">
        <w:rPr>
          <w:rFonts w:ascii="Verdana" w:hAnsi="Verdana"/>
        </w:rPr>
        <w:t>inhabilidades</w:t>
      </w:r>
      <w:r w:rsidRPr="003518A7">
        <w:rPr>
          <w:rFonts w:ascii="Verdana" w:hAnsi="Verdana"/>
          <w:spacing w:val="-3"/>
        </w:rPr>
        <w:t xml:space="preserve"> </w:t>
      </w:r>
      <w:r w:rsidRPr="003518A7">
        <w:rPr>
          <w:rFonts w:ascii="Verdana" w:hAnsi="Verdana"/>
        </w:rPr>
        <w:t>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Pr>
          <w:rFonts w:ascii="Verdana" w:hAnsi="Verdana"/>
        </w:rPr>
        <w:t>”</w:t>
      </w:r>
      <w:r w:rsidRPr="003518A7">
        <w:rPr>
          <w:rFonts w:ascii="Verdana" w:hAnsi="Verdana"/>
        </w:rPr>
        <w:t>. En tal sentido, la Sección Tercera ha señalado que:</w:t>
      </w:r>
    </w:p>
    <w:p w14:paraId="4471E89B" w14:textId="77777777" w:rsidR="00DF77A7" w:rsidRPr="003518A7" w:rsidRDefault="00DF77A7" w:rsidP="00B35422">
      <w:pPr>
        <w:pStyle w:val="Prrafodelista"/>
        <w:spacing w:after="0" w:line="276" w:lineRule="auto"/>
        <w:ind w:left="0" w:firstLine="567"/>
        <w:contextualSpacing w:val="0"/>
        <w:jc w:val="both"/>
        <w:rPr>
          <w:rFonts w:ascii="Verdana" w:eastAsia="Calibri" w:hAnsi="Verdana" w:cs="Arial"/>
        </w:rPr>
      </w:pPr>
    </w:p>
    <w:p w14:paraId="54B6015A" w14:textId="77777777" w:rsidR="00B01239" w:rsidRDefault="00B01239" w:rsidP="00DF77A7">
      <w:pPr>
        <w:spacing w:after="0" w:line="240" w:lineRule="auto"/>
        <w:ind w:left="709" w:right="709"/>
        <w:jc w:val="both"/>
        <w:rPr>
          <w:rFonts w:ascii="Verdana" w:hAnsi="Verdana"/>
          <w:sz w:val="20"/>
          <w:szCs w:val="20"/>
        </w:rPr>
      </w:pPr>
      <w:r w:rsidRPr="00B715C6">
        <w:rPr>
          <w:rFonts w:ascii="Verdana" w:hAnsi="Verdana"/>
          <w:sz w:val="20"/>
          <w:szCs w:val="20"/>
        </w:rPr>
        <w:t xml:space="preserve">“[…] de conformidad con la jurisprudencia uniforme y reiterada de esta Corporación, la aplicación de las normas que contemplan inhabilidades e incompatibilidades, como en general de todas aquellas que comportan prohibiciones o limitaciones, deben responder a una interpretación </w:t>
      </w:r>
      <w:r w:rsidRPr="00B715C6">
        <w:rPr>
          <w:rFonts w:ascii="Verdana" w:hAnsi="Verdana"/>
          <w:sz w:val="20"/>
          <w:szCs w:val="20"/>
        </w:rPr>
        <w:lastRenderedPageBreak/>
        <w:t>restrictiva que</w:t>
      </w:r>
      <w:r w:rsidRPr="00B715C6">
        <w:rPr>
          <w:rFonts w:ascii="Verdana" w:hAnsi="Verdana"/>
          <w:spacing w:val="-12"/>
          <w:sz w:val="20"/>
          <w:szCs w:val="20"/>
        </w:rPr>
        <w:t xml:space="preserve"> </w:t>
      </w:r>
      <w:r w:rsidRPr="00B715C6">
        <w:rPr>
          <w:rFonts w:ascii="Verdana" w:hAnsi="Verdana"/>
          <w:sz w:val="20"/>
          <w:szCs w:val="20"/>
        </w:rPr>
        <w:t>no</w:t>
      </w:r>
      <w:r w:rsidRPr="00B715C6">
        <w:rPr>
          <w:rFonts w:ascii="Verdana" w:hAnsi="Verdana"/>
          <w:spacing w:val="-12"/>
          <w:sz w:val="20"/>
          <w:szCs w:val="20"/>
        </w:rPr>
        <w:t xml:space="preserve"> </w:t>
      </w:r>
      <w:r w:rsidRPr="00B715C6">
        <w:rPr>
          <w:rFonts w:ascii="Verdana" w:hAnsi="Verdana"/>
          <w:sz w:val="20"/>
          <w:szCs w:val="20"/>
        </w:rPr>
        <w:t>permite</w:t>
      </w:r>
      <w:r w:rsidRPr="00B715C6">
        <w:rPr>
          <w:rFonts w:ascii="Verdana" w:hAnsi="Verdana"/>
          <w:spacing w:val="-11"/>
          <w:sz w:val="20"/>
          <w:szCs w:val="20"/>
        </w:rPr>
        <w:t xml:space="preserve"> </w:t>
      </w:r>
      <w:r w:rsidRPr="00B715C6">
        <w:rPr>
          <w:rFonts w:ascii="Verdana" w:hAnsi="Verdana"/>
          <w:sz w:val="20"/>
          <w:szCs w:val="20"/>
        </w:rPr>
        <w:t>su</w:t>
      </w:r>
      <w:r w:rsidRPr="00B715C6">
        <w:rPr>
          <w:rFonts w:ascii="Verdana" w:hAnsi="Verdana"/>
          <w:spacing w:val="-12"/>
          <w:sz w:val="20"/>
          <w:szCs w:val="20"/>
        </w:rPr>
        <w:t xml:space="preserve"> </w:t>
      </w:r>
      <w:r w:rsidRPr="00B715C6">
        <w:rPr>
          <w:rFonts w:ascii="Verdana" w:hAnsi="Verdana"/>
          <w:sz w:val="20"/>
          <w:szCs w:val="20"/>
        </w:rPr>
        <w:t>extensión,</w:t>
      </w:r>
      <w:r w:rsidRPr="00B715C6">
        <w:rPr>
          <w:rFonts w:ascii="Verdana" w:hAnsi="Verdana"/>
          <w:spacing w:val="-9"/>
          <w:sz w:val="20"/>
          <w:szCs w:val="20"/>
        </w:rPr>
        <w:t xml:space="preserve"> </w:t>
      </w:r>
      <w:r w:rsidRPr="00B715C6">
        <w:rPr>
          <w:rFonts w:ascii="Verdana" w:hAnsi="Verdana"/>
          <w:sz w:val="20"/>
          <w:szCs w:val="20"/>
        </w:rPr>
        <w:t>por</w:t>
      </w:r>
      <w:r w:rsidRPr="00B715C6">
        <w:rPr>
          <w:rFonts w:ascii="Verdana" w:hAnsi="Verdana"/>
          <w:spacing w:val="-12"/>
          <w:sz w:val="20"/>
          <w:szCs w:val="20"/>
        </w:rPr>
        <w:t xml:space="preserve"> </w:t>
      </w:r>
      <w:r w:rsidRPr="00B715C6">
        <w:rPr>
          <w:rFonts w:ascii="Verdana" w:hAnsi="Verdana"/>
          <w:sz w:val="20"/>
          <w:szCs w:val="20"/>
        </w:rPr>
        <w:t>vía</w:t>
      </w:r>
      <w:r w:rsidRPr="00B715C6">
        <w:rPr>
          <w:rFonts w:ascii="Verdana" w:hAnsi="Verdana"/>
          <w:spacing w:val="-12"/>
          <w:sz w:val="20"/>
          <w:szCs w:val="20"/>
        </w:rPr>
        <w:t xml:space="preserve"> </w:t>
      </w:r>
      <w:r w:rsidRPr="00B715C6">
        <w:rPr>
          <w:rFonts w:ascii="Verdana" w:hAnsi="Verdana"/>
          <w:sz w:val="20"/>
          <w:szCs w:val="20"/>
        </w:rPr>
        <w:t>de</w:t>
      </w:r>
      <w:r w:rsidRPr="00B715C6">
        <w:rPr>
          <w:rFonts w:ascii="Verdana" w:hAnsi="Verdana"/>
          <w:spacing w:val="-12"/>
          <w:sz w:val="20"/>
          <w:szCs w:val="20"/>
        </w:rPr>
        <w:t xml:space="preserve"> </w:t>
      </w:r>
      <w:r w:rsidRPr="00B715C6">
        <w:rPr>
          <w:rFonts w:ascii="Verdana" w:hAnsi="Verdana"/>
          <w:sz w:val="20"/>
          <w:szCs w:val="20"/>
        </w:rPr>
        <w:t>la</w:t>
      </w:r>
      <w:r w:rsidRPr="00B715C6">
        <w:rPr>
          <w:rFonts w:ascii="Verdana" w:hAnsi="Verdana"/>
          <w:spacing w:val="-12"/>
          <w:sz w:val="20"/>
          <w:szCs w:val="20"/>
        </w:rPr>
        <w:t xml:space="preserve"> </w:t>
      </w:r>
      <w:r w:rsidRPr="00B715C6">
        <w:rPr>
          <w:rFonts w:ascii="Verdana" w:hAnsi="Verdana"/>
          <w:sz w:val="20"/>
          <w:szCs w:val="20"/>
        </w:rPr>
        <w:t>figura</w:t>
      </w:r>
      <w:r w:rsidRPr="00B715C6">
        <w:rPr>
          <w:rFonts w:ascii="Verdana" w:hAnsi="Verdana"/>
          <w:spacing w:val="-11"/>
          <w:sz w:val="20"/>
          <w:szCs w:val="20"/>
        </w:rPr>
        <w:t xml:space="preserve"> </w:t>
      </w:r>
      <w:r w:rsidRPr="00B715C6">
        <w:rPr>
          <w:rFonts w:ascii="Verdana" w:hAnsi="Verdana"/>
          <w:sz w:val="20"/>
          <w:szCs w:val="20"/>
        </w:rPr>
        <w:t>de</w:t>
      </w:r>
      <w:r w:rsidRPr="00B715C6">
        <w:rPr>
          <w:rFonts w:ascii="Verdana" w:hAnsi="Verdana"/>
          <w:spacing w:val="-12"/>
          <w:sz w:val="20"/>
          <w:szCs w:val="20"/>
        </w:rPr>
        <w:t xml:space="preserve"> </w:t>
      </w:r>
      <w:r w:rsidRPr="00B715C6">
        <w:rPr>
          <w:rFonts w:ascii="Verdana" w:hAnsi="Verdana"/>
          <w:sz w:val="20"/>
          <w:szCs w:val="20"/>
        </w:rPr>
        <w:t>la</w:t>
      </w:r>
      <w:r w:rsidRPr="00B715C6">
        <w:rPr>
          <w:rFonts w:ascii="Verdana" w:hAnsi="Verdana"/>
          <w:spacing w:val="-12"/>
          <w:sz w:val="20"/>
          <w:szCs w:val="20"/>
        </w:rPr>
        <w:t xml:space="preserve"> </w:t>
      </w:r>
      <w:r w:rsidRPr="00B715C6">
        <w:rPr>
          <w:rFonts w:ascii="Verdana" w:hAnsi="Verdana"/>
          <w:sz w:val="20"/>
          <w:szCs w:val="20"/>
        </w:rPr>
        <w:t>analogía,</w:t>
      </w:r>
      <w:r w:rsidRPr="00B715C6">
        <w:rPr>
          <w:rFonts w:ascii="Verdana" w:hAnsi="Verdana"/>
          <w:spacing w:val="-10"/>
          <w:sz w:val="20"/>
          <w:szCs w:val="20"/>
        </w:rPr>
        <w:t xml:space="preserve"> </w:t>
      </w:r>
      <w:r w:rsidRPr="00B715C6">
        <w:rPr>
          <w:rFonts w:ascii="Verdana" w:hAnsi="Verdana"/>
          <w:sz w:val="20"/>
          <w:szCs w:val="20"/>
        </w:rPr>
        <w:t>a</w:t>
      </w:r>
      <w:r w:rsidRPr="00B715C6">
        <w:rPr>
          <w:rFonts w:ascii="Verdana" w:hAnsi="Verdana"/>
          <w:spacing w:val="-12"/>
          <w:sz w:val="20"/>
          <w:szCs w:val="20"/>
        </w:rPr>
        <w:t xml:space="preserve"> </w:t>
      </w:r>
      <w:r w:rsidRPr="00B715C6">
        <w:rPr>
          <w:rFonts w:ascii="Verdana" w:hAnsi="Verdana"/>
          <w:sz w:val="20"/>
          <w:szCs w:val="20"/>
        </w:rPr>
        <w:t>supuestos</w:t>
      </w:r>
      <w:r w:rsidRPr="00B715C6">
        <w:rPr>
          <w:rFonts w:ascii="Verdana" w:hAnsi="Verdana"/>
          <w:spacing w:val="-10"/>
          <w:sz w:val="20"/>
          <w:szCs w:val="20"/>
        </w:rPr>
        <w:t xml:space="preserve"> </w:t>
      </w:r>
      <w:r w:rsidRPr="00B715C6">
        <w:rPr>
          <w:rFonts w:ascii="Verdana" w:hAnsi="Verdana"/>
          <w:sz w:val="20"/>
          <w:szCs w:val="20"/>
        </w:rPr>
        <w:t>no contemplados por el ordenamiento.</w:t>
      </w:r>
      <w:r w:rsidRPr="00B715C6">
        <w:rPr>
          <w:rStyle w:val="Refdenotaalpie"/>
          <w:rFonts w:ascii="Verdana" w:hAnsi="Verdana"/>
          <w:sz w:val="20"/>
          <w:szCs w:val="20"/>
        </w:rPr>
        <w:footnoteReference w:id="7"/>
      </w:r>
      <w:r w:rsidRPr="00B715C6">
        <w:rPr>
          <w:rFonts w:ascii="Verdana" w:hAnsi="Verdana"/>
          <w:sz w:val="20"/>
          <w:szCs w:val="20"/>
        </w:rPr>
        <w:t>”</w:t>
      </w:r>
    </w:p>
    <w:p w14:paraId="56964F10" w14:textId="77777777" w:rsidR="00DF77A7" w:rsidRPr="00B35422" w:rsidRDefault="00DF77A7" w:rsidP="00B35422">
      <w:pPr>
        <w:spacing w:after="0" w:line="276" w:lineRule="auto"/>
        <w:ind w:left="709" w:right="709"/>
        <w:jc w:val="both"/>
        <w:rPr>
          <w:rFonts w:ascii="Verdana" w:hAnsi="Verdana"/>
        </w:rPr>
      </w:pPr>
    </w:p>
    <w:p w14:paraId="029BF27C" w14:textId="572F96EA" w:rsidR="00434A94" w:rsidRDefault="00E53E3D" w:rsidP="00B35422">
      <w:pPr>
        <w:spacing w:after="120" w:line="276" w:lineRule="auto"/>
        <w:ind w:right="51" w:firstLine="709"/>
        <w:jc w:val="both"/>
        <w:rPr>
          <w:rFonts w:ascii="Verdana" w:eastAsia="Aptos" w:hAnsi="Verdana" w:cs="Arial"/>
          <w:shd w:val="clear" w:color="auto" w:fill="FFFFFF"/>
        </w:rPr>
      </w:pPr>
      <w:r w:rsidRPr="00176E0A">
        <w:rPr>
          <w:rFonts w:ascii="Verdana" w:eastAsia="Aptos" w:hAnsi="Verdana" w:cs="Arial"/>
          <w:shd w:val="clear" w:color="auto" w:fill="FFFFFF"/>
        </w:rPr>
        <w:t>E</w:t>
      </w:r>
      <w:r w:rsidR="00C67E72" w:rsidRPr="00176E0A">
        <w:rPr>
          <w:rFonts w:ascii="Verdana" w:eastAsia="Aptos" w:hAnsi="Verdana" w:cs="Arial"/>
          <w:shd w:val="clear" w:color="auto" w:fill="FFFFFF"/>
        </w:rPr>
        <w:t>l</w:t>
      </w:r>
      <w:r w:rsidR="00176E0A" w:rsidRPr="00176E0A">
        <w:rPr>
          <w:rFonts w:ascii="Verdana" w:eastAsia="Aptos" w:hAnsi="Verdana" w:cs="Arial"/>
          <w:shd w:val="clear" w:color="auto" w:fill="FFFFFF"/>
        </w:rPr>
        <w:t xml:space="preserve"> </w:t>
      </w:r>
      <w:r w:rsidR="00C67E72" w:rsidRPr="00176E0A">
        <w:rPr>
          <w:rFonts w:ascii="Verdana" w:eastAsia="Aptos" w:hAnsi="Verdana" w:cs="Arial"/>
          <w:shd w:val="clear" w:color="auto" w:fill="FFFFFF"/>
        </w:rPr>
        <w:t xml:space="preserve">régimen de </w:t>
      </w:r>
      <w:r w:rsidR="00BD095A" w:rsidRPr="00176E0A">
        <w:rPr>
          <w:rFonts w:ascii="Verdana" w:eastAsia="Aptos" w:hAnsi="Verdana" w:cs="Arial"/>
          <w:shd w:val="clear" w:color="auto" w:fill="FFFFFF"/>
        </w:rPr>
        <w:t>inhabilidades</w:t>
      </w:r>
      <w:r w:rsidR="00C67E72" w:rsidRPr="00176E0A">
        <w:rPr>
          <w:rFonts w:ascii="Verdana" w:eastAsia="Aptos" w:hAnsi="Verdana" w:cs="Arial"/>
          <w:shd w:val="clear" w:color="auto" w:fill="FFFFFF"/>
        </w:rPr>
        <w:t xml:space="preserve"> e</w:t>
      </w:r>
      <w:r w:rsidRPr="00176E0A">
        <w:rPr>
          <w:rFonts w:ascii="Verdana" w:eastAsia="Aptos" w:hAnsi="Verdana" w:cs="Arial"/>
          <w:shd w:val="clear" w:color="auto" w:fill="FFFFFF"/>
        </w:rPr>
        <w:t xml:space="preserve"> incompatibilidades en materia de contratación estatal se encuentra dispuesto en el artículo 8 de la Ley 80 de 1993</w:t>
      </w:r>
      <w:r w:rsidR="00176E0A" w:rsidRPr="00B35422">
        <w:rPr>
          <w:rFonts w:ascii="Verdana" w:eastAsia="Aptos" w:hAnsi="Verdana" w:cs="Arial"/>
          <w:i/>
          <w:iCs/>
          <w:shd w:val="clear" w:color="auto" w:fill="FFFFFF"/>
        </w:rPr>
        <w:t xml:space="preserve">. </w:t>
      </w:r>
      <w:r w:rsidR="00176E0A" w:rsidRPr="00B35422">
        <w:rPr>
          <w:rFonts w:ascii="Verdana" w:eastAsia="Aptos" w:hAnsi="Verdana" w:cs="Arial"/>
          <w:shd w:val="clear" w:color="auto" w:fill="FFFFFF"/>
        </w:rPr>
        <w:t xml:space="preserve">En su </w:t>
      </w:r>
      <w:r w:rsidR="00B01239">
        <w:rPr>
          <w:rFonts w:ascii="Verdana" w:eastAsia="Aptos" w:hAnsi="Verdana" w:cs="Arial"/>
          <w:shd w:val="clear" w:color="auto" w:fill="FFFFFF"/>
        </w:rPr>
        <w:t xml:space="preserve">literal </w:t>
      </w:r>
      <w:r w:rsidR="00176E0A">
        <w:rPr>
          <w:rFonts w:ascii="Verdana" w:eastAsia="Aptos" w:hAnsi="Verdana" w:cs="Arial"/>
          <w:shd w:val="clear" w:color="auto" w:fill="FFFFFF"/>
        </w:rPr>
        <w:t>d</w:t>
      </w:r>
      <w:r w:rsidR="00B01239">
        <w:rPr>
          <w:rFonts w:ascii="Verdana" w:eastAsia="Aptos" w:hAnsi="Verdana" w:cs="Arial"/>
          <w:shd w:val="clear" w:color="auto" w:fill="FFFFFF"/>
        </w:rPr>
        <w:t>) del numeral 2 del artículo 8 de la Ley 80 de 1993, frente a la posibilidad de</w:t>
      </w:r>
      <w:r w:rsidR="00B01239" w:rsidRPr="00195B7F">
        <w:rPr>
          <w:rFonts w:ascii="Verdana" w:eastAsia="Aptos" w:hAnsi="Verdana" w:cs="Arial"/>
          <w:shd w:val="clear" w:color="auto" w:fill="FFFFFF"/>
        </w:rPr>
        <w:t xml:space="preserve"> participar en licitaciones o concursos </w:t>
      </w:r>
      <w:r w:rsidR="00B01239">
        <w:rPr>
          <w:rFonts w:ascii="Verdana" w:eastAsia="Aptos" w:hAnsi="Verdana" w:cs="Arial"/>
          <w:shd w:val="clear" w:color="auto" w:fill="FFFFFF"/>
        </w:rPr>
        <w:t xml:space="preserve">con la misma entidad en donde el funcionario ejerce sus funciones, señala que son inhábiles para participar en procesos de selección, así como para celebrar contratos con </w:t>
      </w:r>
      <w:r w:rsidR="002400B7">
        <w:rPr>
          <w:rFonts w:ascii="Verdana" w:eastAsia="Aptos" w:hAnsi="Verdana" w:cs="Arial"/>
          <w:shd w:val="clear" w:color="auto" w:fill="FFFFFF"/>
        </w:rPr>
        <w:t>Entidades Estatales</w:t>
      </w:r>
      <w:r w:rsidR="00A8524C">
        <w:rPr>
          <w:rFonts w:ascii="Verdana" w:eastAsia="Aptos" w:hAnsi="Verdana" w:cs="Arial"/>
          <w:shd w:val="clear" w:color="auto" w:fill="FFFFFF"/>
        </w:rPr>
        <w:t>:</w:t>
      </w:r>
      <w:r w:rsidR="002400B7">
        <w:rPr>
          <w:rFonts w:ascii="Verdana" w:eastAsia="Aptos" w:hAnsi="Verdana" w:cs="Arial"/>
          <w:shd w:val="clear" w:color="auto" w:fill="FFFFFF"/>
        </w:rPr>
        <w:t xml:space="preserve"> </w:t>
      </w:r>
      <w:r w:rsidR="00A8524C">
        <w:rPr>
          <w:rFonts w:ascii="Verdana" w:eastAsia="Aptos" w:hAnsi="Verdana" w:cs="Arial"/>
          <w:shd w:val="clear" w:color="auto" w:fill="FFFFFF"/>
        </w:rPr>
        <w:t>“L</w:t>
      </w:r>
      <w:r w:rsidR="00B01239" w:rsidRPr="00195B7F">
        <w:rPr>
          <w:rFonts w:ascii="Verdana" w:eastAsia="Aptos" w:hAnsi="Verdana" w:cs="Arial"/>
          <w:shd w:val="clear" w:color="auto" w:fill="FFFFFF"/>
        </w:rPr>
        <w:t>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 tenga participación o desempeñe cargos de dirección o manejo</w:t>
      </w:r>
      <w:r w:rsidR="00434A94">
        <w:rPr>
          <w:rFonts w:ascii="Verdana" w:eastAsia="Aptos" w:hAnsi="Verdana" w:cs="Arial"/>
          <w:shd w:val="clear" w:color="auto" w:fill="FFFFFF"/>
        </w:rPr>
        <w:t xml:space="preserve">”. </w:t>
      </w:r>
    </w:p>
    <w:p w14:paraId="7ADD72D7" w14:textId="7CB7D2E9" w:rsidR="00B01239" w:rsidRDefault="00B01239" w:rsidP="009A2950">
      <w:pPr>
        <w:pStyle w:val="Prrafodelista"/>
        <w:spacing w:after="120" w:line="276" w:lineRule="auto"/>
        <w:ind w:left="0" w:firstLine="709"/>
        <w:contextualSpacing w:val="0"/>
        <w:jc w:val="both"/>
        <w:rPr>
          <w:rFonts w:ascii="Verdana" w:eastAsia="Arial" w:hAnsi="Verdana" w:cs="Arial"/>
          <w:bCs/>
          <w:color w:val="000000" w:themeColor="text1"/>
        </w:rPr>
      </w:pPr>
      <w:r w:rsidRPr="00AD7FF6">
        <w:rPr>
          <w:rFonts w:ascii="Verdana" w:eastAsia="Arial" w:hAnsi="Verdana" w:cs="Arial"/>
          <w:bCs/>
          <w:color w:val="000000" w:themeColor="text1"/>
        </w:rPr>
        <w:t xml:space="preserve">Con base en lo expuesto, se concluye que, si bien las ESAL pueden participar en procesos de contratación con el Estado siempre que cumplan los requisitos legales y reglamentarios, dicha posibilidad se ve limitada cuando en su junta directiva participan servidores públicos que ostentan cargos de dirección, o manejo en la </w:t>
      </w:r>
      <w:r w:rsidR="00DE0BB7" w:rsidRPr="00AD7FF6">
        <w:rPr>
          <w:rFonts w:ascii="Verdana" w:eastAsia="Arial" w:hAnsi="Verdana" w:cs="Arial"/>
          <w:bCs/>
          <w:color w:val="000000" w:themeColor="text1"/>
        </w:rPr>
        <w:t xml:space="preserve">Entidad Estatal </w:t>
      </w:r>
      <w:r w:rsidRPr="00AD7FF6">
        <w:rPr>
          <w:rFonts w:ascii="Verdana" w:eastAsia="Arial" w:hAnsi="Verdana" w:cs="Arial"/>
          <w:bCs/>
          <w:color w:val="000000" w:themeColor="text1"/>
        </w:rPr>
        <w:t>con la cual se pretende contratar. En estos casos, conforme a lo dispuesto en literales d)</w:t>
      </w:r>
      <w:r w:rsidR="00860F59">
        <w:rPr>
          <w:rFonts w:ascii="Verdana" w:eastAsia="Arial" w:hAnsi="Verdana" w:cs="Arial"/>
          <w:bCs/>
          <w:color w:val="000000" w:themeColor="text1"/>
        </w:rPr>
        <w:t xml:space="preserve"> </w:t>
      </w:r>
      <w:r w:rsidRPr="00AD7FF6">
        <w:rPr>
          <w:rFonts w:ascii="Verdana" w:eastAsia="Arial" w:hAnsi="Verdana" w:cs="Arial"/>
          <w:bCs/>
          <w:color w:val="000000" w:themeColor="text1"/>
        </w:rPr>
        <w:t>del artículo 8 de la Ley 80 de 1993, se configura una inhabilidad e incompatibilidad que impide la celebración del contrato, en tanto se busca evitar el favorecimiento indebido, el conflicto de intereses y garantizar los principios de transparencia, moralidad y selección objetiva que rigen la contratación estatal</w:t>
      </w:r>
      <w:r>
        <w:rPr>
          <w:rFonts w:ascii="Verdana" w:eastAsia="Arial" w:hAnsi="Verdana" w:cs="Arial"/>
          <w:bCs/>
          <w:color w:val="000000" w:themeColor="text1"/>
        </w:rPr>
        <w:t>.</w:t>
      </w:r>
    </w:p>
    <w:p w14:paraId="544ACAE0" w14:textId="347387BC" w:rsidR="00860F59" w:rsidRDefault="00860F59" w:rsidP="00B35422">
      <w:pPr>
        <w:pStyle w:val="Prrafodelista"/>
        <w:spacing w:after="120" w:line="276" w:lineRule="auto"/>
        <w:ind w:left="0" w:firstLine="709"/>
        <w:contextualSpacing w:val="0"/>
        <w:jc w:val="both"/>
        <w:rPr>
          <w:rFonts w:ascii="Verdana" w:eastAsia="Arial" w:hAnsi="Verdana" w:cs="Arial"/>
          <w:bCs/>
          <w:color w:val="000000" w:themeColor="text1"/>
        </w:rPr>
      </w:pPr>
      <w:r>
        <w:rPr>
          <w:rFonts w:ascii="Verdana" w:eastAsia="Arial" w:hAnsi="Verdana" w:cs="Arial"/>
          <w:bCs/>
          <w:color w:val="000000" w:themeColor="text1"/>
        </w:rPr>
        <w:t xml:space="preserve">Es importante precisar que dicha inhabilidad aplica tanto para participar en los procesos regidos por el Estatuto General de Contratación de la Administración Pública, como en los procesos regidos por el Decreto 092 de 2017. Este </w:t>
      </w:r>
      <w:r w:rsidR="00DD5B1E">
        <w:rPr>
          <w:rFonts w:ascii="Verdana" w:eastAsia="Arial" w:hAnsi="Verdana" w:cs="Arial"/>
          <w:bCs/>
          <w:color w:val="000000" w:themeColor="text1"/>
        </w:rPr>
        <w:t>último</w:t>
      </w:r>
      <w:r>
        <w:rPr>
          <w:rFonts w:ascii="Verdana" w:eastAsia="Arial" w:hAnsi="Verdana" w:cs="Arial"/>
          <w:bCs/>
          <w:color w:val="000000" w:themeColor="text1"/>
        </w:rPr>
        <w:t xml:space="preserve"> en la medida que el artículo </w:t>
      </w:r>
      <w:r w:rsidR="006E098C">
        <w:rPr>
          <w:rFonts w:ascii="Verdana" w:eastAsia="Arial" w:hAnsi="Verdana" w:cs="Arial"/>
          <w:bCs/>
          <w:color w:val="000000" w:themeColor="text1"/>
        </w:rPr>
        <w:t>6 del Decreto 092 de 2017</w:t>
      </w:r>
      <w:r w:rsidR="00DD5B1E">
        <w:rPr>
          <w:rStyle w:val="Refdenotaalpie"/>
          <w:rFonts w:ascii="Verdana" w:eastAsia="Arial" w:hAnsi="Verdana" w:cs="Arial"/>
          <w:bCs/>
          <w:color w:val="000000" w:themeColor="text1"/>
        </w:rPr>
        <w:footnoteReference w:id="8"/>
      </w:r>
      <w:r w:rsidR="006E098C">
        <w:rPr>
          <w:rFonts w:ascii="Verdana" w:eastAsia="Arial" w:hAnsi="Verdana" w:cs="Arial"/>
          <w:bCs/>
          <w:color w:val="000000" w:themeColor="text1"/>
        </w:rPr>
        <w:t xml:space="preserve"> hace una remisión </w:t>
      </w:r>
      <w:r w:rsidR="00DD5B1E" w:rsidRPr="00DD5B1E">
        <w:rPr>
          <w:rFonts w:ascii="Verdana" w:eastAsia="Arial" w:hAnsi="Verdana" w:cs="Arial"/>
          <w:bCs/>
          <w:color w:val="000000" w:themeColor="text1"/>
          <w:lang w:val="es-CO"/>
        </w:rPr>
        <w:t>Leyes 80 de 1993, 1150 de 2007 y 1474 de 2011</w:t>
      </w:r>
      <w:r w:rsidR="00DD5B1E">
        <w:rPr>
          <w:rFonts w:ascii="Verdana" w:eastAsia="Arial" w:hAnsi="Verdana" w:cs="Arial"/>
          <w:bCs/>
          <w:color w:val="000000" w:themeColor="text1"/>
          <w:lang w:val="es-CO"/>
        </w:rPr>
        <w:t xml:space="preserve"> para los efectos </w:t>
      </w:r>
      <w:r w:rsidR="00DD5B1E">
        <w:rPr>
          <w:rFonts w:ascii="Verdana" w:eastAsia="Arial" w:hAnsi="Verdana" w:cs="Arial"/>
          <w:bCs/>
          <w:color w:val="000000" w:themeColor="text1"/>
          <w:lang w:val="es-CO"/>
        </w:rPr>
        <w:lastRenderedPageBreak/>
        <w:t xml:space="preserve">de las prohibiciones, inhabilidades e incompatibilidades aplicables a la contratación regida por dicho cuerpo normativo. </w:t>
      </w:r>
    </w:p>
    <w:p w14:paraId="339F454B" w14:textId="77777777" w:rsidR="00B01239" w:rsidRPr="00C71956" w:rsidRDefault="00B01239" w:rsidP="00B35422">
      <w:pPr>
        <w:pStyle w:val="Prrafodelista"/>
        <w:spacing w:after="120" w:line="276" w:lineRule="auto"/>
        <w:ind w:left="0" w:firstLine="709"/>
        <w:contextualSpacing w:val="0"/>
        <w:jc w:val="both"/>
        <w:rPr>
          <w:rFonts w:ascii="Verdana" w:eastAsia="Aptos" w:hAnsi="Verdana" w:cs="Arial"/>
          <w:shd w:val="clear" w:color="auto" w:fill="FFFFFF"/>
        </w:rPr>
      </w:pP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032162E" w14:textId="33232AA8" w:rsidR="00B01239" w:rsidRDefault="00B01239" w:rsidP="00B35422">
      <w:pPr>
        <w:widowControl w:val="0"/>
        <w:spacing w:after="0" w:line="276" w:lineRule="auto"/>
        <w:jc w:val="both"/>
        <w:rPr>
          <w:rFonts w:ascii="Verdana" w:eastAsia="Calibri" w:hAnsi="Verdana" w:cs="Arial"/>
          <w:lang w:eastAsia="es-ES"/>
        </w:rPr>
      </w:pPr>
      <w:r>
        <w:rPr>
          <w:rFonts w:ascii="Verdana" w:eastAsia="Calibri" w:hAnsi="Verdana" w:cs="Times New Roman"/>
          <w:lang w:val="es-ES"/>
        </w:rPr>
        <w:t xml:space="preserve">        </w:t>
      </w:r>
      <w:r w:rsidR="00592246">
        <w:rPr>
          <w:rFonts w:ascii="Verdana" w:eastAsia="Calibri" w:hAnsi="Verdana" w:cs="Times New Roman"/>
          <w:lang w:val="es-ES"/>
        </w:rPr>
        <w:t>Sin perjuicio de lo anterior</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hAnsi="Verdana" w:cs="Arial"/>
          <w:iCs/>
          <w:color w:val="000000" w:themeColor="text1"/>
        </w:rPr>
        <w:t xml:space="preserve">        </w:t>
      </w:r>
    </w:p>
    <w:p w14:paraId="1C89A493" w14:textId="77777777" w:rsidR="00B01239" w:rsidRPr="00835672" w:rsidRDefault="00B01239" w:rsidP="00B35422">
      <w:pPr>
        <w:spacing w:after="0" w:line="276" w:lineRule="auto"/>
        <w:ind w:firstLine="708"/>
        <w:jc w:val="both"/>
        <w:rPr>
          <w:rFonts w:ascii="Verdana" w:eastAsia="Times New Roman" w:hAnsi="Verdana" w:cs="Arial"/>
          <w:lang w:val="es-ES_tradnl" w:eastAsia="es-ES_tradnl"/>
        </w:rPr>
      </w:pPr>
    </w:p>
    <w:p w14:paraId="677B6847" w14:textId="77777777" w:rsidR="00B01239" w:rsidRPr="00835672" w:rsidRDefault="00B01239" w:rsidP="00B35422">
      <w:pPr>
        <w:pStyle w:val="Prrafodelista"/>
        <w:numPr>
          <w:ilvl w:val="0"/>
          <w:numId w:val="16"/>
        </w:numPr>
        <w:spacing w:after="0" w:line="276" w:lineRule="auto"/>
        <w:ind w:left="426"/>
        <w:contextualSpacing w:val="0"/>
        <w:jc w:val="both"/>
        <w:rPr>
          <w:rFonts w:ascii="Verdana" w:eastAsia="Times New Roman" w:hAnsi="Verdana" w:cs="Arial"/>
          <w:lang w:val="es-ES_tradnl" w:eastAsia="es-ES_tradnl"/>
        </w:rPr>
      </w:pPr>
      <w:r w:rsidRPr="00835672">
        <w:rPr>
          <w:rFonts w:ascii="Verdana" w:eastAsia="Century Gothic" w:hAnsi="Verdana" w:cs="Century Gothic"/>
          <w:b/>
          <w:bCs/>
        </w:rPr>
        <w:t>Referencias normativas, jurisprudenciales y otras fuentes:</w:t>
      </w:r>
    </w:p>
    <w:p w14:paraId="045C61F5" w14:textId="77777777" w:rsidR="00B01239" w:rsidRPr="00835672" w:rsidRDefault="00B01239" w:rsidP="0083567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01239" w:rsidRPr="00835672" w14:paraId="29444D84" w14:textId="77777777" w:rsidTr="0004622A">
        <w:trPr>
          <w:trHeight w:val="870"/>
        </w:trPr>
        <w:tc>
          <w:tcPr>
            <w:tcW w:w="8647" w:type="dxa"/>
          </w:tcPr>
          <w:p w14:paraId="6726B8A3" w14:textId="77777777" w:rsidR="00B01239" w:rsidRPr="00835672" w:rsidRDefault="00B01239"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Constitución Política, articulo 355.</w:t>
            </w:r>
          </w:p>
          <w:p w14:paraId="53862DBD" w14:textId="77777777" w:rsidR="00B01239" w:rsidRPr="00835672" w:rsidRDefault="00B01239" w:rsidP="00B35422">
            <w:pPr>
              <w:pStyle w:val="Prrafodelista"/>
              <w:spacing w:line="276" w:lineRule="auto"/>
              <w:ind w:left="360"/>
              <w:contextualSpacing w:val="0"/>
              <w:jc w:val="both"/>
              <w:rPr>
                <w:rFonts w:ascii="Verdana" w:hAnsi="Verdana" w:cs="Arial"/>
              </w:rPr>
            </w:pPr>
          </w:p>
          <w:p w14:paraId="5D959469" w14:textId="77777777" w:rsidR="00B01239" w:rsidRPr="00835672" w:rsidRDefault="00B01239"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Ley 489, articulo 96.</w:t>
            </w:r>
          </w:p>
          <w:p w14:paraId="4E6B576F" w14:textId="77777777" w:rsidR="00B01239" w:rsidRPr="00835672" w:rsidRDefault="00B01239" w:rsidP="00B35422">
            <w:pPr>
              <w:spacing w:line="276" w:lineRule="auto"/>
              <w:jc w:val="both"/>
              <w:rPr>
                <w:rFonts w:ascii="Verdana" w:hAnsi="Verdana" w:cs="Arial"/>
              </w:rPr>
            </w:pPr>
          </w:p>
          <w:p w14:paraId="07062E9F" w14:textId="77777777" w:rsidR="00B01239" w:rsidRPr="00835672" w:rsidRDefault="00B01239"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Ley 80 de 1993, artículo 8 numeral 2, literal.</w:t>
            </w:r>
          </w:p>
          <w:p w14:paraId="13372F74" w14:textId="77777777" w:rsidR="00B01239" w:rsidRPr="00835672" w:rsidRDefault="00B01239" w:rsidP="00B35422">
            <w:pPr>
              <w:spacing w:line="276" w:lineRule="auto"/>
              <w:jc w:val="both"/>
              <w:rPr>
                <w:rFonts w:ascii="Verdana" w:hAnsi="Verdana" w:cs="Arial"/>
              </w:rPr>
            </w:pPr>
          </w:p>
          <w:p w14:paraId="472436A1" w14:textId="77777777" w:rsidR="00B01239" w:rsidRPr="00835672" w:rsidRDefault="00B01239"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Corte Constitucional. Sala Plena. Sentencia C 178 de 29 de abril de 1996. Magistrado Ponente: Antonio Barrera Carbonell. Expediente No. D-974.</w:t>
            </w:r>
          </w:p>
          <w:p w14:paraId="53508EE3" w14:textId="77777777" w:rsidR="00B01239" w:rsidRPr="00835672" w:rsidRDefault="00B01239" w:rsidP="00B35422">
            <w:pPr>
              <w:spacing w:line="276" w:lineRule="auto"/>
              <w:jc w:val="both"/>
              <w:rPr>
                <w:rFonts w:ascii="Verdana" w:hAnsi="Verdana" w:cs="Arial"/>
              </w:rPr>
            </w:pPr>
          </w:p>
          <w:p w14:paraId="5486707B" w14:textId="1E7A8B7E" w:rsidR="00B01239" w:rsidRPr="00835672" w:rsidRDefault="00592246"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Corte Constitucional</w:t>
            </w:r>
            <w:r w:rsidR="00B01239" w:rsidRPr="00835672">
              <w:rPr>
                <w:rFonts w:ascii="Verdana" w:hAnsi="Verdana" w:cs="Arial"/>
              </w:rPr>
              <w:t>. Sentencia C-1016 de 2012. M.P. Jorge Iván Palacio.</w:t>
            </w:r>
          </w:p>
          <w:p w14:paraId="44960C9A" w14:textId="77777777" w:rsidR="00B01239" w:rsidRPr="00835672" w:rsidRDefault="00B01239" w:rsidP="00B35422">
            <w:pPr>
              <w:spacing w:line="276" w:lineRule="auto"/>
              <w:jc w:val="both"/>
              <w:rPr>
                <w:rFonts w:ascii="Verdana" w:hAnsi="Verdana" w:cs="Arial"/>
              </w:rPr>
            </w:pPr>
          </w:p>
          <w:p w14:paraId="4B6E5BB1" w14:textId="62928FA3" w:rsidR="00B01239" w:rsidRPr="00B35422" w:rsidRDefault="00592246" w:rsidP="00B35422">
            <w:pPr>
              <w:pStyle w:val="Prrafodelista"/>
              <w:numPr>
                <w:ilvl w:val="0"/>
                <w:numId w:val="17"/>
              </w:numPr>
              <w:spacing w:line="276" w:lineRule="auto"/>
              <w:ind w:left="360"/>
              <w:contextualSpacing w:val="0"/>
              <w:jc w:val="both"/>
              <w:rPr>
                <w:rFonts w:ascii="Verdana" w:hAnsi="Verdana" w:cs="Arial"/>
                <w:lang w:val="it-IT"/>
              </w:rPr>
            </w:pPr>
            <w:r w:rsidRPr="00835672">
              <w:rPr>
                <w:rFonts w:ascii="Verdana" w:hAnsi="Verdana" w:cs="Arial"/>
              </w:rPr>
              <w:t>Corte Constitucional</w:t>
            </w:r>
            <w:r w:rsidR="00B01239" w:rsidRPr="00835672">
              <w:rPr>
                <w:rFonts w:ascii="Verdana" w:hAnsi="Verdana" w:cs="Arial"/>
              </w:rPr>
              <w:t xml:space="preserve">. Sentencia T-1039 de 2006. </w:t>
            </w:r>
            <w:r w:rsidR="00B01239" w:rsidRPr="00B35422">
              <w:rPr>
                <w:rFonts w:ascii="Verdana" w:hAnsi="Verdana" w:cs="Arial"/>
                <w:lang w:val="it-IT"/>
              </w:rPr>
              <w:t>M.P. Humberto Sierra Porto.</w:t>
            </w:r>
          </w:p>
          <w:p w14:paraId="63C076C8" w14:textId="77777777" w:rsidR="00B01239" w:rsidRPr="00B35422" w:rsidRDefault="00B01239" w:rsidP="00B35422">
            <w:pPr>
              <w:pStyle w:val="Prrafodelista"/>
              <w:spacing w:line="276" w:lineRule="auto"/>
              <w:ind w:left="360"/>
              <w:contextualSpacing w:val="0"/>
              <w:jc w:val="both"/>
              <w:rPr>
                <w:rFonts w:ascii="Verdana" w:hAnsi="Verdana" w:cs="Arial"/>
                <w:lang w:val="it-IT"/>
              </w:rPr>
            </w:pPr>
          </w:p>
          <w:p w14:paraId="6999BC8E" w14:textId="67284C2A" w:rsidR="00B01239" w:rsidRPr="00835672" w:rsidRDefault="00592246"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lastRenderedPageBreak/>
              <w:t>Consejo de Estado</w:t>
            </w:r>
            <w:r w:rsidR="00B01239" w:rsidRPr="00835672">
              <w:rPr>
                <w:rFonts w:ascii="Verdana" w:hAnsi="Verdana" w:cs="Arial"/>
              </w:rPr>
              <w:t>. Sección Tercera. Subsección A. Sentencia del 24 de junio de 2015. Rad. 40.635. Consejero Ponente: Hernán Andrade Rincón (E).</w:t>
            </w:r>
          </w:p>
          <w:p w14:paraId="3AD77BFC" w14:textId="77777777" w:rsidR="00B01239" w:rsidRPr="00835672" w:rsidRDefault="00B01239" w:rsidP="00B35422">
            <w:pPr>
              <w:spacing w:line="276" w:lineRule="auto"/>
              <w:jc w:val="both"/>
              <w:rPr>
                <w:rFonts w:ascii="Verdana" w:hAnsi="Verdana" w:cs="Arial"/>
              </w:rPr>
            </w:pPr>
          </w:p>
          <w:p w14:paraId="77BC56B9" w14:textId="4B4CF0DF" w:rsidR="00B01239" w:rsidRPr="00835672" w:rsidRDefault="00592246"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Consejo de Estado</w:t>
            </w:r>
            <w:r w:rsidR="00B01239" w:rsidRPr="00835672">
              <w:rPr>
                <w:rFonts w:ascii="Verdana" w:hAnsi="Verdana" w:cs="Arial"/>
              </w:rPr>
              <w:t>. Sección Tercera. Subsección A. Sentencia del 13 de noviembre de 2013. Rad. 25.646. C.P. Mauricio Fajardo Gómez.</w:t>
            </w:r>
          </w:p>
          <w:p w14:paraId="0F57F1CB" w14:textId="77777777" w:rsidR="00B01239" w:rsidRPr="00835672" w:rsidRDefault="00B01239" w:rsidP="00B35422">
            <w:pPr>
              <w:pStyle w:val="Prrafodelista"/>
              <w:spacing w:line="276" w:lineRule="auto"/>
              <w:ind w:left="360"/>
              <w:contextualSpacing w:val="0"/>
              <w:jc w:val="both"/>
              <w:rPr>
                <w:rFonts w:ascii="Verdana" w:hAnsi="Verdana" w:cs="Arial"/>
              </w:rPr>
            </w:pPr>
          </w:p>
          <w:p w14:paraId="3BE3B284" w14:textId="48F0F9CC" w:rsidR="00B01239" w:rsidRPr="00835672" w:rsidRDefault="00B01239" w:rsidP="00B35422">
            <w:pPr>
              <w:pStyle w:val="Prrafodelista"/>
              <w:numPr>
                <w:ilvl w:val="0"/>
                <w:numId w:val="17"/>
              </w:numPr>
              <w:spacing w:line="276" w:lineRule="auto"/>
              <w:ind w:left="360"/>
              <w:contextualSpacing w:val="0"/>
              <w:jc w:val="both"/>
              <w:rPr>
                <w:rFonts w:ascii="Verdana" w:hAnsi="Verdana" w:cs="Arial"/>
              </w:rPr>
            </w:pPr>
            <w:r w:rsidRPr="00835672">
              <w:rPr>
                <w:rFonts w:ascii="Verdana" w:hAnsi="Verdana" w:cs="Arial"/>
              </w:rPr>
              <w:t xml:space="preserve">Consejo de Estado. Sentencia No. 1444 del 6 de febrero de 1987, M.P. </w:t>
            </w:r>
            <w:r w:rsidR="00592246" w:rsidRPr="00835672">
              <w:rPr>
                <w:rFonts w:ascii="Verdana" w:hAnsi="Verdana" w:cs="Arial"/>
              </w:rPr>
              <w:t>Policarpo Castillo Dávila</w:t>
            </w:r>
            <w:r w:rsidRPr="00835672">
              <w:rPr>
                <w:rFonts w:ascii="Verdana" w:hAnsi="Verdana" w:cs="Arial"/>
              </w:rPr>
              <w:t>.</w:t>
            </w:r>
          </w:p>
        </w:tc>
      </w:tr>
    </w:tbl>
    <w:p w14:paraId="3C5E9972" w14:textId="77777777" w:rsidR="00B01239" w:rsidRPr="00835672" w:rsidRDefault="00B01239" w:rsidP="0083567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43171C0" w14:textId="77777777" w:rsidR="00B01239" w:rsidRPr="00835672" w:rsidRDefault="00B01239" w:rsidP="00835672">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sidRPr="00835672">
        <w:rPr>
          <w:rFonts w:ascii="Verdana" w:eastAsia="Century Gothic" w:hAnsi="Verdana" w:cs="Century Gothic"/>
          <w:b/>
          <w:bCs/>
        </w:rPr>
        <w:t>Doctrina de la Agencia Nacional de Contratación Pública:</w:t>
      </w:r>
    </w:p>
    <w:p w14:paraId="47E5833A" w14:textId="77777777" w:rsidR="00B01239" w:rsidRPr="00835672" w:rsidRDefault="00B01239" w:rsidP="0083567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AE835EA" w14:textId="77777777" w:rsidR="00B01239" w:rsidRPr="00835672" w:rsidRDefault="00B01239" w:rsidP="00835672">
      <w:pPr>
        <w:widowControl w:val="0"/>
        <w:autoSpaceDE w:val="0"/>
        <w:autoSpaceDN w:val="0"/>
        <w:spacing w:after="0" w:line="276" w:lineRule="auto"/>
        <w:jc w:val="both"/>
        <w:rPr>
          <w:rFonts w:ascii="Verdana" w:hAnsi="Verdana" w:cs="Arial"/>
          <w:color w:val="000000" w:themeColor="text1"/>
          <w:shd w:val="clear" w:color="auto" w:fill="FFFFFF"/>
          <w:lang w:val="es-ES"/>
        </w:rPr>
      </w:pPr>
      <w:r w:rsidRPr="00835672">
        <w:rPr>
          <w:rFonts w:ascii="Verdana" w:eastAsia="Aptos" w:hAnsi="Verdana" w:cs="Arial"/>
          <w:shd w:val="clear" w:color="auto" w:fill="FFFFFF"/>
          <w:lang w:val="es-ES"/>
        </w:rPr>
        <w:t xml:space="preserve">Sobre el régimen de inhabilidades en la contratación estatal, esta Subdirección se ha referido en los Conceptos C-552 del 16 octubre de 2024, C-035 del 24 de abril de 2024, C-067 del 16 de mayo de 2024, C-041 del 29 de mayo de 2024, C-078 del 04 de junio de 2024, C-193 del 19 de julio de 2024, C-271 del 25 de julio de 2024, C-108 de 06 de agosto de 2024, el C-729 del 27 de noviembre de 2024, C-944 del 12 de diciembre de 2024, entre otros. </w:t>
      </w:r>
      <w:r w:rsidRPr="00835672">
        <w:rPr>
          <w:rFonts w:ascii="Verdana" w:eastAsia="Calibri" w:hAnsi="Verdana" w:cs="Arial"/>
          <w:lang w:val="es-ES" w:eastAsia="es-ES_tradnl"/>
        </w:rPr>
        <w:t>Estos</w:t>
      </w:r>
      <w:r w:rsidRPr="00835672">
        <w:rPr>
          <w:rFonts w:ascii="Verdana" w:hAnsi="Verdana"/>
        </w:rPr>
        <w:t xml:space="preserve"> y otros conceptos se encuentran disponibles para consulta en el Sistema de relatoría de la Agencia, al cual se puede acceder a través del siguiente enlace:</w:t>
      </w:r>
      <w:r w:rsidRPr="00835672">
        <w:rPr>
          <w:rFonts w:ascii="Verdana" w:hAnsi="Verdana" w:cs="Arial"/>
          <w:shd w:val="clear" w:color="auto" w:fill="FFFFFF"/>
          <w:lang w:val="es-ES"/>
        </w:rPr>
        <w:t xml:space="preserve"> </w:t>
      </w:r>
      <w:r w:rsidRPr="00835672">
        <w:rPr>
          <w:rFonts w:ascii="Verdana" w:hAnsi="Verdana" w:cs="Arial"/>
          <w:color w:val="0563C1" w:themeColor="hyperlink"/>
          <w:u w:val="single"/>
          <w:shd w:val="clear" w:color="auto" w:fill="FFFFFF"/>
          <w:lang w:val="es-ES"/>
        </w:rPr>
        <w:t>https://relatoria.colombiacompra.gov.co /</w:t>
      </w:r>
      <w:proofErr w:type="spellStart"/>
      <w:r w:rsidRPr="00835672">
        <w:rPr>
          <w:rFonts w:ascii="Verdana" w:hAnsi="Verdana" w:cs="Arial"/>
          <w:color w:val="0563C1" w:themeColor="hyperlink"/>
          <w:u w:val="single"/>
          <w:shd w:val="clear" w:color="auto" w:fill="FFFFFF"/>
          <w:lang w:val="es-ES"/>
        </w:rPr>
        <w:t>busqueda</w:t>
      </w:r>
      <w:proofErr w:type="spellEnd"/>
      <w:r w:rsidRPr="00835672">
        <w:rPr>
          <w:rFonts w:ascii="Verdana" w:hAnsi="Verdana" w:cs="Arial"/>
          <w:color w:val="0563C1" w:themeColor="hyperlink"/>
          <w:u w:val="single"/>
          <w:shd w:val="clear" w:color="auto" w:fill="FFFFFF"/>
          <w:lang w:val="es-ES"/>
        </w:rPr>
        <w:t>/conceptos</w:t>
      </w:r>
    </w:p>
    <w:p w14:paraId="496936C9" w14:textId="77777777" w:rsidR="00B01239" w:rsidRPr="00835672" w:rsidRDefault="00B01239" w:rsidP="00835672">
      <w:pPr>
        <w:widowControl w:val="0"/>
        <w:autoSpaceDE w:val="0"/>
        <w:autoSpaceDN w:val="0"/>
        <w:spacing w:after="0" w:line="276" w:lineRule="auto"/>
        <w:jc w:val="both"/>
        <w:rPr>
          <w:rFonts w:ascii="Verdana" w:hAnsi="Verdana" w:cs="Arial"/>
          <w:color w:val="000000" w:themeColor="text1"/>
          <w:shd w:val="clear" w:color="auto" w:fill="FFFFFF"/>
        </w:rPr>
      </w:pPr>
    </w:p>
    <w:p w14:paraId="6467A29F" w14:textId="0FFEDEFF" w:rsidR="00B01239" w:rsidRPr="00B35422" w:rsidRDefault="00592246" w:rsidP="00835672">
      <w:pPr>
        <w:widowControl w:val="0"/>
        <w:autoSpaceDE w:val="0"/>
        <w:autoSpaceDN w:val="0"/>
        <w:spacing w:after="0" w:line="276" w:lineRule="auto"/>
        <w:jc w:val="both"/>
        <w:rPr>
          <w:rFonts w:ascii="Verdana" w:hAnsi="Verdana"/>
        </w:rPr>
      </w:pPr>
      <w:r>
        <w:rPr>
          <w:rFonts w:ascii="Verdana" w:hAnsi="Verdana" w:cs="Arial"/>
          <w:color w:val="000000" w:themeColor="text1"/>
          <w:shd w:val="clear" w:color="auto" w:fill="FFFFFF"/>
        </w:rPr>
        <w:t>T</w:t>
      </w:r>
      <w:r w:rsidR="00B01239" w:rsidRPr="00835672">
        <w:rPr>
          <w:rFonts w:ascii="Verdana" w:hAnsi="Verdana" w:cs="Arial"/>
          <w:color w:val="000000" w:themeColor="text1"/>
          <w:shd w:val="clear" w:color="auto" w:fill="FFFFFF"/>
        </w:rPr>
        <w:t xml:space="preserve">e contamos que ya publicamos la nueva </w:t>
      </w:r>
      <w:r w:rsidR="00B01239" w:rsidRPr="00835672">
        <w:rPr>
          <w:rFonts w:ascii="Verdana" w:hAnsi="Verdana" w:cs="Arial"/>
          <w:b/>
          <w:bCs/>
          <w:color w:val="000000" w:themeColor="text1"/>
          <w:shd w:val="clear" w:color="auto" w:fill="FFFFFF"/>
        </w:rPr>
        <w:t>Guía de Contratación Pública Sostenible y Socialmente Responsable</w:t>
      </w:r>
      <w:r w:rsidR="00B01239" w:rsidRPr="00835672">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00B01239" w:rsidRPr="00835672">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00B01239" w:rsidRPr="00B35422">
        <w:rPr>
          <w:rFonts w:ascii="Verdana" w:hAnsi="Verdana"/>
        </w:rPr>
        <w:t>.</w:t>
      </w:r>
    </w:p>
    <w:p w14:paraId="76D69349" w14:textId="77777777" w:rsidR="00B01239" w:rsidRPr="00B35422" w:rsidRDefault="00B01239" w:rsidP="00835672">
      <w:pPr>
        <w:widowControl w:val="0"/>
        <w:autoSpaceDE w:val="0"/>
        <w:autoSpaceDN w:val="0"/>
        <w:spacing w:after="0" w:line="276" w:lineRule="auto"/>
        <w:jc w:val="both"/>
        <w:rPr>
          <w:rFonts w:ascii="Verdana" w:hAnsi="Verdana"/>
        </w:rPr>
      </w:pPr>
    </w:p>
    <w:p w14:paraId="20DD5C72" w14:textId="77777777" w:rsidR="00B01239" w:rsidRPr="00835672" w:rsidRDefault="00B01239" w:rsidP="00835672">
      <w:pPr>
        <w:widowControl w:val="0"/>
        <w:autoSpaceDE w:val="0"/>
        <w:autoSpaceDN w:val="0"/>
        <w:spacing w:after="0" w:line="276" w:lineRule="auto"/>
        <w:jc w:val="both"/>
        <w:rPr>
          <w:rFonts w:ascii="Verdana" w:hAnsi="Verdana" w:cs="Arial"/>
          <w:lang w:val="es-ES_tradnl"/>
        </w:rPr>
      </w:pPr>
      <w:r w:rsidRPr="00835672">
        <w:rPr>
          <w:rFonts w:ascii="Verdana" w:hAnsi="Verdana" w:cs="Arial"/>
        </w:rPr>
        <w:t xml:space="preserve">Este concepto tiene el alcance previsto en el artículo 28 del Código de Procedimiento Administrativo y de lo Contencioso Administrativo </w:t>
      </w:r>
      <w:r w:rsidRPr="00835672">
        <w:rPr>
          <w:rFonts w:ascii="Verdana" w:hAnsi="Verdana" w:cs="Arial"/>
          <w:lang w:val="es-ES_tradnl"/>
        </w:rPr>
        <w:t>y las expresiones aquí utilizadas con mayúscula inicial deben ser entendidas con el significado que les otorga el artículo 2.2.1.1.1.3.1. del Decreto 1082 de 2015.</w:t>
      </w:r>
    </w:p>
    <w:p w14:paraId="67303DE1" w14:textId="77777777" w:rsidR="00B01239" w:rsidRPr="00835672" w:rsidRDefault="00B01239" w:rsidP="00835672">
      <w:pPr>
        <w:widowControl w:val="0"/>
        <w:autoSpaceDE w:val="0"/>
        <w:autoSpaceDN w:val="0"/>
        <w:spacing w:after="0" w:line="276" w:lineRule="auto"/>
        <w:jc w:val="both"/>
        <w:rPr>
          <w:rFonts w:ascii="Verdana" w:hAnsi="Verdana" w:cs="Arial"/>
        </w:rPr>
      </w:pPr>
    </w:p>
    <w:p w14:paraId="40C2D0FB" w14:textId="77777777" w:rsidR="00B01239" w:rsidRPr="00835672" w:rsidRDefault="00B01239" w:rsidP="00835672">
      <w:pPr>
        <w:spacing w:after="0" w:line="276" w:lineRule="auto"/>
        <w:jc w:val="both"/>
        <w:rPr>
          <w:rFonts w:ascii="Verdana" w:hAnsi="Verdana" w:cs="Arial"/>
          <w:lang w:eastAsia="es-CO"/>
        </w:rPr>
      </w:pPr>
      <w:r w:rsidRPr="00835672">
        <w:rPr>
          <w:rFonts w:ascii="Verdana" w:eastAsia="Times New Roman" w:hAnsi="Verdana" w:cs="Arial"/>
          <w:lang w:eastAsia="es-CO"/>
        </w:rPr>
        <w:t>Atentamente,</w:t>
      </w:r>
      <w:r w:rsidRPr="00835672">
        <w:rPr>
          <w:rFonts w:ascii="Verdana" w:hAnsi="Verdana" w:cs="Arial"/>
          <w:lang w:eastAsia="es-CO"/>
        </w:rPr>
        <w:t xml:space="preserve"> </w:t>
      </w:r>
    </w:p>
    <w:p w14:paraId="55B608D2" w14:textId="65E591ED" w:rsidR="00B35422" w:rsidRDefault="00B35422" w:rsidP="00B01239">
      <w:pPr>
        <w:spacing w:line="276" w:lineRule="auto"/>
        <w:jc w:val="center"/>
        <w:rPr>
          <w:noProof/>
        </w:rPr>
      </w:pPr>
    </w:p>
    <w:p w14:paraId="560788EB" w14:textId="586B264E" w:rsidR="009C78AE" w:rsidRDefault="009C78AE" w:rsidP="00B01239">
      <w:pPr>
        <w:spacing w:line="276" w:lineRule="auto"/>
        <w:jc w:val="center"/>
        <w:rPr>
          <w:noProof/>
        </w:rPr>
      </w:pPr>
      <w:r>
        <w:rPr>
          <w:noProof/>
        </w:rPr>
        <w:drawing>
          <wp:inline distT="0" distB="0" distL="0" distR="0" wp14:anchorId="47EDE475" wp14:editId="0848DED0">
            <wp:extent cx="3364504" cy="1444324"/>
            <wp:effectExtent l="0" t="0" r="0" b="0"/>
            <wp:docPr id="14787588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3364504" cy="1444324"/>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01239" w:rsidRPr="00593A5F" w14:paraId="33E3610E" w14:textId="77777777" w:rsidTr="0004622A">
        <w:trPr>
          <w:trHeight w:val="315"/>
        </w:trPr>
        <w:tc>
          <w:tcPr>
            <w:tcW w:w="893" w:type="dxa"/>
            <w:vAlign w:val="center"/>
            <w:hideMark/>
          </w:tcPr>
          <w:p w14:paraId="46AF850C" w14:textId="77777777" w:rsidR="00B01239" w:rsidRPr="003751C7" w:rsidRDefault="00B01239" w:rsidP="0004622A">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68FEEE1" w14:textId="77777777" w:rsidR="00B01239" w:rsidRDefault="00B01239" w:rsidP="0004622A">
            <w:pPr>
              <w:rPr>
                <w:rFonts w:ascii="Verdana" w:hAnsi="Verdana"/>
                <w:sz w:val="16"/>
                <w:szCs w:val="16"/>
              </w:rPr>
            </w:pPr>
            <w:r>
              <w:rPr>
                <w:rFonts w:ascii="Verdana" w:hAnsi="Verdana"/>
                <w:sz w:val="16"/>
                <w:szCs w:val="16"/>
              </w:rPr>
              <w:t>Daniel Eduardo Rojas Poveda</w:t>
            </w:r>
          </w:p>
          <w:p w14:paraId="6ACC1F8D" w14:textId="77777777" w:rsidR="00B01239" w:rsidRPr="007911EE" w:rsidRDefault="00B01239" w:rsidP="0004622A">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B01239" w:rsidRPr="00593A5F" w14:paraId="52D3EB7C" w14:textId="77777777" w:rsidTr="0004622A">
        <w:trPr>
          <w:trHeight w:val="330"/>
        </w:trPr>
        <w:tc>
          <w:tcPr>
            <w:tcW w:w="893" w:type="dxa"/>
            <w:vAlign w:val="center"/>
            <w:hideMark/>
          </w:tcPr>
          <w:p w14:paraId="350F213D" w14:textId="77777777" w:rsidR="00B01239" w:rsidRPr="003751C7" w:rsidRDefault="00B01239" w:rsidP="0004622A">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07B021F" w14:textId="51189F5D" w:rsidR="00B01239" w:rsidRDefault="00B01239" w:rsidP="0004622A">
            <w:pPr>
              <w:pStyle w:val="paragraph"/>
              <w:spacing w:before="0" w:beforeAutospacing="0" w:after="0" w:afterAutospacing="0"/>
              <w:contextualSpacing/>
              <w:textAlignment w:val="baseline"/>
              <w:rPr>
                <w:rFonts w:ascii="Verdana" w:eastAsiaTheme="minorHAnsi" w:hAnsi="Verdana" w:cstheme="minorBidi"/>
                <w:sz w:val="16"/>
                <w:szCs w:val="16"/>
                <w:lang w:eastAsia="en-US"/>
              </w:rPr>
            </w:pPr>
            <w:r>
              <w:rPr>
                <w:rFonts w:ascii="Verdana" w:eastAsiaTheme="minorHAnsi" w:hAnsi="Verdana" w:cstheme="minorBidi"/>
                <w:sz w:val="16"/>
                <w:szCs w:val="16"/>
                <w:lang w:eastAsia="en-US"/>
              </w:rPr>
              <w:t>Diana Lucia Saavedra</w:t>
            </w:r>
            <w:r w:rsidR="00EF2A70">
              <w:rPr>
                <w:rFonts w:ascii="Verdana" w:eastAsiaTheme="minorHAnsi" w:hAnsi="Verdana" w:cstheme="minorBidi"/>
                <w:sz w:val="16"/>
                <w:szCs w:val="16"/>
                <w:lang w:eastAsia="en-US"/>
              </w:rPr>
              <w:t xml:space="preserve"> Castañeda</w:t>
            </w:r>
          </w:p>
          <w:p w14:paraId="2A0D1463" w14:textId="77777777" w:rsidR="00B01239" w:rsidRPr="007911EE" w:rsidRDefault="00B01239" w:rsidP="0004622A">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Contratista</w:t>
            </w:r>
            <w:r w:rsidRPr="007911EE">
              <w:rPr>
                <w:rStyle w:val="normaltextrun"/>
                <w:rFonts w:ascii="Verdana" w:eastAsia="Arial" w:hAnsi="Verdana" w:cs="Arial"/>
                <w:sz w:val="16"/>
                <w:szCs w:val="16"/>
              </w:rPr>
              <w:t xml:space="preserve"> Subdirección de Gestión Contractual</w:t>
            </w:r>
          </w:p>
        </w:tc>
      </w:tr>
      <w:tr w:rsidR="00B01239" w:rsidRPr="00593A5F" w14:paraId="5778D9FE" w14:textId="77777777" w:rsidTr="0004622A">
        <w:trPr>
          <w:trHeight w:val="300"/>
        </w:trPr>
        <w:tc>
          <w:tcPr>
            <w:tcW w:w="893" w:type="dxa"/>
            <w:vAlign w:val="center"/>
          </w:tcPr>
          <w:p w14:paraId="26FDE5DD" w14:textId="77777777" w:rsidR="00B01239" w:rsidRPr="003751C7" w:rsidRDefault="00B01239" w:rsidP="0004622A">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56825C0" w14:textId="4BECB151" w:rsidR="00B01239" w:rsidRPr="007911EE" w:rsidRDefault="00EF2A70" w:rsidP="0004622A">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r>
              <w:rPr>
                <w:rFonts w:ascii="Verdana" w:eastAsia="Calibri" w:hAnsi="Verdana" w:cs="Arial"/>
                <w:sz w:val="16"/>
                <w:szCs w:val="16"/>
                <w:lang w:val="pt-BR" w:eastAsia="es-ES"/>
              </w:rPr>
              <w:t xml:space="preserve"> </w:t>
            </w:r>
          </w:p>
          <w:p w14:paraId="377D281E" w14:textId="5A6B60FB" w:rsidR="00B01239" w:rsidRPr="007911EE" w:rsidRDefault="00B01239" w:rsidP="0004622A">
            <w:pPr>
              <w:contextualSpacing/>
              <w:rPr>
                <w:rFonts w:ascii="Verdana" w:eastAsia="Calibri" w:hAnsi="Verdana" w:cs="Arial"/>
                <w:sz w:val="16"/>
                <w:szCs w:val="16"/>
                <w:lang w:val="pt-BR" w:eastAsia="es-ES"/>
              </w:rPr>
            </w:pPr>
            <w:r w:rsidRPr="007911EE">
              <w:rPr>
                <w:rFonts w:ascii="Verdana" w:eastAsia="Calibri" w:hAnsi="Verdana" w:cs="Arial"/>
                <w:sz w:val="16"/>
                <w:szCs w:val="16"/>
                <w:lang w:eastAsia="es-ES"/>
              </w:rPr>
              <w:t>Subdirectora</w:t>
            </w:r>
            <w:r w:rsidRPr="007911EE">
              <w:rPr>
                <w:rFonts w:ascii="Verdana" w:eastAsia="Calibri" w:hAnsi="Verdana" w:cs="Arial"/>
                <w:sz w:val="16"/>
                <w:szCs w:val="16"/>
                <w:lang w:val="pt-BR" w:eastAsia="es-ES"/>
              </w:rPr>
              <w:t xml:space="preserve"> de Gestión Contratual ANCP – CCE</w:t>
            </w:r>
          </w:p>
        </w:tc>
      </w:tr>
      <w:bookmarkEnd w:id="1"/>
      <w:bookmarkEnd w:id="2"/>
      <w:bookmarkEnd w:id="3"/>
      <w:bookmarkEnd w:id="4"/>
    </w:tbl>
    <w:p w14:paraId="3900974D" w14:textId="77777777" w:rsidR="003D5B0D" w:rsidRPr="008A6ACB" w:rsidRDefault="003D5B0D" w:rsidP="00101FB0"/>
    <w:sectPr w:rsidR="003D5B0D" w:rsidRPr="008A6AC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23691" w14:textId="77777777" w:rsidR="00ED16CB" w:rsidRDefault="00ED16CB" w:rsidP="004A1847">
      <w:pPr>
        <w:spacing w:after="0" w:line="240" w:lineRule="auto"/>
      </w:pPr>
      <w:r>
        <w:separator/>
      </w:r>
    </w:p>
  </w:endnote>
  <w:endnote w:type="continuationSeparator" w:id="0">
    <w:p w14:paraId="3E7F58B9" w14:textId="77777777" w:rsidR="00ED16CB" w:rsidRDefault="00ED16C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10EFD" w14:textId="77777777" w:rsidR="00ED16CB" w:rsidRDefault="00ED16CB" w:rsidP="004A1847">
      <w:pPr>
        <w:spacing w:after="0" w:line="240" w:lineRule="auto"/>
      </w:pPr>
      <w:r>
        <w:separator/>
      </w:r>
    </w:p>
  </w:footnote>
  <w:footnote w:type="continuationSeparator" w:id="0">
    <w:p w14:paraId="3D036D58" w14:textId="77777777" w:rsidR="00ED16CB" w:rsidRDefault="00ED16CB" w:rsidP="004A1847">
      <w:pPr>
        <w:spacing w:after="0" w:line="240" w:lineRule="auto"/>
      </w:pPr>
      <w:r>
        <w:continuationSeparator/>
      </w:r>
    </w:p>
  </w:footnote>
  <w:footnote w:id="1">
    <w:p w14:paraId="06041CCB" w14:textId="77777777" w:rsidR="00B01239" w:rsidRPr="00592246" w:rsidRDefault="00B01239" w:rsidP="00B35422">
      <w:pPr>
        <w:pStyle w:val="Textonotapie"/>
        <w:ind w:firstLine="709"/>
        <w:jc w:val="both"/>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Consejo de Estado. Sentencia No. 1444 del 6 de febrero de 1987, M.P. POLICARPO CASTILLO DÁVILA</w:t>
      </w:r>
    </w:p>
  </w:footnote>
  <w:footnote w:id="2">
    <w:p w14:paraId="66D14A65" w14:textId="77777777" w:rsidR="00B01239" w:rsidRPr="00592246" w:rsidRDefault="00B01239" w:rsidP="00B35422">
      <w:pPr>
        <w:pStyle w:val="Textonotapie"/>
        <w:ind w:firstLine="709"/>
        <w:jc w:val="both"/>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Corte Constitucional. Sala Plena. Sentencia C 178 de 29 de abril de 1996. Magistrado Ponente: Antonio Barrera Carbonell. Expediente No. D-974.</w:t>
      </w:r>
    </w:p>
  </w:footnote>
  <w:footnote w:id="3">
    <w:p w14:paraId="061FFCCE" w14:textId="77777777" w:rsidR="00B01239" w:rsidRPr="00B35422" w:rsidRDefault="00B01239" w:rsidP="00B35422">
      <w:pPr>
        <w:pStyle w:val="Textonotapie"/>
        <w:ind w:firstLine="709"/>
        <w:jc w:val="both"/>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Artículo 6o. De la capacidad para contratar. Pueden celebrar contratos con las entidades estatales las personas consideradas legalmente capaces en las disposiciones vigentes</w:t>
      </w:r>
    </w:p>
  </w:footnote>
  <w:footnote w:id="4">
    <w:p w14:paraId="1CD4BF9C" w14:textId="77777777" w:rsidR="00E86C47" w:rsidRPr="00592246" w:rsidRDefault="00E86C47" w:rsidP="00592246">
      <w:pPr>
        <w:pStyle w:val="Textonotapie"/>
        <w:ind w:firstLine="709"/>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CORTE CONSTITUCIONAL. Sentencia C-1016 de 2012. M.P. Jorge Iván Palacio.</w:t>
      </w:r>
    </w:p>
  </w:footnote>
  <w:footnote w:id="5">
    <w:p w14:paraId="62BBC97B" w14:textId="77777777" w:rsidR="00B01239" w:rsidRPr="00B35422" w:rsidRDefault="00B01239" w:rsidP="00B35422">
      <w:pPr>
        <w:pStyle w:val="Textonotapie"/>
        <w:ind w:firstLine="709"/>
        <w:jc w:val="both"/>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CONSEJO DE ESTADO. Sección Tercera. Subsección A. Sentencia del 13 de noviembre de 2013. Rad. 25.646. C.P. Mauricio Fajardo Gómez.</w:t>
      </w:r>
    </w:p>
  </w:footnote>
  <w:footnote w:id="6">
    <w:p w14:paraId="592D662C" w14:textId="77777777" w:rsidR="00B01239" w:rsidRPr="00B35422" w:rsidRDefault="00B01239" w:rsidP="00B35422">
      <w:pPr>
        <w:pStyle w:val="Textonotapie"/>
        <w:ind w:firstLine="709"/>
        <w:rPr>
          <w:rFonts w:ascii="Verdana" w:hAnsi="Verdana"/>
          <w:sz w:val="16"/>
          <w:szCs w:val="16"/>
          <w:lang w:val="it-IT"/>
        </w:rPr>
      </w:pPr>
      <w:r w:rsidRPr="00B35422">
        <w:rPr>
          <w:rStyle w:val="Refdenotaalpie"/>
          <w:rFonts w:ascii="Verdana" w:hAnsi="Verdana"/>
          <w:sz w:val="16"/>
          <w:szCs w:val="16"/>
        </w:rPr>
        <w:footnoteRef/>
      </w:r>
      <w:r w:rsidRPr="00B35422">
        <w:rPr>
          <w:rFonts w:ascii="Verdana" w:hAnsi="Verdana"/>
          <w:sz w:val="16"/>
          <w:szCs w:val="16"/>
        </w:rPr>
        <w:t xml:space="preserve">  CORTE CONSTITUCIONAL. Sentencia T-1039 de 2006. </w:t>
      </w:r>
      <w:r w:rsidRPr="00B35422">
        <w:rPr>
          <w:rFonts w:ascii="Verdana" w:hAnsi="Verdana"/>
          <w:sz w:val="16"/>
          <w:szCs w:val="16"/>
          <w:lang w:val="it-IT"/>
        </w:rPr>
        <w:t>M.P. Humberto Sierra Porto.</w:t>
      </w:r>
    </w:p>
  </w:footnote>
  <w:footnote w:id="7">
    <w:p w14:paraId="3DB594CE" w14:textId="77777777" w:rsidR="00B01239" w:rsidRPr="00592246" w:rsidRDefault="00B01239" w:rsidP="00B35422">
      <w:pPr>
        <w:pStyle w:val="Textonotapie"/>
        <w:ind w:firstLine="709"/>
        <w:rPr>
          <w:rFonts w:ascii="Verdana" w:hAnsi="Verdana"/>
          <w:sz w:val="16"/>
          <w:szCs w:val="16"/>
          <w:lang w:val="es-ES"/>
        </w:rPr>
      </w:pPr>
      <w:r w:rsidRPr="00592246">
        <w:rPr>
          <w:rStyle w:val="Refdenotaalpie"/>
          <w:rFonts w:ascii="Verdana" w:hAnsi="Verdana"/>
          <w:sz w:val="16"/>
          <w:szCs w:val="16"/>
        </w:rPr>
        <w:footnoteRef/>
      </w:r>
      <w:r w:rsidRPr="00592246">
        <w:rPr>
          <w:rFonts w:ascii="Verdana" w:hAnsi="Verdana"/>
          <w:sz w:val="16"/>
          <w:szCs w:val="16"/>
        </w:rPr>
        <w:t xml:space="preserve"> CONSEJO DE ESTADO. Sección Tercera. Subsección A. Sentencia del 24 de junio de 2015. Rad. 40.635. Consejero Ponente: Hernán Andrade Rincón (E).</w:t>
      </w:r>
    </w:p>
  </w:footnote>
  <w:footnote w:id="8">
    <w:p w14:paraId="4F2B0DB0" w14:textId="605328D7" w:rsidR="00DD5B1E" w:rsidRPr="00B35422" w:rsidRDefault="00DD5B1E" w:rsidP="00B35422">
      <w:pPr>
        <w:pStyle w:val="Textonotapie"/>
        <w:ind w:firstLine="709"/>
        <w:rPr>
          <w:rFonts w:ascii="Verdana" w:hAnsi="Verdana"/>
          <w:sz w:val="16"/>
          <w:szCs w:val="16"/>
        </w:rPr>
      </w:pPr>
      <w:r w:rsidRPr="00B35422">
        <w:rPr>
          <w:rStyle w:val="Refdenotaalpie"/>
          <w:rFonts w:ascii="Verdana" w:hAnsi="Verdana"/>
          <w:sz w:val="16"/>
          <w:szCs w:val="16"/>
        </w:rPr>
        <w:footnoteRef/>
      </w:r>
      <w:r w:rsidRPr="00B35422">
        <w:rPr>
          <w:rFonts w:ascii="Verdana" w:hAnsi="Verdana"/>
          <w:sz w:val="16"/>
          <w:szCs w:val="16"/>
        </w:rPr>
        <w:t xml:space="preserve"> </w:t>
      </w:r>
      <w:r w:rsidR="00592246" w:rsidRPr="00B35422">
        <w:rPr>
          <w:rFonts w:ascii="Verdana" w:hAnsi="Verdana"/>
          <w:sz w:val="16"/>
          <w:szCs w:val="16"/>
        </w:rPr>
        <w:t xml:space="preserve">Decreto 092 de 2017. </w:t>
      </w:r>
      <w:r w:rsidR="00592246" w:rsidRPr="00B35422">
        <w:rPr>
          <w:rFonts w:ascii="Verdana" w:hAnsi="Verdana"/>
          <w:b/>
          <w:bCs/>
          <w:sz w:val="16"/>
          <w:szCs w:val="16"/>
          <w:lang w:val="es-CO"/>
        </w:rPr>
        <w:t>ARTÍCULO 6º.</w:t>
      </w:r>
      <w:r w:rsidR="00592246" w:rsidRPr="00B35422">
        <w:rPr>
          <w:rFonts w:ascii="Verdana" w:hAnsi="Verdana"/>
          <w:b/>
          <w:bCs/>
          <w:i/>
          <w:iCs/>
          <w:sz w:val="16"/>
          <w:szCs w:val="16"/>
          <w:lang w:val="es-CO"/>
        </w:rPr>
        <w:t> Prohibiciones, inhabilidades e incompatibilidades</w:t>
      </w:r>
      <w:r w:rsidR="00592246" w:rsidRPr="00B35422">
        <w:rPr>
          <w:rFonts w:ascii="Verdana" w:hAnsi="Verdana"/>
          <w:sz w:val="16"/>
          <w:szCs w:val="16"/>
          <w:lang w:val="es-CO"/>
        </w:rPr>
        <w:t>.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23968495">
    <w:abstractNumId w:val="0"/>
  </w:num>
  <w:num w:numId="17" w16cid:durableId="5882734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F2"/>
    <w:rsid w:val="00016F78"/>
    <w:rsid w:val="0004613B"/>
    <w:rsid w:val="00046945"/>
    <w:rsid w:val="00061B2A"/>
    <w:rsid w:val="00082362"/>
    <w:rsid w:val="00083E96"/>
    <w:rsid w:val="0009289F"/>
    <w:rsid w:val="000A683E"/>
    <w:rsid w:val="000B19B9"/>
    <w:rsid w:val="000B47DF"/>
    <w:rsid w:val="000D0334"/>
    <w:rsid w:val="000F6486"/>
    <w:rsid w:val="00101FB0"/>
    <w:rsid w:val="00104902"/>
    <w:rsid w:val="00105408"/>
    <w:rsid w:val="00125105"/>
    <w:rsid w:val="00127233"/>
    <w:rsid w:val="001511A0"/>
    <w:rsid w:val="00152E24"/>
    <w:rsid w:val="00172B46"/>
    <w:rsid w:val="0017471C"/>
    <w:rsid w:val="00176E0A"/>
    <w:rsid w:val="00196106"/>
    <w:rsid w:val="00196E5D"/>
    <w:rsid w:val="001B2087"/>
    <w:rsid w:val="001E4177"/>
    <w:rsid w:val="001F7DC6"/>
    <w:rsid w:val="002029A9"/>
    <w:rsid w:val="002167CC"/>
    <w:rsid w:val="002262E7"/>
    <w:rsid w:val="002309DE"/>
    <w:rsid w:val="0023656A"/>
    <w:rsid w:val="002400B7"/>
    <w:rsid w:val="002421BB"/>
    <w:rsid w:val="0025796E"/>
    <w:rsid w:val="002707A2"/>
    <w:rsid w:val="002951A0"/>
    <w:rsid w:val="002962BC"/>
    <w:rsid w:val="002A093D"/>
    <w:rsid w:val="002A0DD0"/>
    <w:rsid w:val="002A49AC"/>
    <w:rsid w:val="002A64FD"/>
    <w:rsid w:val="002C7A84"/>
    <w:rsid w:val="002E0318"/>
    <w:rsid w:val="002E4FD9"/>
    <w:rsid w:val="00302606"/>
    <w:rsid w:val="00304E8D"/>
    <w:rsid w:val="00313CE4"/>
    <w:rsid w:val="00322A85"/>
    <w:rsid w:val="00324168"/>
    <w:rsid w:val="003448F4"/>
    <w:rsid w:val="00346218"/>
    <w:rsid w:val="00350E74"/>
    <w:rsid w:val="00357F30"/>
    <w:rsid w:val="00374F5E"/>
    <w:rsid w:val="00376DD4"/>
    <w:rsid w:val="0037776B"/>
    <w:rsid w:val="00377E3E"/>
    <w:rsid w:val="003A743E"/>
    <w:rsid w:val="003A779E"/>
    <w:rsid w:val="003D0F4D"/>
    <w:rsid w:val="003D5B0D"/>
    <w:rsid w:val="003E0499"/>
    <w:rsid w:val="003F0F82"/>
    <w:rsid w:val="003F3941"/>
    <w:rsid w:val="00406575"/>
    <w:rsid w:val="00414C74"/>
    <w:rsid w:val="0042722E"/>
    <w:rsid w:val="00434A94"/>
    <w:rsid w:val="0044528D"/>
    <w:rsid w:val="0049279C"/>
    <w:rsid w:val="004A1847"/>
    <w:rsid w:val="004A305D"/>
    <w:rsid w:val="004B6DD2"/>
    <w:rsid w:val="004F21C4"/>
    <w:rsid w:val="004F685F"/>
    <w:rsid w:val="00521A5F"/>
    <w:rsid w:val="00552BA6"/>
    <w:rsid w:val="00554209"/>
    <w:rsid w:val="005566E8"/>
    <w:rsid w:val="005730C9"/>
    <w:rsid w:val="00574867"/>
    <w:rsid w:val="00580041"/>
    <w:rsid w:val="00591460"/>
    <w:rsid w:val="00592246"/>
    <w:rsid w:val="00595202"/>
    <w:rsid w:val="005B3816"/>
    <w:rsid w:val="005C3777"/>
    <w:rsid w:val="005C5CDC"/>
    <w:rsid w:val="005D476C"/>
    <w:rsid w:val="006219F8"/>
    <w:rsid w:val="00665D70"/>
    <w:rsid w:val="006900D9"/>
    <w:rsid w:val="006D32F5"/>
    <w:rsid w:val="006D3626"/>
    <w:rsid w:val="006E098C"/>
    <w:rsid w:val="00706C16"/>
    <w:rsid w:val="00730E38"/>
    <w:rsid w:val="00756841"/>
    <w:rsid w:val="007649AB"/>
    <w:rsid w:val="00771D0C"/>
    <w:rsid w:val="007833AC"/>
    <w:rsid w:val="007B268C"/>
    <w:rsid w:val="007B7171"/>
    <w:rsid w:val="007C0C0F"/>
    <w:rsid w:val="007C3DC2"/>
    <w:rsid w:val="007E5497"/>
    <w:rsid w:val="00806F5F"/>
    <w:rsid w:val="00820278"/>
    <w:rsid w:val="00835672"/>
    <w:rsid w:val="00860F59"/>
    <w:rsid w:val="00867F95"/>
    <w:rsid w:val="008843B6"/>
    <w:rsid w:val="00891928"/>
    <w:rsid w:val="008A446D"/>
    <w:rsid w:val="008A6ACB"/>
    <w:rsid w:val="008D180B"/>
    <w:rsid w:val="008D3092"/>
    <w:rsid w:val="008F0EA7"/>
    <w:rsid w:val="00923896"/>
    <w:rsid w:val="00923EEF"/>
    <w:rsid w:val="009419F9"/>
    <w:rsid w:val="0095685E"/>
    <w:rsid w:val="00961B09"/>
    <w:rsid w:val="00965334"/>
    <w:rsid w:val="0097093E"/>
    <w:rsid w:val="00986AC5"/>
    <w:rsid w:val="009A0DFA"/>
    <w:rsid w:val="009A2609"/>
    <w:rsid w:val="009A2950"/>
    <w:rsid w:val="009B2D26"/>
    <w:rsid w:val="009C71FA"/>
    <w:rsid w:val="009C72E7"/>
    <w:rsid w:val="009C78AE"/>
    <w:rsid w:val="009D3058"/>
    <w:rsid w:val="009F3A13"/>
    <w:rsid w:val="00A12215"/>
    <w:rsid w:val="00A122D3"/>
    <w:rsid w:val="00A17F13"/>
    <w:rsid w:val="00A20739"/>
    <w:rsid w:val="00A26749"/>
    <w:rsid w:val="00A33C78"/>
    <w:rsid w:val="00A8524C"/>
    <w:rsid w:val="00AB0ADB"/>
    <w:rsid w:val="00B01239"/>
    <w:rsid w:val="00B01B1A"/>
    <w:rsid w:val="00B14280"/>
    <w:rsid w:val="00B258FB"/>
    <w:rsid w:val="00B35422"/>
    <w:rsid w:val="00B53665"/>
    <w:rsid w:val="00B6337B"/>
    <w:rsid w:val="00B66319"/>
    <w:rsid w:val="00B7159E"/>
    <w:rsid w:val="00B72CD3"/>
    <w:rsid w:val="00B72FFF"/>
    <w:rsid w:val="00B74C13"/>
    <w:rsid w:val="00B818DF"/>
    <w:rsid w:val="00B83ADB"/>
    <w:rsid w:val="00B86411"/>
    <w:rsid w:val="00B91E55"/>
    <w:rsid w:val="00BC3D36"/>
    <w:rsid w:val="00BD07DB"/>
    <w:rsid w:val="00BD095A"/>
    <w:rsid w:val="00BD7F72"/>
    <w:rsid w:val="00C04FB3"/>
    <w:rsid w:val="00C16353"/>
    <w:rsid w:val="00C330EB"/>
    <w:rsid w:val="00C3628C"/>
    <w:rsid w:val="00C41061"/>
    <w:rsid w:val="00C455FF"/>
    <w:rsid w:val="00C67E72"/>
    <w:rsid w:val="00C754BE"/>
    <w:rsid w:val="00C76B1C"/>
    <w:rsid w:val="00C9619F"/>
    <w:rsid w:val="00CB37B1"/>
    <w:rsid w:val="00CB6357"/>
    <w:rsid w:val="00CB727A"/>
    <w:rsid w:val="00CC1B26"/>
    <w:rsid w:val="00CD7C91"/>
    <w:rsid w:val="00D423A2"/>
    <w:rsid w:val="00D520D8"/>
    <w:rsid w:val="00D63AC2"/>
    <w:rsid w:val="00D7383B"/>
    <w:rsid w:val="00D824FA"/>
    <w:rsid w:val="00DA231B"/>
    <w:rsid w:val="00DC39FC"/>
    <w:rsid w:val="00DD5B1E"/>
    <w:rsid w:val="00DE0BB7"/>
    <w:rsid w:val="00DF5254"/>
    <w:rsid w:val="00DF77A7"/>
    <w:rsid w:val="00E16408"/>
    <w:rsid w:val="00E20894"/>
    <w:rsid w:val="00E245AB"/>
    <w:rsid w:val="00E2764C"/>
    <w:rsid w:val="00E27F2E"/>
    <w:rsid w:val="00E50AFE"/>
    <w:rsid w:val="00E53E3D"/>
    <w:rsid w:val="00E640C5"/>
    <w:rsid w:val="00E75C92"/>
    <w:rsid w:val="00E76AB1"/>
    <w:rsid w:val="00E771DC"/>
    <w:rsid w:val="00E86C47"/>
    <w:rsid w:val="00E8772A"/>
    <w:rsid w:val="00E90F6B"/>
    <w:rsid w:val="00E92C27"/>
    <w:rsid w:val="00EA0E3D"/>
    <w:rsid w:val="00EC38A7"/>
    <w:rsid w:val="00ED16CB"/>
    <w:rsid w:val="00ED7384"/>
    <w:rsid w:val="00EE1AA8"/>
    <w:rsid w:val="00EF2A70"/>
    <w:rsid w:val="00F31EDC"/>
    <w:rsid w:val="00F462B3"/>
    <w:rsid w:val="00F5664F"/>
    <w:rsid w:val="00F666C4"/>
    <w:rsid w:val="00F76AFC"/>
    <w:rsid w:val="00FA47C0"/>
    <w:rsid w:val="00FB5DD1"/>
    <w:rsid w:val="00FC2B5D"/>
    <w:rsid w:val="00FF1449"/>
    <w:rsid w:val="165E9519"/>
    <w:rsid w:val="382536D9"/>
    <w:rsid w:val="3B116FBA"/>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012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B01239"/>
    <w:rPr>
      <w:rFonts w:ascii="Geomanist Light" w:hAnsi="Geomanist Light"/>
      <w:lang w:val="es-ES"/>
    </w:rPr>
  </w:style>
  <w:style w:type="character" w:styleId="Refdecomentario">
    <w:name w:val="annotation reference"/>
    <w:basedOn w:val="Fuentedeprrafopredeter"/>
    <w:uiPriority w:val="99"/>
    <w:semiHidden/>
    <w:unhideWhenUsed/>
    <w:rsid w:val="00B86411"/>
    <w:rPr>
      <w:sz w:val="16"/>
      <w:szCs w:val="16"/>
    </w:rPr>
  </w:style>
  <w:style w:type="paragraph" w:styleId="Textocomentario">
    <w:name w:val="annotation text"/>
    <w:basedOn w:val="Normal"/>
    <w:link w:val="TextocomentarioCar"/>
    <w:uiPriority w:val="99"/>
    <w:unhideWhenUsed/>
    <w:rsid w:val="00B86411"/>
    <w:pPr>
      <w:spacing w:line="240" w:lineRule="auto"/>
    </w:pPr>
    <w:rPr>
      <w:sz w:val="20"/>
      <w:szCs w:val="20"/>
    </w:rPr>
  </w:style>
  <w:style w:type="character" w:customStyle="1" w:styleId="TextocomentarioCar">
    <w:name w:val="Texto comentario Car"/>
    <w:basedOn w:val="Fuentedeprrafopredeter"/>
    <w:link w:val="Textocomentario"/>
    <w:uiPriority w:val="99"/>
    <w:rsid w:val="00B86411"/>
    <w:rPr>
      <w:sz w:val="20"/>
      <w:szCs w:val="20"/>
    </w:rPr>
  </w:style>
  <w:style w:type="paragraph" w:styleId="Asuntodelcomentario">
    <w:name w:val="annotation subject"/>
    <w:basedOn w:val="Textocomentario"/>
    <w:next w:val="Textocomentario"/>
    <w:link w:val="AsuntodelcomentarioCar"/>
    <w:uiPriority w:val="99"/>
    <w:semiHidden/>
    <w:unhideWhenUsed/>
    <w:rsid w:val="00B86411"/>
    <w:rPr>
      <w:b/>
      <w:bCs/>
    </w:rPr>
  </w:style>
  <w:style w:type="character" w:customStyle="1" w:styleId="AsuntodelcomentarioCar">
    <w:name w:val="Asunto del comentario Car"/>
    <w:basedOn w:val="TextocomentarioCar"/>
    <w:link w:val="Asuntodelcomentario"/>
    <w:uiPriority w:val="99"/>
    <w:semiHidden/>
    <w:rsid w:val="00B8641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2DCDC75-7E7B-487F-AF20-21A68E76F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6F0BB928-210E-469F-9175-0B72E02F7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4352</Words>
  <Characters>23942</Characters>
  <Application>Microsoft Office Word</Application>
  <DocSecurity>0</DocSecurity>
  <Lines>199</Lines>
  <Paragraphs>56</Paragraphs>
  <ScaleCrop>false</ScaleCrop>
  <Company/>
  <LinksUpToDate>false</LinksUpToDate>
  <CharactersWithSpaces>28238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2025-08-20T15:57:00Z</dcterms:created>
  <dcterms:modified xsi:type="dcterms:W3CDTF">2025-08-20T15:57:00Z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