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B60294" w14:textId="77777777" w:rsidR="002F6D57" w:rsidRPr="00FA0ACA" w:rsidRDefault="002F6D57" w:rsidP="002F6D57">
      <w:pPr>
        <w:spacing w:after="0" w:line="240" w:lineRule="auto"/>
        <w:jc w:val="both"/>
        <w:rPr>
          <w:rFonts w:ascii="Verdana" w:eastAsia="Times New Roman" w:hAnsi="Verdana" w:cs="Arial"/>
          <w:b/>
          <w:sz w:val="20"/>
          <w:szCs w:val="20"/>
          <w:lang w:val="es-ES" w:eastAsia="es-ES_tradnl"/>
        </w:rPr>
      </w:pPr>
      <w:bookmarkStart w:id="0" w:name="_Hlk143780582"/>
      <w:r w:rsidRPr="002F6D57">
        <w:rPr>
          <w:rFonts w:ascii="Verdana" w:eastAsia="Calibri" w:hAnsi="Verdana" w:cs="Arial"/>
          <w:b/>
          <w:sz w:val="20"/>
          <w:szCs w:val="20"/>
          <w:lang w:val="es-MX" w:eastAsia="es-ES_tradnl"/>
        </w:rPr>
        <w:t xml:space="preserve">CABILDOS INDÍGENAS – AUTORIDADES TRADICIONALES INDÍGENAS – ASOCIACIONES DE CABILDOS INDÍGENAS Y/O AUTORIDADES TRADICIONALES INDÍGENAS – </w:t>
      </w:r>
      <w:proofErr w:type="gramStart"/>
      <w:r w:rsidRPr="002F6D57">
        <w:rPr>
          <w:rFonts w:ascii="Verdana" w:eastAsia="Calibri" w:hAnsi="Verdana" w:cs="Arial"/>
          <w:b/>
          <w:sz w:val="20"/>
          <w:szCs w:val="20"/>
          <w:lang w:val="es-MX" w:eastAsia="es-ES_tradnl"/>
        </w:rPr>
        <w:t>CONSEJOS INDÍGENAS Y ORGANIZACIONES INDÍGENAS</w:t>
      </w:r>
      <w:proofErr w:type="gramEnd"/>
      <w:r w:rsidRPr="002F6D57">
        <w:rPr>
          <w:rFonts w:ascii="Verdana" w:eastAsia="Calibri" w:hAnsi="Verdana" w:cs="Arial"/>
          <w:b/>
          <w:sz w:val="20"/>
          <w:szCs w:val="20"/>
          <w:lang w:val="es-MX" w:eastAsia="es-ES_tradnl"/>
        </w:rPr>
        <w:t xml:space="preserve"> – Noción – </w:t>
      </w:r>
      <w:r w:rsidRPr="002F6D57">
        <w:rPr>
          <w:rFonts w:ascii="Verdana" w:eastAsia="Times New Roman" w:hAnsi="Verdana" w:cs="Arial"/>
          <w:b/>
          <w:sz w:val="20"/>
          <w:szCs w:val="20"/>
          <w:lang w:val="es-ES" w:eastAsia="es-ES_tradnl"/>
        </w:rPr>
        <w:t>Régimen de contratación – Decreto 1088 de 1993 – Decreto 252 de 2020 – Ley 2160 de 2021 – Ley 2294 de 2023</w:t>
      </w:r>
    </w:p>
    <w:p w14:paraId="23D7F773" w14:textId="77777777" w:rsidR="00C21872" w:rsidRPr="00FA0ACA" w:rsidRDefault="00C21872" w:rsidP="002F6D57">
      <w:pPr>
        <w:spacing w:after="0" w:line="240" w:lineRule="auto"/>
        <w:jc w:val="both"/>
        <w:rPr>
          <w:rFonts w:ascii="Verdana" w:eastAsia="Times New Roman" w:hAnsi="Verdana" w:cs="Arial"/>
          <w:b/>
          <w:sz w:val="20"/>
          <w:szCs w:val="20"/>
          <w:lang w:val="es-ES" w:eastAsia="es-ES_tradnl"/>
        </w:rPr>
      </w:pPr>
    </w:p>
    <w:p w14:paraId="713E9AE9" w14:textId="77777777" w:rsidR="00C21872" w:rsidRPr="00C21872" w:rsidRDefault="00C21872" w:rsidP="00C21872">
      <w:pPr>
        <w:spacing w:after="0" w:line="256" w:lineRule="auto"/>
        <w:jc w:val="both"/>
        <w:rPr>
          <w:rFonts w:ascii="Verdana" w:eastAsia="Calibri" w:hAnsi="Verdana" w:cs="Times New Roman"/>
          <w:sz w:val="20"/>
          <w:szCs w:val="20"/>
          <w:lang w:val="es-ES"/>
        </w:rPr>
      </w:pPr>
      <w:r w:rsidRPr="00C21872">
        <w:rPr>
          <w:rFonts w:ascii="Verdana" w:eastAsia="Century Gothic" w:hAnsi="Verdana" w:cs="Century Gothic"/>
          <w:sz w:val="20"/>
          <w:szCs w:val="20"/>
          <w:lang w:val="es-ES"/>
        </w:rPr>
        <w:t xml:space="preserve">“[…] </w:t>
      </w:r>
      <w:r w:rsidRPr="00C21872">
        <w:rPr>
          <w:rFonts w:ascii="Verdana" w:eastAsia="Calibri" w:hAnsi="Verdana" w:cs="Times New Roman"/>
          <w:sz w:val="20"/>
          <w:szCs w:val="20"/>
          <w:lang w:val="es-ES"/>
        </w:rPr>
        <w:t>Las asociaciones de Cabildos y/o Autoridades Tradicionales Indígenas, en virtud del Decreto 1088 de 1993, son entidades de Derecho Público de carácter especial, con personería jurídica, patrimonio propio y autonomía administrativa. Por lo tanto, tienen la capacidad jurídica para contratar.</w:t>
      </w:r>
    </w:p>
    <w:p w14:paraId="09C9D4C2" w14:textId="77777777" w:rsidR="00C21872" w:rsidRPr="00C21872" w:rsidRDefault="00C21872" w:rsidP="00C21872">
      <w:pPr>
        <w:spacing w:after="0" w:line="256" w:lineRule="auto"/>
        <w:jc w:val="both"/>
        <w:rPr>
          <w:rFonts w:ascii="Verdana" w:eastAsia="Calibri" w:hAnsi="Verdana" w:cs="Times New Roman"/>
          <w:sz w:val="20"/>
          <w:szCs w:val="20"/>
          <w:lang w:val="es-ES"/>
        </w:rPr>
      </w:pPr>
    </w:p>
    <w:p w14:paraId="1EF3D08C" w14:textId="77777777" w:rsidR="00C21872" w:rsidRPr="00C21872" w:rsidRDefault="00C21872" w:rsidP="00C21872">
      <w:pPr>
        <w:spacing w:after="0" w:line="256" w:lineRule="auto"/>
        <w:jc w:val="both"/>
        <w:rPr>
          <w:rFonts w:ascii="Verdana" w:eastAsia="Century Gothic" w:hAnsi="Verdana" w:cs="Century Gothic"/>
          <w:sz w:val="20"/>
          <w:szCs w:val="20"/>
          <w:lang w:val="es-ES"/>
        </w:rPr>
      </w:pPr>
      <w:r w:rsidRPr="00C21872">
        <w:rPr>
          <w:rFonts w:ascii="Verdana" w:eastAsia="Century Gothic" w:hAnsi="Verdana" w:cs="Century Gothic"/>
          <w:sz w:val="20"/>
          <w:szCs w:val="20"/>
          <w:lang w:val="es-ES"/>
        </w:rPr>
        <w:t>Las asociaciones de Cabildos y/o Autoridades Tradicionales Indígenas, así como las organizaciones indígenas, pueden celebrar contratos o convenios de manera directa con las Entidades Estatales de acuerdo con lo contemplado en el Estatuto General de Contratación de la Administración Pública.  En el caso de las organizaciones, esta posibilidad dependerá de que estén conformadas exclusivamente por Cabildos Indígenas, resguardos indígenas, asociaciones de cabildos, asociación de autoridades u otra forma de autoridad indígena propia […]”</w:t>
      </w:r>
    </w:p>
    <w:p w14:paraId="47A996C6" w14:textId="77777777" w:rsidR="00C21872" w:rsidRPr="002F6D57" w:rsidRDefault="00C21872" w:rsidP="002F6D57">
      <w:pPr>
        <w:spacing w:after="0" w:line="240" w:lineRule="auto"/>
        <w:jc w:val="both"/>
        <w:rPr>
          <w:rFonts w:ascii="Verdana" w:eastAsia="Times New Roman" w:hAnsi="Verdana" w:cs="Arial"/>
          <w:b/>
          <w:sz w:val="20"/>
          <w:szCs w:val="20"/>
          <w:lang w:val="es-ES" w:eastAsia="es-ES_tradnl"/>
        </w:rPr>
      </w:pPr>
    </w:p>
    <w:p w14:paraId="6B618DF0" w14:textId="6F20D6E5" w:rsidR="006B0F1F" w:rsidRPr="006B0F1F" w:rsidRDefault="00FA0ACA" w:rsidP="006B0F1F">
      <w:pPr>
        <w:spacing w:after="0" w:line="240" w:lineRule="auto"/>
        <w:jc w:val="both"/>
        <w:rPr>
          <w:rFonts w:ascii="Verdana" w:eastAsia="Arial" w:hAnsi="Verdana" w:cs="Arial"/>
          <w:sz w:val="20"/>
          <w:szCs w:val="20"/>
          <w:lang w:val="es-ES"/>
        </w:rPr>
      </w:pPr>
      <w:r w:rsidRPr="00FA0ACA">
        <w:rPr>
          <w:rFonts w:ascii="Verdana" w:eastAsia="Arial" w:hAnsi="Verdana" w:cs="Arial"/>
          <w:sz w:val="20"/>
          <w:szCs w:val="20"/>
          <w:lang w:val="es-ES"/>
        </w:rPr>
        <w:t>“</w:t>
      </w:r>
      <w:r w:rsidRPr="006B0F1F">
        <w:rPr>
          <w:rFonts w:ascii="Verdana" w:eastAsia="Arial" w:hAnsi="Verdana" w:cs="Arial"/>
          <w:sz w:val="20"/>
          <w:szCs w:val="20"/>
          <w:lang w:val="es-ES"/>
        </w:rPr>
        <w:t>[…]</w:t>
      </w:r>
      <w:r w:rsidRPr="00FA0ACA">
        <w:rPr>
          <w:rFonts w:ascii="Verdana" w:eastAsia="Arial" w:hAnsi="Verdana" w:cs="Arial"/>
          <w:sz w:val="20"/>
          <w:szCs w:val="20"/>
          <w:lang w:val="es-ES"/>
        </w:rPr>
        <w:t xml:space="preserve"> </w:t>
      </w:r>
      <w:r w:rsidR="006B0F1F" w:rsidRPr="006B0F1F">
        <w:rPr>
          <w:rFonts w:ascii="Verdana" w:eastAsia="Arial" w:hAnsi="Verdana" w:cs="Arial"/>
          <w:sz w:val="20"/>
          <w:szCs w:val="20"/>
          <w:lang w:val="es-ES"/>
        </w:rPr>
        <w:t>La Ley 2160 de 2021, “Por medio del cual se modifica la Ley 80 de 1993 y la Ley 1150 de 2007”, estableció nuevas regulaciones con respecto a la capacidad contractual y naturaleza jurídica de varios tipos de organización, entre ellas los cabildos indígenas y asociaciones de autoridades tradicionales indígenas. Teniendo en cuenta esta filosofía y objetivos buscados en el proyecto de ley, esta modificó, entre otras cosas, el artículo 7 de la Ley 80 de 1993 mediante su artículo 3° […]</w:t>
      </w:r>
    </w:p>
    <w:p w14:paraId="188F12DF" w14:textId="77777777" w:rsidR="006B0F1F" w:rsidRPr="006B0F1F" w:rsidRDefault="006B0F1F" w:rsidP="006B0F1F">
      <w:pPr>
        <w:spacing w:after="0" w:line="240" w:lineRule="auto"/>
        <w:jc w:val="both"/>
        <w:rPr>
          <w:rFonts w:ascii="Verdana" w:eastAsia="Arial" w:hAnsi="Verdana" w:cs="Arial"/>
          <w:sz w:val="20"/>
          <w:szCs w:val="20"/>
          <w:lang w:val="es-ES"/>
        </w:rPr>
      </w:pPr>
      <w:r w:rsidRPr="006B0F1F">
        <w:rPr>
          <w:rFonts w:ascii="Verdana" w:eastAsia="Arial" w:hAnsi="Verdana" w:cs="Arial"/>
          <w:sz w:val="20"/>
          <w:szCs w:val="20"/>
          <w:lang w:val="es-ES"/>
        </w:rPr>
        <w:t xml:space="preserve"> </w:t>
      </w:r>
    </w:p>
    <w:p w14:paraId="43D3B108" w14:textId="77777777" w:rsidR="006B0F1F" w:rsidRPr="006B0F1F" w:rsidRDefault="006B0F1F" w:rsidP="006B0F1F">
      <w:pPr>
        <w:spacing w:after="0" w:line="240" w:lineRule="auto"/>
        <w:jc w:val="both"/>
        <w:rPr>
          <w:rFonts w:ascii="Verdana" w:eastAsia="Arial" w:hAnsi="Verdana" w:cs="Arial"/>
          <w:sz w:val="20"/>
          <w:szCs w:val="20"/>
          <w:lang w:val="es-ES"/>
        </w:rPr>
      </w:pPr>
      <w:r w:rsidRPr="006B0F1F">
        <w:rPr>
          <w:rFonts w:ascii="Verdana" w:eastAsia="Arial" w:hAnsi="Verdana" w:cs="Arial"/>
          <w:sz w:val="20"/>
          <w:szCs w:val="20"/>
          <w:lang w:val="es-ES"/>
        </w:rPr>
        <w:t>[…]</w:t>
      </w:r>
    </w:p>
    <w:p w14:paraId="2B3B4657" w14:textId="77777777" w:rsidR="006B0F1F" w:rsidRPr="006B0F1F" w:rsidRDefault="006B0F1F" w:rsidP="006B0F1F">
      <w:pPr>
        <w:spacing w:after="0" w:line="240" w:lineRule="auto"/>
        <w:jc w:val="both"/>
        <w:rPr>
          <w:rFonts w:ascii="Verdana" w:eastAsia="Arial" w:hAnsi="Verdana" w:cs="Arial"/>
          <w:sz w:val="20"/>
          <w:szCs w:val="20"/>
          <w:lang w:val="es-ES"/>
        </w:rPr>
      </w:pPr>
    </w:p>
    <w:p w14:paraId="1C06478E" w14:textId="77777777" w:rsidR="006B0F1F" w:rsidRPr="006B0F1F" w:rsidRDefault="006B0F1F" w:rsidP="006B0F1F">
      <w:pPr>
        <w:spacing w:after="0" w:line="240" w:lineRule="auto"/>
        <w:jc w:val="both"/>
        <w:rPr>
          <w:rFonts w:ascii="Verdana" w:eastAsia="Arial" w:hAnsi="Verdana" w:cs="Arial"/>
          <w:sz w:val="20"/>
          <w:szCs w:val="20"/>
          <w:lang w:val="es-ES"/>
        </w:rPr>
      </w:pPr>
      <w:r w:rsidRPr="006B0F1F">
        <w:rPr>
          <w:rFonts w:ascii="Verdana" w:eastAsia="Arial" w:hAnsi="Verdana" w:cs="Arial"/>
          <w:sz w:val="20"/>
          <w:szCs w:val="20"/>
          <w:lang w:val="es-ES"/>
        </w:rPr>
        <w:t xml:space="preserve">[…] el anterior artículo fue modificado por el artículo 354 la Ley 2294 de 2023, Por el cual se expide el Plan Nacional de Desarrollo 2022-2026 "Colombia Potencia Mundial de la Vida”, estableciendo una nueva definición para “Asociaciones de autoridades tradicionales indígenas”, denominándola ahora “Asociaciones de cabildos indígenas y/o autoridades tradicionales indígenas” y adicionó como entidad para contratar al “Consejo Indígena” </w:t>
      </w:r>
    </w:p>
    <w:p w14:paraId="37F3E528" w14:textId="77777777" w:rsidR="006B0F1F" w:rsidRPr="006B0F1F" w:rsidRDefault="006B0F1F" w:rsidP="006B0F1F">
      <w:pPr>
        <w:spacing w:after="0" w:line="240" w:lineRule="auto"/>
        <w:jc w:val="both"/>
        <w:rPr>
          <w:rFonts w:ascii="Verdana" w:eastAsia="Arial" w:hAnsi="Verdana" w:cs="Arial"/>
          <w:sz w:val="20"/>
          <w:szCs w:val="20"/>
          <w:lang w:val="es-ES"/>
        </w:rPr>
      </w:pPr>
    </w:p>
    <w:p w14:paraId="22AB0FD1" w14:textId="77777777" w:rsidR="006B0F1F" w:rsidRPr="006B0F1F" w:rsidRDefault="006B0F1F" w:rsidP="006B0F1F">
      <w:pPr>
        <w:spacing w:after="0" w:line="240" w:lineRule="auto"/>
        <w:jc w:val="both"/>
        <w:rPr>
          <w:rFonts w:ascii="Verdana" w:eastAsia="Arial" w:hAnsi="Verdana" w:cs="Arial"/>
          <w:sz w:val="20"/>
          <w:szCs w:val="20"/>
          <w:lang w:val="es-ES"/>
        </w:rPr>
      </w:pPr>
      <w:r w:rsidRPr="006B0F1F">
        <w:rPr>
          <w:rFonts w:ascii="Verdana" w:eastAsia="Arial" w:hAnsi="Verdana" w:cs="Arial"/>
          <w:sz w:val="20"/>
          <w:szCs w:val="20"/>
          <w:lang w:val="es-ES"/>
        </w:rPr>
        <w:t>[…]</w:t>
      </w:r>
    </w:p>
    <w:p w14:paraId="178A8810" w14:textId="77777777" w:rsidR="006B0F1F" w:rsidRPr="006B0F1F" w:rsidRDefault="006B0F1F" w:rsidP="006B0F1F">
      <w:pPr>
        <w:spacing w:after="0" w:line="240" w:lineRule="auto"/>
        <w:jc w:val="both"/>
        <w:rPr>
          <w:rFonts w:ascii="Verdana" w:eastAsia="Times New Roman" w:hAnsi="Verdana" w:cs="Arial"/>
          <w:b/>
          <w:sz w:val="20"/>
          <w:szCs w:val="20"/>
          <w:lang w:val="es-ES" w:eastAsia="es-ES_tradnl"/>
        </w:rPr>
      </w:pPr>
    </w:p>
    <w:p w14:paraId="38929E10" w14:textId="77777777" w:rsidR="006B0F1F" w:rsidRPr="006B0F1F" w:rsidRDefault="006B0F1F" w:rsidP="006B0F1F">
      <w:pPr>
        <w:spacing w:after="0" w:line="240" w:lineRule="auto"/>
        <w:jc w:val="both"/>
        <w:rPr>
          <w:rFonts w:ascii="Verdana" w:eastAsia="Times New Roman" w:hAnsi="Verdana" w:cs="Arial"/>
          <w:b/>
          <w:sz w:val="20"/>
          <w:szCs w:val="20"/>
          <w:lang w:val="es-ES" w:eastAsia="es-ES_tradnl"/>
        </w:rPr>
      </w:pPr>
      <w:r w:rsidRPr="006B0F1F">
        <w:rPr>
          <w:rFonts w:ascii="Verdana" w:eastAsia="Calibri" w:hAnsi="Verdana" w:cs="Arial"/>
          <w:sz w:val="20"/>
          <w:szCs w:val="20"/>
          <w:lang w:val="es-ES"/>
        </w:rPr>
        <w:t>Leyes 2160 de 2021 y 2294 del 2023 contemplaron en el marco de la causal del literal l) del artículo 2, numeral 4 de la Ley 1150 de 2007 la posibilidad de contratar directamente con Cabildos Indígenas, Asociaciones y Autoridades Tradicionales Indígenas y Consejos Indígenas, lo cierto es que, estas normas no afectaron la vigencia de los Decretos 1088 de 1993 y 252 del 2020, los cuales se encuentran sujetas a la vigencia del artículo 56 transitorio de la Constitución Política</w:t>
      </w:r>
      <w:r w:rsidRPr="006B0F1F">
        <w:rPr>
          <w:rFonts w:ascii="Verdana" w:eastAsia="Calibri" w:hAnsi="Verdana" w:cs="Arial"/>
          <w:sz w:val="20"/>
          <w:szCs w:val="20"/>
          <w:vertAlign w:val="superscript"/>
          <w:lang w:val="es-ES"/>
        </w:rPr>
        <w:footnoteReference w:id="1"/>
      </w:r>
      <w:r w:rsidRPr="006B0F1F">
        <w:rPr>
          <w:rFonts w:ascii="Verdana" w:eastAsia="Calibri" w:hAnsi="Verdana" w:cs="Arial"/>
          <w:sz w:val="20"/>
          <w:szCs w:val="20"/>
          <w:lang w:val="es-ES"/>
        </w:rPr>
        <w:t xml:space="preserve">. La vigencia de dicha </w:t>
      </w:r>
      <w:r w:rsidRPr="006B0F1F">
        <w:rPr>
          <w:rFonts w:ascii="Verdana" w:eastAsia="Calibri" w:hAnsi="Verdana" w:cs="Arial"/>
          <w:sz w:val="20"/>
          <w:szCs w:val="20"/>
          <w:lang w:val="es-ES"/>
        </w:rPr>
        <w:lastRenderedPageBreak/>
        <w:t>disposición constitucional transitoria está supeditada a la regulación de las entidades territoriales indígenas, cuestión en la que, a pesar de la referencia realizada en el artículo 2 de la Ley 80 de 1993 y la expedición de la Ley 1454 de 2011, permanece una omisión legislativa conforme estableció la Corte Constitucional en la Sentencia C-489 de 2012.</w:t>
      </w:r>
    </w:p>
    <w:p w14:paraId="5E7D48FB" w14:textId="77777777" w:rsidR="006B0F1F" w:rsidRDefault="006B0F1F" w:rsidP="00E245AB">
      <w:pPr>
        <w:spacing w:after="0"/>
        <w:rPr>
          <w:rFonts w:ascii="Verdana" w:hAnsi="Verdana"/>
          <w:lang w:val="es-ES"/>
        </w:rPr>
      </w:pPr>
    </w:p>
    <w:p w14:paraId="2AC7BF7A" w14:textId="77777777" w:rsidR="00FA0ACA" w:rsidRDefault="00FA0ACA" w:rsidP="00E245AB">
      <w:pPr>
        <w:spacing w:after="0"/>
        <w:rPr>
          <w:rFonts w:ascii="Verdana" w:hAnsi="Verdana"/>
          <w:lang w:val="es-ES"/>
        </w:rPr>
      </w:pPr>
    </w:p>
    <w:p w14:paraId="21078CF2" w14:textId="77777777" w:rsidR="00FA0ACA" w:rsidRDefault="00FA0ACA" w:rsidP="00E245AB">
      <w:pPr>
        <w:spacing w:after="0"/>
        <w:rPr>
          <w:rFonts w:ascii="Verdana" w:hAnsi="Verdana"/>
          <w:lang w:val="es-ES"/>
        </w:rPr>
      </w:pPr>
    </w:p>
    <w:p w14:paraId="360952CD" w14:textId="77777777" w:rsidR="00FA0ACA" w:rsidRDefault="00FA0ACA" w:rsidP="00E245AB">
      <w:pPr>
        <w:spacing w:after="0"/>
        <w:rPr>
          <w:rFonts w:ascii="Verdana" w:hAnsi="Verdana"/>
          <w:lang w:val="es-ES"/>
        </w:rPr>
      </w:pPr>
    </w:p>
    <w:p w14:paraId="6F62CFFF" w14:textId="77777777" w:rsidR="00FA0ACA" w:rsidRDefault="00FA0ACA" w:rsidP="00E245AB">
      <w:pPr>
        <w:spacing w:after="0"/>
        <w:rPr>
          <w:rFonts w:ascii="Verdana" w:hAnsi="Verdana"/>
          <w:lang w:val="es-ES"/>
        </w:rPr>
      </w:pPr>
    </w:p>
    <w:p w14:paraId="6F9D89FD" w14:textId="77777777" w:rsidR="00FA0ACA" w:rsidRDefault="00FA0ACA" w:rsidP="00E245AB">
      <w:pPr>
        <w:spacing w:after="0"/>
        <w:rPr>
          <w:rFonts w:ascii="Verdana" w:hAnsi="Verdana"/>
          <w:lang w:val="es-ES"/>
        </w:rPr>
      </w:pPr>
    </w:p>
    <w:p w14:paraId="3335DC74" w14:textId="77777777" w:rsidR="00FA0ACA" w:rsidRDefault="00FA0ACA" w:rsidP="00E245AB">
      <w:pPr>
        <w:spacing w:after="0"/>
        <w:rPr>
          <w:rFonts w:ascii="Verdana" w:hAnsi="Verdana"/>
          <w:lang w:val="es-ES"/>
        </w:rPr>
      </w:pPr>
    </w:p>
    <w:p w14:paraId="0C58545F" w14:textId="77777777" w:rsidR="00FA0ACA" w:rsidRDefault="00FA0ACA" w:rsidP="00E245AB">
      <w:pPr>
        <w:spacing w:after="0"/>
        <w:rPr>
          <w:rFonts w:ascii="Verdana" w:hAnsi="Verdana"/>
          <w:lang w:val="es-ES"/>
        </w:rPr>
      </w:pPr>
    </w:p>
    <w:p w14:paraId="06E1E1F0" w14:textId="77777777" w:rsidR="00FA0ACA" w:rsidRDefault="00FA0ACA" w:rsidP="00E245AB">
      <w:pPr>
        <w:spacing w:after="0"/>
        <w:rPr>
          <w:rFonts w:ascii="Verdana" w:hAnsi="Verdana"/>
          <w:lang w:val="es-ES"/>
        </w:rPr>
      </w:pPr>
    </w:p>
    <w:p w14:paraId="411EB88E" w14:textId="77777777" w:rsidR="00FA0ACA" w:rsidRDefault="00FA0ACA" w:rsidP="00E245AB">
      <w:pPr>
        <w:spacing w:after="0"/>
        <w:rPr>
          <w:rFonts w:ascii="Verdana" w:hAnsi="Verdana"/>
          <w:lang w:val="es-ES"/>
        </w:rPr>
      </w:pPr>
    </w:p>
    <w:p w14:paraId="1F5F70C3" w14:textId="77777777" w:rsidR="00FA0ACA" w:rsidRDefault="00FA0ACA" w:rsidP="00E245AB">
      <w:pPr>
        <w:spacing w:after="0"/>
        <w:rPr>
          <w:rFonts w:ascii="Verdana" w:hAnsi="Verdana"/>
          <w:lang w:val="es-ES"/>
        </w:rPr>
      </w:pPr>
    </w:p>
    <w:p w14:paraId="5C7024C6" w14:textId="77777777" w:rsidR="00FA0ACA" w:rsidRDefault="00FA0ACA" w:rsidP="00E245AB">
      <w:pPr>
        <w:spacing w:after="0"/>
        <w:rPr>
          <w:rFonts w:ascii="Verdana" w:hAnsi="Verdana"/>
          <w:lang w:val="es-ES"/>
        </w:rPr>
      </w:pPr>
    </w:p>
    <w:p w14:paraId="06A42D98" w14:textId="77777777" w:rsidR="00FA0ACA" w:rsidRDefault="00FA0ACA" w:rsidP="00E245AB">
      <w:pPr>
        <w:spacing w:after="0"/>
        <w:rPr>
          <w:rFonts w:ascii="Verdana" w:hAnsi="Verdana"/>
          <w:lang w:val="es-ES"/>
        </w:rPr>
      </w:pPr>
    </w:p>
    <w:p w14:paraId="37926481" w14:textId="77777777" w:rsidR="00FA0ACA" w:rsidRDefault="00FA0ACA" w:rsidP="00E245AB">
      <w:pPr>
        <w:spacing w:after="0"/>
        <w:rPr>
          <w:rFonts w:ascii="Verdana" w:hAnsi="Verdana"/>
          <w:lang w:val="es-ES"/>
        </w:rPr>
      </w:pPr>
    </w:p>
    <w:p w14:paraId="0DBBED37" w14:textId="77777777" w:rsidR="00FA0ACA" w:rsidRDefault="00FA0ACA" w:rsidP="00E245AB">
      <w:pPr>
        <w:spacing w:after="0"/>
        <w:rPr>
          <w:rFonts w:ascii="Verdana" w:hAnsi="Verdana"/>
          <w:lang w:val="es-ES"/>
        </w:rPr>
      </w:pPr>
    </w:p>
    <w:p w14:paraId="659EAC57" w14:textId="77777777" w:rsidR="00FA0ACA" w:rsidRDefault="00FA0ACA" w:rsidP="00E245AB">
      <w:pPr>
        <w:spacing w:after="0"/>
        <w:rPr>
          <w:rFonts w:ascii="Verdana" w:hAnsi="Verdana"/>
          <w:lang w:val="es-ES"/>
        </w:rPr>
      </w:pPr>
    </w:p>
    <w:p w14:paraId="102F8E6A" w14:textId="77777777" w:rsidR="00FA0ACA" w:rsidRDefault="00FA0ACA" w:rsidP="00E245AB">
      <w:pPr>
        <w:spacing w:after="0"/>
        <w:rPr>
          <w:rFonts w:ascii="Verdana" w:hAnsi="Verdana"/>
          <w:lang w:val="es-ES"/>
        </w:rPr>
      </w:pPr>
    </w:p>
    <w:p w14:paraId="75DF3437" w14:textId="77777777" w:rsidR="00FA0ACA" w:rsidRDefault="00FA0ACA" w:rsidP="00E245AB">
      <w:pPr>
        <w:spacing w:after="0"/>
        <w:rPr>
          <w:rFonts w:ascii="Verdana" w:hAnsi="Verdana"/>
          <w:lang w:val="es-ES"/>
        </w:rPr>
      </w:pPr>
    </w:p>
    <w:p w14:paraId="3A91F799" w14:textId="77777777" w:rsidR="00FA0ACA" w:rsidRDefault="00FA0ACA" w:rsidP="00E245AB">
      <w:pPr>
        <w:spacing w:after="0"/>
        <w:rPr>
          <w:rFonts w:ascii="Verdana" w:hAnsi="Verdana"/>
          <w:lang w:val="es-ES"/>
        </w:rPr>
      </w:pPr>
    </w:p>
    <w:p w14:paraId="4E8B2731" w14:textId="77777777" w:rsidR="00FA0ACA" w:rsidRDefault="00FA0ACA" w:rsidP="00E245AB">
      <w:pPr>
        <w:spacing w:after="0"/>
        <w:rPr>
          <w:rFonts w:ascii="Verdana" w:hAnsi="Verdana"/>
          <w:lang w:val="es-ES"/>
        </w:rPr>
      </w:pPr>
    </w:p>
    <w:p w14:paraId="71EA6472" w14:textId="77777777" w:rsidR="00FA0ACA" w:rsidRDefault="00FA0ACA" w:rsidP="00E245AB">
      <w:pPr>
        <w:spacing w:after="0"/>
        <w:rPr>
          <w:rFonts w:ascii="Verdana" w:hAnsi="Verdana"/>
          <w:lang w:val="es-ES"/>
        </w:rPr>
      </w:pPr>
    </w:p>
    <w:p w14:paraId="01552EE2" w14:textId="77777777" w:rsidR="00FA0ACA" w:rsidRDefault="00FA0ACA" w:rsidP="00E245AB">
      <w:pPr>
        <w:spacing w:after="0"/>
        <w:rPr>
          <w:rFonts w:ascii="Verdana" w:hAnsi="Verdana"/>
          <w:lang w:val="es-ES"/>
        </w:rPr>
      </w:pPr>
    </w:p>
    <w:p w14:paraId="22CD0893" w14:textId="77777777" w:rsidR="00FA0ACA" w:rsidRDefault="00FA0ACA" w:rsidP="00E245AB">
      <w:pPr>
        <w:spacing w:after="0"/>
        <w:rPr>
          <w:rFonts w:ascii="Verdana" w:hAnsi="Verdana"/>
          <w:lang w:val="es-ES"/>
        </w:rPr>
      </w:pPr>
    </w:p>
    <w:p w14:paraId="4A1D0E76" w14:textId="77777777" w:rsidR="00FA0ACA" w:rsidRDefault="00FA0ACA" w:rsidP="00E245AB">
      <w:pPr>
        <w:spacing w:after="0"/>
        <w:rPr>
          <w:rFonts w:ascii="Verdana" w:hAnsi="Verdana"/>
          <w:lang w:val="es-ES"/>
        </w:rPr>
      </w:pPr>
    </w:p>
    <w:p w14:paraId="1133F2D9" w14:textId="77777777" w:rsidR="00FA0ACA" w:rsidRDefault="00FA0ACA" w:rsidP="00E245AB">
      <w:pPr>
        <w:spacing w:after="0"/>
        <w:rPr>
          <w:rFonts w:ascii="Verdana" w:hAnsi="Verdana"/>
          <w:lang w:val="es-ES"/>
        </w:rPr>
      </w:pPr>
    </w:p>
    <w:p w14:paraId="18EA5227" w14:textId="77777777" w:rsidR="00FA0ACA" w:rsidRDefault="00FA0ACA" w:rsidP="00E245AB">
      <w:pPr>
        <w:spacing w:after="0"/>
        <w:rPr>
          <w:rFonts w:ascii="Verdana" w:hAnsi="Verdana"/>
          <w:lang w:val="es-ES"/>
        </w:rPr>
      </w:pPr>
    </w:p>
    <w:p w14:paraId="6E926667" w14:textId="77777777" w:rsidR="00FA0ACA" w:rsidRDefault="00FA0ACA" w:rsidP="00E245AB">
      <w:pPr>
        <w:spacing w:after="0"/>
        <w:rPr>
          <w:rFonts w:ascii="Verdana" w:hAnsi="Verdana"/>
          <w:lang w:val="es-ES"/>
        </w:rPr>
      </w:pPr>
    </w:p>
    <w:p w14:paraId="2C419960" w14:textId="77777777" w:rsidR="00FA0ACA" w:rsidRDefault="00FA0ACA" w:rsidP="00E245AB">
      <w:pPr>
        <w:spacing w:after="0"/>
        <w:rPr>
          <w:rFonts w:ascii="Verdana" w:hAnsi="Verdana"/>
          <w:lang w:val="es-ES"/>
        </w:rPr>
      </w:pPr>
    </w:p>
    <w:p w14:paraId="4EC80C11" w14:textId="77777777" w:rsidR="00FA0ACA" w:rsidRDefault="00FA0ACA" w:rsidP="00E245AB">
      <w:pPr>
        <w:spacing w:after="0"/>
        <w:rPr>
          <w:rFonts w:ascii="Verdana" w:hAnsi="Verdana"/>
          <w:lang w:val="es-ES"/>
        </w:rPr>
      </w:pPr>
    </w:p>
    <w:p w14:paraId="3735B675" w14:textId="77777777" w:rsidR="00FA0ACA" w:rsidRDefault="00FA0ACA" w:rsidP="00E245AB">
      <w:pPr>
        <w:spacing w:after="0"/>
        <w:rPr>
          <w:rFonts w:ascii="Verdana" w:hAnsi="Verdana"/>
          <w:lang w:val="es-ES"/>
        </w:rPr>
      </w:pPr>
    </w:p>
    <w:p w14:paraId="3EAD2A82" w14:textId="77777777" w:rsidR="00FA0ACA" w:rsidRDefault="00FA0ACA" w:rsidP="00E245AB">
      <w:pPr>
        <w:spacing w:after="0"/>
        <w:rPr>
          <w:rFonts w:ascii="Verdana" w:hAnsi="Verdana"/>
          <w:lang w:val="es-ES"/>
        </w:rPr>
      </w:pPr>
    </w:p>
    <w:p w14:paraId="26027D3F" w14:textId="77777777" w:rsidR="00FA0ACA" w:rsidRDefault="00FA0ACA" w:rsidP="00E245AB">
      <w:pPr>
        <w:spacing w:after="0"/>
        <w:rPr>
          <w:rFonts w:ascii="Verdana" w:hAnsi="Verdana"/>
          <w:lang w:val="es-ES"/>
        </w:rPr>
      </w:pPr>
    </w:p>
    <w:p w14:paraId="3069D00A" w14:textId="77777777" w:rsidR="00FA0ACA" w:rsidRPr="00FA0ACA" w:rsidRDefault="00FA0ACA" w:rsidP="00E245AB">
      <w:pPr>
        <w:spacing w:after="0"/>
        <w:rPr>
          <w:rFonts w:ascii="Verdana" w:hAnsi="Verdana"/>
          <w:lang w:val="es-ES"/>
        </w:rPr>
      </w:pPr>
    </w:p>
    <w:p w14:paraId="2BC50F2C" w14:textId="77777777" w:rsidR="002F6D57" w:rsidRDefault="002F6D57" w:rsidP="00E245AB">
      <w:pPr>
        <w:spacing w:after="0"/>
        <w:rPr>
          <w:rFonts w:ascii="Verdana" w:hAnsi="Verdana"/>
        </w:rPr>
      </w:pPr>
    </w:p>
    <w:p w14:paraId="5E61093D" w14:textId="77777777" w:rsidR="002F6D57" w:rsidRDefault="002F6D57" w:rsidP="00E245AB">
      <w:pPr>
        <w:spacing w:after="0"/>
        <w:rPr>
          <w:rFonts w:ascii="Verdana" w:hAnsi="Verdana"/>
        </w:rPr>
      </w:pPr>
    </w:p>
    <w:p w14:paraId="3FE2184B" w14:textId="41E3E1FA" w:rsidR="00E245AB" w:rsidRDefault="00E245AB" w:rsidP="00E245AB">
      <w:pPr>
        <w:spacing w:after="0"/>
        <w:rPr>
          <w:rFonts w:ascii="Verdana" w:hAnsi="Verdana"/>
        </w:rPr>
      </w:pPr>
      <w:r w:rsidRPr="00AA3B9F">
        <w:rPr>
          <w:rFonts w:ascii="Verdana" w:hAnsi="Verdana"/>
        </w:rPr>
        <w:lastRenderedPageBreak/>
        <w:t xml:space="preserve">Bogotá D.C., </w:t>
      </w:r>
      <w:r w:rsidR="005D56B6">
        <w:rPr>
          <w:rFonts w:ascii="Verdana" w:hAnsi="Verdana"/>
        </w:rPr>
        <w:t>11 de diciembre del 2024</w:t>
      </w:r>
    </w:p>
    <w:p w14:paraId="79A29ACF" w14:textId="77777777" w:rsidR="005D56B6" w:rsidRDefault="005D56B6" w:rsidP="00E245AB">
      <w:pPr>
        <w:spacing w:after="0"/>
        <w:rPr>
          <w:rFonts w:ascii="Verdana" w:hAnsi="Verdana"/>
        </w:rPr>
      </w:pPr>
    </w:p>
    <w:p w14:paraId="5FCADBF9" w14:textId="62148D44" w:rsidR="00E245AB" w:rsidRPr="00AA3B9F" w:rsidRDefault="005D56B6" w:rsidP="005D56B6">
      <w:pPr>
        <w:spacing w:after="0"/>
        <w:jc w:val="right"/>
        <w:rPr>
          <w:rFonts w:ascii="Verdana" w:hAnsi="Verdana"/>
        </w:rPr>
      </w:pPr>
      <w:r w:rsidRPr="005D56B6">
        <w:rPr>
          <w:rFonts w:ascii="Verdana" w:hAnsi="Verdana"/>
        </w:rPr>
        <w:drawing>
          <wp:inline distT="0" distB="0" distL="0" distR="0" wp14:anchorId="6A1B7DED" wp14:editId="0546309E">
            <wp:extent cx="2628900" cy="771525"/>
            <wp:effectExtent l="0" t="0" r="0" b="9525"/>
            <wp:docPr id="372249318" name="Imagen 1" descr="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249318" name="Imagen 1" descr="Texto"/>
                    <pic:cNvPicPr/>
                  </pic:nvPicPr>
                  <pic:blipFill>
                    <a:blip r:embed="rId10"/>
                    <a:stretch>
                      <a:fillRect/>
                    </a:stretch>
                  </pic:blipFill>
                  <pic:spPr>
                    <a:xfrm>
                      <a:off x="0" y="0"/>
                      <a:ext cx="2629269" cy="771633"/>
                    </a:xfrm>
                    <a:prstGeom prst="rect">
                      <a:avLst/>
                    </a:prstGeom>
                  </pic:spPr>
                </pic:pic>
              </a:graphicData>
            </a:graphic>
          </wp:inline>
        </w:drawing>
      </w:r>
    </w:p>
    <w:p w14:paraId="6963AB58" w14:textId="042778F7" w:rsidR="00427D62" w:rsidRPr="00AA3B9F" w:rsidRDefault="00427D62" w:rsidP="00427D62">
      <w:pPr>
        <w:spacing w:after="0" w:line="240" w:lineRule="auto"/>
        <w:jc w:val="both"/>
        <w:rPr>
          <w:rFonts w:ascii="Verdana" w:eastAsia="Calibri" w:hAnsi="Verdana" w:cs="Arial"/>
          <w:lang w:val="es-ES" w:eastAsia="es-ES"/>
        </w:rPr>
      </w:pPr>
      <w:r w:rsidRPr="00AA3B9F">
        <w:rPr>
          <w:rFonts w:ascii="Verdana" w:eastAsia="Calibri" w:hAnsi="Verdana" w:cs="Arial"/>
          <w:lang w:val="es-ES" w:eastAsia="es-ES"/>
        </w:rPr>
        <w:t>Señor</w:t>
      </w:r>
      <w:r w:rsidR="001F3139" w:rsidRPr="00AA3B9F">
        <w:rPr>
          <w:rFonts w:ascii="Verdana" w:eastAsia="Calibri" w:hAnsi="Verdana" w:cs="Arial"/>
          <w:lang w:val="es-ES" w:eastAsia="es-ES"/>
        </w:rPr>
        <w:t>a</w:t>
      </w:r>
      <w:r w:rsidRPr="00AA3B9F">
        <w:rPr>
          <w:rFonts w:ascii="Verdana" w:eastAsia="Calibri" w:hAnsi="Verdana" w:cs="Arial"/>
          <w:lang w:val="es-ES" w:eastAsia="es-ES"/>
        </w:rPr>
        <w:t>:</w:t>
      </w:r>
    </w:p>
    <w:p w14:paraId="2FB1309A" w14:textId="4D9453FA" w:rsidR="00427D62" w:rsidRPr="00AA3B9F" w:rsidRDefault="001F3139" w:rsidP="00427D62">
      <w:pPr>
        <w:spacing w:after="0" w:line="240" w:lineRule="auto"/>
        <w:rPr>
          <w:rFonts w:ascii="Verdana" w:eastAsia="Calibri" w:hAnsi="Verdana" w:cs="Arial"/>
          <w:b/>
          <w:lang w:val="es-ES" w:eastAsia="es-ES"/>
        </w:rPr>
      </w:pPr>
      <w:r w:rsidRPr="00AA3B9F">
        <w:rPr>
          <w:rFonts w:ascii="Verdana" w:eastAsia="Calibri" w:hAnsi="Verdana" w:cs="Arial"/>
          <w:b/>
          <w:lang w:val="es-ES" w:eastAsia="es-ES"/>
        </w:rPr>
        <w:t>María Angelica Rodríguez Moreno</w:t>
      </w:r>
    </w:p>
    <w:p w14:paraId="62D862B1" w14:textId="7B1F586F" w:rsidR="00AE60AA" w:rsidRPr="00AA3B9F" w:rsidRDefault="00AE60AA" w:rsidP="00427D62">
      <w:pPr>
        <w:spacing w:after="0" w:line="240" w:lineRule="auto"/>
        <w:rPr>
          <w:rFonts w:ascii="Verdana" w:hAnsi="Verdana"/>
        </w:rPr>
      </w:pPr>
      <w:hyperlink r:id="rId11" w:history="1">
        <w:r w:rsidRPr="00AA3B9F">
          <w:rPr>
            <w:rStyle w:val="Hipervnculo"/>
            <w:rFonts w:ascii="Verdana" w:hAnsi="Verdana"/>
          </w:rPr>
          <w:t>angelicus24@hotmail.com</w:t>
        </w:r>
      </w:hyperlink>
    </w:p>
    <w:p w14:paraId="5D1A6F07" w14:textId="2DA0493D" w:rsidR="00427D62" w:rsidRPr="00AA3B9F" w:rsidRDefault="00AE60AA" w:rsidP="00427D62">
      <w:pPr>
        <w:spacing w:after="0" w:line="240" w:lineRule="auto"/>
        <w:rPr>
          <w:rFonts w:ascii="Verdana" w:hAnsi="Verdana" w:cs="Arial"/>
        </w:rPr>
      </w:pPr>
      <w:r w:rsidRPr="00AA3B9F">
        <w:rPr>
          <w:rFonts w:ascii="Verdana" w:eastAsia="Calibri" w:hAnsi="Verdana" w:cs="Arial"/>
          <w:bCs/>
          <w:lang w:val="es-ES" w:eastAsia="es-ES"/>
        </w:rPr>
        <w:t>Cajicá</w:t>
      </w:r>
      <w:r w:rsidR="00427D62" w:rsidRPr="00AA3B9F">
        <w:rPr>
          <w:rFonts w:ascii="Verdana" w:eastAsia="Calibri" w:hAnsi="Verdana" w:cs="Arial"/>
          <w:bCs/>
          <w:lang w:val="es-ES" w:eastAsia="es-ES"/>
        </w:rPr>
        <w:t xml:space="preserve">, </w:t>
      </w:r>
      <w:r w:rsidRPr="00AA3B9F">
        <w:rPr>
          <w:rFonts w:ascii="Verdana" w:eastAsia="Calibri" w:hAnsi="Verdana" w:cs="Arial"/>
          <w:bCs/>
          <w:lang w:val="es-ES" w:eastAsia="es-ES"/>
        </w:rPr>
        <w:t>Cundinamarca</w:t>
      </w:r>
    </w:p>
    <w:p w14:paraId="5A2254BB" w14:textId="77777777" w:rsidR="00427D62" w:rsidRPr="00AA3B9F" w:rsidRDefault="00427D62" w:rsidP="00427D62">
      <w:pPr>
        <w:spacing w:after="0" w:line="240" w:lineRule="auto"/>
        <w:rPr>
          <w:rFonts w:ascii="Verdana" w:eastAsia="Calibri" w:hAnsi="Verdana" w:cs="Arial"/>
          <w:b/>
          <w:bCs/>
          <w:highlight w:val="cyan"/>
          <w:lang w:val="es-ES_tradnl" w:eastAsia="es-ES_tradnl"/>
        </w:rPr>
      </w:pPr>
    </w:p>
    <w:p w14:paraId="16C014F2" w14:textId="77777777" w:rsidR="008E36FB" w:rsidRPr="00AA3B9F" w:rsidRDefault="008E36FB" w:rsidP="00427D62">
      <w:pPr>
        <w:spacing w:after="0" w:line="240" w:lineRule="auto"/>
        <w:rPr>
          <w:rFonts w:ascii="Verdana" w:eastAsia="Calibri" w:hAnsi="Verdana" w:cs="Arial"/>
          <w:b/>
          <w:bCs/>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27D62" w:rsidRPr="00AA3B9F" w14:paraId="7BF46721" w14:textId="77777777" w:rsidTr="00CF215E">
        <w:trPr>
          <w:trHeight w:val="884"/>
        </w:trPr>
        <w:tc>
          <w:tcPr>
            <w:tcW w:w="2689" w:type="dxa"/>
          </w:tcPr>
          <w:p w14:paraId="5393EEE9" w14:textId="77777777" w:rsidR="00427D62" w:rsidRPr="00AA3B9F" w:rsidRDefault="00427D62" w:rsidP="00CF215E">
            <w:pPr>
              <w:jc w:val="both"/>
              <w:rPr>
                <w:rFonts w:ascii="Verdana" w:eastAsia="Calibri" w:hAnsi="Verdana" w:cs="Arial"/>
                <w:b/>
                <w:bCs/>
                <w:highlight w:val="cyan"/>
                <w:lang w:val="es-ES_tradnl" w:eastAsia="es-ES_tradnl"/>
              </w:rPr>
            </w:pPr>
          </w:p>
        </w:tc>
        <w:tc>
          <w:tcPr>
            <w:tcW w:w="6100" w:type="dxa"/>
          </w:tcPr>
          <w:p w14:paraId="6D4144AC" w14:textId="7B585EAB" w:rsidR="00427D62" w:rsidRPr="00AA3B9F" w:rsidRDefault="00427D62" w:rsidP="00CF215E">
            <w:pPr>
              <w:jc w:val="both"/>
              <w:rPr>
                <w:rFonts w:ascii="Verdana" w:eastAsia="Calibri" w:hAnsi="Verdana" w:cs="Arial"/>
                <w:b/>
                <w:bCs/>
                <w:highlight w:val="cyan"/>
                <w:lang w:val="es-ES" w:eastAsia="es-ES"/>
              </w:rPr>
            </w:pPr>
            <w:r w:rsidRPr="00AA3B9F">
              <w:rPr>
                <w:rFonts w:ascii="Verdana" w:eastAsia="Calibri" w:hAnsi="Verdana" w:cs="Arial"/>
                <w:b/>
                <w:bCs/>
                <w:lang w:val="es-ES" w:eastAsia="es-ES"/>
              </w:rPr>
              <w:t xml:space="preserve">Concepto </w:t>
            </w:r>
            <w:r w:rsidR="00E535D5" w:rsidRPr="00AA3B9F">
              <w:rPr>
                <w:rFonts w:ascii="Verdana" w:eastAsia="Calibri" w:hAnsi="Verdana" w:cs="Arial"/>
                <w:b/>
                <w:bCs/>
                <w:lang w:eastAsia="es-ES"/>
              </w:rPr>
              <w:t xml:space="preserve">C-876 </w:t>
            </w:r>
            <w:r w:rsidRPr="00AA3B9F">
              <w:rPr>
                <w:rFonts w:ascii="Verdana" w:eastAsia="Calibri" w:hAnsi="Verdana" w:cs="Arial"/>
                <w:b/>
                <w:bCs/>
                <w:lang w:val="es-ES" w:eastAsia="es-ES"/>
              </w:rPr>
              <w:t>de 2024</w:t>
            </w:r>
          </w:p>
        </w:tc>
      </w:tr>
      <w:tr w:rsidR="00427D62" w:rsidRPr="00AA3B9F" w14:paraId="112CBF60" w14:textId="77777777" w:rsidTr="00CF215E">
        <w:trPr>
          <w:trHeight w:val="884"/>
        </w:trPr>
        <w:tc>
          <w:tcPr>
            <w:tcW w:w="2689" w:type="dxa"/>
            <w:shd w:val="clear" w:color="auto" w:fill="auto"/>
          </w:tcPr>
          <w:p w14:paraId="6A254583" w14:textId="77777777" w:rsidR="00427D62" w:rsidRPr="00AA3B9F" w:rsidRDefault="00427D62" w:rsidP="00CF215E">
            <w:pPr>
              <w:jc w:val="both"/>
              <w:rPr>
                <w:rFonts w:ascii="Verdana" w:eastAsia="Calibri" w:hAnsi="Verdana" w:cs="Arial"/>
                <w:b/>
                <w:highlight w:val="cyan"/>
                <w:lang w:val="es-ES_tradnl" w:eastAsia="es-ES_tradnl"/>
              </w:rPr>
            </w:pPr>
            <w:r w:rsidRPr="00AA3B9F">
              <w:rPr>
                <w:rFonts w:ascii="Verdana" w:eastAsia="Calibri" w:hAnsi="Verdana" w:cs="Arial"/>
                <w:b/>
                <w:lang w:val="es-ES_tradnl" w:eastAsia="es-ES_tradnl"/>
              </w:rPr>
              <w:t xml:space="preserve">Temas:                   </w:t>
            </w:r>
          </w:p>
        </w:tc>
        <w:tc>
          <w:tcPr>
            <w:tcW w:w="6100" w:type="dxa"/>
          </w:tcPr>
          <w:p w14:paraId="1915FCB9" w14:textId="77777777" w:rsidR="00427D62" w:rsidRDefault="006B0F1F" w:rsidP="00CF215E">
            <w:pPr>
              <w:spacing w:line="276" w:lineRule="auto"/>
              <w:jc w:val="both"/>
              <w:rPr>
                <w:rFonts w:ascii="Verdana" w:eastAsia="Calibri" w:hAnsi="Verdana" w:cs="Arial"/>
                <w:bCs/>
                <w:lang w:val="es-ES" w:eastAsia="es-ES_tradnl"/>
              </w:rPr>
            </w:pPr>
            <w:r w:rsidRPr="006B0F1F">
              <w:rPr>
                <w:rFonts w:ascii="Verdana" w:eastAsia="Calibri" w:hAnsi="Verdana" w:cs="Arial"/>
                <w:bCs/>
                <w:lang w:val="es-ES" w:eastAsia="es-ES_tradnl"/>
              </w:rPr>
              <w:t xml:space="preserve">CABILDOS INDÍGENAS – AUTORIDADES TRADICIONALES INDÍGENAS – ASOCIACIONES DE CABILDOS INDÍGENAS Y/O AUTORIDADES TRADICIONALES INDÍGENAS – </w:t>
            </w:r>
            <w:proofErr w:type="gramStart"/>
            <w:r w:rsidRPr="006B0F1F">
              <w:rPr>
                <w:rFonts w:ascii="Verdana" w:eastAsia="Calibri" w:hAnsi="Verdana" w:cs="Arial"/>
                <w:bCs/>
                <w:lang w:val="es-ES" w:eastAsia="es-ES_tradnl"/>
              </w:rPr>
              <w:t>CONSEJOS INDÍGENAS Y ORGANIZACIONES INDÍGENAS</w:t>
            </w:r>
            <w:proofErr w:type="gramEnd"/>
            <w:r w:rsidRPr="006B0F1F">
              <w:rPr>
                <w:rFonts w:ascii="Verdana" w:eastAsia="Calibri" w:hAnsi="Verdana" w:cs="Arial"/>
                <w:bCs/>
                <w:lang w:val="es-ES" w:eastAsia="es-ES_tradnl"/>
              </w:rPr>
              <w:t xml:space="preserve"> – Noción – Régimen de contratación – Decreto 1088 de 1993 – Decreto 252 de 2020 – Ley 2160 de 2021 – Ley 2294 de 2023</w:t>
            </w:r>
          </w:p>
          <w:p w14:paraId="209F0FC5" w14:textId="68C6CEE5" w:rsidR="006B0F1F" w:rsidRPr="00AA3B9F" w:rsidRDefault="006B0F1F" w:rsidP="00CF215E">
            <w:pPr>
              <w:spacing w:line="276" w:lineRule="auto"/>
              <w:jc w:val="both"/>
              <w:rPr>
                <w:rFonts w:ascii="Verdana" w:eastAsia="Calibri" w:hAnsi="Verdana" w:cs="Arial"/>
                <w:highlight w:val="cyan"/>
                <w:lang w:val="es-ES" w:eastAsia="es-ES"/>
              </w:rPr>
            </w:pPr>
          </w:p>
        </w:tc>
      </w:tr>
      <w:tr w:rsidR="00427D62" w:rsidRPr="00AA3B9F" w14:paraId="366F0434" w14:textId="77777777" w:rsidTr="00C477BA">
        <w:trPr>
          <w:trHeight w:val="80"/>
        </w:trPr>
        <w:tc>
          <w:tcPr>
            <w:tcW w:w="2689" w:type="dxa"/>
          </w:tcPr>
          <w:p w14:paraId="7CB6924C" w14:textId="77777777" w:rsidR="00427D62" w:rsidRPr="00AA3B9F" w:rsidRDefault="00427D62" w:rsidP="00CF215E">
            <w:pPr>
              <w:jc w:val="both"/>
              <w:rPr>
                <w:rFonts w:ascii="Verdana" w:eastAsia="Calibri" w:hAnsi="Verdana" w:cs="Arial"/>
                <w:b/>
                <w:lang w:val="es-ES_tradnl" w:eastAsia="es-ES_tradnl"/>
              </w:rPr>
            </w:pPr>
            <w:r w:rsidRPr="00AA3B9F">
              <w:rPr>
                <w:rFonts w:ascii="Verdana" w:eastAsia="Calibri" w:hAnsi="Verdana" w:cs="Arial"/>
                <w:b/>
                <w:lang w:val="es-ES_tradnl" w:eastAsia="es-ES_tradnl"/>
              </w:rPr>
              <w:t>Radicación:</w:t>
            </w:r>
            <w:r w:rsidRPr="00AA3B9F">
              <w:rPr>
                <w:rFonts w:ascii="Verdana" w:eastAsia="Calibri" w:hAnsi="Verdana" w:cs="Arial"/>
                <w:lang w:val="es-ES_tradnl" w:eastAsia="es-ES_tradnl"/>
              </w:rPr>
              <w:t xml:space="preserve">               </w:t>
            </w:r>
          </w:p>
        </w:tc>
        <w:tc>
          <w:tcPr>
            <w:tcW w:w="6100" w:type="dxa"/>
          </w:tcPr>
          <w:p w14:paraId="0317784E" w14:textId="5C96E83C" w:rsidR="00427D62" w:rsidRPr="00AA3B9F" w:rsidRDefault="00427D62" w:rsidP="00CF215E">
            <w:pPr>
              <w:jc w:val="both"/>
              <w:rPr>
                <w:rFonts w:ascii="Verdana" w:eastAsia="Calibri" w:hAnsi="Verdana" w:cs="Arial"/>
                <w:lang w:eastAsia="es-ES_tradnl"/>
              </w:rPr>
            </w:pPr>
            <w:r w:rsidRPr="00AA3B9F">
              <w:rPr>
                <w:rFonts w:ascii="Verdana" w:eastAsia="Calibri" w:hAnsi="Verdana" w:cs="Arial"/>
                <w:lang w:val="es-ES_tradnl" w:eastAsia="es-ES_tradnl"/>
              </w:rPr>
              <w:t xml:space="preserve">Respuesta a consulta con radicado No. </w:t>
            </w:r>
            <w:r w:rsidR="00C477BA" w:rsidRPr="00AA3B9F">
              <w:rPr>
                <w:rFonts w:ascii="Verdana" w:eastAsia="Calibri" w:hAnsi="Verdana" w:cs="Arial"/>
                <w:lang w:eastAsia="es-ES_tradnl"/>
              </w:rPr>
              <w:t>P20241114011443</w:t>
            </w:r>
            <w:r w:rsidRPr="00AA3B9F">
              <w:rPr>
                <w:rFonts w:ascii="Verdana" w:eastAsia="Calibri" w:hAnsi="Verdana" w:cs="Arial"/>
                <w:lang w:eastAsia="es-ES_tradnl"/>
              </w:rPr>
              <w:t>.</w:t>
            </w:r>
          </w:p>
        </w:tc>
      </w:tr>
    </w:tbl>
    <w:p w14:paraId="5C011DC0" w14:textId="77777777" w:rsidR="00427D62" w:rsidRPr="00AA3B9F" w:rsidRDefault="00427D62" w:rsidP="00427D62">
      <w:pPr>
        <w:spacing w:after="0" w:line="240" w:lineRule="auto"/>
        <w:jc w:val="both"/>
        <w:rPr>
          <w:rFonts w:ascii="Verdana" w:eastAsia="Calibri" w:hAnsi="Verdana" w:cs="Arial"/>
          <w:highlight w:val="cyan"/>
          <w:lang w:val="es-ES_tradnl" w:eastAsia="es-ES_tradnl"/>
        </w:rPr>
      </w:pPr>
    </w:p>
    <w:p w14:paraId="31DF3DF2" w14:textId="77777777" w:rsidR="00427D62" w:rsidRPr="00AA3B9F" w:rsidRDefault="00427D62" w:rsidP="00427D62">
      <w:pPr>
        <w:spacing w:after="0" w:line="240" w:lineRule="auto"/>
        <w:jc w:val="both"/>
        <w:rPr>
          <w:rFonts w:ascii="Verdana" w:eastAsia="Calibri" w:hAnsi="Verdana" w:cs="Arial"/>
          <w:highlight w:val="cyan"/>
          <w:lang w:val="es-ES_tradnl" w:eastAsia="es-ES_tradnl"/>
        </w:rPr>
      </w:pPr>
    </w:p>
    <w:p w14:paraId="5C5835AB" w14:textId="4A1160ED" w:rsidR="00427D62" w:rsidRPr="00AA3B9F" w:rsidRDefault="00427D62" w:rsidP="00427D62">
      <w:pPr>
        <w:spacing w:after="0" w:line="276" w:lineRule="auto"/>
        <w:jc w:val="both"/>
        <w:rPr>
          <w:rFonts w:ascii="Verdana" w:eastAsia="Calibri" w:hAnsi="Verdana" w:cs="Arial"/>
          <w:lang w:val="es-ES" w:eastAsia="es-ES"/>
        </w:rPr>
      </w:pPr>
      <w:r w:rsidRPr="00AA3B9F">
        <w:rPr>
          <w:rFonts w:ascii="Verdana" w:eastAsia="Calibri" w:hAnsi="Verdana" w:cs="Arial"/>
          <w:lang w:val="es-ES" w:eastAsia="es-ES"/>
        </w:rPr>
        <w:t>Estimad</w:t>
      </w:r>
      <w:r w:rsidR="001F3139" w:rsidRPr="00AA3B9F">
        <w:rPr>
          <w:rFonts w:ascii="Verdana" w:eastAsia="Calibri" w:hAnsi="Verdana" w:cs="Arial"/>
          <w:lang w:val="es-ES" w:eastAsia="es-ES"/>
        </w:rPr>
        <w:t>a</w:t>
      </w:r>
      <w:r w:rsidRPr="00AA3B9F">
        <w:rPr>
          <w:rFonts w:ascii="Verdana" w:eastAsia="Calibri" w:hAnsi="Verdana" w:cs="Arial"/>
          <w:lang w:val="es-ES" w:eastAsia="es-ES"/>
        </w:rPr>
        <w:t xml:space="preserve"> señor</w:t>
      </w:r>
      <w:r w:rsidR="001F3139" w:rsidRPr="00AA3B9F">
        <w:rPr>
          <w:rFonts w:ascii="Verdana" w:eastAsia="Calibri" w:hAnsi="Verdana" w:cs="Arial"/>
          <w:lang w:val="es-ES" w:eastAsia="es-ES"/>
        </w:rPr>
        <w:t>a</w:t>
      </w:r>
      <w:r w:rsidRPr="00AA3B9F">
        <w:rPr>
          <w:rFonts w:ascii="Verdana" w:eastAsia="Calibri" w:hAnsi="Verdana" w:cs="Arial"/>
          <w:lang w:val="es-ES" w:eastAsia="es-ES"/>
        </w:rPr>
        <w:t xml:space="preserve"> </w:t>
      </w:r>
      <w:r w:rsidR="001F3139" w:rsidRPr="00AA3B9F">
        <w:rPr>
          <w:rFonts w:ascii="Verdana" w:eastAsia="Calibri" w:hAnsi="Verdana" w:cs="Arial"/>
          <w:bCs/>
          <w:lang w:val="es-ES" w:eastAsia="es-ES"/>
        </w:rPr>
        <w:t>Rodríguez</w:t>
      </w:r>
      <w:r w:rsidRPr="00AA3B9F">
        <w:rPr>
          <w:rFonts w:ascii="Verdana" w:eastAsia="Calibri" w:hAnsi="Verdana" w:cs="Arial"/>
          <w:lang w:val="es-ES" w:eastAsia="es-ES"/>
        </w:rPr>
        <w:t>;</w:t>
      </w:r>
    </w:p>
    <w:p w14:paraId="3F0FC946" w14:textId="77777777" w:rsidR="00427D62" w:rsidRPr="00AA3B9F" w:rsidRDefault="00427D62" w:rsidP="00427D62">
      <w:pPr>
        <w:tabs>
          <w:tab w:val="left" w:pos="3768"/>
        </w:tabs>
        <w:spacing w:after="0" w:line="276" w:lineRule="auto"/>
        <w:jc w:val="both"/>
        <w:rPr>
          <w:rFonts w:ascii="Verdana" w:eastAsia="Calibri" w:hAnsi="Verdana" w:cs="Arial"/>
          <w:highlight w:val="cyan"/>
          <w:lang w:val="es-ES" w:eastAsia="es-ES"/>
        </w:rPr>
      </w:pPr>
    </w:p>
    <w:p w14:paraId="5BA94856" w14:textId="76A3C151" w:rsidR="00427D62" w:rsidRPr="00AA3B9F" w:rsidRDefault="00427D62" w:rsidP="00427D62">
      <w:pPr>
        <w:spacing w:after="0" w:line="276" w:lineRule="auto"/>
        <w:jc w:val="both"/>
        <w:rPr>
          <w:rFonts w:ascii="Verdana" w:eastAsia="Calibri" w:hAnsi="Verdana" w:cs="Arial"/>
          <w:lang w:val="es-ES" w:eastAsia="es-ES"/>
        </w:rPr>
      </w:pPr>
      <w:r w:rsidRPr="00AA3B9F">
        <w:rPr>
          <w:rFonts w:ascii="Verdana" w:eastAsia="Calibri" w:hAnsi="Verdana" w:cs="Arial"/>
          <w:lang w:val="es-ES" w:eastAsia="es-ES"/>
        </w:rPr>
        <w:t>En ejercicio de la competencia otorgada por los artículos 3, numeral 5º, y 11, numeral 8º, del Decreto Ley 4170 de 2011,</w:t>
      </w:r>
      <w:r w:rsidRPr="00AA3B9F">
        <w:rPr>
          <w:rFonts w:ascii="Verdana" w:eastAsia="Arial MT" w:hAnsi="Verdana" w:cs="Arial"/>
          <w:lang w:val="es-ES" w:eastAsia="es-ES"/>
        </w:rPr>
        <w:t xml:space="preserve"> </w:t>
      </w:r>
      <w:r w:rsidRPr="00AA3B9F">
        <w:rPr>
          <w:rFonts w:ascii="Verdana" w:hAnsi="Verdana" w:cs="Arial"/>
        </w:rPr>
        <w:t xml:space="preserve">así como lo establecido en el artículo 4 de la Resolución 1707 de 2018 expedida por esta Entidad, </w:t>
      </w:r>
      <w:r w:rsidRPr="00AA3B9F">
        <w:rPr>
          <w:rFonts w:ascii="Verdana" w:eastAsia="Calibri" w:hAnsi="Verdana" w:cs="Arial"/>
          <w:lang w:val="es-ES" w:eastAsia="es-ES"/>
        </w:rPr>
        <w:t xml:space="preserve">la Agencia Nacional de Contratación Pública – Colombia Compra Eficiente– responde su solicitud de consulta de fecha </w:t>
      </w:r>
      <w:r w:rsidR="004A7358" w:rsidRPr="00AA3B9F">
        <w:rPr>
          <w:rFonts w:ascii="Verdana" w:eastAsia="Calibri" w:hAnsi="Verdana" w:cs="Arial"/>
          <w:lang w:val="es-ES" w:eastAsia="es-ES"/>
        </w:rPr>
        <w:t>14 de noviembre del 2024</w:t>
      </w:r>
      <w:r w:rsidRPr="00AA3B9F">
        <w:rPr>
          <w:rFonts w:ascii="Verdana" w:eastAsia="Calibri" w:hAnsi="Verdana" w:cs="Arial"/>
          <w:lang w:val="es-ES" w:eastAsia="es-ES"/>
        </w:rPr>
        <w:t xml:space="preserve">, en la cual manifiesta lo siguiente: </w:t>
      </w:r>
    </w:p>
    <w:p w14:paraId="0848F725" w14:textId="77777777" w:rsidR="00427D62" w:rsidRPr="00AA3B9F" w:rsidRDefault="00427D62" w:rsidP="00427D62">
      <w:pPr>
        <w:spacing w:after="0"/>
        <w:jc w:val="both"/>
        <w:rPr>
          <w:rFonts w:ascii="Verdana" w:hAnsi="Verdana" w:cs="Arial"/>
          <w:sz w:val="20"/>
          <w:szCs w:val="20"/>
          <w:highlight w:val="cyan"/>
          <w:lang w:val="es-ES"/>
        </w:rPr>
      </w:pPr>
    </w:p>
    <w:p w14:paraId="12BFF061" w14:textId="7FC7BC08" w:rsidR="00D67CFF" w:rsidRPr="00AA3B9F" w:rsidRDefault="00427D62" w:rsidP="008F09EE">
      <w:pPr>
        <w:spacing w:after="0" w:line="240" w:lineRule="auto"/>
        <w:ind w:left="709" w:right="709"/>
        <w:jc w:val="both"/>
        <w:rPr>
          <w:rFonts w:ascii="Verdana" w:eastAsia="Century Gothic" w:hAnsi="Verdana" w:cs="Arial"/>
          <w:sz w:val="20"/>
          <w:szCs w:val="20"/>
          <w:lang w:val="es-ES"/>
        </w:rPr>
      </w:pPr>
      <w:r w:rsidRPr="00AA3B9F">
        <w:rPr>
          <w:rFonts w:ascii="Verdana" w:eastAsia="Century Gothic" w:hAnsi="Verdana" w:cs="Arial"/>
          <w:sz w:val="20"/>
          <w:szCs w:val="20"/>
          <w:lang w:val="es-ES"/>
        </w:rPr>
        <w:t xml:space="preserve">“[…] </w:t>
      </w:r>
      <w:r w:rsidR="008F09EE" w:rsidRPr="00AA3B9F">
        <w:rPr>
          <w:rFonts w:ascii="Verdana" w:eastAsia="Century Gothic" w:hAnsi="Verdana" w:cs="Arial"/>
          <w:sz w:val="20"/>
          <w:szCs w:val="20"/>
          <w:lang w:val="es-ES"/>
        </w:rPr>
        <w:t xml:space="preserve">Conforme al Decreto 252 del 2020, Ley </w:t>
      </w:r>
      <w:r w:rsidR="00D67CFF" w:rsidRPr="00AA3B9F">
        <w:rPr>
          <w:rFonts w:ascii="Verdana" w:eastAsia="Century Gothic" w:hAnsi="Verdana" w:cs="Arial"/>
          <w:sz w:val="20"/>
          <w:szCs w:val="20"/>
          <w:lang w:val="es-ES"/>
        </w:rPr>
        <w:t>2160 de 2021 los cuales modifican la ley 80 de 1993, y en el cual se establece la posibilidad de celebrar contratos y convenios con las organizaciones indígenas de manera directa modificando el literal l del numeral 4 del</w:t>
      </w:r>
      <w:r w:rsidR="00B177CE" w:rsidRPr="00AA3B9F">
        <w:rPr>
          <w:rFonts w:ascii="Verdana" w:eastAsia="Century Gothic" w:hAnsi="Verdana" w:cs="Arial"/>
          <w:sz w:val="20"/>
          <w:szCs w:val="20"/>
          <w:lang w:val="es-ES"/>
        </w:rPr>
        <w:t xml:space="preserve"> artículo 2 de la ley </w:t>
      </w:r>
      <w:r w:rsidR="00612A41" w:rsidRPr="00AA3B9F">
        <w:rPr>
          <w:rFonts w:ascii="Verdana" w:eastAsia="Century Gothic" w:hAnsi="Verdana" w:cs="Arial"/>
          <w:sz w:val="20"/>
          <w:szCs w:val="20"/>
          <w:lang w:val="es-ES"/>
        </w:rPr>
        <w:t>1150 de 2007</w:t>
      </w:r>
      <w:r w:rsidR="004A6CD3" w:rsidRPr="00AA3B9F">
        <w:rPr>
          <w:rFonts w:ascii="Verdana" w:eastAsia="Century Gothic" w:hAnsi="Verdana" w:cs="Arial"/>
          <w:sz w:val="20"/>
          <w:szCs w:val="20"/>
          <w:lang w:val="es-ES"/>
        </w:rPr>
        <w:t>.</w:t>
      </w:r>
    </w:p>
    <w:p w14:paraId="19671B8A" w14:textId="77777777" w:rsidR="004A6CD3" w:rsidRPr="00AA3B9F" w:rsidRDefault="004A6CD3" w:rsidP="008F09EE">
      <w:pPr>
        <w:spacing w:after="0" w:line="240" w:lineRule="auto"/>
        <w:ind w:left="709" w:right="709"/>
        <w:jc w:val="both"/>
        <w:rPr>
          <w:rFonts w:ascii="Verdana" w:eastAsia="Century Gothic" w:hAnsi="Verdana" w:cs="Arial"/>
          <w:sz w:val="20"/>
          <w:szCs w:val="20"/>
          <w:lang w:val="es-ES"/>
        </w:rPr>
      </w:pPr>
    </w:p>
    <w:p w14:paraId="24AC92E2" w14:textId="76C4A305" w:rsidR="004A6CD3" w:rsidRPr="00AA3B9F" w:rsidRDefault="004A6CD3" w:rsidP="008F09EE">
      <w:pPr>
        <w:spacing w:after="0" w:line="240" w:lineRule="auto"/>
        <w:ind w:left="709" w:right="709"/>
        <w:jc w:val="both"/>
        <w:rPr>
          <w:rFonts w:ascii="Verdana" w:eastAsia="Century Gothic" w:hAnsi="Verdana" w:cs="Arial"/>
          <w:sz w:val="20"/>
          <w:szCs w:val="20"/>
          <w:lang w:val="es-ES"/>
        </w:rPr>
      </w:pPr>
      <w:r w:rsidRPr="00AA3B9F">
        <w:rPr>
          <w:rFonts w:ascii="Verdana" w:eastAsia="Century Gothic" w:hAnsi="Verdana" w:cs="Arial"/>
          <w:sz w:val="20"/>
          <w:szCs w:val="20"/>
          <w:lang w:val="es-ES"/>
        </w:rPr>
        <w:t xml:space="preserve">Por lo anterior y con el fin de esclarecer </w:t>
      </w:r>
      <w:r w:rsidR="00D80DE0" w:rsidRPr="00AA3B9F">
        <w:rPr>
          <w:rFonts w:ascii="Verdana" w:eastAsia="Century Gothic" w:hAnsi="Verdana" w:cs="Arial"/>
          <w:sz w:val="20"/>
          <w:szCs w:val="20"/>
          <w:lang w:val="es-ES"/>
        </w:rPr>
        <w:t xml:space="preserve">el espíritu de la norma se solicita por parte de su entidad dentro del marco de </w:t>
      </w:r>
      <w:r w:rsidR="00F93BB3" w:rsidRPr="00AA3B9F">
        <w:rPr>
          <w:rFonts w:ascii="Verdana" w:eastAsia="Century Gothic" w:hAnsi="Verdana" w:cs="Arial"/>
          <w:sz w:val="20"/>
          <w:szCs w:val="20"/>
          <w:lang w:val="es-ES"/>
        </w:rPr>
        <w:t>su competencia</w:t>
      </w:r>
      <w:r w:rsidR="00D80DE0" w:rsidRPr="00AA3B9F">
        <w:rPr>
          <w:rFonts w:ascii="Verdana" w:eastAsia="Century Gothic" w:hAnsi="Verdana" w:cs="Arial"/>
          <w:sz w:val="20"/>
          <w:szCs w:val="20"/>
          <w:lang w:val="es-ES"/>
        </w:rPr>
        <w:t xml:space="preserve">: </w:t>
      </w:r>
    </w:p>
    <w:p w14:paraId="3BE528C6" w14:textId="77777777" w:rsidR="00F93BB3" w:rsidRPr="00AA3B9F" w:rsidRDefault="00F93BB3" w:rsidP="008F09EE">
      <w:pPr>
        <w:spacing w:after="0" w:line="240" w:lineRule="auto"/>
        <w:ind w:left="709" w:right="709"/>
        <w:jc w:val="both"/>
        <w:rPr>
          <w:rFonts w:ascii="Verdana" w:eastAsia="Century Gothic" w:hAnsi="Verdana" w:cs="Arial"/>
          <w:sz w:val="20"/>
          <w:szCs w:val="20"/>
          <w:lang w:val="es-ES"/>
        </w:rPr>
      </w:pPr>
    </w:p>
    <w:p w14:paraId="58BD79FE" w14:textId="4CEDCAE0" w:rsidR="00F93BB3" w:rsidRPr="00AA3B9F" w:rsidRDefault="00F93BB3" w:rsidP="00F93BB3">
      <w:pPr>
        <w:pStyle w:val="Prrafodelista"/>
        <w:numPr>
          <w:ilvl w:val="0"/>
          <w:numId w:val="17"/>
        </w:numPr>
        <w:spacing w:after="0" w:line="240" w:lineRule="auto"/>
        <w:ind w:right="709"/>
        <w:jc w:val="both"/>
        <w:rPr>
          <w:rFonts w:ascii="Verdana" w:eastAsia="Century Gothic" w:hAnsi="Verdana" w:cs="Arial"/>
          <w:sz w:val="20"/>
          <w:szCs w:val="20"/>
        </w:rPr>
      </w:pPr>
      <w:r w:rsidRPr="00AA3B9F">
        <w:rPr>
          <w:rFonts w:ascii="Verdana" w:eastAsia="Century Gothic" w:hAnsi="Verdana" w:cs="Arial"/>
          <w:sz w:val="20"/>
          <w:szCs w:val="20"/>
        </w:rPr>
        <w:t xml:space="preserve">Si las diferentes formas de asociación o comunidades que conforman estas organizaciones se tipifican dentro de esta causal de contratación directa. </w:t>
      </w:r>
    </w:p>
    <w:p w14:paraId="43449C96" w14:textId="77777777" w:rsidR="00F93BB3" w:rsidRPr="00AA3B9F" w:rsidRDefault="00F93BB3" w:rsidP="00F93BB3">
      <w:pPr>
        <w:pStyle w:val="Prrafodelista"/>
        <w:spacing w:after="0" w:line="240" w:lineRule="auto"/>
        <w:ind w:left="1069" w:right="709"/>
        <w:jc w:val="both"/>
        <w:rPr>
          <w:rFonts w:ascii="Verdana" w:eastAsia="Century Gothic" w:hAnsi="Verdana" w:cs="Arial"/>
          <w:sz w:val="20"/>
          <w:szCs w:val="20"/>
        </w:rPr>
      </w:pPr>
    </w:p>
    <w:p w14:paraId="0AEE5A0B" w14:textId="2903674F" w:rsidR="00F93BB3" w:rsidRPr="00AA3B9F" w:rsidRDefault="00F93BB3" w:rsidP="00F93BB3">
      <w:pPr>
        <w:pStyle w:val="Prrafodelista"/>
        <w:numPr>
          <w:ilvl w:val="0"/>
          <w:numId w:val="17"/>
        </w:numPr>
        <w:spacing w:after="0" w:line="240" w:lineRule="auto"/>
        <w:ind w:right="709"/>
        <w:jc w:val="both"/>
        <w:rPr>
          <w:rFonts w:ascii="Verdana" w:eastAsia="Century Gothic" w:hAnsi="Verdana" w:cs="Arial"/>
          <w:sz w:val="20"/>
          <w:szCs w:val="20"/>
        </w:rPr>
      </w:pPr>
      <w:r w:rsidRPr="00AA3B9F">
        <w:rPr>
          <w:rFonts w:ascii="Verdana" w:eastAsia="Century Gothic" w:hAnsi="Verdana" w:cs="Arial"/>
          <w:sz w:val="20"/>
          <w:szCs w:val="20"/>
        </w:rPr>
        <w:t xml:space="preserve">Que documento se debe aportar para </w:t>
      </w:r>
      <w:r w:rsidR="00A10F48" w:rsidRPr="00AA3B9F">
        <w:rPr>
          <w:rFonts w:ascii="Verdana" w:eastAsia="Century Gothic" w:hAnsi="Verdana" w:cs="Arial"/>
          <w:sz w:val="20"/>
          <w:szCs w:val="20"/>
        </w:rPr>
        <w:t xml:space="preserve">que este tipo de organizaciones o asociaciones se entren implícitas en esta causal de contratación. </w:t>
      </w:r>
    </w:p>
    <w:p w14:paraId="3F853B9E" w14:textId="77777777" w:rsidR="00A10F48" w:rsidRPr="00AA3B9F" w:rsidRDefault="00A10F48" w:rsidP="00A10F48">
      <w:pPr>
        <w:pStyle w:val="Prrafodelista"/>
        <w:rPr>
          <w:rFonts w:ascii="Verdana" w:eastAsia="Century Gothic" w:hAnsi="Verdana" w:cs="Arial"/>
          <w:sz w:val="20"/>
          <w:szCs w:val="20"/>
        </w:rPr>
      </w:pPr>
    </w:p>
    <w:p w14:paraId="0E76A6D1" w14:textId="4B1562AE" w:rsidR="00427D62" w:rsidRPr="00AA3B9F" w:rsidRDefault="00A10F48" w:rsidP="00A10F48">
      <w:pPr>
        <w:pStyle w:val="Prrafodelista"/>
        <w:numPr>
          <w:ilvl w:val="0"/>
          <w:numId w:val="17"/>
        </w:numPr>
        <w:spacing w:after="0" w:line="240" w:lineRule="auto"/>
        <w:ind w:right="709"/>
        <w:jc w:val="both"/>
        <w:rPr>
          <w:rFonts w:ascii="Verdana" w:eastAsia="Century Gothic" w:hAnsi="Verdana" w:cs="Arial"/>
          <w:sz w:val="20"/>
          <w:szCs w:val="20"/>
        </w:rPr>
      </w:pPr>
      <w:r w:rsidRPr="00AA3B9F">
        <w:rPr>
          <w:rFonts w:ascii="Verdana" w:eastAsia="Century Gothic" w:hAnsi="Verdana" w:cs="Arial"/>
          <w:sz w:val="20"/>
          <w:szCs w:val="20"/>
        </w:rPr>
        <w:t xml:space="preserve">Es suficiente aportar la certificación de la Cámara de Comercio como documento idóneo para ostentar esta calidad. </w:t>
      </w:r>
      <w:r w:rsidR="00427D62" w:rsidRPr="00AA3B9F">
        <w:rPr>
          <w:rFonts w:ascii="Verdana" w:eastAsia="Century Gothic" w:hAnsi="Verdana" w:cs="Arial"/>
          <w:sz w:val="20"/>
          <w:szCs w:val="20"/>
        </w:rPr>
        <w:t>[…]”</w:t>
      </w:r>
    </w:p>
    <w:p w14:paraId="78EA53C6" w14:textId="77777777" w:rsidR="00427D62" w:rsidRPr="00AA3B9F" w:rsidRDefault="00427D62" w:rsidP="00427D62">
      <w:pPr>
        <w:spacing w:after="0"/>
        <w:jc w:val="both"/>
        <w:rPr>
          <w:rFonts w:ascii="Verdana" w:hAnsi="Verdana" w:cs="Arial"/>
          <w:highlight w:val="cyan"/>
          <w:lang w:val="es-ES"/>
        </w:rPr>
      </w:pPr>
    </w:p>
    <w:p w14:paraId="509CC771" w14:textId="77777777" w:rsidR="00427D62" w:rsidRPr="00AA3B9F" w:rsidRDefault="00427D62" w:rsidP="00427D62">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299C2546" w14:textId="77777777" w:rsidR="00427D62" w:rsidRPr="00AA3B9F" w:rsidRDefault="00427D62" w:rsidP="00427D62">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664EC57F" w14:textId="77777777" w:rsidR="00427D62" w:rsidRPr="00AA3B9F" w:rsidRDefault="00427D62" w:rsidP="00427D62">
      <w:pPr>
        <w:spacing w:after="0"/>
        <w:jc w:val="both"/>
        <w:rPr>
          <w:rFonts w:ascii="Verdana" w:hAnsi="Verdana" w:cs="Arial"/>
          <w:highlight w:val="cyan"/>
          <w:lang w:val="es-ES"/>
        </w:rPr>
      </w:pPr>
    </w:p>
    <w:p w14:paraId="76FB7585" w14:textId="77777777" w:rsidR="00427D62" w:rsidRPr="00AA3B9F" w:rsidRDefault="00427D62" w:rsidP="00427D62">
      <w:pPr>
        <w:pStyle w:val="Prrafodelista"/>
        <w:numPr>
          <w:ilvl w:val="0"/>
          <w:numId w:val="16"/>
        </w:numPr>
        <w:tabs>
          <w:tab w:val="left" w:pos="142"/>
          <w:tab w:val="left" w:pos="284"/>
        </w:tabs>
        <w:spacing w:after="0" w:line="276" w:lineRule="auto"/>
        <w:ind w:left="0" w:firstLine="0"/>
        <w:jc w:val="both"/>
        <w:rPr>
          <w:rFonts w:ascii="Verdana" w:eastAsia="Century Gothic" w:hAnsi="Verdana" w:cs="Arial"/>
          <w:b/>
          <w:bCs/>
        </w:rPr>
      </w:pPr>
      <w:r w:rsidRPr="00AA3B9F">
        <w:rPr>
          <w:rFonts w:ascii="Verdana" w:eastAsia="Century Gothic" w:hAnsi="Verdana" w:cs="Arial"/>
          <w:b/>
          <w:bCs/>
        </w:rPr>
        <w:t>Problema planteado:</w:t>
      </w:r>
    </w:p>
    <w:p w14:paraId="27D86E19" w14:textId="77777777" w:rsidR="00427D62" w:rsidRPr="00AA3B9F" w:rsidRDefault="00427D62" w:rsidP="00427D62">
      <w:pPr>
        <w:tabs>
          <w:tab w:val="left" w:pos="426"/>
        </w:tabs>
        <w:spacing w:after="0" w:line="276" w:lineRule="auto"/>
        <w:jc w:val="both"/>
        <w:rPr>
          <w:rFonts w:ascii="Verdana" w:eastAsia="Century Gothic" w:hAnsi="Verdana" w:cs="Arial"/>
          <w:lang w:val="es-ES"/>
        </w:rPr>
      </w:pPr>
    </w:p>
    <w:p w14:paraId="35047572" w14:textId="15C7C900" w:rsidR="00427D62" w:rsidRPr="00AA3B9F" w:rsidRDefault="00427D62" w:rsidP="00427D62">
      <w:pPr>
        <w:spacing w:after="0" w:line="276" w:lineRule="auto"/>
        <w:jc w:val="both"/>
        <w:rPr>
          <w:rFonts w:ascii="Verdana" w:eastAsia="Century Gothic" w:hAnsi="Verdana" w:cs="Arial"/>
        </w:rPr>
      </w:pPr>
      <w:r w:rsidRPr="00AA3B9F">
        <w:rPr>
          <w:rFonts w:ascii="Verdana" w:eastAsia="Century Gothic" w:hAnsi="Verdana" w:cs="Arial"/>
        </w:rPr>
        <w:t xml:space="preserve">De acuerdo con el contenido de su solicitud, esta Agencia resolverá los siguientes problemas jurídicos: i) </w:t>
      </w:r>
      <w:r w:rsidR="00050C56" w:rsidRPr="00AA3B9F">
        <w:rPr>
          <w:rFonts w:ascii="Verdana" w:eastAsia="Century Gothic" w:hAnsi="Verdana" w:cs="Arial"/>
        </w:rPr>
        <w:t>¿</w:t>
      </w:r>
      <w:r w:rsidR="00A45297" w:rsidRPr="00AA3B9F">
        <w:rPr>
          <w:rFonts w:ascii="Verdana" w:eastAsia="Century Gothic" w:hAnsi="Verdana" w:cs="Arial"/>
        </w:rPr>
        <w:t>Qué</w:t>
      </w:r>
      <w:r w:rsidR="00050C56" w:rsidRPr="00AA3B9F">
        <w:rPr>
          <w:rFonts w:ascii="Verdana" w:eastAsia="Century Gothic" w:hAnsi="Verdana" w:cs="Arial"/>
        </w:rPr>
        <w:t xml:space="preserve"> formas de asociación</w:t>
      </w:r>
      <w:r w:rsidR="00EC529C" w:rsidRPr="00AA3B9F">
        <w:rPr>
          <w:rFonts w:ascii="Verdana" w:eastAsia="Century Gothic" w:hAnsi="Verdana" w:cs="Arial"/>
        </w:rPr>
        <w:t xml:space="preserve"> u organización</w:t>
      </w:r>
      <w:r w:rsidR="00050C56" w:rsidRPr="00AA3B9F">
        <w:rPr>
          <w:rFonts w:ascii="Verdana" w:eastAsia="Century Gothic" w:hAnsi="Verdana" w:cs="Arial"/>
        </w:rPr>
        <w:t xml:space="preserve"> indígena cuentan con capacidad jurídica para contratar</w:t>
      </w:r>
      <w:r w:rsidR="00422299" w:rsidRPr="00AA3B9F">
        <w:rPr>
          <w:rFonts w:ascii="Verdana" w:eastAsia="Century Gothic" w:hAnsi="Verdana" w:cs="Arial"/>
        </w:rPr>
        <w:t xml:space="preserve"> conforme a </w:t>
      </w:r>
      <w:r w:rsidR="00783160" w:rsidRPr="00AA3B9F">
        <w:rPr>
          <w:rFonts w:ascii="Verdana" w:eastAsia="Century Gothic" w:hAnsi="Verdana" w:cs="Arial"/>
        </w:rPr>
        <w:t xml:space="preserve">los Decreto 1088 de 1993 y 252 de 2020?; </w:t>
      </w:r>
      <w:proofErr w:type="spellStart"/>
      <w:r w:rsidR="00783160" w:rsidRPr="00AA3B9F">
        <w:rPr>
          <w:rFonts w:ascii="Verdana" w:eastAsia="Century Gothic" w:hAnsi="Verdana" w:cs="Arial"/>
        </w:rPr>
        <w:t>ii</w:t>
      </w:r>
      <w:proofErr w:type="spellEnd"/>
      <w:r w:rsidR="00783160" w:rsidRPr="00AA3B9F">
        <w:rPr>
          <w:rFonts w:ascii="Verdana" w:eastAsia="Century Gothic" w:hAnsi="Verdana" w:cs="Arial"/>
        </w:rPr>
        <w:t xml:space="preserve">) </w:t>
      </w:r>
      <w:r w:rsidR="00A45297" w:rsidRPr="00AA3B9F">
        <w:rPr>
          <w:rFonts w:ascii="Verdana" w:eastAsia="Century Gothic" w:hAnsi="Verdana" w:cs="Arial"/>
        </w:rPr>
        <w:t xml:space="preserve">¿Qué </w:t>
      </w:r>
      <w:r w:rsidR="00A2261D" w:rsidRPr="00AA3B9F">
        <w:rPr>
          <w:rFonts w:ascii="Verdana" w:eastAsia="Century Gothic" w:hAnsi="Verdana" w:cs="Arial"/>
        </w:rPr>
        <w:t>formas de asociación</w:t>
      </w:r>
      <w:r w:rsidR="00EC529C" w:rsidRPr="00AA3B9F">
        <w:rPr>
          <w:rFonts w:ascii="Verdana" w:eastAsia="Century Gothic" w:hAnsi="Verdana" w:cs="Arial"/>
        </w:rPr>
        <w:t xml:space="preserve"> u organización</w:t>
      </w:r>
      <w:r w:rsidR="00A2261D" w:rsidRPr="00AA3B9F">
        <w:rPr>
          <w:rFonts w:ascii="Verdana" w:eastAsia="Century Gothic" w:hAnsi="Verdana" w:cs="Arial"/>
        </w:rPr>
        <w:t xml:space="preserve"> indígena cuentan con capacidad para contratar conforme a lo dispuesto en la ley 2294 del </w:t>
      </w:r>
      <w:r w:rsidR="00A2261D" w:rsidRPr="00AA3B9F">
        <w:rPr>
          <w:rFonts w:ascii="Verdana" w:eastAsia="Century Gothic" w:hAnsi="Verdana" w:cs="Arial"/>
        </w:rPr>
        <w:lastRenderedPageBreak/>
        <w:t xml:space="preserve">2023?; </w:t>
      </w:r>
      <w:proofErr w:type="spellStart"/>
      <w:r w:rsidR="00A2261D" w:rsidRPr="00AA3B9F">
        <w:rPr>
          <w:rFonts w:ascii="Verdana" w:eastAsia="Century Gothic" w:hAnsi="Verdana" w:cs="Arial"/>
        </w:rPr>
        <w:t>iii</w:t>
      </w:r>
      <w:proofErr w:type="spellEnd"/>
      <w:r w:rsidR="00A2261D" w:rsidRPr="00AA3B9F">
        <w:rPr>
          <w:rFonts w:ascii="Verdana" w:eastAsia="Century Gothic" w:hAnsi="Verdana" w:cs="Arial"/>
        </w:rPr>
        <w:t xml:space="preserve">) </w:t>
      </w:r>
      <w:r w:rsidR="00E1022D" w:rsidRPr="00AA3B9F">
        <w:rPr>
          <w:rFonts w:ascii="Verdana" w:eastAsia="Century Gothic" w:hAnsi="Verdana" w:cs="Arial"/>
        </w:rPr>
        <w:t>¿</w:t>
      </w:r>
      <w:r w:rsidR="00E67F15" w:rsidRPr="00AA3B9F">
        <w:rPr>
          <w:rFonts w:ascii="Verdana" w:eastAsia="Century Gothic" w:hAnsi="Verdana" w:cs="Arial"/>
        </w:rPr>
        <w:t xml:space="preserve">Mediante </w:t>
      </w:r>
      <w:r w:rsidR="00EE5D6E" w:rsidRPr="00AA3B9F">
        <w:rPr>
          <w:rFonts w:ascii="Verdana" w:eastAsia="Century Gothic" w:hAnsi="Verdana" w:cs="Arial"/>
        </w:rPr>
        <w:t>que documento se acredita la conformación de una asociación u organización indígena?</w:t>
      </w:r>
    </w:p>
    <w:p w14:paraId="20B78644" w14:textId="77777777" w:rsidR="00AA5A48" w:rsidRPr="00AA3B9F" w:rsidRDefault="00AA5A48" w:rsidP="00AA5A48">
      <w:pPr>
        <w:tabs>
          <w:tab w:val="left" w:pos="142"/>
          <w:tab w:val="left" w:pos="284"/>
        </w:tabs>
        <w:spacing w:after="0" w:line="276" w:lineRule="auto"/>
        <w:jc w:val="both"/>
        <w:rPr>
          <w:rFonts w:ascii="Verdana" w:eastAsia="Century Gothic" w:hAnsi="Verdana" w:cs="Arial"/>
          <w:b/>
          <w:bCs/>
          <w:highlight w:val="cyan"/>
        </w:rPr>
      </w:pPr>
    </w:p>
    <w:p w14:paraId="5403B74D" w14:textId="77777777" w:rsidR="00AA5A48" w:rsidRPr="00AA3B9F" w:rsidRDefault="00AA5A48" w:rsidP="00AA5A4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Arial"/>
          <w:b/>
          <w:bCs/>
        </w:rPr>
      </w:pPr>
      <w:r w:rsidRPr="00AA3B9F">
        <w:rPr>
          <w:rFonts w:ascii="Verdana" w:eastAsia="Century Gothic" w:hAnsi="Verdana" w:cs="Arial"/>
          <w:b/>
          <w:bCs/>
        </w:rPr>
        <w:t>Respuesta:</w:t>
      </w:r>
    </w:p>
    <w:p w14:paraId="2D9BEB2D" w14:textId="77777777" w:rsidR="00AA5A48" w:rsidRPr="00AA3B9F" w:rsidRDefault="00AA5A48" w:rsidP="00AA5A48">
      <w:pPr>
        <w:spacing w:after="0"/>
        <w:jc w:val="both"/>
        <w:rPr>
          <w:rFonts w:ascii="Verdana" w:hAnsi="Verdana" w:cs="Arial"/>
          <w:highlight w:val="cyan"/>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A5A48" w:rsidRPr="00AA3B9F" w14:paraId="79931B20" w14:textId="77777777" w:rsidTr="00CF215E">
        <w:trPr>
          <w:trHeight w:val="512"/>
        </w:trPr>
        <w:tc>
          <w:tcPr>
            <w:tcW w:w="8828" w:type="dxa"/>
            <w:shd w:val="clear" w:color="auto" w:fill="auto"/>
          </w:tcPr>
          <w:p w14:paraId="5199EDE5" w14:textId="77777777" w:rsidR="00AA5A48" w:rsidRPr="00AA3B9F" w:rsidRDefault="00AA5A48" w:rsidP="00CF215E">
            <w:pPr>
              <w:spacing w:after="120" w:line="276" w:lineRule="auto"/>
              <w:jc w:val="both"/>
              <w:rPr>
                <w:rFonts w:ascii="Verdana" w:eastAsia="Calibri" w:hAnsi="Verdana" w:cs="Arial"/>
                <w:lang w:val="es-ES"/>
              </w:rPr>
            </w:pPr>
            <w:r w:rsidRPr="00AA3B9F">
              <w:rPr>
                <w:rFonts w:ascii="Verdana" w:eastAsia="Calibri" w:hAnsi="Verdana" w:cs="Arial"/>
                <w:lang w:val="es-ES"/>
              </w:rPr>
              <w:t>En respuesta a los problemas planteados esta Subdirección manifiesta:</w:t>
            </w:r>
          </w:p>
          <w:p w14:paraId="05271D75" w14:textId="3214C873" w:rsidR="00B50214" w:rsidRPr="00AA3B9F" w:rsidRDefault="00B50214" w:rsidP="00B50214">
            <w:pPr>
              <w:spacing w:after="120" w:line="276" w:lineRule="auto"/>
              <w:jc w:val="both"/>
              <w:rPr>
                <w:rFonts w:ascii="Verdana" w:eastAsia="Calibri" w:hAnsi="Verdana" w:cs="Arial"/>
              </w:rPr>
            </w:pPr>
            <w:r w:rsidRPr="00AA3B9F">
              <w:rPr>
                <w:rFonts w:ascii="Verdana" w:eastAsia="Calibri" w:hAnsi="Verdana" w:cs="Arial"/>
              </w:rPr>
              <w:t xml:space="preserve">En primer lugar y para proceder a brindar respuesta a la consulta elevada debe precisarse que el Decreto autónomo 1088 de 1993, modificado por el Decreto 252 de 2020, tiene un ámbito de aplicación distinto al contemplado en el literal l) del artículo 2, numeral 4 de la Ley 1150 de 2007. Sobre el particular debe advertirse que las leyes 2160 de 2021 y 2294 del 2023, mediante las cuales se modificaron las leyes 1150 de 2007 y 80 de 1993, introdujeron y modificaron una de las causales de contratación directa que aplica de manera específica a algunos de los sujetos a los que se asigna capacidad jurídica los cuales vale la pena indicar son diferentes los establecidos en el Decreto autónomo previamente mencionado. </w:t>
            </w:r>
          </w:p>
          <w:p w14:paraId="48A1C761" w14:textId="77777777" w:rsidR="00B50214" w:rsidRPr="00AA3B9F" w:rsidRDefault="00B50214" w:rsidP="00B50214">
            <w:pPr>
              <w:spacing w:after="120" w:line="276" w:lineRule="auto"/>
              <w:jc w:val="both"/>
              <w:rPr>
                <w:rFonts w:ascii="Verdana" w:eastAsia="Calibri" w:hAnsi="Verdana" w:cs="Arial"/>
              </w:rPr>
            </w:pPr>
            <w:r w:rsidRPr="00AA3B9F">
              <w:rPr>
                <w:rFonts w:ascii="Verdana" w:eastAsia="Calibri" w:hAnsi="Verdana" w:cs="Arial"/>
              </w:rPr>
              <w:t>En ese sentido, el Decreto autónomo 1088 de 1993, modificado por el Decreto 252 de 2020, regula la posibilidad de contratar de manera directa con Asociaciones de Cabildos y/o Autoridades Tradicionales –art. 2 y ss. D. 1088 de 1993– y Organizaciones Indígenas –conformadas exclusivamente por Cabildos, Resguardos, Asociaciones de Cabildos, Asociación de Autoridades u otra forma de Autoridad Indígena propia.</w:t>
            </w:r>
          </w:p>
          <w:p w14:paraId="016A9EB9" w14:textId="59E7A109" w:rsidR="00B50214" w:rsidRPr="00AA3B9F" w:rsidRDefault="00B50214" w:rsidP="00B50214">
            <w:pPr>
              <w:spacing w:after="120" w:line="276" w:lineRule="auto"/>
              <w:jc w:val="both"/>
              <w:rPr>
                <w:rFonts w:ascii="Verdana" w:eastAsia="Calibri" w:hAnsi="Verdana" w:cs="Arial"/>
              </w:rPr>
            </w:pPr>
            <w:r w:rsidRPr="00AA3B9F">
              <w:rPr>
                <w:rFonts w:ascii="Verdana" w:eastAsia="Calibri" w:hAnsi="Verdana" w:cs="Arial"/>
              </w:rPr>
              <w:t>Por su parte el artículo sexto de la ley 80 de 1993 otorga de manera expresa capacidad para contratar a cabildos Indígenas y a las asociaciones de Autoridades Tradicionales Indígenas</w:t>
            </w:r>
            <w:r w:rsidR="00713153" w:rsidRPr="00AA3B9F">
              <w:rPr>
                <w:rFonts w:ascii="Verdana" w:eastAsia="Calibri" w:hAnsi="Verdana" w:cs="Arial"/>
              </w:rPr>
              <w:t>.</w:t>
            </w:r>
            <w:r w:rsidRPr="00AA3B9F">
              <w:rPr>
                <w:rFonts w:ascii="Verdana" w:eastAsia="Calibri" w:hAnsi="Verdana" w:cs="Arial"/>
              </w:rPr>
              <w:t xml:space="preserve"> </w:t>
            </w:r>
            <w:r w:rsidR="00713153" w:rsidRPr="00AA3B9F">
              <w:rPr>
                <w:rFonts w:ascii="Verdana" w:eastAsia="Calibri" w:hAnsi="Verdana" w:cs="Arial"/>
              </w:rPr>
              <w:t>L</w:t>
            </w:r>
            <w:r w:rsidRPr="00AA3B9F">
              <w:rPr>
                <w:rFonts w:ascii="Verdana" w:eastAsia="Calibri" w:hAnsi="Verdana" w:cs="Arial"/>
              </w:rPr>
              <w:t>o anterior se complementa con lo dispuesto en el literal l) del artículo 2, numeral 4 de la Ley 1150 de 2007, en donde se dispone que se podrán celebrar contratos y convenios de manera directa con Cabildos Indígenas, las asociaciones de Cabildos Indígenas y/o Autoridades Tradicionales Indígenas, Consejos Indígenas y Organizaciones Indígenas.</w:t>
            </w:r>
          </w:p>
          <w:p w14:paraId="1AE5B666" w14:textId="19B55A3F" w:rsidR="00017E1C" w:rsidRPr="00AA3B9F" w:rsidRDefault="00B50214" w:rsidP="00B50214">
            <w:pPr>
              <w:spacing w:after="120" w:line="276" w:lineRule="auto"/>
              <w:jc w:val="both"/>
              <w:rPr>
                <w:rFonts w:ascii="Verdana" w:eastAsia="Calibri" w:hAnsi="Verdana" w:cs="Arial"/>
                <w:lang w:val="es-MX"/>
              </w:rPr>
            </w:pPr>
            <w:r w:rsidRPr="00AA3B9F">
              <w:rPr>
                <w:rFonts w:ascii="Verdana" w:eastAsia="Calibri" w:hAnsi="Verdana" w:cs="Arial"/>
              </w:rPr>
              <w:t>Finalmente, y en lo que respecta al documento de acreditación de una forma de organización indígena, debe indicarse que la Dirección de Asuntos Indígenas, Rom y Minorías del Ministerio del Interior, dentro de los trámites asociados a su competencia, tiene a cargo la expedición de certificaciones de Existencia y Representación legal de asociaciones de autoridades tradicionales y/o cabildos indígenas.</w:t>
            </w:r>
            <w:r w:rsidR="000C0F8A" w:rsidRPr="00AA3B9F">
              <w:rPr>
                <w:rFonts w:ascii="Verdana" w:eastAsia="Calibri" w:hAnsi="Verdana" w:cs="Arial"/>
              </w:rPr>
              <w:t xml:space="preserve"> </w:t>
            </w:r>
            <w:r w:rsidR="009D3237" w:rsidRPr="00AA3B9F">
              <w:rPr>
                <w:rFonts w:ascii="Verdana" w:eastAsia="Calibri" w:hAnsi="Verdana" w:cs="Arial"/>
              </w:rPr>
              <w:t xml:space="preserve">No obstante, la Corte Constitucional, sobre los </w:t>
            </w:r>
            <w:r w:rsidR="009D3237" w:rsidRPr="00AA3B9F">
              <w:rPr>
                <w:rFonts w:ascii="Verdana" w:eastAsia="Calibri" w:hAnsi="Verdana" w:cs="Arial"/>
              </w:rPr>
              <w:lastRenderedPageBreak/>
              <w:t>registros o actos administrativos que expide el Ministerio del Interior, ha sido enfática en establecer</w:t>
            </w:r>
            <w:r w:rsidR="00CA2CD2" w:rsidRPr="00AA3B9F">
              <w:rPr>
                <w:rFonts w:ascii="Verdana" w:eastAsia="Calibri" w:hAnsi="Verdana" w:cs="Arial"/>
              </w:rPr>
              <w:t xml:space="preserve"> que estos no tienen una </w:t>
            </w:r>
            <w:r w:rsidR="00CA2CD2" w:rsidRPr="00C3298D">
              <w:rPr>
                <w:rFonts w:ascii="Verdana" w:eastAsia="Calibri" w:hAnsi="Verdana" w:cs="Arial"/>
                <w:lang w:val="es-MX"/>
              </w:rPr>
              <w:t>función constitutiva, es decir</w:t>
            </w:r>
            <w:r w:rsidR="00056A75" w:rsidRPr="00AA3B9F">
              <w:rPr>
                <w:rFonts w:ascii="Verdana" w:eastAsia="Calibri" w:hAnsi="Verdana" w:cs="Arial"/>
                <w:lang w:val="es-MX"/>
              </w:rPr>
              <w:t>,</w:t>
            </w:r>
            <w:r w:rsidR="00CA2CD2" w:rsidRPr="00C3298D">
              <w:rPr>
                <w:rFonts w:ascii="Verdana" w:eastAsia="Calibri" w:hAnsi="Verdana" w:cs="Arial"/>
                <w:lang w:val="es-MX"/>
              </w:rPr>
              <w:t xml:space="preserve"> </w:t>
            </w:r>
            <w:r w:rsidR="00AB5D68" w:rsidRPr="00AA3B9F">
              <w:rPr>
                <w:rFonts w:ascii="Verdana" w:eastAsia="Calibri" w:hAnsi="Verdana" w:cs="Arial"/>
                <w:lang w:val="es-MX"/>
              </w:rPr>
              <w:t>estos</w:t>
            </w:r>
            <w:r w:rsidR="00CA2CD2" w:rsidRPr="00C3298D">
              <w:rPr>
                <w:rFonts w:ascii="Verdana" w:eastAsia="Calibri" w:hAnsi="Verdana" w:cs="Arial"/>
                <w:lang w:val="es-MX"/>
              </w:rPr>
              <w:t xml:space="preserve"> registros no </w:t>
            </w:r>
            <w:r w:rsidR="00056A75" w:rsidRPr="00AA3B9F">
              <w:rPr>
                <w:rFonts w:ascii="Verdana" w:eastAsia="Calibri" w:hAnsi="Verdana" w:cs="Arial"/>
                <w:lang w:val="es-MX"/>
              </w:rPr>
              <w:t>determinan</w:t>
            </w:r>
            <w:r w:rsidR="00CA2CD2" w:rsidRPr="00C3298D">
              <w:rPr>
                <w:rFonts w:ascii="Verdana" w:eastAsia="Calibri" w:hAnsi="Verdana" w:cs="Arial"/>
                <w:lang w:val="es-MX"/>
              </w:rPr>
              <w:t xml:space="preserve"> la existencia </w:t>
            </w:r>
            <w:r w:rsidR="00056A75" w:rsidRPr="00AA3B9F">
              <w:rPr>
                <w:rFonts w:ascii="Verdana" w:eastAsia="Calibri" w:hAnsi="Verdana" w:cs="Arial"/>
                <w:lang w:val="es-MX"/>
              </w:rPr>
              <w:t xml:space="preserve">de </w:t>
            </w:r>
            <w:r w:rsidR="00CD69D6" w:rsidRPr="00AA3B9F">
              <w:rPr>
                <w:rFonts w:ascii="Verdana" w:eastAsia="Calibri" w:hAnsi="Verdana" w:cs="Arial"/>
                <w:lang w:val="es-MX"/>
              </w:rPr>
              <w:t>un pueblo</w:t>
            </w:r>
            <w:r w:rsidR="00CA2CD2" w:rsidRPr="00C3298D">
              <w:rPr>
                <w:rFonts w:ascii="Verdana" w:eastAsia="Calibri" w:hAnsi="Verdana" w:cs="Arial"/>
                <w:lang w:val="es-MX"/>
              </w:rPr>
              <w:t xml:space="preserve"> o de la representación legal, por ende, no puede prevalecer cuando se advierte la presencia de </w:t>
            </w:r>
            <w:r w:rsidR="00CA2CD2" w:rsidRPr="00AA3B9F">
              <w:rPr>
                <w:rFonts w:ascii="Verdana" w:eastAsia="Calibri" w:hAnsi="Verdana" w:cs="Arial"/>
                <w:lang w:val="es-MX"/>
              </w:rPr>
              <w:t>Pueblos</w:t>
            </w:r>
            <w:r w:rsidR="00CA2CD2" w:rsidRPr="00C3298D">
              <w:rPr>
                <w:rFonts w:ascii="Verdana" w:eastAsia="Calibri" w:hAnsi="Verdana" w:cs="Arial"/>
                <w:lang w:val="es-MX"/>
              </w:rPr>
              <w:t xml:space="preserve"> indígenas</w:t>
            </w:r>
            <w:r w:rsidR="00017E1C" w:rsidRPr="00AA3B9F">
              <w:rPr>
                <w:rFonts w:ascii="Verdana" w:eastAsia="Calibri" w:hAnsi="Verdana" w:cs="Arial"/>
                <w:lang w:val="es-MX"/>
              </w:rPr>
              <w:t xml:space="preserve">. </w:t>
            </w:r>
            <w:r w:rsidR="00C3298D" w:rsidRPr="00C3298D">
              <w:rPr>
                <w:rFonts w:ascii="Verdana" w:eastAsia="Calibri" w:hAnsi="Verdana" w:cs="Arial"/>
                <w:lang w:val="es-MX"/>
              </w:rPr>
              <w:t xml:space="preserve">Por lo anterior, </w:t>
            </w:r>
            <w:r w:rsidR="00AF5AE9" w:rsidRPr="00AA3B9F">
              <w:rPr>
                <w:rFonts w:ascii="Verdana" w:eastAsia="Calibri" w:hAnsi="Verdana" w:cs="Arial"/>
                <w:lang w:val="es-MX"/>
              </w:rPr>
              <w:t>cada Entidad</w:t>
            </w:r>
            <w:r w:rsidR="00C3298D" w:rsidRPr="00C3298D">
              <w:rPr>
                <w:rFonts w:ascii="Verdana" w:eastAsia="Calibri" w:hAnsi="Verdana" w:cs="Arial"/>
                <w:lang w:val="es-MX"/>
              </w:rPr>
              <w:t xml:space="preserve">, ante estas situaciones, </w:t>
            </w:r>
            <w:r w:rsidR="00AF5AE9" w:rsidRPr="00AA3B9F">
              <w:rPr>
                <w:rFonts w:ascii="Verdana" w:eastAsia="Calibri" w:hAnsi="Verdana" w:cs="Arial"/>
                <w:lang w:val="es-MX"/>
              </w:rPr>
              <w:t xml:space="preserve">tiene el deber de </w:t>
            </w:r>
            <w:r w:rsidR="00C3298D" w:rsidRPr="00C3298D">
              <w:rPr>
                <w:rFonts w:ascii="Verdana" w:eastAsia="Calibri" w:hAnsi="Verdana" w:cs="Arial"/>
                <w:lang w:val="es-MX"/>
              </w:rPr>
              <w:t xml:space="preserve">verificar </w:t>
            </w:r>
            <w:r w:rsidR="00905560" w:rsidRPr="00AA3B9F">
              <w:rPr>
                <w:rFonts w:ascii="Verdana" w:eastAsia="Calibri" w:hAnsi="Verdana" w:cs="Arial"/>
                <w:lang w:val="es-MX"/>
              </w:rPr>
              <w:t>y establecer</w:t>
            </w:r>
            <w:r w:rsidR="00C3298D" w:rsidRPr="00C3298D">
              <w:rPr>
                <w:rFonts w:ascii="Verdana" w:eastAsia="Calibri" w:hAnsi="Verdana" w:cs="Arial"/>
                <w:lang w:val="es-MX"/>
              </w:rPr>
              <w:t xml:space="preserve"> los documentos</w:t>
            </w:r>
            <w:r w:rsidR="00905560" w:rsidRPr="00AA3B9F">
              <w:rPr>
                <w:rFonts w:ascii="Verdana" w:eastAsia="Calibri" w:hAnsi="Verdana" w:cs="Arial"/>
                <w:lang w:val="es-MX"/>
              </w:rPr>
              <w:t xml:space="preserve"> de acreditación</w:t>
            </w:r>
            <w:r w:rsidR="00C3298D" w:rsidRPr="00C3298D">
              <w:rPr>
                <w:rFonts w:ascii="Verdana" w:eastAsia="Calibri" w:hAnsi="Verdana" w:cs="Arial"/>
                <w:lang w:val="es-MX"/>
              </w:rPr>
              <w:t xml:space="preserve"> pertinentes </w:t>
            </w:r>
            <w:r w:rsidR="00905560" w:rsidRPr="00AA3B9F">
              <w:rPr>
                <w:rFonts w:ascii="Verdana" w:eastAsia="Calibri" w:hAnsi="Verdana" w:cs="Arial"/>
                <w:lang w:val="es-MX"/>
              </w:rPr>
              <w:t>para</w:t>
            </w:r>
            <w:r w:rsidR="002C6E1F" w:rsidRPr="00AA3B9F">
              <w:rPr>
                <w:rFonts w:ascii="Verdana" w:eastAsia="Calibri" w:hAnsi="Verdana" w:cs="Arial"/>
                <w:lang w:val="es-MX"/>
              </w:rPr>
              <w:t xml:space="preserve"> </w:t>
            </w:r>
            <w:r w:rsidR="00D21DEA" w:rsidRPr="00AA3B9F">
              <w:rPr>
                <w:rFonts w:ascii="Verdana" w:eastAsia="Calibri" w:hAnsi="Verdana" w:cs="Arial"/>
                <w:lang w:val="es-MX"/>
              </w:rPr>
              <w:t xml:space="preserve">adelantar el proceso de </w:t>
            </w:r>
            <w:r w:rsidR="002C6E1F" w:rsidRPr="00AA3B9F">
              <w:rPr>
                <w:rFonts w:ascii="Verdana" w:eastAsia="Calibri" w:hAnsi="Verdana" w:cs="Arial"/>
                <w:lang w:val="es-MX"/>
              </w:rPr>
              <w:t>contratación</w:t>
            </w:r>
            <w:r w:rsidR="00380C74" w:rsidRPr="00AA3B9F">
              <w:rPr>
                <w:rFonts w:ascii="Verdana" w:eastAsia="Calibri" w:hAnsi="Verdana" w:cs="Arial"/>
                <w:lang w:val="es-MX"/>
              </w:rPr>
              <w:t>.</w:t>
            </w:r>
          </w:p>
        </w:tc>
      </w:tr>
    </w:tbl>
    <w:p w14:paraId="1B84A40C" w14:textId="77777777" w:rsidR="00AA5A48" w:rsidRPr="00AA3B9F" w:rsidRDefault="00AA5A48" w:rsidP="00AA5A48">
      <w:pPr>
        <w:spacing w:after="0"/>
        <w:jc w:val="both"/>
        <w:rPr>
          <w:rFonts w:ascii="Verdana" w:hAnsi="Verdana" w:cs="Arial"/>
          <w:highlight w:val="cyan"/>
        </w:rPr>
      </w:pPr>
    </w:p>
    <w:p w14:paraId="4A9618EE" w14:textId="77777777" w:rsidR="00AA5A48" w:rsidRPr="00AA3B9F" w:rsidRDefault="00AA5A48" w:rsidP="00AA5A4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Arial"/>
          <w:b/>
          <w:bCs/>
        </w:rPr>
      </w:pPr>
      <w:r w:rsidRPr="00AA3B9F">
        <w:rPr>
          <w:rFonts w:ascii="Verdana" w:eastAsia="Century Gothic" w:hAnsi="Verdana" w:cs="Arial"/>
          <w:b/>
          <w:bCs/>
        </w:rPr>
        <w:t>Razones de la respuesta:</w:t>
      </w:r>
    </w:p>
    <w:p w14:paraId="7B47419E" w14:textId="77777777" w:rsidR="00AA5A48" w:rsidRPr="00AA3B9F" w:rsidRDefault="00AA5A48" w:rsidP="00AA5A48">
      <w:pPr>
        <w:spacing w:after="0" w:line="276" w:lineRule="auto"/>
        <w:jc w:val="both"/>
        <w:rPr>
          <w:rFonts w:ascii="Verdana" w:eastAsia="Calibri" w:hAnsi="Verdana" w:cs="Arial"/>
          <w:color w:val="7030A0"/>
          <w:lang w:val="es-ES"/>
        </w:rPr>
      </w:pPr>
    </w:p>
    <w:p w14:paraId="77AD3E76" w14:textId="77777777" w:rsidR="00AA5A48" w:rsidRPr="00AA3B9F" w:rsidRDefault="00AA5A48" w:rsidP="00AA5A48">
      <w:pPr>
        <w:spacing w:after="0"/>
        <w:jc w:val="both"/>
        <w:rPr>
          <w:rFonts w:ascii="Verdana" w:eastAsia="Calibri" w:hAnsi="Verdana" w:cs="Arial"/>
          <w:lang w:val="es-ES"/>
        </w:rPr>
      </w:pPr>
      <w:r w:rsidRPr="00AA3B9F">
        <w:rPr>
          <w:rFonts w:ascii="Verdana" w:eastAsia="Calibri" w:hAnsi="Verdana" w:cs="Arial"/>
          <w:lang w:val="es-ES"/>
        </w:rPr>
        <w:t>Lo anterior respuesta se sustenta en las siguientes consideraciones:</w:t>
      </w:r>
    </w:p>
    <w:p w14:paraId="5FE3E7EB" w14:textId="77777777" w:rsidR="00652221" w:rsidRPr="00AA3B9F" w:rsidRDefault="00652221" w:rsidP="00AA5A48">
      <w:pPr>
        <w:spacing w:after="0"/>
        <w:jc w:val="both"/>
        <w:rPr>
          <w:rFonts w:ascii="Verdana" w:eastAsia="Calibri" w:hAnsi="Verdana" w:cs="Arial"/>
          <w:lang w:val="es-ES"/>
        </w:rPr>
      </w:pPr>
    </w:p>
    <w:p w14:paraId="2DF858CC" w14:textId="77777777" w:rsidR="00652221" w:rsidRPr="00AA3B9F" w:rsidRDefault="00652221" w:rsidP="00652221">
      <w:pPr>
        <w:pStyle w:val="Prrafodelista"/>
        <w:numPr>
          <w:ilvl w:val="0"/>
          <w:numId w:val="21"/>
        </w:numPr>
        <w:spacing w:after="0" w:line="276" w:lineRule="auto"/>
        <w:jc w:val="both"/>
        <w:rPr>
          <w:rFonts w:ascii="Verdana" w:hAnsi="Verdana"/>
          <w:lang w:val="es-CO"/>
        </w:rPr>
      </w:pPr>
      <w:r w:rsidRPr="00AA3B9F">
        <w:rPr>
          <w:rFonts w:ascii="Verdana" w:eastAsia="Calibri" w:hAnsi="Verdana" w:cs="Arial"/>
        </w:rPr>
        <w:t>Con la suscripción del Convenio No. 169 de 1989, “Sobre pueblos indígenas y tribales en países independientes” de la Organización Internacional del Trabajo – OIT, incorporado al bloque de constitucionalidad</w:t>
      </w:r>
      <w:r w:rsidRPr="00AA3B9F">
        <w:rPr>
          <w:rFonts w:ascii="Verdana" w:hAnsi="Verdana"/>
          <w:vertAlign w:val="superscript"/>
        </w:rPr>
        <w:footnoteReference w:id="2"/>
      </w:r>
      <w:r w:rsidRPr="00AA3B9F">
        <w:rPr>
          <w:rFonts w:ascii="Verdana" w:eastAsia="Calibri" w:hAnsi="Verdana" w:cs="Arial"/>
        </w:rPr>
        <w:t xml:space="preserve">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con acciones concretas dirigidas al reconocimiento de sus derechos y el respeto de su integridad, entre otros compromisos adquiridos.</w:t>
      </w:r>
    </w:p>
    <w:p w14:paraId="2B734AED" w14:textId="77777777" w:rsidR="00652221" w:rsidRPr="00AA3B9F" w:rsidRDefault="00652221" w:rsidP="00652221">
      <w:pPr>
        <w:spacing w:after="0" w:line="276" w:lineRule="auto"/>
        <w:jc w:val="both"/>
        <w:rPr>
          <w:rFonts w:ascii="Verdana" w:eastAsia="Calibri" w:hAnsi="Verdana" w:cs="Arial"/>
        </w:rPr>
      </w:pPr>
    </w:p>
    <w:p w14:paraId="010E1E26" w14:textId="77777777" w:rsidR="00652221" w:rsidRPr="00AA3B9F" w:rsidRDefault="00652221" w:rsidP="00652221">
      <w:pPr>
        <w:pStyle w:val="Prrafodelista"/>
        <w:numPr>
          <w:ilvl w:val="0"/>
          <w:numId w:val="21"/>
        </w:numPr>
        <w:spacing w:after="0" w:line="276" w:lineRule="auto"/>
        <w:jc w:val="both"/>
        <w:rPr>
          <w:rFonts w:ascii="Verdana" w:hAnsi="Verdana"/>
          <w:lang w:val="es-CO"/>
        </w:rPr>
      </w:pPr>
      <w:r w:rsidRPr="00AA3B9F">
        <w:rPr>
          <w:rFonts w:ascii="Verdana" w:eastAsia="Calibri" w:hAnsi="Verdana" w:cs="Arial"/>
        </w:rPr>
        <w:t xml:space="preserve">En virtud de lo anterior, el Estado colombiano se comprometió a implementar las acciones necesarias para garantizar que los pueblos indígenas fueran respetados en igualdad de condiciones, promover sus derechos, respetar su identidad, sus costumbres y tradiciones, de modo que se eliminen las diferencias existentes entre sus miembros y los demás grupos sociales. Así, el cumplimiento de este compromiso ha requerido la creación de un marco jurídico legal y reglamentario que permita desarrollar las acciones pertinentes para alcanzar dicha finalidad.  Esta es la razón por la que en el ordenamiento jurídico colombiano existen múltiples preceptos dirigidos a promover en diferentes contextos los derechos de los pueblos indígenas. </w:t>
      </w:r>
    </w:p>
    <w:p w14:paraId="15A74630" w14:textId="77777777" w:rsidR="00652221" w:rsidRPr="00AA3B9F" w:rsidRDefault="00652221" w:rsidP="00652221">
      <w:pPr>
        <w:spacing w:after="0" w:line="276" w:lineRule="auto"/>
        <w:jc w:val="both"/>
        <w:rPr>
          <w:rFonts w:ascii="Verdana" w:eastAsia="Calibri" w:hAnsi="Verdana" w:cs="Arial"/>
        </w:rPr>
      </w:pPr>
    </w:p>
    <w:p w14:paraId="4D3C639F" w14:textId="77777777" w:rsidR="00652221" w:rsidRPr="00AA3B9F" w:rsidRDefault="00652221" w:rsidP="00652221">
      <w:pPr>
        <w:pStyle w:val="Prrafodelista"/>
        <w:numPr>
          <w:ilvl w:val="0"/>
          <w:numId w:val="21"/>
        </w:numPr>
        <w:spacing w:after="0" w:line="276" w:lineRule="auto"/>
        <w:jc w:val="both"/>
        <w:rPr>
          <w:rFonts w:ascii="Verdana" w:hAnsi="Verdana"/>
          <w:lang w:val="es-CO"/>
        </w:rPr>
      </w:pPr>
      <w:r w:rsidRPr="00AA3B9F">
        <w:rPr>
          <w:rFonts w:ascii="Verdana" w:eastAsia="Calibri" w:hAnsi="Verdana" w:cs="Arial"/>
        </w:rPr>
        <w:lastRenderedPageBreak/>
        <w:t>Dentro de los ámbitos en los que han incidido estas disposiciones se encuentra el de la contratación pública, en la medida en que las actuaciones orientadas a la satisfacción de derechos de los Pueblos indígenas en situaciones concretas requieren de la concertación entre estos y las Entidades Estatales, lo que ha suscitado la necesidad de un tratamiento jurídico particular para tales acuerdos.</w:t>
      </w:r>
    </w:p>
    <w:p w14:paraId="20C6BB58" w14:textId="77777777" w:rsidR="00652221" w:rsidRPr="00AA3B9F" w:rsidRDefault="00652221" w:rsidP="00652221">
      <w:pPr>
        <w:spacing w:after="0" w:line="276" w:lineRule="auto"/>
        <w:jc w:val="both"/>
        <w:rPr>
          <w:rFonts w:ascii="Verdana" w:eastAsia="Calibri" w:hAnsi="Verdana" w:cs="Arial"/>
        </w:rPr>
      </w:pPr>
    </w:p>
    <w:p w14:paraId="030DE269" w14:textId="77777777" w:rsidR="00652221" w:rsidRPr="00AA3B9F" w:rsidRDefault="00652221" w:rsidP="00652221">
      <w:pPr>
        <w:pStyle w:val="Prrafodelista"/>
        <w:numPr>
          <w:ilvl w:val="0"/>
          <w:numId w:val="21"/>
        </w:numPr>
        <w:spacing w:after="0" w:line="276" w:lineRule="auto"/>
        <w:jc w:val="both"/>
        <w:rPr>
          <w:rFonts w:ascii="Verdana" w:hAnsi="Verdana"/>
          <w:lang w:val="es-CO"/>
        </w:rPr>
      </w:pPr>
      <w:r w:rsidRPr="00AA3B9F">
        <w:rPr>
          <w:rFonts w:ascii="Verdana" w:eastAsia="Calibri" w:hAnsi="Verdana" w:cs="Arial"/>
        </w:rPr>
        <w:t xml:space="preserve">Esto ha generado que diversas disposiciones reconozcan la posibilidad de celebrar convenios y contratos que involucran como cocontratantes de las Entidades Estatales a diferentes instancias de representación de las comunidades indígenas. Para tales efectos, el legislador ha atribuido capacidad jurídica y contractual a diversas formas organizativas de los pueblos indígenas, estableciendo unos supuestos de hecho y requisitos con sujeción a los cuales procede la celebración de acuerdos de naturaleza contractual con dichos agentes.  </w:t>
      </w:r>
    </w:p>
    <w:p w14:paraId="46B3758A" w14:textId="77777777" w:rsidR="00652221" w:rsidRPr="00AA3B9F" w:rsidRDefault="00652221" w:rsidP="00652221">
      <w:pPr>
        <w:pStyle w:val="Prrafodelista"/>
        <w:rPr>
          <w:rFonts w:ascii="Verdana" w:eastAsia="Calibri" w:hAnsi="Verdana" w:cs="Arial"/>
        </w:rPr>
      </w:pPr>
    </w:p>
    <w:p w14:paraId="6DB10D18" w14:textId="77777777" w:rsidR="00652221" w:rsidRPr="00AA3B9F" w:rsidRDefault="00652221" w:rsidP="00652221">
      <w:pPr>
        <w:pStyle w:val="Prrafodelista"/>
        <w:numPr>
          <w:ilvl w:val="0"/>
          <w:numId w:val="21"/>
        </w:numPr>
        <w:spacing w:after="0" w:line="276" w:lineRule="auto"/>
        <w:jc w:val="both"/>
        <w:rPr>
          <w:rFonts w:ascii="Verdana" w:hAnsi="Verdana"/>
          <w:lang w:val="es-CO"/>
        </w:rPr>
      </w:pPr>
      <w:r w:rsidRPr="00AA3B9F">
        <w:rPr>
          <w:rFonts w:ascii="Verdana" w:eastAsia="Calibri" w:hAnsi="Verdana" w:cs="Arial"/>
        </w:rPr>
        <w:t xml:space="preserve">Debido a lo anterior, en varias disposiciones dirigidas a garantizar la igualdad material, procurar la satisfacción de derechos sociales, económicos y culturales de las comunidades, así como a la preservación de la identidad social y cultural de los pueblos indígenas, se han regulado algunos aspectos contractuales en relación con sus órganos representativos. Sin embargo, está regulación se torna dispersa dado que el grueso de las disposiciones en las que se sustentan las modalidades contractuales y la capacidad para celebrarlas se encuentra en varios cuerpos normativos que aplican a distintos entes estatales, obedecen a contextos disímiles y tienen naturaleza normativa diferente. </w:t>
      </w:r>
    </w:p>
    <w:p w14:paraId="3C503A05" w14:textId="77777777" w:rsidR="00652221" w:rsidRPr="00AA3B9F" w:rsidRDefault="00652221" w:rsidP="00652221">
      <w:pPr>
        <w:pStyle w:val="Prrafodelista"/>
        <w:rPr>
          <w:rFonts w:ascii="Verdana" w:hAnsi="Verdana"/>
          <w:lang w:val="es-CO"/>
        </w:rPr>
      </w:pPr>
    </w:p>
    <w:p w14:paraId="6CCEA5A9" w14:textId="468174CA" w:rsidR="00652221" w:rsidRPr="00AA3B9F" w:rsidRDefault="00652221" w:rsidP="00652221">
      <w:pPr>
        <w:pStyle w:val="Prrafodelista"/>
        <w:numPr>
          <w:ilvl w:val="0"/>
          <w:numId w:val="21"/>
        </w:numPr>
        <w:spacing w:line="276" w:lineRule="auto"/>
        <w:jc w:val="both"/>
        <w:rPr>
          <w:rFonts w:ascii="Verdana" w:eastAsia="Calibri" w:hAnsi="Verdana" w:cs="Arial"/>
        </w:rPr>
      </w:pPr>
      <w:r w:rsidRPr="00AA3B9F">
        <w:rPr>
          <w:rFonts w:ascii="Verdana" w:eastAsia="Calibri" w:hAnsi="Verdana" w:cs="Arial"/>
        </w:rPr>
        <w:t>De este marco jurídico hacen parte normas relevantes como el artículo 329 constitucional, las Leyes 80 de 1993, 136 de 1994– modificada por la Ley 1551 de 2012– los Decretos 1088 de 1993, 1953 de 2014, 252 de 2020, la Ley 2160 de 2021 y recientemente se les ha añadido las modificaciones de la Ley 2294 de 2023. Ahora, para efectos del presente concepto, y con el propósito de dar respuesta al problema jurídico planteado, se estima necesario hacer énfasis en el alcance de los Decretos 1088 de 1993 y 252 de 2020</w:t>
      </w:r>
      <w:r w:rsidR="00851BCD" w:rsidRPr="00AA3B9F">
        <w:rPr>
          <w:rFonts w:ascii="Verdana" w:eastAsia="Calibri" w:hAnsi="Verdana" w:cs="Arial"/>
        </w:rPr>
        <w:t xml:space="preserve"> y las leyes 2160 del 2021 y 2294 de 2023. </w:t>
      </w:r>
    </w:p>
    <w:p w14:paraId="4EB6280C" w14:textId="77777777" w:rsidR="00652221" w:rsidRPr="00AA3B9F" w:rsidRDefault="00652221" w:rsidP="00652221">
      <w:pPr>
        <w:pStyle w:val="Prrafodelista"/>
        <w:rPr>
          <w:rFonts w:ascii="Verdana" w:eastAsia="Calibri" w:hAnsi="Verdana" w:cs="Arial"/>
        </w:rPr>
      </w:pPr>
    </w:p>
    <w:p w14:paraId="3D2B44AD" w14:textId="77777777" w:rsidR="00652221" w:rsidRPr="00AA3B9F" w:rsidRDefault="00652221" w:rsidP="00652221">
      <w:pPr>
        <w:pStyle w:val="Prrafodelista"/>
        <w:numPr>
          <w:ilvl w:val="0"/>
          <w:numId w:val="21"/>
        </w:numPr>
        <w:spacing w:line="276" w:lineRule="auto"/>
        <w:jc w:val="both"/>
        <w:rPr>
          <w:rFonts w:ascii="Verdana" w:eastAsia="Calibri" w:hAnsi="Verdana" w:cs="Arial"/>
        </w:rPr>
      </w:pPr>
      <w:r w:rsidRPr="00AA3B9F">
        <w:rPr>
          <w:rFonts w:ascii="Verdana" w:eastAsia="Calibri" w:hAnsi="Verdana" w:cs="Arial"/>
        </w:rPr>
        <w:t xml:space="preserve">Sobre el particular, debe iniciarse por señalar que en relación con las formas de organización indígena, la Constitución Política de 1991 dispuso que la </w:t>
      </w:r>
      <w:r w:rsidRPr="00AA3B9F">
        <w:rPr>
          <w:rFonts w:ascii="Verdana" w:eastAsia="Calibri" w:hAnsi="Verdana" w:cs="Arial"/>
        </w:rPr>
        <w:lastRenderedPageBreak/>
        <w:t>conformación de las entidades territoriales indígenas se realizaría conforme a lo dispuesto en la Ley de Ordenamiento Territorial – LOT. El artículo 329 de la Constitución</w:t>
      </w:r>
      <w:r w:rsidRPr="00AA3B9F">
        <w:rPr>
          <w:rStyle w:val="Refdenotaalpie"/>
          <w:rFonts w:ascii="Verdana" w:eastAsia="Calibri" w:hAnsi="Verdana" w:cs="Arial"/>
        </w:rPr>
        <w:footnoteReference w:id="3"/>
      </w:r>
      <w:r w:rsidRPr="00AA3B9F">
        <w:rPr>
          <w:rFonts w:ascii="Verdana" w:eastAsia="Calibri" w:hAnsi="Verdana" w:cs="Arial"/>
        </w:rPr>
        <w:t>. Esta norma dispuso que la conformación de las entidades territoriales indígenas se realizaría de acuerdo con lo indicado en la Ley de Ordenamiento Territorial. No obstante, mientras esa ley era expedida por el Congreso de la República, la Constitución dispuso un mecanismo para poner en funcionamiento los territorios indígenas de manera transitoria. En efecto, el artículo 56 transitorio de la Constitución Política prescribe que “Mientras se expide la ley a que se refiere el artículo 329, el Gobierno podrá dictar las normas fiscales necesarias y las demás relativas al funcionamiento de los territorios indígenas y su coordinación con las demás entidades territoriales”</w:t>
      </w:r>
      <w:r w:rsidRPr="00AA3B9F">
        <w:rPr>
          <w:rFonts w:ascii="Verdana" w:eastAsia="Calibri" w:hAnsi="Verdana" w:cs="Arial"/>
          <w:sz w:val="21"/>
          <w:szCs w:val="21"/>
        </w:rPr>
        <w:t>.</w:t>
      </w:r>
      <w:bookmarkStart w:id="1" w:name="_Hlk34989337"/>
    </w:p>
    <w:p w14:paraId="3FF68567" w14:textId="77777777" w:rsidR="00652221" w:rsidRPr="00AA3B9F" w:rsidRDefault="00652221" w:rsidP="00652221">
      <w:pPr>
        <w:pStyle w:val="Prrafodelista"/>
        <w:rPr>
          <w:rFonts w:ascii="Verdana" w:eastAsia="Calibri" w:hAnsi="Verdana" w:cs="Arial"/>
        </w:rPr>
      </w:pPr>
    </w:p>
    <w:p w14:paraId="6F68911D" w14:textId="77777777" w:rsidR="00652221" w:rsidRPr="00AA3B9F" w:rsidRDefault="00652221" w:rsidP="00652221">
      <w:pPr>
        <w:pStyle w:val="Prrafodelista"/>
        <w:numPr>
          <w:ilvl w:val="0"/>
          <w:numId w:val="21"/>
        </w:numPr>
        <w:spacing w:line="276" w:lineRule="auto"/>
        <w:jc w:val="both"/>
        <w:rPr>
          <w:rFonts w:ascii="Verdana" w:eastAsia="Calibri" w:hAnsi="Verdana" w:cs="Arial"/>
        </w:rPr>
      </w:pPr>
      <w:r w:rsidRPr="00AA3B9F">
        <w:rPr>
          <w:rFonts w:ascii="Verdana" w:eastAsia="Calibri" w:hAnsi="Verdana" w:cs="Arial"/>
        </w:rPr>
        <w:t xml:space="preserve">De este modo, basados en 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 estas últimas la naturaleza de entidades de derecho público, de carácter especial, con personería jurídica, patrimonio propio y autonomía administrativa. </w:t>
      </w:r>
      <w:bookmarkEnd w:id="1"/>
    </w:p>
    <w:p w14:paraId="1993F76E" w14:textId="77777777" w:rsidR="00652221" w:rsidRPr="00AA3B9F" w:rsidRDefault="00652221" w:rsidP="00652221">
      <w:pPr>
        <w:pStyle w:val="Prrafodelista"/>
        <w:rPr>
          <w:rFonts w:ascii="Verdana" w:eastAsia="Calibri" w:hAnsi="Verdana" w:cs="Arial"/>
        </w:rPr>
      </w:pPr>
    </w:p>
    <w:p w14:paraId="5C87EE08" w14:textId="77777777" w:rsidR="00652221" w:rsidRPr="00AA3B9F" w:rsidRDefault="00652221" w:rsidP="00652221">
      <w:pPr>
        <w:pStyle w:val="Prrafodelista"/>
        <w:numPr>
          <w:ilvl w:val="0"/>
          <w:numId w:val="21"/>
        </w:numPr>
        <w:spacing w:line="276" w:lineRule="auto"/>
        <w:jc w:val="both"/>
        <w:rPr>
          <w:rFonts w:ascii="Verdana" w:eastAsia="Calibri" w:hAnsi="Verdana" w:cs="Arial"/>
        </w:rPr>
      </w:pPr>
      <w:r w:rsidRPr="00AA3B9F">
        <w:rPr>
          <w:rFonts w:ascii="Verdana" w:eastAsia="Calibri" w:hAnsi="Verdana" w:cs="Arial"/>
        </w:rPr>
        <w:t>Con base en lo anterior, los cabildos y las autoridades tradicionales indígenas pueden asociarse en representación de sus territorios, y esas asociaciones tienen la naturaleza de ser entidades de derecho público de carácter especial, que gozan de personería jurídica y tienen capacidad para adquirir obligaciones.</w:t>
      </w:r>
    </w:p>
    <w:p w14:paraId="65C39626" w14:textId="77777777" w:rsidR="00652221" w:rsidRPr="00AA3B9F" w:rsidRDefault="00652221" w:rsidP="00652221">
      <w:pPr>
        <w:pStyle w:val="Prrafodelista"/>
        <w:rPr>
          <w:rFonts w:ascii="Verdana" w:eastAsia="Calibri" w:hAnsi="Verdana" w:cs="Arial"/>
        </w:rPr>
      </w:pPr>
    </w:p>
    <w:p w14:paraId="1B642991" w14:textId="77777777" w:rsidR="00652221" w:rsidRPr="00AA3B9F" w:rsidRDefault="00652221" w:rsidP="00652221">
      <w:pPr>
        <w:pStyle w:val="Prrafodelista"/>
        <w:numPr>
          <w:ilvl w:val="0"/>
          <w:numId w:val="21"/>
        </w:numPr>
        <w:spacing w:line="276" w:lineRule="auto"/>
        <w:jc w:val="both"/>
        <w:rPr>
          <w:rFonts w:ascii="Verdana" w:eastAsia="Calibri" w:hAnsi="Verdana" w:cs="Arial"/>
        </w:rPr>
      </w:pPr>
      <w:r w:rsidRPr="00AA3B9F">
        <w:rPr>
          <w:rFonts w:ascii="Verdana" w:eastAsia="Calibri" w:hAnsi="Verdana" w:cs="Arial"/>
        </w:rPr>
        <w:t xml:space="preserve">Posteriormente, se expidió el Decreto 252 de 2020, que adicionó el artículo 10 del Decreto 1088 de 1993, el cual establece que las actuaciones de esas asociaciones –de cabildos y/o de autoridades tradicionales– se rigen por el </w:t>
      </w:r>
      <w:r w:rsidRPr="00AA3B9F">
        <w:rPr>
          <w:rFonts w:ascii="Verdana" w:eastAsia="Calibri" w:hAnsi="Verdana" w:cs="Arial"/>
        </w:rPr>
        <w:lastRenderedPageBreak/>
        <w:t>derecho privado. La modificación del Decreto 252 de 2020 consistió en la adición un parágrafo, el cual establece la posibilidad de que entidades estatales celebren convenios o contratos de manera directa con las Asociaciones de Cabildos y/o Autoridades Tradicionales y Organizaciones Indígenas, sin limitaciones en cuanto al objeto del contrato o por la fuente de los recursos.</w:t>
      </w:r>
    </w:p>
    <w:p w14:paraId="6C9B5985" w14:textId="77777777" w:rsidR="00652221" w:rsidRPr="00AA3B9F" w:rsidRDefault="00652221" w:rsidP="00652221">
      <w:pPr>
        <w:pStyle w:val="Prrafodelista"/>
        <w:rPr>
          <w:rFonts w:ascii="Verdana" w:eastAsia="Calibri" w:hAnsi="Verdana" w:cs="Arial"/>
        </w:rPr>
      </w:pPr>
    </w:p>
    <w:p w14:paraId="1EC625D9" w14:textId="77777777" w:rsidR="00652221" w:rsidRPr="00AA3B9F" w:rsidRDefault="00652221" w:rsidP="00652221">
      <w:pPr>
        <w:pStyle w:val="Prrafodelista"/>
        <w:numPr>
          <w:ilvl w:val="0"/>
          <w:numId w:val="21"/>
        </w:numPr>
        <w:spacing w:line="276" w:lineRule="auto"/>
        <w:jc w:val="both"/>
        <w:rPr>
          <w:rFonts w:ascii="Verdana" w:eastAsia="Calibri" w:hAnsi="Verdana" w:cs="Arial"/>
        </w:rPr>
      </w:pPr>
      <w:r w:rsidRPr="00AA3B9F">
        <w:rPr>
          <w:rFonts w:ascii="Verdana" w:eastAsia="Calibri" w:hAnsi="Verdana" w:cs="Arial"/>
        </w:rPr>
        <w:t xml:space="preserve">De conformidad con lo expuesto, se observa que el artículo 1 del Decreto 252 de 2020 permite que las Asociaciones de Cabildos y/o Autoridades Tradicionales Indígenas y las Organizaciones Indígenas contraten con las Entidades Estatales definidas en el artículo 2 de la Ley 80 de 1993, y además puedan hacerlo de manera directa –sin necesidad de participar en licitaciones u otro proceso de selección–, pero condicionado a la composición de esas organizaciones, cuyos miembros deben ser, exclusivamente cabildos indígenas, </w:t>
      </w:r>
      <w:r w:rsidRPr="00AA3B9F">
        <w:rPr>
          <w:rFonts w:ascii="Verdana" w:eastAsia="Calibri" w:hAnsi="Verdana" w:cs="Arial"/>
          <w:i/>
          <w:iCs/>
        </w:rPr>
        <w:t>resguardos indígenas</w:t>
      </w:r>
      <w:r w:rsidRPr="00AA3B9F">
        <w:rPr>
          <w:rFonts w:ascii="Verdana" w:eastAsia="Calibri" w:hAnsi="Verdana" w:cs="Arial"/>
        </w:rPr>
        <w:t>, asociaciones de cabildos indígenas, asociaciones de autoridades indígenas y/</w:t>
      </w:r>
      <w:proofErr w:type="spellStart"/>
      <w:r w:rsidRPr="00AA3B9F">
        <w:rPr>
          <w:rFonts w:ascii="Verdana" w:eastAsia="Calibri" w:hAnsi="Verdana" w:cs="Arial"/>
        </w:rPr>
        <w:t>o</w:t>
      </w:r>
      <w:proofErr w:type="spellEnd"/>
      <w:r w:rsidRPr="00AA3B9F">
        <w:rPr>
          <w:rFonts w:ascii="Verdana" w:eastAsia="Calibri" w:hAnsi="Verdana" w:cs="Arial"/>
        </w:rPr>
        <w:t xml:space="preserve"> otras formas de autoridad indígena</w:t>
      </w:r>
      <w:r w:rsidRPr="00AA3B9F">
        <w:rPr>
          <w:rStyle w:val="Refdenotaalpie"/>
          <w:rFonts w:ascii="Verdana" w:eastAsia="Calibri" w:hAnsi="Verdana" w:cs="Arial"/>
        </w:rPr>
        <w:footnoteReference w:id="4"/>
      </w:r>
      <w:r w:rsidRPr="00AA3B9F">
        <w:rPr>
          <w:rFonts w:ascii="Verdana" w:eastAsia="Calibri" w:hAnsi="Verdana" w:cs="Arial"/>
        </w:rPr>
        <w:t>. En ese sentido, la norma le confirió a las Organizaciones Indígenas capacidad para contratar con el Estado y también autorizó a todas las Entidades Estatales a contratar con ellas de manera directa. Por oposición, antes de esta norma solo podían celebrar convenios solidarios con municipios y distritos. En todo caso, el Decreto 252 de 2020 no califica a las Organizaciones Indígenas como Entidades Estatales, ni regula su naturaleza o régimen legal, sino que establece la regulación indicada en materia contractual.</w:t>
      </w:r>
    </w:p>
    <w:p w14:paraId="32A6CA47" w14:textId="77777777" w:rsidR="00652221" w:rsidRPr="00AA3B9F" w:rsidRDefault="00652221" w:rsidP="00652221">
      <w:pPr>
        <w:pStyle w:val="Prrafodelista"/>
        <w:spacing w:line="276" w:lineRule="auto"/>
        <w:ind w:left="360"/>
        <w:jc w:val="both"/>
        <w:rPr>
          <w:rFonts w:ascii="Verdana" w:eastAsia="Calibri" w:hAnsi="Verdana" w:cs="Arial"/>
        </w:rPr>
      </w:pPr>
    </w:p>
    <w:p w14:paraId="43AAD478" w14:textId="77777777" w:rsidR="00652221" w:rsidRPr="00AA3B9F" w:rsidRDefault="00652221" w:rsidP="00652221">
      <w:pPr>
        <w:pStyle w:val="Prrafodelista"/>
        <w:numPr>
          <w:ilvl w:val="0"/>
          <w:numId w:val="21"/>
        </w:numPr>
        <w:spacing w:line="276" w:lineRule="auto"/>
        <w:jc w:val="both"/>
        <w:rPr>
          <w:rFonts w:ascii="Verdana" w:eastAsia="Calibri" w:hAnsi="Verdana" w:cs="Arial"/>
        </w:rPr>
      </w:pPr>
      <w:r w:rsidRPr="00AA3B9F">
        <w:rPr>
          <w:rFonts w:ascii="Verdana" w:eastAsia="Calibri" w:hAnsi="Verdana" w:cs="Arial"/>
        </w:rPr>
        <w:lastRenderedPageBreak/>
        <w:t xml:space="preserve">En síntesis, las normas hasta aquí analizadas asignan capacidad contractual a diferentes tipos de entes y mecanismos de asociación a través de los cuales los pueblos indígenas ejercen su representación, con la finalidad de celebrar negocios jurídicos que deben suscribirse con sujeción a ciertas disposiciones especiales. De esta manera, los Decretos 1088 de 1993 y 252 de 2020 reconocen capacidad contractual a las organizaciones indígenas siempre y cuando estén conformadas exclusivamente por cabildos indígenas, </w:t>
      </w:r>
      <w:r w:rsidRPr="00AA3B9F">
        <w:rPr>
          <w:rFonts w:ascii="Verdana" w:eastAsia="Calibri" w:hAnsi="Verdana" w:cs="Arial"/>
          <w:i/>
          <w:iCs/>
        </w:rPr>
        <w:t>resguardos indígenas</w:t>
      </w:r>
      <w:r w:rsidRPr="00AA3B9F">
        <w:rPr>
          <w:rFonts w:ascii="Verdana" w:eastAsia="Calibri" w:hAnsi="Verdana" w:cs="Arial"/>
        </w:rPr>
        <w:t>, asociaciones de cabildos, asociación de autoridades u otra forma de autoridad indígena propia.</w:t>
      </w:r>
    </w:p>
    <w:p w14:paraId="0BA5CECC" w14:textId="77777777" w:rsidR="00652221" w:rsidRPr="00AA3B9F" w:rsidRDefault="00652221" w:rsidP="00652221">
      <w:pPr>
        <w:pStyle w:val="Prrafodelista"/>
        <w:rPr>
          <w:rFonts w:ascii="Verdana" w:eastAsia="Calibri" w:hAnsi="Verdana" w:cs="Arial"/>
        </w:rPr>
      </w:pPr>
    </w:p>
    <w:p w14:paraId="72FB1B5C" w14:textId="77777777" w:rsidR="00652221" w:rsidRPr="00AA3B9F" w:rsidRDefault="00652221" w:rsidP="00652221">
      <w:pPr>
        <w:pStyle w:val="Prrafodelista"/>
        <w:numPr>
          <w:ilvl w:val="0"/>
          <w:numId w:val="21"/>
        </w:numPr>
        <w:spacing w:line="276" w:lineRule="auto"/>
        <w:jc w:val="both"/>
        <w:rPr>
          <w:rFonts w:ascii="Verdana" w:eastAsia="Calibri" w:hAnsi="Verdana" w:cs="Arial"/>
        </w:rPr>
      </w:pPr>
      <w:r w:rsidRPr="00AA3B9F">
        <w:rPr>
          <w:rFonts w:ascii="Verdana" w:eastAsia="Calibri" w:hAnsi="Verdana" w:cs="Arial"/>
        </w:rPr>
        <w:t>Adicionalmente, las disposiciones en comento no solo coinciden en reconocer capacidad jurídica a los sujetos mencionados, sino también en permitir que los contratos que regulan se celebren directamente. Sin perjuicio de las causales del artículo 2.4 de la Ley 1150 de 2007, el Decreto 1088 de 1993 –adicionado por el Decreto 252 de 2020– regula supuestos en los cuales las asociaciones de Cabildos y/o Autoridades Tradicionales Indígenas y Organizaciones Indígenas pueden celebrar contratos de manera directa con Entidades Estatales, estableciendo formalidades especiales –relacionadas con la conformación de las respectivas asociaciones y/</w:t>
      </w:r>
      <w:proofErr w:type="spellStart"/>
      <w:r w:rsidRPr="00AA3B9F">
        <w:rPr>
          <w:rFonts w:ascii="Verdana" w:eastAsia="Calibri" w:hAnsi="Verdana" w:cs="Arial"/>
        </w:rPr>
        <w:t>o</w:t>
      </w:r>
      <w:proofErr w:type="spellEnd"/>
      <w:r w:rsidRPr="00AA3B9F">
        <w:rPr>
          <w:rFonts w:ascii="Verdana" w:eastAsia="Calibri" w:hAnsi="Verdana" w:cs="Arial"/>
        </w:rPr>
        <w:t xml:space="preserve"> organizaciones, la constitución de una garantía única y la valoración del conocimiento ancestral como aporte de las organizaciones indígenas a los convenios–, pero remitiendo en lo demás al Estatuto General de Contratación de la Administración Pública – EGCAP -, régimen jurídico prevalente de estos contratos.</w:t>
      </w:r>
    </w:p>
    <w:p w14:paraId="26557B8E" w14:textId="77777777" w:rsidR="00652221" w:rsidRPr="00AA3B9F" w:rsidRDefault="00652221" w:rsidP="00652221">
      <w:pPr>
        <w:pStyle w:val="Prrafodelista"/>
        <w:rPr>
          <w:rFonts w:ascii="Verdana" w:eastAsia="Calibri" w:hAnsi="Verdana" w:cs="Arial"/>
        </w:rPr>
      </w:pPr>
    </w:p>
    <w:p w14:paraId="3871B60D" w14:textId="77777777" w:rsidR="00652221" w:rsidRPr="00AA3B9F" w:rsidRDefault="00652221" w:rsidP="00652221">
      <w:pPr>
        <w:pStyle w:val="Prrafodelista"/>
        <w:numPr>
          <w:ilvl w:val="0"/>
          <w:numId w:val="21"/>
        </w:numPr>
        <w:spacing w:line="276" w:lineRule="auto"/>
        <w:jc w:val="both"/>
        <w:rPr>
          <w:rFonts w:ascii="Verdana" w:eastAsia="Calibri" w:hAnsi="Verdana" w:cs="Arial"/>
        </w:rPr>
      </w:pPr>
      <w:r w:rsidRPr="00AA3B9F">
        <w:rPr>
          <w:rFonts w:ascii="Verdana" w:eastAsia="Calibri" w:hAnsi="Verdana" w:cs="Arial"/>
        </w:rPr>
        <w:t xml:space="preserve">En ese sentido, estas normas han complementado al EGCAP en lo que tiene que ver con cada una de las modalidades de contratación que regulan, en la medida en que sus contenidos han llenado vacíos normativos de las leyes 80 de 1993 y 1150 de 2007 en atención a los cuales no era posible que Entidades Estatales suscribieran contratos estatales con los pueblos indígenas, menos aun de manera directa, lo cual representa una cuestión problemática para el Estado colombiano. Esto por cuanto el despliegue de la acción coordinada y sistemática de las instituciones dirigida a proteger los derechos y garantizar la integridad de los pueblos indígenas, exigida por el cumplimiento de lo dispuesto en el artículo 2 de la Ley 21 de 1991, conforme a lo explicado </w:t>
      </w:r>
      <w:r w:rsidRPr="00AA3B9F">
        <w:rPr>
          <w:rFonts w:ascii="Verdana" w:eastAsia="Calibri" w:hAnsi="Verdana" w:cs="Arial"/>
          <w:i/>
          <w:iCs/>
        </w:rPr>
        <w:t>supra</w:t>
      </w:r>
      <w:r w:rsidRPr="00AA3B9F">
        <w:rPr>
          <w:rFonts w:ascii="Verdana" w:eastAsia="Calibri" w:hAnsi="Verdana" w:cs="Arial"/>
        </w:rPr>
        <w:t xml:space="preserve">, requiere de la participación y concertación con los integrantes de las comunidades, así como de la articulación de múltiples entes estatales, lo que </w:t>
      </w:r>
      <w:r w:rsidRPr="00AA3B9F">
        <w:rPr>
          <w:rFonts w:ascii="Verdana" w:eastAsia="Calibri" w:hAnsi="Verdana" w:cs="Arial"/>
        </w:rPr>
        <w:lastRenderedPageBreak/>
        <w:t xml:space="preserve">implica la celebración de acuerdos entre los implicados, que suponen la manifestación de la voluntad de entidades del Estado. </w:t>
      </w:r>
    </w:p>
    <w:p w14:paraId="7D61E4CA" w14:textId="77777777" w:rsidR="00652221" w:rsidRPr="00AA3B9F" w:rsidRDefault="00652221" w:rsidP="00652221">
      <w:pPr>
        <w:pStyle w:val="Prrafodelista"/>
        <w:rPr>
          <w:rFonts w:ascii="Verdana" w:eastAsia="Calibri" w:hAnsi="Verdana" w:cs="Arial"/>
        </w:rPr>
      </w:pPr>
    </w:p>
    <w:p w14:paraId="2F9311F2" w14:textId="77777777" w:rsidR="00652221" w:rsidRPr="00AA3B9F" w:rsidRDefault="00652221" w:rsidP="00652221">
      <w:pPr>
        <w:pStyle w:val="Prrafodelista"/>
        <w:numPr>
          <w:ilvl w:val="0"/>
          <w:numId w:val="21"/>
        </w:numPr>
        <w:spacing w:line="276" w:lineRule="auto"/>
        <w:jc w:val="both"/>
        <w:rPr>
          <w:rFonts w:ascii="Verdana" w:eastAsia="Calibri" w:hAnsi="Verdana" w:cs="Arial"/>
        </w:rPr>
      </w:pPr>
      <w:r w:rsidRPr="00AA3B9F">
        <w:rPr>
          <w:rFonts w:ascii="Verdana" w:eastAsia="Calibri" w:hAnsi="Verdana" w:cs="Arial"/>
        </w:rPr>
        <w:t xml:space="preserve">Ahora, si bien la Ley 80 de 1993 dentro de su propio texto estableció que los </w:t>
      </w:r>
      <w:r w:rsidRPr="00AA3B9F">
        <w:rPr>
          <w:rFonts w:ascii="Verdana" w:eastAsia="Calibri" w:hAnsi="Verdana" w:cs="Arial"/>
          <w:i/>
          <w:iCs/>
        </w:rPr>
        <w:t>territorios indígenas</w:t>
      </w:r>
      <w:r w:rsidRPr="00AA3B9F">
        <w:rPr>
          <w:rFonts w:ascii="Verdana" w:eastAsia="Calibri" w:hAnsi="Verdana" w:cs="Arial"/>
        </w:rPr>
        <w:t xml:space="preserve"> constituyen Entidades Estatales, lo cierto es que la implementación de estos, pasados más de treinta años de expedida la Constitución Política vigente, aun no hay desarrollos legislativos sobre la materia, lo que ha impedido que los mismos puedan implementarse y obrar como entidades estatales, al tenor del artículo 2 de la Ley 80 de 1993. Esta situación aunada a la persistencia de las obligaciones y compromisos de orden superior de las instituciones estatales para con los pueblos indígenas, es la razón principal por la que, de conformidad con el artículo 56 transitorio de la carta política, el Decreto 1088 de 1993, adicionado por el Decreto 252 de 2020, ha regulado la contratación con entes como las asociaciones de Cabildos y/o Autoridades Tradicionales y Organizaciones Indígenas, bajo el supuesto de que los contratos estatales son un mecanismo de coordinación efectiva</w:t>
      </w:r>
      <w:r w:rsidRPr="00AA3B9F">
        <w:rPr>
          <w:rStyle w:val="Refdenotaalpie"/>
          <w:rFonts w:ascii="Verdana" w:eastAsia="Calibri" w:hAnsi="Verdana" w:cs="Arial"/>
        </w:rPr>
        <w:footnoteReference w:id="5"/>
      </w:r>
      <w:r w:rsidRPr="00AA3B9F">
        <w:rPr>
          <w:rFonts w:ascii="Verdana" w:eastAsia="Calibri" w:hAnsi="Verdana" w:cs="Arial"/>
        </w:rPr>
        <w:t xml:space="preserve">. </w:t>
      </w:r>
    </w:p>
    <w:p w14:paraId="38242E6E" w14:textId="77777777" w:rsidR="00652221" w:rsidRPr="00AA3B9F" w:rsidRDefault="00652221" w:rsidP="00652221">
      <w:pPr>
        <w:pStyle w:val="Prrafodelista"/>
        <w:rPr>
          <w:rFonts w:ascii="Verdana" w:eastAsia="Calibri" w:hAnsi="Verdana" w:cs="Arial"/>
        </w:rPr>
      </w:pPr>
    </w:p>
    <w:p w14:paraId="5F1610AB" w14:textId="77777777" w:rsidR="00652221" w:rsidRPr="00AA3B9F" w:rsidRDefault="00652221" w:rsidP="00652221">
      <w:pPr>
        <w:pStyle w:val="Prrafodelista"/>
        <w:numPr>
          <w:ilvl w:val="0"/>
          <w:numId w:val="21"/>
        </w:numPr>
        <w:spacing w:line="276" w:lineRule="auto"/>
        <w:jc w:val="both"/>
        <w:rPr>
          <w:rFonts w:ascii="Verdana" w:eastAsia="Calibri" w:hAnsi="Verdana" w:cs="Arial"/>
        </w:rPr>
      </w:pPr>
      <w:r w:rsidRPr="00AA3B9F">
        <w:rPr>
          <w:rFonts w:ascii="Verdana" w:eastAsia="Calibri" w:hAnsi="Verdana" w:cs="Arial"/>
        </w:rPr>
        <w:lastRenderedPageBreak/>
        <w:t xml:space="preserve">De acuerdo con lo hasta aquí considerado, la celebración de contratos o convenios de manera directa entre Entidades Estatales y Asociaciones de Cabildos y Autoridades Tradicionales, al igual que con organizaciones indígenas, es un asunto regulado por el Decreto 1088 de 1993, adicionado por el Decreto 252 de 2020. </w:t>
      </w:r>
    </w:p>
    <w:p w14:paraId="6C8A60BC" w14:textId="77777777" w:rsidR="00652221" w:rsidRPr="00AA3B9F" w:rsidRDefault="00652221" w:rsidP="00652221">
      <w:pPr>
        <w:pStyle w:val="Prrafodelista"/>
        <w:rPr>
          <w:rFonts w:ascii="Verdana" w:eastAsia="Calibri" w:hAnsi="Verdana" w:cs="Arial"/>
        </w:rPr>
      </w:pPr>
    </w:p>
    <w:p w14:paraId="63B93A61" w14:textId="77777777" w:rsidR="00030376" w:rsidRPr="00AA3B9F" w:rsidRDefault="00652221" w:rsidP="00030376">
      <w:pPr>
        <w:pStyle w:val="Prrafodelista"/>
        <w:numPr>
          <w:ilvl w:val="0"/>
          <w:numId w:val="21"/>
        </w:numPr>
        <w:spacing w:line="276" w:lineRule="auto"/>
        <w:jc w:val="both"/>
        <w:rPr>
          <w:rFonts w:ascii="Verdana" w:hAnsi="Verdana" w:cs="Arial"/>
        </w:rPr>
      </w:pPr>
      <w:r w:rsidRPr="00AA3B9F">
        <w:rPr>
          <w:rFonts w:ascii="Verdana" w:hAnsi="Verdana" w:cs="Arial"/>
        </w:rPr>
        <w:t xml:space="preserve">En todo caso, es importante considerar que estos decretos tienen el carácter de decretos autónomos, pues fueron expedidos conforme a las facultades normativas excepcionales atribuidas al Gobierno Nacional por el artículo 56 transitorio de Constitución Política, en lo que el Congreso de la República implementa los territorios indígenas, cuestión respecto de la que permanece la omisión legislativa –sin perjuicio de la expedición de la Ley 1454 de 2011, tal como lo precisó la Corte Constitucional en las sentencias C-489 de 2012 y C-617 de 2015–. Esto significa que las disposiciones de los decretos autónomos mencionados mantendrán su vigencia hasta que Legislador ejerza la competencia normativa que le asiste en orden de implementar los territorios indígenas, conforme al artículo 329 superior. </w:t>
      </w:r>
    </w:p>
    <w:p w14:paraId="5401943F" w14:textId="77777777" w:rsidR="00030376" w:rsidRPr="00AA3B9F" w:rsidRDefault="00030376" w:rsidP="00030376">
      <w:pPr>
        <w:pStyle w:val="Prrafodelista"/>
        <w:rPr>
          <w:rFonts w:ascii="Verdana" w:hAnsi="Verdana" w:cs="Arial"/>
        </w:rPr>
      </w:pPr>
    </w:p>
    <w:p w14:paraId="39ED8F4C" w14:textId="77777777" w:rsidR="002C5536" w:rsidRPr="00AA3B9F" w:rsidRDefault="00030376" w:rsidP="002C5536">
      <w:pPr>
        <w:pStyle w:val="Prrafodelista"/>
        <w:numPr>
          <w:ilvl w:val="0"/>
          <w:numId w:val="21"/>
        </w:numPr>
        <w:spacing w:line="276" w:lineRule="auto"/>
        <w:jc w:val="both"/>
        <w:rPr>
          <w:rFonts w:ascii="Verdana" w:hAnsi="Verdana" w:cs="Arial"/>
        </w:rPr>
      </w:pPr>
      <w:r w:rsidRPr="00AA3B9F">
        <w:rPr>
          <w:rFonts w:ascii="Verdana" w:hAnsi="Verdana" w:cs="Arial"/>
        </w:rPr>
        <w:t>E</w:t>
      </w:r>
      <w:r w:rsidR="00AF5CC8" w:rsidRPr="00AA3B9F">
        <w:rPr>
          <w:rFonts w:ascii="Verdana" w:hAnsi="Verdana" w:cs="Arial"/>
        </w:rPr>
        <w:t xml:space="preserve">n lo que </w:t>
      </w:r>
      <w:r w:rsidR="00645AF0" w:rsidRPr="00AA3B9F">
        <w:rPr>
          <w:rFonts w:ascii="Verdana" w:hAnsi="Verdana" w:cs="Arial"/>
        </w:rPr>
        <w:t xml:space="preserve">respecta a la </w:t>
      </w:r>
      <w:r w:rsidRPr="00AA3B9F">
        <w:rPr>
          <w:rFonts w:ascii="Verdana" w:eastAsia="Calibri" w:hAnsi="Verdana" w:cs="Arial"/>
        </w:rPr>
        <w:t xml:space="preserve">Ley 2160 de 2021, </w:t>
      </w:r>
      <w:r w:rsidRPr="00AA3B9F">
        <w:rPr>
          <w:rFonts w:ascii="Verdana" w:eastAsia="Calibri" w:hAnsi="Verdana" w:cs="Arial"/>
          <w:i/>
          <w:iCs/>
        </w:rPr>
        <w:t>“Por medio del cual se modifica la Ley 80 de 1993 y la Ley 1150 de 2007</w:t>
      </w:r>
      <w:r w:rsidRPr="00AA3B9F">
        <w:rPr>
          <w:rFonts w:ascii="Verdana" w:hAnsi="Verdana" w:cs="Arial"/>
          <w:i/>
          <w:iCs/>
        </w:rPr>
        <w:t>”</w:t>
      </w:r>
      <w:r w:rsidRPr="00AA3B9F">
        <w:rPr>
          <w:rFonts w:ascii="Verdana" w:eastAsia="Calibri" w:hAnsi="Verdana" w:cs="Arial"/>
        </w:rPr>
        <w:t>, esta estableció nuevas regulaciones con respecto a la capacidad contractual y naturaleza jurídica de varios tipos de organización, entre ellas los cabildos indígenas y asociaciones de autoridades tradicionales indígenas</w:t>
      </w:r>
      <w:r w:rsidRPr="00AA3B9F">
        <w:rPr>
          <w:rFonts w:ascii="Verdana" w:eastAsia="Times New Roman" w:hAnsi="Verdana"/>
          <w:sz w:val="21"/>
          <w:szCs w:val="21"/>
          <w:vertAlign w:val="superscript"/>
          <w:lang w:eastAsia="es-ES_tradnl"/>
        </w:rPr>
        <w:footnoteReference w:id="6"/>
      </w:r>
      <w:r w:rsidRPr="00AA3B9F">
        <w:rPr>
          <w:rFonts w:ascii="Verdana" w:eastAsia="Times New Roman" w:hAnsi="Verdana" w:cs="Arial"/>
          <w:sz w:val="21"/>
          <w:szCs w:val="21"/>
          <w:lang w:eastAsia="es-ES_tradnl"/>
        </w:rPr>
        <w:t xml:space="preserve">. </w:t>
      </w:r>
      <w:r w:rsidRPr="00AA3B9F">
        <w:rPr>
          <w:rFonts w:ascii="Verdana" w:eastAsia="Times New Roman" w:hAnsi="Verdana" w:cs="Arial"/>
          <w:lang w:eastAsia="es-ES_tradnl"/>
        </w:rPr>
        <w:t xml:space="preserve">Teniendo en cuenta esta filosofía y </w:t>
      </w:r>
      <w:r w:rsidRPr="00AA3B9F">
        <w:rPr>
          <w:rFonts w:ascii="Verdana" w:eastAsia="Times New Roman" w:hAnsi="Verdana" w:cs="Arial"/>
          <w:lang w:eastAsia="es-ES_tradnl"/>
        </w:rPr>
        <w:lastRenderedPageBreak/>
        <w:t>objetivos buscados en el proyecto de ley, esta modificó, entre otras cosas, el artículo 7 de la Ley 80 de 1993 mediante su artículo 3º. Adicionalmente, adicionó el literal L) al numeral 4 del artículo 2 de la Ley 1150 de 2007, creando un causal de contratación directa aplicable a “</w:t>
      </w:r>
      <w:r w:rsidRPr="00AA3B9F">
        <w:rPr>
          <w:rFonts w:ascii="Verdana" w:eastAsia="Times New Roman" w:hAnsi="Verdana" w:cs="Arial"/>
          <w:b/>
          <w:bCs/>
          <w:i/>
          <w:iCs/>
          <w:lang w:eastAsia="es-ES_tradnl"/>
        </w:rPr>
        <w:t>L)</w:t>
      </w:r>
      <w:r w:rsidRPr="00AA3B9F">
        <w:rPr>
          <w:rFonts w:ascii="Verdana" w:eastAsia="Times New Roman" w:hAnsi="Verdana" w:cs="Arial"/>
          <w:i/>
          <w:iCs/>
          <w:lang w:eastAsia="es-ES_tradnl"/>
        </w:rPr>
        <w:t> Los contratos o convenios que las entidades estatales suscriban con los cabildos Indígenas y las Asociaciones de Autoridades Tradicionales Indígenas, cuyo objeto esté relacionado con el fortalecimiento del Gobierno Propio, la identidad cultural, el ejercicio de la autonomía, y/o la garantía de los Derechos de los Pueblos Indígenas”.</w:t>
      </w:r>
      <w:r w:rsidRPr="00AA3B9F">
        <w:rPr>
          <w:rFonts w:ascii="Verdana" w:eastAsia="Times New Roman" w:hAnsi="Verdana" w:cs="Arial"/>
          <w:lang w:eastAsia="es-ES_tradnl"/>
        </w:rPr>
        <w:t xml:space="preserve"> En aplicación de esta causal era en su momento posible celebrar contratos con los Cabildos Indígenas y Asociaciones de Autoridades Tradicionales Indígenas, independientemente de su valor u objeto, siempre que estuvieran relacionado con las finalidades expresamente establecidas en la norma. </w:t>
      </w:r>
    </w:p>
    <w:p w14:paraId="18917A4B" w14:textId="77777777" w:rsidR="002C5536" w:rsidRPr="00AA3B9F" w:rsidRDefault="002C5536" w:rsidP="002C5536">
      <w:pPr>
        <w:pStyle w:val="Prrafodelista"/>
        <w:spacing w:line="276" w:lineRule="auto"/>
        <w:ind w:left="360"/>
        <w:jc w:val="both"/>
        <w:rPr>
          <w:rFonts w:ascii="Verdana" w:hAnsi="Verdana" w:cs="Arial"/>
        </w:rPr>
      </w:pPr>
    </w:p>
    <w:p w14:paraId="0847D4EE" w14:textId="77777777" w:rsidR="00EE30B8" w:rsidRPr="00AA3B9F" w:rsidRDefault="002C5536" w:rsidP="00EE30B8">
      <w:pPr>
        <w:pStyle w:val="Prrafodelista"/>
        <w:numPr>
          <w:ilvl w:val="0"/>
          <w:numId w:val="21"/>
        </w:numPr>
        <w:spacing w:line="276" w:lineRule="auto"/>
        <w:jc w:val="both"/>
        <w:rPr>
          <w:rFonts w:ascii="Verdana" w:hAnsi="Verdana" w:cs="Arial"/>
        </w:rPr>
      </w:pPr>
      <w:r w:rsidRPr="00AA3B9F">
        <w:rPr>
          <w:rFonts w:ascii="Verdana" w:eastAsia="Times New Roman" w:hAnsi="Verdana" w:cs="Arial"/>
        </w:rPr>
        <w:t xml:space="preserve">Sin embargo, el artículo 353 de la Ley 2294 de 2023, modificó la referida causal de contratación directa mutando su texto en el siguiente: “[…] </w:t>
      </w:r>
      <w:r w:rsidRPr="00AA3B9F">
        <w:rPr>
          <w:rFonts w:ascii="Verdana" w:eastAsia="Times New Roman" w:hAnsi="Verdana" w:cs="Arial"/>
          <w:i/>
        </w:rPr>
        <w:t xml:space="preserve">l) Los contratos o convenios que las entidades estatales suscriban con los Cabildos Indígenas, las asociaciones de Cabildos Indígenas y/o Autoridades Tradicionales Indígenas, Consejos Indígenas y Organizaciones Indígenas con capacidad para contratar cuyo objeto esté relacionado con la ejecución de programas, planes y proyectos del plan de desarrollo relacionados con el fortalecimiento del gobierno propio, la identidad cultural, el ejercicio de la autonomía, la garantía de los derechos, satisfacción de necesidades y/o servicios públicos de los pueblos y comunidades indígenas. En el marco de dichos objetos se contemplará la ejecución de obras públicas que impliquen actividades de mantenimiento y/o mejoramiento de infraestructura social y de transporte, así como suministrar bienes y/o servicios para los que se acredite idoneidad, la cual deberá ser valorada teniendo en cuenta un enfoque diferencial </w:t>
      </w:r>
      <w:r w:rsidRPr="00AA3B9F">
        <w:rPr>
          <w:rFonts w:ascii="Verdana" w:eastAsia="Times New Roman" w:hAnsi="Verdana" w:cs="Arial"/>
        </w:rPr>
        <w:t>[…]” [Énfasis fuera de texto].</w:t>
      </w:r>
    </w:p>
    <w:p w14:paraId="46C0739F" w14:textId="77777777" w:rsidR="00EE30B8" w:rsidRPr="00AA3B9F" w:rsidRDefault="00EE30B8" w:rsidP="00EE30B8">
      <w:pPr>
        <w:pStyle w:val="Prrafodelista"/>
        <w:rPr>
          <w:rFonts w:ascii="Verdana" w:eastAsia="Calibri" w:hAnsi="Verdana" w:cs="Arial"/>
        </w:rPr>
      </w:pPr>
    </w:p>
    <w:p w14:paraId="7F0F0D74" w14:textId="77777777" w:rsidR="002318EB" w:rsidRPr="00AA3B9F" w:rsidRDefault="00EE30B8" w:rsidP="002318EB">
      <w:pPr>
        <w:pStyle w:val="Prrafodelista"/>
        <w:numPr>
          <w:ilvl w:val="0"/>
          <w:numId w:val="21"/>
        </w:numPr>
        <w:spacing w:line="276" w:lineRule="auto"/>
        <w:jc w:val="both"/>
        <w:rPr>
          <w:rFonts w:ascii="Verdana" w:hAnsi="Verdana" w:cs="Arial"/>
        </w:rPr>
      </w:pPr>
      <w:r w:rsidRPr="00AA3B9F">
        <w:rPr>
          <w:rFonts w:ascii="Verdana" w:eastAsia="Calibri" w:hAnsi="Verdana" w:cs="Arial"/>
        </w:rPr>
        <w:t>De acuerdo con este texto, la referida causal</w:t>
      </w:r>
      <w:r w:rsidRPr="00AA3B9F">
        <w:rPr>
          <w:rFonts w:ascii="Verdana" w:eastAsia="Calibri" w:hAnsi="Verdana" w:cs="Arial"/>
          <w:lang w:val="es-MX"/>
        </w:rPr>
        <w:t xml:space="preserve"> aplica en función de los sujetos y del objeto. </w:t>
      </w:r>
      <w:r w:rsidRPr="00AA3B9F">
        <w:rPr>
          <w:rFonts w:ascii="Verdana" w:eastAsia="Calibri" w:hAnsi="Verdana" w:cs="Arial"/>
          <w:i/>
          <w:iCs/>
          <w:lang w:val="es-MX"/>
        </w:rPr>
        <w:t>Por un lado</w:t>
      </w:r>
      <w:r w:rsidRPr="00AA3B9F">
        <w:rPr>
          <w:rFonts w:ascii="Verdana" w:eastAsia="Calibri" w:hAnsi="Verdana" w:cs="Arial"/>
          <w:lang w:val="es-MX"/>
        </w:rPr>
        <w:t xml:space="preserve">, se circunscribe a los contratos o convenios celebrados entre las entidades públicas con los “[…] Cabildos Indígenas, las asociaciones de Cabildos Indígenas y/o Autoridades Tradicionales Indígenas, Consejos Indígenas y Organizaciones Indígenas […]”. Las entidades públicas </w:t>
      </w:r>
      <w:r w:rsidRPr="00AA3B9F">
        <w:rPr>
          <w:rFonts w:ascii="Verdana" w:eastAsia="Calibri" w:hAnsi="Verdana" w:cs="Arial"/>
          <w:lang w:val="es-MX"/>
        </w:rPr>
        <w:lastRenderedPageBreak/>
        <w:t xml:space="preserve">son aquellas definidas en el artículo 2 de las Ley 80 de 1993, mientras que la naturaleza jurídica y la capacidad contractual de las comunidades indígenas se encuentra definida en las normas señaladas previamente. </w:t>
      </w:r>
      <w:r w:rsidRPr="00AA3B9F">
        <w:rPr>
          <w:rFonts w:ascii="Verdana" w:eastAsia="Calibri" w:hAnsi="Verdana" w:cs="Arial"/>
          <w:i/>
          <w:iCs/>
          <w:lang w:val="es-MX"/>
        </w:rPr>
        <w:t>Por otra parte</w:t>
      </w:r>
      <w:r w:rsidRPr="00AA3B9F">
        <w:rPr>
          <w:rFonts w:ascii="Verdana" w:eastAsia="Calibri" w:hAnsi="Verdana" w:cs="Arial"/>
          <w:lang w:val="es-MX"/>
        </w:rPr>
        <w:t xml:space="preserve">, además del criterio subjetivo, se requiere que los contratos y convenios se enfoquen en “[…] el fortalecimiento del gobierno propio, la identidad cultural, el ejercicio de la autonomía, la garantía de los derechos, satisfacción de necesidades y/o servicios públicos de los pueblos y comunidades indígenas […]”. Es decir, la causal no es absoluta y, por tanto, la excepción a los procedimientos de la convocatoria abierta se refiere a objetos específicos. Sin embargo, es también es necesario que estén “[…] relacionados con la ejecución de programas, planes y proyectos del plan de desarrollo […]”, lo cual implica una delimitación adicional.    </w:t>
      </w:r>
    </w:p>
    <w:p w14:paraId="09EEB296" w14:textId="77777777" w:rsidR="002318EB" w:rsidRPr="00AA3B9F" w:rsidRDefault="002318EB" w:rsidP="002318EB">
      <w:pPr>
        <w:pStyle w:val="Prrafodelista"/>
        <w:spacing w:line="276" w:lineRule="auto"/>
        <w:ind w:left="360"/>
        <w:jc w:val="both"/>
        <w:rPr>
          <w:rFonts w:ascii="Verdana" w:hAnsi="Verdana" w:cs="Arial"/>
        </w:rPr>
      </w:pPr>
    </w:p>
    <w:p w14:paraId="6A973857" w14:textId="77777777" w:rsidR="00C62308" w:rsidRPr="00AA3B9F" w:rsidRDefault="00574F90" w:rsidP="00C62308">
      <w:pPr>
        <w:pStyle w:val="Prrafodelista"/>
        <w:numPr>
          <w:ilvl w:val="0"/>
          <w:numId w:val="21"/>
        </w:numPr>
        <w:spacing w:line="276" w:lineRule="auto"/>
        <w:jc w:val="both"/>
        <w:rPr>
          <w:rFonts w:ascii="Verdana" w:hAnsi="Verdana" w:cs="Arial"/>
        </w:rPr>
      </w:pPr>
      <w:r w:rsidRPr="00AA3B9F">
        <w:rPr>
          <w:rFonts w:ascii="Verdana" w:hAnsi="Verdana" w:cs="Arial"/>
        </w:rPr>
        <w:t xml:space="preserve">Sin perjuicio de lo anterior, </w:t>
      </w:r>
      <w:r w:rsidRPr="00AA3B9F">
        <w:rPr>
          <w:rFonts w:ascii="Verdana" w:eastAsia="Calibri" w:hAnsi="Verdana" w:cs="Arial"/>
        </w:rPr>
        <w:t xml:space="preserve">para dar respuesta a la consulta elevada es necesario aclarar que, si bien las Leyes 2160 de 2021 y 2294 del 2023 contemplaron en el marco de la causal del literal l) del artículo 2, numeral 4 de la Ley 1150 de 2007 la posibilidad de contratar directamente con Cabildos Indígenas, Asociaciones y Autoridades Tradicionales Indígenas y Consejos Indígenas,  lo cierto es que, estas normas no </w:t>
      </w:r>
      <w:r w:rsidR="002318EB" w:rsidRPr="00AA3B9F">
        <w:rPr>
          <w:rFonts w:ascii="Verdana" w:eastAsia="Calibri" w:hAnsi="Verdana" w:cs="Arial"/>
        </w:rPr>
        <w:t>afectan</w:t>
      </w:r>
      <w:r w:rsidRPr="00AA3B9F">
        <w:rPr>
          <w:rFonts w:ascii="Verdana" w:eastAsia="Calibri" w:hAnsi="Verdana" w:cs="Arial"/>
        </w:rPr>
        <w:t xml:space="preserve"> la vigencia de los Decretos 1088 de 1993 y 252 del 2020, los cuales se encuentran sujetas a </w:t>
      </w:r>
      <w:r w:rsidR="002318EB" w:rsidRPr="00AA3B9F">
        <w:rPr>
          <w:rFonts w:ascii="Verdana" w:eastAsia="Calibri" w:hAnsi="Verdana" w:cs="Arial"/>
        </w:rPr>
        <w:t>lo dispuesto en el</w:t>
      </w:r>
      <w:r w:rsidRPr="00AA3B9F">
        <w:rPr>
          <w:rFonts w:ascii="Verdana" w:eastAsia="Calibri" w:hAnsi="Verdana" w:cs="Arial"/>
        </w:rPr>
        <w:t xml:space="preserve"> artículo 56 transitorio de la Constitución Política</w:t>
      </w:r>
      <w:r w:rsidRPr="00AA3B9F">
        <w:rPr>
          <w:rStyle w:val="Refdenotaalpie"/>
          <w:rFonts w:ascii="Verdana" w:eastAsia="Calibri" w:hAnsi="Verdana" w:cs="Arial"/>
        </w:rPr>
        <w:footnoteReference w:id="7"/>
      </w:r>
      <w:r w:rsidRPr="00AA3B9F">
        <w:rPr>
          <w:rFonts w:ascii="Verdana" w:eastAsia="Calibri" w:hAnsi="Verdana" w:cs="Arial"/>
        </w:rPr>
        <w:t>. La vigencia de dicha disposición constitucional transitoria está supeditada a la regulación de las entidades territoriales indígenas, cuestión en la que, a pesar de la referencia realizada en el artículo 2 de la Ley 80 de 1993 y la expedición de la Ley 1454 de 2011, permanece una omisión legislativa conforme estableció la Corte Constitucional en la Sentencia C-489 de 2012</w:t>
      </w:r>
      <w:r w:rsidRPr="00AA3B9F">
        <w:rPr>
          <w:rStyle w:val="Refdenotaalpie"/>
          <w:rFonts w:ascii="Verdana" w:eastAsia="Calibri" w:hAnsi="Verdana" w:cs="Arial"/>
        </w:rPr>
        <w:footnoteReference w:id="8"/>
      </w:r>
      <w:r w:rsidRPr="00AA3B9F">
        <w:rPr>
          <w:rFonts w:ascii="Verdana" w:eastAsia="Calibri" w:hAnsi="Verdana" w:cs="Arial"/>
        </w:rPr>
        <w:t>.</w:t>
      </w:r>
    </w:p>
    <w:p w14:paraId="46594C27" w14:textId="77777777" w:rsidR="00C62308" w:rsidRPr="00AA3B9F" w:rsidRDefault="00C62308" w:rsidP="00C62308">
      <w:pPr>
        <w:pStyle w:val="Prrafodelista"/>
        <w:rPr>
          <w:rFonts w:ascii="Verdana" w:eastAsia="Calibri" w:hAnsi="Verdana" w:cs="Arial"/>
        </w:rPr>
      </w:pPr>
    </w:p>
    <w:p w14:paraId="5977D7FD" w14:textId="2C1DA1BF" w:rsidR="000B7DDF" w:rsidRPr="000B7DDF" w:rsidRDefault="00C62308" w:rsidP="000B7DDF">
      <w:pPr>
        <w:pStyle w:val="Prrafodelista"/>
        <w:numPr>
          <w:ilvl w:val="0"/>
          <w:numId w:val="21"/>
        </w:numPr>
        <w:spacing w:line="276" w:lineRule="auto"/>
        <w:jc w:val="both"/>
        <w:rPr>
          <w:rFonts w:ascii="Verdana" w:hAnsi="Verdana" w:cs="Arial"/>
        </w:rPr>
      </w:pPr>
      <w:r w:rsidRPr="00AA3B9F">
        <w:rPr>
          <w:rFonts w:ascii="Verdana" w:eastAsia="Calibri" w:hAnsi="Verdana" w:cs="Arial"/>
        </w:rPr>
        <w:t xml:space="preserve">Con todo, es importante recordar que, que las disposiciones que se tratan tienen ámbitos de aplicación distintos. Por una parte el Decreto autónomo 1088 de 1993, modificado por el Decreto 252 de 2020, regula la posibilidad de contratar de manera directa sin restricción en cuantía y objeto con Asociaciones de Cabildos y/o Autoridades Tradicionales –art. 2 y ss. D. 1088 de 1993– y Organizaciones Indígenas –conformadas exclusivamente por Cabildos, Resguardos, Asociaciones de Cabildos, Asociación de Autoridades u otra forma de Autoridad Indígena propia–, esto es, sujetos diferentes a los establecidos en la Ley 2294 del 2023. Por otra parte, el </w:t>
      </w:r>
      <w:r w:rsidRPr="00AA3B9F">
        <w:rPr>
          <w:rFonts w:ascii="Verdana" w:eastAsia="Calibri" w:hAnsi="Verdana" w:cs="Arial"/>
          <w:bCs/>
          <w:color w:val="000000" w:themeColor="text1"/>
        </w:rPr>
        <w:t xml:space="preserve">literal l) del artículo 2, numeral 4 de la Ley 1150 de 2007, permite contratar directamente sin restricción a la cuantía, pero con un objeto cualificado en los términos aquí explicados, siempre que se trate de Cabildos, Asociaciones de Cabildos y/o Autoridades Tradicionales, Consejos Indígenas u Organizaciones Indígenas. </w:t>
      </w:r>
    </w:p>
    <w:p w14:paraId="4299081D" w14:textId="77777777" w:rsidR="000B7DDF" w:rsidRPr="000B7DDF" w:rsidRDefault="000B7DDF" w:rsidP="000B7DDF">
      <w:pPr>
        <w:spacing w:line="276" w:lineRule="auto"/>
        <w:jc w:val="both"/>
        <w:rPr>
          <w:rFonts w:ascii="Verdana" w:hAnsi="Verdana" w:cs="Arial"/>
        </w:rPr>
      </w:pPr>
    </w:p>
    <w:p w14:paraId="485235E2" w14:textId="77777777" w:rsidR="00AA5A48" w:rsidRPr="00AA3B9F" w:rsidRDefault="00AA5A48" w:rsidP="00AA5A4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Arial"/>
          <w:b/>
          <w:bCs/>
        </w:rPr>
      </w:pPr>
      <w:r w:rsidRPr="00AA3B9F">
        <w:rPr>
          <w:rFonts w:ascii="Verdana" w:eastAsia="Century Gothic" w:hAnsi="Verdana" w:cs="Arial"/>
          <w:b/>
          <w:bCs/>
        </w:rPr>
        <w:t>Referencias normativas, jurisprudenciales y otras fuentes:</w:t>
      </w:r>
    </w:p>
    <w:p w14:paraId="14E9FFC3" w14:textId="77777777" w:rsidR="00AA5A48" w:rsidRPr="00AA3B9F" w:rsidRDefault="00AA5A48" w:rsidP="00AA5A48">
      <w:pPr>
        <w:pStyle w:val="Prrafodelista"/>
        <w:tabs>
          <w:tab w:val="left" w:pos="142"/>
          <w:tab w:val="left" w:pos="284"/>
        </w:tabs>
        <w:spacing w:after="0" w:line="276" w:lineRule="auto"/>
        <w:ind w:left="0"/>
        <w:contextualSpacing w:val="0"/>
        <w:jc w:val="both"/>
        <w:rPr>
          <w:rFonts w:ascii="Verdana" w:eastAsia="Century Gothic" w:hAnsi="Verdana" w:cs="Arial"/>
          <w:b/>
          <w:bC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A5A48" w:rsidRPr="00AA3B9F" w14:paraId="1F6B897D" w14:textId="77777777" w:rsidTr="00CF215E">
        <w:trPr>
          <w:trHeight w:val="887"/>
        </w:trPr>
        <w:tc>
          <w:tcPr>
            <w:tcW w:w="8647" w:type="dxa"/>
          </w:tcPr>
          <w:p w14:paraId="09BD1058" w14:textId="77777777" w:rsidR="008A795A" w:rsidRPr="00AA3B9F" w:rsidRDefault="008A795A" w:rsidP="007574BD">
            <w:pPr>
              <w:pStyle w:val="Prrafodelista"/>
              <w:widowControl w:val="0"/>
              <w:numPr>
                <w:ilvl w:val="0"/>
                <w:numId w:val="18"/>
              </w:numPr>
              <w:tabs>
                <w:tab w:val="left" w:pos="8419"/>
              </w:tabs>
              <w:autoSpaceDE w:val="0"/>
              <w:autoSpaceDN w:val="0"/>
              <w:spacing w:after="120" w:line="276" w:lineRule="auto"/>
              <w:contextualSpacing w:val="0"/>
              <w:jc w:val="both"/>
              <w:rPr>
                <w:rFonts w:ascii="Verdana" w:hAnsi="Verdana" w:cs="Arial"/>
              </w:rPr>
            </w:pPr>
            <w:r w:rsidRPr="00AA3B9F">
              <w:rPr>
                <w:rFonts w:ascii="Verdana" w:hAnsi="Verdana" w:cs="Arial"/>
                <w:lang w:val="es-CO"/>
              </w:rPr>
              <w:t>Convenio No. 169 de 1989.</w:t>
            </w:r>
          </w:p>
          <w:p w14:paraId="3528C547" w14:textId="77777777" w:rsidR="008A795A" w:rsidRPr="00AA3B9F" w:rsidRDefault="008A795A" w:rsidP="007574BD">
            <w:pPr>
              <w:pStyle w:val="Prrafodelista"/>
              <w:widowControl w:val="0"/>
              <w:numPr>
                <w:ilvl w:val="0"/>
                <w:numId w:val="18"/>
              </w:numPr>
              <w:tabs>
                <w:tab w:val="left" w:pos="8419"/>
              </w:tabs>
              <w:autoSpaceDE w:val="0"/>
              <w:autoSpaceDN w:val="0"/>
              <w:spacing w:after="120" w:line="276" w:lineRule="auto"/>
              <w:contextualSpacing w:val="0"/>
              <w:jc w:val="both"/>
              <w:rPr>
                <w:rFonts w:ascii="Verdana" w:hAnsi="Verdana" w:cs="Arial"/>
              </w:rPr>
            </w:pPr>
            <w:r w:rsidRPr="00AA3B9F">
              <w:rPr>
                <w:rFonts w:ascii="Verdana" w:hAnsi="Verdana" w:cs="Arial"/>
                <w:lang w:val="es-CO"/>
              </w:rPr>
              <w:t>Ley 21 de 1991.</w:t>
            </w:r>
          </w:p>
          <w:p w14:paraId="78250F4E" w14:textId="77777777" w:rsidR="008A795A" w:rsidRPr="00AA3B9F" w:rsidRDefault="008A795A" w:rsidP="007574BD">
            <w:pPr>
              <w:pStyle w:val="Prrafodelista"/>
              <w:widowControl w:val="0"/>
              <w:numPr>
                <w:ilvl w:val="0"/>
                <w:numId w:val="18"/>
              </w:numPr>
              <w:tabs>
                <w:tab w:val="left" w:pos="8419"/>
              </w:tabs>
              <w:autoSpaceDE w:val="0"/>
              <w:autoSpaceDN w:val="0"/>
              <w:spacing w:after="120" w:line="276" w:lineRule="auto"/>
              <w:contextualSpacing w:val="0"/>
              <w:jc w:val="both"/>
              <w:rPr>
                <w:rFonts w:ascii="Verdana" w:hAnsi="Verdana" w:cs="Arial"/>
              </w:rPr>
            </w:pPr>
            <w:r w:rsidRPr="00AA3B9F">
              <w:rPr>
                <w:rFonts w:ascii="Verdana" w:hAnsi="Verdana" w:cs="Arial"/>
                <w:lang w:val="es-CO"/>
              </w:rPr>
              <w:t>Constitución Política de 1991, Artículos 56, 93, 329.</w:t>
            </w:r>
          </w:p>
          <w:p w14:paraId="40C90D5C" w14:textId="77777777" w:rsidR="008A795A" w:rsidRPr="00AA3B9F" w:rsidRDefault="008A795A" w:rsidP="007574BD">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AA3B9F">
              <w:rPr>
                <w:rFonts w:ascii="Verdana" w:hAnsi="Verdana" w:cs="Arial"/>
              </w:rPr>
              <w:t>Decreto 1088 de 1993.</w:t>
            </w:r>
          </w:p>
          <w:p w14:paraId="7C125D28" w14:textId="77777777" w:rsidR="008A795A" w:rsidRPr="00AA3B9F" w:rsidRDefault="008A795A" w:rsidP="007574BD">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AA3B9F">
              <w:rPr>
                <w:rFonts w:ascii="Verdana" w:hAnsi="Verdana" w:cs="Arial"/>
              </w:rPr>
              <w:t>Decreto 252 del 2020.</w:t>
            </w:r>
          </w:p>
          <w:p w14:paraId="540E981B" w14:textId="77777777" w:rsidR="007574BD" w:rsidRPr="00AA3B9F" w:rsidRDefault="007574BD" w:rsidP="007574BD">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AA3B9F">
              <w:rPr>
                <w:rFonts w:ascii="Verdana" w:hAnsi="Verdana" w:cs="Arial"/>
              </w:rPr>
              <w:t>Ley 2160 de 2021</w:t>
            </w:r>
          </w:p>
          <w:p w14:paraId="2C8DB968" w14:textId="4A4B2FD9" w:rsidR="007574BD" w:rsidRPr="00AA3B9F" w:rsidRDefault="007574BD" w:rsidP="007574BD">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AA3B9F">
              <w:rPr>
                <w:rFonts w:ascii="Verdana" w:hAnsi="Verdana" w:cs="Arial"/>
              </w:rPr>
              <w:t>Ley 2294 de 2023</w:t>
            </w:r>
            <w:r w:rsidRPr="00AA3B9F">
              <w:rPr>
                <w:rFonts w:ascii="Verdana" w:eastAsia="Times New Roman" w:hAnsi="Verdana" w:cs="Arial"/>
                <w:lang w:val="es-ES_tradnl" w:eastAsia="es-ES"/>
              </w:rPr>
              <w:t>: Artículos 353 y 354.</w:t>
            </w:r>
          </w:p>
          <w:p w14:paraId="678CC675" w14:textId="77777777" w:rsidR="008A795A" w:rsidRPr="00AA3B9F" w:rsidRDefault="008A795A" w:rsidP="007574BD">
            <w:pPr>
              <w:pStyle w:val="Prrafodelista"/>
              <w:widowControl w:val="0"/>
              <w:numPr>
                <w:ilvl w:val="0"/>
                <w:numId w:val="18"/>
              </w:numPr>
              <w:tabs>
                <w:tab w:val="left" w:pos="8419"/>
              </w:tabs>
              <w:autoSpaceDE w:val="0"/>
              <w:autoSpaceDN w:val="0"/>
              <w:spacing w:after="120" w:line="276" w:lineRule="auto"/>
              <w:contextualSpacing w:val="0"/>
              <w:jc w:val="both"/>
              <w:rPr>
                <w:rStyle w:val="Hipervnculo"/>
                <w:rFonts w:ascii="Verdana" w:hAnsi="Verdana" w:cs="Arial"/>
                <w:color w:val="auto"/>
                <w:u w:val="none"/>
              </w:rPr>
            </w:pPr>
            <w:r w:rsidRPr="00AA3B9F">
              <w:rPr>
                <w:rStyle w:val="Hipervnculo"/>
                <w:rFonts w:ascii="Verdana" w:hAnsi="Verdana"/>
                <w:color w:val="auto"/>
                <w:u w:val="none"/>
              </w:rPr>
              <w:t xml:space="preserve">Corte Constitucional. </w:t>
            </w:r>
            <w:r w:rsidRPr="00AA3B9F">
              <w:rPr>
                <w:rFonts w:ascii="Verdana" w:eastAsia="Calibri" w:hAnsi="Verdana" w:cs="Arial"/>
              </w:rPr>
              <w:t xml:space="preserve">Sentencia C-489 del 27 de junio del 2012. MP. Adriana María Guillén Arango. </w:t>
            </w:r>
          </w:p>
          <w:p w14:paraId="1EA66B52" w14:textId="77777777" w:rsidR="008A795A" w:rsidRPr="00AA3B9F" w:rsidRDefault="008A795A" w:rsidP="007574BD">
            <w:pPr>
              <w:pStyle w:val="Prrafodelista"/>
              <w:widowControl w:val="0"/>
              <w:numPr>
                <w:ilvl w:val="0"/>
                <w:numId w:val="18"/>
              </w:numPr>
              <w:tabs>
                <w:tab w:val="left" w:pos="8419"/>
              </w:tabs>
              <w:autoSpaceDE w:val="0"/>
              <w:autoSpaceDN w:val="0"/>
              <w:spacing w:after="120" w:line="276" w:lineRule="auto"/>
              <w:contextualSpacing w:val="0"/>
              <w:jc w:val="both"/>
              <w:rPr>
                <w:rFonts w:ascii="Verdana" w:hAnsi="Verdana" w:cs="Arial"/>
              </w:rPr>
            </w:pPr>
            <w:r w:rsidRPr="00AA3B9F">
              <w:rPr>
                <w:rStyle w:val="Hipervnculo"/>
                <w:rFonts w:ascii="Verdana" w:hAnsi="Verdana"/>
                <w:color w:val="auto"/>
                <w:u w:val="none"/>
              </w:rPr>
              <w:t>Corte Constitucional.</w:t>
            </w:r>
            <w:r w:rsidRPr="00AA3B9F">
              <w:rPr>
                <w:rFonts w:ascii="Verdana" w:eastAsia="Calibri" w:hAnsi="Verdana" w:cs="Arial"/>
              </w:rPr>
              <w:t xml:space="preserve"> Sentencia C-617 del 30 de septiembre del 2015. MP. Mauricio González Cuervo.</w:t>
            </w:r>
          </w:p>
          <w:p w14:paraId="630A5BAB" w14:textId="716FE315" w:rsidR="00AA5A48" w:rsidRPr="00AA3B9F" w:rsidRDefault="008A795A" w:rsidP="007574BD">
            <w:pPr>
              <w:widowControl w:val="0"/>
              <w:numPr>
                <w:ilvl w:val="0"/>
                <w:numId w:val="18"/>
              </w:numPr>
              <w:autoSpaceDE w:val="0"/>
              <w:autoSpaceDN w:val="0"/>
              <w:spacing w:after="120" w:line="276" w:lineRule="auto"/>
              <w:jc w:val="both"/>
              <w:rPr>
                <w:rFonts w:ascii="Verdana" w:eastAsia="Calibri" w:hAnsi="Verdana" w:cs="Arial"/>
              </w:rPr>
            </w:pPr>
            <w:r w:rsidRPr="00AA3B9F">
              <w:rPr>
                <w:rFonts w:ascii="Verdana" w:eastAsia="Calibri" w:hAnsi="Verdana" w:cs="Arial"/>
              </w:rPr>
              <w:t xml:space="preserve">Cartilla para incentivar y fortalecer el acceso al Sistema de Compras y Contratación Pública de los Pueblos y Comunidades étnicas en Colombia. Disponible en: </w:t>
            </w:r>
            <w:hyperlink r:id="rId12" w:history="1">
              <w:r w:rsidRPr="00AA3B9F">
                <w:rPr>
                  <w:rStyle w:val="Hipervnculo"/>
                  <w:rFonts w:ascii="Verdana" w:hAnsi="Verdana" w:cs="Arial"/>
                </w:rPr>
                <w:t>https://www.colombiacompra.gov.co/sites/cce_public/files/cce_documents/cce-eicp-gi-25_cartilla_para_incentivar_y_fortalecer_el_acceso_al_sistema_de_compras_y_contratacion_publica_de_los_pueblos_y_comunidades_etnicas_en_colombia.pdf</w:t>
              </w:r>
            </w:hyperlink>
          </w:p>
        </w:tc>
      </w:tr>
    </w:tbl>
    <w:p w14:paraId="7B863621" w14:textId="77777777" w:rsidR="00AA5A48" w:rsidRPr="00AA3B9F" w:rsidRDefault="00AA5A48" w:rsidP="00AA5A48">
      <w:pPr>
        <w:widowControl w:val="0"/>
        <w:autoSpaceDE w:val="0"/>
        <w:autoSpaceDN w:val="0"/>
        <w:spacing w:after="0" w:line="276" w:lineRule="auto"/>
        <w:jc w:val="both"/>
        <w:rPr>
          <w:rFonts w:ascii="Verdana" w:hAnsi="Verdana" w:cs="Arial"/>
        </w:rPr>
      </w:pPr>
    </w:p>
    <w:p w14:paraId="66D79941" w14:textId="77777777" w:rsidR="00AA5A48" w:rsidRPr="00AA3B9F" w:rsidRDefault="00AA5A48" w:rsidP="00AA5A4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Arial"/>
          <w:b/>
          <w:bCs/>
        </w:rPr>
      </w:pPr>
      <w:r w:rsidRPr="00AA3B9F">
        <w:rPr>
          <w:rFonts w:ascii="Verdana" w:eastAsia="Century Gothic" w:hAnsi="Verdana" w:cs="Arial"/>
          <w:b/>
          <w:bCs/>
        </w:rPr>
        <w:t>Doctrina de la Agencia Nacional de Contratación Pública:</w:t>
      </w:r>
    </w:p>
    <w:p w14:paraId="781F49D2" w14:textId="77777777" w:rsidR="00AA5A48" w:rsidRPr="00AA3B9F" w:rsidRDefault="00AA5A48" w:rsidP="00AA5A48">
      <w:pPr>
        <w:widowControl w:val="0"/>
        <w:autoSpaceDE w:val="0"/>
        <w:autoSpaceDN w:val="0"/>
        <w:spacing w:after="0" w:line="276" w:lineRule="auto"/>
        <w:jc w:val="both"/>
        <w:rPr>
          <w:rFonts w:ascii="Verdana" w:hAnsi="Verdana" w:cs="Arial"/>
        </w:rPr>
      </w:pPr>
    </w:p>
    <w:p w14:paraId="6FCE12EE" w14:textId="22E2266C" w:rsidR="008D3046" w:rsidRPr="00AA3B9F" w:rsidRDefault="008D3046" w:rsidP="008D3046">
      <w:pPr>
        <w:widowControl w:val="0"/>
        <w:autoSpaceDE w:val="0"/>
        <w:autoSpaceDN w:val="0"/>
        <w:spacing w:after="0" w:line="276" w:lineRule="auto"/>
        <w:jc w:val="both"/>
        <w:rPr>
          <w:rFonts w:ascii="Verdana" w:hAnsi="Verdana" w:cs="Arial"/>
          <w:shd w:val="clear" w:color="auto" w:fill="FFFFFF"/>
          <w:lang w:val="es-ES"/>
        </w:rPr>
      </w:pPr>
      <w:r w:rsidRPr="00AA3B9F">
        <w:rPr>
          <w:rStyle w:val="normaltextrun"/>
          <w:rFonts w:ascii="Verdana" w:hAnsi="Verdana" w:cs="Arial"/>
          <w:shd w:val="clear" w:color="auto" w:fill="FFFFFF"/>
          <w:lang w:val="es-ES"/>
        </w:rPr>
        <w:t xml:space="preserve">Sobre el </w:t>
      </w:r>
      <w:r w:rsidRPr="00AA3B9F">
        <w:rPr>
          <w:rFonts w:ascii="Verdana" w:hAnsi="Verdana" w:cs="Arial"/>
          <w:shd w:val="clear" w:color="auto" w:fill="FFFFFF"/>
        </w:rPr>
        <w:t>el marco jurídico de la contratación con pueblos indígenas esta subdirección se ha pronunciado en los conceptos Nro. C- 806 del 19 de diciembre de 2022, C- 899 de 30 de diciembre de 2022, C-928 de 26 de enero de 2023, C-961 del 30 de enero de 2023, C- 084 del 28 de abril de 2023, C-044 del 8 de mayo de 2023, C-182 del 29 de junio de 2023, C-319 del 2 de agosto de 2023, C-301 del 6 de octubre de 2023, C-459 del 22 de diciembre del 2023, C-011 del 01 de marzo del 2024, C-012 del 21 de marzo del 2024, C-062 del 07 de junio del 2024 y C-371 del 09 de agosto del 2024, C-256 del 30 de agosto del 2024</w:t>
      </w:r>
      <w:r w:rsidR="005D3538" w:rsidRPr="00AA3B9F">
        <w:rPr>
          <w:rFonts w:ascii="Verdana" w:hAnsi="Verdana" w:cs="Arial"/>
          <w:shd w:val="clear" w:color="auto" w:fill="FFFFFF"/>
        </w:rPr>
        <w:t xml:space="preserve">, </w:t>
      </w:r>
      <w:r w:rsidRPr="00AA3B9F">
        <w:rPr>
          <w:rFonts w:ascii="Verdana" w:hAnsi="Verdana" w:cs="Arial"/>
          <w:shd w:val="clear" w:color="auto" w:fill="FFFFFF"/>
        </w:rPr>
        <w:t>C-607 del 18 de octubre del 2024</w:t>
      </w:r>
      <w:r w:rsidR="005D3538" w:rsidRPr="00AA3B9F">
        <w:rPr>
          <w:rFonts w:ascii="Verdana" w:hAnsi="Verdana" w:cs="Arial"/>
          <w:shd w:val="clear" w:color="auto" w:fill="FFFFFF"/>
        </w:rPr>
        <w:t xml:space="preserve"> y C-877 del 05 de diciembre del 2024</w:t>
      </w:r>
      <w:r w:rsidRPr="00AA3B9F">
        <w:rPr>
          <w:rFonts w:ascii="Verdana" w:hAnsi="Verdana" w:cs="Arial"/>
          <w:shd w:val="clear" w:color="auto" w:fill="FFFFFF"/>
          <w:lang w:val="es-ES"/>
        </w:rPr>
        <w:t>.</w:t>
      </w:r>
      <w:r w:rsidRPr="00AA3B9F">
        <w:rPr>
          <w:rStyle w:val="normaltextrun"/>
          <w:rFonts w:ascii="Verdana" w:hAnsi="Verdana" w:cs="Arial"/>
          <w:shd w:val="clear" w:color="auto" w:fill="FFFFFF"/>
          <w:lang w:val="es-ES"/>
        </w:rPr>
        <w:t xml:space="preserve"> </w:t>
      </w:r>
      <w:r w:rsidRPr="00AA3B9F">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AA3B9F">
          <w:rPr>
            <w:rStyle w:val="Hipervnculo"/>
            <w:rFonts w:ascii="Verdana" w:hAnsi="Verdana" w:cs="Arial"/>
            <w:shd w:val="clear" w:color="auto" w:fill="FFFFFF"/>
          </w:rPr>
          <w:t>https://relatoria.colombiacompra.gov.co/</w:t>
        </w:r>
      </w:hyperlink>
    </w:p>
    <w:p w14:paraId="747E3D3D" w14:textId="77777777" w:rsidR="00AA5A48" w:rsidRPr="00AA3B9F" w:rsidRDefault="00AA5A48" w:rsidP="00AA5A48">
      <w:pPr>
        <w:widowControl w:val="0"/>
        <w:autoSpaceDE w:val="0"/>
        <w:autoSpaceDN w:val="0"/>
        <w:spacing w:after="0" w:line="276" w:lineRule="auto"/>
        <w:jc w:val="both"/>
        <w:rPr>
          <w:rFonts w:ascii="Verdana" w:hAnsi="Verdana" w:cs="Arial"/>
          <w:shd w:val="clear" w:color="auto" w:fill="FFFFFF"/>
          <w:lang w:val="es-ES"/>
        </w:rPr>
      </w:pPr>
    </w:p>
    <w:p w14:paraId="2A004918" w14:textId="77777777" w:rsidR="00AA5A48" w:rsidRPr="00AA3B9F" w:rsidRDefault="00AA5A48" w:rsidP="00AA5A48">
      <w:pPr>
        <w:widowControl w:val="0"/>
        <w:autoSpaceDE w:val="0"/>
        <w:autoSpaceDN w:val="0"/>
        <w:spacing w:after="0" w:line="276" w:lineRule="auto"/>
        <w:jc w:val="both"/>
        <w:rPr>
          <w:rFonts w:ascii="Verdana" w:hAnsi="Verdana" w:cs="Arial"/>
          <w:color w:val="000000" w:themeColor="text1"/>
          <w:shd w:val="clear" w:color="auto" w:fill="FFFFFF"/>
        </w:rPr>
      </w:pPr>
      <w:r w:rsidRPr="00AA3B9F">
        <w:rPr>
          <w:rFonts w:ascii="Verdana" w:hAnsi="Verdana" w:cs="Arial"/>
          <w:color w:val="000000" w:themeColor="text1"/>
          <w:shd w:val="clear" w:color="auto" w:fill="FFFFFF"/>
        </w:rPr>
        <w:t>De otro lado,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Este instrumento se encuentra disponible para consulta en el siguiente enlace: </w:t>
      </w:r>
      <w:hyperlink r:id="rId14" w:tgtFrame="_blank" w:tooltip="Dirección URL original: https://www.colombiacompra.gov.co/sites/cce_public/files/cce_documents/manual_para_el_manejo_de_acuerdos_comerciales_vf.pdf. Haga clic o pulse si confía en este vínculo." w:history="1">
        <w:r w:rsidRPr="00AA3B9F">
          <w:rPr>
            <w:rStyle w:val="Hipervnculo"/>
            <w:rFonts w:ascii="Verdana" w:hAnsi="Verdana" w:cs="Arial"/>
            <w:shd w:val="clear" w:color="auto" w:fill="FFFFFF"/>
          </w:rPr>
          <w:t>manual_para_el_manejo_de_acuerdos_comerciales_vf.pdf</w:t>
        </w:r>
      </w:hyperlink>
    </w:p>
    <w:p w14:paraId="6800E1FA" w14:textId="77777777" w:rsidR="00AA5A48" w:rsidRPr="00AA3B9F" w:rsidRDefault="00AA5A48" w:rsidP="00AA5A48">
      <w:pPr>
        <w:widowControl w:val="0"/>
        <w:autoSpaceDE w:val="0"/>
        <w:autoSpaceDN w:val="0"/>
        <w:spacing w:after="0" w:line="276" w:lineRule="auto"/>
        <w:jc w:val="both"/>
        <w:rPr>
          <w:rFonts w:ascii="Verdana" w:hAnsi="Verdana" w:cs="Arial"/>
          <w:color w:val="000000"/>
        </w:rPr>
      </w:pPr>
    </w:p>
    <w:p w14:paraId="04EA1FDF" w14:textId="77777777" w:rsidR="00AA5A48" w:rsidRPr="00AA3B9F" w:rsidRDefault="00AA5A48" w:rsidP="00AA5A48">
      <w:pPr>
        <w:widowControl w:val="0"/>
        <w:autoSpaceDE w:val="0"/>
        <w:autoSpaceDN w:val="0"/>
        <w:spacing w:after="0" w:line="276" w:lineRule="auto"/>
        <w:jc w:val="both"/>
        <w:rPr>
          <w:rFonts w:ascii="Verdana" w:hAnsi="Verdana" w:cs="Arial"/>
          <w:color w:val="000000" w:themeColor="text1"/>
          <w:shd w:val="clear" w:color="auto" w:fill="FFFFFF"/>
        </w:rPr>
      </w:pPr>
      <w:r w:rsidRPr="00AA3B9F">
        <w:rPr>
          <w:rFonts w:ascii="Verdana" w:hAnsi="Verdana" w:cs="Arial"/>
          <w:color w:val="000000"/>
        </w:rPr>
        <w:t>También lo invitamos a consultar la versión VII  de 2024, del Boletín de Relatoría de la Subdirección de Gestión Contractual relacionado con las ASOCIACIONES PÚBLICO POPULARES, el cual se puede descargar en la página web de la Agencia: </w:t>
      </w:r>
      <w:hyperlink r:id="rId15" w:tgtFrame="_blank" w:tooltip="Dirección URL original: https://www.colombiacompra.gov.co/sala-de-prensa/boletin-digital. Haga clic o pulse si confía en este vínculo." w:history="1">
        <w:r w:rsidRPr="00AA3B9F">
          <w:rPr>
            <w:rStyle w:val="Hipervnculo"/>
            <w:rFonts w:ascii="Verdana" w:hAnsi="Verdana" w:cs="Arial"/>
          </w:rPr>
          <w:t>https://www.colombiacompra.gov.co/sala-de-prensa/boletin-digital</w:t>
        </w:r>
      </w:hyperlink>
      <w:r w:rsidRPr="00AA3B9F">
        <w:rPr>
          <w:rFonts w:ascii="Verdana" w:hAnsi="Verdana" w:cs="Arial"/>
          <w:color w:val="000000"/>
        </w:rPr>
        <w:t> </w:t>
      </w:r>
    </w:p>
    <w:p w14:paraId="24D55EA4" w14:textId="77777777" w:rsidR="00AA5A48" w:rsidRPr="00AA3B9F" w:rsidRDefault="00AA5A48" w:rsidP="00AA5A48">
      <w:pPr>
        <w:widowControl w:val="0"/>
        <w:autoSpaceDE w:val="0"/>
        <w:autoSpaceDN w:val="0"/>
        <w:spacing w:after="0" w:line="276" w:lineRule="auto"/>
        <w:jc w:val="both"/>
        <w:rPr>
          <w:rFonts w:ascii="Verdana" w:hAnsi="Verdana" w:cs="Arial"/>
          <w:color w:val="000000" w:themeColor="text1"/>
          <w:shd w:val="clear" w:color="auto" w:fill="FFFFFF"/>
        </w:rPr>
      </w:pPr>
    </w:p>
    <w:p w14:paraId="289C8F00" w14:textId="77777777" w:rsidR="00AA5A48" w:rsidRPr="00AA3B9F" w:rsidRDefault="00AA5A48" w:rsidP="00AA5A48">
      <w:pPr>
        <w:widowControl w:val="0"/>
        <w:autoSpaceDE w:val="0"/>
        <w:autoSpaceDN w:val="0"/>
        <w:spacing w:after="0" w:line="276" w:lineRule="auto"/>
        <w:jc w:val="both"/>
        <w:rPr>
          <w:rFonts w:ascii="Verdana" w:hAnsi="Verdana" w:cs="Arial"/>
        </w:rPr>
      </w:pPr>
      <w:r w:rsidRPr="00AA3B9F">
        <w:rPr>
          <w:rFonts w:ascii="Verdana" w:hAnsi="Verdana" w:cs="Arial"/>
        </w:rPr>
        <w:t xml:space="preserve">Por último, lo invitamos a seguirnos en las redes sociales en las cuales se difunde información institucional: </w:t>
      </w:r>
    </w:p>
    <w:p w14:paraId="1926A92D" w14:textId="77777777" w:rsidR="00AA5A48" w:rsidRPr="00AA3B9F" w:rsidRDefault="00AA5A48" w:rsidP="00AA5A48">
      <w:pPr>
        <w:widowControl w:val="0"/>
        <w:autoSpaceDE w:val="0"/>
        <w:autoSpaceDN w:val="0"/>
        <w:spacing w:after="0" w:line="276" w:lineRule="auto"/>
        <w:jc w:val="both"/>
        <w:rPr>
          <w:rFonts w:ascii="Verdana" w:hAnsi="Verdana" w:cs="Arial"/>
          <w:color w:val="000000" w:themeColor="text1"/>
          <w:shd w:val="clear" w:color="auto" w:fill="FFFFFF"/>
        </w:rPr>
      </w:pPr>
    </w:p>
    <w:p w14:paraId="7B34E355" w14:textId="77777777" w:rsidR="00AA5A48" w:rsidRPr="00AA3B9F" w:rsidRDefault="00AA5A48" w:rsidP="00AA5A48">
      <w:pPr>
        <w:spacing w:after="0" w:line="240" w:lineRule="auto"/>
        <w:jc w:val="both"/>
        <w:rPr>
          <w:rFonts w:ascii="Verdana" w:hAnsi="Verdana" w:cs="Arial"/>
        </w:rPr>
      </w:pPr>
      <w:r w:rsidRPr="00AA3B9F">
        <w:rPr>
          <w:rFonts w:ascii="Verdana" w:hAnsi="Verdana" w:cs="Arial"/>
        </w:rPr>
        <w:t xml:space="preserve">Twitter: </w:t>
      </w:r>
      <w:r w:rsidRPr="00AA3B9F">
        <w:rPr>
          <w:rStyle w:val="Hipervnculo"/>
          <w:rFonts w:ascii="Verdana" w:hAnsi="Verdana" w:cs="Arial"/>
          <w:color w:val="4472C4" w:themeColor="accent1"/>
        </w:rPr>
        <w:t>@colombiacompra</w:t>
      </w:r>
      <w:r w:rsidRPr="00AA3B9F">
        <w:rPr>
          <w:rFonts w:ascii="Verdana" w:hAnsi="Verdana" w:cs="Arial"/>
          <w:color w:val="4472C4" w:themeColor="accent1"/>
        </w:rPr>
        <w:t xml:space="preserve"> </w:t>
      </w:r>
    </w:p>
    <w:p w14:paraId="370238BA" w14:textId="77777777" w:rsidR="00AA5A48" w:rsidRPr="00AA3B9F" w:rsidRDefault="00AA5A48" w:rsidP="00AA5A48">
      <w:pPr>
        <w:spacing w:after="0" w:line="240" w:lineRule="auto"/>
        <w:jc w:val="both"/>
        <w:rPr>
          <w:rFonts w:ascii="Verdana" w:hAnsi="Verdana" w:cs="Arial"/>
        </w:rPr>
      </w:pPr>
      <w:r w:rsidRPr="00AA3B9F">
        <w:rPr>
          <w:rFonts w:ascii="Verdana" w:hAnsi="Verdana" w:cs="Arial"/>
        </w:rPr>
        <w:t xml:space="preserve">Facebook: </w:t>
      </w:r>
      <w:proofErr w:type="spellStart"/>
      <w:r w:rsidRPr="00AA3B9F">
        <w:rPr>
          <w:rStyle w:val="Hipervnculo"/>
          <w:rFonts w:ascii="Verdana" w:hAnsi="Verdana" w:cs="Arial"/>
          <w:color w:val="4472C4" w:themeColor="accent1"/>
        </w:rPr>
        <w:t>ColombiaCompraEficiente</w:t>
      </w:r>
      <w:proofErr w:type="spellEnd"/>
    </w:p>
    <w:p w14:paraId="6B47135B" w14:textId="77777777" w:rsidR="00AA5A48" w:rsidRPr="00AA3B9F" w:rsidRDefault="00AA5A48" w:rsidP="00AA5A48">
      <w:pPr>
        <w:spacing w:after="0" w:line="240" w:lineRule="auto"/>
        <w:jc w:val="both"/>
        <w:rPr>
          <w:rFonts w:ascii="Verdana" w:hAnsi="Verdana" w:cs="Arial"/>
        </w:rPr>
      </w:pPr>
      <w:r w:rsidRPr="00AA3B9F">
        <w:rPr>
          <w:rFonts w:ascii="Verdana" w:hAnsi="Verdana" w:cs="Arial"/>
        </w:rPr>
        <w:t xml:space="preserve">LinkedIn: </w:t>
      </w:r>
      <w:r w:rsidRPr="00AA3B9F">
        <w:rPr>
          <w:rStyle w:val="Hipervnculo"/>
          <w:rFonts w:ascii="Verdana" w:hAnsi="Verdana" w:cs="Arial"/>
          <w:color w:val="4472C4" w:themeColor="accent1"/>
        </w:rPr>
        <w:t>Agencia Nacional de Contratación Pública - Colombia Compra Eficiente</w:t>
      </w:r>
      <w:r w:rsidRPr="00AA3B9F">
        <w:rPr>
          <w:rFonts w:ascii="Verdana" w:hAnsi="Verdana" w:cs="Arial"/>
          <w:color w:val="4472C4" w:themeColor="accent1"/>
        </w:rPr>
        <w:t xml:space="preserve"> </w:t>
      </w:r>
      <w:r w:rsidRPr="00AA3B9F">
        <w:rPr>
          <w:rFonts w:ascii="Verdana" w:hAnsi="Verdana" w:cs="Arial"/>
        </w:rPr>
        <w:t xml:space="preserve">Instagram: </w:t>
      </w:r>
      <w:r w:rsidRPr="00AA3B9F">
        <w:rPr>
          <w:rStyle w:val="Hipervnculo"/>
          <w:rFonts w:ascii="Verdana" w:hAnsi="Verdana" w:cs="Arial"/>
          <w:color w:val="4472C4" w:themeColor="accent1"/>
        </w:rPr>
        <w:t>@colombiacompraeficiente_cce</w:t>
      </w:r>
    </w:p>
    <w:p w14:paraId="20BE7775" w14:textId="77777777" w:rsidR="00AA5A48" w:rsidRPr="00AA3B9F" w:rsidRDefault="00AA5A48" w:rsidP="00AA5A48">
      <w:pPr>
        <w:widowControl w:val="0"/>
        <w:autoSpaceDE w:val="0"/>
        <w:autoSpaceDN w:val="0"/>
        <w:spacing w:after="0" w:line="276" w:lineRule="auto"/>
        <w:jc w:val="both"/>
        <w:rPr>
          <w:rFonts w:ascii="Verdana" w:hAnsi="Verdana" w:cs="Arial"/>
        </w:rPr>
      </w:pPr>
    </w:p>
    <w:p w14:paraId="45F97E79" w14:textId="77777777" w:rsidR="00AA5A48" w:rsidRPr="00AA3B9F" w:rsidRDefault="00AA5A48" w:rsidP="00AA5A48">
      <w:pPr>
        <w:widowControl w:val="0"/>
        <w:autoSpaceDE w:val="0"/>
        <w:autoSpaceDN w:val="0"/>
        <w:spacing w:after="0" w:line="276" w:lineRule="auto"/>
        <w:jc w:val="both"/>
        <w:rPr>
          <w:rFonts w:ascii="Verdana" w:hAnsi="Verdana" w:cs="Arial"/>
          <w:lang w:val="es-ES_tradnl"/>
        </w:rPr>
      </w:pPr>
      <w:r w:rsidRPr="00AA3B9F">
        <w:rPr>
          <w:rFonts w:ascii="Verdana" w:hAnsi="Verdana" w:cs="Arial"/>
        </w:rPr>
        <w:t xml:space="preserve">Este concepto tiene el alcance previsto en el artículo 28 del Código de Procedimiento Administrativo y de lo Contencioso Administrativo </w:t>
      </w:r>
      <w:r w:rsidRPr="00AA3B9F">
        <w:rPr>
          <w:rFonts w:ascii="Verdana" w:hAnsi="Verdana" w:cs="Arial"/>
          <w:lang w:val="es-ES_tradnl"/>
        </w:rPr>
        <w:t>y las expresiones aquí utilizadas con mayúscula inicial deben ser entendidas con el significado que les otorga el artículo 2.2.1.1.1.3.1. del Decreto 1082 de 2015.</w:t>
      </w:r>
    </w:p>
    <w:p w14:paraId="0F75BFED" w14:textId="77777777" w:rsidR="00AA5A48" w:rsidRPr="00AA3B9F" w:rsidRDefault="00AA5A48" w:rsidP="00AA5A48">
      <w:pPr>
        <w:widowControl w:val="0"/>
        <w:autoSpaceDE w:val="0"/>
        <w:autoSpaceDN w:val="0"/>
        <w:spacing w:after="0" w:line="276" w:lineRule="auto"/>
        <w:jc w:val="both"/>
        <w:rPr>
          <w:rFonts w:ascii="Verdana" w:hAnsi="Verdana" w:cs="Arial"/>
        </w:rPr>
      </w:pPr>
    </w:p>
    <w:p w14:paraId="3350A404" w14:textId="77777777" w:rsidR="00AA5A48" w:rsidRPr="00AA3B9F" w:rsidRDefault="00AA5A48" w:rsidP="00AA5A48">
      <w:pPr>
        <w:spacing w:after="0" w:line="240" w:lineRule="auto"/>
        <w:rPr>
          <w:rFonts w:ascii="Verdana" w:hAnsi="Verdana" w:cs="Arial"/>
          <w:lang w:eastAsia="es-CO"/>
        </w:rPr>
      </w:pPr>
      <w:r w:rsidRPr="00AA3B9F">
        <w:rPr>
          <w:rFonts w:ascii="Verdana" w:eastAsia="Times New Roman" w:hAnsi="Verdana" w:cs="Arial"/>
          <w:lang w:eastAsia="es-CO"/>
        </w:rPr>
        <w:t>Atentamente,</w:t>
      </w:r>
      <w:r w:rsidRPr="00AA3B9F">
        <w:rPr>
          <w:rFonts w:ascii="Verdana" w:hAnsi="Verdana" w:cs="Arial"/>
          <w:lang w:eastAsia="es-CO"/>
        </w:rPr>
        <w:t xml:space="preserve"> </w:t>
      </w:r>
    </w:p>
    <w:p w14:paraId="37B0FAC8" w14:textId="5183D461" w:rsidR="00AA5A48" w:rsidRPr="00AA3B9F" w:rsidRDefault="0041123E" w:rsidP="00AA5A48">
      <w:pPr>
        <w:spacing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49776055" wp14:editId="03B78795">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A5A48" w:rsidRPr="00AA3B9F" w14:paraId="15BDF14F" w14:textId="77777777" w:rsidTr="00CF215E">
        <w:trPr>
          <w:trHeight w:val="315"/>
        </w:trPr>
        <w:tc>
          <w:tcPr>
            <w:tcW w:w="893" w:type="dxa"/>
            <w:vAlign w:val="center"/>
            <w:hideMark/>
          </w:tcPr>
          <w:p w14:paraId="1B918F85" w14:textId="77777777" w:rsidR="00AA5A48" w:rsidRPr="00AA3B9F" w:rsidRDefault="00AA5A48" w:rsidP="00CF215E">
            <w:pPr>
              <w:contextualSpacing/>
              <w:rPr>
                <w:rFonts w:ascii="Verdana" w:hAnsi="Verdana" w:cs="Arial"/>
                <w:sz w:val="16"/>
                <w:szCs w:val="16"/>
                <w:lang w:val="es-ES" w:eastAsia="es-ES"/>
              </w:rPr>
            </w:pPr>
            <w:r w:rsidRPr="00AA3B9F">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A3B9205" w14:textId="77777777" w:rsidR="00AA5A48" w:rsidRPr="00AA3B9F" w:rsidRDefault="00AA5A48" w:rsidP="00CF215E">
            <w:pPr>
              <w:contextualSpacing/>
              <w:rPr>
                <w:rFonts w:ascii="Verdana" w:eastAsia="Arial" w:hAnsi="Verdana" w:cs="Arial"/>
                <w:sz w:val="16"/>
                <w:szCs w:val="16"/>
              </w:rPr>
            </w:pPr>
            <w:r w:rsidRPr="00AA3B9F">
              <w:rPr>
                <w:rFonts w:ascii="Verdana" w:eastAsia="Arial" w:hAnsi="Verdana" w:cs="Arial"/>
                <w:sz w:val="16"/>
                <w:szCs w:val="16"/>
              </w:rPr>
              <w:t>Ana María Ortiz Ballesteros</w:t>
            </w:r>
          </w:p>
          <w:p w14:paraId="1A5DA635" w14:textId="77777777" w:rsidR="00AA5A48" w:rsidRPr="00AA3B9F" w:rsidRDefault="00AA5A48" w:rsidP="00CF215E">
            <w:pPr>
              <w:contextualSpacing/>
              <w:rPr>
                <w:rFonts w:ascii="Verdana" w:eastAsia="Arial" w:hAnsi="Verdana" w:cs="Arial"/>
                <w:sz w:val="16"/>
                <w:szCs w:val="16"/>
              </w:rPr>
            </w:pPr>
            <w:r w:rsidRPr="00AA3B9F">
              <w:rPr>
                <w:rStyle w:val="normaltextrun"/>
                <w:rFonts w:ascii="Verdana" w:eastAsia="Arial" w:hAnsi="Verdana" w:cs="Arial"/>
                <w:sz w:val="16"/>
                <w:szCs w:val="16"/>
              </w:rPr>
              <w:t>C</w:t>
            </w:r>
            <w:r w:rsidRPr="00AA3B9F">
              <w:rPr>
                <w:rStyle w:val="normaltextrun"/>
                <w:rFonts w:ascii="Verdana" w:hAnsi="Verdana" w:cs="Arial"/>
                <w:sz w:val="16"/>
                <w:szCs w:val="16"/>
              </w:rPr>
              <w:t>ontratista</w:t>
            </w:r>
            <w:r w:rsidRPr="00AA3B9F">
              <w:rPr>
                <w:rStyle w:val="normaltextrun"/>
                <w:rFonts w:ascii="Verdana" w:eastAsia="Arial" w:hAnsi="Verdana" w:cs="Arial"/>
                <w:sz w:val="16"/>
                <w:szCs w:val="16"/>
              </w:rPr>
              <w:t xml:space="preserve"> de la Subdirección de Gestión Contractual</w:t>
            </w:r>
          </w:p>
        </w:tc>
      </w:tr>
      <w:tr w:rsidR="00AA5A48" w:rsidRPr="00AA3B9F" w14:paraId="0C00BA5C" w14:textId="77777777" w:rsidTr="00CF215E">
        <w:trPr>
          <w:trHeight w:val="330"/>
        </w:trPr>
        <w:tc>
          <w:tcPr>
            <w:tcW w:w="893" w:type="dxa"/>
            <w:vAlign w:val="center"/>
            <w:hideMark/>
          </w:tcPr>
          <w:p w14:paraId="32DF2410" w14:textId="77777777" w:rsidR="00AA5A48" w:rsidRPr="00AA3B9F" w:rsidRDefault="00AA5A48" w:rsidP="00CF215E">
            <w:pPr>
              <w:contextualSpacing/>
              <w:rPr>
                <w:rFonts w:ascii="Verdana" w:hAnsi="Verdana" w:cs="Arial"/>
                <w:sz w:val="16"/>
                <w:szCs w:val="16"/>
                <w:lang w:val="es-ES" w:eastAsia="es-ES"/>
              </w:rPr>
            </w:pPr>
            <w:r w:rsidRPr="00AA3B9F">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57754C7" w14:textId="77777777" w:rsidR="00AA5A48" w:rsidRPr="00AA3B9F" w:rsidRDefault="00AA5A48" w:rsidP="00CF215E">
            <w:pPr>
              <w:pStyle w:val="paragraph"/>
              <w:spacing w:after="0"/>
              <w:contextualSpacing/>
              <w:textAlignment w:val="baseline"/>
              <w:rPr>
                <w:rStyle w:val="normaltextrun"/>
                <w:rFonts w:ascii="Verdana" w:hAnsi="Verdana" w:cs="Arial"/>
                <w:sz w:val="16"/>
                <w:szCs w:val="16"/>
                <w:lang w:val="es-ES"/>
              </w:rPr>
            </w:pPr>
            <w:r w:rsidRPr="00AA3B9F">
              <w:rPr>
                <w:rStyle w:val="normaltextrun"/>
                <w:rFonts w:ascii="Verdana" w:hAnsi="Verdana" w:cs="Arial"/>
                <w:sz w:val="16"/>
                <w:szCs w:val="16"/>
                <w:lang w:val="es-ES"/>
              </w:rPr>
              <w:t>Alejandro Sarmiento Cantillo</w:t>
            </w:r>
          </w:p>
          <w:p w14:paraId="3DFC1D66" w14:textId="77777777" w:rsidR="00AA5A48" w:rsidRPr="00AA3B9F" w:rsidRDefault="00AA5A48" w:rsidP="00CF215E">
            <w:pPr>
              <w:pStyle w:val="paragraph"/>
              <w:spacing w:before="0" w:beforeAutospacing="0" w:after="0" w:afterAutospacing="0"/>
              <w:contextualSpacing/>
              <w:textAlignment w:val="baseline"/>
              <w:rPr>
                <w:rFonts w:ascii="Verdana" w:hAnsi="Verdana" w:cs="Arial"/>
                <w:sz w:val="16"/>
                <w:szCs w:val="16"/>
              </w:rPr>
            </w:pPr>
            <w:r w:rsidRPr="00AA3B9F">
              <w:rPr>
                <w:rStyle w:val="normaltextrun"/>
                <w:rFonts w:ascii="Verdana" w:hAnsi="Verdana" w:cs="Arial"/>
                <w:sz w:val="16"/>
                <w:szCs w:val="16"/>
                <w:lang w:val="es-ES"/>
              </w:rPr>
              <w:t>Gestor T1 ‒ 15 de la Subdirección de Gestión Contractual</w:t>
            </w:r>
            <w:r w:rsidRPr="00AA3B9F">
              <w:rPr>
                <w:rStyle w:val="eop"/>
                <w:rFonts w:ascii="Verdana" w:hAnsi="Verdana" w:cs="Arial"/>
                <w:sz w:val="16"/>
                <w:szCs w:val="16"/>
              </w:rPr>
              <w:t> </w:t>
            </w:r>
          </w:p>
        </w:tc>
      </w:tr>
      <w:tr w:rsidR="00AA5A48" w:rsidRPr="00AA3B9F" w14:paraId="186C25E0" w14:textId="77777777" w:rsidTr="00CF215E">
        <w:trPr>
          <w:trHeight w:val="300"/>
        </w:trPr>
        <w:tc>
          <w:tcPr>
            <w:tcW w:w="893" w:type="dxa"/>
            <w:vAlign w:val="center"/>
          </w:tcPr>
          <w:p w14:paraId="12FA08E8" w14:textId="77777777" w:rsidR="00AA5A48" w:rsidRPr="00AA3B9F" w:rsidRDefault="00AA5A48" w:rsidP="00CF215E">
            <w:pPr>
              <w:contextualSpacing/>
              <w:rPr>
                <w:rFonts w:ascii="Verdana" w:hAnsi="Verdana" w:cs="Arial"/>
                <w:sz w:val="16"/>
                <w:szCs w:val="16"/>
                <w:lang w:val="es-ES" w:eastAsia="es-ES"/>
              </w:rPr>
            </w:pPr>
            <w:r w:rsidRPr="00AA3B9F">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D346993" w14:textId="77777777" w:rsidR="00AA5A48" w:rsidRPr="00AA3B9F" w:rsidRDefault="00AA5A48" w:rsidP="00CF215E">
            <w:pPr>
              <w:contextualSpacing/>
              <w:rPr>
                <w:rFonts w:ascii="Verdana" w:eastAsia="Calibri" w:hAnsi="Verdana" w:cs="Arial"/>
                <w:sz w:val="16"/>
                <w:szCs w:val="16"/>
                <w:lang w:val="pt-BR" w:eastAsia="es-ES"/>
              </w:rPr>
            </w:pPr>
            <w:r w:rsidRPr="00AA3B9F">
              <w:rPr>
                <w:rFonts w:ascii="Verdana" w:eastAsia="Calibri" w:hAnsi="Verdana" w:cs="Arial"/>
                <w:sz w:val="16"/>
                <w:szCs w:val="16"/>
                <w:lang w:val="pt-BR" w:eastAsia="es-ES"/>
              </w:rPr>
              <w:t xml:space="preserve">Carolina Quintero </w:t>
            </w:r>
            <w:proofErr w:type="spellStart"/>
            <w:r w:rsidRPr="00AA3B9F">
              <w:rPr>
                <w:rFonts w:ascii="Verdana" w:eastAsia="Calibri" w:hAnsi="Verdana" w:cs="Arial"/>
                <w:sz w:val="16"/>
                <w:szCs w:val="16"/>
                <w:lang w:val="pt-BR" w:eastAsia="es-ES"/>
              </w:rPr>
              <w:t>Gacharná</w:t>
            </w:r>
            <w:proofErr w:type="spellEnd"/>
          </w:p>
          <w:p w14:paraId="7EC2F634" w14:textId="77777777" w:rsidR="00AA5A48" w:rsidRPr="00AA3B9F" w:rsidRDefault="00AA5A48" w:rsidP="00CF215E">
            <w:pPr>
              <w:contextualSpacing/>
              <w:rPr>
                <w:rFonts w:ascii="Verdana" w:eastAsia="Calibri" w:hAnsi="Verdana" w:cs="Arial"/>
                <w:sz w:val="16"/>
                <w:szCs w:val="16"/>
                <w:lang w:val="pt-BR" w:eastAsia="es-ES"/>
              </w:rPr>
            </w:pPr>
            <w:r w:rsidRPr="00AA3B9F">
              <w:rPr>
                <w:rFonts w:ascii="Verdana" w:eastAsia="Calibri" w:hAnsi="Verdana" w:cs="Arial"/>
                <w:sz w:val="16"/>
                <w:szCs w:val="16"/>
                <w:lang w:eastAsia="es-ES"/>
              </w:rPr>
              <w:t>Subdirectora</w:t>
            </w:r>
            <w:r w:rsidRPr="00AA3B9F">
              <w:rPr>
                <w:rFonts w:ascii="Verdana" w:eastAsia="Calibri" w:hAnsi="Verdana" w:cs="Arial"/>
                <w:sz w:val="16"/>
                <w:szCs w:val="16"/>
                <w:lang w:val="pt-BR" w:eastAsia="es-ES"/>
              </w:rPr>
              <w:t xml:space="preserve"> de Gestión Contractual ANCP – CCE</w:t>
            </w:r>
          </w:p>
        </w:tc>
      </w:tr>
      <w:bookmarkEnd w:id="0"/>
    </w:tbl>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5EE1E8" w14:textId="77777777" w:rsidR="00ED7384" w:rsidRDefault="00ED7384" w:rsidP="004A1847">
      <w:pPr>
        <w:spacing w:after="0" w:line="240" w:lineRule="auto"/>
      </w:pPr>
      <w:r>
        <w:separator/>
      </w:r>
    </w:p>
  </w:endnote>
  <w:endnote w:type="continuationSeparator" w:id="0">
    <w:p w14:paraId="4A7AB4CB" w14:textId="77777777" w:rsidR="00ED7384" w:rsidRDefault="00ED738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54B691" w14:textId="77777777" w:rsidR="00ED7384" w:rsidRDefault="00ED7384" w:rsidP="004A1847">
      <w:pPr>
        <w:spacing w:after="0" w:line="240" w:lineRule="auto"/>
      </w:pPr>
      <w:r>
        <w:separator/>
      </w:r>
    </w:p>
  </w:footnote>
  <w:footnote w:type="continuationSeparator" w:id="0">
    <w:p w14:paraId="46133D6B" w14:textId="77777777" w:rsidR="00ED7384" w:rsidRDefault="00ED7384" w:rsidP="004A1847">
      <w:pPr>
        <w:spacing w:after="0" w:line="240" w:lineRule="auto"/>
      </w:pPr>
      <w:r>
        <w:continuationSeparator/>
      </w:r>
    </w:p>
  </w:footnote>
  <w:footnote w:id="1">
    <w:p w14:paraId="6BC693E4" w14:textId="77777777" w:rsidR="006B0F1F" w:rsidRDefault="006B0F1F" w:rsidP="006B0F1F">
      <w:pPr>
        <w:pStyle w:val="Textonotapie"/>
        <w:ind w:firstLine="709"/>
        <w:jc w:val="both"/>
        <w:rPr>
          <w:rFonts w:ascii="Verdana" w:eastAsia="Calibri" w:hAnsi="Verdana" w:cs="Times New Roman"/>
          <w:sz w:val="18"/>
          <w:szCs w:val="18"/>
          <w:lang w:val="es-CO"/>
        </w:rPr>
      </w:pPr>
      <w:r>
        <w:rPr>
          <w:rStyle w:val="Refdenotaalpie"/>
          <w:rFonts w:ascii="Verdana" w:hAnsi="Verdana"/>
          <w:sz w:val="18"/>
          <w:szCs w:val="18"/>
        </w:rPr>
        <w:footnoteRef/>
      </w:r>
      <w:r>
        <w:rPr>
          <w:rFonts w:ascii="Verdana" w:hAnsi="Verdana"/>
          <w:sz w:val="18"/>
          <w:szCs w:val="18"/>
        </w:rPr>
        <w:t xml:space="preserve"> “</w:t>
      </w:r>
      <w:r>
        <w:rPr>
          <w:rFonts w:ascii="Verdana" w:hAnsi="Verdana"/>
          <w:sz w:val="18"/>
          <w:szCs w:val="18"/>
          <w:lang w:val="es-CO"/>
        </w:rPr>
        <w:t>Artículo Transitorio 56</w:t>
      </w:r>
      <w:r>
        <w:rPr>
          <w:rFonts w:ascii="Verdana" w:hAnsi="Verdana"/>
          <w:b/>
          <w:bCs/>
          <w:sz w:val="18"/>
          <w:szCs w:val="18"/>
          <w:lang w:val="es-CO"/>
        </w:rPr>
        <w:t>. </w:t>
      </w:r>
      <w:r>
        <w:rPr>
          <w:rFonts w:ascii="Verdana" w:hAnsi="Verdana"/>
          <w:sz w:val="18"/>
          <w:szCs w:val="18"/>
          <w:lang w:val="es-CO"/>
        </w:rPr>
        <w:t>Mientras se expide la ley a que se refiere el artículo 329, el Gobierno podrá dictar las normas fiscales necesarias y las demás relativas al funcionamiento de los territorios indígenas y su coordinación con las demás entidades territoriales”.</w:t>
      </w:r>
    </w:p>
    <w:p w14:paraId="3C2487FE" w14:textId="77777777" w:rsidR="006B0F1F" w:rsidRDefault="006B0F1F" w:rsidP="006B0F1F">
      <w:pPr>
        <w:pStyle w:val="Textonotapie"/>
        <w:ind w:firstLine="709"/>
        <w:rPr>
          <w:rFonts w:ascii="Verdana" w:hAnsi="Verdana"/>
          <w:sz w:val="18"/>
          <w:szCs w:val="18"/>
        </w:rPr>
      </w:pPr>
    </w:p>
  </w:footnote>
  <w:footnote w:id="2">
    <w:p w14:paraId="670FDAC9" w14:textId="77777777" w:rsidR="00652221" w:rsidRPr="00AA3B9F" w:rsidRDefault="00652221" w:rsidP="00652221">
      <w:pPr>
        <w:pStyle w:val="Textonotapie"/>
        <w:ind w:firstLine="709"/>
        <w:jc w:val="both"/>
        <w:rPr>
          <w:rFonts w:ascii="Verdana" w:eastAsia="Calibri" w:hAnsi="Verdana" w:cs="Arial"/>
          <w:sz w:val="18"/>
          <w:szCs w:val="18"/>
        </w:rPr>
      </w:pPr>
      <w:r w:rsidRPr="00A43DB6">
        <w:rPr>
          <w:rStyle w:val="Refdenotaalpie"/>
          <w:rFonts w:ascii="Verdana" w:hAnsi="Verdana" w:cs="Arial"/>
          <w:sz w:val="18"/>
          <w:szCs w:val="18"/>
        </w:rPr>
        <w:footnoteRef/>
      </w:r>
      <w:r w:rsidRPr="00A43DB6">
        <w:rPr>
          <w:rFonts w:ascii="Verdana" w:hAnsi="Verdana" w:cs="Arial"/>
          <w:sz w:val="18"/>
          <w:szCs w:val="18"/>
        </w:rPr>
        <w:t xml:space="preserve"> </w:t>
      </w:r>
      <w:r w:rsidRPr="00AA3B9F">
        <w:rPr>
          <w:rFonts w:ascii="Verdana" w:eastAsia="Calibri" w:hAnsi="Verdana" w:cs="Arial"/>
          <w:sz w:val="18"/>
          <w:szCs w:val="18"/>
        </w:rPr>
        <w:t>Constitución Política: “Artículo 93. Los tratados y convenios internacionales ratificados por el Congreso, que reconocen los derechos humanos y que prohíben su limitación en los estados de excepción, prevalecen en el orden interno.</w:t>
      </w:r>
    </w:p>
    <w:p w14:paraId="66493E7D" w14:textId="77777777" w:rsidR="00652221" w:rsidRPr="00AA3B9F" w:rsidRDefault="00652221" w:rsidP="00652221">
      <w:pPr>
        <w:spacing w:after="0" w:line="240" w:lineRule="auto"/>
        <w:ind w:firstLine="708"/>
        <w:jc w:val="both"/>
        <w:rPr>
          <w:rFonts w:ascii="Verdana" w:eastAsia="Times New Roman" w:hAnsi="Verdana" w:cs="Arial"/>
          <w:sz w:val="18"/>
          <w:szCs w:val="18"/>
        </w:rPr>
      </w:pPr>
      <w:r w:rsidRPr="00AA3B9F">
        <w:rPr>
          <w:rFonts w:ascii="Verdana" w:hAnsi="Verdana" w:cs="Arial"/>
          <w:sz w:val="18"/>
          <w:szCs w:val="18"/>
        </w:rPr>
        <w:t>“Los derechos y deberes consagrados en esta Carta se interpretarán de conformidad con los tratados internacionales sobre derechos humanos ratificados por Colombia [...]”.</w:t>
      </w:r>
    </w:p>
  </w:footnote>
  <w:footnote w:id="3">
    <w:p w14:paraId="22EF29B6" w14:textId="77777777" w:rsidR="00652221" w:rsidRPr="00AA3B9F" w:rsidRDefault="00652221" w:rsidP="00652221">
      <w:pPr>
        <w:pStyle w:val="Textonotapie"/>
        <w:ind w:firstLine="708"/>
        <w:jc w:val="both"/>
        <w:rPr>
          <w:rFonts w:ascii="Verdana" w:hAnsi="Verdana"/>
          <w:sz w:val="18"/>
          <w:szCs w:val="18"/>
        </w:rPr>
      </w:pPr>
      <w:r w:rsidRPr="00AA3B9F">
        <w:rPr>
          <w:rStyle w:val="Refdenotaalpie"/>
          <w:rFonts w:ascii="Verdana" w:hAnsi="Verdana"/>
          <w:sz w:val="18"/>
          <w:szCs w:val="18"/>
        </w:rPr>
        <w:footnoteRef/>
      </w:r>
      <w:r w:rsidRPr="00AA3B9F">
        <w:rPr>
          <w:rFonts w:ascii="Verdana" w:hAnsi="Verdana"/>
          <w:sz w:val="18"/>
          <w:szCs w:val="18"/>
        </w:rPr>
        <w:t xml:space="preserve"> La conformación de las entidades territoriales indígenas se hará con sujeción a lo dispuesto en la Ley Orgánica de Ordenamiento Territorial, y su delimitación se hará por el Gobierno Nacional, con participación de los representantes de las comunidades indígenas, previo concepto de la Comisión de Ordenamiento Territorial. Los resguardos son de propiedad colectiva y no enajenable. La ley definirá las relaciones y la coordinación de estas entidades con aquellas de las cuales formen parte. </w:t>
      </w:r>
    </w:p>
    <w:p w14:paraId="4C1FFEF6" w14:textId="77777777" w:rsidR="00652221" w:rsidRPr="00AA3B9F" w:rsidRDefault="00652221" w:rsidP="00652221">
      <w:pPr>
        <w:pStyle w:val="Textonotapie"/>
        <w:ind w:firstLine="708"/>
        <w:jc w:val="both"/>
        <w:rPr>
          <w:rFonts w:ascii="Verdana" w:hAnsi="Verdana"/>
          <w:sz w:val="18"/>
          <w:szCs w:val="18"/>
          <w:lang w:val="es-ES"/>
        </w:rPr>
      </w:pPr>
      <w:r w:rsidRPr="00AA3B9F">
        <w:rPr>
          <w:rFonts w:ascii="Verdana" w:hAnsi="Verdana"/>
          <w:sz w:val="18"/>
          <w:szCs w:val="18"/>
        </w:rPr>
        <w:t>Parágrafo. En el caso de un territorio indígena que comprenda el territorio de dos o más departamentos, su administración se hará por los consejos indígenas en coordinación con los gobernadores de los respectivos departamentos. En caso de que este territorio decida constituirse como entidad territorial, se hará con el cumplimiento de los requisitos establecidos en el inciso primero de este artículo.</w:t>
      </w:r>
    </w:p>
  </w:footnote>
  <w:footnote w:id="4">
    <w:p w14:paraId="02850707" w14:textId="77777777" w:rsidR="00652221" w:rsidRPr="00AA3B9F" w:rsidRDefault="00652221" w:rsidP="00652221">
      <w:pPr>
        <w:pStyle w:val="Textonotapie"/>
        <w:ind w:firstLine="708"/>
        <w:jc w:val="both"/>
        <w:rPr>
          <w:rFonts w:ascii="Verdana" w:hAnsi="Verdana" w:cs="Arial"/>
          <w:sz w:val="18"/>
          <w:szCs w:val="18"/>
        </w:rPr>
      </w:pPr>
      <w:r w:rsidRPr="00AA3B9F">
        <w:rPr>
          <w:rStyle w:val="Refdenotaalpie"/>
          <w:rFonts w:ascii="Verdana" w:hAnsi="Verdana" w:cs="Arial"/>
          <w:sz w:val="18"/>
          <w:szCs w:val="18"/>
        </w:rPr>
        <w:footnoteRef/>
      </w:r>
      <w:r w:rsidRPr="00AA3B9F">
        <w:rPr>
          <w:rFonts w:ascii="Verdana" w:hAnsi="Verdana" w:cs="Arial"/>
          <w:sz w:val="18"/>
          <w:szCs w:val="18"/>
        </w:rPr>
        <w:t xml:space="preserve"> Decreto 252 de 2020: “Articulo 1. Adiciónese al artículo 10 del Decreto 1088 de 1993, el siguiente parágrafo:</w:t>
      </w:r>
    </w:p>
    <w:p w14:paraId="446B3AFC" w14:textId="77777777" w:rsidR="00652221" w:rsidRPr="00AA3B9F" w:rsidRDefault="00652221" w:rsidP="00652221">
      <w:pPr>
        <w:pStyle w:val="Textonotapie"/>
        <w:ind w:firstLine="708"/>
        <w:jc w:val="both"/>
        <w:rPr>
          <w:rFonts w:ascii="Verdana" w:hAnsi="Verdana" w:cs="Arial"/>
          <w:sz w:val="18"/>
          <w:szCs w:val="18"/>
        </w:rPr>
      </w:pPr>
      <w:r w:rsidRPr="00AA3B9F">
        <w:rPr>
          <w:rFonts w:ascii="Verdana" w:hAnsi="Verdana" w:cs="Arial"/>
          <w:sz w:val="18"/>
          <w:szCs w:val="18"/>
        </w:rPr>
        <w:t>“Artículo 10. Naturaleza de los actos y contratos.</w:t>
      </w:r>
    </w:p>
    <w:p w14:paraId="60C2AC2A" w14:textId="77777777" w:rsidR="00652221" w:rsidRPr="00AA3B9F" w:rsidRDefault="00652221" w:rsidP="00652221">
      <w:pPr>
        <w:pStyle w:val="Textonotapie"/>
        <w:ind w:firstLine="708"/>
        <w:jc w:val="both"/>
        <w:rPr>
          <w:rFonts w:ascii="Verdana" w:hAnsi="Verdana" w:cs="Arial"/>
          <w:sz w:val="18"/>
          <w:szCs w:val="18"/>
        </w:rPr>
      </w:pPr>
      <w:r w:rsidRPr="00AA3B9F">
        <w:rPr>
          <w:rFonts w:ascii="Verdana" w:hAnsi="Verdana" w:cs="Arial"/>
          <w:sz w:val="18"/>
          <w:szCs w:val="18"/>
        </w:rPr>
        <w:t>“[...]</w:t>
      </w:r>
    </w:p>
    <w:p w14:paraId="2753B734" w14:textId="77777777" w:rsidR="00652221" w:rsidRPr="00AA3B9F" w:rsidRDefault="00652221" w:rsidP="00652221">
      <w:pPr>
        <w:pStyle w:val="Textonotapie"/>
        <w:ind w:firstLine="708"/>
        <w:jc w:val="both"/>
        <w:rPr>
          <w:rFonts w:ascii="Verdana" w:hAnsi="Verdana" w:cs="Arial"/>
          <w:sz w:val="18"/>
          <w:szCs w:val="18"/>
        </w:rPr>
      </w:pPr>
      <w:r w:rsidRPr="00AA3B9F">
        <w:rPr>
          <w:rFonts w:ascii="Verdana" w:hAnsi="Verdana" w:cs="Arial"/>
          <w:sz w:val="18"/>
          <w:szCs w:val="18"/>
        </w:rPr>
        <w:t xml:space="preserve">“Parágrafo. Además de las anteriores asociaciones, las organizaciones indígenas, también podrán celebrar contratos o convenios de manera directa con las entidades estatales de acuerdo con lo contemplado en el presente artículo y en el Estatuto General de Contratación de la Administración Pública, siempre y cuando estén conformadas exclusivamente por cabildos indígenas, resguardos indígenas, asociaciones de cabildos, asociación de autoridades u otra forma de autoridad indígena propia. </w:t>
      </w:r>
    </w:p>
    <w:p w14:paraId="51A8079A" w14:textId="77777777" w:rsidR="00652221" w:rsidRPr="00AA3B9F" w:rsidRDefault="00652221" w:rsidP="00652221">
      <w:pPr>
        <w:pStyle w:val="Textonotapie"/>
        <w:ind w:firstLine="708"/>
        <w:jc w:val="both"/>
        <w:rPr>
          <w:rFonts w:ascii="Verdana" w:hAnsi="Verdana" w:cs="Arial"/>
          <w:sz w:val="18"/>
          <w:szCs w:val="18"/>
        </w:rPr>
      </w:pPr>
      <w:r w:rsidRPr="00AA3B9F">
        <w:rPr>
          <w:rFonts w:ascii="Verdana" w:hAnsi="Verdana" w:cs="Arial"/>
          <w:sz w:val="18"/>
          <w:szCs w:val="18"/>
        </w:rPr>
        <w:t xml:space="preserve">“Para la ejecución contractual, la entidad estatal deberá exigir la constitución de una garantía única que consistirá en una póliza de seguros que cubrirá suficientemente los riesgos del contrato o convenio. </w:t>
      </w:r>
    </w:p>
    <w:p w14:paraId="36388440" w14:textId="77777777" w:rsidR="00652221" w:rsidRPr="00AA3B9F" w:rsidRDefault="00652221" w:rsidP="00652221">
      <w:pPr>
        <w:pStyle w:val="Textonotapie"/>
        <w:ind w:firstLine="708"/>
        <w:jc w:val="both"/>
        <w:rPr>
          <w:rFonts w:ascii="Verdana" w:hAnsi="Verdana" w:cs="Arial"/>
          <w:sz w:val="18"/>
          <w:szCs w:val="18"/>
        </w:rPr>
      </w:pPr>
      <w:r w:rsidRPr="00AA3B9F">
        <w:rPr>
          <w:rFonts w:ascii="Verdana" w:hAnsi="Verdana" w:cs="Arial"/>
          <w:sz w:val="18"/>
          <w:szCs w:val="18"/>
        </w:rPr>
        <w:t>“La entidad estatal podrá terminar unilateralmente el contrato o convenio en caso de incumplimiento de las obligaciones a cargo de la organización indígena.</w:t>
      </w:r>
    </w:p>
    <w:p w14:paraId="313654E8" w14:textId="77777777" w:rsidR="00652221" w:rsidRPr="00AA3B9F" w:rsidRDefault="00652221" w:rsidP="00652221">
      <w:pPr>
        <w:pStyle w:val="Textonotapie"/>
        <w:ind w:firstLine="708"/>
        <w:jc w:val="both"/>
        <w:rPr>
          <w:rFonts w:ascii="Verdana" w:hAnsi="Verdana" w:cs="Arial"/>
          <w:sz w:val="18"/>
          <w:szCs w:val="18"/>
          <w:lang w:val="es-ES"/>
        </w:rPr>
      </w:pPr>
      <w:r w:rsidRPr="00AA3B9F">
        <w:rPr>
          <w:rFonts w:ascii="Verdana" w:hAnsi="Verdana" w:cs="Arial"/>
          <w:sz w:val="18"/>
          <w:szCs w:val="18"/>
        </w:rPr>
        <w:t>“En estos convenios se tendrá como aporte de las organizaciones indígenas el conocimiento ancestral”.</w:t>
      </w:r>
    </w:p>
  </w:footnote>
  <w:footnote w:id="5">
    <w:p w14:paraId="0C6410F7" w14:textId="77777777" w:rsidR="00652221" w:rsidRPr="00AA3B9F" w:rsidRDefault="00652221" w:rsidP="00652221">
      <w:pPr>
        <w:pStyle w:val="Textonotapie"/>
        <w:ind w:firstLine="709"/>
        <w:jc w:val="both"/>
        <w:rPr>
          <w:rFonts w:ascii="Verdana" w:hAnsi="Verdana" w:cs="Arial"/>
          <w:sz w:val="18"/>
          <w:szCs w:val="18"/>
        </w:rPr>
      </w:pPr>
      <w:r w:rsidRPr="00AA3B9F">
        <w:rPr>
          <w:rStyle w:val="Refdenotaalpie"/>
          <w:rFonts w:ascii="Verdana" w:hAnsi="Verdana" w:cs="Arial"/>
          <w:sz w:val="18"/>
          <w:szCs w:val="18"/>
        </w:rPr>
        <w:footnoteRef/>
      </w:r>
      <w:r w:rsidRPr="00AA3B9F">
        <w:rPr>
          <w:rFonts w:ascii="Verdana" w:hAnsi="Verdana" w:cs="Arial"/>
          <w:sz w:val="18"/>
          <w:szCs w:val="18"/>
        </w:rPr>
        <w:t xml:space="preserve"> Así lo dejan entrever los considerandos del Decreto 252 de 2020, de los que se destacan los siguientes: “Que de acuerdo con los preceptos constitucionales, las comunidades indígenas son sujetos de especial protección constitucional, con condiciones sociales, culturales y económicas que los distinguen de otros sectores de la colectividad nacional, para lo cual, el Estado colombiano reconoce en los escenarios de participación y representación las diferentes formas organizativas que integran las mencionadas comunidades en el marco de su autonomía […]</w:t>
      </w:r>
    </w:p>
    <w:p w14:paraId="75EB8E8C" w14:textId="77777777" w:rsidR="00652221" w:rsidRPr="00AA3B9F" w:rsidRDefault="00652221" w:rsidP="00652221">
      <w:pPr>
        <w:pStyle w:val="Textonotapie"/>
        <w:ind w:firstLine="709"/>
        <w:jc w:val="both"/>
        <w:rPr>
          <w:rFonts w:ascii="Verdana" w:hAnsi="Verdana" w:cs="Arial"/>
          <w:sz w:val="18"/>
          <w:szCs w:val="18"/>
        </w:rPr>
      </w:pPr>
      <w:r w:rsidRPr="00AA3B9F">
        <w:rPr>
          <w:rFonts w:ascii="Verdana" w:hAnsi="Verdana" w:cs="Arial"/>
          <w:sz w:val="18"/>
          <w:szCs w:val="18"/>
        </w:rPr>
        <w:t>“Que de acuerdo con lo establecido en la Ley 21 de 1991, aprobatoria del Convenio 169 de 1989 de la OIT, los gobiernos deben desarrollar, con la participación de los pueblos interesados, una acción coordinada y sistemática con miras a proteger los derechos de los pueblos indígenas, garantizar el respeto de su integridad, para cuyo efecto, se deben adoptar medidas que aseguren a los miembros de tales pueblos gozar, en pie de igualdad, de los derechos y oportunidades que la legislación nacional otorga a los demás miembros de la población; respetando su identidad social y cultural, sus costumbres y tradiciones, y sus instituciones, propendiendo por la eliminación de diferencias sociales  […]</w:t>
      </w:r>
    </w:p>
    <w:p w14:paraId="68C88140" w14:textId="77777777" w:rsidR="00652221" w:rsidRPr="00AA3B9F" w:rsidRDefault="00652221" w:rsidP="00652221">
      <w:pPr>
        <w:pStyle w:val="Textonotapie"/>
        <w:ind w:firstLine="709"/>
        <w:jc w:val="both"/>
        <w:rPr>
          <w:rFonts w:ascii="Verdana" w:hAnsi="Verdana" w:cs="Arial"/>
          <w:sz w:val="18"/>
          <w:szCs w:val="18"/>
        </w:rPr>
      </w:pPr>
      <w:r w:rsidRPr="00AA3B9F">
        <w:rPr>
          <w:rFonts w:ascii="Verdana" w:hAnsi="Verdana" w:cs="Arial"/>
          <w:sz w:val="18"/>
          <w:szCs w:val="18"/>
        </w:rPr>
        <w:t xml:space="preserve"> “Que con el fin de fortalecer las organizaciones indígenas, de tal suerte que posibilite su participación y permita fortalecer su desarrollo económico, social, cultural y ambiental, se hace necesario establecer la viabilidad de suscribir convenios o contratos entre las entidades del Estado y las citadas organizaciones […]</w:t>
      </w:r>
    </w:p>
    <w:p w14:paraId="6F135FC5" w14:textId="77777777" w:rsidR="00652221" w:rsidRPr="00AA3B9F" w:rsidRDefault="00652221" w:rsidP="00652221">
      <w:pPr>
        <w:pStyle w:val="Textonotapie"/>
        <w:ind w:firstLine="709"/>
        <w:jc w:val="both"/>
        <w:rPr>
          <w:rFonts w:ascii="Verdana" w:hAnsi="Verdana" w:cs="Arial"/>
          <w:sz w:val="18"/>
          <w:szCs w:val="18"/>
        </w:rPr>
      </w:pPr>
      <w:r w:rsidRPr="00AA3B9F">
        <w:rPr>
          <w:rFonts w:ascii="Verdana" w:hAnsi="Verdana" w:cs="Arial"/>
          <w:sz w:val="18"/>
          <w:szCs w:val="18"/>
        </w:rPr>
        <w:t xml:space="preserve">“Que una de las formas de organizarse de las comunidades indígenas, es a través de las organizaciones legalmente constituidas, entendidas estas como los organismos que agrupan y representan a los pueblos indígenas colombianos. </w:t>
      </w:r>
    </w:p>
    <w:p w14:paraId="554DFB81" w14:textId="77777777" w:rsidR="00652221" w:rsidRPr="00AA3B9F" w:rsidRDefault="00652221" w:rsidP="00652221">
      <w:pPr>
        <w:pStyle w:val="Textonotapie"/>
        <w:ind w:firstLine="708"/>
        <w:jc w:val="both"/>
        <w:rPr>
          <w:rFonts w:ascii="Verdana" w:hAnsi="Verdana" w:cs="Arial"/>
          <w:sz w:val="18"/>
          <w:szCs w:val="18"/>
        </w:rPr>
      </w:pPr>
      <w:r w:rsidRPr="00AA3B9F">
        <w:rPr>
          <w:rFonts w:ascii="Verdana" w:hAnsi="Verdana" w:cs="Arial"/>
          <w:sz w:val="18"/>
          <w:szCs w:val="18"/>
        </w:rPr>
        <w:t xml:space="preserve">“Que en virtud de lo anterior, se hace necesario incorporar a las organizaciones indígenas conformadas, exclusivamente, por cabildos indígenas, resguardos indígenas, asociaciones de cabildos, asociación de autoridades y cualquier forma de autoridad indígena propia, legalmente constituidas ante la autoridad competente, </w:t>
      </w:r>
      <w:proofErr w:type="gramStart"/>
      <w:r w:rsidRPr="00AA3B9F">
        <w:rPr>
          <w:rFonts w:ascii="Verdana" w:hAnsi="Verdana" w:cs="Arial"/>
          <w:sz w:val="18"/>
          <w:szCs w:val="18"/>
        </w:rPr>
        <w:t>de acuerdo a</w:t>
      </w:r>
      <w:proofErr w:type="gramEnd"/>
      <w:r w:rsidRPr="00AA3B9F">
        <w:rPr>
          <w:rFonts w:ascii="Verdana" w:hAnsi="Verdana" w:cs="Arial"/>
          <w:sz w:val="18"/>
          <w:szCs w:val="18"/>
        </w:rPr>
        <w:t xml:space="preserve"> la naturaleza jurídica de la organización respectiva, con el fin de que puedan celebrar contratos o convenios de manera directa con las entidades estatales”.  </w:t>
      </w:r>
    </w:p>
  </w:footnote>
  <w:footnote w:id="6">
    <w:p w14:paraId="737EAA93" w14:textId="77777777" w:rsidR="00030376" w:rsidRPr="00AA3B9F" w:rsidRDefault="00030376" w:rsidP="00030376">
      <w:pPr>
        <w:pStyle w:val="Textonotapie"/>
        <w:ind w:firstLine="708"/>
        <w:jc w:val="both"/>
        <w:rPr>
          <w:rFonts w:ascii="Verdana" w:hAnsi="Verdana" w:cs="Arial"/>
          <w:sz w:val="18"/>
          <w:szCs w:val="18"/>
          <w:lang w:val="es-ES"/>
        </w:rPr>
      </w:pPr>
      <w:r w:rsidRPr="00AA3B9F">
        <w:rPr>
          <w:rStyle w:val="Refdenotaalpie"/>
          <w:rFonts w:ascii="Verdana" w:hAnsi="Verdana" w:cs="Arial"/>
          <w:sz w:val="18"/>
          <w:szCs w:val="18"/>
        </w:rPr>
        <w:footnoteRef/>
      </w:r>
      <w:r w:rsidRPr="00AA3B9F">
        <w:rPr>
          <w:rFonts w:ascii="Verdana" w:hAnsi="Verdana" w:cs="Arial"/>
          <w:sz w:val="18"/>
          <w:szCs w:val="18"/>
        </w:rPr>
        <w:t xml:space="preserve"> </w:t>
      </w:r>
      <w:r w:rsidRPr="00AA3B9F">
        <w:rPr>
          <w:rFonts w:ascii="Verdana" w:hAnsi="Verdana" w:cs="Arial"/>
          <w:sz w:val="18"/>
          <w:szCs w:val="18"/>
          <w:lang w:val="es-ES"/>
        </w:rPr>
        <w:t>Al respecto, la exposición de motivos expresó que: “</w:t>
      </w:r>
      <w:r w:rsidRPr="00AA3B9F">
        <w:rPr>
          <w:rFonts w:ascii="Verdana" w:hAnsi="Verdana" w:cs="Arial"/>
          <w:sz w:val="18"/>
          <w:szCs w:val="18"/>
          <w:lang w:val="es-CO"/>
        </w:rPr>
        <w:t>La iniciativa presentada consiste en conceder capacidad jurídica a los cabildos indígenas para poder contratar directamente con las entidades del Estado, tanto en lo contemplado en la Ley 80 de 1993, como en la Ley 1150 de 2007. Sea lo primero mencionar que, el proyecto de ley se justifica en el análisis normativo realizado de las Leyes 80 de 1993 y 1150 de 2007, las cuales no incluyen disposiciones que otorguen capacidad jurídica a los cabildos indígenas para celebrar negocios con las entidades del Estado, como tampoco se evidencian causales de contratación directa que permita celebrar directamente negocios jurídicos con los cabildos.</w:t>
      </w:r>
    </w:p>
    <w:p w14:paraId="5D62C34F" w14:textId="77777777" w:rsidR="00030376" w:rsidRPr="00AA3B9F" w:rsidRDefault="00030376" w:rsidP="00030376">
      <w:pPr>
        <w:pStyle w:val="Textonotapie"/>
        <w:ind w:firstLine="708"/>
        <w:jc w:val="both"/>
        <w:rPr>
          <w:rFonts w:ascii="Verdana" w:hAnsi="Verdana" w:cs="Arial"/>
          <w:sz w:val="18"/>
          <w:szCs w:val="18"/>
          <w:lang w:val="es-ES"/>
        </w:rPr>
      </w:pPr>
      <w:r w:rsidRPr="00AA3B9F">
        <w:rPr>
          <w:rFonts w:ascii="Verdana" w:hAnsi="Verdana" w:cs="Arial"/>
          <w:sz w:val="18"/>
          <w:szCs w:val="18"/>
          <w:lang w:val="es-ES"/>
        </w:rPr>
        <w:t>[…]</w:t>
      </w:r>
    </w:p>
    <w:p w14:paraId="30EB9BEC" w14:textId="77777777" w:rsidR="00030376" w:rsidRPr="00AA3B9F" w:rsidRDefault="00030376" w:rsidP="00030376">
      <w:pPr>
        <w:pStyle w:val="Textonotapie"/>
        <w:ind w:firstLine="708"/>
        <w:jc w:val="both"/>
        <w:rPr>
          <w:rFonts w:ascii="Verdana" w:hAnsi="Verdana" w:cs="Arial"/>
          <w:sz w:val="18"/>
          <w:szCs w:val="18"/>
        </w:rPr>
      </w:pPr>
      <w:r w:rsidRPr="00AA3B9F">
        <w:rPr>
          <w:rFonts w:ascii="Verdana" w:hAnsi="Verdana" w:cs="Arial"/>
          <w:sz w:val="18"/>
          <w:szCs w:val="18"/>
          <w:lang w:val="es-CO"/>
        </w:rPr>
        <w:t xml:space="preserve">“Bajo este panorama, las comunidades indígenas se han visto gravemente afectadas pues las entidades del Estado han expresado que no existen alternativas jurídicas que permitan la celebración de contratos o convenios con cabildos, ni una causal de contratación directa que habilite eficazmente el desarrollo de programas o inversión de recurso en beneficio de las comunidades indígenas como sujetos de especial protección. Lo anterior, ha ocasionado que las comunidades indígenas en múltiples ocasiones hayan recurrido a las vías de hecho para promover la garantía y materialización de sus derechos. En virtud de lo anterior, es necesario crear una disposición que otorgue plena capacidad Jurídica a los cabildos indígenas y autorice a las entidades del Estado la suscripción de Negocios jurídicos directamente con esta forma de gobierno indígena”. </w:t>
      </w:r>
      <w:r w:rsidRPr="00AA3B9F">
        <w:rPr>
          <w:rFonts w:ascii="Verdana" w:hAnsi="Verdana" w:cs="Arial"/>
          <w:sz w:val="18"/>
          <w:szCs w:val="18"/>
        </w:rPr>
        <w:t xml:space="preserve">CONGRESO DE LA REPÚBLICA. Informe de ponencia para primer debate en comisiones primeras conjuntas de Senado y Cámara. Proyecto de ley número 418 de 2021 del Senado, 485 de 2020 cámara, por medio del cual se modifica la Ley 80 de 1993 y la Ley 1150 de 2007. </w:t>
      </w:r>
    </w:p>
  </w:footnote>
  <w:footnote w:id="7">
    <w:p w14:paraId="47BCDEEA" w14:textId="77777777" w:rsidR="00574F90" w:rsidRPr="00AA3B9F" w:rsidRDefault="00574F90" w:rsidP="00574F90">
      <w:pPr>
        <w:pStyle w:val="Textonotapie"/>
        <w:ind w:firstLine="709"/>
        <w:jc w:val="both"/>
        <w:rPr>
          <w:rFonts w:ascii="Verdana" w:hAnsi="Verdana"/>
          <w:sz w:val="18"/>
          <w:szCs w:val="18"/>
          <w:lang w:val="es-CO"/>
        </w:rPr>
      </w:pPr>
      <w:r w:rsidRPr="00AA3B9F">
        <w:rPr>
          <w:rStyle w:val="Refdenotaalpie"/>
          <w:rFonts w:ascii="Verdana" w:hAnsi="Verdana"/>
          <w:sz w:val="18"/>
          <w:szCs w:val="18"/>
        </w:rPr>
        <w:footnoteRef/>
      </w:r>
      <w:r w:rsidRPr="00AA3B9F">
        <w:rPr>
          <w:rFonts w:ascii="Verdana" w:hAnsi="Verdana"/>
          <w:sz w:val="18"/>
          <w:szCs w:val="18"/>
        </w:rPr>
        <w:t xml:space="preserve"> “</w:t>
      </w:r>
      <w:r w:rsidRPr="00AA3B9F">
        <w:rPr>
          <w:rFonts w:ascii="Verdana" w:hAnsi="Verdana"/>
          <w:sz w:val="18"/>
          <w:szCs w:val="18"/>
          <w:lang w:val="es-CO"/>
        </w:rPr>
        <w:t>Artículo Transitorio 56</w:t>
      </w:r>
      <w:r w:rsidRPr="00AA3B9F">
        <w:rPr>
          <w:rFonts w:ascii="Verdana" w:hAnsi="Verdana"/>
          <w:b/>
          <w:bCs/>
          <w:sz w:val="18"/>
          <w:szCs w:val="18"/>
          <w:lang w:val="es-CO"/>
        </w:rPr>
        <w:t>. </w:t>
      </w:r>
      <w:r w:rsidRPr="00AA3B9F">
        <w:rPr>
          <w:rFonts w:ascii="Verdana" w:hAnsi="Verdana"/>
          <w:sz w:val="18"/>
          <w:szCs w:val="18"/>
          <w:lang w:val="es-CO"/>
        </w:rPr>
        <w:t>Mientras se expide la ley a que se refiere el artículo 329, el Gobierno podrá dictar las normas fiscales necesarias y las demás relativas al funcionamiento de los territorios indígenas y su coordinación con las demás entidades territoriales”.</w:t>
      </w:r>
    </w:p>
    <w:p w14:paraId="33C0A348" w14:textId="77777777" w:rsidR="00574F90" w:rsidRPr="00AA3B9F" w:rsidRDefault="00574F90" w:rsidP="00574F90">
      <w:pPr>
        <w:pStyle w:val="Textonotapie"/>
        <w:ind w:firstLine="709"/>
        <w:rPr>
          <w:rFonts w:ascii="Verdana" w:hAnsi="Verdana"/>
          <w:sz w:val="18"/>
          <w:szCs w:val="18"/>
        </w:rPr>
      </w:pPr>
    </w:p>
  </w:footnote>
  <w:footnote w:id="8">
    <w:p w14:paraId="0044C6B2" w14:textId="77777777" w:rsidR="00574F90" w:rsidRPr="00AA3B9F" w:rsidRDefault="00574F90" w:rsidP="00574F90">
      <w:pPr>
        <w:spacing w:after="120" w:line="240" w:lineRule="auto"/>
        <w:ind w:firstLine="709"/>
        <w:jc w:val="both"/>
        <w:rPr>
          <w:rFonts w:ascii="Verdana" w:eastAsia="Calibri" w:hAnsi="Verdana" w:cs="Arial"/>
          <w:sz w:val="18"/>
          <w:szCs w:val="18"/>
          <w:lang w:val="es-ES"/>
        </w:rPr>
      </w:pPr>
      <w:r w:rsidRPr="00AA3B9F">
        <w:rPr>
          <w:rStyle w:val="Refdenotaalpie"/>
          <w:rFonts w:ascii="Verdana" w:hAnsi="Verdana"/>
          <w:sz w:val="18"/>
          <w:szCs w:val="18"/>
        </w:rPr>
        <w:footnoteRef/>
      </w:r>
      <w:r w:rsidRPr="00AA3B9F">
        <w:rPr>
          <w:rFonts w:ascii="Verdana" w:hAnsi="Verdana"/>
          <w:sz w:val="18"/>
          <w:szCs w:val="18"/>
        </w:rPr>
        <w:t xml:space="preserve"> En esta providencia la Corte indicó “</w:t>
      </w:r>
      <w:r w:rsidRPr="00AA3B9F">
        <w:rPr>
          <w:rFonts w:ascii="Verdana" w:eastAsia="Calibri" w:hAnsi="Verdana" w:cs="Arial"/>
          <w:sz w:val="18"/>
          <w:szCs w:val="18"/>
          <w:lang w:val="es-ES"/>
        </w:rPr>
        <w:t>“2.8.43. Sobre este punto encuentra la Corte que la norma de la cual se predica la omisión legislativa es la Ley 1454 de 2011 en su integridad. Esta ley, "Por la cual se dictan normas orgánicas sobre ordenamiento territorial y se modifican otras disposiciones" está compuesta por cuarenta artículos organizados en cinco títulos: el Título Primero de "Las Disposiciones Generales", el Título Segundo del "Marco Institucional"; el Título III "De las Competencias", el Título IV "De las Regiones Administrativas y de Planificación" y el Título V sobre "Disposiciones Finales"[95].</w:t>
      </w:r>
    </w:p>
    <w:p w14:paraId="69873D5B" w14:textId="77777777" w:rsidR="00574F90" w:rsidRPr="00AA3B9F" w:rsidRDefault="00574F90" w:rsidP="00574F90">
      <w:pPr>
        <w:spacing w:after="0" w:line="240" w:lineRule="auto"/>
        <w:ind w:firstLine="709"/>
        <w:jc w:val="both"/>
        <w:rPr>
          <w:rFonts w:ascii="Verdana" w:hAnsi="Verdana"/>
          <w:sz w:val="12"/>
          <w:szCs w:val="12"/>
        </w:rPr>
      </w:pPr>
      <w:r w:rsidRPr="00AA3B9F">
        <w:rPr>
          <w:rFonts w:ascii="Verdana" w:eastAsia="Calibri" w:hAnsi="Verdana" w:cs="Arial"/>
          <w:sz w:val="18"/>
          <w:szCs w:val="18"/>
          <w:lang w:val="es-ES"/>
        </w:rPr>
        <w:t>2.8.44. Al hacer el estudio integral de la ley encuentra la Corte que en efecto como aducen los demandantes se excluye de la Ley 1454 de 2011 lo referente a la regulación de las regiones como entidades territoriales y las entidades territoriales indígenas, ya que solo se establecen en este cuerpo normativo disposiciones que no regulan el tema, sino que sirven de remisión a posteriores desarrollos.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9264"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7216"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Default="004A305D" w:rsidP="00B01B1A">
    <w:pPr>
      <w:spacing w:after="0" w:line="120" w:lineRule="auto"/>
      <w:rPr>
        <w:rFonts w:ascii="Verdana" w:hAnsi="Verdana"/>
        <w:b/>
        <w:bCs/>
      </w:rPr>
    </w:pPr>
  </w:p>
  <w:p w14:paraId="3BEDAA00" w14:textId="77777777" w:rsidR="00C0770A" w:rsidRPr="004A305D" w:rsidRDefault="00C0770A"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81D7D82"/>
    <w:multiLevelType w:val="hybridMultilevel"/>
    <w:tmpl w:val="97DC6182"/>
    <w:lvl w:ilvl="0" w:tplc="9A02B0A0">
      <w:start w:val="3"/>
      <w:numFmt w:val="bullet"/>
      <w:lvlText w:val="-"/>
      <w:lvlJc w:val="left"/>
      <w:pPr>
        <w:ind w:left="1069" w:hanging="360"/>
      </w:pPr>
      <w:rPr>
        <w:rFonts w:ascii="Verdana" w:eastAsia="Century Gothic"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A74137A"/>
    <w:multiLevelType w:val="hybridMultilevel"/>
    <w:tmpl w:val="B010EFB6"/>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12" w15:restartNumberingAfterBreak="0">
    <w:nsid w:val="51E463C4"/>
    <w:multiLevelType w:val="hybridMultilevel"/>
    <w:tmpl w:val="2F4A9DAC"/>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13" w15:restartNumberingAfterBreak="0">
    <w:nsid w:val="557B1080"/>
    <w:multiLevelType w:val="hybridMultilevel"/>
    <w:tmpl w:val="80B2A1A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7AD0B1A"/>
    <w:multiLevelType w:val="hybridMultilevel"/>
    <w:tmpl w:val="450C5F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7"/>
  </w:num>
  <w:num w:numId="7" w16cid:durableId="1946422806">
    <w:abstractNumId w:val="5"/>
  </w:num>
  <w:num w:numId="8" w16cid:durableId="152644682">
    <w:abstractNumId w:val="16"/>
  </w:num>
  <w:num w:numId="9" w16cid:durableId="1317221377">
    <w:abstractNumId w:val="7"/>
  </w:num>
  <w:num w:numId="10" w16cid:durableId="1471245386">
    <w:abstractNumId w:val="15"/>
  </w:num>
  <w:num w:numId="11" w16cid:durableId="289172385">
    <w:abstractNumId w:val="8"/>
  </w:num>
  <w:num w:numId="12" w16cid:durableId="1470781324">
    <w:abstractNumId w:val="1"/>
  </w:num>
  <w:num w:numId="13" w16cid:durableId="1512908409">
    <w:abstractNumId w:val="3"/>
  </w:num>
  <w:num w:numId="14" w16cid:durableId="895897244">
    <w:abstractNumId w:val="18"/>
  </w:num>
  <w:num w:numId="15" w16cid:durableId="390349800">
    <w:abstractNumId w:val="14"/>
  </w:num>
  <w:num w:numId="16" w16cid:durableId="341274352">
    <w:abstractNumId w:val="0"/>
  </w:num>
  <w:num w:numId="17" w16cid:durableId="920336469">
    <w:abstractNumId w:val="9"/>
  </w:num>
  <w:num w:numId="18" w16cid:durableId="1442605298">
    <w:abstractNumId w:val="13"/>
  </w:num>
  <w:num w:numId="19" w16cid:durableId="256639413">
    <w:abstractNumId w:val="11"/>
  </w:num>
  <w:num w:numId="20" w16cid:durableId="1570069125">
    <w:abstractNumId w:val="12"/>
  </w:num>
  <w:num w:numId="21" w16cid:durableId="1209611643">
    <w:abstractNumId w:val="19"/>
  </w:num>
  <w:num w:numId="22" w16cid:durableId="6790895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17E1C"/>
    <w:rsid w:val="00030376"/>
    <w:rsid w:val="00046945"/>
    <w:rsid w:val="00050C56"/>
    <w:rsid w:val="00056A75"/>
    <w:rsid w:val="00061B2A"/>
    <w:rsid w:val="00082362"/>
    <w:rsid w:val="0008798C"/>
    <w:rsid w:val="000A683E"/>
    <w:rsid w:val="000B19B9"/>
    <w:rsid w:val="000B7DDF"/>
    <w:rsid w:val="000C0F8A"/>
    <w:rsid w:val="000D0334"/>
    <w:rsid w:val="000F6486"/>
    <w:rsid w:val="00125105"/>
    <w:rsid w:val="00127233"/>
    <w:rsid w:val="001511A0"/>
    <w:rsid w:val="001C6806"/>
    <w:rsid w:val="001E4177"/>
    <w:rsid w:val="001F3139"/>
    <w:rsid w:val="001F7DC6"/>
    <w:rsid w:val="00202E68"/>
    <w:rsid w:val="002318EB"/>
    <w:rsid w:val="002421BB"/>
    <w:rsid w:val="00250C81"/>
    <w:rsid w:val="0025796E"/>
    <w:rsid w:val="002707A2"/>
    <w:rsid w:val="002951A0"/>
    <w:rsid w:val="00296092"/>
    <w:rsid w:val="002962BC"/>
    <w:rsid w:val="002A093D"/>
    <w:rsid w:val="002A0DD0"/>
    <w:rsid w:val="002A49AC"/>
    <w:rsid w:val="002A64FD"/>
    <w:rsid w:val="002C5536"/>
    <w:rsid w:val="002C6E1F"/>
    <w:rsid w:val="002C7A84"/>
    <w:rsid w:val="002E4FD9"/>
    <w:rsid w:val="002F178F"/>
    <w:rsid w:val="002F6D57"/>
    <w:rsid w:val="00322A85"/>
    <w:rsid w:val="00324168"/>
    <w:rsid w:val="00331132"/>
    <w:rsid w:val="00336081"/>
    <w:rsid w:val="003448F4"/>
    <w:rsid w:val="003452A6"/>
    <w:rsid w:val="00374F5E"/>
    <w:rsid w:val="00377E3E"/>
    <w:rsid w:val="00380C74"/>
    <w:rsid w:val="0038527A"/>
    <w:rsid w:val="003A779E"/>
    <w:rsid w:val="003D0F4D"/>
    <w:rsid w:val="003D5B0D"/>
    <w:rsid w:val="003E0499"/>
    <w:rsid w:val="003F3941"/>
    <w:rsid w:val="003F7827"/>
    <w:rsid w:val="00406575"/>
    <w:rsid w:val="0041123E"/>
    <w:rsid w:val="00414C74"/>
    <w:rsid w:val="00422299"/>
    <w:rsid w:val="0042722E"/>
    <w:rsid w:val="00427D62"/>
    <w:rsid w:val="004367F1"/>
    <w:rsid w:val="0044528D"/>
    <w:rsid w:val="00474F84"/>
    <w:rsid w:val="00481EB1"/>
    <w:rsid w:val="004A1847"/>
    <w:rsid w:val="004A305D"/>
    <w:rsid w:val="004A6CD3"/>
    <w:rsid w:val="004A7358"/>
    <w:rsid w:val="004E7E6F"/>
    <w:rsid w:val="004F21C4"/>
    <w:rsid w:val="004F685F"/>
    <w:rsid w:val="00552246"/>
    <w:rsid w:val="005566E8"/>
    <w:rsid w:val="00574867"/>
    <w:rsid w:val="00574F90"/>
    <w:rsid w:val="00591460"/>
    <w:rsid w:val="005B3816"/>
    <w:rsid w:val="005C3777"/>
    <w:rsid w:val="005C5CDC"/>
    <w:rsid w:val="005D3538"/>
    <w:rsid w:val="005D476C"/>
    <w:rsid w:val="005D56B6"/>
    <w:rsid w:val="005D71E7"/>
    <w:rsid w:val="00601171"/>
    <w:rsid w:val="00612A41"/>
    <w:rsid w:val="00615AA9"/>
    <w:rsid w:val="006219F8"/>
    <w:rsid w:val="00645AF0"/>
    <w:rsid w:val="006514EE"/>
    <w:rsid w:val="00652221"/>
    <w:rsid w:val="00665D70"/>
    <w:rsid w:val="006900D9"/>
    <w:rsid w:val="006B0F1F"/>
    <w:rsid w:val="00706C16"/>
    <w:rsid w:val="00713153"/>
    <w:rsid w:val="00756841"/>
    <w:rsid w:val="007574BD"/>
    <w:rsid w:val="007649AB"/>
    <w:rsid w:val="00771D0C"/>
    <w:rsid w:val="00783160"/>
    <w:rsid w:val="007833AC"/>
    <w:rsid w:val="007B268C"/>
    <w:rsid w:val="007B7171"/>
    <w:rsid w:val="007C0C0F"/>
    <w:rsid w:val="007C3DC2"/>
    <w:rsid w:val="007E5497"/>
    <w:rsid w:val="00806F5F"/>
    <w:rsid w:val="00815BA1"/>
    <w:rsid w:val="00820278"/>
    <w:rsid w:val="00851BCD"/>
    <w:rsid w:val="00867F95"/>
    <w:rsid w:val="008843B6"/>
    <w:rsid w:val="00891928"/>
    <w:rsid w:val="008A446D"/>
    <w:rsid w:val="008A795A"/>
    <w:rsid w:val="008D180B"/>
    <w:rsid w:val="008D3046"/>
    <w:rsid w:val="008E36FB"/>
    <w:rsid w:val="008E4CA9"/>
    <w:rsid w:val="008F09EE"/>
    <w:rsid w:val="008F0EA7"/>
    <w:rsid w:val="00905560"/>
    <w:rsid w:val="00923EEF"/>
    <w:rsid w:val="009419F9"/>
    <w:rsid w:val="0095685E"/>
    <w:rsid w:val="00961B09"/>
    <w:rsid w:val="00965334"/>
    <w:rsid w:val="0097093E"/>
    <w:rsid w:val="00986AC5"/>
    <w:rsid w:val="009870AA"/>
    <w:rsid w:val="009A0DFA"/>
    <w:rsid w:val="009A23BA"/>
    <w:rsid w:val="009B2D26"/>
    <w:rsid w:val="009C71FA"/>
    <w:rsid w:val="009C72E7"/>
    <w:rsid w:val="009D3058"/>
    <w:rsid w:val="009D3237"/>
    <w:rsid w:val="009F3A13"/>
    <w:rsid w:val="00A10F48"/>
    <w:rsid w:val="00A122D3"/>
    <w:rsid w:val="00A17F13"/>
    <w:rsid w:val="00A20739"/>
    <w:rsid w:val="00A2261D"/>
    <w:rsid w:val="00A33C78"/>
    <w:rsid w:val="00A416E7"/>
    <w:rsid w:val="00A45297"/>
    <w:rsid w:val="00A83347"/>
    <w:rsid w:val="00A94563"/>
    <w:rsid w:val="00AA3B9F"/>
    <w:rsid w:val="00AA5A48"/>
    <w:rsid w:val="00AB0ADB"/>
    <w:rsid w:val="00AB5D68"/>
    <w:rsid w:val="00AE60AA"/>
    <w:rsid w:val="00AF0CC0"/>
    <w:rsid w:val="00AF5AE9"/>
    <w:rsid w:val="00AF5CC8"/>
    <w:rsid w:val="00AF6E17"/>
    <w:rsid w:val="00B01B1A"/>
    <w:rsid w:val="00B177CE"/>
    <w:rsid w:val="00B50214"/>
    <w:rsid w:val="00B66319"/>
    <w:rsid w:val="00B72CD3"/>
    <w:rsid w:val="00B72FFF"/>
    <w:rsid w:val="00B92B27"/>
    <w:rsid w:val="00BC3D36"/>
    <w:rsid w:val="00BD0C52"/>
    <w:rsid w:val="00BD7F72"/>
    <w:rsid w:val="00C04FB3"/>
    <w:rsid w:val="00C0770A"/>
    <w:rsid w:val="00C21872"/>
    <w:rsid w:val="00C3298D"/>
    <w:rsid w:val="00C330EB"/>
    <w:rsid w:val="00C41061"/>
    <w:rsid w:val="00C477BA"/>
    <w:rsid w:val="00C62308"/>
    <w:rsid w:val="00C750B0"/>
    <w:rsid w:val="00C754BE"/>
    <w:rsid w:val="00C76B1C"/>
    <w:rsid w:val="00CA2CD2"/>
    <w:rsid w:val="00CB6357"/>
    <w:rsid w:val="00CC1B26"/>
    <w:rsid w:val="00CD69D6"/>
    <w:rsid w:val="00D21DEA"/>
    <w:rsid w:val="00D423A2"/>
    <w:rsid w:val="00D520D8"/>
    <w:rsid w:val="00D612B9"/>
    <w:rsid w:val="00D63AC2"/>
    <w:rsid w:val="00D67CFF"/>
    <w:rsid w:val="00D7383B"/>
    <w:rsid w:val="00D80DE0"/>
    <w:rsid w:val="00DA231B"/>
    <w:rsid w:val="00DC39FC"/>
    <w:rsid w:val="00DD3AD4"/>
    <w:rsid w:val="00DF5254"/>
    <w:rsid w:val="00E1022D"/>
    <w:rsid w:val="00E16408"/>
    <w:rsid w:val="00E20894"/>
    <w:rsid w:val="00E245AB"/>
    <w:rsid w:val="00E2764C"/>
    <w:rsid w:val="00E27F2E"/>
    <w:rsid w:val="00E50AFE"/>
    <w:rsid w:val="00E535D5"/>
    <w:rsid w:val="00E67F15"/>
    <w:rsid w:val="00E75C92"/>
    <w:rsid w:val="00E771DC"/>
    <w:rsid w:val="00E82C0A"/>
    <w:rsid w:val="00E8772A"/>
    <w:rsid w:val="00E90F6B"/>
    <w:rsid w:val="00E92C27"/>
    <w:rsid w:val="00E9648A"/>
    <w:rsid w:val="00EA0E3D"/>
    <w:rsid w:val="00EC38A7"/>
    <w:rsid w:val="00EC529C"/>
    <w:rsid w:val="00ED438D"/>
    <w:rsid w:val="00ED7384"/>
    <w:rsid w:val="00EE1AA8"/>
    <w:rsid w:val="00EE30B8"/>
    <w:rsid w:val="00EE5D6E"/>
    <w:rsid w:val="00F31EDC"/>
    <w:rsid w:val="00F44778"/>
    <w:rsid w:val="00F462B3"/>
    <w:rsid w:val="00F5664F"/>
    <w:rsid w:val="00F666C4"/>
    <w:rsid w:val="00F76AFC"/>
    <w:rsid w:val="00F93BB3"/>
    <w:rsid w:val="00FA0ACA"/>
    <w:rsid w:val="00FA47C0"/>
    <w:rsid w:val="00FB5DD1"/>
    <w:rsid w:val="00FC2B5D"/>
    <w:rsid w:val="00FD3A28"/>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27D62"/>
    <w:rPr>
      <w:rFonts w:ascii="Geomanist Light" w:hAnsi="Geomanist Light"/>
      <w:lang w:val="es-ES"/>
    </w:rPr>
  </w:style>
  <w:style w:type="paragraph" w:customStyle="1" w:styleId="Appelnotedebasde">
    <w:name w:val="Appel note de bas de..."/>
    <w:basedOn w:val="Normal"/>
    <w:link w:val="Refdenotaalpie"/>
    <w:uiPriority w:val="99"/>
    <w:rsid w:val="00AA5A48"/>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401396">
      <w:bodyDiv w:val="1"/>
      <w:marLeft w:val="0"/>
      <w:marRight w:val="0"/>
      <w:marTop w:val="0"/>
      <w:marBottom w:val="0"/>
      <w:divBdr>
        <w:top w:val="none" w:sz="0" w:space="0" w:color="auto"/>
        <w:left w:val="none" w:sz="0" w:space="0" w:color="auto"/>
        <w:bottom w:val="none" w:sz="0" w:space="0" w:color="auto"/>
        <w:right w:val="none" w:sz="0" w:space="0" w:color="auto"/>
      </w:divBdr>
    </w:div>
    <w:div w:id="228882871">
      <w:bodyDiv w:val="1"/>
      <w:marLeft w:val="0"/>
      <w:marRight w:val="0"/>
      <w:marTop w:val="0"/>
      <w:marBottom w:val="0"/>
      <w:divBdr>
        <w:top w:val="none" w:sz="0" w:space="0" w:color="auto"/>
        <w:left w:val="none" w:sz="0" w:space="0" w:color="auto"/>
        <w:bottom w:val="none" w:sz="0" w:space="0" w:color="auto"/>
        <w:right w:val="none" w:sz="0" w:space="0" w:color="auto"/>
      </w:divBdr>
    </w:div>
    <w:div w:id="459997642">
      <w:bodyDiv w:val="1"/>
      <w:marLeft w:val="0"/>
      <w:marRight w:val="0"/>
      <w:marTop w:val="0"/>
      <w:marBottom w:val="0"/>
      <w:divBdr>
        <w:top w:val="none" w:sz="0" w:space="0" w:color="auto"/>
        <w:left w:val="none" w:sz="0" w:space="0" w:color="auto"/>
        <w:bottom w:val="none" w:sz="0" w:space="0" w:color="auto"/>
        <w:right w:val="none" w:sz="0" w:space="0" w:color="auto"/>
      </w:divBdr>
      <w:divsChild>
        <w:div w:id="1748914205">
          <w:marLeft w:val="0"/>
          <w:marRight w:val="0"/>
          <w:marTop w:val="0"/>
          <w:marBottom w:val="0"/>
          <w:divBdr>
            <w:top w:val="none" w:sz="0" w:space="0" w:color="auto"/>
            <w:left w:val="none" w:sz="0" w:space="0" w:color="auto"/>
            <w:bottom w:val="none" w:sz="0" w:space="0" w:color="auto"/>
            <w:right w:val="none" w:sz="0" w:space="0" w:color="auto"/>
          </w:divBdr>
        </w:div>
        <w:div w:id="118452786">
          <w:marLeft w:val="0"/>
          <w:marRight w:val="0"/>
          <w:marTop w:val="0"/>
          <w:marBottom w:val="0"/>
          <w:divBdr>
            <w:top w:val="none" w:sz="0" w:space="0" w:color="auto"/>
            <w:left w:val="none" w:sz="0" w:space="0" w:color="auto"/>
            <w:bottom w:val="none" w:sz="0" w:space="0" w:color="auto"/>
            <w:right w:val="none" w:sz="0" w:space="0" w:color="auto"/>
          </w:divBdr>
        </w:div>
        <w:div w:id="621420070">
          <w:marLeft w:val="0"/>
          <w:marRight w:val="0"/>
          <w:marTop w:val="0"/>
          <w:marBottom w:val="0"/>
          <w:divBdr>
            <w:top w:val="none" w:sz="0" w:space="0" w:color="auto"/>
            <w:left w:val="none" w:sz="0" w:space="0" w:color="auto"/>
            <w:bottom w:val="none" w:sz="0" w:space="0" w:color="auto"/>
            <w:right w:val="none" w:sz="0" w:space="0" w:color="auto"/>
          </w:divBdr>
        </w:div>
      </w:divsChild>
    </w:div>
    <w:div w:id="486282978">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902523006">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29213446">
      <w:bodyDiv w:val="1"/>
      <w:marLeft w:val="0"/>
      <w:marRight w:val="0"/>
      <w:marTop w:val="0"/>
      <w:marBottom w:val="0"/>
      <w:divBdr>
        <w:top w:val="none" w:sz="0" w:space="0" w:color="auto"/>
        <w:left w:val="none" w:sz="0" w:space="0" w:color="auto"/>
        <w:bottom w:val="none" w:sz="0" w:space="0" w:color="auto"/>
        <w:right w:val="none" w:sz="0" w:space="0" w:color="auto"/>
      </w:divBdr>
    </w:div>
    <w:div w:id="1518814775">
      <w:bodyDiv w:val="1"/>
      <w:marLeft w:val="0"/>
      <w:marRight w:val="0"/>
      <w:marTop w:val="0"/>
      <w:marBottom w:val="0"/>
      <w:divBdr>
        <w:top w:val="none" w:sz="0" w:space="0" w:color="auto"/>
        <w:left w:val="none" w:sz="0" w:space="0" w:color="auto"/>
        <w:bottom w:val="none" w:sz="0" w:space="0" w:color="auto"/>
        <w:right w:val="none" w:sz="0" w:space="0" w:color="auto"/>
      </w:divBdr>
    </w:div>
    <w:div w:id="1709258198">
      <w:bodyDiv w:val="1"/>
      <w:marLeft w:val="0"/>
      <w:marRight w:val="0"/>
      <w:marTop w:val="0"/>
      <w:marBottom w:val="0"/>
      <w:divBdr>
        <w:top w:val="none" w:sz="0" w:space="0" w:color="auto"/>
        <w:left w:val="none" w:sz="0" w:space="0" w:color="auto"/>
        <w:bottom w:val="none" w:sz="0" w:space="0" w:color="auto"/>
        <w:right w:val="none" w:sz="0" w:space="0" w:color="auto"/>
      </w:divBdr>
    </w:div>
    <w:div w:id="1757894815">
      <w:bodyDiv w:val="1"/>
      <w:marLeft w:val="0"/>
      <w:marRight w:val="0"/>
      <w:marTop w:val="0"/>
      <w:marBottom w:val="0"/>
      <w:divBdr>
        <w:top w:val="none" w:sz="0" w:space="0" w:color="auto"/>
        <w:left w:val="none" w:sz="0" w:space="0" w:color="auto"/>
        <w:bottom w:val="none" w:sz="0" w:space="0" w:color="auto"/>
        <w:right w:val="none" w:sz="0" w:space="0" w:color="auto"/>
      </w:divBdr>
    </w:div>
    <w:div w:id="1819415710">
      <w:bodyDiv w:val="1"/>
      <w:marLeft w:val="0"/>
      <w:marRight w:val="0"/>
      <w:marTop w:val="0"/>
      <w:marBottom w:val="0"/>
      <w:divBdr>
        <w:top w:val="none" w:sz="0" w:space="0" w:color="auto"/>
        <w:left w:val="none" w:sz="0" w:space="0" w:color="auto"/>
        <w:bottom w:val="none" w:sz="0" w:space="0" w:color="auto"/>
        <w:right w:val="none" w:sz="0" w:space="0" w:color="auto"/>
      </w:divBdr>
    </w:div>
    <w:div w:id="1891720514">
      <w:bodyDiv w:val="1"/>
      <w:marLeft w:val="0"/>
      <w:marRight w:val="0"/>
      <w:marTop w:val="0"/>
      <w:marBottom w:val="0"/>
      <w:divBdr>
        <w:top w:val="none" w:sz="0" w:space="0" w:color="auto"/>
        <w:left w:val="none" w:sz="0" w:space="0" w:color="auto"/>
        <w:bottom w:val="none" w:sz="0" w:space="0" w:color="auto"/>
        <w:right w:val="none" w:sz="0" w:space="0" w:color="auto"/>
      </w:divBdr>
    </w:div>
    <w:div w:id="1964848684">
      <w:bodyDiv w:val="1"/>
      <w:marLeft w:val="0"/>
      <w:marRight w:val="0"/>
      <w:marTop w:val="0"/>
      <w:marBottom w:val="0"/>
      <w:divBdr>
        <w:top w:val="none" w:sz="0" w:space="0" w:color="auto"/>
        <w:left w:val="none" w:sz="0" w:space="0" w:color="auto"/>
        <w:bottom w:val="none" w:sz="0" w:space="0" w:color="auto"/>
        <w:right w:val="none" w:sz="0" w:space="0" w:color="auto"/>
      </w:divBdr>
      <w:divsChild>
        <w:div w:id="298583332">
          <w:marLeft w:val="0"/>
          <w:marRight w:val="0"/>
          <w:marTop w:val="0"/>
          <w:marBottom w:val="0"/>
          <w:divBdr>
            <w:top w:val="none" w:sz="0" w:space="0" w:color="auto"/>
            <w:left w:val="none" w:sz="0" w:space="0" w:color="auto"/>
            <w:bottom w:val="none" w:sz="0" w:space="0" w:color="auto"/>
            <w:right w:val="none" w:sz="0" w:space="0" w:color="auto"/>
          </w:divBdr>
        </w:div>
        <w:div w:id="1308128006">
          <w:marLeft w:val="0"/>
          <w:marRight w:val="0"/>
          <w:marTop w:val="0"/>
          <w:marBottom w:val="0"/>
          <w:divBdr>
            <w:top w:val="none" w:sz="0" w:space="0" w:color="auto"/>
            <w:left w:val="none" w:sz="0" w:space="0" w:color="auto"/>
            <w:bottom w:val="none" w:sz="0" w:space="0" w:color="auto"/>
            <w:right w:val="none" w:sz="0" w:space="0" w:color="auto"/>
          </w:divBdr>
        </w:div>
        <w:div w:id="1172530937">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ites/cce_public/files/cce_documents/cce-eicp-gi-25_cartilla_para_incentivar_y_fortalecer_el_acceso_al_sistema_de_compras_y_contratacion_publica_de_los_pueblos_y_comunidades_etnicas_en_colombia.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ngelicus24@hot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sala-de-prensa%2Fboletin-digital&amp;data=05%7C02%7Cana.ortizb%40colombiacompra.gov.co%7C6192b0470d324981a09708dd0a6c28db%7C7b09041e245149d08cb179d5e3d8c1be%7C0%7C0%7C638678181870275682%7CUnknown%7CTWFpbGZsb3d8eyJFbXB0eU1hcGkiOnRydWUsIlYiOiIwLjAuMDAwMCIsIlAiOiJXaW4zMiIsIkFOIjoiTWFpbCIsIldUIjoyfQ%3D%3D%7C0%7C%7C%7C&amp;sdata=p0GFj1VBUfthqd8T5xnFB7dri6l2lgXegV4TNtfJ5Gc%3D&amp;reserved=0"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sites%2Fcce_public%2Ffiles%2Fcce_documents%2Fmanual_para_el_manejo_de_acuerdos_comerciales_vf.pdf&amp;data=05%7C02%7Cana.ortizb%40colombiacompra.gov.co%7C6192b0470d324981a09708dd0a6c28db%7C7b09041e245149d08cb179d5e3d8c1be%7C0%7C0%7C638678181870208042%7CUnknown%7CTWFpbGZsb3d8eyJFbXB0eU1hcGkiOnRydWUsIlYiOiIwLjAuMDAwMCIsIlAiOiJXaW4zMiIsIkFOIjoiTWFpbCIsIldUIjoyfQ%3D%3D%7C0%7C%7C%7C&amp;sdata=T2aU0Q5vXhbYrL0XWa%2BoLFPWSByM6GrIG1Uv0bDGk%2FA%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ABE69DF6-2758-4A2D-9E33-CE7D552DCDDB}"/>
</file>

<file path=customXml/itemProps3.xml><?xml version="1.0" encoding="utf-8"?>
<ds:datastoreItem xmlns:ds="http://schemas.openxmlformats.org/officeDocument/2006/customXml" ds:itemID="{163618BE-28CB-4D69-955E-CDA788483BED}">
  <ds:schemaRefs>
    <ds:schemaRef ds:uri="36c82cfe-0eda-494d-b392-a9281b89aaf0"/>
    <ds:schemaRef ds:uri="http://purl.org/dc/dcmitype/"/>
    <ds:schemaRef ds:uri="http://schemas.microsoft.com/office/2006/metadata/properties"/>
    <ds:schemaRef ds:uri="http://schemas.microsoft.com/office/2006/documentManagement/types"/>
    <ds:schemaRef ds:uri="http://www.w3.org/XML/1998/namespace"/>
    <ds:schemaRef ds:uri="http://purl.org/dc/elements/1.1/"/>
    <ds:schemaRef ds:uri="http://purl.org/dc/terms/"/>
    <ds:schemaRef ds:uri="http://schemas.microsoft.com/office/infopath/2007/PartnerControls"/>
    <ds:schemaRef ds:uri="http://schemas.openxmlformats.org/package/2006/metadata/core-properties"/>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5038</Words>
  <Characters>27715</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Subdirección de Gestión Contractual -ANCP-CCE</cp:lastModifiedBy>
  <cp:revision>20</cp:revision>
  <cp:lastPrinted>2023-01-10T21:18:00Z</cp:lastPrinted>
  <dcterms:created xsi:type="dcterms:W3CDTF">2024-12-10T20:08:00Z</dcterms:created>
  <dcterms:modified xsi:type="dcterms:W3CDTF">2024-12-11T16:45:00Z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