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0874A" w14:textId="77777777" w:rsidR="00E20440" w:rsidRPr="00EB73BF" w:rsidRDefault="00E20440" w:rsidP="00E20440">
      <w:pPr>
        <w:spacing w:after="0" w:line="240" w:lineRule="auto"/>
        <w:jc w:val="both"/>
        <w:rPr>
          <w:rFonts w:ascii="Verdana" w:eastAsia="Times New Roman" w:hAnsi="Verdana" w:cs="Arial"/>
          <w:b/>
          <w:lang w:eastAsia="es-ES"/>
        </w:rPr>
      </w:pPr>
      <w:bookmarkStart w:id="0" w:name="_Hlk143780582"/>
      <w:r w:rsidRPr="00EB73BF">
        <w:rPr>
          <w:rFonts w:ascii="Verdana" w:eastAsia="Times New Roman" w:hAnsi="Verdana" w:cs="Arial"/>
          <w:b/>
          <w:lang w:eastAsia="es-ES"/>
        </w:rPr>
        <w:t xml:space="preserve">CONTRATO DE PRESTACIÓN DE SERVICIOS – Concepto </w:t>
      </w:r>
    </w:p>
    <w:p w14:paraId="6B531B90" w14:textId="77777777" w:rsidR="00E20440" w:rsidRPr="00133A58" w:rsidRDefault="00E20440" w:rsidP="00E20440">
      <w:pPr>
        <w:spacing w:after="0" w:line="240" w:lineRule="auto"/>
        <w:jc w:val="both"/>
        <w:rPr>
          <w:rFonts w:ascii="Verdana" w:eastAsia="Times New Roman" w:hAnsi="Verdana" w:cs="Arial"/>
          <w:sz w:val="20"/>
          <w:lang w:eastAsia="es-ES"/>
        </w:rPr>
      </w:pPr>
    </w:p>
    <w:p w14:paraId="6E5562EA" w14:textId="77777777" w:rsidR="00E20440" w:rsidRPr="00133A58" w:rsidRDefault="00E20440" w:rsidP="00E20440">
      <w:pPr>
        <w:spacing w:after="0" w:line="240" w:lineRule="auto"/>
        <w:jc w:val="both"/>
        <w:rPr>
          <w:rFonts w:ascii="Verdana" w:eastAsia="Times New Roman" w:hAnsi="Verdana" w:cs="Arial"/>
          <w:sz w:val="20"/>
          <w:lang w:eastAsia="es-ES"/>
        </w:rPr>
      </w:pPr>
      <w:r w:rsidRPr="00133A58">
        <w:rPr>
          <w:rFonts w:ascii="Verdana" w:eastAsia="Times New Roman" w:hAnsi="Verdana" w:cs="Arial"/>
          <w:sz w:val="20"/>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5CC091BC" w14:textId="77777777" w:rsidR="00E20440" w:rsidRPr="00EB73BF" w:rsidRDefault="00E20440" w:rsidP="00E20440">
      <w:pPr>
        <w:spacing w:after="0" w:line="240" w:lineRule="auto"/>
        <w:jc w:val="both"/>
        <w:rPr>
          <w:rFonts w:ascii="Verdana" w:eastAsia="Times New Roman" w:hAnsi="Verdana" w:cs="Arial"/>
          <w:b/>
          <w:lang w:eastAsia="es-ES"/>
        </w:rPr>
      </w:pPr>
    </w:p>
    <w:p w14:paraId="62A3B455" w14:textId="77777777" w:rsidR="00E20440" w:rsidRPr="00EB73BF" w:rsidRDefault="00E20440" w:rsidP="00E20440">
      <w:pPr>
        <w:spacing w:after="0" w:line="240" w:lineRule="auto"/>
        <w:jc w:val="both"/>
        <w:rPr>
          <w:rFonts w:ascii="Verdana" w:eastAsia="Times New Roman" w:hAnsi="Verdana" w:cs="Arial"/>
          <w:b/>
          <w:lang w:eastAsia="es-ES"/>
        </w:rPr>
      </w:pPr>
      <w:r w:rsidRPr="00EB73BF">
        <w:rPr>
          <w:rFonts w:ascii="Verdana" w:eastAsia="Times New Roman" w:hAnsi="Verdana" w:cs="Arial"/>
          <w:b/>
          <w:lang w:eastAsia="es-ES"/>
        </w:rPr>
        <w:t>CONTRATO DE PRESTACIÓN DE SERVICIOS – Características</w:t>
      </w:r>
    </w:p>
    <w:p w14:paraId="3D4A1551" w14:textId="77777777" w:rsidR="00E20440" w:rsidRDefault="00E20440" w:rsidP="00E20440">
      <w:pPr>
        <w:spacing w:after="0" w:line="240" w:lineRule="auto"/>
        <w:jc w:val="both"/>
        <w:rPr>
          <w:rFonts w:ascii="Verdana" w:eastAsia="Times New Roman" w:hAnsi="Verdana" w:cs="Arial"/>
          <w:b/>
          <w:lang w:eastAsia="es-ES"/>
        </w:rPr>
      </w:pPr>
    </w:p>
    <w:p w14:paraId="5E20A89A" w14:textId="49121339" w:rsidR="00E20440" w:rsidRPr="00133A58" w:rsidRDefault="00E20440" w:rsidP="00E20440">
      <w:pPr>
        <w:spacing w:after="0" w:line="240" w:lineRule="auto"/>
        <w:jc w:val="both"/>
        <w:rPr>
          <w:rFonts w:ascii="Verdana" w:eastAsia="Times New Roman" w:hAnsi="Verdana" w:cs="Arial"/>
          <w:sz w:val="20"/>
          <w:lang w:val="es-ES" w:eastAsia="es-ES"/>
        </w:rPr>
      </w:pPr>
      <w:r w:rsidRPr="00133A58">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33A58">
        <w:rPr>
          <w:rFonts w:ascii="Verdana" w:eastAsia="Times New Roman" w:hAnsi="Verdana" w:cs="Arial"/>
          <w:i/>
          <w:iCs/>
          <w:sz w:val="20"/>
          <w:lang w:eastAsia="es-ES"/>
        </w:rPr>
        <w:t>subordinación y dependencia</w:t>
      </w:r>
      <w:r w:rsidRPr="00133A58">
        <w:rPr>
          <w:rFonts w:ascii="Verdana" w:eastAsia="Times New Roman" w:hAnsi="Verdana" w:cs="Arial"/>
          <w:sz w:val="20"/>
          <w:lang w:eastAsia="es-ES"/>
        </w:rPr>
        <w:t>, que es uno de los elementos constitutivos del vínculo laboral. d) Deben ser temporales. e</w:t>
      </w:r>
      <w:r w:rsidRPr="00133A58">
        <w:rPr>
          <w:rFonts w:ascii="Verdana" w:eastAsia="Times New Roman" w:hAnsi="Verdana" w:cs="Arial"/>
          <w:sz w:val="20"/>
          <w:lang w:val="es-ES" w:eastAsia="es-ES"/>
        </w:rPr>
        <w:t xml:space="preserve">) Los contratos de prestación de servicios constituyen un </w:t>
      </w:r>
      <w:r w:rsidRPr="00133A58">
        <w:rPr>
          <w:rFonts w:ascii="Verdana" w:eastAsia="Times New Roman" w:hAnsi="Verdana" w:cs="Arial"/>
          <w:i/>
          <w:iCs/>
          <w:sz w:val="20"/>
          <w:lang w:val="es-ES" w:eastAsia="es-ES"/>
        </w:rPr>
        <w:t>género</w:t>
      </w:r>
      <w:r w:rsidRPr="00133A58">
        <w:rPr>
          <w:rFonts w:ascii="Verdana" w:eastAsia="Times New Roman" w:hAnsi="Verdana" w:cs="Arial"/>
          <w:sz w:val="20"/>
          <w:lang w:val="es-ES" w:eastAsia="es-ES"/>
        </w:rPr>
        <w:t xml:space="preserve"> que incluye, como </w:t>
      </w:r>
      <w:r w:rsidRPr="00133A58">
        <w:rPr>
          <w:rFonts w:ascii="Verdana" w:eastAsia="Times New Roman" w:hAnsi="Verdana" w:cs="Arial"/>
          <w:i/>
          <w:iCs/>
          <w:sz w:val="20"/>
          <w:lang w:val="es-ES" w:eastAsia="es-ES"/>
        </w:rPr>
        <w:t>especies</w:t>
      </w:r>
      <w:r w:rsidRPr="00133A58">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133A58">
        <w:rPr>
          <w:rFonts w:ascii="Verdana" w:eastAsia="Times New Roman" w:hAnsi="Verdana" w:cs="Arial"/>
          <w:i/>
          <w:iCs/>
          <w:sz w:val="20"/>
          <w:lang w:val="es-ES" w:eastAsia="es-ES"/>
        </w:rPr>
        <w:t>profesionales</w:t>
      </w:r>
      <w:r w:rsidRPr="00133A58">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133A58">
        <w:rPr>
          <w:rFonts w:ascii="Verdana" w:eastAsia="Times New Roman" w:hAnsi="Verdana" w:cs="Arial"/>
          <w:sz w:val="20"/>
          <w:vertAlign w:val="superscript"/>
          <w:lang w:val="es-ES" w:eastAsia="es-ES"/>
        </w:rPr>
        <w:t xml:space="preserve">. </w:t>
      </w:r>
      <w:r w:rsidRPr="00133A58">
        <w:rPr>
          <w:rFonts w:ascii="Verdana" w:eastAsia="Times New Roman" w:hAnsi="Verdana" w:cs="Arial"/>
          <w:sz w:val="20"/>
          <w:lang w:val="es-ES" w:eastAsia="es-ES"/>
        </w:rPr>
        <w:t xml:space="preserve">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w:t>
      </w:r>
      <w:proofErr w:type="gramStart"/>
      <w:r w:rsidRPr="00133A58">
        <w:rPr>
          <w:rFonts w:ascii="Verdana" w:eastAsia="Times New Roman" w:hAnsi="Verdana" w:cs="Arial"/>
          <w:sz w:val="20"/>
          <w:lang w:val="es-ES" w:eastAsia="es-ES"/>
        </w:rPr>
        <w:t>se enmarcan dentro de</w:t>
      </w:r>
      <w:proofErr w:type="gramEnd"/>
      <w:r w:rsidRPr="00133A58">
        <w:rPr>
          <w:rFonts w:ascii="Verdana" w:eastAsia="Times New Roman" w:hAnsi="Verdana" w:cs="Arial"/>
          <w:sz w:val="20"/>
          <w:lang w:val="es-ES" w:eastAsia="es-ES"/>
        </w:rPr>
        <w:t xml:space="preserve"> los otros contratos tipificados en el artículo 32 de la Ley 80 de 1993, como, por ejemplo, para que el contratista de prestación de servicios construya una obra.</w:t>
      </w:r>
      <w:r w:rsidRPr="00133A58">
        <w:rPr>
          <w:rFonts w:ascii="Verdana" w:eastAsia="Times New Roman" w:hAnsi="Verdana" w:cs="Arial"/>
          <w:sz w:val="20"/>
          <w:lang w:eastAsia="es-ES"/>
        </w:rPr>
        <w:t xml:space="preserve"> </w:t>
      </w:r>
      <w:r>
        <w:rPr>
          <w:rFonts w:ascii="Verdana" w:eastAsia="Times New Roman" w:hAnsi="Verdana" w:cs="Arial"/>
          <w:sz w:val="20"/>
          <w:lang w:val="es-ES" w:eastAsia="es-ES"/>
        </w:rPr>
        <w:t>[…]</w:t>
      </w:r>
    </w:p>
    <w:p w14:paraId="51E72DD4" w14:textId="56B1FAD3" w:rsidR="00E20440" w:rsidRDefault="00E20440" w:rsidP="002933DA">
      <w:pPr>
        <w:spacing w:after="0"/>
        <w:rPr>
          <w:rFonts w:ascii="Verdana" w:hAnsi="Verdana"/>
        </w:rPr>
      </w:pPr>
    </w:p>
    <w:p w14:paraId="4DA9D4A9" w14:textId="77777777" w:rsidR="00E20440" w:rsidRPr="00E20440" w:rsidRDefault="00E20440" w:rsidP="00E20440">
      <w:pPr>
        <w:spacing w:after="0"/>
        <w:rPr>
          <w:rFonts w:ascii="Verdana" w:eastAsia="Times New Roman" w:hAnsi="Verdana" w:cs="Arial"/>
          <w:b/>
          <w:noProof/>
          <w:color w:val="000000"/>
          <w:lang w:val="es-ES_tradnl" w:eastAsia="es-ES_tradnl"/>
        </w:rPr>
      </w:pPr>
      <w:r w:rsidRPr="00E20440">
        <w:rPr>
          <w:rFonts w:ascii="Verdana" w:eastAsia="Times New Roman" w:hAnsi="Verdana" w:cs="Arial"/>
          <w:b/>
          <w:noProof/>
          <w:color w:val="000000"/>
          <w:lang w:val="es-ES_tradnl" w:eastAsia="es-ES_tradnl"/>
        </w:rPr>
        <w:lastRenderedPageBreak/>
        <w:t xml:space="preserve">CONTRATOS DE PRESTACIÓN DE SERVICIOS – Diferencias – Relación Laboral </w:t>
      </w:r>
    </w:p>
    <w:p w14:paraId="1FF7D0CB" w14:textId="77777777" w:rsidR="00E20440" w:rsidRDefault="00E20440" w:rsidP="00E20440">
      <w:pPr>
        <w:spacing w:after="0"/>
        <w:rPr>
          <w:rFonts w:ascii="Verdana" w:eastAsia="Times New Roman" w:hAnsi="Verdana" w:cs="Arial"/>
          <w:noProof/>
          <w:color w:val="000000"/>
          <w:lang w:val="es-ES_tradnl" w:eastAsia="es-ES_tradnl"/>
        </w:rPr>
      </w:pPr>
    </w:p>
    <w:p w14:paraId="175F822E" w14:textId="598AD917" w:rsidR="00E20440" w:rsidRDefault="00E20440" w:rsidP="00E20440">
      <w:pPr>
        <w:spacing w:after="0" w:line="240" w:lineRule="auto"/>
        <w:jc w:val="both"/>
        <w:rPr>
          <w:rFonts w:ascii="Verdana" w:hAnsi="Verdana"/>
          <w:sz w:val="20"/>
        </w:rPr>
      </w:pPr>
      <w:r w:rsidRPr="00E20440">
        <w:rPr>
          <w:rFonts w:ascii="Verdana" w:hAnsi="Verdana"/>
          <w:sz w:val="20"/>
          <w:lang w:val="es-ES_tradnl"/>
        </w:rPr>
        <w:t xml:space="preserve">De lo expuesto en el anterior acápite, </w:t>
      </w:r>
      <w:r w:rsidRPr="00E20440">
        <w:rPr>
          <w:rFonts w:ascii="Verdana" w:hAnsi="Verdana"/>
          <w:sz w:val="20"/>
        </w:rPr>
        <w:t>la diferencia entre el contrato de prestación de servicios regulado por el numeral 3 del artículo 32 de la Ley 80 de 1993 y el contrato de carácter laboral radica esencialmente en el elemento de la subordinación o dependencia, en la medida en que, en el contrato de prestación de servicios, necesariamente, el contratista no puede tener frente a la Administración calidad diferente a la de contratista independiente sin derecho a prestaciones sociales. En contraste, en el evento en que se acredite la existencia de un trabajo subordinado o dependiente donde las entidades estatales contratantes adoptan una actitud con vocación a impartir órdenes a quien presta el servicio para que se efectúe la ejecución de la labor contratada o determina la fijación de horario de trabajo para la prestación del servicio, es claro que resultaría posible que se tipifique dicho negocio jurídico como un contrato laboral, circunstancia que haría que surgiera derecho al pago de prestaciones sociales.</w:t>
      </w:r>
    </w:p>
    <w:p w14:paraId="3EB721B8" w14:textId="77777777" w:rsidR="00E20440" w:rsidRPr="00E20440" w:rsidRDefault="00E20440" w:rsidP="00E20440">
      <w:pPr>
        <w:spacing w:after="0" w:line="240" w:lineRule="auto"/>
        <w:jc w:val="both"/>
        <w:rPr>
          <w:rFonts w:ascii="Verdana" w:eastAsia="Times New Roman" w:hAnsi="Verdana" w:cs="Arial"/>
          <w:noProof/>
          <w:color w:val="000000"/>
          <w:sz w:val="20"/>
          <w:lang w:val="es-ES_tradnl" w:eastAsia="es-ES_tradnl"/>
        </w:rPr>
      </w:pPr>
    </w:p>
    <w:p w14:paraId="04F04540" w14:textId="67474949" w:rsidR="00E20440" w:rsidRPr="00E20440" w:rsidRDefault="00E20440" w:rsidP="00E20440">
      <w:pPr>
        <w:spacing w:after="0"/>
        <w:jc w:val="both"/>
        <w:rPr>
          <w:rFonts w:ascii="Verdana" w:hAnsi="Verdana"/>
          <w:b/>
        </w:rPr>
      </w:pPr>
      <w:r w:rsidRPr="00E20440">
        <w:rPr>
          <w:rFonts w:ascii="Verdana" w:eastAsia="Times New Roman" w:hAnsi="Verdana" w:cs="Arial"/>
          <w:b/>
          <w:noProof/>
          <w:color w:val="000000"/>
          <w:lang w:val="es-ES_tradnl" w:eastAsia="es-ES_tradnl"/>
        </w:rPr>
        <w:t>CONTRATO DE PRESTACIÓN DE SERVICI</w:t>
      </w:r>
      <w:r>
        <w:rPr>
          <w:rFonts w:ascii="Verdana" w:eastAsia="Times New Roman" w:hAnsi="Verdana" w:cs="Arial"/>
          <w:b/>
          <w:noProof/>
          <w:color w:val="000000"/>
          <w:lang w:val="es-ES_tradnl" w:eastAsia="es-ES_tradnl"/>
        </w:rPr>
        <w:t>OS – Restricciones – Beneficios</w:t>
      </w:r>
    </w:p>
    <w:p w14:paraId="7E4EF85F" w14:textId="1E0BF2EF" w:rsidR="00E20440" w:rsidRDefault="00E20440" w:rsidP="002933DA">
      <w:pPr>
        <w:spacing w:after="0"/>
        <w:rPr>
          <w:rFonts w:ascii="Verdana" w:hAnsi="Verdana"/>
        </w:rPr>
      </w:pPr>
    </w:p>
    <w:p w14:paraId="5B595D43" w14:textId="62C792F8" w:rsidR="00E20440" w:rsidRPr="00E20440" w:rsidRDefault="00E20440" w:rsidP="00E20440">
      <w:pPr>
        <w:spacing w:after="0" w:line="240" w:lineRule="auto"/>
        <w:jc w:val="both"/>
        <w:rPr>
          <w:rFonts w:ascii="Verdana" w:hAnsi="Verdana"/>
          <w:sz w:val="20"/>
        </w:rPr>
      </w:pPr>
      <w:r w:rsidRPr="00E20440">
        <w:rPr>
          <w:rFonts w:ascii="Verdana" w:hAnsi="Verdana"/>
          <w:sz w:val="20"/>
        </w:rPr>
        <w:t>Teniendo en cuenta las particularidades y características de los contratos de prestación de servicios no puede asimilarse a una relación laboral que tiene los servidores públicos, ya sea una relación legal y reglamentaria como los empleados públicos, o los trabajadores mediante contratos de trabajo. Este aspecto es importante para comprender que los contratistas de prestación de servicios no tienen derecho al pago de prestaciones sociales ni beneficios en el marco del Sistema de Bienestar a los servidores públicos. En tal sentido, es pertinente precisar varios aspectos:</w:t>
      </w:r>
      <w:r>
        <w:rPr>
          <w:rFonts w:ascii="Verdana" w:hAnsi="Verdana"/>
          <w:sz w:val="20"/>
        </w:rPr>
        <w:t xml:space="preserve"> </w:t>
      </w:r>
      <w:r w:rsidRPr="00E20440">
        <w:rPr>
          <w:rFonts w:ascii="Verdana" w:hAnsi="Verdana"/>
          <w:sz w:val="20"/>
        </w:rPr>
        <w:t xml:space="preserve">En primer lugar, no hay una obligación legal de las entidades estatales de entregar dotación a los contratistas de prestación de servicios, pues esta es una prestación social que consiste en la entrega gratuita y material de un vestido y un calzado por parte de la entidad pública empleadora y para uso del servidor público en las funciones propias del empleo que ejerce, </w:t>
      </w:r>
      <w:proofErr w:type="gramStart"/>
      <w:r w:rsidRPr="00E20440">
        <w:rPr>
          <w:rFonts w:ascii="Verdana" w:hAnsi="Verdana"/>
          <w:sz w:val="20"/>
        </w:rPr>
        <w:t>de acuerdo a</w:t>
      </w:r>
      <w:proofErr w:type="gramEnd"/>
      <w:r w:rsidRPr="00E20440">
        <w:rPr>
          <w:rFonts w:ascii="Verdana" w:hAnsi="Verdana"/>
          <w:sz w:val="20"/>
        </w:rPr>
        <w:t xml:space="preserve"> lo prescrito en el artículo 1° de la Ley 70 de 1988. Esto, sin perjuicio de la posibilidad de entregar indumentarias o insumos a contratistas para que apoyen en el desarrollo de actividades misionales de la entidad. En segundo lugar, frente a la entrega de incentivos pecuniarios o no pecuniarios, es pertinente precisar que no es posible otorgar incentivos pecuniarios a los contratistas, esto es, reconocimientos económicos derivados de su desempeño, pues no puede comprenderse como servidores públicos, los cuales tienen derecho a incentivos, </w:t>
      </w:r>
      <w:proofErr w:type="gramStart"/>
      <w:r w:rsidRPr="00E20440">
        <w:rPr>
          <w:rFonts w:ascii="Verdana" w:hAnsi="Verdana"/>
          <w:sz w:val="20"/>
        </w:rPr>
        <w:t>de acuerdo a</w:t>
      </w:r>
      <w:proofErr w:type="gramEnd"/>
      <w:r w:rsidRPr="00E20440">
        <w:rPr>
          <w:rFonts w:ascii="Verdana" w:hAnsi="Verdana"/>
          <w:sz w:val="20"/>
        </w:rPr>
        <w:t xml:space="preserve"> las condiciones, limitaciones y prohibiciones dispuestas en el Decreto Ley 1567 de 1998. Con respectivo a los incentivos no pecuniarios, es importante revisar que estos no deben implicar compromisos presupuestales para la entrega de becas, financiación de investigaciones, entre otras, por el contrario, deben ser reconocimientos no económicos por el desempeño de sus actividades como contratistas de prestación de servicios. En tercer lugar, frente a las gratificaciones no debe confundirse con la </w:t>
      </w:r>
      <w:r w:rsidRPr="00E20440">
        <w:rPr>
          <w:rFonts w:ascii="Verdana" w:hAnsi="Verdana"/>
          <w:bCs/>
          <w:sz w:val="20"/>
        </w:rPr>
        <w:t>prima de navidad, que es una prestación social otorgada a los empleados públicos por la ley. Esto puede relacionarse con reconocimientos no económicos que se les brinda a empleados públicos, y eventualmente a contratistas en el desarrollo de diversas actividades.</w:t>
      </w:r>
    </w:p>
    <w:p w14:paraId="4B738B4C" w14:textId="4286708E" w:rsidR="00E20440" w:rsidRDefault="00E20440" w:rsidP="002933DA">
      <w:pPr>
        <w:spacing w:after="0"/>
        <w:rPr>
          <w:rFonts w:ascii="Verdana" w:hAnsi="Verdana"/>
        </w:rPr>
      </w:pPr>
    </w:p>
    <w:p w14:paraId="3A98CD61" w14:textId="77777777" w:rsidR="00E20440" w:rsidRDefault="00E20440" w:rsidP="002933DA">
      <w:pPr>
        <w:spacing w:after="0"/>
        <w:rPr>
          <w:rFonts w:ascii="Verdana" w:hAnsi="Verdana"/>
        </w:rPr>
      </w:pPr>
    </w:p>
    <w:p w14:paraId="7343FB38" w14:textId="6F6983DB" w:rsidR="002933DA" w:rsidRPr="006A0F21" w:rsidRDefault="00E20440" w:rsidP="002933DA">
      <w:pPr>
        <w:spacing w:after="0"/>
        <w:rPr>
          <w:rFonts w:ascii="Verdana" w:hAnsi="Verdana"/>
        </w:rPr>
      </w:pPr>
      <w:r w:rsidRPr="00E20440">
        <w:rPr>
          <w:rFonts w:eastAsia="Calibri" w:cs="Arial"/>
          <w:b/>
          <w:bCs/>
          <w:noProof/>
          <w:color w:val="000000"/>
          <w:szCs w:val="24"/>
          <w:lang w:val="en-US"/>
        </w:rPr>
        <w:lastRenderedPageBreak/>
        <w:drawing>
          <wp:anchor distT="0" distB="0" distL="114300" distR="114300" simplePos="0" relativeHeight="251658240" behindDoc="0" locked="0" layoutInCell="1" allowOverlap="1" wp14:anchorId="10141EEE" wp14:editId="087D40FF">
            <wp:simplePos x="0" y="0"/>
            <wp:positionH relativeFrom="margin">
              <wp:align>right</wp:align>
            </wp:positionH>
            <wp:positionV relativeFrom="paragraph">
              <wp:posOffset>100394</wp:posOffset>
            </wp:positionV>
            <wp:extent cx="2771775" cy="760095"/>
            <wp:effectExtent l="0" t="0" r="9525" b="190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1775" cy="760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hAnsi="Verdana"/>
        </w:rPr>
        <w:t>Bogotá D.C., 14 de agosto de 2025</w:t>
      </w:r>
      <w:r w:rsidR="002933DA" w:rsidRPr="0044528D">
        <w:rPr>
          <w:rFonts w:ascii="Verdana" w:hAnsi="Verdana"/>
        </w:rPr>
        <w:tab/>
      </w:r>
    </w:p>
    <w:p w14:paraId="120999D8" w14:textId="0C493456" w:rsidR="002933DA" w:rsidRPr="00037B4E" w:rsidRDefault="002933DA" w:rsidP="002933DA">
      <w:pPr>
        <w:spacing w:after="0" w:line="240" w:lineRule="auto"/>
        <w:rPr>
          <w:rFonts w:eastAsia="Calibri" w:cs="Arial"/>
          <w:b/>
          <w:bCs/>
          <w:color w:val="000000"/>
          <w:szCs w:val="24"/>
          <w:lang w:eastAsia="es-ES_tradnl"/>
        </w:rPr>
      </w:pPr>
    </w:p>
    <w:p w14:paraId="155FA8BF" w14:textId="218C8480" w:rsidR="002933DA" w:rsidRPr="006A0F21" w:rsidRDefault="002933DA" w:rsidP="002933DA">
      <w:pPr>
        <w:spacing w:after="0" w:line="240" w:lineRule="auto"/>
        <w:rPr>
          <w:rFonts w:eastAsia="Calibri" w:cs="Arial"/>
          <w:b/>
          <w:bCs/>
          <w:color w:val="000000"/>
          <w:szCs w:val="24"/>
          <w:lang w:val="es-ES" w:eastAsia="es-ES_tradnl"/>
        </w:rPr>
      </w:pPr>
    </w:p>
    <w:p w14:paraId="11D9607C" w14:textId="6F706CEE" w:rsidR="002933DA" w:rsidRPr="006A0F21" w:rsidRDefault="002933DA" w:rsidP="002933DA">
      <w:pPr>
        <w:spacing w:after="0" w:line="240" w:lineRule="auto"/>
        <w:rPr>
          <w:rFonts w:ascii="Verdana" w:eastAsia="Calibri" w:hAnsi="Verdana" w:cs="Times New Roman"/>
          <w:lang w:val="es-MX"/>
        </w:rPr>
      </w:pPr>
      <w:r w:rsidRPr="006A0F21">
        <w:rPr>
          <w:rFonts w:ascii="Verdana" w:eastAsia="Calibri" w:hAnsi="Verdana" w:cs="Times New Roman"/>
          <w:lang w:val="es-MX"/>
        </w:rPr>
        <w:t>Señor</w:t>
      </w:r>
    </w:p>
    <w:p w14:paraId="5B573842" w14:textId="4EC9ED3A" w:rsidR="002933DA" w:rsidRPr="006A0F21" w:rsidRDefault="002933DA" w:rsidP="002933DA">
      <w:pPr>
        <w:spacing w:after="0" w:line="240" w:lineRule="auto"/>
        <w:rPr>
          <w:rFonts w:ascii="Verdana" w:eastAsia="Calibri" w:hAnsi="Verdana" w:cs="Times New Roman"/>
          <w:b/>
          <w:lang w:val="es-MX"/>
        </w:rPr>
      </w:pPr>
      <w:r>
        <w:rPr>
          <w:rFonts w:ascii="Verdana" w:eastAsia="Calibri" w:hAnsi="Verdana" w:cs="Times New Roman"/>
          <w:b/>
          <w:lang w:val="es-MX"/>
        </w:rPr>
        <w:t xml:space="preserve">Miguel Hernando </w:t>
      </w:r>
      <w:proofErr w:type="spellStart"/>
      <w:r>
        <w:rPr>
          <w:rFonts w:ascii="Verdana" w:eastAsia="Calibri" w:hAnsi="Verdana" w:cs="Times New Roman"/>
          <w:b/>
          <w:lang w:val="es-MX"/>
        </w:rPr>
        <w:t>Avila</w:t>
      </w:r>
      <w:proofErr w:type="spellEnd"/>
      <w:r>
        <w:rPr>
          <w:rFonts w:ascii="Verdana" w:eastAsia="Calibri" w:hAnsi="Verdana" w:cs="Times New Roman"/>
          <w:b/>
          <w:lang w:val="es-MX"/>
        </w:rPr>
        <w:t xml:space="preserve"> Bruno</w:t>
      </w:r>
    </w:p>
    <w:p w14:paraId="3C161332" w14:textId="611C9ACB" w:rsidR="002933DA" w:rsidRPr="006A0F21" w:rsidRDefault="002933DA" w:rsidP="002933DA">
      <w:pPr>
        <w:spacing w:after="0" w:line="256" w:lineRule="auto"/>
        <w:rPr>
          <w:rFonts w:ascii="Verdana" w:eastAsia="Calibri" w:hAnsi="Verdana" w:cs="Times New Roman"/>
        </w:rPr>
      </w:pPr>
      <w:hyperlink r:id="rId12" w:history="1">
        <w:r w:rsidRPr="00426CE2">
          <w:rPr>
            <w:rStyle w:val="Hipervnculo"/>
            <w:rFonts w:ascii="Verdana" w:eastAsia="Calibri" w:hAnsi="Verdana" w:cs="Times New Roman"/>
          </w:rPr>
          <w:t>miguelavila2@gmail.com</w:t>
        </w:r>
      </w:hyperlink>
      <w:r>
        <w:rPr>
          <w:rFonts w:ascii="Verdana" w:eastAsia="Calibri" w:hAnsi="Verdana" w:cs="Times New Roman"/>
        </w:rPr>
        <w:t xml:space="preserve"> </w:t>
      </w:r>
    </w:p>
    <w:p w14:paraId="35EB2920" w14:textId="77777777" w:rsidR="002933DA" w:rsidRPr="006A0F21" w:rsidRDefault="002933DA" w:rsidP="002933DA">
      <w:pPr>
        <w:spacing w:after="0" w:line="240" w:lineRule="auto"/>
        <w:rPr>
          <w:rFonts w:ascii="Verdana" w:eastAsia="Calibri" w:hAnsi="Verdana" w:cs="Times New Roman"/>
        </w:rPr>
      </w:pPr>
      <w:r w:rsidRPr="006A0F21">
        <w:rPr>
          <w:rFonts w:ascii="Verdana" w:eastAsia="Calibri" w:hAnsi="Verdana" w:cs="Times New Roman"/>
        </w:rPr>
        <w:t>Bogotá D.C.</w:t>
      </w:r>
    </w:p>
    <w:p w14:paraId="199580CD" w14:textId="77777777" w:rsidR="002933DA" w:rsidRPr="006A0F21" w:rsidRDefault="002933DA" w:rsidP="002933DA">
      <w:pPr>
        <w:spacing w:after="0" w:line="256" w:lineRule="auto"/>
        <w:rPr>
          <w:rFonts w:ascii="Verdana" w:eastAsia="Calibri" w:hAnsi="Verdana" w:cs="Times New Roman"/>
        </w:rPr>
      </w:pPr>
    </w:p>
    <w:p w14:paraId="177AF997" w14:textId="77777777" w:rsidR="002933DA" w:rsidRPr="006A0F21" w:rsidRDefault="002933DA" w:rsidP="002933DA">
      <w:pPr>
        <w:spacing w:after="0" w:line="256" w:lineRule="auto"/>
        <w:rPr>
          <w:rFonts w:ascii="Verdana" w:eastAsia="Calibri" w:hAnsi="Verdana" w:cs="Times New Roman"/>
        </w:rPr>
      </w:pPr>
    </w:p>
    <w:p w14:paraId="63C5C369" w14:textId="77777777" w:rsidR="002933DA" w:rsidRPr="006A0F21" w:rsidRDefault="002933DA" w:rsidP="002933DA">
      <w:pPr>
        <w:spacing w:after="0" w:line="256" w:lineRule="auto"/>
        <w:rPr>
          <w:rFonts w:ascii="Verdana" w:eastAsia="Calibri" w:hAnsi="Verdana" w:cs="Times New Roman"/>
          <w:b/>
          <w:bCs/>
          <w:lang w:val="es-ES"/>
        </w:rPr>
      </w:pPr>
      <w:r w:rsidRPr="006A0F21">
        <w:rPr>
          <w:rFonts w:ascii="Verdana" w:eastAsia="Calibri" w:hAnsi="Verdana" w:cs="Times New Roman"/>
          <w:b/>
          <w:bCs/>
          <w:lang w:val="es-ES"/>
        </w:rPr>
        <w:t xml:space="preserve">                                    </w:t>
      </w:r>
      <w:r>
        <w:rPr>
          <w:rFonts w:ascii="Verdana" w:eastAsia="Calibri" w:hAnsi="Verdana" w:cs="Times New Roman"/>
          <w:b/>
          <w:bCs/>
          <w:lang w:val="es-ES"/>
        </w:rPr>
        <w:t>Concepto C–876</w:t>
      </w:r>
      <w:r w:rsidRPr="006A0F21">
        <w:rPr>
          <w:rFonts w:ascii="Verdana" w:eastAsia="Calibri" w:hAnsi="Verdana" w:cs="Times New Roman"/>
          <w:b/>
          <w:bCs/>
          <w:lang w:val="es-ES"/>
        </w:rPr>
        <w:t xml:space="preserve"> de 2025</w:t>
      </w:r>
    </w:p>
    <w:p w14:paraId="34E67DC5" w14:textId="77777777" w:rsidR="002933DA" w:rsidRPr="006A0F21" w:rsidRDefault="002933DA" w:rsidP="002933DA">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2933DA" w:rsidRPr="006A0F21" w14:paraId="10891F17" w14:textId="77777777" w:rsidTr="009C41F8">
        <w:trPr>
          <w:trHeight w:val="645"/>
        </w:trPr>
        <w:tc>
          <w:tcPr>
            <w:tcW w:w="2685" w:type="dxa"/>
            <w:hideMark/>
          </w:tcPr>
          <w:p w14:paraId="0973B441" w14:textId="77777777" w:rsidR="002933DA" w:rsidRPr="006A0F21" w:rsidRDefault="002933DA" w:rsidP="009C41F8">
            <w:pPr>
              <w:spacing w:line="256" w:lineRule="auto"/>
              <w:rPr>
                <w:rFonts w:ascii="Verdana" w:hAnsi="Verdana"/>
                <w:b/>
                <w:bCs/>
                <w:lang w:val="es-ES_tradnl"/>
              </w:rPr>
            </w:pPr>
            <w:r w:rsidRPr="006A0F21">
              <w:rPr>
                <w:rFonts w:ascii="Verdana" w:hAnsi="Verdana"/>
                <w:b/>
                <w:bCs/>
                <w:lang w:val="es-ES_tradnl"/>
              </w:rPr>
              <w:t xml:space="preserve">Temas:                   </w:t>
            </w:r>
          </w:p>
        </w:tc>
        <w:tc>
          <w:tcPr>
            <w:tcW w:w="6241" w:type="dxa"/>
            <w:hideMark/>
          </w:tcPr>
          <w:p w14:paraId="36D6D23E" w14:textId="77777777" w:rsidR="002933DA" w:rsidRPr="006A0F21" w:rsidRDefault="002933DA" w:rsidP="009C41F8">
            <w:pPr>
              <w:spacing w:line="276" w:lineRule="auto"/>
              <w:jc w:val="both"/>
              <w:rPr>
                <w:rFonts w:ascii="Verdana" w:eastAsia="Times New Roman" w:hAnsi="Verdana" w:cs="Arial"/>
                <w:color w:val="000000"/>
                <w:lang w:eastAsia="es-ES"/>
              </w:rPr>
            </w:pPr>
            <w:r w:rsidRPr="006F67B5">
              <w:rPr>
                <w:rFonts w:ascii="Verdana" w:eastAsia="Times New Roman" w:hAnsi="Verdana" w:cs="Arial"/>
                <w:noProof/>
                <w:color w:val="000000"/>
                <w:lang w:eastAsia="es-ES_tradnl"/>
              </w:rPr>
              <w:t>CONTRATO DE PRESTACIÓN DE SERVICIOS – Concepto CONTRATO DE PRESTACIÓN DE SERVICIOS - Características</w:t>
            </w:r>
            <w:r w:rsidRPr="006F67B5">
              <w:rPr>
                <w:rFonts w:ascii="Verdana" w:eastAsia="Times New Roman" w:hAnsi="Verdana" w:cs="Arial"/>
                <w:noProof/>
                <w:color w:val="000000"/>
                <w:lang w:val="es-ES_tradnl" w:eastAsia="es-ES_tradnl"/>
              </w:rPr>
              <w:t xml:space="preserve"> </w:t>
            </w:r>
            <w:r>
              <w:rPr>
                <w:rFonts w:ascii="Verdana" w:eastAsia="Times New Roman" w:hAnsi="Verdana" w:cs="Arial"/>
                <w:noProof/>
                <w:color w:val="000000"/>
                <w:lang w:val="es-ES_tradnl" w:eastAsia="es-ES_tradnl"/>
              </w:rPr>
              <w:t xml:space="preserve">/ CONTRATOS DE PRESTACIÓN DE SERVICIOS – Diferencias – Relación Laboral / CONTRATO DE PRESTACIÓN DE SERVICIOS – Restricciones – Beneficios. </w:t>
            </w:r>
          </w:p>
        </w:tc>
        <w:tc>
          <w:tcPr>
            <w:tcW w:w="6237" w:type="dxa"/>
          </w:tcPr>
          <w:p w14:paraId="6A4C69F0" w14:textId="7437EFC0" w:rsidR="002933DA" w:rsidRPr="006A0F21" w:rsidRDefault="00E20440" w:rsidP="009C41F8">
            <w:pPr>
              <w:spacing w:line="256" w:lineRule="auto"/>
              <w:rPr>
                <w:rFonts w:ascii="Verdana" w:hAnsi="Verdana"/>
              </w:rPr>
            </w:pPr>
            <w:r>
              <w:rPr>
                <w:rFonts w:ascii="Verdana" w:hAnsi="Verdana"/>
              </w:rPr>
              <w:t xml:space="preserve">/ </w:t>
            </w:r>
          </w:p>
        </w:tc>
      </w:tr>
      <w:tr w:rsidR="002933DA" w:rsidRPr="006A0F21" w14:paraId="34749305" w14:textId="77777777" w:rsidTr="009C41F8">
        <w:tc>
          <w:tcPr>
            <w:tcW w:w="2685" w:type="dxa"/>
          </w:tcPr>
          <w:p w14:paraId="777A7557" w14:textId="77777777" w:rsidR="002933DA" w:rsidRPr="006A0F21" w:rsidRDefault="002933DA" w:rsidP="009C41F8">
            <w:pPr>
              <w:spacing w:line="256" w:lineRule="auto"/>
              <w:rPr>
                <w:rFonts w:ascii="Verdana" w:hAnsi="Verdana"/>
                <w:lang w:val="es-ES_tradnl"/>
              </w:rPr>
            </w:pPr>
          </w:p>
          <w:p w14:paraId="2FF48F74" w14:textId="77777777" w:rsidR="002933DA" w:rsidRPr="006A0F21" w:rsidRDefault="002933DA" w:rsidP="009C41F8">
            <w:pPr>
              <w:spacing w:line="256" w:lineRule="auto"/>
              <w:rPr>
                <w:rFonts w:ascii="Verdana" w:hAnsi="Verdana"/>
                <w:b/>
                <w:bCs/>
                <w:lang w:val="es-ES_tradnl"/>
              </w:rPr>
            </w:pPr>
            <w:r w:rsidRPr="006A0F21">
              <w:rPr>
                <w:rFonts w:ascii="Verdana" w:hAnsi="Verdana"/>
                <w:b/>
                <w:bCs/>
                <w:lang w:val="es-ES_tradnl"/>
              </w:rPr>
              <w:t xml:space="preserve">Radicación:               </w:t>
            </w:r>
          </w:p>
        </w:tc>
        <w:tc>
          <w:tcPr>
            <w:tcW w:w="6241" w:type="dxa"/>
          </w:tcPr>
          <w:p w14:paraId="543030ED" w14:textId="77777777" w:rsidR="002933DA" w:rsidRPr="006A0F21" w:rsidRDefault="002933DA" w:rsidP="009C41F8">
            <w:pPr>
              <w:spacing w:line="276" w:lineRule="auto"/>
              <w:rPr>
                <w:rFonts w:ascii="Verdana" w:hAnsi="Verdana"/>
                <w:lang w:val="es-ES_tradnl"/>
              </w:rPr>
            </w:pPr>
          </w:p>
          <w:p w14:paraId="57D1E17E" w14:textId="77777777" w:rsidR="002933DA" w:rsidRPr="006A0F21" w:rsidRDefault="002933DA" w:rsidP="009C41F8">
            <w:pPr>
              <w:spacing w:line="276" w:lineRule="auto"/>
              <w:jc w:val="both"/>
              <w:rPr>
                <w:rFonts w:ascii="Verdana" w:hAnsi="Verdana"/>
              </w:rPr>
            </w:pPr>
            <w:r w:rsidRPr="006A0F21">
              <w:rPr>
                <w:rFonts w:ascii="Verdana" w:hAnsi="Verdana"/>
                <w:lang w:val="es-ES_tradnl"/>
              </w:rPr>
              <w:t xml:space="preserve">Respuesta a consulta con radicado No. </w:t>
            </w:r>
            <w:r w:rsidRPr="00F937A9">
              <w:rPr>
                <w:rFonts w:ascii="Verdana" w:hAnsi="Verdana"/>
              </w:rPr>
              <w:t>1_2025_07_03_006634</w:t>
            </w:r>
            <w:r w:rsidRPr="006A0F21">
              <w:rPr>
                <w:rFonts w:ascii="Verdana" w:hAnsi="Verdana"/>
              </w:rPr>
              <w:t xml:space="preserve"> </w:t>
            </w:r>
          </w:p>
          <w:p w14:paraId="29C4801B" w14:textId="77777777" w:rsidR="002933DA" w:rsidRPr="006A0F21" w:rsidRDefault="002933DA" w:rsidP="009C41F8">
            <w:pPr>
              <w:spacing w:line="276" w:lineRule="auto"/>
              <w:jc w:val="both"/>
              <w:rPr>
                <w:rFonts w:ascii="Verdana" w:hAnsi="Verdana"/>
              </w:rPr>
            </w:pPr>
          </w:p>
          <w:p w14:paraId="727363C6" w14:textId="77777777" w:rsidR="002933DA" w:rsidRPr="006A0F21" w:rsidRDefault="002933DA" w:rsidP="009C41F8">
            <w:pPr>
              <w:spacing w:line="276" w:lineRule="auto"/>
              <w:jc w:val="both"/>
              <w:rPr>
                <w:rFonts w:ascii="Verdana" w:hAnsi="Verdana"/>
              </w:rPr>
            </w:pPr>
          </w:p>
        </w:tc>
        <w:tc>
          <w:tcPr>
            <w:tcW w:w="6237" w:type="dxa"/>
          </w:tcPr>
          <w:p w14:paraId="4FC78636" w14:textId="77777777" w:rsidR="002933DA" w:rsidRPr="006A0F21" w:rsidRDefault="002933DA" w:rsidP="009C41F8">
            <w:pPr>
              <w:spacing w:line="256" w:lineRule="auto"/>
              <w:rPr>
                <w:rFonts w:ascii="Verdana" w:hAnsi="Verdana"/>
                <w:lang w:val="es-ES_tradnl"/>
              </w:rPr>
            </w:pPr>
          </w:p>
        </w:tc>
      </w:tr>
    </w:tbl>
    <w:p w14:paraId="7738F2A4" w14:textId="77777777" w:rsidR="002933DA" w:rsidRDefault="002933DA" w:rsidP="002933DA">
      <w:pPr>
        <w:spacing w:after="0" w:line="276" w:lineRule="auto"/>
        <w:jc w:val="both"/>
        <w:rPr>
          <w:rFonts w:ascii="Verdana" w:eastAsia="Calibri" w:hAnsi="Verdana" w:cs="Times New Roman"/>
          <w:lang w:val="es-ES"/>
        </w:rPr>
      </w:pPr>
      <w:r>
        <w:rPr>
          <w:rFonts w:ascii="Verdana" w:eastAsia="Calibri" w:hAnsi="Verdana" w:cs="Times New Roman"/>
          <w:lang w:val="es-ES"/>
        </w:rPr>
        <w:t>Estimado Señor Miguel:</w:t>
      </w:r>
    </w:p>
    <w:p w14:paraId="5EC176E3" w14:textId="77777777" w:rsidR="002933DA" w:rsidRDefault="002933DA" w:rsidP="002933DA">
      <w:pPr>
        <w:spacing w:after="0" w:line="276" w:lineRule="auto"/>
        <w:jc w:val="both"/>
        <w:rPr>
          <w:rFonts w:ascii="Verdana" w:eastAsia="Calibri" w:hAnsi="Verdana" w:cs="Times New Roman"/>
          <w:lang w:val="es-ES"/>
        </w:rPr>
      </w:pPr>
    </w:p>
    <w:p w14:paraId="3EFABF4D" w14:textId="77777777" w:rsidR="002933DA" w:rsidRDefault="002933DA" w:rsidP="002933DA">
      <w:pPr>
        <w:spacing w:after="0" w:line="276" w:lineRule="auto"/>
        <w:jc w:val="both"/>
        <w:rPr>
          <w:rFonts w:ascii="Verdana" w:eastAsia="Calibri" w:hAnsi="Verdana" w:cs="Times New Roman"/>
        </w:rPr>
      </w:pPr>
      <w:r w:rsidRPr="00A12061">
        <w:rPr>
          <w:rFonts w:ascii="Verdana" w:eastAsia="Calibri" w:hAnsi="Verdana" w:cs="Times New Roman"/>
          <w:lang w:val="es-ES"/>
        </w:rPr>
        <w:t>En ejercicio de la competencia otorgada por los artículos 3, numeral 5º, y 11, numeral 8º, del Decreto Ley 4170 de 2011, la Agencia Nacional de Contratación Pública – Colombia Compra Eficiente– responde la solicit</w:t>
      </w:r>
      <w:r>
        <w:rPr>
          <w:rFonts w:ascii="Verdana" w:eastAsia="Calibri" w:hAnsi="Verdana" w:cs="Times New Roman"/>
          <w:lang w:val="es-ES"/>
        </w:rPr>
        <w:t>ud de consulta presentada el 3 de julio de 2025, en la cual manifiesta</w:t>
      </w:r>
      <w:r w:rsidRPr="00A12061">
        <w:rPr>
          <w:rFonts w:ascii="Verdana" w:eastAsia="Calibri" w:hAnsi="Verdana" w:cs="Times New Roman"/>
          <w:lang w:val="es-ES"/>
        </w:rPr>
        <w:t>:</w:t>
      </w:r>
      <w:r w:rsidRPr="000D6D0E">
        <w:rPr>
          <w:rFonts w:ascii="Verdana" w:eastAsia="Calibri" w:hAnsi="Verdana" w:cs="Times New Roman"/>
        </w:rPr>
        <w:t xml:space="preserve"> </w:t>
      </w:r>
    </w:p>
    <w:p w14:paraId="3489C8D6" w14:textId="77777777" w:rsidR="002933DA" w:rsidRPr="004252BF" w:rsidRDefault="002933DA" w:rsidP="002933DA">
      <w:pPr>
        <w:spacing w:after="0" w:line="240" w:lineRule="auto"/>
        <w:ind w:right="709"/>
        <w:jc w:val="both"/>
        <w:rPr>
          <w:rFonts w:ascii="Verdana" w:eastAsia="Calibri" w:hAnsi="Verdana" w:cs="Times New Roman"/>
          <w:iCs/>
          <w:sz w:val="20"/>
        </w:rPr>
      </w:pPr>
    </w:p>
    <w:p w14:paraId="24EA87BF" w14:textId="77777777" w:rsidR="002933DA" w:rsidRDefault="002933DA" w:rsidP="002933DA">
      <w:pPr>
        <w:pStyle w:val="Prrafodelista"/>
        <w:spacing w:line="240" w:lineRule="auto"/>
        <w:ind w:right="709"/>
        <w:jc w:val="both"/>
        <w:rPr>
          <w:rFonts w:ascii="Verdana" w:eastAsia="Calibri" w:hAnsi="Verdana" w:cs="Times New Roman"/>
          <w:iCs/>
          <w:sz w:val="20"/>
          <w:szCs w:val="20"/>
          <w:lang w:val="es-CO"/>
        </w:rPr>
      </w:pPr>
      <w:r w:rsidRPr="004252BF">
        <w:rPr>
          <w:rFonts w:ascii="Verdana" w:eastAsia="Calibri" w:hAnsi="Verdana" w:cs="Times New Roman"/>
          <w:iCs/>
          <w:sz w:val="20"/>
          <w:szCs w:val="20"/>
        </w:rPr>
        <w:t>“</w:t>
      </w:r>
      <w:r w:rsidRPr="006324A2">
        <w:rPr>
          <w:rFonts w:ascii="Verdana" w:eastAsia="Calibri" w:hAnsi="Verdana" w:cs="Times New Roman"/>
          <w:iCs/>
          <w:sz w:val="20"/>
          <w:szCs w:val="20"/>
          <w:lang w:val="es-CO"/>
        </w:rPr>
        <w:t>1. En el marco de las normas que rigen la contratación pública en C</w:t>
      </w:r>
      <w:r>
        <w:rPr>
          <w:rFonts w:ascii="Verdana" w:eastAsia="Calibri" w:hAnsi="Verdana" w:cs="Times New Roman"/>
          <w:iCs/>
          <w:sz w:val="20"/>
          <w:szCs w:val="20"/>
          <w:lang w:val="es-CO"/>
        </w:rPr>
        <w:t xml:space="preserve">olombia, ¿es </w:t>
      </w:r>
      <w:r w:rsidRPr="006324A2">
        <w:rPr>
          <w:rFonts w:ascii="Verdana" w:eastAsia="Calibri" w:hAnsi="Verdana" w:cs="Times New Roman"/>
          <w:iCs/>
          <w:sz w:val="20"/>
          <w:szCs w:val="20"/>
          <w:lang w:val="es-CO"/>
        </w:rPr>
        <w:t>procedente o existen directrices que permitan a las entidades estatales contratar y</w:t>
      </w:r>
      <w:r>
        <w:rPr>
          <w:rFonts w:ascii="Verdana" w:eastAsia="Calibri" w:hAnsi="Verdana" w:cs="Times New Roman"/>
          <w:iCs/>
          <w:sz w:val="20"/>
          <w:szCs w:val="20"/>
          <w:lang w:val="es-CO"/>
        </w:rPr>
        <w:t xml:space="preserve"> </w:t>
      </w:r>
      <w:r w:rsidRPr="006324A2">
        <w:rPr>
          <w:rFonts w:ascii="Verdana" w:eastAsia="Calibri" w:hAnsi="Verdana" w:cs="Times New Roman"/>
          <w:iCs/>
          <w:sz w:val="20"/>
          <w:szCs w:val="20"/>
          <w:lang w:val="es-CO"/>
        </w:rPr>
        <w:t>entregar dotación (tales como uniformes, camisetas, chaquetas o botas) a personas</w:t>
      </w:r>
      <w:r>
        <w:rPr>
          <w:rFonts w:ascii="Verdana" w:eastAsia="Calibri" w:hAnsi="Verdana" w:cs="Times New Roman"/>
          <w:iCs/>
          <w:sz w:val="20"/>
          <w:szCs w:val="20"/>
          <w:lang w:val="es-CO"/>
        </w:rPr>
        <w:t xml:space="preserve"> </w:t>
      </w:r>
      <w:r w:rsidRPr="006324A2">
        <w:rPr>
          <w:rFonts w:ascii="Verdana" w:eastAsia="Calibri" w:hAnsi="Verdana" w:cs="Times New Roman"/>
          <w:iCs/>
          <w:sz w:val="20"/>
          <w:szCs w:val="20"/>
          <w:lang w:val="es-CO"/>
        </w:rPr>
        <w:t>naturales vinculadas a la entidad bajo la modalidad de contrato de prestación de</w:t>
      </w:r>
      <w:r>
        <w:rPr>
          <w:rFonts w:ascii="Verdana" w:eastAsia="Calibri" w:hAnsi="Verdana" w:cs="Times New Roman"/>
          <w:iCs/>
          <w:sz w:val="20"/>
          <w:szCs w:val="20"/>
          <w:lang w:val="es-CO"/>
        </w:rPr>
        <w:t xml:space="preserve"> </w:t>
      </w:r>
      <w:r w:rsidRPr="006324A2">
        <w:rPr>
          <w:rFonts w:ascii="Verdana" w:eastAsia="Calibri" w:hAnsi="Verdana" w:cs="Times New Roman"/>
          <w:iCs/>
          <w:sz w:val="20"/>
          <w:szCs w:val="20"/>
          <w:lang w:val="es-CO"/>
        </w:rPr>
        <w:t>servicios, o existen impedimentos legales para la destinación de recursos públicos</w:t>
      </w:r>
      <w:r>
        <w:rPr>
          <w:rFonts w:ascii="Verdana" w:eastAsia="Calibri" w:hAnsi="Verdana" w:cs="Times New Roman"/>
          <w:iCs/>
          <w:sz w:val="20"/>
          <w:szCs w:val="20"/>
          <w:lang w:val="es-CO"/>
        </w:rPr>
        <w:t xml:space="preserve"> </w:t>
      </w:r>
      <w:r w:rsidRPr="006324A2">
        <w:rPr>
          <w:rFonts w:ascii="Verdana" w:eastAsia="Calibri" w:hAnsi="Verdana" w:cs="Times New Roman"/>
          <w:iCs/>
          <w:sz w:val="20"/>
          <w:szCs w:val="20"/>
          <w:lang w:val="es-CO"/>
        </w:rPr>
        <w:t>a este fin?</w:t>
      </w:r>
    </w:p>
    <w:p w14:paraId="5466613C" w14:textId="77777777" w:rsidR="002933DA" w:rsidRPr="006324A2" w:rsidRDefault="002933DA" w:rsidP="002933DA">
      <w:pPr>
        <w:pStyle w:val="Prrafodelista"/>
        <w:spacing w:line="240" w:lineRule="auto"/>
        <w:ind w:right="709"/>
        <w:jc w:val="both"/>
        <w:rPr>
          <w:rFonts w:ascii="Verdana" w:eastAsia="Calibri" w:hAnsi="Verdana" w:cs="Times New Roman"/>
          <w:iCs/>
          <w:sz w:val="20"/>
          <w:szCs w:val="20"/>
          <w:lang w:val="es-CO"/>
        </w:rPr>
      </w:pPr>
    </w:p>
    <w:p w14:paraId="76AD1322" w14:textId="77777777" w:rsidR="002933DA" w:rsidRPr="006324A2" w:rsidRDefault="002933DA" w:rsidP="002933DA">
      <w:pPr>
        <w:pStyle w:val="Prrafodelista"/>
        <w:spacing w:line="240" w:lineRule="auto"/>
        <w:ind w:right="709"/>
        <w:jc w:val="both"/>
        <w:rPr>
          <w:rFonts w:ascii="Verdana" w:eastAsia="Calibri" w:hAnsi="Verdana" w:cs="Times New Roman"/>
          <w:iCs/>
          <w:sz w:val="20"/>
          <w:szCs w:val="20"/>
          <w:lang w:val="es-CO"/>
        </w:rPr>
      </w:pPr>
      <w:r w:rsidRPr="006324A2">
        <w:rPr>
          <w:rFonts w:ascii="Verdana" w:eastAsia="Calibri" w:hAnsi="Verdana" w:cs="Times New Roman"/>
          <w:iCs/>
          <w:sz w:val="20"/>
          <w:szCs w:val="20"/>
          <w:lang w:val="es-CO"/>
        </w:rPr>
        <w:t>2. ¿Existen en el marco normativo de la contratación pública colombiana</w:t>
      </w:r>
    </w:p>
    <w:p w14:paraId="68C40579" w14:textId="77777777" w:rsidR="002933DA" w:rsidRPr="006324A2" w:rsidRDefault="002933DA" w:rsidP="002933DA">
      <w:pPr>
        <w:pStyle w:val="Prrafodelista"/>
        <w:spacing w:line="240" w:lineRule="auto"/>
        <w:ind w:right="709"/>
        <w:jc w:val="both"/>
        <w:rPr>
          <w:rFonts w:ascii="Verdana" w:eastAsia="Calibri" w:hAnsi="Verdana" w:cs="Times New Roman"/>
          <w:iCs/>
          <w:sz w:val="20"/>
          <w:szCs w:val="20"/>
          <w:lang w:val="es-CO"/>
        </w:rPr>
      </w:pPr>
      <w:r w:rsidRPr="006324A2">
        <w:rPr>
          <w:rFonts w:ascii="Verdana" w:eastAsia="Calibri" w:hAnsi="Verdana" w:cs="Times New Roman"/>
          <w:iCs/>
          <w:sz w:val="20"/>
          <w:szCs w:val="20"/>
          <w:lang w:val="es-CO"/>
        </w:rPr>
        <w:t>disposiciones que regulen, permitan o prohíb</w:t>
      </w:r>
      <w:r>
        <w:rPr>
          <w:rFonts w:ascii="Verdana" w:eastAsia="Calibri" w:hAnsi="Verdana" w:cs="Times New Roman"/>
          <w:iCs/>
          <w:sz w:val="20"/>
          <w:szCs w:val="20"/>
          <w:lang w:val="es-CO"/>
        </w:rPr>
        <w:t xml:space="preserve">an a las entidades estatales la </w:t>
      </w:r>
      <w:r w:rsidRPr="006324A2">
        <w:rPr>
          <w:rFonts w:ascii="Verdana" w:eastAsia="Calibri" w:hAnsi="Verdana" w:cs="Times New Roman"/>
          <w:iCs/>
          <w:sz w:val="20"/>
          <w:szCs w:val="20"/>
          <w:lang w:val="es-CO"/>
        </w:rPr>
        <w:t>contratación de bienes o servicios destinados a la entrega de incentivos,</w:t>
      </w:r>
    </w:p>
    <w:p w14:paraId="4312D231" w14:textId="77777777" w:rsidR="002933DA" w:rsidRPr="006324A2" w:rsidRDefault="002933DA" w:rsidP="002933DA">
      <w:pPr>
        <w:pStyle w:val="Prrafodelista"/>
        <w:spacing w:line="240" w:lineRule="auto"/>
        <w:ind w:right="709"/>
        <w:jc w:val="both"/>
        <w:rPr>
          <w:rFonts w:ascii="Verdana" w:eastAsia="Calibri" w:hAnsi="Verdana" w:cs="Times New Roman"/>
          <w:iCs/>
          <w:sz w:val="20"/>
          <w:szCs w:val="20"/>
          <w:lang w:val="es-CO"/>
        </w:rPr>
      </w:pPr>
      <w:r w:rsidRPr="006324A2">
        <w:rPr>
          <w:rFonts w:ascii="Verdana" w:eastAsia="Calibri" w:hAnsi="Verdana" w:cs="Times New Roman"/>
          <w:iCs/>
          <w:sz w:val="20"/>
          <w:szCs w:val="20"/>
          <w:lang w:val="es-CO"/>
        </w:rPr>
        <w:t>gratificaciones o 'aguinaldos' a los hijos de sus funci</w:t>
      </w:r>
      <w:r>
        <w:rPr>
          <w:rFonts w:ascii="Verdana" w:eastAsia="Calibri" w:hAnsi="Verdana" w:cs="Times New Roman"/>
          <w:iCs/>
          <w:sz w:val="20"/>
          <w:szCs w:val="20"/>
          <w:lang w:val="es-CO"/>
        </w:rPr>
        <w:t xml:space="preserve">onarios y/o contratistas, en el </w:t>
      </w:r>
      <w:r w:rsidRPr="006324A2">
        <w:rPr>
          <w:rFonts w:ascii="Verdana" w:eastAsia="Calibri" w:hAnsi="Verdana" w:cs="Times New Roman"/>
          <w:iCs/>
          <w:sz w:val="20"/>
          <w:szCs w:val="20"/>
          <w:lang w:val="es-CO"/>
        </w:rPr>
        <w:t xml:space="preserve">contexto de las festividades de fin de año, considerando </w:t>
      </w:r>
      <w:r w:rsidRPr="006324A2">
        <w:rPr>
          <w:rFonts w:ascii="Verdana" w:eastAsia="Calibri" w:hAnsi="Verdana" w:cs="Times New Roman"/>
          <w:iCs/>
          <w:sz w:val="20"/>
          <w:szCs w:val="20"/>
          <w:lang w:val="es-CO"/>
        </w:rPr>
        <w:lastRenderedPageBreak/>
        <w:t>las limitaciones en el gasto</w:t>
      </w:r>
      <w:r>
        <w:rPr>
          <w:rFonts w:ascii="Verdana" w:eastAsia="Calibri" w:hAnsi="Verdana" w:cs="Times New Roman"/>
          <w:iCs/>
          <w:sz w:val="20"/>
          <w:szCs w:val="20"/>
          <w:lang w:val="es-CO"/>
        </w:rPr>
        <w:t xml:space="preserve"> </w:t>
      </w:r>
      <w:r w:rsidRPr="006324A2">
        <w:rPr>
          <w:rFonts w:ascii="Verdana" w:eastAsia="Calibri" w:hAnsi="Verdana" w:cs="Times New Roman"/>
          <w:iCs/>
          <w:sz w:val="20"/>
          <w:szCs w:val="20"/>
          <w:lang w:val="es-CO"/>
        </w:rPr>
        <w:t>público y los princip</w:t>
      </w:r>
      <w:r>
        <w:rPr>
          <w:rFonts w:ascii="Verdana" w:eastAsia="Calibri" w:hAnsi="Verdana" w:cs="Times New Roman"/>
          <w:iCs/>
          <w:sz w:val="20"/>
          <w:szCs w:val="20"/>
          <w:lang w:val="es-CO"/>
        </w:rPr>
        <w:t>ios de la contratación estatal?”</w:t>
      </w:r>
    </w:p>
    <w:p w14:paraId="44167678" w14:textId="77777777" w:rsidR="002933DA" w:rsidRPr="0038606D" w:rsidRDefault="002933DA" w:rsidP="002933DA">
      <w:pPr>
        <w:spacing w:after="0" w:line="240" w:lineRule="auto"/>
        <w:ind w:right="709"/>
        <w:jc w:val="both"/>
        <w:rPr>
          <w:rFonts w:ascii="Verdana" w:eastAsia="Calibri" w:hAnsi="Verdana" w:cs="Times New Roman"/>
          <w:i/>
          <w:iCs/>
          <w:sz w:val="20"/>
        </w:rPr>
      </w:pPr>
    </w:p>
    <w:p w14:paraId="2CCBBD2D" w14:textId="77777777" w:rsidR="002933DA" w:rsidRPr="00A12CB6" w:rsidRDefault="002933DA" w:rsidP="002933DA">
      <w:pPr>
        <w:spacing w:after="120" w:line="276" w:lineRule="auto"/>
        <w:ind w:firstLine="709"/>
        <w:jc w:val="both"/>
        <w:rPr>
          <w:rFonts w:ascii="Verdana" w:eastAsia="Calibri" w:hAnsi="Verdana" w:cs="Times New Roman"/>
          <w:lang w:val="es-ES"/>
        </w:rPr>
      </w:pPr>
      <w:r w:rsidRPr="00A12CB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F252A30" w14:textId="77777777" w:rsidR="002933DA" w:rsidRPr="00A12CB6" w:rsidRDefault="002933DA" w:rsidP="002933DA">
      <w:pPr>
        <w:spacing w:after="0" w:line="276" w:lineRule="auto"/>
        <w:ind w:firstLine="708"/>
        <w:jc w:val="both"/>
        <w:rPr>
          <w:rFonts w:ascii="Verdana" w:eastAsia="Calibri" w:hAnsi="Verdana" w:cs="Times New Roman"/>
          <w:lang w:val="es-ES"/>
        </w:rPr>
      </w:pPr>
      <w:r w:rsidRPr="00A12CB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w:t>
      </w:r>
      <w:r>
        <w:rPr>
          <w:rFonts w:ascii="Verdana" w:eastAsia="Calibri" w:hAnsi="Verdana" w:cs="Times New Roman"/>
          <w:lang w:val="es-ES"/>
        </w:rPr>
        <w:t xml:space="preserve">s generales relacionadas con los problemas jurídicos de su consulta. </w:t>
      </w:r>
    </w:p>
    <w:p w14:paraId="6FD027CF" w14:textId="77777777" w:rsidR="002933DA" w:rsidRPr="00A12CB6" w:rsidRDefault="002933DA" w:rsidP="002933DA">
      <w:pPr>
        <w:spacing w:after="0" w:line="256" w:lineRule="auto"/>
        <w:rPr>
          <w:rFonts w:ascii="Verdana" w:eastAsia="Calibri" w:hAnsi="Verdana" w:cs="Times New Roman"/>
          <w:lang w:val="es-ES"/>
        </w:rPr>
      </w:pPr>
    </w:p>
    <w:p w14:paraId="1F942F21" w14:textId="77777777" w:rsidR="002933DA" w:rsidRPr="00A12CB6" w:rsidRDefault="002933DA" w:rsidP="002933DA">
      <w:pPr>
        <w:numPr>
          <w:ilvl w:val="0"/>
          <w:numId w:val="19"/>
        </w:numPr>
        <w:spacing w:after="0" w:line="256" w:lineRule="auto"/>
        <w:contextualSpacing/>
        <w:rPr>
          <w:rFonts w:ascii="Verdana" w:eastAsia="Calibri" w:hAnsi="Verdana" w:cs="Times New Roman"/>
          <w:b/>
          <w:bCs/>
          <w:lang w:val="es-ES"/>
        </w:rPr>
      </w:pPr>
      <w:r w:rsidRPr="00A12CB6">
        <w:rPr>
          <w:rFonts w:ascii="Verdana" w:eastAsia="Calibri" w:hAnsi="Verdana" w:cs="Times New Roman"/>
          <w:b/>
          <w:bCs/>
          <w:lang w:val="es-ES"/>
        </w:rPr>
        <w:t>Problema planteado:</w:t>
      </w:r>
    </w:p>
    <w:p w14:paraId="12E0D371" w14:textId="77777777" w:rsidR="002933DA" w:rsidRPr="00A12CB6" w:rsidRDefault="002933DA" w:rsidP="002933DA">
      <w:pPr>
        <w:spacing w:after="0" w:line="256" w:lineRule="auto"/>
        <w:rPr>
          <w:rFonts w:ascii="Verdana" w:eastAsia="Calibri" w:hAnsi="Verdana" w:cs="Times New Roman"/>
        </w:rPr>
      </w:pPr>
    </w:p>
    <w:p w14:paraId="561C5058" w14:textId="77777777" w:rsidR="002933DA" w:rsidRPr="006324A2" w:rsidRDefault="002933DA" w:rsidP="002933DA">
      <w:pPr>
        <w:spacing w:after="0" w:line="276" w:lineRule="auto"/>
        <w:jc w:val="both"/>
        <w:rPr>
          <w:rFonts w:ascii="Verdana" w:eastAsia="Calibri" w:hAnsi="Verdana" w:cs="Times New Roman"/>
          <w:iCs/>
        </w:rPr>
      </w:pPr>
      <w:r w:rsidRPr="134495F9">
        <w:rPr>
          <w:rFonts w:ascii="Verdana" w:eastAsia="Calibri" w:hAnsi="Verdana" w:cs="Times New Roman"/>
        </w:rPr>
        <w:t>De acuerdo con el contenido de sus solicitudes, esta Agencia procede a resolver</w:t>
      </w:r>
      <w:r>
        <w:rPr>
          <w:rFonts w:ascii="Verdana" w:eastAsia="Calibri" w:hAnsi="Verdana" w:cs="Times New Roman"/>
        </w:rPr>
        <w:t xml:space="preserve"> el siguiente problema jurídico: </w:t>
      </w:r>
      <w:r>
        <w:rPr>
          <w:rFonts w:ascii="Verdana" w:eastAsia="Calibri" w:hAnsi="Verdana" w:cs="Times New Roman"/>
          <w:iCs/>
        </w:rPr>
        <w:t>¿E</w:t>
      </w:r>
      <w:r w:rsidRPr="006324A2">
        <w:rPr>
          <w:rFonts w:ascii="Verdana" w:eastAsia="Calibri" w:hAnsi="Verdana" w:cs="Times New Roman"/>
          <w:iCs/>
        </w:rPr>
        <w:t xml:space="preserve">s procedente </w:t>
      </w:r>
      <w:r>
        <w:rPr>
          <w:rFonts w:ascii="Verdana" w:eastAsia="Calibri" w:hAnsi="Verdana" w:cs="Times New Roman"/>
          <w:iCs/>
        </w:rPr>
        <w:t xml:space="preserve">que </w:t>
      </w:r>
      <w:r w:rsidRPr="006324A2">
        <w:rPr>
          <w:rFonts w:ascii="Verdana" w:eastAsia="Calibri" w:hAnsi="Verdana" w:cs="Times New Roman"/>
          <w:iCs/>
        </w:rPr>
        <w:t>l</w:t>
      </w:r>
      <w:r>
        <w:rPr>
          <w:rFonts w:ascii="Verdana" w:eastAsia="Calibri" w:hAnsi="Verdana" w:cs="Times New Roman"/>
          <w:iCs/>
        </w:rPr>
        <w:t xml:space="preserve">as entidades estatales entreguen dotación, incentivos o gratificaciones </w:t>
      </w:r>
      <w:r w:rsidRPr="006324A2">
        <w:rPr>
          <w:rFonts w:ascii="Verdana" w:eastAsia="Calibri" w:hAnsi="Verdana" w:cs="Times New Roman"/>
          <w:iCs/>
        </w:rPr>
        <w:t xml:space="preserve">a personas naturales </w:t>
      </w:r>
      <w:r>
        <w:rPr>
          <w:rFonts w:ascii="Verdana" w:eastAsia="Calibri" w:hAnsi="Verdana" w:cs="Times New Roman"/>
          <w:iCs/>
        </w:rPr>
        <w:t>contratadas mediante c</w:t>
      </w:r>
      <w:r w:rsidRPr="006324A2">
        <w:rPr>
          <w:rFonts w:ascii="Verdana" w:eastAsia="Calibri" w:hAnsi="Verdana" w:cs="Times New Roman"/>
          <w:iCs/>
        </w:rPr>
        <w:t>ont</w:t>
      </w:r>
      <w:r>
        <w:rPr>
          <w:rFonts w:ascii="Verdana" w:eastAsia="Calibri" w:hAnsi="Verdana" w:cs="Times New Roman"/>
          <w:iCs/>
        </w:rPr>
        <w:t>rato de prestación de servicios</w:t>
      </w:r>
      <w:r w:rsidRPr="006324A2">
        <w:rPr>
          <w:rFonts w:ascii="Verdana" w:eastAsia="Calibri" w:hAnsi="Verdana" w:cs="Times New Roman"/>
          <w:iCs/>
        </w:rPr>
        <w:t>?</w:t>
      </w:r>
      <w:r>
        <w:rPr>
          <w:rFonts w:ascii="Verdana" w:eastAsia="Calibri" w:hAnsi="Verdana" w:cs="Times New Roman"/>
          <w:iCs/>
        </w:rPr>
        <w:t xml:space="preserve"> </w:t>
      </w:r>
    </w:p>
    <w:p w14:paraId="174325F3" w14:textId="77777777" w:rsidR="002933DA" w:rsidRPr="00265A97" w:rsidRDefault="002933DA" w:rsidP="002933DA">
      <w:pPr>
        <w:spacing w:line="276" w:lineRule="auto"/>
        <w:jc w:val="both"/>
        <w:rPr>
          <w:rFonts w:ascii="Verdana" w:eastAsia="Calibri" w:hAnsi="Verdana" w:cs="Times New Roman"/>
        </w:rPr>
      </w:pPr>
    </w:p>
    <w:p w14:paraId="061396ED" w14:textId="77777777" w:rsidR="002933DA" w:rsidRPr="006A0F21" w:rsidRDefault="002933DA" w:rsidP="002933DA">
      <w:pPr>
        <w:numPr>
          <w:ilvl w:val="0"/>
          <w:numId w:val="19"/>
        </w:numPr>
        <w:spacing w:after="0" w:line="256" w:lineRule="auto"/>
        <w:contextualSpacing/>
        <w:rPr>
          <w:rFonts w:ascii="Verdana" w:eastAsia="Calibri" w:hAnsi="Verdana" w:cs="Times New Roman"/>
          <w:b/>
          <w:bCs/>
          <w:lang w:val="es-ES"/>
        </w:rPr>
      </w:pPr>
      <w:r w:rsidRPr="006A0F21">
        <w:rPr>
          <w:rFonts w:ascii="Verdana" w:eastAsia="Calibri" w:hAnsi="Verdana" w:cs="Times New Roman"/>
          <w:b/>
          <w:bCs/>
          <w:lang w:val="es-ES"/>
        </w:rPr>
        <w:t>Respuesta:</w:t>
      </w:r>
    </w:p>
    <w:p w14:paraId="3891A5B0" w14:textId="77777777" w:rsidR="002933DA" w:rsidRPr="006A0F21" w:rsidRDefault="002933DA" w:rsidP="002933DA">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2933DA" w:rsidRPr="006A0F21" w14:paraId="21C512DC" w14:textId="77777777" w:rsidTr="009C41F8">
        <w:trPr>
          <w:trHeight w:val="912"/>
          <w:jc w:val="center"/>
        </w:trPr>
        <w:tc>
          <w:tcPr>
            <w:tcW w:w="8784" w:type="dxa"/>
            <w:tcBorders>
              <w:bottom w:val="single" w:sz="4" w:space="0" w:color="auto"/>
            </w:tcBorders>
          </w:tcPr>
          <w:p w14:paraId="468E357E" w14:textId="77777777" w:rsidR="002933DA" w:rsidRDefault="002933DA" w:rsidP="009C41F8">
            <w:pPr>
              <w:shd w:val="clear" w:color="auto" w:fill="FFFFFF"/>
              <w:spacing w:after="120" w:line="276" w:lineRule="auto"/>
              <w:jc w:val="both"/>
              <w:rPr>
                <w:rFonts w:ascii="Verdana" w:hAnsi="Verdana"/>
              </w:rPr>
            </w:pPr>
            <w:r w:rsidRPr="006A0F21">
              <w:rPr>
                <w:rFonts w:ascii="Verdana" w:eastAsia="Calibri" w:hAnsi="Verdana" w:cs="Times New Roman"/>
                <w:lang w:val="es-ES"/>
              </w:rPr>
              <w:t xml:space="preserve">En torno al problema jurídico, objeto de consulta, </w:t>
            </w:r>
            <w:r>
              <w:rPr>
                <w:rFonts w:ascii="Verdana" w:eastAsia="Calibri" w:hAnsi="Verdana" w:cs="Times New Roman"/>
                <w:lang w:val="es-ES"/>
              </w:rPr>
              <w:t xml:space="preserve">se precisa </w:t>
            </w:r>
            <w:r>
              <w:rPr>
                <w:rFonts w:ascii="Verdana" w:hAnsi="Verdana"/>
              </w:rPr>
              <w:t>que los contratistas de prestación de servicios no tienen derecho al pago de prestaciones sociales ni beneficios en el marco del Sistema de Bienestar de los servidores públicos. En tal sentido, es pertinente precisar varios aspectos:</w:t>
            </w:r>
          </w:p>
          <w:p w14:paraId="58A6F378" w14:textId="77777777" w:rsidR="002933DA" w:rsidRPr="00AE1BEC" w:rsidRDefault="002933DA" w:rsidP="009C41F8">
            <w:pPr>
              <w:spacing w:after="120" w:line="276" w:lineRule="auto"/>
              <w:ind w:firstLine="567"/>
              <w:jc w:val="both"/>
              <w:rPr>
                <w:rFonts w:ascii="Verdana" w:hAnsi="Verdana"/>
              </w:rPr>
            </w:pPr>
            <w:r>
              <w:rPr>
                <w:rFonts w:ascii="Verdana" w:hAnsi="Verdana"/>
              </w:rPr>
              <w:lastRenderedPageBreak/>
              <w:t xml:space="preserve">En primer lugar, no hay una obligación legal de las entidades estatales de entregar dotación a los contratistas de prestación de servicios, pues esta es una prestación social que consiste </w:t>
            </w:r>
            <w:r w:rsidRPr="00AE1BEC">
              <w:rPr>
                <w:rFonts w:ascii="Verdana" w:hAnsi="Verdana"/>
              </w:rPr>
              <w:t>en la entrega gratuita y materi</w:t>
            </w:r>
            <w:r>
              <w:rPr>
                <w:rFonts w:ascii="Verdana" w:hAnsi="Verdana"/>
              </w:rPr>
              <w:t xml:space="preserve">al de un vestido y un calzado por parte de la entidad pública empleadora </w:t>
            </w:r>
            <w:r w:rsidRPr="00AE1BEC">
              <w:rPr>
                <w:rFonts w:ascii="Verdana" w:hAnsi="Verdana"/>
              </w:rPr>
              <w:t xml:space="preserve">y para uso del servidor </w:t>
            </w:r>
            <w:r>
              <w:rPr>
                <w:rFonts w:ascii="Verdana" w:hAnsi="Verdana"/>
              </w:rPr>
              <w:t xml:space="preserve">público en las funciones propias del empleo que ejerce, </w:t>
            </w:r>
            <w:proofErr w:type="gramStart"/>
            <w:r>
              <w:rPr>
                <w:rFonts w:ascii="Verdana" w:hAnsi="Verdana"/>
              </w:rPr>
              <w:t>de acuerdo a</w:t>
            </w:r>
            <w:proofErr w:type="gramEnd"/>
            <w:r>
              <w:rPr>
                <w:rFonts w:ascii="Verdana" w:hAnsi="Verdana"/>
              </w:rPr>
              <w:t xml:space="preserve"> lo prescrito en el artículo 1° de la Ley 70 de 1988. Esto, sin perjuicio de la posibilidad de entregar indumentarias o insumos a contratistas para que apoyen en el desarrollo de actividades misionales de la entidad. </w:t>
            </w:r>
          </w:p>
          <w:p w14:paraId="17D7347D" w14:textId="77777777" w:rsidR="002933DA" w:rsidRPr="000A3FB9" w:rsidRDefault="002933DA" w:rsidP="009C41F8">
            <w:pPr>
              <w:shd w:val="clear" w:color="auto" w:fill="FFFFFF"/>
              <w:spacing w:after="120" w:line="276" w:lineRule="auto"/>
              <w:ind w:firstLine="567"/>
              <w:jc w:val="both"/>
              <w:rPr>
                <w:rFonts w:ascii="Verdana" w:hAnsi="Verdana"/>
              </w:rPr>
            </w:pPr>
            <w:r w:rsidRPr="000A3FB9">
              <w:rPr>
                <w:rFonts w:ascii="Verdana" w:hAnsi="Verdana"/>
              </w:rPr>
              <w:t>En segundo lugar, frente a la entrega de incentivos pecuniarios o no pecuniarios, es pertinente precisar que no es posible otorgar incentivos pecuniarios a los contratistas, esto es, reconocimientos económicos derivados de su desempeño, pues no puede comprenderse como servidores públicos, los cuales tienen derecho a incentivos, de acuerdo con las condiciones, limitaciones y prohibiciones dispuestas en el Decreto Ley 1567 de 1998. Con respectivo a los incentivos no pecuniarios, es importante revisar que estos no deben implicar compromisos presupuestales para la entrega de becas, financiación de investigaciones, entre otras, por el contrario, deben ser reconocimientos no económicos por el desempeño de sus actividades</w:t>
            </w:r>
            <w:r>
              <w:rPr>
                <w:rFonts w:ascii="Verdana" w:hAnsi="Verdana"/>
              </w:rPr>
              <w:t xml:space="preserve"> como contratistas de prestación de servicios</w:t>
            </w:r>
            <w:r w:rsidRPr="000A3FB9">
              <w:rPr>
                <w:rFonts w:ascii="Verdana" w:hAnsi="Verdana"/>
              </w:rPr>
              <w:t xml:space="preserve">.  </w:t>
            </w:r>
          </w:p>
          <w:p w14:paraId="3605567C" w14:textId="77777777" w:rsidR="002933DA" w:rsidRDefault="002933DA" w:rsidP="009C41F8">
            <w:pPr>
              <w:shd w:val="clear" w:color="auto" w:fill="FFFFFF"/>
              <w:spacing w:after="120" w:line="276" w:lineRule="auto"/>
              <w:ind w:firstLine="567"/>
              <w:jc w:val="both"/>
              <w:rPr>
                <w:rFonts w:ascii="Verdana" w:hAnsi="Verdana"/>
                <w:bCs/>
              </w:rPr>
            </w:pPr>
            <w:r w:rsidRPr="000A3FB9">
              <w:rPr>
                <w:rFonts w:ascii="Verdana" w:hAnsi="Verdana"/>
              </w:rPr>
              <w:t xml:space="preserve">En tercer lugar, frente a las gratificaciones no debe confundirse con la </w:t>
            </w:r>
            <w:r w:rsidRPr="000A3FB9">
              <w:rPr>
                <w:rFonts w:ascii="Verdana" w:hAnsi="Verdana"/>
                <w:bCs/>
              </w:rPr>
              <w:t>prima</w:t>
            </w:r>
            <w:r>
              <w:rPr>
                <w:rFonts w:ascii="Verdana" w:hAnsi="Verdana"/>
                <w:bCs/>
              </w:rPr>
              <w:t xml:space="preserve"> de navidad, que es una prestación social otorgada a los empleados públicos por la ley. Esto puede relacionarse con reconocimientos no económicos que se les brinda a empleados públicos, y eventualmente, a contratistas en el desarrollo de diversas actividades.</w:t>
            </w:r>
          </w:p>
          <w:p w14:paraId="05D399EF" w14:textId="77777777" w:rsidR="002933DA" w:rsidRPr="00675708" w:rsidRDefault="002933DA" w:rsidP="009C41F8">
            <w:pPr>
              <w:shd w:val="clear" w:color="auto" w:fill="FFFFFF"/>
              <w:spacing w:after="120" w:line="276" w:lineRule="auto"/>
              <w:ind w:firstLine="567"/>
              <w:jc w:val="both"/>
              <w:rPr>
                <w:rFonts w:ascii="Verdana" w:hAnsi="Verdana"/>
              </w:rPr>
            </w:pPr>
            <w:r>
              <w:rPr>
                <w:rFonts w:ascii="Verdana" w:hAnsi="Verdana"/>
              </w:rPr>
              <w:t xml:space="preserve">Este tipo de incentivos o gratificaciones de carácter no pecuniario a contratistas de prestación de servicios de las entidades públicas, deben tener en cuenta las reglas, directrices y lineamientos dispuestas sobre austeridad del gasto público promovido por el Gobierno Nacional, así como por las entidades del orden territorial, con el fin de una administración adecuada y eficiente del recurso público. </w:t>
            </w:r>
            <w:r w:rsidRPr="00685A0D">
              <w:rPr>
                <w:rFonts w:ascii="Verdana" w:hAnsi="Verdana" w:cs="Arial"/>
                <w:bCs/>
                <w:lang w:val="es-ES_tradnl" w:eastAsia="es-ES"/>
              </w:rPr>
              <w:t>En</w:t>
            </w:r>
            <w:r>
              <w:rPr>
                <w:rFonts w:ascii="Verdana" w:hAnsi="Verdana" w:cs="Arial"/>
                <w:bCs/>
                <w:lang w:val="es-ES_tradnl" w:eastAsia="es-ES"/>
              </w:rPr>
              <w:t xml:space="preserve"> todo caso</w:t>
            </w:r>
            <w:r w:rsidRPr="00685A0D">
              <w:rPr>
                <w:rFonts w:ascii="Verdana" w:hAnsi="Verdana" w:cs="Arial"/>
                <w:bCs/>
                <w:lang w:val="es-ES_tradnl" w:eastAsia="es-ES"/>
              </w:rPr>
              <w:t xml:space="preserve">, </w:t>
            </w:r>
            <w:r w:rsidRPr="00685A0D">
              <w:rPr>
                <w:rFonts w:ascii="Verdana" w:hAnsi="Verdana" w:cs="Arial"/>
                <w:bCs/>
                <w:lang w:eastAsia="es-ES"/>
              </w:rPr>
              <w:t xml:space="preserve">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decisión que corresponda, que sea </w:t>
            </w:r>
            <w:r w:rsidRPr="00685A0D">
              <w:rPr>
                <w:rFonts w:ascii="Verdana" w:hAnsi="Verdana" w:cs="Arial"/>
                <w:bCs/>
                <w:lang w:eastAsia="es-ES"/>
              </w:rPr>
              <w:lastRenderedPageBreak/>
              <w:t>acorde con el principio de juridicidad, sin que sea atribución de esta Agencia validar su gestión contractual</w:t>
            </w:r>
            <w:r>
              <w:rPr>
                <w:rFonts w:ascii="Verdana" w:hAnsi="Verdana" w:cs="Arial"/>
                <w:bCs/>
                <w:lang w:eastAsia="es-ES"/>
              </w:rPr>
              <w:t>.</w:t>
            </w:r>
            <w:r w:rsidRPr="00D81E8E">
              <w:rPr>
                <w:rFonts w:ascii="Verdana" w:hAnsi="Verdana" w:cs="Arial"/>
                <w:bCs/>
                <w:color w:val="000000" w:themeColor="text1"/>
                <w:lang w:val="es-ES"/>
              </w:rPr>
              <w:t xml:space="preserve"> </w:t>
            </w:r>
          </w:p>
        </w:tc>
      </w:tr>
    </w:tbl>
    <w:p w14:paraId="20713BC5" w14:textId="77777777" w:rsidR="002933DA" w:rsidRPr="006A0F21" w:rsidRDefault="002933DA" w:rsidP="002933DA">
      <w:pPr>
        <w:spacing w:after="0" w:line="276" w:lineRule="auto"/>
        <w:jc w:val="both"/>
        <w:rPr>
          <w:rFonts w:ascii="Verdana" w:eastAsia="Calibri" w:hAnsi="Verdana" w:cs="Arial"/>
          <w:bCs/>
          <w:color w:val="000000" w:themeColor="text1"/>
        </w:rPr>
      </w:pPr>
    </w:p>
    <w:p w14:paraId="330EB0BC" w14:textId="77777777" w:rsidR="002933DA" w:rsidRPr="006A0F21" w:rsidRDefault="002933DA" w:rsidP="002933DA">
      <w:pPr>
        <w:numPr>
          <w:ilvl w:val="0"/>
          <w:numId w:val="19"/>
        </w:numPr>
        <w:tabs>
          <w:tab w:val="left" w:pos="2268"/>
        </w:tabs>
        <w:spacing w:after="0" w:line="256" w:lineRule="auto"/>
        <w:rPr>
          <w:rFonts w:ascii="Verdana" w:eastAsia="Calibri" w:hAnsi="Verdana" w:cs="Times New Roman"/>
          <w:b/>
          <w:bCs/>
          <w:lang w:val="es-ES"/>
        </w:rPr>
      </w:pPr>
      <w:r w:rsidRPr="006A0F21">
        <w:rPr>
          <w:rFonts w:ascii="Verdana" w:eastAsia="Calibri" w:hAnsi="Verdana" w:cs="Times New Roman"/>
          <w:b/>
          <w:bCs/>
          <w:lang w:val="es-ES"/>
        </w:rPr>
        <w:t>Razones de la respuesta:</w:t>
      </w:r>
    </w:p>
    <w:p w14:paraId="559EF0AA" w14:textId="77777777" w:rsidR="002933DA" w:rsidRPr="006A0F21" w:rsidRDefault="002933DA" w:rsidP="002933DA">
      <w:pPr>
        <w:spacing w:after="0" w:line="256" w:lineRule="auto"/>
        <w:rPr>
          <w:rFonts w:ascii="Verdana" w:eastAsia="Calibri" w:hAnsi="Verdana" w:cs="Times New Roman"/>
          <w:b/>
          <w:bCs/>
          <w:lang w:val="es-ES"/>
        </w:rPr>
      </w:pPr>
    </w:p>
    <w:p w14:paraId="4D8397D4" w14:textId="77777777" w:rsidR="002933DA" w:rsidRPr="006A0F21" w:rsidRDefault="002933DA" w:rsidP="002933DA">
      <w:pPr>
        <w:spacing w:after="0" w:line="276" w:lineRule="auto"/>
        <w:jc w:val="both"/>
        <w:rPr>
          <w:rFonts w:ascii="Verdana" w:eastAsia="Calibri" w:hAnsi="Verdana" w:cs="Arial"/>
          <w:lang w:val="es-ES"/>
        </w:rPr>
      </w:pPr>
      <w:r w:rsidRPr="006A0F21">
        <w:rPr>
          <w:rFonts w:ascii="Verdana" w:eastAsia="Calibri" w:hAnsi="Verdana" w:cs="Arial"/>
          <w:lang w:val="es-ES"/>
        </w:rPr>
        <w:t xml:space="preserve">Lo anterior se sustenta en las siguientes consideraciones: </w:t>
      </w:r>
    </w:p>
    <w:p w14:paraId="4C647356" w14:textId="77777777" w:rsidR="002933DA" w:rsidRDefault="002933DA" w:rsidP="002933DA">
      <w:pPr>
        <w:spacing w:after="0" w:line="276" w:lineRule="auto"/>
        <w:jc w:val="both"/>
        <w:rPr>
          <w:rFonts w:ascii="Verdana" w:eastAsia="Calibri" w:hAnsi="Verdana" w:cs="Arial"/>
          <w:lang w:val="es-ES"/>
        </w:rPr>
      </w:pPr>
    </w:p>
    <w:p w14:paraId="44A9837B" w14:textId="77777777" w:rsidR="002933DA" w:rsidRPr="00342512" w:rsidRDefault="002933DA" w:rsidP="002933DA">
      <w:pPr>
        <w:spacing w:after="0" w:line="276" w:lineRule="auto"/>
        <w:jc w:val="both"/>
        <w:rPr>
          <w:rFonts w:ascii="Verdana" w:eastAsia="Calibri" w:hAnsi="Verdana" w:cs="Arial"/>
          <w:color w:val="000000"/>
        </w:rPr>
      </w:pPr>
      <w:r>
        <w:rPr>
          <w:rFonts w:ascii="Verdana" w:eastAsia="Arial" w:hAnsi="Verdana" w:cs="Arial"/>
          <w:lang w:val="es-ES"/>
        </w:rPr>
        <w:t xml:space="preserve">i. </w:t>
      </w:r>
      <w:r w:rsidRPr="00342512">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3625EC56" w14:textId="77777777" w:rsidR="002933DA" w:rsidRPr="00342512" w:rsidRDefault="002933DA" w:rsidP="002933DA">
      <w:pPr>
        <w:spacing w:after="0" w:line="276" w:lineRule="auto"/>
        <w:jc w:val="both"/>
        <w:rPr>
          <w:rFonts w:ascii="Verdana" w:eastAsia="Calibri" w:hAnsi="Verdana" w:cs="Arial"/>
          <w:color w:val="000000"/>
        </w:rPr>
      </w:pPr>
    </w:p>
    <w:p w14:paraId="67E8733C" w14:textId="77777777" w:rsidR="002933DA" w:rsidRPr="00342512" w:rsidRDefault="002933DA" w:rsidP="002933DA">
      <w:pPr>
        <w:spacing w:after="0" w:line="240" w:lineRule="auto"/>
        <w:ind w:left="709" w:right="709"/>
        <w:jc w:val="both"/>
        <w:rPr>
          <w:rFonts w:ascii="Verdana" w:eastAsia="Calibri" w:hAnsi="Verdana" w:cs="Arial"/>
          <w:color w:val="000000"/>
          <w:sz w:val="21"/>
          <w:szCs w:val="21"/>
        </w:rPr>
      </w:pPr>
      <w:r w:rsidRPr="328AD567">
        <w:rPr>
          <w:rFonts w:ascii="Verdana" w:eastAsia="Calibri" w:hAnsi="Verdana" w:cs="Arial"/>
          <w:color w:val="000000" w:themeColor="text1"/>
          <w:sz w:val="21"/>
          <w:szCs w:val="21"/>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B99B663" w14:textId="77777777" w:rsidR="002933DA" w:rsidRPr="00342512" w:rsidRDefault="002933DA" w:rsidP="002933DA">
      <w:pPr>
        <w:spacing w:after="0" w:line="240" w:lineRule="auto"/>
        <w:ind w:left="709" w:right="709"/>
        <w:jc w:val="both"/>
        <w:rPr>
          <w:rFonts w:ascii="Verdana" w:eastAsia="Calibri" w:hAnsi="Verdana" w:cs="Arial"/>
          <w:color w:val="000000"/>
          <w:sz w:val="21"/>
          <w:szCs w:val="21"/>
        </w:rPr>
      </w:pPr>
    </w:p>
    <w:p w14:paraId="32F6DBE4" w14:textId="77777777" w:rsidR="002933DA" w:rsidRPr="00342512" w:rsidRDefault="002933DA" w:rsidP="002933DA">
      <w:pPr>
        <w:spacing w:after="0" w:line="240" w:lineRule="auto"/>
        <w:ind w:left="709" w:right="709"/>
        <w:jc w:val="both"/>
        <w:rPr>
          <w:rFonts w:ascii="Verdana" w:eastAsia="Calibri" w:hAnsi="Verdana" w:cs="Arial"/>
          <w:color w:val="000000"/>
          <w:sz w:val="21"/>
          <w:szCs w:val="21"/>
        </w:rPr>
      </w:pPr>
      <w:r w:rsidRPr="328AD567">
        <w:rPr>
          <w:rFonts w:ascii="Verdana" w:eastAsia="Calibri" w:hAnsi="Verdana" w:cs="Arial"/>
          <w:color w:val="000000" w:themeColor="text1"/>
          <w:sz w:val="21"/>
          <w:szCs w:val="21"/>
        </w:rPr>
        <w:t>En ningún caso estos contratos generan relación laboral ni prestaciones sociales y se celebrarán por el término estrictamente indispensable”.</w:t>
      </w:r>
    </w:p>
    <w:p w14:paraId="435E9132" w14:textId="77777777" w:rsidR="002933DA" w:rsidRPr="00342512" w:rsidRDefault="002933DA" w:rsidP="002933DA">
      <w:pPr>
        <w:tabs>
          <w:tab w:val="left" w:pos="284"/>
        </w:tabs>
        <w:spacing w:after="0" w:line="276" w:lineRule="auto"/>
        <w:contextualSpacing/>
        <w:jc w:val="both"/>
        <w:rPr>
          <w:rFonts w:ascii="Verdana" w:eastAsia="Calibri" w:hAnsi="Verdana" w:cs="Arial"/>
          <w:b/>
          <w:color w:val="000000"/>
        </w:rPr>
      </w:pPr>
    </w:p>
    <w:p w14:paraId="1DF4FD10" w14:textId="77777777" w:rsidR="002933DA" w:rsidRPr="00342512" w:rsidRDefault="002933DA" w:rsidP="002933DA">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5A9D16BE" w14:textId="77777777" w:rsidR="002933DA" w:rsidRPr="00342512" w:rsidRDefault="002933DA" w:rsidP="002933DA">
      <w:pPr>
        <w:spacing w:after="0" w:line="276" w:lineRule="auto"/>
        <w:ind w:firstLine="709"/>
        <w:jc w:val="both"/>
        <w:rPr>
          <w:rFonts w:ascii="Verdana" w:eastAsia="Calibri" w:hAnsi="Verdana" w:cs="Arial"/>
          <w:color w:val="000000"/>
        </w:rPr>
      </w:pPr>
    </w:p>
    <w:p w14:paraId="577E5F3F" w14:textId="77777777" w:rsidR="002933DA" w:rsidRPr="00EE4799" w:rsidRDefault="002933DA" w:rsidP="002933DA">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 xml:space="preserve">“[…]Contratación directa. La modalidad de selección de contratación </w:t>
      </w:r>
      <w:proofErr w:type="gramStart"/>
      <w:r w:rsidRPr="328AD567">
        <w:rPr>
          <w:rFonts w:ascii="Verdana" w:eastAsia="Calibri" w:hAnsi="Verdana" w:cs="Arial"/>
          <w:color w:val="000000" w:themeColor="text1"/>
          <w:sz w:val="20"/>
          <w:szCs w:val="20"/>
        </w:rPr>
        <w:t>directa,</w:t>
      </w:r>
      <w:proofErr w:type="gramEnd"/>
      <w:r w:rsidRPr="328AD567">
        <w:rPr>
          <w:rFonts w:ascii="Verdana" w:eastAsia="Calibri" w:hAnsi="Verdana" w:cs="Arial"/>
          <w:color w:val="000000" w:themeColor="text1"/>
          <w:sz w:val="20"/>
          <w:szCs w:val="20"/>
        </w:rPr>
        <w:t xml:space="preserve"> solamente procederá en los siguientes casos:</w:t>
      </w:r>
    </w:p>
    <w:p w14:paraId="2618E721" w14:textId="77777777" w:rsidR="002933DA" w:rsidRPr="00EE4799" w:rsidRDefault="002933DA" w:rsidP="002933DA">
      <w:pPr>
        <w:spacing w:after="0" w:line="240" w:lineRule="auto"/>
        <w:ind w:left="709" w:right="709"/>
        <w:jc w:val="both"/>
        <w:rPr>
          <w:rFonts w:ascii="Verdana" w:eastAsia="Calibri" w:hAnsi="Verdana" w:cs="Arial"/>
          <w:color w:val="000000"/>
          <w:sz w:val="20"/>
          <w:szCs w:val="20"/>
        </w:rPr>
      </w:pPr>
    </w:p>
    <w:p w14:paraId="24679E67" w14:textId="77777777" w:rsidR="002933DA" w:rsidRPr="00EE4799" w:rsidRDefault="002933DA" w:rsidP="002933DA">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w:t>
      </w:r>
    </w:p>
    <w:p w14:paraId="36349ED9" w14:textId="77777777" w:rsidR="002933DA" w:rsidRPr="00EE4799" w:rsidRDefault="002933DA" w:rsidP="002933DA">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1BBEC4F9" w14:textId="77777777" w:rsidR="002933DA" w:rsidRPr="00342512" w:rsidRDefault="002933DA" w:rsidP="002933DA">
      <w:pPr>
        <w:spacing w:after="0" w:line="240" w:lineRule="auto"/>
        <w:ind w:right="709"/>
        <w:jc w:val="both"/>
        <w:rPr>
          <w:rFonts w:ascii="Verdana" w:eastAsia="Calibri" w:hAnsi="Verdana" w:cs="Arial"/>
          <w:color w:val="000000"/>
        </w:rPr>
      </w:pPr>
    </w:p>
    <w:p w14:paraId="00974BA5" w14:textId="77777777" w:rsidR="002933DA" w:rsidRPr="00342512" w:rsidRDefault="002933DA" w:rsidP="002933DA">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w:t>
      </w:r>
    </w:p>
    <w:p w14:paraId="473D9B7C" w14:textId="77777777" w:rsidR="002933DA" w:rsidRPr="00342512" w:rsidRDefault="002933DA" w:rsidP="002933DA">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lastRenderedPageBreak/>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2182B3C6" w14:textId="77777777" w:rsidR="002933DA" w:rsidRPr="00342512" w:rsidRDefault="002933DA" w:rsidP="002933DA">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2E377C10" w14:textId="77777777" w:rsidR="002933DA" w:rsidRPr="00342512" w:rsidRDefault="002933DA" w:rsidP="002933DA">
      <w:pPr>
        <w:spacing w:before="120" w:after="120" w:line="276" w:lineRule="auto"/>
        <w:ind w:firstLine="709"/>
        <w:jc w:val="both"/>
        <w:rPr>
          <w:rFonts w:ascii="Verdana" w:eastAsia="Calibri" w:hAnsi="Verdana" w:cs="Arial"/>
          <w:color w:val="000000"/>
        </w:rPr>
      </w:pPr>
      <w:r>
        <w:rPr>
          <w:rFonts w:ascii="Verdana" w:eastAsia="Calibri" w:hAnsi="Verdana" w:cs="Arial"/>
          <w:color w:val="000000"/>
        </w:rPr>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2"/>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328AD567">
        <w:rPr>
          <w:rFonts w:ascii="Verdana" w:eastAsia="Calibri" w:hAnsi="Verdana" w:cs="Arial"/>
          <w:i/>
          <w:iCs/>
          <w:color w:val="000000"/>
        </w:rPr>
        <w:t>subordinación y dependencia</w:t>
      </w:r>
      <w:r w:rsidRPr="328AD567">
        <w:rPr>
          <w:rFonts w:ascii="Verdana" w:eastAsia="Calibri" w:hAnsi="Verdana" w:cs="Arial"/>
          <w:color w:val="000000"/>
        </w:rPr>
        <w:t>,</w:t>
      </w:r>
      <w:r w:rsidRPr="00342512">
        <w:rPr>
          <w:rFonts w:ascii="Verdana" w:eastAsia="Calibri" w:hAnsi="Verdana" w:cs="Arial"/>
          <w:color w:val="000000"/>
        </w:rPr>
        <w:t xml:space="preserve"> que es uno de los elementos constitutivos del vínculo laboral. 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328AD567">
        <w:rPr>
          <w:rFonts w:ascii="Verdana" w:eastAsia="Calibri" w:hAnsi="Verdana" w:cs="Arial"/>
          <w:i/>
          <w:iCs/>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 xml:space="preserve">su cuenta y riesgo al Sistema de Seguridad Social Integral. Pero es posible que, a pesar de este mandato deontológico, en la práctica surja la relación laboral, pues, como se sabe, el contrato de trabajo es un </w:t>
      </w:r>
      <w:r w:rsidRPr="328AD567">
        <w:rPr>
          <w:rFonts w:ascii="Verdana" w:eastAsia="Calibri" w:hAnsi="Verdana" w:cs="Arial"/>
          <w:i/>
          <w:iCs/>
          <w:color w:val="000000"/>
        </w:rPr>
        <w:t>contrato realidad</w:t>
      </w:r>
      <w:r w:rsidRPr="00BC1DCC">
        <w:rPr>
          <w:rFonts w:ascii="Verdana" w:eastAsia="Calibri" w:hAnsi="Verdana" w:cs="Arial"/>
          <w:color w:val="000000"/>
        </w:rPr>
        <w:t xml:space="preserve">, ya que para su perfeccionamiento rige el principio de la prevalencia de la realidad sobre las </w:t>
      </w:r>
      <w:r w:rsidRPr="00BC1DCC">
        <w:rPr>
          <w:rFonts w:ascii="Verdana" w:eastAsia="Calibri" w:hAnsi="Verdana" w:cs="Arial"/>
          <w:color w:val="000000"/>
        </w:rPr>
        <w:lastRenderedPageBreak/>
        <w:t>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3"/>
      </w:r>
      <w:r w:rsidRPr="00BC1DCC">
        <w:rPr>
          <w:rFonts w:ascii="Verdana" w:eastAsia="Calibri" w:hAnsi="Verdana" w:cs="Arial"/>
          <w:color w:val="000000"/>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4"/>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 xml:space="preserve">ncia en la ejecución </w:t>
      </w:r>
      <w:proofErr w:type="gramStart"/>
      <w:r>
        <w:rPr>
          <w:rFonts w:ascii="Verdana" w:eastAsia="Calibri" w:hAnsi="Verdana" w:cs="Arial"/>
          <w:color w:val="000000"/>
        </w:rPr>
        <w:t>del mismo</w:t>
      </w:r>
      <w:proofErr w:type="gramEnd"/>
      <w:r>
        <w:rPr>
          <w:rFonts w:ascii="Verdana" w:eastAsia="Calibri" w:hAnsi="Verdana" w:cs="Arial"/>
          <w:color w:val="000000"/>
        </w:rPr>
        <w:t>.</w:t>
      </w:r>
    </w:p>
    <w:p w14:paraId="219F3015" w14:textId="77777777" w:rsidR="002933DA" w:rsidRPr="00342512" w:rsidRDefault="002933DA" w:rsidP="002933DA">
      <w:pPr>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730446EE" w14:textId="77777777" w:rsidR="002933DA" w:rsidRPr="00342512" w:rsidRDefault="002933DA" w:rsidP="002933DA">
      <w:pPr>
        <w:spacing w:after="0" w:line="276" w:lineRule="auto"/>
        <w:ind w:firstLine="709"/>
        <w:jc w:val="both"/>
        <w:rPr>
          <w:rFonts w:ascii="Verdana" w:eastAsia="Calibri" w:hAnsi="Verdana" w:cs="Arial"/>
          <w:color w:val="000000"/>
        </w:rPr>
      </w:pPr>
    </w:p>
    <w:p w14:paraId="0622063C" w14:textId="77777777" w:rsidR="002933DA" w:rsidRPr="00342512" w:rsidRDefault="002933DA" w:rsidP="002933DA">
      <w:pPr>
        <w:spacing w:after="0" w:line="240" w:lineRule="auto"/>
        <w:ind w:left="709" w:right="709"/>
        <w:jc w:val="both"/>
        <w:rPr>
          <w:rFonts w:ascii="Verdana" w:eastAsia="Calibri" w:hAnsi="Verdana" w:cs="Arial"/>
          <w:color w:val="000000"/>
          <w:sz w:val="21"/>
          <w:szCs w:val="21"/>
        </w:rPr>
      </w:pPr>
      <w:r w:rsidRPr="00342512">
        <w:rPr>
          <w:rFonts w:ascii="Verdana" w:eastAsia="Calibri" w:hAnsi="Verdana" w:cs="Arial"/>
          <w:color w:val="000000"/>
          <w:sz w:val="21"/>
          <w:szCs w:val="21"/>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Style w:val="Refdenotaalpie"/>
          <w:rFonts w:ascii="Verdana" w:eastAsia="Calibri" w:hAnsi="Verdana" w:cs="Arial"/>
          <w:color w:val="000000"/>
          <w:sz w:val="21"/>
          <w:szCs w:val="21"/>
        </w:rPr>
        <w:footnoteReference w:id="5"/>
      </w:r>
      <w:r w:rsidRPr="00342512">
        <w:rPr>
          <w:rFonts w:ascii="Verdana" w:eastAsia="Calibri" w:hAnsi="Verdana" w:cs="Arial"/>
          <w:color w:val="000000"/>
          <w:sz w:val="21"/>
          <w:szCs w:val="21"/>
        </w:rPr>
        <w:t>.</w:t>
      </w:r>
    </w:p>
    <w:p w14:paraId="6255E351" w14:textId="77777777" w:rsidR="002933DA" w:rsidRPr="009E0E25" w:rsidRDefault="002933DA" w:rsidP="002933DA">
      <w:pPr>
        <w:widowControl w:val="0"/>
        <w:autoSpaceDE w:val="0"/>
        <w:autoSpaceDN w:val="0"/>
        <w:spacing w:after="120" w:line="276" w:lineRule="auto"/>
        <w:jc w:val="both"/>
        <w:rPr>
          <w:rFonts w:ascii="Verdana" w:eastAsia="Arial" w:hAnsi="Verdana" w:cs="Arial"/>
        </w:rPr>
      </w:pPr>
    </w:p>
    <w:p w14:paraId="13FE8B1F" w14:textId="77777777" w:rsidR="002933DA" w:rsidRPr="009E0E25" w:rsidRDefault="002933DA" w:rsidP="002933DA">
      <w:pPr>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eastAsia="es-ES"/>
        </w:rPr>
        <w:t>e</w:t>
      </w:r>
      <w:r w:rsidRPr="328AD567">
        <w:rPr>
          <w:rFonts w:ascii="Verdana" w:eastAsia="Calibri" w:hAnsi="Verdana" w:cs="Arial"/>
          <w:color w:val="000000"/>
          <w:lang w:val="es-ES" w:eastAsia="es-ES"/>
        </w:rPr>
        <w:t xml:space="preserve">) Los contratos de prestación de servicios constituyen un </w:t>
      </w:r>
      <w:r w:rsidRPr="328AD567">
        <w:rPr>
          <w:rFonts w:ascii="Verdana" w:eastAsia="Calibri" w:hAnsi="Verdana" w:cs="Arial"/>
          <w:i/>
          <w:iCs/>
          <w:color w:val="000000"/>
          <w:lang w:val="es-ES" w:eastAsia="es-ES"/>
        </w:rPr>
        <w:t>género</w:t>
      </w:r>
      <w:r w:rsidRPr="328AD567">
        <w:rPr>
          <w:rFonts w:ascii="Verdana" w:eastAsia="Calibri" w:hAnsi="Verdana" w:cs="Arial"/>
          <w:color w:val="000000"/>
          <w:lang w:val="es-ES" w:eastAsia="es-ES"/>
        </w:rPr>
        <w:t xml:space="preserve"> que incluye, como </w:t>
      </w:r>
      <w:r w:rsidRPr="328AD567">
        <w:rPr>
          <w:rFonts w:ascii="Verdana" w:eastAsia="Calibri" w:hAnsi="Verdana" w:cs="Arial"/>
          <w:i/>
          <w:iCs/>
          <w:color w:val="000000"/>
          <w:lang w:val="es-ES" w:eastAsia="es-ES"/>
        </w:rPr>
        <w:t>especies</w:t>
      </w:r>
      <w:r w:rsidRPr="328AD567">
        <w:rPr>
          <w:rFonts w:ascii="Verdana" w:eastAsia="Calibri" w:hAnsi="Verdana" w:cs="Arial"/>
          <w:color w:val="000000"/>
          <w:lang w:val="es-ES" w:eastAsia="es-ES"/>
        </w:rPr>
        <w:t xml:space="preserve">, los contratos de prestación de servicios profesionales, los contratos de prestación de servicios de apoyo a la gestión y los contratos de </w:t>
      </w:r>
      <w:r w:rsidRPr="328AD567">
        <w:rPr>
          <w:rFonts w:ascii="Verdana" w:eastAsia="Calibri" w:hAnsi="Verdana" w:cs="Arial"/>
          <w:color w:val="000000"/>
          <w:lang w:val="es-ES" w:eastAsia="es-ES"/>
        </w:rPr>
        <w:lastRenderedPageBreak/>
        <w:t>prestación de servicios artísticos que solo pueden encomendarse a determinadas personas naturales</w:t>
      </w:r>
      <w:r w:rsidRPr="328AD567">
        <w:rPr>
          <w:rFonts w:ascii="Verdana" w:eastAsia="Calibri" w:hAnsi="Verdana" w:cs="Arial"/>
          <w:color w:val="000000"/>
          <w:vertAlign w:val="superscript"/>
          <w:lang w:val="es-ES" w:eastAsia="es-ES"/>
        </w:rPr>
        <w:footnoteReference w:id="6"/>
      </w:r>
      <w:r w:rsidRPr="328AD567">
        <w:rPr>
          <w:rFonts w:ascii="Verdana" w:eastAsia="Calibri" w:hAnsi="Verdana" w:cs="Arial"/>
          <w:color w:val="000000"/>
          <w:lang w:val="es-ES" w:eastAsia="es-ES"/>
        </w:rPr>
        <w:t xml:space="preserve">. La diferencia entre el contrato de prestación de servicios </w:t>
      </w:r>
      <w:r w:rsidRPr="328AD567">
        <w:rPr>
          <w:rFonts w:ascii="Verdana" w:eastAsia="Calibri" w:hAnsi="Verdana" w:cs="Arial"/>
          <w:i/>
          <w:iCs/>
          <w:color w:val="000000"/>
          <w:lang w:val="es-ES" w:eastAsia="es-ES"/>
        </w:rPr>
        <w:t>profesionales</w:t>
      </w:r>
      <w:r w:rsidRPr="328AD567">
        <w:rPr>
          <w:rFonts w:ascii="Verdana" w:eastAsia="Calibri" w:hAnsi="Verdana" w:cs="Arial"/>
          <w:color w:val="000000"/>
          <w:lang w:val="es-ES" w:eastAsia="es-ES"/>
        </w:rPr>
        <w:t xml:space="preserve"> con las otras dos especies del género en el cual se ubican radica en su contenido intelectual intangible y, al mismo tiempo, en la formación profesional que se exige para desempeñar la labor</w:t>
      </w:r>
      <w:r w:rsidRPr="328AD567">
        <w:rPr>
          <w:rFonts w:ascii="Verdana" w:eastAsia="Calibri" w:hAnsi="Verdana" w:cs="Arial"/>
          <w:color w:val="000000"/>
          <w:vertAlign w:val="superscript"/>
          <w:lang w:val="es-ES" w:eastAsia="es-ES"/>
        </w:rPr>
        <w:footnoteReference w:id="7"/>
      </w:r>
      <w:r w:rsidRPr="328AD567">
        <w:rPr>
          <w:rFonts w:ascii="Verdana" w:eastAsia="Calibri" w:hAnsi="Verdana" w:cs="Arial"/>
          <w:color w:val="000000"/>
          <w:lang w:val="es-ES" w:eastAsia="es-ES"/>
        </w:rPr>
        <w:t>.</w:t>
      </w:r>
    </w:p>
    <w:p w14:paraId="272BDEEF" w14:textId="77777777" w:rsidR="002933DA" w:rsidRPr="009E0E25" w:rsidRDefault="002933DA" w:rsidP="002933DA">
      <w:pPr>
        <w:spacing w:after="120" w:line="276" w:lineRule="auto"/>
        <w:ind w:firstLine="709"/>
        <w:jc w:val="both"/>
        <w:rPr>
          <w:rFonts w:ascii="Verdana" w:eastAsia="Calibri" w:hAnsi="Verdana" w:cs="Arial"/>
          <w:color w:val="000000"/>
          <w:lang w:val="es-ES" w:eastAsia="es-ES"/>
        </w:rPr>
      </w:pPr>
      <w:r w:rsidRPr="328AD567">
        <w:rPr>
          <w:rFonts w:ascii="Verdana" w:eastAsia="Calibri" w:hAnsi="Verdana" w:cs="Arial"/>
          <w:color w:val="000000"/>
          <w:lang w:val="es-ES" w:eastAsia="es-ES"/>
        </w:rPr>
        <w:t>f</w:t>
      </w:r>
      <w:r w:rsidRPr="009E0E25">
        <w:rPr>
          <w:rFonts w:ascii="Verdana" w:eastAsia="Calibri" w:hAnsi="Verdana" w:cs="Arial"/>
          <w:color w:val="000000"/>
          <w:lang w:val="es-ES" w:eastAsia="es-ES"/>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Pr="009E0E25">
        <w:rPr>
          <w:rFonts w:ascii="Verdana" w:eastAsia="Calibri" w:hAnsi="Verdana" w:cs="Arial"/>
          <w:color w:val="000000"/>
          <w:vertAlign w:val="superscript"/>
          <w:lang w:val="es-ES" w:eastAsia="es-ES"/>
        </w:rPr>
        <w:footnoteReference w:id="8"/>
      </w:r>
      <w:r w:rsidRPr="009E0E25">
        <w:rPr>
          <w:rFonts w:ascii="Verdana" w:eastAsia="Calibri" w:hAnsi="Verdana" w:cs="Arial"/>
          <w:color w:val="000000"/>
          <w:lang w:val="es-ES" w:eastAsia="es-ES"/>
        </w:rPr>
        <w:t xml:space="preserve">. Pero, tampoco puede suscribirse un contrato de prestación de servicios profesionales para que el contratista ejecute labores que </w:t>
      </w:r>
      <w:proofErr w:type="gramStart"/>
      <w:r w:rsidRPr="009E0E25">
        <w:rPr>
          <w:rFonts w:ascii="Verdana" w:eastAsia="Calibri" w:hAnsi="Verdana" w:cs="Arial"/>
          <w:color w:val="000000"/>
          <w:lang w:val="es-ES" w:eastAsia="es-ES"/>
        </w:rPr>
        <w:t>se enmarcan dentro de</w:t>
      </w:r>
      <w:proofErr w:type="gramEnd"/>
      <w:r w:rsidRPr="009E0E25">
        <w:rPr>
          <w:rFonts w:ascii="Verdana" w:eastAsia="Calibri" w:hAnsi="Verdana" w:cs="Arial"/>
          <w:color w:val="000000"/>
          <w:lang w:val="es-ES" w:eastAsia="es-ES"/>
        </w:rPr>
        <w:t xml:space="preserve"> los otros contratos tipificados en el artículo 32 de la Ley 80 de 1993, como, por ejemplo, para que el contratista de prestación de servicios construya una obra.</w:t>
      </w:r>
    </w:p>
    <w:p w14:paraId="591432EA" w14:textId="77777777" w:rsidR="002933DA" w:rsidRPr="009E0E25" w:rsidRDefault="002933DA" w:rsidP="002933D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g</w:t>
      </w:r>
      <w:r w:rsidRPr="009E0E25">
        <w:rPr>
          <w:rFonts w:ascii="Verdana" w:eastAsia="Calibri" w:hAnsi="Verdana" w:cs="Arial"/>
          <w:color w:val="000000"/>
          <w:lang w:val="es-ES" w:eastAsia="es-ES"/>
        </w:rPr>
        <w:t>) Para su celebración no se requiere en algunos casos la expedición del acto administrativo de justificación de la contratación directa</w:t>
      </w:r>
      <w:r w:rsidRPr="009E0E25">
        <w:rPr>
          <w:rFonts w:ascii="Verdana" w:eastAsia="Calibri" w:hAnsi="Verdana" w:cs="Arial"/>
          <w:color w:val="000000"/>
          <w:vertAlign w:val="superscript"/>
          <w:lang w:val="es-ES" w:eastAsia="es-ES"/>
        </w:rPr>
        <w:footnoteReference w:id="9"/>
      </w:r>
      <w:r w:rsidRPr="009E0E25">
        <w:rPr>
          <w:rFonts w:ascii="Verdana" w:eastAsia="Calibri" w:hAnsi="Verdana" w:cs="Arial"/>
          <w:color w:val="000000"/>
          <w:lang w:val="es-ES" w:eastAsia="es-ES"/>
        </w:rPr>
        <w:t xml:space="preserve">. </w:t>
      </w:r>
    </w:p>
    <w:p w14:paraId="76F22EC5" w14:textId="77777777" w:rsidR="002933DA" w:rsidRPr="009E0E25" w:rsidRDefault="002933DA" w:rsidP="002933D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lastRenderedPageBreak/>
        <w:t>h</w:t>
      </w:r>
      <w:r w:rsidRPr="009E0E25">
        <w:rPr>
          <w:rFonts w:ascii="Verdana" w:eastAsia="Calibri"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9E0E25">
        <w:rPr>
          <w:rFonts w:ascii="Verdana" w:eastAsia="Calibri" w:hAnsi="Verdana" w:cs="Arial"/>
          <w:color w:val="000000"/>
          <w:vertAlign w:val="superscript"/>
          <w:lang w:val="es-ES" w:eastAsia="es-ES"/>
        </w:rPr>
        <w:footnoteReference w:id="10"/>
      </w:r>
      <w:r w:rsidRPr="009E0E25">
        <w:rPr>
          <w:rFonts w:ascii="Verdana" w:eastAsia="Calibri" w:hAnsi="Verdana" w:cs="Arial"/>
          <w:color w:val="000000"/>
          <w:lang w:val="es-ES" w:eastAsia="es-ES"/>
        </w:rPr>
        <w:t>.</w:t>
      </w:r>
    </w:p>
    <w:p w14:paraId="43F92DC2" w14:textId="77777777" w:rsidR="002933DA" w:rsidRPr="009E0E25" w:rsidRDefault="002933DA" w:rsidP="002933D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i</w:t>
      </w:r>
      <w:r w:rsidRPr="009E0E25">
        <w:rPr>
          <w:rFonts w:ascii="Verdana" w:eastAsia="Calibri" w:hAnsi="Verdana" w:cs="Arial"/>
          <w:color w:val="000000"/>
          <w:lang w:val="es-ES" w:eastAsia="es-ES"/>
        </w:rPr>
        <w:t>) En algunos casos no es obligatoria la liquidación, pues así lo estableció el artículo 217 del Decreto 019 de 2012, que modificó el artículo 60 de la Ley 80 de 1993</w:t>
      </w:r>
      <w:r w:rsidRPr="009E0E25">
        <w:rPr>
          <w:rFonts w:ascii="Verdana" w:eastAsia="Calibri" w:hAnsi="Verdana" w:cs="Arial"/>
          <w:color w:val="000000"/>
          <w:vertAlign w:val="superscript"/>
          <w:lang w:val="es-ES" w:eastAsia="es-ES"/>
        </w:rPr>
        <w:footnoteReference w:id="11"/>
      </w:r>
      <w:r w:rsidRPr="009E0E25">
        <w:rPr>
          <w:rFonts w:ascii="Verdana" w:eastAsia="Calibri" w:hAnsi="Verdana" w:cs="Arial"/>
          <w:color w:val="000000"/>
          <w:lang w:val="es-ES" w:eastAsia="es-ES"/>
        </w:rPr>
        <w:t>, refiriéndose a los contratos de prestación de servicios profesionales y de apoyo a la gestión.</w:t>
      </w:r>
    </w:p>
    <w:p w14:paraId="495D3E6C" w14:textId="77777777" w:rsidR="002933DA" w:rsidRPr="009E0E25" w:rsidRDefault="002933DA" w:rsidP="002933DA">
      <w:pPr>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t>j) Para su celebración no se requiere inscripción en el Registro Único de Proponentes (RUP), según lo prevé el artículo 6 de la Ley 1150 de 2007</w:t>
      </w:r>
      <w:r w:rsidRPr="328AD567">
        <w:rPr>
          <w:rFonts w:ascii="Verdana" w:eastAsia="Calibri" w:hAnsi="Verdana" w:cs="Arial"/>
          <w:color w:val="000000"/>
          <w:vertAlign w:val="superscript"/>
          <w:lang w:val="es-ES" w:eastAsia="es-ES"/>
        </w:rPr>
        <w:footnoteReference w:id="12"/>
      </w:r>
      <w:r w:rsidRPr="328AD567">
        <w:rPr>
          <w:rFonts w:ascii="Verdana" w:eastAsia="Calibri" w:hAnsi="Verdana" w:cs="Arial"/>
          <w:color w:val="000000"/>
          <w:lang w:val="es-ES" w:eastAsia="es-ES"/>
        </w:rPr>
        <w:t>.</w:t>
      </w:r>
    </w:p>
    <w:p w14:paraId="19309200" w14:textId="77777777" w:rsidR="002933DA" w:rsidRPr="009E0E25" w:rsidRDefault="002933DA" w:rsidP="002933DA">
      <w:pPr>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t>xi) En ellos no son necesarias las garantías</w:t>
      </w:r>
      <w:r w:rsidRPr="328AD567">
        <w:rPr>
          <w:rFonts w:ascii="Verdana" w:eastAsia="Calibri" w:hAnsi="Verdana" w:cs="Arial"/>
          <w:color w:val="000000"/>
          <w:vertAlign w:val="superscript"/>
          <w:lang w:val="es-ES" w:eastAsia="es-ES"/>
        </w:rPr>
        <w:footnoteReference w:id="13"/>
      </w:r>
      <w:r w:rsidRPr="328AD567">
        <w:rPr>
          <w:rFonts w:ascii="Verdana" w:eastAsia="Calibri" w:hAnsi="Verdana" w:cs="Arial"/>
          <w:color w:val="000000"/>
          <w:lang w:val="es-ES" w:eastAsia="es-ES"/>
        </w:rPr>
        <w:t>.</w:t>
      </w:r>
    </w:p>
    <w:p w14:paraId="775DB887" w14:textId="77777777" w:rsidR="002933DA" w:rsidRDefault="002933DA" w:rsidP="002933DA">
      <w:pPr>
        <w:shd w:val="clear" w:color="auto" w:fill="FFFFFF"/>
        <w:spacing w:after="120" w:line="276" w:lineRule="auto"/>
        <w:jc w:val="both"/>
        <w:rPr>
          <w:rFonts w:ascii="Verdana" w:hAnsi="Verdana"/>
          <w:lang w:val="es-ES_tradnl"/>
        </w:rPr>
      </w:pPr>
    </w:p>
    <w:p w14:paraId="617D0B87" w14:textId="77777777" w:rsidR="002933DA" w:rsidRDefault="002933DA" w:rsidP="002933DA">
      <w:pPr>
        <w:shd w:val="clear" w:color="auto" w:fill="FFFFFF"/>
        <w:spacing w:after="0" w:line="276" w:lineRule="auto"/>
        <w:jc w:val="both"/>
        <w:rPr>
          <w:rFonts w:ascii="Verdana" w:hAnsi="Verdana"/>
        </w:rPr>
      </w:pPr>
      <w:proofErr w:type="spellStart"/>
      <w:r>
        <w:rPr>
          <w:rFonts w:ascii="Verdana" w:hAnsi="Verdana"/>
          <w:lang w:val="es-ES_tradnl"/>
        </w:rPr>
        <w:t>ii</w:t>
      </w:r>
      <w:proofErr w:type="spellEnd"/>
      <w:r>
        <w:rPr>
          <w:rFonts w:ascii="Verdana" w:hAnsi="Verdana"/>
          <w:lang w:val="es-ES_tradnl"/>
        </w:rPr>
        <w:t xml:space="preserve">. De lo expuesto en el anterior acápite, </w:t>
      </w:r>
      <w:r w:rsidRPr="009E0E25">
        <w:rPr>
          <w:rFonts w:ascii="Verdana" w:hAnsi="Verdana"/>
        </w:rPr>
        <w:t xml:space="preserve">la diferencia entre el contrato de prestación de servicios regulado por el numeral 3 del artículo 32 de la Ley 80 de 1993 y el contrato de carácter laboral radica esencialmente en el elemento de la subordinación o dependencia, en la medida en que, en el contrato de prestación de servicios, necesariamente, el contratista no puede tener frente a la </w:t>
      </w:r>
      <w:r w:rsidRPr="009E0E25">
        <w:rPr>
          <w:rFonts w:ascii="Verdana" w:hAnsi="Verdana"/>
        </w:rPr>
        <w:lastRenderedPageBreak/>
        <w:t>Administración calidad diferente a la de contratista independiente sin derecho a prestaciones sociales. En contraste, en el evento en que se acredite la existencia de un trabajo subordinado o dependiente donde las entidades estatales contratantes adoptan una actitud con vocación a impartir órdenes a quien presta el servicio para que se efectúe la ejecución de la labor contratada o determina la fijación de horario de trabajo para la prestación del servicio, es claro que resultaría posible que se tipifique dicho negocio jurídico como un contrato laboral, circunstancia que haría que surgiera derecho al pago de prestaciones sociales.</w:t>
      </w:r>
      <w:r>
        <w:rPr>
          <w:rFonts w:ascii="Verdana" w:hAnsi="Verdana"/>
        </w:rPr>
        <w:t xml:space="preserve"> Al respecto, la Doctrina expresa:</w:t>
      </w:r>
    </w:p>
    <w:p w14:paraId="153016E2" w14:textId="77777777" w:rsidR="002933DA" w:rsidRDefault="002933DA" w:rsidP="002933DA">
      <w:pPr>
        <w:shd w:val="clear" w:color="auto" w:fill="FFFFFF"/>
        <w:spacing w:after="0" w:line="276" w:lineRule="auto"/>
        <w:jc w:val="both"/>
        <w:rPr>
          <w:rFonts w:ascii="Verdana" w:hAnsi="Verdana"/>
        </w:rPr>
      </w:pPr>
      <w:r>
        <w:rPr>
          <w:rFonts w:ascii="Verdana" w:hAnsi="Verdana"/>
        </w:rPr>
        <w:t xml:space="preserve"> </w:t>
      </w:r>
    </w:p>
    <w:p w14:paraId="70EA9199" w14:textId="77777777" w:rsidR="002933DA" w:rsidRPr="00F937A9" w:rsidRDefault="002933DA" w:rsidP="002933DA">
      <w:pPr>
        <w:shd w:val="clear" w:color="auto" w:fill="FFFFFF"/>
        <w:spacing w:after="0" w:line="240" w:lineRule="auto"/>
        <w:ind w:left="709" w:right="709"/>
        <w:jc w:val="both"/>
        <w:rPr>
          <w:rFonts w:ascii="Verdana" w:hAnsi="Verdana"/>
          <w:sz w:val="21"/>
          <w:szCs w:val="21"/>
        </w:rPr>
      </w:pPr>
      <w:r w:rsidRPr="00F937A9">
        <w:rPr>
          <w:rFonts w:ascii="Verdana" w:hAnsi="Verdana"/>
          <w:sz w:val="21"/>
          <w:szCs w:val="21"/>
        </w:rPr>
        <w:t>La subordinación implica ausencia de autonomía en el desempeño de las funciones que hacen parte del contenido funcional del puesto de trabajo, por ello la jurisprudencia ha sido enfática al señalar que el carácter independiente del contratista no puede ni debe confundirse con la idoneidad: esta se exige para el desempeño de los diferentes empleos públicos en cumplimiento de los principios de mérito y capacidad, al igual se sobreentiende en aquellos que han sido vinculados mediante contratos de prestación de servicios por poseer unos conocimientos especializados respectivo de determinada materia</w:t>
      </w:r>
      <w:r w:rsidRPr="00F937A9">
        <w:rPr>
          <w:rStyle w:val="Refdenotaalpie"/>
          <w:rFonts w:ascii="Verdana" w:hAnsi="Verdana"/>
          <w:sz w:val="21"/>
          <w:szCs w:val="21"/>
        </w:rPr>
        <w:footnoteReference w:id="14"/>
      </w:r>
      <w:r w:rsidRPr="00F937A9">
        <w:rPr>
          <w:rFonts w:ascii="Verdana" w:hAnsi="Verdana"/>
          <w:sz w:val="21"/>
          <w:szCs w:val="21"/>
        </w:rPr>
        <w:t xml:space="preserve">. </w:t>
      </w:r>
    </w:p>
    <w:p w14:paraId="71E08EF1" w14:textId="77777777" w:rsidR="002933DA" w:rsidRDefault="002933DA" w:rsidP="002933DA">
      <w:pPr>
        <w:shd w:val="clear" w:color="auto" w:fill="FFFFFF"/>
        <w:spacing w:after="120" w:line="276" w:lineRule="auto"/>
        <w:jc w:val="both"/>
        <w:rPr>
          <w:rFonts w:ascii="Verdana" w:hAnsi="Verdana"/>
        </w:rPr>
      </w:pPr>
    </w:p>
    <w:p w14:paraId="4ED8B733" w14:textId="77777777" w:rsidR="002933DA" w:rsidRDefault="002933DA" w:rsidP="002933DA">
      <w:pPr>
        <w:shd w:val="clear" w:color="auto" w:fill="FFFFFF"/>
        <w:spacing w:after="120" w:line="276" w:lineRule="auto"/>
        <w:ind w:firstLine="567"/>
        <w:jc w:val="both"/>
        <w:rPr>
          <w:rFonts w:ascii="Verdana" w:hAnsi="Verdana"/>
        </w:rPr>
      </w:pPr>
      <w:r>
        <w:rPr>
          <w:rFonts w:ascii="Verdana" w:hAnsi="Verdana"/>
        </w:rPr>
        <w:t>Teniendo en cuenta las particularidades y características de los contratos de prestación de servicios no puede asimilarse a una relación laboral que tiene los servidores públicos, ya sea una relación legal y reglamentaria como los empleados públicos, o los trabajadores mediante contratos de trabajo. Este aspecto es importante para comprender que los contratistas de prestación de servicios no tienen derecho al pago de prestaciones sociales ni beneficios en el marco del Sistema de Bienestar a los servidores públicos. En tal sentido, es pertinente precisar varios aspectos:</w:t>
      </w:r>
    </w:p>
    <w:p w14:paraId="6AF8FEE9" w14:textId="77777777" w:rsidR="002933DA" w:rsidRPr="00AE1BEC" w:rsidRDefault="002933DA" w:rsidP="002933DA">
      <w:pPr>
        <w:spacing w:after="120" w:line="276" w:lineRule="auto"/>
        <w:ind w:firstLine="567"/>
        <w:jc w:val="both"/>
        <w:rPr>
          <w:rFonts w:ascii="Verdana" w:hAnsi="Verdana"/>
        </w:rPr>
      </w:pPr>
      <w:r>
        <w:rPr>
          <w:rFonts w:ascii="Verdana" w:hAnsi="Verdana"/>
        </w:rPr>
        <w:t xml:space="preserve">En primer lugar, no hay una obligación legal de las entidades estatales de entregar dotación a los contratistas de prestación de servicios, pues esta es una prestación social que consiste </w:t>
      </w:r>
      <w:r w:rsidRPr="00AE1BEC">
        <w:rPr>
          <w:rFonts w:ascii="Verdana" w:hAnsi="Verdana"/>
        </w:rPr>
        <w:t>en la entrega gratuita y materi</w:t>
      </w:r>
      <w:r>
        <w:rPr>
          <w:rFonts w:ascii="Verdana" w:hAnsi="Verdana"/>
        </w:rPr>
        <w:t xml:space="preserve">al de un vestido y un calzado por parte de la entidad pública empleadora </w:t>
      </w:r>
      <w:r w:rsidRPr="00AE1BEC">
        <w:rPr>
          <w:rFonts w:ascii="Verdana" w:hAnsi="Verdana"/>
        </w:rPr>
        <w:t xml:space="preserve">y para uso del servidor </w:t>
      </w:r>
      <w:r>
        <w:rPr>
          <w:rFonts w:ascii="Verdana" w:hAnsi="Verdana"/>
        </w:rPr>
        <w:t xml:space="preserve">público en las funciones propias del empleo que ejerce, </w:t>
      </w:r>
      <w:proofErr w:type="gramStart"/>
      <w:r>
        <w:rPr>
          <w:rFonts w:ascii="Verdana" w:hAnsi="Verdana"/>
        </w:rPr>
        <w:t>de acuerdo a</w:t>
      </w:r>
      <w:proofErr w:type="gramEnd"/>
      <w:r>
        <w:rPr>
          <w:rFonts w:ascii="Verdana" w:hAnsi="Verdana"/>
        </w:rPr>
        <w:t xml:space="preserve"> lo prescrito </w:t>
      </w:r>
      <w:r>
        <w:rPr>
          <w:rFonts w:ascii="Verdana" w:hAnsi="Verdana"/>
        </w:rPr>
        <w:lastRenderedPageBreak/>
        <w:t>en el artículo 1° de la Ley 70 de 1988</w:t>
      </w:r>
      <w:r>
        <w:rPr>
          <w:rStyle w:val="Refdenotaalpie"/>
          <w:rFonts w:ascii="Verdana" w:hAnsi="Verdana"/>
        </w:rPr>
        <w:footnoteReference w:id="15"/>
      </w:r>
      <w:r>
        <w:rPr>
          <w:rFonts w:ascii="Verdana" w:hAnsi="Verdana"/>
        </w:rPr>
        <w:t xml:space="preserve">. Esto, sin perjuicio de la posibilidad de entregar indumentarias o insumos a contratistas para que apoyen en el desarrollo de actividades misionales de la entidad. </w:t>
      </w:r>
    </w:p>
    <w:p w14:paraId="6D58133F" w14:textId="77777777" w:rsidR="002933DA" w:rsidRPr="000A3FB9" w:rsidRDefault="002933DA" w:rsidP="002933DA">
      <w:pPr>
        <w:shd w:val="clear" w:color="auto" w:fill="FFFFFF"/>
        <w:spacing w:after="120" w:line="276" w:lineRule="auto"/>
        <w:ind w:firstLine="567"/>
        <w:jc w:val="both"/>
        <w:rPr>
          <w:rFonts w:ascii="Verdana" w:hAnsi="Verdana"/>
        </w:rPr>
      </w:pPr>
      <w:r w:rsidRPr="000A3FB9">
        <w:rPr>
          <w:rFonts w:ascii="Verdana" w:hAnsi="Verdana"/>
        </w:rPr>
        <w:t xml:space="preserve">En segundo lugar, frente a la entrega de incentivos pecuniarios o no pecuniarios, es pertinente precisar que no es posible otorgar incentivos pecuniarios a los contratistas, esto es, reconocimientos económicos derivados de su desempeño, pues no puede comprenderse como servidores públicos, los cuales tienen derecho a incentivos, </w:t>
      </w:r>
      <w:proofErr w:type="gramStart"/>
      <w:r w:rsidRPr="000A3FB9">
        <w:rPr>
          <w:rFonts w:ascii="Verdana" w:hAnsi="Verdana"/>
        </w:rPr>
        <w:t>de acuerdo a</w:t>
      </w:r>
      <w:proofErr w:type="gramEnd"/>
      <w:r w:rsidRPr="000A3FB9">
        <w:rPr>
          <w:rFonts w:ascii="Verdana" w:hAnsi="Verdana"/>
        </w:rPr>
        <w:t xml:space="preserve"> las condiciones, limitaciones y prohibiciones dispuestas en el Decreto Ley 1567 de 1998. Con respectivo a los incentivos no pecuniarios, es importante revisar que estos no deben implicar compromisos presupuestales para la entrega de becas, financiación de investigaciones, entre otras, por el contrario, deben ser reconocimientos no económicos por el desempeño de sus actividades</w:t>
      </w:r>
      <w:r>
        <w:rPr>
          <w:rFonts w:ascii="Verdana" w:hAnsi="Verdana"/>
        </w:rPr>
        <w:t xml:space="preserve"> como contratistas de prestación de servicios</w:t>
      </w:r>
      <w:r w:rsidRPr="000A3FB9">
        <w:rPr>
          <w:rFonts w:ascii="Verdana" w:hAnsi="Verdana"/>
        </w:rPr>
        <w:t xml:space="preserve">.  </w:t>
      </w:r>
    </w:p>
    <w:p w14:paraId="66E75996" w14:textId="77777777" w:rsidR="002933DA" w:rsidRDefault="002933DA" w:rsidP="002933DA">
      <w:pPr>
        <w:shd w:val="clear" w:color="auto" w:fill="FFFFFF"/>
        <w:spacing w:after="120" w:line="276" w:lineRule="auto"/>
        <w:ind w:firstLine="567"/>
        <w:jc w:val="both"/>
        <w:rPr>
          <w:rFonts w:ascii="Verdana" w:hAnsi="Verdana"/>
          <w:bCs/>
        </w:rPr>
      </w:pPr>
      <w:r w:rsidRPr="000A3FB9">
        <w:rPr>
          <w:rFonts w:ascii="Verdana" w:hAnsi="Verdana"/>
        </w:rPr>
        <w:t xml:space="preserve">En tercer lugar, frente a las gratificaciones no debe confundirse con la </w:t>
      </w:r>
      <w:r w:rsidRPr="000A3FB9">
        <w:rPr>
          <w:rFonts w:ascii="Verdana" w:hAnsi="Verdana"/>
          <w:bCs/>
        </w:rPr>
        <w:t>prima</w:t>
      </w:r>
      <w:r>
        <w:rPr>
          <w:rFonts w:ascii="Verdana" w:hAnsi="Verdana"/>
          <w:bCs/>
        </w:rPr>
        <w:t xml:space="preserve"> de navidad, que es una prestación social otorgada a los empleados públicos por la ley. Esto puede relacionarse con reconocimientos no económicos que se les brinda a empleados públicos, y eventualmente a contratistas en el desarrollo de diversas actividades.</w:t>
      </w:r>
    </w:p>
    <w:p w14:paraId="5464B984" w14:textId="77777777" w:rsidR="002933DA" w:rsidRPr="000A3FB9" w:rsidRDefault="002933DA" w:rsidP="002933DA">
      <w:pPr>
        <w:shd w:val="clear" w:color="auto" w:fill="FFFFFF"/>
        <w:spacing w:after="120" w:line="276" w:lineRule="auto"/>
        <w:ind w:firstLine="567"/>
        <w:jc w:val="both"/>
        <w:rPr>
          <w:rFonts w:ascii="Verdana" w:hAnsi="Verdana"/>
        </w:rPr>
      </w:pPr>
      <w:r>
        <w:rPr>
          <w:rFonts w:ascii="Verdana" w:hAnsi="Verdana"/>
        </w:rPr>
        <w:t xml:space="preserve">Este tipo de incentivos o gratificaciones de carácter no pecuniario a contratistas de prestación de servicios de las entidades públicas, deben tener en cuenta las reglas, directrices y lineamientos dispuestas sobre austeridad del gasto público promovido por el Gobierno Nacional, así como por las entidades del orden territorial, con el fin de una administración adecuada y eficiente del recurso público. </w:t>
      </w:r>
    </w:p>
    <w:p w14:paraId="372DD79E" w14:textId="77777777" w:rsidR="002933DA" w:rsidRPr="00E42496" w:rsidRDefault="002933DA" w:rsidP="002933DA">
      <w:pPr>
        <w:spacing w:after="0" w:line="276" w:lineRule="auto"/>
        <w:ind w:firstLine="567"/>
        <w:jc w:val="both"/>
        <w:rPr>
          <w:rFonts w:ascii="Verdana" w:hAnsi="Verdana" w:cs="Arial"/>
          <w:bCs/>
          <w:color w:val="000000" w:themeColor="text1"/>
          <w:lang w:val="es-ES"/>
        </w:rPr>
      </w:pPr>
      <w:r w:rsidRPr="00685A0D">
        <w:rPr>
          <w:rFonts w:ascii="Verdana" w:hAnsi="Verdana" w:cs="Arial"/>
          <w:bCs/>
          <w:lang w:val="es-ES_tradnl" w:eastAsia="es-ES"/>
        </w:rPr>
        <w:t>En</w:t>
      </w:r>
      <w:r>
        <w:rPr>
          <w:rFonts w:ascii="Verdana" w:hAnsi="Verdana" w:cs="Arial"/>
          <w:bCs/>
          <w:lang w:val="es-ES_tradnl" w:eastAsia="es-ES"/>
        </w:rPr>
        <w:t xml:space="preserve"> todo caso</w:t>
      </w:r>
      <w:r w:rsidRPr="00685A0D">
        <w:rPr>
          <w:rFonts w:ascii="Verdana" w:hAnsi="Verdana" w:cs="Arial"/>
          <w:bCs/>
          <w:lang w:val="es-ES_tradnl" w:eastAsia="es-ES"/>
        </w:rPr>
        <w:t xml:space="preserve">, </w:t>
      </w:r>
      <w:r w:rsidRPr="00685A0D">
        <w:rPr>
          <w:rFonts w:ascii="Verdana" w:hAnsi="Verdana" w:cs="Arial"/>
          <w:bCs/>
          <w:lang w:eastAsia="es-ES"/>
        </w:rPr>
        <w:t xml:space="preserve">la entidad pública definirá en cada caso concreto lo relacionado con el tema objeto de consulta y teniendo en cuenta lo dispuesto en las normas previamente citadas. Al tratarse de un análisis que debe realizarse en el procedimiento contractual específico, la Agencia no puede definir un criterio universal y absoluto por vía consultiva, sino que brinda elementos de carácter general para que los partícipes del sistema de contratación pública adopten la </w:t>
      </w:r>
      <w:r w:rsidRPr="00685A0D">
        <w:rPr>
          <w:rFonts w:ascii="Verdana" w:hAnsi="Verdana" w:cs="Arial"/>
          <w:bCs/>
          <w:lang w:eastAsia="es-ES"/>
        </w:rPr>
        <w:lastRenderedPageBreak/>
        <w:t>decisión que corresponda, que sea acorde con el principio de juridicidad, sin que sea atribución de esta Agencia validar su gestión contractual</w:t>
      </w:r>
      <w:r>
        <w:rPr>
          <w:rFonts w:ascii="Verdana" w:hAnsi="Verdana" w:cs="Arial"/>
          <w:bCs/>
          <w:lang w:eastAsia="es-ES"/>
        </w:rPr>
        <w:t>.</w:t>
      </w:r>
      <w:r w:rsidRPr="00D81E8E">
        <w:rPr>
          <w:rFonts w:ascii="Verdana" w:hAnsi="Verdana" w:cs="Arial"/>
          <w:bCs/>
          <w:color w:val="000000" w:themeColor="text1"/>
          <w:lang w:val="es-ES"/>
        </w:rPr>
        <w:t xml:space="preserve"> </w:t>
      </w:r>
    </w:p>
    <w:p w14:paraId="74B599FE" w14:textId="77777777" w:rsidR="002933DA" w:rsidRPr="006A0F21" w:rsidRDefault="002933DA" w:rsidP="002933DA">
      <w:pPr>
        <w:spacing w:after="0" w:line="276" w:lineRule="auto"/>
        <w:jc w:val="both"/>
        <w:rPr>
          <w:rFonts w:ascii="Verdana" w:eastAsia="Calibri" w:hAnsi="Verdana" w:cs="Arial"/>
          <w:lang w:eastAsia="es-MX"/>
        </w:rPr>
      </w:pPr>
    </w:p>
    <w:p w14:paraId="75E19E0E" w14:textId="77777777" w:rsidR="002933DA" w:rsidRPr="006A0F21" w:rsidRDefault="002933DA" w:rsidP="002933DA">
      <w:pPr>
        <w:numPr>
          <w:ilvl w:val="0"/>
          <w:numId w:val="19"/>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 xml:space="preserve">Referencias normativas, </w:t>
      </w:r>
      <w:r w:rsidRPr="006A0F21">
        <w:rPr>
          <w:rFonts w:ascii="Verdana" w:eastAsia="Century Gothic" w:hAnsi="Verdana" w:cs="Century Gothic"/>
          <w:b/>
          <w:bCs/>
          <w:lang w:val="es-ES"/>
        </w:rPr>
        <w:t>jurisprudenciales</w:t>
      </w:r>
      <w:r>
        <w:rPr>
          <w:rFonts w:ascii="Verdana" w:eastAsia="Century Gothic" w:hAnsi="Verdana" w:cs="Century Gothic"/>
          <w:b/>
          <w:bCs/>
          <w:lang w:val="es-ES"/>
        </w:rPr>
        <w:t xml:space="preserve"> y otras fuentes</w:t>
      </w:r>
      <w:r w:rsidRPr="006A0F21">
        <w:rPr>
          <w:rFonts w:ascii="Verdana" w:eastAsia="Century Gothic" w:hAnsi="Verdana" w:cs="Century Gothic"/>
          <w:b/>
          <w:bCs/>
          <w:lang w:val="es-ES"/>
        </w:rPr>
        <w:t>:</w:t>
      </w:r>
    </w:p>
    <w:p w14:paraId="6B7977CB" w14:textId="77777777" w:rsidR="002933DA" w:rsidRPr="006A0F21" w:rsidRDefault="002933DA" w:rsidP="002933D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933DA" w:rsidRPr="006A0F21" w14:paraId="2B65ABDA" w14:textId="77777777" w:rsidTr="009C41F8">
        <w:trPr>
          <w:trHeight w:val="856"/>
          <w:jc w:val="center"/>
        </w:trPr>
        <w:tc>
          <w:tcPr>
            <w:tcW w:w="8647" w:type="dxa"/>
          </w:tcPr>
          <w:p w14:paraId="2DF59890" w14:textId="77777777" w:rsidR="002933DA"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Pr>
                <w:rFonts w:ascii="Verdana" w:eastAsia="Calibri" w:hAnsi="Verdana" w:cs="Arial"/>
                <w:lang w:val="es-ES"/>
              </w:rPr>
              <w:t xml:space="preserve">Ley 70 de 1988, artículo 1. </w:t>
            </w:r>
          </w:p>
          <w:p w14:paraId="41EAA2DB" w14:textId="77777777" w:rsidR="002933DA" w:rsidRPr="009D6D8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9D6D87">
              <w:rPr>
                <w:rFonts w:ascii="Verdana" w:eastAsia="Calibri" w:hAnsi="Verdana" w:cs="Arial"/>
                <w:lang w:val="es-ES"/>
              </w:rPr>
              <w:t>Ley 80 de 1993, artículo 32 y 41.</w:t>
            </w:r>
          </w:p>
          <w:p w14:paraId="61767D87" w14:textId="77777777" w:rsidR="002933DA" w:rsidRPr="009D6D8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9D6D87">
              <w:rPr>
                <w:rFonts w:ascii="Verdana" w:eastAsia="Calibri" w:hAnsi="Verdana" w:cs="Arial"/>
                <w:lang w:val="es-ES"/>
              </w:rPr>
              <w:t xml:space="preserve">Ley 1150 de 2007, artículo 2, numeral 4º, literal h). </w:t>
            </w:r>
          </w:p>
          <w:p w14:paraId="19BA994F" w14:textId="77777777" w:rsidR="002933DA" w:rsidRPr="009D6D8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9D6D87">
              <w:rPr>
                <w:rFonts w:ascii="Verdana" w:eastAsia="Calibri" w:hAnsi="Verdana" w:cs="Arial"/>
                <w:lang w:val="es-ES"/>
              </w:rPr>
              <w:t xml:space="preserve">Decreto 1082 de 2015, artículo 2.2.1.2.1.4.9. </w:t>
            </w:r>
          </w:p>
          <w:p w14:paraId="26982971" w14:textId="77777777" w:rsidR="002933DA" w:rsidRPr="00675708"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675708">
              <w:rPr>
                <w:rFonts w:ascii="Verdana" w:eastAsia="Calibri" w:hAnsi="Verdana" w:cs="Arial"/>
                <w:lang w:val="es-ES"/>
              </w:rPr>
              <w:t xml:space="preserve">CONSEJO DE ESTADO. Sección Tercera. Subsección C. Sentencia del 2 de diciembre de 2013. </w:t>
            </w:r>
            <w:proofErr w:type="spellStart"/>
            <w:r w:rsidRPr="00675708">
              <w:rPr>
                <w:rFonts w:ascii="Verdana" w:eastAsia="Calibri" w:hAnsi="Verdana" w:cs="Arial"/>
                <w:lang w:val="es-ES"/>
              </w:rPr>
              <w:t>Exp</w:t>
            </w:r>
            <w:proofErr w:type="spellEnd"/>
            <w:r w:rsidRPr="00675708">
              <w:rPr>
                <w:rFonts w:ascii="Verdana" w:eastAsia="Calibri" w:hAnsi="Verdana" w:cs="Arial"/>
                <w:lang w:val="es-ES"/>
              </w:rPr>
              <w:t>. 41719. C.P. Jaime Orlando Santofimio Gamboa.</w:t>
            </w:r>
          </w:p>
          <w:p w14:paraId="367AA14E" w14:textId="77777777" w:rsidR="002933DA" w:rsidRPr="00265A9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265A97">
              <w:rPr>
                <w:rFonts w:ascii="Verdana" w:eastAsia="Calibri" w:hAnsi="Verdana" w:cs="Arial"/>
                <w:lang w:val="pt-BR"/>
              </w:rPr>
              <w:t xml:space="preserve">CORTE CONSTITUCIONAL. Sentencia C-133 de 1993. M.P. Vladimiro </w:t>
            </w:r>
            <w:proofErr w:type="spellStart"/>
            <w:r w:rsidRPr="00265A97">
              <w:rPr>
                <w:rFonts w:ascii="Verdana" w:eastAsia="Calibri" w:hAnsi="Verdana" w:cs="Arial"/>
                <w:lang w:val="pt-BR"/>
              </w:rPr>
              <w:t>Naranjo</w:t>
            </w:r>
            <w:proofErr w:type="spellEnd"/>
            <w:r w:rsidRPr="00265A97">
              <w:rPr>
                <w:rFonts w:ascii="Verdana" w:eastAsia="Calibri" w:hAnsi="Verdana" w:cs="Arial"/>
                <w:lang w:val="pt-BR"/>
              </w:rPr>
              <w:t xml:space="preserve"> Mesa.  </w:t>
            </w:r>
          </w:p>
          <w:p w14:paraId="198AEB3B" w14:textId="77777777" w:rsidR="002933DA" w:rsidRPr="009D6D8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265A97">
              <w:rPr>
                <w:rFonts w:ascii="Verdana" w:eastAsia="Calibri" w:hAnsi="Verdana" w:cs="Arial"/>
                <w:lang w:val="pt-BR"/>
              </w:rPr>
              <w:t xml:space="preserve">CORTE CONSTITUCIONAL. Sentencia C-154 de 1997. </w:t>
            </w:r>
            <w:r w:rsidRPr="009D6D87">
              <w:rPr>
                <w:rFonts w:ascii="Verdana" w:eastAsia="Calibri" w:hAnsi="Verdana" w:cs="Arial"/>
                <w:lang w:val="es-ES"/>
              </w:rPr>
              <w:t>M.P. Hernando Herrera Vergara.</w:t>
            </w:r>
          </w:p>
          <w:p w14:paraId="016EEB43" w14:textId="77777777" w:rsidR="002933DA" w:rsidRPr="00265A9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pt-BR"/>
              </w:rPr>
            </w:pPr>
            <w:r w:rsidRPr="00265A97">
              <w:rPr>
                <w:rFonts w:ascii="Verdana" w:eastAsia="Calibri" w:hAnsi="Verdana" w:cs="Arial"/>
                <w:lang w:val="pt-BR"/>
              </w:rPr>
              <w:t xml:space="preserve">CORTE CONSTITUCIONAL. Sentencia C-614 de 2009. M.P. Jorge Ignacio </w:t>
            </w:r>
            <w:proofErr w:type="spellStart"/>
            <w:r w:rsidRPr="00265A97">
              <w:rPr>
                <w:rFonts w:ascii="Verdana" w:eastAsia="Calibri" w:hAnsi="Verdana" w:cs="Arial"/>
                <w:lang w:val="pt-BR"/>
              </w:rPr>
              <w:t>Pretelt</w:t>
            </w:r>
            <w:proofErr w:type="spellEnd"/>
            <w:r w:rsidRPr="00265A97">
              <w:rPr>
                <w:rFonts w:ascii="Verdana" w:eastAsia="Calibri" w:hAnsi="Verdana" w:cs="Arial"/>
                <w:lang w:val="pt-BR"/>
              </w:rPr>
              <w:t xml:space="preserve"> </w:t>
            </w:r>
            <w:proofErr w:type="spellStart"/>
            <w:r w:rsidRPr="00265A97">
              <w:rPr>
                <w:rFonts w:ascii="Verdana" w:eastAsia="Calibri" w:hAnsi="Verdana" w:cs="Arial"/>
                <w:lang w:val="pt-BR"/>
              </w:rPr>
              <w:t>Chaljub</w:t>
            </w:r>
            <w:proofErr w:type="spellEnd"/>
            <w:r w:rsidRPr="00265A97">
              <w:rPr>
                <w:rFonts w:ascii="Verdana" w:eastAsia="Calibri" w:hAnsi="Verdana" w:cs="Arial"/>
                <w:lang w:val="pt-BR"/>
              </w:rPr>
              <w:t>.</w:t>
            </w:r>
          </w:p>
          <w:p w14:paraId="17441EFE" w14:textId="77777777" w:rsidR="002933DA" w:rsidRPr="009D6D87" w:rsidRDefault="002933DA" w:rsidP="002933DA">
            <w:pPr>
              <w:widowControl w:val="0"/>
              <w:numPr>
                <w:ilvl w:val="0"/>
                <w:numId w:val="20"/>
              </w:numPr>
              <w:autoSpaceDE w:val="0"/>
              <w:autoSpaceDN w:val="0"/>
              <w:spacing w:before="120" w:after="120" w:line="276" w:lineRule="auto"/>
              <w:ind w:left="714" w:hanging="357"/>
              <w:jc w:val="both"/>
              <w:rPr>
                <w:rFonts w:ascii="Verdana" w:eastAsia="Calibri" w:hAnsi="Verdana" w:cs="Arial"/>
                <w:lang w:val="es-ES"/>
              </w:rPr>
            </w:pPr>
            <w:r w:rsidRPr="00675708">
              <w:rPr>
                <w:rFonts w:ascii="Verdana" w:eastAsia="Calibri" w:hAnsi="Verdana" w:cs="Arial"/>
                <w:lang w:val="es-ES"/>
              </w:rPr>
              <w:t xml:space="preserve">RINCÓN CÓRDOBA, Jorge Iván. Derecho Administrativo Laboral. Empleo público, sistema de carrera administrativa y derecho a la estabilidad laboral. Bogotá: Universidad Externado de Colombia, 2009. pp. 375-376.  </w:t>
            </w:r>
          </w:p>
        </w:tc>
      </w:tr>
    </w:tbl>
    <w:p w14:paraId="767E844D" w14:textId="77777777" w:rsidR="002933DA" w:rsidRPr="006A0F21" w:rsidRDefault="002933DA" w:rsidP="002933DA">
      <w:pPr>
        <w:widowControl w:val="0"/>
        <w:autoSpaceDE w:val="0"/>
        <w:autoSpaceDN w:val="0"/>
        <w:spacing w:after="0" w:line="276" w:lineRule="auto"/>
        <w:jc w:val="both"/>
        <w:rPr>
          <w:rFonts w:ascii="Verdana" w:hAnsi="Verdana" w:cs="Arial"/>
        </w:rPr>
      </w:pPr>
    </w:p>
    <w:p w14:paraId="6EA665B5" w14:textId="77777777" w:rsidR="002933DA" w:rsidRPr="00B57BF9" w:rsidRDefault="002933DA" w:rsidP="002933DA">
      <w:pPr>
        <w:pStyle w:val="Prrafodelista"/>
        <w:numPr>
          <w:ilvl w:val="0"/>
          <w:numId w:val="19"/>
        </w:numPr>
        <w:tabs>
          <w:tab w:val="left" w:pos="142"/>
          <w:tab w:val="left" w:pos="284"/>
        </w:tabs>
        <w:spacing w:after="0" w:line="276" w:lineRule="auto"/>
        <w:jc w:val="both"/>
        <w:rPr>
          <w:rFonts w:ascii="Verdana" w:eastAsia="Century Gothic" w:hAnsi="Verdana" w:cs="Century Gothic"/>
          <w:b/>
          <w:bCs/>
        </w:rPr>
      </w:pPr>
      <w:r w:rsidRPr="00B57BF9">
        <w:rPr>
          <w:rFonts w:ascii="Verdana" w:eastAsia="Century Gothic" w:hAnsi="Verdana" w:cs="Century Gothic"/>
          <w:b/>
          <w:bCs/>
        </w:rPr>
        <w:t>Doctrina de la Agencia Nacional de Contratación Pública:</w:t>
      </w:r>
    </w:p>
    <w:p w14:paraId="0098D05C" w14:textId="77777777" w:rsidR="002933DA" w:rsidRPr="006A0F21" w:rsidRDefault="002933DA" w:rsidP="002933DA">
      <w:pPr>
        <w:widowControl w:val="0"/>
        <w:autoSpaceDE w:val="0"/>
        <w:autoSpaceDN w:val="0"/>
        <w:spacing w:after="0" w:line="276" w:lineRule="auto"/>
        <w:jc w:val="both"/>
        <w:rPr>
          <w:rFonts w:ascii="Verdana" w:hAnsi="Verdana" w:cs="Arial"/>
        </w:rPr>
      </w:pPr>
    </w:p>
    <w:p w14:paraId="017E19CA" w14:textId="77777777" w:rsidR="002933DA" w:rsidRPr="006A0F21" w:rsidRDefault="002933DA" w:rsidP="002933DA">
      <w:pPr>
        <w:spacing w:after="0" w:line="276" w:lineRule="auto"/>
        <w:jc w:val="both"/>
        <w:rPr>
          <w:rFonts w:ascii="Verdana" w:hAnsi="Verdana" w:cs="Arial"/>
          <w:shd w:val="clear" w:color="auto" w:fill="FFFFFF"/>
        </w:rPr>
      </w:pPr>
      <w:r>
        <w:rPr>
          <w:rFonts w:ascii="Verdana" w:hAnsi="Verdana" w:cs="Arial"/>
          <w:shd w:val="clear" w:color="auto" w:fill="FFFFFF"/>
          <w:lang w:val="es-ES"/>
        </w:rPr>
        <w:t xml:space="preserve">La Subdirección de Gestión Contractual de la </w:t>
      </w:r>
      <w:r w:rsidRPr="001643AB">
        <w:rPr>
          <w:rFonts w:ascii="Verdana" w:hAnsi="Verdana" w:cs="Arial"/>
          <w:shd w:val="clear" w:color="auto" w:fill="FFFFFF"/>
          <w:lang w:val="es-ES"/>
        </w:rPr>
        <w:t>Agencia Nacional de Contratación Pública – Colombia Compra</w:t>
      </w:r>
      <w:r>
        <w:rPr>
          <w:rFonts w:ascii="Verdana" w:hAnsi="Verdana" w:cs="Arial"/>
          <w:shd w:val="clear" w:color="auto" w:fill="FFFFFF"/>
          <w:lang w:val="es-ES"/>
        </w:rPr>
        <w:t xml:space="preserve"> Eficiente</w:t>
      </w:r>
      <w:r w:rsidRPr="001643AB">
        <w:rPr>
          <w:rFonts w:ascii="Verdana" w:hAnsi="Verdana" w:cs="Arial"/>
          <w:shd w:val="clear" w:color="auto" w:fill="FFFFFF"/>
          <w:lang w:val="es-ES"/>
        </w:rPr>
        <w:t xml:space="preserv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w:t>
      </w:r>
      <w:r w:rsidRPr="001643AB">
        <w:rPr>
          <w:rFonts w:ascii="Verdana" w:hAnsi="Verdana" w:cs="Arial"/>
          <w:shd w:val="clear" w:color="auto" w:fill="FFFFFF"/>
          <w:lang w:val="es-ES"/>
        </w:rPr>
        <w:lastRenderedPageBreak/>
        <w:t>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w:t>
      </w:r>
      <w:r>
        <w:rPr>
          <w:rFonts w:ascii="Verdana" w:hAnsi="Verdana" w:cs="Arial"/>
          <w:shd w:val="clear" w:color="auto" w:fill="FFFFFF"/>
          <w:lang w:val="es-ES"/>
        </w:rPr>
        <w:t xml:space="preserve"> diciembre de 2024, C-227 del 27 de marzo de 2025, C-411 del 13 de mayo de 2025, C-800 del 23 de julio de 2025, entre otros.</w:t>
      </w:r>
      <w:r w:rsidRPr="006A0F21">
        <w:rPr>
          <w:rFonts w:ascii="Verdana" w:hAnsi="Verdana" w:cs="Arial"/>
          <w:shd w:val="clear" w:color="auto" w:fill="FFFFFF"/>
        </w:rPr>
        <w:t xml:space="preserve"> La tesis expuesta en estos conceptos se reitera a continuación y se complementa en lo pertinente. </w:t>
      </w:r>
      <w:r w:rsidRPr="006A0F21">
        <w:rPr>
          <w:rFonts w:ascii="Verdana" w:hAnsi="Verdana" w:cs="Arial"/>
          <w:shd w:val="clear" w:color="auto" w:fill="FFFFFF"/>
          <w:lang w:val="es-ES"/>
        </w:rPr>
        <w:t xml:space="preserve">Estos y otros </w:t>
      </w:r>
      <w:r w:rsidRPr="006A0F21">
        <w:rPr>
          <w:rFonts w:ascii="Verdana" w:hAnsi="Verdana"/>
        </w:rPr>
        <w:t>conceptos se encuentran disponibles para consulta en el Sistema de relatoría de la Agencia, al cual se puede acceder a través del siguiente enlace:</w:t>
      </w:r>
      <w:r w:rsidRPr="006A0F21">
        <w:rPr>
          <w:rFonts w:ascii="Verdana" w:hAnsi="Verdana" w:cs="Arial"/>
          <w:shd w:val="clear" w:color="auto" w:fill="FFFFFF"/>
        </w:rPr>
        <w:t xml:space="preserve"> </w:t>
      </w:r>
      <w:hyperlink r:id="rId13" w:history="1">
        <w:r w:rsidRPr="006A0F21">
          <w:rPr>
            <w:rFonts w:ascii="Verdana" w:hAnsi="Verdana" w:cs="Arial"/>
            <w:color w:val="0563C1" w:themeColor="hyperlink"/>
            <w:u w:val="single"/>
            <w:shd w:val="clear" w:color="auto" w:fill="FFFFFF"/>
          </w:rPr>
          <w:t>https://relatoria.colombiacompra.gov.co/busqueda/conceptos</w:t>
        </w:r>
      </w:hyperlink>
      <w:r w:rsidRPr="006A0F21">
        <w:rPr>
          <w:rFonts w:ascii="Verdana" w:hAnsi="Verdana" w:cs="Arial"/>
          <w:shd w:val="clear" w:color="auto" w:fill="FFFFFF"/>
        </w:rPr>
        <w:t>.</w:t>
      </w:r>
      <w:r w:rsidRPr="006A0F21">
        <w:rPr>
          <w:rFonts w:ascii="Verdana" w:hAnsi="Verdana" w:cs="Arial"/>
          <w:color w:val="FF0000"/>
          <w:shd w:val="clear" w:color="auto" w:fill="FFFFFF"/>
        </w:rPr>
        <w:t xml:space="preserve"> </w:t>
      </w:r>
      <w:r w:rsidRPr="006A0F21">
        <w:rPr>
          <w:rFonts w:ascii="Verdana" w:hAnsi="Verdana" w:cs="Arial"/>
          <w:color w:val="000000" w:themeColor="text1"/>
          <w:shd w:val="clear" w:color="auto" w:fill="FFFFFF"/>
        </w:rPr>
        <w:t>  </w:t>
      </w:r>
    </w:p>
    <w:p w14:paraId="5DB00EFB" w14:textId="77777777" w:rsidR="002933DA" w:rsidRPr="006A0F21" w:rsidRDefault="002933DA" w:rsidP="002933DA">
      <w:pPr>
        <w:spacing w:after="0"/>
        <w:jc w:val="both"/>
        <w:rPr>
          <w:rFonts w:ascii="Verdana" w:hAnsi="Verdana"/>
        </w:rPr>
      </w:pPr>
    </w:p>
    <w:p w14:paraId="463BAC27" w14:textId="77777777" w:rsidR="002933DA" w:rsidRPr="00EC0E3F" w:rsidRDefault="002933DA" w:rsidP="002933DA">
      <w:pPr>
        <w:spacing w:after="0" w:line="256" w:lineRule="auto"/>
        <w:jc w:val="both"/>
        <w:rPr>
          <w:rFonts w:ascii="Verdana" w:eastAsia="Calibri" w:hAnsi="Verdana" w:cs="Times New Roman"/>
        </w:rPr>
      </w:pPr>
      <w:r w:rsidRPr="00EC0E3F">
        <w:rPr>
          <w:rFonts w:ascii="Verdana" w:eastAsia="Calibri" w:hAnsi="Verdana" w:cs="Times New Roman"/>
        </w:rPr>
        <w:t xml:space="preserve">Te informamos que ya se encuentra disponible la </w:t>
      </w:r>
      <w:r w:rsidRPr="00EC0E3F">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EC0E3F">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EC0E3F">
        <w:rPr>
          <w:rFonts w:ascii="Verdana" w:eastAsia="Calibri" w:hAnsi="Verdana" w:cs="Times New Roman"/>
        </w:rPr>
        <w:t>Wayúu</w:t>
      </w:r>
      <w:proofErr w:type="spellEnd"/>
      <w:r w:rsidRPr="00EC0E3F">
        <w:rPr>
          <w:rFonts w:ascii="Verdana" w:eastAsia="Calibri" w:hAnsi="Verdana" w:cs="Times New Roman"/>
        </w:rPr>
        <w:t xml:space="preserve">. Puede consultar la guía en el siguiente enlace: Guía de lineamientos de transparencia y selección objetiva para el departamento de La Guajira – Objetivo sexto constitucional de la Sentencia T-302 del 2017". </w:t>
      </w:r>
    </w:p>
    <w:p w14:paraId="7A483426" w14:textId="77777777" w:rsidR="002933DA" w:rsidRDefault="002933DA" w:rsidP="002933DA">
      <w:pPr>
        <w:spacing w:after="0"/>
        <w:jc w:val="both"/>
        <w:rPr>
          <w:rFonts w:ascii="Verdana" w:hAnsi="Verdana"/>
        </w:rPr>
      </w:pPr>
    </w:p>
    <w:p w14:paraId="3F0589CB" w14:textId="77777777" w:rsidR="002933DA" w:rsidRPr="006A0F21" w:rsidRDefault="002933DA" w:rsidP="002933DA">
      <w:pPr>
        <w:spacing w:after="0"/>
        <w:jc w:val="both"/>
        <w:rPr>
          <w:rFonts w:ascii="Verdana" w:hAnsi="Verdana"/>
        </w:rPr>
      </w:pPr>
      <w:r w:rsidRPr="006A0F21">
        <w:rPr>
          <w:rFonts w:ascii="Verdana" w:hAnsi="Verdana"/>
        </w:rPr>
        <w:t xml:space="preserve">Por último, 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284117A" w14:textId="77777777" w:rsidR="002933DA" w:rsidRPr="006A0F21" w:rsidRDefault="002933DA" w:rsidP="002933DA">
      <w:pPr>
        <w:spacing w:after="0" w:line="240" w:lineRule="auto"/>
        <w:jc w:val="both"/>
        <w:rPr>
          <w:rFonts w:ascii="Verdana" w:hAnsi="Verdana"/>
        </w:rPr>
      </w:pPr>
    </w:p>
    <w:p w14:paraId="2F9F6244" w14:textId="77777777" w:rsidR="002933DA" w:rsidRPr="006A0F21" w:rsidRDefault="002933DA" w:rsidP="002933DA">
      <w:pPr>
        <w:numPr>
          <w:ilvl w:val="0"/>
          <w:numId w:val="15"/>
        </w:numPr>
        <w:spacing w:after="0" w:line="240" w:lineRule="auto"/>
        <w:contextualSpacing/>
        <w:jc w:val="both"/>
        <w:rPr>
          <w:rFonts w:ascii="Verdana" w:hAnsi="Verdana"/>
          <w:lang w:val="es-ES"/>
        </w:rPr>
      </w:pPr>
      <w:r w:rsidRPr="006A0F21">
        <w:rPr>
          <w:rFonts w:ascii="Verdana" w:hAnsi="Verdana"/>
          <w:lang w:val="es-ES"/>
        </w:rPr>
        <w:lastRenderedPageBreak/>
        <w:t>Línea nacional gratuita o servicio a la ciudadanía: 01800 0520808</w:t>
      </w:r>
    </w:p>
    <w:p w14:paraId="1089A897" w14:textId="77777777" w:rsidR="002933DA" w:rsidRPr="006A0F21" w:rsidRDefault="002933DA" w:rsidP="002933DA">
      <w:pPr>
        <w:numPr>
          <w:ilvl w:val="0"/>
          <w:numId w:val="15"/>
        </w:numPr>
        <w:spacing w:after="0" w:line="240" w:lineRule="auto"/>
        <w:contextualSpacing/>
        <w:jc w:val="both"/>
        <w:rPr>
          <w:rFonts w:ascii="Verdana" w:hAnsi="Verdana"/>
          <w:lang w:val="es-ES"/>
        </w:rPr>
      </w:pPr>
      <w:r w:rsidRPr="006A0F21">
        <w:rPr>
          <w:rFonts w:ascii="Verdana" w:hAnsi="Verdana"/>
          <w:lang w:val="es-ES"/>
        </w:rPr>
        <w:t>Línea en Bogotá (Mesa de servicio): +57 601 7456788</w:t>
      </w:r>
    </w:p>
    <w:p w14:paraId="0C157330" w14:textId="77777777" w:rsidR="002933DA" w:rsidRPr="006A0F21" w:rsidRDefault="002933DA" w:rsidP="002933DA">
      <w:pPr>
        <w:numPr>
          <w:ilvl w:val="0"/>
          <w:numId w:val="15"/>
        </w:numPr>
        <w:spacing w:after="0" w:line="240" w:lineRule="auto"/>
        <w:contextualSpacing/>
        <w:jc w:val="both"/>
        <w:rPr>
          <w:rFonts w:ascii="Verdana" w:hAnsi="Verdana"/>
          <w:lang w:val="es-ES"/>
        </w:rPr>
      </w:pPr>
      <w:r w:rsidRPr="006A0F21">
        <w:rPr>
          <w:rFonts w:ascii="Verdana" w:hAnsi="Verdana"/>
          <w:lang w:val="es-ES"/>
        </w:rPr>
        <w:t>Línea de servicio y atención al ciudadano: +57 601 7956600</w:t>
      </w:r>
    </w:p>
    <w:p w14:paraId="2DF0B31C" w14:textId="77777777" w:rsidR="002933DA" w:rsidRPr="006A0F21" w:rsidRDefault="002933DA" w:rsidP="002933DA">
      <w:pPr>
        <w:numPr>
          <w:ilvl w:val="0"/>
          <w:numId w:val="15"/>
        </w:numPr>
        <w:spacing w:after="0" w:line="240" w:lineRule="auto"/>
        <w:contextualSpacing/>
        <w:jc w:val="both"/>
        <w:rPr>
          <w:rFonts w:ascii="Verdana" w:hAnsi="Verdana"/>
          <w:lang w:val="es-ES"/>
        </w:rPr>
      </w:pPr>
      <w:r w:rsidRPr="006A0F21">
        <w:rPr>
          <w:rFonts w:ascii="Verdana" w:hAnsi="Verdana"/>
          <w:lang w:val="es-ES"/>
        </w:rPr>
        <w:t xml:space="preserve">Página web: </w:t>
      </w:r>
      <w:hyperlink r:id="rId14" w:history="1">
        <w:r w:rsidRPr="006A0F21">
          <w:rPr>
            <w:rFonts w:ascii="Verdana" w:hAnsi="Verdana"/>
            <w:color w:val="0000FF"/>
            <w:u w:val="single"/>
            <w:lang w:val="es-ES"/>
          </w:rPr>
          <w:t>www.colombiacompra.gov.co</w:t>
        </w:r>
      </w:hyperlink>
    </w:p>
    <w:p w14:paraId="0613F545" w14:textId="77777777" w:rsidR="002933DA" w:rsidRPr="006A0F21" w:rsidRDefault="002933DA" w:rsidP="002933DA">
      <w:pPr>
        <w:spacing w:after="0" w:line="240" w:lineRule="auto"/>
        <w:ind w:left="785"/>
        <w:contextualSpacing/>
        <w:jc w:val="both"/>
        <w:rPr>
          <w:rFonts w:ascii="Verdana" w:hAnsi="Verdana"/>
          <w:lang w:val="es-ES"/>
        </w:rPr>
      </w:pPr>
    </w:p>
    <w:p w14:paraId="46B4FF1B" w14:textId="77777777" w:rsidR="002933DA" w:rsidRPr="006A0F21" w:rsidRDefault="002933DA" w:rsidP="002933DA">
      <w:pPr>
        <w:spacing w:after="0" w:line="240" w:lineRule="auto"/>
        <w:jc w:val="both"/>
        <w:rPr>
          <w:rFonts w:ascii="Verdana" w:hAnsi="Verdana"/>
        </w:rPr>
      </w:pPr>
      <w:r w:rsidRPr="006A0F21">
        <w:rPr>
          <w:rFonts w:ascii="Verdana" w:hAnsi="Verdana"/>
        </w:rPr>
        <w:t xml:space="preserve">Por último, lo invitamos a seguirnos en las redes sociales en las cuales se difunde información institucional: </w:t>
      </w:r>
    </w:p>
    <w:p w14:paraId="28AB7AA3" w14:textId="77777777" w:rsidR="002933DA" w:rsidRPr="006A0F21" w:rsidRDefault="002933DA" w:rsidP="002933DA">
      <w:pPr>
        <w:spacing w:after="0" w:line="240" w:lineRule="auto"/>
        <w:jc w:val="both"/>
        <w:rPr>
          <w:rFonts w:ascii="Verdana" w:hAnsi="Verdana"/>
        </w:rPr>
      </w:pPr>
    </w:p>
    <w:p w14:paraId="558C9229" w14:textId="77777777" w:rsidR="002933DA" w:rsidRPr="006A0F21" w:rsidRDefault="002933DA" w:rsidP="002933DA">
      <w:pPr>
        <w:spacing w:after="0" w:line="240" w:lineRule="auto"/>
        <w:jc w:val="both"/>
        <w:rPr>
          <w:rFonts w:ascii="Verdana" w:hAnsi="Verdana"/>
        </w:rPr>
      </w:pPr>
      <w:r w:rsidRPr="006A0F21">
        <w:rPr>
          <w:rFonts w:ascii="Verdana" w:hAnsi="Verdana"/>
        </w:rPr>
        <w:t xml:space="preserve">Twitter: </w:t>
      </w:r>
      <w:r w:rsidRPr="006A0F21">
        <w:rPr>
          <w:rFonts w:ascii="Verdana" w:hAnsi="Verdana"/>
          <w:color w:val="0000FF"/>
          <w:u w:val="single"/>
        </w:rPr>
        <w:t>@colombiacompra</w:t>
      </w:r>
      <w:r w:rsidRPr="006A0F21">
        <w:rPr>
          <w:rFonts w:ascii="Verdana" w:hAnsi="Verdana"/>
        </w:rPr>
        <w:t xml:space="preserve"> </w:t>
      </w:r>
    </w:p>
    <w:p w14:paraId="0CD00BA9" w14:textId="77777777" w:rsidR="002933DA" w:rsidRPr="006A0F21" w:rsidRDefault="002933DA" w:rsidP="002933DA">
      <w:pPr>
        <w:spacing w:after="0" w:line="240" w:lineRule="auto"/>
        <w:jc w:val="both"/>
        <w:rPr>
          <w:rFonts w:ascii="Verdana" w:hAnsi="Verdana"/>
        </w:rPr>
      </w:pPr>
      <w:r w:rsidRPr="006A0F21">
        <w:rPr>
          <w:rFonts w:ascii="Verdana" w:hAnsi="Verdana"/>
        </w:rPr>
        <w:t xml:space="preserve">Facebook: </w:t>
      </w:r>
      <w:proofErr w:type="spellStart"/>
      <w:r w:rsidRPr="006A0F21">
        <w:rPr>
          <w:rFonts w:ascii="Verdana" w:hAnsi="Verdana"/>
          <w:color w:val="0000FF"/>
          <w:u w:val="single"/>
        </w:rPr>
        <w:t>ColombiaCompraEficiente</w:t>
      </w:r>
      <w:proofErr w:type="spellEnd"/>
    </w:p>
    <w:p w14:paraId="245C00ED" w14:textId="77777777" w:rsidR="002933DA" w:rsidRPr="006A0F21" w:rsidRDefault="002933DA" w:rsidP="002933DA">
      <w:pPr>
        <w:spacing w:after="0" w:line="240" w:lineRule="auto"/>
        <w:jc w:val="both"/>
        <w:rPr>
          <w:rFonts w:ascii="Verdana" w:hAnsi="Verdana"/>
        </w:rPr>
      </w:pPr>
      <w:r w:rsidRPr="006A0F21">
        <w:rPr>
          <w:rFonts w:ascii="Verdana" w:hAnsi="Verdana"/>
        </w:rPr>
        <w:t xml:space="preserve">LinkedIn: </w:t>
      </w:r>
      <w:r w:rsidRPr="006A0F21">
        <w:rPr>
          <w:rFonts w:ascii="Verdana" w:hAnsi="Verdana"/>
          <w:color w:val="0000FF"/>
          <w:u w:val="single"/>
        </w:rPr>
        <w:t>Agencia Nacional de Contratación Pública - Colombia Compra Eficiente</w:t>
      </w:r>
      <w:r w:rsidRPr="006A0F21">
        <w:rPr>
          <w:rFonts w:ascii="Verdana" w:hAnsi="Verdana"/>
        </w:rPr>
        <w:t xml:space="preserve"> Instagram: </w:t>
      </w:r>
      <w:r w:rsidRPr="006A0F21">
        <w:rPr>
          <w:rFonts w:ascii="Verdana" w:hAnsi="Verdana"/>
          <w:color w:val="0000FF"/>
          <w:u w:val="single"/>
        </w:rPr>
        <w:t>@colombiacompraeficiente_cce</w:t>
      </w:r>
    </w:p>
    <w:p w14:paraId="789C5637" w14:textId="77777777" w:rsidR="002933DA" w:rsidRPr="006A0F21" w:rsidRDefault="002933DA" w:rsidP="002933DA">
      <w:pPr>
        <w:spacing w:after="0" w:line="240" w:lineRule="auto"/>
        <w:jc w:val="both"/>
        <w:rPr>
          <w:rFonts w:ascii="Verdana" w:hAnsi="Verdana"/>
        </w:rPr>
      </w:pPr>
    </w:p>
    <w:p w14:paraId="20A47F2F" w14:textId="77777777" w:rsidR="002933DA" w:rsidRPr="006A0F21" w:rsidRDefault="002933DA" w:rsidP="002933DA">
      <w:pPr>
        <w:spacing w:after="0" w:line="256" w:lineRule="auto"/>
        <w:jc w:val="both"/>
        <w:rPr>
          <w:rFonts w:ascii="Verdana" w:eastAsia="Calibri" w:hAnsi="Verdana" w:cs="Times New Roman"/>
          <w:bCs/>
          <w:lang w:val="es-ES_tradnl"/>
        </w:rPr>
      </w:pPr>
      <w:r w:rsidRPr="006A0F21">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1AFE3A5" w14:textId="77777777" w:rsidR="002933DA" w:rsidRPr="006A0F21" w:rsidRDefault="002933DA" w:rsidP="002933DA">
      <w:pPr>
        <w:spacing w:after="0" w:line="256" w:lineRule="auto"/>
        <w:jc w:val="both"/>
        <w:rPr>
          <w:rFonts w:ascii="Verdana" w:eastAsia="Calibri" w:hAnsi="Verdana" w:cs="Times New Roman"/>
        </w:rPr>
      </w:pPr>
    </w:p>
    <w:p w14:paraId="33BD2C46" w14:textId="77777777" w:rsidR="002933DA" w:rsidRPr="00F1456F" w:rsidRDefault="002933DA" w:rsidP="002933DA">
      <w:pPr>
        <w:spacing w:after="0" w:line="256" w:lineRule="auto"/>
        <w:jc w:val="both"/>
        <w:rPr>
          <w:rFonts w:ascii="Verdana" w:eastAsia="Calibri" w:hAnsi="Verdana" w:cs="Times New Roman"/>
        </w:rPr>
      </w:pPr>
      <w:r w:rsidRPr="006A0F21">
        <w:rPr>
          <w:rFonts w:ascii="Verdana" w:eastAsia="Calibri" w:hAnsi="Verdana" w:cs="Times New Roman"/>
        </w:rPr>
        <w:t>Atentamente,</w:t>
      </w:r>
    </w:p>
    <w:p w14:paraId="7B585284" w14:textId="602AD5C1" w:rsidR="002933DA" w:rsidRDefault="002933DA" w:rsidP="002933DA">
      <w:pPr>
        <w:spacing w:after="0" w:line="276" w:lineRule="auto"/>
        <w:jc w:val="center"/>
        <w:rPr>
          <w:rFonts w:ascii="Verdana" w:hAnsi="Verdana"/>
          <w:lang w:val="es-MX"/>
        </w:rPr>
      </w:pPr>
    </w:p>
    <w:p w14:paraId="4261B3A3" w14:textId="5DF60683" w:rsidR="002933DA" w:rsidRPr="00D86C54" w:rsidRDefault="00E20440" w:rsidP="002933DA">
      <w:pPr>
        <w:spacing w:after="0" w:line="276" w:lineRule="auto"/>
        <w:jc w:val="center"/>
        <w:rPr>
          <w:rFonts w:ascii="Verdana" w:hAnsi="Verdana"/>
          <w:lang w:val="es-MX"/>
        </w:rPr>
      </w:pPr>
      <w:r w:rsidRPr="002C3AD6">
        <w:rPr>
          <w:rFonts w:ascii="Century Gothic" w:hAnsi="Century Gothic"/>
          <w:noProof/>
          <w:lang w:val="en-US"/>
        </w:rPr>
        <w:drawing>
          <wp:inline distT="0" distB="0" distL="0" distR="0" wp14:anchorId="4264B20C" wp14:editId="2C0F43C3">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312722" cy="1229722"/>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2933DA" w:rsidRPr="00D27231" w14:paraId="1DC8A358" w14:textId="77777777" w:rsidTr="009C41F8">
        <w:trPr>
          <w:trHeight w:val="409"/>
        </w:trPr>
        <w:tc>
          <w:tcPr>
            <w:tcW w:w="817" w:type="dxa"/>
            <w:tcBorders>
              <w:top w:val="nil"/>
              <w:left w:val="nil"/>
              <w:bottom w:val="nil"/>
              <w:right w:val="nil"/>
            </w:tcBorders>
            <w:vAlign w:val="center"/>
            <w:hideMark/>
          </w:tcPr>
          <w:p w14:paraId="06629109"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E62BC25"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José Luis Sánchez Cardona</w:t>
            </w:r>
          </w:p>
          <w:p w14:paraId="7CD8A1EB"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Contratista de la Subdirección de Gestión Contractual</w:t>
            </w:r>
          </w:p>
        </w:tc>
      </w:tr>
      <w:tr w:rsidR="002933DA" w:rsidRPr="00D27231" w14:paraId="6481B11E" w14:textId="77777777" w:rsidTr="009C41F8">
        <w:trPr>
          <w:trHeight w:val="409"/>
        </w:trPr>
        <w:tc>
          <w:tcPr>
            <w:tcW w:w="817" w:type="dxa"/>
            <w:tcBorders>
              <w:top w:val="nil"/>
              <w:left w:val="nil"/>
              <w:bottom w:val="nil"/>
              <w:right w:val="nil"/>
            </w:tcBorders>
            <w:vAlign w:val="center"/>
            <w:hideMark/>
          </w:tcPr>
          <w:p w14:paraId="352F1AE5"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B27984F"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Alejandro Sarmiento Cantillo</w:t>
            </w:r>
          </w:p>
          <w:p w14:paraId="690AF5B9"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Gestor T1-15 de la Subdirección de Gestión Contractual </w:t>
            </w:r>
          </w:p>
        </w:tc>
      </w:tr>
      <w:tr w:rsidR="002933DA" w:rsidRPr="00D27231" w14:paraId="03F56BAB" w14:textId="77777777" w:rsidTr="009C41F8">
        <w:trPr>
          <w:trHeight w:val="389"/>
        </w:trPr>
        <w:tc>
          <w:tcPr>
            <w:tcW w:w="817" w:type="dxa"/>
            <w:tcBorders>
              <w:top w:val="nil"/>
              <w:left w:val="nil"/>
              <w:bottom w:val="nil"/>
              <w:right w:val="nil"/>
            </w:tcBorders>
            <w:vAlign w:val="center"/>
            <w:hideMark/>
          </w:tcPr>
          <w:p w14:paraId="5E74AFDA"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D8B23E0"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 xml:space="preserve">Carolina Quintero </w:t>
            </w:r>
            <w:proofErr w:type="spellStart"/>
            <w:r w:rsidRPr="00D27231">
              <w:rPr>
                <w:rFonts w:ascii="Verdana" w:eastAsia="Calibri" w:hAnsi="Verdana" w:cs="Times New Roman"/>
                <w:sz w:val="16"/>
                <w:szCs w:val="16"/>
              </w:rPr>
              <w:t>Gacharná</w:t>
            </w:r>
            <w:proofErr w:type="spellEnd"/>
          </w:p>
          <w:p w14:paraId="1DEC0E83" w14:textId="77777777" w:rsidR="002933DA" w:rsidRPr="00D27231" w:rsidRDefault="002933DA" w:rsidP="009C41F8">
            <w:pPr>
              <w:spacing w:after="0" w:line="256" w:lineRule="auto"/>
              <w:rPr>
                <w:rFonts w:ascii="Verdana" w:eastAsia="Calibri" w:hAnsi="Verdana" w:cs="Times New Roman"/>
                <w:sz w:val="16"/>
                <w:szCs w:val="16"/>
              </w:rPr>
            </w:pPr>
            <w:r w:rsidRPr="00D27231">
              <w:rPr>
                <w:rFonts w:ascii="Verdana" w:eastAsia="Calibri" w:hAnsi="Verdana" w:cs="Times New Roman"/>
                <w:sz w:val="16"/>
                <w:szCs w:val="16"/>
              </w:rPr>
              <w:t>Subdirectora de Gestión Contractual ANCP – CCE</w:t>
            </w:r>
          </w:p>
        </w:tc>
      </w:tr>
      <w:bookmarkEnd w:id="0"/>
    </w:tbl>
    <w:p w14:paraId="79303BCF" w14:textId="77777777" w:rsidR="002933DA" w:rsidRPr="0044528D" w:rsidRDefault="002933DA" w:rsidP="002933DA">
      <w:pPr>
        <w:spacing w:after="0" w:line="256" w:lineRule="auto"/>
        <w:jc w:val="both"/>
        <w:rPr>
          <w:rFonts w:ascii="Verdana" w:eastAsia="Times New Roman" w:hAnsi="Verdana" w:cs="Segoe UI"/>
          <w:b/>
          <w:bCs/>
          <w:color w:val="46589C"/>
          <w:lang w:val="es-ES" w:eastAsia="es-CO"/>
        </w:rPr>
      </w:pPr>
    </w:p>
    <w:p w14:paraId="51FDCE44" w14:textId="77777777" w:rsidR="004E1865" w:rsidRPr="002933DA" w:rsidRDefault="004E1865" w:rsidP="002933DA">
      <w:pPr>
        <w:rPr>
          <w:lang w:val="es-ES"/>
        </w:rPr>
      </w:pPr>
    </w:p>
    <w:sectPr w:rsidR="004E1865" w:rsidRPr="002933D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37168" w14:textId="77777777" w:rsidR="0051641A" w:rsidRDefault="0051641A" w:rsidP="004A1847">
      <w:pPr>
        <w:spacing w:after="0" w:line="240" w:lineRule="auto"/>
      </w:pPr>
      <w:r>
        <w:separator/>
      </w:r>
    </w:p>
  </w:endnote>
  <w:endnote w:type="continuationSeparator" w:id="0">
    <w:p w14:paraId="53729978" w14:textId="77777777" w:rsidR="0051641A" w:rsidRDefault="0051641A" w:rsidP="004A1847">
      <w:pPr>
        <w:spacing w:after="0" w:line="240" w:lineRule="auto"/>
      </w:pPr>
      <w:r>
        <w:continuationSeparator/>
      </w:r>
    </w:p>
  </w:endnote>
  <w:endnote w:type="continuationNotice" w:id="1">
    <w:p w14:paraId="4ED861C4" w14:textId="77777777" w:rsidR="0051641A" w:rsidRDefault="00516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charset w:val="00"/>
    <w:family w:val="swiss"/>
    <w:pitch w:val="variable"/>
    <w:sig w:usb0="0000028F" w:usb1="00000002"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A3783B" w:rsidRDefault="00A3783B">
    <w:pPr>
      <w:pStyle w:val="Piedepgina"/>
    </w:pPr>
  </w:p>
  <w:p w14:paraId="594D6D9F" w14:textId="4385D848" w:rsidR="00A3783B" w:rsidRPr="00174B77" w:rsidRDefault="00A3783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EE2281">
      <w:rPr>
        <w:rFonts w:ascii="Verdana" w:eastAsia="MS Gothic" w:hAnsi="Verdana" w:cs="Times New Roman"/>
        <w:b/>
        <w:bCs/>
        <w:sz w:val="16"/>
        <w:szCs w:val="16"/>
        <w:lang w:val="es-ES"/>
      </w:rPr>
      <w:t xml:space="preserve">pág. </w:t>
    </w:r>
    <w:r w:rsidRPr="00EE2281">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EE2281">
      <w:rPr>
        <w:rFonts w:ascii="Verdana" w:eastAsia="MS Mincho" w:hAnsi="Verdana"/>
        <w:b/>
        <w:bCs/>
        <w:sz w:val="16"/>
        <w:szCs w:val="16"/>
      </w:rPr>
      <w:fldChar w:fldCharType="separate"/>
    </w:r>
    <w:r w:rsidR="00E20440" w:rsidRPr="00E20440">
      <w:rPr>
        <w:rFonts w:ascii="Verdana" w:eastAsia="MS Mincho" w:hAnsi="Verdana"/>
        <w:b/>
        <w:bCs/>
        <w:noProof/>
        <w:sz w:val="16"/>
        <w:szCs w:val="16"/>
      </w:rPr>
      <w:t>1</w:t>
    </w:r>
    <w:r w:rsidRPr="00EE2281">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3783B" w:rsidRDefault="00A3783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3783B" w:rsidRPr="00E41027" w:rsidRDefault="00A3783B"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A3783B" w:rsidRDefault="00A3783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0E196" w14:textId="77777777" w:rsidR="0051641A" w:rsidRDefault="0051641A" w:rsidP="004A1847">
      <w:pPr>
        <w:spacing w:after="0" w:line="240" w:lineRule="auto"/>
      </w:pPr>
      <w:r>
        <w:separator/>
      </w:r>
    </w:p>
  </w:footnote>
  <w:footnote w:type="continuationSeparator" w:id="0">
    <w:p w14:paraId="168380A8" w14:textId="77777777" w:rsidR="0051641A" w:rsidRDefault="0051641A" w:rsidP="004A1847">
      <w:pPr>
        <w:spacing w:after="0" w:line="240" w:lineRule="auto"/>
      </w:pPr>
      <w:r>
        <w:continuationSeparator/>
      </w:r>
    </w:p>
  </w:footnote>
  <w:footnote w:type="continuationNotice" w:id="1">
    <w:p w14:paraId="5AF3409C" w14:textId="77777777" w:rsidR="0051641A" w:rsidRDefault="0051641A">
      <w:pPr>
        <w:spacing w:after="0" w:line="240" w:lineRule="auto"/>
      </w:pPr>
    </w:p>
  </w:footnote>
  <w:footnote w:id="2">
    <w:p w14:paraId="516E2966" w14:textId="77777777" w:rsidR="002933DA" w:rsidRPr="00F1456F" w:rsidRDefault="002933DA" w:rsidP="002933DA">
      <w:pPr>
        <w:pStyle w:val="Textonotapie"/>
        <w:ind w:firstLine="709"/>
        <w:jc w:val="both"/>
        <w:rPr>
          <w:rFonts w:ascii="Verdana" w:hAnsi="Verdana" w:cs="Arial"/>
          <w:color w:val="000000"/>
          <w:sz w:val="14"/>
          <w:szCs w:val="14"/>
          <w:lang w:val="es-ES"/>
        </w:rPr>
      </w:pPr>
      <w:r w:rsidRPr="00F1456F">
        <w:rPr>
          <w:rStyle w:val="Refdenotaalpie"/>
          <w:rFonts w:ascii="Verdana" w:hAnsi="Verdana"/>
          <w:sz w:val="14"/>
          <w:szCs w:val="14"/>
        </w:rPr>
        <w:footnoteRef/>
      </w:r>
      <w:r w:rsidRPr="00F1456F">
        <w:rPr>
          <w:rFonts w:ascii="Verdana" w:hAnsi="Verdana"/>
          <w:sz w:val="14"/>
          <w:szCs w:val="14"/>
        </w:rPr>
        <w:t xml:space="preserve"> </w:t>
      </w:r>
      <w:r w:rsidRPr="00F1456F">
        <w:rPr>
          <w:rFonts w:ascii="Verdana" w:hAnsi="Verdana" w:cs="Arial"/>
          <w:color w:val="000000"/>
          <w:sz w:val="14"/>
          <w:szCs w:val="14"/>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0A3710E4" w14:textId="77777777" w:rsidR="002933DA" w:rsidRPr="00F1456F" w:rsidRDefault="002933DA" w:rsidP="002933DA">
      <w:pPr>
        <w:pStyle w:val="Textonotapie"/>
        <w:ind w:firstLine="709"/>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2. Quien presta el servicio se denomina trabajador, quien lo recibe y remunera, empleador, y la remuneración, cualquiera que sea su forma, salario”.</w:t>
      </w:r>
    </w:p>
  </w:footnote>
  <w:footnote w:id="3">
    <w:p w14:paraId="7D8F9E57" w14:textId="77777777" w:rsidR="002933DA" w:rsidRPr="00265A97" w:rsidRDefault="002933DA" w:rsidP="002933DA">
      <w:pPr>
        <w:pStyle w:val="Textonotapie"/>
        <w:ind w:firstLine="708"/>
        <w:rPr>
          <w:rFonts w:ascii="Verdana" w:hAnsi="Verdana"/>
          <w:sz w:val="14"/>
          <w:szCs w:val="14"/>
          <w:lang w:val="pt-BR"/>
        </w:rPr>
      </w:pPr>
      <w:r w:rsidRPr="00F1456F">
        <w:rPr>
          <w:rStyle w:val="Refdenotaalpie"/>
          <w:rFonts w:ascii="Verdana" w:hAnsi="Verdana"/>
          <w:sz w:val="14"/>
          <w:szCs w:val="14"/>
        </w:rPr>
        <w:footnoteRef/>
      </w:r>
      <w:r w:rsidRPr="00265A97">
        <w:rPr>
          <w:rFonts w:ascii="Verdana" w:hAnsi="Verdana"/>
          <w:sz w:val="14"/>
          <w:szCs w:val="14"/>
          <w:lang w:val="pt-BR"/>
        </w:rPr>
        <w:t xml:space="preserve"> </w:t>
      </w:r>
      <w:r w:rsidRPr="00265A97">
        <w:rPr>
          <w:rFonts w:ascii="Verdana" w:hAnsi="Verdana" w:cs="Arial"/>
          <w:color w:val="000000"/>
          <w:sz w:val="14"/>
          <w:szCs w:val="14"/>
          <w:lang w:val="pt-BR"/>
        </w:rPr>
        <w:t>CORTE CONSTITUCIONAL. Sentencia C-154 de 1997. M.P. Hernando Herrera Vergara.</w:t>
      </w:r>
    </w:p>
  </w:footnote>
  <w:footnote w:id="4">
    <w:p w14:paraId="09BA738F" w14:textId="77777777" w:rsidR="002933DA" w:rsidRPr="00265A97" w:rsidDel="00A37FEF" w:rsidRDefault="002933DA" w:rsidP="002933DA">
      <w:pPr>
        <w:spacing w:after="0"/>
        <w:ind w:firstLine="708"/>
        <w:jc w:val="both"/>
        <w:rPr>
          <w:rFonts w:ascii="Verdana" w:eastAsia="Arial Nova" w:hAnsi="Verdana" w:cs="Arial"/>
          <w:sz w:val="14"/>
          <w:szCs w:val="14"/>
          <w:lang w:val="pt-BR"/>
        </w:rPr>
      </w:pPr>
      <w:r w:rsidRPr="00F1456F">
        <w:rPr>
          <w:rStyle w:val="Refdenotaalpie"/>
          <w:rFonts w:ascii="Verdana" w:hAnsi="Verdana" w:cs="Arial"/>
          <w:sz w:val="14"/>
          <w:szCs w:val="14"/>
        </w:rPr>
        <w:footnoteRef/>
      </w:r>
      <w:r w:rsidRPr="00265A97">
        <w:rPr>
          <w:rFonts w:ascii="Verdana" w:hAnsi="Verdana" w:cs="Arial"/>
          <w:sz w:val="14"/>
          <w:szCs w:val="14"/>
          <w:lang w:val="pt-BR"/>
        </w:rPr>
        <w:t xml:space="preserve"> </w:t>
      </w:r>
      <w:r w:rsidRPr="00265A97">
        <w:rPr>
          <w:rFonts w:ascii="Verdana" w:eastAsia="Arial Nova" w:hAnsi="Verdana" w:cs="Arial"/>
          <w:sz w:val="14"/>
          <w:szCs w:val="14"/>
          <w:lang w:val="pt-BR"/>
        </w:rPr>
        <w:t xml:space="preserve">CORTE CONSTITUCIONAL. Sentencia C-614 de 2009. M.P. Jorge Ignacio Pretelt Chaljub. </w:t>
      </w:r>
    </w:p>
  </w:footnote>
  <w:footnote w:id="5">
    <w:p w14:paraId="50EFE37B" w14:textId="77777777" w:rsidR="002933DA" w:rsidRPr="00F1456F" w:rsidDel="00A37FEF" w:rsidRDefault="002933DA" w:rsidP="002933DA">
      <w:pPr>
        <w:pStyle w:val="Textonotapie"/>
        <w:ind w:firstLine="708"/>
        <w:rPr>
          <w:rFonts w:ascii="Verdana" w:hAnsi="Verdana" w:cs="Arial"/>
          <w:color w:val="000000" w:themeColor="text1"/>
          <w:sz w:val="14"/>
          <w:szCs w:val="14"/>
          <w:lang w:val="es-ES"/>
        </w:rPr>
      </w:pPr>
      <w:r w:rsidRPr="00F1456F">
        <w:rPr>
          <w:rStyle w:val="Refdenotaalpie"/>
          <w:rFonts w:ascii="Verdana" w:hAnsi="Verdana"/>
          <w:sz w:val="14"/>
          <w:szCs w:val="14"/>
        </w:rPr>
        <w:footnoteRef/>
      </w:r>
      <w:r w:rsidRPr="00265A97">
        <w:rPr>
          <w:rFonts w:ascii="Verdana" w:hAnsi="Verdana"/>
          <w:sz w:val="14"/>
          <w:szCs w:val="14"/>
          <w:lang w:val="pt-BR"/>
        </w:rPr>
        <w:t xml:space="preserve"> </w:t>
      </w:r>
      <w:r w:rsidRPr="00265A97">
        <w:rPr>
          <w:rFonts w:ascii="Verdana" w:hAnsi="Verdana" w:cs="Arial"/>
          <w:color w:val="000000"/>
          <w:sz w:val="14"/>
          <w:szCs w:val="14"/>
          <w:lang w:val="pt-BR"/>
        </w:rPr>
        <w:t xml:space="preserve">CORTE CONSTITUCIONAL. Sentencia C-154 de 1997. </w:t>
      </w:r>
      <w:r w:rsidRPr="00F1456F">
        <w:rPr>
          <w:rFonts w:ascii="Verdana" w:hAnsi="Verdana" w:cs="Arial"/>
          <w:color w:val="000000"/>
          <w:sz w:val="14"/>
          <w:szCs w:val="14"/>
          <w:lang w:val="es-ES"/>
        </w:rPr>
        <w:t>Magistrado Ponente: Hernando Herrera Vergara.</w:t>
      </w:r>
    </w:p>
  </w:footnote>
  <w:footnote w:id="6">
    <w:p w14:paraId="1DF6B7CF"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CF636AD"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C9C4059"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La Entidad Estatal, para la contratación de trabajos artísticos que solamente puedan en­comendarse a determinadas personas naturales, debe justificar esta situación en los estudios y documentos previos”.</w:t>
      </w:r>
    </w:p>
  </w:footnote>
  <w:footnote w:id="7">
    <w:p w14:paraId="015D6456" w14:textId="77777777" w:rsidR="002933DA" w:rsidRPr="00F1456F" w:rsidDel="00A37FE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CONSEJO DE ESTADO. Sección Tercera. Subsección C. Sentencia del 2 de diciembre de 2013. Exp. 41719. C.P. Jaime Orlando Santofimio Gamboa.</w:t>
      </w:r>
    </w:p>
  </w:footnote>
  <w:footnote w:id="8">
    <w:p w14:paraId="76DEEE16"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160C0B2"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Son también contratos de consultoría los que tienen por objeto la interventoría, asesoría, gerencia de obra o de proyectos, dirección, programación y la ejecución de diseños, planos, anteproyectos y proyectos.</w:t>
      </w:r>
    </w:p>
    <w:p w14:paraId="57CD5809"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9">
    <w:p w14:paraId="7BB73645"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3EA9EF93"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1. La causal que invoca para contratar directamente.</w:t>
      </w:r>
    </w:p>
    <w:p w14:paraId="1858B3A5"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2. El objeto del contrato.</w:t>
      </w:r>
    </w:p>
    <w:p w14:paraId="1DF0813B"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3. El presupuesto para la contratación y las condiciones que exigirá al contratista.</w:t>
      </w:r>
    </w:p>
    <w:p w14:paraId="2E9A886E"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4. El lugar en el cual los interesados pueden consultar los estudios y documentos previos.</w:t>
      </w:r>
    </w:p>
    <w:p w14:paraId="7970AF30"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72FDAC5C"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Esta norma expresa: “</w:t>
      </w:r>
      <w:r w:rsidRPr="00F1456F">
        <w:rPr>
          <w:rFonts w:ascii="Verdana" w:hAnsi="Verdana" w:cs="Arial"/>
          <w:color w:val="000000"/>
          <w:sz w:val="14"/>
          <w:szCs w:val="14"/>
        </w:rPr>
        <w:t>P</w:t>
      </w:r>
      <w:r w:rsidRPr="00F1456F">
        <w:rPr>
          <w:rFonts w:ascii="Verdana" w:hAnsi="Verdana" w:cs="Arial"/>
          <w:color w:val="000000"/>
          <w:sz w:val="14"/>
          <w:szCs w:val="14"/>
          <w:lang w:val="es-ES"/>
        </w:rPr>
        <w:t>ara el cumplimiento de los fines de la contratación, las entidades estatales al celebrar un contrato:</w:t>
      </w:r>
    </w:p>
    <w:p w14:paraId="08CA433B"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w:t>
      </w:r>
    </w:p>
    <w:p w14:paraId="5281E102"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BA1FADE"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lang w:val="es-ES"/>
        </w:rPr>
        <w:t>Las entidades estatales podrán pactar estas cláusulas en los contratos de suministro y de prestación de servicios.[…]”.</w:t>
      </w:r>
    </w:p>
  </w:footnote>
  <w:footnote w:id="11">
    <w:p w14:paraId="7021FB20"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62ABEAB7"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p>
  </w:footnote>
  <w:footnote w:id="12">
    <w:p w14:paraId="7858647D" w14:textId="77777777" w:rsidR="002933DA" w:rsidRPr="00F1456F" w:rsidRDefault="002933DA" w:rsidP="002933DA">
      <w:pPr>
        <w:pStyle w:val="Textonotapie"/>
        <w:ind w:firstLine="709"/>
        <w:contextualSpacing/>
        <w:jc w:val="both"/>
        <w:rPr>
          <w:rFonts w:ascii="Verdana" w:hAnsi="Verdana" w:cs="Arial"/>
          <w:color w:val="000000"/>
          <w:sz w:val="14"/>
          <w:szCs w:val="14"/>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21412D5" w14:textId="77777777" w:rsidR="002933DA" w:rsidRPr="00F1456F" w:rsidRDefault="002933DA" w:rsidP="002933DA">
      <w:pPr>
        <w:pStyle w:val="Textonotapie"/>
        <w:ind w:firstLine="709"/>
        <w:contextualSpacing/>
        <w:jc w:val="both"/>
        <w:rPr>
          <w:rFonts w:ascii="Verdana" w:hAnsi="Verdana" w:cs="Arial"/>
          <w:color w:val="000000"/>
          <w:sz w:val="14"/>
          <w:szCs w:val="14"/>
          <w:lang w:val="es-ES"/>
        </w:rPr>
      </w:pPr>
      <w:r w:rsidRPr="00F1456F">
        <w:rPr>
          <w:rFonts w:ascii="Verdana" w:hAnsi="Verdana" w:cs="Arial"/>
          <w:color w:val="000000" w:themeColor="text1"/>
          <w:sz w:val="14"/>
          <w:szCs w:val="14"/>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3">
    <w:p w14:paraId="0723664D" w14:textId="77777777" w:rsidR="002933DA" w:rsidRPr="00F1456F" w:rsidDel="00A37FEF" w:rsidRDefault="002933DA" w:rsidP="002933DA">
      <w:pPr>
        <w:pStyle w:val="Textonotapie"/>
        <w:ind w:firstLine="709"/>
        <w:contextualSpacing/>
        <w:jc w:val="both"/>
        <w:rPr>
          <w:rFonts w:ascii="Verdana" w:hAnsi="Verdana" w:cs="Arial"/>
          <w:color w:val="000000"/>
          <w:sz w:val="14"/>
          <w:szCs w:val="14"/>
          <w:lang w:val="es-ES"/>
        </w:rPr>
      </w:pPr>
      <w:r w:rsidRPr="00F1456F">
        <w:rPr>
          <w:rStyle w:val="Refdenotaalpie"/>
          <w:rFonts w:ascii="Verdana" w:hAnsi="Verdana" w:cs="Arial"/>
          <w:color w:val="000000"/>
          <w:sz w:val="14"/>
          <w:szCs w:val="14"/>
        </w:rPr>
        <w:footnoteRef/>
      </w:r>
      <w:r w:rsidRPr="00F1456F">
        <w:rPr>
          <w:rFonts w:ascii="Verdana" w:hAnsi="Verdana" w:cs="Arial"/>
          <w:color w:val="000000"/>
          <w:sz w:val="14"/>
          <w:szCs w:val="14"/>
        </w:rPr>
        <w:t xml:space="preserve"> </w:t>
      </w:r>
      <w:r w:rsidRPr="00F1456F">
        <w:rPr>
          <w:rFonts w:ascii="Verdana" w:hAnsi="Verdana" w:cs="Arial"/>
          <w:color w:val="000000"/>
          <w:sz w:val="14"/>
          <w:szCs w:val="14"/>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4">
    <w:p w14:paraId="74184141" w14:textId="77777777" w:rsidR="002933DA" w:rsidRPr="00F1456F" w:rsidRDefault="002933DA" w:rsidP="002933DA">
      <w:pPr>
        <w:pStyle w:val="Textonotapie"/>
        <w:ind w:firstLine="708"/>
        <w:jc w:val="both"/>
        <w:rPr>
          <w:rFonts w:ascii="Verdana" w:hAnsi="Verdana"/>
          <w:sz w:val="14"/>
          <w:szCs w:val="14"/>
          <w:lang w:val="es"/>
        </w:rPr>
      </w:pPr>
      <w:r w:rsidRPr="00F1456F">
        <w:rPr>
          <w:rStyle w:val="Refdenotaalpie"/>
          <w:rFonts w:ascii="Verdana" w:hAnsi="Verdana"/>
          <w:sz w:val="14"/>
          <w:szCs w:val="14"/>
        </w:rPr>
        <w:footnoteRef/>
      </w:r>
      <w:r w:rsidRPr="00F1456F">
        <w:rPr>
          <w:rFonts w:ascii="Verdana" w:hAnsi="Verdana"/>
          <w:sz w:val="14"/>
          <w:szCs w:val="14"/>
        </w:rPr>
        <w:t xml:space="preserve"> RINCÓN CÓRDOBA, Jorge Iván. Derecho Administrativo Laboral. Empleo público, sistema de carrera administrativa y derecho a la estabilidad laboral. Bogotá: Universidad Externado de Colombia, 2009. pp. 375-376.  </w:t>
      </w:r>
    </w:p>
    <w:p w14:paraId="618C5E09" w14:textId="77777777" w:rsidR="002933DA" w:rsidRPr="00F1456F" w:rsidRDefault="002933DA" w:rsidP="002933DA">
      <w:pPr>
        <w:pStyle w:val="Textonotapie"/>
        <w:rPr>
          <w:sz w:val="14"/>
          <w:szCs w:val="14"/>
          <w:lang w:val="es-ES"/>
        </w:rPr>
      </w:pPr>
    </w:p>
  </w:footnote>
  <w:footnote w:id="15">
    <w:p w14:paraId="6100702F" w14:textId="77777777" w:rsidR="002933DA" w:rsidRPr="00AE1BEC" w:rsidRDefault="002933DA" w:rsidP="002933DA">
      <w:pPr>
        <w:pStyle w:val="Textonotapie"/>
        <w:ind w:firstLine="708"/>
        <w:jc w:val="both"/>
        <w:rPr>
          <w:rFonts w:ascii="Verdana" w:hAnsi="Verdana"/>
          <w:sz w:val="16"/>
          <w:szCs w:val="16"/>
          <w:lang w:val="es-ES"/>
        </w:rPr>
      </w:pPr>
      <w:r w:rsidRPr="00F1456F">
        <w:rPr>
          <w:rStyle w:val="Refdenotaalpie"/>
          <w:rFonts w:ascii="Verdana" w:hAnsi="Verdana"/>
          <w:sz w:val="14"/>
          <w:szCs w:val="14"/>
        </w:rPr>
        <w:footnoteRef/>
      </w:r>
      <w:r w:rsidRPr="00F1456F">
        <w:rPr>
          <w:rFonts w:ascii="Verdana" w:hAnsi="Verdana"/>
          <w:sz w:val="14"/>
          <w:szCs w:val="14"/>
        </w:rPr>
        <w:t xml:space="preserve"> </w:t>
      </w:r>
      <w:r w:rsidRPr="00F1456F">
        <w:rPr>
          <w:rFonts w:ascii="Verdana" w:hAnsi="Verdana"/>
          <w:bCs/>
          <w:sz w:val="14"/>
          <w:szCs w:val="14"/>
          <w:lang w:val="es-CO"/>
        </w:rPr>
        <w:t>Artículo 1º.</w:t>
      </w:r>
      <w:r w:rsidRPr="00F1456F">
        <w:rPr>
          <w:rFonts w:ascii="Verdana" w:hAnsi="Verdana"/>
          <w:sz w:val="14"/>
          <w:szCs w:val="14"/>
          <w:lang w:val="es-CO"/>
        </w:rPr>
        <w:t> Los empleados del sector oficial que trabajan al servicio de los ministerios, departamentos administrativos, superintendencias, establecimientos públicos, unidades administrativas especiales, empresas industriales o comerciales de tipo oficial y sociedades de economía mixta, tendrán derecho a que la entidad con la que laboran les suministre cada cuatro (4) meses, en forma gratuita, un par de zapatos y un (1) vestido de labor, siempre que su remuneración mensual sea inferior a dos (2) veces el salario mínimo legal vigente. Esta prestación se reconocerá al empleado oficial que haya cumplido más de tres (3) meses al servicio de la entidad empleadora.</w:t>
      </w:r>
      <w:r w:rsidRPr="00AE1BEC">
        <w:rPr>
          <w:rFonts w:ascii="Verdana" w:hAnsi="Verdana"/>
          <w:sz w:val="16"/>
          <w:szCs w:val="16"/>
          <w:lang w:val="es-CO"/>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A3783B" w:rsidRDefault="00A3783B">
    <w:pPr>
      <w:pStyle w:val="Encabezado"/>
    </w:pPr>
    <w:r>
      <w:rPr>
        <w:rFonts w:ascii="Geomanist Bold" w:hAnsi="Geomanist Bold"/>
        <w:b/>
        <w:bCs/>
        <w:noProof/>
        <w:color w:val="002060"/>
        <w:sz w:val="24"/>
        <w:szCs w:val="24"/>
        <w:lang w:val="en-US"/>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3783B" w:rsidRDefault="00A3783B">
    <w:pPr>
      <w:pStyle w:val="Encabezado"/>
    </w:pPr>
  </w:p>
  <w:p w14:paraId="3079FC11" w14:textId="77777777" w:rsidR="00A3783B" w:rsidRDefault="00A3783B" w:rsidP="004A305D">
    <w:pPr>
      <w:spacing w:after="0"/>
      <w:rPr>
        <w:rFonts w:ascii="Verdana" w:hAnsi="Verdana"/>
        <w:b/>
        <w:bCs/>
      </w:rPr>
    </w:pPr>
  </w:p>
  <w:p w14:paraId="5E18350A" w14:textId="705F7B76" w:rsidR="00A3783B" w:rsidRPr="004A305D" w:rsidRDefault="00A3783B" w:rsidP="00B01B1A">
    <w:pPr>
      <w:spacing w:after="0" w:line="120" w:lineRule="auto"/>
      <w:rPr>
        <w:rFonts w:ascii="Century Gothic" w:eastAsia="Geo" w:hAnsi="Century Gothic" w:cs="Geo"/>
        <w:sz w:val="16"/>
        <w:szCs w:val="16"/>
        <w:lang w:eastAsia="es-CO"/>
      </w:rPr>
    </w:pPr>
  </w:p>
  <w:p w14:paraId="1FD1C243" w14:textId="6D74A3CF" w:rsidR="00A3783B" w:rsidRDefault="00A3783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1B13"/>
      </v:shape>
    </w:pict>
  </w:numPicBullet>
  <w:abstractNum w:abstractNumId="0" w15:restartNumberingAfterBreak="0">
    <w:nsid w:val="CCC61EB7"/>
    <w:multiLevelType w:val="hybridMultilevel"/>
    <w:tmpl w:val="076071E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8E65A6"/>
    <w:multiLevelType w:val="hybridMultilevel"/>
    <w:tmpl w:val="BC7A99E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06310"/>
    <w:multiLevelType w:val="multilevel"/>
    <w:tmpl w:val="25FEEF8E"/>
    <w:lvl w:ilvl="0">
      <w:start w:val="1"/>
      <w:numFmt w:val="decimal"/>
      <w:lvlText w:val="%1."/>
      <w:lvlJc w:val="left"/>
      <w:pPr>
        <w:ind w:left="8016"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7" w15:restartNumberingAfterBreak="0">
    <w:nsid w:val="12BB4522"/>
    <w:multiLevelType w:val="multilevel"/>
    <w:tmpl w:val="C7721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1B5B4E"/>
    <w:multiLevelType w:val="hybridMultilevel"/>
    <w:tmpl w:val="C3923F82"/>
    <w:lvl w:ilvl="0" w:tplc="ECBA392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CAC2B7C"/>
    <w:multiLevelType w:val="hybridMultilevel"/>
    <w:tmpl w:val="6E08C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36501"/>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DBF6B6"/>
    <w:multiLevelType w:val="hybridMultilevel"/>
    <w:tmpl w:val="E00CB3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5D655E8"/>
    <w:multiLevelType w:val="hybridMultilevel"/>
    <w:tmpl w:val="0C9E4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95A4E35"/>
    <w:multiLevelType w:val="hybridMultilevel"/>
    <w:tmpl w:val="2F461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E07B1E"/>
    <w:multiLevelType w:val="multilevel"/>
    <w:tmpl w:val="6F14CB5E"/>
    <w:lvl w:ilvl="0">
      <w:start w:val="1"/>
      <w:numFmt w:val="decimal"/>
      <w:lvlText w:val="%1."/>
      <w:lvlJc w:val="left"/>
      <w:pPr>
        <w:ind w:left="360" w:hanging="360"/>
      </w:pPr>
      <w:rPr>
        <w:rFonts w:hint="default"/>
        <w:b/>
        <w:bCs/>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2BC0AB1"/>
    <w:multiLevelType w:val="multilevel"/>
    <w:tmpl w:val="B798E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5E69C5"/>
    <w:multiLevelType w:val="hybridMultilevel"/>
    <w:tmpl w:val="D1EA84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536045697">
    <w:abstractNumId w:val="16"/>
  </w:num>
  <w:num w:numId="2" w16cid:durableId="932592881">
    <w:abstractNumId w:val="5"/>
  </w:num>
  <w:num w:numId="3" w16cid:durableId="142357494">
    <w:abstractNumId w:val="14"/>
  </w:num>
  <w:num w:numId="4" w16cid:durableId="176229195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603583">
    <w:abstractNumId w:val="5"/>
  </w:num>
  <w:num w:numId="6" w16cid:durableId="2051567268">
    <w:abstractNumId w:val="28"/>
  </w:num>
  <w:num w:numId="7" w16cid:durableId="1548909922">
    <w:abstractNumId w:val="15"/>
  </w:num>
  <w:num w:numId="8" w16cid:durableId="1433624430">
    <w:abstractNumId w:val="27"/>
  </w:num>
  <w:num w:numId="9" w16cid:durableId="880482918">
    <w:abstractNumId w:val="17"/>
  </w:num>
  <w:num w:numId="10" w16cid:durableId="1686521135">
    <w:abstractNumId w:val="26"/>
  </w:num>
  <w:num w:numId="11" w16cid:durableId="1250501011">
    <w:abstractNumId w:val="18"/>
  </w:num>
  <w:num w:numId="12" w16cid:durableId="888079485">
    <w:abstractNumId w:val="3"/>
  </w:num>
  <w:num w:numId="13" w16cid:durableId="2002927117">
    <w:abstractNumId w:val="11"/>
  </w:num>
  <w:num w:numId="14" w16cid:durableId="1944993906">
    <w:abstractNumId w:val="29"/>
  </w:num>
  <w:num w:numId="15" w16cid:durableId="1170365865">
    <w:abstractNumId w:val="25"/>
  </w:num>
  <w:num w:numId="16" w16cid:durableId="47664761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82792542">
    <w:abstractNumId w:val="6"/>
  </w:num>
  <w:num w:numId="18" w16cid:durableId="1269581329">
    <w:abstractNumId w:val="23"/>
  </w:num>
  <w:num w:numId="19" w16cid:durableId="248538412">
    <w:abstractNumId w:val="13"/>
  </w:num>
  <w:num w:numId="20" w16cid:durableId="1330407515">
    <w:abstractNumId w:val="19"/>
  </w:num>
  <w:num w:numId="21" w16cid:durableId="564687701">
    <w:abstractNumId w:val="30"/>
  </w:num>
  <w:num w:numId="22" w16cid:durableId="1832525599">
    <w:abstractNumId w:val="21"/>
  </w:num>
  <w:num w:numId="23" w16cid:durableId="1402101621">
    <w:abstractNumId w:val="10"/>
  </w:num>
  <w:num w:numId="24" w16cid:durableId="1346175706">
    <w:abstractNumId w:val="20"/>
  </w:num>
  <w:num w:numId="25" w16cid:durableId="73474775">
    <w:abstractNumId w:val="4"/>
  </w:num>
  <w:num w:numId="26" w16cid:durableId="406223421">
    <w:abstractNumId w:val="8"/>
  </w:num>
  <w:num w:numId="27" w16cid:durableId="1878279490">
    <w:abstractNumId w:val="22"/>
  </w:num>
  <w:num w:numId="28" w16cid:durableId="355545115">
    <w:abstractNumId w:val="9"/>
  </w:num>
  <w:num w:numId="29" w16cid:durableId="1670058650">
    <w:abstractNumId w:val="12"/>
  </w:num>
  <w:num w:numId="30" w16cid:durableId="1809545392">
    <w:abstractNumId w:val="2"/>
  </w:num>
  <w:num w:numId="31" w16cid:durableId="1954629232">
    <w:abstractNumId w:val="0"/>
  </w:num>
  <w:num w:numId="32" w16cid:durableId="1073703152">
    <w:abstractNumId w:val="1"/>
  </w:num>
  <w:num w:numId="33" w16cid:durableId="1671180960">
    <w:abstractNumId w:val="24"/>
  </w:num>
  <w:num w:numId="34" w16cid:durableId="8490281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39A2"/>
    <w:rsid w:val="00003BDF"/>
    <w:rsid w:val="000062F3"/>
    <w:rsid w:val="0000797D"/>
    <w:rsid w:val="0001328B"/>
    <w:rsid w:val="000224F2"/>
    <w:rsid w:val="00023C3E"/>
    <w:rsid w:val="0002653B"/>
    <w:rsid w:val="00034682"/>
    <w:rsid w:val="00035E21"/>
    <w:rsid w:val="00037B4E"/>
    <w:rsid w:val="00042856"/>
    <w:rsid w:val="0004434A"/>
    <w:rsid w:val="0005281E"/>
    <w:rsid w:val="00055421"/>
    <w:rsid w:val="0005682C"/>
    <w:rsid w:val="00056D71"/>
    <w:rsid w:val="00061B2A"/>
    <w:rsid w:val="00062BAF"/>
    <w:rsid w:val="000630B9"/>
    <w:rsid w:val="000643B2"/>
    <w:rsid w:val="00065E80"/>
    <w:rsid w:val="0007022C"/>
    <w:rsid w:val="00071DE6"/>
    <w:rsid w:val="000754B0"/>
    <w:rsid w:val="00077439"/>
    <w:rsid w:val="000774B8"/>
    <w:rsid w:val="00082362"/>
    <w:rsid w:val="0008328D"/>
    <w:rsid w:val="00084D78"/>
    <w:rsid w:val="0009387A"/>
    <w:rsid w:val="0009387B"/>
    <w:rsid w:val="000963C6"/>
    <w:rsid w:val="00096EFD"/>
    <w:rsid w:val="0009762F"/>
    <w:rsid w:val="000A31B9"/>
    <w:rsid w:val="000A3330"/>
    <w:rsid w:val="000A36D8"/>
    <w:rsid w:val="000A3D63"/>
    <w:rsid w:val="000A3FB9"/>
    <w:rsid w:val="000A683A"/>
    <w:rsid w:val="000A683E"/>
    <w:rsid w:val="000B19B9"/>
    <w:rsid w:val="000B3001"/>
    <w:rsid w:val="000C2889"/>
    <w:rsid w:val="000C3673"/>
    <w:rsid w:val="000D0152"/>
    <w:rsid w:val="000D0334"/>
    <w:rsid w:val="000D0B4D"/>
    <w:rsid w:val="000D3B29"/>
    <w:rsid w:val="000E06F4"/>
    <w:rsid w:val="000E1AC7"/>
    <w:rsid w:val="000E4CE4"/>
    <w:rsid w:val="000F27C8"/>
    <w:rsid w:val="000F6486"/>
    <w:rsid w:val="000F669F"/>
    <w:rsid w:val="001063B3"/>
    <w:rsid w:val="00107ACA"/>
    <w:rsid w:val="001114A9"/>
    <w:rsid w:val="00111979"/>
    <w:rsid w:val="00116537"/>
    <w:rsid w:val="00120766"/>
    <w:rsid w:val="00122FA6"/>
    <w:rsid w:val="001240BD"/>
    <w:rsid w:val="00125105"/>
    <w:rsid w:val="001268F7"/>
    <w:rsid w:val="00127233"/>
    <w:rsid w:val="001372FC"/>
    <w:rsid w:val="00143E81"/>
    <w:rsid w:val="00143FD9"/>
    <w:rsid w:val="00145047"/>
    <w:rsid w:val="00146C57"/>
    <w:rsid w:val="00150ADA"/>
    <w:rsid w:val="00161F0E"/>
    <w:rsid w:val="0016332F"/>
    <w:rsid w:val="0016642E"/>
    <w:rsid w:val="001717E9"/>
    <w:rsid w:val="0017238A"/>
    <w:rsid w:val="001800BA"/>
    <w:rsid w:val="00180A30"/>
    <w:rsid w:val="00185EE9"/>
    <w:rsid w:val="00187F79"/>
    <w:rsid w:val="00197274"/>
    <w:rsid w:val="001A237A"/>
    <w:rsid w:val="001A26CF"/>
    <w:rsid w:val="001A2919"/>
    <w:rsid w:val="001A385B"/>
    <w:rsid w:val="001B2CFE"/>
    <w:rsid w:val="001C15C5"/>
    <w:rsid w:val="001C222E"/>
    <w:rsid w:val="001C22F9"/>
    <w:rsid w:val="001D05C4"/>
    <w:rsid w:val="001D1C29"/>
    <w:rsid w:val="001D2CCC"/>
    <w:rsid w:val="001E3C06"/>
    <w:rsid w:val="001E4177"/>
    <w:rsid w:val="001F0A0F"/>
    <w:rsid w:val="001F4EFD"/>
    <w:rsid w:val="001F5E13"/>
    <w:rsid w:val="001F6D11"/>
    <w:rsid w:val="001F7DC6"/>
    <w:rsid w:val="00202886"/>
    <w:rsid w:val="00205784"/>
    <w:rsid w:val="00210946"/>
    <w:rsid w:val="00213510"/>
    <w:rsid w:val="0021372A"/>
    <w:rsid w:val="00215CEF"/>
    <w:rsid w:val="00217A08"/>
    <w:rsid w:val="00220B77"/>
    <w:rsid w:val="00221D27"/>
    <w:rsid w:val="00237233"/>
    <w:rsid w:val="002421BB"/>
    <w:rsid w:val="00245707"/>
    <w:rsid w:val="00246A81"/>
    <w:rsid w:val="00251A5F"/>
    <w:rsid w:val="00252B30"/>
    <w:rsid w:val="0025796E"/>
    <w:rsid w:val="002603E5"/>
    <w:rsid w:val="002638B2"/>
    <w:rsid w:val="002660F2"/>
    <w:rsid w:val="002664BB"/>
    <w:rsid w:val="002707A2"/>
    <w:rsid w:val="00280A0C"/>
    <w:rsid w:val="002826F0"/>
    <w:rsid w:val="002835A6"/>
    <w:rsid w:val="002844ED"/>
    <w:rsid w:val="002933DA"/>
    <w:rsid w:val="002951A0"/>
    <w:rsid w:val="002962BC"/>
    <w:rsid w:val="002A093D"/>
    <w:rsid w:val="002A0DD0"/>
    <w:rsid w:val="002A1D2F"/>
    <w:rsid w:val="002A49AC"/>
    <w:rsid w:val="002A64FD"/>
    <w:rsid w:val="002A6BBF"/>
    <w:rsid w:val="002B1E57"/>
    <w:rsid w:val="002B1F7F"/>
    <w:rsid w:val="002B290B"/>
    <w:rsid w:val="002B61F2"/>
    <w:rsid w:val="002B7AD9"/>
    <w:rsid w:val="002C110E"/>
    <w:rsid w:val="002C379A"/>
    <w:rsid w:val="002C765E"/>
    <w:rsid w:val="002C7A84"/>
    <w:rsid w:val="002D13A1"/>
    <w:rsid w:val="002D3F0D"/>
    <w:rsid w:val="002E1D98"/>
    <w:rsid w:val="002E2C3F"/>
    <w:rsid w:val="002E4FD9"/>
    <w:rsid w:val="002E6F15"/>
    <w:rsid w:val="002F13FD"/>
    <w:rsid w:val="002F53FB"/>
    <w:rsid w:val="00303544"/>
    <w:rsid w:val="003039C1"/>
    <w:rsid w:val="00310DBE"/>
    <w:rsid w:val="003119D8"/>
    <w:rsid w:val="0031430F"/>
    <w:rsid w:val="00315D75"/>
    <w:rsid w:val="00320B30"/>
    <w:rsid w:val="00320BBD"/>
    <w:rsid w:val="003226F7"/>
    <w:rsid w:val="00322A85"/>
    <w:rsid w:val="00324168"/>
    <w:rsid w:val="0033032A"/>
    <w:rsid w:val="00330C97"/>
    <w:rsid w:val="00334C6A"/>
    <w:rsid w:val="00336C05"/>
    <w:rsid w:val="003409C8"/>
    <w:rsid w:val="00342675"/>
    <w:rsid w:val="00343512"/>
    <w:rsid w:val="003448F4"/>
    <w:rsid w:val="00345330"/>
    <w:rsid w:val="003522B9"/>
    <w:rsid w:val="003528DF"/>
    <w:rsid w:val="00352C12"/>
    <w:rsid w:val="00354BCA"/>
    <w:rsid w:val="00362DEE"/>
    <w:rsid w:val="0036594E"/>
    <w:rsid w:val="003665EE"/>
    <w:rsid w:val="0037010E"/>
    <w:rsid w:val="003734F4"/>
    <w:rsid w:val="00374F5E"/>
    <w:rsid w:val="0037527B"/>
    <w:rsid w:val="00375884"/>
    <w:rsid w:val="00377E3E"/>
    <w:rsid w:val="003815B3"/>
    <w:rsid w:val="003815E8"/>
    <w:rsid w:val="0038501A"/>
    <w:rsid w:val="00386D13"/>
    <w:rsid w:val="00391392"/>
    <w:rsid w:val="00392A49"/>
    <w:rsid w:val="00393812"/>
    <w:rsid w:val="0039387A"/>
    <w:rsid w:val="003A26D1"/>
    <w:rsid w:val="003A3B30"/>
    <w:rsid w:val="003A477B"/>
    <w:rsid w:val="003A779E"/>
    <w:rsid w:val="003B005A"/>
    <w:rsid w:val="003B0636"/>
    <w:rsid w:val="003B6385"/>
    <w:rsid w:val="003B78C4"/>
    <w:rsid w:val="003C3FA5"/>
    <w:rsid w:val="003D0F4D"/>
    <w:rsid w:val="003D1B5E"/>
    <w:rsid w:val="003D5B0D"/>
    <w:rsid w:val="003E0499"/>
    <w:rsid w:val="003E40F2"/>
    <w:rsid w:val="003E7EAA"/>
    <w:rsid w:val="003F3941"/>
    <w:rsid w:val="00400676"/>
    <w:rsid w:val="004008A9"/>
    <w:rsid w:val="0040480E"/>
    <w:rsid w:val="00406575"/>
    <w:rsid w:val="004069AB"/>
    <w:rsid w:val="00410906"/>
    <w:rsid w:val="00413955"/>
    <w:rsid w:val="00415F5F"/>
    <w:rsid w:val="0041655A"/>
    <w:rsid w:val="004216B6"/>
    <w:rsid w:val="00426FD7"/>
    <w:rsid w:val="0042722E"/>
    <w:rsid w:val="00427DA0"/>
    <w:rsid w:val="00440391"/>
    <w:rsid w:val="004405A4"/>
    <w:rsid w:val="004426AD"/>
    <w:rsid w:val="00442C7F"/>
    <w:rsid w:val="0044528D"/>
    <w:rsid w:val="00450920"/>
    <w:rsid w:val="004530EA"/>
    <w:rsid w:val="00454D48"/>
    <w:rsid w:val="004554F9"/>
    <w:rsid w:val="0046004D"/>
    <w:rsid w:val="00461A6A"/>
    <w:rsid w:val="004633DE"/>
    <w:rsid w:val="00464D48"/>
    <w:rsid w:val="00465E71"/>
    <w:rsid w:val="00466040"/>
    <w:rsid w:val="00471654"/>
    <w:rsid w:val="004734BD"/>
    <w:rsid w:val="004778A1"/>
    <w:rsid w:val="00480BAF"/>
    <w:rsid w:val="00482608"/>
    <w:rsid w:val="00483749"/>
    <w:rsid w:val="00484809"/>
    <w:rsid w:val="00484BB1"/>
    <w:rsid w:val="004A0980"/>
    <w:rsid w:val="004A0B8B"/>
    <w:rsid w:val="004A1847"/>
    <w:rsid w:val="004A305D"/>
    <w:rsid w:val="004A3312"/>
    <w:rsid w:val="004A66E3"/>
    <w:rsid w:val="004B740F"/>
    <w:rsid w:val="004C4B37"/>
    <w:rsid w:val="004D026D"/>
    <w:rsid w:val="004D23A7"/>
    <w:rsid w:val="004E1865"/>
    <w:rsid w:val="004E221E"/>
    <w:rsid w:val="004E2892"/>
    <w:rsid w:val="004E4C0B"/>
    <w:rsid w:val="004E505B"/>
    <w:rsid w:val="004E7CE7"/>
    <w:rsid w:val="004F21C4"/>
    <w:rsid w:val="004F3012"/>
    <w:rsid w:val="004F3B9E"/>
    <w:rsid w:val="004F5559"/>
    <w:rsid w:val="004F685F"/>
    <w:rsid w:val="004F7EC9"/>
    <w:rsid w:val="00504CBE"/>
    <w:rsid w:val="005065E5"/>
    <w:rsid w:val="00514598"/>
    <w:rsid w:val="005163B5"/>
    <w:rsid w:val="0051641A"/>
    <w:rsid w:val="0052543A"/>
    <w:rsid w:val="00525FDB"/>
    <w:rsid w:val="0052785C"/>
    <w:rsid w:val="00533E1B"/>
    <w:rsid w:val="00540C2D"/>
    <w:rsid w:val="0054335F"/>
    <w:rsid w:val="00552502"/>
    <w:rsid w:val="005566E8"/>
    <w:rsid w:val="00560CB5"/>
    <w:rsid w:val="00564F8B"/>
    <w:rsid w:val="00574122"/>
    <w:rsid w:val="00574867"/>
    <w:rsid w:val="00577D09"/>
    <w:rsid w:val="0058087F"/>
    <w:rsid w:val="00591460"/>
    <w:rsid w:val="00592628"/>
    <w:rsid w:val="00597C75"/>
    <w:rsid w:val="005A0868"/>
    <w:rsid w:val="005A0AEC"/>
    <w:rsid w:val="005A0CFB"/>
    <w:rsid w:val="005A282F"/>
    <w:rsid w:val="005A2AC9"/>
    <w:rsid w:val="005A6C21"/>
    <w:rsid w:val="005A781A"/>
    <w:rsid w:val="005B2CCE"/>
    <w:rsid w:val="005B58C1"/>
    <w:rsid w:val="005B6033"/>
    <w:rsid w:val="005C3777"/>
    <w:rsid w:val="005C522D"/>
    <w:rsid w:val="005C5CDC"/>
    <w:rsid w:val="005D17C8"/>
    <w:rsid w:val="005D2B2B"/>
    <w:rsid w:val="005D476C"/>
    <w:rsid w:val="005D5F91"/>
    <w:rsid w:val="005D7B25"/>
    <w:rsid w:val="005E6B74"/>
    <w:rsid w:val="005F3CE0"/>
    <w:rsid w:val="005F3F45"/>
    <w:rsid w:val="005F7C43"/>
    <w:rsid w:val="00601DFC"/>
    <w:rsid w:val="00605A00"/>
    <w:rsid w:val="00610812"/>
    <w:rsid w:val="00612CE7"/>
    <w:rsid w:val="006219F8"/>
    <w:rsid w:val="0063165E"/>
    <w:rsid w:val="00632C08"/>
    <w:rsid w:val="00650FF7"/>
    <w:rsid w:val="00656421"/>
    <w:rsid w:val="00660F6A"/>
    <w:rsid w:val="006632FF"/>
    <w:rsid w:val="00663B19"/>
    <w:rsid w:val="00665D70"/>
    <w:rsid w:val="00671DAC"/>
    <w:rsid w:val="006747C7"/>
    <w:rsid w:val="00675708"/>
    <w:rsid w:val="006827AC"/>
    <w:rsid w:val="006859A3"/>
    <w:rsid w:val="00685B86"/>
    <w:rsid w:val="006900D9"/>
    <w:rsid w:val="006920AE"/>
    <w:rsid w:val="00697B17"/>
    <w:rsid w:val="006A0008"/>
    <w:rsid w:val="006A0F21"/>
    <w:rsid w:val="006A10DF"/>
    <w:rsid w:val="006A3147"/>
    <w:rsid w:val="006B25DE"/>
    <w:rsid w:val="006C0240"/>
    <w:rsid w:val="006C3F0F"/>
    <w:rsid w:val="006C5595"/>
    <w:rsid w:val="006D12F8"/>
    <w:rsid w:val="006D4E33"/>
    <w:rsid w:val="006E0105"/>
    <w:rsid w:val="006F0D40"/>
    <w:rsid w:val="006F2501"/>
    <w:rsid w:val="006F67B5"/>
    <w:rsid w:val="00700975"/>
    <w:rsid w:val="00704D9B"/>
    <w:rsid w:val="00705E5F"/>
    <w:rsid w:val="00706C16"/>
    <w:rsid w:val="00711C85"/>
    <w:rsid w:val="0071458F"/>
    <w:rsid w:val="0071627C"/>
    <w:rsid w:val="00723A7F"/>
    <w:rsid w:val="00723F2B"/>
    <w:rsid w:val="007312C3"/>
    <w:rsid w:val="00737C53"/>
    <w:rsid w:val="00737DFA"/>
    <w:rsid w:val="007534CA"/>
    <w:rsid w:val="00756841"/>
    <w:rsid w:val="0076066F"/>
    <w:rsid w:val="00762AA9"/>
    <w:rsid w:val="007649AB"/>
    <w:rsid w:val="007670E3"/>
    <w:rsid w:val="00771D0C"/>
    <w:rsid w:val="00771FD2"/>
    <w:rsid w:val="0078274D"/>
    <w:rsid w:val="007833AC"/>
    <w:rsid w:val="00784D58"/>
    <w:rsid w:val="00786FBF"/>
    <w:rsid w:val="00790AB7"/>
    <w:rsid w:val="007913EA"/>
    <w:rsid w:val="00791769"/>
    <w:rsid w:val="007932BC"/>
    <w:rsid w:val="00796340"/>
    <w:rsid w:val="007A23EA"/>
    <w:rsid w:val="007A5189"/>
    <w:rsid w:val="007B0D88"/>
    <w:rsid w:val="007B268C"/>
    <w:rsid w:val="007B7171"/>
    <w:rsid w:val="007B7D02"/>
    <w:rsid w:val="007C0C0F"/>
    <w:rsid w:val="007C2E67"/>
    <w:rsid w:val="007C3DC2"/>
    <w:rsid w:val="007D0457"/>
    <w:rsid w:val="007D43C9"/>
    <w:rsid w:val="007E5497"/>
    <w:rsid w:val="007F28CA"/>
    <w:rsid w:val="007F52A4"/>
    <w:rsid w:val="007F60FB"/>
    <w:rsid w:val="007F6C8B"/>
    <w:rsid w:val="007F7B94"/>
    <w:rsid w:val="00800789"/>
    <w:rsid w:val="00801352"/>
    <w:rsid w:val="00804981"/>
    <w:rsid w:val="00806F5F"/>
    <w:rsid w:val="00807720"/>
    <w:rsid w:val="00811270"/>
    <w:rsid w:val="00811E4F"/>
    <w:rsid w:val="008163D7"/>
    <w:rsid w:val="00820278"/>
    <w:rsid w:val="0082586F"/>
    <w:rsid w:val="00834554"/>
    <w:rsid w:val="00834B31"/>
    <w:rsid w:val="008353E5"/>
    <w:rsid w:val="00840ADC"/>
    <w:rsid w:val="00841A23"/>
    <w:rsid w:val="00843902"/>
    <w:rsid w:val="00843928"/>
    <w:rsid w:val="00843BF7"/>
    <w:rsid w:val="008449B3"/>
    <w:rsid w:val="00846276"/>
    <w:rsid w:val="00850E23"/>
    <w:rsid w:val="00851137"/>
    <w:rsid w:val="00853978"/>
    <w:rsid w:val="0085432F"/>
    <w:rsid w:val="00856C43"/>
    <w:rsid w:val="00864209"/>
    <w:rsid w:val="0087325B"/>
    <w:rsid w:val="00877EBA"/>
    <w:rsid w:val="0088002A"/>
    <w:rsid w:val="00881ABA"/>
    <w:rsid w:val="008843B6"/>
    <w:rsid w:val="00886C89"/>
    <w:rsid w:val="00887569"/>
    <w:rsid w:val="00891928"/>
    <w:rsid w:val="00894B8B"/>
    <w:rsid w:val="008961BA"/>
    <w:rsid w:val="008A00A4"/>
    <w:rsid w:val="008A446D"/>
    <w:rsid w:val="008A7A64"/>
    <w:rsid w:val="008A7F08"/>
    <w:rsid w:val="008B2F0E"/>
    <w:rsid w:val="008B5A2E"/>
    <w:rsid w:val="008B7266"/>
    <w:rsid w:val="008D180B"/>
    <w:rsid w:val="008D1BDB"/>
    <w:rsid w:val="008D6CDA"/>
    <w:rsid w:val="008D7227"/>
    <w:rsid w:val="008E1F92"/>
    <w:rsid w:val="008E7333"/>
    <w:rsid w:val="008E76B5"/>
    <w:rsid w:val="008E7B09"/>
    <w:rsid w:val="008F0EA7"/>
    <w:rsid w:val="008F7BB9"/>
    <w:rsid w:val="00904692"/>
    <w:rsid w:val="00910097"/>
    <w:rsid w:val="00911C7C"/>
    <w:rsid w:val="0091561E"/>
    <w:rsid w:val="00922F57"/>
    <w:rsid w:val="00923EEF"/>
    <w:rsid w:val="009325CC"/>
    <w:rsid w:val="0093558D"/>
    <w:rsid w:val="009411F5"/>
    <w:rsid w:val="009419F9"/>
    <w:rsid w:val="00945B9F"/>
    <w:rsid w:val="00950BE2"/>
    <w:rsid w:val="00953AA4"/>
    <w:rsid w:val="00955305"/>
    <w:rsid w:val="0095685E"/>
    <w:rsid w:val="009572D9"/>
    <w:rsid w:val="009577E2"/>
    <w:rsid w:val="009600D2"/>
    <w:rsid w:val="00961409"/>
    <w:rsid w:val="00961B09"/>
    <w:rsid w:val="00962300"/>
    <w:rsid w:val="00965334"/>
    <w:rsid w:val="0097093E"/>
    <w:rsid w:val="009725F1"/>
    <w:rsid w:val="00976025"/>
    <w:rsid w:val="00976F04"/>
    <w:rsid w:val="009800BE"/>
    <w:rsid w:val="00982E41"/>
    <w:rsid w:val="00983B79"/>
    <w:rsid w:val="00983EEA"/>
    <w:rsid w:val="00984649"/>
    <w:rsid w:val="009858BE"/>
    <w:rsid w:val="009A0DFA"/>
    <w:rsid w:val="009A3C2C"/>
    <w:rsid w:val="009A4A40"/>
    <w:rsid w:val="009B2D26"/>
    <w:rsid w:val="009B3595"/>
    <w:rsid w:val="009B5228"/>
    <w:rsid w:val="009B6C8C"/>
    <w:rsid w:val="009B780F"/>
    <w:rsid w:val="009C06CF"/>
    <w:rsid w:val="009C2DD0"/>
    <w:rsid w:val="009C3AC7"/>
    <w:rsid w:val="009C71FA"/>
    <w:rsid w:val="009C72E7"/>
    <w:rsid w:val="009D0555"/>
    <w:rsid w:val="009D1086"/>
    <w:rsid w:val="009D3058"/>
    <w:rsid w:val="009D3A11"/>
    <w:rsid w:val="009D44C4"/>
    <w:rsid w:val="009D6427"/>
    <w:rsid w:val="009D67FD"/>
    <w:rsid w:val="009D6D87"/>
    <w:rsid w:val="009E4636"/>
    <w:rsid w:val="009E5A30"/>
    <w:rsid w:val="009E7C05"/>
    <w:rsid w:val="009F3831"/>
    <w:rsid w:val="009F3832"/>
    <w:rsid w:val="009F3A13"/>
    <w:rsid w:val="009F4AB2"/>
    <w:rsid w:val="009F73F7"/>
    <w:rsid w:val="00A02465"/>
    <w:rsid w:val="00A03415"/>
    <w:rsid w:val="00A04A81"/>
    <w:rsid w:val="00A10F15"/>
    <w:rsid w:val="00A122D3"/>
    <w:rsid w:val="00A14D3D"/>
    <w:rsid w:val="00A17F13"/>
    <w:rsid w:val="00A20739"/>
    <w:rsid w:val="00A211D0"/>
    <w:rsid w:val="00A23361"/>
    <w:rsid w:val="00A24433"/>
    <w:rsid w:val="00A2443A"/>
    <w:rsid w:val="00A25580"/>
    <w:rsid w:val="00A332DD"/>
    <w:rsid w:val="00A339A9"/>
    <w:rsid w:val="00A33C78"/>
    <w:rsid w:val="00A34B38"/>
    <w:rsid w:val="00A34D87"/>
    <w:rsid w:val="00A35538"/>
    <w:rsid w:val="00A3685A"/>
    <w:rsid w:val="00A3783B"/>
    <w:rsid w:val="00A37BC4"/>
    <w:rsid w:val="00A42050"/>
    <w:rsid w:val="00A43292"/>
    <w:rsid w:val="00A445C0"/>
    <w:rsid w:val="00A52D82"/>
    <w:rsid w:val="00A56959"/>
    <w:rsid w:val="00A56FCA"/>
    <w:rsid w:val="00A6004A"/>
    <w:rsid w:val="00A613C2"/>
    <w:rsid w:val="00A7332E"/>
    <w:rsid w:val="00A745FA"/>
    <w:rsid w:val="00A74DE6"/>
    <w:rsid w:val="00A75866"/>
    <w:rsid w:val="00A8086A"/>
    <w:rsid w:val="00A80F32"/>
    <w:rsid w:val="00A828F1"/>
    <w:rsid w:val="00A830AD"/>
    <w:rsid w:val="00A87F7D"/>
    <w:rsid w:val="00A9244C"/>
    <w:rsid w:val="00A94D14"/>
    <w:rsid w:val="00A95106"/>
    <w:rsid w:val="00A95A1A"/>
    <w:rsid w:val="00AA23BB"/>
    <w:rsid w:val="00AA3835"/>
    <w:rsid w:val="00AB0ADB"/>
    <w:rsid w:val="00AB3FD1"/>
    <w:rsid w:val="00AC0DF9"/>
    <w:rsid w:val="00AC0EAB"/>
    <w:rsid w:val="00AC4701"/>
    <w:rsid w:val="00AC49A2"/>
    <w:rsid w:val="00AD73E2"/>
    <w:rsid w:val="00AE1BEC"/>
    <w:rsid w:val="00AE226B"/>
    <w:rsid w:val="00AE2631"/>
    <w:rsid w:val="00AE3D6C"/>
    <w:rsid w:val="00AE7375"/>
    <w:rsid w:val="00AF1BEC"/>
    <w:rsid w:val="00AF54CA"/>
    <w:rsid w:val="00B009B8"/>
    <w:rsid w:val="00B01B1A"/>
    <w:rsid w:val="00B0268A"/>
    <w:rsid w:val="00B0410F"/>
    <w:rsid w:val="00B07DDD"/>
    <w:rsid w:val="00B14E03"/>
    <w:rsid w:val="00B26B98"/>
    <w:rsid w:val="00B35201"/>
    <w:rsid w:val="00B35ADC"/>
    <w:rsid w:val="00B37C24"/>
    <w:rsid w:val="00B40FBC"/>
    <w:rsid w:val="00B427E2"/>
    <w:rsid w:val="00B46F27"/>
    <w:rsid w:val="00B47FD7"/>
    <w:rsid w:val="00B51F75"/>
    <w:rsid w:val="00B52169"/>
    <w:rsid w:val="00B53E27"/>
    <w:rsid w:val="00B558AF"/>
    <w:rsid w:val="00B57BF9"/>
    <w:rsid w:val="00B615BA"/>
    <w:rsid w:val="00B62D8B"/>
    <w:rsid w:val="00B72CD3"/>
    <w:rsid w:val="00B72FFF"/>
    <w:rsid w:val="00B76CEB"/>
    <w:rsid w:val="00B8257D"/>
    <w:rsid w:val="00B82B8B"/>
    <w:rsid w:val="00B86FE2"/>
    <w:rsid w:val="00B91186"/>
    <w:rsid w:val="00B93423"/>
    <w:rsid w:val="00B948E8"/>
    <w:rsid w:val="00BA0A22"/>
    <w:rsid w:val="00BA2EF4"/>
    <w:rsid w:val="00BA6BE0"/>
    <w:rsid w:val="00BB22DA"/>
    <w:rsid w:val="00BB2C9D"/>
    <w:rsid w:val="00BC0036"/>
    <w:rsid w:val="00BC05A6"/>
    <w:rsid w:val="00BC3D36"/>
    <w:rsid w:val="00BC4B34"/>
    <w:rsid w:val="00BC7498"/>
    <w:rsid w:val="00BD4BCA"/>
    <w:rsid w:val="00BD7974"/>
    <w:rsid w:val="00BD7F72"/>
    <w:rsid w:val="00BE03BC"/>
    <w:rsid w:val="00BE0A18"/>
    <w:rsid w:val="00BF0D99"/>
    <w:rsid w:val="00BF1201"/>
    <w:rsid w:val="00BF1D4A"/>
    <w:rsid w:val="00BF230F"/>
    <w:rsid w:val="00C002E3"/>
    <w:rsid w:val="00C012CC"/>
    <w:rsid w:val="00C04FB3"/>
    <w:rsid w:val="00C06C4F"/>
    <w:rsid w:val="00C147D0"/>
    <w:rsid w:val="00C159C1"/>
    <w:rsid w:val="00C16346"/>
    <w:rsid w:val="00C21B15"/>
    <w:rsid w:val="00C21B8C"/>
    <w:rsid w:val="00C26603"/>
    <w:rsid w:val="00C32523"/>
    <w:rsid w:val="00C3281B"/>
    <w:rsid w:val="00C330EB"/>
    <w:rsid w:val="00C33879"/>
    <w:rsid w:val="00C34712"/>
    <w:rsid w:val="00C371C9"/>
    <w:rsid w:val="00C40E9F"/>
    <w:rsid w:val="00C41481"/>
    <w:rsid w:val="00C42469"/>
    <w:rsid w:val="00C46D91"/>
    <w:rsid w:val="00C47A07"/>
    <w:rsid w:val="00C47B74"/>
    <w:rsid w:val="00C50855"/>
    <w:rsid w:val="00C57281"/>
    <w:rsid w:val="00C57E63"/>
    <w:rsid w:val="00C65D65"/>
    <w:rsid w:val="00C67703"/>
    <w:rsid w:val="00C7173F"/>
    <w:rsid w:val="00C730B6"/>
    <w:rsid w:val="00C7352F"/>
    <w:rsid w:val="00C754BE"/>
    <w:rsid w:val="00C76182"/>
    <w:rsid w:val="00C76466"/>
    <w:rsid w:val="00C76B1C"/>
    <w:rsid w:val="00C82239"/>
    <w:rsid w:val="00C84876"/>
    <w:rsid w:val="00C915DD"/>
    <w:rsid w:val="00C91B94"/>
    <w:rsid w:val="00C92665"/>
    <w:rsid w:val="00CA6A9D"/>
    <w:rsid w:val="00CA7F6B"/>
    <w:rsid w:val="00CB6357"/>
    <w:rsid w:val="00CC0FA3"/>
    <w:rsid w:val="00CC1B26"/>
    <w:rsid w:val="00CC49F7"/>
    <w:rsid w:val="00CC54DB"/>
    <w:rsid w:val="00CC7787"/>
    <w:rsid w:val="00CD087D"/>
    <w:rsid w:val="00CD41CB"/>
    <w:rsid w:val="00CD5EE0"/>
    <w:rsid w:val="00CE02A2"/>
    <w:rsid w:val="00CE3273"/>
    <w:rsid w:val="00CE509A"/>
    <w:rsid w:val="00CE5414"/>
    <w:rsid w:val="00CE6CB5"/>
    <w:rsid w:val="00CF241F"/>
    <w:rsid w:val="00CF7826"/>
    <w:rsid w:val="00D0157A"/>
    <w:rsid w:val="00D036D8"/>
    <w:rsid w:val="00D038ED"/>
    <w:rsid w:val="00D06D26"/>
    <w:rsid w:val="00D10B75"/>
    <w:rsid w:val="00D13351"/>
    <w:rsid w:val="00D15E25"/>
    <w:rsid w:val="00D20368"/>
    <w:rsid w:val="00D22361"/>
    <w:rsid w:val="00D22598"/>
    <w:rsid w:val="00D26924"/>
    <w:rsid w:val="00D35468"/>
    <w:rsid w:val="00D413F6"/>
    <w:rsid w:val="00D4231B"/>
    <w:rsid w:val="00D423A2"/>
    <w:rsid w:val="00D45E4A"/>
    <w:rsid w:val="00D520D8"/>
    <w:rsid w:val="00D52961"/>
    <w:rsid w:val="00D55048"/>
    <w:rsid w:val="00D56C6D"/>
    <w:rsid w:val="00D57FA4"/>
    <w:rsid w:val="00D60C2B"/>
    <w:rsid w:val="00D62DE7"/>
    <w:rsid w:val="00D63AC2"/>
    <w:rsid w:val="00D665B4"/>
    <w:rsid w:val="00D7080D"/>
    <w:rsid w:val="00D7383B"/>
    <w:rsid w:val="00D7609E"/>
    <w:rsid w:val="00D81A63"/>
    <w:rsid w:val="00D81D25"/>
    <w:rsid w:val="00D85C60"/>
    <w:rsid w:val="00D91F8B"/>
    <w:rsid w:val="00D94C40"/>
    <w:rsid w:val="00DA231B"/>
    <w:rsid w:val="00DA23A0"/>
    <w:rsid w:val="00DA7F66"/>
    <w:rsid w:val="00DB186F"/>
    <w:rsid w:val="00DB77B8"/>
    <w:rsid w:val="00DC39FC"/>
    <w:rsid w:val="00DC4385"/>
    <w:rsid w:val="00DC484F"/>
    <w:rsid w:val="00DC4C27"/>
    <w:rsid w:val="00DC51BC"/>
    <w:rsid w:val="00DC78A7"/>
    <w:rsid w:val="00DC793F"/>
    <w:rsid w:val="00DE38AC"/>
    <w:rsid w:val="00DE3BDD"/>
    <w:rsid w:val="00DE4629"/>
    <w:rsid w:val="00DE58C9"/>
    <w:rsid w:val="00DE6EAA"/>
    <w:rsid w:val="00DF11FD"/>
    <w:rsid w:val="00DF5254"/>
    <w:rsid w:val="00E0474C"/>
    <w:rsid w:val="00E052F2"/>
    <w:rsid w:val="00E12426"/>
    <w:rsid w:val="00E14EB2"/>
    <w:rsid w:val="00E16408"/>
    <w:rsid w:val="00E20440"/>
    <w:rsid w:val="00E20894"/>
    <w:rsid w:val="00E23B70"/>
    <w:rsid w:val="00E245AB"/>
    <w:rsid w:val="00E26239"/>
    <w:rsid w:val="00E2764C"/>
    <w:rsid w:val="00E27F2E"/>
    <w:rsid w:val="00E35539"/>
    <w:rsid w:val="00E413EA"/>
    <w:rsid w:val="00E42496"/>
    <w:rsid w:val="00E47F28"/>
    <w:rsid w:val="00E50AFE"/>
    <w:rsid w:val="00E52E49"/>
    <w:rsid w:val="00E577AC"/>
    <w:rsid w:val="00E578B6"/>
    <w:rsid w:val="00E61547"/>
    <w:rsid w:val="00E61702"/>
    <w:rsid w:val="00E75B66"/>
    <w:rsid w:val="00E75C92"/>
    <w:rsid w:val="00E761BC"/>
    <w:rsid w:val="00E76808"/>
    <w:rsid w:val="00E770CD"/>
    <w:rsid w:val="00E771DC"/>
    <w:rsid w:val="00E77478"/>
    <w:rsid w:val="00E77E1B"/>
    <w:rsid w:val="00E8013F"/>
    <w:rsid w:val="00E847D2"/>
    <w:rsid w:val="00E85AA8"/>
    <w:rsid w:val="00E870E5"/>
    <w:rsid w:val="00E8772A"/>
    <w:rsid w:val="00E90F6B"/>
    <w:rsid w:val="00E91079"/>
    <w:rsid w:val="00E92C27"/>
    <w:rsid w:val="00E92E10"/>
    <w:rsid w:val="00EA0E3D"/>
    <w:rsid w:val="00EA1CD8"/>
    <w:rsid w:val="00EA29F8"/>
    <w:rsid w:val="00EA393B"/>
    <w:rsid w:val="00EA39A5"/>
    <w:rsid w:val="00EB2C4B"/>
    <w:rsid w:val="00EB7E00"/>
    <w:rsid w:val="00EC1A2C"/>
    <w:rsid w:val="00EC1FE1"/>
    <w:rsid w:val="00EC38A7"/>
    <w:rsid w:val="00ED042A"/>
    <w:rsid w:val="00ED0D4A"/>
    <w:rsid w:val="00EE1AA8"/>
    <w:rsid w:val="00EE2281"/>
    <w:rsid w:val="00EE6DCD"/>
    <w:rsid w:val="00EE6F53"/>
    <w:rsid w:val="00EF26C3"/>
    <w:rsid w:val="00EF419E"/>
    <w:rsid w:val="00EF489F"/>
    <w:rsid w:val="00F00796"/>
    <w:rsid w:val="00F11213"/>
    <w:rsid w:val="00F11BAA"/>
    <w:rsid w:val="00F177C1"/>
    <w:rsid w:val="00F17EB6"/>
    <w:rsid w:val="00F21559"/>
    <w:rsid w:val="00F2166B"/>
    <w:rsid w:val="00F238F2"/>
    <w:rsid w:val="00F260AA"/>
    <w:rsid w:val="00F27B26"/>
    <w:rsid w:val="00F30B1C"/>
    <w:rsid w:val="00F31EDC"/>
    <w:rsid w:val="00F34D02"/>
    <w:rsid w:val="00F34E84"/>
    <w:rsid w:val="00F40BAD"/>
    <w:rsid w:val="00F462B3"/>
    <w:rsid w:val="00F50DC9"/>
    <w:rsid w:val="00F5184B"/>
    <w:rsid w:val="00F5491E"/>
    <w:rsid w:val="00F55081"/>
    <w:rsid w:val="00F55168"/>
    <w:rsid w:val="00F5664F"/>
    <w:rsid w:val="00F574A8"/>
    <w:rsid w:val="00F57DA4"/>
    <w:rsid w:val="00F626C4"/>
    <w:rsid w:val="00F64D9E"/>
    <w:rsid w:val="00F666C4"/>
    <w:rsid w:val="00F7684C"/>
    <w:rsid w:val="00F76AFC"/>
    <w:rsid w:val="00F80CBE"/>
    <w:rsid w:val="00F85198"/>
    <w:rsid w:val="00F85237"/>
    <w:rsid w:val="00F937A9"/>
    <w:rsid w:val="00F939CB"/>
    <w:rsid w:val="00F9479C"/>
    <w:rsid w:val="00F965EE"/>
    <w:rsid w:val="00F97949"/>
    <w:rsid w:val="00FA1110"/>
    <w:rsid w:val="00FA1361"/>
    <w:rsid w:val="00FA34EC"/>
    <w:rsid w:val="00FA358D"/>
    <w:rsid w:val="00FA47C0"/>
    <w:rsid w:val="00FB4425"/>
    <w:rsid w:val="00FB5615"/>
    <w:rsid w:val="00FB5DD1"/>
    <w:rsid w:val="00FB5F87"/>
    <w:rsid w:val="00FC07B5"/>
    <w:rsid w:val="00FC2B5D"/>
    <w:rsid w:val="00FD00BB"/>
    <w:rsid w:val="00FD00E9"/>
    <w:rsid w:val="00FD03E3"/>
    <w:rsid w:val="00FD108E"/>
    <w:rsid w:val="00FD653F"/>
    <w:rsid w:val="00FE122A"/>
    <w:rsid w:val="00FE20E6"/>
    <w:rsid w:val="00FE3927"/>
    <w:rsid w:val="00FF1187"/>
    <w:rsid w:val="00FF1449"/>
    <w:rsid w:val="00FF74EA"/>
    <w:rsid w:val="0FB71FC4"/>
    <w:rsid w:val="2832C13D"/>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3D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832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08328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8328D"/>
    <w:rPr>
      <w:rFonts w:ascii="Geomanist Light" w:hAnsi="Geomanist Light"/>
      <w:lang w:val="es-ES"/>
    </w:rPr>
  </w:style>
  <w:style w:type="character" w:styleId="Textoennegrita">
    <w:name w:val="Strong"/>
    <w:basedOn w:val="Fuentedeprrafopredeter"/>
    <w:uiPriority w:val="22"/>
    <w:qFormat/>
    <w:rsid w:val="0008328D"/>
    <w:rPr>
      <w:b/>
      <w:bCs/>
    </w:rPr>
  </w:style>
  <w:style w:type="paragraph" w:customStyle="1" w:styleId="fn1">
    <w:name w:val="fn1"/>
    <w:basedOn w:val="Normal"/>
    <w:next w:val="Textonotapie"/>
    <w:uiPriority w:val="99"/>
    <w:unhideWhenUsed/>
    <w:qFormat/>
    <w:rsid w:val="004F3012"/>
    <w:pPr>
      <w:spacing w:after="0" w:line="240" w:lineRule="auto"/>
    </w:pPr>
    <w:rPr>
      <w:sz w:val="20"/>
      <w:szCs w:val="20"/>
      <w:lang w:val="es-MX"/>
    </w:rPr>
  </w:style>
  <w:style w:type="paragraph" w:styleId="Textoindependiente">
    <w:name w:val="Body Text"/>
    <w:basedOn w:val="Normal"/>
    <w:link w:val="TextoindependienteCar"/>
    <w:uiPriority w:val="1"/>
    <w:qFormat/>
    <w:rsid w:val="00FF74EA"/>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FF74EA"/>
    <w:rPr>
      <w:rFonts w:ascii="Arial" w:eastAsia="Arial" w:hAnsi="Arial" w:cs="Arial"/>
      <w:lang w:val="es-ES"/>
    </w:rPr>
  </w:style>
  <w:style w:type="character" w:customStyle="1" w:styleId="NormalWebCar">
    <w:name w:val="Normal (Web) Car"/>
    <w:link w:val="NormalWeb"/>
    <w:uiPriority w:val="99"/>
    <w:locked/>
    <w:rsid w:val="00FF74EA"/>
    <w:rPr>
      <w:rFonts w:ascii="Times New Roman" w:eastAsia="Times New Roman" w:hAnsi="Times New Roman" w:cs="Times New Roman"/>
      <w:sz w:val="24"/>
      <w:szCs w:val="24"/>
      <w:lang w:eastAsia="es-CO"/>
    </w:rPr>
  </w:style>
  <w:style w:type="character" w:styleId="nfasis">
    <w:name w:val="Emphasis"/>
    <w:basedOn w:val="Fuentedeprrafopredeter"/>
    <w:uiPriority w:val="20"/>
    <w:qFormat/>
    <w:rsid w:val="00A24433"/>
    <w:rPr>
      <w:i/>
      <w:iCs/>
    </w:rPr>
  </w:style>
  <w:style w:type="character" w:styleId="Refdecomentario">
    <w:name w:val="annotation reference"/>
    <w:basedOn w:val="Fuentedeprrafopredeter"/>
    <w:uiPriority w:val="99"/>
    <w:semiHidden/>
    <w:unhideWhenUsed/>
    <w:rsid w:val="0052785C"/>
    <w:rPr>
      <w:sz w:val="16"/>
      <w:szCs w:val="16"/>
    </w:rPr>
  </w:style>
  <w:style w:type="paragraph" w:styleId="Textocomentario">
    <w:name w:val="annotation text"/>
    <w:basedOn w:val="Normal"/>
    <w:link w:val="TextocomentarioCar"/>
    <w:uiPriority w:val="99"/>
    <w:unhideWhenUsed/>
    <w:rsid w:val="0052785C"/>
    <w:pPr>
      <w:spacing w:line="240" w:lineRule="auto"/>
    </w:pPr>
    <w:rPr>
      <w:sz w:val="20"/>
      <w:szCs w:val="20"/>
    </w:rPr>
  </w:style>
  <w:style w:type="character" w:customStyle="1" w:styleId="TextocomentarioCar">
    <w:name w:val="Texto comentario Car"/>
    <w:basedOn w:val="Fuentedeprrafopredeter"/>
    <w:link w:val="Textocomentario"/>
    <w:uiPriority w:val="99"/>
    <w:rsid w:val="0052785C"/>
    <w:rPr>
      <w:sz w:val="20"/>
      <w:szCs w:val="20"/>
    </w:rPr>
  </w:style>
  <w:style w:type="paragraph" w:styleId="Asuntodelcomentario">
    <w:name w:val="annotation subject"/>
    <w:basedOn w:val="Textocomentario"/>
    <w:next w:val="Textocomentario"/>
    <w:link w:val="AsuntodelcomentarioCar"/>
    <w:uiPriority w:val="99"/>
    <w:semiHidden/>
    <w:unhideWhenUsed/>
    <w:rsid w:val="0052785C"/>
    <w:rPr>
      <w:b/>
      <w:bCs/>
    </w:rPr>
  </w:style>
  <w:style w:type="character" w:customStyle="1" w:styleId="AsuntodelcomentarioCar">
    <w:name w:val="Asunto del comentario Car"/>
    <w:basedOn w:val="TextocomentarioCar"/>
    <w:link w:val="Asuntodelcomentario"/>
    <w:uiPriority w:val="99"/>
    <w:semiHidden/>
    <w:rsid w:val="0052785C"/>
    <w:rPr>
      <w:b/>
      <w:bCs/>
      <w:sz w:val="20"/>
      <w:szCs w:val="20"/>
    </w:rPr>
  </w:style>
  <w:style w:type="paragraph" w:styleId="Textodeglobo">
    <w:name w:val="Balloon Text"/>
    <w:basedOn w:val="Normal"/>
    <w:link w:val="TextodegloboCar"/>
    <w:uiPriority w:val="99"/>
    <w:semiHidden/>
    <w:unhideWhenUsed/>
    <w:rsid w:val="00120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20766"/>
    <w:rPr>
      <w:rFonts w:ascii="Segoe UI" w:hAnsi="Segoe UI" w:cs="Segoe UI"/>
      <w:sz w:val="18"/>
      <w:szCs w:val="18"/>
    </w:rPr>
  </w:style>
  <w:style w:type="paragraph" w:styleId="Subttulo">
    <w:name w:val="Subtitle"/>
    <w:basedOn w:val="Normal"/>
    <w:next w:val="Normal"/>
    <w:link w:val="SubttuloCar"/>
    <w:uiPriority w:val="11"/>
    <w:qFormat/>
    <w:rsid w:val="00AC0DF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AC0DF9"/>
    <w:rPr>
      <w:rFonts w:eastAsiaTheme="minorEastAsia"/>
      <w:color w:val="5A5A5A" w:themeColor="text1" w:themeTint="A5"/>
      <w:spacing w:val="15"/>
    </w:rPr>
  </w:style>
  <w:style w:type="character" w:customStyle="1" w:styleId="UnresolvedMention1">
    <w:name w:val="Unresolved Mention1"/>
    <w:basedOn w:val="Fuentedeprrafopredeter"/>
    <w:uiPriority w:val="99"/>
    <w:semiHidden/>
    <w:unhideWhenUsed/>
    <w:rsid w:val="00C761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344290597">
      <w:bodyDiv w:val="1"/>
      <w:marLeft w:val="0"/>
      <w:marRight w:val="0"/>
      <w:marTop w:val="0"/>
      <w:marBottom w:val="0"/>
      <w:divBdr>
        <w:top w:val="none" w:sz="0" w:space="0" w:color="auto"/>
        <w:left w:val="none" w:sz="0" w:space="0" w:color="auto"/>
        <w:bottom w:val="none" w:sz="0" w:space="0" w:color="auto"/>
        <w:right w:val="none" w:sz="0" w:space="0" w:color="auto"/>
      </w:divBdr>
    </w:div>
    <w:div w:id="460877566">
      <w:bodyDiv w:val="1"/>
      <w:marLeft w:val="0"/>
      <w:marRight w:val="0"/>
      <w:marTop w:val="0"/>
      <w:marBottom w:val="0"/>
      <w:divBdr>
        <w:top w:val="none" w:sz="0" w:space="0" w:color="auto"/>
        <w:left w:val="none" w:sz="0" w:space="0" w:color="auto"/>
        <w:bottom w:val="none" w:sz="0" w:space="0" w:color="auto"/>
        <w:right w:val="none" w:sz="0" w:space="0" w:color="auto"/>
      </w:divBdr>
    </w:div>
    <w:div w:id="502475250">
      <w:bodyDiv w:val="1"/>
      <w:marLeft w:val="0"/>
      <w:marRight w:val="0"/>
      <w:marTop w:val="0"/>
      <w:marBottom w:val="0"/>
      <w:divBdr>
        <w:top w:val="none" w:sz="0" w:space="0" w:color="auto"/>
        <w:left w:val="none" w:sz="0" w:space="0" w:color="auto"/>
        <w:bottom w:val="none" w:sz="0" w:space="0" w:color="auto"/>
        <w:right w:val="none" w:sz="0" w:space="0" w:color="auto"/>
      </w:divBdr>
    </w:div>
    <w:div w:id="513416965">
      <w:bodyDiv w:val="1"/>
      <w:marLeft w:val="0"/>
      <w:marRight w:val="0"/>
      <w:marTop w:val="0"/>
      <w:marBottom w:val="0"/>
      <w:divBdr>
        <w:top w:val="none" w:sz="0" w:space="0" w:color="auto"/>
        <w:left w:val="none" w:sz="0" w:space="0" w:color="auto"/>
        <w:bottom w:val="none" w:sz="0" w:space="0" w:color="auto"/>
        <w:right w:val="none" w:sz="0" w:space="0" w:color="auto"/>
      </w:divBdr>
    </w:div>
    <w:div w:id="53570174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48189111">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3744084">
      <w:bodyDiv w:val="1"/>
      <w:marLeft w:val="0"/>
      <w:marRight w:val="0"/>
      <w:marTop w:val="0"/>
      <w:marBottom w:val="0"/>
      <w:divBdr>
        <w:top w:val="none" w:sz="0" w:space="0" w:color="auto"/>
        <w:left w:val="none" w:sz="0" w:space="0" w:color="auto"/>
        <w:bottom w:val="none" w:sz="0" w:space="0" w:color="auto"/>
        <w:right w:val="none" w:sz="0" w:space="0" w:color="auto"/>
      </w:divBdr>
      <w:divsChild>
        <w:div w:id="1665283950">
          <w:marLeft w:val="0"/>
          <w:marRight w:val="0"/>
          <w:marTop w:val="0"/>
          <w:marBottom w:val="160"/>
          <w:divBdr>
            <w:top w:val="none" w:sz="0" w:space="0" w:color="auto"/>
            <w:left w:val="none" w:sz="0" w:space="0" w:color="auto"/>
            <w:bottom w:val="none" w:sz="0" w:space="0" w:color="auto"/>
            <w:right w:val="none" w:sz="0" w:space="0" w:color="auto"/>
          </w:divBdr>
        </w:div>
        <w:div w:id="133375842">
          <w:marLeft w:val="0"/>
          <w:marRight w:val="0"/>
          <w:marTop w:val="0"/>
          <w:marBottom w:val="160"/>
          <w:divBdr>
            <w:top w:val="none" w:sz="0" w:space="0" w:color="auto"/>
            <w:left w:val="none" w:sz="0" w:space="0" w:color="auto"/>
            <w:bottom w:val="none" w:sz="0" w:space="0" w:color="auto"/>
            <w:right w:val="none" w:sz="0" w:space="0" w:color="auto"/>
          </w:divBdr>
        </w:div>
        <w:div w:id="1806265997">
          <w:marLeft w:val="0"/>
          <w:marRight w:val="0"/>
          <w:marTop w:val="0"/>
          <w:marBottom w:val="160"/>
          <w:divBdr>
            <w:top w:val="none" w:sz="0" w:space="0" w:color="auto"/>
            <w:left w:val="none" w:sz="0" w:space="0" w:color="auto"/>
            <w:bottom w:val="none" w:sz="0" w:space="0" w:color="auto"/>
            <w:right w:val="none" w:sz="0" w:space="0" w:color="auto"/>
          </w:divBdr>
        </w:div>
      </w:divsChild>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10313656">
      <w:bodyDiv w:val="1"/>
      <w:marLeft w:val="0"/>
      <w:marRight w:val="0"/>
      <w:marTop w:val="0"/>
      <w:marBottom w:val="0"/>
      <w:divBdr>
        <w:top w:val="none" w:sz="0" w:space="0" w:color="auto"/>
        <w:left w:val="none" w:sz="0" w:space="0" w:color="auto"/>
        <w:bottom w:val="none" w:sz="0" w:space="0" w:color="auto"/>
        <w:right w:val="none" w:sz="0" w:space="0" w:color="auto"/>
      </w:divBdr>
    </w:div>
    <w:div w:id="930629713">
      <w:bodyDiv w:val="1"/>
      <w:marLeft w:val="0"/>
      <w:marRight w:val="0"/>
      <w:marTop w:val="0"/>
      <w:marBottom w:val="0"/>
      <w:divBdr>
        <w:top w:val="none" w:sz="0" w:space="0" w:color="auto"/>
        <w:left w:val="none" w:sz="0" w:space="0" w:color="auto"/>
        <w:bottom w:val="none" w:sz="0" w:space="0" w:color="auto"/>
        <w:right w:val="none" w:sz="0" w:space="0" w:color="auto"/>
      </w:divBdr>
      <w:divsChild>
        <w:div w:id="1038821504">
          <w:marLeft w:val="0"/>
          <w:marRight w:val="0"/>
          <w:marTop w:val="0"/>
          <w:marBottom w:val="0"/>
          <w:divBdr>
            <w:top w:val="none" w:sz="0" w:space="0" w:color="auto"/>
            <w:left w:val="none" w:sz="0" w:space="0" w:color="auto"/>
            <w:bottom w:val="none" w:sz="0" w:space="0" w:color="auto"/>
            <w:right w:val="none" w:sz="0" w:space="0" w:color="auto"/>
          </w:divBdr>
        </w:div>
      </w:divsChild>
    </w:div>
    <w:div w:id="939751492">
      <w:bodyDiv w:val="1"/>
      <w:marLeft w:val="0"/>
      <w:marRight w:val="0"/>
      <w:marTop w:val="0"/>
      <w:marBottom w:val="0"/>
      <w:divBdr>
        <w:top w:val="none" w:sz="0" w:space="0" w:color="auto"/>
        <w:left w:val="none" w:sz="0" w:space="0" w:color="auto"/>
        <w:bottom w:val="none" w:sz="0" w:space="0" w:color="auto"/>
        <w:right w:val="none" w:sz="0" w:space="0" w:color="auto"/>
      </w:divBdr>
    </w:div>
    <w:div w:id="1002976885">
      <w:bodyDiv w:val="1"/>
      <w:marLeft w:val="0"/>
      <w:marRight w:val="0"/>
      <w:marTop w:val="0"/>
      <w:marBottom w:val="0"/>
      <w:divBdr>
        <w:top w:val="none" w:sz="0" w:space="0" w:color="auto"/>
        <w:left w:val="none" w:sz="0" w:space="0" w:color="auto"/>
        <w:bottom w:val="none" w:sz="0" w:space="0" w:color="auto"/>
        <w:right w:val="none" w:sz="0" w:space="0" w:color="auto"/>
      </w:divBdr>
    </w:div>
    <w:div w:id="1025399029">
      <w:bodyDiv w:val="1"/>
      <w:marLeft w:val="0"/>
      <w:marRight w:val="0"/>
      <w:marTop w:val="0"/>
      <w:marBottom w:val="0"/>
      <w:divBdr>
        <w:top w:val="none" w:sz="0" w:space="0" w:color="auto"/>
        <w:left w:val="none" w:sz="0" w:space="0" w:color="auto"/>
        <w:bottom w:val="none" w:sz="0" w:space="0" w:color="auto"/>
        <w:right w:val="none" w:sz="0" w:space="0" w:color="auto"/>
      </w:divBdr>
    </w:div>
    <w:div w:id="107840713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36013034">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388527428">
      <w:bodyDiv w:val="1"/>
      <w:marLeft w:val="0"/>
      <w:marRight w:val="0"/>
      <w:marTop w:val="0"/>
      <w:marBottom w:val="0"/>
      <w:divBdr>
        <w:top w:val="none" w:sz="0" w:space="0" w:color="auto"/>
        <w:left w:val="none" w:sz="0" w:space="0" w:color="auto"/>
        <w:bottom w:val="none" w:sz="0" w:space="0" w:color="auto"/>
        <w:right w:val="none" w:sz="0" w:space="0" w:color="auto"/>
      </w:divBdr>
      <w:divsChild>
        <w:div w:id="1126967197">
          <w:marLeft w:val="0"/>
          <w:marRight w:val="0"/>
          <w:marTop w:val="0"/>
          <w:marBottom w:val="160"/>
          <w:divBdr>
            <w:top w:val="none" w:sz="0" w:space="0" w:color="auto"/>
            <w:left w:val="none" w:sz="0" w:space="0" w:color="auto"/>
            <w:bottom w:val="none" w:sz="0" w:space="0" w:color="auto"/>
            <w:right w:val="none" w:sz="0" w:space="0" w:color="auto"/>
          </w:divBdr>
        </w:div>
        <w:div w:id="1450123274">
          <w:marLeft w:val="0"/>
          <w:marRight w:val="0"/>
          <w:marTop w:val="0"/>
          <w:marBottom w:val="160"/>
          <w:divBdr>
            <w:top w:val="none" w:sz="0" w:space="0" w:color="auto"/>
            <w:left w:val="none" w:sz="0" w:space="0" w:color="auto"/>
            <w:bottom w:val="none" w:sz="0" w:space="0" w:color="auto"/>
            <w:right w:val="none" w:sz="0" w:space="0" w:color="auto"/>
          </w:divBdr>
        </w:div>
        <w:div w:id="522205550">
          <w:marLeft w:val="0"/>
          <w:marRight w:val="0"/>
          <w:marTop w:val="0"/>
          <w:marBottom w:val="160"/>
          <w:divBdr>
            <w:top w:val="none" w:sz="0" w:space="0" w:color="auto"/>
            <w:left w:val="none" w:sz="0" w:space="0" w:color="auto"/>
            <w:bottom w:val="none" w:sz="0" w:space="0" w:color="auto"/>
            <w:right w:val="none" w:sz="0" w:space="0" w:color="auto"/>
          </w:divBdr>
        </w:div>
      </w:divsChild>
    </w:div>
    <w:div w:id="1390762709">
      <w:bodyDiv w:val="1"/>
      <w:marLeft w:val="0"/>
      <w:marRight w:val="0"/>
      <w:marTop w:val="0"/>
      <w:marBottom w:val="0"/>
      <w:divBdr>
        <w:top w:val="none" w:sz="0" w:space="0" w:color="auto"/>
        <w:left w:val="none" w:sz="0" w:space="0" w:color="auto"/>
        <w:bottom w:val="none" w:sz="0" w:space="0" w:color="auto"/>
        <w:right w:val="none" w:sz="0" w:space="0" w:color="auto"/>
      </w:divBdr>
    </w:div>
    <w:div w:id="1471678187">
      <w:bodyDiv w:val="1"/>
      <w:marLeft w:val="0"/>
      <w:marRight w:val="0"/>
      <w:marTop w:val="0"/>
      <w:marBottom w:val="0"/>
      <w:divBdr>
        <w:top w:val="none" w:sz="0" w:space="0" w:color="auto"/>
        <w:left w:val="none" w:sz="0" w:space="0" w:color="auto"/>
        <w:bottom w:val="none" w:sz="0" w:space="0" w:color="auto"/>
        <w:right w:val="none" w:sz="0" w:space="0" w:color="auto"/>
      </w:divBdr>
      <w:divsChild>
        <w:div w:id="331952033">
          <w:marLeft w:val="0"/>
          <w:marRight w:val="0"/>
          <w:marTop w:val="0"/>
          <w:marBottom w:val="0"/>
          <w:divBdr>
            <w:top w:val="none" w:sz="0" w:space="0" w:color="auto"/>
            <w:left w:val="none" w:sz="0" w:space="0" w:color="auto"/>
            <w:bottom w:val="none" w:sz="0" w:space="0" w:color="auto"/>
            <w:right w:val="none" w:sz="0" w:space="0" w:color="auto"/>
          </w:divBdr>
        </w:div>
        <w:div w:id="1549146269">
          <w:marLeft w:val="0"/>
          <w:marRight w:val="0"/>
          <w:marTop w:val="0"/>
          <w:marBottom w:val="0"/>
          <w:divBdr>
            <w:top w:val="none" w:sz="0" w:space="0" w:color="auto"/>
            <w:left w:val="none" w:sz="0" w:space="0" w:color="auto"/>
            <w:bottom w:val="none" w:sz="0" w:space="0" w:color="auto"/>
            <w:right w:val="none" w:sz="0" w:space="0" w:color="auto"/>
          </w:divBdr>
        </w:div>
      </w:divsChild>
    </w:div>
    <w:div w:id="1661929042">
      <w:bodyDiv w:val="1"/>
      <w:marLeft w:val="0"/>
      <w:marRight w:val="0"/>
      <w:marTop w:val="0"/>
      <w:marBottom w:val="0"/>
      <w:divBdr>
        <w:top w:val="none" w:sz="0" w:space="0" w:color="auto"/>
        <w:left w:val="none" w:sz="0" w:space="0" w:color="auto"/>
        <w:bottom w:val="none" w:sz="0" w:space="0" w:color="auto"/>
        <w:right w:val="none" w:sz="0" w:space="0" w:color="auto"/>
      </w:divBdr>
      <w:divsChild>
        <w:div w:id="1221401708">
          <w:marLeft w:val="0"/>
          <w:marRight w:val="0"/>
          <w:marTop w:val="0"/>
          <w:marBottom w:val="160"/>
          <w:divBdr>
            <w:top w:val="none" w:sz="0" w:space="0" w:color="auto"/>
            <w:left w:val="none" w:sz="0" w:space="0" w:color="auto"/>
            <w:bottom w:val="none" w:sz="0" w:space="0" w:color="auto"/>
            <w:right w:val="none" w:sz="0" w:space="0" w:color="auto"/>
          </w:divBdr>
        </w:div>
        <w:div w:id="1959291753">
          <w:marLeft w:val="0"/>
          <w:marRight w:val="0"/>
          <w:marTop w:val="0"/>
          <w:marBottom w:val="160"/>
          <w:divBdr>
            <w:top w:val="none" w:sz="0" w:space="0" w:color="auto"/>
            <w:left w:val="none" w:sz="0" w:space="0" w:color="auto"/>
            <w:bottom w:val="none" w:sz="0" w:space="0" w:color="auto"/>
            <w:right w:val="none" w:sz="0" w:space="0" w:color="auto"/>
          </w:divBdr>
        </w:div>
        <w:div w:id="1179394306">
          <w:marLeft w:val="0"/>
          <w:marRight w:val="0"/>
          <w:marTop w:val="0"/>
          <w:marBottom w:val="160"/>
          <w:divBdr>
            <w:top w:val="none" w:sz="0" w:space="0" w:color="auto"/>
            <w:left w:val="none" w:sz="0" w:space="0" w:color="auto"/>
            <w:bottom w:val="none" w:sz="0" w:space="0" w:color="auto"/>
            <w:right w:val="none" w:sz="0" w:space="0" w:color="auto"/>
          </w:divBdr>
        </w:div>
      </w:divsChild>
    </w:div>
    <w:div w:id="1786272649">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iguelavila2@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470384-71DE-4988-9A57-1E25BD81DA38}">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E13505DD-BD8A-4C72-9BF3-E233AAE1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15</Pages>
  <Words>5052</Words>
  <Characters>27789</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2025-02-25T15:45:00Z</cp:lastPrinted>
  <dcterms:created xsi:type="dcterms:W3CDTF">2025-08-15T22:08:00Z</dcterms:created>
  <dcterms:modified xsi:type="dcterms:W3CDTF">2025-08-15T22:08:00Z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