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85AC6" w14:textId="172C773B" w:rsidR="00B04B6A" w:rsidRPr="00B04B6A" w:rsidRDefault="00B04B6A" w:rsidP="00B04B6A">
      <w:pPr>
        <w:spacing w:after="0" w:line="276" w:lineRule="auto"/>
        <w:jc w:val="both"/>
        <w:rPr>
          <w:rFonts w:ascii="Verdana" w:eastAsia="Calibri" w:hAnsi="Verdana" w:cs="Arial"/>
          <w:b/>
          <w:lang w:val="es-ES" w:eastAsia="es-ES"/>
        </w:rPr>
      </w:pPr>
      <w:bookmarkStart w:id="0" w:name="_Hlk143780582"/>
      <w:r w:rsidRPr="00B04B6A">
        <w:rPr>
          <w:rFonts w:ascii="Verdana" w:eastAsia="Calibri" w:hAnsi="Verdana" w:cs="Arial"/>
          <w:b/>
          <w:lang w:val="es-ES" w:eastAsia="es-ES"/>
        </w:rPr>
        <w:t xml:space="preserve">CONTRATO ESTATAL – Régimen jurídico </w:t>
      </w:r>
    </w:p>
    <w:p w14:paraId="1FE6BF2B" w14:textId="57AD2F41" w:rsidR="00B04B6A" w:rsidRDefault="00B04B6A" w:rsidP="00B04B6A">
      <w:pPr>
        <w:spacing w:after="0" w:line="276" w:lineRule="auto"/>
        <w:jc w:val="both"/>
        <w:rPr>
          <w:rFonts w:ascii="Verdana" w:eastAsia="Calibri" w:hAnsi="Verdana" w:cs="Arial"/>
          <w:b/>
          <w:lang w:val="es-ES" w:eastAsia="es-ES"/>
        </w:rPr>
      </w:pPr>
    </w:p>
    <w:p w14:paraId="4309FF53" w14:textId="77777777" w:rsidR="00B04B6A" w:rsidRPr="000876F0" w:rsidRDefault="00B04B6A" w:rsidP="00B04B6A">
      <w:pPr>
        <w:spacing w:after="0" w:line="240" w:lineRule="auto"/>
        <w:jc w:val="both"/>
        <w:rPr>
          <w:rFonts w:ascii="Verdana" w:eastAsia="Arial" w:hAnsi="Verdana" w:cs="Arial"/>
          <w:color w:val="000000" w:themeColor="text1"/>
          <w:sz w:val="20"/>
          <w:szCs w:val="20"/>
        </w:rPr>
      </w:pPr>
      <w:r w:rsidRPr="000876F0">
        <w:rPr>
          <w:rFonts w:ascii="Verdana" w:eastAsia="Arial" w:hAnsi="Verdana" w:cs="Arial"/>
          <w:color w:val="000000" w:themeColor="text1"/>
          <w:sz w:val="20"/>
          <w:szCs w:val="20"/>
          <w:lang w:val="es-ES"/>
        </w:rPr>
        <w:t xml:space="preserve">Respecto al régimen jurídico de las </w:t>
      </w:r>
      <w:r w:rsidRPr="000876F0">
        <w:rPr>
          <w:rFonts w:ascii="Verdana" w:eastAsia="Arial" w:hAnsi="Verdana" w:cs="Arial"/>
          <w:i/>
          <w:iCs/>
          <w:color w:val="000000" w:themeColor="text1"/>
          <w:sz w:val="20"/>
          <w:szCs w:val="20"/>
          <w:lang w:val="es-ES"/>
        </w:rPr>
        <w:t>entidades sometidas</w:t>
      </w:r>
      <w:r w:rsidRPr="000876F0">
        <w:rPr>
          <w:rFonts w:ascii="Verdana" w:eastAsia="Arial" w:hAnsi="Verdana" w:cs="Arial"/>
          <w:color w:val="000000" w:themeColor="text1"/>
          <w:sz w:val="20"/>
          <w:szCs w:val="20"/>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0876F0">
        <w:rPr>
          <w:rFonts w:ascii="Verdana" w:eastAsia="Arial" w:hAnsi="Verdana" w:cs="Arial"/>
          <w:color w:val="000000" w:themeColor="text1"/>
          <w:sz w:val="20"/>
          <w:szCs w:val="20"/>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29FAACED" w14:textId="77777777" w:rsidR="00B04B6A" w:rsidRPr="00B04B6A" w:rsidRDefault="00B04B6A" w:rsidP="00B04B6A">
      <w:pPr>
        <w:spacing w:after="0" w:line="276" w:lineRule="auto"/>
        <w:jc w:val="both"/>
        <w:rPr>
          <w:rFonts w:ascii="Verdana" w:eastAsia="Calibri" w:hAnsi="Verdana" w:cs="Arial"/>
          <w:b/>
          <w:lang w:eastAsia="es-ES"/>
        </w:rPr>
      </w:pPr>
    </w:p>
    <w:p w14:paraId="6548D25B" w14:textId="77777777" w:rsidR="00B04B6A" w:rsidRDefault="00B04B6A" w:rsidP="00B04B6A">
      <w:pPr>
        <w:spacing w:after="0" w:line="276" w:lineRule="auto"/>
        <w:jc w:val="both"/>
        <w:rPr>
          <w:rFonts w:ascii="Verdana" w:eastAsia="Calibri" w:hAnsi="Verdana" w:cs="Arial"/>
          <w:b/>
          <w:lang w:val="es-ES" w:eastAsia="es-ES"/>
        </w:rPr>
      </w:pPr>
      <w:r w:rsidRPr="00B04B6A">
        <w:rPr>
          <w:rFonts w:ascii="Verdana" w:eastAsia="Calibri" w:hAnsi="Verdana" w:cs="Arial"/>
          <w:b/>
          <w:lang w:val="es-ES" w:eastAsia="es-ES"/>
        </w:rPr>
        <w:t>RÉGIMEN EXCEPCIONAL – Justificación – Criterios de clasificación</w:t>
      </w:r>
    </w:p>
    <w:p w14:paraId="00928DF6" w14:textId="77777777" w:rsidR="00B04B6A" w:rsidRDefault="00B04B6A" w:rsidP="00B04B6A">
      <w:pPr>
        <w:spacing w:after="0" w:line="276" w:lineRule="auto"/>
        <w:jc w:val="both"/>
        <w:rPr>
          <w:rFonts w:ascii="Verdana" w:eastAsia="Calibri" w:hAnsi="Verdana" w:cs="Arial"/>
          <w:b/>
          <w:lang w:val="es-ES" w:eastAsia="es-ES"/>
        </w:rPr>
      </w:pPr>
    </w:p>
    <w:p w14:paraId="349DA28C" w14:textId="77777777" w:rsidR="00B04B6A" w:rsidRPr="000876F0" w:rsidRDefault="00B04B6A" w:rsidP="00B04B6A">
      <w:pPr>
        <w:spacing w:after="0" w:line="240" w:lineRule="auto"/>
        <w:jc w:val="both"/>
        <w:rPr>
          <w:rFonts w:ascii="Verdana" w:hAnsi="Verdana" w:cs="Arial"/>
          <w:color w:val="000000" w:themeColor="text1"/>
          <w:sz w:val="20"/>
          <w:szCs w:val="20"/>
          <w:lang w:val="es-ES_tradnl"/>
        </w:rPr>
      </w:pPr>
      <w:r w:rsidRPr="000876F0">
        <w:rPr>
          <w:rFonts w:ascii="Verdana" w:hAnsi="Verdana" w:cs="Arial"/>
          <w:color w:val="000000" w:themeColor="text1"/>
          <w:sz w:val="20"/>
          <w:szCs w:val="20"/>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0876F0">
        <w:rPr>
          <w:rFonts w:ascii="Verdana" w:hAnsi="Verdana" w:cs="Arial"/>
          <w:color w:val="000000" w:themeColor="text1"/>
          <w:sz w:val="20"/>
          <w:szCs w:val="20"/>
        </w:rPr>
        <w:t>ii</w:t>
      </w:r>
      <w:proofErr w:type="spellEnd"/>
      <w:r w:rsidRPr="000876F0">
        <w:rPr>
          <w:rFonts w:ascii="Verdana" w:hAnsi="Verdana" w:cs="Arial"/>
          <w:color w:val="000000" w:themeColor="text1"/>
          <w:sz w:val="20"/>
          <w:szCs w:val="20"/>
        </w:rPr>
        <w:t xml:space="preserve">) flexibilizar el ejercicio de la función administrativa –como en los contratos del Banco de la República o los de ciencia y tecnología– o </w:t>
      </w:r>
      <w:proofErr w:type="spellStart"/>
      <w:r w:rsidRPr="000876F0">
        <w:rPr>
          <w:rFonts w:ascii="Verdana" w:hAnsi="Verdana" w:cs="Arial"/>
          <w:color w:val="000000" w:themeColor="text1"/>
          <w:sz w:val="20"/>
          <w:szCs w:val="20"/>
        </w:rPr>
        <w:t>iii</w:t>
      </w:r>
      <w:proofErr w:type="spellEnd"/>
      <w:r w:rsidRPr="000876F0">
        <w:rPr>
          <w:rFonts w:ascii="Verdana" w:hAnsi="Verdana" w:cs="Arial"/>
          <w:color w:val="000000" w:themeColor="text1"/>
          <w:sz w:val="20"/>
          <w:szCs w:val="20"/>
        </w:rPr>
        <w:t xml:space="preserve">) establecer un régimen especial sin excluir por completo la aplicación de la Ley 80 de 1993 –como ocurre en la operaciones del crédito público–.  Para estos efectos, la doctrina ha identificado 171 entidades y contratos que manejan un régimen excepcional, los cuales se clasifican de acuerdo i) al sector económico, </w:t>
      </w:r>
      <w:proofErr w:type="spellStart"/>
      <w:r w:rsidRPr="000876F0">
        <w:rPr>
          <w:rFonts w:ascii="Verdana" w:hAnsi="Verdana" w:cs="Arial"/>
          <w:color w:val="000000" w:themeColor="text1"/>
          <w:sz w:val="20"/>
          <w:szCs w:val="20"/>
        </w:rPr>
        <w:t>ii</w:t>
      </w:r>
      <w:proofErr w:type="spellEnd"/>
      <w:r w:rsidRPr="000876F0">
        <w:rPr>
          <w:rFonts w:ascii="Verdana" w:hAnsi="Verdana" w:cs="Arial"/>
          <w:color w:val="000000" w:themeColor="text1"/>
          <w:sz w:val="20"/>
          <w:szCs w:val="20"/>
        </w:rPr>
        <w:t xml:space="preserve">) la asignación de un esquema legal especial, </w:t>
      </w:r>
      <w:proofErr w:type="spellStart"/>
      <w:r w:rsidRPr="000876F0">
        <w:rPr>
          <w:rFonts w:ascii="Verdana" w:hAnsi="Verdana" w:cs="Arial"/>
          <w:color w:val="000000" w:themeColor="text1"/>
          <w:sz w:val="20"/>
          <w:szCs w:val="20"/>
        </w:rPr>
        <w:t>iii</w:t>
      </w:r>
      <w:proofErr w:type="spellEnd"/>
      <w:r w:rsidRPr="000876F0">
        <w:rPr>
          <w:rFonts w:ascii="Verdana" w:hAnsi="Verdana" w:cs="Arial"/>
          <w:color w:val="000000" w:themeColor="text1"/>
          <w:sz w:val="20"/>
          <w:szCs w:val="20"/>
        </w:rPr>
        <w:t xml:space="preserve">) el objeto del contrato celebrado y </w:t>
      </w:r>
      <w:proofErr w:type="spellStart"/>
      <w:r w:rsidRPr="000876F0">
        <w:rPr>
          <w:rFonts w:ascii="Verdana" w:hAnsi="Verdana" w:cs="Arial"/>
          <w:color w:val="000000" w:themeColor="text1"/>
          <w:sz w:val="20"/>
          <w:szCs w:val="20"/>
        </w:rPr>
        <w:t>iv</w:t>
      </w:r>
      <w:proofErr w:type="spellEnd"/>
      <w:r w:rsidRPr="000876F0">
        <w:rPr>
          <w:rFonts w:ascii="Verdana" w:hAnsi="Verdana" w:cs="Arial"/>
          <w:color w:val="000000" w:themeColor="text1"/>
          <w:sz w:val="20"/>
          <w:szCs w:val="20"/>
        </w:rPr>
        <w:t>) la existencia de fondos que administran recursos públicos</w:t>
      </w:r>
      <w:r w:rsidRPr="000876F0">
        <w:rPr>
          <w:rFonts w:ascii="Verdana" w:hAnsi="Verdana" w:cs="Arial"/>
          <w:color w:val="000000" w:themeColor="text1"/>
          <w:sz w:val="20"/>
          <w:szCs w:val="20"/>
          <w:lang w:val="es-ES_tradnl"/>
        </w:rPr>
        <w:t>.</w:t>
      </w:r>
    </w:p>
    <w:p w14:paraId="4AA57C6B" w14:textId="77777777" w:rsidR="00B04B6A" w:rsidRPr="00B04B6A" w:rsidRDefault="00B04B6A" w:rsidP="00B04B6A">
      <w:pPr>
        <w:spacing w:after="0" w:line="276" w:lineRule="auto"/>
        <w:jc w:val="both"/>
        <w:rPr>
          <w:rFonts w:ascii="Verdana" w:eastAsia="Calibri" w:hAnsi="Verdana" w:cs="Arial"/>
          <w:b/>
          <w:lang w:val="es-ES_tradnl" w:eastAsia="es-ES"/>
        </w:rPr>
      </w:pPr>
    </w:p>
    <w:p w14:paraId="29ABEA5A" w14:textId="01AFA6FA" w:rsidR="00B04B6A" w:rsidRPr="00B04B6A" w:rsidRDefault="00B04B6A" w:rsidP="00B04B6A">
      <w:pPr>
        <w:spacing w:after="0" w:line="276" w:lineRule="auto"/>
        <w:jc w:val="both"/>
        <w:rPr>
          <w:rFonts w:ascii="Verdana" w:eastAsia="Arial MT" w:hAnsi="Verdana" w:cs="Arial MT"/>
          <w:b/>
          <w:lang w:val="es-ES"/>
        </w:rPr>
      </w:pPr>
      <w:r w:rsidRPr="00B04B6A">
        <w:rPr>
          <w:rFonts w:ascii="Verdana" w:eastAsia="Calibri" w:hAnsi="Verdana" w:cs="Arial"/>
          <w:b/>
          <w:lang w:val="es-ES" w:eastAsia="es-ES"/>
        </w:rPr>
        <w:t xml:space="preserve"> </w:t>
      </w:r>
      <w:r w:rsidRPr="00B04B6A">
        <w:rPr>
          <w:rFonts w:ascii="Verdana" w:eastAsia="Arial MT" w:hAnsi="Verdana" w:cs="Arial MT"/>
          <w:b/>
          <w:lang w:val="es-ES"/>
        </w:rPr>
        <w:t xml:space="preserve">SOCIEDAD DE ECONOMÍA MIXTA – Naturaleza jurídica </w:t>
      </w:r>
    </w:p>
    <w:p w14:paraId="6C86CA1C" w14:textId="5C626282" w:rsidR="00B04B6A" w:rsidRDefault="00B04B6A" w:rsidP="00B04B6A">
      <w:pPr>
        <w:spacing w:after="0" w:line="276" w:lineRule="auto"/>
        <w:jc w:val="both"/>
        <w:rPr>
          <w:rFonts w:ascii="Verdana" w:eastAsia="Arial MT" w:hAnsi="Verdana" w:cs="Arial MT"/>
          <w:b/>
          <w:lang w:val="es-ES"/>
        </w:rPr>
      </w:pPr>
    </w:p>
    <w:p w14:paraId="69FE14AE" w14:textId="0656BB32" w:rsidR="00B04B6A" w:rsidRPr="00B04B6A" w:rsidRDefault="00B04B6A" w:rsidP="00B04B6A">
      <w:pPr>
        <w:spacing w:after="0" w:line="240" w:lineRule="auto"/>
        <w:jc w:val="both"/>
        <w:rPr>
          <w:rFonts w:ascii="Verdana" w:eastAsia="Arial MT" w:hAnsi="Verdana" w:cs="Arial MT"/>
          <w:sz w:val="20"/>
          <w:lang w:val="es-ES"/>
        </w:rPr>
      </w:pPr>
      <w:r w:rsidRPr="00B04B6A">
        <w:rPr>
          <w:rFonts w:ascii="Verdana" w:eastAsia="Arial MT" w:hAnsi="Verdana" w:cs="Arial MT"/>
          <w:sz w:val="20"/>
          <w:lang w:val="es-ES"/>
        </w:rPr>
        <w:t xml:space="preserve">En este sentido, la misma Ley, en los artículos 38 y 68, clasifica a las sociedades de economía mixta como entidades descentralizadas por servicios, con personería jurídica, autonomía administrativa y patrimonio propio, que pueden ser del orden nacional, departamental o municipal, según su órgano de creación. Al respecto, la Corte Constitucional, en Sentencias C-736 del 19 de septiembre de 2007, C-118 del 14 de noviembre de 2018 y C-306 del 10 de julio de 2019, ha considerado que las sociedades estudiadas, desde una perspectiva constitucional, se caracterizan por los siguientes rasgos: i) pertenecen a la rama ejecutiva del poder público, como manifestación de la descentralización por servicios. Así mismo, </w:t>
      </w:r>
      <w:proofErr w:type="spellStart"/>
      <w:r w:rsidRPr="00B04B6A">
        <w:rPr>
          <w:rFonts w:ascii="Verdana" w:eastAsia="Arial MT" w:hAnsi="Verdana" w:cs="Arial MT"/>
          <w:sz w:val="20"/>
          <w:lang w:val="es-ES"/>
        </w:rPr>
        <w:t>ii</w:t>
      </w:r>
      <w:proofErr w:type="spellEnd"/>
      <w:r w:rsidRPr="00B04B6A">
        <w:rPr>
          <w:rFonts w:ascii="Verdana" w:eastAsia="Arial MT" w:hAnsi="Verdana" w:cs="Arial MT"/>
          <w:sz w:val="20"/>
          <w:lang w:val="es-ES"/>
        </w:rPr>
        <w:t xml:space="preserve">) están sujetas al control fiscal, financiero, de gestión y de resultados en cabeza de la Contraloría General de la República. Por otra parte, </w:t>
      </w:r>
      <w:proofErr w:type="spellStart"/>
      <w:r w:rsidRPr="00B04B6A">
        <w:rPr>
          <w:rFonts w:ascii="Verdana" w:eastAsia="Arial MT" w:hAnsi="Verdana" w:cs="Arial MT"/>
          <w:sz w:val="20"/>
          <w:lang w:val="es-ES"/>
        </w:rPr>
        <w:t>iii</w:t>
      </w:r>
      <w:proofErr w:type="spellEnd"/>
      <w:r w:rsidRPr="00B04B6A">
        <w:rPr>
          <w:rFonts w:ascii="Verdana" w:eastAsia="Arial MT" w:hAnsi="Verdana" w:cs="Arial MT"/>
          <w:sz w:val="20"/>
          <w:lang w:val="es-ES"/>
        </w:rPr>
        <w:t xml:space="preserve">) se someten al control político, que ejerce directamente el Congreso de la República. Además, </w:t>
      </w:r>
      <w:proofErr w:type="spellStart"/>
      <w:r w:rsidRPr="00B04B6A">
        <w:rPr>
          <w:rFonts w:ascii="Verdana" w:eastAsia="Arial MT" w:hAnsi="Verdana" w:cs="Arial MT"/>
          <w:sz w:val="20"/>
          <w:lang w:val="es-ES"/>
        </w:rPr>
        <w:t>iv</w:t>
      </w:r>
      <w:proofErr w:type="spellEnd"/>
      <w:r w:rsidRPr="00B04B6A">
        <w:rPr>
          <w:rFonts w:ascii="Verdana" w:eastAsia="Arial MT" w:hAnsi="Verdana" w:cs="Arial MT"/>
          <w:sz w:val="20"/>
          <w:lang w:val="es-ES"/>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B04B6A">
        <w:rPr>
          <w:rFonts w:ascii="Verdana" w:eastAsia="Arial MT" w:hAnsi="Verdana" w:cs="Arial MT"/>
          <w:sz w:val="20"/>
          <w:lang w:val="es-ES"/>
        </w:rPr>
        <w:t>vii</w:t>
      </w:r>
      <w:proofErr w:type="spellEnd"/>
      <w:r w:rsidRPr="00B04B6A">
        <w:rPr>
          <w:rFonts w:ascii="Verdana" w:eastAsia="Arial MT" w:hAnsi="Verdana" w:cs="Arial MT"/>
          <w:sz w:val="20"/>
          <w:lang w:val="es-ES"/>
        </w:rPr>
        <w:t xml:space="preserve">) en materia presupuestal, las sociedades de economía mixta quedan sujetas a las reglas de la ley orgánica del presupuesto. De otro lado, </w:t>
      </w:r>
      <w:proofErr w:type="spellStart"/>
      <w:r w:rsidRPr="00B04B6A">
        <w:rPr>
          <w:rFonts w:ascii="Verdana" w:eastAsia="Arial MT" w:hAnsi="Verdana" w:cs="Arial MT"/>
          <w:sz w:val="20"/>
          <w:lang w:val="es-ES"/>
        </w:rPr>
        <w:t>viii</w:t>
      </w:r>
      <w:proofErr w:type="spellEnd"/>
      <w:r w:rsidRPr="00B04B6A">
        <w:rPr>
          <w:rFonts w:ascii="Verdana" w:eastAsia="Arial MT" w:hAnsi="Verdana" w:cs="Arial MT"/>
          <w:sz w:val="20"/>
          <w:lang w:val="es-ES"/>
        </w:rPr>
        <w:t xml:space="preserve">) en materia contable, quedan vinculadas a las reglas de contabilidad oficial. </w:t>
      </w:r>
      <w:r w:rsidRPr="00B04B6A">
        <w:rPr>
          <w:rFonts w:ascii="Verdana" w:eastAsia="Arial MT" w:hAnsi="Verdana" w:cs="Arial MT"/>
          <w:sz w:val="20"/>
          <w:lang w:val="es-ES"/>
        </w:rPr>
        <w:lastRenderedPageBreak/>
        <w:t xml:space="preserve">Además, </w:t>
      </w:r>
      <w:proofErr w:type="spellStart"/>
      <w:r w:rsidRPr="00B04B6A">
        <w:rPr>
          <w:rFonts w:ascii="Verdana" w:eastAsia="Arial MT" w:hAnsi="Verdana" w:cs="Arial MT"/>
          <w:sz w:val="20"/>
          <w:lang w:val="es-ES"/>
        </w:rPr>
        <w:t>ix</w:t>
      </w:r>
      <w:proofErr w:type="spellEnd"/>
      <w:r w:rsidRPr="00B04B6A">
        <w:rPr>
          <w:rFonts w:ascii="Verdana" w:eastAsia="Arial MT" w:hAnsi="Verdana" w:cs="Arial MT"/>
          <w:sz w:val="20"/>
          <w:lang w:val="es-ES"/>
        </w:rPr>
        <w:t>) se rigen por el derecho privado, en virtud de la naturaleza de las actividades que desarrollan.</w:t>
      </w:r>
    </w:p>
    <w:p w14:paraId="4569F163" w14:textId="77777777" w:rsidR="00B04B6A" w:rsidRPr="00B04B6A" w:rsidRDefault="00B04B6A" w:rsidP="00B04B6A">
      <w:pPr>
        <w:spacing w:after="0" w:line="276" w:lineRule="auto"/>
        <w:jc w:val="both"/>
        <w:rPr>
          <w:rFonts w:ascii="Verdana" w:eastAsia="Arial MT" w:hAnsi="Verdana" w:cs="Arial MT"/>
          <w:b/>
          <w:lang w:val="es-ES"/>
        </w:rPr>
      </w:pPr>
    </w:p>
    <w:p w14:paraId="06E3D279" w14:textId="29554945" w:rsidR="00B04B6A" w:rsidRPr="00B04B6A" w:rsidRDefault="00B04B6A" w:rsidP="00B04B6A">
      <w:pPr>
        <w:spacing w:after="0" w:line="276" w:lineRule="auto"/>
        <w:jc w:val="both"/>
        <w:rPr>
          <w:rFonts w:ascii="Verdana" w:eastAsia="Arial MT" w:hAnsi="Verdana" w:cs="Arial MT"/>
          <w:b/>
          <w:lang w:val="es-ES"/>
        </w:rPr>
      </w:pPr>
      <w:r w:rsidRPr="00B04B6A">
        <w:rPr>
          <w:rFonts w:ascii="Verdana" w:eastAsia="Arial MT" w:hAnsi="Verdana" w:cs="Arial MT"/>
          <w:b/>
          <w:lang w:val="es-ES"/>
        </w:rPr>
        <w:t xml:space="preserve">SOCIEDAD DE ECONOMÍA MIXTA - Régimen contractual </w:t>
      </w:r>
    </w:p>
    <w:p w14:paraId="47E89AA2" w14:textId="1620E866" w:rsidR="00B04B6A" w:rsidRDefault="00B04B6A" w:rsidP="00B04B6A">
      <w:pPr>
        <w:spacing w:after="0" w:line="276" w:lineRule="auto"/>
        <w:jc w:val="both"/>
        <w:rPr>
          <w:rFonts w:ascii="Verdana" w:eastAsia="Arial MT" w:hAnsi="Verdana" w:cs="Arial MT"/>
          <w:b/>
          <w:lang w:val="es-ES"/>
        </w:rPr>
      </w:pPr>
    </w:p>
    <w:p w14:paraId="7A543592" w14:textId="5A467041" w:rsidR="000F1C56" w:rsidRPr="000F1C56" w:rsidRDefault="000F1C56" w:rsidP="000F1C56">
      <w:pPr>
        <w:spacing w:after="0" w:line="240" w:lineRule="auto"/>
        <w:jc w:val="both"/>
        <w:rPr>
          <w:rFonts w:ascii="Verdana" w:eastAsia="Arial MT" w:hAnsi="Verdana" w:cs="Arial MT"/>
          <w:sz w:val="20"/>
          <w:lang w:val="es-ES"/>
        </w:rPr>
      </w:pPr>
      <w:r>
        <w:rPr>
          <w:rFonts w:ascii="Verdana" w:eastAsia="Arial MT" w:hAnsi="Verdana" w:cs="Arial MT"/>
          <w:sz w:val="20"/>
          <w:lang w:val="es-ES"/>
        </w:rPr>
        <w:t xml:space="preserve">[…] </w:t>
      </w:r>
      <w:r w:rsidRPr="000F1C56">
        <w:rPr>
          <w:rFonts w:ascii="Verdana" w:eastAsia="Arial MT" w:hAnsi="Verdana" w:cs="Arial MT"/>
          <w:sz w:val="20"/>
          <w:lang w:val="es-ES"/>
        </w:rPr>
        <w:t>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14:paraId="07805AFA" w14:textId="77777777" w:rsidR="000F1C56" w:rsidRPr="00B04B6A" w:rsidRDefault="000F1C56" w:rsidP="00B04B6A">
      <w:pPr>
        <w:spacing w:after="0" w:line="276" w:lineRule="auto"/>
        <w:jc w:val="both"/>
        <w:rPr>
          <w:rFonts w:ascii="Verdana" w:eastAsia="Arial MT" w:hAnsi="Verdana" w:cs="Arial MT"/>
          <w:b/>
          <w:lang w:val="es-ES"/>
        </w:rPr>
      </w:pPr>
    </w:p>
    <w:p w14:paraId="290A92F9" w14:textId="62265B6D" w:rsidR="00B04B6A" w:rsidRPr="00B04B6A" w:rsidRDefault="00B04B6A" w:rsidP="00B04B6A">
      <w:pPr>
        <w:spacing w:after="0" w:line="276" w:lineRule="auto"/>
        <w:jc w:val="both"/>
        <w:rPr>
          <w:rFonts w:ascii="Verdana" w:eastAsia="Calibri" w:hAnsi="Verdana" w:cs="Arial"/>
          <w:b/>
          <w:lang w:val="es-ES" w:eastAsia="es-ES"/>
        </w:rPr>
      </w:pPr>
      <w:r w:rsidRPr="00B04B6A">
        <w:rPr>
          <w:rFonts w:ascii="Verdana" w:eastAsia="Calibri" w:hAnsi="Verdana" w:cs="Arial"/>
          <w:b/>
          <w:lang w:val="es-ES" w:eastAsia="es-ES"/>
        </w:rPr>
        <w:t xml:space="preserve">MANUALES DE CONTRATACIÓN – Alcance – Límites – Obligatoriedad </w:t>
      </w:r>
    </w:p>
    <w:p w14:paraId="3CB913AF" w14:textId="77777777" w:rsidR="00B04B6A" w:rsidRDefault="00B04B6A" w:rsidP="00B04B6A">
      <w:pPr>
        <w:spacing w:after="0" w:line="240" w:lineRule="auto"/>
        <w:jc w:val="both"/>
        <w:rPr>
          <w:rFonts w:ascii="Verdana" w:eastAsia="Verdana" w:hAnsi="Verdana" w:cs="Verdana"/>
          <w:spacing w:val="-2"/>
          <w:sz w:val="20"/>
          <w:szCs w:val="20"/>
          <w:lang w:val="es-ES"/>
        </w:rPr>
      </w:pPr>
    </w:p>
    <w:p w14:paraId="2334E5F6" w14:textId="77777777" w:rsidR="00B04B6A" w:rsidRPr="008A4709" w:rsidRDefault="00B04B6A" w:rsidP="00B04B6A">
      <w:pPr>
        <w:spacing w:after="0" w:line="240" w:lineRule="auto"/>
        <w:jc w:val="both"/>
        <w:rPr>
          <w:rFonts w:ascii="Verdana" w:eastAsia="Verdana" w:hAnsi="Verdana" w:cs="Verdana"/>
          <w:sz w:val="20"/>
          <w:szCs w:val="20"/>
        </w:rPr>
      </w:pPr>
      <w:r w:rsidRPr="008A4709">
        <w:rPr>
          <w:rFonts w:ascii="Verdana" w:eastAsia="Verdana" w:hAnsi="Verdana" w:cs="Verdana"/>
          <w:spacing w:val="-2"/>
          <w:sz w:val="20"/>
          <w:szCs w:val="20"/>
          <w:lang w:val="es-ES"/>
        </w:rPr>
        <w:t>Sobre</w:t>
      </w:r>
      <w:r w:rsidRPr="008A4709">
        <w:rPr>
          <w:rFonts w:ascii="Verdana" w:eastAsia="Verdana" w:hAnsi="Verdana" w:cs="Verdana"/>
          <w:spacing w:val="-10"/>
          <w:sz w:val="20"/>
          <w:szCs w:val="20"/>
          <w:lang w:val="es-ES"/>
        </w:rPr>
        <w:t xml:space="preserve"> </w:t>
      </w:r>
      <w:r w:rsidRPr="008A4709">
        <w:rPr>
          <w:rFonts w:ascii="Verdana" w:eastAsia="Verdana" w:hAnsi="Verdana" w:cs="Verdana"/>
          <w:spacing w:val="-2"/>
          <w:sz w:val="20"/>
          <w:szCs w:val="20"/>
          <w:lang w:val="es-ES"/>
        </w:rPr>
        <w:t>este</w:t>
      </w:r>
      <w:r w:rsidRPr="008A4709">
        <w:rPr>
          <w:rFonts w:ascii="Verdana" w:eastAsia="Verdana" w:hAnsi="Verdana" w:cs="Verdana"/>
          <w:spacing w:val="-11"/>
          <w:sz w:val="20"/>
          <w:szCs w:val="20"/>
          <w:lang w:val="es-ES"/>
        </w:rPr>
        <w:t xml:space="preserve"> </w:t>
      </w:r>
      <w:r w:rsidRPr="008A4709">
        <w:rPr>
          <w:rFonts w:ascii="Verdana" w:eastAsia="Verdana" w:hAnsi="Verdana" w:cs="Verdana"/>
          <w:spacing w:val="-2"/>
          <w:sz w:val="20"/>
          <w:szCs w:val="20"/>
          <w:lang w:val="es-ES"/>
        </w:rPr>
        <w:t>punto</w:t>
      </w:r>
      <w:r w:rsidRPr="008A4709">
        <w:rPr>
          <w:rFonts w:ascii="Verdana" w:eastAsia="Verdana" w:hAnsi="Verdana" w:cs="Verdana"/>
          <w:spacing w:val="-11"/>
          <w:sz w:val="20"/>
          <w:szCs w:val="20"/>
          <w:lang w:val="es-ES"/>
        </w:rPr>
        <w:t xml:space="preserve"> </w:t>
      </w:r>
      <w:r w:rsidRPr="008A4709">
        <w:rPr>
          <w:rFonts w:ascii="Verdana" w:eastAsia="Verdana" w:hAnsi="Verdana" w:cs="Verdana"/>
          <w:spacing w:val="-2"/>
          <w:sz w:val="20"/>
          <w:szCs w:val="20"/>
          <w:lang w:val="es-ES"/>
        </w:rPr>
        <w:t>particular</w:t>
      </w:r>
      <w:r w:rsidRPr="008A4709">
        <w:rPr>
          <w:rFonts w:ascii="Verdana" w:eastAsia="Verdana" w:hAnsi="Verdana" w:cs="Verdana"/>
          <w:spacing w:val="-8"/>
          <w:sz w:val="20"/>
          <w:szCs w:val="20"/>
          <w:lang w:val="es-ES"/>
        </w:rPr>
        <w:t xml:space="preserve"> </w:t>
      </w:r>
      <w:r w:rsidRPr="008A4709">
        <w:rPr>
          <w:rFonts w:ascii="Verdana" w:eastAsia="Verdana" w:hAnsi="Verdana" w:cs="Verdana"/>
          <w:spacing w:val="-2"/>
          <w:sz w:val="20"/>
          <w:szCs w:val="20"/>
          <w:lang w:val="es-ES"/>
        </w:rPr>
        <w:t>es</w:t>
      </w:r>
      <w:r w:rsidRPr="008A4709">
        <w:rPr>
          <w:rFonts w:ascii="Verdana" w:eastAsia="Verdana" w:hAnsi="Verdana" w:cs="Verdana"/>
          <w:spacing w:val="-11"/>
          <w:sz w:val="20"/>
          <w:szCs w:val="20"/>
          <w:lang w:val="es-ES"/>
        </w:rPr>
        <w:t xml:space="preserve"> </w:t>
      </w:r>
      <w:r w:rsidRPr="008A4709">
        <w:rPr>
          <w:rFonts w:ascii="Verdana" w:eastAsia="Verdana" w:hAnsi="Verdana" w:cs="Verdana"/>
          <w:spacing w:val="-2"/>
          <w:sz w:val="20"/>
          <w:szCs w:val="20"/>
          <w:lang w:val="es-ES"/>
        </w:rPr>
        <w:t>preciso</w:t>
      </w:r>
      <w:r w:rsidRPr="008A4709">
        <w:rPr>
          <w:rFonts w:ascii="Verdana" w:eastAsia="Verdana" w:hAnsi="Verdana" w:cs="Verdana"/>
          <w:spacing w:val="-8"/>
          <w:sz w:val="20"/>
          <w:szCs w:val="20"/>
          <w:lang w:val="es-ES"/>
        </w:rPr>
        <w:t xml:space="preserve"> </w:t>
      </w:r>
      <w:r w:rsidRPr="008A4709">
        <w:rPr>
          <w:rFonts w:ascii="Verdana" w:eastAsia="Verdana" w:hAnsi="Verdana" w:cs="Verdana"/>
          <w:spacing w:val="-2"/>
          <w:sz w:val="20"/>
          <w:szCs w:val="20"/>
          <w:lang w:val="es-ES"/>
        </w:rPr>
        <w:t>destacar</w:t>
      </w:r>
      <w:r w:rsidRPr="008A4709">
        <w:rPr>
          <w:rFonts w:ascii="Verdana" w:eastAsia="Verdana" w:hAnsi="Verdana" w:cs="Verdana"/>
          <w:spacing w:val="-10"/>
          <w:sz w:val="20"/>
          <w:szCs w:val="20"/>
          <w:lang w:val="es-ES"/>
        </w:rPr>
        <w:t xml:space="preserve"> </w:t>
      </w:r>
      <w:r w:rsidRPr="008A4709">
        <w:rPr>
          <w:rFonts w:ascii="Verdana" w:eastAsia="Verdana" w:hAnsi="Verdana" w:cs="Verdana"/>
          <w:spacing w:val="-2"/>
          <w:sz w:val="20"/>
          <w:szCs w:val="20"/>
          <w:lang w:val="es-ES"/>
        </w:rPr>
        <w:t>que</w:t>
      </w:r>
      <w:r w:rsidRPr="008A4709">
        <w:rPr>
          <w:rFonts w:ascii="Verdana" w:eastAsia="Verdana" w:hAnsi="Verdana" w:cs="Verdana"/>
          <w:spacing w:val="-11"/>
          <w:sz w:val="20"/>
          <w:szCs w:val="20"/>
          <w:lang w:val="es-ES"/>
        </w:rPr>
        <w:t xml:space="preserve"> </w:t>
      </w:r>
      <w:r w:rsidRPr="008A4709">
        <w:rPr>
          <w:rFonts w:ascii="Verdana" w:eastAsia="Verdana" w:hAnsi="Verdana" w:cs="Verdana"/>
          <w:spacing w:val="-2"/>
          <w:sz w:val="20"/>
          <w:szCs w:val="20"/>
          <w:lang w:val="es-ES"/>
        </w:rPr>
        <w:t>las</w:t>
      </w:r>
      <w:r w:rsidRPr="008A4709">
        <w:rPr>
          <w:rFonts w:ascii="Verdana" w:eastAsia="Verdana" w:hAnsi="Verdana" w:cs="Verdana"/>
          <w:spacing w:val="-11"/>
          <w:sz w:val="20"/>
          <w:szCs w:val="20"/>
          <w:lang w:val="es-ES"/>
        </w:rPr>
        <w:t xml:space="preserve"> </w:t>
      </w:r>
      <w:r w:rsidRPr="008A4709">
        <w:rPr>
          <w:rFonts w:ascii="Verdana" w:eastAsia="Verdana" w:hAnsi="Verdana" w:cs="Verdana"/>
          <w:spacing w:val="-2"/>
          <w:sz w:val="20"/>
          <w:szCs w:val="20"/>
          <w:lang w:val="es-ES"/>
        </w:rPr>
        <w:t>entidades</w:t>
      </w:r>
      <w:r w:rsidRPr="008A4709">
        <w:rPr>
          <w:rFonts w:ascii="Verdana" w:eastAsia="Verdana" w:hAnsi="Verdana" w:cs="Verdana"/>
          <w:spacing w:val="-10"/>
          <w:sz w:val="20"/>
          <w:szCs w:val="20"/>
          <w:lang w:val="es-ES"/>
        </w:rPr>
        <w:t xml:space="preserve"> </w:t>
      </w:r>
      <w:r w:rsidRPr="008A4709">
        <w:rPr>
          <w:rFonts w:ascii="Verdana" w:eastAsia="Verdana" w:hAnsi="Verdana" w:cs="Verdana"/>
          <w:spacing w:val="-2"/>
          <w:sz w:val="20"/>
          <w:szCs w:val="20"/>
          <w:lang w:val="es-ES"/>
        </w:rPr>
        <w:t xml:space="preserve">estatales </w:t>
      </w:r>
      <w:r w:rsidRPr="008A4709">
        <w:rPr>
          <w:rFonts w:ascii="Verdana" w:eastAsia="Verdana" w:hAnsi="Verdana" w:cs="Verdana"/>
          <w:sz w:val="20"/>
          <w:szCs w:val="20"/>
          <w:lang w:val="es-ES"/>
        </w:rPr>
        <w:t>sometidas</w:t>
      </w:r>
      <w:r w:rsidRPr="008A4709">
        <w:rPr>
          <w:rFonts w:ascii="Verdana" w:eastAsia="Verdana" w:hAnsi="Verdana" w:cs="Verdana"/>
          <w:spacing w:val="-15"/>
          <w:sz w:val="20"/>
          <w:szCs w:val="20"/>
          <w:lang w:val="es-ES"/>
        </w:rPr>
        <w:t xml:space="preserve"> </w:t>
      </w:r>
      <w:r w:rsidRPr="008A4709">
        <w:rPr>
          <w:rFonts w:ascii="Verdana" w:eastAsia="Verdana" w:hAnsi="Verdana" w:cs="Verdana"/>
          <w:sz w:val="20"/>
          <w:szCs w:val="20"/>
          <w:lang w:val="es-ES"/>
        </w:rPr>
        <w:t>a</w:t>
      </w:r>
      <w:r w:rsidRPr="008A4709">
        <w:rPr>
          <w:rFonts w:ascii="Verdana" w:eastAsia="Verdana" w:hAnsi="Verdana" w:cs="Verdana"/>
          <w:spacing w:val="-17"/>
          <w:sz w:val="20"/>
          <w:szCs w:val="20"/>
          <w:lang w:val="es-ES"/>
        </w:rPr>
        <w:t xml:space="preserve"> </w:t>
      </w:r>
      <w:r w:rsidRPr="008A4709">
        <w:rPr>
          <w:rFonts w:ascii="Verdana" w:eastAsia="Verdana" w:hAnsi="Verdana" w:cs="Verdana"/>
          <w:sz w:val="20"/>
          <w:szCs w:val="20"/>
          <w:lang w:val="es-ES"/>
        </w:rPr>
        <w:t>regímenes</w:t>
      </w:r>
      <w:r w:rsidRPr="008A4709">
        <w:rPr>
          <w:rFonts w:ascii="Verdana" w:eastAsia="Verdana" w:hAnsi="Verdana" w:cs="Verdana"/>
          <w:spacing w:val="-15"/>
          <w:sz w:val="20"/>
          <w:szCs w:val="20"/>
          <w:lang w:val="es-ES"/>
        </w:rPr>
        <w:t xml:space="preserve"> </w:t>
      </w:r>
      <w:r w:rsidRPr="008A4709">
        <w:rPr>
          <w:rFonts w:ascii="Verdana" w:eastAsia="Verdana" w:hAnsi="Verdana" w:cs="Verdana"/>
          <w:sz w:val="20"/>
          <w:szCs w:val="20"/>
          <w:lang w:val="es-ES"/>
        </w:rPr>
        <w:t>especiales</w:t>
      </w:r>
      <w:r w:rsidRPr="008A4709">
        <w:rPr>
          <w:rFonts w:ascii="Verdana" w:eastAsia="Verdana" w:hAnsi="Verdana" w:cs="Verdana"/>
          <w:spacing w:val="-14"/>
          <w:sz w:val="20"/>
          <w:szCs w:val="20"/>
          <w:lang w:val="es-ES"/>
        </w:rPr>
        <w:t xml:space="preserve"> </w:t>
      </w:r>
      <w:r w:rsidRPr="008A4709">
        <w:rPr>
          <w:rFonts w:ascii="Verdana" w:eastAsia="Verdana" w:hAnsi="Verdana" w:cs="Verdana"/>
          <w:sz w:val="20"/>
          <w:szCs w:val="20"/>
          <w:lang w:val="es-ES"/>
        </w:rPr>
        <w:t>de</w:t>
      </w:r>
      <w:r w:rsidRPr="008A4709">
        <w:rPr>
          <w:rFonts w:ascii="Verdana" w:eastAsia="Verdana" w:hAnsi="Verdana" w:cs="Verdana"/>
          <w:spacing w:val="-17"/>
          <w:sz w:val="20"/>
          <w:szCs w:val="20"/>
          <w:lang w:val="es-ES"/>
        </w:rPr>
        <w:t xml:space="preserve"> </w:t>
      </w:r>
      <w:r w:rsidRPr="008A4709">
        <w:rPr>
          <w:rFonts w:ascii="Verdana" w:eastAsia="Verdana" w:hAnsi="Verdana" w:cs="Verdana"/>
          <w:sz w:val="20"/>
          <w:szCs w:val="20"/>
          <w:lang w:val="es-ES"/>
        </w:rPr>
        <w:t>derecho</w:t>
      </w:r>
      <w:r w:rsidRPr="008A4709">
        <w:rPr>
          <w:rFonts w:ascii="Verdana" w:eastAsia="Verdana" w:hAnsi="Verdana" w:cs="Verdana"/>
          <w:spacing w:val="-14"/>
          <w:sz w:val="20"/>
          <w:szCs w:val="20"/>
          <w:lang w:val="es-ES"/>
        </w:rPr>
        <w:t xml:space="preserve"> </w:t>
      </w:r>
      <w:r w:rsidRPr="008A4709">
        <w:rPr>
          <w:rFonts w:ascii="Verdana" w:eastAsia="Verdana" w:hAnsi="Verdana" w:cs="Verdana"/>
          <w:sz w:val="20"/>
          <w:szCs w:val="20"/>
          <w:lang w:val="es-ES"/>
        </w:rPr>
        <w:t>privado</w:t>
      </w:r>
      <w:r w:rsidRPr="008A4709">
        <w:rPr>
          <w:rFonts w:ascii="Verdana" w:eastAsia="Verdana" w:hAnsi="Verdana" w:cs="Verdana"/>
          <w:spacing w:val="-15"/>
          <w:sz w:val="20"/>
          <w:szCs w:val="20"/>
          <w:lang w:val="es-ES"/>
        </w:rPr>
        <w:t xml:space="preserve"> </w:t>
      </w:r>
      <w:r w:rsidRPr="008A4709">
        <w:rPr>
          <w:rFonts w:ascii="Verdana" w:eastAsia="Verdana" w:hAnsi="Verdana" w:cs="Verdana"/>
          <w:sz w:val="20"/>
          <w:szCs w:val="20"/>
          <w:lang w:val="es-ES"/>
        </w:rPr>
        <w:t>tienen</w:t>
      </w:r>
      <w:r w:rsidRPr="008A4709">
        <w:rPr>
          <w:rFonts w:ascii="Verdana" w:eastAsia="Verdana" w:hAnsi="Verdana" w:cs="Verdana"/>
          <w:spacing w:val="-16"/>
          <w:sz w:val="20"/>
          <w:szCs w:val="20"/>
          <w:lang w:val="es-ES"/>
        </w:rPr>
        <w:t xml:space="preserve"> </w:t>
      </w:r>
      <w:r w:rsidRPr="008A4709">
        <w:rPr>
          <w:rFonts w:ascii="Verdana" w:eastAsia="Verdana" w:hAnsi="Verdana" w:cs="Verdana"/>
          <w:sz w:val="20"/>
          <w:szCs w:val="20"/>
          <w:lang w:val="es-ES"/>
        </w:rPr>
        <w:t>una</w:t>
      </w:r>
      <w:r w:rsidRPr="008A4709">
        <w:rPr>
          <w:rFonts w:ascii="Verdana" w:eastAsia="Verdana" w:hAnsi="Verdana" w:cs="Verdana"/>
          <w:spacing w:val="-17"/>
          <w:sz w:val="20"/>
          <w:szCs w:val="20"/>
          <w:lang w:val="es-ES"/>
        </w:rPr>
        <w:t xml:space="preserve"> </w:t>
      </w:r>
      <w:r w:rsidRPr="008A4709">
        <w:rPr>
          <w:rFonts w:ascii="Verdana" w:eastAsia="Verdana" w:hAnsi="Verdana" w:cs="Verdana"/>
          <w:sz w:val="20"/>
          <w:szCs w:val="20"/>
          <w:lang w:val="es-ES"/>
        </w:rPr>
        <w:t>amplia</w:t>
      </w:r>
      <w:r w:rsidRPr="008A4709">
        <w:rPr>
          <w:rFonts w:ascii="Verdana" w:eastAsia="Verdana" w:hAnsi="Verdana" w:cs="Verdana"/>
          <w:spacing w:val="-16"/>
          <w:sz w:val="20"/>
          <w:szCs w:val="20"/>
          <w:lang w:val="es-ES"/>
        </w:rPr>
        <w:t xml:space="preserve"> </w:t>
      </w:r>
      <w:r w:rsidRPr="008A4709">
        <w:rPr>
          <w:rFonts w:ascii="Verdana" w:eastAsia="Verdana" w:hAnsi="Verdana" w:cs="Verdana"/>
          <w:sz w:val="20"/>
          <w:szCs w:val="20"/>
          <w:lang w:val="es-ES"/>
        </w:rPr>
        <w:t>libertad</w:t>
      </w:r>
      <w:r w:rsidRPr="008A4709">
        <w:rPr>
          <w:rFonts w:ascii="Verdana" w:eastAsia="Calibri" w:hAnsi="Verdana" w:cs="Times New Roman"/>
          <w:sz w:val="20"/>
          <w:szCs w:val="20"/>
          <w:lang w:val="es-ES"/>
        </w:rPr>
        <w:t xml:space="preserve"> d</w:t>
      </w:r>
      <w:r w:rsidRPr="008A4709">
        <w:rPr>
          <w:rFonts w:ascii="Verdana" w:eastAsia="Verdana" w:hAnsi="Verdana" w:cs="Verdana"/>
          <w:sz w:val="20"/>
          <w:szCs w:val="20"/>
          <w:lang w:val="es-ES"/>
        </w:rPr>
        <w:t>e configuración del contenido del manual de contratación. Esta libertad se deriva del principio de autonomía de la voluntad reconocida a estas entidades, que les permite establecer la manera en que adelantarán sus procesos de contratación. Ahora bien, dicha libertad es similar a la reconocida a los particulares por el</w:t>
      </w:r>
      <w:r w:rsidRPr="008A4709">
        <w:rPr>
          <w:rFonts w:ascii="Verdana" w:eastAsia="Verdana" w:hAnsi="Verdana" w:cs="Verdana"/>
          <w:spacing w:val="-1"/>
          <w:sz w:val="20"/>
          <w:szCs w:val="20"/>
          <w:lang w:val="es-ES"/>
        </w:rPr>
        <w:t xml:space="preserve"> </w:t>
      </w:r>
      <w:r w:rsidRPr="008A4709">
        <w:rPr>
          <w:rFonts w:ascii="Verdana" w:eastAsia="Verdana" w:hAnsi="Verdana" w:cs="Verdana"/>
          <w:sz w:val="20"/>
          <w:szCs w:val="20"/>
          <w:lang w:val="es-ES"/>
        </w:rPr>
        <w:t>derecho privado, pero no</w:t>
      </w:r>
      <w:r w:rsidRPr="008A4709">
        <w:rPr>
          <w:rFonts w:ascii="Verdana" w:eastAsia="Verdana" w:hAnsi="Verdana" w:cs="Verdana"/>
          <w:spacing w:val="-1"/>
          <w:sz w:val="20"/>
          <w:szCs w:val="20"/>
          <w:lang w:val="es-ES"/>
        </w:rPr>
        <w:t xml:space="preserve"> </w:t>
      </w:r>
      <w:r w:rsidRPr="008A4709">
        <w:rPr>
          <w:rFonts w:ascii="Verdana" w:eastAsia="Verdana" w:hAnsi="Verdana" w:cs="Verdana"/>
          <w:sz w:val="20"/>
          <w:szCs w:val="20"/>
          <w:lang w:val="es-ES"/>
        </w:rPr>
        <w:t>es</w:t>
      </w:r>
      <w:r w:rsidRPr="008A4709">
        <w:rPr>
          <w:rFonts w:ascii="Verdana" w:eastAsia="Verdana" w:hAnsi="Verdana" w:cs="Verdana"/>
          <w:spacing w:val="-1"/>
          <w:sz w:val="20"/>
          <w:szCs w:val="20"/>
          <w:lang w:val="es-ES"/>
        </w:rPr>
        <w:t xml:space="preserve"> </w:t>
      </w:r>
      <w:r w:rsidRPr="008A4709">
        <w:rPr>
          <w:rFonts w:ascii="Verdana" w:eastAsia="Verdana" w:hAnsi="Verdana" w:cs="Verdana"/>
          <w:sz w:val="20"/>
          <w:szCs w:val="20"/>
          <w:lang w:val="es-ES"/>
        </w:rPr>
        <w:t>idéntica a</w:t>
      </w:r>
      <w:r w:rsidRPr="008A4709">
        <w:rPr>
          <w:rFonts w:ascii="Verdana" w:eastAsia="Verdana" w:hAnsi="Verdana" w:cs="Verdana"/>
          <w:spacing w:val="-1"/>
          <w:sz w:val="20"/>
          <w:szCs w:val="20"/>
          <w:lang w:val="es-ES"/>
        </w:rPr>
        <w:t xml:space="preserve"> </w:t>
      </w:r>
      <w:r w:rsidRPr="008A4709">
        <w:rPr>
          <w:rFonts w:ascii="Verdana" w:eastAsia="Verdana" w:hAnsi="Verdana" w:cs="Verdana"/>
          <w:sz w:val="20"/>
          <w:szCs w:val="20"/>
          <w:lang w:val="es-ES"/>
        </w:rPr>
        <w:t>aquella, en</w:t>
      </w:r>
      <w:r w:rsidRPr="008A4709">
        <w:rPr>
          <w:rFonts w:ascii="Verdana" w:eastAsia="Verdana" w:hAnsi="Verdana" w:cs="Verdana"/>
          <w:spacing w:val="-1"/>
          <w:sz w:val="20"/>
          <w:szCs w:val="20"/>
          <w:lang w:val="es-ES"/>
        </w:rPr>
        <w:t xml:space="preserve"> </w:t>
      </w:r>
      <w:r w:rsidRPr="008A4709">
        <w:rPr>
          <w:rFonts w:ascii="Verdana" w:eastAsia="Verdana" w:hAnsi="Verdana" w:cs="Verdana"/>
          <w:sz w:val="20"/>
          <w:szCs w:val="20"/>
          <w:lang w:val="es-ES"/>
        </w:rPr>
        <w:t>la</w:t>
      </w:r>
      <w:r w:rsidRPr="008A4709">
        <w:rPr>
          <w:rFonts w:ascii="Verdana" w:eastAsia="Verdana" w:hAnsi="Verdana" w:cs="Verdana"/>
          <w:spacing w:val="-1"/>
          <w:sz w:val="20"/>
          <w:szCs w:val="20"/>
          <w:lang w:val="es-ES"/>
        </w:rPr>
        <w:t xml:space="preserve"> </w:t>
      </w:r>
      <w:r w:rsidRPr="008A4709">
        <w:rPr>
          <w:rFonts w:ascii="Verdana" w:eastAsia="Verdana" w:hAnsi="Verdana" w:cs="Verdana"/>
          <w:sz w:val="20"/>
          <w:szCs w:val="20"/>
          <w:lang w:val="es-ES"/>
        </w:rPr>
        <w:t>medida en que encuentra importantes limitantes.</w:t>
      </w:r>
      <w:r w:rsidRPr="008A4709">
        <w:rPr>
          <w:rFonts w:ascii="Verdana" w:eastAsia="Calibri" w:hAnsi="Verdana" w:cs="Times New Roman"/>
          <w:sz w:val="20"/>
          <w:szCs w:val="20"/>
          <w:lang w:val="es-ES"/>
        </w:rPr>
        <w:t xml:space="preserve"> </w:t>
      </w:r>
      <w:r w:rsidRPr="008A4709">
        <w:rPr>
          <w:rFonts w:ascii="Verdana" w:eastAsia="Verdana" w:hAnsi="Verdana" w:cs="Verdana"/>
          <w:sz w:val="20"/>
          <w:szCs w:val="20"/>
          <w:lang w:val="es-ES"/>
        </w:rPr>
        <w:t>Esta</w:t>
      </w:r>
      <w:r w:rsidRPr="008A4709">
        <w:rPr>
          <w:rFonts w:ascii="Verdana" w:eastAsia="Verdana" w:hAnsi="Verdana" w:cs="Verdana"/>
          <w:spacing w:val="-10"/>
          <w:sz w:val="20"/>
          <w:szCs w:val="20"/>
          <w:lang w:val="es-ES"/>
        </w:rPr>
        <w:t xml:space="preserve"> </w:t>
      </w:r>
      <w:r w:rsidRPr="008A4709">
        <w:rPr>
          <w:rFonts w:ascii="Verdana" w:eastAsia="Verdana" w:hAnsi="Verdana" w:cs="Verdana"/>
          <w:sz w:val="20"/>
          <w:szCs w:val="20"/>
          <w:lang w:val="es-ES"/>
        </w:rPr>
        <w:t>Agencia</w:t>
      </w:r>
      <w:r w:rsidRPr="008A4709">
        <w:rPr>
          <w:rFonts w:ascii="Verdana" w:eastAsia="Verdana" w:hAnsi="Verdana" w:cs="Verdana"/>
          <w:spacing w:val="-9"/>
          <w:sz w:val="20"/>
          <w:szCs w:val="20"/>
          <w:lang w:val="es-ES"/>
        </w:rPr>
        <w:t xml:space="preserve"> </w:t>
      </w:r>
      <w:r w:rsidRPr="008A4709">
        <w:rPr>
          <w:rFonts w:ascii="Verdana" w:eastAsia="Verdana" w:hAnsi="Verdana" w:cs="Verdana"/>
          <w:sz w:val="20"/>
          <w:szCs w:val="20"/>
          <w:lang w:val="es-ES"/>
        </w:rPr>
        <w:t>Nacional</w:t>
      </w:r>
      <w:r w:rsidRPr="008A4709">
        <w:rPr>
          <w:rFonts w:ascii="Verdana" w:eastAsia="Verdana" w:hAnsi="Verdana" w:cs="Verdana"/>
          <w:spacing w:val="-8"/>
          <w:sz w:val="20"/>
          <w:szCs w:val="20"/>
          <w:lang w:val="es-ES"/>
        </w:rPr>
        <w:t xml:space="preserve"> </w:t>
      </w:r>
      <w:r w:rsidRPr="008A4709">
        <w:rPr>
          <w:rFonts w:ascii="Verdana" w:eastAsia="Verdana" w:hAnsi="Verdana" w:cs="Verdana"/>
          <w:sz w:val="20"/>
          <w:szCs w:val="20"/>
          <w:lang w:val="es-ES"/>
        </w:rPr>
        <w:t>de</w:t>
      </w:r>
      <w:r w:rsidRPr="008A4709">
        <w:rPr>
          <w:rFonts w:ascii="Verdana" w:eastAsia="Verdana" w:hAnsi="Verdana" w:cs="Verdana"/>
          <w:spacing w:val="-10"/>
          <w:sz w:val="20"/>
          <w:szCs w:val="20"/>
          <w:lang w:val="es-ES"/>
        </w:rPr>
        <w:t xml:space="preserve"> </w:t>
      </w:r>
      <w:r w:rsidRPr="008A4709">
        <w:rPr>
          <w:rFonts w:ascii="Verdana" w:eastAsia="Verdana" w:hAnsi="Verdana" w:cs="Verdana"/>
          <w:sz w:val="20"/>
          <w:szCs w:val="20"/>
          <w:lang w:val="es-ES"/>
        </w:rPr>
        <w:t>Contratación</w:t>
      </w:r>
      <w:r w:rsidRPr="008A4709">
        <w:rPr>
          <w:rFonts w:ascii="Verdana" w:eastAsia="Verdana" w:hAnsi="Verdana" w:cs="Verdana"/>
          <w:spacing w:val="-7"/>
          <w:sz w:val="20"/>
          <w:szCs w:val="20"/>
          <w:lang w:val="es-ES"/>
        </w:rPr>
        <w:t xml:space="preserve"> </w:t>
      </w:r>
      <w:r w:rsidRPr="008A4709">
        <w:rPr>
          <w:rFonts w:ascii="Verdana" w:eastAsia="Verdana" w:hAnsi="Verdana" w:cs="Verdana"/>
          <w:sz w:val="20"/>
          <w:szCs w:val="20"/>
          <w:lang w:val="es-ES"/>
        </w:rPr>
        <w:t>Publica</w:t>
      </w:r>
      <w:r w:rsidRPr="008A4709">
        <w:rPr>
          <w:rFonts w:ascii="Verdana" w:eastAsia="Verdana" w:hAnsi="Verdana" w:cs="Verdana"/>
          <w:spacing w:val="-9"/>
          <w:sz w:val="20"/>
          <w:szCs w:val="20"/>
          <w:lang w:val="es-ES"/>
        </w:rPr>
        <w:t xml:space="preserve"> </w:t>
      </w:r>
      <w:r w:rsidRPr="008A4709">
        <w:rPr>
          <w:rFonts w:ascii="Verdana" w:eastAsia="Verdana" w:hAnsi="Verdana" w:cs="Verdana"/>
          <w:sz w:val="20"/>
          <w:szCs w:val="20"/>
          <w:lang w:val="es-ES"/>
        </w:rPr>
        <w:t>Colombia</w:t>
      </w:r>
      <w:r w:rsidRPr="008A4709">
        <w:rPr>
          <w:rFonts w:ascii="Verdana" w:eastAsia="Verdana" w:hAnsi="Verdana" w:cs="Verdana"/>
          <w:spacing w:val="-9"/>
          <w:sz w:val="20"/>
          <w:szCs w:val="20"/>
          <w:lang w:val="es-ES"/>
        </w:rPr>
        <w:t xml:space="preserve"> </w:t>
      </w:r>
      <w:r w:rsidRPr="008A4709">
        <w:rPr>
          <w:rFonts w:ascii="Verdana" w:eastAsia="Verdana" w:hAnsi="Verdana" w:cs="Verdana"/>
          <w:sz w:val="20"/>
          <w:szCs w:val="20"/>
          <w:lang w:val="es-ES"/>
        </w:rPr>
        <w:t>Compra</w:t>
      </w:r>
      <w:r w:rsidRPr="008A4709">
        <w:rPr>
          <w:rFonts w:ascii="Verdana" w:eastAsia="Verdana" w:hAnsi="Verdana" w:cs="Verdana"/>
          <w:spacing w:val="-9"/>
          <w:sz w:val="20"/>
          <w:szCs w:val="20"/>
          <w:lang w:val="es-ES"/>
        </w:rPr>
        <w:t xml:space="preserve"> </w:t>
      </w:r>
      <w:r w:rsidRPr="008A4709">
        <w:rPr>
          <w:rFonts w:ascii="Verdana" w:eastAsia="Verdana" w:hAnsi="Verdana" w:cs="Verdana"/>
          <w:sz w:val="20"/>
          <w:szCs w:val="20"/>
          <w:lang w:val="es-ES"/>
        </w:rPr>
        <w:t>Eficiente, realizó una Guía para las Entidades Estatales con régimen especial de contratación, por medio de la cual definió los lineamientos generales para la expedición</w:t>
      </w:r>
      <w:r w:rsidRPr="008A4709">
        <w:rPr>
          <w:rFonts w:ascii="Verdana" w:eastAsia="Verdana" w:hAnsi="Verdana" w:cs="Verdana"/>
          <w:spacing w:val="-5"/>
          <w:sz w:val="20"/>
          <w:szCs w:val="20"/>
          <w:lang w:val="es-ES"/>
        </w:rPr>
        <w:t xml:space="preserve"> </w:t>
      </w:r>
      <w:r w:rsidRPr="008A4709">
        <w:rPr>
          <w:rFonts w:ascii="Verdana" w:eastAsia="Verdana" w:hAnsi="Verdana" w:cs="Verdana"/>
          <w:sz w:val="20"/>
          <w:szCs w:val="20"/>
          <w:lang w:val="es-ES"/>
        </w:rPr>
        <w:t>de</w:t>
      </w:r>
      <w:r w:rsidRPr="008A4709">
        <w:rPr>
          <w:rFonts w:ascii="Verdana" w:eastAsia="Verdana" w:hAnsi="Verdana" w:cs="Verdana"/>
          <w:spacing w:val="-8"/>
          <w:sz w:val="20"/>
          <w:szCs w:val="20"/>
          <w:lang w:val="es-ES"/>
        </w:rPr>
        <w:t xml:space="preserve"> </w:t>
      </w:r>
      <w:r w:rsidRPr="008A4709">
        <w:rPr>
          <w:rFonts w:ascii="Verdana" w:eastAsia="Verdana" w:hAnsi="Verdana" w:cs="Verdana"/>
          <w:sz w:val="20"/>
          <w:szCs w:val="20"/>
          <w:lang w:val="es-ES"/>
        </w:rPr>
        <w:t>manuales</w:t>
      </w:r>
      <w:r w:rsidRPr="008A4709">
        <w:rPr>
          <w:rFonts w:ascii="Verdana" w:eastAsia="Verdana" w:hAnsi="Verdana" w:cs="Verdana"/>
          <w:spacing w:val="-6"/>
          <w:sz w:val="20"/>
          <w:szCs w:val="20"/>
          <w:lang w:val="es-ES"/>
        </w:rPr>
        <w:t xml:space="preserve"> </w:t>
      </w:r>
      <w:r w:rsidRPr="008A4709">
        <w:rPr>
          <w:rFonts w:ascii="Verdana" w:eastAsia="Verdana" w:hAnsi="Verdana" w:cs="Verdana"/>
          <w:sz w:val="20"/>
          <w:szCs w:val="20"/>
          <w:lang w:val="es-ES"/>
        </w:rPr>
        <w:t>de</w:t>
      </w:r>
      <w:r w:rsidRPr="008A4709">
        <w:rPr>
          <w:rFonts w:ascii="Verdana" w:eastAsia="Verdana" w:hAnsi="Verdana" w:cs="Verdana"/>
          <w:spacing w:val="-8"/>
          <w:sz w:val="20"/>
          <w:szCs w:val="20"/>
          <w:lang w:val="es-ES"/>
        </w:rPr>
        <w:t xml:space="preserve"> </w:t>
      </w:r>
      <w:r w:rsidRPr="008A4709">
        <w:rPr>
          <w:rFonts w:ascii="Verdana" w:eastAsia="Verdana" w:hAnsi="Verdana" w:cs="Verdana"/>
          <w:sz w:val="20"/>
          <w:szCs w:val="20"/>
          <w:lang w:val="es-ES"/>
        </w:rPr>
        <w:t>contratación […]</w:t>
      </w:r>
    </w:p>
    <w:p w14:paraId="3F66C97C" w14:textId="77777777" w:rsidR="00B04B6A" w:rsidRPr="008A4709" w:rsidRDefault="00B04B6A" w:rsidP="00B04B6A">
      <w:pPr>
        <w:spacing w:after="0" w:line="240" w:lineRule="auto"/>
        <w:ind w:firstLine="708"/>
        <w:jc w:val="both"/>
        <w:rPr>
          <w:rFonts w:ascii="Verdana" w:eastAsia="Calibri" w:hAnsi="Verdana" w:cs="Times New Roman"/>
          <w:sz w:val="20"/>
          <w:szCs w:val="20"/>
          <w:lang w:val="es-ES"/>
        </w:rPr>
      </w:pPr>
    </w:p>
    <w:p w14:paraId="464C47AE" w14:textId="4D41DF78" w:rsidR="00B04B6A" w:rsidRPr="00B04B6A" w:rsidRDefault="00B04B6A" w:rsidP="00B04B6A">
      <w:pPr>
        <w:widowControl w:val="0"/>
        <w:autoSpaceDE w:val="0"/>
        <w:autoSpaceDN w:val="0"/>
        <w:spacing w:after="0" w:line="240" w:lineRule="auto"/>
        <w:jc w:val="both"/>
        <w:rPr>
          <w:rFonts w:ascii="Verdana" w:eastAsia="Verdana" w:hAnsi="Verdana" w:cs="Verdana"/>
          <w:sz w:val="20"/>
          <w:szCs w:val="20"/>
          <w:lang w:val="es-ES"/>
        </w:rPr>
      </w:pPr>
      <w:r w:rsidRPr="008A4709">
        <w:rPr>
          <w:rFonts w:ascii="Verdana" w:eastAsia="Verdana" w:hAnsi="Verdana" w:cs="Verdana"/>
          <w:sz w:val="20"/>
          <w:szCs w:val="20"/>
          <w:lang w:val="es-ES"/>
        </w:rPr>
        <w:t>Así mismo la entidad contratante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así como los de la gestión fiscal. La forma precisa en que se concretan estos principios, así como la manera como se armonizan con su régimen de derecho privado, es un asunto que debe decidir la entidad en el ejercicio de la discrecionalidad concedida por el ordenamiento jurídico.</w:t>
      </w:r>
    </w:p>
    <w:p w14:paraId="365E5C58" w14:textId="77777777" w:rsidR="00B04B6A" w:rsidRPr="00B04B6A" w:rsidRDefault="00B04B6A" w:rsidP="00B04B6A">
      <w:pPr>
        <w:spacing w:after="0" w:line="276" w:lineRule="auto"/>
        <w:jc w:val="both"/>
        <w:rPr>
          <w:rFonts w:ascii="Verdana" w:eastAsia="Calibri" w:hAnsi="Verdana" w:cs="Arial"/>
          <w:b/>
          <w:lang w:val="es-ES" w:eastAsia="es-ES"/>
        </w:rPr>
      </w:pPr>
    </w:p>
    <w:p w14:paraId="26FF95D9" w14:textId="41DE8694" w:rsidR="00B04B6A" w:rsidRPr="00B04B6A" w:rsidRDefault="00B04B6A" w:rsidP="00B04B6A">
      <w:pPr>
        <w:spacing w:after="0" w:line="276" w:lineRule="auto"/>
        <w:jc w:val="both"/>
        <w:rPr>
          <w:rFonts w:ascii="Verdana" w:eastAsia="Arial MT" w:hAnsi="Verdana" w:cs="Arial MT"/>
          <w:b/>
          <w:lang w:val="es-ES"/>
        </w:rPr>
      </w:pPr>
      <w:r w:rsidRPr="00B04B6A">
        <w:rPr>
          <w:rFonts w:ascii="Verdana" w:eastAsia="Arial MT" w:hAnsi="Verdana" w:cs="Arial MT"/>
          <w:b/>
          <w:lang w:val="es-ES"/>
        </w:rPr>
        <w:t xml:space="preserve">PRINCIPIOS DE LA FUNCIÓN ADMINISTRATIVA – Aplicación – Criterios Metodológicos- Entidades de régimen especial </w:t>
      </w:r>
    </w:p>
    <w:p w14:paraId="10DDBB61" w14:textId="7DF6443C" w:rsidR="00B04B6A" w:rsidRDefault="00B04B6A" w:rsidP="00B04B6A">
      <w:pPr>
        <w:spacing w:after="0" w:line="276" w:lineRule="auto"/>
        <w:jc w:val="both"/>
        <w:rPr>
          <w:rFonts w:ascii="Verdana" w:eastAsia="Calibri" w:hAnsi="Verdana" w:cs="Arial"/>
          <w:b/>
          <w:lang w:val="es-ES" w:eastAsia="es-ES"/>
        </w:rPr>
      </w:pPr>
    </w:p>
    <w:p w14:paraId="100F3DE2" w14:textId="77777777" w:rsidR="000F1C56" w:rsidRPr="000F1C56" w:rsidRDefault="000F1C56" w:rsidP="000F1C56">
      <w:pPr>
        <w:widowControl w:val="0"/>
        <w:autoSpaceDE w:val="0"/>
        <w:autoSpaceDN w:val="0"/>
        <w:spacing w:after="0" w:line="240" w:lineRule="auto"/>
        <w:jc w:val="both"/>
        <w:rPr>
          <w:rFonts w:ascii="Verdana" w:eastAsia="Verdana" w:hAnsi="Verdana" w:cs="Verdana"/>
          <w:sz w:val="20"/>
        </w:rPr>
      </w:pPr>
      <w:r w:rsidRPr="000F1C56">
        <w:rPr>
          <w:rFonts w:ascii="Verdana" w:eastAsia="Verdana" w:hAnsi="Verdana" w:cs="Verdana"/>
          <w:sz w:val="20"/>
          <w:lang w:val="es-ES"/>
        </w:rPr>
        <w:t xml:space="preserve">En esta perspectiva, se destaca que los principios de la función administrativa </w:t>
      </w:r>
      <w:r w:rsidRPr="000F1C56">
        <w:rPr>
          <w:rFonts w:ascii="Verdana" w:eastAsia="Verdana" w:hAnsi="Verdana" w:cs="Verdana"/>
          <w:sz w:val="20"/>
        </w:rPr>
        <w:t xml:space="preserve">como la igualdad, moralidad, eficacia, economía, celeridad, imparcialidad y publicidad; así como los principios de la gestión fiscal, como eficiencia, economía, equidad y valoración de costos ambientales, son una guía metodológica, para la actuación de las entidades sometidas al EGCAP, y merecen un análisis especial en relación con las entidades exceptuadas. En esta línea, los principios de la función administrativa y los de la gestión </w:t>
      </w:r>
      <w:r w:rsidRPr="000F1C56">
        <w:rPr>
          <w:rFonts w:ascii="Verdana" w:eastAsia="Verdana" w:hAnsi="Verdana" w:cs="Verdana"/>
          <w:sz w:val="20"/>
        </w:rPr>
        <w:lastRenderedPageBreak/>
        <w:t xml:space="preserve">fiscal no prescriben una conducta, sino que buscan el cumplimiento de un fin, por lo que las entidades de régimen </w:t>
      </w:r>
      <w:proofErr w:type="gramStart"/>
      <w:r w:rsidRPr="000F1C56">
        <w:rPr>
          <w:rFonts w:ascii="Verdana" w:eastAsia="Verdana" w:hAnsi="Verdana" w:cs="Verdana"/>
          <w:sz w:val="20"/>
        </w:rPr>
        <w:t>especial,</w:t>
      </w:r>
      <w:proofErr w:type="gramEnd"/>
      <w:r w:rsidRPr="000F1C56">
        <w:rPr>
          <w:rFonts w:ascii="Verdana" w:eastAsia="Verdana" w:hAnsi="Verdana" w:cs="Verdana"/>
          <w:sz w:val="20"/>
        </w:rPr>
        <w:t xml:space="preserve"> pueden escoger entre una variedad de alternativas para el cumplimiento de estos, por lo que no implica que deban sujetarse a la forma cómo es aplicado en el EGCAP.  </w:t>
      </w:r>
    </w:p>
    <w:p w14:paraId="173016EC" w14:textId="77777777" w:rsidR="000F1C56" w:rsidRDefault="000F1C56" w:rsidP="000F1C56">
      <w:pPr>
        <w:widowControl w:val="0"/>
        <w:autoSpaceDE w:val="0"/>
        <w:autoSpaceDN w:val="0"/>
        <w:spacing w:after="0" w:line="240" w:lineRule="auto"/>
        <w:jc w:val="both"/>
        <w:rPr>
          <w:rFonts w:ascii="Verdana" w:eastAsia="Verdana" w:hAnsi="Verdana" w:cs="Verdana"/>
          <w:bCs/>
          <w:sz w:val="20"/>
        </w:rPr>
      </w:pPr>
    </w:p>
    <w:p w14:paraId="33C5AE97" w14:textId="56EB2D27" w:rsidR="000F1C56" w:rsidRPr="000F1C56" w:rsidRDefault="000F1C56" w:rsidP="1EC1DFB4">
      <w:pPr>
        <w:widowControl w:val="0"/>
        <w:autoSpaceDE w:val="0"/>
        <w:autoSpaceDN w:val="0"/>
        <w:spacing w:after="0" w:line="240" w:lineRule="auto"/>
        <w:jc w:val="both"/>
        <w:rPr>
          <w:rFonts w:ascii="Verdana" w:eastAsia="Verdana" w:hAnsi="Verdana" w:cs="Verdana"/>
          <w:sz w:val="20"/>
          <w:szCs w:val="20"/>
          <w:lang w:val="es-ES"/>
        </w:rPr>
      </w:pPr>
      <w:r w:rsidRPr="1EC1DFB4">
        <w:rPr>
          <w:rFonts w:ascii="Verdana" w:eastAsia="Verdana" w:hAnsi="Verdana" w:cs="Verdana"/>
          <w:sz w:val="20"/>
          <w:szCs w:val="20"/>
          <w:lang w:val="es-ES"/>
        </w:rPr>
        <w:t xml:space="preserve">En efecto, la estructura de los procedimientos de las entidades sometidas no es asimilable a los de las entidades exceptuadas. Sin bien en estas últimas rigen por los principios de la función administrativa, la gestión fiscal y el régimen de inhabilidades e incompatibilidades, la aplicación de los principios del artículo 209 se matiza, por lo que definan los documentos del proceso que se estructuren en acatamiento de sus manuales de contratación. Dado que estas actuaciones gozan de presunción de legalidad, la participación se realiza con sujeción a lo que dispongan las entidades dentro de su régimen especial, sin perjuicio del control judicial, fiscal o disciplinario contra violaciones injustificadas del marco normativo. </w:t>
      </w:r>
    </w:p>
    <w:p w14:paraId="6BA4B5BE" w14:textId="77777777" w:rsidR="000F1C56" w:rsidRPr="000F1C56" w:rsidRDefault="000F1C56" w:rsidP="00B04B6A">
      <w:pPr>
        <w:spacing w:after="0" w:line="276" w:lineRule="auto"/>
        <w:jc w:val="both"/>
        <w:rPr>
          <w:rFonts w:ascii="Verdana" w:eastAsia="Calibri" w:hAnsi="Verdana" w:cs="Arial"/>
          <w:b/>
          <w:lang w:val="es-ES_tradnl" w:eastAsia="es-ES"/>
        </w:rPr>
      </w:pPr>
    </w:p>
    <w:p w14:paraId="44BF3CE9" w14:textId="20233661" w:rsidR="00B04B6A" w:rsidRPr="00B04B6A" w:rsidRDefault="00B04B6A" w:rsidP="00B04B6A">
      <w:pPr>
        <w:spacing w:after="0" w:line="276" w:lineRule="auto"/>
        <w:jc w:val="both"/>
        <w:rPr>
          <w:rFonts w:ascii="Verdana" w:eastAsia="Calibri" w:hAnsi="Verdana" w:cs="Arial"/>
          <w:b/>
          <w:lang w:val="es-ES" w:eastAsia="es-ES"/>
        </w:rPr>
      </w:pPr>
      <w:r w:rsidRPr="00B04B6A">
        <w:rPr>
          <w:rFonts w:ascii="Verdana" w:eastAsia="Calibri" w:hAnsi="Verdana" w:cs="Arial"/>
          <w:b/>
          <w:lang w:val="es-ES" w:eastAsia="es-ES"/>
        </w:rPr>
        <w:t xml:space="preserve">PRINCIPIOS DE LA FUNCIÓN ADMINISTRATIVA – Procedimientos Competitivos – Procedimientos no Competitivos </w:t>
      </w:r>
    </w:p>
    <w:p w14:paraId="01E9F47E" w14:textId="52C17CA0" w:rsidR="00B04B6A" w:rsidRDefault="00B04B6A" w:rsidP="00B04B6A">
      <w:pPr>
        <w:spacing w:after="0" w:line="276" w:lineRule="auto"/>
        <w:jc w:val="both"/>
        <w:rPr>
          <w:rFonts w:ascii="Verdana" w:eastAsia="Calibri" w:hAnsi="Verdana" w:cs="Arial"/>
          <w:b/>
          <w:lang w:val="es-ES" w:eastAsia="es-ES"/>
        </w:rPr>
      </w:pPr>
    </w:p>
    <w:p w14:paraId="6B6AECAC" w14:textId="59A01316" w:rsidR="000F1C56" w:rsidRDefault="000F1C56" w:rsidP="000F1C56">
      <w:pPr>
        <w:spacing w:after="0" w:line="240" w:lineRule="auto"/>
        <w:jc w:val="both"/>
        <w:rPr>
          <w:rFonts w:ascii="Verdana" w:eastAsia="Calibri" w:hAnsi="Verdana" w:cs="Arial"/>
          <w:sz w:val="20"/>
          <w:lang w:eastAsia="es-ES"/>
        </w:rPr>
      </w:pPr>
      <w:r w:rsidRPr="000F1C56">
        <w:rPr>
          <w:rFonts w:ascii="Verdana" w:eastAsia="Calibri" w:hAnsi="Verdana" w:cs="Arial"/>
          <w:sz w:val="20"/>
          <w:lang w:eastAsia="es-ES"/>
        </w:rPr>
        <w:t xml:space="preserve">Estos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ya sean en procedimientos competitivos y no competitivos. En este escenario, dentro de las sociedades de economía pueden establecer modalidades o procesos de selección en: i) competitivas y </w:t>
      </w:r>
      <w:proofErr w:type="spellStart"/>
      <w:r w:rsidRPr="000F1C56">
        <w:rPr>
          <w:rFonts w:ascii="Verdana" w:eastAsia="Calibri" w:hAnsi="Verdana" w:cs="Arial"/>
          <w:sz w:val="20"/>
          <w:lang w:eastAsia="es-ES"/>
        </w:rPr>
        <w:t>ii</w:t>
      </w:r>
      <w:proofErr w:type="spellEnd"/>
      <w:r w:rsidRPr="000F1C56">
        <w:rPr>
          <w:rFonts w:ascii="Verdana" w:eastAsia="Calibri" w:hAnsi="Verdana" w:cs="Arial"/>
          <w:sz w:val="20"/>
          <w:lang w:eastAsia="es-ES"/>
        </w:rPr>
        <w:t xml:space="preserve">)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 </w:t>
      </w:r>
    </w:p>
    <w:p w14:paraId="6D091393" w14:textId="77777777" w:rsidR="000F1C56" w:rsidRPr="000F1C56" w:rsidRDefault="000F1C56" w:rsidP="000F1C56">
      <w:pPr>
        <w:spacing w:after="0" w:line="240" w:lineRule="auto"/>
        <w:jc w:val="both"/>
        <w:rPr>
          <w:rFonts w:ascii="Verdana" w:eastAsia="Calibri" w:hAnsi="Verdana" w:cs="Arial"/>
          <w:sz w:val="20"/>
          <w:lang w:eastAsia="es-ES"/>
        </w:rPr>
      </w:pPr>
    </w:p>
    <w:p w14:paraId="00067607" w14:textId="77777777" w:rsidR="000F1C56" w:rsidRPr="000F1C56" w:rsidRDefault="000F1C56" w:rsidP="000F1C56">
      <w:pPr>
        <w:spacing w:after="0" w:line="240" w:lineRule="auto"/>
        <w:jc w:val="both"/>
        <w:rPr>
          <w:rFonts w:ascii="Verdana" w:eastAsia="Calibri" w:hAnsi="Verdana" w:cs="Arial"/>
          <w:sz w:val="20"/>
          <w:lang w:eastAsia="es-ES"/>
        </w:rPr>
      </w:pPr>
      <w:r w:rsidRPr="000F1C56">
        <w:rPr>
          <w:rFonts w:ascii="Verdana" w:eastAsia="Calibri" w:hAnsi="Verdana" w:cs="Arial"/>
          <w:sz w:val="20"/>
          <w:lang w:eastAsia="es-ES"/>
        </w:rPr>
        <w:t xml:space="preserve">Por tanto, en las manuales de contratación pueden establecer las modalidades como competitivas o abiertas a competencia, ya que en ellas tiene lugar la participación de varios proponentes en una fase pública de presentación de ofertas. Esto permite que todas las personas interesadas concurran al proceso en igualdad de condiciones y compitan en el mismo, sin perjuicio de criterios o exigencias diferenciales dispuestas por la ley para fortalecer determinado tipo de empresas, sujetos o mercado. </w:t>
      </w:r>
    </w:p>
    <w:p w14:paraId="63D6EC7A" w14:textId="77777777" w:rsidR="000F1C56" w:rsidRPr="000F1C56" w:rsidRDefault="000F1C56" w:rsidP="000F1C56">
      <w:pPr>
        <w:spacing w:after="0" w:line="240" w:lineRule="auto"/>
        <w:jc w:val="both"/>
        <w:rPr>
          <w:rFonts w:ascii="Verdana" w:eastAsia="Calibri" w:hAnsi="Verdana" w:cs="Arial"/>
          <w:sz w:val="20"/>
          <w:lang w:eastAsia="es-ES"/>
        </w:rPr>
      </w:pPr>
    </w:p>
    <w:p w14:paraId="5E97DD0D" w14:textId="4084E12C" w:rsidR="00B04B6A" w:rsidRPr="00B04B6A" w:rsidRDefault="00B04B6A" w:rsidP="00B04B6A">
      <w:pPr>
        <w:spacing w:after="0" w:line="276" w:lineRule="auto"/>
        <w:jc w:val="both"/>
        <w:rPr>
          <w:rFonts w:ascii="Verdana" w:eastAsia="Calibri" w:hAnsi="Verdana" w:cs="Arial"/>
          <w:b/>
          <w:lang w:val="es-ES" w:eastAsia="es-ES"/>
        </w:rPr>
      </w:pPr>
      <w:r w:rsidRPr="00B04B6A">
        <w:rPr>
          <w:rFonts w:ascii="Verdana" w:eastAsia="Calibri" w:hAnsi="Verdana" w:cs="Arial"/>
          <w:b/>
          <w:lang w:val="es-ES" w:eastAsia="es-ES"/>
        </w:rPr>
        <w:t xml:space="preserve">RÉGIMEN EXCEPCIONAL – Causales de Rechazo – Documentos del Proceso- Condiciones de Participación – Libre concurrencia – publicidad. </w:t>
      </w:r>
    </w:p>
    <w:p w14:paraId="582E9C65" w14:textId="77777777" w:rsidR="00B04B6A" w:rsidRPr="00B04B6A" w:rsidRDefault="00B04B6A" w:rsidP="004C37CC">
      <w:pPr>
        <w:spacing w:after="0"/>
        <w:rPr>
          <w:rFonts w:ascii="Verdana" w:hAnsi="Verdana"/>
          <w:lang w:val="es-ES"/>
        </w:rPr>
      </w:pPr>
    </w:p>
    <w:p w14:paraId="7C9A5476" w14:textId="77777777" w:rsidR="000F1C56" w:rsidRPr="000F1C56" w:rsidRDefault="000F1C56" w:rsidP="000F1C56">
      <w:pPr>
        <w:spacing w:after="0" w:line="240" w:lineRule="auto"/>
        <w:jc w:val="both"/>
        <w:rPr>
          <w:rFonts w:ascii="Verdana" w:hAnsi="Verdana"/>
          <w:sz w:val="20"/>
        </w:rPr>
      </w:pPr>
      <w:r w:rsidRPr="000F1C56">
        <w:rPr>
          <w:rFonts w:ascii="Verdana" w:hAnsi="Verdana"/>
          <w:sz w:val="20"/>
          <w:lang w:val="es-ES"/>
        </w:rPr>
        <w:t xml:space="preserve">En referencia a la regulación de causales de rechazo en procedimientos competitivos deben estar necesariamente nominadas en la Ley o en el pliego de condiciones, y no puede realizarse, frente a su redacción, ninguna interpretación extensiva. Por esta razón, si el Manual Interno de Contratación o el pliego de condiciones no establecen de manera literal una causal de rechazo, en los términos expuestos, no podrán rechazarse las propuestas. </w:t>
      </w:r>
      <w:r w:rsidRPr="000F1C56">
        <w:rPr>
          <w:rFonts w:ascii="Verdana" w:hAnsi="Verdana"/>
          <w:sz w:val="20"/>
        </w:rPr>
        <w:t xml:space="preserve">Por otra parte, es importante señalar que, los principios de la función </w:t>
      </w:r>
      <w:r w:rsidRPr="000F1C56">
        <w:rPr>
          <w:rFonts w:ascii="Verdana" w:hAnsi="Verdana"/>
          <w:sz w:val="20"/>
        </w:rPr>
        <w:lastRenderedPageBreak/>
        <w:t xml:space="preserve">administrativa son transversales a los procedimientos de selección, como la igualdad, imparcialidad y la moralidad. Esto implica que la selección de la oferta ganadora deba fundamentarse en factores objetivos, de carácter técnico, jurídico y financiero, y no en criterios subjetivos, como el afecto, la amistad, el ánimo de ayuda, el interés personal, animadversión, riesgo reputacional, entre otros. </w:t>
      </w:r>
    </w:p>
    <w:p w14:paraId="2FCCAE82" w14:textId="77777777" w:rsidR="000F1C56" w:rsidRDefault="000F1C56" w:rsidP="000F1C56">
      <w:pPr>
        <w:spacing w:after="0" w:line="240" w:lineRule="auto"/>
        <w:jc w:val="both"/>
        <w:rPr>
          <w:rFonts w:ascii="Verdana" w:hAnsi="Verdana"/>
          <w:sz w:val="20"/>
        </w:rPr>
      </w:pPr>
    </w:p>
    <w:p w14:paraId="47A73E9C" w14:textId="7E6625FF" w:rsidR="000F1C56" w:rsidRPr="000F1C56" w:rsidRDefault="000F1C56" w:rsidP="000F1C56">
      <w:pPr>
        <w:spacing w:after="0" w:line="240" w:lineRule="auto"/>
        <w:jc w:val="both"/>
        <w:rPr>
          <w:rFonts w:ascii="Verdana" w:hAnsi="Verdana"/>
          <w:sz w:val="20"/>
        </w:rPr>
      </w:pPr>
      <w:r w:rsidRPr="000F1C56">
        <w:rPr>
          <w:rFonts w:ascii="Verdana" w:hAnsi="Verdana"/>
          <w:sz w:val="20"/>
        </w:rPr>
        <w:t>En esta orientación, los principios de igualdad e imparcialidad en procedimientos competitivos están vinculados a la selección objetiva y la libre competencia, lo que implica que las entidades exceptuadas se abstengan de rechazar las ofertas por el incumplimiento de requisitos meramente formales, sacrificando la favorabilidad que podría representar la oferta que adolezca de estos defectos, si se permitiese su corrección. En otras palabras, la selección objetiva para las entidades de régimen especial está vinculada a la obligación que tienen las entidades estatales de establecer condiciones de participación ajustados a las necesidades del objeto, así como permitir la subsanación de los requisitos de participación, bajo los parámetros indicados en la ley o en el manual interno de contratación, antes de tomar la decisión de rechazar las propuestas que hayan omitido la observancia de requisitos no necesarios para la comparación de las ofertas.</w:t>
      </w:r>
      <w:r w:rsidRPr="000F1C56">
        <w:rPr>
          <w:rFonts w:ascii="Verdana" w:hAnsi="Verdana"/>
          <w:sz w:val="20"/>
          <w:lang w:val="es-ES"/>
        </w:rPr>
        <w:t xml:space="preserve"> </w:t>
      </w:r>
      <w:r w:rsidRPr="000F1C56">
        <w:rPr>
          <w:rFonts w:ascii="Verdana" w:hAnsi="Verdana"/>
          <w:bCs/>
          <w:sz w:val="20"/>
        </w:rPr>
        <w:t>En ese orden de ideas, el rechazo de las ofertas debe provenir entre otros factores, de la imposibilidad de hacer una escogencia favorable a la entidad estatal y a los fines que ella busca, que garantiza la libertad de competencia regulado en el artículo 333 constitucional.</w:t>
      </w:r>
      <w:r w:rsidRPr="000F1C56">
        <w:rPr>
          <w:rFonts w:ascii="Verdana" w:hAnsi="Verdana"/>
          <w:sz w:val="20"/>
        </w:rPr>
        <w:t xml:space="preserve"> </w:t>
      </w:r>
    </w:p>
    <w:p w14:paraId="47BDF23F" w14:textId="77777777" w:rsidR="000F1C56" w:rsidRDefault="000F1C56" w:rsidP="000F1C56">
      <w:pPr>
        <w:spacing w:after="0" w:line="240" w:lineRule="auto"/>
        <w:jc w:val="both"/>
        <w:rPr>
          <w:rFonts w:ascii="Verdana" w:hAnsi="Verdana"/>
          <w:bCs/>
          <w:sz w:val="20"/>
        </w:rPr>
      </w:pPr>
    </w:p>
    <w:p w14:paraId="7619B75E" w14:textId="39BDF71D" w:rsidR="000F1C56" w:rsidRPr="000F1C56" w:rsidRDefault="000F1C56" w:rsidP="000F1C56">
      <w:pPr>
        <w:spacing w:after="0" w:line="240" w:lineRule="auto"/>
        <w:jc w:val="both"/>
        <w:rPr>
          <w:rFonts w:ascii="Verdana" w:hAnsi="Verdana"/>
          <w:bCs/>
          <w:sz w:val="20"/>
        </w:rPr>
      </w:pPr>
      <w:r w:rsidRPr="000F1C56">
        <w:rPr>
          <w:rFonts w:ascii="Verdana" w:hAnsi="Verdana"/>
          <w:bCs/>
          <w:sz w:val="20"/>
        </w:rPr>
        <w:t xml:space="preserve">Así mismo, dichas actuaciones y decisiones en torno a la condiciones de participación, causales de rechazo y demás aspectos contractuales deben publicarse, sin incluir ninguna excepción relacionada con la naturaleza u objeto contractual, como lo dispone el artículo 53 de la Ley 2195 de 2022 que modificó el artículo 13 de la Ley 1150 de 2007, que exige que se publiquen en el SECOP II todo documento expedido durante las diferentes etapas del proceso contractual, abarcando desde la fase previa a su celebración, pasando por la ejecución y hasta la fase posterior a su ejecución, sin perjuicio de las reservas de acceso a la información. Esto permite que los diferentes oferentes y demás sujetos interesados en el proceso de contratación puedan conocer las actuaciones y decisiones de la Administración, y garantizar así el derecho de contradicción. </w:t>
      </w:r>
    </w:p>
    <w:p w14:paraId="539C830A" w14:textId="2057C93A" w:rsidR="000F1C56" w:rsidRPr="000F1C56" w:rsidRDefault="000F1C56" w:rsidP="000F1C56">
      <w:pPr>
        <w:spacing w:after="0" w:line="240" w:lineRule="auto"/>
        <w:jc w:val="both"/>
        <w:rPr>
          <w:rFonts w:ascii="Verdana" w:hAnsi="Verdana"/>
          <w:bCs/>
          <w:sz w:val="20"/>
        </w:rPr>
      </w:pPr>
      <w:r w:rsidRPr="000F1C56">
        <w:rPr>
          <w:rFonts w:ascii="Verdana" w:hAnsi="Verdana"/>
          <w:bCs/>
          <w:sz w:val="20"/>
        </w:rPr>
        <w:tab/>
      </w:r>
      <w:r w:rsidRPr="000F1C56">
        <w:rPr>
          <w:rFonts w:ascii="Verdana" w:hAnsi="Verdana"/>
          <w:bCs/>
          <w:sz w:val="20"/>
          <w:lang w:val="es-ES"/>
        </w:rPr>
        <w:t xml:space="preserve"> </w:t>
      </w:r>
    </w:p>
    <w:p w14:paraId="328686F1" w14:textId="77777777" w:rsidR="00B04B6A" w:rsidRDefault="00B04B6A" w:rsidP="004C37CC">
      <w:pPr>
        <w:spacing w:after="0"/>
        <w:rPr>
          <w:rFonts w:ascii="Verdana" w:hAnsi="Verdana"/>
        </w:rPr>
      </w:pPr>
    </w:p>
    <w:p w14:paraId="209E2FF4" w14:textId="17A1BB3D" w:rsidR="00B04B6A" w:rsidRDefault="00B04B6A" w:rsidP="004C37CC">
      <w:pPr>
        <w:spacing w:after="0"/>
        <w:rPr>
          <w:rFonts w:ascii="Verdana" w:hAnsi="Verdana"/>
        </w:rPr>
      </w:pPr>
    </w:p>
    <w:p w14:paraId="3298CE03" w14:textId="3D0743FC" w:rsidR="000F1C56" w:rsidRDefault="000F1C56" w:rsidP="004C37CC">
      <w:pPr>
        <w:spacing w:after="0"/>
        <w:rPr>
          <w:rFonts w:ascii="Verdana" w:hAnsi="Verdana"/>
        </w:rPr>
      </w:pPr>
    </w:p>
    <w:p w14:paraId="5AC7DC55" w14:textId="3CCCBAD9" w:rsidR="000F1C56" w:rsidRDefault="000F1C56" w:rsidP="004C37CC">
      <w:pPr>
        <w:spacing w:after="0"/>
        <w:rPr>
          <w:rFonts w:ascii="Verdana" w:hAnsi="Verdana"/>
        </w:rPr>
      </w:pPr>
    </w:p>
    <w:p w14:paraId="1528E848" w14:textId="122C66E9" w:rsidR="000F1C56" w:rsidRDefault="000F1C56" w:rsidP="004C37CC">
      <w:pPr>
        <w:spacing w:after="0"/>
        <w:rPr>
          <w:rFonts w:ascii="Verdana" w:hAnsi="Verdana"/>
        </w:rPr>
      </w:pPr>
    </w:p>
    <w:p w14:paraId="4C74B2DD" w14:textId="1426A83F" w:rsidR="000F1C56" w:rsidRDefault="000F1C56" w:rsidP="004C37CC">
      <w:pPr>
        <w:spacing w:after="0"/>
        <w:rPr>
          <w:rFonts w:ascii="Verdana" w:hAnsi="Verdana"/>
        </w:rPr>
      </w:pPr>
    </w:p>
    <w:p w14:paraId="2A112FBC" w14:textId="27E9C6B1" w:rsidR="000F1C56" w:rsidRDefault="000F1C56" w:rsidP="004C37CC">
      <w:pPr>
        <w:spacing w:after="0"/>
        <w:rPr>
          <w:rFonts w:ascii="Verdana" w:hAnsi="Verdana"/>
        </w:rPr>
      </w:pPr>
    </w:p>
    <w:p w14:paraId="4E78460C" w14:textId="1C2A3BB5" w:rsidR="000F1C56" w:rsidRDefault="000F1C56" w:rsidP="004C37CC">
      <w:pPr>
        <w:spacing w:after="0"/>
        <w:rPr>
          <w:rFonts w:ascii="Verdana" w:hAnsi="Verdana"/>
        </w:rPr>
      </w:pPr>
    </w:p>
    <w:p w14:paraId="1B413D96" w14:textId="7CBF3DD5" w:rsidR="000F1C56" w:rsidRDefault="000F1C56" w:rsidP="004C37CC">
      <w:pPr>
        <w:spacing w:after="0"/>
        <w:rPr>
          <w:rFonts w:ascii="Verdana" w:hAnsi="Verdana"/>
        </w:rPr>
      </w:pPr>
    </w:p>
    <w:p w14:paraId="4FB409DE" w14:textId="37FD829F" w:rsidR="000F1C56" w:rsidRDefault="000F1C56" w:rsidP="004C37CC">
      <w:pPr>
        <w:spacing w:after="0"/>
        <w:rPr>
          <w:rFonts w:ascii="Verdana" w:hAnsi="Verdana"/>
        </w:rPr>
      </w:pPr>
    </w:p>
    <w:p w14:paraId="1388D88B" w14:textId="3D3FC196" w:rsidR="000F1C56" w:rsidRDefault="000F1C56" w:rsidP="004C37CC">
      <w:pPr>
        <w:spacing w:after="0"/>
        <w:rPr>
          <w:rFonts w:ascii="Verdana" w:hAnsi="Verdana"/>
        </w:rPr>
      </w:pPr>
    </w:p>
    <w:p w14:paraId="36FDD4C4" w14:textId="1A6829AA" w:rsidR="000F1C56" w:rsidRDefault="000F1C56" w:rsidP="004C37CC">
      <w:pPr>
        <w:spacing w:after="0"/>
        <w:rPr>
          <w:rFonts w:ascii="Verdana" w:hAnsi="Verdana"/>
        </w:rPr>
      </w:pPr>
    </w:p>
    <w:p w14:paraId="0500B6BA" w14:textId="756A70B3" w:rsidR="004C37CC" w:rsidRPr="0044528D" w:rsidRDefault="00B818C3" w:rsidP="004C37CC">
      <w:pPr>
        <w:spacing w:after="0"/>
        <w:rPr>
          <w:rFonts w:ascii="Verdana" w:hAnsi="Verdana"/>
        </w:rPr>
      </w:pPr>
      <w:r w:rsidRPr="00B818C3">
        <w:rPr>
          <w:rFonts w:ascii="Verdana" w:hAnsi="Verdana"/>
          <w:noProof/>
          <w:lang w:val="en-US"/>
        </w:rPr>
        <w:lastRenderedPageBreak/>
        <w:drawing>
          <wp:anchor distT="0" distB="0" distL="114300" distR="114300" simplePos="0" relativeHeight="251658240" behindDoc="0" locked="0" layoutInCell="1" allowOverlap="1" wp14:anchorId="1751CD6A" wp14:editId="35AE3AF0">
            <wp:simplePos x="0" y="0"/>
            <wp:positionH relativeFrom="margin">
              <wp:align>right</wp:align>
            </wp:positionH>
            <wp:positionV relativeFrom="paragraph">
              <wp:posOffset>0</wp:posOffset>
            </wp:positionV>
            <wp:extent cx="2825115" cy="780415"/>
            <wp:effectExtent l="0" t="0" r="0" b="63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5115" cy="780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4B6A">
        <w:rPr>
          <w:rFonts w:ascii="Verdana" w:hAnsi="Verdana"/>
        </w:rPr>
        <w:t xml:space="preserve">Bogotá D.C., 14 </w:t>
      </w:r>
      <w:r>
        <w:rPr>
          <w:rFonts w:ascii="Verdana" w:hAnsi="Verdana"/>
        </w:rPr>
        <w:t>de agosto de 2025</w:t>
      </w:r>
    </w:p>
    <w:p w14:paraId="076EAE0D" w14:textId="4DE8C215" w:rsidR="004C37CC" w:rsidRPr="0094448B" w:rsidRDefault="004C37CC" w:rsidP="004C37CC">
      <w:pPr>
        <w:spacing w:after="0"/>
        <w:rPr>
          <w:rFonts w:ascii="Verdana" w:hAnsi="Verdana"/>
        </w:rPr>
      </w:pPr>
    </w:p>
    <w:p w14:paraId="3C17F034" w14:textId="5DFCC135" w:rsidR="004C37CC" w:rsidRPr="0094448B" w:rsidRDefault="004C37CC" w:rsidP="004C37CC">
      <w:pPr>
        <w:spacing w:after="0" w:line="240" w:lineRule="auto"/>
        <w:jc w:val="both"/>
        <w:rPr>
          <w:rFonts w:ascii="Verdana" w:hAnsi="Verdana" w:cs="Arial"/>
          <w:bCs/>
          <w:lang w:val="es-ES" w:eastAsia="es-ES" w:bidi="es-ES"/>
        </w:rPr>
      </w:pPr>
    </w:p>
    <w:p w14:paraId="7D66DFAA" w14:textId="77777777" w:rsidR="004C37CC" w:rsidRPr="0094448B" w:rsidRDefault="004C37CC" w:rsidP="004C37CC">
      <w:pPr>
        <w:widowControl w:val="0"/>
        <w:autoSpaceDE w:val="0"/>
        <w:autoSpaceDN w:val="0"/>
        <w:spacing w:after="0" w:line="266" w:lineRule="exact"/>
        <w:rPr>
          <w:rFonts w:ascii="Verdana" w:eastAsia="Verdana" w:hAnsi="Verdana" w:cs="Verdana"/>
          <w:lang w:val="es-ES"/>
        </w:rPr>
      </w:pPr>
      <w:r w:rsidRPr="0094448B">
        <w:rPr>
          <w:rFonts w:ascii="Verdana" w:eastAsia="Verdana" w:hAnsi="Verdana" w:cs="Verdana"/>
          <w:spacing w:val="-2"/>
          <w:lang w:val="es-ES"/>
        </w:rPr>
        <w:t>Señor</w:t>
      </w:r>
    </w:p>
    <w:p w14:paraId="6E9F88B9" w14:textId="77777777" w:rsidR="004C37CC" w:rsidRPr="0094448B" w:rsidRDefault="004C37CC" w:rsidP="004C37CC">
      <w:pPr>
        <w:widowControl w:val="0"/>
        <w:autoSpaceDE w:val="0"/>
        <w:autoSpaceDN w:val="0"/>
        <w:spacing w:after="0" w:line="266" w:lineRule="exact"/>
        <w:outlineLvl w:val="0"/>
        <w:rPr>
          <w:rFonts w:ascii="Verdana" w:eastAsia="Verdana" w:hAnsi="Verdana" w:cs="Verdana"/>
          <w:b/>
          <w:bCs/>
          <w:lang w:val="es-ES"/>
        </w:rPr>
      </w:pPr>
      <w:r w:rsidRPr="0094448B">
        <w:rPr>
          <w:rFonts w:ascii="Verdana" w:eastAsia="Verdana" w:hAnsi="Verdana" w:cs="Verdana"/>
          <w:b/>
          <w:bCs/>
          <w:lang w:val="es-ES"/>
        </w:rPr>
        <w:t>Sebastián Morales Torres</w:t>
      </w:r>
    </w:p>
    <w:p w14:paraId="794D06BB" w14:textId="77777777" w:rsidR="004C37CC" w:rsidRPr="0094448B" w:rsidRDefault="004C37CC" w:rsidP="004C37CC">
      <w:pPr>
        <w:spacing w:after="0" w:line="240" w:lineRule="auto"/>
        <w:jc w:val="both"/>
        <w:rPr>
          <w:rFonts w:ascii="Verdana" w:hAnsi="Verdana" w:cs="Arial"/>
          <w:bCs/>
          <w:lang w:eastAsia="es-ES" w:bidi="es-ES"/>
        </w:rPr>
      </w:pPr>
      <w:hyperlink r:id="rId12" w:history="1">
        <w:r w:rsidRPr="0094448B">
          <w:rPr>
            <w:rFonts w:ascii="Verdana" w:hAnsi="Verdana" w:cs="Arial"/>
            <w:bCs/>
            <w:color w:val="0000FF"/>
            <w:u w:val="single"/>
            <w:lang w:eastAsia="es-ES" w:bidi="es-ES"/>
          </w:rPr>
          <w:t>sebastiantorres95@hotmail.com</w:t>
        </w:r>
      </w:hyperlink>
      <w:r w:rsidRPr="0094448B">
        <w:rPr>
          <w:rFonts w:ascii="Verdana" w:hAnsi="Verdana" w:cs="Arial"/>
          <w:bCs/>
          <w:lang w:eastAsia="es-ES" w:bidi="es-ES"/>
        </w:rPr>
        <w:t xml:space="preserve"> </w:t>
      </w:r>
    </w:p>
    <w:p w14:paraId="1B0838EF" w14:textId="77777777" w:rsidR="004C37CC" w:rsidRPr="0094448B" w:rsidRDefault="004C37CC" w:rsidP="004C37CC">
      <w:pPr>
        <w:widowControl w:val="0"/>
        <w:autoSpaceDE w:val="0"/>
        <w:autoSpaceDN w:val="0"/>
        <w:spacing w:before="5" w:after="0" w:line="237" w:lineRule="auto"/>
        <w:ind w:right="5055"/>
        <w:rPr>
          <w:rFonts w:ascii="Verdana" w:eastAsia="Verdana" w:hAnsi="Verdana" w:cs="Verdana"/>
          <w:lang w:val="es-ES"/>
        </w:rPr>
      </w:pPr>
      <w:r w:rsidRPr="0094448B">
        <w:rPr>
          <w:rFonts w:ascii="Verdana" w:eastAsia="Verdana" w:hAnsi="Verdana" w:cs="Verdana"/>
          <w:lang w:val="es-ES"/>
        </w:rPr>
        <w:t xml:space="preserve">Bogotá D.C. </w:t>
      </w:r>
    </w:p>
    <w:p w14:paraId="257CEC30" w14:textId="77777777" w:rsidR="004C37CC" w:rsidRPr="0094448B" w:rsidRDefault="004C37CC" w:rsidP="004C37CC">
      <w:pPr>
        <w:spacing w:after="0" w:line="240" w:lineRule="auto"/>
        <w:jc w:val="both"/>
        <w:rPr>
          <w:rFonts w:ascii="Verdana" w:hAnsi="Verdana" w:cs="Arial"/>
          <w:b/>
          <w:bCs/>
          <w:lang w:val="es-ES_tradnl" w:eastAsia="es-ES" w:bidi="es-ES"/>
        </w:rPr>
      </w:pPr>
    </w:p>
    <w:p w14:paraId="447DAC3A" w14:textId="77777777" w:rsidR="004C37CC" w:rsidRPr="0094448B" w:rsidRDefault="004C37CC" w:rsidP="004C37CC">
      <w:pPr>
        <w:spacing w:after="0" w:line="240" w:lineRule="auto"/>
        <w:jc w:val="both"/>
        <w:rPr>
          <w:rFonts w:ascii="Verdana" w:hAnsi="Verdana" w:cs="Arial"/>
          <w:b/>
          <w:bCs/>
          <w:lang w:val="es-ES_tradnl" w:eastAsia="es-ES" w:bidi="es-ES"/>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4C37CC" w:rsidRPr="0094448B" w14:paraId="5D397EC9" w14:textId="77777777" w:rsidTr="009C41F8">
        <w:trPr>
          <w:trHeight w:val="884"/>
        </w:trPr>
        <w:tc>
          <w:tcPr>
            <w:tcW w:w="2689" w:type="dxa"/>
          </w:tcPr>
          <w:p w14:paraId="24450F27" w14:textId="77777777" w:rsidR="004C37CC" w:rsidRPr="0094448B" w:rsidRDefault="004C37CC" w:rsidP="009C41F8">
            <w:pPr>
              <w:jc w:val="both"/>
              <w:rPr>
                <w:rFonts w:ascii="Verdana" w:hAnsi="Verdana" w:cs="Arial"/>
                <w:b/>
                <w:bCs/>
                <w:lang w:val="es-ES_tradnl" w:eastAsia="es-ES" w:bidi="es-ES"/>
              </w:rPr>
            </w:pPr>
          </w:p>
        </w:tc>
        <w:tc>
          <w:tcPr>
            <w:tcW w:w="6242" w:type="dxa"/>
          </w:tcPr>
          <w:p w14:paraId="08631C18" w14:textId="77777777" w:rsidR="004C37CC" w:rsidRPr="0094448B" w:rsidRDefault="004C37CC" w:rsidP="009C41F8">
            <w:pPr>
              <w:jc w:val="both"/>
              <w:rPr>
                <w:rFonts w:ascii="Verdana" w:hAnsi="Verdana" w:cs="Arial"/>
                <w:b/>
                <w:bCs/>
                <w:lang w:val="es-MX" w:eastAsia="es-ES" w:bidi="es-ES"/>
              </w:rPr>
            </w:pPr>
            <w:r w:rsidRPr="0094448B">
              <w:rPr>
                <w:rFonts w:ascii="Verdana" w:hAnsi="Verdana" w:cs="Arial"/>
                <w:b/>
                <w:bCs/>
                <w:lang w:val="es-MX" w:eastAsia="es-ES" w:bidi="es-ES"/>
              </w:rPr>
              <w:t>Concepto C- 879 de 2025</w:t>
            </w:r>
          </w:p>
        </w:tc>
      </w:tr>
      <w:tr w:rsidR="004C37CC" w:rsidRPr="0094448B" w14:paraId="2A6A0F62" w14:textId="77777777" w:rsidTr="009C41F8">
        <w:trPr>
          <w:trHeight w:val="884"/>
        </w:trPr>
        <w:tc>
          <w:tcPr>
            <w:tcW w:w="2689" w:type="dxa"/>
          </w:tcPr>
          <w:p w14:paraId="01C1DC76" w14:textId="77777777" w:rsidR="004C37CC" w:rsidRPr="0094448B" w:rsidRDefault="004C37CC" w:rsidP="009C41F8">
            <w:pPr>
              <w:spacing w:line="276" w:lineRule="auto"/>
              <w:jc w:val="both"/>
              <w:rPr>
                <w:rFonts w:ascii="Verdana" w:hAnsi="Verdana" w:cs="Arial"/>
                <w:bCs/>
                <w:lang w:val="es-MX" w:eastAsia="es-ES" w:bidi="es-ES"/>
              </w:rPr>
            </w:pPr>
            <w:r w:rsidRPr="0094448B">
              <w:rPr>
                <w:rFonts w:ascii="Verdana" w:hAnsi="Verdana" w:cs="Arial"/>
                <w:bCs/>
                <w:lang w:val="es-MX" w:eastAsia="es-ES" w:bidi="es-ES"/>
              </w:rPr>
              <w:t xml:space="preserve">Temas:                   </w:t>
            </w:r>
          </w:p>
        </w:tc>
        <w:tc>
          <w:tcPr>
            <w:tcW w:w="6242" w:type="dxa"/>
          </w:tcPr>
          <w:p w14:paraId="05333C84" w14:textId="77777777" w:rsidR="004C37CC" w:rsidRPr="0094448B" w:rsidRDefault="004C37CC" w:rsidP="009C41F8">
            <w:pPr>
              <w:spacing w:line="276" w:lineRule="auto"/>
              <w:jc w:val="both"/>
              <w:rPr>
                <w:rFonts w:ascii="Verdana" w:eastAsia="Calibri" w:hAnsi="Verdana" w:cs="Arial"/>
                <w:lang w:val="es-ES" w:eastAsia="es-ES"/>
              </w:rPr>
            </w:pPr>
            <w:r w:rsidRPr="0094448B">
              <w:rPr>
                <w:rFonts w:ascii="Verdana" w:eastAsia="Calibri" w:hAnsi="Verdana" w:cs="Arial"/>
                <w:lang w:val="es-ES" w:eastAsia="es-ES"/>
              </w:rPr>
              <w:t xml:space="preserve">CONTRATO ESTATAL – Régimen jurídico / RÉGIMEN EXCEPCIONAL – Justificación – Criterios de clasificación </w:t>
            </w:r>
            <w:r w:rsidRPr="0094448B">
              <w:rPr>
                <w:rFonts w:ascii="Verdana" w:eastAsia="Arial MT" w:hAnsi="Verdana" w:cs="Arial MT"/>
                <w:lang w:val="es-ES"/>
              </w:rPr>
              <w:t>SOCIEDAD DE ECONOMÍA MIXTA – Naturaleza jurídica / SOCIEDAD DE ECONOMÍA MIXTA - Régimen contractual /</w:t>
            </w:r>
            <w:r w:rsidRPr="0094448B">
              <w:rPr>
                <w:rFonts w:ascii="Verdana" w:eastAsia="Calibri" w:hAnsi="Verdana" w:cs="Arial"/>
                <w:lang w:val="es-ES" w:eastAsia="es-ES"/>
              </w:rPr>
              <w:t xml:space="preserve"> MANUALES DE CONTRATACIÓN – Alcance – Límites – Obligatoriedad /</w:t>
            </w:r>
            <w:r w:rsidRPr="0094448B">
              <w:rPr>
                <w:rFonts w:ascii="Verdana" w:eastAsia="Arial MT" w:hAnsi="Verdana" w:cs="Arial MT"/>
                <w:lang w:val="es-ES"/>
              </w:rPr>
              <w:t xml:space="preserve"> PRINCIPIOS DE LA FUNCIÓN ADMINISTRATIVA – Aplicación – Criterios Metodológicos- Entidades de régimen especial </w:t>
            </w:r>
            <w:r w:rsidRPr="0094448B">
              <w:rPr>
                <w:rFonts w:ascii="Verdana" w:eastAsia="Calibri" w:hAnsi="Verdana" w:cs="Arial"/>
                <w:lang w:val="es-ES" w:eastAsia="es-ES"/>
              </w:rPr>
              <w:t xml:space="preserve">/ PRINCIPIOS DE LA FUNCIÓN ADMINISTRATIVA – Procedimientos Competitivos – Procedimientos no Competitivos / RÉGIMEN EXCEPCIONAL – Causales de Rechazo – Documentos del Proceso- Condiciones de Participación – Libre concurrencia – publicidad. </w:t>
            </w:r>
          </w:p>
          <w:p w14:paraId="19A5366D" w14:textId="77777777" w:rsidR="004C37CC" w:rsidRPr="0094448B" w:rsidRDefault="004C37CC" w:rsidP="009C41F8">
            <w:pPr>
              <w:spacing w:line="276" w:lineRule="auto"/>
              <w:jc w:val="both"/>
              <w:rPr>
                <w:rFonts w:ascii="Verdana" w:hAnsi="Verdana" w:cs="Arial"/>
                <w:bCs/>
                <w:lang w:val="es-MX" w:eastAsia="es-ES" w:bidi="es-ES"/>
              </w:rPr>
            </w:pPr>
          </w:p>
          <w:p w14:paraId="7225ACFB" w14:textId="77777777" w:rsidR="004C37CC" w:rsidRPr="0094448B" w:rsidRDefault="004C37CC" w:rsidP="009C41F8">
            <w:pPr>
              <w:spacing w:line="276" w:lineRule="auto"/>
              <w:jc w:val="both"/>
              <w:rPr>
                <w:rFonts w:ascii="Verdana" w:hAnsi="Verdana" w:cs="Arial"/>
                <w:bCs/>
                <w:lang w:val="es-MX" w:eastAsia="es-ES" w:bidi="es-ES"/>
              </w:rPr>
            </w:pPr>
          </w:p>
        </w:tc>
      </w:tr>
      <w:tr w:rsidR="004C37CC" w:rsidRPr="0094448B" w14:paraId="63CFB5DC" w14:textId="77777777" w:rsidTr="009C41F8">
        <w:tc>
          <w:tcPr>
            <w:tcW w:w="2689" w:type="dxa"/>
          </w:tcPr>
          <w:p w14:paraId="41DCFDF0" w14:textId="77777777" w:rsidR="004C37CC" w:rsidRPr="0094448B" w:rsidRDefault="004C37CC" w:rsidP="009C41F8">
            <w:pPr>
              <w:jc w:val="both"/>
              <w:rPr>
                <w:rFonts w:ascii="Verdana" w:hAnsi="Verdana" w:cs="Arial"/>
                <w:bCs/>
                <w:lang w:val="es-MX" w:eastAsia="es-ES" w:bidi="es-ES"/>
              </w:rPr>
            </w:pPr>
            <w:r w:rsidRPr="0094448B">
              <w:rPr>
                <w:rFonts w:ascii="Verdana" w:hAnsi="Verdana" w:cs="Arial"/>
                <w:bCs/>
                <w:lang w:val="es-MX" w:eastAsia="es-ES" w:bidi="es-ES"/>
              </w:rPr>
              <w:t xml:space="preserve">Radicación:               </w:t>
            </w:r>
          </w:p>
        </w:tc>
        <w:tc>
          <w:tcPr>
            <w:tcW w:w="6242" w:type="dxa"/>
          </w:tcPr>
          <w:p w14:paraId="5606CA23" w14:textId="77777777" w:rsidR="004C37CC" w:rsidRPr="0094448B" w:rsidRDefault="004C37CC" w:rsidP="009C41F8">
            <w:pPr>
              <w:jc w:val="both"/>
              <w:rPr>
                <w:rFonts w:ascii="Verdana" w:hAnsi="Verdana" w:cs="Arial"/>
                <w:bCs/>
                <w:lang w:val="es-MX" w:eastAsia="es-ES" w:bidi="es-ES"/>
              </w:rPr>
            </w:pPr>
            <w:r w:rsidRPr="0094448B">
              <w:rPr>
                <w:rFonts w:ascii="Verdana" w:hAnsi="Verdana" w:cs="Arial"/>
                <w:bCs/>
                <w:lang w:val="es-MX" w:eastAsia="es-ES" w:bidi="es-ES"/>
              </w:rPr>
              <w:t xml:space="preserve">Respuesta a consulta con radicado No. </w:t>
            </w:r>
            <w:r w:rsidRPr="0094448B">
              <w:rPr>
                <w:rFonts w:ascii="Verdana" w:hAnsi="Verdana" w:cs="Arial"/>
                <w:bCs/>
                <w:lang w:eastAsia="es-ES" w:bidi="es-ES"/>
              </w:rPr>
              <w:t>PQR digital No. 1_2025_07_03_006660</w:t>
            </w:r>
          </w:p>
          <w:p w14:paraId="5D857469" w14:textId="77777777" w:rsidR="004C37CC" w:rsidRPr="0094448B" w:rsidRDefault="004C37CC" w:rsidP="009C41F8">
            <w:pPr>
              <w:jc w:val="both"/>
              <w:rPr>
                <w:rFonts w:ascii="Verdana" w:hAnsi="Verdana" w:cs="Arial"/>
                <w:bCs/>
                <w:lang w:val="es-MX" w:eastAsia="es-ES" w:bidi="es-ES"/>
              </w:rPr>
            </w:pPr>
          </w:p>
        </w:tc>
      </w:tr>
    </w:tbl>
    <w:p w14:paraId="3280B155" w14:textId="77777777" w:rsidR="004C37CC" w:rsidRPr="0094448B" w:rsidRDefault="004C37CC" w:rsidP="004C37CC">
      <w:pPr>
        <w:spacing w:after="0" w:line="240" w:lineRule="auto"/>
        <w:jc w:val="both"/>
        <w:rPr>
          <w:rFonts w:ascii="Verdana" w:hAnsi="Verdana" w:cs="Arial"/>
          <w:bCs/>
          <w:lang w:val="es-ES_tradnl" w:eastAsia="es-ES" w:bidi="es-ES"/>
        </w:rPr>
      </w:pPr>
    </w:p>
    <w:p w14:paraId="0E1FDFC0" w14:textId="77777777" w:rsidR="004C37CC" w:rsidRPr="0094448B" w:rsidRDefault="004C37CC" w:rsidP="004C37CC">
      <w:pPr>
        <w:spacing w:after="0" w:line="240" w:lineRule="auto"/>
        <w:jc w:val="both"/>
        <w:rPr>
          <w:rFonts w:ascii="Verdana" w:hAnsi="Verdana" w:cs="Arial"/>
          <w:bCs/>
          <w:lang w:val="es-MX" w:eastAsia="es-ES" w:bidi="es-ES"/>
        </w:rPr>
      </w:pPr>
      <w:r w:rsidRPr="0094448B">
        <w:rPr>
          <w:rFonts w:ascii="Verdana" w:hAnsi="Verdana" w:cs="Arial"/>
          <w:bCs/>
          <w:lang w:val="es-MX" w:eastAsia="es-ES" w:bidi="es-ES"/>
        </w:rPr>
        <w:t xml:space="preserve">Estimado Señor Sebastián: </w:t>
      </w:r>
    </w:p>
    <w:p w14:paraId="77D7825E" w14:textId="77777777" w:rsidR="004C37CC" w:rsidRPr="0094448B" w:rsidRDefault="004C37CC" w:rsidP="004C37CC">
      <w:pPr>
        <w:spacing w:after="0" w:line="240" w:lineRule="auto"/>
        <w:jc w:val="both"/>
        <w:rPr>
          <w:rFonts w:ascii="Verdana" w:hAnsi="Verdana" w:cs="Arial"/>
          <w:bCs/>
          <w:lang w:val="es-ES" w:eastAsia="es-ES" w:bidi="es-ES"/>
        </w:rPr>
      </w:pPr>
      <w:r w:rsidRPr="0094448B">
        <w:rPr>
          <w:rFonts w:ascii="Verdana" w:hAnsi="Verdana" w:cs="Arial"/>
          <w:bCs/>
          <w:lang w:val="es-ES" w:eastAsia="es-ES" w:bidi="es-ES"/>
        </w:rPr>
        <w:tab/>
      </w:r>
    </w:p>
    <w:p w14:paraId="21B14424" w14:textId="77777777" w:rsidR="004C37CC" w:rsidRPr="0094448B" w:rsidRDefault="004C37CC" w:rsidP="004C37CC">
      <w:pPr>
        <w:spacing w:after="0" w:line="276" w:lineRule="auto"/>
        <w:jc w:val="both"/>
        <w:rPr>
          <w:rFonts w:ascii="Verdana" w:hAnsi="Verdana" w:cs="Arial"/>
          <w:bCs/>
          <w:lang w:val="es-ES" w:eastAsia="es-ES" w:bidi="es-ES"/>
        </w:rPr>
      </w:pPr>
      <w:r w:rsidRPr="0094448B">
        <w:rPr>
          <w:rFonts w:ascii="Verdana" w:hAnsi="Verdana" w:cs="Arial"/>
          <w:bCs/>
          <w:lang w:val="es-ES" w:eastAsia="es-ES" w:bidi="es-ES"/>
        </w:rPr>
        <w:t xml:space="preserve">En ejercicio de la competencia otorgada por los artículos 3, numeral 5º, y 11, numeral 8º, del Decreto Ley 4170 de 2011, </w:t>
      </w:r>
      <w:r w:rsidRPr="0094448B">
        <w:rPr>
          <w:rFonts w:ascii="Verdana" w:hAnsi="Verdana" w:cs="Arial"/>
          <w:bCs/>
          <w:lang w:eastAsia="es-ES" w:bidi="es-ES"/>
        </w:rPr>
        <w:t xml:space="preserve">así como lo establecido por la Resolución 469 de 2025 expedida por esta Entidad, </w:t>
      </w:r>
      <w:r w:rsidRPr="0094448B">
        <w:rPr>
          <w:rFonts w:ascii="Verdana" w:hAnsi="Verdana" w:cs="Arial"/>
          <w:bCs/>
          <w:lang w:val="es-ES" w:eastAsia="es-ES" w:bidi="es-ES"/>
        </w:rPr>
        <w:t xml:space="preserve">la Agencia Nacional de Contratación Pública – Colombia Compra Eficiente– responde su solicitud de consulta de fecha del 4 de julio, en la cual manifiesta: </w:t>
      </w:r>
    </w:p>
    <w:p w14:paraId="288FD373" w14:textId="77777777" w:rsidR="004C37CC" w:rsidRPr="0094448B" w:rsidRDefault="004C37CC" w:rsidP="004C37CC">
      <w:pPr>
        <w:spacing w:after="0" w:line="240" w:lineRule="auto"/>
        <w:jc w:val="both"/>
        <w:rPr>
          <w:rFonts w:ascii="Verdana" w:hAnsi="Verdana" w:cs="Arial"/>
          <w:b/>
          <w:bCs/>
          <w:lang w:val="es-ES" w:eastAsia="es-ES" w:bidi="es-ES"/>
        </w:rPr>
      </w:pPr>
    </w:p>
    <w:p w14:paraId="30AFA95C"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Cs/>
          <w:sz w:val="20"/>
          <w:lang w:val="es-ES" w:eastAsia="es-ES" w:bidi="es-ES"/>
        </w:rPr>
        <w:lastRenderedPageBreak/>
        <w:t>“</w:t>
      </w:r>
      <w:r w:rsidRPr="0094448B">
        <w:rPr>
          <w:rFonts w:ascii="Verdana" w:hAnsi="Verdana" w:cs="Arial"/>
          <w:b/>
          <w:bCs/>
          <w:sz w:val="20"/>
          <w:lang w:eastAsia="es-ES" w:bidi="es-ES"/>
        </w:rPr>
        <w:t>1.</w:t>
      </w:r>
      <w:r w:rsidRPr="0094448B">
        <w:rPr>
          <w:rFonts w:ascii="Verdana" w:hAnsi="Verdana" w:cs="Arial"/>
          <w:bCs/>
          <w:sz w:val="20"/>
          <w:lang w:eastAsia="es-ES" w:bidi="es-ES"/>
        </w:rPr>
        <w:t xml:space="preserve"> Indicar si una entidad pública sujeta al régimen especial propio de las sociedades de economía mixta no asimiladas al de las empresas industriales y comerciales del Estado, debe aplicar los principios de la función administrativa como garantía a la libre competencia. </w:t>
      </w:r>
    </w:p>
    <w:p w14:paraId="5E010C4E"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2. </w:t>
      </w:r>
      <w:r w:rsidRPr="0094448B">
        <w:rPr>
          <w:rFonts w:ascii="Verdana" w:hAnsi="Verdana" w:cs="Arial"/>
          <w:bCs/>
          <w:sz w:val="20"/>
          <w:lang w:eastAsia="es-ES" w:bidi="es-ES"/>
        </w:rPr>
        <w:t xml:space="preserve">Indicar qué alcance tiene la aplicación de dichos principios de la función administrativa en un proceso de contratación iniciado por una entidad de esta naturaleza. </w:t>
      </w:r>
    </w:p>
    <w:p w14:paraId="6941FD07"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3. </w:t>
      </w:r>
      <w:r w:rsidRPr="0094448B">
        <w:rPr>
          <w:rFonts w:ascii="Verdana" w:hAnsi="Verdana" w:cs="Arial"/>
          <w:bCs/>
          <w:sz w:val="20"/>
          <w:lang w:eastAsia="es-ES" w:bidi="es-ES"/>
        </w:rPr>
        <w:t xml:space="preserve">Indicar si a una entidad de esta naturaleza, le es aplicable el principio de selección objetiva. </w:t>
      </w:r>
    </w:p>
    <w:p w14:paraId="2394D694"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4. </w:t>
      </w:r>
      <w:r w:rsidRPr="0094448B">
        <w:rPr>
          <w:rFonts w:ascii="Verdana" w:hAnsi="Verdana" w:cs="Arial"/>
          <w:bCs/>
          <w:sz w:val="20"/>
          <w:lang w:eastAsia="es-ES" w:bidi="es-ES"/>
        </w:rPr>
        <w:t xml:space="preserve">Indicar cuáles deben ser los criterios, lineamientos y parámetros a ser fijados por una entidad de esta naturaleza, para definir una causal de rechazo de un proponente, en los pliegos de condiciones de un proceso de contratación. </w:t>
      </w:r>
    </w:p>
    <w:p w14:paraId="1FF8A7DC"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5. </w:t>
      </w:r>
      <w:r w:rsidRPr="0094448B">
        <w:rPr>
          <w:rFonts w:ascii="Verdana" w:hAnsi="Verdana" w:cs="Arial"/>
          <w:bCs/>
          <w:sz w:val="20"/>
          <w:lang w:eastAsia="es-ES" w:bidi="es-ES"/>
        </w:rPr>
        <w:t xml:space="preserve">Indicar cuáles son los criterios, lineamientos y parámetros que deben regular la forma en la que la entidad convocante va a calificar y comprobar, la existencia y procedencia de una excepción a la libre concurrencia. </w:t>
      </w:r>
    </w:p>
    <w:p w14:paraId="214C7053"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6.</w:t>
      </w:r>
      <w:r w:rsidRPr="0094448B">
        <w:rPr>
          <w:rFonts w:ascii="Verdana" w:hAnsi="Verdana" w:cs="Arial"/>
          <w:bCs/>
          <w:sz w:val="20"/>
          <w:lang w:eastAsia="es-ES" w:bidi="es-ES"/>
        </w:rPr>
        <w:t xml:space="preserve"> Indicar cómo y de qué forma se debe comunicar a los proponentes en un proceso de contratación, las excepciones a la libre concurrencia de proponentes que en un determinado proceso de contratación habrá, y la forma en la que se va a calificar y comprobar su existencia y procedencia. </w:t>
      </w:r>
    </w:p>
    <w:p w14:paraId="0C7DEBFC"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7. </w:t>
      </w:r>
      <w:r w:rsidRPr="0094448B">
        <w:rPr>
          <w:rFonts w:ascii="Verdana" w:hAnsi="Verdana" w:cs="Arial"/>
          <w:bCs/>
          <w:sz w:val="20"/>
          <w:lang w:eastAsia="es-ES" w:bidi="es-ES"/>
        </w:rPr>
        <w:t xml:space="preserve">Indicar si pueden existir causales de rechazo en los pliegos de condiciones de un proceso de contratación de esta naturaleza, basadas en criterios subjetivos como lo es el “riesgo reputacional”. </w:t>
      </w:r>
    </w:p>
    <w:p w14:paraId="55D2CF21"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8. </w:t>
      </w:r>
      <w:r w:rsidRPr="0094448B">
        <w:rPr>
          <w:rFonts w:ascii="Verdana" w:hAnsi="Verdana" w:cs="Arial"/>
          <w:bCs/>
          <w:sz w:val="20"/>
          <w:lang w:eastAsia="es-ES" w:bidi="es-ES"/>
        </w:rPr>
        <w:t xml:space="preserve">Indicar si una causal de rechazo prevista en los pliegos de condiciones de un proceso de contratación de esta </w:t>
      </w:r>
      <w:proofErr w:type="gramStart"/>
      <w:r w:rsidRPr="0094448B">
        <w:rPr>
          <w:rFonts w:ascii="Verdana" w:hAnsi="Verdana" w:cs="Arial"/>
          <w:bCs/>
          <w:sz w:val="20"/>
          <w:lang w:eastAsia="es-ES" w:bidi="es-ES"/>
        </w:rPr>
        <w:t>naturaleza,</w:t>
      </w:r>
      <w:proofErr w:type="gramEnd"/>
      <w:r w:rsidRPr="0094448B">
        <w:rPr>
          <w:rFonts w:ascii="Verdana" w:hAnsi="Verdana" w:cs="Arial"/>
          <w:bCs/>
          <w:sz w:val="20"/>
          <w:lang w:eastAsia="es-ES" w:bidi="es-ES"/>
        </w:rPr>
        <w:t xml:space="preserve"> puede entenderse procedente cuando su reconocimiento se da a partir de noticias o información contenida en canales de amplia circulación, a pesar de que no haya un pronunciamiento judicial o administrativo relacionado, en el caso de una causal de rechazo de “riesgo reputacional”. </w:t>
      </w:r>
    </w:p>
    <w:p w14:paraId="136101C1"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9. </w:t>
      </w:r>
      <w:r w:rsidRPr="0094448B">
        <w:rPr>
          <w:rFonts w:ascii="Verdana" w:hAnsi="Verdana" w:cs="Arial"/>
          <w:bCs/>
          <w:sz w:val="20"/>
          <w:lang w:eastAsia="es-ES" w:bidi="es-ES"/>
        </w:rPr>
        <w:t xml:space="preserve">Indicar si en el evento en el que se prevea una causal de rechazo de “riesgo reputacional” en un proceso de contratación de esta naturaleza, puede Colombia Compra Eficiente intervenir. </w:t>
      </w:r>
    </w:p>
    <w:p w14:paraId="0B8CF7A6"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10. </w:t>
      </w:r>
      <w:r w:rsidRPr="0094448B">
        <w:rPr>
          <w:rFonts w:ascii="Verdana" w:hAnsi="Verdana" w:cs="Arial"/>
          <w:bCs/>
          <w:sz w:val="20"/>
          <w:lang w:eastAsia="es-ES" w:bidi="es-ES"/>
        </w:rPr>
        <w:t xml:space="preserve">Indicar si en el evento en el que se prevea una causal de rechazo en un proceso de contratación de esta naturaleza, sin que esta cumpla con los parámetros de razonabilidad y proporcionalidad, objetivamente calificables y comprobables, conforme a los principios de la función administrativa, puede Colombia Compra Eficiente intervenir. </w:t>
      </w:r>
    </w:p>
    <w:p w14:paraId="3A054710"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11. </w:t>
      </w:r>
      <w:r w:rsidRPr="0094448B">
        <w:rPr>
          <w:rFonts w:ascii="Verdana" w:hAnsi="Verdana" w:cs="Arial"/>
          <w:bCs/>
          <w:sz w:val="20"/>
          <w:lang w:eastAsia="es-ES" w:bidi="es-ES"/>
        </w:rPr>
        <w:t xml:space="preserve">Indicar si puede resultar contrario a la libre competencia y a los principios de la función administrativa generar un acto de discriminación cuando no hay un pronunciamiento judicial, ni administrativo relacionado, ni una condena, sentencia o sanción administrativa. </w:t>
      </w:r>
    </w:p>
    <w:p w14:paraId="77840DA5" w14:textId="77777777" w:rsidR="004C37CC" w:rsidRPr="0094448B" w:rsidRDefault="004C37CC" w:rsidP="004C37CC">
      <w:pPr>
        <w:spacing w:after="0" w:line="240" w:lineRule="auto"/>
        <w:ind w:left="709" w:right="709"/>
        <w:jc w:val="both"/>
        <w:rPr>
          <w:rFonts w:ascii="Verdana" w:hAnsi="Verdana" w:cs="Arial"/>
          <w:bCs/>
          <w:sz w:val="20"/>
          <w:lang w:eastAsia="es-ES" w:bidi="es-ES"/>
        </w:rPr>
      </w:pPr>
      <w:r w:rsidRPr="0094448B">
        <w:rPr>
          <w:rFonts w:ascii="Verdana" w:hAnsi="Verdana" w:cs="Arial"/>
          <w:b/>
          <w:bCs/>
          <w:sz w:val="20"/>
          <w:lang w:eastAsia="es-ES" w:bidi="es-ES"/>
        </w:rPr>
        <w:t xml:space="preserve">12. </w:t>
      </w:r>
      <w:r w:rsidRPr="0094448B">
        <w:rPr>
          <w:rFonts w:ascii="Verdana" w:hAnsi="Verdana" w:cs="Arial"/>
          <w:bCs/>
          <w:sz w:val="20"/>
          <w:lang w:eastAsia="es-ES" w:bidi="es-ES"/>
        </w:rPr>
        <w:t xml:space="preserve">Indicar si una indebida aplicación de la procedencia de una causal de rechazo prevista en los pliegos de condiciones de un proceso de contratación de una entidad de esta </w:t>
      </w:r>
      <w:proofErr w:type="gramStart"/>
      <w:r w:rsidRPr="0094448B">
        <w:rPr>
          <w:rFonts w:ascii="Verdana" w:hAnsi="Verdana" w:cs="Arial"/>
          <w:bCs/>
          <w:sz w:val="20"/>
          <w:lang w:eastAsia="es-ES" w:bidi="es-ES"/>
        </w:rPr>
        <w:t>naturaleza,</w:t>
      </w:r>
      <w:proofErr w:type="gramEnd"/>
      <w:r w:rsidRPr="0094448B">
        <w:rPr>
          <w:rFonts w:ascii="Verdana" w:hAnsi="Verdana" w:cs="Arial"/>
          <w:bCs/>
          <w:sz w:val="20"/>
          <w:lang w:eastAsia="es-ES" w:bidi="es-ES"/>
        </w:rPr>
        <w:t xml:space="preserve"> puede genera una vulneración a la libre competencia y la moralidad administrativa”. </w:t>
      </w:r>
    </w:p>
    <w:p w14:paraId="200C752B" w14:textId="77777777" w:rsidR="004C37CC" w:rsidRPr="0094448B" w:rsidRDefault="004C37CC" w:rsidP="004C37CC">
      <w:pPr>
        <w:spacing w:after="0" w:line="240" w:lineRule="auto"/>
        <w:jc w:val="both"/>
        <w:rPr>
          <w:rFonts w:ascii="Verdana" w:hAnsi="Verdana" w:cs="Arial"/>
          <w:b/>
          <w:bCs/>
          <w:lang w:val="es-ES" w:eastAsia="es-ES" w:bidi="es-ES"/>
        </w:rPr>
      </w:pPr>
    </w:p>
    <w:p w14:paraId="18F7C0C6" w14:textId="77777777" w:rsidR="004C37CC" w:rsidRPr="0094448B" w:rsidRDefault="004C37CC" w:rsidP="004C37CC">
      <w:pPr>
        <w:spacing w:after="120" w:line="276" w:lineRule="auto"/>
        <w:ind w:firstLine="709"/>
        <w:jc w:val="both"/>
        <w:rPr>
          <w:rFonts w:ascii="Verdana" w:eastAsia="Calibri" w:hAnsi="Verdana" w:cs="Times New Roman"/>
          <w:lang w:val="es-ES"/>
        </w:rPr>
      </w:pPr>
      <w:r w:rsidRPr="0094448B">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3AB30B6" w14:textId="77777777" w:rsidR="004C37CC" w:rsidRPr="0094448B" w:rsidRDefault="004C37CC" w:rsidP="004C37CC">
      <w:pPr>
        <w:spacing w:after="0" w:line="276" w:lineRule="auto"/>
        <w:ind w:firstLine="708"/>
        <w:jc w:val="both"/>
        <w:rPr>
          <w:rFonts w:ascii="Verdana" w:eastAsia="Calibri" w:hAnsi="Verdana" w:cs="Times New Roman"/>
          <w:lang w:val="es-ES"/>
        </w:rPr>
      </w:pPr>
      <w:r w:rsidRPr="0094448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0978AC95" w14:textId="77777777" w:rsidR="004C37CC" w:rsidRPr="0094448B" w:rsidRDefault="004C37CC" w:rsidP="004C37CC">
      <w:pPr>
        <w:spacing w:after="0" w:line="256" w:lineRule="auto"/>
        <w:rPr>
          <w:rFonts w:ascii="Verdana" w:eastAsia="Calibri" w:hAnsi="Verdana" w:cs="Times New Roman"/>
          <w:lang w:val="es-ES"/>
        </w:rPr>
      </w:pPr>
    </w:p>
    <w:p w14:paraId="75818A58" w14:textId="77777777" w:rsidR="004C37CC" w:rsidRPr="0094448B" w:rsidRDefault="004C37CC" w:rsidP="004C37CC">
      <w:pPr>
        <w:numPr>
          <w:ilvl w:val="0"/>
          <w:numId w:val="19"/>
        </w:numPr>
        <w:spacing w:after="0" w:line="256" w:lineRule="auto"/>
        <w:contextualSpacing/>
        <w:rPr>
          <w:rFonts w:ascii="Verdana" w:eastAsia="Calibri" w:hAnsi="Verdana" w:cs="Times New Roman"/>
          <w:b/>
          <w:bCs/>
          <w:lang w:val="es-ES"/>
        </w:rPr>
      </w:pPr>
      <w:r w:rsidRPr="0094448B">
        <w:rPr>
          <w:rFonts w:ascii="Verdana" w:eastAsia="Calibri" w:hAnsi="Verdana" w:cs="Times New Roman"/>
          <w:b/>
          <w:bCs/>
          <w:lang w:val="es-ES"/>
        </w:rPr>
        <w:t>Problema planteado:</w:t>
      </w:r>
    </w:p>
    <w:p w14:paraId="05A55758" w14:textId="77777777" w:rsidR="004C37CC" w:rsidRPr="0094448B" w:rsidRDefault="004C37CC" w:rsidP="004C37CC">
      <w:pPr>
        <w:spacing w:after="0" w:line="256" w:lineRule="auto"/>
        <w:rPr>
          <w:rFonts w:ascii="Verdana" w:eastAsia="Calibri" w:hAnsi="Verdana" w:cs="Times New Roman"/>
        </w:rPr>
      </w:pPr>
    </w:p>
    <w:p w14:paraId="33148ABC" w14:textId="77777777" w:rsidR="004C37CC" w:rsidRPr="0094448B" w:rsidRDefault="004C37CC" w:rsidP="004C37CC">
      <w:pPr>
        <w:spacing w:after="0" w:line="276" w:lineRule="auto"/>
        <w:jc w:val="both"/>
        <w:rPr>
          <w:rFonts w:ascii="Verdana" w:eastAsia="Calibri" w:hAnsi="Verdana" w:cs="Times New Roman"/>
          <w:bCs/>
        </w:rPr>
      </w:pPr>
      <w:r w:rsidRPr="0094448B">
        <w:rPr>
          <w:rFonts w:ascii="Verdana" w:eastAsia="Calibri" w:hAnsi="Verdana" w:cs="Times New Roman"/>
        </w:rPr>
        <w:t xml:space="preserve">De acuerdo con el contenido de sus solicitudes, esta Agencia procede a condensarlas en los siguientes problemas jurídicos: i) ¿Cuál es el alcance de los principios de función administrativa en los procesos que adelantan contratación en las sociedades de economía mixta y si de ello se deriva la libre competencia y la selección objetiva?; </w:t>
      </w:r>
      <w:proofErr w:type="spellStart"/>
      <w:r w:rsidRPr="0094448B">
        <w:rPr>
          <w:rFonts w:ascii="Verdana" w:eastAsia="Calibri" w:hAnsi="Verdana" w:cs="Times New Roman"/>
        </w:rPr>
        <w:t>ii</w:t>
      </w:r>
      <w:proofErr w:type="spellEnd"/>
      <w:r w:rsidRPr="0094448B">
        <w:rPr>
          <w:rFonts w:ascii="Verdana" w:eastAsia="Calibri" w:hAnsi="Verdana" w:cs="Times New Roman"/>
        </w:rPr>
        <w:t xml:space="preserve">) ¿Cuáles deben ser los criterios, lineamientos o condiciones que debe establecer una sociedad de economía mixta para determinar causales de rechazo y condiciones de participación en los procesos de contratación que adelanta?; </w:t>
      </w:r>
      <w:proofErr w:type="spellStart"/>
      <w:r w:rsidRPr="0094448B">
        <w:rPr>
          <w:rFonts w:ascii="Verdana" w:eastAsia="Calibri" w:hAnsi="Verdana" w:cs="Times New Roman"/>
        </w:rPr>
        <w:t>iii</w:t>
      </w:r>
      <w:proofErr w:type="spellEnd"/>
      <w:r w:rsidRPr="0094448B">
        <w:rPr>
          <w:rFonts w:ascii="Verdana" w:eastAsia="Calibri" w:hAnsi="Verdana" w:cs="Times New Roman"/>
        </w:rPr>
        <w:t xml:space="preserve">) ¿Es procedente dentro de los procesos de contratación establecer excepciones a la libre concurrencia </w:t>
      </w:r>
      <w:r w:rsidRPr="0094448B">
        <w:rPr>
          <w:rFonts w:ascii="Verdana" w:eastAsia="Calibri" w:hAnsi="Verdana" w:cs="Times New Roman"/>
          <w:bCs/>
        </w:rPr>
        <w:t xml:space="preserve">en los pliegos de condiciones de un proceso de contratación o los documentos que hagan sus veces? </w:t>
      </w:r>
      <w:proofErr w:type="spellStart"/>
      <w:r w:rsidRPr="0094448B">
        <w:rPr>
          <w:rFonts w:ascii="Verdana" w:eastAsia="Calibri" w:hAnsi="Verdana" w:cs="Times New Roman"/>
          <w:bCs/>
        </w:rPr>
        <w:t>iv</w:t>
      </w:r>
      <w:proofErr w:type="spellEnd"/>
      <w:r w:rsidRPr="0094448B">
        <w:rPr>
          <w:rFonts w:ascii="Verdana" w:eastAsia="Calibri" w:hAnsi="Verdana" w:cs="Times New Roman"/>
          <w:bCs/>
        </w:rPr>
        <w:t>) ¿La Agencia Nacional de Contratación Pública – Colombia Compra Eficiente- tiene la competencia de intervenir</w:t>
      </w:r>
      <w:r>
        <w:rPr>
          <w:rFonts w:ascii="Verdana" w:eastAsia="Calibri" w:hAnsi="Verdana" w:cs="Times New Roman"/>
          <w:bCs/>
        </w:rPr>
        <w:t>?</w:t>
      </w:r>
    </w:p>
    <w:p w14:paraId="361B17E1" w14:textId="77777777" w:rsidR="004C37CC" w:rsidRPr="0094448B" w:rsidRDefault="004C37CC" w:rsidP="004C37CC">
      <w:pPr>
        <w:spacing w:after="0" w:line="276" w:lineRule="auto"/>
        <w:jc w:val="both"/>
        <w:rPr>
          <w:rFonts w:ascii="Verdana" w:eastAsia="Calibri" w:hAnsi="Verdana" w:cs="Times New Roman"/>
          <w:bCs/>
        </w:rPr>
      </w:pPr>
    </w:p>
    <w:p w14:paraId="486FD473" w14:textId="4881C686" w:rsidR="004C37CC" w:rsidRDefault="004C37CC" w:rsidP="004C37CC">
      <w:pPr>
        <w:spacing w:after="0" w:line="276" w:lineRule="auto"/>
        <w:jc w:val="both"/>
        <w:rPr>
          <w:rFonts w:ascii="Verdana" w:eastAsia="Calibri" w:hAnsi="Verdana" w:cs="Times New Roman"/>
          <w:bCs/>
        </w:rPr>
      </w:pPr>
    </w:p>
    <w:p w14:paraId="35A9E0A4" w14:textId="77777777" w:rsidR="0002470C" w:rsidRPr="0094448B" w:rsidRDefault="0002470C" w:rsidP="004C37CC">
      <w:pPr>
        <w:spacing w:after="0" w:line="276" w:lineRule="auto"/>
        <w:jc w:val="both"/>
        <w:rPr>
          <w:rFonts w:ascii="Verdana" w:eastAsia="Calibri" w:hAnsi="Verdana" w:cs="Times New Roman"/>
          <w:bCs/>
        </w:rPr>
      </w:pPr>
    </w:p>
    <w:p w14:paraId="05362516" w14:textId="77777777" w:rsidR="004C37CC" w:rsidRPr="0094448B" w:rsidRDefault="004C37CC" w:rsidP="004C37CC">
      <w:pPr>
        <w:numPr>
          <w:ilvl w:val="0"/>
          <w:numId w:val="19"/>
        </w:numPr>
        <w:spacing w:after="0" w:line="256" w:lineRule="auto"/>
        <w:contextualSpacing/>
        <w:rPr>
          <w:rFonts w:ascii="Verdana" w:eastAsia="Calibri" w:hAnsi="Verdana" w:cs="Times New Roman"/>
          <w:b/>
          <w:bCs/>
          <w:lang w:val="es-ES"/>
        </w:rPr>
      </w:pPr>
      <w:r w:rsidRPr="0094448B">
        <w:rPr>
          <w:rFonts w:ascii="Verdana" w:eastAsia="Calibri" w:hAnsi="Verdana" w:cs="Times New Roman"/>
          <w:b/>
          <w:bCs/>
          <w:lang w:val="es-ES"/>
        </w:rPr>
        <w:lastRenderedPageBreak/>
        <w:t>Respuesta:</w:t>
      </w:r>
    </w:p>
    <w:p w14:paraId="09396049" w14:textId="77777777" w:rsidR="004C37CC" w:rsidRPr="0094448B" w:rsidRDefault="004C37CC" w:rsidP="004C37CC">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37CC" w:rsidRPr="0094448B" w14:paraId="1478322F" w14:textId="77777777" w:rsidTr="33BA07F5">
        <w:trPr>
          <w:trHeight w:val="870"/>
          <w:jc w:val="center"/>
        </w:trPr>
        <w:tc>
          <w:tcPr>
            <w:tcW w:w="8647" w:type="dxa"/>
          </w:tcPr>
          <w:p w14:paraId="792F9932" w14:textId="77777777" w:rsidR="004C37CC" w:rsidRPr="0094448B" w:rsidRDefault="004C37CC" w:rsidP="009C41F8">
            <w:pPr>
              <w:spacing w:line="276" w:lineRule="auto"/>
              <w:jc w:val="both"/>
              <w:rPr>
                <w:rFonts w:ascii="Verdana" w:hAnsi="Verdana" w:cs="Arial"/>
                <w:lang w:eastAsia="es-ES"/>
              </w:rPr>
            </w:pPr>
            <w:r w:rsidRPr="0094448B">
              <w:rPr>
                <w:rFonts w:ascii="Verdana" w:hAnsi="Verdana" w:cs="Arial"/>
                <w:lang w:eastAsia="es-ES"/>
              </w:rPr>
              <w:t>De acuerdo con los problemas jurídicos, objeto de consulta, se expresa:</w:t>
            </w:r>
          </w:p>
          <w:p w14:paraId="32151AB6" w14:textId="77777777" w:rsidR="004C37CC" w:rsidRPr="0094448B" w:rsidRDefault="004C37CC" w:rsidP="009C41F8">
            <w:pPr>
              <w:spacing w:line="276" w:lineRule="auto"/>
              <w:jc w:val="both"/>
              <w:rPr>
                <w:rFonts w:ascii="Verdana" w:hAnsi="Verdana" w:cs="Arial"/>
                <w:lang w:eastAsia="es-ES"/>
              </w:rPr>
            </w:pPr>
          </w:p>
          <w:p w14:paraId="6EAE8238" w14:textId="77777777" w:rsidR="004C37CC" w:rsidRPr="0094448B" w:rsidRDefault="004C37CC" w:rsidP="009C41F8">
            <w:pPr>
              <w:widowControl w:val="0"/>
              <w:autoSpaceDE w:val="0"/>
              <w:autoSpaceDN w:val="0"/>
              <w:spacing w:after="120" w:line="276" w:lineRule="auto"/>
              <w:jc w:val="both"/>
              <w:rPr>
                <w:rFonts w:ascii="Verdana" w:eastAsia="Verdana" w:hAnsi="Verdana" w:cs="Verdana"/>
              </w:rPr>
            </w:pPr>
            <w:r w:rsidRPr="0094448B">
              <w:rPr>
                <w:rFonts w:ascii="Verdana" w:eastAsia="Verdana" w:hAnsi="Verdana" w:cs="Verdana"/>
                <w:lang w:val="es-ES"/>
              </w:rPr>
              <w:t xml:space="preserve">i. En esta perspectiva, se destaca que los principios de la función administrativa </w:t>
            </w:r>
            <w:r w:rsidRPr="0094448B">
              <w:rPr>
                <w:rFonts w:ascii="Verdana" w:eastAsia="Verdana" w:hAnsi="Verdana" w:cs="Verdana"/>
              </w:rPr>
              <w:t xml:space="preserve">como la igualdad, moralidad, eficacia, economía, celeridad, imparcialidad y publicidad; así como los principios de la gestión fiscal, como eficiencia, economía, equidad y valoración de costos ambientales, son una guía metodológica, para la actuación de las entidades sometidas al EGCAP, y merecen un análisis especial en relación con las entidades exceptuadas. En esta línea, los principios de la función administrativa y los de la gestión fiscal no prescriben una conducta, sino que buscan el cumplimiento de un fin, por lo que las entidades de régimen </w:t>
            </w:r>
            <w:proofErr w:type="gramStart"/>
            <w:r w:rsidRPr="0094448B">
              <w:rPr>
                <w:rFonts w:ascii="Verdana" w:eastAsia="Verdana" w:hAnsi="Verdana" w:cs="Verdana"/>
              </w:rPr>
              <w:t>especial,</w:t>
            </w:r>
            <w:proofErr w:type="gramEnd"/>
            <w:r w:rsidRPr="0094448B">
              <w:rPr>
                <w:rFonts w:ascii="Verdana" w:eastAsia="Verdana" w:hAnsi="Verdana" w:cs="Verdana"/>
              </w:rPr>
              <w:t xml:space="preserve"> pueden escoger entre una variedad de alternativas para el cumplimiento de estos, por lo que no implica que deban sujetarse a la forma cómo está regulado en el EGCAP.</w:t>
            </w:r>
          </w:p>
          <w:p w14:paraId="37C690D6" w14:textId="77777777" w:rsidR="004C37CC" w:rsidRPr="0094448B" w:rsidRDefault="004C37CC" w:rsidP="009C41F8">
            <w:pPr>
              <w:widowControl w:val="0"/>
              <w:autoSpaceDE w:val="0"/>
              <w:autoSpaceDN w:val="0"/>
              <w:spacing w:after="120" w:line="276" w:lineRule="auto"/>
              <w:jc w:val="both"/>
              <w:rPr>
                <w:rFonts w:ascii="Verdana" w:eastAsia="Verdana" w:hAnsi="Verdana" w:cs="Verdana"/>
                <w:lang w:val="es-ES"/>
              </w:rPr>
            </w:pPr>
            <w:r w:rsidRPr="0094448B">
              <w:rPr>
                <w:rFonts w:ascii="Verdana" w:eastAsia="Verdana" w:hAnsi="Verdana" w:cs="Verdana"/>
              </w:rPr>
              <w:tab/>
              <w:t xml:space="preserve">En este entorno, la aplicación de los principios de la función administrativa en los manuales internos de </w:t>
            </w:r>
            <w:proofErr w:type="gramStart"/>
            <w:r w:rsidRPr="0094448B">
              <w:rPr>
                <w:rFonts w:ascii="Verdana" w:eastAsia="Verdana" w:hAnsi="Verdana" w:cs="Verdana"/>
              </w:rPr>
              <w:t>contratación,</w:t>
            </w:r>
            <w:proofErr w:type="gramEnd"/>
            <w:r w:rsidRPr="0094448B">
              <w:rPr>
                <w:rFonts w:ascii="Verdana" w:eastAsia="Verdana" w:hAnsi="Verdana" w:cs="Verdana"/>
              </w:rPr>
              <w:t xml:space="preserve"> se materializa en los procesos de contratación que adelante la sociedad de economía mixta. A modo de orientación, se destaca que en el caso del</w:t>
            </w:r>
            <w:r w:rsidRPr="0094448B">
              <w:rPr>
                <w:rFonts w:ascii="Verdana" w:eastAsia="Verdana" w:hAnsi="Verdana" w:cs="Verdana"/>
                <w:lang w:val="es-ES"/>
              </w:rPr>
              <w:t xml:space="preserve"> principio de igualdad es un derecho fundamental, prescrito en el artículo 13 constitucional, que regula que las personas nacen libres e iguales ante la ley, siendo obligación del Estado protegerlas sin discriminación. En igual sentido, el numeral 2° del artículo 3 de la Ley 1437 de 2011 </w:t>
            </w:r>
            <w:r w:rsidRPr="0094448B">
              <w:rPr>
                <w:rFonts w:ascii="Verdana" w:eastAsia="Verdana" w:hAnsi="Verdana" w:cs="Verdana"/>
                <w:lang w:val="es-ES"/>
              </w:rPr>
              <w:noBreakHyphen/>
              <w:t>Código de Procedimiento Administrativo y de lo Contencioso Administrativo</w:t>
            </w:r>
            <w:r w:rsidRPr="0094448B">
              <w:rPr>
                <w:rFonts w:ascii="Verdana" w:eastAsia="Verdana" w:hAnsi="Verdana" w:cs="Verdana"/>
                <w:lang w:val="es-ES"/>
              </w:rPr>
              <w:noBreakHyphen/>
              <w:t xml:space="preserve"> en adelante CPACA, establece: “[…] </w:t>
            </w:r>
            <w:r w:rsidRPr="0094448B">
              <w:rPr>
                <w:rFonts w:ascii="Verdana" w:eastAsia="Verdana" w:hAnsi="Verdana" w:cs="Verdana"/>
              </w:rPr>
              <w:t xml:space="preserve">las autoridades darán el mismo trato y protección a las personas e instituciones que intervengan en las actuaciones bajo su conocimiento. No obstante, serán objeto de trato y protección especial las personas que por su condición económica, física o mental se encuentran en circunstancias de debilidad manifiesta”. </w:t>
            </w:r>
          </w:p>
          <w:p w14:paraId="57AF2A32" w14:textId="77777777" w:rsidR="004C37CC" w:rsidRPr="0094448B" w:rsidRDefault="004C37CC" w:rsidP="009C41F8">
            <w:pPr>
              <w:shd w:val="clear" w:color="auto" w:fill="FFFFFF"/>
              <w:spacing w:after="120" w:line="276" w:lineRule="auto"/>
              <w:ind w:firstLine="709"/>
              <w:jc w:val="both"/>
              <w:rPr>
                <w:rFonts w:ascii="Verdana" w:eastAsia="Times New Roman" w:hAnsi="Verdana" w:cs="Times New Roman"/>
                <w:color w:val="000000"/>
                <w:lang w:val="es-ES" w:eastAsia="es-CO"/>
              </w:rPr>
            </w:pPr>
            <w:r w:rsidRPr="0094448B">
              <w:rPr>
                <w:rFonts w:ascii="Verdana" w:eastAsia="Times New Roman" w:hAnsi="Verdana" w:cs="Times New Roman"/>
                <w:color w:val="000000"/>
                <w:lang w:eastAsia="es-CO"/>
              </w:rPr>
              <w:t>El principio de igualdad en la participación en los procesos de contratación debe garantizarse en el pliego de condiciones o el documento que haga sus veces, por parte de la sociedad economía mixta. Esta entidad debe establecer criterios que se consideren razonables y proporcionales, atendiendo a las particularidades del sector económico al que pertenecen. Al respecto, puede destacarse que este principio también está relacionado con el principio constitucional de la función administrativa como es la imparcialidad, que consiste en que</w:t>
            </w:r>
            <w:r w:rsidRPr="0094448B">
              <w:rPr>
                <w:rFonts w:ascii="Verdana" w:eastAsia="Times New Roman" w:hAnsi="Verdana" w:cs="Times New Roman"/>
                <w:color w:val="000000"/>
                <w:lang w:val="es-ES" w:eastAsia="es-CO"/>
              </w:rPr>
              <w:t xml:space="preserve">: “[…] las autoridades deberán actuar </w:t>
            </w:r>
            <w:r w:rsidRPr="0094448B">
              <w:rPr>
                <w:rFonts w:ascii="Verdana" w:eastAsia="Times New Roman" w:hAnsi="Verdana" w:cs="Times New Roman"/>
                <w:color w:val="000000"/>
                <w:lang w:val="es-ES" w:eastAsia="es-CO"/>
              </w:rPr>
              <w:lastRenderedPageBreak/>
              <w:t xml:space="preserve">teniendo en cuenta que la finalidad de los procedimientos consiste en asegurar y garantizar los derechos de todas las personas sin discriminación alguna y sin tener en consideración factores de afecto o de interés y, en general, cualquier clase de motivación subjetiva”. La imparcialidad como principio se relaciona con la igualdad de trato, lo cual se constata en decisiones objetivas, públicas, serias y razonables que toman las entidades en la estructuración del pliego de condiciones o el documento que haga sus veces, con el fin de seleccionar y celebrar el contrato. </w:t>
            </w:r>
          </w:p>
          <w:p w14:paraId="75F2B2CD" w14:textId="77777777" w:rsidR="004C37CC" w:rsidRPr="0094448B" w:rsidRDefault="004C37CC" w:rsidP="009C41F8">
            <w:pPr>
              <w:shd w:val="clear" w:color="auto" w:fill="FFFFFF"/>
              <w:spacing w:after="120" w:line="276" w:lineRule="auto"/>
              <w:ind w:firstLine="709"/>
              <w:jc w:val="both"/>
              <w:rPr>
                <w:rFonts w:ascii="Verdana" w:eastAsia="Times New Roman" w:hAnsi="Verdana" w:cs="Times New Roman"/>
                <w:color w:val="000000"/>
                <w:lang w:val="es-ES" w:eastAsia="es-CO"/>
              </w:rPr>
            </w:pPr>
            <w:r w:rsidRPr="0094448B">
              <w:rPr>
                <w:rFonts w:ascii="Verdana" w:eastAsia="Times New Roman" w:hAnsi="Verdana" w:cs="Times New Roman"/>
                <w:color w:val="000000"/>
                <w:lang w:val="es-ES" w:eastAsia="es-CO"/>
              </w:rPr>
              <w:t xml:space="preserve">Ahora bien, para </w:t>
            </w:r>
            <w:r w:rsidRPr="0094448B">
              <w:rPr>
                <w:rFonts w:ascii="Verdana" w:eastAsia="Arial" w:hAnsi="Verdana" w:cs="Arial"/>
                <w:color w:val="000000"/>
              </w:rPr>
              <w:t xml:space="preserve">garantizar la igualdad e imparcialidad como principios de la función administrativa, hay que recordar que están vinculados a la selección objetiva. En otras palabras, en el momento de adelantar un proceso de contratación –competitivo o no competitivo- una entidad de régimen especial debe garantizar que la selección objetiva, sea una concreción de los principios de la función administrativa, como la igualdad, moralidad, imparcialidad, entre otros. </w:t>
            </w:r>
          </w:p>
          <w:p w14:paraId="7AC25F3A" w14:textId="77777777" w:rsidR="004C37CC" w:rsidRPr="0094448B" w:rsidRDefault="004C37CC" w:rsidP="009C41F8">
            <w:pPr>
              <w:tabs>
                <w:tab w:val="left" w:pos="1749"/>
              </w:tabs>
              <w:spacing w:after="120" w:line="276" w:lineRule="auto"/>
              <w:jc w:val="both"/>
              <w:rPr>
                <w:rFonts w:ascii="Verdana" w:hAnsi="Verdana" w:cs="Arial"/>
                <w:lang w:val="es-ES" w:eastAsia="es-ES"/>
              </w:rPr>
            </w:pPr>
            <w:r>
              <w:rPr>
                <w:rFonts w:ascii="Verdana" w:hAnsi="Verdana" w:cs="Arial"/>
                <w:lang w:val="es-ES" w:eastAsia="es-ES"/>
              </w:rPr>
              <w:tab/>
            </w:r>
          </w:p>
          <w:p w14:paraId="0DCC1E8C" w14:textId="77777777" w:rsidR="004C37CC" w:rsidRPr="0094448B" w:rsidRDefault="004C37CC" w:rsidP="009C41F8">
            <w:pPr>
              <w:widowControl w:val="0"/>
              <w:autoSpaceDE w:val="0"/>
              <w:autoSpaceDN w:val="0"/>
              <w:spacing w:after="120" w:line="276" w:lineRule="auto"/>
              <w:jc w:val="both"/>
              <w:rPr>
                <w:rFonts w:ascii="Verdana" w:eastAsia="Verdana" w:hAnsi="Verdana" w:cs="Verdana"/>
                <w:lang w:val="es-ES"/>
              </w:rPr>
            </w:pPr>
            <w:proofErr w:type="spellStart"/>
            <w:r w:rsidRPr="0094448B">
              <w:rPr>
                <w:rFonts w:ascii="Verdana" w:hAnsi="Verdana" w:cs="Arial"/>
                <w:lang w:val="es-ES" w:eastAsia="es-ES"/>
              </w:rPr>
              <w:t>ii</w:t>
            </w:r>
            <w:proofErr w:type="spellEnd"/>
            <w:r w:rsidRPr="0094448B">
              <w:rPr>
                <w:rFonts w:ascii="Verdana" w:hAnsi="Verdana" w:cs="Arial"/>
                <w:lang w:val="es-ES" w:eastAsia="es-ES"/>
              </w:rPr>
              <w:t xml:space="preserve">. Para establecer los criterios, condiciones o lineamientos </w:t>
            </w:r>
            <w:r w:rsidRPr="0094448B">
              <w:rPr>
                <w:rFonts w:ascii="Verdana" w:hAnsi="Verdana" w:cs="Arial"/>
                <w:lang w:eastAsia="es-ES"/>
              </w:rPr>
              <w:t xml:space="preserve">para determinar causales de rechazo y condiciones de participación en los procesos de contratación cabe </w:t>
            </w:r>
            <w:r w:rsidRPr="0094448B">
              <w:rPr>
                <w:rFonts w:ascii="Verdana" w:eastAsia="Verdana" w:hAnsi="Verdana" w:cs="Verdana"/>
                <w:lang w:val="es-ES"/>
              </w:rPr>
              <w:t>resaltar, que existen ciertos contenidos determinados por el ordenamiento que no pueden modificarse por los manuales internos o en los pliegos de condiciones definidos por las sociedades de economía mixta, por tratarse de asuntos con reserva de ley. En este sentido, estos reglamentos internos, así como los pliegos de condiciones de las sociedades de economía mixta no pueden crear causales de inhabilidad o incompatibilidad, crear nuevos supuestos de conflictos de interés, limitar la capacidad contractual establecida en la ley, entre otros aspectos. En efecto, estos contenidos no pueden modificarse o regularse por</w:t>
            </w:r>
            <w:r w:rsidRPr="0094448B">
              <w:rPr>
                <w:rFonts w:ascii="Verdana" w:eastAsia="Verdana" w:hAnsi="Verdana" w:cs="Verdana"/>
                <w:spacing w:val="-16"/>
                <w:lang w:val="es-ES"/>
              </w:rPr>
              <w:t xml:space="preserve"> </w:t>
            </w:r>
            <w:r w:rsidRPr="0094448B">
              <w:rPr>
                <w:rFonts w:ascii="Verdana" w:eastAsia="Verdana" w:hAnsi="Verdana" w:cs="Verdana"/>
                <w:lang w:val="es-ES"/>
              </w:rPr>
              <w:t>los</w:t>
            </w:r>
            <w:r w:rsidRPr="0094448B">
              <w:rPr>
                <w:rFonts w:ascii="Verdana" w:eastAsia="Verdana" w:hAnsi="Verdana" w:cs="Verdana"/>
                <w:spacing w:val="-16"/>
                <w:lang w:val="es-ES"/>
              </w:rPr>
              <w:t xml:space="preserve"> </w:t>
            </w:r>
            <w:r w:rsidRPr="0094448B">
              <w:rPr>
                <w:rFonts w:ascii="Verdana" w:eastAsia="Verdana" w:hAnsi="Verdana" w:cs="Verdana"/>
                <w:lang w:val="es-ES"/>
              </w:rPr>
              <w:t>manuales</w:t>
            </w:r>
            <w:r w:rsidRPr="0094448B">
              <w:rPr>
                <w:rFonts w:ascii="Verdana" w:eastAsia="Verdana" w:hAnsi="Verdana" w:cs="Verdana"/>
                <w:spacing w:val="-15"/>
                <w:lang w:val="es-ES"/>
              </w:rPr>
              <w:t xml:space="preserve"> </w:t>
            </w:r>
            <w:r w:rsidRPr="0094448B">
              <w:rPr>
                <w:rFonts w:ascii="Verdana" w:eastAsia="Verdana" w:hAnsi="Verdana" w:cs="Verdana"/>
                <w:lang w:val="es-ES"/>
              </w:rPr>
              <w:t>de</w:t>
            </w:r>
            <w:r w:rsidRPr="0094448B">
              <w:rPr>
                <w:rFonts w:ascii="Verdana" w:eastAsia="Verdana" w:hAnsi="Verdana" w:cs="Verdana"/>
                <w:spacing w:val="-16"/>
                <w:lang w:val="es-ES"/>
              </w:rPr>
              <w:t xml:space="preserve"> </w:t>
            </w:r>
            <w:r w:rsidRPr="0094448B">
              <w:rPr>
                <w:rFonts w:ascii="Verdana" w:eastAsia="Verdana" w:hAnsi="Verdana" w:cs="Verdana"/>
                <w:lang w:val="es-ES"/>
              </w:rPr>
              <w:t>contratación ni por los pliegos de condiciones, puesto que se trata de</w:t>
            </w:r>
            <w:r w:rsidRPr="0094448B">
              <w:rPr>
                <w:rFonts w:ascii="Verdana" w:eastAsia="Verdana" w:hAnsi="Verdana" w:cs="Verdana"/>
                <w:spacing w:val="-17"/>
                <w:lang w:val="es-ES"/>
              </w:rPr>
              <w:t xml:space="preserve"> </w:t>
            </w:r>
            <w:r w:rsidRPr="0094448B">
              <w:rPr>
                <w:rFonts w:ascii="Verdana" w:eastAsia="Verdana" w:hAnsi="Verdana" w:cs="Verdana"/>
                <w:lang w:val="es-ES"/>
              </w:rPr>
              <w:t>materias con</w:t>
            </w:r>
            <w:r w:rsidRPr="0094448B">
              <w:rPr>
                <w:rFonts w:ascii="Verdana" w:eastAsia="Verdana" w:hAnsi="Verdana" w:cs="Verdana"/>
                <w:spacing w:val="-17"/>
                <w:lang w:val="es-ES"/>
              </w:rPr>
              <w:t xml:space="preserve"> </w:t>
            </w:r>
            <w:r w:rsidRPr="0094448B">
              <w:rPr>
                <w:rFonts w:ascii="Verdana" w:eastAsia="Verdana" w:hAnsi="Verdana" w:cs="Verdana"/>
                <w:lang w:val="es-ES"/>
              </w:rPr>
              <w:t>reserva</w:t>
            </w:r>
            <w:r w:rsidRPr="0094448B">
              <w:rPr>
                <w:rFonts w:ascii="Verdana" w:eastAsia="Verdana" w:hAnsi="Verdana" w:cs="Verdana"/>
                <w:spacing w:val="-15"/>
                <w:lang w:val="es-ES"/>
              </w:rPr>
              <w:t xml:space="preserve"> </w:t>
            </w:r>
            <w:r w:rsidRPr="0094448B">
              <w:rPr>
                <w:rFonts w:ascii="Verdana" w:eastAsia="Verdana" w:hAnsi="Verdana" w:cs="Verdana"/>
                <w:lang w:val="es-ES"/>
              </w:rPr>
              <w:t>de</w:t>
            </w:r>
            <w:r w:rsidRPr="0094448B">
              <w:rPr>
                <w:rFonts w:ascii="Verdana" w:eastAsia="Verdana" w:hAnsi="Verdana" w:cs="Verdana"/>
                <w:spacing w:val="-17"/>
                <w:lang w:val="es-ES"/>
              </w:rPr>
              <w:t xml:space="preserve"> </w:t>
            </w:r>
            <w:r w:rsidRPr="0094448B">
              <w:rPr>
                <w:rFonts w:ascii="Verdana" w:eastAsia="Verdana" w:hAnsi="Verdana" w:cs="Verdana"/>
                <w:lang w:val="es-ES"/>
              </w:rPr>
              <w:t>ley</w:t>
            </w:r>
            <w:r w:rsidRPr="0094448B">
              <w:rPr>
                <w:rFonts w:ascii="Verdana" w:eastAsia="Verdana" w:hAnsi="Verdana" w:cs="Verdana"/>
                <w:spacing w:val="-17"/>
                <w:lang w:val="es-ES"/>
              </w:rPr>
              <w:t xml:space="preserve"> </w:t>
            </w:r>
            <w:r w:rsidRPr="0094448B">
              <w:rPr>
                <w:rFonts w:ascii="Verdana" w:eastAsia="Verdana" w:hAnsi="Verdana" w:cs="Verdana"/>
                <w:lang w:val="es-ES"/>
              </w:rPr>
              <w:t>o</w:t>
            </w:r>
            <w:r w:rsidRPr="0094448B">
              <w:rPr>
                <w:rFonts w:ascii="Verdana" w:eastAsia="Verdana" w:hAnsi="Verdana" w:cs="Verdana"/>
                <w:spacing w:val="-17"/>
                <w:lang w:val="es-ES"/>
              </w:rPr>
              <w:t xml:space="preserve"> </w:t>
            </w:r>
            <w:r w:rsidRPr="0094448B">
              <w:rPr>
                <w:rFonts w:ascii="Verdana" w:eastAsia="Verdana" w:hAnsi="Verdana" w:cs="Verdana"/>
                <w:lang w:val="es-ES"/>
              </w:rPr>
              <w:t>con</w:t>
            </w:r>
            <w:r w:rsidRPr="0094448B">
              <w:rPr>
                <w:rFonts w:ascii="Verdana" w:eastAsia="Verdana" w:hAnsi="Verdana" w:cs="Verdana"/>
                <w:spacing w:val="-17"/>
                <w:lang w:val="es-ES"/>
              </w:rPr>
              <w:t xml:space="preserve"> </w:t>
            </w:r>
            <w:r w:rsidRPr="0094448B">
              <w:rPr>
                <w:rFonts w:ascii="Verdana" w:eastAsia="Verdana" w:hAnsi="Verdana" w:cs="Verdana"/>
                <w:lang w:val="es-ES"/>
              </w:rPr>
              <w:t>congelación</w:t>
            </w:r>
            <w:r w:rsidRPr="0094448B">
              <w:rPr>
                <w:rFonts w:ascii="Verdana" w:eastAsia="Verdana" w:hAnsi="Verdana" w:cs="Verdana"/>
                <w:spacing w:val="-14"/>
                <w:lang w:val="es-ES"/>
              </w:rPr>
              <w:t xml:space="preserve"> </w:t>
            </w:r>
            <w:r w:rsidRPr="0094448B">
              <w:rPr>
                <w:rFonts w:ascii="Verdana" w:eastAsia="Verdana" w:hAnsi="Verdana" w:cs="Verdana"/>
                <w:lang w:val="es-ES"/>
              </w:rPr>
              <w:t>en</w:t>
            </w:r>
            <w:r w:rsidRPr="0094448B">
              <w:rPr>
                <w:rFonts w:ascii="Verdana" w:eastAsia="Verdana" w:hAnsi="Verdana" w:cs="Verdana"/>
                <w:spacing w:val="-17"/>
                <w:lang w:val="es-ES"/>
              </w:rPr>
              <w:t xml:space="preserve"> </w:t>
            </w:r>
            <w:r w:rsidRPr="0094448B">
              <w:rPr>
                <w:rFonts w:ascii="Verdana" w:eastAsia="Verdana" w:hAnsi="Verdana" w:cs="Verdana"/>
                <w:lang w:val="es-ES"/>
              </w:rPr>
              <w:t>el</w:t>
            </w:r>
            <w:r w:rsidRPr="0094448B">
              <w:rPr>
                <w:rFonts w:ascii="Verdana" w:eastAsia="Verdana" w:hAnsi="Verdana" w:cs="Verdana"/>
                <w:spacing w:val="-17"/>
                <w:lang w:val="es-ES"/>
              </w:rPr>
              <w:t xml:space="preserve"> </w:t>
            </w:r>
            <w:r w:rsidRPr="0094448B">
              <w:rPr>
                <w:rFonts w:ascii="Verdana" w:eastAsia="Verdana" w:hAnsi="Verdana" w:cs="Verdana"/>
                <w:lang w:val="es-ES"/>
              </w:rPr>
              <w:t>rango</w:t>
            </w:r>
            <w:r w:rsidRPr="0094448B">
              <w:rPr>
                <w:rFonts w:ascii="Verdana" w:eastAsia="Verdana" w:hAnsi="Verdana" w:cs="Verdana"/>
                <w:spacing w:val="-16"/>
                <w:lang w:val="es-ES"/>
              </w:rPr>
              <w:t xml:space="preserve"> </w:t>
            </w:r>
            <w:r w:rsidRPr="0094448B">
              <w:rPr>
                <w:rFonts w:ascii="Verdana" w:eastAsia="Verdana" w:hAnsi="Verdana" w:cs="Verdana"/>
                <w:lang w:val="es-ES"/>
              </w:rPr>
              <w:t>de</w:t>
            </w:r>
            <w:r w:rsidRPr="0094448B">
              <w:rPr>
                <w:rFonts w:ascii="Verdana" w:eastAsia="Verdana" w:hAnsi="Verdana" w:cs="Verdana"/>
                <w:spacing w:val="-17"/>
                <w:lang w:val="es-ES"/>
              </w:rPr>
              <w:t xml:space="preserve"> </w:t>
            </w:r>
            <w:r w:rsidRPr="0094448B">
              <w:rPr>
                <w:rFonts w:ascii="Verdana" w:eastAsia="Verdana" w:hAnsi="Verdana" w:cs="Verdana"/>
                <w:lang w:val="es-ES"/>
              </w:rPr>
              <w:t>nivel</w:t>
            </w:r>
            <w:r w:rsidRPr="0094448B">
              <w:rPr>
                <w:rFonts w:ascii="Verdana" w:eastAsia="Verdana" w:hAnsi="Verdana" w:cs="Verdana"/>
                <w:spacing w:val="-16"/>
                <w:lang w:val="es-ES"/>
              </w:rPr>
              <w:t xml:space="preserve"> </w:t>
            </w:r>
            <w:r w:rsidRPr="0094448B">
              <w:rPr>
                <w:rFonts w:ascii="Verdana" w:eastAsia="Verdana" w:hAnsi="Verdana" w:cs="Verdana"/>
                <w:lang w:val="es-ES"/>
              </w:rPr>
              <w:t xml:space="preserve">legal. </w:t>
            </w:r>
          </w:p>
          <w:p w14:paraId="6ABC98AE" w14:textId="77777777" w:rsidR="004C37CC" w:rsidRPr="0094448B" w:rsidRDefault="004C37CC" w:rsidP="009C41F8">
            <w:pPr>
              <w:spacing w:before="120" w:after="120" w:line="276" w:lineRule="auto"/>
              <w:ind w:firstLine="708"/>
              <w:jc w:val="both"/>
              <w:rPr>
                <w:rFonts w:ascii="Verdana" w:eastAsia="Arial" w:hAnsi="Verdana" w:cs="Arial"/>
                <w:color w:val="000000"/>
              </w:rPr>
            </w:pPr>
            <w:r w:rsidRPr="0094448B">
              <w:rPr>
                <w:rFonts w:ascii="Verdana" w:eastAsia="Calibri" w:hAnsi="Verdana" w:cs="Arial"/>
                <w:lang w:val="es-ES"/>
              </w:rPr>
              <w:t xml:space="preserve">En referencia a la regulación de causales de rechazo en procedimientos competitivos deben estar necesariamente nominadas en la Ley o en el pliego de condiciones, y no puede realizarse, frente a su redacción, ninguna interpretación extensiva. Por esta razón, si el Manual Interno de Contratación o el pliego de condiciones no establecen de manera literal una causal de rechazo, en los términos expuestos, no podrán rechazarse las propuestas. </w:t>
            </w:r>
            <w:r w:rsidRPr="0094448B">
              <w:rPr>
                <w:rFonts w:ascii="Verdana" w:eastAsia="Arial" w:hAnsi="Verdana" w:cs="Arial"/>
                <w:color w:val="000000"/>
              </w:rPr>
              <w:t xml:space="preserve">Por otra parte, es importante señalar que, los principios de la función </w:t>
            </w:r>
            <w:r w:rsidRPr="0094448B">
              <w:rPr>
                <w:rFonts w:ascii="Verdana" w:eastAsia="Arial" w:hAnsi="Verdana" w:cs="Arial"/>
                <w:color w:val="000000"/>
              </w:rPr>
              <w:lastRenderedPageBreak/>
              <w:t xml:space="preserve">administrativa son transversales a los procedimientos de selección, como la igualdad, imparcialidad y la moralidad. Esto implica que la selección de la oferta ganadora deba fundamentarse en factores objetivos, de carácter técnico, jurídico y financiero, y no en criterios subjetivos, como el afecto, la amistad, el ánimo de ayuda, el interés personal, animadversión, riesgo reputacional, entre otros. </w:t>
            </w:r>
          </w:p>
          <w:p w14:paraId="603A3169" w14:textId="77777777" w:rsidR="004C37CC" w:rsidRPr="0094448B" w:rsidRDefault="004C37CC" w:rsidP="009C41F8">
            <w:pPr>
              <w:spacing w:before="120" w:after="120" w:line="276" w:lineRule="auto"/>
              <w:ind w:firstLine="708"/>
              <w:jc w:val="both"/>
              <w:rPr>
                <w:rFonts w:ascii="Verdana" w:eastAsia="Arial" w:hAnsi="Verdana" w:cs="Arial"/>
                <w:color w:val="000000"/>
              </w:rPr>
            </w:pPr>
            <w:r w:rsidRPr="0094448B">
              <w:rPr>
                <w:rFonts w:ascii="Verdana" w:eastAsia="Arial" w:hAnsi="Verdana" w:cs="Arial"/>
                <w:color w:val="000000"/>
              </w:rPr>
              <w:t>En esta orientación, los principios de igualdad e imparcialidad en procedimientos competitivos están vinculados a la selección objetiva y la libre competencia, lo que implica que las entidades exceptuadas se abstengan de rechazar las ofertas por el incumplimiento de requisitos meramente formales, sacrificando la favorabilidad que podría representar la oferta que adolezca de estos defectos, si se permitiese su corrección. En otras palabras, la selección objetiva para las entidades de régimen especial está vinculada a la obligación que tienen las entidades estatales de establecer condiciones de participación ajustados a las necesidades del objeto, así como permitir la subsanación de los requisitos de participación, bajo los parámetros indicados en la ley o en el manual interno de contratación, antes de tomar la decisión de rechazar las propuestas que hayan omitido la observancia de requisitos no necesarios para la comparación de las ofertas.</w:t>
            </w:r>
            <w:r w:rsidRPr="0094448B">
              <w:rPr>
                <w:rFonts w:ascii="Verdana" w:eastAsia="Calibri" w:hAnsi="Verdana" w:cs="Arial"/>
                <w:lang w:val="es-ES"/>
              </w:rPr>
              <w:t xml:space="preserve"> </w:t>
            </w:r>
            <w:r w:rsidRPr="0094448B">
              <w:rPr>
                <w:rFonts w:ascii="Verdana" w:hAnsi="Verdana" w:cs="Arial"/>
                <w:bCs/>
                <w:color w:val="000000" w:themeColor="text1"/>
              </w:rPr>
              <w:t>En ese orden de ideas, el rechazo de las ofertas debe provenir entre otros factores, de la imposibilidad de hacer una escogencia favorable a la entidad estatal y a los fines que ella busca, que garantiza la libertad de competencia regulado en el artículo 333 constitucional.</w:t>
            </w:r>
            <w:r w:rsidRPr="0094448B">
              <w:rPr>
                <w:rFonts w:ascii="Verdana" w:eastAsia="Arial" w:hAnsi="Verdana" w:cs="Arial"/>
                <w:color w:val="000000"/>
              </w:rPr>
              <w:t xml:space="preserve"> </w:t>
            </w:r>
          </w:p>
          <w:p w14:paraId="3386800F" w14:textId="77777777" w:rsidR="004C37CC" w:rsidRPr="0094448B" w:rsidRDefault="004C37CC" w:rsidP="009C41F8">
            <w:pPr>
              <w:spacing w:before="120" w:after="120" w:line="276" w:lineRule="auto"/>
              <w:ind w:firstLine="708"/>
              <w:jc w:val="both"/>
              <w:rPr>
                <w:rFonts w:ascii="Verdana" w:hAnsi="Verdana" w:cs="Arial"/>
                <w:bCs/>
                <w:color w:val="000000" w:themeColor="text1"/>
              </w:rPr>
            </w:pPr>
            <w:r w:rsidRPr="0094448B">
              <w:rPr>
                <w:rFonts w:ascii="Verdana" w:hAnsi="Verdana" w:cs="Arial"/>
                <w:bCs/>
                <w:color w:val="000000" w:themeColor="text1"/>
              </w:rPr>
              <w:t xml:space="preserve">Así mismo, dichas actuaciones y decisiones en torno a la condiciones de participación, causales de rechazo y demás aspectos contractuales deben publicarse, sin incluir ninguna excepción relacionada con la naturaleza u objeto contractual, como lo dispone el artículo 53 de la Ley 2195 de 2022 que modificó el artículo 13 de la Ley 1150 de 2007, que exige que se publiquen en el SECOP II todo documento expedido durante las diferentes etapas del proceso contractual, abarcando desde la fase previa a su celebración, pasando por la ejecución y hasta la fase posterior a su ejecución, sin perjuicio de las reservas de acceso a la información. Esto permite que los diferentes oferentes y demás sujetos interesados en el proceso de contratación puedan conocer las actuaciones y decisiones de la Administración. </w:t>
            </w:r>
          </w:p>
          <w:p w14:paraId="49EB7D0A" w14:textId="77777777" w:rsidR="004C37CC" w:rsidRPr="0094448B" w:rsidRDefault="004C37CC" w:rsidP="009C41F8">
            <w:pPr>
              <w:spacing w:before="120" w:after="120" w:line="276" w:lineRule="auto"/>
              <w:jc w:val="both"/>
              <w:rPr>
                <w:rFonts w:ascii="Verdana" w:hAnsi="Verdana" w:cs="Arial"/>
                <w:bCs/>
                <w:color w:val="000000" w:themeColor="text1"/>
              </w:rPr>
            </w:pPr>
          </w:p>
          <w:p w14:paraId="6A28CE4F" w14:textId="77777777" w:rsidR="004C37CC" w:rsidRPr="0094448B" w:rsidRDefault="004C37CC" w:rsidP="009C41F8">
            <w:pPr>
              <w:spacing w:before="120" w:after="120" w:line="276" w:lineRule="auto"/>
              <w:jc w:val="both"/>
              <w:rPr>
                <w:rFonts w:ascii="Verdana" w:eastAsia="Calibri" w:hAnsi="Verdana" w:cs="Arial"/>
                <w:bCs/>
                <w:color w:val="000000" w:themeColor="text1"/>
                <w:lang w:val="es-ES_tradnl"/>
              </w:rPr>
            </w:pPr>
            <w:proofErr w:type="spellStart"/>
            <w:r w:rsidRPr="0094448B">
              <w:rPr>
                <w:rFonts w:ascii="Verdana" w:hAnsi="Verdana" w:cs="Arial"/>
                <w:bCs/>
                <w:color w:val="000000" w:themeColor="text1"/>
                <w:lang w:val="es-ES"/>
              </w:rPr>
              <w:t>iii</w:t>
            </w:r>
            <w:proofErr w:type="spellEnd"/>
            <w:r w:rsidRPr="0094448B">
              <w:rPr>
                <w:rFonts w:ascii="Verdana" w:hAnsi="Verdana" w:cs="Arial"/>
                <w:bCs/>
                <w:color w:val="000000" w:themeColor="text1"/>
                <w:lang w:val="es-ES"/>
              </w:rPr>
              <w:t>. Los</w:t>
            </w:r>
            <w:r w:rsidRPr="0094448B">
              <w:rPr>
                <w:rFonts w:ascii="Verdana" w:eastAsia="Calibri" w:hAnsi="Verdana" w:cs="Arial"/>
                <w:lang w:eastAsia="es-ES_tradnl"/>
              </w:rPr>
              <w:t xml:space="preserve"> principios de la función administrativa se manifiestan en que no exista discriminación y en que las entidades de régimen especial no impongan limitaciones mediante reglas que impidan la concurrencia para obtener mejores condiciones de contratación. Esto permite excepciones que busquen condiciones del contratista que sean favorables a los intereses del Estado y aseguren la transparencia, ya sean en procedimientos competitivos y no competitivos. En este escenario, dentro de las sociedades de economía pueden establecer modalidades o procesos de selección en: i) competitivas y </w:t>
            </w:r>
            <w:proofErr w:type="spellStart"/>
            <w:r w:rsidRPr="0094448B">
              <w:rPr>
                <w:rFonts w:ascii="Verdana" w:eastAsia="Calibri" w:hAnsi="Verdana" w:cs="Arial"/>
                <w:lang w:eastAsia="es-ES_tradnl"/>
              </w:rPr>
              <w:t>ii</w:t>
            </w:r>
            <w:proofErr w:type="spellEnd"/>
            <w:r w:rsidRPr="0094448B">
              <w:rPr>
                <w:rFonts w:ascii="Verdana" w:eastAsia="Calibri" w:hAnsi="Verdana" w:cs="Arial"/>
                <w:lang w:eastAsia="es-ES_tradnl"/>
              </w:rPr>
              <w:t>)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94448B">
              <w:rPr>
                <w:rFonts w:ascii="Verdana" w:eastAsia="Calibri" w:hAnsi="Verdana" w:cs="Arial"/>
                <w:vertAlign w:val="superscript"/>
                <w:lang w:eastAsia="es-ES_tradnl"/>
              </w:rPr>
              <w:footnoteReference w:id="2"/>
            </w:r>
            <w:r w:rsidRPr="0094448B">
              <w:rPr>
                <w:rFonts w:ascii="Verdana" w:eastAsia="Calibri" w:hAnsi="Verdana" w:cs="Arial"/>
                <w:lang w:eastAsia="es-ES_tradnl"/>
              </w:rPr>
              <w:t xml:space="preserve">. </w:t>
            </w:r>
          </w:p>
          <w:p w14:paraId="3A7F9932" w14:textId="77777777" w:rsidR="004C37CC" w:rsidRPr="0094448B" w:rsidRDefault="004C37CC" w:rsidP="009C41F8">
            <w:pPr>
              <w:spacing w:after="120" w:line="276" w:lineRule="auto"/>
              <w:ind w:firstLine="709"/>
              <w:jc w:val="both"/>
              <w:rPr>
                <w:rFonts w:ascii="Verdana" w:eastAsia="Calibri" w:hAnsi="Verdana" w:cs="Arial"/>
                <w:lang w:eastAsia="es-ES_tradnl"/>
              </w:rPr>
            </w:pPr>
            <w:r w:rsidRPr="0094448B">
              <w:rPr>
                <w:rFonts w:ascii="Verdana" w:eastAsia="Calibri" w:hAnsi="Verdana" w:cs="Arial"/>
                <w:lang w:eastAsia="es-ES_tradnl"/>
              </w:rPr>
              <w:t xml:space="preserve">Por tanto, en las manuales de contratación pueden establecer las modalidades como competitivas o abiertas a competencia, ya que en ellas tiene lugar la participación de varios proponentes en una fase pública de presentación de ofertas. Esto permite que todas las personas interesadas concurran al proceso en igualdad de condiciones y compitan en el mismo, sin perjuicio de criterios o exigencias diferenciales dispuestas por la ley para fortalecer determinado tipo de empresas, sujetos o mercado, como es el caso de la promoción a MIPYMES, empresas y emprendimientos de mujeres, entre otros. </w:t>
            </w:r>
          </w:p>
          <w:p w14:paraId="4C24ED9A" w14:textId="77777777" w:rsidR="004C37CC" w:rsidRPr="0094448B" w:rsidRDefault="004C37CC" w:rsidP="009C41F8">
            <w:pPr>
              <w:spacing w:after="120" w:line="276" w:lineRule="auto"/>
              <w:ind w:firstLine="709"/>
              <w:jc w:val="both"/>
              <w:rPr>
                <w:rFonts w:ascii="Verdana" w:eastAsia="Calibri" w:hAnsi="Verdana" w:cs="Arial"/>
                <w:lang w:eastAsia="es-ES_tradnl"/>
              </w:rPr>
            </w:pPr>
            <w:r w:rsidRPr="0094448B">
              <w:rPr>
                <w:rFonts w:ascii="Verdana" w:eastAsia="Calibri" w:hAnsi="Verdana" w:cs="Arial"/>
                <w:lang w:eastAsia="es-ES_tradnl"/>
              </w:rPr>
              <w:t xml:space="preserve">Por otro lado, dentro del Manual de Contratación pueden regularse modalidades no competitivas, es decir, que no es abierta a los proponentes para que los interesados presenten sus ofertas. En esta, es la entidad la que determina, de forma directa, la persona que puede participar y que será seleccionada. Esto significa que </w:t>
            </w:r>
            <w:proofErr w:type="gramStart"/>
            <w:r w:rsidRPr="0094448B">
              <w:rPr>
                <w:rFonts w:ascii="Verdana" w:eastAsia="Calibri" w:hAnsi="Verdana" w:cs="Arial"/>
                <w:lang w:eastAsia="es-ES_tradnl"/>
              </w:rPr>
              <w:t>de acuerdo a</w:t>
            </w:r>
            <w:proofErr w:type="gramEnd"/>
            <w:r w:rsidRPr="0094448B">
              <w:rPr>
                <w:rFonts w:ascii="Verdana" w:eastAsia="Calibri" w:hAnsi="Verdana" w:cs="Arial"/>
                <w:lang w:eastAsia="es-ES_tradnl"/>
              </w:rPr>
              <w:t xml:space="preserve"> lo regulado no es necesario que la entidad reciba más de una oferta, la cual proviene de la persona que la entidad escoge directamente, </w:t>
            </w:r>
            <w:proofErr w:type="gramStart"/>
            <w:r w:rsidRPr="0094448B">
              <w:rPr>
                <w:rFonts w:ascii="Verdana" w:eastAsia="Calibri" w:hAnsi="Verdana" w:cs="Arial"/>
                <w:lang w:eastAsia="es-ES_tradnl"/>
              </w:rPr>
              <w:t>y</w:t>
            </w:r>
            <w:proofErr w:type="gramEnd"/>
            <w:r w:rsidRPr="0094448B">
              <w:rPr>
                <w:rFonts w:ascii="Verdana" w:eastAsia="Calibri" w:hAnsi="Verdana" w:cs="Arial"/>
                <w:lang w:eastAsia="es-ES_tradnl"/>
              </w:rPr>
              <w:t xml:space="preserve"> por ende, invita a ofertar el bien o servicio que se requiere. Lo anterior puede estar basado en que el proponente es único, o en que el manual de contratación se privilegió algunos objetos contractuales u oferentes para contratarlos de manera directa. De igual </w:t>
            </w:r>
            <w:r w:rsidRPr="0094448B">
              <w:rPr>
                <w:rFonts w:ascii="Verdana" w:eastAsia="Calibri" w:hAnsi="Verdana" w:cs="Arial"/>
                <w:lang w:eastAsia="es-ES_tradnl"/>
              </w:rPr>
              <w:lastRenderedPageBreak/>
              <w:t xml:space="preserve">forma, esto implica que el proceso será simplificado, corto, ágil y expedito, por no exigir el agotamiento de una convocatoria pública o la realización de un proceso competitivo, lo cual se constituye en una excepción a la libre concurrencia. </w:t>
            </w:r>
          </w:p>
          <w:p w14:paraId="3FBC1000" w14:textId="77777777" w:rsidR="004C37CC" w:rsidRPr="0094448B" w:rsidRDefault="004C37CC" w:rsidP="33BA07F5">
            <w:pPr>
              <w:spacing w:line="276" w:lineRule="auto"/>
              <w:ind w:firstLine="709"/>
              <w:jc w:val="both"/>
              <w:rPr>
                <w:rFonts w:ascii="Verdana" w:eastAsia="Calibri" w:hAnsi="Verdana" w:cs="Arial"/>
                <w:lang w:val="es-ES" w:eastAsia="es-ES"/>
              </w:rPr>
            </w:pPr>
            <w:r w:rsidRPr="33BA07F5">
              <w:rPr>
                <w:rFonts w:ascii="Verdana" w:eastAsia="Calibri" w:hAnsi="Verdana" w:cs="Arial"/>
                <w:lang w:val="es-ES" w:eastAsia="es-ES"/>
              </w:rPr>
              <w:t xml:space="preserve">En todo caso, la estructura de los procedimientos de las entidades sometidas no es asimilable a los de las entidades exceptuadas. Sin bien en estas últimas rigen por los principios de la función administrativa, la gestión fiscal y el régimen de inhabilidades e incompatibilidades, la aplicación de los principios del artículo 209 se matiza, por lo que definan los documentos del proceso que se estructuren en acatamiento de sus manuales de contratación. Dado que estas actuaciones gozan de presunción de legalidad, la participación se realiza con sujeción a lo que dispongan las entidades dentro de su régimen especial, sin perjuicio del control judicial, fiscal o disciplinario contra violaciones injustificadas del marco normativo. </w:t>
            </w:r>
          </w:p>
          <w:p w14:paraId="2CBEAEC9" w14:textId="77777777" w:rsidR="004C37CC" w:rsidRPr="0094448B" w:rsidRDefault="004C37CC" w:rsidP="009C41F8">
            <w:pPr>
              <w:spacing w:before="120" w:after="120" w:line="276" w:lineRule="auto"/>
              <w:jc w:val="both"/>
              <w:rPr>
                <w:rFonts w:ascii="Verdana" w:hAnsi="Verdana" w:cs="Arial"/>
                <w:bCs/>
                <w:color w:val="000000" w:themeColor="text1"/>
                <w:lang w:val="es-ES"/>
              </w:rPr>
            </w:pPr>
          </w:p>
          <w:p w14:paraId="2A44263E" w14:textId="77777777" w:rsidR="004C37CC" w:rsidRPr="0094448B" w:rsidRDefault="004C37CC" w:rsidP="009C41F8">
            <w:pPr>
              <w:spacing w:before="120" w:after="120" w:line="276" w:lineRule="auto"/>
              <w:jc w:val="both"/>
              <w:rPr>
                <w:rFonts w:ascii="Verdana" w:hAnsi="Verdana" w:cs="Arial"/>
                <w:bCs/>
                <w:lang w:eastAsia="es-ES"/>
              </w:rPr>
            </w:pPr>
            <w:proofErr w:type="spellStart"/>
            <w:r w:rsidRPr="0094448B">
              <w:rPr>
                <w:rFonts w:ascii="Verdana" w:hAnsi="Verdana" w:cs="Arial"/>
                <w:lang w:eastAsia="es-ES"/>
              </w:rPr>
              <w:t>iv</w:t>
            </w:r>
            <w:proofErr w:type="spellEnd"/>
            <w:r w:rsidRPr="0094448B">
              <w:rPr>
                <w:rFonts w:ascii="Verdana" w:hAnsi="Verdana" w:cs="Arial"/>
                <w:lang w:eastAsia="es-ES"/>
              </w:rPr>
              <w:t xml:space="preserve">. La Agencia Nacional de Contratación Pública –Colombia Compra Eficiente- </w:t>
            </w:r>
            <w:r w:rsidRPr="0094448B">
              <w:rPr>
                <w:rFonts w:ascii="Verdana" w:hAnsi="Verdana" w:cs="Arial"/>
                <w:lang w:val="es-ES" w:eastAsia="es-ES"/>
              </w:rPr>
              <w:t>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4448B">
              <w:rPr>
                <w:rFonts w:ascii="Verdana" w:hAnsi="Verdana" w:cs="Arial"/>
                <w:bCs/>
                <w:lang w:eastAsia="es-ES"/>
              </w:rPr>
              <w:t>.</w:t>
            </w:r>
          </w:p>
          <w:p w14:paraId="137BEE78" w14:textId="77777777" w:rsidR="004C37CC" w:rsidRPr="0094448B" w:rsidRDefault="004C37CC" w:rsidP="009C41F8">
            <w:pPr>
              <w:spacing w:after="120" w:line="276" w:lineRule="auto"/>
              <w:ind w:firstLine="708"/>
              <w:jc w:val="both"/>
              <w:rPr>
                <w:rFonts w:ascii="Verdana" w:eastAsia="Calibri" w:hAnsi="Verdana" w:cs="Arial"/>
                <w:bCs/>
                <w:color w:val="000000" w:themeColor="text1"/>
              </w:rPr>
            </w:pPr>
            <w:r w:rsidRPr="0094448B">
              <w:rPr>
                <w:rFonts w:ascii="Verdana" w:hAnsi="Verdana" w:cs="Arial"/>
                <w:bCs/>
                <w:lang w:val="es-ES_tradnl" w:eastAsia="es-ES"/>
              </w:rPr>
              <w:t xml:space="preserve">En tal sentido, </w:t>
            </w:r>
            <w:r w:rsidRPr="0094448B">
              <w:rPr>
                <w:rFonts w:ascii="Verdana" w:hAnsi="Verdana" w:cs="Arial"/>
                <w:bCs/>
                <w:lang w:eastAsia="es-ES"/>
              </w:rPr>
              <w:t>la entidad pública definirá en cada caso concreto 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tc>
      </w:tr>
    </w:tbl>
    <w:p w14:paraId="6229FE94" w14:textId="77777777" w:rsidR="004C37CC" w:rsidRPr="0094448B" w:rsidRDefault="004C37CC" w:rsidP="004C37CC">
      <w:pPr>
        <w:spacing w:after="0" w:line="276" w:lineRule="auto"/>
        <w:jc w:val="both"/>
        <w:rPr>
          <w:rFonts w:ascii="Verdana" w:eastAsia="Calibri" w:hAnsi="Verdana" w:cs="Arial"/>
          <w:bCs/>
          <w:color w:val="000000" w:themeColor="text1"/>
        </w:rPr>
      </w:pPr>
    </w:p>
    <w:p w14:paraId="001854E0" w14:textId="77777777" w:rsidR="004C37CC" w:rsidRPr="0094448B" w:rsidRDefault="004C37CC" w:rsidP="004C37CC">
      <w:pPr>
        <w:numPr>
          <w:ilvl w:val="0"/>
          <w:numId w:val="19"/>
        </w:numPr>
        <w:spacing w:after="0" w:line="256" w:lineRule="auto"/>
        <w:rPr>
          <w:rFonts w:ascii="Verdana" w:eastAsia="Calibri" w:hAnsi="Verdana" w:cs="Times New Roman"/>
          <w:b/>
          <w:bCs/>
          <w:lang w:val="es-ES"/>
        </w:rPr>
      </w:pPr>
      <w:r w:rsidRPr="0094448B">
        <w:rPr>
          <w:rFonts w:ascii="Verdana" w:eastAsia="Calibri" w:hAnsi="Verdana" w:cs="Times New Roman"/>
          <w:b/>
          <w:bCs/>
          <w:lang w:val="es-ES"/>
        </w:rPr>
        <w:lastRenderedPageBreak/>
        <w:t>Razones de la respuesta:</w:t>
      </w:r>
    </w:p>
    <w:p w14:paraId="407CD870" w14:textId="77777777" w:rsidR="004C37CC" w:rsidRPr="0094448B" w:rsidRDefault="004C37CC" w:rsidP="004C37CC">
      <w:pPr>
        <w:spacing w:after="0" w:line="256" w:lineRule="auto"/>
        <w:rPr>
          <w:rFonts w:ascii="Verdana" w:eastAsia="Calibri" w:hAnsi="Verdana" w:cs="Times New Roman"/>
          <w:b/>
          <w:bCs/>
          <w:lang w:val="es-ES"/>
        </w:rPr>
      </w:pPr>
    </w:p>
    <w:p w14:paraId="108809F9" w14:textId="77777777" w:rsidR="004C37CC" w:rsidRPr="0094448B" w:rsidRDefault="004C37CC" w:rsidP="004C37CC">
      <w:pPr>
        <w:spacing w:after="0" w:line="276" w:lineRule="auto"/>
        <w:jc w:val="both"/>
        <w:rPr>
          <w:rFonts w:ascii="Verdana" w:eastAsia="Calibri" w:hAnsi="Verdana" w:cs="Arial"/>
          <w:lang w:val="es-ES"/>
        </w:rPr>
      </w:pPr>
      <w:r w:rsidRPr="0094448B">
        <w:rPr>
          <w:rFonts w:ascii="Verdana" w:eastAsia="Calibri" w:hAnsi="Verdana" w:cs="Arial"/>
          <w:lang w:val="es-ES"/>
        </w:rPr>
        <w:t xml:space="preserve">Lo anterior se sustenta en las siguientes consideraciones: </w:t>
      </w:r>
    </w:p>
    <w:p w14:paraId="4DF348EF" w14:textId="77777777" w:rsidR="004C37CC" w:rsidRPr="0094448B" w:rsidRDefault="004C37CC" w:rsidP="004C37CC">
      <w:pPr>
        <w:spacing w:after="0" w:line="276" w:lineRule="auto"/>
        <w:jc w:val="both"/>
        <w:rPr>
          <w:rFonts w:ascii="Verdana" w:eastAsia="Calibri" w:hAnsi="Verdana" w:cs="Arial"/>
          <w:lang w:val="es-ES"/>
        </w:rPr>
      </w:pPr>
    </w:p>
    <w:p w14:paraId="0941CA80" w14:textId="77777777" w:rsidR="004C37CC" w:rsidRPr="0094448B" w:rsidRDefault="004C37CC" w:rsidP="004C37CC">
      <w:pPr>
        <w:spacing w:after="120" w:line="276" w:lineRule="auto"/>
        <w:jc w:val="both"/>
        <w:rPr>
          <w:rFonts w:ascii="Verdana" w:hAnsi="Verdana" w:cs="Arial"/>
        </w:rPr>
      </w:pPr>
      <w:r w:rsidRPr="0094448B">
        <w:rPr>
          <w:rFonts w:ascii="Verdana" w:eastAsia="Calibri" w:hAnsi="Verdana" w:cs="Arial"/>
          <w:bCs/>
          <w:lang w:val="es-ES_tradnl"/>
        </w:rPr>
        <w:t xml:space="preserve">i. </w:t>
      </w:r>
      <w:r w:rsidRPr="0094448B">
        <w:rPr>
          <w:rFonts w:ascii="Verdana" w:eastAsia="Calibri" w:hAnsi="Verdana" w:cs="Arial"/>
          <w:lang w:val="es-ES"/>
        </w:rPr>
        <w:t xml:space="preserve">Respecto al régimen jurídico de las </w:t>
      </w:r>
      <w:r w:rsidRPr="0094448B">
        <w:rPr>
          <w:rFonts w:ascii="Verdana" w:eastAsia="Calibri" w:hAnsi="Verdana" w:cs="Arial"/>
          <w:i/>
          <w:iCs/>
          <w:lang w:val="es-ES"/>
        </w:rPr>
        <w:t>entidades sometidas</w:t>
      </w:r>
      <w:r w:rsidRPr="0094448B">
        <w:rPr>
          <w:rFonts w:ascii="Verdana" w:eastAsia="Calibri" w:hAnsi="Verdana" w:cs="Arial"/>
          <w:lang w:val="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94448B">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3C024387" w14:textId="77777777" w:rsidR="004C37CC" w:rsidRPr="0094448B" w:rsidRDefault="004C37CC" w:rsidP="004C37CC">
      <w:pPr>
        <w:spacing w:after="120" w:line="276" w:lineRule="auto"/>
        <w:ind w:firstLine="709"/>
        <w:jc w:val="both"/>
        <w:rPr>
          <w:rFonts w:ascii="Verdana" w:hAnsi="Verdana" w:cs="Arial"/>
        </w:rPr>
      </w:pPr>
      <w:r w:rsidRPr="0094448B">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3DE56045" w14:textId="77777777" w:rsidR="004C37CC" w:rsidRPr="0094448B" w:rsidRDefault="004C37CC" w:rsidP="004C37CC">
      <w:pPr>
        <w:spacing w:after="0" w:line="276" w:lineRule="auto"/>
        <w:ind w:firstLine="708"/>
        <w:jc w:val="both"/>
        <w:rPr>
          <w:rFonts w:ascii="Verdana" w:hAnsi="Verdana" w:cs="Arial"/>
        </w:rPr>
      </w:pPr>
      <w:r w:rsidRPr="0094448B">
        <w:rPr>
          <w:rFonts w:ascii="Verdana" w:hAnsi="Verdana" w:cs="Arial"/>
        </w:rPr>
        <w:t>De esta manera, los contratos de las entidades sujetas al Estatuto General de Contratación se rigen generalmente por el derecho privado y excepcionalmente por el derecho público, pues las normas civiles y comerciales son el derecho común de los contratos estatales</w:t>
      </w:r>
      <w:r w:rsidRPr="0094448B">
        <w:rPr>
          <w:rFonts w:ascii="Verdana" w:hAnsi="Verdana" w:cs="Arial"/>
          <w:vertAlign w:val="superscript"/>
        </w:rPr>
        <w:footnoteReference w:id="3"/>
      </w:r>
      <w:r w:rsidRPr="0094448B">
        <w:rPr>
          <w:rFonts w:ascii="Verdana" w:hAnsi="Verdana" w:cs="Arial"/>
        </w:rPr>
        <w:t>. Para la doctrina, la mixtura del régimen contractual:</w:t>
      </w:r>
    </w:p>
    <w:p w14:paraId="23AB02D2" w14:textId="77777777" w:rsidR="004C37CC" w:rsidRPr="0094448B" w:rsidRDefault="004C37CC" w:rsidP="004C37CC">
      <w:pPr>
        <w:spacing w:after="0" w:line="276" w:lineRule="auto"/>
        <w:ind w:firstLine="709"/>
        <w:jc w:val="both"/>
        <w:rPr>
          <w:rFonts w:ascii="Verdana" w:hAnsi="Verdana" w:cs="Arial"/>
        </w:rPr>
      </w:pPr>
    </w:p>
    <w:p w14:paraId="7297FE43" w14:textId="77777777" w:rsidR="004C37CC" w:rsidRPr="0094448B" w:rsidRDefault="004C37CC" w:rsidP="004C37CC">
      <w:pPr>
        <w:spacing w:after="0" w:line="240" w:lineRule="auto"/>
        <w:ind w:left="709" w:right="709"/>
        <w:jc w:val="both"/>
        <w:rPr>
          <w:rFonts w:ascii="Verdana" w:hAnsi="Verdana" w:cs="Arial"/>
          <w:sz w:val="21"/>
          <w:szCs w:val="21"/>
        </w:rPr>
      </w:pPr>
      <w:r w:rsidRPr="0094448B">
        <w:rPr>
          <w:rFonts w:ascii="Verdana" w:hAnsi="Verdana" w:cs="Arial"/>
          <w:sz w:val="21"/>
          <w:szCs w:val="21"/>
        </w:rPr>
        <w:t xml:space="preserve">“[…] no hace otra cosa que aprovechar ciertos principios rectores de la contratación general </w:t>
      </w:r>
      <w:proofErr w:type="gramStart"/>
      <w:r w:rsidRPr="0094448B">
        <w:rPr>
          <w:rFonts w:ascii="Verdana" w:hAnsi="Verdana" w:cs="Arial"/>
          <w:sz w:val="21"/>
          <w:szCs w:val="21"/>
        </w:rPr>
        <w:t>que</w:t>
      </w:r>
      <w:proofErr w:type="gramEnd"/>
      <w:r w:rsidRPr="0094448B">
        <w:rPr>
          <w:rFonts w:ascii="Verdana" w:hAnsi="Verdana" w:cs="Arial"/>
          <w:sz w:val="21"/>
          <w:szCs w:val="21"/>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w:t>
      </w:r>
      <w:r w:rsidRPr="0094448B">
        <w:rPr>
          <w:rFonts w:ascii="Verdana" w:hAnsi="Verdana" w:cs="Arial"/>
          <w:sz w:val="21"/>
          <w:szCs w:val="21"/>
        </w:rPr>
        <w:lastRenderedPageBreak/>
        <w:t>acostumbró a calificarlos así y a no preocuparse por su cuestionamiento o definición.</w:t>
      </w:r>
    </w:p>
    <w:p w14:paraId="4C025796" w14:textId="77777777" w:rsidR="004C37CC" w:rsidRPr="0094448B" w:rsidRDefault="004C37CC" w:rsidP="004C37CC">
      <w:pPr>
        <w:spacing w:after="0" w:line="240" w:lineRule="auto"/>
        <w:ind w:left="709" w:right="709"/>
        <w:jc w:val="both"/>
        <w:rPr>
          <w:rFonts w:ascii="Verdana" w:hAnsi="Verdana" w:cs="Arial"/>
          <w:sz w:val="21"/>
          <w:szCs w:val="21"/>
        </w:rPr>
      </w:pPr>
    </w:p>
    <w:p w14:paraId="10E6EA17" w14:textId="77777777" w:rsidR="004C37CC" w:rsidRPr="0094448B" w:rsidRDefault="004C37CC" w:rsidP="004C37CC">
      <w:pPr>
        <w:spacing w:after="0" w:line="240" w:lineRule="auto"/>
        <w:ind w:left="709" w:right="709"/>
        <w:jc w:val="both"/>
        <w:rPr>
          <w:rFonts w:ascii="Verdana" w:hAnsi="Verdana" w:cs="Arial"/>
          <w:sz w:val="21"/>
          <w:szCs w:val="21"/>
        </w:rPr>
      </w:pPr>
      <w:r w:rsidRPr="0094448B">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94448B">
        <w:rPr>
          <w:rFonts w:ascii="Verdana" w:hAnsi="Verdana" w:cs="Arial"/>
          <w:sz w:val="21"/>
          <w:szCs w:val="21"/>
          <w:vertAlign w:val="superscript"/>
        </w:rPr>
        <w:footnoteReference w:id="4"/>
      </w:r>
      <w:r w:rsidRPr="0094448B">
        <w:rPr>
          <w:rFonts w:ascii="Verdana" w:hAnsi="Verdana" w:cs="Arial"/>
          <w:sz w:val="21"/>
          <w:szCs w:val="21"/>
        </w:rPr>
        <w:t xml:space="preserve">. </w:t>
      </w:r>
    </w:p>
    <w:p w14:paraId="05AF2A9C" w14:textId="77777777" w:rsidR="004C37CC" w:rsidRPr="0094448B" w:rsidRDefault="004C37CC" w:rsidP="004C37CC">
      <w:pPr>
        <w:spacing w:after="0" w:line="276" w:lineRule="auto"/>
        <w:ind w:left="709" w:right="709"/>
        <w:jc w:val="both"/>
        <w:rPr>
          <w:rFonts w:ascii="Verdana" w:hAnsi="Verdana" w:cs="Arial"/>
        </w:rPr>
      </w:pPr>
      <w:r w:rsidRPr="0094448B">
        <w:rPr>
          <w:rFonts w:ascii="Verdana" w:hAnsi="Verdana" w:cs="Arial"/>
        </w:rPr>
        <w:t xml:space="preserve"> </w:t>
      </w:r>
    </w:p>
    <w:p w14:paraId="2C024344" w14:textId="77777777" w:rsidR="004C37CC" w:rsidRPr="0094448B" w:rsidRDefault="004C37CC" w:rsidP="004C37CC">
      <w:pPr>
        <w:spacing w:after="120" w:line="276" w:lineRule="auto"/>
        <w:jc w:val="both"/>
        <w:rPr>
          <w:rFonts w:ascii="Verdana" w:hAnsi="Verdana" w:cs="Arial"/>
        </w:rPr>
      </w:pPr>
      <w:r w:rsidRPr="0094448B">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6DDB6210" w14:textId="77777777" w:rsidR="004C37CC" w:rsidRPr="0094448B" w:rsidRDefault="004C37CC" w:rsidP="004C37CC">
      <w:pPr>
        <w:spacing w:after="120" w:line="276" w:lineRule="auto"/>
        <w:ind w:firstLine="709"/>
        <w:jc w:val="both"/>
        <w:rPr>
          <w:rFonts w:ascii="Verdana" w:hAnsi="Verdana" w:cs="Arial"/>
        </w:rPr>
      </w:pPr>
      <w:r w:rsidRPr="0094448B">
        <w:rPr>
          <w:rFonts w:ascii="Verdana" w:hAnsi="Verdana" w:cs="Arial"/>
        </w:rPr>
        <w:t xml:space="preserve">No obstante, aunque tenga una influencia limitada, las </w:t>
      </w:r>
      <w:r w:rsidRPr="0094448B">
        <w:rPr>
          <w:rFonts w:ascii="Verdana" w:hAnsi="Verdana" w:cs="Arial"/>
          <w:i/>
          <w:iCs/>
        </w:rPr>
        <w:t>entidades del régimen exceptuado</w:t>
      </w:r>
      <w:r w:rsidRPr="0094448B">
        <w:rPr>
          <w:rFonts w:ascii="Verdana" w:hAnsi="Verdana" w:cs="Aria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44E0244" w14:textId="77777777" w:rsidR="004C37CC" w:rsidRPr="0094448B" w:rsidRDefault="004C37CC" w:rsidP="004C37CC">
      <w:pPr>
        <w:spacing w:after="0" w:line="276" w:lineRule="auto"/>
        <w:ind w:firstLine="708"/>
        <w:jc w:val="both"/>
        <w:rPr>
          <w:rFonts w:ascii="Verdana" w:hAnsi="Verdana" w:cs="Arial"/>
        </w:rPr>
      </w:pPr>
      <w:r w:rsidRPr="0094448B">
        <w:rPr>
          <w:rFonts w:ascii="Verdana" w:hAnsi="Verdana" w:cs="Arial"/>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94448B">
        <w:rPr>
          <w:rFonts w:ascii="Verdana" w:hAnsi="Verdana" w:cs="Arial"/>
        </w:rPr>
        <w:t>ii</w:t>
      </w:r>
      <w:proofErr w:type="spellEnd"/>
      <w:r w:rsidRPr="0094448B">
        <w:rPr>
          <w:rFonts w:ascii="Verdana" w:hAnsi="Verdana" w:cs="Arial"/>
        </w:rPr>
        <w:t xml:space="preserve">) flexibilizar el ejercicio de la función administrativa –como en los contratos del Banco de la República o los de ciencia y tecnología– o </w:t>
      </w:r>
      <w:proofErr w:type="spellStart"/>
      <w:r w:rsidRPr="0094448B">
        <w:rPr>
          <w:rFonts w:ascii="Verdana" w:hAnsi="Verdana" w:cs="Arial"/>
        </w:rPr>
        <w:t>iii</w:t>
      </w:r>
      <w:proofErr w:type="spellEnd"/>
      <w:r w:rsidRPr="0094448B">
        <w:rPr>
          <w:rFonts w:ascii="Verdana" w:hAnsi="Verdana" w:cs="Arial"/>
        </w:rPr>
        <w:t>) establecer un régimen especial sin excluir por completo la aplicación de la Ley 80 de 1993 –como ocurre en la operaciones del crédito público–</w:t>
      </w:r>
      <w:r w:rsidRPr="0094448B">
        <w:rPr>
          <w:rFonts w:ascii="Verdana" w:hAnsi="Verdana" w:cs="Arial"/>
          <w:vertAlign w:val="superscript"/>
        </w:rPr>
        <w:footnoteReference w:id="5"/>
      </w:r>
      <w:r w:rsidRPr="0094448B">
        <w:rPr>
          <w:rFonts w:ascii="Verdana" w:hAnsi="Verdana" w:cs="Arial"/>
        </w:rPr>
        <w:t xml:space="preserve">.  Para estos </w:t>
      </w:r>
      <w:r w:rsidRPr="0094448B">
        <w:rPr>
          <w:rFonts w:ascii="Verdana" w:hAnsi="Verdana" w:cs="Arial"/>
        </w:rPr>
        <w:lastRenderedPageBreak/>
        <w:t xml:space="preserve">efectos, la doctrina ha identificado 171 entidades y contratos que manejan un régimen excepcional, los cuales se clasifican de acuerdo i) al sector económico, </w:t>
      </w:r>
      <w:proofErr w:type="spellStart"/>
      <w:r w:rsidRPr="0094448B">
        <w:rPr>
          <w:rFonts w:ascii="Verdana" w:hAnsi="Verdana" w:cs="Arial"/>
        </w:rPr>
        <w:t>ii</w:t>
      </w:r>
      <w:proofErr w:type="spellEnd"/>
      <w:r w:rsidRPr="0094448B">
        <w:rPr>
          <w:rFonts w:ascii="Verdana" w:hAnsi="Verdana" w:cs="Arial"/>
        </w:rPr>
        <w:t xml:space="preserve">) la asignación de un esquema legal especial, </w:t>
      </w:r>
      <w:proofErr w:type="spellStart"/>
      <w:r w:rsidRPr="0094448B">
        <w:rPr>
          <w:rFonts w:ascii="Verdana" w:hAnsi="Verdana" w:cs="Arial"/>
        </w:rPr>
        <w:t>iii</w:t>
      </w:r>
      <w:proofErr w:type="spellEnd"/>
      <w:r w:rsidRPr="0094448B">
        <w:rPr>
          <w:rFonts w:ascii="Verdana" w:hAnsi="Verdana" w:cs="Arial"/>
        </w:rPr>
        <w:t xml:space="preserve">) el objeto del contrato celebrado y </w:t>
      </w:r>
      <w:proofErr w:type="spellStart"/>
      <w:r w:rsidRPr="0094448B">
        <w:rPr>
          <w:rFonts w:ascii="Verdana" w:hAnsi="Verdana" w:cs="Arial"/>
        </w:rPr>
        <w:t>iv</w:t>
      </w:r>
      <w:proofErr w:type="spellEnd"/>
      <w:r w:rsidRPr="0094448B">
        <w:rPr>
          <w:rFonts w:ascii="Verdana" w:hAnsi="Verdana" w:cs="Arial"/>
        </w:rPr>
        <w:t>) la existencia de fondos que administran recursos públicos</w:t>
      </w:r>
      <w:r w:rsidRPr="0094448B">
        <w:rPr>
          <w:rFonts w:ascii="Verdana" w:hAnsi="Verdana" w:cs="Arial"/>
          <w:vertAlign w:val="superscript"/>
        </w:rPr>
        <w:footnoteReference w:id="6"/>
      </w:r>
      <w:r w:rsidRPr="0094448B">
        <w:rPr>
          <w:rFonts w:ascii="Verdana" w:hAnsi="Verdana" w:cs="Arial"/>
        </w:rPr>
        <w:t>.</w:t>
      </w:r>
    </w:p>
    <w:p w14:paraId="0FB9A753" w14:textId="77777777" w:rsidR="004C37CC" w:rsidRPr="0094448B" w:rsidRDefault="004C37CC" w:rsidP="004C37CC">
      <w:pPr>
        <w:spacing w:after="0" w:line="276" w:lineRule="auto"/>
        <w:jc w:val="both"/>
        <w:rPr>
          <w:rFonts w:ascii="Verdana" w:hAnsi="Verdana" w:cs="Arial"/>
          <w:bCs/>
          <w:lang w:val="es-MX"/>
        </w:rPr>
      </w:pPr>
    </w:p>
    <w:p w14:paraId="6054CC9A" w14:textId="77777777" w:rsidR="004C37CC" w:rsidRPr="0094448B" w:rsidRDefault="004C37CC" w:rsidP="004C37CC">
      <w:pPr>
        <w:widowControl w:val="0"/>
        <w:autoSpaceDE w:val="0"/>
        <w:autoSpaceDN w:val="0"/>
        <w:spacing w:after="0" w:line="276" w:lineRule="auto"/>
        <w:ind w:right="260"/>
        <w:jc w:val="both"/>
        <w:rPr>
          <w:rFonts w:ascii="Verdana" w:eastAsia="Arial MT" w:hAnsi="Verdana" w:cs="Arial MT"/>
          <w:lang w:val="es-ES"/>
        </w:rPr>
      </w:pPr>
      <w:proofErr w:type="spellStart"/>
      <w:r w:rsidRPr="0094448B">
        <w:rPr>
          <w:rFonts w:ascii="Verdana" w:eastAsia="Arial MT" w:hAnsi="Verdana" w:cs="Arial MT"/>
          <w:lang w:val="es-ES"/>
        </w:rPr>
        <w:t>ii</w:t>
      </w:r>
      <w:proofErr w:type="spellEnd"/>
      <w:r w:rsidRPr="0094448B">
        <w:rPr>
          <w:rFonts w:ascii="Verdana" w:eastAsia="Arial MT" w:hAnsi="Verdana" w:cs="Arial MT"/>
          <w:lang w:val="es-ES"/>
        </w:rPr>
        <w:t>. En nuestro ordenamiento jurídico el artículo 97 de la</w:t>
      </w:r>
      <w:r w:rsidRPr="0094448B">
        <w:rPr>
          <w:rFonts w:ascii="Verdana" w:eastAsia="Arial MT" w:hAnsi="Verdana" w:cs="Arial MT"/>
          <w:spacing w:val="-1"/>
          <w:lang w:val="es-ES"/>
        </w:rPr>
        <w:t xml:space="preserve"> </w:t>
      </w:r>
      <w:r w:rsidRPr="0094448B">
        <w:rPr>
          <w:rFonts w:ascii="Verdana" w:eastAsia="Arial MT" w:hAnsi="Verdana" w:cs="Arial MT"/>
          <w:lang w:val="es-ES"/>
        </w:rPr>
        <w:t>Ley 489 de 1998 define a las sociedades</w:t>
      </w:r>
      <w:r w:rsidRPr="0094448B">
        <w:rPr>
          <w:rFonts w:ascii="Verdana" w:eastAsia="Arial MT" w:hAnsi="Verdana" w:cs="Arial MT"/>
          <w:spacing w:val="40"/>
          <w:lang w:val="es-ES"/>
        </w:rPr>
        <w:t xml:space="preserve"> </w:t>
      </w:r>
      <w:r w:rsidRPr="0094448B">
        <w:rPr>
          <w:rFonts w:ascii="Verdana" w:eastAsia="Arial MT" w:hAnsi="Verdana" w:cs="Arial MT"/>
          <w:lang w:val="es-ES"/>
        </w:rPr>
        <w:t>de</w:t>
      </w:r>
      <w:r w:rsidRPr="0094448B">
        <w:rPr>
          <w:rFonts w:ascii="Verdana" w:eastAsia="Arial MT" w:hAnsi="Verdana" w:cs="Arial MT"/>
          <w:spacing w:val="40"/>
          <w:lang w:val="es-ES"/>
        </w:rPr>
        <w:t xml:space="preserve"> </w:t>
      </w:r>
      <w:r w:rsidRPr="0094448B">
        <w:rPr>
          <w:rFonts w:ascii="Verdana" w:eastAsia="Arial MT" w:hAnsi="Verdana" w:cs="Arial MT"/>
          <w:lang w:val="es-ES"/>
        </w:rPr>
        <w:t>economía</w:t>
      </w:r>
      <w:r w:rsidRPr="0094448B">
        <w:rPr>
          <w:rFonts w:ascii="Verdana" w:eastAsia="Arial MT" w:hAnsi="Verdana" w:cs="Arial MT"/>
          <w:spacing w:val="40"/>
          <w:lang w:val="es-ES"/>
        </w:rPr>
        <w:t xml:space="preserve"> </w:t>
      </w:r>
      <w:r w:rsidRPr="0094448B">
        <w:rPr>
          <w:rFonts w:ascii="Verdana" w:eastAsia="Arial MT" w:hAnsi="Verdana" w:cs="Arial MT"/>
          <w:lang w:val="es-ES"/>
        </w:rPr>
        <w:t>mixta</w:t>
      </w:r>
      <w:r w:rsidRPr="0094448B">
        <w:rPr>
          <w:rFonts w:ascii="Verdana" w:eastAsia="Arial MT" w:hAnsi="Verdana" w:cs="Arial MT"/>
          <w:spacing w:val="40"/>
          <w:lang w:val="es-ES"/>
        </w:rPr>
        <w:t xml:space="preserve"> </w:t>
      </w:r>
      <w:r w:rsidRPr="0094448B">
        <w:rPr>
          <w:rFonts w:ascii="Verdana" w:eastAsia="Arial MT" w:hAnsi="Verdana" w:cs="Arial MT"/>
          <w:lang w:val="es-ES"/>
        </w:rPr>
        <w:t>como</w:t>
      </w:r>
      <w:r w:rsidRPr="0094448B">
        <w:rPr>
          <w:rFonts w:ascii="Verdana" w:eastAsia="Arial MT" w:hAnsi="Verdana" w:cs="Arial MT"/>
          <w:spacing w:val="40"/>
          <w:lang w:val="es-ES"/>
        </w:rPr>
        <w:t xml:space="preserve"> </w:t>
      </w:r>
      <w:r w:rsidRPr="0094448B">
        <w:rPr>
          <w:rFonts w:ascii="Verdana" w:eastAsia="Arial MT" w:hAnsi="Verdana" w:cs="Arial MT"/>
          <w:lang w:val="es-ES"/>
        </w:rPr>
        <w:t>organismos</w:t>
      </w:r>
      <w:r w:rsidRPr="0094448B">
        <w:rPr>
          <w:rFonts w:ascii="Verdana" w:eastAsia="Arial MT" w:hAnsi="Verdana" w:cs="Arial MT"/>
          <w:spacing w:val="40"/>
          <w:lang w:val="es-ES"/>
        </w:rPr>
        <w:t xml:space="preserve"> </w:t>
      </w:r>
      <w:r w:rsidRPr="0094448B">
        <w:rPr>
          <w:rFonts w:ascii="Verdana" w:eastAsia="Arial MT" w:hAnsi="Verdana" w:cs="Arial MT"/>
          <w:lang w:val="es-ES"/>
        </w:rPr>
        <w:t>autorizados</w:t>
      </w:r>
      <w:r w:rsidRPr="0094448B">
        <w:rPr>
          <w:rFonts w:ascii="Verdana" w:eastAsia="Arial MT" w:hAnsi="Verdana" w:cs="Arial MT"/>
          <w:spacing w:val="40"/>
          <w:lang w:val="es-ES"/>
        </w:rPr>
        <w:t xml:space="preserve"> </w:t>
      </w:r>
      <w:r w:rsidRPr="0094448B">
        <w:rPr>
          <w:rFonts w:ascii="Verdana" w:eastAsia="Arial MT" w:hAnsi="Verdana" w:cs="Arial MT"/>
          <w:lang w:val="es-ES"/>
        </w:rPr>
        <w:t>por</w:t>
      </w:r>
      <w:r w:rsidRPr="0094448B">
        <w:rPr>
          <w:rFonts w:ascii="Verdana" w:eastAsia="Arial MT" w:hAnsi="Verdana" w:cs="Arial MT"/>
          <w:spacing w:val="40"/>
          <w:lang w:val="es-ES"/>
        </w:rPr>
        <w:t xml:space="preserve"> </w:t>
      </w:r>
      <w:r w:rsidRPr="0094448B">
        <w:rPr>
          <w:rFonts w:ascii="Verdana" w:eastAsia="Arial MT" w:hAnsi="Verdana" w:cs="Arial MT"/>
          <w:lang w:val="es-ES"/>
        </w:rPr>
        <w:t>la</w:t>
      </w:r>
      <w:r w:rsidRPr="0094448B">
        <w:rPr>
          <w:rFonts w:ascii="Verdana" w:eastAsia="Arial MT" w:hAnsi="Verdana" w:cs="Arial MT"/>
          <w:spacing w:val="40"/>
          <w:lang w:val="es-ES"/>
        </w:rPr>
        <w:t xml:space="preserve"> </w:t>
      </w:r>
      <w:r w:rsidRPr="0094448B">
        <w:rPr>
          <w:rFonts w:ascii="Verdana" w:eastAsia="Arial MT" w:hAnsi="Verdana" w:cs="Arial MT"/>
          <w:lang w:val="es-ES"/>
        </w:rPr>
        <w:t>ley,</w:t>
      </w:r>
      <w:r w:rsidRPr="0094448B">
        <w:rPr>
          <w:rFonts w:ascii="Verdana" w:eastAsia="Arial MT" w:hAnsi="Verdana" w:cs="Arial MT"/>
          <w:spacing w:val="40"/>
          <w:lang w:val="es-ES"/>
        </w:rPr>
        <w:t xml:space="preserve"> </w:t>
      </w:r>
      <w:r w:rsidRPr="0094448B">
        <w:rPr>
          <w:rFonts w:ascii="Verdana" w:eastAsia="Arial MT" w:hAnsi="Verdana" w:cs="Arial MT"/>
          <w:lang w:val="es-ES"/>
        </w:rPr>
        <w:t>constituidos como sociedades comerciales, con aportes de capital público y privado, que desarrollan actividades de naturaleza industrial o comercial conforme a las reglas del derecho</w:t>
      </w:r>
      <w:r w:rsidRPr="0094448B">
        <w:rPr>
          <w:rFonts w:ascii="Verdana" w:eastAsia="Arial MT" w:hAnsi="Verdana" w:cs="Arial MT"/>
          <w:spacing w:val="40"/>
          <w:lang w:val="es-ES"/>
        </w:rPr>
        <w:t xml:space="preserve"> </w:t>
      </w:r>
      <w:r w:rsidRPr="0094448B">
        <w:rPr>
          <w:rFonts w:ascii="Verdana" w:eastAsia="Arial MT" w:hAnsi="Verdana" w:cs="Arial MT"/>
          <w:lang w:val="es-ES"/>
        </w:rPr>
        <w:t>privado, salvo las excepciones que consagra la ley.</w:t>
      </w:r>
    </w:p>
    <w:p w14:paraId="303A2BA7" w14:textId="77777777" w:rsidR="004C37CC" w:rsidRPr="0094448B" w:rsidRDefault="004C37CC" w:rsidP="004C37CC">
      <w:pPr>
        <w:widowControl w:val="0"/>
        <w:autoSpaceDE w:val="0"/>
        <w:autoSpaceDN w:val="0"/>
        <w:spacing w:before="122" w:after="0" w:line="276" w:lineRule="auto"/>
        <w:ind w:right="254" w:firstLine="708"/>
        <w:jc w:val="both"/>
        <w:rPr>
          <w:rFonts w:ascii="Verdana" w:eastAsia="Arial MT" w:hAnsi="Verdana" w:cs="Arial MT"/>
          <w:lang w:val="es-ES"/>
        </w:rPr>
      </w:pPr>
      <w:r w:rsidRPr="0094448B">
        <w:rPr>
          <w:rFonts w:ascii="Verdana" w:eastAsia="Arial MT" w:hAnsi="Verdana" w:cs="Arial MT"/>
          <w:lang w:val="es-ES"/>
        </w:rPr>
        <w:t>En este sentido, la misma Ley, en los artículos 38 y 68, clasifica a las sociedades de economía mixta como entidades descentralizadas por servicios, con personería jurídica, autonomía administrativa y patrimonio propio</w:t>
      </w:r>
      <w:r w:rsidRPr="0094448B">
        <w:rPr>
          <w:rFonts w:ascii="Verdana" w:eastAsia="Arial MT" w:hAnsi="Verdana" w:cs="Arial MT"/>
          <w:vertAlign w:val="superscript"/>
          <w:lang w:val="es-ES"/>
        </w:rPr>
        <w:footnoteReference w:id="7"/>
      </w:r>
      <w:r w:rsidRPr="0094448B">
        <w:rPr>
          <w:rFonts w:ascii="Verdana" w:eastAsia="Arial MT" w:hAnsi="Verdana" w:cs="Arial MT"/>
          <w:lang w:val="es-ES"/>
        </w:rPr>
        <w:t>, que pueden ser del orden</w:t>
      </w:r>
      <w:r w:rsidRPr="0094448B">
        <w:rPr>
          <w:rFonts w:ascii="Verdana" w:eastAsia="Arial MT" w:hAnsi="Verdana" w:cs="Arial MT"/>
          <w:spacing w:val="40"/>
          <w:lang w:val="es-ES"/>
        </w:rPr>
        <w:t xml:space="preserve"> </w:t>
      </w:r>
      <w:r w:rsidRPr="0094448B">
        <w:rPr>
          <w:rFonts w:ascii="Verdana" w:eastAsia="Arial MT" w:hAnsi="Verdana" w:cs="Arial MT"/>
          <w:lang w:val="es-ES"/>
        </w:rPr>
        <w:t>nacional, departamental o municipal, según su órgano de creación</w:t>
      </w:r>
      <w:r w:rsidRPr="0094448B">
        <w:rPr>
          <w:rFonts w:ascii="Verdana" w:eastAsia="Arial MT" w:hAnsi="Verdana" w:cs="Arial MT"/>
          <w:vertAlign w:val="superscript"/>
          <w:lang w:val="es-ES"/>
        </w:rPr>
        <w:footnoteReference w:id="8"/>
      </w:r>
      <w:r w:rsidRPr="0094448B">
        <w:rPr>
          <w:rFonts w:ascii="Verdana" w:eastAsia="Arial MT" w:hAnsi="Verdana" w:cs="Arial MT"/>
          <w:lang w:val="es-ES"/>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rasgos: i) pertenecen a la rama ejecutiva del poder público, como manifestación de la descentralización por servicios. Así mismo, </w:t>
      </w:r>
      <w:proofErr w:type="spellStart"/>
      <w:r w:rsidRPr="0094448B">
        <w:rPr>
          <w:rFonts w:ascii="Verdana" w:eastAsia="Arial MT" w:hAnsi="Verdana" w:cs="Arial MT"/>
          <w:lang w:val="es-ES"/>
        </w:rPr>
        <w:t>ii</w:t>
      </w:r>
      <w:proofErr w:type="spellEnd"/>
      <w:r w:rsidRPr="0094448B">
        <w:rPr>
          <w:rFonts w:ascii="Verdana" w:eastAsia="Arial MT" w:hAnsi="Verdana" w:cs="Arial MT"/>
          <w:lang w:val="es-ES"/>
        </w:rPr>
        <w:t>) están sujetas al control</w:t>
      </w:r>
      <w:r w:rsidRPr="0094448B">
        <w:rPr>
          <w:rFonts w:ascii="Verdana" w:eastAsia="Arial MT" w:hAnsi="Verdana" w:cs="Arial MT"/>
          <w:spacing w:val="-1"/>
          <w:lang w:val="es-ES"/>
        </w:rPr>
        <w:t xml:space="preserve"> </w:t>
      </w:r>
      <w:r w:rsidRPr="0094448B">
        <w:rPr>
          <w:rFonts w:ascii="Verdana" w:eastAsia="Arial MT" w:hAnsi="Verdana" w:cs="Arial MT"/>
          <w:lang w:val="es-ES"/>
        </w:rPr>
        <w:t xml:space="preserve">fiscal, financiero, de gestión y de resultados en cabeza de la Contraloría General de la República. Por otra parte, </w:t>
      </w:r>
      <w:proofErr w:type="spellStart"/>
      <w:r w:rsidRPr="0094448B">
        <w:rPr>
          <w:rFonts w:ascii="Verdana" w:eastAsia="Arial MT" w:hAnsi="Verdana" w:cs="Arial MT"/>
          <w:lang w:val="es-ES"/>
        </w:rPr>
        <w:t>iii</w:t>
      </w:r>
      <w:proofErr w:type="spellEnd"/>
      <w:r w:rsidRPr="0094448B">
        <w:rPr>
          <w:rFonts w:ascii="Verdana" w:eastAsia="Arial MT" w:hAnsi="Verdana" w:cs="Arial MT"/>
          <w:lang w:val="es-ES"/>
        </w:rPr>
        <w:t xml:space="preserve">) se someten al control político, que ejerce directamente el Congreso de la República. Además, </w:t>
      </w:r>
      <w:proofErr w:type="spellStart"/>
      <w:r w:rsidRPr="0094448B">
        <w:rPr>
          <w:rFonts w:ascii="Verdana" w:eastAsia="Arial MT" w:hAnsi="Verdana" w:cs="Arial MT"/>
          <w:lang w:val="es-ES"/>
        </w:rPr>
        <w:t>iv</w:t>
      </w:r>
      <w:proofErr w:type="spellEnd"/>
      <w:r w:rsidRPr="0094448B">
        <w:rPr>
          <w:rFonts w:ascii="Verdana" w:eastAsia="Arial MT" w:hAnsi="Verdana" w:cs="Arial MT"/>
          <w:lang w:val="es-ES"/>
        </w:rPr>
        <w:t>) en el caso de las sociedades de economía mixta del orden nacional, le corresponde</w:t>
      </w:r>
      <w:r w:rsidRPr="0094448B">
        <w:rPr>
          <w:rFonts w:ascii="Verdana" w:eastAsia="Arial MT" w:hAnsi="Verdana" w:cs="Arial MT"/>
          <w:spacing w:val="-2"/>
          <w:lang w:val="es-ES"/>
        </w:rPr>
        <w:t xml:space="preserve"> </w:t>
      </w:r>
      <w:r w:rsidRPr="0094448B">
        <w:rPr>
          <w:rFonts w:ascii="Verdana" w:eastAsia="Arial MT" w:hAnsi="Verdana" w:cs="Arial MT"/>
          <w:lang w:val="es-ES"/>
        </w:rPr>
        <w:t>al Congreso</w:t>
      </w:r>
      <w:r w:rsidRPr="0094448B">
        <w:rPr>
          <w:rFonts w:ascii="Verdana" w:eastAsia="Arial MT" w:hAnsi="Verdana" w:cs="Arial MT"/>
          <w:spacing w:val="-2"/>
          <w:lang w:val="es-ES"/>
        </w:rPr>
        <w:t xml:space="preserve"> </w:t>
      </w:r>
      <w:r w:rsidRPr="0094448B">
        <w:rPr>
          <w:rFonts w:ascii="Verdana" w:eastAsia="Arial MT" w:hAnsi="Verdana" w:cs="Arial MT"/>
          <w:lang w:val="es-ES"/>
        </w:rPr>
        <w:t>de</w:t>
      </w:r>
      <w:r w:rsidRPr="0094448B">
        <w:rPr>
          <w:rFonts w:ascii="Verdana" w:eastAsia="Arial MT" w:hAnsi="Verdana" w:cs="Arial MT"/>
          <w:spacing w:val="-2"/>
          <w:lang w:val="es-ES"/>
        </w:rPr>
        <w:t xml:space="preserve"> </w:t>
      </w:r>
      <w:r w:rsidRPr="0094448B">
        <w:rPr>
          <w:rFonts w:ascii="Verdana" w:eastAsia="Arial MT" w:hAnsi="Verdana" w:cs="Arial MT"/>
          <w:lang w:val="es-ES"/>
        </w:rPr>
        <w:t>la</w:t>
      </w:r>
      <w:r w:rsidRPr="0094448B">
        <w:rPr>
          <w:rFonts w:ascii="Verdana" w:eastAsia="Arial MT" w:hAnsi="Verdana" w:cs="Arial MT"/>
          <w:spacing w:val="-2"/>
          <w:lang w:val="es-ES"/>
        </w:rPr>
        <w:t xml:space="preserve"> </w:t>
      </w:r>
      <w:r w:rsidRPr="0094448B">
        <w:rPr>
          <w:rFonts w:ascii="Verdana" w:eastAsia="Arial MT" w:hAnsi="Verdana" w:cs="Arial MT"/>
          <w:lang w:val="es-ES"/>
        </w:rPr>
        <w:t>República su creación</w:t>
      </w:r>
      <w:r w:rsidRPr="0094448B">
        <w:rPr>
          <w:rFonts w:ascii="Verdana" w:eastAsia="Arial MT" w:hAnsi="Verdana" w:cs="Arial MT"/>
          <w:spacing w:val="-2"/>
          <w:lang w:val="es-ES"/>
        </w:rPr>
        <w:t xml:space="preserve"> </w:t>
      </w:r>
      <w:r w:rsidRPr="0094448B">
        <w:rPr>
          <w:rFonts w:ascii="Verdana" w:eastAsia="Arial MT" w:hAnsi="Verdana" w:cs="Arial MT"/>
          <w:lang w:val="es-ES"/>
        </w:rPr>
        <w:t>o</w:t>
      </w:r>
      <w:r w:rsidRPr="0094448B">
        <w:rPr>
          <w:rFonts w:ascii="Verdana" w:eastAsia="Arial MT" w:hAnsi="Verdana" w:cs="Arial MT"/>
          <w:spacing w:val="-2"/>
          <w:lang w:val="es-ES"/>
        </w:rPr>
        <w:t xml:space="preserve"> </w:t>
      </w:r>
      <w:r w:rsidRPr="0094448B">
        <w:rPr>
          <w:rFonts w:ascii="Verdana" w:eastAsia="Arial MT" w:hAnsi="Verdana" w:cs="Arial MT"/>
          <w:lang w:val="es-ES"/>
        </w:rPr>
        <w:t>autorización</w:t>
      </w:r>
      <w:r w:rsidRPr="0094448B">
        <w:rPr>
          <w:rFonts w:ascii="Verdana" w:eastAsia="Arial MT" w:hAnsi="Verdana" w:cs="Arial MT"/>
          <w:spacing w:val="-2"/>
          <w:lang w:val="es-ES"/>
        </w:rPr>
        <w:t xml:space="preserve"> </w:t>
      </w:r>
      <w:r w:rsidRPr="0094448B">
        <w:rPr>
          <w:rFonts w:ascii="Verdana" w:eastAsia="Arial MT" w:hAnsi="Verdana" w:cs="Arial MT"/>
          <w:lang w:val="es-ES"/>
        </w:rPr>
        <w:t xml:space="preserve">mediante ley. En cambio, v) en el </w:t>
      </w:r>
      <w:r w:rsidRPr="0094448B">
        <w:rPr>
          <w:rFonts w:ascii="Verdana" w:eastAsia="Arial MT" w:hAnsi="Verdana" w:cs="Arial MT"/>
          <w:lang w:val="es-ES"/>
        </w:rPr>
        <w:lastRenderedPageBreak/>
        <w:t>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w:t>
      </w:r>
      <w:r w:rsidRPr="0094448B">
        <w:rPr>
          <w:rFonts w:ascii="Verdana" w:eastAsia="Arial MT" w:hAnsi="Verdana" w:cs="Arial MT"/>
          <w:spacing w:val="-1"/>
          <w:lang w:val="es-ES"/>
        </w:rPr>
        <w:t xml:space="preserve"> </w:t>
      </w:r>
      <w:r w:rsidRPr="0094448B">
        <w:rPr>
          <w:rFonts w:ascii="Verdana" w:eastAsia="Arial MT" w:hAnsi="Verdana" w:cs="Arial MT"/>
          <w:lang w:val="es-ES"/>
        </w:rPr>
        <w:t xml:space="preserve">3, 292 y 323 de la Constitución Política. A lo anterior debe agregarse que, </w:t>
      </w:r>
      <w:proofErr w:type="spellStart"/>
      <w:r w:rsidRPr="0094448B">
        <w:rPr>
          <w:rFonts w:ascii="Verdana" w:eastAsia="Arial MT" w:hAnsi="Verdana" w:cs="Arial MT"/>
          <w:lang w:val="es-ES"/>
        </w:rPr>
        <w:t>vii</w:t>
      </w:r>
      <w:proofErr w:type="spellEnd"/>
      <w:r w:rsidRPr="0094448B">
        <w:rPr>
          <w:rFonts w:ascii="Verdana" w:eastAsia="Arial MT" w:hAnsi="Verdana" w:cs="Arial MT"/>
          <w:lang w:val="es-ES"/>
        </w:rPr>
        <w:t xml:space="preserve">) en materia presupuestal, las sociedades de economía mixta quedan sujetas a las reglas de la ley orgánica del presupuesto. De otro lado, </w:t>
      </w:r>
      <w:proofErr w:type="spellStart"/>
      <w:r w:rsidRPr="0094448B">
        <w:rPr>
          <w:rFonts w:ascii="Verdana" w:eastAsia="Arial MT" w:hAnsi="Verdana" w:cs="Arial MT"/>
          <w:lang w:val="es-ES"/>
        </w:rPr>
        <w:t>viii</w:t>
      </w:r>
      <w:proofErr w:type="spellEnd"/>
      <w:r w:rsidRPr="0094448B">
        <w:rPr>
          <w:rFonts w:ascii="Verdana" w:eastAsia="Arial MT" w:hAnsi="Verdana" w:cs="Arial MT"/>
          <w:lang w:val="es-ES"/>
        </w:rPr>
        <w:t xml:space="preserve">) en materia contable, quedan vinculadas a las reglas de contabilidad oficial. Además, </w:t>
      </w:r>
      <w:proofErr w:type="spellStart"/>
      <w:r w:rsidRPr="0094448B">
        <w:rPr>
          <w:rFonts w:ascii="Verdana" w:eastAsia="Arial MT" w:hAnsi="Verdana" w:cs="Arial MT"/>
          <w:lang w:val="es-ES"/>
        </w:rPr>
        <w:t>ix</w:t>
      </w:r>
      <w:proofErr w:type="spellEnd"/>
      <w:r w:rsidRPr="0094448B">
        <w:rPr>
          <w:rFonts w:ascii="Verdana" w:eastAsia="Arial MT" w:hAnsi="Verdana" w:cs="Arial MT"/>
          <w:lang w:val="es-ES"/>
        </w:rPr>
        <w:t>) se rigen por el derecho privado, en virtud de la naturaleza de las actividades que desarrollan.</w:t>
      </w:r>
    </w:p>
    <w:p w14:paraId="42A97B3C" w14:textId="77777777" w:rsidR="004C37CC" w:rsidRPr="0094448B" w:rsidRDefault="004C37CC" w:rsidP="004C37CC">
      <w:pPr>
        <w:widowControl w:val="0"/>
        <w:autoSpaceDE w:val="0"/>
        <w:autoSpaceDN w:val="0"/>
        <w:spacing w:before="120" w:after="0" w:line="276" w:lineRule="auto"/>
        <w:ind w:right="261" w:firstLine="708"/>
        <w:jc w:val="both"/>
        <w:rPr>
          <w:rFonts w:ascii="Verdana" w:eastAsia="Arial MT" w:hAnsi="Verdana" w:cs="Arial MT"/>
          <w:lang w:val="es-ES"/>
        </w:rPr>
      </w:pPr>
      <w:r w:rsidRPr="0094448B">
        <w:rPr>
          <w:rFonts w:ascii="Verdana" w:eastAsia="Arial MT" w:hAnsi="Verdana" w:cs="Arial MT"/>
          <w:lang w:val="es-ES"/>
        </w:rPr>
        <w:t>Sin embargo, la Corte Constitucional en Sentencia C-529 del 12 de julio de 2006, enfatizó en que, a pesar del sometimiento al régimen jurídico de derecho privado para el desarrollo</w:t>
      </w:r>
      <w:r w:rsidRPr="0094448B">
        <w:rPr>
          <w:rFonts w:ascii="Verdana" w:eastAsia="Arial MT" w:hAnsi="Verdana" w:cs="Arial MT"/>
          <w:spacing w:val="19"/>
          <w:lang w:val="es-ES"/>
        </w:rPr>
        <w:t xml:space="preserve"> </w:t>
      </w:r>
      <w:r w:rsidRPr="0094448B">
        <w:rPr>
          <w:rFonts w:ascii="Verdana" w:eastAsia="Arial MT" w:hAnsi="Verdana" w:cs="Arial MT"/>
          <w:lang w:val="es-ES"/>
        </w:rPr>
        <w:t>de</w:t>
      </w:r>
      <w:r w:rsidRPr="0094448B">
        <w:rPr>
          <w:rFonts w:ascii="Verdana" w:eastAsia="Arial MT" w:hAnsi="Verdana" w:cs="Arial MT"/>
          <w:spacing w:val="19"/>
          <w:lang w:val="es-ES"/>
        </w:rPr>
        <w:t xml:space="preserve"> </w:t>
      </w:r>
      <w:r w:rsidRPr="0094448B">
        <w:rPr>
          <w:rFonts w:ascii="Verdana" w:eastAsia="Arial MT" w:hAnsi="Verdana" w:cs="Arial MT"/>
          <w:lang w:val="es-ES"/>
        </w:rPr>
        <w:t>sus actividades,</w:t>
      </w:r>
      <w:r w:rsidRPr="0094448B">
        <w:rPr>
          <w:rFonts w:ascii="Verdana" w:eastAsia="Arial MT" w:hAnsi="Verdana" w:cs="Arial MT"/>
          <w:spacing w:val="18"/>
          <w:lang w:val="es-ES"/>
        </w:rPr>
        <w:t xml:space="preserve"> </w:t>
      </w:r>
      <w:r w:rsidRPr="0094448B">
        <w:rPr>
          <w:rFonts w:ascii="Verdana" w:eastAsia="Arial MT" w:hAnsi="Verdana" w:cs="Arial MT"/>
          <w:lang w:val="es-ES"/>
        </w:rPr>
        <w:t>las</w:t>
      </w:r>
      <w:r w:rsidRPr="0094448B">
        <w:rPr>
          <w:rFonts w:ascii="Verdana" w:eastAsia="Arial MT" w:hAnsi="Verdana" w:cs="Arial MT"/>
          <w:spacing w:val="17"/>
          <w:lang w:val="es-ES"/>
        </w:rPr>
        <w:t xml:space="preserve"> </w:t>
      </w:r>
      <w:r w:rsidRPr="0094448B">
        <w:rPr>
          <w:rFonts w:ascii="Verdana" w:eastAsia="Arial MT" w:hAnsi="Verdana" w:cs="Arial MT"/>
          <w:lang w:val="es-ES"/>
        </w:rPr>
        <w:t>sociedades de economía</w:t>
      </w:r>
      <w:r w:rsidRPr="0094448B">
        <w:rPr>
          <w:rFonts w:ascii="Verdana" w:eastAsia="Arial MT" w:hAnsi="Verdana" w:cs="Arial MT"/>
          <w:spacing w:val="19"/>
          <w:lang w:val="es-ES"/>
        </w:rPr>
        <w:t xml:space="preserve"> </w:t>
      </w:r>
      <w:r w:rsidRPr="0094448B">
        <w:rPr>
          <w:rFonts w:ascii="Verdana" w:eastAsia="Arial MT" w:hAnsi="Verdana" w:cs="Arial MT"/>
          <w:lang w:val="es-ES"/>
        </w:rPr>
        <w:t>mixta</w:t>
      </w:r>
      <w:r w:rsidRPr="0094448B">
        <w:rPr>
          <w:rFonts w:ascii="Verdana" w:eastAsia="Arial MT" w:hAnsi="Verdana" w:cs="Arial MT"/>
          <w:spacing w:val="19"/>
          <w:lang w:val="es-ES"/>
        </w:rPr>
        <w:t xml:space="preserve"> </w:t>
      </w:r>
      <w:r w:rsidRPr="0094448B">
        <w:rPr>
          <w:rFonts w:ascii="Verdana" w:eastAsia="Arial MT" w:hAnsi="Verdana" w:cs="Arial MT"/>
          <w:lang w:val="es-ES"/>
        </w:rPr>
        <w:t>no</w:t>
      </w:r>
      <w:r w:rsidRPr="0094448B">
        <w:rPr>
          <w:rFonts w:ascii="Verdana" w:eastAsia="Arial MT" w:hAnsi="Verdana" w:cs="Arial MT"/>
          <w:spacing w:val="19"/>
          <w:lang w:val="es-ES"/>
        </w:rPr>
        <w:t xml:space="preserve"> </w:t>
      </w:r>
      <w:r w:rsidRPr="0094448B">
        <w:rPr>
          <w:rFonts w:ascii="Verdana" w:eastAsia="Arial MT" w:hAnsi="Verdana" w:cs="Arial MT"/>
          <w:lang w:val="es-ES"/>
        </w:rPr>
        <w:t>pierden</w:t>
      </w:r>
      <w:r w:rsidRPr="0094448B">
        <w:rPr>
          <w:rFonts w:ascii="Verdana" w:eastAsia="Arial MT" w:hAnsi="Verdana" w:cs="Arial MT"/>
          <w:spacing w:val="19"/>
          <w:lang w:val="es-ES"/>
        </w:rPr>
        <w:t xml:space="preserve"> </w:t>
      </w:r>
      <w:r w:rsidRPr="0094448B">
        <w:rPr>
          <w:rFonts w:ascii="Verdana" w:eastAsia="Arial MT" w:hAnsi="Verdana" w:cs="Arial MT"/>
          <w:lang w:val="es-ES"/>
        </w:rPr>
        <w:t>su</w:t>
      </w:r>
      <w:r w:rsidRPr="0094448B">
        <w:rPr>
          <w:rFonts w:ascii="Verdana" w:eastAsia="Arial MT" w:hAnsi="Verdana" w:cs="Arial MT"/>
          <w:spacing w:val="19"/>
          <w:lang w:val="es-ES"/>
        </w:rPr>
        <w:t xml:space="preserve"> </w:t>
      </w:r>
      <w:r w:rsidRPr="0094448B">
        <w:rPr>
          <w:rFonts w:ascii="Verdana" w:eastAsia="Arial MT" w:hAnsi="Verdana" w:cs="Arial MT"/>
          <w:lang w:val="es-ES"/>
        </w:rPr>
        <w:t>carácter de expresión organizacional de la actividad estatal</w:t>
      </w:r>
      <w:r w:rsidRPr="0094448B">
        <w:rPr>
          <w:rFonts w:ascii="Verdana" w:eastAsia="Arial MT" w:hAnsi="Verdana" w:cs="Arial MT"/>
          <w:vertAlign w:val="superscript"/>
          <w:lang w:val="es-ES"/>
        </w:rPr>
        <w:footnoteReference w:id="9"/>
      </w:r>
      <w:r w:rsidRPr="0094448B">
        <w:rPr>
          <w:rFonts w:ascii="Verdana" w:eastAsia="Arial MT" w:hAnsi="Verdana" w:cs="Arial MT"/>
          <w:lang w:val="es-ES"/>
        </w:rPr>
        <w:t>, más precisamente de la función administrativa</w:t>
      </w:r>
      <w:r w:rsidRPr="0094448B">
        <w:rPr>
          <w:rFonts w:ascii="Verdana" w:eastAsia="Arial MT" w:hAnsi="Verdana" w:cs="Arial MT"/>
          <w:vertAlign w:val="superscript"/>
          <w:lang w:val="es-ES"/>
        </w:rPr>
        <w:footnoteReference w:id="10"/>
      </w:r>
      <w:r w:rsidRPr="0094448B">
        <w:rPr>
          <w:rFonts w:ascii="Verdana" w:eastAsia="Arial MT" w:hAnsi="Verdana" w:cs="Arial MT"/>
          <w:lang w:val="es-ES"/>
        </w:rPr>
        <w:t xml:space="preserve">, en virtud del aporte público en la constitución del capital social y la consiguiente pertenencia a la administración pública, en la condición de entidades </w:t>
      </w:r>
      <w:r w:rsidRPr="0094448B">
        <w:rPr>
          <w:rFonts w:ascii="Verdana" w:eastAsia="Arial MT" w:hAnsi="Verdana" w:cs="Arial MT"/>
          <w:spacing w:val="-2"/>
          <w:lang w:val="es-ES"/>
        </w:rPr>
        <w:t>descentralizadas.</w:t>
      </w:r>
    </w:p>
    <w:p w14:paraId="7AE99744" w14:textId="77777777" w:rsidR="004C37CC" w:rsidRPr="0094448B" w:rsidRDefault="004C37CC" w:rsidP="004C37CC">
      <w:pPr>
        <w:widowControl w:val="0"/>
        <w:autoSpaceDE w:val="0"/>
        <w:autoSpaceDN w:val="0"/>
        <w:spacing w:before="124" w:after="0" w:line="276" w:lineRule="auto"/>
        <w:ind w:right="260" w:firstLine="708"/>
        <w:jc w:val="both"/>
        <w:rPr>
          <w:rFonts w:ascii="Verdana" w:eastAsia="Arial MT" w:hAnsi="Verdana" w:cs="Arial MT"/>
          <w:lang w:val="es-ES"/>
        </w:rPr>
      </w:pPr>
      <w:r w:rsidRPr="0094448B">
        <w:rPr>
          <w:rFonts w:ascii="Verdana" w:eastAsia="Arial MT" w:hAnsi="Verdana" w:cs="Arial MT"/>
          <w:lang w:val="es-ES"/>
        </w:rPr>
        <w:t>En este orden de ideas, resulta importante resaltar que, en nuestro ordenamiento jurídico, las sociedades de economía mixta están sometidas a un régimen jurídico compuesto por un conjunto normativo de derecho público y de derecho privado; el</w:t>
      </w:r>
      <w:r w:rsidRPr="0094448B">
        <w:rPr>
          <w:rFonts w:ascii="Verdana" w:eastAsia="Arial MT" w:hAnsi="Verdana" w:cs="Arial MT"/>
          <w:spacing w:val="40"/>
          <w:lang w:val="es-ES"/>
        </w:rPr>
        <w:t xml:space="preserve"> </w:t>
      </w:r>
      <w:r w:rsidRPr="0094448B">
        <w:rPr>
          <w:rFonts w:ascii="Verdana" w:eastAsia="Arial MT" w:hAnsi="Verdana" w:cs="Arial MT"/>
          <w:lang w:val="es-ES"/>
        </w:rPr>
        <w:t>primero, derivado directamente de la Constitución Política y referido a aspectos como su creación, autorización, organización y funcionamiento internos. Y el segundo destinado a regir el desarrollo de la actividad económica de cada sociedad.</w:t>
      </w:r>
    </w:p>
    <w:p w14:paraId="6E5D102D" w14:textId="77777777" w:rsidR="004C37CC" w:rsidRPr="0094448B" w:rsidRDefault="004C37CC" w:rsidP="004C37CC">
      <w:pPr>
        <w:widowControl w:val="0"/>
        <w:autoSpaceDE w:val="0"/>
        <w:autoSpaceDN w:val="0"/>
        <w:spacing w:before="117" w:after="0" w:line="276" w:lineRule="auto"/>
        <w:ind w:right="256" w:firstLine="708"/>
        <w:jc w:val="both"/>
        <w:rPr>
          <w:rFonts w:ascii="Verdana" w:eastAsia="Arial MT" w:hAnsi="Verdana" w:cs="Arial MT"/>
          <w:lang w:val="es-ES"/>
        </w:rPr>
      </w:pPr>
      <w:r w:rsidRPr="0094448B">
        <w:rPr>
          <w:rFonts w:ascii="Verdana" w:eastAsia="Arial MT" w:hAnsi="Verdana" w:cs="Arial MT"/>
          <w:lang w:val="es-ES"/>
        </w:rPr>
        <w:t xml:space="preserve">Ahora bien, conviene analizar el régimen aplicable para los actos y contratos que celebran estas entidades. Al respecto, el literal a), del artículo </w:t>
      </w:r>
      <w:r w:rsidRPr="0094448B">
        <w:rPr>
          <w:rFonts w:ascii="Verdana" w:eastAsia="Arial MT" w:hAnsi="Verdana" w:cs="Arial MT"/>
          <w:lang w:val="es-ES"/>
        </w:rPr>
        <w:lastRenderedPageBreak/>
        <w:t>2 de la Ley 80 de 1993, señala que son entidades estatales las sociedades de economía mixta en las que el Estado tenga participación superior al cincuenta por ciento (50%)</w:t>
      </w:r>
      <w:r w:rsidRPr="0094448B">
        <w:rPr>
          <w:rFonts w:ascii="Verdana" w:eastAsia="Arial MT" w:hAnsi="Verdana" w:cs="Arial MT"/>
          <w:vertAlign w:val="superscript"/>
          <w:lang w:val="es-ES"/>
        </w:rPr>
        <w:footnoteReference w:id="11"/>
      </w:r>
      <w:r w:rsidRPr="0094448B">
        <w:rPr>
          <w:rFonts w:ascii="Verdana" w:eastAsia="Arial MT" w:hAnsi="Verdana" w:cs="Arial MT"/>
          <w:lang w:val="es-ES"/>
        </w:rPr>
        <w:t>. Esto significa que el legislador,</w:t>
      </w:r>
      <w:r w:rsidRPr="0094448B">
        <w:rPr>
          <w:rFonts w:ascii="Verdana" w:eastAsia="Arial MT" w:hAnsi="Verdana" w:cs="Arial MT"/>
          <w:spacing w:val="29"/>
          <w:lang w:val="es-ES"/>
        </w:rPr>
        <w:t xml:space="preserve"> </w:t>
      </w:r>
      <w:r w:rsidRPr="0094448B">
        <w:rPr>
          <w:rFonts w:ascii="Verdana" w:eastAsia="Arial MT" w:hAnsi="Verdana" w:cs="Arial MT"/>
          <w:lang w:val="es-ES"/>
        </w:rPr>
        <w:t>en</w:t>
      </w:r>
      <w:r w:rsidRPr="0094448B">
        <w:rPr>
          <w:rFonts w:ascii="Verdana" w:eastAsia="Arial MT" w:hAnsi="Verdana" w:cs="Arial MT"/>
          <w:spacing w:val="30"/>
          <w:lang w:val="es-ES"/>
        </w:rPr>
        <w:t xml:space="preserve"> </w:t>
      </w:r>
      <w:r w:rsidRPr="0094448B">
        <w:rPr>
          <w:rFonts w:ascii="Verdana" w:eastAsia="Arial MT" w:hAnsi="Verdana" w:cs="Arial MT"/>
          <w:lang w:val="es-ES"/>
        </w:rPr>
        <w:t>el</w:t>
      </w:r>
      <w:r w:rsidRPr="0094448B">
        <w:rPr>
          <w:rFonts w:ascii="Verdana" w:eastAsia="Arial MT" w:hAnsi="Verdana" w:cs="Arial MT"/>
          <w:spacing w:val="27"/>
          <w:lang w:val="es-ES"/>
        </w:rPr>
        <w:t xml:space="preserve"> </w:t>
      </w:r>
      <w:r w:rsidRPr="0094448B">
        <w:rPr>
          <w:rFonts w:ascii="Verdana" w:eastAsia="Arial MT" w:hAnsi="Verdana" w:cs="Arial MT"/>
          <w:lang w:val="es-ES"/>
        </w:rPr>
        <w:t>año</w:t>
      </w:r>
      <w:r w:rsidRPr="0094448B">
        <w:rPr>
          <w:rFonts w:ascii="Verdana" w:eastAsia="Arial MT" w:hAnsi="Verdana" w:cs="Arial MT"/>
          <w:spacing w:val="30"/>
          <w:lang w:val="es-ES"/>
        </w:rPr>
        <w:t xml:space="preserve"> </w:t>
      </w:r>
      <w:r w:rsidRPr="0094448B">
        <w:rPr>
          <w:rFonts w:ascii="Verdana" w:eastAsia="Arial MT" w:hAnsi="Verdana" w:cs="Arial MT"/>
          <w:lang w:val="es-ES"/>
        </w:rPr>
        <w:t>1993,</w:t>
      </w:r>
      <w:r w:rsidRPr="0094448B">
        <w:rPr>
          <w:rFonts w:ascii="Verdana" w:eastAsia="Arial MT" w:hAnsi="Verdana" w:cs="Arial MT"/>
          <w:spacing w:val="34"/>
          <w:lang w:val="es-ES"/>
        </w:rPr>
        <w:t xml:space="preserve"> </w:t>
      </w:r>
      <w:r w:rsidRPr="0094448B">
        <w:rPr>
          <w:rFonts w:ascii="Verdana" w:eastAsia="Arial MT" w:hAnsi="Verdana" w:cs="Arial MT"/>
          <w:lang w:val="es-ES"/>
        </w:rPr>
        <w:t>estableció</w:t>
      </w:r>
      <w:r w:rsidRPr="0094448B">
        <w:rPr>
          <w:rFonts w:ascii="Verdana" w:eastAsia="Arial MT" w:hAnsi="Verdana" w:cs="Arial MT"/>
          <w:spacing w:val="30"/>
          <w:lang w:val="es-ES"/>
        </w:rPr>
        <w:t xml:space="preserve"> </w:t>
      </w:r>
      <w:r w:rsidRPr="0094448B">
        <w:rPr>
          <w:rFonts w:ascii="Verdana" w:eastAsia="Arial MT" w:hAnsi="Verdana" w:cs="Arial MT"/>
          <w:lang w:val="es-ES"/>
        </w:rPr>
        <w:t>que</w:t>
      </w:r>
      <w:r w:rsidRPr="0094448B">
        <w:rPr>
          <w:rFonts w:ascii="Verdana" w:eastAsia="Arial MT" w:hAnsi="Verdana" w:cs="Arial MT"/>
          <w:spacing w:val="30"/>
          <w:lang w:val="es-ES"/>
        </w:rPr>
        <w:t xml:space="preserve"> </w:t>
      </w:r>
      <w:r w:rsidRPr="0094448B">
        <w:rPr>
          <w:rFonts w:ascii="Verdana" w:eastAsia="Arial MT" w:hAnsi="Verdana" w:cs="Arial MT"/>
          <w:lang w:val="es-ES"/>
        </w:rPr>
        <w:t>las</w:t>
      </w:r>
      <w:r w:rsidRPr="0094448B">
        <w:rPr>
          <w:rFonts w:ascii="Verdana" w:eastAsia="Arial MT" w:hAnsi="Verdana" w:cs="Arial MT"/>
          <w:spacing w:val="33"/>
          <w:lang w:val="es-ES"/>
        </w:rPr>
        <w:t xml:space="preserve"> </w:t>
      </w:r>
      <w:r w:rsidRPr="0094448B">
        <w:rPr>
          <w:rFonts w:ascii="Verdana" w:eastAsia="Arial MT" w:hAnsi="Verdana" w:cs="Arial MT"/>
          <w:lang w:val="es-ES"/>
        </w:rPr>
        <w:t>sociedades</w:t>
      </w:r>
      <w:r w:rsidRPr="0094448B">
        <w:rPr>
          <w:rFonts w:ascii="Verdana" w:eastAsia="Arial MT" w:hAnsi="Verdana" w:cs="Arial MT"/>
          <w:spacing w:val="28"/>
          <w:lang w:val="es-ES"/>
        </w:rPr>
        <w:t xml:space="preserve"> </w:t>
      </w:r>
      <w:r w:rsidRPr="0094448B">
        <w:rPr>
          <w:rFonts w:ascii="Verdana" w:eastAsia="Arial MT" w:hAnsi="Verdana" w:cs="Arial MT"/>
          <w:lang w:val="es-ES"/>
        </w:rPr>
        <w:t>de</w:t>
      </w:r>
      <w:r w:rsidRPr="0094448B">
        <w:rPr>
          <w:rFonts w:ascii="Verdana" w:eastAsia="Arial MT" w:hAnsi="Verdana" w:cs="Arial MT"/>
          <w:spacing w:val="30"/>
          <w:lang w:val="es-ES"/>
        </w:rPr>
        <w:t xml:space="preserve"> </w:t>
      </w:r>
      <w:r w:rsidRPr="0094448B">
        <w:rPr>
          <w:rFonts w:ascii="Verdana" w:eastAsia="Arial MT" w:hAnsi="Verdana" w:cs="Arial MT"/>
          <w:lang w:val="es-ES"/>
        </w:rPr>
        <w:t>economía</w:t>
      </w:r>
      <w:r w:rsidRPr="0094448B">
        <w:rPr>
          <w:rFonts w:ascii="Verdana" w:eastAsia="Arial MT" w:hAnsi="Verdana" w:cs="Arial MT"/>
          <w:spacing w:val="35"/>
          <w:lang w:val="es-ES"/>
        </w:rPr>
        <w:t xml:space="preserve"> </w:t>
      </w:r>
      <w:r w:rsidRPr="0094448B">
        <w:rPr>
          <w:rFonts w:ascii="Verdana" w:eastAsia="Arial MT" w:hAnsi="Verdana" w:cs="Arial MT"/>
          <w:lang w:val="es-ES"/>
        </w:rPr>
        <w:t>mixta</w:t>
      </w:r>
      <w:r w:rsidRPr="0094448B">
        <w:rPr>
          <w:rFonts w:ascii="Verdana" w:eastAsia="Arial MT" w:hAnsi="Verdana" w:cs="Arial MT"/>
          <w:spacing w:val="30"/>
          <w:lang w:val="es-ES"/>
        </w:rPr>
        <w:t xml:space="preserve"> </w:t>
      </w:r>
      <w:r w:rsidRPr="0094448B">
        <w:rPr>
          <w:rFonts w:ascii="Verdana" w:eastAsia="Arial MT" w:hAnsi="Verdana" w:cs="Arial MT"/>
          <w:lang w:val="es-ES"/>
        </w:rPr>
        <w:t>donde</w:t>
      </w:r>
      <w:r w:rsidRPr="0094448B">
        <w:rPr>
          <w:rFonts w:ascii="Verdana" w:eastAsia="Arial MT" w:hAnsi="Verdana" w:cs="Arial MT"/>
          <w:spacing w:val="30"/>
          <w:lang w:val="es-ES"/>
        </w:rPr>
        <w:t xml:space="preserve"> </w:t>
      </w:r>
      <w:r w:rsidRPr="0094448B">
        <w:rPr>
          <w:rFonts w:ascii="Verdana" w:eastAsia="Arial MT" w:hAnsi="Verdana" w:cs="Arial MT"/>
          <w:lang w:val="es-ES"/>
        </w:rPr>
        <w:t>el Estado</w:t>
      </w:r>
      <w:r w:rsidRPr="0094448B">
        <w:rPr>
          <w:rFonts w:ascii="Verdana" w:eastAsia="Arial MT" w:hAnsi="Verdana" w:cs="Arial MT"/>
          <w:spacing w:val="-5"/>
          <w:lang w:val="es-ES"/>
        </w:rPr>
        <w:t xml:space="preserve"> </w:t>
      </w:r>
      <w:r w:rsidRPr="0094448B">
        <w:rPr>
          <w:rFonts w:ascii="Verdana" w:eastAsia="Arial MT" w:hAnsi="Verdana" w:cs="Arial MT"/>
          <w:lang w:val="es-ES"/>
        </w:rPr>
        <w:t>tenga participación superior</w:t>
      </w:r>
      <w:r w:rsidRPr="0094448B">
        <w:rPr>
          <w:rFonts w:ascii="Verdana" w:eastAsia="Arial MT" w:hAnsi="Verdana" w:cs="Arial MT"/>
          <w:spacing w:val="-4"/>
          <w:lang w:val="es-ES"/>
        </w:rPr>
        <w:t xml:space="preserve"> </w:t>
      </w:r>
      <w:r w:rsidRPr="0094448B">
        <w:rPr>
          <w:rFonts w:ascii="Verdana" w:eastAsia="Arial MT" w:hAnsi="Verdana" w:cs="Arial MT"/>
          <w:lang w:val="es-ES"/>
        </w:rPr>
        <w:t>al</w:t>
      </w:r>
      <w:r w:rsidRPr="0094448B">
        <w:rPr>
          <w:rFonts w:ascii="Verdana" w:eastAsia="Arial MT" w:hAnsi="Verdana" w:cs="Arial MT"/>
          <w:spacing w:val="-3"/>
          <w:lang w:val="es-ES"/>
        </w:rPr>
        <w:t xml:space="preserve"> </w:t>
      </w:r>
      <w:r w:rsidRPr="0094448B">
        <w:rPr>
          <w:rFonts w:ascii="Verdana" w:eastAsia="Arial MT" w:hAnsi="Verdana" w:cs="Arial MT"/>
          <w:lang w:val="es-ES"/>
        </w:rPr>
        <w:t>cincuenta</w:t>
      </w:r>
      <w:r w:rsidRPr="0094448B">
        <w:rPr>
          <w:rFonts w:ascii="Verdana" w:eastAsia="Arial MT" w:hAnsi="Verdana" w:cs="Arial MT"/>
          <w:spacing w:val="-1"/>
          <w:lang w:val="es-ES"/>
        </w:rPr>
        <w:t xml:space="preserve"> </w:t>
      </w:r>
      <w:r w:rsidRPr="0094448B">
        <w:rPr>
          <w:rFonts w:ascii="Verdana" w:eastAsia="Arial MT" w:hAnsi="Verdana" w:cs="Arial MT"/>
          <w:lang w:val="es-ES"/>
        </w:rPr>
        <w:t>por</w:t>
      </w:r>
      <w:r w:rsidRPr="0094448B">
        <w:rPr>
          <w:rFonts w:ascii="Verdana" w:eastAsia="Arial MT" w:hAnsi="Verdana" w:cs="Arial MT"/>
          <w:spacing w:val="-4"/>
          <w:lang w:val="es-ES"/>
        </w:rPr>
        <w:t xml:space="preserve"> </w:t>
      </w:r>
      <w:r w:rsidRPr="0094448B">
        <w:rPr>
          <w:rFonts w:ascii="Verdana" w:eastAsia="Arial MT" w:hAnsi="Verdana" w:cs="Arial MT"/>
          <w:lang w:val="es-ES"/>
        </w:rPr>
        <w:t>ciento</w:t>
      </w:r>
      <w:r w:rsidRPr="0094448B">
        <w:rPr>
          <w:rFonts w:ascii="Verdana" w:eastAsia="Arial MT" w:hAnsi="Verdana" w:cs="Arial MT"/>
          <w:spacing w:val="-1"/>
          <w:lang w:val="es-ES"/>
        </w:rPr>
        <w:t xml:space="preserve"> </w:t>
      </w:r>
      <w:r w:rsidRPr="0094448B">
        <w:rPr>
          <w:rFonts w:ascii="Verdana" w:eastAsia="Arial MT" w:hAnsi="Verdana" w:cs="Arial MT"/>
          <w:lang w:val="es-ES"/>
        </w:rPr>
        <w:t>(50%)</w:t>
      </w:r>
      <w:r w:rsidRPr="0094448B">
        <w:rPr>
          <w:rFonts w:ascii="Verdana" w:eastAsia="Arial MT" w:hAnsi="Verdana" w:cs="Arial MT"/>
          <w:spacing w:val="-3"/>
          <w:lang w:val="es-ES"/>
        </w:rPr>
        <w:t xml:space="preserve"> </w:t>
      </w:r>
      <w:r w:rsidRPr="0094448B">
        <w:rPr>
          <w:rFonts w:ascii="Verdana" w:eastAsia="Arial MT" w:hAnsi="Verdana" w:cs="Arial MT"/>
          <w:lang w:val="es-ES"/>
        </w:rPr>
        <w:t>están</w:t>
      </w:r>
      <w:r w:rsidRPr="0094448B">
        <w:rPr>
          <w:rFonts w:ascii="Verdana" w:eastAsia="Arial MT" w:hAnsi="Verdana" w:cs="Arial MT"/>
          <w:spacing w:val="-1"/>
          <w:lang w:val="es-ES"/>
        </w:rPr>
        <w:t xml:space="preserve"> </w:t>
      </w:r>
      <w:r w:rsidRPr="0094448B">
        <w:rPr>
          <w:rFonts w:ascii="Verdana" w:eastAsia="Arial MT" w:hAnsi="Verdana" w:cs="Arial MT"/>
          <w:lang w:val="es-ES"/>
        </w:rPr>
        <w:t>sujetos</w:t>
      </w:r>
      <w:r w:rsidRPr="0094448B">
        <w:rPr>
          <w:rFonts w:ascii="Verdana" w:eastAsia="Arial MT" w:hAnsi="Verdana" w:cs="Arial MT"/>
          <w:spacing w:val="-2"/>
          <w:lang w:val="es-ES"/>
        </w:rPr>
        <w:t xml:space="preserve"> </w:t>
      </w:r>
      <w:r w:rsidRPr="0094448B">
        <w:rPr>
          <w:rFonts w:ascii="Verdana" w:eastAsia="Arial MT" w:hAnsi="Verdana" w:cs="Arial MT"/>
          <w:lang w:val="es-ES"/>
        </w:rPr>
        <w:t>al Estatuto General de Contratación de la Administración Pública.</w:t>
      </w:r>
    </w:p>
    <w:p w14:paraId="03426D96" w14:textId="77777777" w:rsidR="004C37CC" w:rsidRPr="0094448B" w:rsidRDefault="004C37CC" w:rsidP="004C37CC">
      <w:pPr>
        <w:widowControl w:val="0"/>
        <w:autoSpaceDE w:val="0"/>
        <w:autoSpaceDN w:val="0"/>
        <w:spacing w:before="115" w:after="0" w:line="276" w:lineRule="auto"/>
        <w:ind w:right="257" w:firstLine="708"/>
        <w:jc w:val="both"/>
        <w:rPr>
          <w:rFonts w:ascii="Verdana" w:eastAsia="Arial MT" w:hAnsi="Verdana" w:cs="Arial MT"/>
          <w:lang w:val="es-ES"/>
        </w:rPr>
      </w:pPr>
      <w:r w:rsidRPr="0094448B">
        <w:rPr>
          <w:rFonts w:ascii="Verdana" w:eastAsia="Arial MT" w:hAnsi="Verdana" w:cs="Arial MT"/>
          <w:lang w:val="es-ES"/>
        </w:rPr>
        <w:t>Frente al particular, el Consejo de Estado, en el Concepto 1127 del 10 de</w:t>
      </w:r>
      <w:r w:rsidRPr="0094448B">
        <w:rPr>
          <w:rFonts w:ascii="Verdana" w:eastAsia="Arial MT" w:hAnsi="Verdana" w:cs="Arial MT"/>
          <w:spacing w:val="80"/>
          <w:lang w:val="es-ES"/>
        </w:rPr>
        <w:t xml:space="preserve"> </w:t>
      </w:r>
      <w:r w:rsidRPr="0094448B">
        <w:rPr>
          <w:rFonts w:ascii="Verdana" w:eastAsia="Arial MT" w:hAnsi="Verdana" w:cs="Arial MT"/>
          <w:lang w:val="es-ES"/>
        </w:rPr>
        <w:t>diciembre de 2004, 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w:t>
      </w:r>
      <w:r w:rsidRPr="0094448B">
        <w:rPr>
          <w:rFonts w:ascii="Verdana" w:eastAsia="Arial MT" w:hAnsi="Verdana" w:cs="Arial MT"/>
          <w:vertAlign w:val="superscript"/>
          <w:lang w:val="es-ES"/>
        </w:rPr>
        <w:footnoteReference w:id="12"/>
      </w:r>
      <w:r w:rsidRPr="0094448B">
        <w:rPr>
          <w:rFonts w:ascii="Verdana" w:eastAsia="Arial MT" w:hAnsi="Verdana" w:cs="Arial MT"/>
          <w:lang w:val="es-ES"/>
        </w:rPr>
        <w:t>. Es claro, entonces, que las sociedades de economía mixta con participación estatal superior al cincuenta por ciento (50%) se rigen en materia contractual por la Ley 80 de 1993, de acuerdo con la libertad de configuración del legislador en la materia.</w:t>
      </w:r>
    </w:p>
    <w:p w14:paraId="2672C1E0" w14:textId="77777777" w:rsidR="004C37CC" w:rsidRPr="0094448B" w:rsidRDefault="004C37CC" w:rsidP="004C37CC">
      <w:pPr>
        <w:widowControl w:val="0"/>
        <w:autoSpaceDE w:val="0"/>
        <w:autoSpaceDN w:val="0"/>
        <w:spacing w:before="115" w:after="0" w:line="276" w:lineRule="auto"/>
        <w:ind w:right="257" w:firstLine="708"/>
        <w:jc w:val="both"/>
        <w:rPr>
          <w:rFonts w:ascii="Verdana" w:eastAsia="Arial MT" w:hAnsi="Verdana" w:cs="Arial MT"/>
          <w:lang w:val="es-ES"/>
        </w:rPr>
      </w:pPr>
      <w:r w:rsidRPr="0094448B">
        <w:rPr>
          <w:rFonts w:ascii="Verdana" w:eastAsia="Arial MT" w:hAnsi="Verdana" w:cs="Arial MT"/>
          <w:lang w:val="es-ES"/>
        </w:rPr>
        <w:t>Sin embargo, actualmente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Estatuto General de Contratación la Administración Pública, en adelante EGCAP, con excepción de aquellas que desarrollen actividades</w:t>
      </w:r>
      <w:r w:rsidRPr="0094448B">
        <w:rPr>
          <w:rFonts w:ascii="Verdana" w:eastAsia="Arial MT" w:hAnsi="Verdana" w:cs="Arial MT"/>
          <w:spacing w:val="-1"/>
          <w:lang w:val="es-ES"/>
        </w:rPr>
        <w:t xml:space="preserve"> </w:t>
      </w:r>
      <w:r w:rsidRPr="0094448B">
        <w:rPr>
          <w:rFonts w:ascii="Verdana" w:eastAsia="Arial MT" w:hAnsi="Verdana" w:cs="Arial MT"/>
          <w:lang w:val="es-ES"/>
        </w:rPr>
        <w:t>comerciales</w:t>
      </w:r>
      <w:r w:rsidRPr="0094448B">
        <w:rPr>
          <w:rFonts w:ascii="Verdana" w:eastAsia="Arial MT" w:hAnsi="Verdana" w:cs="Arial MT"/>
          <w:spacing w:val="-1"/>
          <w:lang w:val="es-ES"/>
        </w:rPr>
        <w:t xml:space="preserve"> </w:t>
      </w:r>
      <w:r w:rsidRPr="0094448B">
        <w:rPr>
          <w:rFonts w:ascii="Verdana" w:eastAsia="Arial MT" w:hAnsi="Verdana" w:cs="Arial MT"/>
          <w:lang w:val="es-ES"/>
        </w:rPr>
        <w:t>en competencia con el sector</w:t>
      </w:r>
      <w:r w:rsidRPr="0094448B">
        <w:rPr>
          <w:rFonts w:ascii="Verdana" w:eastAsia="Arial MT" w:hAnsi="Verdana" w:cs="Arial MT"/>
          <w:spacing w:val="-2"/>
          <w:lang w:val="es-ES"/>
        </w:rPr>
        <w:t xml:space="preserve"> </w:t>
      </w:r>
      <w:r w:rsidRPr="0094448B">
        <w:rPr>
          <w:rFonts w:ascii="Verdana" w:eastAsia="Arial MT" w:hAnsi="Verdana" w:cs="Arial MT"/>
          <w:lang w:val="es-ES"/>
        </w:rPr>
        <w:t xml:space="preserve">privado y/o público, nacional o internacional, o en mercados regulados, caso en el cual se regirán por las disposiciones legales y reglamentarias aplicables a sus actividades </w:t>
      </w:r>
      <w:r w:rsidRPr="0094448B">
        <w:rPr>
          <w:rFonts w:ascii="Verdana" w:eastAsia="Arial MT" w:hAnsi="Verdana" w:cs="Arial MT"/>
          <w:lang w:val="es-ES"/>
        </w:rPr>
        <w:lastRenderedPageBreak/>
        <w:t>económicas y comerciales</w:t>
      </w:r>
      <w:r w:rsidRPr="0094448B">
        <w:rPr>
          <w:rFonts w:ascii="Verdana" w:eastAsia="Arial MT" w:hAnsi="Verdana" w:cs="Arial MT"/>
          <w:vertAlign w:val="superscript"/>
          <w:lang w:val="es-ES"/>
        </w:rPr>
        <w:footnoteReference w:id="13"/>
      </w:r>
      <w:r w:rsidRPr="0094448B">
        <w:rPr>
          <w:rFonts w:ascii="Verdana" w:eastAsia="Arial MT" w:hAnsi="Verdana" w:cs="Arial MT"/>
          <w:lang w:val="es-ES"/>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1B847291" w14:textId="77777777" w:rsidR="004C37CC" w:rsidRPr="0094448B" w:rsidRDefault="004C37CC" w:rsidP="004C37CC">
      <w:pPr>
        <w:widowControl w:val="0"/>
        <w:autoSpaceDE w:val="0"/>
        <w:autoSpaceDN w:val="0"/>
        <w:spacing w:before="122" w:after="0" w:line="276" w:lineRule="auto"/>
        <w:ind w:right="266" w:firstLine="708"/>
        <w:jc w:val="both"/>
        <w:rPr>
          <w:rFonts w:ascii="Verdana" w:eastAsia="Arial MT" w:hAnsi="Verdana" w:cs="Arial MT"/>
          <w:spacing w:val="-2"/>
          <w:lang w:val="es-ES"/>
        </w:rPr>
      </w:pPr>
      <w:r w:rsidRPr="0094448B">
        <w:rPr>
          <w:rFonts w:ascii="Verdana" w:eastAsia="Arial MT" w:hAnsi="Verdana" w:cs="Arial MT"/>
          <w:lang w:val="es-ES"/>
        </w:rPr>
        <w:t>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w:t>
      </w:r>
      <w:r w:rsidRPr="0094448B">
        <w:rPr>
          <w:rFonts w:ascii="Verdana" w:eastAsia="Arial MT" w:hAnsi="Verdana" w:cs="Arial MT"/>
          <w:spacing w:val="32"/>
          <w:lang w:val="es-ES"/>
        </w:rPr>
        <w:t xml:space="preserve"> </w:t>
      </w:r>
      <w:r w:rsidRPr="0094448B">
        <w:rPr>
          <w:rFonts w:ascii="Verdana" w:eastAsia="Arial MT" w:hAnsi="Verdana" w:cs="Arial MT"/>
          <w:lang w:val="es-ES"/>
        </w:rPr>
        <w:t>de</w:t>
      </w:r>
      <w:r w:rsidRPr="0094448B">
        <w:rPr>
          <w:rFonts w:ascii="Verdana" w:eastAsia="Arial MT" w:hAnsi="Verdana" w:cs="Arial MT"/>
          <w:spacing w:val="34"/>
          <w:lang w:val="es-ES"/>
        </w:rPr>
        <w:t xml:space="preserve"> </w:t>
      </w:r>
      <w:r w:rsidRPr="0094448B">
        <w:rPr>
          <w:rFonts w:ascii="Verdana" w:eastAsia="Arial MT" w:hAnsi="Verdana" w:cs="Arial MT"/>
          <w:lang w:val="es-ES"/>
        </w:rPr>
        <w:t>economía</w:t>
      </w:r>
      <w:r w:rsidRPr="0094448B">
        <w:rPr>
          <w:rFonts w:ascii="Verdana" w:eastAsia="Arial MT" w:hAnsi="Verdana" w:cs="Arial MT"/>
          <w:spacing w:val="39"/>
          <w:lang w:val="es-ES"/>
        </w:rPr>
        <w:t xml:space="preserve"> </w:t>
      </w:r>
      <w:r w:rsidRPr="0094448B">
        <w:rPr>
          <w:rFonts w:ascii="Verdana" w:eastAsia="Arial MT" w:hAnsi="Verdana" w:cs="Arial MT"/>
          <w:lang w:val="es-ES"/>
        </w:rPr>
        <w:t>mixta</w:t>
      </w:r>
      <w:r w:rsidRPr="0094448B">
        <w:rPr>
          <w:rFonts w:ascii="Verdana" w:eastAsia="Arial MT" w:hAnsi="Verdana" w:cs="Arial MT"/>
          <w:spacing w:val="34"/>
          <w:lang w:val="es-ES"/>
        </w:rPr>
        <w:t xml:space="preserve"> </w:t>
      </w:r>
      <w:r w:rsidRPr="0094448B">
        <w:rPr>
          <w:rFonts w:ascii="Verdana" w:eastAsia="Arial MT" w:hAnsi="Verdana" w:cs="Arial MT"/>
          <w:lang w:val="es-ES"/>
        </w:rPr>
        <w:t>en</w:t>
      </w:r>
      <w:r w:rsidRPr="0094448B">
        <w:rPr>
          <w:rFonts w:ascii="Verdana" w:eastAsia="Arial MT" w:hAnsi="Verdana" w:cs="Arial MT"/>
          <w:spacing w:val="39"/>
          <w:lang w:val="es-ES"/>
        </w:rPr>
        <w:t xml:space="preserve"> </w:t>
      </w:r>
      <w:r w:rsidRPr="0094448B">
        <w:rPr>
          <w:rFonts w:ascii="Verdana" w:eastAsia="Arial MT" w:hAnsi="Verdana" w:cs="Arial MT"/>
          <w:lang w:val="es-ES"/>
        </w:rPr>
        <w:t>las</w:t>
      </w:r>
      <w:r w:rsidRPr="0094448B">
        <w:rPr>
          <w:rFonts w:ascii="Verdana" w:eastAsia="Arial MT" w:hAnsi="Verdana" w:cs="Arial MT"/>
          <w:spacing w:val="32"/>
          <w:lang w:val="es-ES"/>
        </w:rPr>
        <w:t xml:space="preserve"> </w:t>
      </w:r>
      <w:r w:rsidRPr="0094448B">
        <w:rPr>
          <w:rFonts w:ascii="Verdana" w:eastAsia="Arial MT" w:hAnsi="Verdana" w:cs="Arial MT"/>
          <w:lang w:val="es-ES"/>
        </w:rPr>
        <w:t>que</w:t>
      </w:r>
      <w:r w:rsidRPr="0094448B">
        <w:rPr>
          <w:rFonts w:ascii="Verdana" w:eastAsia="Arial MT" w:hAnsi="Verdana" w:cs="Arial MT"/>
          <w:spacing w:val="34"/>
          <w:lang w:val="es-ES"/>
        </w:rPr>
        <w:t xml:space="preserve"> </w:t>
      </w:r>
      <w:r w:rsidRPr="0094448B">
        <w:rPr>
          <w:rFonts w:ascii="Verdana" w:eastAsia="Arial MT" w:hAnsi="Verdana" w:cs="Arial MT"/>
          <w:lang w:val="es-ES"/>
        </w:rPr>
        <w:t>el</w:t>
      </w:r>
      <w:r w:rsidRPr="0094448B">
        <w:rPr>
          <w:rFonts w:ascii="Verdana" w:eastAsia="Arial MT" w:hAnsi="Verdana" w:cs="Arial MT"/>
          <w:spacing w:val="31"/>
          <w:lang w:val="es-ES"/>
        </w:rPr>
        <w:t xml:space="preserve"> </w:t>
      </w:r>
      <w:r w:rsidRPr="0094448B">
        <w:rPr>
          <w:rFonts w:ascii="Verdana" w:eastAsia="Arial MT" w:hAnsi="Verdana" w:cs="Arial MT"/>
          <w:lang w:val="es-ES"/>
        </w:rPr>
        <w:t>Estado</w:t>
      </w:r>
      <w:r w:rsidRPr="0094448B">
        <w:rPr>
          <w:rFonts w:ascii="Verdana" w:eastAsia="Arial MT" w:hAnsi="Verdana" w:cs="Arial MT"/>
          <w:spacing w:val="39"/>
          <w:lang w:val="es-ES"/>
        </w:rPr>
        <w:t xml:space="preserve"> </w:t>
      </w:r>
      <w:r w:rsidRPr="0094448B">
        <w:rPr>
          <w:rFonts w:ascii="Verdana" w:eastAsia="Arial MT" w:hAnsi="Verdana" w:cs="Arial MT"/>
          <w:lang w:val="es-ES"/>
        </w:rPr>
        <w:t>tenga</w:t>
      </w:r>
      <w:r w:rsidRPr="0094448B">
        <w:rPr>
          <w:rFonts w:ascii="Verdana" w:eastAsia="Arial MT" w:hAnsi="Verdana" w:cs="Arial MT"/>
          <w:spacing w:val="39"/>
          <w:lang w:val="es-ES"/>
        </w:rPr>
        <w:t xml:space="preserve"> </w:t>
      </w:r>
      <w:r w:rsidRPr="0094448B">
        <w:rPr>
          <w:rFonts w:ascii="Verdana" w:eastAsia="Arial MT" w:hAnsi="Verdana" w:cs="Arial MT"/>
          <w:lang w:val="es-ES"/>
        </w:rPr>
        <w:t>una</w:t>
      </w:r>
      <w:r w:rsidRPr="0094448B">
        <w:rPr>
          <w:rFonts w:ascii="Verdana" w:eastAsia="Arial MT" w:hAnsi="Verdana" w:cs="Arial MT"/>
          <w:spacing w:val="34"/>
          <w:lang w:val="es-ES"/>
        </w:rPr>
        <w:t xml:space="preserve"> </w:t>
      </w:r>
      <w:r w:rsidRPr="0094448B">
        <w:rPr>
          <w:rFonts w:ascii="Verdana" w:eastAsia="Arial MT" w:hAnsi="Verdana" w:cs="Arial MT"/>
          <w:lang w:val="es-ES"/>
        </w:rPr>
        <w:t>participación</w:t>
      </w:r>
      <w:r w:rsidRPr="0094448B">
        <w:rPr>
          <w:rFonts w:ascii="Verdana" w:eastAsia="Arial MT" w:hAnsi="Verdana" w:cs="Arial MT"/>
          <w:spacing w:val="34"/>
          <w:lang w:val="es-ES"/>
        </w:rPr>
        <w:t xml:space="preserve"> </w:t>
      </w:r>
      <w:r w:rsidRPr="0094448B">
        <w:rPr>
          <w:rFonts w:ascii="Verdana" w:eastAsia="Arial MT" w:hAnsi="Verdana" w:cs="Arial MT"/>
          <w:lang w:val="es-ES"/>
        </w:rPr>
        <w:t>menor</w:t>
      </w:r>
      <w:r w:rsidRPr="0094448B">
        <w:rPr>
          <w:rFonts w:ascii="Verdana" w:eastAsia="Arial MT" w:hAnsi="Verdana" w:cs="Arial MT"/>
          <w:spacing w:val="31"/>
          <w:lang w:val="es-ES"/>
        </w:rPr>
        <w:t xml:space="preserve"> </w:t>
      </w:r>
      <w:r w:rsidRPr="0094448B">
        <w:rPr>
          <w:rFonts w:ascii="Verdana" w:eastAsia="Arial MT" w:hAnsi="Verdana" w:cs="Arial MT"/>
          <w:lang w:val="es-ES"/>
        </w:rPr>
        <w:t xml:space="preserve">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w:t>
      </w:r>
      <w:r w:rsidRPr="0094448B">
        <w:rPr>
          <w:rFonts w:ascii="Verdana" w:eastAsia="Arial MT" w:hAnsi="Verdana" w:cs="Arial MT"/>
          <w:spacing w:val="-2"/>
          <w:lang w:val="es-ES"/>
        </w:rPr>
        <w:t>privado.</w:t>
      </w:r>
    </w:p>
    <w:p w14:paraId="432BD408" w14:textId="77777777" w:rsidR="004C37CC" w:rsidRPr="0094448B" w:rsidRDefault="004C37CC" w:rsidP="004C37CC">
      <w:pPr>
        <w:widowControl w:val="0"/>
        <w:autoSpaceDE w:val="0"/>
        <w:autoSpaceDN w:val="0"/>
        <w:spacing w:before="122" w:after="0" w:line="276" w:lineRule="auto"/>
        <w:ind w:right="266" w:firstLine="708"/>
        <w:jc w:val="both"/>
        <w:rPr>
          <w:rFonts w:ascii="Verdana" w:eastAsia="Arial MT" w:hAnsi="Verdana" w:cs="Arial MT"/>
          <w:lang w:val="es-ES"/>
        </w:rPr>
      </w:pPr>
    </w:p>
    <w:p w14:paraId="037208F5" w14:textId="77777777" w:rsidR="004C37CC" w:rsidRPr="0094448B" w:rsidRDefault="004C37CC" w:rsidP="004C37CC">
      <w:pPr>
        <w:tabs>
          <w:tab w:val="left" w:pos="426"/>
        </w:tabs>
        <w:spacing w:line="276" w:lineRule="auto"/>
        <w:jc w:val="both"/>
        <w:rPr>
          <w:rFonts w:ascii="Verdana" w:eastAsia="Calibri" w:hAnsi="Verdana" w:cs="Arial"/>
          <w:b/>
          <w:color w:val="000000"/>
          <w:lang w:val="es-ES_tradnl"/>
        </w:rPr>
      </w:pPr>
      <w:proofErr w:type="spellStart"/>
      <w:r w:rsidRPr="0094448B">
        <w:rPr>
          <w:rFonts w:ascii="Verdana" w:eastAsia="Calibri" w:hAnsi="Verdana" w:cs="Arial"/>
          <w:bCs/>
          <w:color w:val="000000" w:themeColor="text1"/>
          <w:lang w:val="es-ES"/>
        </w:rPr>
        <w:t>iii</w:t>
      </w:r>
      <w:proofErr w:type="spellEnd"/>
      <w:r w:rsidRPr="0094448B">
        <w:rPr>
          <w:rFonts w:ascii="Verdana" w:eastAsia="Calibri" w:hAnsi="Verdana" w:cs="Arial"/>
          <w:bCs/>
          <w:color w:val="000000" w:themeColor="text1"/>
          <w:lang w:val="es-ES"/>
        </w:rPr>
        <w:t xml:space="preserve">. </w:t>
      </w:r>
      <w:r w:rsidRPr="0094448B">
        <w:rPr>
          <w:rFonts w:ascii="Verdana" w:eastAsia="Calibri" w:hAnsi="Verdana" w:cs="Arial"/>
          <w:color w:val="000000"/>
          <w:lang w:val="es-ES_tradnl"/>
        </w:rPr>
        <w:t>Las sociedades de economía mixta como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 Esto es lo que sucede con algunas de las sociedades de economía mixta, que de acuerdo con lo establecido en el artículo 14 de la Ley 1150 de 2007, se encuentren exceptuadas de aplicar el EGCAP, conforme se explicó en el numeral anterior.</w:t>
      </w:r>
    </w:p>
    <w:p w14:paraId="48CE4E82" w14:textId="77777777" w:rsidR="004C37CC" w:rsidRPr="0094448B" w:rsidRDefault="004C37CC" w:rsidP="004C37CC">
      <w:pPr>
        <w:spacing w:after="0" w:line="276" w:lineRule="auto"/>
        <w:jc w:val="both"/>
        <w:rPr>
          <w:rFonts w:ascii="Verdana" w:eastAsia="Calibri" w:hAnsi="Verdana" w:cs="Arial"/>
          <w:bCs/>
          <w:color w:val="000000" w:themeColor="text1"/>
          <w:lang w:val="es-ES"/>
        </w:rPr>
      </w:pPr>
      <w:r w:rsidRPr="0094448B">
        <w:rPr>
          <w:rFonts w:ascii="Verdana" w:eastAsia="Calibri" w:hAnsi="Verdana" w:cs="Arial"/>
          <w:color w:val="000000"/>
          <w:lang w:val="es-ES_tradnl"/>
        </w:rPr>
        <w:tab/>
        <w:t xml:space="preserve">Teniendo en cuenta que las entidades de régimen especial están facultadas legalmente para aplicar reglas distintas a las establecidas en la Ley </w:t>
      </w:r>
      <w:r w:rsidRPr="0094448B">
        <w:rPr>
          <w:rFonts w:ascii="Verdana" w:eastAsia="Calibri" w:hAnsi="Verdana" w:cs="Arial"/>
          <w:color w:val="000000"/>
          <w:lang w:val="es-ES_tradnl"/>
        </w:rPr>
        <w:lastRenderedPageBreak/>
        <w:t>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w:t>
      </w:r>
      <w:r w:rsidRPr="0094448B">
        <w:rPr>
          <w:rFonts w:ascii="Arial" w:eastAsia="Calibri" w:hAnsi="Arial" w:cs="Arial"/>
          <w:color w:val="000000"/>
          <w:lang w:val="es-ES_tradnl"/>
        </w:rPr>
        <w:t xml:space="preserve">. No obstante, la </w:t>
      </w:r>
      <w:r w:rsidRPr="0094448B">
        <w:rPr>
          <w:rFonts w:ascii="Verdana" w:eastAsia="Calibri" w:hAnsi="Verdana" w:cs="Arial"/>
          <w:bCs/>
          <w:color w:val="000000" w:themeColor="text1"/>
          <w:lang w:val="es-ES_tradnl"/>
        </w:rPr>
        <w:t xml:space="preserve">sujeción al derecho privado no significa que no deban sujetarse a mandatos y obligaciones del derecho público, tal como está regulado en el artículo 13 de la Ley 1150 de 2007, cuyo tenor literal dispone: </w:t>
      </w:r>
    </w:p>
    <w:p w14:paraId="2DA6B136" w14:textId="77777777" w:rsidR="004C37CC" w:rsidRPr="0094448B" w:rsidRDefault="004C37CC" w:rsidP="004C37CC">
      <w:pPr>
        <w:spacing w:after="0" w:line="276" w:lineRule="auto"/>
        <w:jc w:val="both"/>
        <w:rPr>
          <w:rFonts w:ascii="Verdana" w:eastAsia="Calibri" w:hAnsi="Verdana" w:cs="Arial"/>
          <w:bCs/>
          <w:color w:val="000000" w:themeColor="text1"/>
          <w:lang w:val="es-ES"/>
        </w:rPr>
      </w:pPr>
    </w:p>
    <w:p w14:paraId="6EE9323E" w14:textId="77777777" w:rsidR="004C37CC" w:rsidRPr="0094448B" w:rsidRDefault="004C37CC" w:rsidP="004C37CC">
      <w:pPr>
        <w:spacing w:after="0" w:line="240" w:lineRule="auto"/>
        <w:ind w:left="709" w:right="709"/>
        <w:jc w:val="both"/>
        <w:rPr>
          <w:rFonts w:ascii="Verdana" w:eastAsia="Calibri" w:hAnsi="Verdana" w:cs="Arial"/>
          <w:bCs/>
          <w:color w:val="000000" w:themeColor="text1"/>
          <w:sz w:val="21"/>
          <w:szCs w:val="21"/>
        </w:rPr>
      </w:pPr>
      <w:r>
        <w:rPr>
          <w:rFonts w:ascii="Verdana" w:eastAsia="Calibri" w:hAnsi="Verdana" w:cs="Arial"/>
          <w:bCs/>
          <w:color w:val="000000" w:themeColor="text1"/>
          <w:sz w:val="21"/>
          <w:szCs w:val="21"/>
        </w:rPr>
        <w:t>“</w:t>
      </w:r>
      <w:r w:rsidRPr="0094448B">
        <w:rPr>
          <w:rFonts w:ascii="Verdana" w:eastAsia="Calibri" w:hAnsi="Verdana" w:cs="Arial"/>
          <w:bCs/>
          <w:color w:val="000000" w:themeColor="text1"/>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3395543" w14:textId="77777777" w:rsidR="004C37CC" w:rsidRPr="0094448B" w:rsidRDefault="004C37CC" w:rsidP="004C37CC">
      <w:pPr>
        <w:spacing w:after="0" w:line="240" w:lineRule="auto"/>
        <w:ind w:left="709" w:right="709"/>
        <w:jc w:val="both"/>
        <w:rPr>
          <w:rFonts w:ascii="Verdana" w:eastAsia="Calibri" w:hAnsi="Verdana" w:cs="Arial"/>
          <w:bCs/>
          <w:color w:val="000000" w:themeColor="text1"/>
          <w:sz w:val="21"/>
          <w:szCs w:val="21"/>
        </w:rPr>
      </w:pPr>
    </w:p>
    <w:p w14:paraId="49888BA2" w14:textId="77777777" w:rsidR="004C37CC" w:rsidRPr="0094448B" w:rsidRDefault="004C37CC" w:rsidP="004C37CC">
      <w:pPr>
        <w:spacing w:after="0" w:line="240" w:lineRule="auto"/>
        <w:ind w:left="709" w:right="709"/>
        <w:jc w:val="both"/>
        <w:rPr>
          <w:rFonts w:ascii="Verdana" w:eastAsia="Calibri" w:hAnsi="Verdana" w:cs="Arial"/>
          <w:bCs/>
          <w:i/>
          <w:iCs/>
          <w:color w:val="000000" w:themeColor="text1"/>
          <w:sz w:val="21"/>
          <w:szCs w:val="21"/>
        </w:rPr>
      </w:pPr>
      <w:r w:rsidRPr="0094448B">
        <w:rPr>
          <w:rFonts w:ascii="Verdana" w:eastAsia="Calibri" w:hAnsi="Verdana" w:cs="Arial"/>
          <w:bCs/>
          <w:i/>
          <w:iCs/>
          <w:color w:val="000000" w:themeColor="text1"/>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94448B">
        <w:rPr>
          <w:rFonts w:ascii="Verdana" w:eastAsia="Calibri" w:hAnsi="Verdana" w:cs="Arial"/>
          <w:bCs/>
          <w:i/>
          <w:iCs/>
          <w:color w:val="000000" w:themeColor="text1"/>
          <w:sz w:val="21"/>
          <w:szCs w:val="21"/>
        </w:rPr>
        <w:t>postcontractual</w:t>
      </w:r>
      <w:proofErr w:type="spellEnd"/>
      <w:r w:rsidRPr="0094448B">
        <w:rPr>
          <w:rFonts w:ascii="Verdana" w:eastAsia="Calibri" w:hAnsi="Verdana" w:cs="Arial"/>
          <w:bCs/>
          <w:i/>
          <w:iCs/>
          <w:color w:val="000000" w:themeColor="text1"/>
          <w:sz w:val="21"/>
          <w:szCs w:val="21"/>
        </w:rPr>
        <w:t>.</w:t>
      </w:r>
    </w:p>
    <w:p w14:paraId="1661AAB6" w14:textId="77777777" w:rsidR="004C37CC" w:rsidRPr="0094448B" w:rsidRDefault="004C37CC" w:rsidP="004C37CC">
      <w:pPr>
        <w:spacing w:after="0" w:line="240" w:lineRule="auto"/>
        <w:ind w:left="709" w:right="709"/>
        <w:jc w:val="both"/>
        <w:rPr>
          <w:rFonts w:ascii="Verdana" w:eastAsia="Calibri" w:hAnsi="Verdana" w:cs="Arial"/>
          <w:bCs/>
          <w:color w:val="000000" w:themeColor="text1"/>
          <w:sz w:val="21"/>
          <w:szCs w:val="21"/>
        </w:rPr>
      </w:pPr>
    </w:p>
    <w:p w14:paraId="3BDEBEF7" w14:textId="77777777" w:rsidR="004C37CC" w:rsidRPr="0094448B" w:rsidRDefault="004C37CC" w:rsidP="004C37CC">
      <w:pPr>
        <w:spacing w:after="0" w:line="240" w:lineRule="auto"/>
        <w:ind w:left="709" w:right="709"/>
        <w:jc w:val="both"/>
        <w:rPr>
          <w:rFonts w:ascii="Verdana" w:eastAsia="Calibri" w:hAnsi="Verdana" w:cs="Arial"/>
          <w:bCs/>
          <w:color w:val="000000" w:themeColor="text1"/>
          <w:sz w:val="21"/>
          <w:szCs w:val="21"/>
        </w:rPr>
      </w:pPr>
      <w:r w:rsidRPr="0094448B">
        <w:rPr>
          <w:rFonts w:ascii="Verdana" w:eastAsia="Calibri" w:hAnsi="Verdana" w:cs="Arial"/>
          <w:bCs/>
          <w:color w:val="000000" w:themeColor="text1"/>
          <w:sz w:val="21"/>
          <w:szCs w:val="21"/>
        </w:rPr>
        <w:t xml:space="preserve">A partir de la </w:t>
      </w:r>
      <w:proofErr w:type="gramStart"/>
      <w:r w:rsidRPr="0094448B">
        <w:rPr>
          <w:rFonts w:ascii="Verdana" w:eastAsia="Calibri" w:hAnsi="Verdana" w:cs="Arial"/>
          <w:bCs/>
          <w:color w:val="000000" w:themeColor="text1"/>
          <w:sz w:val="21"/>
          <w:szCs w:val="21"/>
        </w:rPr>
        <w:t>entrada en vigencia</w:t>
      </w:r>
      <w:proofErr w:type="gramEnd"/>
      <w:r w:rsidRPr="0094448B">
        <w:rPr>
          <w:rFonts w:ascii="Verdana" w:eastAsia="Calibri" w:hAnsi="Verdana" w:cs="Arial"/>
          <w:bCs/>
          <w:color w:val="000000" w:themeColor="text1"/>
          <w:sz w:val="21"/>
          <w:szCs w:val="21"/>
        </w:rPr>
        <w:t xml:space="preserve"> de la presente Ley, se establecerá un periodo de transición de seis (6) meses, para que las entidades den cumplimiento efectivo a lo aquí establecido</w:t>
      </w:r>
      <w:r>
        <w:rPr>
          <w:rFonts w:ascii="Verdana" w:eastAsia="Calibri" w:hAnsi="Verdana" w:cs="Arial"/>
          <w:bCs/>
          <w:color w:val="000000" w:themeColor="text1"/>
          <w:sz w:val="21"/>
          <w:szCs w:val="21"/>
        </w:rPr>
        <w:t>”</w:t>
      </w:r>
      <w:r w:rsidRPr="0094448B">
        <w:rPr>
          <w:rFonts w:ascii="Verdana" w:eastAsia="Calibri" w:hAnsi="Verdana" w:cs="Arial"/>
          <w:bCs/>
          <w:color w:val="000000" w:themeColor="text1"/>
          <w:sz w:val="21"/>
          <w:szCs w:val="21"/>
        </w:rPr>
        <w:t>. (Cursiva fuera del original).</w:t>
      </w:r>
    </w:p>
    <w:p w14:paraId="6B50E212" w14:textId="77777777" w:rsidR="004C37CC" w:rsidRPr="0094448B" w:rsidRDefault="004C37CC" w:rsidP="004C37CC">
      <w:pPr>
        <w:spacing w:after="0" w:line="276" w:lineRule="auto"/>
        <w:jc w:val="both"/>
        <w:rPr>
          <w:rFonts w:ascii="Verdana" w:eastAsia="Calibri" w:hAnsi="Verdana" w:cs="Arial"/>
          <w:bCs/>
          <w:color w:val="000000" w:themeColor="text1"/>
          <w:lang w:val="es-ES_tradnl"/>
        </w:rPr>
      </w:pPr>
    </w:p>
    <w:p w14:paraId="18FDAC4D" w14:textId="77777777" w:rsidR="004C37CC" w:rsidRPr="0094448B" w:rsidRDefault="004C37CC" w:rsidP="004C37CC">
      <w:pPr>
        <w:spacing w:after="120" w:line="276" w:lineRule="auto"/>
        <w:ind w:firstLine="709"/>
        <w:jc w:val="both"/>
        <w:rPr>
          <w:rFonts w:ascii="Verdana" w:eastAsia="Calibri" w:hAnsi="Verdana" w:cs="Arial"/>
          <w:bCs/>
          <w:iCs/>
          <w:color w:val="000000" w:themeColor="text1"/>
        </w:rPr>
      </w:pPr>
      <w:r w:rsidRPr="0094448B">
        <w:rPr>
          <w:rFonts w:ascii="Verdana" w:eastAsia="Calibri" w:hAnsi="Verdana" w:cs="Arial"/>
          <w:bCs/>
          <w:color w:val="000000" w:themeColor="text1"/>
          <w:lang w:val="es-ES"/>
        </w:rPr>
        <w:t xml:space="preserve">De la disposición transcrita, se deriva la interpretación de que a pesar que el régimen que aplican sea el derecho privado, tiene limitaciones dentro del derecho público como son los principios de la función administrativa y de la gestión fiscal y reglas del régimen de inhabilidades e incompatibilidades, así como el deber </w:t>
      </w:r>
      <w:r w:rsidRPr="0094448B">
        <w:rPr>
          <w:rFonts w:ascii="Verdana" w:eastAsia="Calibri" w:hAnsi="Verdana" w:cs="Arial"/>
          <w:bCs/>
          <w:i/>
          <w:iCs/>
          <w:color w:val="000000" w:themeColor="text1"/>
        </w:rPr>
        <w:t xml:space="preserve">de </w:t>
      </w:r>
      <w:r w:rsidRPr="0094448B">
        <w:rPr>
          <w:rFonts w:ascii="Verdana" w:eastAsia="Calibri" w:hAnsi="Verdana" w:cs="Arial"/>
          <w:bCs/>
          <w:iCs/>
          <w:color w:val="000000" w:themeColor="text1"/>
        </w:rPr>
        <w:t xml:space="preserve">publicar los documentos relacionados con su actividad contractual en el Sistema Electrónico para la Contratación Pública –SECOP II– o la plataforma transaccional que haga sus veces, sin perjuicio de las demás reglas que les aplique a la sociedad de economía exceptuada del EGCAP. </w:t>
      </w:r>
    </w:p>
    <w:p w14:paraId="56C7BED8" w14:textId="77777777" w:rsidR="004C37CC" w:rsidRPr="0094448B" w:rsidRDefault="004C37CC" w:rsidP="004C37CC">
      <w:pPr>
        <w:spacing w:after="120" w:line="276" w:lineRule="auto"/>
        <w:ind w:firstLine="709"/>
        <w:jc w:val="both"/>
        <w:rPr>
          <w:rFonts w:ascii="Verdana" w:eastAsia="Calibri" w:hAnsi="Verdana" w:cs="Times New Roman"/>
          <w:lang w:val="es-ES"/>
        </w:rPr>
      </w:pPr>
      <w:r w:rsidRPr="0094448B">
        <w:rPr>
          <w:rFonts w:ascii="Verdana" w:eastAsia="Verdana" w:hAnsi="Verdana" w:cs="Verdana"/>
          <w:lang w:val="es-ES"/>
        </w:rPr>
        <w:lastRenderedPageBreak/>
        <w:t>Teniendo en cuenta que las sociedades de economía mixta como entidades de régimen especial están facultadas legalmente para aplicar reglas distintas a las establecidas en la Ley</w:t>
      </w:r>
      <w:r w:rsidRPr="0094448B">
        <w:rPr>
          <w:rFonts w:ascii="Verdana" w:eastAsia="Calibri" w:hAnsi="Verdana" w:cs="Times New Roman"/>
          <w:lang w:val="es-ES"/>
        </w:rPr>
        <w:t xml:space="preserve"> </w:t>
      </w:r>
      <w:r w:rsidRPr="0094448B">
        <w:rPr>
          <w:rFonts w:ascii="Verdana" w:eastAsia="Verdana" w:hAnsi="Verdana" w:cs="Verdana"/>
          <w:lang w:val="es-ES"/>
        </w:rPr>
        <w:t>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47F13923" w14:textId="77777777" w:rsidR="004C37CC" w:rsidRPr="0094448B" w:rsidRDefault="004C37CC" w:rsidP="004C37CC">
      <w:pPr>
        <w:spacing w:after="120" w:line="276" w:lineRule="auto"/>
        <w:ind w:firstLine="708"/>
        <w:jc w:val="both"/>
        <w:rPr>
          <w:rFonts w:ascii="Verdana" w:eastAsia="Verdana" w:hAnsi="Verdana" w:cs="Verdana"/>
          <w:lang w:val="es-ES"/>
        </w:rPr>
      </w:pPr>
      <w:r w:rsidRPr="0094448B">
        <w:rPr>
          <w:rFonts w:ascii="Verdana" w:eastAsia="Verdana" w:hAnsi="Verdana" w:cs="Verdana"/>
          <w:lang w:val="es-ES"/>
        </w:rPr>
        <w:t>No obstante, las entidades de régimen especial cumplen una finalidad pública</w:t>
      </w:r>
      <w:r w:rsidRPr="0094448B">
        <w:rPr>
          <w:rFonts w:ascii="Verdana" w:eastAsia="Verdana" w:hAnsi="Verdana" w:cs="Verdana"/>
          <w:spacing w:val="-2"/>
          <w:lang w:val="es-ES"/>
        </w:rPr>
        <w:t xml:space="preserve"> </w:t>
      </w:r>
      <w:r w:rsidRPr="0094448B">
        <w:rPr>
          <w:rFonts w:ascii="Verdana" w:eastAsia="Verdana" w:hAnsi="Verdana" w:cs="Verdana"/>
          <w:lang w:val="es-ES"/>
        </w:rPr>
        <w:t>y</w:t>
      </w:r>
      <w:r w:rsidRPr="0094448B">
        <w:rPr>
          <w:rFonts w:ascii="Verdana" w:eastAsia="Verdana" w:hAnsi="Verdana" w:cs="Verdana"/>
          <w:spacing w:val="-4"/>
          <w:lang w:val="es-ES"/>
        </w:rPr>
        <w:t xml:space="preserve"> </w:t>
      </w:r>
      <w:r w:rsidRPr="0094448B">
        <w:rPr>
          <w:rFonts w:ascii="Verdana" w:eastAsia="Verdana" w:hAnsi="Verdana" w:cs="Verdana"/>
          <w:lang w:val="es-ES"/>
        </w:rPr>
        <w:t>utilizan</w:t>
      </w:r>
      <w:r w:rsidRPr="0094448B">
        <w:rPr>
          <w:rFonts w:ascii="Verdana" w:eastAsia="Verdana" w:hAnsi="Verdana" w:cs="Verdana"/>
          <w:spacing w:val="-2"/>
          <w:lang w:val="es-ES"/>
        </w:rPr>
        <w:t xml:space="preserve"> </w:t>
      </w:r>
      <w:r w:rsidRPr="0094448B">
        <w:rPr>
          <w:rFonts w:ascii="Verdana" w:eastAsia="Verdana" w:hAnsi="Verdana" w:cs="Verdana"/>
          <w:lang w:val="es-ES"/>
        </w:rPr>
        <w:t>recursos</w:t>
      </w:r>
      <w:r w:rsidRPr="0094448B">
        <w:rPr>
          <w:rFonts w:ascii="Verdana" w:eastAsia="Verdana" w:hAnsi="Verdana" w:cs="Verdana"/>
          <w:spacing w:val="-1"/>
          <w:lang w:val="es-ES"/>
        </w:rPr>
        <w:t xml:space="preserve"> </w:t>
      </w:r>
      <w:r w:rsidRPr="0094448B">
        <w:rPr>
          <w:rFonts w:ascii="Verdana" w:eastAsia="Verdana" w:hAnsi="Verdana" w:cs="Verdana"/>
          <w:lang w:val="es-ES"/>
        </w:rPr>
        <w:t>públicos</w:t>
      </w:r>
      <w:r w:rsidRPr="0094448B">
        <w:rPr>
          <w:rFonts w:ascii="Verdana" w:eastAsia="Verdana" w:hAnsi="Verdana" w:cs="Verdana"/>
          <w:spacing w:val="-2"/>
          <w:lang w:val="es-ES"/>
        </w:rPr>
        <w:t xml:space="preserve"> </w:t>
      </w:r>
      <w:r w:rsidRPr="0094448B">
        <w:rPr>
          <w:rFonts w:ascii="Verdana" w:eastAsia="Verdana" w:hAnsi="Verdana" w:cs="Verdana"/>
          <w:lang w:val="es-ES"/>
        </w:rPr>
        <w:t>para</w:t>
      </w:r>
      <w:r w:rsidRPr="0094448B">
        <w:rPr>
          <w:rFonts w:ascii="Verdana" w:eastAsia="Verdana" w:hAnsi="Verdana" w:cs="Verdana"/>
          <w:spacing w:val="-3"/>
          <w:lang w:val="es-ES"/>
        </w:rPr>
        <w:t xml:space="preserve"> </w:t>
      </w:r>
      <w:r w:rsidRPr="0094448B">
        <w:rPr>
          <w:rFonts w:ascii="Verdana" w:eastAsia="Verdana" w:hAnsi="Verdana" w:cs="Verdana"/>
          <w:lang w:val="es-ES"/>
        </w:rPr>
        <w:t>lograrlo,</w:t>
      </w:r>
      <w:r w:rsidRPr="0094448B">
        <w:rPr>
          <w:rFonts w:ascii="Verdana" w:eastAsia="Verdana" w:hAnsi="Verdana" w:cs="Verdana"/>
          <w:spacing w:val="-1"/>
          <w:lang w:val="es-ES"/>
        </w:rPr>
        <w:t xml:space="preserve"> </w:t>
      </w:r>
      <w:r w:rsidRPr="0094448B">
        <w:rPr>
          <w:rFonts w:ascii="Verdana" w:eastAsia="Verdana" w:hAnsi="Verdana" w:cs="Verdana"/>
          <w:lang w:val="es-ES"/>
        </w:rPr>
        <w:t>por</w:t>
      </w:r>
      <w:r w:rsidRPr="0094448B">
        <w:rPr>
          <w:rFonts w:ascii="Verdana" w:eastAsia="Verdana" w:hAnsi="Verdana" w:cs="Verdana"/>
          <w:spacing w:val="-3"/>
          <w:lang w:val="es-ES"/>
        </w:rPr>
        <w:t xml:space="preserve"> </w:t>
      </w:r>
      <w:r w:rsidRPr="0094448B">
        <w:rPr>
          <w:rFonts w:ascii="Verdana" w:eastAsia="Verdana" w:hAnsi="Verdana" w:cs="Verdana"/>
          <w:lang w:val="es-ES"/>
        </w:rPr>
        <w:t>lo</w:t>
      </w:r>
      <w:r w:rsidRPr="0094448B">
        <w:rPr>
          <w:rFonts w:ascii="Verdana" w:eastAsia="Verdana" w:hAnsi="Verdana" w:cs="Verdana"/>
          <w:spacing w:val="-3"/>
          <w:lang w:val="es-ES"/>
        </w:rPr>
        <w:t xml:space="preserve"> </w:t>
      </w:r>
      <w:r w:rsidRPr="0094448B">
        <w:rPr>
          <w:rFonts w:ascii="Verdana" w:eastAsia="Verdana" w:hAnsi="Verdana" w:cs="Verdana"/>
          <w:lang w:val="es-ES"/>
        </w:rPr>
        <w:t>que</w:t>
      </w:r>
      <w:r w:rsidRPr="0094448B">
        <w:rPr>
          <w:rFonts w:ascii="Verdana" w:eastAsia="Verdana" w:hAnsi="Verdana" w:cs="Verdana"/>
          <w:spacing w:val="-3"/>
          <w:lang w:val="es-ES"/>
        </w:rPr>
        <w:t xml:space="preserve"> </w:t>
      </w:r>
      <w:r w:rsidRPr="0094448B">
        <w:rPr>
          <w:rFonts w:ascii="Verdana" w:eastAsia="Verdana" w:hAnsi="Verdana" w:cs="Verdana"/>
          <w:lang w:val="es-ES"/>
        </w:rPr>
        <w:t>no</w:t>
      </w:r>
      <w:r w:rsidRPr="0094448B">
        <w:rPr>
          <w:rFonts w:ascii="Verdana" w:eastAsia="Verdana" w:hAnsi="Verdana" w:cs="Verdana"/>
          <w:spacing w:val="-4"/>
          <w:lang w:val="es-ES"/>
        </w:rPr>
        <w:t xml:space="preserve"> </w:t>
      </w:r>
      <w:r w:rsidRPr="0094448B">
        <w:rPr>
          <w:rFonts w:ascii="Verdana" w:eastAsia="Verdana" w:hAnsi="Verdana" w:cs="Verdana"/>
          <w:lang w:val="es-ES"/>
        </w:rPr>
        <w:t>son</w:t>
      </w:r>
      <w:r w:rsidRPr="0094448B">
        <w:rPr>
          <w:rFonts w:ascii="Verdana" w:eastAsia="Verdana" w:hAnsi="Verdana" w:cs="Verdana"/>
          <w:spacing w:val="-3"/>
          <w:lang w:val="es-ES"/>
        </w:rPr>
        <w:t xml:space="preserve"> </w:t>
      </w:r>
      <w:r w:rsidRPr="0094448B">
        <w:rPr>
          <w:rFonts w:ascii="Verdana" w:eastAsia="Verdana" w:hAnsi="Verdana" w:cs="Verdana"/>
          <w:lang w:val="es-ES"/>
        </w:rPr>
        <w:t>ajenas</w:t>
      </w:r>
      <w:r w:rsidRPr="0094448B">
        <w:rPr>
          <w:rFonts w:ascii="Verdana" w:eastAsia="Verdana" w:hAnsi="Verdana" w:cs="Verdana"/>
          <w:spacing w:val="-3"/>
          <w:lang w:val="es-ES"/>
        </w:rPr>
        <w:t xml:space="preserve"> </w:t>
      </w:r>
      <w:r w:rsidRPr="0094448B">
        <w:rPr>
          <w:rFonts w:ascii="Verdana" w:eastAsia="Verdana" w:hAnsi="Verdana" w:cs="Verdana"/>
          <w:lang w:val="es-ES"/>
        </w:rPr>
        <w:t>a</w:t>
      </w:r>
      <w:r w:rsidRPr="0094448B">
        <w:rPr>
          <w:rFonts w:ascii="Verdana" w:eastAsia="Verdana" w:hAnsi="Verdana" w:cs="Verdana"/>
          <w:spacing w:val="-4"/>
          <w:lang w:val="es-ES"/>
        </w:rPr>
        <w:t xml:space="preserve"> </w:t>
      </w:r>
      <w:r w:rsidRPr="0094448B">
        <w:rPr>
          <w:rFonts w:ascii="Verdana" w:eastAsia="Verdana" w:hAnsi="Verdana" w:cs="Verdana"/>
          <w:lang w:val="es-ES"/>
        </w:rPr>
        <w:t>los principios de la función administrativa y de la gestión fiscal, entre otras reglas dispuestas</w:t>
      </w:r>
      <w:r w:rsidRPr="0094448B">
        <w:rPr>
          <w:rFonts w:ascii="Verdana" w:eastAsia="Verdana" w:hAnsi="Verdana" w:cs="Verdana"/>
          <w:spacing w:val="-20"/>
          <w:lang w:val="es-ES"/>
        </w:rPr>
        <w:t xml:space="preserve"> </w:t>
      </w:r>
      <w:r w:rsidRPr="0094448B">
        <w:rPr>
          <w:rFonts w:ascii="Verdana" w:eastAsia="Verdana" w:hAnsi="Verdana" w:cs="Verdana"/>
          <w:lang w:val="es-ES"/>
        </w:rPr>
        <w:t>en</w:t>
      </w:r>
      <w:r w:rsidRPr="0094448B">
        <w:rPr>
          <w:rFonts w:ascii="Verdana" w:eastAsia="Verdana" w:hAnsi="Verdana" w:cs="Verdana"/>
          <w:spacing w:val="-19"/>
          <w:lang w:val="es-ES"/>
        </w:rPr>
        <w:t xml:space="preserve"> </w:t>
      </w:r>
      <w:r w:rsidRPr="0094448B">
        <w:rPr>
          <w:rFonts w:ascii="Verdana" w:eastAsia="Verdana" w:hAnsi="Verdana" w:cs="Verdana"/>
          <w:lang w:val="es-ES"/>
        </w:rPr>
        <w:t>la</w:t>
      </w:r>
      <w:r w:rsidRPr="0094448B">
        <w:rPr>
          <w:rFonts w:ascii="Verdana" w:eastAsia="Verdana" w:hAnsi="Verdana" w:cs="Verdana"/>
          <w:spacing w:val="-19"/>
          <w:lang w:val="es-ES"/>
        </w:rPr>
        <w:t xml:space="preserve"> </w:t>
      </w:r>
      <w:r w:rsidRPr="0094448B">
        <w:rPr>
          <w:rFonts w:ascii="Verdana" w:eastAsia="Verdana" w:hAnsi="Verdana" w:cs="Verdana"/>
          <w:lang w:val="es-ES"/>
        </w:rPr>
        <w:t>normativa</w:t>
      </w:r>
      <w:r w:rsidRPr="0094448B">
        <w:rPr>
          <w:rFonts w:ascii="Verdana" w:eastAsia="Verdana" w:hAnsi="Verdana" w:cs="Verdana"/>
          <w:spacing w:val="-20"/>
          <w:lang w:val="es-ES"/>
        </w:rPr>
        <w:t xml:space="preserve"> </w:t>
      </w:r>
      <w:r w:rsidRPr="0094448B">
        <w:rPr>
          <w:rFonts w:ascii="Verdana" w:eastAsia="Verdana" w:hAnsi="Verdana" w:cs="Verdana"/>
          <w:lang w:val="es-ES"/>
        </w:rPr>
        <w:t>de</w:t>
      </w:r>
      <w:r w:rsidRPr="0094448B">
        <w:rPr>
          <w:rFonts w:ascii="Verdana" w:eastAsia="Verdana" w:hAnsi="Verdana" w:cs="Verdana"/>
          <w:spacing w:val="-19"/>
          <w:lang w:val="es-ES"/>
        </w:rPr>
        <w:t xml:space="preserve"> </w:t>
      </w:r>
      <w:r w:rsidRPr="0094448B">
        <w:rPr>
          <w:rFonts w:ascii="Verdana" w:eastAsia="Verdana" w:hAnsi="Verdana" w:cs="Verdana"/>
          <w:lang w:val="es-ES"/>
        </w:rPr>
        <w:t>contratación</w:t>
      </w:r>
      <w:r w:rsidRPr="0094448B">
        <w:rPr>
          <w:rFonts w:ascii="Verdana" w:eastAsia="Verdana" w:hAnsi="Verdana" w:cs="Verdana"/>
          <w:spacing w:val="-20"/>
          <w:lang w:val="es-ES"/>
        </w:rPr>
        <w:t xml:space="preserve"> </w:t>
      </w:r>
      <w:r w:rsidRPr="0094448B">
        <w:rPr>
          <w:rFonts w:ascii="Verdana" w:eastAsia="Verdana" w:hAnsi="Verdana" w:cs="Verdana"/>
          <w:lang w:val="es-ES"/>
        </w:rPr>
        <w:t>pública</w:t>
      </w:r>
      <w:r w:rsidRPr="0094448B">
        <w:rPr>
          <w:rFonts w:ascii="Verdana" w:eastAsia="Verdana" w:hAnsi="Verdana" w:cs="Verdana"/>
          <w:spacing w:val="-19"/>
          <w:lang w:val="es-ES"/>
        </w:rPr>
        <w:t xml:space="preserve"> </w:t>
      </w:r>
      <w:r w:rsidRPr="0094448B">
        <w:rPr>
          <w:rFonts w:ascii="Verdana" w:eastAsia="Verdana" w:hAnsi="Verdana" w:cs="Verdana"/>
          <w:lang w:val="es-ES"/>
        </w:rPr>
        <w:t>que</w:t>
      </w:r>
      <w:r w:rsidRPr="0094448B">
        <w:rPr>
          <w:rFonts w:ascii="Verdana" w:eastAsia="Verdana" w:hAnsi="Verdana" w:cs="Verdana"/>
          <w:spacing w:val="-19"/>
          <w:lang w:val="es-ES"/>
        </w:rPr>
        <w:t xml:space="preserve"> </w:t>
      </w:r>
      <w:r w:rsidRPr="0094448B">
        <w:rPr>
          <w:rFonts w:ascii="Verdana" w:eastAsia="Verdana" w:hAnsi="Verdana" w:cs="Verdana"/>
          <w:lang w:val="es-ES"/>
        </w:rPr>
        <w:t>son</w:t>
      </w:r>
      <w:r w:rsidRPr="0094448B">
        <w:rPr>
          <w:rFonts w:ascii="Verdana" w:eastAsia="Verdana" w:hAnsi="Verdana" w:cs="Verdana"/>
          <w:spacing w:val="-20"/>
          <w:lang w:val="es-ES"/>
        </w:rPr>
        <w:t xml:space="preserve"> </w:t>
      </w:r>
      <w:r w:rsidRPr="0094448B">
        <w:rPr>
          <w:rFonts w:ascii="Verdana" w:eastAsia="Verdana" w:hAnsi="Verdana" w:cs="Verdana"/>
          <w:lang w:val="es-ES"/>
        </w:rPr>
        <w:t>transversales</w:t>
      </w:r>
      <w:r w:rsidRPr="0094448B">
        <w:rPr>
          <w:rFonts w:ascii="Verdana" w:eastAsia="Verdana" w:hAnsi="Verdana" w:cs="Verdana"/>
          <w:spacing w:val="-19"/>
          <w:lang w:val="es-ES"/>
        </w:rPr>
        <w:t xml:space="preserve"> </w:t>
      </w:r>
      <w:r w:rsidRPr="0094448B">
        <w:rPr>
          <w:rFonts w:ascii="Verdana" w:eastAsia="Verdana" w:hAnsi="Verdana" w:cs="Verdana"/>
          <w:lang w:val="es-ES"/>
        </w:rPr>
        <w:t>a</w:t>
      </w:r>
      <w:r w:rsidRPr="0094448B">
        <w:rPr>
          <w:rFonts w:ascii="Verdana" w:eastAsia="Verdana" w:hAnsi="Verdana" w:cs="Verdana"/>
          <w:spacing w:val="-19"/>
          <w:lang w:val="es-ES"/>
        </w:rPr>
        <w:t xml:space="preserve"> </w:t>
      </w:r>
      <w:r w:rsidRPr="0094448B">
        <w:rPr>
          <w:rFonts w:ascii="Verdana" w:eastAsia="Verdana" w:hAnsi="Verdana" w:cs="Verdana"/>
          <w:lang w:val="es-ES"/>
        </w:rPr>
        <w:t>todas las entidades, sin importar su régimen contractual.</w:t>
      </w:r>
      <w:r w:rsidRPr="0094448B">
        <w:rPr>
          <w:rFonts w:ascii="Verdana" w:eastAsia="Calibri" w:hAnsi="Verdana" w:cs="Arial"/>
          <w:lang w:val="es-ES_tradnl"/>
        </w:rPr>
        <w:t>Lo anterior es reafirmado por el Consejo de Estado, que destaca las reglas que sigue la contratación de las entidades de régimen especial:</w:t>
      </w:r>
    </w:p>
    <w:p w14:paraId="0C29D74C" w14:textId="77777777" w:rsidR="004C37CC" w:rsidRPr="002D7231" w:rsidRDefault="004C37CC" w:rsidP="004C37CC">
      <w:pPr>
        <w:spacing w:after="0" w:line="240" w:lineRule="auto"/>
        <w:jc w:val="both"/>
        <w:rPr>
          <w:rFonts w:ascii="Arial" w:eastAsia="Calibri" w:hAnsi="Arial" w:cs="Arial"/>
          <w:sz w:val="20"/>
          <w:szCs w:val="20"/>
          <w:lang w:val="es-ES_tradnl"/>
        </w:rPr>
      </w:pPr>
    </w:p>
    <w:p w14:paraId="3C354172" w14:textId="77777777" w:rsidR="004C37CC" w:rsidRPr="002D7231" w:rsidRDefault="004C37CC" w:rsidP="004C37CC">
      <w:pPr>
        <w:spacing w:after="0" w:line="240" w:lineRule="auto"/>
        <w:ind w:left="709" w:right="709"/>
        <w:jc w:val="both"/>
        <w:rPr>
          <w:rFonts w:ascii="Verdana" w:eastAsia="Calibri" w:hAnsi="Verdana" w:cs="Arial"/>
          <w:sz w:val="20"/>
          <w:szCs w:val="20"/>
          <w:lang w:val="es-ES_tradnl"/>
        </w:rPr>
      </w:pPr>
      <w:r w:rsidRPr="002D7231">
        <w:rPr>
          <w:rFonts w:ascii="Verdana" w:eastAsia="Calibri" w:hAnsi="Verdana" w:cs="Arial"/>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21C8D27" w14:textId="77777777" w:rsidR="004C37CC" w:rsidRPr="002D7231" w:rsidRDefault="004C37CC" w:rsidP="004C37CC">
      <w:pPr>
        <w:spacing w:after="0" w:line="240" w:lineRule="auto"/>
        <w:ind w:left="709" w:right="709"/>
        <w:jc w:val="both"/>
        <w:rPr>
          <w:rFonts w:ascii="Verdana" w:eastAsia="Calibri" w:hAnsi="Verdana" w:cs="Arial"/>
          <w:sz w:val="20"/>
          <w:szCs w:val="20"/>
          <w:lang w:val="es-ES_tradnl"/>
        </w:rPr>
      </w:pPr>
    </w:p>
    <w:p w14:paraId="7C5FE9BB" w14:textId="77777777" w:rsidR="004C37CC" w:rsidRPr="002D7231" w:rsidRDefault="004C37CC" w:rsidP="33BA07F5">
      <w:pPr>
        <w:spacing w:after="0" w:line="240" w:lineRule="auto"/>
        <w:ind w:left="709" w:right="709"/>
        <w:jc w:val="both"/>
        <w:rPr>
          <w:rFonts w:ascii="Verdana" w:eastAsia="Calibri" w:hAnsi="Verdana" w:cs="Arial"/>
          <w:sz w:val="20"/>
          <w:szCs w:val="20"/>
          <w:lang w:val="es-ES"/>
        </w:rPr>
      </w:pPr>
      <w:r w:rsidRPr="33BA07F5">
        <w:rPr>
          <w:rFonts w:ascii="Verdana" w:eastAsia="Calibri" w:hAnsi="Verdana" w:cs="Arial"/>
          <w:sz w:val="20"/>
          <w:szCs w:val="20"/>
          <w:lang w:val="es-ES"/>
        </w:rPr>
        <w:t xml:space="preserve">La Sala entiende que el régimen preponderante domina y aporta el gran volumen de normas contractuales y que el régimen inspirador influye y ayuda a </w:t>
      </w:r>
      <w:proofErr w:type="gramStart"/>
      <w:r w:rsidRPr="33BA07F5">
        <w:rPr>
          <w:rFonts w:ascii="Verdana" w:eastAsia="Calibri" w:hAnsi="Verdana" w:cs="Arial"/>
          <w:sz w:val="20"/>
          <w:szCs w:val="20"/>
          <w:lang w:val="es-ES"/>
        </w:rPr>
        <w:t>interpretar</w:t>
      </w:r>
      <w:proofErr w:type="gramEnd"/>
      <w:r w:rsidRPr="33BA07F5">
        <w:rPr>
          <w:rFonts w:ascii="Verdana" w:eastAsia="Calibri" w:hAnsi="Verdana" w:cs="Arial"/>
          <w:sz w:val="20"/>
          <w:szCs w:val="20"/>
          <w:lang w:val="es-ES"/>
        </w:rPr>
        <w:t xml:space="preserve"> pero también transforma parte de esas instituciones, porque se suma a ellas, lo que no siempre se logra conservando intacta la institución privada sino introduciéndole modificaciones. </w:t>
      </w:r>
    </w:p>
    <w:p w14:paraId="06969F9A" w14:textId="77777777" w:rsidR="004C37CC" w:rsidRPr="002D7231" w:rsidRDefault="004C37CC" w:rsidP="004C37CC">
      <w:pPr>
        <w:spacing w:after="0" w:line="240" w:lineRule="auto"/>
        <w:ind w:left="709" w:right="709"/>
        <w:jc w:val="both"/>
        <w:rPr>
          <w:rFonts w:ascii="Verdana" w:eastAsia="Calibri" w:hAnsi="Verdana" w:cs="Arial"/>
          <w:sz w:val="20"/>
          <w:szCs w:val="20"/>
          <w:lang w:val="es-ES_tradnl"/>
        </w:rPr>
      </w:pPr>
    </w:p>
    <w:p w14:paraId="5B758360" w14:textId="77777777" w:rsidR="004C37CC" w:rsidRPr="002D7231" w:rsidRDefault="004C37CC" w:rsidP="004C37CC">
      <w:pPr>
        <w:spacing w:after="0" w:line="240" w:lineRule="auto"/>
        <w:ind w:left="709" w:right="709"/>
        <w:jc w:val="both"/>
        <w:rPr>
          <w:rFonts w:ascii="Verdana" w:eastAsia="Calibri" w:hAnsi="Verdana" w:cs="Arial"/>
          <w:sz w:val="20"/>
          <w:szCs w:val="20"/>
          <w:lang w:val="es-ES_tradnl"/>
        </w:rPr>
      </w:pPr>
      <w:r w:rsidRPr="002D7231">
        <w:rPr>
          <w:rFonts w:ascii="Verdana" w:eastAsia="Calibri" w:hAnsi="Verdana" w:cs="Arial"/>
          <w:sz w:val="20"/>
          <w:szCs w:val="20"/>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w:t>
      </w:r>
      <w:r w:rsidRPr="002D7231">
        <w:rPr>
          <w:rFonts w:ascii="Verdana" w:eastAsia="Calibri" w:hAnsi="Verdana" w:cs="Arial"/>
          <w:sz w:val="20"/>
          <w:szCs w:val="20"/>
          <w:lang w:val="es-ES_tradnl"/>
        </w:rPr>
        <w:lastRenderedPageBreak/>
        <w:t>Estado, la trasparencia y en general los demás valores propios de la gestión de lo público”</w:t>
      </w:r>
      <w:r w:rsidRPr="002D7231">
        <w:rPr>
          <w:rFonts w:ascii="Verdana" w:eastAsia="Calibri" w:hAnsi="Verdana" w:cs="Arial"/>
          <w:sz w:val="20"/>
          <w:szCs w:val="20"/>
          <w:vertAlign w:val="superscript"/>
          <w:lang w:val="es-ES_tradnl"/>
        </w:rPr>
        <w:footnoteReference w:id="14"/>
      </w:r>
      <w:r w:rsidRPr="002D7231">
        <w:rPr>
          <w:rFonts w:ascii="Verdana" w:eastAsia="Calibri" w:hAnsi="Verdana" w:cs="Arial"/>
          <w:sz w:val="20"/>
          <w:szCs w:val="20"/>
          <w:lang w:val="es-ES_tradnl"/>
        </w:rPr>
        <w:t>.</w:t>
      </w:r>
    </w:p>
    <w:p w14:paraId="463DEF10" w14:textId="77777777" w:rsidR="004C37CC" w:rsidRPr="0094448B" w:rsidRDefault="004C37CC" w:rsidP="004C37CC">
      <w:pPr>
        <w:spacing w:after="120" w:line="276" w:lineRule="auto"/>
        <w:ind w:firstLine="708"/>
        <w:jc w:val="both"/>
        <w:rPr>
          <w:rFonts w:ascii="Verdana" w:eastAsia="Verdana" w:hAnsi="Verdana" w:cs="Verdana"/>
          <w:sz w:val="21"/>
          <w:szCs w:val="21"/>
          <w:lang w:val="es-ES"/>
        </w:rPr>
      </w:pPr>
    </w:p>
    <w:p w14:paraId="510915F3" w14:textId="77777777" w:rsidR="004C37CC" w:rsidRPr="0094448B" w:rsidRDefault="004C37CC" w:rsidP="004C37CC">
      <w:pPr>
        <w:spacing w:after="120" w:line="276" w:lineRule="auto"/>
        <w:ind w:firstLine="708"/>
        <w:jc w:val="both"/>
        <w:rPr>
          <w:rFonts w:ascii="Verdana" w:eastAsia="Calibri" w:hAnsi="Verdana" w:cs="Times New Roman"/>
          <w:lang w:val="es-ES"/>
        </w:rPr>
      </w:pPr>
      <w:r w:rsidRPr="0094448B">
        <w:rPr>
          <w:rFonts w:ascii="Verdana" w:eastAsia="Calibri" w:hAnsi="Verdana" w:cs="Times New Roman"/>
          <w:lang w:val="es-ES"/>
        </w:rPr>
        <w:t xml:space="preserve"> </w:t>
      </w:r>
      <w:r w:rsidRPr="0094448B">
        <w:rPr>
          <w:rFonts w:ascii="Verdana" w:eastAsia="Verdana" w:hAnsi="Verdana" w:cs="Verdana"/>
          <w:lang w:val="es-ES"/>
        </w:rPr>
        <w:t xml:space="preserve">Ahora bien, en lo respectivo al planteamiento materia de consulta, las sociedades de economía mixta que cuenten con un régimen especial de contratación deben adelantar su contratación, mediante los procedimiento y reglas propias del manual de contratación institucional y\o cumplir la normativa de carácter especial, si procede. Haciendo claridad que el manual, así como los pliegos de condiciones deben contener los principios de la función administrativa y de la gestión fiscal, determinándose la manera concreta como dichos principios moldearán el derecho privado en el ejercicio de la actividad contractual. </w:t>
      </w:r>
    </w:p>
    <w:p w14:paraId="649BDCA6" w14:textId="255B5B51" w:rsidR="004C37CC" w:rsidRDefault="004C37CC" w:rsidP="00B04B6A">
      <w:pPr>
        <w:spacing w:after="0" w:line="276" w:lineRule="auto"/>
        <w:ind w:firstLine="709"/>
        <w:jc w:val="both"/>
        <w:rPr>
          <w:rFonts w:ascii="Verdana" w:eastAsia="Verdana" w:hAnsi="Verdana" w:cs="Verdana"/>
          <w:lang w:val="es-ES"/>
        </w:rPr>
      </w:pPr>
      <w:r w:rsidRPr="0094448B">
        <w:rPr>
          <w:rFonts w:ascii="Verdana" w:eastAsia="Verdana" w:hAnsi="Verdana" w:cs="Verdana"/>
          <w:spacing w:val="-2"/>
          <w:lang w:val="es-ES"/>
        </w:rPr>
        <w:t>Sobre</w:t>
      </w:r>
      <w:r w:rsidRPr="0094448B">
        <w:rPr>
          <w:rFonts w:ascii="Verdana" w:eastAsia="Verdana" w:hAnsi="Verdana" w:cs="Verdana"/>
          <w:spacing w:val="-10"/>
          <w:lang w:val="es-ES"/>
        </w:rPr>
        <w:t xml:space="preserve"> </w:t>
      </w:r>
      <w:r w:rsidRPr="0094448B">
        <w:rPr>
          <w:rFonts w:ascii="Verdana" w:eastAsia="Verdana" w:hAnsi="Verdana" w:cs="Verdana"/>
          <w:spacing w:val="-2"/>
          <w:lang w:val="es-ES"/>
        </w:rPr>
        <w:t>este</w:t>
      </w:r>
      <w:r w:rsidRPr="0094448B">
        <w:rPr>
          <w:rFonts w:ascii="Verdana" w:eastAsia="Verdana" w:hAnsi="Verdana" w:cs="Verdana"/>
          <w:spacing w:val="-11"/>
          <w:lang w:val="es-ES"/>
        </w:rPr>
        <w:t xml:space="preserve"> </w:t>
      </w:r>
      <w:r w:rsidRPr="0094448B">
        <w:rPr>
          <w:rFonts w:ascii="Verdana" w:eastAsia="Verdana" w:hAnsi="Verdana" w:cs="Verdana"/>
          <w:spacing w:val="-2"/>
          <w:lang w:val="es-ES"/>
        </w:rPr>
        <w:t>punto</w:t>
      </w:r>
      <w:r w:rsidRPr="0094448B">
        <w:rPr>
          <w:rFonts w:ascii="Verdana" w:eastAsia="Verdana" w:hAnsi="Verdana" w:cs="Verdana"/>
          <w:spacing w:val="-11"/>
          <w:lang w:val="es-ES"/>
        </w:rPr>
        <w:t xml:space="preserve"> </w:t>
      </w:r>
      <w:r w:rsidRPr="0094448B">
        <w:rPr>
          <w:rFonts w:ascii="Verdana" w:eastAsia="Verdana" w:hAnsi="Verdana" w:cs="Verdana"/>
          <w:spacing w:val="-2"/>
          <w:lang w:val="es-ES"/>
        </w:rPr>
        <w:t>particular</w:t>
      </w:r>
      <w:r w:rsidRPr="0094448B">
        <w:rPr>
          <w:rFonts w:ascii="Verdana" w:eastAsia="Verdana" w:hAnsi="Verdana" w:cs="Verdana"/>
          <w:spacing w:val="-8"/>
          <w:lang w:val="es-ES"/>
        </w:rPr>
        <w:t xml:space="preserve"> </w:t>
      </w:r>
      <w:r w:rsidRPr="0094448B">
        <w:rPr>
          <w:rFonts w:ascii="Verdana" w:eastAsia="Verdana" w:hAnsi="Verdana" w:cs="Verdana"/>
          <w:spacing w:val="-2"/>
          <w:lang w:val="es-ES"/>
        </w:rPr>
        <w:t>es</w:t>
      </w:r>
      <w:r w:rsidRPr="0094448B">
        <w:rPr>
          <w:rFonts w:ascii="Verdana" w:eastAsia="Verdana" w:hAnsi="Verdana" w:cs="Verdana"/>
          <w:spacing w:val="-11"/>
          <w:lang w:val="es-ES"/>
        </w:rPr>
        <w:t xml:space="preserve"> </w:t>
      </w:r>
      <w:r w:rsidRPr="0094448B">
        <w:rPr>
          <w:rFonts w:ascii="Verdana" w:eastAsia="Verdana" w:hAnsi="Verdana" w:cs="Verdana"/>
          <w:spacing w:val="-2"/>
          <w:lang w:val="es-ES"/>
        </w:rPr>
        <w:t>preciso</w:t>
      </w:r>
      <w:r w:rsidRPr="0094448B">
        <w:rPr>
          <w:rFonts w:ascii="Verdana" w:eastAsia="Verdana" w:hAnsi="Verdana" w:cs="Verdana"/>
          <w:spacing w:val="-8"/>
          <w:lang w:val="es-ES"/>
        </w:rPr>
        <w:t xml:space="preserve"> </w:t>
      </w:r>
      <w:r w:rsidRPr="0094448B">
        <w:rPr>
          <w:rFonts w:ascii="Verdana" w:eastAsia="Verdana" w:hAnsi="Verdana" w:cs="Verdana"/>
          <w:spacing w:val="-2"/>
          <w:lang w:val="es-ES"/>
        </w:rPr>
        <w:t>destacar</w:t>
      </w:r>
      <w:r w:rsidRPr="0094448B">
        <w:rPr>
          <w:rFonts w:ascii="Verdana" w:eastAsia="Verdana" w:hAnsi="Verdana" w:cs="Verdana"/>
          <w:spacing w:val="-10"/>
          <w:lang w:val="es-ES"/>
        </w:rPr>
        <w:t xml:space="preserve"> </w:t>
      </w:r>
      <w:r w:rsidRPr="0094448B">
        <w:rPr>
          <w:rFonts w:ascii="Verdana" w:eastAsia="Verdana" w:hAnsi="Verdana" w:cs="Verdana"/>
          <w:spacing w:val="-2"/>
          <w:lang w:val="es-ES"/>
        </w:rPr>
        <w:t>que</w:t>
      </w:r>
      <w:r w:rsidRPr="0094448B">
        <w:rPr>
          <w:rFonts w:ascii="Verdana" w:eastAsia="Verdana" w:hAnsi="Verdana" w:cs="Verdana"/>
          <w:spacing w:val="-11"/>
          <w:lang w:val="es-ES"/>
        </w:rPr>
        <w:t xml:space="preserve"> </w:t>
      </w:r>
      <w:r w:rsidRPr="0094448B">
        <w:rPr>
          <w:rFonts w:ascii="Verdana" w:eastAsia="Verdana" w:hAnsi="Verdana" w:cs="Verdana"/>
          <w:spacing w:val="-2"/>
          <w:lang w:val="es-ES"/>
        </w:rPr>
        <w:t>las</w:t>
      </w:r>
      <w:r w:rsidRPr="0094448B">
        <w:rPr>
          <w:rFonts w:ascii="Verdana" w:eastAsia="Verdana" w:hAnsi="Verdana" w:cs="Verdana"/>
          <w:spacing w:val="-11"/>
          <w:lang w:val="es-ES"/>
        </w:rPr>
        <w:t xml:space="preserve"> </w:t>
      </w:r>
      <w:r w:rsidRPr="0094448B">
        <w:rPr>
          <w:rFonts w:ascii="Verdana" w:eastAsia="Verdana" w:hAnsi="Verdana" w:cs="Verdana"/>
          <w:spacing w:val="-2"/>
          <w:lang w:val="es-ES"/>
        </w:rPr>
        <w:t>entidades</w:t>
      </w:r>
      <w:r w:rsidRPr="0094448B">
        <w:rPr>
          <w:rFonts w:ascii="Verdana" w:eastAsia="Verdana" w:hAnsi="Verdana" w:cs="Verdana"/>
          <w:spacing w:val="-10"/>
          <w:lang w:val="es-ES"/>
        </w:rPr>
        <w:t xml:space="preserve"> </w:t>
      </w:r>
      <w:r w:rsidRPr="0094448B">
        <w:rPr>
          <w:rFonts w:ascii="Verdana" w:eastAsia="Verdana" w:hAnsi="Verdana" w:cs="Verdana"/>
          <w:spacing w:val="-2"/>
          <w:lang w:val="es-ES"/>
        </w:rPr>
        <w:t xml:space="preserve">estatales </w:t>
      </w:r>
      <w:r w:rsidRPr="0094448B">
        <w:rPr>
          <w:rFonts w:ascii="Verdana" w:eastAsia="Verdana" w:hAnsi="Verdana" w:cs="Verdana"/>
          <w:lang w:val="es-ES"/>
        </w:rPr>
        <w:t>sometidas</w:t>
      </w:r>
      <w:r w:rsidRPr="0094448B">
        <w:rPr>
          <w:rFonts w:ascii="Verdana" w:eastAsia="Verdana" w:hAnsi="Verdana" w:cs="Verdana"/>
          <w:spacing w:val="-15"/>
          <w:lang w:val="es-ES"/>
        </w:rPr>
        <w:t xml:space="preserve"> </w:t>
      </w:r>
      <w:r w:rsidRPr="0094448B">
        <w:rPr>
          <w:rFonts w:ascii="Verdana" w:eastAsia="Verdana" w:hAnsi="Verdana" w:cs="Verdana"/>
          <w:lang w:val="es-ES"/>
        </w:rPr>
        <w:t>a</w:t>
      </w:r>
      <w:r w:rsidRPr="0094448B">
        <w:rPr>
          <w:rFonts w:ascii="Verdana" w:eastAsia="Verdana" w:hAnsi="Verdana" w:cs="Verdana"/>
          <w:spacing w:val="-17"/>
          <w:lang w:val="es-ES"/>
        </w:rPr>
        <w:t xml:space="preserve"> </w:t>
      </w:r>
      <w:r w:rsidRPr="0094448B">
        <w:rPr>
          <w:rFonts w:ascii="Verdana" w:eastAsia="Verdana" w:hAnsi="Verdana" w:cs="Verdana"/>
          <w:lang w:val="es-ES"/>
        </w:rPr>
        <w:t>regímenes</w:t>
      </w:r>
      <w:r w:rsidRPr="0094448B">
        <w:rPr>
          <w:rFonts w:ascii="Verdana" w:eastAsia="Verdana" w:hAnsi="Verdana" w:cs="Verdana"/>
          <w:spacing w:val="-15"/>
          <w:lang w:val="es-ES"/>
        </w:rPr>
        <w:t xml:space="preserve"> </w:t>
      </w:r>
      <w:r w:rsidRPr="0094448B">
        <w:rPr>
          <w:rFonts w:ascii="Verdana" w:eastAsia="Verdana" w:hAnsi="Verdana" w:cs="Verdana"/>
          <w:lang w:val="es-ES"/>
        </w:rPr>
        <w:t>especiales</w:t>
      </w:r>
      <w:r w:rsidRPr="0094448B">
        <w:rPr>
          <w:rFonts w:ascii="Verdana" w:eastAsia="Verdana" w:hAnsi="Verdana" w:cs="Verdana"/>
          <w:spacing w:val="-14"/>
          <w:lang w:val="es-ES"/>
        </w:rPr>
        <w:t xml:space="preserve"> </w:t>
      </w:r>
      <w:r w:rsidRPr="0094448B">
        <w:rPr>
          <w:rFonts w:ascii="Verdana" w:eastAsia="Verdana" w:hAnsi="Verdana" w:cs="Verdana"/>
          <w:lang w:val="es-ES"/>
        </w:rPr>
        <w:t>de</w:t>
      </w:r>
      <w:r w:rsidRPr="0094448B">
        <w:rPr>
          <w:rFonts w:ascii="Verdana" w:eastAsia="Verdana" w:hAnsi="Verdana" w:cs="Verdana"/>
          <w:spacing w:val="-17"/>
          <w:lang w:val="es-ES"/>
        </w:rPr>
        <w:t xml:space="preserve"> </w:t>
      </w:r>
      <w:r w:rsidRPr="0094448B">
        <w:rPr>
          <w:rFonts w:ascii="Verdana" w:eastAsia="Verdana" w:hAnsi="Verdana" w:cs="Verdana"/>
          <w:lang w:val="es-ES"/>
        </w:rPr>
        <w:t>derecho</w:t>
      </w:r>
      <w:r w:rsidRPr="0094448B">
        <w:rPr>
          <w:rFonts w:ascii="Verdana" w:eastAsia="Verdana" w:hAnsi="Verdana" w:cs="Verdana"/>
          <w:spacing w:val="-14"/>
          <w:lang w:val="es-ES"/>
        </w:rPr>
        <w:t xml:space="preserve"> </w:t>
      </w:r>
      <w:r w:rsidRPr="0094448B">
        <w:rPr>
          <w:rFonts w:ascii="Verdana" w:eastAsia="Verdana" w:hAnsi="Verdana" w:cs="Verdana"/>
          <w:lang w:val="es-ES"/>
        </w:rPr>
        <w:t>privado</w:t>
      </w:r>
      <w:r w:rsidRPr="0094448B">
        <w:rPr>
          <w:rFonts w:ascii="Verdana" w:eastAsia="Verdana" w:hAnsi="Verdana" w:cs="Verdana"/>
          <w:spacing w:val="-15"/>
          <w:lang w:val="es-ES"/>
        </w:rPr>
        <w:t xml:space="preserve"> </w:t>
      </w:r>
      <w:r w:rsidRPr="0094448B">
        <w:rPr>
          <w:rFonts w:ascii="Verdana" w:eastAsia="Verdana" w:hAnsi="Verdana" w:cs="Verdana"/>
          <w:lang w:val="es-ES"/>
        </w:rPr>
        <w:t>tienen</w:t>
      </w:r>
      <w:r w:rsidRPr="0094448B">
        <w:rPr>
          <w:rFonts w:ascii="Verdana" w:eastAsia="Verdana" w:hAnsi="Verdana" w:cs="Verdana"/>
          <w:spacing w:val="-16"/>
          <w:lang w:val="es-ES"/>
        </w:rPr>
        <w:t xml:space="preserve"> </w:t>
      </w:r>
      <w:r w:rsidRPr="0094448B">
        <w:rPr>
          <w:rFonts w:ascii="Verdana" w:eastAsia="Verdana" w:hAnsi="Verdana" w:cs="Verdana"/>
          <w:lang w:val="es-ES"/>
        </w:rPr>
        <w:t>una</w:t>
      </w:r>
      <w:r w:rsidRPr="0094448B">
        <w:rPr>
          <w:rFonts w:ascii="Verdana" w:eastAsia="Verdana" w:hAnsi="Verdana" w:cs="Verdana"/>
          <w:spacing w:val="-17"/>
          <w:lang w:val="es-ES"/>
        </w:rPr>
        <w:t xml:space="preserve"> </w:t>
      </w:r>
      <w:r w:rsidRPr="0094448B">
        <w:rPr>
          <w:rFonts w:ascii="Verdana" w:eastAsia="Verdana" w:hAnsi="Verdana" w:cs="Verdana"/>
          <w:lang w:val="es-ES"/>
        </w:rPr>
        <w:t>amplia</w:t>
      </w:r>
      <w:r w:rsidRPr="0094448B">
        <w:rPr>
          <w:rFonts w:ascii="Verdana" w:eastAsia="Verdana" w:hAnsi="Verdana" w:cs="Verdana"/>
          <w:spacing w:val="-16"/>
          <w:lang w:val="es-ES"/>
        </w:rPr>
        <w:t xml:space="preserve"> </w:t>
      </w:r>
      <w:r w:rsidRPr="0094448B">
        <w:rPr>
          <w:rFonts w:ascii="Verdana" w:eastAsia="Verdana" w:hAnsi="Verdana" w:cs="Verdana"/>
          <w:lang w:val="es-ES"/>
        </w:rPr>
        <w:t>libertad</w:t>
      </w:r>
      <w:r w:rsidRPr="0094448B">
        <w:rPr>
          <w:rFonts w:ascii="Verdana" w:eastAsia="Calibri" w:hAnsi="Verdana" w:cs="Times New Roman"/>
          <w:lang w:val="es-ES"/>
        </w:rPr>
        <w:t xml:space="preserve"> d</w:t>
      </w:r>
      <w:r w:rsidRPr="0094448B">
        <w:rPr>
          <w:rFonts w:ascii="Verdana" w:eastAsia="Verdana" w:hAnsi="Verdana" w:cs="Verdana"/>
          <w:lang w:val="es-ES"/>
        </w:rPr>
        <w:t>e configuración del contenido del manual de contratación. Esta libertad se deriva del principio de autonomía de la voluntad reconocida a estas entidades, que les permite establecer la manera en que adelantarán sus procesos de contratación</w:t>
      </w:r>
      <w:r w:rsidRPr="0094448B">
        <w:rPr>
          <w:rFonts w:ascii="Verdana" w:eastAsia="Verdana" w:hAnsi="Verdana" w:cs="Verdana"/>
          <w:vertAlign w:val="superscript"/>
          <w:lang w:val="es-ES"/>
        </w:rPr>
        <w:footnoteReference w:id="15"/>
      </w:r>
      <w:r w:rsidRPr="0094448B">
        <w:rPr>
          <w:rFonts w:ascii="Verdana" w:eastAsia="Verdana" w:hAnsi="Verdana" w:cs="Verdana"/>
          <w:lang w:val="es-ES"/>
        </w:rPr>
        <w:t>. Ahora bien, dicha libertad es similar a la reconocida a los particulares por el</w:t>
      </w:r>
      <w:r w:rsidRPr="0094448B">
        <w:rPr>
          <w:rFonts w:ascii="Verdana" w:eastAsia="Verdana" w:hAnsi="Verdana" w:cs="Verdana"/>
          <w:spacing w:val="-1"/>
          <w:lang w:val="es-ES"/>
        </w:rPr>
        <w:t xml:space="preserve"> </w:t>
      </w:r>
      <w:r w:rsidRPr="0094448B">
        <w:rPr>
          <w:rFonts w:ascii="Verdana" w:eastAsia="Verdana" w:hAnsi="Verdana" w:cs="Verdana"/>
          <w:lang w:val="es-ES"/>
        </w:rPr>
        <w:t>derecho privado, pero no</w:t>
      </w:r>
      <w:r w:rsidRPr="0094448B">
        <w:rPr>
          <w:rFonts w:ascii="Verdana" w:eastAsia="Verdana" w:hAnsi="Verdana" w:cs="Verdana"/>
          <w:spacing w:val="-1"/>
          <w:lang w:val="es-ES"/>
        </w:rPr>
        <w:t xml:space="preserve"> </w:t>
      </w:r>
      <w:r w:rsidRPr="0094448B">
        <w:rPr>
          <w:rFonts w:ascii="Verdana" w:eastAsia="Verdana" w:hAnsi="Verdana" w:cs="Verdana"/>
          <w:lang w:val="es-ES"/>
        </w:rPr>
        <w:t>es</w:t>
      </w:r>
      <w:r w:rsidRPr="0094448B">
        <w:rPr>
          <w:rFonts w:ascii="Verdana" w:eastAsia="Verdana" w:hAnsi="Verdana" w:cs="Verdana"/>
          <w:spacing w:val="-1"/>
          <w:lang w:val="es-ES"/>
        </w:rPr>
        <w:t xml:space="preserve"> </w:t>
      </w:r>
      <w:r w:rsidRPr="0094448B">
        <w:rPr>
          <w:rFonts w:ascii="Verdana" w:eastAsia="Verdana" w:hAnsi="Verdana" w:cs="Verdana"/>
          <w:lang w:val="es-ES"/>
        </w:rPr>
        <w:t>idéntica a</w:t>
      </w:r>
      <w:r w:rsidRPr="0094448B">
        <w:rPr>
          <w:rFonts w:ascii="Verdana" w:eastAsia="Verdana" w:hAnsi="Verdana" w:cs="Verdana"/>
          <w:spacing w:val="-1"/>
          <w:lang w:val="es-ES"/>
        </w:rPr>
        <w:t xml:space="preserve"> </w:t>
      </w:r>
      <w:r w:rsidRPr="0094448B">
        <w:rPr>
          <w:rFonts w:ascii="Verdana" w:eastAsia="Verdana" w:hAnsi="Verdana" w:cs="Verdana"/>
          <w:lang w:val="es-ES"/>
        </w:rPr>
        <w:t>aquella, en</w:t>
      </w:r>
      <w:r w:rsidRPr="0094448B">
        <w:rPr>
          <w:rFonts w:ascii="Verdana" w:eastAsia="Verdana" w:hAnsi="Verdana" w:cs="Verdana"/>
          <w:spacing w:val="-1"/>
          <w:lang w:val="es-ES"/>
        </w:rPr>
        <w:t xml:space="preserve"> </w:t>
      </w:r>
      <w:r w:rsidRPr="0094448B">
        <w:rPr>
          <w:rFonts w:ascii="Verdana" w:eastAsia="Verdana" w:hAnsi="Verdana" w:cs="Verdana"/>
          <w:lang w:val="es-ES"/>
        </w:rPr>
        <w:t>la</w:t>
      </w:r>
      <w:r w:rsidRPr="0094448B">
        <w:rPr>
          <w:rFonts w:ascii="Verdana" w:eastAsia="Verdana" w:hAnsi="Verdana" w:cs="Verdana"/>
          <w:spacing w:val="-1"/>
          <w:lang w:val="es-ES"/>
        </w:rPr>
        <w:t xml:space="preserve"> </w:t>
      </w:r>
      <w:r w:rsidRPr="0094448B">
        <w:rPr>
          <w:rFonts w:ascii="Verdana" w:eastAsia="Verdana" w:hAnsi="Verdana" w:cs="Verdana"/>
          <w:lang w:val="es-ES"/>
        </w:rPr>
        <w:t>medida en que encuentra importantes limitantes.</w:t>
      </w:r>
      <w:r w:rsidRPr="0094448B">
        <w:rPr>
          <w:rFonts w:ascii="Verdana" w:eastAsia="Calibri" w:hAnsi="Verdana" w:cs="Times New Roman"/>
          <w:lang w:val="es-ES"/>
        </w:rPr>
        <w:t xml:space="preserve"> </w:t>
      </w:r>
      <w:r w:rsidRPr="0094448B">
        <w:rPr>
          <w:rFonts w:ascii="Verdana" w:eastAsia="Verdana" w:hAnsi="Verdana" w:cs="Verdana"/>
          <w:lang w:val="es-ES"/>
        </w:rPr>
        <w:t>Esta</w:t>
      </w:r>
      <w:r w:rsidRPr="0094448B">
        <w:rPr>
          <w:rFonts w:ascii="Verdana" w:eastAsia="Verdana" w:hAnsi="Verdana" w:cs="Verdana"/>
          <w:spacing w:val="-10"/>
          <w:lang w:val="es-ES"/>
        </w:rPr>
        <w:t xml:space="preserve"> </w:t>
      </w:r>
      <w:r w:rsidRPr="0094448B">
        <w:rPr>
          <w:rFonts w:ascii="Verdana" w:eastAsia="Verdana" w:hAnsi="Verdana" w:cs="Verdana"/>
          <w:lang w:val="es-ES"/>
        </w:rPr>
        <w:t>Agencia</w:t>
      </w:r>
      <w:r w:rsidRPr="0094448B">
        <w:rPr>
          <w:rFonts w:ascii="Verdana" w:eastAsia="Verdana" w:hAnsi="Verdana" w:cs="Verdana"/>
          <w:spacing w:val="-9"/>
          <w:lang w:val="es-ES"/>
        </w:rPr>
        <w:t xml:space="preserve"> </w:t>
      </w:r>
      <w:r w:rsidRPr="0094448B">
        <w:rPr>
          <w:rFonts w:ascii="Verdana" w:eastAsia="Verdana" w:hAnsi="Verdana" w:cs="Verdana"/>
          <w:lang w:val="es-ES"/>
        </w:rPr>
        <w:t>Nacional</w:t>
      </w:r>
      <w:r w:rsidRPr="0094448B">
        <w:rPr>
          <w:rFonts w:ascii="Verdana" w:eastAsia="Verdana" w:hAnsi="Verdana" w:cs="Verdana"/>
          <w:spacing w:val="-8"/>
          <w:lang w:val="es-ES"/>
        </w:rPr>
        <w:t xml:space="preserve"> </w:t>
      </w:r>
      <w:r w:rsidRPr="0094448B">
        <w:rPr>
          <w:rFonts w:ascii="Verdana" w:eastAsia="Verdana" w:hAnsi="Verdana" w:cs="Verdana"/>
          <w:lang w:val="es-ES"/>
        </w:rPr>
        <w:t>de</w:t>
      </w:r>
      <w:r w:rsidRPr="0094448B">
        <w:rPr>
          <w:rFonts w:ascii="Verdana" w:eastAsia="Verdana" w:hAnsi="Verdana" w:cs="Verdana"/>
          <w:spacing w:val="-10"/>
          <w:lang w:val="es-ES"/>
        </w:rPr>
        <w:t xml:space="preserve"> </w:t>
      </w:r>
      <w:r w:rsidRPr="0094448B">
        <w:rPr>
          <w:rFonts w:ascii="Verdana" w:eastAsia="Verdana" w:hAnsi="Verdana" w:cs="Verdana"/>
          <w:lang w:val="es-ES"/>
        </w:rPr>
        <w:t>Contratación</w:t>
      </w:r>
      <w:r w:rsidRPr="0094448B">
        <w:rPr>
          <w:rFonts w:ascii="Verdana" w:eastAsia="Verdana" w:hAnsi="Verdana" w:cs="Verdana"/>
          <w:spacing w:val="-7"/>
          <w:lang w:val="es-ES"/>
        </w:rPr>
        <w:t xml:space="preserve"> </w:t>
      </w:r>
      <w:r w:rsidRPr="0094448B">
        <w:rPr>
          <w:rFonts w:ascii="Verdana" w:eastAsia="Verdana" w:hAnsi="Verdana" w:cs="Verdana"/>
          <w:lang w:val="es-ES"/>
        </w:rPr>
        <w:t>Publica</w:t>
      </w:r>
      <w:r w:rsidRPr="0094448B">
        <w:rPr>
          <w:rFonts w:ascii="Verdana" w:eastAsia="Verdana" w:hAnsi="Verdana" w:cs="Verdana"/>
          <w:spacing w:val="-9"/>
          <w:lang w:val="es-ES"/>
        </w:rPr>
        <w:t xml:space="preserve"> </w:t>
      </w:r>
      <w:r w:rsidRPr="0094448B">
        <w:rPr>
          <w:rFonts w:ascii="Verdana" w:eastAsia="Verdana" w:hAnsi="Verdana" w:cs="Verdana"/>
          <w:lang w:val="es-ES"/>
        </w:rPr>
        <w:t>Colombia</w:t>
      </w:r>
      <w:r w:rsidRPr="0094448B">
        <w:rPr>
          <w:rFonts w:ascii="Verdana" w:eastAsia="Verdana" w:hAnsi="Verdana" w:cs="Verdana"/>
          <w:spacing w:val="-9"/>
          <w:lang w:val="es-ES"/>
        </w:rPr>
        <w:t xml:space="preserve"> </w:t>
      </w:r>
      <w:r w:rsidRPr="0094448B">
        <w:rPr>
          <w:rFonts w:ascii="Verdana" w:eastAsia="Verdana" w:hAnsi="Verdana" w:cs="Verdana"/>
          <w:lang w:val="es-ES"/>
        </w:rPr>
        <w:t>Compra</w:t>
      </w:r>
      <w:r w:rsidRPr="0094448B">
        <w:rPr>
          <w:rFonts w:ascii="Verdana" w:eastAsia="Verdana" w:hAnsi="Verdana" w:cs="Verdana"/>
          <w:spacing w:val="-9"/>
          <w:lang w:val="es-ES"/>
        </w:rPr>
        <w:t xml:space="preserve"> </w:t>
      </w:r>
      <w:r w:rsidRPr="0094448B">
        <w:rPr>
          <w:rFonts w:ascii="Verdana" w:eastAsia="Verdana" w:hAnsi="Verdana" w:cs="Verdana"/>
          <w:lang w:val="es-ES"/>
        </w:rPr>
        <w:t>Eficiente, realizó una Guía para las Entidades Estatales con régimen especial de contratación</w:t>
      </w:r>
      <w:r w:rsidRPr="0094448B">
        <w:rPr>
          <w:rFonts w:ascii="Verdana" w:eastAsia="Verdana" w:hAnsi="Verdana" w:cs="Verdana"/>
          <w:vertAlign w:val="superscript"/>
          <w:lang w:val="es-ES"/>
        </w:rPr>
        <w:footnoteReference w:id="16"/>
      </w:r>
      <w:r w:rsidRPr="0094448B">
        <w:rPr>
          <w:rFonts w:ascii="Verdana" w:eastAsia="Verdana" w:hAnsi="Verdana" w:cs="Verdana"/>
          <w:lang w:val="es-ES"/>
        </w:rPr>
        <w:t>, por medio de la cual definió los lineamientos generales para la expedición</w:t>
      </w:r>
      <w:r w:rsidRPr="0094448B">
        <w:rPr>
          <w:rFonts w:ascii="Verdana" w:eastAsia="Verdana" w:hAnsi="Verdana" w:cs="Verdana"/>
          <w:spacing w:val="-5"/>
          <w:lang w:val="es-ES"/>
        </w:rPr>
        <w:t xml:space="preserve"> </w:t>
      </w:r>
      <w:r w:rsidRPr="0094448B">
        <w:rPr>
          <w:rFonts w:ascii="Verdana" w:eastAsia="Verdana" w:hAnsi="Verdana" w:cs="Verdana"/>
          <w:lang w:val="es-ES"/>
        </w:rPr>
        <w:t>de</w:t>
      </w:r>
      <w:r w:rsidRPr="0094448B">
        <w:rPr>
          <w:rFonts w:ascii="Verdana" w:eastAsia="Verdana" w:hAnsi="Verdana" w:cs="Verdana"/>
          <w:spacing w:val="-8"/>
          <w:lang w:val="es-ES"/>
        </w:rPr>
        <w:t xml:space="preserve"> </w:t>
      </w:r>
      <w:r w:rsidRPr="0094448B">
        <w:rPr>
          <w:rFonts w:ascii="Verdana" w:eastAsia="Verdana" w:hAnsi="Verdana" w:cs="Verdana"/>
          <w:lang w:val="es-ES"/>
        </w:rPr>
        <w:t>manuales</w:t>
      </w:r>
      <w:r w:rsidRPr="0094448B">
        <w:rPr>
          <w:rFonts w:ascii="Verdana" w:eastAsia="Verdana" w:hAnsi="Verdana" w:cs="Verdana"/>
          <w:spacing w:val="-6"/>
          <w:lang w:val="es-ES"/>
        </w:rPr>
        <w:t xml:space="preserve"> </w:t>
      </w:r>
      <w:r w:rsidRPr="0094448B">
        <w:rPr>
          <w:rFonts w:ascii="Verdana" w:eastAsia="Verdana" w:hAnsi="Verdana" w:cs="Verdana"/>
          <w:lang w:val="es-ES"/>
        </w:rPr>
        <w:t>de</w:t>
      </w:r>
      <w:r w:rsidRPr="0094448B">
        <w:rPr>
          <w:rFonts w:ascii="Verdana" w:eastAsia="Verdana" w:hAnsi="Verdana" w:cs="Verdana"/>
          <w:spacing w:val="-8"/>
          <w:lang w:val="es-ES"/>
        </w:rPr>
        <w:t xml:space="preserve"> </w:t>
      </w:r>
      <w:r w:rsidRPr="0094448B">
        <w:rPr>
          <w:rFonts w:ascii="Verdana" w:eastAsia="Verdana" w:hAnsi="Verdana" w:cs="Verdana"/>
          <w:lang w:val="es-ES"/>
        </w:rPr>
        <w:t>contratación,</w:t>
      </w:r>
      <w:r w:rsidRPr="0094448B">
        <w:rPr>
          <w:rFonts w:ascii="Verdana" w:eastAsia="Verdana" w:hAnsi="Verdana" w:cs="Verdana"/>
          <w:spacing w:val="-5"/>
          <w:lang w:val="es-ES"/>
        </w:rPr>
        <w:t xml:space="preserve"> </w:t>
      </w:r>
      <w:r w:rsidRPr="0094448B">
        <w:rPr>
          <w:rFonts w:ascii="Verdana" w:eastAsia="Verdana" w:hAnsi="Verdana" w:cs="Verdana"/>
          <w:lang w:val="es-ES"/>
        </w:rPr>
        <w:t>los</w:t>
      </w:r>
      <w:r w:rsidRPr="0094448B">
        <w:rPr>
          <w:rFonts w:ascii="Verdana" w:eastAsia="Verdana" w:hAnsi="Verdana" w:cs="Verdana"/>
          <w:spacing w:val="-7"/>
          <w:lang w:val="es-ES"/>
        </w:rPr>
        <w:t xml:space="preserve"> </w:t>
      </w:r>
      <w:r w:rsidRPr="0094448B">
        <w:rPr>
          <w:rFonts w:ascii="Verdana" w:eastAsia="Verdana" w:hAnsi="Verdana" w:cs="Verdana"/>
          <w:lang w:val="es-ES"/>
        </w:rPr>
        <w:t>cuales</w:t>
      </w:r>
      <w:r w:rsidRPr="0094448B">
        <w:rPr>
          <w:rFonts w:ascii="Verdana" w:eastAsia="Verdana" w:hAnsi="Verdana" w:cs="Verdana"/>
          <w:spacing w:val="-6"/>
          <w:lang w:val="es-ES"/>
        </w:rPr>
        <w:t xml:space="preserve"> </w:t>
      </w:r>
      <w:r w:rsidRPr="0094448B">
        <w:rPr>
          <w:rFonts w:ascii="Verdana" w:eastAsia="Verdana" w:hAnsi="Verdana" w:cs="Verdana"/>
          <w:lang w:val="es-ES"/>
        </w:rPr>
        <w:t>deben</w:t>
      </w:r>
      <w:r w:rsidRPr="0094448B">
        <w:rPr>
          <w:rFonts w:ascii="Verdana" w:eastAsia="Verdana" w:hAnsi="Verdana" w:cs="Verdana"/>
          <w:spacing w:val="-7"/>
          <w:lang w:val="es-ES"/>
        </w:rPr>
        <w:t xml:space="preserve"> </w:t>
      </w:r>
      <w:r w:rsidRPr="0094448B">
        <w:rPr>
          <w:rFonts w:ascii="Verdana" w:eastAsia="Verdana" w:hAnsi="Verdana" w:cs="Verdana"/>
          <w:lang w:val="es-ES"/>
        </w:rPr>
        <w:t>contener,</w:t>
      </w:r>
      <w:r w:rsidRPr="0094448B">
        <w:rPr>
          <w:rFonts w:ascii="Verdana" w:eastAsia="Verdana" w:hAnsi="Verdana" w:cs="Verdana"/>
          <w:spacing w:val="-5"/>
          <w:lang w:val="es-ES"/>
        </w:rPr>
        <w:t xml:space="preserve"> </w:t>
      </w:r>
      <w:r w:rsidRPr="0094448B">
        <w:rPr>
          <w:rFonts w:ascii="Verdana" w:eastAsia="Verdana" w:hAnsi="Verdana" w:cs="Verdana"/>
          <w:lang w:val="es-ES"/>
        </w:rPr>
        <w:t>entre</w:t>
      </w:r>
      <w:r w:rsidRPr="0094448B">
        <w:rPr>
          <w:rFonts w:ascii="Verdana" w:eastAsia="Verdana" w:hAnsi="Verdana" w:cs="Verdana"/>
          <w:spacing w:val="-7"/>
          <w:lang w:val="es-ES"/>
        </w:rPr>
        <w:t xml:space="preserve"> </w:t>
      </w:r>
      <w:r w:rsidRPr="0094448B">
        <w:rPr>
          <w:rFonts w:ascii="Verdana" w:eastAsia="Verdana" w:hAnsi="Verdana" w:cs="Verdana"/>
          <w:lang w:val="es-ES"/>
        </w:rPr>
        <w:t>otros elementos:</w:t>
      </w:r>
    </w:p>
    <w:p w14:paraId="3CCB02E6" w14:textId="77777777" w:rsidR="00B04B6A" w:rsidRPr="0094448B" w:rsidRDefault="00B04B6A" w:rsidP="004C37CC">
      <w:pPr>
        <w:spacing w:after="120" w:line="276" w:lineRule="auto"/>
        <w:ind w:firstLine="708"/>
        <w:jc w:val="both"/>
        <w:rPr>
          <w:rFonts w:ascii="Verdana" w:eastAsia="Calibri" w:hAnsi="Verdana" w:cs="Times New Roman"/>
          <w:lang w:val="es-ES"/>
        </w:rPr>
      </w:pPr>
    </w:p>
    <w:p w14:paraId="4A6CB02F" w14:textId="77777777" w:rsidR="004C37CC" w:rsidRPr="0094448B" w:rsidRDefault="004C37CC" w:rsidP="00B04B6A">
      <w:pPr>
        <w:widowControl w:val="0"/>
        <w:numPr>
          <w:ilvl w:val="1"/>
          <w:numId w:val="33"/>
        </w:numPr>
        <w:tabs>
          <w:tab w:val="left" w:pos="572"/>
          <w:tab w:val="left" w:pos="640"/>
        </w:tabs>
        <w:autoSpaceDE w:val="0"/>
        <w:autoSpaceDN w:val="0"/>
        <w:spacing w:after="0" w:line="240" w:lineRule="auto"/>
        <w:ind w:left="709" w:right="709"/>
        <w:jc w:val="both"/>
        <w:rPr>
          <w:rFonts w:ascii="Verdana" w:eastAsia="Verdana" w:hAnsi="Verdana" w:cs="Verdana"/>
          <w:sz w:val="21"/>
          <w:szCs w:val="21"/>
          <w:lang w:val="es-ES"/>
        </w:rPr>
      </w:pPr>
      <w:r w:rsidRPr="0094448B">
        <w:rPr>
          <w:rFonts w:ascii="Verdana" w:eastAsia="Verdana" w:hAnsi="Verdana" w:cs="Verdana"/>
          <w:sz w:val="21"/>
          <w:szCs w:val="21"/>
          <w:lang w:val="es-ES"/>
        </w:rPr>
        <w:t>Una</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descripción</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detallada</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de</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los</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procedimientos</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para</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seleccionar</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a</w:t>
      </w:r>
      <w:r w:rsidRPr="0094448B">
        <w:rPr>
          <w:rFonts w:ascii="Verdana" w:eastAsia="Verdana" w:hAnsi="Verdana" w:cs="Verdana"/>
          <w:spacing w:val="40"/>
          <w:sz w:val="21"/>
          <w:szCs w:val="21"/>
          <w:lang w:val="es-ES"/>
        </w:rPr>
        <w:t xml:space="preserve"> </w:t>
      </w:r>
      <w:r w:rsidRPr="0094448B">
        <w:rPr>
          <w:rFonts w:ascii="Verdana" w:eastAsia="Verdana" w:hAnsi="Verdana" w:cs="Verdana"/>
          <w:sz w:val="21"/>
          <w:szCs w:val="21"/>
          <w:lang w:val="es-ES"/>
        </w:rPr>
        <w:t>los</w:t>
      </w:r>
      <w:r w:rsidRPr="0094448B">
        <w:rPr>
          <w:rFonts w:ascii="Verdana" w:eastAsia="Verdana" w:hAnsi="Verdana" w:cs="Verdana"/>
          <w:spacing w:val="40"/>
          <w:sz w:val="21"/>
          <w:szCs w:val="21"/>
          <w:lang w:val="es-ES"/>
        </w:rPr>
        <w:t xml:space="preserve"> </w:t>
      </w:r>
      <w:r w:rsidRPr="0094448B">
        <w:rPr>
          <w:rFonts w:ascii="Verdana" w:eastAsia="Verdana" w:hAnsi="Verdana" w:cs="Verdana"/>
          <w:spacing w:val="-2"/>
          <w:sz w:val="21"/>
          <w:szCs w:val="21"/>
          <w:lang w:val="es-ES"/>
        </w:rPr>
        <w:t>contratistas.</w:t>
      </w:r>
    </w:p>
    <w:p w14:paraId="46AFD9C9" w14:textId="77777777" w:rsidR="004C37CC" w:rsidRPr="0094448B" w:rsidRDefault="004C37CC" w:rsidP="00B04B6A">
      <w:pPr>
        <w:widowControl w:val="0"/>
        <w:numPr>
          <w:ilvl w:val="1"/>
          <w:numId w:val="33"/>
        </w:numPr>
        <w:tabs>
          <w:tab w:val="left" w:pos="549"/>
          <w:tab w:val="left" w:pos="640"/>
        </w:tabs>
        <w:autoSpaceDE w:val="0"/>
        <w:autoSpaceDN w:val="0"/>
        <w:spacing w:after="0" w:line="240" w:lineRule="auto"/>
        <w:ind w:left="709" w:right="709"/>
        <w:jc w:val="both"/>
        <w:rPr>
          <w:rFonts w:ascii="Verdana" w:eastAsia="Verdana" w:hAnsi="Verdana" w:cs="Verdana"/>
          <w:sz w:val="21"/>
          <w:szCs w:val="21"/>
          <w:lang w:val="es-ES"/>
        </w:rPr>
      </w:pPr>
      <w:r w:rsidRPr="0094448B">
        <w:rPr>
          <w:rFonts w:ascii="Verdana" w:eastAsia="Verdana" w:hAnsi="Verdana" w:cs="Verdana"/>
          <w:sz w:val="21"/>
          <w:szCs w:val="21"/>
          <w:lang w:val="es-ES"/>
        </w:rPr>
        <w:t>Los</w:t>
      </w:r>
      <w:r w:rsidRPr="0094448B">
        <w:rPr>
          <w:rFonts w:ascii="Verdana" w:eastAsia="Verdana" w:hAnsi="Verdana" w:cs="Verdana"/>
          <w:spacing w:val="-8"/>
          <w:sz w:val="21"/>
          <w:szCs w:val="21"/>
          <w:lang w:val="es-ES"/>
        </w:rPr>
        <w:t xml:space="preserve"> </w:t>
      </w:r>
      <w:r w:rsidRPr="0094448B">
        <w:rPr>
          <w:rFonts w:ascii="Verdana" w:eastAsia="Verdana" w:hAnsi="Verdana" w:cs="Verdana"/>
          <w:sz w:val="21"/>
          <w:szCs w:val="21"/>
          <w:lang w:val="es-ES"/>
        </w:rPr>
        <w:t>plazos</w:t>
      </w:r>
      <w:r w:rsidRPr="0094448B">
        <w:rPr>
          <w:rFonts w:ascii="Verdana" w:eastAsia="Verdana" w:hAnsi="Verdana" w:cs="Verdana"/>
          <w:spacing w:val="-8"/>
          <w:sz w:val="21"/>
          <w:szCs w:val="21"/>
          <w:lang w:val="es-ES"/>
        </w:rPr>
        <w:t xml:space="preserve"> </w:t>
      </w:r>
      <w:r w:rsidRPr="0094448B">
        <w:rPr>
          <w:rFonts w:ascii="Verdana" w:eastAsia="Verdana" w:hAnsi="Verdana" w:cs="Verdana"/>
          <w:sz w:val="21"/>
          <w:szCs w:val="21"/>
          <w:lang w:val="es-ES"/>
        </w:rPr>
        <w:t>de</w:t>
      </w:r>
      <w:r w:rsidRPr="0094448B">
        <w:rPr>
          <w:rFonts w:ascii="Verdana" w:eastAsia="Verdana" w:hAnsi="Verdana" w:cs="Verdana"/>
          <w:spacing w:val="-7"/>
          <w:sz w:val="21"/>
          <w:szCs w:val="21"/>
          <w:lang w:val="es-ES"/>
        </w:rPr>
        <w:t xml:space="preserve"> </w:t>
      </w:r>
      <w:r w:rsidRPr="0094448B">
        <w:rPr>
          <w:rFonts w:ascii="Verdana" w:eastAsia="Verdana" w:hAnsi="Verdana" w:cs="Verdana"/>
          <w:sz w:val="21"/>
          <w:szCs w:val="21"/>
          <w:lang w:val="es-ES"/>
        </w:rPr>
        <w:t>cada</w:t>
      </w:r>
      <w:r w:rsidRPr="0094448B">
        <w:rPr>
          <w:rFonts w:ascii="Verdana" w:eastAsia="Verdana" w:hAnsi="Verdana" w:cs="Verdana"/>
          <w:spacing w:val="-8"/>
          <w:sz w:val="21"/>
          <w:szCs w:val="21"/>
          <w:lang w:val="es-ES"/>
        </w:rPr>
        <w:t xml:space="preserve"> </w:t>
      </w:r>
      <w:r w:rsidRPr="0094448B">
        <w:rPr>
          <w:rFonts w:ascii="Verdana" w:eastAsia="Verdana" w:hAnsi="Verdana" w:cs="Verdana"/>
          <w:sz w:val="21"/>
          <w:szCs w:val="21"/>
          <w:lang w:val="es-ES"/>
        </w:rPr>
        <w:t>una</w:t>
      </w:r>
      <w:r w:rsidRPr="0094448B">
        <w:rPr>
          <w:rFonts w:ascii="Verdana" w:eastAsia="Verdana" w:hAnsi="Verdana" w:cs="Verdana"/>
          <w:spacing w:val="-7"/>
          <w:sz w:val="21"/>
          <w:szCs w:val="21"/>
          <w:lang w:val="es-ES"/>
        </w:rPr>
        <w:t xml:space="preserve"> </w:t>
      </w:r>
      <w:r w:rsidRPr="0094448B">
        <w:rPr>
          <w:rFonts w:ascii="Verdana" w:eastAsia="Verdana" w:hAnsi="Verdana" w:cs="Verdana"/>
          <w:sz w:val="21"/>
          <w:szCs w:val="21"/>
          <w:lang w:val="es-ES"/>
        </w:rPr>
        <w:t>de</w:t>
      </w:r>
      <w:r w:rsidRPr="0094448B">
        <w:rPr>
          <w:rFonts w:ascii="Verdana" w:eastAsia="Verdana" w:hAnsi="Verdana" w:cs="Verdana"/>
          <w:spacing w:val="-8"/>
          <w:sz w:val="21"/>
          <w:szCs w:val="21"/>
          <w:lang w:val="es-ES"/>
        </w:rPr>
        <w:t xml:space="preserve"> </w:t>
      </w:r>
      <w:r w:rsidRPr="0094448B">
        <w:rPr>
          <w:rFonts w:ascii="Verdana" w:eastAsia="Verdana" w:hAnsi="Verdana" w:cs="Verdana"/>
          <w:sz w:val="21"/>
          <w:szCs w:val="21"/>
          <w:lang w:val="es-ES"/>
        </w:rPr>
        <w:t>las</w:t>
      </w:r>
      <w:r w:rsidRPr="0094448B">
        <w:rPr>
          <w:rFonts w:ascii="Verdana" w:eastAsia="Verdana" w:hAnsi="Verdana" w:cs="Verdana"/>
          <w:spacing w:val="-7"/>
          <w:sz w:val="21"/>
          <w:szCs w:val="21"/>
          <w:lang w:val="es-ES"/>
        </w:rPr>
        <w:t xml:space="preserve"> </w:t>
      </w:r>
      <w:r w:rsidRPr="0094448B">
        <w:rPr>
          <w:rFonts w:ascii="Verdana" w:eastAsia="Verdana" w:hAnsi="Verdana" w:cs="Verdana"/>
          <w:sz w:val="21"/>
          <w:szCs w:val="21"/>
          <w:lang w:val="es-ES"/>
        </w:rPr>
        <w:t>etapas</w:t>
      </w:r>
      <w:r w:rsidRPr="0094448B">
        <w:rPr>
          <w:rFonts w:ascii="Verdana" w:eastAsia="Verdana" w:hAnsi="Verdana" w:cs="Verdana"/>
          <w:spacing w:val="-8"/>
          <w:sz w:val="21"/>
          <w:szCs w:val="21"/>
          <w:lang w:val="es-ES"/>
        </w:rPr>
        <w:t xml:space="preserve"> </w:t>
      </w:r>
      <w:r w:rsidRPr="0094448B">
        <w:rPr>
          <w:rFonts w:ascii="Verdana" w:eastAsia="Verdana" w:hAnsi="Verdana" w:cs="Verdana"/>
          <w:sz w:val="21"/>
          <w:szCs w:val="21"/>
          <w:lang w:val="es-ES"/>
        </w:rPr>
        <w:t>de</w:t>
      </w:r>
      <w:r w:rsidRPr="0094448B">
        <w:rPr>
          <w:rFonts w:ascii="Verdana" w:eastAsia="Verdana" w:hAnsi="Verdana" w:cs="Verdana"/>
          <w:spacing w:val="-7"/>
          <w:sz w:val="21"/>
          <w:szCs w:val="21"/>
          <w:lang w:val="es-ES"/>
        </w:rPr>
        <w:t xml:space="preserve"> </w:t>
      </w:r>
      <w:r w:rsidRPr="0094448B">
        <w:rPr>
          <w:rFonts w:ascii="Verdana" w:eastAsia="Verdana" w:hAnsi="Verdana" w:cs="Verdana"/>
          <w:sz w:val="21"/>
          <w:szCs w:val="21"/>
          <w:lang w:val="es-ES"/>
        </w:rPr>
        <w:t>los</w:t>
      </w:r>
      <w:r w:rsidRPr="0094448B">
        <w:rPr>
          <w:rFonts w:ascii="Verdana" w:eastAsia="Verdana" w:hAnsi="Verdana" w:cs="Verdana"/>
          <w:spacing w:val="-8"/>
          <w:sz w:val="21"/>
          <w:szCs w:val="21"/>
          <w:lang w:val="es-ES"/>
        </w:rPr>
        <w:t xml:space="preserve"> </w:t>
      </w:r>
      <w:r w:rsidRPr="0094448B">
        <w:rPr>
          <w:rFonts w:ascii="Verdana" w:eastAsia="Verdana" w:hAnsi="Verdana" w:cs="Verdana"/>
          <w:spacing w:val="-2"/>
          <w:sz w:val="21"/>
          <w:szCs w:val="21"/>
          <w:lang w:val="es-ES"/>
        </w:rPr>
        <w:t>procedimientos.</w:t>
      </w:r>
    </w:p>
    <w:p w14:paraId="6342BE46" w14:textId="77777777" w:rsidR="004C37CC" w:rsidRPr="0094448B" w:rsidRDefault="004C37CC" w:rsidP="00B04B6A">
      <w:pPr>
        <w:widowControl w:val="0"/>
        <w:tabs>
          <w:tab w:val="left" w:pos="572"/>
          <w:tab w:val="left" w:pos="640"/>
        </w:tabs>
        <w:autoSpaceDE w:val="0"/>
        <w:autoSpaceDN w:val="0"/>
        <w:spacing w:after="0" w:line="240" w:lineRule="auto"/>
        <w:ind w:left="709" w:right="709"/>
        <w:jc w:val="both"/>
        <w:rPr>
          <w:rFonts w:ascii="Verdana" w:eastAsia="Verdana" w:hAnsi="Verdana" w:cs="Verdana"/>
          <w:sz w:val="21"/>
          <w:szCs w:val="21"/>
          <w:lang w:val="es-ES"/>
        </w:rPr>
      </w:pPr>
      <w:r w:rsidRPr="0094448B">
        <w:rPr>
          <w:rFonts w:ascii="Verdana" w:eastAsia="Verdana" w:hAnsi="Verdana" w:cs="Verdana"/>
          <w:sz w:val="21"/>
          <w:szCs w:val="21"/>
          <w:lang w:val="es-ES"/>
        </w:rPr>
        <w:t>c) Los</w:t>
      </w:r>
      <w:r w:rsidRPr="0094448B">
        <w:rPr>
          <w:rFonts w:ascii="Verdana" w:eastAsia="Verdana" w:hAnsi="Verdana" w:cs="Verdana"/>
          <w:spacing w:val="-11"/>
          <w:sz w:val="21"/>
          <w:szCs w:val="21"/>
          <w:lang w:val="es-ES"/>
        </w:rPr>
        <w:t xml:space="preserve"> </w:t>
      </w:r>
      <w:r w:rsidRPr="0094448B">
        <w:rPr>
          <w:rFonts w:ascii="Verdana" w:eastAsia="Verdana" w:hAnsi="Verdana" w:cs="Verdana"/>
          <w:sz w:val="21"/>
          <w:szCs w:val="21"/>
          <w:lang w:val="es-ES"/>
        </w:rPr>
        <w:t>criterios</w:t>
      </w:r>
      <w:r w:rsidRPr="0094448B">
        <w:rPr>
          <w:rFonts w:ascii="Verdana" w:eastAsia="Verdana" w:hAnsi="Verdana" w:cs="Verdana"/>
          <w:spacing w:val="-11"/>
          <w:sz w:val="21"/>
          <w:szCs w:val="21"/>
          <w:lang w:val="es-ES"/>
        </w:rPr>
        <w:t xml:space="preserve"> </w:t>
      </w:r>
      <w:r w:rsidRPr="0094448B">
        <w:rPr>
          <w:rFonts w:ascii="Verdana" w:eastAsia="Verdana" w:hAnsi="Verdana" w:cs="Verdana"/>
          <w:sz w:val="21"/>
          <w:szCs w:val="21"/>
          <w:lang w:val="es-ES"/>
        </w:rPr>
        <w:t>de</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evaluación</w:t>
      </w:r>
      <w:r w:rsidRPr="0094448B">
        <w:rPr>
          <w:rFonts w:ascii="Verdana" w:eastAsia="Verdana" w:hAnsi="Verdana" w:cs="Verdana"/>
          <w:spacing w:val="-11"/>
          <w:sz w:val="21"/>
          <w:szCs w:val="21"/>
          <w:lang w:val="es-ES"/>
        </w:rPr>
        <w:t xml:space="preserve"> </w:t>
      </w:r>
      <w:r w:rsidRPr="0094448B">
        <w:rPr>
          <w:rFonts w:ascii="Verdana" w:eastAsia="Verdana" w:hAnsi="Verdana" w:cs="Verdana"/>
          <w:sz w:val="21"/>
          <w:szCs w:val="21"/>
          <w:lang w:val="es-ES"/>
        </w:rPr>
        <w:t>y</w:t>
      </w:r>
      <w:r w:rsidRPr="0094448B">
        <w:rPr>
          <w:rFonts w:ascii="Verdana" w:eastAsia="Verdana" w:hAnsi="Verdana" w:cs="Verdana"/>
          <w:spacing w:val="-11"/>
          <w:sz w:val="21"/>
          <w:szCs w:val="21"/>
          <w:lang w:val="es-ES"/>
        </w:rPr>
        <w:t xml:space="preserve"> </w:t>
      </w:r>
      <w:r w:rsidRPr="0094448B">
        <w:rPr>
          <w:rFonts w:ascii="Verdana" w:eastAsia="Verdana" w:hAnsi="Verdana" w:cs="Verdana"/>
          <w:spacing w:val="-2"/>
          <w:sz w:val="21"/>
          <w:szCs w:val="21"/>
          <w:lang w:val="es-ES"/>
        </w:rPr>
        <w:t>desempate.</w:t>
      </w:r>
    </w:p>
    <w:p w14:paraId="128A5D7F" w14:textId="77777777" w:rsidR="004C37CC" w:rsidRPr="0094448B" w:rsidRDefault="004C37CC" w:rsidP="00B04B6A">
      <w:pPr>
        <w:widowControl w:val="0"/>
        <w:numPr>
          <w:ilvl w:val="0"/>
          <w:numId w:val="35"/>
        </w:numPr>
        <w:tabs>
          <w:tab w:val="left" w:pos="572"/>
          <w:tab w:val="left" w:pos="640"/>
        </w:tabs>
        <w:autoSpaceDE w:val="0"/>
        <w:autoSpaceDN w:val="0"/>
        <w:spacing w:after="0" w:line="240" w:lineRule="auto"/>
        <w:ind w:left="709" w:right="709"/>
        <w:jc w:val="both"/>
        <w:rPr>
          <w:rFonts w:ascii="Verdana" w:eastAsia="Verdana" w:hAnsi="Verdana" w:cs="Verdana"/>
          <w:sz w:val="21"/>
          <w:szCs w:val="21"/>
          <w:lang w:val="es-ES"/>
        </w:rPr>
      </w:pPr>
      <w:r w:rsidRPr="0094448B">
        <w:rPr>
          <w:rFonts w:ascii="Verdana" w:eastAsia="Verdana" w:hAnsi="Verdana" w:cs="Verdana"/>
          <w:sz w:val="21"/>
          <w:szCs w:val="21"/>
          <w:lang w:val="es-ES"/>
        </w:rPr>
        <w:t>El</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contenido</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que</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deben</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tener</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las</w:t>
      </w:r>
      <w:r w:rsidRPr="0094448B">
        <w:rPr>
          <w:rFonts w:ascii="Verdana" w:eastAsia="Verdana" w:hAnsi="Verdana" w:cs="Verdana"/>
          <w:spacing w:val="-10"/>
          <w:sz w:val="21"/>
          <w:szCs w:val="21"/>
          <w:lang w:val="es-ES"/>
        </w:rPr>
        <w:t xml:space="preserve"> </w:t>
      </w:r>
      <w:r w:rsidRPr="0094448B">
        <w:rPr>
          <w:rFonts w:ascii="Verdana" w:eastAsia="Verdana" w:hAnsi="Verdana" w:cs="Verdana"/>
          <w:spacing w:val="-2"/>
          <w:sz w:val="21"/>
          <w:szCs w:val="21"/>
          <w:lang w:val="es-ES"/>
        </w:rPr>
        <w:t>propuestas.</w:t>
      </w:r>
    </w:p>
    <w:p w14:paraId="61319159" w14:textId="77777777" w:rsidR="004C37CC" w:rsidRPr="0094448B" w:rsidRDefault="004C37CC" w:rsidP="00B04B6A">
      <w:pPr>
        <w:widowControl w:val="0"/>
        <w:numPr>
          <w:ilvl w:val="0"/>
          <w:numId w:val="35"/>
        </w:numPr>
        <w:tabs>
          <w:tab w:val="left" w:pos="588"/>
        </w:tabs>
        <w:autoSpaceDE w:val="0"/>
        <w:autoSpaceDN w:val="0"/>
        <w:spacing w:after="0" w:line="240" w:lineRule="auto"/>
        <w:ind w:left="709" w:right="709"/>
        <w:jc w:val="both"/>
        <w:rPr>
          <w:rFonts w:ascii="Verdana" w:eastAsia="Verdana" w:hAnsi="Verdana" w:cs="Verdana"/>
          <w:sz w:val="21"/>
          <w:szCs w:val="21"/>
          <w:lang w:val="es-ES"/>
        </w:rPr>
      </w:pPr>
      <w:r w:rsidRPr="0094448B">
        <w:rPr>
          <w:rFonts w:ascii="Verdana" w:eastAsia="Verdana" w:hAnsi="Verdana" w:cs="Verdana"/>
          <w:sz w:val="21"/>
          <w:szCs w:val="21"/>
          <w:lang w:val="es-ES"/>
        </w:rPr>
        <w:t xml:space="preserve">Los Procedimientos para la aplicación de las restricciones de la Ley 996 de </w:t>
      </w:r>
      <w:r w:rsidRPr="0094448B">
        <w:rPr>
          <w:rFonts w:ascii="Verdana" w:eastAsia="Verdana" w:hAnsi="Verdana" w:cs="Verdana"/>
          <w:spacing w:val="-4"/>
          <w:sz w:val="21"/>
          <w:szCs w:val="21"/>
          <w:lang w:val="es-ES"/>
        </w:rPr>
        <w:t>2005</w:t>
      </w:r>
    </w:p>
    <w:p w14:paraId="45A1F6B9" w14:textId="77777777" w:rsidR="004C37CC" w:rsidRPr="0094448B" w:rsidRDefault="004C37CC" w:rsidP="00B04B6A">
      <w:pPr>
        <w:widowControl w:val="0"/>
        <w:numPr>
          <w:ilvl w:val="0"/>
          <w:numId w:val="35"/>
        </w:numPr>
        <w:tabs>
          <w:tab w:val="left" w:pos="542"/>
        </w:tabs>
        <w:autoSpaceDE w:val="0"/>
        <w:autoSpaceDN w:val="0"/>
        <w:spacing w:after="0" w:line="240" w:lineRule="auto"/>
        <w:ind w:left="709" w:right="709"/>
        <w:jc w:val="both"/>
        <w:rPr>
          <w:rFonts w:ascii="Verdana" w:eastAsia="Verdana" w:hAnsi="Verdana" w:cs="Verdana"/>
          <w:sz w:val="21"/>
          <w:szCs w:val="21"/>
          <w:lang w:val="es-ES"/>
        </w:rPr>
      </w:pPr>
      <w:r w:rsidRPr="0094448B">
        <w:rPr>
          <w:rFonts w:ascii="Verdana" w:eastAsia="Verdana" w:hAnsi="Verdana" w:cs="Verdana"/>
          <w:sz w:val="21"/>
          <w:szCs w:val="21"/>
          <w:lang w:val="es-ES"/>
        </w:rPr>
        <w:t xml:space="preserve">Todos los demás aspectos que garanticen el cumplimiento de los </w:t>
      </w:r>
      <w:r w:rsidRPr="0094448B">
        <w:rPr>
          <w:rFonts w:ascii="Verdana" w:eastAsia="Verdana" w:hAnsi="Verdana" w:cs="Verdana"/>
          <w:sz w:val="21"/>
          <w:szCs w:val="21"/>
          <w:lang w:val="es-ES"/>
        </w:rPr>
        <w:lastRenderedPageBreak/>
        <w:t>objetivos del</w:t>
      </w:r>
      <w:r w:rsidRPr="0094448B">
        <w:rPr>
          <w:rFonts w:ascii="Verdana" w:eastAsia="Verdana" w:hAnsi="Verdana" w:cs="Verdana"/>
          <w:spacing w:val="-9"/>
          <w:sz w:val="21"/>
          <w:szCs w:val="21"/>
          <w:lang w:val="es-ES"/>
        </w:rPr>
        <w:t xml:space="preserve"> </w:t>
      </w:r>
      <w:r w:rsidRPr="0094448B">
        <w:rPr>
          <w:rFonts w:ascii="Verdana" w:eastAsia="Verdana" w:hAnsi="Verdana" w:cs="Verdana"/>
          <w:sz w:val="21"/>
          <w:szCs w:val="21"/>
          <w:lang w:val="es-ES"/>
        </w:rPr>
        <w:t>Sistema</w:t>
      </w:r>
      <w:r w:rsidRPr="0094448B">
        <w:rPr>
          <w:rFonts w:ascii="Verdana" w:eastAsia="Verdana" w:hAnsi="Verdana" w:cs="Verdana"/>
          <w:spacing w:val="-9"/>
          <w:sz w:val="21"/>
          <w:szCs w:val="21"/>
          <w:lang w:val="es-ES"/>
        </w:rPr>
        <w:t xml:space="preserve"> </w:t>
      </w:r>
      <w:r w:rsidRPr="0094448B">
        <w:rPr>
          <w:rFonts w:ascii="Verdana" w:eastAsia="Verdana" w:hAnsi="Verdana" w:cs="Verdana"/>
          <w:sz w:val="21"/>
          <w:szCs w:val="21"/>
          <w:lang w:val="es-ES"/>
        </w:rPr>
        <w:t>de</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Compra</w:t>
      </w:r>
      <w:r w:rsidRPr="0094448B">
        <w:rPr>
          <w:rFonts w:ascii="Verdana" w:eastAsia="Verdana" w:hAnsi="Verdana" w:cs="Verdana"/>
          <w:spacing w:val="-9"/>
          <w:sz w:val="21"/>
          <w:szCs w:val="21"/>
          <w:lang w:val="es-ES"/>
        </w:rPr>
        <w:t xml:space="preserve"> </w:t>
      </w:r>
      <w:r w:rsidRPr="0094448B">
        <w:rPr>
          <w:rFonts w:ascii="Verdana" w:eastAsia="Verdana" w:hAnsi="Verdana" w:cs="Verdana"/>
          <w:sz w:val="21"/>
          <w:szCs w:val="21"/>
          <w:lang w:val="es-ES"/>
        </w:rPr>
        <w:t>Pública</w:t>
      </w:r>
      <w:r w:rsidRPr="0094448B">
        <w:rPr>
          <w:rFonts w:ascii="Verdana" w:eastAsia="Verdana" w:hAnsi="Verdana" w:cs="Verdana"/>
          <w:spacing w:val="-9"/>
          <w:sz w:val="21"/>
          <w:szCs w:val="21"/>
          <w:lang w:val="es-ES"/>
        </w:rPr>
        <w:t xml:space="preserve"> </w:t>
      </w:r>
      <w:r w:rsidRPr="0094448B">
        <w:rPr>
          <w:rFonts w:ascii="Verdana" w:eastAsia="Verdana" w:hAnsi="Verdana" w:cs="Verdana"/>
          <w:sz w:val="21"/>
          <w:szCs w:val="21"/>
          <w:lang w:val="es-ES"/>
        </w:rPr>
        <w:t>en</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todas</w:t>
      </w:r>
      <w:r w:rsidRPr="0094448B">
        <w:rPr>
          <w:rFonts w:ascii="Verdana" w:eastAsia="Verdana" w:hAnsi="Verdana" w:cs="Verdana"/>
          <w:spacing w:val="-9"/>
          <w:sz w:val="21"/>
          <w:szCs w:val="21"/>
          <w:lang w:val="es-ES"/>
        </w:rPr>
        <w:t xml:space="preserve"> </w:t>
      </w:r>
      <w:r w:rsidRPr="0094448B">
        <w:rPr>
          <w:rFonts w:ascii="Verdana" w:eastAsia="Verdana" w:hAnsi="Verdana" w:cs="Verdana"/>
          <w:sz w:val="21"/>
          <w:szCs w:val="21"/>
          <w:lang w:val="es-ES"/>
        </w:rPr>
        <w:t>las</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etapas</w:t>
      </w:r>
      <w:r w:rsidRPr="0094448B">
        <w:rPr>
          <w:rFonts w:ascii="Verdana" w:eastAsia="Verdana" w:hAnsi="Verdana" w:cs="Verdana"/>
          <w:spacing w:val="-9"/>
          <w:sz w:val="21"/>
          <w:szCs w:val="21"/>
          <w:lang w:val="es-ES"/>
        </w:rPr>
        <w:t xml:space="preserve"> </w:t>
      </w:r>
      <w:r w:rsidRPr="0094448B">
        <w:rPr>
          <w:rFonts w:ascii="Verdana" w:eastAsia="Verdana" w:hAnsi="Verdana" w:cs="Verdana"/>
          <w:sz w:val="21"/>
          <w:szCs w:val="21"/>
          <w:lang w:val="es-ES"/>
        </w:rPr>
        <w:t>del</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Proceso</w:t>
      </w:r>
      <w:r w:rsidRPr="0094448B">
        <w:rPr>
          <w:rFonts w:ascii="Verdana" w:eastAsia="Verdana" w:hAnsi="Verdana" w:cs="Verdana"/>
          <w:spacing w:val="-8"/>
          <w:sz w:val="21"/>
          <w:szCs w:val="21"/>
          <w:lang w:val="es-ES"/>
        </w:rPr>
        <w:t xml:space="preserve"> </w:t>
      </w:r>
      <w:r w:rsidRPr="0094448B">
        <w:rPr>
          <w:rFonts w:ascii="Verdana" w:eastAsia="Verdana" w:hAnsi="Verdana" w:cs="Verdana"/>
          <w:sz w:val="21"/>
          <w:szCs w:val="21"/>
          <w:lang w:val="es-ES"/>
        </w:rPr>
        <w:t>de</w:t>
      </w:r>
      <w:r w:rsidRPr="0094448B">
        <w:rPr>
          <w:rFonts w:ascii="Verdana" w:eastAsia="Verdana" w:hAnsi="Verdana" w:cs="Verdana"/>
          <w:spacing w:val="-10"/>
          <w:sz w:val="21"/>
          <w:szCs w:val="21"/>
          <w:lang w:val="es-ES"/>
        </w:rPr>
        <w:t xml:space="preserve"> </w:t>
      </w:r>
      <w:r w:rsidRPr="0094448B">
        <w:rPr>
          <w:rFonts w:ascii="Verdana" w:eastAsia="Verdana" w:hAnsi="Verdana" w:cs="Verdana"/>
          <w:sz w:val="21"/>
          <w:szCs w:val="21"/>
          <w:lang w:val="es-ES"/>
        </w:rPr>
        <w:t>Contratación, con base en su autonomía.</w:t>
      </w:r>
    </w:p>
    <w:p w14:paraId="7182E68E" w14:textId="77777777" w:rsidR="004C37CC" w:rsidRPr="0094448B" w:rsidRDefault="004C37CC" w:rsidP="004C37CC">
      <w:pPr>
        <w:spacing w:after="120" w:line="276" w:lineRule="auto"/>
        <w:ind w:firstLine="708"/>
        <w:jc w:val="both"/>
        <w:rPr>
          <w:rFonts w:ascii="Verdana" w:eastAsia="Calibri" w:hAnsi="Verdana" w:cs="Times New Roman"/>
          <w:lang w:val="es-ES"/>
        </w:rPr>
      </w:pPr>
    </w:p>
    <w:p w14:paraId="45D3BD23" w14:textId="77777777" w:rsidR="004C37CC" w:rsidRPr="0094448B" w:rsidRDefault="004C37CC" w:rsidP="004C37CC">
      <w:pPr>
        <w:spacing w:after="120" w:line="276" w:lineRule="auto"/>
        <w:ind w:firstLine="709"/>
        <w:jc w:val="both"/>
        <w:rPr>
          <w:rFonts w:ascii="Verdana" w:eastAsia="Verdana" w:hAnsi="Verdana" w:cs="Verdana"/>
          <w:lang w:val="es-ES"/>
        </w:rPr>
      </w:pPr>
      <w:r w:rsidRPr="0094448B">
        <w:rPr>
          <w:rFonts w:ascii="Verdana" w:eastAsia="Verdana" w:hAnsi="Verdana" w:cs="Verdana"/>
          <w:lang w:val="es-ES"/>
        </w:rPr>
        <w:t>Por otro lado, la Guía en mención establece las obligaciones de las entidades estatales que cuenten con régimen de contratación especial frente al sistema de compra pública, que deben cumplir como las entidades sujetas al Estatuto General de Contratación de la Administración Pública EGCAP, así: i) obligación</w:t>
      </w:r>
      <w:r w:rsidRPr="0094448B">
        <w:rPr>
          <w:rFonts w:ascii="Verdana" w:eastAsia="Verdana" w:hAnsi="Verdana" w:cs="Verdana"/>
          <w:spacing w:val="-13"/>
          <w:lang w:val="es-ES"/>
        </w:rPr>
        <w:t xml:space="preserve"> </w:t>
      </w:r>
      <w:r w:rsidRPr="0094448B">
        <w:rPr>
          <w:rFonts w:ascii="Verdana" w:eastAsia="Verdana" w:hAnsi="Verdana" w:cs="Verdana"/>
          <w:lang w:val="es-ES"/>
        </w:rPr>
        <w:t>de</w:t>
      </w:r>
      <w:r w:rsidRPr="0094448B">
        <w:rPr>
          <w:rFonts w:ascii="Verdana" w:eastAsia="Verdana" w:hAnsi="Verdana" w:cs="Verdana"/>
          <w:spacing w:val="-12"/>
          <w:lang w:val="es-ES"/>
        </w:rPr>
        <w:t xml:space="preserve"> </w:t>
      </w:r>
      <w:r w:rsidRPr="0094448B">
        <w:rPr>
          <w:rFonts w:ascii="Verdana" w:eastAsia="Verdana" w:hAnsi="Verdana" w:cs="Verdana"/>
          <w:lang w:val="es-ES"/>
        </w:rPr>
        <w:t>publicar</w:t>
      </w:r>
      <w:r w:rsidRPr="0094448B">
        <w:rPr>
          <w:rFonts w:ascii="Verdana" w:eastAsia="Verdana" w:hAnsi="Verdana" w:cs="Verdana"/>
          <w:spacing w:val="-12"/>
          <w:lang w:val="es-ES"/>
        </w:rPr>
        <w:t xml:space="preserve"> </w:t>
      </w:r>
      <w:r w:rsidRPr="0094448B">
        <w:rPr>
          <w:rFonts w:ascii="Verdana" w:eastAsia="Verdana" w:hAnsi="Verdana" w:cs="Verdana"/>
          <w:lang w:val="es-ES"/>
        </w:rPr>
        <w:t>su</w:t>
      </w:r>
      <w:r w:rsidRPr="0094448B">
        <w:rPr>
          <w:rFonts w:ascii="Verdana" w:eastAsia="Verdana" w:hAnsi="Verdana" w:cs="Verdana"/>
          <w:spacing w:val="-13"/>
          <w:lang w:val="es-ES"/>
        </w:rPr>
        <w:t xml:space="preserve"> </w:t>
      </w:r>
      <w:r w:rsidRPr="0094448B">
        <w:rPr>
          <w:rFonts w:ascii="Verdana" w:eastAsia="Verdana" w:hAnsi="Verdana" w:cs="Verdana"/>
          <w:lang w:val="es-ES"/>
        </w:rPr>
        <w:t>actividad</w:t>
      </w:r>
      <w:r w:rsidRPr="0094448B">
        <w:rPr>
          <w:rFonts w:ascii="Verdana" w:eastAsia="Verdana" w:hAnsi="Verdana" w:cs="Verdana"/>
          <w:spacing w:val="-12"/>
          <w:lang w:val="es-ES"/>
        </w:rPr>
        <w:t xml:space="preserve"> </w:t>
      </w:r>
      <w:r w:rsidRPr="0094448B">
        <w:rPr>
          <w:rFonts w:ascii="Verdana" w:eastAsia="Verdana" w:hAnsi="Verdana" w:cs="Verdana"/>
          <w:lang w:val="es-ES"/>
        </w:rPr>
        <w:t>contractual</w:t>
      </w:r>
      <w:r w:rsidRPr="0094448B">
        <w:rPr>
          <w:rFonts w:ascii="Verdana" w:eastAsia="Verdana" w:hAnsi="Verdana" w:cs="Verdana"/>
          <w:spacing w:val="-12"/>
          <w:lang w:val="es-ES"/>
        </w:rPr>
        <w:t xml:space="preserve"> </w:t>
      </w:r>
      <w:r w:rsidRPr="0094448B">
        <w:rPr>
          <w:rFonts w:ascii="Verdana" w:eastAsia="Verdana" w:hAnsi="Verdana" w:cs="Verdana"/>
          <w:lang w:val="es-ES"/>
        </w:rPr>
        <w:t>en</w:t>
      </w:r>
      <w:r w:rsidRPr="0094448B">
        <w:rPr>
          <w:rFonts w:ascii="Verdana" w:eastAsia="Verdana" w:hAnsi="Verdana" w:cs="Verdana"/>
          <w:spacing w:val="-13"/>
          <w:lang w:val="es-ES"/>
        </w:rPr>
        <w:t xml:space="preserve"> </w:t>
      </w:r>
      <w:r w:rsidRPr="0094448B">
        <w:rPr>
          <w:rFonts w:ascii="Verdana" w:eastAsia="Verdana" w:hAnsi="Verdana" w:cs="Verdana"/>
          <w:lang w:val="es-ES"/>
        </w:rPr>
        <w:t>el</w:t>
      </w:r>
      <w:r w:rsidRPr="0094448B">
        <w:rPr>
          <w:rFonts w:ascii="Verdana" w:eastAsia="Verdana" w:hAnsi="Verdana" w:cs="Verdana"/>
          <w:spacing w:val="-12"/>
          <w:lang w:val="es-ES"/>
        </w:rPr>
        <w:t xml:space="preserve"> </w:t>
      </w:r>
      <w:r w:rsidRPr="0094448B">
        <w:rPr>
          <w:rFonts w:ascii="Verdana" w:eastAsia="Verdana" w:hAnsi="Verdana" w:cs="Verdana"/>
          <w:spacing w:val="-2"/>
          <w:lang w:val="es-ES"/>
        </w:rPr>
        <w:t>SECOP</w:t>
      </w:r>
      <w:r w:rsidRPr="0094448B">
        <w:rPr>
          <w:rFonts w:ascii="Verdana" w:eastAsia="Verdana" w:hAnsi="Verdana" w:cs="Verdana"/>
          <w:lang w:val="es-ES"/>
        </w:rPr>
        <w:t xml:space="preserve">; </w:t>
      </w:r>
      <w:proofErr w:type="spellStart"/>
      <w:r w:rsidRPr="0094448B">
        <w:rPr>
          <w:rFonts w:ascii="Verdana" w:eastAsia="Verdana" w:hAnsi="Verdana" w:cs="Verdana"/>
          <w:lang w:val="es-ES"/>
        </w:rPr>
        <w:t>ii</w:t>
      </w:r>
      <w:proofErr w:type="spellEnd"/>
      <w:r w:rsidRPr="0094448B">
        <w:rPr>
          <w:rFonts w:ascii="Verdana" w:eastAsia="Verdana" w:hAnsi="Verdana" w:cs="Verdana"/>
          <w:lang w:val="es-ES"/>
        </w:rPr>
        <w:t>) obligación</w:t>
      </w:r>
      <w:r w:rsidRPr="0094448B">
        <w:rPr>
          <w:rFonts w:ascii="Verdana" w:eastAsia="Verdana" w:hAnsi="Verdana" w:cs="Verdana"/>
          <w:spacing w:val="-11"/>
          <w:lang w:val="es-ES"/>
        </w:rPr>
        <w:t xml:space="preserve"> </w:t>
      </w:r>
      <w:r w:rsidRPr="0094448B">
        <w:rPr>
          <w:rFonts w:ascii="Verdana" w:eastAsia="Verdana" w:hAnsi="Verdana" w:cs="Verdana"/>
          <w:lang w:val="es-ES"/>
        </w:rPr>
        <w:t>de</w:t>
      </w:r>
      <w:r w:rsidRPr="0094448B">
        <w:rPr>
          <w:rFonts w:ascii="Verdana" w:eastAsia="Verdana" w:hAnsi="Verdana" w:cs="Verdana"/>
          <w:spacing w:val="-10"/>
          <w:lang w:val="es-ES"/>
        </w:rPr>
        <w:t xml:space="preserve"> </w:t>
      </w:r>
      <w:r w:rsidRPr="0094448B">
        <w:rPr>
          <w:rFonts w:ascii="Verdana" w:eastAsia="Verdana" w:hAnsi="Verdana" w:cs="Verdana"/>
          <w:lang w:val="es-ES"/>
        </w:rPr>
        <w:t>elaborar</w:t>
      </w:r>
      <w:r w:rsidRPr="0094448B">
        <w:rPr>
          <w:rFonts w:ascii="Verdana" w:eastAsia="Verdana" w:hAnsi="Verdana" w:cs="Verdana"/>
          <w:spacing w:val="-10"/>
          <w:lang w:val="es-ES"/>
        </w:rPr>
        <w:t xml:space="preserve"> </w:t>
      </w:r>
      <w:r w:rsidRPr="0094448B">
        <w:rPr>
          <w:rFonts w:ascii="Verdana" w:eastAsia="Verdana" w:hAnsi="Verdana" w:cs="Verdana"/>
          <w:lang w:val="es-ES"/>
        </w:rPr>
        <w:t>y</w:t>
      </w:r>
      <w:r w:rsidRPr="0094448B">
        <w:rPr>
          <w:rFonts w:ascii="Verdana" w:eastAsia="Verdana" w:hAnsi="Verdana" w:cs="Verdana"/>
          <w:spacing w:val="-10"/>
          <w:lang w:val="es-ES"/>
        </w:rPr>
        <w:t xml:space="preserve"> </w:t>
      </w:r>
      <w:r w:rsidRPr="0094448B">
        <w:rPr>
          <w:rFonts w:ascii="Verdana" w:eastAsia="Verdana" w:hAnsi="Verdana" w:cs="Verdana"/>
          <w:lang w:val="es-ES"/>
        </w:rPr>
        <w:t>publicar</w:t>
      </w:r>
      <w:r w:rsidRPr="0094448B">
        <w:rPr>
          <w:rFonts w:ascii="Verdana" w:eastAsia="Verdana" w:hAnsi="Verdana" w:cs="Verdana"/>
          <w:spacing w:val="-10"/>
          <w:lang w:val="es-ES"/>
        </w:rPr>
        <w:t xml:space="preserve"> </w:t>
      </w:r>
      <w:r w:rsidRPr="0094448B">
        <w:rPr>
          <w:rFonts w:ascii="Verdana" w:eastAsia="Verdana" w:hAnsi="Verdana" w:cs="Verdana"/>
          <w:lang w:val="es-ES"/>
        </w:rPr>
        <w:t>su</w:t>
      </w:r>
      <w:r w:rsidRPr="0094448B">
        <w:rPr>
          <w:rFonts w:ascii="Verdana" w:eastAsia="Verdana" w:hAnsi="Verdana" w:cs="Verdana"/>
          <w:spacing w:val="-10"/>
          <w:lang w:val="es-ES"/>
        </w:rPr>
        <w:t xml:space="preserve"> </w:t>
      </w:r>
      <w:r w:rsidRPr="0094448B">
        <w:rPr>
          <w:rFonts w:ascii="Verdana" w:eastAsia="Verdana" w:hAnsi="Verdana" w:cs="Verdana"/>
          <w:lang w:val="es-ES"/>
        </w:rPr>
        <w:t>Plan</w:t>
      </w:r>
      <w:r w:rsidRPr="0094448B">
        <w:rPr>
          <w:rFonts w:ascii="Verdana" w:eastAsia="Verdana" w:hAnsi="Verdana" w:cs="Verdana"/>
          <w:spacing w:val="-11"/>
          <w:lang w:val="es-ES"/>
        </w:rPr>
        <w:t xml:space="preserve"> </w:t>
      </w:r>
      <w:r w:rsidRPr="0094448B">
        <w:rPr>
          <w:rFonts w:ascii="Verdana" w:eastAsia="Verdana" w:hAnsi="Verdana" w:cs="Verdana"/>
          <w:lang w:val="es-ES"/>
        </w:rPr>
        <w:t>Anual</w:t>
      </w:r>
      <w:r w:rsidRPr="0094448B">
        <w:rPr>
          <w:rFonts w:ascii="Verdana" w:eastAsia="Verdana" w:hAnsi="Verdana" w:cs="Verdana"/>
          <w:spacing w:val="-10"/>
          <w:lang w:val="es-ES"/>
        </w:rPr>
        <w:t xml:space="preserve"> </w:t>
      </w:r>
      <w:r w:rsidRPr="0094448B">
        <w:rPr>
          <w:rFonts w:ascii="Verdana" w:eastAsia="Verdana" w:hAnsi="Verdana" w:cs="Verdana"/>
          <w:lang w:val="es-ES"/>
        </w:rPr>
        <w:t>de</w:t>
      </w:r>
      <w:r w:rsidRPr="0094448B">
        <w:rPr>
          <w:rFonts w:ascii="Verdana" w:eastAsia="Verdana" w:hAnsi="Verdana" w:cs="Verdana"/>
          <w:spacing w:val="-10"/>
          <w:lang w:val="es-ES"/>
        </w:rPr>
        <w:t xml:space="preserve"> </w:t>
      </w:r>
      <w:r w:rsidRPr="0094448B">
        <w:rPr>
          <w:rFonts w:ascii="Verdana" w:eastAsia="Verdana" w:hAnsi="Verdana" w:cs="Verdana"/>
          <w:spacing w:val="-2"/>
          <w:lang w:val="es-ES"/>
        </w:rPr>
        <w:t>Adquisiciones</w:t>
      </w:r>
      <w:r w:rsidRPr="0094448B">
        <w:rPr>
          <w:rFonts w:ascii="Verdana" w:eastAsia="Verdana" w:hAnsi="Verdana" w:cs="Verdana"/>
          <w:lang w:val="es-ES"/>
        </w:rPr>
        <w:t xml:space="preserve">; </w:t>
      </w:r>
      <w:proofErr w:type="spellStart"/>
      <w:r w:rsidRPr="0094448B">
        <w:rPr>
          <w:rFonts w:ascii="Verdana" w:eastAsia="Verdana" w:hAnsi="Verdana" w:cs="Verdana"/>
          <w:lang w:val="es-ES"/>
        </w:rPr>
        <w:t>iii</w:t>
      </w:r>
      <w:proofErr w:type="spellEnd"/>
      <w:r w:rsidRPr="0094448B">
        <w:rPr>
          <w:rFonts w:ascii="Verdana" w:eastAsia="Verdana" w:hAnsi="Verdana" w:cs="Verdana"/>
          <w:lang w:val="es-ES"/>
        </w:rPr>
        <w:t xml:space="preserve">) obligación de hacer uso del Clasificador de bienes y servicios; </w:t>
      </w:r>
      <w:proofErr w:type="spellStart"/>
      <w:r w:rsidRPr="0094448B">
        <w:rPr>
          <w:rFonts w:ascii="Verdana" w:eastAsia="Verdana" w:hAnsi="Verdana" w:cs="Verdana"/>
          <w:lang w:val="es-ES"/>
        </w:rPr>
        <w:t>iv</w:t>
      </w:r>
      <w:proofErr w:type="spellEnd"/>
      <w:r w:rsidRPr="0094448B">
        <w:rPr>
          <w:rFonts w:ascii="Verdana" w:eastAsia="Verdana" w:hAnsi="Verdana" w:cs="Verdana"/>
          <w:lang w:val="es-ES"/>
        </w:rPr>
        <w:t>) obligación</w:t>
      </w:r>
      <w:r w:rsidRPr="0094448B">
        <w:rPr>
          <w:rFonts w:ascii="Verdana" w:eastAsia="Verdana" w:hAnsi="Verdana" w:cs="Verdana"/>
          <w:spacing w:val="-9"/>
          <w:lang w:val="es-ES"/>
        </w:rPr>
        <w:t xml:space="preserve"> </w:t>
      </w:r>
      <w:r w:rsidRPr="0094448B">
        <w:rPr>
          <w:rFonts w:ascii="Verdana" w:eastAsia="Verdana" w:hAnsi="Verdana" w:cs="Verdana"/>
          <w:lang w:val="es-ES"/>
        </w:rPr>
        <w:t>de</w:t>
      </w:r>
      <w:r w:rsidRPr="0094448B">
        <w:rPr>
          <w:rFonts w:ascii="Verdana" w:eastAsia="Verdana" w:hAnsi="Verdana" w:cs="Verdana"/>
          <w:spacing w:val="-9"/>
          <w:lang w:val="es-ES"/>
        </w:rPr>
        <w:t xml:space="preserve"> </w:t>
      </w:r>
      <w:r w:rsidRPr="0094448B">
        <w:rPr>
          <w:rFonts w:ascii="Verdana" w:eastAsia="Verdana" w:hAnsi="Verdana" w:cs="Verdana"/>
          <w:lang w:val="es-ES"/>
        </w:rPr>
        <w:t>reportar</w:t>
      </w:r>
      <w:r w:rsidRPr="0094448B">
        <w:rPr>
          <w:rFonts w:ascii="Verdana" w:eastAsia="Verdana" w:hAnsi="Verdana" w:cs="Verdana"/>
          <w:spacing w:val="-9"/>
          <w:lang w:val="es-ES"/>
        </w:rPr>
        <w:t xml:space="preserve"> </w:t>
      </w:r>
      <w:r w:rsidRPr="0094448B">
        <w:rPr>
          <w:rFonts w:ascii="Verdana" w:eastAsia="Verdana" w:hAnsi="Verdana" w:cs="Verdana"/>
          <w:lang w:val="es-ES"/>
        </w:rPr>
        <w:t>sanciones,</w:t>
      </w:r>
      <w:r w:rsidRPr="0094448B">
        <w:rPr>
          <w:rFonts w:ascii="Verdana" w:eastAsia="Verdana" w:hAnsi="Verdana" w:cs="Verdana"/>
          <w:spacing w:val="-9"/>
          <w:lang w:val="es-ES"/>
        </w:rPr>
        <w:t xml:space="preserve"> </w:t>
      </w:r>
      <w:r w:rsidRPr="0094448B">
        <w:rPr>
          <w:rFonts w:ascii="Verdana" w:eastAsia="Verdana" w:hAnsi="Verdana" w:cs="Verdana"/>
          <w:lang w:val="es-ES"/>
        </w:rPr>
        <w:t>multas,</w:t>
      </w:r>
      <w:r w:rsidRPr="0094448B">
        <w:rPr>
          <w:rFonts w:ascii="Verdana" w:eastAsia="Verdana" w:hAnsi="Verdana" w:cs="Verdana"/>
          <w:spacing w:val="-9"/>
          <w:lang w:val="es-ES"/>
        </w:rPr>
        <w:t xml:space="preserve"> </w:t>
      </w:r>
      <w:r w:rsidRPr="0094448B">
        <w:rPr>
          <w:rFonts w:ascii="Verdana" w:eastAsia="Verdana" w:hAnsi="Verdana" w:cs="Verdana"/>
          <w:lang w:val="es-ES"/>
        </w:rPr>
        <w:t>inhabilidades</w:t>
      </w:r>
      <w:r w:rsidRPr="0094448B">
        <w:rPr>
          <w:rFonts w:ascii="Verdana" w:eastAsia="Verdana" w:hAnsi="Verdana" w:cs="Verdana"/>
          <w:spacing w:val="-9"/>
          <w:lang w:val="es-ES"/>
        </w:rPr>
        <w:t xml:space="preserve"> </w:t>
      </w:r>
      <w:r w:rsidRPr="0094448B">
        <w:rPr>
          <w:rFonts w:ascii="Verdana" w:eastAsia="Verdana" w:hAnsi="Verdana" w:cs="Verdana"/>
          <w:lang w:val="es-ES"/>
        </w:rPr>
        <w:t xml:space="preserve">e </w:t>
      </w:r>
      <w:r w:rsidRPr="0094448B">
        <w:rPr>
          <w:rFonts w:ascii="Verdana" w:eastAsia="Verdana" w:hAnsi="Verdana" w:cs="Verdana"/>
          <w:spacing w:val="-2"/>
          <w:lang w:val="es-ES"/>
        </w:rPr>
        <w:t>incompatibilidades</w:t>
      </w:r>
      <w:r w:rsidRPr="0094448B">
        <w:rPr>
          <w:rFonts w:ascii="Verdana" w:eastAsia="Verdana" w:hAnsi="Verdana" w:cs="Verdana"/>
          <w:lang w:val="es-ES"/>
        </w:rPr>
        <w:t>; v) Obligación</w:t>
      </w:r>
      <w:r w:rsidRPr="0094448B">
        <w:rPr>
          <w:rFonts w:ascii="Verdana" w:eastAsia="Verdana" w:hAnsi="Verdana" w:cs="Verdana"/>
          <w:spacing w:val="-6"/>
          <w:lang w:val="es-ES"/>
        </w:rPr>
        <w:t xml:space="preserve"> </w:t>
      </w:r>
      <w:r w:rsidRPr="0094448B">
        <w:rPr>
          <w:rFonts w:ascii="Verdana" w:eastAsia="Verdana" w:hAnsi="Verdana" w:cs="Verdana"/>
          <w:lang w:val="es-ES"/>
        </w:rPr>
        <w:t>de</w:t>
      </w:r>
      <w:r w:rsidRPr="0094448B">
        <w:rPr>
          <w:rFonts w:ascii="Verdana" w:eastAsia="Verdana" w:hAnsi="Verdana" w:cs="Verdana"/>
          <w:spacing w:val="-6"/>
          <w:lang w:val="es-ES"/>
        </w:rPr>
        <w:t xml:space="preserve"> </w:t>
      </w:r>
      <w:r w:rsidRPr="0094448B">
        <w:rPr>
          <w:rFonts w:ascii="Verdana" w:eastAsia="Verdana" w:hAnsi="Verdana" w:cs="Verdana"/>
          <w:lang w:val="es-ES"/>
        </w:rPr>
        <w:t>realizar</w:t>
      </w:r>
      <w:r w:rsidRPr="0094448B">
        <w:rPr>
          <w:rFonts w:ascii="Verdana" w:eastAsia="Verdana" w:hAnsi="Verdana" w:cs="Verdana"/>
          <w:spacing w:val="-6"/>
          <w:lang w:val="es-ES"/>
        </w:rPr>
        <w:t xml:space="preserve"> </w:t>
      </w:r>
      <w:r w:rsidRPr="0094448B">
        <w:rPr>
          <w:rFonts w:ascii="Verdana" w:eastAsia="Verdana" w:hAnsi="Verdana" w:cs="Verdana"/>
          <w:lang w:val="es-ES"/>
        </w:rPr>
        <w:t>el</w:t>
      </w:r>
      <w:r w:rsidRPr="0094448B">
        <w:rPr>
          <w:rFonts w:ascii="Verdana" w:eastAsia="Verdana" w:hAnsi="Verdana" w:cs="Verdana"/>
          <w:spacing w:val="-6"/>
          <w:lang w:val="es-ES"/>
        </w:rPr>
        <w:t xml:space="preserve"> </w:t>
      </w:r>
      <w:r w:rsidRPr="0094448B">
        <w:rPr>
          <w:rFonts w:ascii="Verdana" w:eastAsia="Verdana" w:hAnsi="Verdana" w:cs="Verdana"/>
          <w:lang w:val="es-ES"/>
        </w:rPr>
        <w:t>análisis</w:t>
      </w:r>
      <w:r w:rsidRPr="0094448B">
        <w:rPr>
          <w:rFonts w:ascii="Verdana" w:eastAsia="Verdana" w:hAnsi="Verdana" w:cs="Verdana"/>
          <w:spacing w:val="-6"/>
          <w:lang w:val="es-ES"/>
        </w:rPr>
        <w:t xml:space="preserve"> </w:t>
      </w:r>
      <w:r w:rsidRPr="0094448B">
        <w:rPr>
          <w:rFonts w:ascii="Verdana" w:eastAsia="Verdana" w:hAnsi="Verdana" w:cs="Verdana"/>
          <w:lang w:val="es-ES"/>
        </w:rPr>
        <w:t>del</w:t>
      </w:r>
      <w:r w:rsidRPr="0094448B">
        <w:rPr>
          <w:rFonts w:ascii="Verdana" w:eastAsia="Verdana" w:hAnsi="Verdana" w:cs="Verdana"/>
          <w:spacing w:val="-6"/>
          <w:lang w:val="es-ES"/>
        </w:rPr>
        <w:t xml:space="preserve"> </w:t>
      </w:r>
      <w:r w:rsidRPr="0094448B">
        <w:rPr>
          <w:rFonts w:ascii="Verdana" w:eastAsia="Verdana" w:hAnsi="Verdana" w:cs="Verdana"/>
          <w:lang w:val="es-ES"/>
        </w:rPr>
        <w:t>sector</w:t>
      </w:r>
      <w:r w:rsidRPr="0094448B">
        <w:rPr>
          <w:rFonts w:ascii="Verdana" w:eastAsia="Verdana" w:hAnsi="Verdana" w:cs="Verdana"/>
          <w:spacing w:val="-6"/>
          <w:lang w:val="es-ES"/>
        </w:rPr>
        <w:t xml:space="preserve"> </w:t>
      </w:r>
      <w:r w:rsidRPr="0094448B">
        <w:rPr>
          <w:rFonts w:ascii="Verdana" w:eastAsia="Verdana" w:hAnsi="Verdana" w:cs="Verdana"/>
          <w:lang w:val="es-ES"/>
        </w:rPr>
        <w:t>económico</w:t>
      </w:r>
      <w:r w:rsidRPr="0094448B">
        <w:rPr>
          <w:rFonts w:ascii="Verdana" w:eastAsia="Verdana" w:hAnsi="Verdana" w:cs="Verdana"/>
          <w:spacing w:val="-6"/>
          <w:lang w:val="es-ES"/>
        </w:rPr>
        <w:t xml:space="preserve"> </w:t>
      </w:r>
      <w:r w:rsidRPr="0094448B">
        <w:rPr>
          <w:rFonts w:ascii="Verdana" w:eastAsia="Verdana" w:hAnsi="Verdana" w:cs="Verdana"/>
          <w:lang w:val="es-ES"/>
        </w:rPr>
        <w:t>y</w:t>
      </w:r>
      <w:r w:rsidRPr="0094448B">
        <w:rPr>
          <w:rFonts w:ascii="Verdana" w:eastAsia="Verdana" w:hAnsi="Verdana" w:cs="Verdana"/>
          <w:spacing w:val="-6"/>
          <w:lang w:val="es-ES"/>
        </w:rPr>
        <w:t xml:space="preserve"> </w:t>
      </w:r>
      <w:r w:rsidRPr="0094448B">
        <w:rPr>
          <w:rFonts w:ascii="Verdana" w:eastAsia="Verdana" w:hAnsi="Verdana" w:cs="Verdana"/>
          <w:lang w:val="es-ES"/>
        </w:rPr>
        <w:t>de</w:t>
      </w:r>
      <w:r w:rsidRPr="0094448B">
        <w:rPr>
          <w:rFonts w:ascii="Verdana" w:eastAsia="Verdana" w:hAnsi="Verdana" w:cs="Verdana"/>
          <w:spacing w:val="-6"/>
          <w:lang w:val="es-ES"/>
        </w:rPr>
        <w:t xml:space="preserve"> </w:t>
      </w:r>
      <w:r w:rsidRPr="0094448B">
        <w:rPr>
          <w:rFonts w:ascii="Verdana" w:eastAsia="Verdana" w:hAnsi="Verdana" w:cs="Verdana"/>
          <w:lang w:val="es-ES"/>
        </w:rPr>
        <w:t>los</w:t>
      </w:r>
      <w:r w:rsidRPr="0094448B">
        <w:rPr>
          <w:rFonts w:ascii="Verdana" w:eastAsia="Verdana" w:hAnsi="Verdana" w:cs="Verdana"/>
          <w:spacing w:val="-6"/>
          <w:lang w:val="es-ES"/>
        </w:rPr>
        <w:t xml:space="preserve"> </w:t>
      </w:r>
      <w:r w:rsidRPr="0094448B">
        <w:rPr>
          <w:rFonts w:ascii="Verdana" w:eastAsia="Verdana" w:hAnsi="Verdana" w:cs="Verdana"/>
          <w:lang w:val="es-ES"/>
        </w:rPr>
        <w:t>oferentes por parte de las Entidades Estatales.</w:t>
      </w:r>
    </w:p>
    <w:p w14:paraId="670BC2C0" w14:textId="77777777" w:rsidR="004C37CC" w:rsidRPr="0094448B" w:rsidRDefault="004C37CC" w:rsidP="004C37CC">
      <w:pPr>
        <w:widowControl w:val="0"/>
        <w:autoSpaceDE w:val="0"/>
        <w:autoSpaceDN w:val="0"/>
        <w:spacing w:after="120" w:line="276" w:lineRule="auto"/>
        <w:jc w:val="both"/>
        <w:rPr>
          <w:rFonts w:ascii="Verdana" w:eastAsia="Verdana" w:hAnsi="Verdana" w:cs="Verdana"/>
          <w:lang w:val="es-ES"/>
        </w:rPr>
      </w:pPr>
      <w:r w:rsidRPr="0094448B">
        <w:rPr>
          <w:rFonts w:ascii="Verdana" w:eastAsia="Verdana" w:hAnsi="Verdana" w:cs="Verdana"/>
          <w:lang w:val="es-ES"/>
        </w:rPr>
        <w:t xml:space="preserve"> </w:t>
      </w:r>
      <w:r w:rsidRPr="0094448B">
        <w:rPr>
          <w:rFonts w:ascii="Verdana" w:eastAsia="Verdana" w:hAnsi="Verdana" w:cs="Verdana"/>
          <w:lang w:val="es-ES"/>
        </w:rPr>
        <w:tab/>
        <w:t xml:space="preserve">Así mismo la entidad contratante debe contemplar procedimientos de selección públicos, en los cuales se garantice la imparcialidad de la entidad contratante, la igualdad entre los oferentes, y en los cuales se respeten los principios constitucionales de la función administrativa, así como los de la gestión fiscal. La forma precisa en que se concretan estos principios, así como la manera como se armonizan con su régimen de derecho privado, es un asunto que debe decidir la entidad en el ejercicio de la discrecionalidad concedida por el ordenamiento jurídico. </w:t>
      </w:r>
    </w:p>
    <w:p w14:paraId="493B3430" w14:textId="77777777" w:rsidR="004C37CC" w:rsidRPr="0094448B" w:rsidRDefault="004C37CC" w:rsidP="004C37CC">
      <w:pPr>
        <w:widowControl w:val="0"/>
        <w:autoSpaceDE w:val="0"/>
        <w:autoSpaceDN w:val="0"/>
        <w:spacing w:after="120" w:line="276" w:lineRule="auto"/>
        <w:jc w:val="both"/>
        <w:rPr>
          <w:rFonts w:ascii="Verdana" w:eastAsia="Verdana" w:hAnsi="Verdana" w:cs="Verdana"/>
        </w:rPr>
      </w:pPr>
      <w:r w:rsidRPr="0094448B">
        <w:rPr>
          <w:rFonts w:ascii="Verdana" w:eastAsia="Verdana" w:hAnsi="Verdana" w:cs="Verdana"/>
          <w:lang w:val="es-ES"/>
        </w:rPr>
        <w:tab/>
        <w:t xml:space="preserve">En esta perspectiva, se destaca que los principios de la función administrativa </w:t>
      </w:r>
      <w:r w:rsidRPr="0094448B">
        <w:rPr>
          <w:rFonts w:ascii="Verdana" w:eastAsia="Verdana" w:hAnsi="Verdana" w:cs="Verdana"/>
        </w:rPr>
        <w:t xml:space="preserve">como la igualdad, moralidad, eficacia, economía, celeridad, imparcialidad y publicidad; así como los principios de la gestión fiscal, como eficiencia, economía, equidad y valoración de costos ambientales, son una guía metodológica, para la actuación de las entidades sometidas al EGCAP, y merecen un análisis especial en relación con las entidades exceptuadas. En esta línea, los principios de la función administrativa y los de la gestión fiscal no prescriben una conducta, sino que buscan el cumplimiento de un fin, por lo que las entidades de régimen </w:t>
      </w:r>
      <w:proofErr w:type="gramStart"/>
      <w:r w:rsidRPr="0094448B">
        <w:rPr>
          <w:rFonts w:ascii="Verdana" w:eastAsia="Verdana" w:hAnsi="Verdana" w:cs="Verdana"/>
        </w:rPr>
        <w:t>especial,</w:t>
      </w:r>
      <w:proofErr w:type="gramEnd"/>
      <w:r w:rsidRPr="0094448B">
        <w:rPr>
          <w:rFonts w:ascii="Verdana" w:eastAsia="Verdana" w:hAnsi="Verdana" w:cs="Verdana"/>
        </w:rPr>
        <w:t xml:space="preserve"> pueden escoger entre una variedad de alternativas para el cumplimiento de estos, por lo que no implica que deban sujetarse a la forma cómo es aplicado en el EGCAP.  </w:t>
      </w:r>
    </w:p>
    <w:p w14:paraId="7F4DF99D" w14:textId="77777777" w:rsidR="004C37CC" w:rsidRPr="0094448B" w:rsidRDefault="004C37CC" w:rsidP="33BA07F5">
      <w:pPr>
        <w:widowControl w:val="0"/>
        <w:autoSpaceDE w:val="0"/>
        <w:autoSpaceDN w:val="0"/>
        <w:spacing w:after="120" w:line="276" w:lineRule="auto"/>
        <w:jc w:val="both"/>
        <w:rPr>
          <w:rFonts w:ascii="Verdana" w:eastAsia="Verdana" w:hAnsi="Verdana" w:cs="Verdana"/>
          <w:lang w:val="es-ES"/>
        </w:rPr>
      </w:pPr>
      <w:r w:rsidRPr="0094448B">
        <w:rPr>
          <w:rFonts w:ascii="Verdana" w:eastAsia="Verdana" w:hAnsi="Verdana" w:cs="Verdana"/>
          <w:bCs/>
          <w:lang w:val="es-ES_tradnl"/>
        </w:rPr>
        <w:tab/>
      </w:r>
      <w:r w:rsidRPr="33BA07F5">
        <w:rPr>
          <w:rFonts w:ascii="Verdana" w:eastAsia="Verdana" w:hAnsi="Verdana" w:cs="Verdana"/>
          <w:lang w:val="es-ES"/>
        </w:rPr>
        <w:t xml:space="preserve">En efecto, la estructura de los procedimientos de las entidades sometidas no es asimilable a los de las entidades exceptuadas. Sin bien en estas últimas rigen por los principios de la función administrativa, la gestión fiscal y el régimen de inhabilidades e incompatibilidades, la aplicación de los principios del artículo 209 se matiza, por lo que definan los documentos del proceso que se estructuren en acatamiento de sus manuales de contratación. Dado que estas actuaciones </w:t>
      </w:r>
      <w:r w:rsidRPr="33BA07F5">
        <w:rPr>
          <w:rFonts w:ascii="Verdana" w:eastAsia="Verdana" w:hAnsi="Verdana" w:cs="Verdana"/>
          <w:lang w:val="es-ES"/>
        </w:rPr>
        <w:lastRenderedPageBreak/>
        <w:t xml:space="preserve">gozan de presunción de legalidad, la participación se realiza con sujeción a lo que dispongan las entidades dentro de su régimen especial, sin perjuicio del control judicial, fiscal o disciplinario contra violaciones injustificadas del marco normativo. </w:t>
      </w:r>
    </w:p>
    <w:p w14:paraId="6D6DF69E" w14:textId="77777777" w:rsidR="004C37CC" w:rsidRPr="0094448B" w:rsidRDefault="004C37CC" w:rsidP="004C37CC">
      <w:pPr>
        <w:widowControl w:val="0"/>
        <w:autoSpaceDE w:val="0"/>
        <w:autoSpaceDN w:val="0"/>
        <w:spacing w:after="120" w:line="276" w:lineRule="auto"/>
        <w:jc w:val="both"/>
        <w:rPr>
          <w:rFonts w:ascii="Verdana" w:eastAsia="Verdana" w:hAnsi="Verdana" w:cs="Verdana"/>
          <w:lang w:val="es-ES"/>
        </w:rPr>
      </w:pPr>
      <w:r w:rsidRPr="0094448B">
        <w:rPr>
          <w:rFonts w:ascii="Verdana" w:eastAsia="Verdana" w:hAnsi="Verdana" w:cs="Verdana"/>
        </w:rPr>
        <w:tab/>
        <w:t xml:space="preserve">En este entorno, la aplicación de los principios de la función administrativa en los manuales internos de </w:t>
      </w:r>
      <w:proofErr w:type="gramStart"/>
      <w:r w:rsidRPr="0094448B">
        <w:rPr>
          <w:rFonts w:ascii="Verdana" w:eastAsia="Verdana" w:hAnsi="Verdana" w:cs="Verdana"/>
        </w:rPr>
        <w:t>contratación,</w:t>
      </w:r>
      <w:proofErr w:type="gramEnd"/>
      <w:r w:rsidRPr="0094448B">
        <w:rPr>
          <w:rFonts w:ascii="Verdana" w:eastAsia="Verdana" w:hAnsi="Verdana" w:cs="Verdana"/>
        </w:rPr>
        <w:t xml:space="preserve"> se materializa en los procesos de contratación que adelante la sociedad de economía mixta. A modo de orientación, se explica lo que significa cada principio en las actuaciones que deben adelantar las entidades de régimen especial, como es el caso de las sociedades de economía mixta. En el caso del</w:t>
      </w:r>
      <w:r w:rsidRPr="0094448B">
        <w:rPr>
          <w:rFonts w:ascii="Verdana" w:eastAsia="Verdana" w:hAnsi="Verdana" w:cs="Verdana"/>
          <w:lang w:val="es-ES"/>
        </w:rPr>
        <w:t xml:space="preserve"> principio de igualdad es un derecho fundamental, prescrito en el artículo 13 constitucional, que regula que las personas nacen libres e iguales ante la ley, siendo obligación del Estado protegerlas sin discriminación. En igual sentido, el numeral 2° del artículo 3 de la Ley 1437 de 2011 </w:t>
      </w:r>
      <w:r w:rsidRPr="0094448B">
        <w:rPr>
          <w:rFonts w:ascii="Verdana" w:eastAsia="Verdana" w:hAnsi="Verdana" w:cs="Verdana"/>
          <w:lang w:val="es-ES"/>
        </w:rPr>
        <w:noBreakHyphen/>
        <w:t>Código de Procedimiento Administrativo y de lo Contencioso Administrativo</w:t>
      </w:r>
      <w:r w:rsidRPr="0094448B">
        <w:rPr>
          <w:rFonts w:ascii="Verdana" w:eastAsia="Verdana" w:hAnsi="Verdana" w:cs="Verdana"/>
          <w:lang w:val="es-ES"/>
        </w:rPr>
        <w:noBreakHyphen/>
        <w:t xml:space="preserve"> en adelante CPACA, establece: “[…] </w:t>
      </w:r>
      <w:r w:rsidRPr="0094448B">
        <w:rPr>
          <w:rFonts w:ascii="Verdana" w:eastAsia="Verdana" w:hAnsi="Verdana" w:cs="Verdana"/>
        </w:rPr>
        <w:t xml:space="preserve">las autoridades darán el mismo trato y protección a las personas e instituciones que intervengan en las actuaciones bajo su conocimiento. No obstante, serán objeto de trato y protección especial las personas que por su condición económica, física o mental se encuentran en circunstancias de debilidad manifiesta”. </w:t>
      </w:r>
      <w:r w:rsidRPr="0094448B">
        <w:rPr>
          <w:rFonts w:ascii="Verdana" w:eastAsia="Verdana" w:hAnsi="Verdana" w:cs="Verdana"/>
          <w:lang w:val="es-ES"/>
        </w:rPr>
        <w:t>En esta línea, el Consejo de Estado ha manifestado que la igualdad tiene una doble finalidad, como salvaguarda de imparcialidad para los oferentes; y garantía para la Administración, puesto que puede tener una mejor selección del contratista y una oferta más favorable</w:t>
      </w:r>
      <w:r w:rsidRPr="0094448B">
        <w:rPr>
          <w:rFonts w:ascii="Verdana" w:eastAsia="Verdana" w:hAnsi="Verdana" w:cs="Verdana"/>
          <w:vertAlign w:val="superscript"/>
          <w:lang w:val="es-ES"/>
        </w:rPr>
        <w:footnoteReference w:id="17"/>
      </w:r>
      <w:r w:rsidRPr="0094448B">
        <w:rPr>
          <w:rFonts w:ascii="Verdana" w:eastAsia="Verdana" w:hAnsi="Verdana" w:cs="Verdana"/>
          <w:lang w:val="es-ES"/>
        </w:rPr>
        <w:t xml:space="preserve">. </w:t>
      </w:r>
    </w:p>
    <w:p w14:paraId="2E9AEB88" w14:textId="77777777" w:rsidR="004C37CC" w:rsidRPr="0094448B" w:rsidRDefault="004C37CC" w:rsidP="004C37CC">
      <w:pPr>
        <w:widowControl w:val="0"/>
        <w:autoSpaceDE w:val="0"/>
        <w:autoSpaceDN w:val="0"/>
        <w:spacing w:after="120" w:line="276" w:lineRule="auto"/>
        <w:ind w:firstLine="709"/>
        <w:jc w:val="both"/>
        <w:rPr>
          <w:rFonts w:ascii="Verdana" w:eastAsia="Times New Roman" w:hAnsi="Verdana" w:cs="Times New Roman"/>
          <w:lang w:eastAsia="es-CO"/>
        </w:rPr>
      </w:pPr>
      <w:r w:rsidRPr="0094448B">
        <w:rPr>
          <w:rFonts w:ascii="Verdana" w:eastAsia="Verdana" w:hAnsi="Verdana" w:cs="Verdana"/>
        </w:rPr>
        <w:t>En referencia a la aplicación de este principio, la Corte Constitucional en el estudio del régimen contractual de SATENA como sociedad de economía mixta expresó: “[…]</w:t>
      </w:r>
      <w:r w:rsidRPr="0094448B">
        <w:rPr>
          <w:rFonts w:ascii="Verdana" w:eastAsia="Times New Roman" w:hAnsi="Verdana" w:cs="Times New Roman"/>
          <w:lang w:eastAsia="es-CO"/>
        </w:rPr>
        <w:t xml:space="preserve"> en el marco de actividades comerciales la igualdad se manifiesta en la posibilidad de que todos los actores e interesados concurran al mercado y en la prohibición de adelantar actuaciones discriminatorias. Sin embargo, </w:t>
      </w:r>
      <w:proofErr w:type="gramStart"/>
      <w:r w:rsidRPr="0094448B">
        <w:rPr>
          <w:rFonts w:ascii="Verdana" w:eastAsia="Times New Roman" w:hAnsi="Verdana" w:cs="Times New Roman"/>
          <w:lang w:eastAsia="es-CO"/>
        </w:rPr>
        <w:t>la intensidad de los deberes de los particulares dirigidos a materializar el principio son</w:t>
      </w:r>
      <w:proofErr w:type="gramEnd"/>
      <w:r w:rsidRPr="0094448B">
        <w:rPr>
          <w:rFonts w:ascii="Verdana" w:eastAsia="Times New Roman" w:hAnsi="Verdana" w:cs="Times New Roman"/>
          <w:lang w:eastAsia="es-CO"/>
        </w:rPr>
        <w:t xml:space="preserve"> menores a los exigidos a las </w:t>
      </w:r>
      <w:proofErr w:type="gramStart"/>
      <w:r w:rsidRPr="0094448B">
        <w:rPr>
          <w:rFonts w:ascii="Verdana" w:eastAsia="Times New Roman" w:hAnsi="Verdana" w:cs="Times New Roman"/>
          <w:lang w:eastAsia="es-CO"/>
        </w:rPr>
        <w:t>autoridades públicas</w:t>
      </w:r>
      <w:proofErr w:type="gramEnd"/>
      <w:r w:rsidRPr="0094448B">
        <w:rPr>
          <w:rFonts w:ascii="Verdana" w:eastAsia="Times New Roman" w:hAnsi="Verdana" w:cs="Times New Roman"/>
          <w:lang w:eastAsia="es-CO"/>
        </w:rPr>
        <w:t xml:space="preserve"> y al Estado”</w:t>
      </w:r>
      <w:r w:rsidRPr="0094448B">
        <w:rPr>
          <w:rFonts w:ascii="Verdana" w:eastAsia="Times New Roman" w:hAnsi="Verdana" w:cs="Times New Roman"/>
          <w:vertAlign w:val="superscript"/>
          <w:lang w:eastAsia="es-CO"/>
        </w:rPr>
        <w:footnoteReference w:id="18"/>
      </w:r>
      <w:r w:rsidRPr="0094448B">
        <w:rPr>
          <w:rFonts w:ascii="Verdana" w:eastAsia="Times New Roman" w:hAnsi="Verdana" w:cs="Times New Roman"/>
          <w:lang w:eastAsia="es-CO"/>
        </w:rPr>
        <w:t>.</w:t>
      </w:r>
      <w:r w:rsidRPr="0094448B">
        <w:rPr>
          <w:rFonts w:ascii="Verdana" w:eastAsia="Times New Roman" w:hAnsi="Verdana" w:cs="Times New Roman"/>
          <w:lang w:val="es-ES" w:eastAsia="es-CO"/>
        </w:rPr>
        <w:t xml:space="preserve"> De este modo, se comprende que, a pesar de la aplicación de la autonomía privada en la contratación de entidades de régimen especial, no significa que puedan tratarse de manera desigual a aquellos interesados –personas naturales, personas jurídicas, proponentes plurales- que quieran participar en la </w:t>
      </w:r>
      <w:r w:rsidRPr="0094448B">
        <w:rPr>
          <w:rFonts w:ascii="Verdana" w:eastAsia="Times New Roman" w:hAnsi="Verdana" w:cs="Times New Roman"/>
          <w:lang w:val="es-ES" w:eastAsia="es-CO"/>
        </w:rPr>
        <w:lastRenderedPageBreak/>
        <w:t>celebración de un contrato, esto es, la selección no puede ser arbitraria, sino basada en criterios objetivos y razonables.</w:t>
      </w:r>
      <w:r w:rsidRPr="0094448B">
        <w:rPr>
          <w:rFonts w:ascii="Verdana" w:eastAsia="Times New Roman" w:hAnsi="Verdana" w:cs="Times New Roman"/>
          <w:lang w:eastAsia="es-CO"/>
        </w:rPr>
        <w:tab/>
      </w:r>
    </w:p>
    <w:p w14:paraId="084A9C0C" w14:textId="77777777" w:rsidR="004C37CC" w:rsidRPr="0094448B" w:rsidRDefault="004C37CC" w:rsidP="004C37CC">
      <w:pPr>
        <w:shd w:val="clear" w:color="auto" w:fill="FFFFFF"/>
        <w:spacing w:after="120" w:line="276" w:lineRule="auto"/>
        <w:ind w:firstLine="709"/>
        <w:jc w:val="both"/>
        <w:rPr>
          <w:rFonts w:ascii="Verdana" w:eastAsia="Times New Roman" w:hAnsi="Verdana" w:cs="Times New Roman"/>
          <w:lang w:val="es-ES" w:eastAsia="es-CO"/>
        </w:rPr>
      </w:pPr>
      <w:r w:rsidRPr="0094448B">
        <w:rPr>
          <w:rFonts w:ascii="Verdana" w:eastAsia="Times New Roman" w:hAnsi="Verdana" w:cs="Times New Roman"/>
          <w:lang w:eastAsia="es-CO"/>
        </w:rPr>
        <w:t>El principio de igualdad en la participación en los procesos de contratación debe garantizarse en el pliego de condiciones o el documento que haga sus veces, por parte de la sociedad economía mixta. Esta entidad debe establecer criterios que se consideren razonables y proporcionales, atendiendo a las particularidades del sector económico al que pertenecen. Al respecto, puede destacarse que este principio también está relacionado con el principio constitucional de la función administrativa como es la imparcialidad, que consiste en que</w:t>
      </w:r>
      <w:r w:rsidRPr="0094448B">
        <w:rPr>
          <w:rFonts w:ascii="Verdana" w:eastAsia="Times New Roman" w:hAnsi="Verdana" w:cs="Times New Roman"/>
          <w:lang w:val="es-ES" w:eastAsia="es-CO"/>
        </w:rPr>
        <w:t xml:space="preserve">: “[…]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La imparcialidad como principio se relaciona con la igualdad de trato, lo cual se constata en decisiones objetivas, públicas, serias y razonables que toman las entidades en la estructuración del pliego de condiciones o el documento que haga sus veces, con el fin de seleccionar y celebrar el contrato. </w:t>
      </w:r>
    </w:p>
    <w:p w14:paraId="31513175" w14:textId="77777777" w:rsidR="004C37CC" w:rsidRPr="0094448B" w:rsidRDefault="004C37CC" w:rsidP="004C37CC">
      <w:pPr>
        <w:shd w:val="clear" w:color="auto" w:fill="FFFFFF"/>
        <w:spacing w:after="120" w:line="276" w:lineRule="auto"/>
        <w:ind w:firstLine="709"/>
        <w:jc w:val="both"/>
        <w:rPr>
          <w:rFonts w:ascii="Verdana" w:eastAsia="Times New Roman" w:hAnsi="Verdana" w:cs="Times New Roman"/>
          <w:lang w:val="es-ES" w:eastAsia="es-CO"/>
        </w:rPr>
      </w:pPr>
      <w:r w:rsidRPr="0094448B">
        <w:rPr>
          <w:rFonts w:ascii="Verdana" w:eastAsia="Times New Roman" w:hAnsi="Verdana" w:cs="Times New Roman"/>
          <w:lang w:val="es-ES" w:eastAsia="es-CO"/>
        </w:rPr>
        <w:t xml:space="preserve">Ahora bien, para </w:t>
      </w:r>
      <w:r w:rsidRPr="0094448B">
        <w:rPr>
          <w:rFonts w:ascii="Verdana" w:eastAsia="Arial" w:hAnsi="Verdana" w:cs="Arial"/>
        </w:rPr>
        <w:t xml:space="preserve">garantizar la igualdad e imparcialidad como principios de la función administrativa, hay que recordar que están vinculados a la selección objetiva y la libre competencia, esta última regulada en el artículo 333 constitucional. En otras palabras, en el momento de adelantar un proceso de contratación una entidad de régimen especial debe garantizar que la selección objetiva y la libre competencia, sea una concreción de los principios de igualdad e imparcialidad. </w:t>
      </w:r>
    </w:p>
    <w:p w14:paraId="12E318B8" w14:textId="77777777" w:rsidR="004C37CC" w:rsidRPr="0094448B" w:rsidRDefault="004C37CC" w:rsidP="004C37CC">
      <w:pPr>
        <w:shd w:val="clear" w:color="auto" w:fill="FFFFFF"/>
        <w:spacing w:after="120" w:line="276" w:lineRule="auto"/>
        <w:ind w:firstLine="708"/>
        <w:jc w:val="both"/>
        <w:rPr>
          <w:rFonts w:ascii="Verdana" w:eastAsia="Times New Roman" w:hAnsi="Verdana" w:cs="Times New Roman"/>
          <w:lang w:val="es-ES" w:eastAsia="es-CO"/>
        </w:rPr>
      </w:pPr>
      <w:r w:rsidRPr="0094448B">
        <w:rPr>
          <w:rFonts w:ascii="Verdana" w:eastAsia="Times New Roman" w:hAnsi="Verdana" w:cs="Times New Roman"/>
          <w:lang w:eastAsia="es-CO"/>
        </w:rPr>
        <w:t xml:space="preserve">Por su parte, </w:t>
      </w:r>
      <w:r w:rsidRPr="0094448B">
        <w:rPr>
          <w:rFonts w:ascii="Verdana" w:eastAsia="Times New Roman" w:hAnsi="Verdana" w:cs="Times New Roman"/>
          <w:lang w:val="es-ES" w:eastAsia="es-CO"/>
        </w:rPr>
        <w:t xml:space="preserve">la moralidad, como principio, fue definida en el numeral 5 del artículo 3 del CPACA: “[…] todas las personas y los servidores públicos están obligados a actuar con rectitud, lealtad y honestidad en las actuaciones administrativas”. El carácter de principio implica que es una ruta de la actuación contractual y un criterio de orientación para la conducta de los servidores públicos. La Corte expresa que: “[…] </w:t>
      </w:r>
      <w:r w:rsidRPr="0094448B">
        <w:rPr>
          <w:rFonts w:ascii="Verdana" w:eastAsia="Times New Roman" w:hAnsi="Verdana" w:cs="Times New Roman"/>
          <w:lang w:eastAsia="es-CO"/>
        </w:rPr>
        <w:t xml:space="preserve">el principio de </w:t>
      </w:r>
      <w:r w:rsidRPr="0094448B">
        <w:rPr>
          <w:rFonts w:ascii="Verdana" w:eastAsia="Times New Roman" w:hAnsi="Verdana" w:cs="Times New Roman"/>
          <w:b/>
          <w:lang w:eastAsia="es-CO"/>
        </w:rPr>
        <w:t xml:space="preserve">moralidad </w:t>
      </w:r>
      <w:r w:rsidRPr="0094448B">
        <w:rPr>
          <w:rFonts w:ascii="Verdana" w:eastAsia="Times New Roman" w:hAnsi="Verdana" w:cs="Times New Roman"/>
          <w:lang w:eastAsia="es-CO"/>
        </w:rPr>
        <w:t xml:space="preserve">exige que el ejercicio de la función pública </w:t>
      </w:r>
      <w:proofErr w:type="gramStart"/>
      <w:r w:rsidRPr="0094448B">
        <w:rPr>
          <w:rFonts w:ascii="Verdana" w:eastAsia="Times New Roman" w:hAnsi="Verdana" w:cs="Times New Roman"/>
          <w:lang w:eastAsia="es-CO"/>
        </w:rPr>
        <w:t>se enmarque dentro de</w:t>
      </w:r>
      <w:proofErr w:type="gramEnd"/>
      <w:r w:rsidRPr="0094448B">
        <w:rPr>
          <w:rFonts w:ascii="Verdana" w:eastAsia="Times New Roman" w:hAnsi="Verdana" w:cs="Times New Roman"/>
          <w:lang w:eastAsia="es-CO"/>
        </w:rPr>
        <w:t xml:space="preserve"> los límites legales y tenga como objetivo la realización de las disposiciones de la Carta Política” (énfasis dentro del texto)</w:t>
      </w:r>
      <w:r w:rsidRPr="0094448B">
        <w:rPr>
          <w:rFonts w:ascii="Verdana" w:eastAsia="Times New Roman" w:hAnsi="Verdana" w:cs="Times New Roman"/>
          <w:vertAlign w:val="superscript"/>
          <w:lang w:eastAsia="es-CO"/>
        </w:rPr>
        <w:footnoteReference w:id="19"/>
      </w:r>
      <w:r w:rsidRPr="0094448B">
        <w:rPr>
          <w:rFonts w:ascii="Verdana" w:eastAsia="Times New Roman" w:hAnsi="Verdana" w:cs="Times New Roman"/>
          <w:lang w:eastAsia="es-CO"/>
        </w:rPr>
        <w:t>. Igualmente, de conformidad con el principio de celeridad</w:t>
      </w:r>
      <w:r w:rsidRPr="0094448B">
        <w:rPr>
          <w:rFonts w:ascii="Verdana" w:eastAsia="Times New Roman" w:hAnsi="Verdana" w:cs="Times New Roman"/>
          <w:b/>
          <w:lang w:eastAsia="es-CO"/>
        </w:rPr>
        <w:t xml:space="preserve"> </w:t>
      </w:r>
      <w:r w:rsidRPr="0094448B">
        <w:rPr>
          <w:rFonts w:ascii="Verdana" w:eastAsia="Times New Roman" w:hAnsi="Verdana" w:cs="Times New Roman"/>
          <w:lang w:eastAsia="es-CO"/>
        </w:rPr>
        <w:t xml:space="preserve">la función administrativa debe basarse en actuaciones agiles y oportunas, como lo prescribe el </w:t>
      </w:r>
      <w:r w:rsidRPr="0094448B">
        <w:rPr>
          <w:rFonts w:ascii="Verdana" w:eastAsia="Times New Roman" w:hAnsi="Verdana" w:cs="Times New Roman"/>
          <w:lang w:val="es-ES" w:eastAsia="es-CO"/>
        </w:rPr>
        <w:t xml:space="preserve">numeral 13 del artículo 3 del CPACA: “[…] las autoridades </w:t>
      </w:r>
      <w:r w:rsidRPr="0094448B">
        <w:rPr>
          <w:rFonts w:ascii="Verdana" w:eastAsia="Times New Roman" w:hAnsi="Verdana" w:cs="Times New Roman"/>
          <w:lang w:val="es-ES" w:eastAsia="es-CO"/>
        </w:rPr>
        <w:lastRenderedPageBreak/>
        <w:t xml:space="preserve">impulsarán oficiosamente los procedimientos, e incentivarán el uso de las tecnologías de la información y las comunicaciones, a efectos de que los procedimientos se adelanten con diligencia, dentro de los términos legales y sin dilaciones injustificadas”. </w:t>
      </w:r>
    </w:p>
    <w:p w14:paraId="2D37FBB3" w14:textId="77777777" w:rsidR="004C37CC" w:rsidRPr="0094448B" w:rsidRDefault="004C37CC" w:rsidP="004C37CC">
      <w:pPr>
        <w:shd w:val="clear" w:color="auto" w:fill="FFFFFF"/>
        <w:spacing w:after="120" w:line="276" w:lineRule="auto"/>
        <w:ind w:firstLine="709"/>
        <w:jc w:val="both"/>
        <w:rPr>
          <w:rFonts w:ascii="Verdana" w:eastAsia="Times New Roman" w:hAnsi="Verdana" w:cs="Times New Roman"/>
          <w:lang w:val="es-ES" w:eastAsia="es-CO"/>
        </w:rPr>
      </w:pPr>
      <w:r w:rsidRPr="0094448B">
        <w:rPr>
          <w:rFonts w:ascii="Verdana" w:eastAsia="Times New Roman" w:hAnsi="Verdana" w:cs="Times New Roman"/>
          <w:lang w:eastAsia="es-CO"/>
        </w:rPr>
        <w:t>Por otro lado, la Corte Constitucional expresa que los principios de eficacia y eficiencia pretende que se cumplan las finalidades y decisiones de la administración con la máxima racionalidad, esto es, mediante el uso de recursos y medios estrictamente necesarios para la obtención de resultados óptimos</w:t>
      </w:r>
      <w:r w:rsidRPr="0094448B">
        <w:rPr>
          <w:rFonts w:ascii="Verdana" w:eastAsia="Times New Roman" w:hAnsi="Verdana" w:cs="Times New Roman"/>
          <w:position w:val="6"/>
          <w:vertAlign w:val="superscript"/>
          <w:lang w:eastAsia="es-CO"/>
        </w:rPr>
        <w:footnoteReference w:id="20"/>
      </w:r>
      <w:r w:rsidRPr="0094448B">
        <w:rPr>
          <w:rFonts w:ascii="Verdana" w:eastAsia="Times New Roman" w:hAnsi="Verdana" w:cs="Times New Roman"/>
          <w:lang w:eastAsia="es-CO"/>
        </w:rPr>
        <w:t>. Al respecto, el principio de eficacia está definido en</w:t>
      </w:r>
      <w:r w:rsidRPr="0094448B">
        <w:rPr>
          <w:rFonts w:ascii="Verdana" w:eastAsia="Calibri" w:hAnsi="Verdana" w:cs="Times New Roman"/>
          <w:lang w:val="es-ES"/>
        </w:rPr>
        <w:t xml:space="preserve"> el numeral 11 del artículo 3° del CPACA: “[…] las autoridades buscarán que los procedimientos logren su finalidad y, para el efecto., removerán de oficio los obstáculos puramente formales, evitarán decisiones inhibitorias, dilaciones o retardos y sanearán, de acuerdo con este código las irregulares procedimentales que se presenten, en procura de la efectividad del derecho material objeto de la actuación administrativa”. </w:t>
      </w:r>
      <w:r w:rsidRPr="0094448B">
        <w:rPr>
          <w:rFonts w:ascii="Verdana" w:eastAsia="Times New Roman" w:hAnsi="Verdana" w:cs="Times New Roman"/>
          <w:lang w:val="es-ES" w:eastAsia="es-CO"/>
        </w:rPr>
        <w:t xml:space="preserve">En torno al principio de eficiencia está en </w:t>
      </w:r>
      <w:r w:rsidRPr="0094448B">
        <w:rPr>
          <w:rFonts w:ascii="Verdana" w:eastAsia="Calibri" w:hAnsi="Verdana" w:cs="Times New Roman"/>
          <w:lang w:val="es-ES"/>
        </w:rPr>
        <w:t xml:space="preserve">el numeral 12 del artículo 13 del CPACA, que prescribe: “[…] las autoridades deberán proceder con austeridad y eficiencia, optimizar el uso del tiempo y de los demás recursos, procurando el más alto nivel de calidad en sus actuaciones y la protección de los derechos de las personas”. </w:t>
      </w:r>
    </w:p>
    <w:p w14:paraId="57BFC5FC" w14:textId="77777777" w:rsidR="004C37CC" w:rsidRPr="0094448B" w:rsidRDefault="004C37CC" w:rsidP="004C37CC">
      <w:pPr>
        <w:spacing w:after="120"/>
        <w:ind w:firstLine="708"/>
        <w:jc w:val="both"/>
        <w:rPr>
          <w:rFonts w:ascii="Verdana" w:eastAsia="Calibri" w:hAnsi="Verdana" w:cs="Times New Roman"/>
          <w:lang w:val="es-ES"/>
        </w:rPr>
      </w:pPr>
      <w:r w:rsidRPr="0094448B">
        <w:rPr>
          <w:rFonts w:ascii="Verdana" w:eastAsia="Times New Roman" w:hAnsi="Verdana" w:cs="Times New Roman"/>
          <w:lang w:eastAsia="es-CO"/>
        </w:rPr>
        <w:t xml:space="preserve">El principio de economía </w:t>
      </w:r>
      <w:r w:rsidRPr="0094448B">
        <w:rPr>
          <w:rFonts w:ascii="Verdana" w:eastAsia="Calibri" w:hAnsi="Verdana" w:cs="Times New Roman"/>
          <w:lang w:val="es-ES"/>
        </w:rPr>
        <w:t xml:space="preserve">significa la eficiente ejecución de los recursos. Su definición está regulada en el numeral 12 del artículo 13 del CPACA, que prescribe: “[…] las autoridades deberán proceder con austeridad y eficiencia, optimizar el uso del tiempo y de los demás recursos, procurando el más alto nivel de calidad en sus actuaciones y la protección de los derechos de las personas”. Es decir, lo que se busca es la reducción de costos en los procesos de contratación que adelanten las entidades de régimen especial. </w:t>
      </w:r>
    </w:p>
    <w:p w14:paraId="731B4B15" w14:textId="77777777" w:rsidR="004C37CC" w:rsidRPr="0094448B" w:rsidRDefault="004C37CC" w:rsidP="004C37CC">
      <w:pPr>
        <w:shd w:val="clear" w:color="auto" w:fill="FFFFFF"/>
        <w:spacing w:after="120" w:line="276" w:lineRule="auto"/>
        <w:ind w:firstLine="709"/>
        <w:jc w:val="both"/>
        <w:rPr>
          <w:rFonts w:ascii="Verdana" w:eastAsia="Times New Roman" w:hAnsi="Verdana" w:cs="Times New Roman"/>
          <w:lang w:val="es-ES" w:eastAsia="es-CO"/>
        </w:rPr>
      </w:pPr>
      <w:r w:rsidRPr="0094448B">
        <w:rPr>
          <w:rFonts w:ascii="Verdana" w:eastAsia="Times New Roman" w:hAnsi="Verdana" w:cs="Times New Roman"/>
          <w:lang w:val="es-ES" w:eastAsia="es-CO"/>
        </w:rPr>
        <w:t>Finalmente</w:t>
      </w:r>
      <w:r w:rsidRPr="0094448B">
        <w:rPr>
          <w:rFonts w:ascii="Verdana" w:eastAsia="Times New Roman" w:hAnsi="Verdana" w:cs="Times New Roman"/>
          <w:lang w:eastAsia="es-CO"/>
        </w:rPr>
        <w:t>, el principio de publicidad</w:t>
      </w:r>
      <w:r w:rsidRPr="0094448B">
        <w:rPr>
          <w:rFonts w:ascii="Verdana" w:eastAsia="Times New Roman" w:hAnsi="Verdana" w:cs="Times New Roman"/>
          <w:b/>
          <w:lang w:eastAsia="es-CO"/>
        </w:rPr>
        <w:t xml:space="preserve"> </w:t>
      </w:r>
      <w:r w:rsidRPr="0094448B">
        <w:rPr>
          <w:rFonts w:ascii="Verdana" w:eastAsia="Calibri" w:hAnsi="Verdana" w:cs="Times New Roman"/>
          <w:shd w:val="clear" w:color="auto" w:fill="FFFFFF"/>
        </w:rPr>
        <w:t>se funda en el conocimiento público de</w:t>
      </w:r>
      <w:r w:rsidRPr="0094448B">
        <w:rPr>
          <w:rFonts w:ascii="Verdana" w:eastAsia="Times New Roman" w:hAnsi="Verdana" w:cs="Times New Roman"/>
          <w:lang w:eastAsia="es-CO"/>
        </w:rPr>
        <w:t xml:space="preserve"> las decisiones y trámites administrativos. En esta línea, e</w:t>
      </w:r>
      <w:r w:rsidRPr="0094448B">
        <w:rPr>
          <w:rFonts w:ascii="Verdana" w:eastAsia="Times New Roman" w:hAnsi="Verdana" w:cs="Times New Roman"/>
          <w:lang w:val="es-ES" w:eastAsia="es-CO"/>
        </w:rPr>
        <w:t xml:space="preserve">l numeral 9 del artículo 3 del CPACA lo define: “[…]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De esta manera, este principio está relacionado con </w:t>
      </w:r>
      <w:r w:rsidRPr="0094448B">
        <w:rPr>
          <w:rFonts w:ascii="Verdana" w:eastAsia="Times New Roman" w:hAnsi="Verdana" w:cs="Times New Roman"/>
          <w:lang w:eastAsia="es-CO"/>
        </w:rPr>
        <w:t xml:space="preserve">el artículo 53 de la Ley 2195 de 2022 que modifica el artículo 13 de la Ley 1150 de 2007 que estableció la obligación de las Entidades </w:t>
      </w:r>
      <w:r w:rsidRPr="0094448B">
        <w:rPr>
          <w:rFonts w:ascii="Verdana" w:eastAsia="Times New Roman" w:hAnsi="Verdana" w:cs="Times New Roman"/>
          <w:lang w:eastAsia="es-CO"/>
        </w:rPr>
        <w:lastRenderedPageBreak/>
        <w:t xml:space="preserve">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94448B">
        <w:rPr>
          <w:rFonts w:ascii="Verdana" w:eastAsia="Times New Roman" w:hAnsi="Verdana" w:cs="Times New Roman"/>
          <w:lang w:eastAsia="es-CO"/>
        </w:rPr>
        <w:t>post-contractual</w:t>
      </w:r>
      <w:proofErr w:type="spellEnd"/>
      <w:r w:rsidRPr="0094448B">
        <w:rPr>
          <w:rFonts w:ascii="Verdana" w:eastAsia="Times New Roman" w:hAnsi="Verdana" w:cs="Times New Roman"/>
          <w:lang w:eastAsia="es-CO"/>
        </w:rPr>
        <w:t>”.</w:t>
      </w:r>
    </w:p>
    <w:p w14:paraId="791C4C1A" w14:textId="77777777" w:rsidR="004C37CC" w:rsidRPr="0094448B" w:rsidRDefault="004C37CC" w:rsidP="004C37CC">
      <w:pPr>
        <w:spacing w:after="120" w:line="276" w:lineRule="auto"/>
        <w:ind w:firstLine="708"/>
        <w:jc w:val="both"/>
        <w:rPr>
          <w:rFonts w:ascii="Verdana" w:eastAsia="Calibri" w:hAnsi="Verdana" w:cs="Arial"/>
          <w:lang w:eastAsia="es-ES_tradnl"/>
        </w:rPr>
      </w:pPr>
      <w:r w:rsidRPr="0094448B">
        <w:rPr>
          <w:rFonts w:ascii="Verdana" w:eastAsia="Calibri" w:hAnsi="Verdana" w:cs="Arial"/>
          <w:lang w:eastAsia="es-ES_tradnl"/>
        </w:rPr>
        <w:t xml:space="preserve">Estos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ya sean en procedimientos competitivos y no competitivos. En este escenario, dentro de las sociedades de economía pueden establecer modalidades o procesos de selección en: i) competitivas y </w:t>
      </w:r>
      <w:proofErr w:type="spellStart"/>
      <w:r w:rsidRPr="0094448B">
        <w:rPr>
          <w:rFonts w:ascii="Verdana" w:eastAsia="Calibri" w:hAnsi="Verdana" w:cs="Arial"/>
          <w:lang w:eastAsia="es-ES_tradnl"/>
        </w:rPr>
        <w:t>ii</w:t>
      </w:r>
      <w:proofErr w:type="spellEnd"/>
      <w:r w:rsidRPr="0094448B">
        <w:rPr>
          <w:rFonts w:ascii="Verdana" w:eastAsia="Calibri" w:hAnsi="Verdana" w:cs="Arial"/>
          <w:lang w:eastAsia="es-ES_tradnl"/>
        </w:rPr>
        <w:t>)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94448B">
        <w:rPr>
          <w:rFonts w:ascii="Verdana" w:eastAsia="Calibri" w:hAnsi="Verdana" w:cs="Arial"/>
          <w:vertAlign w:val="superscript"/>
          <w:lang w:eastAsia="es-ES_tradnl"/>
        </w:rPr>
        <w:footnoteReference w:id="21"/>
      </w:r>
      <w:r w:rsidRPr="0094448B">
        <w:rPr>
          <w:rFonts w:ascii="Verdana" w:eastAsia="Calibri" w:hAnsi="Verdana" w:cs="Arial"/>
          <w:lang w:eastAsia="es-ES_tradnl"/>
        </w:rPr>
        <w:t xml:space="preserve">. </w:t>
      </w:r>
    </w:p>
    <w:p w14:paraId="4DA07BCD" w14:textId="77777777" w:rsidR="004C37CC" w:rsidRPr="0094448B" w:rsidRDefault="004C37CC" w:rsidP="004C37CC">
      <w:pPr>
        <w:spacing w:after="120" w:line="276" w:lineRule="auto"/>
        <w:ind w:firstLine="709"/>
        <w:jc w:val="both"/>
        <w:rPr>
          <w:rFonts w:ascii="Verdana" w:eastAsia="Calibri" w:hAnsi="Verdana" w:cs="Arial"/>
          <w:lang w:eastAsia="es-ES_tradnl"/>
        </w:rPr>
      </w:pPr>
      <w:r w:rsidRPr="0094448B">
        <w:rPr>
          <w:rFonts w:ascii="Verdana" w:eastAsia="Calibri" w:hAnsi="Verdana" w:cs="Arial"/>
          <w:lang w:eastAsia="es-ES_tradnl"/>
        </w:rPr>
        <w:t xml:space="preserve">Por tanto, en las manuales de contratación pueden establecer las modalidades como competitivas o abiertas a competencia, ya que en ellas tiene lugar la participación de varios proponentes en una fase pública de presentación de ofertas. Esto permite que todas las personas interesadas concurran al proceso en igualdad de condiciones y compitan en el mismo, sin perjuicio de criterios o exigencias diferenciales dispuestas por la ley para fortalecer determinado tipo de empresas, sujetos o mercado. </w:t>
      </w:r>
    </w:p>
    <w:p w14:paraId="20BA5924" w14:textId="77777777" w:rsidR="004C37CC" w:rsidRPr="0094448B" w:rsidRDefault="004C37CC" w:rsidP="004C37CC">
      <w:pPr>
        <w:spacing w:after="120" w:line="276" w:lineRule="auto"/>
        <w:ind w:firstLine="709"/>
        <w:jc w:val="both"/>
        <w:rPr>
          <w:rFonts w:ascii="Verdana" w:eastAsia="Calibri" w:hAnsi="Verdana" w:cs="Arial"/>
          <w:lang w:eastAsia="es-ES_tradnl"/>
        </w:rPr>
      </w:pPr>
      <w:r w:rsidRPr="0094448B">
        <w:rPr>
          <w:rFonts w:ascii="Verdana" w:eastAsia="Calibri" w:hAnsi="Verdana" w:cs="Arial"/>
          <w:lang w:eastAsia="es-ES_tradnl"/>
        </w:rPr>
        <w:t xml:space="preserve">Por otro lado, dentro del Manual de Contratación pueden regularse modalidades no competitivas, es decir, que no es abierta a los proponentes para que los interesados presenten sus ofertas. En esta, es la entidad la que determina, de forma directa, la persona que puede participar y que será seleccionada. Esto significa que </w:t>
      </w:r>
      <w:proofErr w:type="gramStart"/>
      <w:r w:rsidRPr="0094448B">
        <w:rPr>
          <w:rFonts w:ascii="Verdana" w:eastAsia="Calibri" w:hAnsi="Verdana" w:cs="Arial"/>
          <w:lang w:eastAsia="es-ES_tradnl"/>
        </w:rPr>
        <w:t>de acuerdo a</w:t>
      </w:r>
      <w:proofErr w:type="gramEnd"/>
      <w:r w:rsidRPr="0094448B">
        <w:rPr>
          <w:rFonts w:ascii="Verdana" w:eastAsia="Calibri" w:hAnsi="Verdana" w:cs="Arial"/>
          <w:lang w:eastAsia="es-ES_tradnl"/>
        </w:rPr>
        <w:t xml:space="preserve"> lo regulado no es necesario que la </w:t>
      </w:r>
      <w:r w:rsidRPr="0094448B">
        <w:rPr>
          <w:rFonts w:ascii="Verdana" w:eastAsia="Calibri" w:hAnsi="Verdana" w:cs="Arial"/>
          <w:lang w:eastAsia="es-ES_tradnl"/>
        </w:rPr>
        <w:lastRenderedPageBreak/>
        <w:t xml:space="preserve">entidad reciba más de una oferta, la cual proviene de la persona que la entidad escoge directamente, </w:t>
      </w:r>
      <w:proofErr w:type="gramStart"/>
      <w:r w:rsidRPr="0094448B">
        <w:rPr>
          <w:rFonts w:ascii="Verdana" w:eastAsia="Calibri" w:hAnsi="Verdana" w:cs="Arial"/>
          <w:lang w:eastAsia="es-ES_tradnl"/>
        </w:rPr>
        <w:t>y</w:t>
      </w:r>
      <w:proofErr w:type="gramEnd"/>
      <w:r w:rsidRPr="0094448B">
        <w:rPr>
          <w:rFonts w:ascii="Verdana" w:eastAsia="Calibri" w:hAnsi="Verdana" w:cs="Arial"/>
          <w:lang w:eastAsia="es-ES_tradnl"/>
        </w:rPr>
        <w:t xml:space="preserve"> por ende, invita a ofertar el bien o servicio que se requiere. Lo anterior puede estar basado en que el proponente es único, o en que el manual se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cual se constituye en una excepción a la libre concurrencia. Ello no exime a las entidades estatales de garantizar los principios de la función administrativa. Por tanto, pueden existir contratos, donde no existe la libre concurrencia de oferentes, como es el caso de procedimientos no competitivos dispuestos en el Manual Interno de Contratación. </w:t>
      </w:r>
      <w:r w:rsidRPr="0094448B">
        <w:rPr>
          <w:rFonts w:ascii="Verdana" w:eastAsia="Times New Roman" w:hAnsi="Verdana" w:cs="Arial"/>
          <w:lang w:eastAsia="es-ES_tradnl"/>
        </w:rPr>
        <w:t xml:space="preserve"> </w:t>
      </w:r>
    </w:p>
    <w:p w14:paraId="27FA829C" w14:textId="77777777" w:rsidR="004C37CC" w:rsidRPr="0094448B" w:rsidRDefault="004C37CC" w:rsidP="004C37CC">
      <w:pPr>
        <w:widowControl w:val="0"/>
        <w:autoSpaceDE w:val="0"/>
        <w:autoSpaceDN w:val="0"/>
        <w:spacing w:after="120" w:line="276" w:lineRule="auto"/>
        <w:jc w:val="both"/>
        <w:rPr>
          <w:rFonts w:ascii="Verdana" w:eastAsia="Verdana" w:hAnsi="Verdana" w:cs="Verdana"/>
          <w:lang w:val="es-ES"/>
        </w:rPr>
      </w:pPr>
    </w:p>
    <w:p w14:paraId="50716DEB" w14:textId="77777777" w:rsidR="004C37CC" w:rsidRPr="0094448B" w:rsidRDefault="004C37CC" w:rsidP="004C37CC">
      <w:pPr>
        <w:widowControl w:val="0"/>
        <w:autoSpaceDE w:val="0"/>
        <w:autoSpaceDN w:val="0"/>
        <w:spacing w:after="120" w:line="276" w:lineRule="auto"/>
        <w:jc w:val="both"/>
        <w:rPr>
          <w:rFonts w:ascii="Verdana" w:eastAsia="Verdana" w:hAnsi="Verdana" w:cs="Verdana"/>
          <w:lang w:val="es-ES"/>
        </w:rPr>
      </w:pPr>
      <w:proofErr w:type="spellStart"/>
      <w:r w:rsidRPr="0094448B">
        <w:rPr>
          <w:rFonts w:ascii="Verdana" w:eastAsia="Verdana" w:hAnsi="Verdana" w:cs="Verdana"/>
          <w:lang w:val="es-ES"/>
        </w:rPr>
        <w:t>iv</w:t>
      </w:r>
      <w:proofErr w:type="spellEnd"/>
      <w:r w:rsidRPr="0094448B">
        <w:rPr>
          <w:rFonts w:ascii="Verdana" w:eastAsia="Verdana" w:hAnsi="Verdana" w:cs="Verdana"/>
          <w:lang w:val="es-ES"/>
        </w:rPr>
        <w:t>. Cabe resaltar, que existen ciertos contenidos determinados por el ordenamiento que no pueden modificarse por los manuales internos o en los pliegos de condiciones definidos por las sociedades de economía mixta, por tratarse de asuntos con reserva de ley. En este sentido, estos reglamentos internos, así como los pliegos de condiciones de las sociedades de economía mixta no pueden crear causales de inhabilidad o incompatibilidad, crear nuevos supuestos de conflictos de interés, limitar la capacidad contractual establecida en la ley, entre otros aspectos. En efecto, estos contenidos no pueden modificarse o regularse por</w:t>
      </w:r>
      <w:r w:rsidRPr="0094448B">
        <w:rPr>
          <w:rFonts w:ascii="Verdana" w:eastAsia="Verdana" w:hAnsi="Verdana" w:cs="Verdana"/>
          <w:spacing w:val="-16"/>
          <w:lang w:val="es-ES"/>
        </w:rPr>
        <w:t xml:space="preserve"> </w:t>
      </w:r>
      <w:r w:rsidRPr="0094448B">
        <w:rPr>
          <w:rFonts w:ascii="Verdana" w:eastAsia="Verdana" w:hAnsi="Verdana" w:cs="Verdana"/>
          <w:lang w:val="es-ES"/>
        </w:rPr>
        <w:t>los</w:t>
      </w:r>
      <w:r w:rsidRPr="0094448B">
        <w:rPr>
          <w:rFonts w:ascii="Verdana" w:eastAsia="Verdana" w:hAnsi="Verdana" w:cs="Verdana"/>
          <w:spacing w:val="-16"/>
          <w:lang w:val="es-ES"/>
        </w:rPr>
        <w:t xml:space="preserve"> </w:t>
      </w:r>
      <w:r w:rsidRPr="0094448B">
        <w:rPr>
          <w:rFonts w:ascii="Verdana" w:eastAsia="Verdana" w:hAnsi="Verdana" w:cs="Verdana"/>
          <w:lang w:val="es-ES"/>
        </w:rPr>
        <w:t>manuales</w:t>
      </w:r>
      <w:r w:rsidRPr="0094448B">
        <w:rPr>
          <w:rFonts w:ascii="Verdana" w:eastAsia="Verdana" w:hAnsi="Verdana" w:cs="Verdana"/>
          <w:spacing w:val="-15"/>
          <w:lang w:val="es-ES"/>
        </w:rPr>
        <w:t xml:space="preserve"> </w:t>
      </w:r>
      <w:r w:rsidRPr="0094448B">
        <w:rPr>
          <w:rFonts w:ascii="Verdana" w:eastAsia="Verdana" w:hAnsi="Verdana" w:cs="Verdana"/>
          <w:lang w:val="es-ES"/>
        </w:rPr>
        <w:t>de</w:t>
      </w:r>
      <w:r w:rsidRPr="0094448B">
        <w:rPr>
          <w:rFonts w:ascii="Verdana" w:eastAsia="Verdana" w:hAnsi="Verdana" w:cs="Verdana"/>
          <w:spacing w:val="-16"/>
          <w:lang w:val="es-ES"/>
        </w:rPr>
        <w:t xml:space="preserve"> </w:t>
      </w:r>
      <w:r w:rsidRPr="0094448B">
        <w:rPr>
          <w:rFonts w:ascii="Verdana" w:eastAsia="Verdana" w:hAnsi="Verdana" w:cs="Verdana"/>
          <w:lang w:val="es-ES"/>
        </w:rPr>
        <w:t>contratación ni por los pliegos de condiciones, puesto que se trata de</w:t>
      </w:r>
      <w:r w:rsidRPr="0094448B">
        <w:rPr>
          <w:rFonts w:ascii="Verdana" w:eastAsia="Verdana" w:hAnsi="Verdana" w:cs="Verdana"/>
          <w:spacing w:val="-17"/>
          <w:lang w:val="es-ES"/>
        </w:rPr>
        <w:t xml:space="preserve"> </w:t>
      </w:r>
      <w:r w:rsidRPr="0094448B">
        <w:rPr>
          <w:rFonts w:ascii="Verdana" w:eastAsia="Verdana" w:hAnsi="Verdana" w:cs="Verdana"/>
          <w:lang w:val="es-ES"/>
        </w:rPr>
        <w:t>materias con</w:t>
      </w:r>
      <w:r w:rsidRPr="0094448B">
        <w:rPr>
          <w:rFonts w:ascii="Verdana" w:eastAsia="Verdana" w:hAnsi="Verdana" w:cs="Verdana"/>
          <w:spacing w:val="-17"/>
          <w:lang w:val="es-ES"/>
        </w:rPr>
        <w:t xml:space="preserve"> </w:t>
      </w:r>
      <w:r w:rsidRPr="0094448B">
        <w:rPr>
          <w:rFonts w:ascii="Verdana" w:eastAsia="Verdana" w:hAnsi="Verdana" w:cs="Verdana"/>
          <w:lang w:val="es-ES"/>
        </w:rPr>
        <w:t>reserva</w:t>
      </w:r>
      <w:r w:rsidRPr="0094448B">
        <w:rPr>
          <w:rFonts w:ascii="Verdana" w:eastAsia="Verdana" w:hAnsi="Verdana" w:cs="Verdana"/>
          <w:spacing w:val="-15"/>
          <w:lang w:val="es-ES"/>
        </w:rPr>
        <w:t xml:space="preserve"> </w:t>
      </w:r>
      <w:r w:rsidRPr="0094448B">
        <w:rPr>
          <w:rFonts w:ascii="Verdana" w:eastAsia="Verdana" w:hAnsi="Verdana" w:cs="Verdana"/>
          <w:lang w:val="es-ES"/>
        </w:rPr>
        <w:t>de</w:t>
      </w:r>
      <w:r w:rsidRPr="0094448B">
        <w:rPr>
          <w:rFonts w:ascii="Verdana" w:eastAsia="Verdana" w:hAnsi="Verdana" w:cs="Verdana"/>
          <w:spacing w:val="-17"/>
          <w:lang w:val="es-ES"/>
        </w:rPr>
        <w:t xml:space="preserve"> </w:t>
      </w:r>
      <w:r w:rsidRPr="0094448B">
        <w:rPr>
          <w:rFonts w:ascii="Verdana" w:eastAsia="Verdana" w:hAnsi="Verdana" w:cs="Verdana"/>
          <w:lang w:val="es-ES"/>
        </w:rPr>
        <w:t>ley</w:t>
      </w:r>
      <w:r w:rsidRPr="0094448B">
        <w:rPr>
          <w:rFonts w:ascii="Verdana" w:eastAsia="Verdana" w:hAnsi="Verdana" w:cs="Verdana"/>
          <w:spacing w:val="-17"/>
          <w:lang w:val="es-ES"/>
        </w:rPr>
        <w:t xml:space="preserve"> </w:t>
      </w:r>
      <w:r w:rsidRPr="0094448B">
        <w:rPr>
          <w:rFonts w:ascii="Verdana" w:eastAsia="Verdana" w:hAnsi="Verdana" w:cs="Verdana"/>
          <w:lang w:val="es-ES"/>
        </w:rPr>
        <w:t>o</w:t>
      </w:r>
      <w:r w:rsidRPr="0094448B">
        <w:rPr>
          <w:rFonts w:ascii="Verdana" w:eastAsia="Verdana" w:hAnsi="Verdana" w:cs="Verdana"/>
          <w:spacing w:val="-17"/>
          <w:lang w:val="es-ES"/>
        </w:rPr>
        <w:t xml:space="preserve"> </w:t>
      </w:r>
      <w:r w:rsidRPr="0094448B">
        <w:rPr>
          <w:rFonts w:ascii="Verdana" w:eastAsia="Verdana" w:hAnsi="Verdana" w:cs="Verdana"/>
          <w:lang w:val="es-ES"/>
        </w:rPr>
        <w:t>con</w:t>
      </w:r>
      <w:r w:rsidRPr="0094448B">
        <w:rPr>
          <w:rFonts w:ascii="Verdana" w:eastAsia="Verdana" w:hAnsi="Verdana" w:cs="Verdana"/>
          <w:spacing w:val="-17"/>
          <w:lang w:val="es-ES"/>
        </w:rPr>
        <w:t xml:space="preserve"> </w:t>
      </w:r>
      <w:r w:rsidRPr="0094448B">
        <w:rPr>
          <w:rFonts w:ascii="Verdana" w:eastAsia="Verdana" w:hAnsi="Verdana" w:cs="Verdana"/>
          <w:lang w:val="es-ES"/>
        </w:rPr>
        <w:t>congelación</w:t>
      </w:r>
      <w:r w:rsidRPr="0094448B">
        <w:rPr>
          <w:rFonts w:ascii="Verdana" w:eastAsia="Verdana" w:hAnsi="Verdana" w:cs="Verdana"/>
          <w:spacing w:val="-14"/>
          <w:lang w:val="es-ES"/>
        </w:rPr>
        <w:t xml:space="preserve"> </w:t>
      </w:r>
      <w:r w:rsidRPr="0094448B">
        <w:rPr>
          <w:rFonts w:ascii="Verdana" w:eastAsia="Verdana" w:hAnsi="Verdana" w:cs="Verdana"/>
          <w:lang w:val="es-ES"/>
        </w:rPr>
        <w:t>en</w:t>
      </w:r>
      <w:r w:rsidRPr="0094448B">
        <w:rPr>
          <w:rFonts w:ascii="Verdana" w:eastAsia="Verdana" w:hAnsi="Verdana" w:cs="Verdana"/>
          <w:spacing w:val="-17"/>
          <w:lang w:val="es-ES"/>
        </w:rPr>
        <w:t xml:space="preserve"> </w:t>
      </w:r>
      <w:r w:rsidRPr="0094448B">
        <w:rPr>
          <w:rFonts w:ascii="Verdana" w:eastAsia="Verdana" w:hAnsi="Verdana" w:cs="Verdana"/>
          <w:lang w:val="es-ES"/>
        </w:rPr>
        <w:t>el</w:t>
      </w:r>
      <w:r w:rsidRPr="0094448B">
        <w:rPr>
          <w:rFonts w:ascii="Verdana" w:eastAsia="Verdana" w:hAnsi="Verdana" w:cs="Verdana"/>
          <w:spacing w:val="-17"/>
          <w:lang w:val="es-ES"/>
        </w:rPr>
        <w:t xml:space="preserve"> </w:t>
      </w:r>
      <w:r w:rsidRPr="0094448B">
        <w:rPr>
          <w:rFonts w:ascii="Verdana" w:eastAsia="Verdana" w:hAnsi="Verdana" w:cs="Verdana"/>
          <w:lang w:val="es-ES"/>
        </w:rPr>
        <w:t>rango</w:t>
      </w:r>
      <w:r w:rsidRPr="0094448B">
        <w:rPr>
          <w:rFonts w:ascii="Verdana" w:eastAsia="Verdana" w:hAnsi="Verdana" w:cs="Verdana"/>
          <w:spacing w:val="-16"/>
          <w:lang w:val="es-ES"/>
        </w:rPr>
        <w:t xml:space="preserve"> </w:t>
      </w:r>
      <w:r w:rsidRPr="0094448B">
        <w:rPr>
          <w:rFonts w:ascii="Verdana" w:eastAsia="Verdana" w:hAnsi="Verdana" w:cs="Verdana"/>
          <w:lang w:val="es-ES"/>
        </w:rPr>
        <w:t>de</w:t>
      </w:r>
      <w:r w:rsidRPr="0094448B">
        <w:rPr>
          <w:rFonts w:ascii="Verdana" w:eastAsia="Verdana" w:hAnsi="Verdana" w:cs="Verdana"/>
          <w:spacing w:val="-17"/>
          <w:lang w:val="es-ES"/>
        </w:rPr>
        <w:t xml:space="preserve"> </w:t>
      </w:r>
      <w:r w:rsidRPr="0094448B">
        <w:rPr>
          <w:rFonts w:ascii="Verdana" w:eastAsia="Verdana" w:hAnsi="Verdana" w:cs="Verdana"/>
          <w:lang w:val="es-ES"/>
        </w:rPr>
        <w:t>nivel</w:t>
      </w:r>
      <w:r w:rsidRPr="0094448B">
        <w:rPr>
          <w:rFonts w:ascii="Verdana" w:eastAsia="Verdana" w:hAnsi="Verdana" w:cs="Verdana"/>
          <w:spacing w:val="-16"/>
          <w:lang w:val="es-ES"/>
        </w:rPr>
        <w:t xml:space="preserve"> </w:t>
      </w:r>
      <w:r w:rsidRPr="0094448B">
        <w:rPr>
          <w:rFonts w:ascii="Verdana" w:eastAsia="Verdana" w:hAnsi="Verdana" w:cs="Verdana"/>
          <w:lang w:val="es-ES"/>
        </w:rPr>
        <w:t xml:space="preserve">legal. </w:t>
      </w:r>
    </w:p>
    <w:p w14:paraId="2A92A2A5" w14:textId="77777777" w:rsidR="004C37CC" w:rsidRPr="0094448B" w:rsidRDefault="004C37CC" w:rsidP="004C37CC">
      <w:pPr>
        <w:widowControl w:val="0"/>
        <w:autoSpaceDE w:val="0"/>
        <w:autoSpaceDN w:val="0"/>
        <w:spacing w:after="120" w:line="276" w:lineRule="auto"/>
        <w:ind w:firstLine="709"/>
        <w:jc w:val="both"/>
        <w:rPr>
          <w:rFonts w:ascii="Verdana" w:eastAsia="Verdana" w:hAnsi="Verdana" w:cs="Verdana"/>
          <w:lang w:val="es-ES"/>
        </w:rPr>
      </w:pPr>
      <w:r w:rsidRPr="0094448B">
        <w:rPr>
          <w:rFonts w:ascii="Verdana" w:eastAsia="Verdana" w:hAnsi="Verdana" w:cs="Verdana"/>
          <w:lang w:val="es-ES_tradnl"/>
        </w:rPr>
        <w:t>Sin perjuicio de lo anterior, existen múltiples contenidos que pueden ser objeto de regulación en el manual de contratación, por hacer parte del ámbito de configuración en desarrollo de su autonomía contractual que no riñe con la ley, como sería la definición de requisitos de ejecución del contrato, la definición de si cierta actuación de la actividad contractual la debe realizar cierta dependencia de la entidad, establecer límites en cuanto a posibilidad de realizar adiciones, las condiciones de participación,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r w:rsidRPr="0094448B">
        <w:rPr>
          <w:rFonts w:ascii="Verdana" w:eastAsia="Verdana" w:hAnsi="Verdana" w:cs="Verdana"/>
          <w:lang w:val="es-ES"/>
        </w:rPr>
        <w:t xml:space="preserve">. </w:t>
      </w:r>
    </w:p>
    <w:p w14:paraId="5676585A" w14:textId="77777777" w:rsidR="004C37CC" w:rsidRPr="0094448B" w:rsidRDefault="004C37CC" w:rsidP="004C37CC">
      <w:pPr>
        <w:spacing w:before="120" w:after="120" w:line="276" w:lineRule="auto"/>
        <w:ind w:firstLine="708"/>
        <w:jc w:val="both"/>
        <w:rPr>
          <w:rFonts w:ascii="Verdana" w:eastAsia="Arial" w:hAnsi="Verdana" w:cs="Arial"/>
          <w:color w:val="000000"/>
        </w:rPr>
      </w:pPr>
      <w:r w:rsidRPr="0094448B">
        <w:rPr>
          <w:rFonts w:ascii="Verdana" w:eastAsia="Calibri" w:hAnsi="Verdana" w:cs="Arial"/>
          <w:lang w:val="es-ES"/>
        </w:rPr>
        <w:t xml:space="preserve">En referencia a la regulación de causales de rechazo en procedimientos competitivos deben estar necesariamente nominadas en la Ley o en el pliego de </w:t>
      </w:r>
      <w:r w:rsidRPr="0094448B">
        <w:rPr>
          <w:rFonts w:ascii="Verdana" w:eastAsia="Calibri" w:hAnsi="Verdana" w:cs="Arial"/>
          <w:lang w:val="es-ES"/>
        </w:rPr>
        <w:lastRenderedPageBreak/>
        <w:t xml:space="preserve">condiciones, y no puede realizarse, frente a su redacción, ninguna interpretación extensiva. Por esta razón, si el Manual Interno de Contratación o el pliego de condiciones no establecen de manera literal una causal de rechazo, en los términos expuestos, no podrán rechazarse las propuestas. </w:t>
      </w:r>
      <w:r w:rsidRPr="0094448B">
        <w:rPr>
          <w:rFonts w:ascii="Verdana" w:eastAsia="Arial" w:hAnsi="Verdana" w:cs="Arial"/>
          <w:color w:val="000000"/>
        </w:rPr>
        <w:t xml:space="preserve">Por otra parte, es importante señalar que, los principios de la función administrativa son transversales a los procedimientos de selección, como la igualdad, imparcialidad y la moralidad. Esto implica que la selección de la oferta ganadora deba fundamentarse en factores objetivos, de carácter técnico, jurídico y financiero, y no en criterios subjetivos, como el afecto, la amistad, el ánimo de ayuda, el interés personal, animadversión, riesgo reputacional, entre otros. </w:t>
      </w:r>
    </w:p>
    <w:p w14:paraId="15284851" w14:textId="77777777" w:rsidR="004C37CC" w:rsidRPr="0094448B" w:rsidRDefault="004C37CC" w:rsidP="004C37CC">
      <w:pPr>
        <w:spacing w:before="120" w:after="120" w:line="276" w:lineRule="auto"/>
        <w:ind w:firstLine="708"/>
        <w:jc w:val="both"/>
        <w:rPr>
          <w:rFonts w:ascii="Verdana" w:eastAsia="Arial" w:hAnsi="Verdana" w:cs="Arial"/>
          <w:color w:val="000000"/>
        </w:rPr>
      </w:pPr>
      <w:r w:rsidRPr="0094448B">
        <w:rPr>
          <w:rFonts w:ascii="Verdana" w:eastAsia="Arial" w:hAnsi="Verdana" w:cs="Arial"/>
          <w:color w:val="000000"/>
        </w:rPr>
        <w:t>En esta orientación, los principios de igualdad e imparcialidad en procedimientos competitivos están vinculados a la selección objetiva y la libre competencia, lo que implica que las entidades exceptuadas se abstengan de rechazar las ofertas por el incumplimiento de requisitos meramente formales, sacrificando la favorabilidad que podría representar la oferta que adolezca de estos defectos, si se permitiese su corrección. En otras palabras, la selección objetiva para las entidades de régimen especial está vinculada a la obligación que tienen las entidades estatales de establecer condiciones de participación ajustados a las necesidades del objeto, así como permitir la subsanación de los requisitos de participación, bajo los parámetros indicados en la ley o en el manual interno de contratación, antes de tomar la decisión de rechazar las propuestas que hayan omitido la observancia de requisitos no necesarios para la comparación de las ofertas.</w:t>
      </w:r>
      <w:r w:rsidRPr="0094448B">
        <w:rPr>
          <w:rFonts w:ascii="Verdana" w:eastAsia="Calibri" w:hAnsi="Verdana" w:cs="Arial"/>
          <w:lang w:val="es-ES"/>
        </w:rPr>
        <w:t xml:space="preserve"> </w:t>
      </w:r>
      <w:r w:rsidRPr="0094448B">
        <w:rPr>
          <w:rFonts w:ascii="Verdana" w:hAnsi="Verdana" w:cs="Arial"/>
          <w:bCs/>
          <w:color w:val="000000" w:themeColor="text1"/>
        </w:rPr>
        <w:t>En ese orden de ideas, el rechazo de las ofertas debe provenir entre otros factores, de la imposibilidad de hacer una escogencia favorable a la entidad estatal y a los fines que ella busca, que garantiza la libertad de competencia regulado en el artículo 333 constitucional.</w:t>
      </w:r>
      <w:r w:rsidRPr="0094448B">
        <w:rPr>
          <w:rFonts w:ascii="Verdana" w:eastAsia="Arial" w:hAnsi="Verdana" w:cs="Arial"/>
          <w:color w:val="000000"/>
        </w:rPr>
        <w:t xml:space="preserve"> </w:t>
      </w:r>
    </w:p>
    <w:p w14:paraId="456B1A2D" w14:textId="77777777" w:rsidR="004C37CC" w:rsidRPr="0094448B" w:rsidRDefault="004C37CC" w:rsidP="004C37CC">
      <w:pPr>
        <w:spacing w:before="120" w:after="120" w:line="276" w:lineRule="auto"/>
        <w:ind w:firstLine="708"/>
        <w:jc w:val="both"/>
        <w:rPr>
          <w:rFonts w:ascii="Verdana" w:hAnsi="Verdana" w:cs="Arial"/>
          <w:bCs/>
          <w:color w:val="000000" w:themeColor="text1"/>
        </w:rPr>
      </w:pPr>
      <w:r w:rsidRPr="0094448B">
        <w:rPr>
          <w:rFonts w:ascii="Verdana" w:hAnsi="Verdana" w:cs="Arial"/>
          <w:bCs/>
          <w:color w:val="000000" w:themeColor="text1"/>
        </w:rPr>
        <w:t xml:space="preserve">Así mismo, dichas actuaciones y decisiones en torno a la condiciones de participación, causales de rechazo y demás aspectos contractuales deben publicarse, sin incluir ninguna excepción relacionada con la naturaleza u objeto contractual, como lo dispone el artículo 53 de la Ley 2195 de 2022 que modificó el artículo 13 de la Ley 1150 de 2007, que exige que se publiquen en el SECOP II todo documento expedido durante las diferentes etapas del proceso contractual, abarcando desde la fase previa a su celebración, pasando por la ejecución y hasta la fase posterior a su ejecución, sin perjuicio de las reservas de acceso a la información. Esto permite que los diferentes oferentes y demás sujetos interesados en el proceso de contratación puedan conocer las </w:t>
      </w:r>
      <w:r w:rsidRPr="0094448B">
        <w:rPr>
          <w:rFonts w:ascii="Verdana" w:hAnsi="Verdana" w:cs="Arial"/>
          <w:bCs/>
          <w:color w:val="000000" w:themeColor="text1"/>
        </w:rPr>
        <w:lastRenderedPageBreak/>
        <w:t xml:space="preserve">actuaciones y decisiones de la Administración, y garantizar así el derecho de contradicción. </w:t>
      </w:r>
    </w:p>
    <w:p w14:paraId="38D80684" w14:textId="77777777" w:rsidR="004C37CC" w:rsidRPr="0094448B" w:rsidRDefault="004C37CC" w:rsidP="004C37CC">
      <w:pPr>
        <w:spacing w:before="120" w:after="120" w:line="276" w:lineRule="auto"/>
        <w:jc w:val="both"/>
        <w:rPr>
          <w:rFonts w:ascii="Verdana" w:hAnsi="Verdana" w:cs="Arial"/>
          <w:bCs/>
          <w:color w:val="000000" w:themeColor="text1"/>
        </w:rPr>
      </w:pPr>
      <w:r w:rsidRPr="0094448B">
        <w:rPr>
          <w:rFonts w:ascii="Verdana" w:hAnsi="Verdana" w:cs="Arial"/>
          <w:bCs/>
          <w:color w:val="000000" w:themeColor="text1"/>
        </w:rPr>
        <w:tab/>
      </w:r>
      <w:r w:rsidRPr="0094448B">
        <w:rPr>
          <w:rFonts w:ascii="Verdana" w:hAnsi="Verdana" w:cs="Arial"/>
          <w:bCs/>
          <w:lang w:val="es-ES_tradnl" w:eastAsia="es-ES"/>
        </w:rPr>
        <w:t xml:space="preserve">En todo caso, </w:t>
      </w:r>
      <w:r w:rsidRPr="0094448B">
        <w:rPr>
          <w:rFonts w:ascii="Verdana" w:hAnsi="Verdana" w:cs="Arial"/>
          <w:bCs/>
          <w:lang w:eastAsia="es-ES"/>
        </w:rPr>
        <w:t>la entidad pública definirá en cada caso concreto 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r w:rsidRPr="0094448B">
        <w:rPr>
          <w:rFonts w:ascii="Verdana" w:hAnsi="Verdana" w:cs="Arial"/>
          <w:bCs/>
          <w:color w:val="000000" w:themeColor="text1"/>
          <w:lang w:val="es-ES"/>
        </w:rPr>
        <w:t xml:space="preserve"> </w:t>
      </w:r>
    </w:p>
    <w:p w14:paraId="5F098C44" w14:textId="0DFD7055" w:rsidR="004C37CC" w:rsidRPr="0094448B" w:rsidRDefault="004C37CC" w:rsidP="004C37CC">
      <w:pPr>
        <w:spacing w:after="0" w:line="276" w:lineRule="auto"/>
        <w:jc w:val="both"/>
        <w:rPr>
          <w:rFonts w:ascii="Verdana" w:eastAsia="Calibri" w:hAnsi="Verdana" w:cs="Arial"/>
          <w:bCs/>
          <w:color w:val="000000" w:themeColor="text1"/>
          <w:lang w:val="es-ES_tradnl"/>
        </w:rPr>
      </w:pPr>
    </w:p>
    <w:p w14:paraId="654FB7EB" w14:textId="77777777" w:rsidR="004C37CC" w:rsidRPr="0094448B" w:rsidRDefault="004C37CC" w:rsidP="004C37CC">
      <w:pPr>
        <w:numPr>
          <w:ilvl w:val="0"/>
          <w:numId w:val="19"/>
        </w:numPr>
        <w:tabs>
          <w:tab w:val="left" w:pos="142"/>
          <w:tab w:val="left" w:pos="284"/>
        </w:tabs>
        <w:spacing w:after="0" w:line="276" w:lineRule="auto"/>
        <w:contextualSpacing/>
        <w:jc w:val="both"/>
        <w:rPr>
          <w:rFonts w:ascii="Verdana" w:eastAsia="Century Gothic" w:hAnsi="Verdana" w:cs="Century Gothic"/>
          <w:b/>
          <w:bCs/>
          <w:lang w:val="es-ES"/>
        </w:rPr>
      </w:pPr>
      <w:r w:rsidRPr="0094448B">
        <w:rPr>
          <w:rFonts w:ascii="Verdana" w:eastAsia="Century Gothic" w:hAnsi="Verdana" w:cs="Century Gothic"/>
          <w:b/>
          <w:bCs/>
          <w:lang w:val="es-ES"/>
        </w:rPr>
        <w:t>Referencias normativas, jurisprudenciales y otras fuentes:</w:t>
      </w:r>
    </w:p>
    <w:p w14:paraId="3E4F949A" w14:textId="77777777" w:rsidR="004C37CC" w:rsidRPr="0094448B" w:rsidRDefault="004C37CC" w:rsidP="004C37CC">
      <w:pPr>
        <w:widowControl w:val="0"/>
        <w:autoSpaceDE w:val="0"/>
        <w:autoSpaceDN w:val="0"/>
        <w:spacing w:after="0" w:line="276" w:lineRule="auto"/>
        <w:jc w:val="both"/>
        <w:rPr>
          <w:rFonts w:ascii="Verdana" w:hAnsi="Verdana" w:cs="Arial"/>
        </w:rPr>
      </w:pPr>
      <w:r w:rsidRPr="0094448B">
        <w:rPr>
          <w:rFonts w:ascii="Verdana" w:hAnsi="Verdana" w:cs="Arial"/>
        </w:rPr>
        <w:t xml:space="preserve">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37CC" w:rsidRPr="0094448B" w14:paraId="08F01BD6" w14:textId="77777777" w:rsidTr="009C41F8">
        <w:trPr>
          <w:trHeight w:val="870"/>
          <w:jc w:val="center"/>
        </w:trPr>
        <w:tc>
          <w:tcPr>
            <w:tcW w:w="8647" w:type="dxa"/>
          </w:tcPr>
          <w:p w14:paraId="0E04B6CF" w14:textId="77777777" w:rsidR="004C37CC" w:rsidRPr="0094448B" w:rsidRDefault="004C37CC" w:rsidP="009C41F8">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94448B">
              <w:rPr>
                <w:rFonts w:ascii="Verdana" w:hAnsi="Verdana" w:cs="Arial"/>
                <w:lang w:val="es-ES"/>
              </w:rPr>
              <w:t>Constitución Política de 1991, artículos 150, 209, 267 y 333.</w:t>
            </w:r>
          </w:p>
          <w:p w14:paraId="65E5D506" w14:textId="77777777" w:rsidR="004C37CC" w:rsidRPr="0094448B" w:rsidRDefault="004C37CC" w:rsidP="009C41F8">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94448B">
              <w:rPr>
                <w:rFonts w:ascii="Verdana" w:hAnsi="Verdana" w:cs="Arial"/>
                <w:lang w:val="es-ES"/>
              </w:rPr>
              <w:t>Ley 80 de 1993, artículos 2, 13, 32 y 40.</w:t>
            </w:r>
          </w:p>
          <w:p w14:paraId="3D2A3F5D" w14:textId="77777777" w:rsidR="004C37CC" w:rsidRPr="0094448B" w:rsidRDefault="004C37CC" w:rsidP="009C41F8">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94448B">
              <w:rPr>
                <w:rFonts w:ascii="Verdana" w:hAnsi="Verdana" w:cs="Arial"/>
                <w:lang w:val="es-ES"/>
              </w:rPr>
              <w:t xml:space="preserve">Ley 489 de 1998, artículos 38, 68 y 97. </w:t>
            </w:r>
          </w:p>
          <w:p w14:paraId="18CDBA1D" w14:textId="77777777" w:rsidR="004C37CC" w:rsidRPr="0094448B" w:rsidRDefault="004C37CC" w:rsidP="009C41F8">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94448B">
              <w:rPr>
                <w:rFonts w:ascii="Verdana" w:hAnsi="Verdana" w:cs="Arial"/>
                <w:lang w:val="es-ES"/>
              </w:rPr>
              <w:t xml:space="preserve">Ley 1150 de 2007, artículos 13 y 14. </w:t>
            </w:r>
          </w:p>
          <w:p w14:paraId="2769B085" w14:textId="77777777" w:rsidR="004C37CC" w:rsidRPr="0094448B" w:rsidRDefault="004C37CC" w:rsidP="009C41F8">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94448B">
              <w:rPr>
                <w:rFonts w:ascii="Verdana" w:hAnsi="Verdana" w:cs="Arial"/>
                <w:lang w:val="es-ES"/>
              </w:rPr>
              <w:t xml:space="preserve">Ley 1437 de 2011, artículo 3. </w:t>
            </w:r>
          </w:p>
          <w:p w14:paraId="1CA5AAD2" w14:textId="77777777" w:rsidR="004C37CC" w:rsidRPr="0094448B" w:rsidRDefault="004C37CC" w:rsidP="009C41F8">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94448B">
              <w:rPr>
                <w:rFonts w:ascii="Verdana" w:hAnsi="Verdana" w:cs="Arial"/>
                <w:lang w:val="es-ES"/>
              </w:rPr>
              <w:t xml:space="preserve">Ley 1474 de 2011, artículo 93. </w:t>
            </w:r>
          </w:p>
          <w:p w14:paraId="1A96FF3A" w14:textId="77777777" w:rsidR="004C37CC" w:rsidRPr="0094448B" w:rsidRDefault="004C37CC" w:rsidP="009C41F8">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94448B">
              <w:rPr>
                <w:rFonts w:ascii="Verdana" w:hAnsi="Verdana" w:cs="Arial"/>
              </w:rPr>
              <w:t>Código de Comercio, artículos 461, 463 y 468.</w:t>
            </w:r>
          </w:p>
          <w:p w14:paraId="2DCA0BBE" w14:textId="77777777" w:rsidR="004C37CC" w:rsidRPr="0094448B" w:rsidRDefault="004C37CC" w:rsidP="009C41F8">
            <w:pPr>
              <w:widowControl w:val="0"/>
              <w:numPr>
                <w:ilvl w:val="0"/>
                <w:numId w:val="34"/>
              </w:numPr>
              <w:autoSpaceDE w:val="0"/>
              <w:autoSpaceDN w:val="0"/>
              <w:spacing w:before="120" w:after="120" w:line="276" w:lineRule="auto"/>
              <w:jc w:val="both"/>
              <w:rPr>
                <w:rFonts w:ascii="Verdana" w:hAnsi="Verdana" w:cs="Arial"/>
                <w:lang w:val="es-ES"/>
              </w:rPr>
            </w:pPr>
            <w:r w:rsidRPr="0094448B">
              <w:rPr>
                <w:rFonts w:ascii="Verdana" w:hAnsi="Verdana" w:cs="Arial"/>
                <w:lang w:val="es-ES"/>
              </w:rPr>
              <w:t xml:space="preserve">CONSEJO DE ESTADO. Sala de Consulta y Servicio Civil, Concepto 1127 del 10 de diciembre de 2004. C.P. Enrique José Arboleda Perdomo. </w:t>
            </w:r>
          </w:p>
          <w:p w14:paraId="3B31504A" w14:textId="77777777" w:rsidR="004C37CC" w:rsidRPr="0094448B" w:rsidRDefault="004C37CC" w:rsidP="009C41F8">
            <w:pPr>
              <w:widowControl w:val="0"/>
              <w:numPr>
                <w:ilvl w:val="0"/>
                <w:numId w:val="34"/>
              </w:numPr>
              <w:autoSpaceDE w:val="0"/>
              <w:autoSpaceDN w:val="0"/>
              <w:spacing w:before="120" w:after="120" w:line="276" w:lineRule="auto"/>
              <w:jc w:val="both"/>
              <w:rPr>
                <w:rFonts w:ascii="Verdana" w:hAnsi="Verdana" w:cs="Arial"/>
                <w:lang w:val="es-ES"/>
              </w:rPr>
            </w:pPr>
            <w:r w:rsidRPr="0094448B">
              <w:rPr>
                <w:rFonts w:ascii="Verdana" w:hAnsi="Verdana" w:cs="Arial"/>
                <w:lang w:val="es-ES"/>
              </w:rPr>
              <w:t xml:space="preserve">CONSEJO DE ESTADO. Sección Tercera. Sentencia del 3 de diciembre de 2007. </w:t>
            </w:r>
            <w:proofErr w:type="spellStart"/>
            <w:r w:rsidRPr="0094448B">
              <w:rPr>
                <w:rFonts w:ascii="Verdana" w:hAnsi="Verdana" w:cs="Arial"/>
                <w:lang w:val="es-ES"/>
              </w:rPr>
              <w:t>Exp</w:t>
            </w:r>
            <w:proofErr w:type="spellEnd"/>
            <w:r w:rsidRPr="0094448B">
              <w:rPr>
                <w:rFonts w:ascii="Verdana" w:hAnsi="Verdana" w:cs="Arial"/>
                <w:lang w:val="es-ES"/>
              </w:rPr>
              <w:t xml:space="preserve">. 24.715. C.P. Ruth Stella Correa Palacio. </w:t>
            </w:r>
          </w:p>
          <w:p w14:paraId="6DE1FFAC" w14:textId="77777777" w:rsidR="004C37CC" w:rsidRPr="0094448B" w:rsidRDefault="004C37CC" w:rsidP="009C41F8">
            <w:pPr>
              <w:widowControl w:val="0"/>
              <w:numPr>
                <w:ilvl w:val="0"/>
                <w:numId w:val="34"/>
              </w:numPr>
              <w:autoSpaceDE w:val="0"/>
              <w:autoSpaceDN w:val="0"/>
              <w:spacing w:before="120" w:after="120" w:line="276" w:lineRule="auto"/>
              <w:jc w:val="both"/>
              <w:rPr>
                <w:rFonts w:ascii="Verdana" w:hAnsi="Verdana" w:cs="Arial"/>
                <w:lang w:val="es-ES"/>
              </w:rPr>
            </w:pPr>
            <w:r w:rsidRPr="0094448B">
              <w:rPr>
                <w:rFonts w:ascii="Verdana" w:hAnsi="Verdana" w:cs="Arial"/>
                <w:lang w:val="es-ES"/>
              </w:rPr>
              <w:t xml:space="preserve">CONSEJO DE ESTADO. Sección Tercera, Subsección A. Sentencia del 24 de octubre de 2016. </w:t>
            </w:r>
            <w:proofErr w:type="spellStart"/>
            <w:r w:rsidRPr="0094448B">
              <w:rPr>
                <w:rFonts w:ascii="Verdana" w:hAnsi="Verdana" w:cs="Arial"/>
                <w:lang w:val="es-ES"/>
              </w:rPr>
              <w:t>Exp</w:t>
            </w:r>
            <w:proofErr w:type="spellEnd"/>
            <w:r w:rsidRPr="0094448B">
              <w:rPr>
                <w:rFonts w:ascii="Verdana" w:hAnsi="Verdana" w:cs="Arial"/>
                <w:lang w:val="es-ES"/>
              </w:rPr>
              <w:t>.  45.607. C.P. Martha Nubia Velásquez Rico.</w:t>
            </w:r>
          </w:p>
          <w:p w14:paraId="121A4CB1" w14:textId="77777777" w:rsidR="004C37CC" w:rsidRPr="0094448B" w:rsidRDefault="004C37CC" w:rsidP="009C41F8">
            <w:pPr>
              <w:widowControl w:val="0"/>
              <w:numPr>
                <w:ilvl w:val="0"/>
                <w:numId w:val="34"/>
              </w:numPr>
              <w:autoSpaceDE w:val="0"/>
              <w:autoSpaceDN w:val="0"/>
              <w:spacing w:before="120" w:after="120" w:line="276" w:lineRule="auto"/>
              <w:jc w:val="both"/>
              <w:rPr>
                <w:rFonts w:ascii="Verdana" w:hAnsi="Verdana" w:cs="Arial"/>
                <w:lang w:val="es-ES"/>
              </w:rPr>
            </w:pPr>
            <w:r w:rsidRPr="008E5252">
              <w:rPr>
                <w:rFonts w:ascii="Verdana" w:hAnsi="Verdana" w:cs="Arial"/>
                <w:lang w:val="pt-BR"/>
              </w:rPr>
              <w:t xml:space="preserve">CORTE CONSTITUCIONAL. Sentencia T-068 de 1998. </w:t>
            </w:r>
            <w:r w:rsidRPr="0094448B">
              <w:rPr>
                <w:rFonts w:ascii="Verdana" w:hAnsi="Verdana" w:cs="Arial"/>
                <w:lang w:val="es-ES"/>
              </w:rPr>
              <w:t xml:space="preserve">M.P. Alejandro Martínez Caballero. </w:t>
            </w:r>
          </w:p>
          <w:p w14:paraId="15FCE8A9" w14:textId="77777777" w:rsidR="004C37CC" w:rsidRPr="0094448B" w:rsidRDefault="004C37CC" w:rsidP="009C41F8">
            <w:pPr>
              <w:widowControl w:val="0"/>
              <w:numPr>
                <w:ilvl w:val="0"/>
                <w:numId w:val="34"/>
              </w:numPr>
              <w:autoSpaceDE w:val="0"/>
              <w:autoSpaceDN w:val="0"/>
              <w:spacing w:before="120" w:after="120" w:line="276" w:lineRule="auto"/>
              <w:jc w:val="both"/>
              <w:rPr>
                <w:rFonts w:ascii="Verdana" w:hAnsi="Verdana" w:cs="Arial"/>
                <w:lang w:val="en-US"/>
              </w:rPr>
            </w:pPr>
            <w:r w:rsidRPr="0094448B">
              <w:rPr>
                <w:rFonts w:ascii="Verdana" w:hAnsi="Verdana" w:cs="Arial"/>
                <w:lang w:val="es-ES"/>
              </w:rPr>
              <w:t xml:space="preserve">CORTE CONSTITUCIONAL. Sentencia C-529 del 2006. </w:t>
            </w:r>
            <w:r w:rsidRPr="0094448B">
              <w:rPr>
                <w:rFonts w:ascii="Verdana" w:hAnsi="Verdana" w:cs="Arial"/>
                <w:lang w:val="en-US"/>
              </w:rPr>
              <w:t xml:space="preserve">M.P. Jaime Cordoba Triviño. </w:t>
            </w:r>
          </w:p>
          <w:p w14:paraId="22766460" w14:textId="77777777" w:rsidR="004C37CC" w:rsidRPr="0094448B" w:rsidRDefault="004C37CC" w:rsidP="009C41F8">
            <w:pPr>
              <w:widowControl w:val="0"/>
              <w:numPr>
                <w:ilvl w:val="0"/>
                <w:numId w:val="34"/>
              </w:numPr>
              <w:autoSpaceDE w:val="0"/>
              <w:autoSpaceDN w:val="0"/>
              <w:spacing w:before="120" w:after="120" w:line="276" w:lineRule="auto"/>
              <w:jc w:val="both"/>
              <w:rPr>
                <w:rFonts w:ascii="Verdana" w:hAnsi="Verdana" w:cs="Arial"/>
              </w:rPr>
            </w:pPr>
            <w:r w:rsidRPr="0094448B">
              <w:rPr>
                <w:rFonts w:ascii="Verdana" w:hAnsi="Verdana" w:cs="Arial"/>
              </w:rPr>
              <w:lastRenderedPageBreak/>
              <w:t xml:space="preserve">CORTE CONSTITUCIONAL. Sentencia C-736 del 2007. M.P. Marco Gerardo Monroy Cabra. </w:t>
            </w:r>
          </w:p>
          <w:p w14:paraId="32F58D91" w14:textId="77777777" w:rsidR="004C37CC" w:rsidRPr="0094448B" w:rsidRDefault="004C37CC" w:rsidP="009C41F8">
            <w:pPr>
              <w:widowControl w:val="0"/>
              <w:numPr>
                <w:ilvl w:val="0"/>
                <w:numId w:val="34"/>
              </w:numPr>
              <w:autoSpaceDE w:val="0"/>
              <w:autoSpaceDN w:val="0"/>
              <w:spacing w:before="120" w:after="120" w:line="276" w:lineRule="auto"/>
              <w:jc w:val="both"/>
              <w:rPr>
                <w:rFonts w:ascii="Verdana" w:hAnsi="Verdana" w:cs="Arial"/>
                <w:lang w:val="es-ES"/>
              </w:rPr>
            </w:pPr>
            <w:r w:rsidRPr="008E5252">
              <w:rPr>
                <w:rFonts w:ascii="Verdana" w:hAnsi="Verdana" w:cs="Arial"/>
                <w:lang w:val="pt-BR"/>
              </w:rPr>
              <w:t xml:space="preserve">CORTE CONSTITUCIONAL. Sentencia C-118 de 2018. </w:t>
            </w:r>
            <w:r w:rsidRPr="0094448B">
              <w:rPr>
                <w:rFonts w:ascii="Verdana" w:hAnsi="Verdana" w:cs="Arial"/>
                <w:lang w:val="es-ES"/>
              </w:rPr>
              <w:t>M.P. Gloria Stella Ortiz Delgado.</w:t>
            </w:r>
          </w:p>
          <w:p w14:paraId="1144D396" w14:textId="77777777" w:rsidR="004C37CC" w:rsidRPr="0094448B" w:rsidRDefault="004C37CC" w:rsidP="009C41F8">
            <w:pPr>
              <w:numPr>
                <w:ilvl w:val="0"/>
                <w:numId w:val="34"/>
              </w:numPr>
              <w:contextualSpacing/>
              <w:rPr>
                <w:rFonts w:ascii="Verdana" w:hAnsi="Verdana" w:cs="Arial"/>
                <w:lang w:val="es-ES"/>
              </w:rPr>
            </w:pPr>
            <w:r w:rsidRPr="0094448B">
              <w:rPr>
                <w:rFonts w:ascii="Verdana" w:hAnsi="Verdana" w:cs="Arial"/>
                <w:lang w:val="es-ES"/>
              </w:rPr>
              <w:t xml:space="preserve">CORTE CONSTITUCIONAL. Sentencia C-306 del 2019. M.P. Gloria Stella Ortiz Delgado. </w:t>
            </w:r>
          </w:p>
          <w:p w14:paraId="1875E827" w14:textId="77777777" w:rsidR="004C37CC" w:rsidRPr="0094448B" w:rsidRDefault="004C37CC" w:rsidP="009C41F8">
            <w:pPr>
              <w:widowControl w:val="0"/>
              <w:numPr>
                <w:ilvl w:val="0"/>
                <w:numId w:val="34"/>
              </w:numPr>
              <w:tabs>
                <w:tab w:val="left" w:pos="1181"/>
              </w:tabs>
              <w:autoSpaceDE w:val="0"/>
              <w:autoSpaceDN w:val="0"/>
              <w:spacing w:before="120" w:after="120" w:line="276" w:lineRule="auto"/>
              <w:ind w:left="714" w:hanging="357"/>
              <w:jc w:val="both"/>
              <w:rPr>
                <w:rFonts w:ascii="Verdana" w:hAnsi="Verdana"/>
                <w:lang w:val="es-ES"/>
              </w:rPr>
            </w:pPr>
            <w:r w:rsidRPr="0094448B">
              <w:rPr>
                <w:rFonts w:ascii="Verdana" w:hAnsi="Verdana"/>
                <w:lang w:val="es-ES"/>
              </w:rPr>
              <w:t>BENAVIDES,</w:t>
            </w:r>
            <w:r w:rsidRPr="0094448B">
              <w:rPr>
                <w:rFonts w:ascii="Verdana" w:hAnsi="Verdana"/>
                <w:spacing w:val="-6"/>
                <w:lang w:val="es-ES"/>
              </w:rPr>
              <w:t xml:space="preserve"> </w:t>
            </w:r>
            <w:r w:rsidRPr="0094448B">
              <w:rPr>
                <w:rFonts w:ascii="Verdana" w:hAnsi="Verdana"/>
                <w:lang w:val="es-ES"/>
              </w:rPr>
              <w:t>José</w:t>
            </w:r>
            <w:r w:rsidRPr="0094448B">
              <w:rPr>
                <w:rFonts w:ascii="Verdana" w:hAnsi="Verdana"/>
                <w:spacing w:val="-6"/>
                <w:lang w:val="es-ES"/>
              </w:rPr>
              <w:t xml:space="preserve"> </w:t>
            </w:r>
            <w:r w:rsidRPr="0094448B">
              <w:rPr>
                <w:rFonts w:ascii="Verdana" w:hAnsi="Verdana"/>
                <w:lang w:val="es-ES"/>
              </w:rPr>
              <w:t>Luis.</w:t>
            </w:r>
            <w:r w:rsidRPr="0094448B">
              <w:rPr>
                <w:rFonts w:ascii="Verdana" w:hAnsi="Verdana"/>
                <w:spacing w:val="-5"/>
                <w:lang w:val="es-ES"/>
              </w:rPr>
              <w:t xml:space="preserve"> </w:t>
            </w:r>
            <w:r w:rsidRPr="0094448B">
              <w:rPr>
                <w:rFonts w:ascii="Verdana" w:hAnsi="Verdana"/>
                <w:lang w:val="es-ES"/>
              </w:rPr>
              <w:t>El</w:t>
            </w:r>
            <w:r w:rsidRPr="0094448B">
              <w:rPr>
                <w:rFonts w:ascii="Verdana" w:hAnsi="Verdana"/>
                <w:spacing w:val="-5"/>
                <w:lang w:val="es-ES"/>
              </w:rPr>
              <w:t xml:space="preserve"> </w:t>
            </w:r>
            <w:r w:rsidRPr="0094448B">
              <w:rPr>
                <w:rFonts w:ascii="Verdana" w:hAnsi="Verdana"/>
                <w:lang w:val="es-ES"/>
              </w:rPr>
              <w:t>contrato estatal: entre</w:t>
            </w:r>
            <w:r w:rsidRPr="0094448B">
              <w:rPr>
                <w:rFonts w:ascii="Verdana" w:hAnsi="Verdana"/>
                <w:spacing w:val="-2"/>
                <w:lang w:val="es-ES"/>
              </w:rPr>
              <w:t xml:space="preserve"> </w:t>
            </w:r>
            <w:r w:rsidRPr="0094448B">
              <w:rPr>
                <w:rFonts w:ascii="Verdana" w:hAnsi="Verdana"/>
                <w:lang w:val="es-ES"/>
              </w:rPr>
              <w:t>el derecho</w:t>
            </w:r>
            <w:r w:rsidRPr="0094448B">
              <w:rPr>
                <w:rFonts w:ascii="Verdana" w:hAnsi="Verdana"/>
                <w:spacing w:val="-4"/>
                <w:lang w:val="es-ES"/>
              </w:rPr>
              <w:t xml:space="preserve"> </w:t>
            </w:r>
            <w:r w:rsidRPr="0094448B">
              <w:rPr>
                <w:rFonts w:ascii="Verdana" w:hAnsi="Verdana"/>
                <w:lang w:val="es-ES"/>
              </w:rPr>
              <w:t>público y el derecho privado. Segunda edición. Bogotá. Universidad Externado de Colombia.</w:t>
            </w:r>
          </w:p>
          <w:p w14:paraId="7E57DEA8" w14:textId="77777777" w:rsidR="004C37CC" w:rsidRPr="0094448B" w:rsidRDefault="004C37CC" w:rsidP="009C41F8">
            <w:pPr>
              <w:widowControl w:val="0"/>
              <w:numPr>
                <w:ilvl w:val="0"/>
                <w:numId w:val="34"/>
              </w:numPr>
              <w:tabs>
                <w:tab w:val="left" w:pos="1181"/>
              </w:tabs>
              <w:autoSpaceDE w:val="0"/>
              <w:autoSpaceDN w:val="0"/>
              <w:spacing w:before="120" w:after="120" w:line="276" w:lineRule="auto"/>
              <w:ind w:left="714" w:hanging="357"/>
              <w:jc w:val="both"/>
              <w:rPr>
                <w:rFonts w:ascii="Verdana" w:hAnsi="Verdana"/>
                <w:lang w:val="es-ES"/>
              </w:rPr>
            </w:pPr>
            <w:r w:rsidRPr="0094448B">
              <w:rPr>
                <w:rFonts w:ascii="Verdana" w:hAnsi="Verdana"/>
                <w:lang w:val="es-ES"/>
              </w:rPr>
              <w:t xml:space="preserve">BARRETO MORENO, Antonio Alejandro. El derecho de la compra pública: estudio jurídico de un mercado imperfecto. Bogotá: Legis, </w:t>
            </w:r>
            <w:r w:rsidRPr="0094448B">
              <w:rPr>
                <w:rFonts w:ascii="Verdana" w:hAnsi="Verdana"/>
                <w:spacing w:val="-2"/>
                <w:lang w:val="es-ES"/>
              </w:rPr>
              <w:t>2019.</w:t>
            </w:r>
          </w:p>
          <w:p w14:paraId="0C05BF9B" w14:textId="77777777" w:rsidR="004C37CC" w:rsidRPr="0094448B" w:rsidRDefault="004C37CC" w:rsidP="009C41F8">
            <w:pPr>
              <w:widowControl w:val="0"/>
              <w:numPr>
                <w:ilvl w:val="0"/>
                <w:numId w:val="34"/>
              </w:numPr>
              <w:tabs>
                <w:tab w:val="left" w:pos="1181"/>
              </w:tabs>
              <w:autoSpaceDE w:val="0"/>
              <w:autoSpaceDN w:val="0"/>
              <w:spacing w:before="120" w:after="120" w:line="276" w:lineRule="auto"/>
              <w:ind w:left="714" w:hanging="357"/>
              <w:jc w:val="both"/>
              <w:rPr>
                <w:rFonts w:ascii="Verdana" w:hAnsi="Verdana"/>
                <w:lang w:val="es-ES"/>
              </w:rPr>
            </w:pPr>
            <w:r w:rsidRPr="0094448B">
              <w:rPr>
                <w:rFonts w:ascii="Verdana" w:hAnsi="Verdana"/>
                <w:lang w:val="es-ES"/>
              </w:rPr>
              <w:t>BETANCUR</w:t>
            </w:r>
            <w:r w:rsidRPr="0094448B">
              <w:rPr>
                <w:rFonts w:ascii="Verdana" w:hAnsi="Verdana"/>
                <w:spacing w:val="80"/>
                <w:lang w:val="es-ES"/>
              </w:rPr>
              <w:t xml:space="preserve"> </w:t>
            </w:r>
            <w:r w:rsidRPr="0094448B">
              <w:rPr>
                <w:rFonts w:ascii="Verdana" w:hAnsi="Verdana"/>
                <w:lang w:val="es-ES"/>
              </w:rPr>
              <w:t>JARAMILLO,</w:t>
            </w:r>
            <w:r w:rsidRPr="0094448B">
              <w:rPr>
                <w:rFonts w:ascii="Verdana" w:hAnsi="Verdana"/>
                <w:spacing w:val="80"/>
                <w:lang w:val="es-ES"/>
              </w:rPr>
              <w:t xml:space="preserve"> </w:t>
            </w:r>
            <w:r w:rsidRPr="0094448B">
              <w:rPr>
                <w:rFonts w:ascii="Verdana" w:hAnsi="Verdana"/>
                <w:lang w:val="es-ES"/>
              </w:rPr>
              <w:t>Carlos.</w:t>
            </w:r>
            <w:r w:rsidRPr="0094448B">
              <w:rPr>
                <w:rFonts w:ascii="Verdana" w:hAnsi="Verdana"/>
                <w:spacing w:val="40"/>
                <w:lang w:val="es-ES"/>
              </w:rPr>
              <w:t xml:space="preserve"> </w:t>
            </w:r>
            <w:r w:rsidRPr="0094448B">
              <w:rPr>
                <w:rFonts w:ascii="Verdana" w:hAnsi="Verdana"/>
                <w:lang w:val="es-ES"/>
              </w:rPr>
              <w:t>Derecho</w:t>
            </w:r>
            <w:r w:rsidRPr="0094448B">
              <w:rPr>
                <w:rFonts w:ascii="Verdana" w:hAnsi="Verdana"/>
                <w:spacing w:val="80"/>
                <w:lang w:val="es-ES"/>
              </w:rPr>
              <w:t xml:space="preserve"> </w:t>
            </w:r>
            <w:r w:rsidRPr="0094448B">
              <w:rPr>
                <w:rFonts w:ascii="Verdana" w:hAnsi="Verdana"/>
                <w:lang w:val="es-ES"/>
              </w:rPr>
              <w:t>procesal</w:t>
            </w:r>
            <w:r w:rsidRPr="0094448B">
              <w:rPr>
                <w:rFonts w:ascii="Verdana" w:hAnsi="Verdana"/>
                <w:spacing w:val="80"/>
                <w:lang w:val="es-ES"/>
              </w:rPr>
              <w:t xml:space="preserve"> </w:t>
            </w:r>
            <w:r w:rsidRPr="0094448B">
              <w:rPr>
                <w:rFonts w:ascii="Verdana" w:hAnsi="Verdana"/>
                <w:lang w:val="es-ES"/>
              </w:rPr>
              <w:t>administrativo. Octava edición. Medellín: Señal Editora, 2013.</w:t>
            </w:r>
          </w:p>
          <w:p w14:paraId="5394586D" w14:textId="77777777" w:rsidR="004C37CC" w:rsidRPr="0094448B" w:rsidRDefault="004C37CC" w:rsidP="009C41F8">
            <w:pPr>
              <w:widowControl w:val="0"/>
              <w:numPr>
                <w:ilvl w:val="0"/>
                <w:numId w:val="34"/>
              </w:numPr>
              <w:tabs>
                <w:tab w:val="left" w:pos="1181"/>
              </w:tabs>
              <w:autoSpaceDE w:val="0"/>
              <w:autoSpaceDN w:val="0"/>
              <w:spacing w:before="120" w:after="120" w:line="276" w:lineRule="auto"/>
              <w:ind w:left="714" w:hanging="357"/>
              <w:jc w:val="both"/>
              <w:rPr>
                <w:rFonts w:ascii="Verdana" w:hAnsi="Verdana"/>
                <w:lang w:val="es-ES"/>
              </w:rPr>
            </w:pPr>
            <w:r w:rsidRPr="0094448B">
              <w:rPr>
                <w:rFonts w:ascii="Verdana" w:hAnsi="Verdana"/>
                <w:lang w:val="es-ES"/>
              </w:rPr>
              <w:t>HINESTROSA FORERO, Fernando. Tratado de las Obligaciones II. De las</w:t>
            </w:r>
            <w:r w:rsidRPr="0094448B">
              <w:rPr>
                <w:rFonts w:ascii="Verdana" w:hAnsi="Verdana"/>
                <w:spacing w:val="-20"/>
                <w:lang w:val="es-ES"/>
              </w:rPr>
              <w:t xml:space="preserve"> </w:t>
            </w:r>
            <w:r w:rsidRPr="0094448B">
              <w:rPr>
                <w:rFonts w:ascii="Verdana" w:hAnsi="Verdana"/>
                <w:lang w:val="es-ES"/>
              </w:rPr>
              <w:t>fuentes</w:t>
            </w:r>
            <w:r w:rsidRPr="0094448B">
              <w:rPr>
                <w:rFonts w:ascii="Verdana" w:hAnsi="Verdana"/>
                <w:spacing w:val="-19"/>
                <w:lang w:val="es-ES"/>
              </w:rPr>
              <w:t xml:space="preserve"> </w:t>
            </w:r>
            <w:r w:rsidRPr="0094448B">
              <w:rPr>
                <w:rFonts w:ascii="Verdana" w:hAnsi="Verdana"/>
                <w:lang w:val="es-ES"/>
              </w:rPr>
              <w:t>de</w:t>
            </w:r>
            <w:r w:rsidRPr="0094448B">
              <w:rPr>
                <w:rFonts w:ascii="Verdana" w:hAnsi="Verdana"/>
                <w:spacing w:val="-19"/>
                <w:lang w:val="es-ES"/>
              </w:rPr>
              <w:t xml:space="preserve"> </w:t>
            </w:r>
            <w:r w:rsidRPr="0094448B">
              <w:rPr>
                <w:rFonts w:ascii="Verdana" w:hAnsi="Verdana"/>
                <w:lang w:val="es-ES"/>
              </w:rPr>
              <w:t>las</w:t>
            </w:r>
            <w:r w:rsidRPr="0094448B">
              <w:rPr>
                <w:rFonts w:ascii="Verdana" w:hAnsi="Verdana"/>
                <w:spacing w:val="-20"/>
                <w:lang w:val="es-ES"/>
              </w:rPr>
              <w:t xml:space="preserve"> </w:t>
            </w:r>
            <w:r w:rsidRPr="0094448B">
              <w:rPr>
                <w:rFonts w:ascii="Verdana" w:hAnsi="Verdana"/>
                <w:lang w:val="es-ES"/>
              </w:rPr>
              <w:t>obligaciones:</w:t>
            </w:r>
            <w:r w:rsidRPr="0094448B">
              <w:rPr>
                <w:rFonts w:ascii="Verdana" w:hAnsi="Verdana"/>
                <w:spacing w:val="-19"/>
                <w:lang w:val="es-ES"/>
              </w:rPr>
              <w:t xml:space="preserve"> </w:t>
            </w:r>
            <w:r w:rsidRPr="0094448B">
              <w:rPr>
                <w:rFonts w:ascii="Verdana" w:hAnsi="Verdana"/>
                <w:lang w:val="es-ES"/>
              </w:rPr>
              <w:t>el</w:t>
            </w:r>
            <w:r w:rsidRPr="0094448B">
              <w:rPr>
                <w:rFonts w:ascii="Verdana" w:hAnsi="Verdana"/>
                <w:spacing w:val="-20"/>
                <w:lang w:val="es-ES"/>
              </w:rPr>
              <w:t xml:space="preserve"> </w:t>
            </w:r>
            <w:r w:rsidRPr="0094448B">
              <w:rPr>
                <w:rFonts w:ascii="Verdana" w:hAnsi="Verdana"/>
                <w:lang w:val="es-ES"/>
              </w:rPr>
              <w:t>negocio</w:t>
            </w:r>
            <w:r w:rsidRPr="0094448B">
              <w:rPr>
                <w:rFonts w:ascii="Verdana" w:hAnsi="Verdana"/>
                <w:spacing w:val="-19"/>
                <w:lang w:val="es-ES"/>
              </w:rPr>
              <w:t xml:space="preserve"> </w:t>
            </w:r>
            <w:r w:rsidRPr="0094448B">
              <w:rPr>
                <w:rFonts w:ascii="Verdana" w:hAnsi="Verdana"/>
                <w:lang w:val="es-ES"/>
              </w:rPr>
              <w:t>jurídico.</w:t>
            </w:r>
            <w:r w:rsidRPr="0094448B">
              <w:rPr>
                <w:rFonts w:ascii="Verdana" w:hAnsi="Verdana"/>
                <w:spacing w:val="-19"/>
                <w:lang w:val="es-ES"/>
              </w:rPr>
              <w:t xml:space="preserve"> </w:t>
            </w:r>
            <w:r w:rsidRPr="0094448B">
              <w:rPr>
                <w:rFonts w:ascii="Verdana" w:hAnsi="Verdana"/>
                <w:lang w:val="es-ES"/>
              </w:rPr>
              <w:t>Volumen</w:t>
            </w:r>
            <w:r w:rsidRPr="0094448B">
              <w:rPr>
                <w:rFonts w:ascii="Verdana" w:hAnsi="Verdana"/>
                <w:spacing w:val="-20"/>
                <w:lang w:val="es-ES"/>
              </w:rPr>
              <w:t xml:space="preserve"> </w:t>
            </w:r>
            <w:r w:rsidRPr="0094448B">
              <w:rPr>
                <w:rFonts w:ascii="Verdana" w:hAnsi="Verdana"/>
                <w:lang w:val="es-ES"/>
              </w:rPr>
              <w:t>I.</w:t>
            </w:r>
            <w:r w:rsidRPr="0094448B">
              <w:rPr>
                <w:rFonts w:ascii="Verdana" w:hAnsi="Verdana"/>
                <w:spacing w:val="-19"/>
                <w:lang w:val="es-ES"/>
              </w:rPr>
              <w:t xml:space="preserve"> </w:t>
            </w:r>
            <w:r w:rsidRPr="0094448B">
              <w:rPr>
                <w:rFonts w:ascii="Verdana" w:hAnsi="Verdana"/>
                <w:lang w:val="es-ES"/>
              </w:rPr>
              <w:t>Bogotá: Universidad Externado de Colombia, 2015.</w:t>
            </w:r>
          </w:p>
          <w:p w14:paraId="7D11337F" w14:textId="77777777" w:rsidR="004C37CC" w:rsidRPr="0094448B" w:rsidRDefault="004C37CC" w:rsidP="009C41F8">
            <w:pPr>
              <w:widowControl w:val="0"/>
              <w:numPr>
                <w:ilvl w:val="0"/>
                <w:numId w:val="34"/>
              </w:numPr>
              <w:tabs>
                <w:tab w:val="left" w:pos="1181"/>
              </w:tabs>
              <w:autoSpaceDE w:val="0"/>
              <w:autoSpaceDN w:val="0"/>
              <w:spacing w:before="120" w:after="120" w:line="276" w:lineRule="auto"/>
              <w:ind w:left="714" w:hanging="357"/>
              <w:jc w:val="both"/>
              <w:rPr>
                <w:rFonts w:ascii="Verdana" w:hAnsi="Verdana"/>
                <w:lang w:val="es-ES"/>
              </w:rPr>
            </w:pPr>
            <w:r w:rsidRPr="0094448B">
              <w:rPr>
                <w:rFonts w:ascii="Verdana" w:hAnsi="Verdana"/>
                <w:lang w:val="es-ES"/>
              </w:rPr>
              <w:t>JOJOA BOLAÑOS, Alexander. Los regímenes exceptuados en los contratos estatales. Bogotá: Grupo Editorial Ibáñez, 2012.</w:t>
            </w:r>
          </w:p>
          <w:p w14:paraId="17F1908A" w14:textId="77777777" w:rsidR="004C37CC" w:rsidRPr="0094448B" w:rsidRDefault="004C37CC" w:rsidP="009C41F8">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94448B">
              <w:rPr>
                <w:rFonts w:ascii="Verdana" w:hAnsi="Verdana"/>
                <w:lang w:val="es-ES"/>
              </w:rPr>
              <w:t>MONTAÑA PLATA, Alberto. Fundamentos de derecho administrativo. Bogotá: Universidad Externado de Colombia, 2010.</w:t>
            </w:r>
          </w:p>
          <w:p w14:paraId="2942CC49" w14:textId="77777777" w:rsidR="004C37CC" w:rsidRPr="0094448B" w:rsidRDefault="004C37CC" w:rsidP="009C41F8">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94448B">
              <w:rPr>
                <w:rFonts w:ascii="Verdana" w:hAnsi="Verdana"/>
                <w:lang w:val="es-ES"/>
              </w:rPr>
              <w:t xml:space="preserve">RINCÓN CÓRDOBA, Jorge Iván. Teoría de la organización administrativa en Colombia, Bogotá: Universidad Externado de Colombia, 2019. </w:t>
            </w:r>
          </w:p>
          <w:p w14:paraId="02A3D14F" w14:textId="77777777" w:rsidR="004C37CC" w:rsidRPr="0094448B" w:rsidRDefault="004C37CC" w:rsidP="009C41F8">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94448B">
              <w:rPr>
                <w:rFonts w:ascii="Verdana" w:hAnsi="Verdana"/>
                <w:spacing w:val="-2"/>
                <w:lang w:val="es-ES"/>
              </w:rPr>
              <w:t>AGENCIA</w:t>
            </w:r>
            <w:r w:rsidRPr="0094448B">
              <w:rPr>
                <w:rFonts w:ascii="Verdana" w:hAnsi="Verdana"/>
                <w:lang w:val="es-ES"/>
              </w:rPr>
              <w:t xml:space="preserve"> </w:t>
            </w:r>
            <w:r w:rsidRPr="0094448B">
              <w:rPr>
                <w:rFonts w:ascii="Verdana" w:hAnsi="Verdana"/>
                <w:spacing w:val="-2"/>
                <w:lang w:val="es-ES"/>
              </w:rPr>
              <w:t>NACIONAL</w:t>
            </w:r>
            <w:r w:rsidRPr="0094448B">
              <w:rPr>
                <w:rFonts w:ascii="Verdana" w:hAnsi="Verdana"/>
                <w:lang w:val="es-ES"/>
              </w:rPr>
              <w:t xml:space="preserve"> </w:t>
            </w:r>
            <w:r w:rsidRPr="0094448B">
              <w:rPr>
                <w:rFonts w:ascii="Verdana" w:hAnsi="Verdana"/>
                <w:spacing w:val="-6"/>
                <w:lang w:val="es-ES"/>
              </w:rPr>
              <w:t>DE</w:t>
            </w:r>
            <w:r w:rsidRPr="0094448B">
              <w:rPr>
                <w:rFonts w:ascii="Verdana" w:hAnsi="Verdana"/>
                <w:lang w:val="es-ES"/>
              </w:rPr>
              <w:t xml:space="preserve"> </w:t>
            </w:r>
            <w:r w:rsidRPr="0094448B">
              <w:rPr>
                <w:rFonts w:ascii="Verdana" w:hAnsi="Verdana"/>
                <w:spacing w:val="-2"/>
                <w:lang w:val="es-ES"/>
              </w:rPr>
              <w:t>CONTRATACIÓN</w:t>
            </w:r>
            <w:r w:rsidRPr="0094448B">
              <w:rPr>
                <w:rFonts w:ascii="Verdana" w:hAnsi="Verdana"/>
                <w:lang w:val="es-ES"/>
              </w:rPr>
              <w:tab/>
            </w:r>
            <w:r w:rsidRPr="0094448B">
              <w:rPr>
                <w:rFonts w:ascii="Verdana" w:hAnsi="Verdana"/>
                <w:spacing w:val="-2"/>
                <w:lang w:val="es-ES"/>
              </w:rPr>
              <w:t>PÚBLICA</w:t>
            </w:r>
            <w:r w:rsidRPr="0094448B">
              <w:rPr>
                <w:rFonts w:ascii="Verdana" w:hAnsi="Verdana"/>
                <w:lang w:val="es-ES"/>
              </w:rPr>
              <w:t xml:space="preserve"> </w:t>
            </w:r>
            <w:r w:rsidRPr="0094448B">
              <w:rPr>
                <w:rFonts w:ascii="Verdana" w:hAnsi="Verdana"/>
                <w:spacing w:val="-2"/>
                <w:lang w:val="es-ES"/>
              </w:rPr>
              <w:t>COLOMBIA</w:t>
            </w:r>
            <w:r w:rsidRPr="0094448B">
              <w:rPr>
                <w:rFonts w:ascii="Verdana" w:hAnsi="Verdana"/>
                <w:lang w:val="es-ES"/>
              </w:rPr>
              <w:tab/>
            </w:r>
            <w:r w:rsidRPr="0094448B">
              <w:rPr>
                <w:rFonts w:ascii="Verdana" w:hAnsi="Verdana"/>
                <w:spacing w:val="-2"/>
                <w:lang w:val="es-ES"/>
              </w:rPr>
              <w:t>COMPRA EFICIENTE.</w:t>
            </w:r>
            <w:r w:rsidRPr="0094448B">
              <w:rPr>
                <w:rFonts w:ascii="Verdana" w:hAnsi="Verdana"/>
                <w:lang w:val="es-ES"/>
              </w:rPr>
              <w:t xml:space="preserve"> </w:t>
            </w:r>
            <w:r w:rsidRPr="0094448B">
              <w:rPr>
                <w:rFonts w:ascii="Verdana" w:hAnsi="Verdana"/>
                <w:spacing w:val="-4"/>
                <w:lang w:val="es-ES"/>
              </w:rPr>
              <w:t>Guía</w:t>
            </w:r>
            <w:r w:rsidRPr="0094448B">
              <w:rPr>
                <w:rFonts w:ascii="Verdana" w:hAnsi="Verdana"/>
                <w:lang w:val="es-ES"/>
              </w:rPr>
              <w:t xml:space="preserve"> </w:t>
            </w:r>
            <w:r w:rsidRPr="0094448B">
              <w:rPr>
                <w:rFonts w:ascii="Verdana" w:hAnsi="Verdana"/>
                <w:spacing w:val="-4"/>
                <w:lang w:val="es-ES"/>
              </w:rPr>
              <w:t>para</w:t>
            </w:r>
            <w:r w:rsidRPr="0094448B">
              <w:rPr>
                <w:rFonts w:ascii="Verdana" w:hAnsi="Verdana"/>
                <w:lang w:val="es-ES"/>
              </w:rPr>
              <w:t xml:space="preserve"> las</w:t>
            </w:r>
            <w:r w:rsidRPr="0094448B">
              <w:rPr>
                <w:rFonts w:ascii="Verdana" w:hAnsi="Verdana"/>
                <w:lang w:val="es-ES"/>
              </w:rPr>
              <w:tab/>
            </w:r>
            <w:r w:rsidRPr="0094448B">
              <w:rPr>
                <w:rFonts w:ascii="Verdana" w:hAnsi="Verdana"/>
                <w:spacing w:val="-2"/>
                <w:lang w:val="es-ES"/>
              </w:rPr>
              <w:t>entidades</w:t>
            </w:r>
            <w:r w:rsidRPr="0094448B">
              <w:rPr>
                <w:rFonts w:ascii="Verdana" w:hAnsi="Verdana"/>
                <w:lang w:val="es-ES"/>
              </w:rPr>
              <w:t xml:space="preserve"> </w:t>
            </w:r>
            <w:r w:rsidRPr="0094448B">
              <w:rPr>
                <w:rFonts w:ascii="Verdana" w:hAnsi="Verdana"/>
                <w:spacing w:val="-4"/>
                <w:lang w:val="es-ES"/>
              </w:rPr>
              <w:t>con</w:t>
            </w:r>
            <w:r w:rsidRPr="0094448B">
              <w:rPr>
                <w:rFonts w:ascii="Verdana" w:hAnsi="Verdana"/>
                <w:lang w:val="es-ES"/>
              </w:rPr>
              <w:t xml:space="preserve"> </w:t>
            </w:r>
            <w:r w:rsidRPr="0094448B">
              <w:rPr>
                <w:rFonts w:ascii="Verdana" w:hAnsi="Verdana"/>
                <w:spacing w:val="-2"/>
                <w:lang w:val="es-ES"/>
              </w:rPr>
              <w:t>régimen</w:t>
            </w:r>
            <w:r w:rsidRPr="0094448B">
              <w:rPr>
                <w:rFonts w:ascii="Verdana" w:hAnsi="Verdana"/>
                <w:lang w:val="es-ES"/>
              </w:rPr>
              <w:t xml:space="preserve"> </w:t>
            </w:r>
            <w:r w:rsidRPr="0094448B">
              <w:rPr>
                <w:rFonts w:ascii="Verdana" w:hAnsi="Verdana"/>
                <w:spacing w:val="-2"/>
                <w:lang w:val="es-ES"/>
              </w:rPr>
              <w:t>especial</w:t>
            </w:r>
            <w:r w:rsidRPr="0094448B">
              <w:rPr>
                <w:rFonts w:ascii="Verdana" w:hAnsi="Verdana"/>
                <w:lang w:val="es-ES"/>
              </w:rPr>
              <w:t xml:space="preserve"> </w:t>
            </w:r>
            <w:r w:rsidRPr="0094448B">
              <w:rPr>
                <w:rFonts w:ascii="Verdana" w:hAnsi="Verdana"/>
                <w:spacing w:val="-6"/>
                <w:lang w:val="es-ES"/>
              </w:rPr>
              <w:t xml:space="preserve">de </w:t>
            </w:r>
            <w:r w:rsidRPr="0094448B">
              <w:rPr>
                <w:rFonts w:ascii="Verdana" w:hAnsi="Verdana"/>
                <w:spacing w:val="-2"/>
                <w:lang w:val="es-ES"/>
              </w:rPr>
              <w:t xml:space="preserve">contratación.  Disponible en línea: </w:t>
            </w:r>
            <w:hyperlink r:id="rId13" w:history="1">
              <w:r w:rsidRPr="0094448B">
                <w:rPr>
                  <w:rFonts w:ascii="Verdana" w:hAnsi="Verdana"/>
                  <w:color w:val="0000FF"/>
                  <w:spacing w:val="-2"/>
                  <w:u w:val="single"/>
                  <w:lang w:val="es-ES"/>
                </w:rPr>
                <w:t>https://www.colombiacompra.gov.co/archivos/manual/guia-para-entidades-estatales-con-regimen-especial-de-contratacion</w:t>
              </w:r>
            </w:hyperlink>
            <w:r w:rsidRPr="0094448B">
              <w:rPr>
                <w:rFonts w:ascii="Verdana" w:hAnsi="Verdana"/>
                <w:spacing w:val="-2"/>
                <w:lang w:val="es-ES"/>
              </w:rPr>
              <w:t xml:space="preserve"> </w:t>
            </w:r>
          </w:p>
          <w:p w14:paraId="61A16D6F" w14:textId="77777777" w:rsidR="004C37CC" w:rsidRPr="0094448B" w:rsidRDefault="004C37CC" w:rsidP="009C41F8">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94448B">
              <w:rPr>
                <w:rFonts w:ascii="Verdana" w:hAnsi="Verdana"/>
                <w:lang w:val="es-ES"/>
              </w:rPr>
              <w:t xml:space="preserve">AGENCIA NACIONAL DE CONTRATACIÓN PÚBLICA –COLOMBIA COMPRA EFICIENTE. Guía de competencia en las compras públicas, 2018. p. 4. Disponible en línea: </w:t>
            </w:r>
            <w:hyperlink r:id="rId14" w:history="1">
              <w:r w:rsidRPr="0094448B">
                <w:rPr>
                  <w:rFonts w:ascii="Verdana" w:hAnsi="Verdana"/>
                  <w:color w:val="0000FF"/>
                  <w:u w:val="single"/>
                  <w:lang w:val="es-ES"/>
                </w:rPr>
                <w:t>https://www.colombiacompra.gov.co/archivos/manual/guia-de-</w:t>
              </w:r>
              <w:r w:rsidRPr="0094448B">
                <w:rPr>
                  <w:rFonts w:ascii="Verdana" w:hAnsi="Verdana"/>
                  <w:color w:val="0000FF"/>
                  <w:u w:val="single"/>
                  <w:lang w:val="es-ES"/>
                </w:rPr>
                <w:lastRenderedPageBreak/>
                <w:t>competencia-en-las-compras-publicas</w:t>
              </w:r>
            </w:hyperlink>
            <w:r w:rsidRPr="0094448B">
              <w:rPr>
                <w:rFonts w:ascii="Verdana" w:hAnsi="Verdana"/>
                <w:lang w:val="es-ES"/>
              </w:rPr>
              <w:t xml:space="preserve"> </w:t>
            </w:r>
          </w:p>
        </w:tc>
      </w:tr>
    </w:tbl>
    <w:p w14:paraId="7E68A96B" w14:textId="77777777" w:rsidR="004C37CC" w:rsidRPr="0094448B" w:rsidRDefault="004C37CC" w:rsidP="004C37CC">
      <w:pPr>
        <w:spacing w:after="0" w:line="276" w:lineRule="auto"/>
        <w:ind w:right="709"/>
        <w:jc w:val="both"/>
        <w:rPr>
          <w:rFonts w:ascii="Verdana" w:hAnsi="Verdana" w:cs="Arial"/>
          <w:color w:val="000000" w:themeColor="text1"/>
        </w:rPr>
      </w:pPr>
    </w:p>
    <w:p w14:paraId="1038756B" w14:textId="77777777" w:rsidR="004C37CC" w:rsidRPr="0094448B" w:rsidRDefault="004C37CC" w:rsidP="004C37CC">
      <w:pPr>
        <w:numPr>
          <w:ilvl w:val="0"/>
          <w:numId w:val="19"/>
        </w:numPr>
        <w:spacing w:after="0" w:line="256" w:lineRule="auto"/>
        <w:rPr>
          <w:rFonts w:ascii="Verdana" w:eastAsia="Calibri" w:hAnsi="Verdana" w:cs="Times New Roman"/>
          <w:b/>
          <w:bCs/>
          <w:lang w:val="es-ES"/>
        </w:rPr>
      </w:pPr>
      <w:r w:rsidRPr="0094448B">
        <w:rPr>
          <w:rFonts w:ascii="Verdana" w:eastAsia="Calibri" w:hAnsi="Verdana" w:cs="Times New Roman"/>
          <w:b/>
          <w:bCs/>
          <w:lang w:val="es-ES"/>
        </w:rPr>
        <w:t>Doctrina de la Agencia Nacional de Contratación Pública:</w:t>
      </w:r>
    </w:p>
    <w:p w14:paraId="60FD53F9" w14:textId="77777777" w:rsidR="004C37CC" w:rsidRPr="0094448B" w:rsidRDefault="004C37CC" w:rsidP="004C37CC">
      <w:pPr>
        <w:widowControl w:val="0"/>
        <w:autoSpaceDE w:val="0"/>
        <w:autoSpaceDN w:val="0"/>
        <w:spacing w:after="0" w:line="276" w:lineRule="auto"/>
        <w:jc w:val="both"/>
        <w:rPr>
          <w:rFonts w:ascii="Verdana" w:hAnsi="Verdana" w:cs="Arial"/>
          <w:bCs/>
          <w:shd w:val="clear" w:color="auto" w:fill="FFFFFF"/>
        </w:rPr>
      </w:pPr>
    </w:p>
    <w:p w14:paraId="718B69F2" w14:textId="77777777" w:rsidR="004C37CC" w:rsidRPr="0094448B" w:rsidRDefault="004C37CC" w:rsidP="004C37CC">
      <w:pPr>
        <w:widowControl w:val="0"/>
        <w:autoSpaceDE w:val="0"/>
        <w:autoSpaceDN w:val="0"/>
        <w:spacing w:after="0" w:line="276" w:lineRule="auto"/>
        <w:jc w:val="both"/>
        <w:rPr>
          <w:rFonts w:ascii="Verdana" w:eastAsia="Calibri" w:hAnsi="Verdana" w:cs="Times New Roman"/>
        </w:rPr>
      </w:pPr>
      <w:r w:rsidRPr="0094448B">
        <w:rPr>
          <w:rFonts w:ascii="Verdana" w:hAnsi="Verdana" w:cs="Arial"/>
          <w:bCs/>
          <w:shd w:val="clear" w:color="auto" w:fill="FFFFFF"/>
        </w:rPr>
        <w:t xml:space="preserve">La Agencia Nacional de Contratación Pública – Colombia Compra Eficiente, ha expedido los siguientes conceptos sobre entidades de régimen especial: </w:t>
      </w:r>
      <w:r w:rsidRPr="0094448B">
        <w:rPr>
          <w:rFonts w:ascii="Verdana" w:hAnsi="Verdana"/>
          <w:bCs/>
          <w:shd w:val="clear" w:color="auto" w:fill="FFFFFF"/>
          <w:lang w:val="es-ES"/>
        </w:rPr>
        <w:t>C-147 del 17 de marzo de 2020, C-157 del 17 de marzo de 2020, C-191 del 16 de marzo de 2020 y C-168 del 31 de marzo de 2020, C-</w:t>
      </w:r>
      <w:r w:rsidRPr="0094448B">
        <w:rPr>
          <w:rFonts w:ascii="Verdana" w:hAnsi="Verdana" w:cs="Arial"/>
          <w:bCs/>
          <w:shd w:val="clear" w:color="auto" w:fill="FFFFFF"/>
        </w:rPr>
        <w:t xml:space="preserve">158 del 3 de abril de 2020, C-362 del 2 de julio de 2020, C-458 del 13 de mayo de 2022, C-717 del 21 de enero de 2022, C-004 del 22 de enero de 2024, C-459 del 18 de septiembre de 2024 y C – 863 de 17 de diciembre de 2024, C-775 del 25 de julio de 2025, entre otros. En todo caso, este concepto atiende nuevas ideas en torno a los municipios como prestadores directos de servicios públicos domiciliarios. </w:t>
      </w:r>
      <w:r w:rsidRPr="0094448B">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C6C57BD" w14:textId="77777777" w:rsidR="004C37CC" w:rsidRPr="0094448B" w:rsidRDefault="004C37CC" w:rsidP="004C37CC">
      <w:pPr>
        <w:spacing w:after="0" w:line="256" w:lineRule="auto"/>
        <w:jc w:val="both"/>
        <w:rPr>
          <w:rFonts w:ascii="Verdana" w:eastAsia="Calibri" w:hAnsi="Verdana" w:cs="Times New Roman"/>
        </w:rPr>
      </w:pPr>
      <w:hyperlink r:id="rId15" w:history="1">
        <w:r w:rsidRPr="0094448B">
          <w:rPr>
            <w:rFonts w:ascii="Verdana" w:eastAsia="Calibri" w:hAnsi="Verdana" w:cs="Times New Roman"/>
            <w:color w:val="0000FF"/>
            <w:u w:val="single"/>
            <w:lang w:val="es-ES"/>
          </w:rPr>
          <w:t>https://relatoria.colombiacompra.gov.co/busqueda/conceptos</w:t>
        </w:r>
      </w:hyperlink>
      <w:r w:rsidRPr="0094448B">
        <w:rPr>
          <w:rFonts w:ascii="Verdana" w:eastAsia="Calibri" w:hAnsi="Verdana" w:cs="Times New Roman"/>
        </w:rPr>
        <w:t xml:space="preserve">. </w:t>
      </w:r>
    </w:p>
    <w:p w14:paraId="336E93A6" w14:textId="77777777" w:rsidR="004C37CC" w:rsidRPr="0094448B" w:rsidRDefault="004C37CC" w:rsidP="004C37CC">
      <w:pPr>
        <w:spacing w:after="0" w:line="256" w:lineRule="auto"/>
        <w:jc w:val="both"/>
        <w:rPr>
          <w:rFonts w:ascii="Verdana" w:eastAsia="Calibri" w:hAnsi="Verdana" w:cs="Times New Roman"/>
        </w:rPr>
      </w:pPr>
    </w:p>
    <w:p w14:paraId="342324AB" w14:textId="77777777" w:rsidR="004C37CC" w:rsidRPr="0094448B" w:rsidRDefault="004C37CC" w:rsidP="004C37CC">
      <w:pPr>
        <w:spacing w:after="0" w:line="256" w:lineRule="auto"/>
        <w:jc w:val="both"/>
        <w:rPr>
          <w:rFonts w:ascii="Verdana" w:eastAsia="Calibri" w:hAnsi="Verdana" w:cs="Times New Roman"/>
        </w:rPr>
      </w:pPr>
      <w:r w:rsidRPr="0094448B">
        <w:rPr>
          <w:rFonts w:ascii="Verdana" w:eastAsia="Calibri" w:hAnsi="Verdana" w:cs="Times New Roman"/>
        </w:rPr>
        <w:t xml:space="preserve">Te informamos que ya se encuentra disponible la </w:t>
      </w:r>
      <w:r w:rsidRPr="0094448B">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94448B">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94448B">
        <w:rPr>
          <w:rFonts w:ascii="Verdana" w:eastAsia="Calibri" w:hAnsi="Verdana" w:cs="Times New Roman"/>
        </w:rPr>
        <w:t>Wayúu</w:t>
      </w:r>
      <w:proofErr w:type="spellEnd"/>
      <w:r w:rsidRPr="0094448B">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43427409" w14:textId="77777777" w:rsidR="004C37CC" w:rsidRPr="0094448B" w:rsidRDefault="004C37CC" w:rsidP="004C37CC">
      <w:pPr>
        <w:spacing w:after="0"/>
        <w:jc w:val="both"/>
        <w:rPr>
          <w:rFonts w:ascii="Verdana" w:hAnsi="Verdana"/>
        </w:rPr>
      </w:pPr>
    </w:p>
    <w:p w14:paraId="676A54C9" w14:textId="77777777" w:rsidR="004C37CC" w:rsidRPr="0094448B" w:rsidRDefault="004C37CC" w:rsidP="004C37CC">
      <w:pPr>
        <w:spacing w:after="0"/>
        <w:jc w:val="both"/>
        <w:rPr>
          <w:rFonts w:ascii="Verdana" w:hAnsi="Verdana"/>
        </w:rPr>
      </w:pPr>
      <w:r w:rsidRPr="0094448B">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54382DA" w14:textId="77777777" w:rsidR="004C37CC" w:rsidRPr="0094448B" w:rsidRDefault="004C37CC" w:rsidP="004C37CC">
      <w:pPr>
        <w:spacing w:after="0" w:line="240" w:lineRule="auto"/>
        <w:jc w:val="both"/>
        <w:rPr>
          <w:rFonts w:ascii="Verdana" w:hAnsi="Verdana"/>
        </w:rPr>
      </w:pPr>
    </w:p>
    <w:p w14:paraId="39FFCB40" w14:textId="77777777" w:rsidR="004C37CC" w:rsidRPr="0094448B" w:rsidRDefault="004C37CC" w:rsidP="004C37CC">
      <w:pPr>
        <w:numPr>
          <w:ilvl w:val="0"/>
          <w:numId w:val="15"/>
        </w:numPr>
        <w:spacing w:after="0" w:line="240" w:lineRule="auto"/>
        <w:contextualSpacing/>
        <w:jc w:val="both"/>
        <w:rPr>
          <w:rFonts w:ascii="Verdana" w:hAnsi="Verdana"/>
          <w:lang w:val="es-ES"/>
        </w:rPr>
      </w:pPr>
      <w:r w:rsidRPr="0094448B">
        <w:rPr>
          <w:rFonts w:ascii="Verdana" w:hAnsi="Verdana"/>
          <w:lang w:val="es-ES"/>
        </w:rPr>
        <w:lastRenderedPageBreak/>
        <w:t>Línea nacional gratuita o servicio a la ciudadanía: 01800 0520808</w:t>
      </w:r>
    </w:p>
    <w:p w14:paraId="25251903" w14:textId="77777777" w:rsidR="004C37CC" w:rsidRPr="0094448B" w:rsidRDefault="004C37CC" w:rsidP="004C37CC">
      <w:pPr>
        <w:numPr>
          <w:ilvl w:val="0"/>
          <w:numId w:val="15"/>
        </w:numPr>
        <w:spacing w:after="0" w:line="240" w:lineRule="auto"/>
        <w:contextualSpacing/>
        <w:jc w:val="both"/>
        <w:rPr>
          <w:rFonts w:ascii="Verdana" w:hAnsi="Verdana"/>
          <w:lang w:val="es-ES"/>
        </w:rPr>
      </w:pPr>
      <w:r w:rsidRPr="0094448B">
        <w:rPr>
          <w:rFonts w:ascii="Verdana" w:hAnsi="Verdana"/>
          <w:lang w:val="es-ES"/>
        </w:rPr>
        <w:t>Línea en Bogotá (Mesa de servicio): +57 601 7456788</w:t>
      </w:r>
    </w:p>
    <w:p w14:paraId="1B3D5BDD" w14:textId="77777777" w:rsidR="004C37CC" w:rsidRPr="0094448B" w:rsidRDefault="004C37CC" w:rsidP="004C37CC">
      <w:pPr>
        <w:numPr>
          <w:ilvl w:val="0"/>
          <w:numId w:val="15"/>
        </w:numPr>
        <w:spacing w:after="0" w:line="240" w:lineRule="auto"/>
        <w:contextualSpacing/>
        <w:jc w:val="both"/>
        <w:rPr>
          <w:rFonts w:ascii="Verdana" w:hAnsi="Verdana"/>
          <w:lang w:val="es-ES"/>
        </w:rPr>
      </w:pPr>
      <w:r w:rsidRPr="0094448B">
        <w:rPr>
          <w:rFonts w:ascii="Verdana" w:hAnsi="Verdana"/>
          <w:lang w:val="es-ES"/>
        </w:rPr>
        <w:t>Línea de servicio y atención al ciudadano: +57 601 7956600</w:t>
      </w:r>
    </w:p>
    <w:p w14:paraId="1BF9E39C" w14:textId="77777777" w:rsidR="004C37CC" w:rsidRPr="0094448B" w:rsidRDefault="004C37CC" w:rsidP="004C37CC">
      <w:pPr>
        <w:numPr>
          <w:ilvl w:val="0"/>
          <w:numId w:val="15"/>
        </w:numPr>
        <w:spacing w:after="0" w:line="240" w:lineRule="auto"/>
        <w:contextualSpacing/>
        <w:jc w:val="both"/>
        <w:rPr>
          <w:rFonts w:ascii="Verdana" w:hAnsi="Verdana"/>
          <w:lang w:val="es-ES"/>
        </w:rPr>
      </w:pPr>
      <w:r w:rsidRPr="0094448B">
        <w:rPr>
          <w:rFonts w:ascii="Verdana" w:hAnsi="Verdana"/>
          <w:lang w:val="es-ES"/>
        </w:rPr>
        <w:t xml:space="preserve">Página web: </w:t>
      </w:r>
      <w:hyperlink r:id="rId16" w:history="1">
        <w:r w:rsidRPr="0094448B">
          <w:rPr>
            <w:rFonts w:ascii="Verdana" w:hAnsi="Verdana"/>
            <w:color w:val="0000FF"/>
            <w:u w:val="single"/>
            <w:lang w:val="es-ES"/>
          </w:rPr>
          <w:t>www.colombiacompra.gov.co</w:t>
        </w:r>
      </w:hyperlink>
    </w:p>
    <w:p w14:paraId="5C9DA599" w14:textId="77777777" w:rsidR="004C37CC" w:rsidRPr="0094448B" w:rsidRDefault="004C37CC" w:rsidP="004C37CC">
      <w:pPr>
        <w:spacing w:after="0" w:line="240" w:lineRule="auto"/>
        <w:ind w:left="785"/>
        <w:contextualSpacing/>
        <w:jc w:val="both"/>
        <w:rPr>
          <w:rFonts w:ascii="Verdana" w:hAnsi="Verdana"/>
          <w:lang w:val="es-ES"/>
        </w:rPr>
      </w:pPr>
    </w:p>
    <w:p w14:paraId="26E6B4D4" w14:textId="77777777" w:rsidR="004C37CC" w:rsidRPr="0094448B" w:rsidRDefault="004C37CC" w:rsidP="004C37CC">
      <w:pPr>
        <w:spacing w:after="0" w:line="240" w:lineRule="auto"/>
        <w:jc w:val="both"/>
        <w:rPr>
          <w:rFonts w:ascii="Verdana" w:hAnsi="Verdana"/>
        </w:rPr>
      </w:pPr>
      <w:r w:rsidRPr="0094448B">
        <w:rPr>
          <w:rFonts w:ascii="Verdana" w:hAnsi="Verdana"/>
        </w:rPr>
        <w:t xml:space="preserve">Por último, lo invitamos a seguirnos en las redes sociales en las cuales se difunde información institucional: </w:t>
      </w:r>
    </w:p>
    <w:p w14:paraId="7BB3DF1C" w14:textId="77777777" w:rsidR="004C37CC" w:rsidRPr="0094448B" w:rsidRDefault="004C37CC" w:rsidP="004C37CC">
      <w:pPr>
        <w:spacing w:after="0" w:line="240" w:lineRule="auto"/>
        <w:jc w:val="both"/>
        <w:rPr>
          <w:rFonts w:ascii="Verdana" w:hAnsi="Verdana"/>
        </w:rPr>
      </w:pPr>
    </w:p>
    <w:p w14:paraId="3E833AEB" w14:textId="77777777" w:rsidR="004C37CC" w:rsidRPr="0094448B" w:rsidRDefault="004C37CC" w:rsidP="004C37CC">
      <w:pPr>
        <w:spacing w:after="0" w:line="240" w:lineRule="auto"/>
        <w:jc w:val="both"/>
        <w:rPr>
          <w:rFonts w:ascii="Verdana" w:hAnsi="Verdana"/>
        </w:rPr>
      </w:pPr>
      <w:r w:rsidRPr="0094448B">
        <w:rPr>
          <w:rFonts w:ascii="Verdana" w:hAnsi="Verdana"/>
        </w:rPr>
        <w:t xml:space="preserve">Twitter: </w:t>
      </w:r>
      <w:r w:rsidRPr="0094448B">
        <w:rPr>
          <w:rFonts w:ascii="Verdana" w:hAnsi="Verdana"/>
          <w:color w:val="0000FF"/>
          <w:u w:val="single"/>
        </w:rPr>
        <w:t>@colombiacompra</w:t>
      </w:r>
      <w:r w:rsidRPr="0094448B">
        <w:rPr>
          <w:rFonts w:ascii="Verdana" w:hAnsi="Verdana"/>
        </w:rPr>
        <w:t xml:space="preserve"> </w:t>
      </w:r>
    </w:p>
    <w:p w14:paraId="4B782C0D" w14:textId="77777777" w:rsidR="004C37CC" w:rsidRPr="0094448B" w:rsidRDefault="004C37CC" w:rsidP="004C37CC">
      <w:pPr>
        <w:spacing w:after="0" w:line="240" w:lineRule="auto"/>
        <w:jc w:val="both"/>
        <w:rPr>
          <w:rFonts w:ascii="Verdana" w:hAnsi="Verdana"/>
        </w:rPr>
      </w:pPr>
      <w:r w:rsidRPr="0094448B">
        <w:rPr>
          <w:rFonts w:ascii="Verdana" w:hAnsi="Verdana"/>
        </w:rPr>
        <w:t xml:space="preserve">Facebook: </w:t>
      </w:r>
      <w:proofErr w:type="spellStart"/>
      <w:r w:rsidRPr="0094448B">
        <w:rPr>
          <w:rFonts w:ascii="Verdana" w:hAnsi="Verdana"/>
          <w:color w:val="0000FF"/>
          <w:u w:val="single"/>
        </w:rPr>
        <w:t>ColombiaCompraEficiente</w:t>
      </w:r>
      <w:proofErr w:type="spellEnd"/>
    </w:p>
    <w:p w14:paraId="5C3ED107" w14:textId="77777777" w:rsidR="004C37CC" w:rsidRPr="0094448B" w:rsidRDefault="004C37CC" w:rsidP="004C37CC">
      <w:pPr>
        <w:spacing w:after="0" w:line="240" w:lineRule="auto"/>
        <w:jc w:val="both"/>
        <w:rPr>
          <w:rFonts w:ascii="Verdana" w:hAnsi="Verdana"/>
        </w:rPr>
      </w:pPr>
      <w:r w:rsidRPr="0094448B">
        <w:rPr>
          <w:rFonts w:ascii="Verdana" w:hAnsi="Verdana"/>
        </w:rPr>
        <w:t xml:space="preserve">LinkedIn: </w:t>
      </w:r>
      <w:r w:rsidRPr="0094448B">
        <w:rPr>
          <w:rFonts w:ascii="Verdana" w:hAnsi="Verdana"/>
          <w:color w:val="0000FF"/>
          <w:u w:val="single"/>
        </w:rPr>
        <w:t>Agencia Nacional de Contratación Pública - Colombia Compra Eficiente</w:t>
      </w:r>
      <w:r w:rsidRPr="0094448B">
        <w:rPr>
          <w:rFonts w:ascii="Verdana" w:hAnsi="Verdana"/>
        </w:rPr>
        <w:t xml:space="preserve"> Instagram: </w:t>
      </w:r>
      <w:r w:rsidRPr="0094448B">
        <w:rPr>
          <w:rFonts w:ascii="Verdana" w:hAnsi="Verdana"/>
          <w:color w:val="0000FF"/>
          <w:u w:val="single"/>
        </w:rPr>
        <w:t>@colombiacompraeficiente_cce</w:t>
      </w:r>
    </w:p>
    <w:p w14:paraId="70E5DF5E" w14:textId="77777777" w:rsidR="004C37CC" w:rsidRPr="0094448B" w:rsidRDefault="004C37CC" w:rsidP="004C37CC">
      <w:pPr>
        <w:spacing w:after="0" w:line="240" w:lineRule="auto"/>
        <w:jc w:val="both"/>
        <w:rPr>
          <w:rFonts w:ascii="Verdana" w:hAnsi="Verdana"/>
        </w:rPr>
      </w:pPr>
    </w:p>
    <w:p w14:paraId="3DB71395" w14:textId="77777777" w:rsidR="004C37CC" w:rsidRPr="0094448B" w:rsidRDefault="004C37CC" w:rsidP="004C37CC">
      <w:pPr>
        <w:spacing w:after="0" w:line="256" w:lineRule="auto"/>
        <w:jc w:val="both"/>
        <w:rPr>
          <w:rFonts w:ascii="Verdana" w:eastAsia="Calibri" w:hAnsi="Verdana" w:cs="Times New Roman"/>
          <w:bCs/>
          <w:lang w:val="es-ES_tradnl"/>
        </w:rPr>
      </w:pPr>
      <w:r w:rsidRPr="0094448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3770D7A" w14:textId="77777777" w:rsidR="004C37CC" w:rsidRPr="0094448B" w:rsidRDefault="004C37CC" w:rsidP="004C37CC">
      <w:pPr>
        <w:spacing w:after="0" w:line="256" w:lineRule="auto"/>
        <w:jc w:val="both"/>
        <w:rPr>
          <w:rFonts w:ascii="Verdana" w:eastAsia="Calibri" w:hAnsi="Verdana" w:cs="Times New Roman"/>
        </w:rPr>
      </w:pPr>
    </w:p>
    <w:p w14:paraId="794CCCB2" w14:textId="77777777" w:rsidR="004C37CC" w:rsidRPr="0094448B" w:rsidRDefault="004C37CC" w:rsidP="004C37CC">
      <w:pPr>
        <w:spacing w:after="0" w:line="256" w:lineRule="auto"/>
        <w:jc w:val="both"/>
        <w:rPr>
          <w:rFonts w:ascii="Verdana" w:eastAsia="Calibri" w:hAnsi="Verdana" w:cs="Times New Roman"/>
        </w:rPr>
      </w:pPr>
      <w:r w:rsidRPr="0094448B">
        <w:rPr>
          <w:rFonts w:ascii="Verdana" w:eastAsia="Calibri" w:hAnsi="Verdana" w:cs="Times New Roman"/>
        </w:rPr>
        <w:t>Atentamente,</w:t>
      </w:r>
    </w:p>
    <w:p w14:paraId="1255BE88" w14:textId="5241A656" w:rsidR="004C37CC" w:rsidRDefault="004C37CC" w:rsidP="004C37CC">
      <w:pPr>
        <w:spacing w:after="0" w:line="256" w:lineRule="auto"/>
        <w:jc w:val="center"/>
        <w:rPr>
          <w:noProof/>
          <w:lang w:val="en-US"/>
        </w:rPr>
      </w:pPr>
    </w:p>
    <w:p w14:paraId="3B970DC7" w14:textId="000B915F" w:rsidR="000F1C56" w:rsidRDefault="000F1C56" w:rsidP="004C37CC">
      <w:pPr>
        <w:spacing w:after="0" w:line="256" w:lineRule="auto"/>
        <w:jc w:val="center"/>
        <w:rPr>
          <w:noProof/>
          <w:lang w:val="en-US"/>
        </w:rPr>
      </w:pPr>
      <w:r w:rsidRPr="002C3AD6">
        <w:rPr>
          <w:rFonts w:ascii="Century Gothic" w:hAnsi="Century Gothic"/>
          <w:noProof/>
          <w:lang w:val="en-US"/>
        </w:rPr>
        <w:drawing>
          <wp:inline distT="0" distB="0" distL="0" distR="0" wp14:anchorId="56D48D07" wp14:editId="33332322">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312722" cy="1229722"/>
                    </a:xfrm>
                    <a:prstGeom prst="rect">
                      <a:avLst/>
                    </a:prstGeom>
                  </pic:spPr>
                </pic:pic>
              </a:graphicData>
            </a:graphic>
          </wp:inline>
        </w:drawing>
      </w:r>
    </w:p>
    <w:p w14:paraId="6B7894B2" w14:textId="77777777" w:rsidR="000F1C56" w:rsidRPr="0094448B" w:rsidRDefault="000F1C56" w:rsidP="004C37CC">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C37CC" w:rsidRPr="0094448B" w14:paraId="6786D538" w14:textId="77777777" w:rsidTr="009C41F8">
        <w:trPr>
          <w:trHeight w:val="409"/>
        </w:trPr>
        <w:tc>
          <w:tcPr>
            <w:tcW w:w="817" w:type="dxa"/>
            <w:tcBorders>
              <w:top w:val="nil"/>
              <w:left w:val="nil"/>
              <w:bottom w:val="nil"/>
              <w:right w:val="nil"/>
            </w:tcBorders>
            <w:vAlign w:val="center"/>
            <w:hideMark/>
          </w:tcPr>
          <w:p w14:paraId="7E7B103D"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22AF423"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José Luis Sánchez Cardona</w:t>
            </w:r>
          </w:p>
          <w:p w14:paraId="54E4C5D8"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Contratista de la Subdirección de Gestión Contractual</w:t>
            </w:r>
          </w:p>
        </w:tc>
      </w:tr>
      <w:tr w:rsidR="004C37CC" w:rsidRPr="0094448B" w14:paraId="37A334DD" w14:textId="77777777" w:rsidTr="009C41F8">
        <w:trPr>
          <w:trHeight w:val="409"/>
        </w:trPr>
        <w:tc>
          <w:tcPr>
            <w:tcW w:w="817" w:type="dxa"/>
            <w:tcBorders>
              <w:top w:val="nil"/>
              <w:left w:val="nil"/>
              <w:bottom w:val="nil"/>
              <w:right w:val="nil"/>
            </w:tcBorders>
            <w:vAlign w:val="center"/>
            <w:hideMark/>
          </w:tcPr>
          <w:p w14:paraId="3AAEB8CF"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BF4B384"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Alejandro Sarmiento Cantillo</w:t>
            </w:r>
          </w:p>
          <w:p w14:paraId="5597B262"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Gestor T1-15 de la Subdirección de Gestión Contractual </w:t>
            </w:r>
          </w:p>
        </w:tc>
      </w:tr>
      <w:tr w:rsidR="004C37CC" w:rsidRPr="0094448B" w14:paraId="72D3C0F6" w14:textId="77777777" w:rsidTr="009C41F8">
        <w:trPr>
          <w:trHeight w:val="389"/>
        </w:trPr>
        <w:tc>
          <w:tcPr>
            <w:tcW w:w="817" w:type="dxa"/>
            <w:tcBorders>
              <w:top w:val="nil"/>
              <w:left w:val="nil"/>
              <w:bottom w:val="nil"/>
              <w:right w:val="nil"/>
            </w:tcBorders>
            <w:vAlign w:val="center"/>
            <w:hideMark/>
          </w:tcPr>
          <w:p w14:paraId="0B2FE545"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77B3985"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 xml:space="preserve">Carolina Quintero </w:t>
            </w:r>
            <w:proofErr w:type="spellStart"/>
            <w:r w:rsidRPr="0094448B">
              <w:rPr>
                <w:rFonts w:ascii="Verdana" w:eastAsia="Calibri" w:hAnsi="Verdana" w:cs="Times New Roman"/>
                <w:sz w:val="16"/>
                <w:szCs w:val="16"/>
              </w:rPr>
              <w:t>Gacharná</w:t>
            </w:r>
            <w:proofErr w:type="spellEnd"/>
          </w:p>
          <w:p w14:paraId="5D5A78A9" w14:textId="77777777" w:rsidR="004C37CC" w:rsidRPr="0094448B" w:rsidRDefault="004C37CC" w:rsidP="009C41F8">
            <w:pPr>
              <w:spacing w:after="0" w:line="256" w:lineRule="auto"/>
              <w:rPr>
                <w:rFonts w:ascii="Verdana" w:eastAsia="Calibri" w:hAnsi="Verdana" w:cs="Times New Roman"/>
                <w:sz w:val="16"/>
                <w:szCs w:val="16"/>
              </w:rPr>
            </w:pPr>
            <w:r w:rsidRPr="0094448B">
              <w:rPr>
                <w:rFonts w:ascii="Verdana" w:eastAsia="Calibri" w:hAnsi="Verdana" w:cs="Times New Roman"/>
                <w:sz w:val="16"/>
                <w:szCs w:val="16"/>
              </w:rPr>
              <w:t>Subdirectora de Gestión Contractual ANCP – CCE</w:t>
            </w:r>
          </w:p>
        </w:tc>
      </w:tr>
      <w:bookmarkEnd w:id="0"/>
    </w:tbl>
    <w:p w14:paraId="409E87D7" w14:textId="77777777" w:rsidR="004C37CC" w:rsidRPr="0044528D" w:rsidRDefault="004C37CC" w:rsidP="004C37CC">
      <w:pPr>
        <w:spacing w:after="0" w:line="240" w:lineRule="auto"/>
        <w:textAlignment w:val="baseline"/>
        <w:rPr>
          <w:rFonts w:ascii="Verdana" w:eastAsia="Times New Roman" w:hAnsi="Verdana" w:cs="Segoe UI"/>
          <w:b/>
          <w:bCs/>
          <w:color w:val="46589C"/>
          <w:lang w:val="es-ES" w:eastAsia="es-CO"/>
        </w:rPr>
      </w:pPr>
    </w:p>
    <w:p w14:paraId="549C8A29" w14:textId="77777777" w:rsidR="007B5D8B" w:rsidRPr="004C37CC" w:rsidRDefault="007B5D8B" w:rsidP="004C37CC">
      <w:pPr>
        <w:rPr>
          <w:lang w:val="es-ES"/>
        </w:rPr>
      </w:pPr>
    </w:p>
    <w:sectPr w:rsidR="007B5D8B" w:rsidRPr="004C37C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F35EF" w14:textId="77777777" w:rsidR="0002077F" w:rsidRDefault="0002077F" w:rsidP="004A1847">
      <w:pPr>
        <w:spacing w:after="0" w:line="240" w:lineRule="auto"/>
      </w:pPr>
      <w:r>
        <w:separator/>
      </w:r>
    </w:p>
  </w:endnote>
  <w:endnote w:type="continuationSeparator" w:id="0">
    <w:p w14:paraId="538AF642" w14:textId="77777777" w:rsidR="0002077F" w:rsidRDefault="0002077F" w:rsidP="004A1847">
      <w:pPr>
        <w:spacing w:after="0" w:line="240" w:lineRule="auto"/>
      </w:pPr>
      <w:r>
        <w:continuationSeparator/>
      </w:r>
    </w:p>
  </w:endnote>
  <w:endnote w:type="continuationNotice" w:id="1">
    <w:p w14:paraId="0AE5AD32" w14:textId="77777777" w:rsidR="0002077F" w:rsidRDefault="000207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EC0E3F" w:rsidRDefault="00EC0E3F">
    <w:pPr>
      <w:pStyle w:val="Piedepgina"/>
    </w:pPr>
  </w:p>
  <w:p w14:paraId="594D6D9F" w14:textId="0A70236F" w:rsidR="00EC0E3F" w:rsidRPr="00174B77" w:rsidRDefault="00EC0E3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D2400">
      <w:rPr>
        <w:rFonts w:ascii="Verdana" w:eastAsia="MS Gothic" w:hAnsi="Verdana" w:cs="Times New Roman"/>
        <w:b/>
        <w:bCs/>
        <w:sz w:val="16"/>
        <w:szCs w:val="16"/>
        <w:lang w:val="es-ES"/>
      </w:rPr>
      <w:t xml:space="preserve">pág. </w:t>
    </w:r>
    <w:r w:rsidRPr="00FD2400">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FD2400">
      <w:rPr>
        <w:rFonts w:ascii="Verdana" w:eastAsia="MS Mincho" w:hAnsi="Verdana"/>
        <w:b/>
        <w:bCs/>
        <w:sz w:val="16"/>
        <w:szCs w:val="16"/>
      </w:rPr>
      <w:fldChar w:fldCharType="separate"/>
    </w:r>
    <w:r w:rsidR="0002470C" w:rsidRPr="0002470C">
      <w:rPr>
        <w:rFonts w:ascii="Verdana" w:eastAsia="MS Mincho" w:hAnsi="Verdana"/>
        <w:b/>
        <w:bCs/>
        <w:noProof/>
        <w:sz w:val="16"/>
        <w:szCs w:val="16"/>
      </w:rPr>
      <w:t>1</w:t>
    </w:r>
    <w:r w:rsidRPr="00FD2400">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EC0E3F" w:rsidRDefault="00EC0E3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EC0E3F" w:rsidRPr="00E41027" w:rsidRDefault="00EC0E3F"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EC0E3F" w:rsidRDefault="00EC0E3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8DE7" w14:textId="77777777" w:rsidR="0002077F" w:rsidRDefault="0002077F" w:rsidP="004A1847">
      <w:pPr>
        <w:spacing w:after="0" w:line="240" w:lineRule="auto"/>
      </w:pPr>
      <w:r>
        <w:separator/>
      </w:r>
    </w:p>
  </w:footnote>
  <w:footnote w:type="continuationSeparator" w:id="0">
    <w:p w14:paraId="1ADBE4C3" w14:textId="77777777" w:rsidR="0002077F" w:rsidRDefault="0002077F" w:rsidP="004A1847">
      <w:pPr>
        <w:spacing w:after="0" w:line="240" w:lineRule="auto"/>
      </w:pPr>
      <w:r>
        <w:continuationSeparator/>
      </w:r>
    </w:p>
  </w:footnote>
  <w:footnote w:type="continuationNotice" w:id="1">
    <w:p w14:paraId="3D838785" w14:textId="77777777" w:rsidR="0002077F" w:rsidRDefault="0002077F">
      <w:pPr>
        <w:spacing w:after="0" w:line="240" w:lineRule="auto"/>
      </w:pPr>
    </w:p>
  </w:footnote>
  <w:footnote w:id="2">
    <w:p w14:paraId="6D89EE8A" w14:textId="77777777" w:rsidR="004C37CC" w:rsidRPr="000F1C56" w:rsidRDefault="004C37CC" w:rsidP="004C37CC">
      <w:pPr>
        <w:pStyle w:val="Textonotapie"/>
        <w:ind w:firstLine="708"/>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Agencia Nacional de Contratación Pública –Colombia Compra Eficiente. Guía de competencia en las compras públicas, 2018. p. 4. Disponible en línea: </w:t>
      </w:r>
      <w:hyperlink r:id="rId1" w:history="1">
        <w:r w:rsidRPr="000F1C56">
          <w:rPr>
            <w:rStyle w:val="Hipervnculo"/>
            <w:rFonts w:ascii="Verdana" w:hAnsi="Verdana"/>
            <w:sz w:val="16"/>
            <w:szCs w:val="16"/>
          </w:rPr>
          <w:t>https://www.colombiacompra.gov.co/archivos/manual/guia-de-competencia-en-las-compras-publicas</w:t>
        </w:r>
      </w:hyperlink>
      <w:r w:rsidRPr="000F1C56">
        <w:rPr>
          <w:rFonts w:ascii="Verdana" w:hAnsi="Verdana"/>
          <w:sz w:val="16"/>
          <w:szCs w:val="16"/>
        </w:rPr>
        <w:t xml:space="preserve"> </w:t>
      </w:r>
    </w:p>
  </w:footnote>
  <w:footnote w:id="3">
    <w:p w14:paraId="5F910816" w14:textId="77777777" w:rsidR="004C37CC" w:rsidRPr="000F1C56" w:rsidRDefault="004C37CC" w:rsidP="004C37CC">
      <w:pPr>
        <w:pStyle w:val="Textonotapie"/>
        <w:ind w:firstLine="708"/>
        <w:jc w:val="both"/>
        <w:rPr>
          <w:rFonts w:ascii="Verdana" w:hAnsi="Verdana" w:cs="Arial"/>
          <w:sz w:val="16"/>
          <w:szCs w:val="16"/>
          <w:lang w:val="es-ES"/>
        </w:rPr>
      </w:pPr>
      <w:r w:rsidRPr="000F1C56">
        <w:rPr>
          <w:rStyle w:val="Refdenotaalpie"/>
          <w:rFonts w:ascii="Verdana" w:hAnsi="Verdana" w:cs="Arial"/>
          <w:sz w:val="16"/>
          <w:szCs w:val="16"/>
        </w:rPr>
        <w:footnoteRef/>
      </w:r>
      <w:r w:rsidRPr="000F1C56">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4">
    <w:p w14:paraId="59F019D2" w14:textId="77777777" w:rsidR="004C37CC" w:rsidRPr="000F1C56" w:rsidRDefault="004C37CC" w:rsidP="004C37CC">
      <w:pPr>
        <w:pStyle w:val="Textonotapie"/>
        <w:ind w:firstLine="708"/>
        <w:jc w:val="both"/>
        <w:rPr>
          <w:rFonts w:ascii="Verdana" w:hAnsi="Verdana" w:cs="Arial"/>
          <w:sz w:val="16"/>
          <w:szCs w:val="16"/>
          <w:lang w:val="es-ES"/>
        </w:rPr>
      </w:pPr>
      <w:r w:rsidRPr="000F1C56">
        <w:rPr>
          <w:rStyle w:val="Refdenotaalpie"/>
          <w:rFonts w:ascii="Verdana" w:hAnsi="Verdana" w:cs="Arial"/>
          <w:sz w:val="16"/>
          <w:szCs w:val="16"/>
        </w:rPr>
        <w:footnoteRef/>
      </w:r>
      <w:r w:rsidRPr="000F1C56">
        <w:rPr>
          <w:rFonts w:ascii="Verdana" w:hAnsi="Verdana" w:cs="Arial"/>
          <w:sz w:val="16"/>
          <w:szCs w:val="16"/>
        </w:rPr>
        <w:t xml:space="preserve"> BETANCUR JARAMILLO, Carlos. Derecho procesal administrativo. Octava edición. Medellín: Señal Editora, 2013. p. 627. </w:t>
      </w:r>
    </w:p>
  </w:footnote>
  <w:footnote w:id="5">
    <w:p w14:paraId="6B1B615B" w14:textId="77777777" w:rsidR="004C37CC" w:rsidRPr="000F1C56" w:rsidRDefault="004C37CC" w:rsidP="004C37CC">
      <w:pPr>
        <w:pStyle w:val="Textonotapie"/>
        <w:ind w:firstLine="708"/>
        <w:jc w:val="both"/>
        <w:rPr>
          <w:rFonts w:ascii="Verdana" w:hAnsi="Verdana" w:cs="Arial"/>
          <w:sz w:val="16"/>
          <w:szCs w:val="16"/>
        </w:rPr>
      </w:pPr>
      <w:r w:rsidRPr="000F1C56">
        <w:rPr>
          <w:rStyle w:val="Refdenotaalpie"/>
          <w:rFonts w:ascii="Verdana" w:hAnsi="Verdana" w:cs="Arial"/>
          <w:sz w:val="16"/>
          <w:szCs w:val="16"/>
        </w:rPr>
        <w:footnoteRef/>
      </w:r>
      <w:r w:rsidRPr="000F1C56">
        <w:rPr>
          <w:rFonts w:ascii="Verdana" w:hAnsi="Verdana" w:cs="Arial"/>
          <w:sz w:val="16"/>
          <w:szCs w:val="16"/>
        </w:rPr>
        <w:t xml:space="preserve"> JOJOA BOLAÑOS, Alexander. Los regímenes exceptuados en los contratos estatales. Bogotá: Grupo Editorial Ibáñez, 2012. p. 89.</w:t>
      </w:r>
    </w:p>
  </w:footnote>
  <w:footnote w:id="6">
    <w:p w14:paraId="1472D89F" w14:textId="77777777" w:rsidR="004C37CC" w:rsidRPr="000F1C56" w:rsidRDefault="004C37CC" w:rsidP="004C37CC">
      <w:pPr>
        <w:pStyle w:val="Textonotapie"/>
        <w:ind w:firstLine="708"/>
        <w:jc w:val="both"/>
        <w:rPr>
          <w:rFonts w:ascii="Verdana" w:hAnsi="Verdana" w:cs="Arial"/>
          <w:sz w:val="16"/>
          <w:szCs w:val="16"/>
        </w:rPr>
      </w:pPr>
      <w:r w:rsidRPr="000F1C56">
        <w:rPr>
          <w:rStyle w:val="Refdenotaalpie"/>
          <w:rFonts w:ascii="Verdana" w:hAnsi="Verdana" w:cs="Arial"/>
          <w:sz w:val="16"/>
          <w:szCs w:val="16"/>
        </w:rPr>
        <w:footnoteRef/>
      </w:r>
      <w:r w:rsidRPr="000F1C56">
        <w:rPr>
          <w:rFonts w:ascii="Verdana" w:hAnsi="Verdana" w:cs="Arial"/>
          <w:sz w:val="16"/>
          <w:szCs w:val="16"/>
        </w:rPr>
        <w:t xml:space="preserve"> BARRETO MORENO, Antonio Alejandro. El derecho de la compra pública: estudio jurídico de un mercado imperfecto. Bogotá: Legis, 2019. pp. 281 y ss.</w:t>
      </w:r>
    </w:p>
  </w:footnote>
  <w:footnote w:id="7">
    <w:p w14:paraId="14ED0948" w14:textId="77777777" w:rsidR="004C37CC" w:rsidRPr="000F1C56" w:rsidRDefault="004C37CC" w:rsidP="004C37CC">
      <w:pPr>
        <w:pStyle w:val="Textonotapie"/>
        <w:ind w:firstLine="708"/>
        <w:jc w:val="both"/>
        <w:rPr>
          <w:rFonts w:ascii="Verdana" w:hAnsi="Verdana"/>
          <w:sz w:val="16"/>
          <w:szCs w:val="16"/>
          <w:lang w:val="es-CO"/>
        </w:rPr>
      </w:pPr>
      <w:r w:rsidRPr="000F1C56">
        <w:rPr>
          <w:rStyle w:val="Refdenotaalpie"/>
          <w:rFonts w:ascii="Verdana" w:hAnsi="Verdana"/>
          <w:sz w:val="16"/>
          <w:szCs w:val="16"/>
        </w:rPr>
        <w:footnoteRef/>
      </w:r>
      <w:r w:rsidRPr="000F1C56">
        <w:rPr>
          <w:rFonts w:ascii="Verdana" w:hAnsi="Verdana"/>
          <w:b/>
          <w:bCs/>
          <w:sz w:val="16"/>
          <w:szCs w:val="16"/>
          <w:lang w:val="es-CO"/>
        </w:rPr>
        <w:t xml:space="preserve"> </w:t>
      </w:r>
      <w:r w:rsidRPr="000F1C56">
        <w:rPr>
          <w:rFonts w:ascii="Verdana" w:hAnsi="Verdana"/>
          <w:bCs/>
          <w:sz w:val="16"/>
          <w:szCs w:val="16"/>
          <w:lang w:val="es-CO"/>
        </w:rPr>
        <w:t>Artículo 68</w:t>
      </w:r>
      <w:r w:rsidRPr="000F1C56">
        <w:rPr>
          <w:rFonts w:ascii="Verdana" w:hAnsi="Verdana"/>
          <w:b/>
          <w:bCs/>
          <w:sz w:val="16"/>
          <w:szCs w:val="16"/>
          <w:lang w:val="es-CO"/>
        </w:rPr>
        <w:t xml:space="preserve">. </w:t>
      </w:r>
      <w:r w:rsidRPr="000F1C56">
        <w:rPr>
          <w:rFonts w:ascii="Verdana" w:hAnsi="Verdana"/>
          <w:i/>
          <w:iCs/>
          <w:sz w:val="16"/>
          <w:szCs w:val="16"/>
          <w:lang w:val="es-CO"/>
        </w:rPr>
        <w:t>Entidades descentralizadas.</w:t>
      </w:r>
      <w:r w:rsidRPr="000F1C56">
        <w:rPr>
          <w:rFonts w:ascii="Verdana" w:hAnsi="Verdana"/>
          <w:sz w:val="16"/>
          <w:szCs w:val="16"/>
        </w:rPr>
        <w:t xml:space="preserve"> </w:t>
      </w:r>
      <w:r w:rsidRPr="000F1C56">
        <w:rPr>
          <w:rFonts w:ascii="Verdana" w:hAnsi="Verdana"/>
          <w:sz w:val="16"/>
          <w:szCs w:val="16"/>
          <w:lang w:val="es-CO"/>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6489C780" w14:textId="77777777" w:rsidR="004C37CC" w:rsidRPr="000F1C56" w:rsidRDefault="004C37CC" w:rsidP="004C37CC">
      <w:pPr>
        <w:pStyle w:val="Textonotapie"/>
        <w:ind w:firstLine="708"/>
        <w:jc w:val="both"/>
        <w:rPr>
          <w:rFonts w:ascii="Verdana" w:hAnsi="Verdana"/>
          <w:sz w:val="16"/>
          <w:szCs w:val="16"/>
          <w:lang w:val="es-CO"/>
        </w:rPr>
      </w:pPr>
      <w:r w:rsidRPr="000F1C56">
        <w:rPr>
          <w:rFonts w:ascii="Verdana" w:hAnsi="Verdana"/>
          <w:sz w:val="16"/>
          <w:szCs w:val="16"/>
          <w:lang w:val="es-CO"/>
        </w:rPr>
        <w:t>Como órganos del Estado aun cuando gozan de autonomía administrativa están sujetas al control político y a la suprema dirección del órgano de la administración al cual están adscritas. </w:t>
      </w:r>
    </w:p>
    <w:p w14:paraId="14B76A1F" w14:textId="77777777" w:rsidR="004C37CC" w:rsidRPr="000F1C56" w:rsidRDefault="004C37CC" w:rsidP="004C37CC">
      <w:pPr>
        <w:pStyle w:val="Textonotapie"/>
        <w:ind w:firstLine="708"/>
        <w:jc w:val="both"/>
        <w:rPr>
          <w:rFonts w:ascii="Verdana" w:hAnsi="Verdana"/>
          <w:sz w:val="16"/>
          <w:szCs w:val="16"/>
          <w:lang w:val="es-CO"/>
        </w:rPr>
      </w:pPr>
      <w:r w:rsidRPr="000F1C56">
        <w:rPr>
          <w:rFonts w:ascii="Verdana" w:hAnsi="Verdana"/>
          <w:sz w:val="16"/>
          <w:szCs w:val="16"/>
          <w:lang w:val="es-CO"/>
        </w:rPr>
        <w:t>Las entidades descentralizadas se sujetan a las reglas señaladas en la Constitución Política, en la presente ley, en las leyes que las creen y determinen su estructura orgánica y a sus estatutos internos. </w:t>
      </w:r>
    </w:p>
    <w:p w14:paraId="5B6EDAF6" w14:textId="77777777" w:rsidR="004C37CC" w:rsidRPr="000F1C56" w:rsidRDefault="004C37CC" w:rsidP="004C37CC">
      <w:pPr>
        <w:pStyle w:val="Textonotapie"/>
        <w:ind w:firstLine="708"/>
        <w:jc w:val="both"/>
        <w:rPr>
          <w:rFonts w:ascii="Verdana" w:hAnsi="Verdana"/>
          <w:sz w:val="16"/>
          <w:szCs w:val="16"/>
          <w:lang w:val="es-CO"/>
        </w:rPr>
      </w:pPr>
      <w:r w:rsidRPr="000F1C56">
        <w:rPr>
          <w:rFonts w:ascii="Verdana" w:hAnsi="Verdana"/>
          <w:sz w:val="16"/>
          <w:szCs w:val="16"/>
          <w:lang w:val="es-CO"/>
        </w:rPr>
        <w:t>Los organismos y entidades descentralizados, sujetos a regímenes especiales por mandato de la Constitución Política, se someterán a las disposiciones que para ellos establezca la respectiva ley […]” </w:t>
      </w:r>
    </w:p>
  </w:footnote>
  <w:footnote w:id="8">
    <w:p w14:paraId="46D2F5F2" w14:textId="77777777" w:rsidR="004C37CC" w:rsidRPr="000F1C56" w:rsidRDefault="004C37CC" w:rsidP="004C37CC">
      <w:pPr>
        <w:pStyle w:val="Textonotapie"/>
        <w:ind w:firstLine="708"/>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w:t>
      </w:r>
      <w:r w:rsidRPr="000F1C56">
        <w:rPr>
          <w:rFonts w:ascii="Verdana" w:hAnsi="Verdana"/>
          <w:sz w:val="16"/>
          <w:szCs w:val="16"/>
          <w:lang w:val="es-ES"/>
        </w:rPr>
        <w:t>Así lo establece la Constitución Política, en el artículo 150, numeral 7, así como en el artículo 300, numeral 7 y en el artículo 313, numeral 6</w:t>
      </w:r>
    </w:p>
  </w:footnote>
  <w:footnote w:id="9">
    <w:p w14:paraId="263211F1" w14:textId="77777777" w:rsidR="004C37CC" w:rsidRPr="000F1C56" w:rsidRDefault="004C37CC" w:rsidP="004C37CC">
      <w:pPr>
        <w:pStyle w:val="Textonotapie"/>
        <w:ind w:firstLine="708"/>
        <w:jc w:val="both"/>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w:t>
      </w:r>
      <w:r w:rsidRPr="000F1C56">
        <w:rPr>
          <w:rFonts w:ascii="Verdana" w:eastAsia="Arial MT" w:hAnsi="Verdana" w:cs="Arial MT"/>
          <w:sz w:val="16"/>
          <w:szCs w:val="16"/>
          <w:lang w:val="es-ES"/>
        </w:rPr>
        <w:t>Las sociedades de economía mixta son una clara manifestación organizacional de la función administrativa. Al respecto, la doctrina colombiana ha considerado que «la organización debe ocupar un lugar central</w:t>
      </w:r>
      <w:r w:rsidRPr="000F1C56">
        <w:rPr>
          <w:rFonts w:ascii="Verdana" w:eastAsia="Arial MT" w:hAnsi="Verdana" w:cs="Arial MT"/>
          <w:spacing w:val="-1"/>
          <w:sz w:val="16"/>
          <w:szCs w:val="16"/>
          <w:lang w:val="es-ES"/>
        </w:rPr>
        <w:t xml:space="preserve"> </w:t>
      </w:r>
      <w:r w:rsidRPr="000F1C56">
        <w:rPr>
          <w:rFonts w:ascii="Verdana" w:eastAsia="Arial MT" w:hAnsi="Verdana" w:cs="Arial MT"/>
          <w:sz w:val="16"/>
          <w:szCs w:val="16"/>
          <w:lang w:val="es-ES"/>
        </w:rPr>
        <w:t>en</w:t>
      </w:r>
      <w:r w:rsidRPr="000F1C56">
        <w:rPr>
          <w:rFonts w:ascii="Verdana" w:eastAsia="Arial MT" w:hAnsi="Verdana" w:cs="Arial MT"/>
          <w:spacing w:val="-3"/>
          <w:sz w:val="16"/>
          <w:szCs w:val="16"/>
          <w:lang w:val="es-ES"/>
        </w:rPr>
        <w:t xml:space="preserve"> </w:t>
      </w:r>
      <w:r w:rsidRPr="000F1C56">
        <w:rPr>
          <w:rFonts w:ascii="Verdana" w:eastAsia="Arial MT" w:hAnsi="Verdana" w:cs="Arial MT"/>
          <w:sz w:val="16"/>
          <w:szCs w:val="16"/>
          <w:lang w:val="es-ES"/>
        </w:rPr>
        <w:t>el</w:t>
      </w:r>
      <w:r w:rsidRPr="000F1C56">
        <w:rPr>
          <w:rFonts w:ascii="Verdana" w:eastAsia="Arial MT" w:hAnsi="Verdana" w:cs="Arial MT"/>
          <w:spacing w:val="-1"/>
          <w:sz w:val="16"/>
          <w:szCs w:val="16"/>
          <w:lang w:val="es-ES"/>
        </w:rPr>
        <w:t xml:space="preserve"> </w:t>
      </w:r>
      <w:r w:rsidRPr="000F1C56">
        <w:rPr>
          <w:rFonts w:ascii="Verdana" w:eastAsia="Arial MT" w:hAnsi="Verdana" w:cs="Arial MT"/>
          <w:sz w:val="16"/>
          <w:szCs w:val="16"/>
          <w:lang w:val="es-ES"/>
        </w:rPr>
        <w:t>estudio del</w:t>
      </w:r>
      <w:r w:rsidRPr="000F1C56">
        <w:rPr>
          <w:rFonts w:ascii="Verdana" w:eastAsia="Arial MT" w:hAnsi="Verdana" w:cs="Arial MT"/>
          <w:spacing w:val="-1"/>
          <w:sz w:val="16"/>
          <w:szCs w:val="16"/>
          <w:lang w:val="es-ES"/>
        </w:rPr>
        <w:t xml:space="preserve"> </w:t>
      </w:r>
      <w:r w:rsidRPr="000F1C56">
        <w:rPr>
          <w:rFonts w:ascii="Verdana" w:eastAsia="Arial MT" w:hAnsi="Verdana" w:cs="Arial MT"/>
          <w:sz w:val="16"/>
          <w:szCs w:val="16"/>
          <w:lang w:val="es-ES"/>
        </w:rPr>
        <w:t>derecho administrativo, sobre todo si se tiene en</w:t>
      </w:r>
      <w:r w:rsidRPr="000F1C56">
        <w:rPr>
          <w:rFonts w:ascii="Verdana" w:eastAsia="Arial MT" w:hAnsi="Verdana" w:cs="Arial MT"/>
          <w:spacing w:val="-3"/>
          <w:sz w:val="16"/>
          <w:szCs w:val="16"/>
          <w:lang w:val="es-ES"/>
        </w:rPr>
        <w:t xml:space="preserve"> </w:t>
      </w:r>
      <w:r w:rsidRPr="000F1C56">
        <w:rPr>
          <w:rFonts w:ascii="Verdana" w:eastAsia="Arial MT" w:hAnsi="Verdana" w:cs="Arial MT"/>
          <w:sz w:val="16"/>
          <w:szCs w:val="16"/>
          <w:lang w:val="es-ES"/>
        </w:rPr>
        <w:t>cuenta que lo estructural es consustancial a la actividad administrativa. De hecho, podemos afirmar que se trata de una</w:t>
      </w:r>
      <w:r w:rsidRPr="000F1C56">
        <w:rPr>
          <w:rFonts w:ascii="Verdana" w:eastAsia="Arial MT" w:hAnsi="Verdana" w:cs="Arial MT"/>
          <w:spacing w:val="40"/>
          <w:sz w:val="16"/>
          <w:szCs w:val="16"/>
          <w:lang w:val="es-ES"/>
        </w:rPr>
        <w:t xml:space="preserve"> </w:t>
      </w:r>
      <w:r w:rsidRPr="000F1C56">
        <w:rPr>
          <w:rFonts w:ascii="Verdana" w:eastAsia="Arial MT" w:hAnsi="Verdana" w:cs="Arial MT"/>
          <w:sz w:val="16"/>
          <w:szCs w:val="16"/>
          <w:lang w:val="es-ES"/>
        </w:rPr>
        <w:t>verdadera dialéctica en la que se presenta una relación de medio a fin, ya que su objeto es</w:t>
      </w:r>
      <w:r w:rsidRPr="000F1C56">
        <w:rPr>
          <w:rFonts w:ascii="Verdana" w:eastAsia="Arial MT" w:hAnsi="Verdana" w:cs="Arial MT"/>
          <w:spacing w:val="40"/>
          <w:sz w:val="16"/>
          <w:szCs w:val="16"/>
          <w:lang w:val="es-ES"/>
        </w:rPr>
        <w:t xml:space="preserve"> </w:t>
      </w:r>
      <w:r w:rsidRPr="000F1C56">
        <w:rPr>
          <w:rFonts w:ascii="Verdana" w:eastAsia="Arial MT" w:hAnsi="Verdana" w:cs="Arial MT"/>
          <w:sz w:val="16"/>
          <w:szCs w:val="16"/>
          <w:lang w:val="es-ES"/>
        </w:rPr>
        <w:t>precisamente el diseño y puesta en funcionamiento de las maneras o formas de gestión de potestades, atribuciones y competencias administrativas» (RINCÓN CÓRDOBA, Jorge Iván. Teoría de la organización</w:t>
      </w:r>
      <w:r w:rsidRPr="000F1C56">
        <w:rPr>
          <w:rFonts w:ascii="Verdana" w:eastAsia="Arial MT" w:hAnsi="Verdana" w:cs="Arial MT"/>
          <w:spacing w:val="-7"/>
          <w:sz w:val="16"/>
          <w:szCs w:val="16"/>
          <w:lang w:val="es-ES"/>
        </w:rPr>
        <w:t xml:space="preserve"> </w:t>
      </w:r>
      <w:r w:rsidRPr="000F1C56">
        <w:rPr>
          <w:rFonts w:ascii="Verdana" w:eastAsia="Arial MT" w:hAnsi="Verdana" w:cs="Arial MT"/>
          <w:sz w:val="16"/>
          <w:szCs w:val="16"/>
          <w:lang w:val="es-ES"/>
        </w:rPr>
        <w:t>administrativa</w:t>
      </w:r>
      <w:r w:rsidRPr="000F1C56">
        <w:rPr>
          <w:rFonts w:ascii="Verdana" w:eastAsia="Arial MT" w:hAnsi="Verdana" w:cs="Arial MT"/>
          <w:spacing w:val="-3"/>
          <w:sz w:val="16"/>
          <w:szCs w:val="16"/>
          <w:lang w:val="es-ES"/>
        </w:rPr>
        <w:t xml:space="preserve"> </w:t>
      </w:r>
      <w:r w:rsidRPr="000F1C56">
        <w:rPr>
          <w:rFonts w:ascii="Verdana" w:eastAsia="Arial MT" w:hAnsi="Verdana" w:cs="Arial MT"/>
          <w:sz w:val="16"/>
          <w:szCs w:val="16"/>
          <w:lang w:val="es-ES"/>
        </w:rPr>
        <w:t>en</w:t>
      </w:r>
      <w:r w:rsidRPr="000F1C56">
        <w:rPr>
          <w:rFonts w:ascii="Verdana" w:eastAsia="Arial MT" w:hAnsi="Verdana" w:cs="Arial MT"/>
          <w:spacing w:val="-7"/>
          <w:sz w:val="16"/>
          <w:szCs w:val="16"/>
          <w:lang w:val="es-ES"/>
        </w:rPr>
        <w:t xml:space="preserve"> </w:t>
      </w:r>
      <w:r w:rsidRPr="000F1C56">
        <w:rPr>
          <w:rFonts w:ascii="Verdana" w:eastAsia="Arial MT" w:hAnsi="Verdana" w:cs="Arial MT"/>
          <w:sz w:val="16"/>
          <w:szCs w:val="16"/>
          <w:lang w:val="es-ES"/>
        </w:rPr>
        <w:t>Colombia,</w:t>
      </w:r>
      <w:r w:rsidRPr="000F1C56">
        <w:rPr>
          <w:rFonts w:ascii="Verdana" w:eastAsia="Arial MT" w:hAnsi="Verdana" w:cs="Arial MT"/>
          <w:spacing w:val="-2"/>
          <w:sz w:val="16"/>
          <w:szCs w:val="16"/>
          <w:lang w:val="es-ES"/>
        </w:rPr>
        <w:t xml:space="preserve"> </w:t>
      </w:r>
      <w:r w:rsidRPr="000F1C56">
        <w:rPr>
          <w:rFonts w:ascii="Verdana" w:eastAsia="Arial MT" w:hAnsi="Verdana" w:cs="Arial MT"/>
          <w:sz w:val="16"/>
          <w:szCs w:val="16"/>
          <w:lang w:val="es-ES"/>
        </w:rPr>
        <w:t>Bogotá:</w:t>
      </w:r>
      <w:r w:rsidRPr="000F1C56">
        <w:rPr>
          <w:rFonts w:ascii="Verdana" w:eastAsia="Arial MT" w:hAnsi="Verdana" w:cs="Arial MT"/>
          <w:spacing w:val="-2"/>
          <w:sz w:val="16"/>
          <w:szCs w:val="16"/>
          <w:lang w:val="es-ES"/>
        </w:rPr>
        <w:t xml:space="preserve"> </w:t>
      </w:r>
      <w:r w:rsidRPr="000F1C56">
        <w:rPr>
          <w:rFonts w:ascii="Verdana" w:eastAsia="Arial MT" w:hAnsi="Verdana" w:cs="Arial MT"/>
          <w:sz w:val="16"/>
          <w:szCs w:val="16"/>
          <w:lang w:val="es-ES"/>
        </w:rPr>
        <w:t>Universidad</w:t>
      </w:r>
      <w:r w:rsidRPr="000F1C56">
        <w:rPr>
          <w:rFonts w:ascii="Verdana" w:eastAsia="Arial MT" w:hAnsi="Verdana" w:cs="Arial MT"/>
          <w:spacing w:val="-3"/>
          <w:sz w:val="16"/>
          <w:szCs w:val="16"/>
          <w:lang w:val="es-ES"/>
        </w:rPr>
        <w:t xml:space="preserve"> </w:t>
      </w:r>
      <w:r w:rsidRPr="000F1C56">
        <w:rPr>
          <w:rFonts w:ascii="Verdana" w:eastAsia="Arial MT" w:hAnsi="Verdana" w:cs="Arial MT"/>
          <w:sz w:val="16"/>
          <w:szCs w:val="16"/>
          <w:lang w:val="es-ES"/>
        </w:rPr>
        <w:t>Externado</w:t>
      </w:r>
      <w:r w:rsidRPr="000F1C56">
        <w:rPr>
          <w:rFonts w:ascii="Verdana" w:eastAsia="Arial MT" w:hAnsi="Verdana" w:cs="Arial MT"/>
          <w:spacing w:val="-3"/>
          <w:sz w:val="16"/>
          <w:szCs w:val="16"/>
          <w:lang w:val="es-ES"/>
        </w:rPr>
        <w:t xml:space="preserve"> </w:t>
      </w:r>
      <w:r w:rsidRPr="000F1C56">
        <w:rPr>
          <w:rFonts w:ascii="Verdana" w:eastAsia="Arial MT" w:hAnsi="Verdana" w:cs="Arial MT"/>
          <w:sz w:val="16"/>
          <w:szCs w:val="16"/>
          <w:lang w:val="es-ES"/>
        </w:rPr>
        <w:t>de</w:t>
      </w:r>
      <w:r w:rsidRPr="000F1C56">
        <w:rPr>
          <w:rFonts w:ascii="Verdana" w:eastAsia="Arial MT" w:hAnsi="Verdana" w:cs="Arial MT"/>
          <w:spacing w:val="-3"/>
          <w:sz w:val="16"/>
          <w:szCs w:val="16"/>
          <w:lang w:val="es-ES"/>
        </w:rPr>
        <w:t xml:space="preserve"> </w:t>
      </w:r>
      <w:r w:rsidRPr="000F1C56">
        <w:rPr>
          <w:rFonts w:ascii="Verdana" w:eastAsia="Arial MT" w:hAnsi="Verdana" w:cs="Arial MT"/>
          <w:sz w:val="16"/>
          <w:szCs w:val="16"/>
          <w:lang w:val="es-ES"/>
        </w:rPr>
        <w:t>Colombia,</w:t>
      </w:r>
      <w:r w:rsidRPr="000F1C56">
        <w:rPr>
          <w:rFonts w:ascii="Verdana" w:eastAsia="Arial MT" w:hAnsi="Verdana" w:cs="Arial MT"/>
          <w:spacing w:val="-2"/>
          <w:sz w:val="16"/>
          <w:szCs w:val="16"/>
          <w:lang w:val="es-ES"/>
        </w:rPr>
        <w:t xml:space="preserve"> </w:t>
      </w:r>
      <w:r w:rsidRPr="000F1C56">
        <w:rPr>
          <w:rFonts w:ascii="Verdana" w:eastAsia="Arial MT" w:hAnsi="Verdana" w:cs="Arial MT"/>
          <w:sz w:val="16"/>
          <w:szCs w:val="16"/>
          <w:lang w:val="es-ES"/>
        </w:rPr>
        <w:t>2019,</w:t>
      </w:r>
      <w:r w:rsidRPr="000F1C56">
        <w:rPr>
          <w:rFonts w:ascii="Verdana" w:eastAsia="Arial MT" w:hAnsi="Verdana" w:cs="Arial MT"/>
          <w:spacing w:val="-2"/>
          <w:sz w:val="16"/>
          <w:szCs w:val="16"/>
          <w:lang w:val="es-ES"/>
        </w:rPr>
        <w:t xml:space="preserve"> </w:t>
      </w:r>
      <w:r w:rsidRPr="000F1C56">
        <w:rPr>
          <w:rFonts w:ascii="Verdana" w:eastAsia="Arial MT" w:hAnsi="Verdana" w:cs="Arial MT"/>
          <w:sz w:val="16"/>
          <w:szCs w:val="16"/>
          <w:lang w:val="es-ES"/>
        </w:rPr>
        <w:t>pp.</w:t>
      </w:r>
      <w:r w:rsidRPr="000F1C56">
        <w:rPr>
          <w:rFonts w:ascii="Verdana" w:eastAsia="Arial MT" w:hAnsi="Verdana" w:cs="Arial MT"/>
          <w:spacing w:val="-2"/>
          <w:sz w:val="16"/>
          <w:szCs w:val="16"/>
          <w:lang w:val="es-ES"/>
        </w:rPr>
        <w:t xml:space="preserve"> </w:t>
      </w:r>
      <w:r w:rsidRPr="000F1C56">
        <w:rPr>
          <w:rFonts w:ascii="Verdana" w:eastAsia="Arial MT" w:hAnsi="Verdana" w:cs="Arial MT"/>
          <w:sz w:val="16"/>
          <w:szCs w:val="16"/>
          <w:lang w:val="es-ES"/>
        </w:rPr>
        <w:t>31-32).</w:t>
      </w:r>
    </w:p>
  </w:footnote>
  <w:footnote w:id="10">
    <w:p w14:paraId="69E719E6" w14:textId="77777777" w:rsidR="004C37CC" w:rsidRPr="000F1C56" w:rsidRDefault="004C37CC" w:rsidP="004C37CC">
      <w:pPr>
        <w:pStyle w:val="Textonotapie"/>
        <w:ind w:firstLine="708"/>
        <w:jc w:val="both"/>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w:t>
      </w:r>
      <w:r w:rsidRPr="000F1C56">
        <w:rPr>
          <w:rFonts w:ascii="Verdana" w:hAnsi="Verdana"/>
          <w:sz w:val="16"/>
          <w:szCs w:val="16"/>
          <w:lang w:val="es-ES"/>
        </w:rPr>
        <w:t>“Una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footnote>
  <w:footnote w:id="11">
    <w:p w14:paraId="61D9741B" w14:textId="77777777" w:rsidR="004C37CC" w:rsidRPr="000F1C56" w:rsidRDefault="004C37CC" w:rsidP="004C37CC">
      <w:pPr>
        <w:pStyle w:val="Textonotapie"/>
        <w:ind w:firstLine="708"/>
        <w:jc w:val="both"/>
        <w:rPr>
          <w:rFonts w:ascii="Verdana" w:hAnsi="Verdana"/>
          <w:sz w:val="16"/>
          <w:szCs w:val="16"/>
          <w:lang w:val="es-CO"/>
        </w:rPr>
      </w:pPr>
      <w:r w:rsidRPr="000F1C56">
        <w:rPr>
          <w:rStyle w:val="Refdenotaalpie"/>
          <w:rFonts w:ascii="Verdana" w:hAnsi="Verdana"/>
          <w:sz w:val="16"/>
          <w:szCs w:val="16"/>
        </w:rPr>
        <w:footnoteRef/>
      </w:r>
      <w:r w:rsidRPr="000F1C56">
        <w:rPr>
          <w:rFonts w:ascii="Verdana" w:hAnsi="Verdana"/>
          <w:sz w:val="16"/>
          <w:szCs w:val="16"/>
        </w:rPr>
        <w:t xml:space="preserve"> </w:t>
      </w:r>
      <w:r w:rsidRPr="000F1C56">
        <w:rPr>
          <w:rFonts w:ascii="Verdana" w:hAnsi="Verdana"/>
          <w:bCs/>
          <w:sz w:val="16"/>
          <w:szCs w:val="16"/>
          <w:lang w:val="es-CO"/>
        </w:rPr>
        <w:t>ARTICULO 2o. DE LA DEFINICION DE ENTIDADES, SERVIDORES Y SERVICIOS PUBLICOS. </w:t>
      </w:r>
      <w:r w:rsidRPr="000F1C56">
        <w:rPr>
          <w:rFonts w:ascii="Verdana" w:hAnsi="Verdana"/>
          <w:sz w:val="16"/>
          <w:szCs w:val="16"/>
          <w:lang w:val="es-CO"/>
        </w:rPr>
        <w:t>Para los solos efectos de esta ley: </w:t>
      </w:r>
    </w:p>
    <w:p w14:paraId="6E480AB2" w14:textId="77777777" w:rsidR="004C37CC" w:rsidRPr="000F1C56" w:rsidRDefault="004C37CC" w:rsidP="004C37CC">
      <w:pPr>
        <w:pStyle w:val="Textonotapie"/>
        <w:ind w:firstLine="708"/>
        <w:jc w:val="both"/>
        <w:rPr>
          <w:rFonts w:ascii="Verdana" w:hAnsi="Verdana"/>
          <w:sz w:val="16"/>
          <w:szCs w:val="16"/>
          <w:lang w:val="es-CO"/>
        </w:rPr>
      </w:pPr>
      <w:r w:rsidRPr="000F1C56">
        <w:rPr>
          <w:rFonts w:ascii="Verdana" w:hAnsi="Verdana"/>
          <w:sz w:val="16"/>
          <w:szCs w:val="16"/>
          <w:lang w:val="es-CO"/>
        </w:rPr>
        <w:t>1o. Se denominan entidades estatales: </w:t>
      </w:r>
    </w:p>
    <w:p w14:paraId="5CCF352A" w14:textId="77777777" w:rsidR="004C37CC" w:rsidRPr="000F1C56" w:rsidRDefault="004C37CC" w:rsidP="004C37CC">
      <w:pPr>
        <w:pStyle w:val="Textonotapie"/>
        <w:ind w:firstLine="708"/>
        <w:jc w:val="both"/>
        <w:rPr>
          <w:rFonts w:ascii="Verdana" w:hAnsi="Verdana"/>
          <w:sz w:val="16"/>
          <w:szCs w:val="16"/>
          <w:lang w:val="es-CO"/>
        </w:rPr>
      </w:pPr>
      <w:r w:rsidRPr="000F1C56">
        <w:rPr>
          <w:rFonts w:ascii="Verdana" w:hAnsi="Verdana"/>
          <w:sz w:val="16"/>
          <w:szCs w:val="16"/>
          <w:lang w:val="es-CO"/>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143778AF" w14:textId="77777777" w:rsidR="004C37CC" w:rsidRPr="000F1C56" w:rsidRDefault="004C37CC" w:rsidP="004C37CC">
      <w:pPr>
        <w:pStyle w:val="Textonotapie"/>
        <w:ind w:firstLine="708"/>
        <w:jc w:val="both"/>
        <w:rPr>
          <w:rFonts w:ascii="Verdana" w:hAnsi="Verdana"/>
          <w:sz w:val="16"/>
          <w:szCs w:val="16"/>
          <w:lang w:val="es-CO"/>
        </w:rPr>
      </w:pPr>
      <w:r w:rsidRPr="000F1C56">
        <w:rPr>
          <w:rFonts w:ascii="Verdana" w:hAnsi="Verdana"/>
          <w:sz w:val="16"/>
          <w:szCs w:val="16"/>
          <w:lang w:val="es-CO"/>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2">
    <w:p w14:paraId="2F1D7EAF" w14:textId="77777777" w:rsidR="004C37CC" w:rsidRPr="000F1C56" w:rsidRDefault="004C37CC" w:rsidP="004C37CC">
      <w:pPr>
        <w:pStyle w:val="Textonotapie"/>
        <w:ind w:firstLine="708"/>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w:t>
      </w:r>
      <w:r w:rsidRPr="000F1C56">
        <w:rPr>
          <w:rFonts w:ascii="Verdana" w:hAnsi="Verdana"/>
          <w:sz w:val="16"/>
          <w:szCs w:val="16"/>
          <w:lang w:val="es-ES"/>
        </w:rPr>
        <w:t xml:space="preserve">CONSEJO DE ESTADO. Sala de Consulta y Servicio Civil, Concepto 1127 del 10 de diciembre de 2004. C.P. Enrique José Arboleda Perdomo. </w:t>
      </w:r>
    </w:p>
  </w:footnote>
  <w:footnote w:id="13">
    <w:p w14:paraId="1991C064" w14:textId="77777777" w:rsidR="004C37CC" w:rsidRPr="000F1C56" w:rsidRDefault="004C37CC" w:rsidP="004C37CC">
      <w:pPr>
        <w:pStyle w:val="Textonotapie"/>
        <w:ind w:firstLine="708"/>
        <w:jc w:val="both"/>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w:t>
      </w:r>
      <w:r w:rsidRPr="000F1C56">
        <w:rPr>
          <w:rFonts w:ascii="Verdana" w:hAnsi="Verdana"/>
          <w:bCs/>
          <w:sz w:val="16"/>
          <w:szCs w:val="16"/>
          <w:lang w:val="es-CO"/>
        </w:rPr>
        <w:t>Artículo 14.</w:t>
      </w:r>
      <w:r w:rsidRPr="000F1C56">
        <w:rPr>
          <w:rFonts w:ascii="Verdana" w:hAnsi="Verdana"/>
          <w:sz w:val="16"/>
          <w:szCs w:val="16"/>
          <w:lang w:val="es-CO"/>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 w:id="14">
    <w:p w14:paraId="078E7461" w14:textId="77777777" w:rsidR="004C37CC" w:rsidRPr="000F1C56" w:rsidRDefault="004C37CC" w:rsidP="004C37CC">
      <w:pPr>
        <w:pStyle w:val="Textonotapie"/>
        <w:ind w:firstLine="709"/>
        <w:jc w:val="both"/>
        <w:rPr>
          <w:rFonts w:ascii="Verdana" w:hAnsi="Verdana" w:cs="Arial"/>
          <w:color w:val="000000"/>
          <w:sz w:val="16"/>
          <w:szCs w:val="16"/>
        </w:rPr>
      </w:pPr>
      <w:r w:rsidRPr="000F1C56">
        <w:rPr>
          <w:rStyle w:val="Refdenotaalpie"/>
          <w:rFonts w:ascii="Verdana" w:hAnsi="Verdana" w:cs="Arial"/>
          <w:color w:val="000000"/>
          <w:sz w:val="16"/>
          <w:szCs w:val="16"/>
        </w:rPr>
        <w:footnoteRef/>
      </w:r>
      <w:r w:rsidRPr="000F1C56">
        <w:rPr>
          <w:rFonts w:ascii="Verdana" w:hAnsi="Verdana" w:cs="Arial"/>
          <w:color w:val="000000"/>
          <w:sz w:val="16"/>
          <w:szCs w:val="16"/>
        </w:rPr>
        <w:t xml:space="preserve"> CONSEJO DE ESTADO. Sección Tercera, Subsección A. Sentencia del 24 de octubre de 2016. Exp.  45.607. C.P. Martha Nubia Velásquez Rico.</w:t>
      </w:r>
    </w:p>
    <w:p w14:paraId="7F135B9E" w14:textId="77777777" w:rsidR="004C37CC" w:rsidRPr="000F1C56" w:rsidRDefault="004C37CC" w:rsidP="004C37CC">
      <w:pPr>
        <w:pStyle w:val="Textonotapie"/>
        <w:ind w:firstLine="709"/>
        <w:jc w:val="both"/>
        <w:rPr>
          <w:rFonts w:ascii="Verdana" w:hAnsi="Verdana" w:cs="Arial"/>
          <w:color w:val="000000"/>
          <w:sz w:val="16"/>
          <w:szCs w:val="16"/>
          <w:lang w:val="es-ES"/>
        </w:rPr>
      </w:pPr>
    </w:p>
  </w:footnote>
  <w:footnote w:id="15">
    <w:p w14:paraId="24AEA6F3" w14:textId="77777777" w:rsidR="004C37CC" w:rsidRPr="000F1C56" w:rsidRDefault="004C37CC" w:rsidP="004C37CC">
      <w:pPr>
        <w:pStyle w:val="Textonotapie"/>
        <w:ind w:firstLine="708"/>
        <w:jc w:val="both"/>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w:t>
      </w:r>
      <w:r w:rsidRPr="000F1C56">
        <w:rPr>
          <w:rFonts w:ascii="Verdana" w:hAnsi="Verdana"/>
          <w:sz w:val="16"/>
          <w:szCs w:val="16"/>
          <w:lang w:val="es-ES"/>
        </w:rPr>
        <w:t>HINESTROSA FORERO, Fernando. Tratado de las Obligaciones II. De las fuentes de las obligaciones: el negocio jurídico. Volumen I. Bogotá: Universidad Externado de Colombia, 2015. p. 116.</w:t>
      </w:r>
    </w:p>
    <w:p w14:paraId="5B477724" w14:textId="77777777" w:rsidR="004C37CC" w:rsidRPr="000F1C56" w:rsidRDefault="004C37CC" w:rsidP="004C37CC">
      <w:pPr>
        <w:pStyle w:val="Textonotapie"/>
        <w:ind w:firstLine="708"/>
        <w:rPr>
          <w:rFonts w:ascii="Verdana" w:hAnsi="Verdana"/>
          <w:sz w:val="16"/>
          <w:szCs w:val="16"/>
          <w:lang w:val="es-ES"/>
        </w:rPr>
      </w:pPr>
    </w:p>
  </w:footnote>
  <w:footnote w:id="16">
    <w:p w14:paraId="5FB28920" w14:textId="77777777" w:rsidR="004C37CC" w:rsidRPr="000F1C56" w:rsidRDefault="004C37CC" w:rsidP="004C37CC">
      <w:pPr>
        <w:pStyle w:val="Textonotapie"/>
        <w:ind w:firstLine="708"/>
        <w:jc w:val="both"/>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COLOMBIA COMPARA EFICIENTE. Guía para las entidades con régimen especial de contratación. Disponible en línea: </w:t>
      </w:r>
      <w:hyperlink r:id="rId2" w:history="1">
        <w:r w:rsidRPr="000F1C56">
          <w:rPr>
            <w:rStyle w:val="Hipervnculo"/>
            <w:rFonts w:ascii="Verdana" w:hAnsi="Verdana"/>
            <w:sz w:val="16"/>
            <w:szCs w:val="16"/>
          </w:rPr>
          <w:t>https://www.colombiacompra.gov.co/archivos/manual/guia-para-entidades-estatales-con-regimen-especial-de-contratacion</w:t>
        </w:r>
      </w:hyperlink>
      <w:r w:rsidRPr="000F1C56">
        <w:rPr>
          <w:rFonts w:ascii="Verdana" w:hAnsi="Verdana"/>
          <w:sz w:val="16"/>
          <w:szCs w:val="16"/>
        </w:rPr>
        <w:t xml:space="preserve"> </w:t>
      </w:r>
    </w:p>
  </w:footnote>
  <w:footnote w:id="17">
    <w:p w14:paraId="5F4383CA" w14:textId="77777777" w:rsidR="004C37CC" w:rsidRPr="000F1C56" w:rsidRDefault="004C37CC" w:rsidP="004C37CC">
      <w:pPr>
        <w:pStyle w:val="Textonotapie"/>
        <w:ind w:firstLine="708"/>
        <w:rPr>
          <w:rFonts w:ascii="Verdana" w:hAnsi="Verdana"/>
          <w:sz w:val="16"/>
          <w:szCs w:val="16"/>
          <w:lang w:val="es-CO"/>
        </w:rPr>
      </w:pPr>
      <w:r w:rsidRPr="000F1C56">
        <w:rPr>
          <w:rStyle w:val="Refdenotaalpie"/>
          <w:rFonts w:ascii="Verdana" w:hAnsi="Verdana"/>
          <w:sz w:val="16"/>
          <w:szCs w:val="16"/>
        </w:rPr>
        <w:footnoteRef/>
      </w:r>
      <w:r w:rsidRPr="000F1C56">
        <w:rPr>
          <w:rFonts w:ascii="Verdana" w:hAnsi="Verdana"/>
          <w:sz w:val="16"/>
          <w:szCs w:val="16"/>
        </w:rPr>
        <w:t xml:space="preserve"> CONSEJO DE ESTADO. Sección Tercera. Sentencia del 3 de diciembre de 2007. Exp. 24.715. C.P. Ruth Stella Correa Palacio. </w:t>
      </w:r>
    </w:p>
  </w:footnote>
  <w:footnote w:id="18">
    <w:p w14:paraId="3C23BD31" w14:textId="77777777" w:rsidR="004C37CC" w:rsidRPr="000F1C56" w:rsidRDefault="004C37CC" w:rsidP="004C37CC">
      <w:pPr>
        <w:pStyle w:val="Textonotapie"/>
        <w:ind w:firstLine="708"/>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CORTE CONSTITUCIONAL. Sentencia C-118 de 2018. M.P. Gloria Stella Ortiz Delgado. </w:t>
      </w:r>
    </w:p>
  </w:footnote>
  <w:footnote w:id="19">
    <w:p w14:paraId="421DCE5A" w14:textId="77777777" w:rsidR="004C37CC" w:rsidRPr="000F1C56" w:rsidRDefault="004C37CC" w:rsidP="004C37CC">
      <w:pPr>
        <w:pStyle w:val="Textonotapie"/>
        <w:ind w:firstLine="708"/>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Ibídem. </w:t>
      </w:r>
    </w:p>
  </w:footnote>
  <w:footnote w:id="20">
    <w:p w14:paraId="0C822C76" w14:textId="77777777" w:rsidR="004C37CC" w:rsidRPr="000F1C56" w:rsidRDefault="004C37CC" w:rsidP="004C37CC">
      <w:pPr>
        <w:pStyle w:val="Sinespaciado"/>
        <w:ind w:firstLine="708"/>
        <w:contextualSpacing/>
        <w:rPr>
          <w:rFonts w:ascii="Verdana" w:hAnsi="Verdana" w:cs="Times New Roman"/>
          <w:sz w:val="16"/>
          <w:szCs w:val="16"/>
        </w:rPr>
      </w:pPr>
      <w:r w:rsidRPr="000F1C56">
        <w:rPr>
          <w:rStyle w:val="Refdenotaalpie"/>
          <w:rFonts w:ascii="Verdana" w:hAnsi="Verdana"/>
          <w:color w:val="000000"/>
          <w:sz w:val="16"/>
          <w:szCs w:val="16"/>
        </w:rPr>
        <w:footnoteRef/>
      </w:r>
      <w:r w:rsidRPr="000F1C56">
        <w:rPr>
          <w:rFonts w:ascii="Verdana" w:hAnsi="Verdana" w:cs="Times New Roman"/>
          <w:sz w:val="16"/>
          <w:szCs w:val="16"/>
        </w:rPr>
        <w:t xml:space="preserve"> CORTE CONSTITUCIONAL. Sentencia T-068 de 1998. M.P. Alejandro Martínez Caballero. </w:t>
      </w:r>
    </w:p>
  </w:footnote>
  <w:footnote w:id="21">
    <w:p w14:paraId="78F07591" w14:textId="77777777" w:rsidR="004C37CC" w:rsidRPr="0018175B" w:rsidRDefault="004C37CC" w:rsidP="004C37CC">
      <w:pPr>
        <w:pStyle w:val="Textonotapie"/>
        <w:ind w:firstLine="708"/>
        <w:rPr>
          <w:rFonts w:ascii="Verdana" w:hAnsi="Verdana"/>
          <w:sz w:val="16"/>
          <w:szCs w:val="16"/>
          <w:lang w:val="es-ES"/>
        </w:rPr>
      </w:pPr>
      <w:r w:rsidRPr="000F1C56">
        <w:rPr>
          <w:rStyle w:val="Refdenotaalpie"/>
          <w:rFonts w:ascii="Verdana" w:hAnsi="Verdana"/>
          <w:sz w:val="16"/>
          <w:szCs w:val="16"/>
        </w:rPr>
        <w:footnoteRef/>
      </w:r>
      <w:r w:rsidRPr="000F1C56">
        <w:rPr>
          <w:rFonts w:ascii="Verdana" w:hAnsi="Verdana"/>
          <w:sz w:val="16"/>
          <w:szCs w:val="16"/>
        </w:rPr>
        <w:t xml:space="preserve"> Agencia Nacional de Contratación Pública –Colombia Compra Eficiente. Guía de competencia en las compras públicas, 2018. p. 4. Disponible en línea: </w:t>
      </w:r>
      <w:hyperlink r:id="rId3" w:history="1">
        <w:r w:rsidRPr="000F1C56">
          <w:rPr>
            <w:rStyle w:val="Hipervnculo"/>
            <w:rFonts w:ascii="Verdana" w:hAnsi="Verdana"/>
            <w:sz w:val="16"/>
            <w:szCs w:val="16"/>
          </w:rPr>
          <w:t>https://www.colombiacompra.gov.co/archivos/manual/guia-de-competencia-en-las-compras-publicas</w:t>
        </w:r>
      </w:hyperlink>
      <w:r w:rsidRPr="0018175B">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EC0E3F" w:rsidRDefault="00EC0E3F">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EC0E3F" w:rsidRDefault="00EC0E3F">
    <w:pPr>
      <w:pStyle w:val="Encabezado"/>
    </w:pPr>
  </w:p>
  <w:p w14:paraId="3079FC11" w14:textId="77777777" w:rsidR="00EC0E3F" w:rsidRDefault="00EC0E3F" w:rsidP="004A305D">
    <w:pPr>
      <w:spacing w:after="0"/>
      <w:rPr>
        <w:rFonts w:ascii="Verdana" w:hAnsi="Verdana"/>
        <w:b/>
        <w:bCs/>
      </w:rPr>
    </w:pPr>
  </w:p>
  <w:p w14:paraId="5E18350A" w14:textId="705F7B76" w:rsidR="00EC0E3F" w:rsidRPr="004A305D" w:rsidRDefault="00EC0E3F" w:rsidP="00B01B1A">
    <w:pPr>
      <w:spacing w:after="0" w:line="120" w:lineRule="auto"/>
      <w:rPr>
        <w:rFonts w:ascii="Century Gothic" w:eastAsia="Geo" w:hAnsi="Century Gothic" w:cs="Geo"/>
        <w:sz w:val="16"/>
        <w:szCs w:val="16"/>
        <w:lang w:eastAsia="es-CO"/>
      </w:rPr>
    </w:pPr>
  </w:p>
  <w:p w14:paraId="1FD1C243" w14:textId="6D74A3CF" w:rsidR="00EC0E3F" w:rsidRDefault="00EC0E3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0F736BA"/>
    <w:multiLevelType w:val="hybridMultilevel"/>
    <w:tmpl w:val="8B6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90472F2"/>
    <w:multiLevelType w:val="hybridMultilevel"/>
    <w:tmpl w:val="167ABF28"/>
    <w:lvl w:ilvl="0" w:tplc="0AC2F006">
      <w:numFmt w:val="bullet"/>
      <w:lvlText w:val=""/>
      <w:lvlJc w:val="left"/>
      <w:pPr>
        <w:ind w:left="1181" w:hanging="360"/>
      </w:pPr>
      <w:rPr>
        <w:rFonts w:ascii="Symbol" w:eastAsia="Symbol" w:hAnsi="Symbol" w:cs="Symbol" w:hint="default"/>
        <w:b w:val="0"/>
        <w:bCs w:val="0"/>
        <w:i w:val="0"/>
        <w:iCs w:val="0"/>
        <w:spacing w:val="0"/>
        <w:w w:val="100"/>
        <w:sz w:val="22"/>
        <w:szCs w:val="22"/>
        <w:lang w:val="es-ES" w:eastAsia="en-US" w:bidi="ar-SA"/>
      </w:rPr>
    </w:lvl>
    <w:lvl w:ilvl="1" w:tplc="B3B6F79E">
      <w:numFmt w:val="bullet"/>
      <w:lvlText w:val="•"/>
      <w:lvlJc w:val="left"/>
      <w:pPr>
        <w:ind w:left="1998" w:hanging="360"/>
      </w:pPr>
      <w:rPr>
        <w:rFonts w:hint="default"/>
        <w:lang w:val="es-ES" w:eastAsia="en-US" w:bidi="ar-SA"/>
      </w:rPr>
    </w:lvl>
    <w:lvl w:ilvl="2" w:tplc="0B3C5E0E">
      <w:numFmt w:val="bullet"/>
      <w:lvlText w:val="•"/>
      <w:lvlJc w:val="left"/>
      <w:pPr>
        <w:ind w:left="2816" w:hanging="360"/>
      </w:pPr>
      <w:rPr>
        <w:rFonts w:hint="default"/>
        <w:lang w:val="es-ES" w:eastAsia="en-US" w:bidi="ar-SA"/>
      </w:rPr>
    </w:lvl>
    <w:lvl w:ilvl="3" w:tplc="B7862390">
      <w:numFmt w:val="bullet"/>
      <w:lvlText w:val="•"/>
      <w:lvlJc w:val="left"/>
      <w:pPr>
        <w:ind w:left="3634" w:hanging="360"/>
      </w:pPr>
      <w:rPr>
        <w:rFonts w:hint="default"/>
        <w:lang w:val="es-ES" w:eastAsia="en-US" w:bidi="ar-SA"/>
      </w:rPr>
    </w:lvl>
    <w:lvl w:ilvl="4" w:tplc="90E87D84">
      <w:numFmt w:val="bullet"/>
      <w:lvlText w:val="•"/>
      <w:lvlJc w:val="left"/>
      <w:pPr>
        <w:ind w:left="4452" w:hanging="360"/>
      </w:pPr>
      <w:rPr>
        <w:rFonts w:hint="default"/>
        <w:lang w:val="es-ES" w:eastAsia="en-US" w:bidi="ar-SA"/>
      </w:rPr>
    </w:lvl>
    <w:lvl w:ilvl="5" w:tplc="9BE638DC">
      <w:numFmt w:val="bullet"/>
      <w:lvlText w:val="•"/>
      <w:lvlJc w:val="left"/>
      <w:pPr>
        <w:ind w:left="5270" w:hanging="360"/>
      </w:pPr>
      <w:rPr>
        <w:rFonts w:hint="default"/>
        <w:lang w:val="es-ES" w:eastAsia="en-US" w:bidi="ar-SA"/>
      </w:rPr>
    </w:lvl>
    <w:lvl w:ilvl="6" w:tplc="994A4E1C">
      <w:numFmt w:val="bullet"/>
      <w:lvlText w:val="•"/>
      <w:lvlJc w:val="left"/>
      <w:pPr>
        <w:ind w:left="6088" w:hanging="360"/>
      </w:pPr>
      <w:rPr>
        <w:rFonts w:hint="default"/>
        <w:lang w:val="es-ES" w:eastAsia="en-US" w:bidi="ar-SA"/>
      </w:rPr>
    </w:lvl>
    <w:lvl w:ilvl="7" w:tplc="1E40C10C">
      <w:numFmt w:val="bullet"/>
      <w:lvlText w:val="•"/>
      <w:lvlJc w:val="left"/>
      <w:pPr>
        <w:ind w:left="6906" w:hanging="360"/>
      </w:pPr>
      <w:rPr>
        <w:rFonts w:hint="default"/>
        <w:lang w:val="es-ES" w:eastAsia="en-US" w:bidi="ar-SA"/>
      </w:rPr>
    </w:lvl>
    <w:lvl w:ilvl="8" w:tplc="9874411C">
      <w:numFmt w:val="bullet"/>
      <w:lvlText w:val="•"/>
      <w:lvlJc w:val="left"/>
      <w:pPr>
        <w:ind w:left="7724" w:hanging="360"/>
      </w:pPr>
      <w:rPr>
        <w:rFonts w:hint="default"/>
        <w:lang w:val="es-ES" w:eastAsia="en-US" w:bidi="ar-SA"/>
      </w:rPr>
    </w:lvl>
  </w:abstractNum>
  <w:abstractNum w:abstractNumId="1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9"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0"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711A51"/>
    <w:multiLevelType w:val="hybridMultilevel"/>
    <w:tmpl w:val="A518028C"/>
    <w:lvl w:ilvl="0" w:tplc="063EE9EE">
      <w:start w:val="1"/>
      <w:numFmt w:val="decimal"/>
      <w:lvlText w:val="%1."/>
      <w:lvlJc w:val="left"/>
      <w:pPr>
        <w:ind w:left="545" w:hanging="284"/>
      </w:pPr>
      <w:rPr>
        <w:rFonts w:ascii="Verdana" w:eastAsia="Verdana" w:hAnsi="Verdana" w:cs="Verdana" w:hint="default"/>
        <w:b/>
        <w:bCs/>
        <w:i w:val="0"/>
        <w:iCs w:val="0"/>
        <w:spacing w:val="-1"/>
        <w:w w:val="99"/>
        <w:sz w:val="22"/>
        <w:szCs w:val="22"/>
        <w:lang w:val="es-ES" w:eastAsia="en-US" w:bidi="ar-SA"/>
      </w:rPr>
    </w:lvl>
    <w:lvl w:ilvl="1" w:tplc="E3C4932E">
      <w:start w:val="1"/>
      <w:numFmt w:val="lowerLetter"/>
      <w:lvlText w:val="%2)"/>
      <w:lvlJc w:val="left"/>
      <w:pPr>
        <w:ind w:left="261" w:hanging="383"/>
      </w:pPr>
      <w:rPr>
        <w:rFonts w:ascii="Verdana" w:eastAsia="Verdana" w:hAnsi="Verdana" w:cs="Verdana" w:hint="default"/>
        <w:b w:val="0"/>
        <w:bCs w:val="0"/>
        <w:i w:val="0"/>
        <w:iCs w:val="0"/>
        <w:spacing w:val="-1"/>
        <w:w w:val="99"/>
        <w:sz w:val="22"/>
        <w:szCs w:val="22"/>
        <w:lang w:val="es-ES" w:eastAsia="en-US" w:bidi="ar-SA"/>
      </w:rPr>
    </w:lvl>
    <w:lvl w:ilvl="2" w:tplc="B1BCF86C">
      <w:start w:val="1"/>
      <w:numFmt w:val="lowerLetter"/>
      <w:lvlText w:val="%3)"/>
      <w:lvlJc w:val="left"/>
      <w:pPr>
        <w:ind w:left="981" w:hanging="360"/>
      </w:pPr>
      <w:rPr>
        <w:rFonts w:ascii="Verdana" w:eastAsia="Verdana" w:hAnsi="Verdana" w:cs="Verdana" w:hint="default"/>
        <w:b w:val="0"/>
        <w:bCs w:val="0"/>
        <w:i w:val="0"/>
        <w:iCs w:val="0"/>
        <w:spacing w:val="-1"/>
        <w:w w:val="99"/>
        <w:sz w:val="22"/>
        <w:szCs w:val="22"/>
        <w:lang w:val="es-ES" w:eastAsia="en-US" w:bidi="ar-SA"/>
      </w:rPr>
    </w:lvl>
    <w:lvl w:ilvl="3" w:tplc="DA86040E">
      <w:numFmt w:val="bullet"/>
      <w:lvlText w:val="•"/>
      <w:lvlJc w:val="left"/>
      <w:pPr>
        <w:ind w:left="2072" w:hanging="360"/>
      </w:pPr>
      <w:rPr>
        <w:rFonts w:hint="default"/>
        <w:lang w:val="es-ES" w:eastAsia="en-US" w:bidi="ar-SA"/>
      </w:rPr>
    </w:lvl>
    <w:lvl w:ilvl="4" w:tplc="CE88E080">
      <w:numFmt w:val="bullet"/>
      <w:lvlText w:val="•"/>
      <w:lvlJc w:val="left"/>
      <w:pPr>
        <w:ind w:left="3165" w:hanging="360"/>
      </w:pPr>
      <w:rPr>
        <w:rFonts w:hint="default"/>
        <w:lang w:val="es-ES" w:eastAsia="en-US" w:bidi="ar-SA"/>
      </w:rPr>
    </w:lvl>
    <w:lvl w:ilvl="5" w:tplc="1B5AB794">
      <w:numFmt w:val="bullet"/>
      <w:lvlText w:val="•"/>
      <w:lvlJc w:val="left"/>
      <w:pPr>
        <w:ind w:left="4257" w:hanging="360"/>
      </w:pPr>
      <w:rPr>
        <w:rFonts w:hint="default"/>
        <w:lang w:val="es-ES" w:eastAsia="en-US" w:bidi="ar-SA"/>
      </w:rPr>
    </w:lvl>
    <w:lvl w:ilvl="6" w:tplc="57C474B0">
      <w:numFmt w:val="bullet"/>
      <w:lvlText w:val="•"/>
      <w:lvlJc w:val="left"/>
      <w:pPr>
        <w:ind w:left="5350" w:hanging="360"/>
      </w:pPr>
      <w:rPr>
        <w:rFonts w:hint="default"/>
        <w:lang w:val="es-ES" w:eastAsia="en-US" w:bidi="ar-SA"/>
      </w:rPr>
    </w:lvl>
    <w:lvl w:ilvl="7" w:tplc="ED962E92">
      <w:numFmt w:val="bullet"/>
      <w:lvlText w:val="•"/>
      <w:lvlJc w:val="left"/>
      <w:pPr>
        <w:ind w:left="6442" w:hanging="360"/>
      </w:pPr>
      <w:rPr>
        <w:rFonts w:hint="default"/>
        <w:lang w:val="es-ES" w:eastAsia="en-US" w:bidi="ar-SA"/>
      </w:rPr>
    </w:lvl>
    <w:lvl w:ilvl="8" w:tplc="E7EC06B6">
      <w:numFmt w:val="bullet"/>
      <w:lvlText w:val="•"/>
      <w:lvlJc w:val="left"/>
      <w:pPr>
        <w:ind w:left="7535" w:hanging="360"/>
      </w:pPr>
      <w:rPr>
        <w:rFonts w:hint="default"/>
        <w:lang w:val="es-ES" w:eastAsia="en-US" w:bidi="ar-SA"/>
      </w:rPr>
    </w:lvl>
  </w:abstractNum>
  <w:abstractNum w:abstractNumId="25" w15:restartNumberingAfterBreak="0">
    <w:nsid w:val="61E905C1"/>
    <w:multiLevelType w:val="hybridMultilevel"/>
    <w:tmpl w:val="84F880E2"/>
    <w:lvl w:ilvl="0" w:tplc="60586CCE">
      <w:start w:val="4"/>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4245716">
    <w:abstractNumId w:val="13"/>
  </w:num>
  <w:num w:numId="2" w16cid:durableId="173766695">
    <w:abstractNumId w:val="2"/>
  </w:num>
  <w:num w:numId="3" w16cid:durableId="887838133">
    <w:abstractNumId w:val="11"/>
  </w:num>
  <w:num w:numId="4" w16cid:durableId="2016807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2873764">
    <w:abstractNumId w:val="2"/>
  </w:num>
  <w:num w:numId="6" w16cid:durableId="566648731">
    <w:abstractNumId w:val="30"/>
  </w:num>
  <w:num w:numId="7" w16cid:durableId="1927418680">
    <w:abstractNumId w:val="12"/>
  </w:num>
  <w:num w:numId="8" w16cid:durableId="93482508">
    <w:abstractNumId w:val="29"/>
  </w:num>
  <w:num w:numId="9" w16cid:durableId="920330066">
    <w:abstractNumId w:val="14"/>
  </w:num>
  <w:num w:numId="10" w16cid:durableId="666978454">
    <w:abstractNumId w:val="27"/>
  </w:num>
  <w:num w:numId="11" w16cid:durableId="322009297">
    <w:abstractNumId w:val="15"/>
  </w:num>
  <w:num w:numId="12" w16cid:durableId="1762067573">
    <w:abstractNumId w:val="1"/>
  </w:num>
  <w:num w:numId="13" w16cid:durableId="493952613">
    <w:abstractNumId w:val="7"/>
  </w:num>
  <w:num w:numId="14" w16cid:durableId="2028361656">
    <w:abstractNumId w:val="31"/>
  </w:num>
  <w:num w:numId="15" w16cid:durableId="2080636928">
    <w:abstractNumId w:val="26"/>
  </w:num>
  <w:num w:numId="16" w16cid:durableId="21863517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8963237">
    <w:abstractNumId w:val="5"/>
  </w:num>
  <w:num w:numId="18" w16cid:durableId="173883691">
    <w:abstractNumId w:val="22"/>
  </w:num>
  <w:num w:numId="19" w16cid:durableId="425224342">
    <w:abstractNumId w:val="9"/>
  </w:num>
  <w:num w:numId="20" w16cid:durableId="441649775">
    <w:abstractNumId w:val="16"/>
  </w:num>
  <w:num w:numId="21" w16cid:durableId="1355032375">
    <w:abstractNumId w:val="32"/>
  </w:num>
  <w:num w:numId="22" w16cid:durableId="291398938">
    <w:abstractNumId w:val="18"/>
  </w:num>
  <w:num w:numId="23" w16cid:durableId="1580285531">
    <w:abstractNumId w:val="0"/>
  </w:num>
  <w:num w:numId="24" w16cid:durableId="71854201">
    <w:abstractNumId w:val="23"/>
  </w:num>
  <w:num w:numId="25" w16cid:durableId="266423313">
    <w:abstractNumId w:val="20"/>
  </w:num>
  <w:num w:numId="26" w16cid:durableId="1716420457">
    <w:abstractNumId w:val="19"/>
  </w:num>
  <w:num w:numId="27" w16cid:durableId="1870947137">
    <w:abstractNumId w:val="6"/>
  </w:num>
  <w:num w:numId="28" w16cid:durableId="1399355924">
    <w:abstractNumId w:val="8"/>
  </w:num>
  <w:num w:numId="29" w16cid:durableId="602765780">
    <w:abstractNumId w:val="3"/>
  </w:num>
  <w:num w:numId="30" w16cid:durableId="977343096">
    <w:abstractNumId w:val="4"/>
  </w:num>
  <w:num w:numId="31" w16cid:durableId="1697583977">
    <w:abstractNumId w:val="21"/>
  </w:num>
  <w:num w:numId="32" w16cid:durableId="478228919">
    <w:abstractNumId w:val="28"/>
  </w:num>
  <w:num w:numId="33" w16cid:durableId="864713491">
    <w:abstractNumId w:val="24"/>
  </w:num>
  <w:num w:numId="34" w16cid:durableId="1622497502">
    <w:abstractNumId w:val="10"/>
  </w:num>
  <w:num w:numId="35" w16cid:durableId="801927205">
    <w:abstractNumId w:val="25"/>
  </w:num>
  <w:num w:numId="36" w16cid:durableId="4398373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25A3"/>
    <w:rsid w:val="000039A2"/>
    <w:rsid w:val="000062F3"/>
    <w:rsid w:val="0000797D"/>
    <w:rsid w:val="0001328B"/>
    <w:rsid w:val="0002077F"/>
    <w:rsid w:val="000224F2"/>
    <w:rsid w:val="00023C3E"/>
    <w:rsid w:val="0002470C"/>
    <w:rsid w:val="0002653B"/>
    <w:rsid w:val="00032821"/>
    <w:rsid w:val="00032E13"/>
    <w:rsid w:val="00036498"/>
    <w:rsid w:val="00040F37"/>
    <w:rsid w:val="00041860"/>
    <w:rsid w:val="0004434A"/>
    <w:rsid w:val="0005281E"/>
    <w:rsid w:val="000539CB"/>
    <w:rsid w:val="0005682C"/>
    <w:rsid w:val="00056D71"/>
    <w:rsid w:val="00061B2A"/>
    <w:rsid w:val="00062BAF"/>
    <w:rsid w:val="000630B9"/>
    <w:rsid w:val="000635D0"/>
    <w:rsid w:val="000643B2"/>
    <w:rsid w:val="00065E80"/>
    <w:rsid w:val="0007022C"/>
    <w:rsid w:val="00071DE6"/>
    <w:rsid w:val="0007232E"/>
    <w:rsid w:val="00077439"/>
    <w:rsid w:val="000774B8"/>
    <w:rsid w:val="00082362"/>
    <w:rsid w:val="0008328D"/>
    <w:rsid w:val="00083B95"/>
    <w:rsid w:val="000876F0"/>
    <w:rsid w:val="00090C58"/>
    <w:rsid w:val="000920CF"/>
    <w:rsid w:val="0009387A"/>
    <w:rsid w:val="0009387B"/>
    <w:rsid w:val="000963C6"/>
    <w:rsid w:val="00096C02"/>
    <w:rsid w:val="0009762F"/>
    <w:rsid w:val="000A31B9"/>
    <w:rsid w:val="000A3330"/>
    <w:rsid w:val="000A3D63"/>
    <w:rsid w:val="000A683A"/>
    <w:rsid w:val="000A683E"/>
    <w:rsid w:val="000B1082"/>
    <w:rsid w:val="000B158F"/>
    <w:rsid w:val="000B19B9"/>
    <w:rsid w:val="000C2889"/>
    <w:rsid w:val="000C53BE"/>
    <w:rsid w:val="000D0152"/>
    <w:rsid w:val="000D0334"/>
    <w:rsid w:val="000D25D7"/>
    <w:rsid w:val="000D3B29"/>
    <w:rsid w:val="000D42B3"/>
    <w:rsid w:val="000E06F4"/>
    <w:rsid w:val="000E0F63"/>
    <w:rsid w:val="000E4CE4"/>
    <w:rsid w:val="000F1C56"/>
    <w:rsid w:val="000F4D07"/>
    <w:rsid w:val="000F6486"/>
    <w:rsid w:val="000F669F"/>
    <w:rsid w:val="001063B3"/>
    <w:rsid w:val="00107ACA"/>
    <w:rsid w:val="001114A9"/>
    <w:rsid w:val="00111979"/>
    <w:rsid w:val="00116537"/>
    <w:rsid w:val="00117B68"/>
    <w:rsid w:val="00120766"/>
    <w:rsid w:val="00121EA1"/>
    <w:rsid w:val="001240BD"/>
    <w:rsid w:val="00125105"/>
    <w:rsid w:val="00127233"/>
    <w:rsid w:val="00131D34"/>
    <w:rsid w:val="0013422E"/>
    <w:rsid w:val="00143E81"/>
    <w:rsid w:val="00143FD9"/>
    <w:rsid w:val="00145047"/>
    <w:rsid w:val="001450FF"/>
    <w:rsid w:val="00146C57"/>
    <w:rsid w:val="00147078"/>
    <w:rsid w:val="00150565"/>
    <w:rsid w:val="001514FA"/>
    <w:rsid w:val="00151952"/>
    <w:rsid w:val="00160D5C"/>
    <w:rsid w:val="0016332F"/>
    <w:rsid w:val="00165268"/>
    <w:rsid w:val="001717E9"/>
    <w:rsid w:val="0017238A"/>
    <w:rsid w:val="00180A30"/>
    <w:rsid w:val="0018159B"/>
    <w:rsid w:val="00185EE9"/>
    <w:rsid w:val="00187F79"/>
    <w:rsid w:val="00191775"/>
    <w:rsid w:val="0019251B"/>
    <w:rsid w:val="00195992"/>
    <w:rsid w:val="00196153"/>
    <w:rsid w:val="00197274"/>
    <w:rsid w:val="001979E2"/>
    <w:rsid w:val="001A237A"/>
    <w:rsid w:val="001A26CF"/>
    <w:rsid w:val="001A2919"/>
    <w:rsid w:val="001B0A41"/>
    <w:rsid w:val="001B2717"/>
    <w:rsid w:val="001B2CFE"/>
    <w:rsid w:val="001C222E"/>
    <w:rsid w:val="001C22F9"/>
    <w:rsid w:val="001D1C29"/>
    <w:rsid w:val="001D318E"/>
    <w:rsid w:val="001E3C06"/>
    <w:rsid w:val="001E4177"/>
    <w:rsid w:val="001F4EFD"/>
    <w:rsid w:val="001F5E13"/>
    <w:rsid w:val="001F6D11"/>
    <w:rsid w:val="001F7DC6"/>
    <w:rsid w:val="00202886"/>
    <w:rsid w:val="00206A83"/>
    <w:rsid w:val="002133F0"/>
    <w:rsid w:val="00215CEF"/>
    <w:rsid w:val="00217A08"/>
    <w:rsid w:val="00220B77"/>
    <w:rsid w:val="00221D27"/>
    <w:rsid w:val="0022564A"/>
    <w:rsid w:val="00227C89"/>
    <w:rsid w:val="002307E9"/>
    <w:rsid w:val="00237233"/>
    <w:rsid w:val="002421BB"/>
    <w:rsid w:val="00246A81"/>
    <w:rsid w:val="00251A5F"/>
    <w:rsid w:val="0025796E"/>
    <w:rsid w:val="002603E5"/>
    <w:rsid w:val="00260FD9"/>
    <w:rsid w:val="002638B2"/>
    <w:rsid w:val="002660F2"/>
    <w:rsid w:val="002664BB"/>
    <w:rsid w:val="00267317"/>
    <w:rsid w:val="002703AA"/>
    <w:rsid w:val="002707A2"/>
    <w:rsid w:val="00270FB6"/>
    <w:rsid w:val="002715B9"/>
    <w:rsid w:val="00273D8D"/>
    <w:rsid w:val="00281E93"/>
    <w:rsid w:val="002835A6"/>
    <w:rsid w:val="002844ED"/>
    <w:rsid w:val="00290EBC"/>
    <w:rsid w:val="002951A0"/>
    <w:rsid w:val="002962BC"/>
    <w:rsid w:val="002A093D"/>
    <w:rsid w:val="002A0DC4"/>
    <w:rsid w:val="002A0DD0"/>
    <w:rsid w:val="002A2CDE"/>
    <w:rsid w:val="002A49AC"/>
    <w:rsid w:val="002A5BC8"/>
    <w:rsid w:val="002A64FD"/>
    <w:rsid w:val="002A6BBF"/>
    <w:rsid w:val="002B1E57"/>
    <w:rsid w:val="002B1F7F"/>
    <w:rsid w:val="002B290B"/>
    <w:rsid w:val="002B631F"/>
    <w:rsid w:val="002B6519"/>
    <w:rsid w:val="002B73B9"/>
    <w:rsid w:val="002C110E"/>
    <w:rsid w:val="002C379A"/>
    <w:rsid w:val="002C765E"/>
    <w:rsid w:val="002C7A84"/>
    <w:rsid w:val="002D0F6A"/>
    <w:rsid w:val="002D13A1"/>
    <w:rsid w:val="002D3F0D"/>
    <w:rsid w:val="002E1D98"/>
    <w:rsid w:val="002E2C3F"/>
    <w:rsid w:val="002E2F4F"/>
    <w:rsid w:val="002E4FD9"/>
    <w:rsid w:val="002E6F15"/>
    <w:rsid w:val="002F13FD"/>
    <w:rsid w:val="002F533E"/>
    <w:rsid w:val="00303544"/>
    <w:rsid w:val="003039C1"/>
    <w:rsid w:val="00310DBE"/>
    <w:rsid w:val="00311C99"/>
    <w:rsid w:val="0031430F"/>
    <w:rsid w:val="00320BBD"/>
    <w:rsid w:val="00322A85"/>
    <w:rsid w:val="003232A5"/>
    <w:rsid w:val="00324168"/>
    <w:rsid w:val="0033032A"/>
    <w:rsid w:val="00334C6A"/>
    <w:rsid w:val="00336C05"/>
    <w:rsid w:val="00340983"/>
    <w:rsid w:val="00340C6A"/>
    <w:rsid w:val="00342675"/>
    <w:rsid w:val="00343512"/>
    <w:rsid w:val="003448F4"/>
    <w:rsid w:val="00345112"/>
    <w:rsid w:val="00345330"/>
    <w:rsid w:val="003528DF"/>
    <w:rsid w:val="00352C12"/>
    <w:rsid w:val="00354BCA"/>
    <w:rsid w:val="00354F33"/>
    <w:rsid w:val="0036594E"/>
    <w:rsid w:val="003665EE"/>
    <w:rsid w:val="0037010E"/>
    <w:rsid w:val="00371EDF"/>
    <w:rsid w:val="003734F4"/>
    <w:rsid w:val="00374F5E"/>
    <w:rsid w:val="00377E2D"/>
    <w:rsid w:val="00377E3E"/>
    <w:rsid w:val="003815E8"/>
    <w:rsid w:val="00382B7C"/>
    <w:rsid w:val="003906F8"/>
    <w:rsid w:val="003907E7"/>
    <w:rsid w:val="00392A49"/>
    <w:rsid w:val="003A26D1"/>
    <w:rsid w:val="003A3B30"/>
    <w:rsid w:val="003A779E"/>
    <w:rsid w:val="003B005A"/>
    <w:rsid w:val="003B0EAC"/>
    <w:rsid w:val="003C1BFE"/>
    <w:rsid w:val="003C1C0E"/>
    <w:rsid w:val="003C3FA5"/>
    <w:rsid w:val="003D0F4D"/>
    <w:rsid w:val="003D5B0D"/>
    <w:rsid w:val="003D66C4"/>
    <w:rsid w:val="003E0499"/>
    <w:rsid w:val="003E40F2"/>
    <w:rsid w:val="003E60AE"/>
    <w:rsid w:val="003F3941"/>
    <w:rsid w:val="003F4BAF"/>
    <w:rsid w:val="00400676"/>
    <w:rsid w:val="004008A9"/>
    <w:rsid w:val="00405A3E"/>
    <w:rsid w:val="00406575"/>
    <w:rsid w:val="00407C75"/>
    <w:rsid w:val="00410906"/>
    <w:rsid w:val="0041655A"/>
    <w:rsid w:val="0041694B"/>
    <w:rsid w:val="00426FD7"/>
    <w:rsid w:val="0042722E"/>
    <w:rsid w:val="00427DA0"/>
    <w:rsid w:val="0043485F"/>
    <w:rsid w:val="0043790F"/>
    <w:rsid w:val="00440391"/>
    <w:rsid w:val="00441FCF"/>
    <w:rsid w:val="00442C7F"/>
    <w:rsid w:val="0044528D"/>
    <w:rsid w:val="00447218"/>
    <w:rsid w:val="00450920"/>
    <w:rsid w:val="00454D48"/>
    <w:rsid w:val="004554F9"/>
    <w:rsid w:val="0046004D"/>
    <w:rsid w:val="004633DE"/>
    <w:rsid w:val="0046513D"/>
    <w:rsid w:val="00465E71"/>
    <w:rsid w:val="00470571"/>
    <w:rsid w:val="004712E0"/>
    <w:rsid w:val="004734BD"/>
    <w:rsid w:val="00474931"/>
    <w:rsid w:val="00482608"/>
    <w:rsid w:val="00483749"/>
    <w:rsid w:val="00484809"/>
    <w:rsid w:val="00484BB1"/>
    <w:rsid w:val="004871C2"/>
    <w:rsid w:val="004A0980"/>
    <w:rsid w:val="004A0B8B"/>
    <w:rsid w:val="004A1847"/>
    <w:rsid w:val="004A305D"/>
    <w:rsid w:val="004A3312"/>
    <w:rsid w:val="004A6D9B"/>
    <w:rsid w:val="004B0CA2"/>
    <w:rsid w:val="004B6F2F"/>
    <w:rsid w:val="004B703F"/>
    <w:rsid w:val="004B740F"/>
    <w:rsid w:val="004C37CC"/>
    <w:rsid w:val="004C4B37"/>
    <w:rsid w:val="004D026D"/>
    <w:rsid w:val="004D3A9E"/>
    <w:rsid w:val="004D46AB"/>
    <w:rsid w:val="004D5998"/>
    <w:rsid w:val="004D657F"/>
    <w:rsid w:val="004E221E"/>
    <w:rsid w:val="004E2892"/>
    <w:rsid w:val="004E2BAE"/>
    <w:rsid w:val="004E4C0B"/>
    <w:rsid w:val="004E505B"/>
    <w:rsid w:val="004F21C4"/>
    <w:rsid w:val="004F2B72"/>
    <w:rsid w:val="004F3012"/>
    <w:rsid w:val="004F5559"/>
    <w:rsid w:val="004F5A86"/>
    <w:rsid w:val="004F685F"/>
    <w:rsid w:val="004F7EC9"/>
    <w:rsid w:val="00504CBE"/>
    <w:rsid w:val="00514598"/>
    <w:rsid w:val="00515557"/>
    <w:rsid w:val="00515E1E"/>
    <w:rsid w:val="005163B5"/>
    <w:rsid w:val="0052543A"/>
    <w:rsid w:val="0052785C"/>
    <w:rsid w:val="00533E1B"/>
    <w:rsid w:val="0054043A"/>
    <w:rsid w:val="00540C2D"/>
    <w:rsid w:val="00541685"/>
    <w:rsid w:val="00541793"/>
    <w:rsid w:val="00552502"/>
    <w:rsid w:val="005566E8"/>
    <w:rsid w:val="00560CB5"/>
    <w:rsid w:val="00564F8B"/>
    <w:rsid w:val="00570DE1"/>
    <w:rsid w:val="00574122"/>
    <w:rsid w:val="00574867"/>
    <w:rsid w:val="0057702A"/>
    <w:rsid w:val="00577D09"/>
    <w:rsid w:val="0058087F"/>
    <w:rsid w:val="00591460"/>
    <w:rsid w:val="00592628"/>
    <w:rsid w:val="00597C75"/>
    <w:rsid w:val="005A0868"/>
    <w:rsid w:val="005A0CFB"/>
    <w:rsid w:val="005A282F"/>
    <w:rsid w:val="005A2AC9"/>
    <w:rsid w:val="005A2D71"/>
    <w:rsid w:val="005B2C3C"/>
    <w:rsid w:val="005B2CCE"/>
    <w:rsid w:val="005B496D"/>
    <w:rsid w:val="005B58C1"/>
    <w:rsid w:val="005B6033"/>
    <w:rsid w:val="005C053C"/>
    <w:rsid w:val="005C3777"/>
    <w:rsid w:val="005C3C16"/>
    <w:rsid w:val="005C5CDC"/>
    <w:rsid w:val="005C6939"/>
    <w:rsid w:val="005C7629"/>
    <w:rsid w:val="005D17C8"/>
    <w:rsid w:val="005D2649"/>
    <w:rsid w:val="005D2B2B"/>
    <w:rsid w:val="005D476C"/>
    <w:rsid w:val="005D5F91"/>
    <w:rsid w:val="005D7B25"/>
    <w:rsid w:val="005F0EE5"/>
    <w:rsid w:val="005F62C2"/>
    <w:rsid w:val="005F7C43"/>
    <w:rsid w:val="0060080C"/>
    <w:rsid w:val="00605004"/>
    <w:rsid w:val="00605A00"/>
    <w:rsid w:val="00610812"/>
    <w:rsid w:val="00612CE7"/>
    <w:rsid w:val="00615297"/>
    <w:rsid w:val="006219F8"/>
    <w:rsid w:val="006227AC"/>
    <w:rsid w:val="00622C6F"/>
    <w:rsid w:val="006238A0"/>
    <w:rsid w:val="00624567"/>
    <w:rsid w:val="0063165E"/>
    <w:rsid w:val="0063166A"/>
    <w:rsid w:val="00632C08"/>
    <w:rsid w:val="00636BF8"/>
    <w:rsid w:val="00642DD4"/>
    <w:rsid w:val="00643577"/>
    <w:rsid w:val="00644072"/>
    <w:rsid w:val="00650FF7"/>
    <w:rsid w:val="006569FB"/>
    <w:rsid w:val="00662B5C"/>
    <w:rsid w:val="00664263"/>
    <w:rsid w:val="00664B4D"/>
    <w:rsid w:val="00665D70"/>
    <w:rsid w:val="00667199"/>
    <w:rsid w:val="00671BD2"/>
    <w:rsid w:val="00671DAC"/>
    <w:rsid w:val="006747C7"/>
    <w:rsid w:val="006827AC"/>
    <w:rsid w:val="00682AD9"/>
    <w:rsid w:val="006859A3"/>
    <w:rsid w:val="00685A0D"/>
    <w:rsid w:val="006860DA"/>
    <w:rsid w:val="006900D9"/>
    <w:rsid w:val="006A0008"/>
    <w:rsid w:val="006A10DF"/>
    <w:rsid w:val="006A3147"/>
    <w:rsid w:val="006B3285"/>
    <w:rsid w:val="006C0240"/>
    <w:rsid w:val="006C1E81"/>
    <w:rsid w:val="006C3F0F"/>
    <w:rsid w:val="006C4F24"/>
    <w:rsid w:val="006C5595"/>
    <w:rsid w:val="006C6CA5"/>
    <w:rsid w:val="006D071F"/>
    <w:rsid w:val="006D12F8"/>
    <w:rsid w:val="006F0D40"/>
    <w:rsid w:val="006F2501"/>
    <w:rsid w:val="006F7C51"/>
    <w:rsid w:val="0070023F"/>
    <w:rsid w:val="00704D9B"/>
    <w:rsid w:val="00705E5F"/>
    <w:rsid w:val="00706793"/>
    <w:rsid w:val="00706C16"/>
    <w:rsid w:val="00711A1B"/>
    <w:rsid w:val="00711C85"/>
    <w:rsid w:val="0071287D"/>
    <w:rsid w:val="0071458F"/>
    <w:rsid w:val="0071627C"/>
    <w:rsid w:val="00717903"/>
    <w:rsid w:val="00723A7F"/>
    <w:rsid w:val="007312C3"/>
    <w:rsid w:val="00737C53"/>
    <w:rsid w:val="00737DFA"/>
    <w:rsid w:val="00741FE1"/>
    <w:rsid w:val="00751A8E"/>
    <w:rsid w:val="00752A44"/>
    <w:rsid w:val="0075663D"/>
    <w:rsid w:val="00756841"/>
    <w:rsid w:val="00762AA9"/>
    <w:rsid w:val="007649AB"/>
    <w:rsid w:val="00771D0C"/>
    <w:rsid w:val="007833AC"/>
    <w:rsid w:val="0078358E"/>
    <w:rsid w:val="00784D58"/>
    <w:rsid w:val="0078648E"/>
    <w:rsid w:val="00786FBF"/>
    <w:rsid w:val="00790AB7"/>
    <w:rsid w:val="00791769"/>
    <w:rsid w:val="007922D3"/>
    <w:rsid w:val="00796340"/>
    <w:rsid w:val="007A23EA"/>
    <w:rsid w:val="007A5189"/>
    <w:rsid w:val="007A5796"/>
    <w:rsid w:val="007B0D88"/>
    <w:rsid w:val="007B0FE1"/>
    <w:rsid w:val="007B268C"/>
    <w:rsid w:val="007B59CE"/>
    <w:rsid w:val="007B5D8B"/>
    <w:rsid w:val="007B7171"/>
    <w:rsid w:val="007B7D02"/>
    <w:rsid w:val="007C0C0F"/>
    <w:rsid w:val="007C1E3A"/>
    <w:rsid w:val="007C3DC2"/>
    <w:rsid w:val="007D0457"/>
    <w:rsid w:val="007D1051"/>
    <w:rsid w:val="007D43C9"/>
    <w:rsid w:val="007E5497"/>
    <w:rsid w:val="007F28CA"/>
    <w:rsid w:val="007F52A4"/>
    <w:rsid w:val="007F60FB"/>
    <w:rsid w:val="007F7B94"/>
    <w:rsid w:val="00804981"/>
    <w:rsid w:val="00804BC0"/>
    <w:rsid w:val="0080567E"/>
    <w:rsid w:val="00806F5F"/>
    <w:rsid w:val="008134A0"/>
    <w:rsid w:val="0081621D"/>
    <w:rsid w:val="008163D7"/>
    <w:rsid w:val="00820278"/>
    <w:rsid w:val="008202D9"/>
    <w:rsid w:val="00834530"/>
    <w:rsid w:val="00834554"/>
    <w:rsid w:val="00834B31"/>
    <w:rsid w:val="00840ADC"/>
    <w:rsid w:val="00843BF7"/>
    <w:rsid w:val="008449B3"/>
    <w:rsid w:val="00845869"/>
    <w:rsid w:val="00846276"/>
    <w:rsid w:val="00850E23"/>
    <w:rsid w:val="00851137"/>
    <w:rsid w:val="00853978"/>
    <w:rsid w:val="0085432F"/>
    <w:rsid w:val="00864209"/>
    <w:rsid w:val="008647A2"/>
    <w:rsid w:val="0086568C"/>
    <w:rsid w:val="00866586"/>
    <w:rsid w:val="0087325B"/>
    <w:rsid w:val="00881ABA"/>
    <w:rsid w:val="008843B6"/>
    <w:rsid w:val="00884709"/>
    <w:rsid w:val="00886C89"/>
    <w:rsid w:val="00891928"/>
    <w:rsid w:val="00894B8B"/>
    <w:rsid w:val="0089556C"/>
    <w:rsid w:val="0089599E"/>
    <w:rsid w:val="00897635"/>
    <w:rsid w:val="008A00A4"/>
    <w:rsid w:val="008A24A2"/>
    <w:rsid w:val="008A446D"/>
    <w:rsid w:val="008A4709"/>
    <w:rsid w:val="008A7A64"/>
    <w:rsid w:val="008A7F08"/>
    <w:rsid w:val="008B2F0E"/>
    <w:rsid w:val="008B5A2E"/>
    <w:rsid w:val="008C6F30"/>
    <w:rsid w:val="008C7645"/>
    <w:rsid w:val="008C7651"/>
    <w:rsid w:val="008D180B"/>
    <w:rsid w:val="008D53B6"/>
    <w:rsid w:val="008D7227"/>
    <w:rsid w:val="008E1F92"/>
    <w:rsid w:val="008E7333"/>
    <w:rsid w:val="008E7B09"/>
    <w:rsid w:val="008F0322"/>
    <w:rsid w:val="008F0EA7"/>
    <w:rsid w:val="008F2A3E"/>
    <w:rsid w:val="008F7BB9"/>
    <w:rsid w:val="009029F9"/>
    <w:rsid w:val="00904692"/>
    <w:rsid w:val="00910097"/>
    <w:rsid w:val="00911C7C"/>
    <w:rsid w:val="00913A75"/>
    <w:rsid w:val="00913DBA"/>
    <w:rsid w:val="0091561E"/>
    <w:rsid w:val="00923EEF"/>
    <w:rsid w:val="009316AD"/>
    <w:rsid w:val="009317CE"/>
    <w:rsid w:val="009411F5"/>
    <w:rsid w:val="009419F9"/>
    <w:rsid w:val="00953AA4"/>
    <w:rsid w:val="00955305"/>
    <w:rsid w:val="0095685E"/>
    <w:rsid w:val="00956E12"/>
    <w:rsid w:val="009572D9"/>
    <w:rsid w:val="009600D2"/>
    <w:rsid w:val="00961409"/>
    <w:rsid w:val="00961B09"/>
    <w:rsid w:val="00962300"/>
    <w:rsid w:val="00965334"/>
    <w:rsid w:val="00967DCC"/>
    <w:rsid w:val="0097093E"/>
    <w:rsid w:val="00971705"/>
    <w:rsid w:val="00971B6B"/>
    <w:rsid w:val="00976025"/>
    <w:rsid w:val="00977A51"/>
    <w:rsid w:val="009800BE"/>
    <w:rsid w:val="00982BD4"/>
    <w:rsid w:val="00982E41"/>
    <w:rsid w:val="00983862"/>
    <w:rsid w:val="00984649"/>
    <w:rsid w:val="009858BE"/>
    <w:rsid w:val="00987FE0"/>
    <w:rsid w:val="009A0DFA"/>
    <w:rsid w:val="009A3C2C"/>
    <w:rsid w:val="009A4A40"/>
    <w:rsid w:val="009A6D43"/>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6C11"/>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46FA"/>
    <w:rsid w:val="00A332DD"/>
    <w:rsid w:val="00A339A9"/>
    <w:rsid w:val="00A33C78"/>
    <w:rsid w:val="00A34B38"/>
    <w:rsid w:val="00A34D87"/>
    <w:rsid w:val="00A35538"/>
    <w:rsid w:val="00A37BC4"/>
    <w:rsid w:val="00A42050"/>
    <w:rsid w:val="00A43292"/>
    <w:rsid w:val="00A445C0"/>
    <w:rsid w:val="00A466EE"/>
    <w:rsid w:val="00A50E16"/>
    <w:rsid w:val="00A56FCA"/>
    <w:rsid w:val="00A6004A"/>
    <w:rsid w:val="00A613C2"/>
    <w:rsid w:val="00A74DE6"/>
    <w:rsid w:val="00A8086A"/>
    <w:rsid w:val="00A80F32"/>
    <w:rsid w:val="00A87F7D"/>
    <w:rsid w:val="00A9244C"/>
    <w:rsid w:val="00A94D14"/>
    <w:rsid w:val="00AA5784"/>
    <w:rsid w:val="00AB0ADB"/>
    <w:rsid w:val="00AB3FD1"/>
    <w:rsid w:val="00AB6C82"/>
    <w:rsid w:val="00AC0EAB"/>
    <w:rsid w:val="00AC1435"/>
    <w:rsid w:val="00AC4701"/>
    <w:rsid w:val="00AC49A2"/>
    <w:rsid w:val="00AC6FA5"/>
    <w:rsid w:val="00AD73E2"/>
    <w:rsid w:val="00AE2631"/>
    <w:rsid w:val="00AF1BEC"/>
    <w:rsid w:val="00B009B8"/>
    <w:rsid w:val="00B01B1A"/>
    <w:rsid w:val="00B04B6A"/>
    <w:rsid w:val="00B07F33"/>
    <w:rsid w:val="00B109FC"/>
    <w:rsid w:val="00B14E03"/>
    <w:rsid w:val="00B225EE"/>
    <w:rsid w:val="00B24457"/>
    <w:rsid w:val="00B26B98"/>
    <w:rsid w:val="00B306A0"/>
    <w:rsid w:val="00B31124"/>
    <w:rsid w:val="00B35ADC"/>
    <w:rsid w:val="00B37C24"/>
    <w:rsid w:val="00B40FBC"/>
    <w:rsid w:val="00B46F27"/>
    <w:rsid w:val="00B47FD7"/>
    <w:rsid w:val="00B51F75"/>
    <w:rsid w:val="00B52CDB"/>
    <w:rsid w:val="00B53E27"/>
    <w:rsid w:val="00B558AF"/>
    <w:rsid w:val="00B6105C"/>
    <w:rsid w:val="00B615BA"/>
    <w:rsid w:val="00B62D8B"/>
    <w:rsid w:val="00B72CD3"/>
    <w:rsid w:val="00B72FFF"/>
    <w:rsid w:val="00B76CEB"/>
    <w:rsid w:val="00B818C3"/>
    <w:rsid w:val="00B8257D"/>
    <w:rsid w:val="00B828EF"/>
    <w:rsid w:val="00B82B8B"/>
    <w:rsid w:val="00B86FE2"/>
    <w:rsid w:val="00B87278"/>
    <w:rsid w:val="00B878ED"/>
    <w:rsid w:val="00B87F69"/>
    <w:rsid w:val="00B91186"/>
    <w:rsid w:val="00B93423"/>
    <w:rsid w:val="00BA2EF4"/>
    <w:rsid w:val="00BB08C0"/>
    <w:rsid w:val="00BC0036"/>
    <w:rsid w:val="00BC05A6"/>
    <w:rsid w:val="00BC34E2"/>
    <w:rsid w:val="00BC3D36"/>
    <w:rsid w:val="00BC4B34"/>
    <w:rsid w:val="00BC7DBD"/>
    <w:rsid w:val="00BD3612"/>
    <w:rsid w:val="00BD7F72"/>
    <w:rsid w:val="00BE03BC"/>
    <w:rsid w:val="00BE0A18"/>
    <w:rsid w:val="00BE12F9"/>
    <w:rsid w:val="00BE175E"/>
    <w:rsid w:val="00BE2120"/>
    <w:rsid w:val="00BF1201"/>
    <w:rsid w:val="00BF1D4A"/>
    <w:rsid w:val="00BF20DB"/>
    <w:rsid w:val="00BF230F"/>
    <w:rsid w:val="00BF6160"/>
    <w:rsid w:val="00C002E3"/>
    <w:rsid w:val="00C012CC"/>
    <w:rsid w:val="00C04FB3"/>
    <w:rsid w:val="00C10179"/>
    <w:rsid w:val="00C10FA6"/>
    <w:rsid w:val="00C147D0"/>
    <w:rsid w:val="00C159C1"/>
    <w:rsid w:val="00C16346"/>
    <w:rsid w:val="00C21B15"/>
    <w:rsid w:val="00C30417"/>
    <w:rsid w:val="00C32523"/>
    <w:rsid w:val="00C32EE5"/>
    <w:rsid w:val="00C330EB"/>
    <w:rsid w:val="00C371C9"/>
    <w:rsid w:val="00C40E9F"/>
    <w:rsid w:val="00C41481"/>
    <w:rsid w:val="00C42469"/>
    <w:rsid w:val="00C46D91"/>
    <w:rsid w:val="00C47A07"/>
    <w:rsid w:val="00C57281"/>
    <w:rsid w:val="00C65D65"/>
    <w:rsid w:val="00C67703"/>
    <w:rsid w:val="00C7173F"/>
    <w:rsid w:val="00C730B6"/>
    <w:rsid w:val="00C754BE"/>
    <w:rsid w:val="00C76466"/>
    <w:rsid w:val="00C76B1C"/>
    <w:rsid w:val="00C84561"/>
    <w:rsid w:val="00C915DD"/>
    <w:rsid w:val="00C91B94"/>
    <w:rsid w:val="00CA6A9D"/>
    <w:rsid w:val="00CA7F6B"/>
    <w:rsid w:val="00CA7FB6"/>
    <w:rsid w:val="00CB6357"/>
    <w:rsid w:val="00CB6BA4"/>
    <w:rsid w:val="00CC0FA3"/>
    <w:rsid w:val="00CC1B26"/>
    <w:rsid w:val="00CC49F7"/>
    <w:rsid w:val="00CC54DB"/>
    <w:rsid w:val="00CC733A"/>
    <w:rsid w:val="00CD087D"/>
    <w:rsid w:val="00CD41CB"/>
    <w:rsid w:val="00CD5EE0"/>
    <w:rsid w:val="00CE41B0"/>
    <w:rsid w:val="00CE509A"/>
    <w:rsid w:val="00CE5414"/>
    <w:rsid w:val="00CF1121"/>
    <w:rsid w:val="00CF1287"/>
    <w:rsid w:val="00CF5D8C"/>
    <w:rsid w:val="00CF77E1"/>
    <w:rsid w:val="00CF7826"/>
    <w:rsid w:val="00D0157A"/>
    <w:rsid w:val="00D036D8"/>
    <w:rsid w:val="00D038ED"/>
    <w:rsid w:val="00D06D26"/>
    <w:rsid w:val="00D10B75"/>
    <w:rsid w:val="00D13351"/>
    <w:rsid w:val="00D15E25"/>
    <w:rsid w:val="00D20368"/>
    <w:rsid w:val="00D21D0B"/>
    <w:rsid w:val="00D22361"/>
    <w:rsid w:val="00D22598"/>
    <w:rsid w:val="00D23BF1"/>
    <w:rsid w:val="00D26924"/>
    <w:rsid w:val="00D345EC"/>
    <w:rsid w:val="00D413F6"/>
    <w:rsid w:val="00D4231B"/>
    <w:rsid w:val="00D423A2"/>
    <w:rsid w:val="00D50708"/>
    <w:rsid w:val="00D520D8"/>
    <w:rsid w:val="00D52961"/>
    <w:rsid w:val="00D55048"/>
    <w:rsid w:val="00D55978"/>
    <w:rsid w:val="00D57FA4"/>
    <w:rsid w:val="00D62DE7"/>
    <w:rsid w:val="00D63AC2"/>
    <w:rsid w:val="00D665B4"/>
    <w:rsid w:val="00D7383B"/>
    <w:rsid w:val="00D7609E"/>
    <w:rsid w:val="00D81A63"/>
    <w:rsid w:val="00D81D25"/>
    <w:rsid w:val="00D85C60"/>
    <w:rsid w:val="00D908FC"/>
    <w:rsid w:val="00D94C40"/>
    <w:rsid w:val="00DA231B"/>
    <w:rsid w:val="00DA23A0"/>
    <w:rsid w:val="00DA2DB3"/>
    <w:rsid w:val="00DA7F66"/>
    <w:rsid w:val="00DB186F"/>
    <w:rsid w:val="00DB322A"/>
    <w:rsid w:val="00DC1E5D"/>
    <w:rsid w:val="00DC39FC"/>
    <w:rsid w:val="00DC4385"/>
    <w:rsid w:val="00DC484F"/>
    <w:rsid w:val="00DC4C27"/>
    <w:rsid w:val="00DC51BC"/>
    <w:rsid w:val="00DC793F"/>
    <w:rsid w:val="00DE4629"/>
    <w:rsid w:val="00DF11FD"/>
    <w:rsid w:val="00DF5254"/>
    <w:rsid w:val="00E12426"/>
    <w:rsid w:val="00E12432"/>
    <w:rsid w:val="00E16408"/>
    <w:rsid w:val="00E1678E"/>
    <w:rsid w:val="00E20894"/>
    <w:rsid w:val="00E245AB"/>
    <w:rsid w:val="00E26239"/>
    <w:rsid w:val="00E2764C"/>
    <w:rsid w:val="00E27F2E"/>
    <w:rsid w:val="00E377A2"/>
    <w:rsid w:val="00E413EA"/>
    <w:rsid w:val="00E47F28"/>
    <w:rsid w:val="00E50AFE"/>
    <w:rsid w:val="00E52E49"/>
    <w:rsid w:val="00E577AC"/>
    <w:rsid w:val="00E578B6"/>
    <w:rsid w:val="00E61547"/>
    <w:rsid w:val="00E61702"/>
    <w:rsid w:val="00E744BA"/>
    <w:rsid w:val="00E75B66"/>
    <w:rsid w:val="00E75C92"/>
    <w:rsid w:val="00E761BC"/>
    <w:rsid w:val="00E76808"/>
    <w:rsid w:val="00E770CD"/>
    <w:rsid w:val="00E771DC"/>
    <w:rsid w:val="00E77478"/>
    <w:rsid w:val="00E77E1B"/>
    <w:rsid w:val="00E8013F"/>
    <w:rsid w:val="00E80C9F"/>
    <w:rsid w:val="00E847D2"/>
    <w:rsid w:val="00E85A9C"/>
    <w:rsid w:val="00E85AA8"/>
    <w:rsid w:val="00E870E5"/>
    <w:rsid w:val="00E875F3"/>
    <w:rsid w:val="00E8772A"/>
    <w:rsid w:val="00E90F6B"/>
    <w:rsid w:val="00E91079"/>
    <w:rsid w:val="00E92C27"/>
    <w:rsid w:val="00E92E10"/>
    <w:rsid w:val="00EA0E3D"/>
    <w:rsid w:val="00EA1CD8"/>
    <w:rsid w:val="00EA393B"/>
    <w:rsid w:val="00EA39A5"/>
    <w:rsid w:val="00EB185D"/>
    <w:rsid w:val="00EB2C4B"/>
    <w:rsid w:val="00EB5836"/>
    <w:rsid w:val="00EB5F37"/>
    <w:rsid w:val="00EB7E00"/>
    <w:rsid w:val="00EC0E3F"/>
    <w:rsid w:val="00EC1A2C"/>
    <w:rsid w:val="00EC1FE1"/>
    <w:rsid w:val="00EC38A7"/>
    <w:rsid w:val="00ED042A"/>
    <w:rsid w:val="00ED0D4A"/>
    <w:rsid w:val="00ED77BC"/>
    <w:rsid w:val="00EE1AA8"/>
    <w:rsid w:val="00EF26C3"/>
    <w:rsid w:val="00EF419E"/>
    <w:rsid w:val="00EF489F"/>
    <w:rsid w:val="00EF753D"/>
    <w:rsid w:val="00F07875"/>
    <w:rsid w:val="00F11213"/>
    <w:rsid w:val="00F11BAA"/>
    <w:rsid w:val="00F1445A"/>
    <w:rsid w:val="00F177C1"/>
    <w:rsid w:val="00F23592"/>
    <w:rsid w:val="00F238F2"/>
    <w:rsid w:val="00F260AA"/>
    <w:rsid w:val="00F27B26"/>
    <w:rsid w:val="00F31EDC"/>
    <w:rsid w:val="00F34D02"/>
    <w:rsid w:val="00F34E84"/>
    <w:rsid w:val="00F40BAD"/>
    <w:rsid w:val="00F410B6"/>
    <w:rsid w:val="00F4491A"/>
    <w:rsid w:val="00F462B3"/>
    <w:rsid w:val="00F51119"/>
    <w:rsid w:val="00F512F2"/>
    <w:rsid w:val="00F5184B"/>
    <w:rsid w:val="00F5261F"/>
    <w:rsid w:val="00F55081"/>
    <w:rsid w:val="00F55168"/>
    <w:rsid w:val="00F5664F"/>
    <w:rsid w:val="00F626C4"/>
    <w:rsid w:val="00F64D9E"/>
    <w:rsid w:val="00F665D0"/>
    <w:rsid w:val="00F666C4"/>
    <w:rsid w:val="00F7684C"/>
    <w:rsid w:val="00F76AFC"/>
    <w:rsid w:val="00F80CBE"/>
    <w:rsid w:val="00F85198"/>
    <w:rsid w:val="00F85A91"/>
    <w:rsid w:val="00F87AB9"/>
    <w:rsid w:val="00F939CB"/>
    <w:rsid w:val="00F9479C"/>
    <w:rsid w:val="00F965EE"/>
    <w:rsid w:val="00F97949"/>
    <w:rsid w:val="00FA0A8F"/>
    <w:rsid w:val="00FA1110"/>
    <w:rsid w:val="00FA358D"/>
    <w:rsid w:val="00FA47C0"/>
    <w:rsid w:val="00FA52E6"/>
    <w:rsid w:val="00FB4425"/>
    <w:rsid w:val="00FB5615"/>
    <w:rsid w:val="00FB5DD1"/>
    <w:rsid w:val="00FB5F87"/>
    <w:rsid w:val="00FC07B5"/>
    <w:rsid w:val="00FC2B5D"/>
    <w:rsid w:val="00FD00E9"/>
    <w:rsid w:val="00FD03E3"/>
    <w:rsid w:val="00FD07E4"/>
    <w:rsid w:val="00FD2400"/>
    <w:rsid w:val="00FE122A"/>
    <w:rsid w:val="00FE20E6"/>
    <w:rsid w:val="00FE42B3"/>
    <w:rsid w:val="00FE5975"/>
    <w:rsid w:val="00FF1187"/>
    <w:rsid w:val="00FF1449"/>
    <w:rsid w:val="00FF4218"/>
    <w:rsid w:val="00FF74EA"/>
    <w:rsid w:val="0FB71FC4"/>
    <w:rsid w:val="1EC1DFB4"/>
    <w:rsid w:val="2832C13D"/>
    <w:rsid w:val="33BA07F5"/>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C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paragraph" w:styleId="Sinespaciado">
    <w:name w:val="No Spacing"/>
    <w:uiPriority w:val="1"/>
    <w:qFormat/>
    <w:rsid w:val="00191775"/>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1546">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4344376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0542314">
      <w:bodyDiv w:val="1"/>
      <w:marLeft w:val="0"/>
      <w:marRight w:val="0"/>
      <w:marTop w:val="0"/>
      <w:marBottom w:val="0"/>
      <w:divBdr>
        <w:top w:val="none" w:sz="0" w:space="0" w:color="auto"/>
        <w:left w:val="none" w:sz="0" w:space="0" w:color="auto"/>
        <w:bottom w:val="none" w:sz="0" w:space="0" w:color="auto"/>
        <w:right w:val="none" w:sz="0" w:space="0" w:color="auto"/>
      </w:divBdr>
      <w:divsChild>
        <w:div w:id="961616185">
          <w:marLeft w:val="0"/>
          <w:marRight w:val="0"/>
          <w:marTop w:val="0"/>
          <w:marBottom w:val="0"/>
          <w:divBdr>
            <w:top w:val="none" w:sz="0" w:space="0" w:color="auto"/>
            <w:left w:val="none" w:sz="0" w:space="0" w:color="auto"/>
            <w:bottom w:val="none" w:sz="0" w:space="0" w:color="auto"/>
            <w:right w:val="none" w:sz="0" w:space="0" w:color="auto"/>
          </w:divBdr>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281915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48216786">
      <w:bodyDiv w:val="1"/>
      <w:marLeft w:val="0"/>
      <w:marRight w:val="0"/>
      <w:marTop w:val="0"/>
      <w:marBottom w:val="0"/>
      <w:divBdr>
        <w:top w:val="none" w:sz="0" w:space="0" w:color="auto"/>
        <w:left w:val="none" w:sz="0" w:space="0" w:color="auto"/>
        <w:bottom w:val="none" w:sz="0" w:space="0" w:color="auto"/>
        <w:right w:val="none" w:sz="0" w:space="0" w:color="auto"/>
      </w:divBdr>
    </w:div>
    <w:div w:id="1362366812">
      <w:bodyDiv w:val="1"/>
      <w:marLeft w:val="0"/>
      <w:marRight w:val="0"/>
      <w:marTop w:val="0"/>
      <w:marBottom w:val="0"/>
      <w:divBdr>
        <w:top w:val="none" w:sz="0" w:space="0" w:color="auto"/>
        <w:left w:val="none" w:sz="0" w:space="0" w:color="auto"/>
        <w:bottom w:val="none" w:sz="0" w:space="0" w:color="auto"/>
        <w:right w:val="none" w:sz="0" w:space="0" w:color="auto"/>
      </w:divBdr>
      <w:divsChild>
        <w:div w:id="1933707204">
          <w:marLeft w:val="0"/>
          <w:marRight w:val="0"/>
          <w:marTop w:val="0"/>
          <w:marBottom w:val="0"/>
          <w:divBdr>
            <w:top w:val="none" w:sz="0" w:space="0" w:color="auto"/>
            <w:left w:val="none" w:sz="0" w:space="0" w:color="auto"/>
            <w:bottom w:val="none" w:sz="0" w:space="0" w:color="auto"/>
            <w:right w:val="none" w:sz="0" w:space="0" w:color="auto"/>
          </w:divBdr>
        </w:div>
        <w:div w:id="2124493292">
          <w:marLeft w:val="0"/>
          <w:marRight w:val="0"/>
          <w:marTop w:val="0"/>
          <w:marBottom w:val="0"/>
          <w:divBdr>
            <w:top w:val="none" w:sz="0" w:space="0" w:color="auto"/>
            <w:left w:val="none" w:sz="0" w:space="0" w:color="auto"/>
            <w:bottom w:val="none" w:sz="0" w:space="0" w:color="auto"/>
            <w:right w:val="none" w:sz="0" w:space="0" w:color="auto"/>
          </w:divBdr>
        </w:div>
        <w:div w:id="993290630">
          <w:marLeft w:val="0"/>
          <w:marRight w:val="0"/>
          <w:marTop w:val="0"/>
          <w:marBottom w:val="0"/>
          <w:divBdr>
            <w:top w:val="none" w:sz="0" w:space="0" w:color="auto"/>
            <w:left w:val="none" w:sz="0" w:space="0" w:color="auto"/>
            <w:bottom w:val="none" w:sz="0" w:space="0" w:color="auto"/>
            <w:right w:val="none" w:sz="0" w:space="0" w:color="auto"/>
          </w:divBdr>
        </w:div>
      </w:divsChild>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61134819">
      <w:bodyDiv w:val="1"/>
      <w:marLeft w:val="0"/>
      <w:marRight w:val="0"/>
      <w:marTop w:val="0"/>
      <w:marBottom w:val="0"/>
      <w:divBdr>
        <w:top w:val="none" w:sz="0" w:space="0" w:color="auto"/>
        <w:left w:val="none" w:sz="0" w:space="0" w:color="auto"/>
        <w:bottom w:val="none" w:sz="0" w:space="0" w:color="auto"/>
        <w:right w:val="none" w:sz="0" w:space="0" w:color="auto"/>
      </w:divBdr>
      <w:divsChild>
        <w:div w:id="854223492">
          <w:marLeft w:val="0"/>
          <w:marRight w:val="0"/>
          <w:marTop w:val="0"/>
          <w:marBottom w:val="0"/>
          <w:divBdr>
            <w:top w:val="none" w:sz="0" w:space="0" w:color="auto"/>
            <w:left w:val="none" w:sz="0" w:space="0" w:color="auto"/>
            <w:bottom w:val="none" w:sz="0" w:space="0" w:color="auto"/>
            <w:right w:val="none" w:sz="0" w:space="0" w:color="auto"/>
          </w:divBdr>
        </w:div>
        <w:div w:id="2102289317">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1963146418">
      <w:bodyDiv w:val="1"/>
      <w:marLeft w:val="0"/>
      <w:marRight w:val="0"/>
      <w:marTop w:val="0"/>
      <w:marBottom w:val="0"/>
      <w:divBdr>
        <w:top w:val="none" w:sz="0" w:space="0" w:color="auto"/>
        <w:left w:val="none" w:sz="0" w:space="0" w:color="auto"/>
        <w:bottom w:val="none" w:sz="0" w:space="0" w:color="auto"/>
        <w:right w:val="none" w:sz="0" w:space="0" w:color="auto"/>
      </w:divBdr>
    </w:div>
    <w:div w:id="198882665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1722650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entidades-estatales-con-regimen-especial-de-contratacio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ebastiantorres95@hot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de-competencia-en-las-compras-publica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archivos/manual/guia-de-competencia-en-las-compras-publicas" TargetMode="External"/><Relationship Id="rId2" Type="http://schemas.openxmlformats.org/officeDocument/2006/relationships/hyperlink" Target="https://www.colombiacompra.gov.co/archivos/manual/guia-para-entidades-estatales-con-regimen-especial-de-contratacion" TargetMode="External"/><Relationship Id="rId1" Type="http://schemas.openxmlformats.org/officeDocument/2006/relationships/hyperlink" Target="https://www.colombiacompra.gov.co/archivos/manual/guia-de-competencia-en-las-compras-public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2F7A15-115D-4EBD-AD59-2488EF35B0EB}">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32</Pages>
  <Words>11624</Words>
  <Characters>63935</Characters>
  <Application>Microsoft Office Word</Application>
  <DocSecurity>0</DocSecurity>
  <Lines>532</Lines>
  <Paragraphs>150</Paragraphs>
  <ScaleCrop>false</ScaleCrop>
  <Company/>
  <LinksUpToDate>false</LinksUpToDate>
  <CharactersWithSpaces>75409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2025-08-15T23:24:00Z</dcterms:created>
  <dcterms:modified xsi:type="dcterms:W3CDTF">2025-08-15T23:24:00Z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