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7C8B2" w14:textId="77777777" w:rsidR="00D3191B" w:rsidRPr="007D0816" w:rsidRDefault="00D3191B" w:rsidP="00D3191B">
      <w:pPr>
        <w:spacing w:after="0" w:line="240" w:lineRule="auto"/>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Noción </w:t>
      </w:r>
    </w:p>
    <w:p w14:paraId="651B25F6" w14:textId="77777777" w:rsidR="00D3191B" w:rsidRPr="007D0816" w:rsidRDefault="00D3191B" w:rsidP="00D3191B">
      <w:pPr>
        <w:spacing w:after="0" w:line="240" w:lineRule="auto"/>
        <w:rPr>
          <w:rFonts w:ascii="Verdana" w:eastAsia="Calibri" w:hAnsi="Verdana" w:cs="Arial"/>
          <w:bCs/>
          <w:sz w:val="20"/>
          <w:szCs w:val="20"/>
          <w:lang w:val="es-ES_tradnl" w:eastAsia="es-ES_tradnl"/>
        </w:rPr>
      </w:pPr>
    </w:p>
    <w:p w14:paraId="5D8C2B47" w14:textId="77777777" w:rsidR="00D3191B" w:rsidRPr="007D0816" w:rsidRDefault="00D3191B" w:rsidP="00D3191B">
      <w:pPr>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7D0816">
        <w:rPr>
          <w:rFonts w:ascii="Verdana" w:eastAsia="Calibri" w:hAnsi="Verdana" w:cs="Arial"/>
          <w:color w:val="000000" w:themeColor="text1"/>
          <w:sz w:val="20"/>
          <w:szCs w:val="20"/>
        </w:rPr>
        <w:t>subentra</w:t>
      </w:r>
      <w:proofErr w:type="spellEnd"/>
      <w:r w:rsidRPr="007D0816">
        <w:rPr>
          <w:rFonts w:ascii="Verdana" w:eastAsia="Calibri" w:hAnsi="Verdana" w:cs="Arial"/>
          <w:color w:val="000000" w:themeColor="text1"/>
          <w:sz w:val="20"/>
          <w:szCs w:val="20"/>
        </w:rPr>
        <w:t xml:space="preserve"> en la relación con el cedido […]”. Por otro, “[…] es la transferencia de la posición contractual de un contratante a otro sujeto, que le </w:t>
      </w:r>
      <w:proofErr w:type="spellStart"/>
      <w:r w:rsidRPr="007D0816">
        <w:rPr>
          <w:rFonts w:ascii="Verdana" w:eastAsia="Calibri" w:hAnsi="Verdana" w:cs="Arial"/>
          <w:color w:val="000000" w:themeColor="text1"/>
          <w:sz w:val="20"/>
          <w:szCs w:val="20"/>
        </w:rPr>
        <w:t>subentra</w:t>
      </w:r>
      <w:proofErr w:type="spellEnd"/>
      <w:r w:rsidRPr="007D0816">
        <w:rPr>
          <w:rFonts w:ascii="Verdana" w:eastAsia="Calibri" w:hAnsi="Verdana" w:cs="Arial"/>
          <w:color w:val="000000" w:themeColor="text1"/>
          <w:sz w:val="20"/>
          <w:szCs w:val="20"/>
        </w:rPr>
        <w:t xml:space="preserve"> en la relación con la contraparte […]”. De esta manera, </w:t>
      </w:r>
      <w:r w:rsidRPr="007D0816">
        <w:rPr>
          <w:rFonts w:ascii="Verdana" w:hAnsi="Verdana" w:cs="Arial"/>
          <w:color w:val="000000" w:themeColor="text1"/>
          <w:sz w:val="20"/>
          <w:szCs w:val="20"/>
        </w:rPr>
        <w:t xml:space="preserve">concurren tres (3) sujetos: i) el cedente, esto es, el contratista inicial; </w:t>
      </w:r>
      <w:proofErr w:type="spellStart"/>
      <w:r w:rsidRPr="007D0816">
        <w:rPr>
          <w:rFonts w:ascii="Verdana" w:hAnsi="Verdana" w:cs="Arial"/>
          <w:color w:val="000000" w:themeColor="text1"/>
          <w:sz w:val="20"/>
          <w:szCs w:val="20"/>
        </w:rPr>
        <w:t>ii</w:t>
      </w:r>
      <w:proofErr w:type="spellEnd"/>
      <w:r w:rsidRPr="007D0816">
        <w:rPr>
          <w:rFonts w:ascii="Verdana" w:hAnsi="Verdana" w:cs="Arial"/>
          <w:color w:val="000000" w:themeColor="text1"/>
          <w:sz w:val="20"/>
          <w:szCs w:val="20"/>
        </w:rPr>
        <w:t xml:space="preserve">) el cesionario, es decir, quien asume total o parcialmente los derechos y obligaciones de este último; y </w:t>
      </w:r>
      <w:proofErr w:type="spellStart"/>
      <w:r w:rsidRPr="007D0816">
        <w:rPr>
          <w:rFonts w:ascii="Verdana" w:hAnsi="Verdana" w:cs="Arial"/>
          <w:color w:val="000000" w:themeColor="text1"/>
          <w:sz w:val="20"/>
          <w:szCs w:val="20"/>
        </w:rPr>
        <w:t>iii</w:t>
      </w:r>
      <w:proofErr w:type="spellEnd"/>
      <w:r w:rsidRPr="007D0816">
        <w:rPr>
          <w:rFonts w:ascii="Verdana" w:hAnsi="Verdana" w:cs="Arial"/>
          <w:color w:val="000000" w:themeColor="text1"/>
          <w:sz w:val="20"/>
          <w:szCs w:val="20"/>
        </w:rPr>
        <w:t xml:space="preserve">) el cedido que, en el caso de los contratos estatales, sería la entidad que suscribió el contrato. </w:t>
      </w:r>
      <w:r w:rsidRPr="007D0816">
        <w:rPr>
          <w:rFonts w:ascii="Verdana" w:eastAsia="Calibri" w:hAnsi="Verdana" w:cs="Arial"/>
          <w:color w:val="000000" w:themeColor="text1"/>
          <w:sz w:val="20"/>
          <w:szCs w:val="20"/>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6565259F" w14:textId="77777777" w:rsidR="00D3191B" w:rsidRPr="007D0816" w:rsidRDefault="00D3191B" w:rsidP="00D3191B">
      <w:pPr>
        <w:spacing w:after="0" w:line="240" w:lineRule="auto"/>
        <w:jc w:val="both"/>
        <w:rPr>
          <w:rFonts w:ascii="Verdana" w:eastAsia="Calibri" w:hAnsi="Verdana" w:cs="Arial"/>
          <w:color w:val="000000" w:themeColor="text1"/>
          <w:sz w:val="20"/>
          <w:szCs w:val="20"/>
        </w:rPr>
      </w:pPr>
    </w:p>
    <w:p w14:paraId="74613500" w14:textId="77777777" w:rsidR="00D3191B" w:rsidRPr="007D0816" w:rsidRDefault="00D3191B" w:rsidP="00D3191B">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Régimen jurídico aplicable – EGCAP – Código de comercio</w:t>
      </w:r>
    </w:p>
    <w:p w14:paraId="503B44F3" w14:textId="77777777" w:rsidR="00D3191B" w:rsidRPr="007D0816" w:rsidRDefault="00D3191B" w:rsidP="00D3191B">
      <w:pPr>
        <w:spacing w:after="0" w:line="240" w:lineRule="auto"/>
        <w:jc w:val="both"/>
        <w:rPr>
          <w:rFonts w:ascii="Verdana" w:eastAsia="Calibri" w:hAnsi="Verdana" w:cs="Arial"/>
          <w:bCs/>
          <w:sz w:val="20"/>
          <w:szCs w:val="20"/>
          <w:lang w:val="es-ES_tradnl" w:eastAsia="es-ES_tradnl"/>
        </w:rPr>
      </w:pPr>
    </w:p>
    <w:p w14:paraId="0CD0F32D" w14:textId="77777777" w:rsidR="00D3191B" w:rsidRPr="007D0816" w:rsidRDefault="00D3191B" w:rsidP="00D3191B">
      <w:pPr>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7D0816">
        <w:rPr>
          <w:rFonts w:ascii="Verdana" w:eastAsia="Calibri" w:hAnsi="Verdana" w:cs="Arial"/>
          <w:color w:val="000000" w:themeColor="text1"/>
          <w:sz w:val="20"/>
          <w:szCs w:val="20"/>
        </w:rPr>
        <w:t>ii</w:t>
      </w:r>
      <w:proofErr w:type="spellEnd"/>
      <w:r w:rsidRPr="007D0816">
        <w:rPr>
          <w:rFonts w:ascii="Verdana" w:eastAsia="Calibri" w:hAnsi="Verdana" w:cs="Arial"/>
          <w:color w:val="000000" w:themeColor="text1"/>
          <w:sz w:val="20"/>
          <w:szCs w:val="20"/>
        </w:rPr>
        <w:t xml:space="preserve">) corresponderán como actos jurídicos bilaterales generadores de obligaciones, entre otros, a los previstos en el derecho privado, en los términos del artículo 32 </w:t>
      </w:r>
      <w:r w:rsidRPr="007D0816">
        <w:rPr>
          <w:rFonts w:ascii="Verdana" w:eastAsia="Calibri" w:hAnsi="Verdana" w:cs="Arial"/>
          <w:i/>
          <w:iCs/>
          <w:color w:val="000000" w:themeColor="text1"/>
          <w:sz w:val="20"/>
          <w:szCs w:val="20"/>
        </w:rPr>
        <w:t>ibidem</w:t>
      </w:r>
      <w:r w:rsidRPr="007D0816">
        <w:rPr>
          <w:rFonts w:ascii="Verdana" w:eastAsia="Calibri" w:hAnsi="Verdana" w:cs="Arial"/>
          <w:color w:val="000000" w:themeColor="text1"/>
          <w:sz w:val="20"/>
          <w:szCs w:val="20"/>
        </w:rPr>
        <w:t xml:space="preserve">; y </w:t>
      </w:r>
      <w:proofErr w:type="spellStart"/>
      <w:r w:rsidRPr="007D0816">
        <w:rPr>
          <w:rFonts w:ascii="Verdana" w:eastAsia="Calibri" w:hAnsi="Verdana" w:cs="Arial"/>
          <w:color w:val="000000" w:themeColor="text1"/>
          <w:sz w:val="20"/>
          <w:szCs w:val="20"/>
        </w:rPr>
        <w:t>iii</w:t>
      </w:r>
      <w:proofErr w:type="spellEnd"/>
      <w:r w:rsidRPr="007D0816">
        <w:rPr>
          <w:rFonts w:ascii="Verdana" w:eastAsia="Calibri" w:hAnsi="Verdana" w:cs="Arial"/>
          <w:color w:val="000000" w:themeColor="text1"/>
          <w:sz w:val="20"/>
          <w:szCs w:val="20"/>
        </w:rPr>
        <w:t xml:space="preserve">) contendrán las estipulaciones que, de acuerdo con las normas civiles, comerciales y las previstas en esta ley, correspondan a su esencia y naturaleza, conforme a lo dispuesto por el artículo 40 </w:t>
      </w:r>
      <w:r w:rsidRPr="007D0816">
        <w:rPr>
          <w:rFonts w:ascii="Verdana" w:eastAsia="Calibri" w:hAnsi="Verdana" w:cs="Arial"/>
          <w:i/>
          <w:iCs/>
          <w:color w:val="000000" w:themeColor="text1"/>
          <w:sz w:val="20"/>
          <w:szCs w:val="20"/>
        </w:rPr>
        <w:t>ibidem</w:t>
      </w:r>
      <w:r w:rsidRPr="007D0816">
        <w:rPr>
          <w:rFonts w:ascii="Verdana" w:eastAsia="Calibri" w:hAnsi="Verdana" w:cs="Arial"/>
          <w:color w:val="000000" w:themeColor="text1"/>
          <w:sz w:val="20"/>
          <w:szCs w:val="20"/>
        </w:rPr>
        <w:t xml:space="preserve">. </w:t>
      </w:r>
    </w:p>
    <w:p w14:paraId="470DB11B" w14:textId="77777777" w:rsidR="00D3191B" w:rsidRPr="007D0816" w:rsidRDefault="00D3191B" w:rsidP="00D3191B">
      <w:pPr>
        <w:spacing w:after="0" w:line="240" w:lineRule="auto"/>
        <w:jc w:val="both"/>
        <w:rPr>
          <w:rFonts w:ascii="Verdana" w:eastAsia="Calibri" w:hAnsi="Verdana" w:cs="Arial"/>
          <w:color w:val="000000" w:themeColor="text1"/>
          <w:sz w:val="20"/>
          <w:szCs w:val="20"/>
        </w:rPr>
      </w:pPr>
    </w:p>
    <w:p w14:paraId="735035A4" w14:textId="77777777" w:rsidR="00D3191B" w:rsidRPr="007D0816" w:rsidRDefault="00D3191B" w:rsidP="00D3191B">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Requisitos – Restricciones</w:t>
      </w:r>
    </w:p>
    <w:p w14:paraId="6726D6CD" w14:textId="77777777" w:rsidR="00D3191B" w:rsidRPr="007D0816" w:rsidRDefault="00D3191B" w:rsidP="00D3191B">
      <w:pPr>
        <w:spacing w:after="0" w:line="240" w:lineRule="auto"/>
        <w:jc w:val="both"/>
        <w:rPr>
          <w:rFonts w:ascii="Verdana" w:eastAsia="Calibri" w:hAnsi="Verdana" w:cs="Arial"/>
          <w:color w:val="000000" w:themeColor="text1"/>
          <w:sz w:val="20"/>
          <w:szCs w:val="20"/>
        </w:rPr>
      </w:pPr>
    </w:p>
    <w:p w14:paraId="580B6AFC" w14:textId="77777777" w:rsidR="00D3191B" w:rsidRPr="007D0816" w:rsidRDefault="00D3191B" w:rsidP="00D3191B">
      <w:pPr>
        <w:tabs>
          <w:tab w:val="left" w:pos="709"/>
        </w:tabs>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 el Consejo de Estado ha precisado como requisitos de la cesión del contrato estatal los siguientes: i) debe recaer en un tercero; </w:t>
      </w:r>
      <w:proofErr w:type="spellStart"/>
      <w:r w:rsidRPr="007D0816">
        <w:rPr>
          <w:rFonts w:ascii="Verdana" w:eastAsia="Calibri" w:hAnsi="Verdana" w:cs="Arial"/>
          <w:color w:val="000000" w:themeColor="text1"/>
          <w:sz w:val="20"/>
          <w:szCs w:val="20"/>
        </w:rPr>
        <w:t>ii</w:t>
      </w:r>
      <w:proofErr w:type="spellEnd"/>
      <w:r w:rsidRPr="007D0816">
        <w:rPr>
          <w:rFonts w:ascii="Verdana" w:eastAsia="Calibri" w:hAnsi="Verdana" w:cs="Arial"/>
          <w:color w:val="000000" w:themeColor="text1"/>
          <w:sz w:val="20"/>
          <w:szCs w:val="20"/>
        </w:rPr>
        <w:t xml:space="preserve">) el cesionario debe tener capacidad jurídica para continuar con la ejecución del objeto contractual y no estar incurso en causales de inhabilidad e incompatibilidad para contratar; y </w:t>
      </w:r>
      <w:proofErr w:type="spellStart"/>
      <w:r w:rsidRPr="007D0816">
        <w:rPr>
          <w:rFonts w:ascii="Verdana" w:eastAsia="Calibri" w:hAnsi="Verdana" w:cs="Arial"/>
          <w:color w:val="000000" w:themeColor="text1"/>
          <w:sz w:val="20"/>
          <w:szCs w:val="20"/>
        </w:rPr>
        <w:t>iii</w:t>
      </w:r>
      <w:proofErr w:type="spellEnd"/>
      <w:r w:rsidRPr="007D0816">
        <w:rPr>
          <w:rFonts w:ascii="Verdana" w:eastAsia="Calibri" w:hAnsi="Verdana" w:cs="Arial"/>
          <w:color w:val="000000" w:themeColor="text1"/>
          <w:sz w:val="20"/>
          <w:szCs w:val="20"/>
        </w:rPr>
        <w:t>)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p>
    <w:p w14:paraId="491430B2" w14:textId="77777777" w:rsidR="00D3191B" w:rsidRPr="007D0816" w:rsidRDefault="00D3191B" w:rsidP="00D3191B">
      <w:pPr>
        <w:tabs>
          <w:tab w:val="left" w:pos="709"/>
        </w:tabs>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lastRenderedPageBreak/>
        <w:t>[…]</w:t>
      </w:r>
    </w:p>
    <w:p w14:paraId="269CECC4" w14:textId="77777777" w:rsidR="00D3191B" w:rsidRPr="007D0816" w:rsidRDefault="00D3191B" w:rsidP="00D3191B">
      <w:pPr>
        <w:tabs>
          <w:tab w:val="left" w:pos="709"/>
        </w:tabs>
        <w:spacing w:after="0" w:line="240" w:lineRule="auto"/>
        <w:jc w:val="both"/>
        <w:rPr>
          <w:rFonts w:ascii="Verdana" w:eastAsia="Calibri" w:hAnsi="Verdana" w:cs="Arial"/>
          <w:color w:val="000000" w:themeColor="text1"/>
          <w:sz w:val="20"/>
          <w:szCs w:val="20"/>
        </w:rPr>
      </w:pPr>
    </w:p>
    <w:p w14:paraId="6D33D558" w14:textId="77777777" w:rsidR="00D3191B" w:rsidRPr="007D0816" w:rsidRDefault="00D3191B" w:rsidP="00D3191B">
      <w:pPr>
        <w:tabs>
          <w:tab w:val="left" w:pos="709"/>
        </w:tabs>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788C8F5F" w14:textId="77777777" w:rsidR="00D3191B" w:rsidRPr="007D0816" w:rsidRDefault="00D3191B" w:rsidP="00D3191B">
      <w:pPr>
        <w:spacing w:after="0" w:line="240" w:lineRule="auto"/>
        <w:jc w:val="both"/>
        <w:rPr>
          <w:rFonts w:ascii="Verdana" w:hAnsi="Verdana"/>
          <w:b/>
          <w:bCs/>
          <w:sz w:val="20"/>
          <w:szCs w:val="20"/>
        </w:rPr>
      </w:pPr>
    </w:p>
    <w:p w14:paraId="436519D6" w14:textId="77777777" w:rsidR="00D3191B" w:rsidRPr="007D0816" w:rsidRDefault="00D3191B" w:rsidP="00D3191B">
      <w:pPr>
        <w:spacing w:after="0" w:line="240" w:lineRule="auto"/>
        <w:jc w:val="both"/>
        <w:rPr>
          <w:rFonts w:ascii="Verdana" w:hAnsi="Verdana"/>
          <w:b/>
          <w:bCs/>
          <w:sz w:val="20"/>
          <w:szCs w:val="20"/>
        </w:rPr>
      </w:pPr>
      <w:r w:rsidRPr="007D0816">
        <w:rPr>
          <w:rFonts w:ascii="Verdana" w:eastAsia="Calibri" w:hAnsi="Verdana" w:cs="Arial"/>
          <w:b/>
          <w:bCs/>
          <w:color w:val="000000" w:themeColor="text1"/>
          <w:lang w:val="es-ES_tradnl"/>
        </w:rPr>
        <w:t>CESIÓN DE LA POSICIÓN CONTRACTUAL DE LA ENTIDAD ESTATAL</w:t>
      </w:r>
      <w:r w:rsidRPr="007D0816">
        <w:rPr>
          <w:rFonts w:ascii="Verdana" w:eastAsia="Calibri" w:hAnsi="Verdana" w:cs="Arial"/>
          <w:b/>
          <w:bCs/>
          <w:color w:val="000000" w:themeColor="text1"/>
          <w:lang w:val="es-ES"/>
        </w:rPr>
        <w:t xml:space="preserve"> – Procedencia </w:t>
      </w:r>
      <w:r w:rsidRPr="007D0816">
        <w:rPr>
          <w:rFonts w:ascii="Verdana" w:eastAsia="Calibri" w:hAnsi="Verdana" w:cs="Arial"/>
          <w:b/>
          <w:bCs/>
          <w:lang w:val="es-ES" w:eastAsia="es-ES"/>
        </w:rPr>
        <w:t>– Competencia funcional</w:t>
      </w:r>
    </w:p>
    <w:p w14:paraId="189CF6FE" w14:textId="77777777" w:rsidR="00D3191B" w:rsidRDefault="00D3191B" w:rsidP="00D3191B">
      <w:pPr>
        <w:spacing w:after="0" w:line="240" w:lineRule="auto"/>
        <w:rPr>
          <w:rFonts w:ascii="Verdana" w:hAnsi="Verdana"/>
          <w:sz w:val="20"/>
          <w:szCs w:val="20"/>
        </w:rPr>
      </w:pPr>
    </w:p>
    <w:p w14:paraId="58BC365A" w14:textId="77777777" w:rsidR="00D3191B" w:rsidRDefault="00D3191B" w:rsidP="00D3191B">
      <w:pPr>
        <w:spacing w:after="0" w:line="240" w:lineRule="auto"/>
        <w:jc w:val="both"/>
        <w:rPr>
          <w:rFonts w:ascii="Verdana" w:hAnsi="Verdana"/>
          <w:sz w:val="20"/>
          <w:szCs w:val="20"/>
        </w:rPr>
      </w:pPr>
      <w:r>
        <w:rPr>
          <w:rFonts w:ascii="Verdana" w:hAnsi="Verdana"/>
          <w:sz w:val="20"/>
          <w:szCs w:val="20"/>
        </w:rPr>
        <w:t>A</w:t>
      </w:r>
      <w:r w:rsidRPr="007D0816">
        <w:rPr>
          <w:rFonts w:ascii="Verdana" w:hAnsi="Verdana"/>
          <w:sz w:val="20"/>
          <w:szCs w:val="20"/>
        </w:rPr>
        <w:t>unque en las disposiciones específicas relativas a la figura de la cesión contractual que establece el Estatuto General de Contratación de la Administración Pública no se menciona la cesión de la posición contractual de la entidad estatal, esta ausencia regulatoria no implica que no sea viable jurídicamente su materialización. Precisamente, como se indicó, a la cesión del contrato estatal le resultan aplicables las normas del derecho civil y comercial pertinentes, sobre cesión del crédito y cesión de contratos respectivamente, de acuerdo con lo señalado en el artículo 13 de la Ley 80 de 1993. El artículo 887 del Código de Comercio no restringe la forma en la que debe realizarse la cesión, por el contrario, permite que esta se efectúe tanto por el contratista como por el contratante al disponer que “cada una de las partes podrá hacerse sustituir por un tercero en la totalidad o en parte de las relaciones derivadas del contrato”.</w:t>
      </w:r>
    </w:p>
    <w:p w14:paraId="477E10DB" w14:textId="77777777" w:rsidR="00D3191B" w:rsidRDefault="00D3191B" w:rsidP="00D3191B">
      <w:pPr>
        <w:spacing w:after="0" w:line="240" w:lineRule="auto"/>
        <w:jc w:val="both"/>
        <w:rPr>
          <w:rFonts w:ascii="Verdana" w:hAnsi="Verdana"/>
          <w:sz w:val="20"/>
          <w:szCs w:val="20"/>
        </w:rPr>
      </w:pPr>
    </w:p>
    <w:p w14:paraId="4A598C8E" w14:textId="77777777" w:rsidR="00D3191B" w:rsidRDefault="00D3191B" w:rsidP="00D3191B">
      <w:pPr>
        <w:spacing w:after="0" w:line="240" w:lineRule="auto"/>
        <w:jc w:val="both"/>
        <w:rPr>
          <w:rFonts w:ascii="Verdana" w:hAnsi="Verdana"/>
          <w:sz w:val="20"/>
          <w:szCs w:val="20"/>
        </w:rPr>
      </w:pPr>
      <w:r>
        <w:rPr>
          <w:rFonts w:ascii="Verdana" w:hAnsi="Verdana"/>
          <w:sz w:val="20"/>
          <w:szCs w:val="20"/>
        </w:rPr>
        <w:t>[…]</w:t>
      </w:r>
    </w:p>
    <w:p w14:paraId="68720C1C" w14:textId="77777777" w:rsidR="00D3191B" w:rsidRDefault="00D3191B" w:rsidP="00D3191B">
      <w:pPr>
        <w:spacing w:after="0" w:line="240" w:lineRule="auto"/>
        <w:jc w:val="both"/>
        <w:rPr>
          <w:rFonts w:ascii="Verdana" w:hAnsi="Verdana"/>
          <w:sz w:val="20"/>
          <w:szCs w:val="20"/>
        </w:rPr>
      </w:pPr>
    </w:p>
    <w:p w14:paraId="7A4776EB" w14:textId="77777777" w:rsidR="00D3191B" w:rsidRDefault="00D3191B" w:rsidP="00D3191B">
      <w:pPr>
        <w:spacing w:after="0" w:line="240" w:lineRule="auto"/>
        <w:jc w:val="both"/>
        <w:rPr>
          <w:rFonts w:ascii="Verdana" w:hAnsi="Verdana"/>
          <w:sz w:val="20"/>
          <w:szCs w:val="20"/>
        </w:rPr>
      </w:pPr>
      <w:r w:rsidRPr="009D6EFC">
        <w:rPr>
          <w:rFonts w:ascii="Verdana" w:hAnsi="Verdana"/>
          <w:sz w:val="20"/>
          <w:szCs w:val="20"/>
        </w:rPr>
        <w:t>Sin embargo, es preciso advertir que al tratarse de entidades del estado que están sometidas a un régimen de competencias, la posibilidad de cesión del contrato supone un análisis particular en relación con los requisitos explicados frente a la cesión de la posición contractual del contratista. En efecto, para la procedencia de la cesión de posición contractual de la entidad contratante es indispensable que la entidad estatal cesionaria cuente con las competencias para la ejecución del contrato cedido. Esto supone que las facultades legales y reglamentarias de la entidad cesionaria establezcan funciones que le permitan asumir la ejecución del contrato que se cede, pues de lo contrario la entidad no contaría con la capacidad jurídica para ejecutar el contrato estatal</w:t>
      </w:r>
    </w:p>
    <w:p w14:paraId="22AA1307" w14:textId="77777777" w:rsidR="00D3191B" w:rsidRPr="00143AE7" w:rsidRDefault="00D3191B" w:rsidP="00D3191B">
      <w:pPr>
        <w:spacing w:after="0" w:line="240" w:lineRule="auto"/>
        <w:rPr>
          <w:rFonts w:ascii="Century Gothic" w:hAnsi="Century Gothic"/>
        </w:rPr>
      </w:pPr>
    </w:p>
    <w:p w14:paraId="71A8BE8B" w14:textId="77777777" w:rsidR="00D3191B" w:rsidRDefault="00D3191B" w:rsidP="00D3191B">
      <w:pPr>
        <w:spacing w:after="0" w:line="240" w:lineRule="auto"/>
        <w:rPr>
          <w:rFonts w:ascii="Century Gothic" w:hAnsi="Century Gothic"/>
          <w:lang w:val="es-MX"/>
        </w:rPr>
      </w:pPr>
    </w:p>
    <w:p w14:paraId="71A2D3E1" w14:textId="77777777" w:rsidR="00D3191B" w:rsidRDefault="00D3191B" w:rsidP="00D3191B">
      <w:pPr>
        <w:spacing w:after="0" w:line="240" w:lineRule="auto"/>
        <w:rPr>
          <w:rFonts w:ascii="Century Gothic" w:hAnsi="Century Gothic"/>
          <w:lang w:val="es-MX"/>
        </w:rPr>
      </w:pPr>
    </w:p>
    <w:p w14:paraId="0EA74279" w14:textId="77777777" w:rsidR="00D3191B" w:rsidRDefault="00D3191B" w:rsidP="00D3191B">
      <w:pPr>
        <w:spacing w:after="0" w:line="240" w:lineRule="auto"/>
        <w:rPr>
          <w:rFonts w:ascii="Century Gothic" w:hAnsi="Century Gothic"/>
          <w:lang w:val="es-MX"/>
        </w:rPr>
      </w:pPr>
    </w:p>
    <w:p w14:paraId="41ADC671" w14:textId="77777777" w:rsidR="00D3191B" w:rsidRDefault="00D3191B" w:rsidP="00D3191B">
      <w:pPr>
        <w:spacing w:after="0" w:line="240" w:lineRule="auto"/>
        <w:rPr>
          <w:rFonts w:ascii="Century Gothic" w:hAnsi="Century Gothic"/>
          <w:lang w:val="es-MX"/>
        </w:rPr>
      </w:pPr>
    </w:p>
    <w:p w14:paraId="42A2B684" w14:textId="77777777" w:rsidR="00D3191B" w:rsidRDefault="00D3191B" w:rsidP="00D3191B">
      <w:pPr>
        <w:spacing w:after="0" w:line="240" w:lineRule="auto"/>
        <w:rPr>
          <w:rFonts w:ascii="Century Gothic" w:hAnsi="Century Gothic"/>
          <w:lang w:val="es-MX"/>
        </w:rPr>
      </w:pPr>
    </w:p>
    <w:p w14:paraId="7740BB25" w14:textId="77777777" w:rsidR="00D3191B" w:rsidRDefault="00D3191B" w:rsidP="00D3191B">
      <w:pPr>
        <w:spacing w:after="0" w:line="240" w:lineRule="auto"/>
        <w:rPr>
          <w:rFonts w:ascii="Century Gothic" w:hAnsi="Century Gothic"/>
          <w:lang w:val="es-MX"/>
        </w:rPr>
      </w:pPr>
    </w:p>
    <w:p w14:paraId="09586871" w14:textId="77777777" w:rsidR="00D3191B" w:rsidRDefault="00D3191B" w:rsidP="00D3191B">
      <w:pPr>
        <w:spacing w:after="0" w:line="240" w:lineRule="auto"/>
        <w:rPr>
          <w:rFonts w:ascii="Century Gothic" w:hAnsi="Century Gothic"/>
          <w:lang w:val="es-MX"/>
        </w:rPr>
      </w:pPr>
    </w:p>
    <w:p w14:paraId="1FAB5D0B" w14:textId="77777777" w:rsidR="00D3191B" w:rsidRDefault="00D3191B" w:rsidP="00D3191B">
      <w:pPr>
        <w:spacing w:after="0" w:line="240" w:lineRule="auto"/>
        <w:rPr>
          <w:rFonts w:ascii="Century Gothic" w:hAnsi="Century Gothic"/>
          <w:lang w:val="es-MX"/>
        </w:rPr>
      </w:pPr>
    </w:p>
    <w:p w14:paraId="0C1D25FF" w14:textId="77777777" w:rsidR="00D3191B" w:rsidRPr="005B7C42" w:rsidRDefault="00D3191B" w:rsidP="00D3191B">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5547678D" w14:textId="77777777" w:rsidR="00D3191B" w:rsidRPr="005B7C42" w:rsidRDefault="00D3191B" w:rsidP="00D3191B">
      <w:pPr>
        <w:spacing w:after="0" w:line="240" w:lineRule="auto"/>
        <w:rPr>
          <w:rFonts w:ascii="Verdana" w:eastAsia="Times New Roman" w:hAnsi="Verdana" w:cs="Arial"/>
          <w:lang w:eastAsia="es-ES_tradnl"/>
        </w:rPr>
      </w:pPr>
    </w:p>
    <w:p w14:paraId="2F5C63BE" w14:textId="4A74D2AA" w:rsidR="00D3191B" w:rsidRPr="005B7C42" w:rsidRDefault="0059094F" w:rsidP="00D3191B">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7EC29A12" wp14:editId="6D319411">
            <wp:extent cx="3947680" cy="1193800"/>
            <wp:effectExtent l="0" t="0" r="0" b="6350"/>
            <wp:docPr id="1489916368"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16368" name="Imagen 1" descr="Interfaz de usuario gráfica, Aplicación, Word&#10;&#10;Descripción generada automáticamente"/>
                    <pic:cNvPicPr/>
                  </pic:nvPicPr>
                  <pic:blipFill rotWithShape="1">
                    <a:blip r:embed="rId7"/>
                    <a:srcRect l="11542" t="39771" r="55533" b="26577"/>
                    <a:stretch/>
                  </pic:blipFill>
                  <pic:spPr bwMode="auto">
                    <a:xfrm>
                      <a:off x="0" y="0"/>
                      <a:ext cx="3954774" cy="1195945"/>
                    </a:xfrm>
                    <a:prstGeom prst="rect">
                      <a:avLst/>
                    </a:prstGeom>
                    <a:ln>
                      <a:noFill/>
                    </a:ln>
                    <a:extLst>
                      <a:ext uri="{53640926-AAD7-44D8-BBD7-CCE9431645EC}">
                        <a14:shadowObscured xmlns:a14="http://schemas.microsoft.com/office/drawing/2010/main"/>
                      </a:ext>
                    </a:extLst>
                  </pic:spPr>
                </pic:pic>
              </a:graphicData>
            </a:graphic>
          </wp:inline>
        </w:drawing>
      </w:r>
    </w:p>
    <w:p w14:paraId="066B297F" w14:textId="77777777" w:rsidR="00D3191B" w:rsidRPr="005B7C42" w:rsidRDefault="00D3191B" w:rsidP="00D3191B">
      <w:pPr>
        <w:spacing w:after="0" w:line="240" w:lineRule="auto"/>
        <w:jc w:val="right"/>
        <w:rPr>
          <w:rFonts w:ascii="Verdana" w:eastAsia="Times New Roman" w:hAnsi="Verdana" w:cs="Arial"/>
          <w:lang w:eastAsia="es-ES_tradnl"/>
        </w:rPr>
      </w:pPr>
    </w:p>
    <w:p w14:paraId="5823ACD3" w14:textId="77777777" w:rsidR="00D3191B" w:rsidRDefault="00D3191B" w:rsidP="00D3191B">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6BAA03A0" w14:textId="77777777" w:rsidR="00D3191B" w:rsidRPr="00FE5F8D" w:rsidRDefault="00D3191B" w:rsidP="00D3191B">
      <w:pPr>
        <w:spacing w:after="0" w:line="240" w:lineRule="auto"/>
        <w:jc w:val="both"/>
        <w:rPr>
          <w:rFonts w:ascii="Verdana" w:hAnsi="Verdana"/>
          <w:b/>
          <w:bCs/>
        </w:rPr>
      </w:pPr>
      <w:r w:rsidRPr="00FE5F8D">
        <w:rPr>
          <w:rFonts w:ascii="Verdana" w:hAnsi="Verdana"/>
          <w:b/>
          <w:bCs/>
        </w:rPr>
        <w:t>Yeison Fabian Ardila Ortega</w:t>
      </w:r>
    </w:p>
    <w:p w14:paraId="7459FD52" w14:textId="77777777" w:rsidR="00D3191B" w:rsidRPr="00FE5F8D" w:rsidRDefault="00D3191B" w:rsidP="00D3191B">
      <w:pPr>
        <w:spacing w:after="0" w:line="240" w:lineRule="auto"/>
        <w:jc w:val="both"/>
        <w:rPr>
          <w:rFonts w:ascii="Verdana" w:eastAsia="Calibri" w:hAnsi="Verdana" w:cs="Arial"/>
          <w:lang w:eastAsia="es-ES_tradnl"/>
        </w:rPr>
      </w:pPr>
      <w:hyperlink r:id="rId8" w:history="1">
        <w:r w:rsidRPr="00FE5F8D">
          <w:rPr>
            <w:rStyle w:val="Hipervnculo"/>
            <w:rFonts w:ascii="Verdana" w:eastAsia="Calibri" w:hAnsi="Verdana" w:cs="Arial"/>
            <w:lang w:eastAsia="es-ES_tradnl"/>
          </w:rPr>
          <w:t>yardila@mincultura.gov.co</w:t>
        </w:r>
      </w:hyperlink>
      <w:r w:rsidRPr="00FE5F8D">
        <w:rPr>
          <w:rFonts w:ascii="Verdana" w:eastAsia="Calibri" w:hAnsi="Verdana" w:cs="Arial"/>
          <w:lang w:eastAsia="es-ES_tradnl"/>
        </w:rPr>
        <w:t xml:space="preserve"> </w:t>
      </w:r>
    </w:p>
    <w:p w14:paraId="3B5817B8" w14:textId="77777777" w:rsidR="00D3191B" w:rsidRPr="005B7C42" w:rsidRDefault="00D3191B" w:rsidP="00D3191B">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3D92BB18" w14:textId="77777777" w:rsidR="00D3191B" w:rsidRPr="005B7C42" w:rsidRDefault="00D3191B" w:rsidP="00D3191B">
      <w:pPr>
        <w:spacing w:after="0" w:line="240" w:lineRule="auto"/>
        <w:rPr>
          <w:rFonts w:ascii="Verdana" w:eastAsia="Calibri" w:hAnsi="Verdana" w:cs="Arial"/>
          <w:lang w:eastAsia="es-ES_tradnl"/>
        </w:rPr>
      </w:pPr>
    </w:p>
    <w:p w14:paraId="41206BF9" w14:textId="77777777" w:rsidR="00D3191B" w:rsidRPr="005B7C42" w:rsidRDefault="00D3191B" w:rsidP="00D3191B">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 xml:space="preserve">880 </w:t>
      </w:r>
      <w:r w:rsidRPr="005B7C42">
        <w:rPr>
          <w:rFonts w:ascii="Verdana" w:eastAsia="Calibri" w:hAnsi="Verdana" w:cs="Arial"/>
          <w:b/>
          <w:bCs/>
          <w:lang w:eastAsia="es-ES_tradnl"/>
        </w:rPr>
        <w:t>de 2024</w:t>
      </w:r>
    </w:p>
    <w:p w14:paraId="13DB0AA6" w14:textId="77777777" w:rsidR="00D3191B" w:rsidRPr="005B7C42" w:rsidRDefault="00D3191B" w:rsidP="00D3191B">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D3191B" w:rsidRPr="005B7C42" w14:paraId="4DB96DBC" w14:textId="77777777" w:rsidTr="00AF17C7">
        <w:trPr>
          <w:trHeight w:val="1105"/>
          <w:jc w:val="right"/>
        </w:trPr>
        <w:tc>
          <w:tcPr>
            <w:tcW w:w="2688" w:type="dxa"/>
          </w:tcPr>
          <w:p w14:paraId="553437F4" w14:textId="77777777" w:rsidR="00D3191B" w:rsidRPr="005B7C42" w:rsidRDefault="00D3191B" w:rsidP="00AF17C7">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4F536794" w14:textId="77777777" w:rsidR="00D3191B" w:rsidRPr="00741D53" w:rsidRDefault="00D3191B" w:rsidP="00AF17C7">
            <w:pPr>
              <w:jc w:val="both"/>
              <w:rPr>
                <w:rFonts w:ascii="Verdana" w:eastAsia="Times New Roman" w:hAnsi="Verdana" w:cs="Arial"/>
                <w:highlight w:val="yellow"/>
                <w:lang w:val="es-ES" w:eastAsia="es-ES_tradnl"/>
              </w:rPr>
            </w:pPr>
            <w:r w:rsidRPr="001A76B5">
              <w:rPr>
                <w:rFonts w:ascii="Verdana" w:eastAsia="Calibri" w:hAnsi="Verdana" w:cs="Arial"/>
                <w:bCs/>
                <w:color w:val="000000" w:themeColor="text1"/>
                <w:lang w:val="es-ES_tradnl"/>
              </w:rPr>
              <w:t xml:space="preserve">CESIÓN DEL CONTRATO ESTATAL – Noción / CESIÓN DEL CONTRATO ESTATAL – Régimen jurídico aplicable – EGCAP – Código de comercio / CESIÓN DEL CONTRATO ESTATAL – Requisitos – Restricciones </w:t>
            </w:r>
            <w:r>
              <w:rPr>
                <w:rFonts w:ascii="Verdana" w:eastAsia="Calibri" w:hAnsi="Verdana" w:cs="Arial"/>
                <w:bCs/>
                <w:color w:val="000000" w:themeColor="text1"/>
                <w:lang w:val="es-ES_tradnl"/>
              </w:rPr>
              <w:t xml:space="preserve">CESIÓN </w:t>
            </w:r>
            <w:r w:rsidRPr="00D97FBD">
              <w:rPr>
                <w:rFonts w:ascii="Verdana" w:eastAsia="Calibri" w:hAnsi="Verdana" w:cs="Arial"/>
                <w:bCs/>
                <w:color w:val="000000" w:themeColor="text1"/>
                <w:lang w:val="es-ES_tradnl"/>
              </w:rPr>
              <w:t>DE LA POSICIÓN CONTRACTUAL DE LA ENTIDAD ESTATAL</w:t>
            </w:r>
            <w:r w:rsidRPr="00D97FBD">
              <w:rPr>
                <w:rFonts w:ascii="Verdana" w:eastAsia="Calibri" w:hAnsi="Verdana" w:cs="Arial"/>
                <w:bCs/>
                <w:color w:val="000000" w:themeColor="text1"/>
                <w:lang w:val="es-ES"/>
              </w:rPr>
              <w:t xml:space="preserve"> – Procedencia </w:t>
            </w:r>
            <w:r w:rsidRPr="00D97FBD">
              <w:rPr>
                <w:rFonts w:ascii="Verdana" w:eastAsia="Calibri" w:hAnsi="Verdana" w:cs="Arial"/>
                <w:lang w:val="es-ES" w:eastAsia="es-ES"/>
              </w:rPr>
              <w:t>– Competencia funcional</w:t>
            </w:r>
          </w:p>
        </w:tc>
      </w:tr>
      <w:tr w:rsidR="00D3191B" w:rsidRPr="005B7C42" w14:paraId="1FB63373" w14:textId="77777777" w:rsidTr="00AF17C7">
        <w:trPr>
          <w:jc w:val="right"/>
        </w:trPr>
        <w:tc>
          <w:tcPr>
            <w:tcW w:w="2688" w:type="dxa"/>
          </w:tcPr>
          <w:p w14:paraId="5DB39E63" w14:textId="77777777" w:rsidR="00D3191B" w:rsidRPr="005B7C42" w:rsidRDefault="00D3191B" w:rsidP="00AF17C7">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4ED014AE" w14:textId="77777777" w:rsidR="00D3191B" w:rsidRPr="005B7C42" w:rsidRDefault="00D3191B" w:rsidP="00AF17C7">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DC0CD9">
              <w:rPr>
                <w:rFonts w:ascii="Verdana" w:eastAsia="Calibri" w:hAnsi="Verdana" w:cs="Arial"/>
                <w:lang w:eastAsia="es-ES_tradnl"/>
              </w:rPr>
              <w:t>P20241115011469</w:t>
            </w:r>
          </w:p>
        </w:tc>
      </w:tr>
    </w:tbl>
    <w:p w14:paraId="2BE08D42" w14:textId="77777777" w:rsidR="00D3191B" w:rsidRPr="005B7C42" w:rsidRDefault="00D3191B" w:rsidP="00D3191B">
      <w:pPr>
        <w:spacing w:after="0" w:line="240" w:lineRule="auto"/>
        <w:jc w:val="both"/>
        <w:rPr>
          <w:rFonts w:ascii="Verdana" w:eastAsia="Calibri" w:hAnsi="Verdana" w:cs="Arial"/>
          <w:lang w:eastAsia="es-ES_tradnl"/>
        </w:rPr>
      </w:pPr>
    </w:p>
    <w:p w14:paraId="6097E595" w14:textId="77777777" w:rsidR="00D3191B" w:rsidRPr="005B7C42" w:rsidRDefault="00D3191B" w:rsidP="00D3191B">
      <w:pPr>
        <w:spacing w:after="0" w:line="240" w:lineRule="auto"/>
        <w:jc w:val="both"/>
        <w:rPr>
          <w:rFonts w:ascii="Verdana" w:eastAsia="Calibri" w:hAnsi="Verdana" w:cs="Arial"/>
          <w:lang w:eastAsia="es-ES_tradnl"/>
        </w:rPr>
      </w:pPr>
    </w:p>
    <w:p w14:paraId="3E4F5F58" w14:textId="77777777" w:rsidR="00D3191B" w:rsidRPr="005B7C42" w:rsidRDefault="00D3191B" w:rsidP="00D3191B">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Ardila Ortega</w:t>
      </w:r>
      <w:r w:rsidRPr="005B7C42">
        <w:rPr>
          <w:rFonts w:ascii="Verdana" w:eastAsia="Calibri" w:hAnsi="Verdana" w:cs="Arial"/>
          <w:bCs/>
          <w:lang w:eastAsia="es-ES_tradnl"/>
        </w:rPr>
        <w:t>,</w:t>
      </w:r>
    </w:p>
    <w:p w14:paraId="0609811F" w14:textId="77777777" w:rsidR="00D3191B" w:rsidRPr="005B7C42" w:rsidRDefault="00D3191B" w:rsidP="00D3191B">
      <w:pPr>
        <w:spacing w:after="0" w:line="276" w:lineRule="auto"/>
        <w:contextualSpacing/>
        <w:jc w:val="both"/>
        <w:rPr>
          <w:rFonts w:ascii="Verdana" w:eastAsia="Calibri" w:hAnsi="Verdana" w:cs="Arial"/>
          <w:lang w:eastAsia="es-ES_tradnl"/>
        </w:rPr>
      </w:pPr>
    </w:p>
    <w:p w14:paraId="35AB470C" w14:textId="77777777" w:rsidR="00D3191B" w:rsidRPr="005B7C42" w:rsidRDefault="00D3191B" w:rsidP="00D3191B">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15</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06D16776" w14:textId="77777777" w:rsidR="00D3191B" w:rsidRPr="005B7C42" w:rsidRDefault="00D3191B" w:rsidP="00D3191B">
      <w:pPr>
        <w:spacing w:after="0" w:line="276" w:lineRule="auto"/>
        <w:jc w:val="both"/>
        <w:rPr>
          <w:rFonts w:ascii="Verdana" w:eastAsia="Calibri" w:hAnsi="Verdana" w:cs="Arial"/>
          <w:lang w:eastAsia="es-ES_tradnl"/>
        </w:rPr>
      </w:pPr>
    </w:p>
    <w:p w14:paraId="2A7AD403" w14:textId="77777777" w:rsidR="00D3191B" w:rsidRPr="00F75C0D" w:rsidRDefault="00D3191B" w:rsidP="00D3191B">
      <w:pPr>
        <w:spacing w:after="120" w:line="276" w:lineRule="auto"/>
        <w:ind w:left="709" w:right="709"/>
        <w:jc w:val="both"/>
        <w:rPr>
          <w:rFonts w:ascii="Verdana" w:eastAsia="Times New Roman" w:hAnsi="Verdana" w:cs="Arial"/>
          <w:iCs/>
          <w:sz w:val="21"/>
          <w:szCs w:val="21"/>
          <w:lang w:eastAsia="es-ES_tradnl"/>
        </w:rPr>
      </w:pPr>
      <w:r w:rsidRPr="00F75C0D">
        <w:rPr>
          <w:rFonts w:ascii="Verdana" w:eastAsia="Times New Roman" w:hAnsi="Verdana" w:cs="Arial"/>
          <w:iCs/>
          <w:sz w:val="21"/>
          <w:szCs w:val="21"/>
          <w:lang w:eastAsia="es-ES_tradnl"/>
        </w:rPr>
        <w:t>“[…]</w:t>
      </w:r>
    </w:p>
    <w:p w14:paraId="45244F21" w14:textId="77777777" w:rsidR="00D3191B" w:rsidRDefault="00D3191B" w:rsidP="00D3191B">
      <w:pPr>
        <w:spacing w:after="0" w:line="276" w:lineRule="auto"/>
        <w:ind w:left="709" w:right="709"/>
        <w:jc w:val="both"/>
        <w:rPr>
          <w:rFonts w:ascii="Verdana" w:eastAsia="Times New Roman" w:hAnsi="Verdana" w:cs="Arial"/>
          <w:iCs/>
          <w:sz w:val="21"/>
          <w:szCs w:val="21"/>
          <w:lang w:eastAsia="es-ES_tradnl"/>
        </w:rPr>
      </w:pPr>
      <w:r w:rsidRPr="00A36744">
        <w:rPr>
          <w:rFonts w:ascii="Verdana" w:eastAsia="Times New Roman" w:hAnsi="Verdana" w:cs="Arial"/>
          <w:iCs/>
          <w:sz w:val="21"/>
          <w:szCs w:val="21"/>
          <w:lang w:eastAsia="es-ES_tradnl"/>
        </w:rPr>
        <w:t xml:space="preserve">Por medio del presente, me permito solicitar su colaboración para la emisión de un concepto jurídico que permita determinar los pasos a seguir y las consideraciones legales aplicables para efectuar la cesión </w:t>
      </w:r>
      <w:r w:rsidRPr="00A36744">
        <w:rPr>
          <w:rFonts w:ascii="Verdana" w:eastAsia="Times New Roman" w:hAnsi="Verdana" w:cs="Arial"/>
          <w:iCs/>
          <w:sz w:val="21"/>
          <w:szCs w:val="21"/>
          <w:lang w:eastAsia="es-ES_tradnl"/>
        </w:rPr>
        <w:lastRenderedPageBreak/>
        <w:t xml:space="preserve">de un contrato en la plataforma SECOP II, entre las entidades compradoras Invias a Gobernación de Antioquia </w:t>
      </w:r>
    </w:p>
    <w:p w14:paraId="1CFC8F3D" w14:textId="77777777" w:rsidR="00D3191B" w:rsidRDefault="00D3191B" w:rsidP="00D3191B">
      <w:pPr>
        <w:spacing w:after="0" w:line="276" w:lineRule="auto"/>
        <w:ind w:left="709" w:right="709"/>
        <w:jc w:val="both"/>
        <w:rPr>
          <w:rFonts w:ascii="Verdana" w:eastAsia="Times New Roman" w:hAnsi="Verdana" w:cs="Arial"/>
          <w:iCs/>
          <w:sz w:val="21"/>
          <w:szCs w:val="21"/>
          <w:lang w:eastAsia="es-ES_tradnl"/>
        </w:rPr>
      </w:pPr>
    </w:p>
    <w:p w14:paraId="200FE05E" w14:textId="77777777" w:rsidR="00D3191B" w:rsidRDefault="00D3191B" w:rsidP="00D3191B">
      <w:pPr>
        <w:spacing w:after="0" w:line="276" w:lineRule="auto"/>
        <w:ind w:left="709" w:right="709"/>
        <w:jc w:val="both"/>
        <w:rPr>
          <w:rFonts w:ascii="Verdana" w:eastAsia="Times New Roman" w:hAnsi="Verdana" w:cs="Arial"/>
          <w:iCs/>
          <w:sz w:val="21"/>
          <w:szCs w:val="21"/>
          <w:lang w:eastAsia="es-ES_tradnl"/>
        </w:rPr>
      </w:pPr>
      <w:r w:rsidRPr="00A36744">
        <w:rPr>
          <w:rFonts w:ascii="Verdana" w:eastAsia="Times New Roman" w:hAnsi="Verdana" w:cs="Arial"/>
          <w:iCs/>
          <w:sz w:val="21"/>
          <w:szCs w:val="21"/>
          <w:lang w:eastAsia="es-ES_tradnl"/>
        </w:rPr>
        <w:t xml:space="preserve">Dicha cesión obedece a que una de las partes compradoras procederá a subrogar el contrato, transfiriendo sus derechos y obligaciones a la otra entidad. </w:t>
      </w:r>
    </w:p>
    <w:p w14:paraId="1C1F3B62" w14:textId="77777777" w:rsidR="00D3191B" w:rsidRPr="005B7C42" w:rsidRDefault="00D3191B" w:rsidP="00D3191B">
      <w:pPr>
        <w:spacing w:after="120" w:line="276" w:lineRule="auto"/>
        <w:ind w:left="709" w:right="709"/>
        <w:jc w:val="both"/>
        <w:rPr>
          <w:rFonts w:ascii="Verdana" w:eastAsia="Times New Roman" w:hAnsi="Verdana" w:cs="Arial"/>
          <w:i/>
          <w:sz w:val="20"/>
          <w:szCs w:val="20"/>
          <w:lang w:eastAsia="es-ES_tradnl"/>
        </w:rPr>
      </w:pPr>
      <w:r w:rsidRPr="00A36744">
        <w:rPr>
          <w:rFonts w:ascii="Verdana" w:eastAsia="Times New Roman" w:hAnsi="Verdana" w:cs="Arial"/>
          <w:iCs/>
          <w:sz w:val="21"/>
          <w:szCs w:val="21"/>
          <w:lang w:eastAsia="es-ES_tradnl"/>
        </w:rPr>
        <w:t>En este sentido, se requiere claridad sobre los siguientes aspectos: Procedimiento para seguir en la plataforma SECOP II para realizar la cesión del contrato. Documentación e información necesaria para formalizar la subrogación. Consideraciones jurídicas relacionadas con la transferencia de derechos y obligaciones entre las partes. Revisión de implicaciones normativas, especialmente en el marco del Estatuto General de Contratación de la Administración Pública y las regulaciones aplicables a la plataforma SECOP II</w:t>
      </w:r>
      <w:r w:rsidRPr="005B7C42">
        <w:rPr>
          <w:rFonts w:ascii="Verdana" w:eastAsia="Times New Roman" w:hAnsi="Verdana" w:cs="Arial"/>
          <w:iCs/>
          <w:sz w:val="20"/>
          <w:szCs w:val="20"/>
          <w:lang w:eastAsia="es-ES_tradnl"/>
        </w:rPr>
        <w:t xml:space="preserve">” </w:t>
      </w:r>
      <w:r w:rsidRPr="00502CFF">
        <w:rPr>
          <w:rFonts w:ascii="Verdana" w:eastAsia="Times New Roman" w:hAnsi="Verdana" w:cs="Arial"/>
          <w:iCs/>
          <w:lang w:eastAsia="es-ES_tradnl"/>
        </w:rPr>
        <w:t>[SIC].</w:t>
      </w:r>
    </w:p>
    <w:p w14:paraId="7535F225" w14:textId="77777777" w:rsidR="00D3191B" w:rsidRPr="005B7C42" w:rsidRDefault="00D3191B" w:rsidP="00D3191B">
      <w:pPr>
        <w:spacing w:after="120" w:line="240" w:lineRule="auto"/>
        <w:ind w:left="709" w:right="709"/>
        <w:jc w:val="both"/>
        <w:rPr>
          <w:rFonts w:ascii="Verdana" w:eastAsia="Times New Roman" w:hAnsi="Verdana" w:cs="Arial"/>
          <w:i/>
          <w:lang w:eastAsia="es-ES_tradnl"/>
        </w:rPr>
      </w:pPr>
    </w:p>
    <w:p w14:paraId="31976396" w14:textId="77777777" w:rsidR="00D3191B" w:rsidRPr="005B7C42" w:rsidRDefault="00D3191B" w:rsidP="00D3191B">
      <w:pPr>
        <w:spacing w:after="120" w:line="276" w:lineRule="auto"/>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17D44BEF" w14:textId="77777777" w:rsidR="00D3191B" w:rsidRDefault="00D3191B" w:rsidP="00D3191B">
      <w:pPr>
        <w:spacing w:after="12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4671CC84" w14:textId="77777777" w:rsidR="00D3191B" w:rsidRDefault="00D3191B" w:rsidP="00D3191B">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En relación con la consulta sobre el</w:t>
      </w:r>
      <w:r w:rsidRPr="007251EF">
        <w:rPr>
          <w:rFonts w:ascii="Verdana" w:eastAsia="Calibri" w:hAnsi="Verdana" w:cs="Arial"/>
          <w:color w:val="000000"/>
          <w:lang w:val="es-ES" w:eastAsia="es-ES"/>
        </w:rPr>
        <w:t xml:space="preserve"> </w:t>
      </w:r>
      <w:r>
        <w:rPr>
          <w:rFonts w:ascii="Verdana" w:eastAsia="Calibri" w:hAnsi="Verdana" w:cs="Arial"/>
          <w:color w:val="000000"/>
          <w:lang w:val="es-ES" w:eastAsia="es-ES"/>
        </w:rPr>
        <w:t>p</w:t>
      </w:r>
      <w:r w:rsidRPr="006D6C86">
        <w:rPr>
          <w:rFonts w:ascii="Verdana" w:eastAsia="Calibri" w:hAnsi="Verdana" w:cs="Arial"/>
          <w:color w:val="000000"/>
          <w:lang w:val="es-ES" w:eastAsia="es-ES"/>
        </w:rPr>
        <w:t>rocedimiento para seguir en la plataforma SECOP II para realizar la cesión del contrato</w:t>
      </w:r>
      <w:r w:rsidRPr="007251EF">
        <w:rPr>
          <w:rFonts w:ascii="Verdana" w:eastAsia="Calibri" w:hAnsi="Verdana" w:cs="Arial"/>
          <w:color w:val="000000"/>
          <w:lang w:val="es-ES" w:eastAsia="es-ES"/>
        </w:rPr>
        <w:t xml:space="preserve">, los documentos requeridos y cualquier modificación contractual que pueda derivarse de la </w:t>
      </w:r>
      <w:r w:rsidRPr="007251EF">
        <w:rPr>
          <w:rFonts w:ascii="Verdana" w:eastAsia="Calibri" w:hAnsi="Verdana" w:cs="Arial"/>
          <w:color w:val="000000"/>
          <w:lang w:val="es-ES" w:eastAsia="es-ES"/>
        </w:rPr>
        <w:lastRenderedPageBreak/>
        <w:t>ejecución del contrato</w:t>
      </w:r>
      <w:r>
        <w:rPr>
          <w:rFonts w:ascii="Verdana" w:eastAsia="Calibri" w:hAnsi="Verdana" w:cs="Arial"/>
          <w:color w:val="000000"/>
          <w:lang w:val="es-ES" w:eastAsia="es-ES"/>
        </w:rPr>
        <w:t xml:space="preserve">, se anexa respuesta de la Subdirección de Información y Desarrollo Tecnológico sobre el trámite respectivo en la plataforma del SECOP II. </w:t>
      </w:r>
    </w:p>
    <w:p w14:paraId="16BFC2BE" w14:textId="77777777" w:rsidR="00D3191B" w:rsidRPr="005B7C42" w:rsidRDefault="00D3191B" w:rsidP="00D3191B">
      <w:pPr>
        <w:spacing w:after="0" w:line="276" w:lineRule="auto"/>
        <w:ind w:firstLine="709"/>
        <w:jc w:val="both"/>
        <w:rPr>
          <w:rFonts w:ascii="Verdana" w:eastAsia="Times New Roman" w:hAnsi="Verdana" w:cs="Arial"/>
          <w:szCs w:val="24"/>
          <w:lang w:eastAsia="es-ES_tradnl"/>
        </w:rPr>
      </w:pPr>
    </w:p>
    <w:p w14:paraId="559E9DE2" w14:textId="77777777" w:rsidR="00D3191B" w:rsidRDefault="00D3191B" w:rsidP="00D3191B">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411BBD0B" w14:textId="77777777" w:rsidR="00D3191B" w:rsidRDefault="00D3191B" w:rsidP="00D3191B">
      <w:pPr>
        <w:spacing w:after="0" w:line="276" w:lineRule="auto"/>
        <w:jc w:val="both"/>
        <w:rPr>
          <w:rFonts w:ascii="Verdana" w:eastAsia="Century Gothic" w:hAnsi="Verdana" w:cs="Century Gothic"/>
        </w:rPr>
      </w:pPr>
    </w:p>
    <w:p w14:paraId="603035F2" w14:textId="77777777" w:rsidR="00D3191B" w:rsidRDefault="00D3191B" w:rsidP="00D3191B">
      <w:pPr>
        <w:spacing w:after="0" w:line="276" w:lineRule="auto"/>
        <w:jc w:val="both"/>
        <w:rPr>
          <w:rFonts w:ascii="Verdana" w:eastAsia="Century Gothic" w:hAnsi="Verdana" w:cs="Century Gothic"/>
        </w:rPr>
      </w:pPr>
      <w:r w:rsidRPr="00EB1CF7">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P</w:t>
      </w:r>
      <w:r w:rsidRPr="00492CA3">
        <w:rPr>
          <w:rFonts w:ascii="Verdana" w:eastAsia="Century Gothic" w:hAnsi="Verdana" w:cs="Century Gothic"/>
        </w:rPr>
        <w:t xml:space="preserve">uede </w:t>
      </w:r>
      <w:r>
        <w:rPr>
          <w:rFonts w:ascii="Verdana" w:eastAsia="Century Gothic" w:hAnsi="Verdana" w:cs="Century Gothic"/>
        </w:rPr>
        <w:t>una</w:t>
      </w:r>
      <w:r w:rsidRPr="00492CA3">
        <w:rPr>
          <w:rFonts w:ascii="Verdana" w:eastAsia="Century Gothic" w:hAnsi="Verdana" w:cs="Century Gothic"/>
        </w:rPr>
        <w:t xml:space="preserve"> entidad </w:t>
      </w:r>
      <w:r>
        <w:rPr>
          <w:rFonts w:ascii="Verdana" w:eastAsia="Century Gothic" w:hAnsi="Verdana" w:cs="Century Gothic"/>
        </w:rPr>
        <w:t>pública contratante ceder su posición contractual en el marco de un contrato estatal</w:t>
      </w:r>
      <w:r w:rsidRPr="004A08FB">
        <w:rPr>
          <w:rFonts w:ascii="Verdana" w:eastAsia="Century Gothic" w:hAnsi="Verdana" w:cs="Century Gothic"/>
        </w:rPr>
        <w:t>?</w:t>
      </w:r>
    </w:p>
    <w:p w14:paraId="349274C8" w14:textId="77777777" w:rsidR="00D3191B" w:rsidRPr="005B7C42" w:rsidRDefault="00D3191B" w:rsidP="00D3191B">
      <w:pPr>
        <w:spacing w:after="0" w:line="276" w:lineRule="auto"/>
        <w:jc w:val="both"/>
        <w:rPr>
          <w:rFonts w:ascii="Verdana" w:hAnsi="Verdana"/>
        </w:rPr>
      </w:pPr>
    </w:p>
    <w:p w14:paraId="7196FDC3" w14:textId="77777777" w:rsidR="00D3191B" w:rsidRPr="005B7C42" w:rsidRDefault="00D3191B" w:rsidP="00D3191B">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48920B44" w14:textId="77777777" w:rsidR="00D3191B" w:rsidRPr="005B7C42" w:rsidRDefault="00D3191B" w:rsidP="00D3191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3191B" w:rsidRPr="00340AE0" w14:paraId="6EE47C4D" w14:textId="77777777" w:rsidTr="00AF17C7">
        <w:tc>
          <w:tcPr>
            <w:tcW w:w="8828" w:type="dxa"/>
            <w:shd w:val="clear" w:color="auto" w:fill="auto"/>
          </w:tcPr>
          <w:p w14:paraId="25C6F90F" w14:textId="77777777" w:rsidR="00D3191B" w:rsidRDefault="00D3191B" w:rsidP="00AF17C7">
            <w:pPr>
              <w:spacing w:line="276" w:lineRule="auto"/>
              <w:ind w:right="79"/>
              <w:jc w:val="both"/>
              <w:rPr>
                <w:rFonts w:ascii="Verdana" w:eastAsia="Calibri" w:hAnsi="Verdana" w:cs="Arial"/>
                <w:color w:val="000000" w:themeColor="text1"/>
              </w:rPr>
            </w:pPr>
            <w:r>
              <w:rPr>
                <w:rFonts w:ascii="Verdana" w:eastAsia="Arial" w:hAnsi="Verdana" w:cs="Arial"/>
                <w:bCs/>
              </w:rPr>
              <w:t>A</w:t>
            </w:r>
            <w:r>
              <w:rPr>
                <w:rFonts w:ascii="Verdana" w:eastAsia="Calibri" w:hAnsi="Verdana" w:cs="Arial"/>
                <w:color w:val="000000" w:themeColor="text1"/>
              </w:rPr>
              <w:t xml:space="preserve">unque en las </w:t>
            </w:r>
            <w:r w:rsidRPr="008F7498">
              <w:rPr>
                <w:rFonts w:ascii="Verdana" w:eastAsia="Calibri" w:hAnsi="Verdana" w:cs="Arial"/>
                <w:color w:val="000000" w:themeColor="text1"/>
              </w:rPr>
              <w:t>disposiciones específicas relativas a la figura de la cesión contractual</w:t>
            </w:r>
            <w:r>
              <w:rPr>
                <w:rFonts w:ascii="Verdana" w:eastAsia="Calibri" w:hAnsi="Verdana" w:cs="Arial"/>
                <w:color w:val="000000" w:themeColor="text1"/>
              </w:rPr>
              <w:t xml:space="preserve"> que establece </w:t>
            </w:r>
            <w:r w:rsidRPr="008F7498">
              <w:rPr>
                <w:rFonts w:ascii="Verdana" w:eastAsia="Calibri" w:hAnsi="Verdana" w:cs="Arial"/>
                <w:color w:val="000000" w:themeColor="text1"/>
              </w:rPr>
              <w:t xml:space="preserve">el Estatuto General de Contratación de la Administración Pública </w:t>
            </w:r>
            <w:r>
              <w:rPr>
                <w:rFonts w:ascii="Verdana" w:eastAsia="Calibri" w:hAnsi="Verdana" w:cs="Arial"/>
                <w:color w:val="000000" w:themeColor="text1"/>
              </w:rPr>
              <w:t>no se menciona la cesión de la posición contractual de la entidad estatal, esta ausencia regulatoria no implica que no sea viable jurídicamente su materialización.</w:t>
            </w:r>
          </w:p>
          <w:p w14:paraId="5D4D879E" w14:textId="77777777" w:rsidR="00D3191B" w:rsidRDefault="00D3191B" w:rsidP="00AF17C7">
            <w:pPr>
              <w:spacing w:line="276" w:lineRule="auto"/>
              <w:ind w:right="79"/>
              <w:jc w:val="both"/>
              <w:rPr>
                <w:rFonts w:ascii="Verdana" w:eastAsia="Calibri" w:hAnsi="Verdana" w:cs="Arial"/>
                <w:color w:val="000000" w:themeColor="text1"/>
              </w:rPr>
            </w:pPr>
          </w:p>
          <w:p w14:paraId="0258AA12" w14:textId="77777777" w:rsidR="00D3191B" w:rsidRDefault="00D3191B" w:rsidP="00AF17C7">
            <w:pPr>
              <w:tabs>
                <w:tab w:val="left" w:pos="709"/>
              </w:tabs>
              <w:spacing w:line="276" w:lineRule="auto"/>
              <w:jc w:val="both"/>
              <w:rPr>
                <w:rFonts w:ascii="Verdana" w:eastAsia="Calibri" w:hAnsi="Verdana" w:cs="Arial"/>
                <w:color w:val="000000" w:themeColor="text1"/>
              </w:rPr>
            </w:pPr>
            <w:r>
              <w:rPr>
                <w:rFonts w:ascii="Verdana" w:eastAsia="Calibri" w:hAnsi="Verdana" w:cs="Arial"/>
                <w:color w:val="000000" w:themeColor="text1"/>
              </w:rPr>
              <w:t>En efecto</w:t>
            </w:r>
            <w:r w:rsidRPr="003E6E2C">
              <w:rPr>
                <w:rFonts w:ascii="Verdana" w:eastAsia="Calibri" w:hAnsi="Verdana" w:cs="Arial"/>
                <w:color w:val="000000" w:themeColor="text1"/>
              </w:rPr>
              <w:t>, de acuerdo con lo señalado en el artículo 13 de la Ley 80 de 1993</w:t>
            </w:r>
            <w:r>
              <w:rPr>
                <w:rFonts w:ascii="Verdana" w:eastAsia="Calibri" w:hAnsi="Verdana" w:cs="Arial"/>
                <w:color w:val="000000" w:themeColor="text1"/>
              </w:rPr>
              <w:t>,</w:t>
            </w:r>
            <w:r w:rsidRPr="003E6E2C">
              <w:rPr>
                <w:rFonts w:ascii="Verdana" w:eastAsia="Calibri" w:hAnsi="Verdana" w:cs="Arial"/>
                <w:color w:val="000000" w:themeColor="text1"/>
              </w:rPr>
              <w:t xml:space="preserve"> la cesión del contrato estatal le resultan aplicables las normas del derecho civil y comercial pertinentes, sobre cesión del crédito y cesión de contratos respectivamente. El artículo 887 del Código de Comercio no restringe la forma en la que debe realizarse la cesión, por el contrario, permite que esta se efectúe tanto por el contratista como por el contratante al disponer que “cada una de las partes podrá hacerse sustituir por un tercero en la totalidad o en parte de las relaciones derivadas del contrato”</w:t>
            </w:r>
            <w:r>
              <w:rPr>
                <w:rFonts w:ascii="Verdana" w:eastAsia="Calibri" w:hAnsi="Verdana" w:cs="Arial"/>
                <w:color w:val="000000" w:themeColor="text1"/>
              </w:rPr>
              <w:t>.</w:t>
            </w:r>
          </w:p>
          <w:p w14:paraId="1E8116B5" w14:textId="77777777" w:rsidR="00D3191B" w:rsidRDefault="00D3191B" w:rsidP="00AF17C7">
            <w:pPr>
              <w:tabs>
                <w:tab w:val="left" w:pos="709"/>
              </w:tabs>
              <w:spacing w:line="276" w:lineRule="auto"/>
              <w:jc w:val="both"/>
              <w:rPr>
                <w:rFonts w:ascii="Verdana" w:eastAsia="Calibri" w:hAnsi="Verdana" w:cs="Arial"/>
                <w:color w:val="000000" w:themeColor="text1"/>
              </w:rPr>
            </w:pPr>
          </w:p>
          <w:p w14:paraId="5950F100" w14:textId="77777777" w:rsidR="00D3191B" w:rsidRDefault="00D3191B" w:rsidP="00AF17C7">
            <w:pPr>
              <w:tabs>
                <w:tab w:val="left" w:pos="709"/>
              </w:tabs>
              <w:spacing w:line="276" w:lineRule="auto"/>
              <w:jc w:val="both"/>
              <w:rPr>
                <w:rFonts w:ascii="Verdana" w:eastAsia="Calibri" w:hAnsi="Verdana" w:cs="Arial"/>
                <w:color w:val="000000" w:themeColor="text1"/>
              </w:rPr>
            </w:pPr>
            <w:r w:rsidRPr="289F24D7">
              <w:rPr>
                <w:rFonts w:ascii="Verdana" w:eastAsia="Calibri" w:hAnsi="Verdana" w:cs="Arial"/>
                <w:color w:val="000000" w:themeColor="text1"/>
              </w:rPr>
              <w:t>De esta forma, lo que se produce es una sustitución de parte en la relación contractual, sin alterar el contenido ni la finalidad del acuerdo entre las partes restantes, por lo que desde el ámbito normativo es viable que la entidad estatal contratante actúe como cedente de la posición contractual, máxime cuando las disposiciones del EGCAP no establecen una prohibición sobre el particular.</w:t>
            </w:r>
          </w:p>
          <w:p w14:paraId="113A7647" w14:textId="77777777" w:rsidR="00D3191B" w:rsidRDefault="00D3191B" w:rsidP="00AF17C7">
            <w:pPr>
              <w:tabs>
                <w:tab w:val="left" w:pos="709"/>
              </w:tabs>
              <w:spacing w:line="276" w:lineRule="auto"/>
              <w:jc w:val="both"/>
              <w:rPr>
                <w:rFonts w:ascii="Verdana" w:eastAsia="Calibri" w:hAnsi="Verdana" w:cs="Arial"/>
                <w:color w:val="000000" w:themeColor="text1"/>
              </w:rPr>
            </w:pPr>
          </w:p>
          <w:p w14:paraId="0AD83D24" w14:textId="77777777" w:rsidR="00D3191B" w:rsidRDefault="00D3191B" w:rsidP="00AF17C7">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De igual manera, la cesión de la posición contractual de la entidad estatal </w:t>
            </w:r>
            <w:r w:rsidRPr="006F3D24">
              <w:rPr>
                <w:rFonts w:ascii="Verdana" w:eastAsia="Calibri" w:hAnsi="Verdana" w:cs="Arial"/>
                <w:color w:val="000000" w:themeColor="text1"/>
              </w:rPr>
              <w:t xml:space="preserve">también procede con fundamento en el artículo 3 de la Ley 80 de 1993, </w:t>
            </w:r>
            <w:r>
              <w:rPr>
                <w:rFonts w:ascii="Verdana" w:eastAsia="Calibri" w:hAnsi="Verdana" w:cs="Arial"/>
                <w:color w:val="000000" w:themeColor="text1"/>
              </w:rPr>
              <w:t xml:space="preserve">cuando con esta se permite el </w:t>
            </w:r>
            <w:r w:rsidRPr="006F3D24">
              <w:rPr>
                <w:rFonts w:ascii="Verdana" w:eastAsia="Calibri" w:hAnsi="Verdana" w:cs="Arial"/>
                <w:color w:val="000000" w:themeColor="text1"/>
              </w:rPr>
              <w:t>cumplimiento de los fines estatales</w:t>
            </w:r>
            <w:r>
              <w:rPr>
                <w:rFonts w:ascii="Verdana" w:eastAsia="Calibri" w:hAnsi="Verdana" w:cs="Arial"/>
                <w:color w:val="000000" w:themeColor="text1"/>
              </w:rPr>
              <w:t xml:space="preserve"> y</w:t>
            </w:r>
            <w:r w:rsidRPr="006F3D24">
              <w:rPr>
                <w:rFonts w:ascii="Verdana" w:eastAsia="Calibri" w:hAnsi="Verdana" w:cs="Arial"/>
                <w:color w:val="000000" w:themeColor="text1"/>
              </w:rPr>
              <w:t xml:space="preserve"> la continua y eficiente prestación de los servicios públicos</w:t>
            </w:r>
            <w:r>
              <w:rPr>
                <w:rFonts w:ascii="Verdana" w:eastAsia="Calibri" w:hAnsi="Verdana" w:cs="Arial"/>
                <w:color w:val="000000" w:themeColor="text1"/>
              </w:rPr>
              <w:t xml:space="preserve">. </w:t>
            </w:r>
            <w:r w:rsidRPr="006F3D24">
              <w:rPr>
                <w:rFonts w:ascii="Verdana" w:eastAsia="Calibri" w:hAnsi="Verdana" w:cs="Arial"/>
                <w:color w:val="000000" w:themeColor="text1"/>
              </w:rPr>
              <w:t xml:space="preserve">Asimismo, con base en el artículo </w:t>
            </w:r>
            <w:r w:rsidRPr="006F3D24">
              <w:rPr>
                <w:rFonts w:ascii="Verdana" w:eastAsia="Calibri" w:hAnsi="Verdana" w:cs="Arial"/>
                <w:color w:val="000000" w:themeColor="text1"/>
              </w:rPr>
              <w:lastRenderedPageBreak/>
              <w:t>40</w:t>
            </w:r>
            <w:r>
              <w:rPr>
                <w:rFonts w:ascii="Verdana" w:eastAsia="Calibri" w:hAnsi="Verdana" w:cs="Arial"/>
                <w:color w:val="000000" w:themeColor="text1"/>
              </w:rPr>
              <w:t xml:space="preserve"> </w:t>
            </w:r>
            <w:r w:rsidRPr="00EB10A9">
              <w:rPr>
                <w:rFonts w:ascii="Verdana" w:eastAsia="Calibri" w:hAnsi="Verdana" w:cs="Arial"/>
                <w:i/>
                <w:iCs/>
                <w:color w:val="000000" w:themeColor="text1"/>
              </w:rPr>
              <w:t>ibidem</w:t>
            </w:r>
            <w:r w:rsidRPr="006F3D24">
              <w:rPr>
                <w:rFonts w:ascii="Verdana" w:eastAsia="Calibri" w:hAnsi="Verdana" w:cs="Arial"/>
                <w:color w:val="000000" w:themeColor="text1"/>
              </w:rPr>
              <w:t xml:space="preserve">, las entidades </w:t>
            </w:r>
            <w:r>
              <w:rPr>
                <w:rFonts w:ascii="Verdana" w:eastAsia="Calibri" w:hAnsi="Verdana" w:cs="Arial"/>
                <w:color w:val="000000" w:themeColor="text1"/>
              </w:rPr>
              <w:t xml:space="preserve">tienen </w:t>
            </w:r>
            <w:r w:rsidRPr="006F3D24">
              <w:rPr>
                <w:rFonts w:ascii="Verdana" w:eastAsia="Calibri" w:hAnsi="Verdana" w:cs="Arial"/>
                <w:color w:val="000000" w:themeColor="text1"/>
              </w:rPr>
              <w:t>la facultad de celebrar contratos y acuerdos que</w:t>
            </w:r>
            <w:r w:rsidRPr="002C517A">
              <w:rPr>
                <w:rFonts w:ascii="Verdana" w:eastAsia="Calibri" w:hAnsi="Verdana" w:cs="Arial"/>
                <w:color w:val="000000" w:themeColor="text1"/>
              </w:rPr>
              <w:t xml:space="preserve"> permitan la autonomía de la voluntad y requieran el cumplimiento de los fines estatales</w:t>
            </w:r>
            <w:r>
              <w:rPr>
                <w:rFonts w:ascii="Verdana" w:eastAsia="Calibri" w:hAnsi="Verdana" w:cs="Arial"/>
                <w:color w:val="000000" w:themeColor="text1"/>
              </w:rPr>
              <w:t>, por lo que en el marco de dicha autonomía las entidades estatales podrán celebrar acuerdos que impliquen la cesión de la posición contractual.</w:t>
            </w:r>
          </w:p>
          <w:p w14:paraId="24AE3C29" w14:textId="77777777" w:rsidR="00D3191B" w:rsidRDefault="00D3191B" w:rsidP="00AF17C7">
            <w:pPr>
              <w:spacing w:line="276" w:lineRule="auto"/>
              <w:jc w:val="both"/>
              <w:rPr>
                <w:rFonts w:ascii="Verdana" w:eastAsia="Calibri" w:hAnsi="Verdana" w:cs="Arial"/>
                <w:color w:val="000000" w:themeColor="text1"/>
                <w:lang w:bidi="es-ES"/>
              </w:rPr>
            </w:pPr>
          </w:p>
          <w:p w14:paraId="4B46BF92" w14:textId="77777777" w:rsidR="00D3191B" w:rsidRDefault="00D3191B" w:rsidP="00AF17C7">
            <w:pPr>
              <w:tabs>
                <w:tab w:val="left" w:pos="709"/>
              </w:tabs>
              <w:spacing w:line="276" w:lineRule="auto"/>
              <w:jc w:val="both"/>
              <w:rPr>
                <w:rFonts w:ascii="Verdana" w:eastAsia="Calibri" w:hAnsi="Verdana" w:cs="Arial"/>
                <w:color w:val="000000" w:themeColor="text1"/>
              </w:rPr>
            </w:pPr>
            <w:r w:rsidRPr="289F24D7">
              <w:rPr>
                <w:rFonts w:ascii="Verdana" w:eastAsia="Calibri" w:hAnsi="Verdana" w:cs="Arial"/>
                <w:color w:val="000000" w:themeColor="text1"/>
              </w:rPr>
              <w:t xml:space="preserve">Sin embargo, en virtud del artículo 41 de la Ley 80 de 1993 es dable concluir que la cesión se perfeccionará con la firma de las partes, cuando se logre acuerdo sobre estos elementos esenciales que se exponen en las consideraciones y, además, la ejecución del contrato por parte del cesionario requerirá de la aprobación de las nuevas garantías o la modificación de las inicialmente constituidas por el contratista, junto con la existencia de las disponibilidades presupuestales correspondientes. </w:t>
            </w:r>
          </w:p>
          <w:p w14:paraId="7430133C" w14:textId="77777777" w:rsidR="00D3191B" w:rsidRDefault="00D3191B" w:rsidP="00AF17C7">
            <w:pPr>
              <w:tabs>
                <w:tab w:val="left" w:pos="709"/>
              </w:tabs>
              <w:spacing w:line="276" w:lineRule="auto"/>
              <w:jc w:val="both"/>
              <w:rPr>
                <w:rFonts w:ascii="Verdana" w:eastAsia="Calibri" w:hAnsi="Verdana" w:cs="Arial"/>
                <w:color w:val="000000" w:themeColor="text1"/>
              </w:rPr>
            </w:pPr>
          </w:p>
          <w:p w14:paraId="735EE4C6" w14:textId="77777777" w:rsidR="00D3191B" w:rsidRDefault="00D3191B" w:rsidP="00AF17C7">
            <w:pPr>
              <w:tabs>
                <w:tab w:val="left" w:pos="709"/>
              </w:tabs>
              <w:spacing w:line="276" w:lineRule="auto"/>
              <w:jc w:val="both"/>
              <w:rPr>
                <w:rFonts w:ascii="Verdana" w:eastAsia="Calibri" w:hAnsi="Verdana" w:cs="Arial"/>
                <w:color w:val="000000" w:themeColor="text1"/>
              </w:rPr>
            </w:pPr>
            <w:r w:rsidRPr="289F24D7">
              <w:rPr>
                <w:rFonts w:ascii="Verdana" w:eastAsia="Calibri" w:hAnsi="Verdana" w:cs="Arial"/>
                <w:color w:val="000000" w:themeColor="text1"/>
              </w:rPr>
              <w:t xml:space="preserve">Se recomienda por parte de la Agencia previamente a legalizar el trámite de cesión, que el cesionario que ocupará la posición contractual de contratante cumpla con los requisitos de capacidad jurídica, técnica, presupuestal y financiera que ostenta el contratante cedente que se retirará del acuerdo de voluntades a fin de garantizar la ejecución idónea del objeto y obligaciones contractuales </w:t>
            </w:r>
          </w:p>
          <w:p w14:paraId="1A7B6310" w14:textId="77777777" w:rsidR="00D3191B" w:rsidRDefault="00D3191B" w:rsidP="00AF17C7">
            <w:pPr>
              <w:tabs>
                <w:tab w:val="left" w:pos="709"/>
              </w:tabs>
              <w:spacing w:line="276" w:lineRule="auto"/>
              <w:jc w:val="both"/>
              <w:rPr>
                <w:rFonts w:ascii="Verdana" w:eastAsia="Calibri" w:hAnsi="Verdana" w:cs="Arial"/>
                <w:bCs/>
                <w:color w:val="000000" w:themeColor="text1"/>
              </w:rPr>
            </w:pPr>
          </w:p>
          <w:p w14:paraId="0A941C48" w14:textId="77777777" w:rsidR="00D3191B" w:rsidRDefault="00D3191B" w:rsidP="00AF17C7">
            <w:pPr>
              <w:tabs>
                <w:tab w:val="left" w:pos="709"/>
              </w:tabs>
              <w:spacing w:line="276" w:lineRule="auto"/>
              <w:jc w:val="both"/>
              <w:rPr>
                <w:rFonts w:ascii="Verdana" w:eastAsia="Calibri" w:hAnsi="Verdana" w:cs="Arial"/>
                <w:color w:val="000000" w:themeColor="text1"/>
              </w:rPr>
            </w:pPr>
            <w:r w:rsidRPr="289F24D7">
              <w:rPr>
                <w:rFonts w:ascii="Verdana" w:eastAsia="Calibri" w:hAnsi="Verdana" w:cs="Arial"/>
                <w:color w:val="000000" w:themeColor="text1"/>
              </w:rPr>
              <w:t xml:space="preserve">Aquí vale la pena señalar que, si la cesión contractual implica la transferencia de recursos públicos de la entidad cedente a la entidad cesionaria con el propósito de continuar con la ejecución del proyecto cedido, las operaciones y los instrumentos presupuestales que se definan en la modificación contractual deberán observar lo dispuesto en las normas del Estatuto Orgánico de Presupuesto Nacional, delegación,  ordenación de </w:t>
            </w:r>
            <w:proofErr w:type="spellStart"/>
            <w:r w:rsidRPr="289F24D7">
              <w:rPr>
                <w:rFonts w:ascii="Verdana" w:eastAsia="Calibri" w:hAnsi="Verdana" w:cs="Arial"/>
                <w:color w:val="000000" w:themeColor="text1"/>
              </w:rPr>
              <w:t>gastoy</w:t>
            </w:r>
            <w:proofErr w:type="spellEnd"/>
            <w:r w:rsidRPr="289F24D7">
              <w:rPr>
                <w:rFonts w:ascii="Verdana" w:eastAsia="Calibri" w:hAnsi="Verdana" w:cs="Arial"/>
                <w:color w:val="000000" w:themeColor="text1"/>
              </w:rPr>
              <w:t xml:space="preserve"> las normas orgánicas de presupuesto en sus respectivos niveles, particularmente aquellas que regulan pautas de procedimiento, la reglamentación de las fases de preparación y desarrollo de los principios constitucionales y legales en materia de presupuesto. </w:t>
            </w:r>
          </w:p>
          <w:p w14:paraId="6F0DA3DC" w14:textId="77777777" w:rsidR="00D3191B" w:rsidRDefault="00D3191B" w:rsidP="00AF17C7">
            <w:pPr>
              <w:tabs>
                <w:tab w:val="left" w:pos="709"/>
              </w:tabs>
              <w:spacing w:line="276" w:lineRule="auto"/>
              <w:jc w:val="both"/>
              <w:rPr>
                <w:rFonts w:ascii="Verdana" w:eastAsia="Calibri" w:hAnsi="Verdana" w:cs="Arial"/>
                <w:bCs/>
                <w:color w:val="000000" w:themeColor="text1"/>
              </w:rPr>
            </w:pPr>
          </w:p>
          <w:p w14:paraId="7954277A" w14:textId="77777777" w:rsidR="00D3191B" w:rsidRDefault="00D3191B" w:rsidP="00AF17C7">
            <w:pPr>
              <w:spacing w:line="276" w:lineRule="auto"/>
              <w:jc w:val="both"/>
              <w:rPr>
                <w:rFonts w:ascii="Verdana" w:eastAsia="Calibri" w:hAnsi="Verdana" w:cs="Arial"/>
                <w:color w:val="000000" w:themeColor="text1"/>
              </w:rPr>
            </w:pPr>
            <w:r w:rsidRPr="289F24D7">
              <w:rPr>
                <w:rFonts w:ascii="Verdana" w:eastAsia="Calibri" w:hAnsi="Verdana" w:cs="Arial"/>
                <w:color w:val="000000" w:themeColor="text1"/>
              </w:rPr>
              <w:t xml:space="preserve">En esa misma línea, cuando la entidad cesionaria haga parte del gobierno local, en los niveles municipal, departamental o distrital, en virtud de las atribuciones constitucionales y legales en cabeza de los alcaldes y gobernadores, se recomienda efectuar una exhaustiva revisión de las competencias internas en cuanto a la ordenación de gasto, normatividad presupuestal, contando con la autorización previa de las corporaciones </w:t>
            </w:r>
            <w:r w:rsidRPr="289F24D7">
              <w:rPr>
                <w:rFonts w:ascii="Verdana" w:eastAsia="Calibri" w:hAnsi="Verdana" w:cs="Arial"/>
                <w:color w:val="000000" w:themeColor="text1"/>
              </w:rPr>
              <w:lastRenderedPageBreak/>
              <w:t>públicas de los proyectos, planes, programas y obras públicas para su debida discusión y viabilidad, si hay lugar a ello.</w:t>
            </w:r>
          </w:p>
          <w:p w14:paraId="2C7B7D91" w14:textId="77777777" w:rsidR="00D3191B" w:rsidRDefault="00D3191B" w:rsidP="00AF17C7">
            <w:pPr>
              <w:spacing w:line="276" w:lineRule="auto"/>
              <w:jc w:val="both"/>
              <w:rPr>
                <w:rFonts w:ascii="Verdana" w:eastAsia="Calibri" w:hAnsi="Verdana" w:cs="Arial"/>
                <w:color w:val="000000" w:themeColor="text1"/>
              </w:rPr>
            </w:pPr>
          </w:p>
          <w:p w14:paraId="188CDC19" w14:textId="77777777" w:rsidR="00D3191B" w:rsidRPr="00340AE0" w:rsidRDefault="00D3191B" w:rsidP="00AF17C7">
            <w:pPr>
              <w:spacing w:line="276" w:lineRule="auto"/>
              <w:jc w:val="both"/>
              <w:rPr>
                <w:rFonts w:ascii="Verdana" w:eastAsia="Arial MT" w:hAnsi="Verdana" w:cs="Arial"/>
                <w:lang w:eastAsia="es-ES" w:bidi="es-ES"/>
              </w:rPr>
            </w:pPr>
            <w:r w:rsidRPr="289F24D7">
              <w:rPr>
                <w:rFonts w:ascii="Verdana" w:eastAsia="Calibri" w:hAnsi="Verdana" w:cs="Arial"/>
                <w:color w:val="000000" w:themeColor="text1"/>
              </w:rPr>
              <w:t>Lo anterior en virtud de la observancia de principios de orden constitucional y legal de la función administrativa, delegación y desconcentración de funciones, así como los de Eficiencia, Economía, Legalidad, Planeación, Responsabilidad y Gestión Pública, de manera que se cumplan los fines estatales, se preserve la prestación efectiva de los servicios públicos que le asisten al Estado colombiano y se persiga con el negocio jurídico la primacía del interés general.</w:t>
            </w:r>
          </w:p>
        </w:tc>
      </w:tr>
    </w:tbl>
    <w:p w14:paraId="4E819247" w14:textId="77777777" w:rsidR="00D3191B" w:rsidRPr="005B7C42" w:rsidRDefault="00D3191B" w:rsidP="00D3191B">
      <w:pPr>
        <w:spacing w:after="0" w:line="276" w:lineRule="auto"/>
        <w:contextualSpacing/>
        <w:jc w:val="both"/>
        <w:rPr>
          <w:rFonts w:ascii="Verdana" w:eastAsia="Times New Roman" w:hAnsi="Verdana" w:cs="Arial"/>
          <w:lang w:eastAsia="es-ES_tradnl"/>
        </w:rPr>
      </w:pPr>
    </w:p>
    <w:p w14:paraId="5BD594D1" w14:textId="77777777" w:rsidR="00D3191B" w:rsidRPr="005B7C42" w:rsidRDefault="00D3191B" w:rsidP="00D3191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2BBB0CC3" w14:textId="77777777" w:rsidR="00D3191B" w:rsidRPr="005B7C42" w:rsidRDefault="00D3191B" w:rsidP="00D3191B">
      <w:pPr>
        <w:spacing w:after="0" w:line="276" w:lineRule="auto"/>
        <w:jc w:val="both"/>
        <w:rPr>
          <w:rFonts w:ascii="Verdana" w:eastAsia="Calibri" w:hAnsi="Verdana" w:cs="Arial"/>
          <w:color w:val="7030A0"/>
        </w:rPr>
      </w:pPr>
    </w:p>
    <w:p w14:paraId="41E571D3" w14:textId="77777777" w:rsidR="00D3191B" w:rsidRPr="00404167" w:rsidRDefault="00D3191B" w:rsidP="00D3191B">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1A4C9574" w14:textId="77777777" w:rsidR="00D3191B" w:rsidRPr="008F7498" w:rsidRDefault="00D3191B" w:rsidP="00D3191B">
      <w:pPr>
        <w:spacing w:after="120" w:line="276" w:lineRule="auto"/>
        <w:jc w:val="both"/>
        <w:rPr>
          <w:rFonts w:ascii="Verdana" w:eastAsia="Calibri" w:hAnsi="Verdana" w:cs="Arial"/>
          <w:color w:val="000000" w:themeColor="text1"/>
        </w:rPr>
      </w:pPr>
      <w:r w:rsidRPr="008F7498">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8F7498">
        <w:rPr>
          <w:rStyle w:val="Refdenotaalpie"/>
          <w:rFonts w:ascii="Verdana" w:eastAsia="Calibri" w:hAnsi="Verdana" w:cs="Arial"/>
          <w:bCs/>
          <w:color w:val="000000" w:themeColor="text1"/>
        </w:rPr>
        <w:footnoteReference w:id="1"/>
      </w:r>
      <w:r w:rsidRPr="008F7498">
        <w:rPr>
          <w:rFonts w:ascii="Verdana" w:eastAsia="Calibri" w:hAnsi="Verdana" w:cs="Arial"/>
          <w:bCs/>
          <w:color w:val="000000" w:themeColor="text1"/>
        </w:rPr>
        <w:t>.</w:t>
      </w:r>
      <w:r w:rsidRPr="008F7498">
        <w:rPr>
          <w:rFonts w:ascii="Verdana" w:eastAsia="Calibri" w:hAnsi="Verdana" w:cs="Arial"/>
          <w:color w:val="000000" w:themeColor="text1"/>
        </w:rPr>
        <w:t xml:space="preserve"> </w:t>
      </w:r>
      <w:r w:rsidRPr="008F7498">
        <w:rPr>
          <w:rFonts w:ascii="Verdana" w:hAnsi="Verdana" w:cs="Arial"/>
        </w:rPr>
        <w:t xml:space="preserve">Para la doctrina, “La cesión del contrato sirve para hacer posible la </w:t>
      </w:r>
      <w:r w:rsidRPr="008F7498">
        <w:rPr>
          <w:rFonts w:ascii="Verdana" w:hAnsi="Verdana" w:cs="Arial"/>
          <w:i/>
          <w:iCs/>
        </w:rPr>
        <w:t>circulación del contrato en su integridad</w:t>
      </w:r>
      <w:r w:rsidRPr="008F7498">
        <w:rPr>
          <w:rFonts w:ascii="Verdana" w:hAnsi="Verdana" w:cs="Arial"/>
        </w:rPr>
        <w:t xml:space="preserve">, es decir, para hacer </w:t>
      </w:r>
      <w:r w:rsidRPr="008F7498">
        <w:rPr>
          <w:rFonts w:ascii="Verdana" w:hAnsi="Verdana" w:cs="Arial"/>
          <w:i/>
          <w:iCs/>
        </w:rPr>
        <w:t>subintrar</w:t>
      </w:r>
      <w:r w:rsidRPr="008F7498">
        <w:rPr>
          <w:rFonts w:ascii="Verdana" w:hAnsi="Verdana" w:cs="Arial"/>
        </w:rPr>
        <w:t xml:space="preserve"> un extraño en la categoría de parte contractual, en </w:t>
      </w:r>
      <w:r w:rsidRPr="008F7498">
        <w:rPr>
          <w:rFonts w:ascii="Verdana" w:hAnsi="Verdana" w:cs="Arial"/>
          <w:i/>
          <w:iCs/>
        </w:rPr>
        <w:t>lugar</w:t>
      </w:r>
      <w:r w:rsidRPr="008F7498">
        <w:rPr>
          <w:rFonts w:ascii="Verdana" w:hAnsi="Verdana" w:cs="Arial"/>
        </w:rPr>
        <w:t xml:space="preserve"> de uno de los contratantes originarios”</w:t>
      </w:r>
      <w:r w:rsidRPr="008F7498">
        <w:rPr>
          <w:rStyle w:val="Refdenotaalpie"/>
          <w:rFonts w:ascii="Verdana" w:hAnsi="Verdana" w:cs="Arial"/>
          <w:color w:val="000000" w:themeColor="text1"/>
        </w:rPr>
        <w:footnoteReference w:id="2"/>
      </w:r>
      <w:r w:rsidRPr="008F7498">
        <w:rPr>
          <w:rFonts w:ascii="Verdana" w:hAnsi="Verdana" w:cs="Arial"/>
        </w:rPr>
        <w:t>.</w:t>
      </w:r>
    </w:p>
    <w:p w14:paraId="070E48E7" w14:textId="77777777" w:rsidR="00D3191B" w:rsidRPr="008F7498" w:rsidRDefault="00D3191B" w:rsidP="00D3191B">
      <w:pPr>
        <w:spacing w:after="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8F7498">
        <w:rPr>
          <w:rFonts w:ascii="Verdana" w:eastAsia="Calibri" w:hAnsi="Verdana" w:cs="Arial"/>
          <w:color w:val="000000" w:themeColor="text1"/>
        </w:rPr>
        <w:t>subentra</w:t>
      </w:r>
      <w:proofErr w:type="spellEnd"/>
      <w:r w:rsidRPr="008F7498">
        <w:rPr>
          <w:rFonts w:ascii="Verdana" w:eastAsia="Calibri" w:hAnsi="Verdana" w:cs="Arial"/>
          <w:color w:val="000000" w:themeColor="text1"/>
        </w:rPr>
        <w:t xml:space="preserve"> en la relación con el cedido […]”</w:t>
      </w:r>
      <w:r w:rsidRPr="008F7498">
        <w:rPr>
          <w:rStyle w:val="Refdenotaalpie"/>
          <w:rFonts w:ascii="Verdana" w:eastAsia="Calibri" w:hAnsi="Verdana" w:cs="Arial"/>
          <w:color w:val="000000" w:themeColor="text1"/>
        </w:rPr>
        <w:footnoteReference w:id="3"/>
      </w:r>
      <w:r w:rsidRPr="008F7498">
        <w:rPr>
          <w:rFonts w:ascii="Verdana" w:eastAsia="Calibri" w:hAnsi="Verdana" w:cs="Arial"/>
          <w:color w:val="000000" w:themeColor="text1"/>
        </w:rPr>
        <w:t xml:space="preserve">. Por otro, “[…] es la transferencia de </w:t>
      </w:r>
      <w:r w:rsidRPr="008F7498">
        <w:rPr>
          <w:rFonts w:ascii="Verdana" w:eastAsia="Calibri" w:hAnsi="Verdana" w:cs="Arial"/>
          <w:color w:val="000000" w:themeColor="text1"/>
        </w:rPr>
        <w:lastRenderedPageBreak/>
        <w:t xml:space="preserve">la posición contractual de un contratante a otro sujeto, que le </w:t>
      </w:r>
      <w:proofErr w:type="spellStart"/>
      <w:r w:rsidRPr="008F7498">
        <w:rPr>
          <w:rFonts w:ascii="Verdana" w:eastAsia="Calibri" w:hAnsi="Verdana" w:cs="Arial"/>
          <w:color w:val="000000" w:themeColor="text1"/>
        </w:rPr>
        <w:t>subentra</w:t>
      </w:r>
      <w:proofErr w:type="spellEnd"/>
      <w:r w:rsidRPr="008F7498">
        <w:rPr>
          <w:rFonts w:ascii="Verdana" w:eastAsia="Calibri" w:hAnsi="Verdana" w:cs="Arial"/>
          <w:color w:val="000000" w:themeColor="text1"/>
        </w:rPr>
        <w:t xml:space="preserve"> en la relación con la contraparte […]”</w:t>
      </w:r>
      <w:r w:rsidRPr="008F7498">
        <w:rPr>
          <w:rStyle w:val="Refdenotaalpie"/>
          <w:rFonts w:ascii="Verdana" w:eastAsia="Calibri" w:hAnsi="Verdana" w:cs="Arial"/>
          <w:color w:val="000000" w:themeColor="text1"/>
        </w:rPr>
        <w:footnoteReference w:id="4"/>
      </w:r>
      <w:r w:rsidRPr="008F7498">
        <w:rPr>
          <w:rFonts w:ascii="Verdana" w:eastAsia="Calibri" w:hAnsi="Verdana" w:cs="Arial"/>
          <w:color w:val="000000" w:themeColor="text1"/>
        </w:rPr>
        <w:t xml:space="preserve">. De esta manera, </w:t>
      </w:r>
      <w:r w:rsidRPr="008F7498">
        <w:rPr>
          <w:rFonts w:ascii="Verdana" w:hAnsi="Verdana" w:cs="Arial"/>
          <w:color w:val="000000" w:themeColor="text1"/>
        </w:rPr>
        <w:t xml:space="preserve">concurren tres (3) sujetos: i) el cedente, esto es, el contratista inicial; </w:t>
      </w:r>
      <w:proofErr w:type="spellStart"/>
      <w:r w:rsidRPr="008F7498">
        <w:rPr>
          <w:rFonts w:ascii="Verdana" w:hAnsi="Verdana" w:cs="Arial"/>
          <w:color w:val="000000" w:themeColor="text1"/>
        </w:rPr>
        <w:t>ii</w:t>
      </w:r>
      <w:proofErr w:type="spellEnd"/>
      <w:r w:rsidRPr="008F7498">
        <w:rPr>
          <w:rFonts w:ascii="Verdana" w:hAnsi="Verdana" w:cs="Arial"/>
          <w:color w:val="000000" w:themeColor="text1"/>
        </w:rPr>
        <w:t xml:space="preserve">) el cesionario, es decir, quien asume total o parcialmente los derechos y obligaciones de este último; y </w:t>
      </w:r>
      <w:proofErr w:type="spellStart"/>
      <w:r w:rsidRPr="008F7498">
        <w:rPr>
          <w:rFonts w:ascii="Verdana" w:hAnsi="Verdana" w:cs="Arial"/>
          <w:color w:val="000000" w:themeColor="text1"/>
        </w:rPr>
        <w:t>iii</w:t>
      </w:r>
      <w:proofErr w:type="spellEnd"/>
      <w:r w:rsidRPr="008F7498">
        <w:rPr>
          <w:rFonts w:ascii="Verdana" w:hAnsi="Verdana" w:cs="Arial"/>
          <w:color w:val="000000" w:themeColor="text1"/>
        </w:rPr>
        <w:t xml:space="preserve">) el cedido que, en el caso de los contratos estatales, sería la entidad que suscribió el contrato. </w:t>
      </w:r>
      <w:r w:rsidRPr="008F7498">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4A0F7D84" w14:textId="77777777" w:rsidR="00D3191B" w:rsidRPr="008F7498" w:rsidRDefault="00D3191B" w:rsidP="00D3191B">
      <w:pPr>
        <w:spacing w:after="0" w:line="276" w:lineRule="auto"/>
        <w:ind w:firstLine="708"/>
        <w:jc w:val="both"/>
        <w:rPr>
          <w:rFonts w:ascii="Verdana" w:hAnsi="Verdana" w:cs="Arial"/>
          <w:color w:val="000000" w:themeColor="text1"/>
        </w:rPr>
      </w:pPr>
    </w:p>
    <w:p w14:paraId="4F4F0240" w14:textId="77777777" w:rsidR="00D3191B" w:rsidRPr="008F7498" w:rsidRDefault="00D3191B" w:rsidP="00D3191B">
      <w:pPr>
        <w:tabs>
          <w:tab w:val="left" w:pos="709"/>
        </w:tabs>
        <w:spacing w:after="0" w:line="240" w:lineRule="auto"/>
        <w:ind w:left="709" w:right="709"/>
        <w:jc w:val="both"/>
        <w:rPr>
          <w:rFonts w:ascii="Verdana" w:eastAsia="Calibri" w:hAnsi="Verdana" w:cs="Arial"/>
          <w:color w:val="000000" w:themeColor="text1"/>
          <w:sz w:val="21"/>
          <w:szCs w:val="21"/>
        </w:rPr>
      </w:pPr>
      <w:r w:rsidRPr="008F7498">
        <w:rPr>
          <w:rFonts w:ascii="Verdana" w:eastAsia="Calibri" w:hAnsi="Verdana" w:cs="Arial"/>
          <w:color w:val="000000" w:themeColor="text1"/>
          <w:sz w:val="21"/>
          <w:szCs w:val="21"/>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8F7498">
        <w:rPr>
          <w:rStyle w:val="Refdenotaalpie"/>
          <w:rFonts w:ascii="Verdana" w:eastAsia="Calibri" w:hAnsi="Verdana" w:cs="Arial"/>
          <w:color w:val="000000" w:themeColor="text1"/>
          <w:sz w:val="21"/>
          <w:szCs w:val="21"/>
        </w:rPr>
        <w:footnoteReference w:id="5"/>
      </w:r>
      <w:r w:rsidRPr="008F7498">
        <w:rPr>
          <w:rFonts w:ascii="Verdana" w:eastAsia="Calibri" w:hAnsi="Verdana" w:cs="Arial"/>
          <w:color w:val="000000" w:themeColor="text1"/>
          <w:sz w:val="21"/>
          <w:szCs w:val="21"/>
        </w:rPr>
        <w:t>.</w:t>
      </w:r>
    </w:p>
    <w:p w14:paraId="25162E2A" w14:textId="77777777" w:rsidR="00D3191B" w:rsidRPr="008F7498" w:rsidRDefault="00D3191B" w:rsidP="00D3191B">
      <w:pPr>
        <w:tabs>
          <w:tab w:val="left" w:pos="709"/>
        </w:tabs>
        <w:spacing w:after="0" w:line="276" w:lineRule="auto"/>
        <w:ind w:left="709" w:right="709"/>
        <w:jc w:val="both"/>
        <w:rPr>
          <w:rFonts w:ascii="Verdana" w:eastAsia="Calibri" w:hAnsi="Verdana" w:cs="Arial"/>
          <w:color w:val="000000" w:themeColor="text1"/>
        </w:rPr>
      </w:pPr>
    </w:p>
    <w:p w14:paraId="5EF5BDB9" w14:textId="77777777" w:rsidR="00D3191B" w:rsidRPr="008F7498" w:rsidRDefault="00D3191B" w:rsidP="00D3191B">
      <w:pPr>
        <w:spacing w:after="12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8F7498">
        <w:rPr>
          <w:rFonts w:ascii="Verdana" w:eastAsia="Calibri" w:hAnsi="Verdana" w:cs="Arial"/>
          <w:color w:val="000000" w:themeColor="text1"/>
        </w:rPr>
        <w:t>ii</w:t>
      </w:r>
      <w:proofErr w:type="spellEnd"/>
      <w:r w:rsidRPr="008F7498">
        <w:rPr>
          <w:rFonts w:ascii="Verdana" w:eastAsia="Calibri" w:hAnsi="Verdana" w:cs="Arial"/>
          <w:color w:val="000000" w:themeColor="text1"/>
        </w:rPr>
        <w:t xml:space="preserve">) corresponderán como actos jurídicos bilaterales generadores de obligaciones, entre otros, a los previstos en el derecho privado, en los términos del artículo 32 </w:t>
      </w:r>
      <w:r w:rsidRPr="008F7498">
        <w:rPr>
          <w:rFonts w:ascii="Verdana" w:eastAsia="Calibri" w:hAnsi="Verdana" w:cs="Arial"/>
          <w:i/>
          <w:iCs/>
          <w:color w:val="000000" w:themeColor="text1"/>
        </w:rPr>
        <w:t>ibidem</w:t>
      </w:r>
      <w:r w:rsidRPr="008F7498">
        <w:rPr>
          <w:rFonts w:ascii="Verdana" w:eastAsia="Calibri" w:hAnsi="Verdana" w:cs="Arial"/>
          <w:color w:val="000000" w:themeColor="text1"/>
        </w:rPr>
        <w:t xml:space="preserve">; y </w:t>
      </w:r>
      <w:proofErr w:type="spellStart"/>
      <w:r w:rsidRPr="008F7498">
        <w:rPr>
          <w:rFonts w:ascii="Verdana" w:eastAsia="Calibri" w:hAnsi="Verdana" w:cs="Arial"/>
          <w:color w:val="000000" w:themeColor="text1"/>
        </w:rPr>
        <w:t>iii</w:t>
      </w:r>
      <w:proofErr w:type="spellEnd"/>
      <w:r w:rsidRPr="008F7498">
        <w:rPr>
          <w:rFonts w:ascii="Verdana" w:eastAsia="Calibri" w:hAnsi="Verdana" w:cs="Arial"/>
          <w:color w:val="000000" w:themeColor="text1"/>
        </w:rPr>
        <w:t xml:space="preserve">) contendrán las estipulaciones que, de acuerdo con las normas civiles, </w:t>
      </w:r>
      <w:r w:rsidRPr="008F7498">
        <w:rPr>
          <w:rFonts w:ascii="Verdana" w:eastAsia="Calibri" w:hAnsi="Verdana" w:cs="Arial"/>
          <w:color w:val="000000" w:themeColor="text1"/>
        </w:rPr>
        <w:lastRenderedPageBreak/>
        <w:t xml:space="preserve">comerciales y las previstas en esta ley, correspondan a su esencia y naturaleza, conforme a lo dispuesto por el artículo 40 </w:t>
      </w:r>
      <w:r w:rsidRPr="008F7498">
        <w:rPr>
          <w:rFonts w:ascii="Verdana" w:eastAsia="Calibri" w:hAnsi="Verdana" w:cs="Arial"/>
          <w:i/>
          <w:iCs/>
          <w:color w:val="000000" w:themeColor="text1"/>
        </w:rPr>
        <w:t>ibidem</w:t>
      </w:r>
      <w:r w:rsidRPr="008F7498">
        <w:rPr>
          <w:rFonts w:ascii="Verdana" w:eastAsia="Calibri" w:hAnsi="Verdana" w:cs="Arial"/>
          <w:color w:val="000000" w:themeColor="text1"/>
        </w:rPr>
        <w:t xml:space="preserve">. </w:t>
      </w:r>
    </w:p>
    <w:p w14:paraId="147C5274" w14:textId="77777777" w:rsidR="00D3191B" w:rsidRPr="008F7498" w:rsidRDefault="00D3191B" w:rsidP="00D3191B">
      <w:pPr>
        <w:spacing w:after="12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0073E35E" w14:textId="77777777" w:rsidR="00D3191B" w:rsidRPr="008F7498" w:rsidRDefault="00D3191B" w:rsidP="00D3191B">
      <w:pPr>
        <w:tabs>
          <w:tab w:val="left" w:pos="709"/>
        </w:tabs>
        <w:spacing w:after="120" w:line="276" w:lineRule="auto"/>
        <w:jc w:val="both"/>
        <w:rPr>
          <w:rFonts w:ascii="Verdana" w:eastAsia="Calibri" w:hAnsi="Verdana" w:cs="Arial"/>
          <w:color w:val="000000" w:themeColor="text1"/>
        </w:rPr>
      </w:pPr>
      <w:r w:rsidRPr="008F7498">
        <w:rPr>
          <w:rFonts w:ascii="Verdana" w:eastAsia="Calibri" w:hAnsi="Verdana" w:cs="Arial"/>
          <w:color w:val="000000" w:themeColor="text1"/>
        </w:rPr>
        <w:tab/>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8F7498">
        <w:rPr>
          <w:rStyle w:val="Refdenotaalpie"/>
          <w:rFonts w:ascii="Verdana" w:eastAsia="Calibri" w:hAnsi="Verdana" w:cs="Arial"/>
          <w:color w:val="000000" w:themeColor="text1"/>
        </w:rPr>
        <w:footnoteReference w:id="6"/>
      </w:r>
      <w:r w:rsidRPr="008F7498">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8F7498">
        <w:rPr>
          <w:rStyle w:val="Refdenotaalpie"/>
          <w:rFonts w:ascii="Verdana" w:eastAsia="Calibri" w:hAnsi="Verdana" w:cs="Arial"/>
          <w:color w:val="000000" w:themeColor="text1"/>
        </w:rPr>
        <w:footnoteReference w:id="7"/>
      </w:r>
      <w:r w:rsidRPr="008F7498">
        <w:rPr>
          <w:rFonts w:ascii="Verdana" w:eastAsia="Calibri" w:hAnsi="Verdana" w:cs="Arial"/>
          <w:color w:val="000000" w:themeColor="text1"/>
        </w:rPr>
        <w:t>.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r w:rsidRPr="008F7498">
        <w:rPr>
          <w:rStyle w:val="Refdenotaalpie"/>
          <w:rFonts w:ascii="Verdana" w:eastAsia="Calibri" w:hAnsi="Verdana" w:cs="Arial"/>
          <w:color w:val="000000" w:themeColor="text1"/>
        </w:rPr>
        <w:footnoteReference w:id="8"/>
      </w:r>
      <w:r w:rsidRPr="008F7498">
        <w:rPr>
          <w:rFonts w:ascii="Verdana" w:eastAsia="Calibri" w:hAnsi="Verdana" w:cs="Arial"/>
          <w:color w:val="000000" w:themeColor="text1"/>
        </w:rPr>
        <w:t xml:space="preserve">. </w:t>
      </w:r>
    </w:p>
    <w:p w14:paraId="78E63B9A" w14:textId="77777777" w:rsidR="00D3191B" w:rsidRPr="008F7498" w:rsidRDefault="00D3191B" w:rsidP="00D3191B">
      <w:pPr>
        <w:tabs>
          <w:tab w:val="left" w:pos="709"/>
        </w:tabs>
        <w:spacing w:after="120" w:line="276" w:lineRule="auto"/>
        <w:jc w:val="both"/>
        <w:rPr>
          <w:rFonts w:ascii="Verdana" w:eastAsia="Calibri" w:hAnsi="Verdana" w:cs="Arial"/>
          <w:color w:val="000000" w:themeColor="text1"/>
        </w:rPr>
      </w:pPr>
      <w:r w:rsidRPr="008F7498">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0" w:name="_Hlk79822251"/>
      <w:r w:rsidRPr="008F7498">
        <w:rPr>
          <w:rFonts w:ascii="Verdana" w:eastAsia="Calibri" w:hAnsi="Verdana" w:cs="Arial"/>
          <w:color w:val="000000" w:themeColor="text1"/>
        </w:rPr>
        <w:t>el artículo 41, inciso tercero</w:t>
      </w:r>
      <w:bookmarkEnd w:id="0"/>
      <w:r w:rsidRPr="008F7498">
        <w:rPr>
          <w:rFonts w:ascii="Verdana" w:eastAsia="Calibri" w:hAnsi="Verdana" w:cs="Arial"/>
          <w:color w:val="000000" w:themeColor="text1"/>
        </w:rPr>
        <w:t xml:space="preserve">, del EGCAP prescribe que “Los contratos estatales son </w:t>
      </w:r>
      <w:r w:rsidRPr="008F7498">
        <w:rPr>
          <w:rFonts w:ascii="Verdana" w:eastAsia="Calibri" w:hAnsi="Verdana" w:cs="Arial"/>
          <w:i/>
          <w:iCs/>
          <w:color w:val="000000" w:themeColor="text1"/>
        </w:rPr>
        <w:t xml:space="preserve">intuito </w:t>
      </w:r>
      <w:proofErr w:type="spellStart"/>
      <w:r w:rsidRPr="008F7498">
        <w:rPr>
          <w:rFonts w:ascii="Verdana" w:eastAsia="Calibri" w:hAnsi="Verdana" w:cs="Arial"/>
          <w:i/>
          <w:iCs/>
          <w:color w:val="000000" w:themeColor="text1"/>
        </w:rPr>
        <w:t>personae</w:t>
      </w:r>
      <w:proofErr w:type="spellEnd"/>
      <w:r w:rsidRPr="008F7498">
        <w:rPr>
          <w:rFonts w:ascii="Verdana" w:eastAsia="Calibri" w:hAnsi="Verdana" w:cs="Arial"/>
          <w:color w:val="000000" w:themeColor="text1"/>
        </w:rPr>
        <w:t xml:space="preserve"> y, en consecuencia, una vez celebrados no podrán cederse sin previa autorización escrita de la entidad contratante”. Esta norma contiene una </w:t>
      </w:r>
      <w:r w:rsidRPr="008F7498">
        <w:rPr>
          <w:rFonts w:ascii="Verdana" w:eastAsia="Calibri" w:hAnsi="Verdana" w:cs="Arial"/>
          <w:color w:val="000000" w:themeColor="text1"/>
        </w:rPr>
        <w:lastRenderedPageBreak/>
        <w:t>prohibición general –</w:t>
      </w:r>
      <w:r w:rsidRPr="008F7498">
        <w:rPr>
          <w:rFonts w:ascii="Verdana" w:eastAsia="Calibri" w:hAnsi="Verdana" w:cs="Arial"/>
          <w:i/>
          <w:iCs/>
          <w:color w:val="000000" w:themeColor="text1"/>
        </w:rPr>
        <w:t>faceta negativa</w:t>
      </w:r>
      <w:r w:rsidRPr="008F7498">
        <w:rPr>
          <w:rFonts w:ascii="Verdana" w:eastAsia="Calibri" w:hAnsi="Verdana" w:cs="Arial"/>
          <w:color w:val="000000" w:themeColor="text1"/>
        </w:rPr>
        <w:t>– y una autorización excepcional –</w:t>
      </w:r>
      <w:r w:rsidRPr="008F7498">
        <w:rPr>
          <w:rFonts w:ascii="Verdana" w:eastAsia="Calibri" w:hAnsi="Verdana" w:cs="Arial"/>
          <w:i/>
          <w:iCs/>
          <w:color w:val="000000" w:themeColor="text1"/>
        </w:rPr>
        <w:t>faceta positiva</w:t>
      </w:r>
      <w:r w:rsidRPr="008F7498">
        <w:rPr>
          <w:rFonts w:ascii="Verdana" w:eastAsia="Calibri" w:hAnsi="Verdana" w:cs="Arial"/>
          <w:color w:val="000000" w:themeColor="text1"/>
        </w:rPr>
        <w:t>–.</w:t>
      </w:r>
    </w:p>
    <w:p w14:paraId="33897477" w14:textId="77777777" w:rsidR="00D3191B" w:rsidRPr="008F7498" w:rsidRDefault="00D3191B" w:rsidP="00D3191B">
      <w:pPr>
        <w:tabs>
          <w:tab w:val="left" w:pos="709"/>
        </w:tabs>
        <w:spacing w:after="120" w:line="276" w:lineRule="auto"/>
        <w:jc w:val="both"/>
        <w:rPr>
          <w:rFonts w:ascii="Verdana" w:eastAsia="Calibri" w:hAnsi="Verdana" w:cs="Arial"/>
          <w:bCs/>
          <w:color w:val="000000" w:themeColor="text1"/>
        </w:rPr>
      </w:pPr>
      <w:r w:rsidRPr="008F7498">
        <w:rPr>
          <w:rFonts w:ascii="Verdana" w:eastAsia="Calibri" w:hAnsi="Verdana" w:cs="Arial"/>
          <w:bCs/>
          <w:color w:val="000000" w:themeColor="text1"/>
        </w:rPr>
        <w:tab/>
        <w:t xml:space="preserve">En lo que respecta a la </w:t>
      </w:r>
      <w:r w:rsidRPr="008F7498">
        <w:rPr>
          <w:rFonts w:ascii="Verdana" w:eastAsia="Calibri" w:hAnsi="Verdana" w:cs="Arial"/>
          <w:bCs/>
          <w:i/>
          <w:iCs/>
          <w:color w:val="000000" w:themeColor="text1"/>
        </w:rPr>
        <w:t>faceta negativa</w:t>
      </w:r>
      <w:r w:rsidRPr="008F7498">
        <w:rPr>
          <w:rFonts w:ascii="Verdana" w:eastAsia="Calibri" w:hAnsi="Verdana" w:cs="Arial"/>
          <w:bCs/>
          <w:color w:val="000000" w:themeColor="text1"/>
        </w:rPr>
        <w:t xml:space="preserve">,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w:t>
      </w:r>
      <w:proofErr w:type="gramStart"/>
      <w:r w:rsidRPr="008F7498">
        <w:rPr>
          <w:rFonts w:ascii="Verdana" w:eastAsia="Calibri" w:hAnsi="Verdana" w:cs="Arial"/>
          <w:bCs/>
          <w:color w:val="000000" w:themeColor="text1"/>
        </w:rPr>
        <w:t>que</w:t>
      </w:r>
      <w:proofErr w:type="gramEnd"/>
      <w:r w:rsidRPr="008F7498">
        <w:rPr>
          <w:rFonts w:ascii="Verdana" w:eastAsia="Calibri" w:hAnsi="Verdana" w:cs="Arial"/>
          <w:bCs/>
          <w:color w:val="000000" w:themeColor="text1"/>
        </w:rPr>
        <w:t xml:space="preserve"> no siendo esenciales en él, se entienden pertenecerle, sin necesidad de una cláusula especial […]”</w:t>
      </w:r>
      <w:r w:rsidRPr="008F7498">
        <w:rPr>
          <w:rStyle w:val="Refdenotaalpie"/>
          <w:rFonts w:ascii="Verdana" w:eastAsia="Calibri" w:hAnsi="Verdana" w:cs="Arial"/>
          <w:bCs/>
          <w:color w:val="000000" w:themeColor="text1"/>
        </w:rPr>
        <w:footnoteReference w:id="9"/>
      </w:r>
      <w:r w:rsidRPr="008F7498">
        <w:rPr>
          <w:rFonts w:ascii="Verdana" w:eastAsia="Calibri" w:hAnsi="Verdana" w:cs="Arial"/>
          <w:bCs/>
          <w:color w:val="000000" w:themeColor="text1"/>
        </w:rPr>
        <w:t xml:space="preserve">.  </w:t>
      </w:r>
    </w:p>
    <w:p w14:paraId="3B45BF70" w14:textId="77777777" w:rsidR="00D3191B" w:rsidRPr="008F7498" w:rsidRDefault="00D3191B" w:rsidP="00D3191B">
      <w:pPr>
        <w:spacing w:after="0" w:line="276" w:lineRule="auto"/>
        <w:ind w:firstLine="708"/>
        <w:jc w:val="both"/>
        <w:rPr>
          <w:rFonts w:ascii="Verdana" w:eastAsia="Calibri" w:hAnsi="Verdana" w:cs="Arial"/>
          <w:bCs/>
          <w:color w:val="000000" w:themeColor="text1"/>
        </w:rPr>
      </w:pPr>
      <w:r w:rsidRPr="008F7498">
        <w:rPr>
          <w:rFonts w:ascii="Verdana" w:eastAsia="Calibri" w:hAnsi="Verdana" w:cs="Arial"/>
          <w:bCs/>
          <w:color w:val="000000" w:themeColor="text1"/>
        </w:rPr>
        <w:t xml:space="preserve">En su </w:t>
      </w:r>
      <w:r w:rsidRPr="008F7498">
        <w:rPr>
          <w:rFonts w:ascii="Verdana" w:eastAsia="Calibri" w:hAnsi="Verdana" w:cs="Arial"/>
          <w:bCs/>
          <w:i/>
          <w:iCs/>
          <w:color w:val="000000" w:themeColor="text1"/>
        </w:rPr>
        <w:t>faceta positiva</w:t>
      </w:r>
      <w:r w:rsidRPr="008F7498">
        <w:rPr>
          <w:rFonts w:ascii="Verdana" w:eastAsia="Calibri" w:hAnsi="Verdana" w:cs="Arial"/>
          <w:bCs/>
          <w:color w:val="000000" w:themeColor="text1"/>
        </w:rPr>
        <w:t>, la Ley 80 de 1993 permite excepcionalmente la cesión del contrato estatal siempre que exista autorización previa escrita de la entidad contratante. Por ello, “[…] El cocontratante que ‘</w:t>
      </w:r>
      <w:r w:rsidRPr="008F7498">
        <w:rPr>
          <w:rFonts w:ascii="Verdana" w:eastAsia="Calibri" w:hAnsi="Verdana" w:cs="Arial"/>
          <w:bCs/>
          <w:i/>
          <w:iCs/>
          <w:color w:val="000000" w:themeColor="text1"/>
        </w:rPr>
        <w:t>ceda</w:t>
      </w:r>
      <w:r w:rsidRPr="008F7498">
        <w:rPr>
          <w:rFonts w:ascii="Verdana" w:eastAsia="Calibri" w:hAnsi="Verdana" w:cs="Arial"/>
          <w:bCs/>
          <w:color w:val="000000" w:themeColor="text1"/>
        </w:rPr>
        <w:t>’ el contrato sin estar autorizado para ello incurre en grave responsabilidad: su actitud implica ‘</w:t>
      </w:r>
      <w:r w:rsidRPr="008F7498">
        <w:rPr>
          <w:rFonts w:ascii="Verdana" w:eastAsia="Calibri" w:hAnsi="Verdana" w:cs="Arial"/>
          <w:bCs/>
          <w:i/>
          <w:iCs/>
          <w:color w:val="000000" w:themeColor="text1"/>
        </w:rPr>
        <w:t>incumplimiento</w:t>
      </w:r>
      <w:r w:rsidRPr="008F7498">
        <w:rPr>
          <w:rFonts w:ascii="Verdana" w:eastAsia="Calibri" w:hAnsi="Verdana" w:cs="Arial"/>
          <w:bCs/>
          <w:color w:val="000000" w:themeColor="text1"/>
        </w:rPr>
        <w:t>’ del contrato; de ahí que esa cesión ilícita no resulte oponible a la Administración Pública […]”</w:t>
      </w:r>
      <w:r w:rsidRPr="008F7498">
        <w:rPr>
          <w:rStyle w:val="Refdenotaalpie"/>
          <w:rFonts w:ascii="Verdana" w:eastAsia="Calibri" w:hAnsi="Verdana" w:cs="Arial"/>
          <w:bCs/>
          <w:color w:val="000000" w:themeColor="text1"/>
        </w:rPr>
        <w:footnoteReference w:id="10"/>
      </w:r>
      <w:r w:rsidRPr="008F7498">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8F7498">
        <w:rPr>
          <w:rFonts w:ascii="Verdana" w:eastAsia="Calibri" w:hAnsi="Verdana" w:cs="Arial"/>
          <w:color w:val="000000" w:themeColor="text1"/>
        </w:rPr>
        <w:t>En relación con lo anterior la doctrina define la cesión en los contratos estatales de la siguiente manera:</w:t>
      </w:r>
    </w:p>
    <w:p w14:paraId="7DCE0D17" w14:textId="77777777" w:rsidR="00D3191B" w:rsidRPr="008F7498" w:rsidRDefault="00D3191B" w:rsidP="00D3191B">
      <w:pPr>
        <w:spacing w:after="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 xml:space="preserve"> </w:t>
      </w:r>
    </w:p>
    <w:p w14:paraId="64D930A7" w14:textId="77777777" w:rsidR="00D3191B" w:rsidRPr="008F7498" w:rsidRDefault="00D3191B" w:rsidP="00D3191B">
      <w:pPr>
        <w:spacing w:after="0" w:line="240" w:lineRule="auto"/>
        <w:ind w:left="709" w:right="709"/>
        <w:jc w:val="both"/>
        <w:rPr>
          <w:rFonts w:ascii="Verdana" w:eastAsia="Calibri" w:hAnsi="Verdana" w:cs="Arial"/>
          <w:color w:val="000000" w:themeColor="text1"/>
          <w:sz w:val="21"/>
          <w:szCs w:val="21"/>
        </w:rPr>
      </w:pPr>
      <w:r w:rsidRPr="008F7498">
        <w:rPr>
          <w:rFonts w:ascii="Verdana" w:eastAsia="Calibri" w:hAnsi="Verdana" w:cs="Arial"/>
          <w:color w:val="000000" w:themeColor="text1"/>
          <w:sz w:val="21"/>
          <w:szCs w:val="21"/>
        </w:rPr>
        <w:t xml:space="preserve">“La cesión en la contratación estatal supone, previa autorización de la entidad contratante, la sustitución </w:t>
      </w:r>
      <w:r w:rsidRPr="008F7498">
        <w:rPr>
          <w:rFonts w:ascii="Verdana" w:eastAsia="Calibri" w:hAnsi="Verdana" w:cs="Arial"/>
          <w:i/>
          <w:iCs/>
          <w:color w:val="000000" w:themeColor="text1"/>
          <w:sz w:val="21"/>
          <w:szCs w:val="21"/>
        </w:rPr>
        <w:t>in genere</w:t>
      </w:r>
      <w:r w:rsidRPr="008F7498">
        <w:rPr>
          <w:rFonts w:ascii="Verdana" w:eastAsia="Calibri" w:hAnsi="Verdana" w:cs="Arial"/>
          <w:color w:val="000000" w:themeColor="text1"/>
          <w:sz w:val="21"/>
          <w:szCs w:val="21"/>
        </w:rPr>
        <w:t xml:space="preserve">,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w:t>
      </w:r>
      <w:r w:rsidRPr="008F7498">
        <w:rPr>
          <w:rFonts w:ascii="Verdana" w:eastAsia="Calibri" w:hAnsi="Verdana" w:cs="Arial"/>
          <w:color w:val="000000" w:themeColor="text1"/>
          <w:sz w:val="21"/>
          <w:szCs w:val="21"/>
        </w:rPr>
        <w:lastRenderedPageBreak/>
        <w:t>de cuantos derechos y obligaciones conforman la universalidad jurídica a ceder […]”</w:t>
      </w:r>
      <w:r w:rsidRPr="008F7498">
        <w:rPr>
          <w:rStyle w:val="Refdenotaalpie"/>
          <w:rFonts w:ascii="Verdana" w:hAnsi="Verdana" w:cs="Arial"/>
          <w:color w:val="000000" w:themeColor="text1"/>
          <w:sz w:val="21"/>
          <w:szCs w:val="21"/>
        </w:rPr>
        <w:footnoteReference w:id="11"/>
      </w:r>
      <w:r w:rsidRPr="008F7498">
        <w:rPr>
          <w:rFonts w:ascii="Verdana" w:eastAsia="Calibri" w:hAnsi="Verdana" w:cs="Arial"/>
          <w:color w:val="000000" w:themeColor="text1"/>
          <w:sz w:val="21"/>
          <w:szCs w:val="21"/>
        </w:rPr>
        <w:t>.</w:t>
      </w:r>
    </w:p>
    <w:p w14:paraId="7B2C55E6" w14:textId="77777777" w:rsidR="00D3191B" w:rsidRPr="008F7498" w:rsidRDefault="00D3191B" w:rsidP="00D3191B">
      <w:pPr>
        <w:spacing w:after="0" w:line="276" w:lineRule="auto"/>
        <w:jc w:val="both"/>
        <w:rPr>
          <w:rFonts w:ascii="Verdana" w:eastAsia="Calibri" w:hAnsi="Verdana" w:cs="Arial"/>
          <w:color w:val="000000" w:themeColor="text1"/>
        </w:rPr>
      </w:pPr>
    </w:p>
    <w:p w14:paraId="6EE85396" w14:textId="77777777" w:rsidR="00D3191B" w:rsidRPr="008F7498" w:rsidRDefault="00D3191B" w:rsidP="00D3191B">
      <w:pPr>
        <w:spacing w:after="120" w:line="276" w:lineRule="auto"/>
        <w:ind w:firstLine="709"/>
        <w:jc w:val="both"/>
        <w:rPr>
          <w:rFonts w:ascii="Verdana" w:eastAsia="Calibri" w:hAnsi="Verdana" w:cs="Arial"/>
          <w:bCs/>
          <w:color w:val="000000" w:themeColor="text1"/>
        </w:rPr>
      </w:pPr>
      <w:r w:rsidRPr="008F7498">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8F7498">
        <w:rPr>
          <w:rFonts w:ascii="Verdana" w:hAnsi="Verdana"/>
        </w:rPr>
        <w:t xml:space="preserve"> </w:t>
      </w:r>
      <w:r w:rsidRPr="008F7498">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8F7498">
        <w:rPr>
          <w:rFonts w:ascii="Verdana" w:eastAsia="Calibri" w:hAnsi="Verdana" w:cs="Arial"/>
          <w:color w:val="000000" w:themeColor="text1"/>
        </w:rPr>
        <w:t xml:space="preserve">. </w:t>
      </w:r>
    </w:p>
    <w:p w14:paraId="61DB8538" w14:textId="77777777" w:rsidR="00D3191B" w:rsidRDefault="00D3191B" w:rsidP="00D3191B">
      <w:pPr>
        <w:tabs>
          <w:tab w:val="left" w:pos="709"/>
        </w:tabs>
        <w:spacing w:after="120" w:line="276" w:lineRule="auto"/>
        <w:jc w:val="both"/>
        <w:rPr>
          <w:rFonts w:ascii="Verdana" w:eastAsia="Calibri" w:hAnsi="Verdana" w:cs="Arial"/>
          <w:color w:val="000000" w:themeColor="text1"/>
        </w:rPr>
      </w:pPr>
      <w:bookmarkStart w:id="1" w:name="_Hlk80369799"/>
      <w:r w:rsidRPr="008F7498">
        <w:rPr>
          <w:rFonts w:ascii="Verdana" w:eastAsia="Calibri" w:hAnsi="Verdana" w:cs="Arial"/>
          <w:color w:val="000000" w:themeColor="text1"/>
        </w:rPr>
        <w:tab/>
        <w:t xml:space="preserve">Por lo demás, el Consejo de Estado ha precisado como requisitos de la cesión del contrato estatal los siguientes: i) debe recaer en un tercero; </w:t>
      </w:r>
      <w:proofErr w:type="spellStart"/>
      <w:r w:rsidRPr="008F7498">
        <w:rPr>
          <w:rFonts w:ascii="Verdana" w:eastAsia="Calibri" w:hAnsi="Verdana" w:cs="Arial"/>
          <w:color w:val="000000" w:themeColor="text1"/>
        </w:rPr>
        <w:t>ii</w:t>
      </w:r>
      <w:proofErr w:type="spellEnd"/>
      <w:r w:rsidRPr="008F7498">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8F7498">
        <w:rPr>
          <w:rFonts w:ascii="Verdana" w:eastAsia="Calibri" w:hAnsi="Verdana" w:cs="Arial"/>
          <w:color w:val="000000" w:themeColor="text1"/>
        </w:rPr>
        <w:t>iii</w:t>
      </w:r>
      <w:proofErr w:type="spellEnd"/>
      <w:r w:rsidRPr="008F7498">
        <w:rPr>
          <w:rFonts w:ascii="Verdana" w:eastAsia="Calibri" w:hAnsi="Verdana" w:cs="Arial"/>
          <w:color w:val="000000" w:themeColor="text1"/>
        </w:rPr>
        <w:t>)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2" w:name="_Hlk80369829"/>
      <w:bookmarkEnd w:id="1"/>
      <w:r w:rsidRPr="008F7498">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2"/>
      <w:r w:rsidRPr="008F7498">
        <w:rPr>
          <w:rFonts w:ascii="Verdana" w:eastAsia="Calibri" w:hAnsi="Verdana" w:cs="Arial"/>
          <w:color w:val="000000" w:themeColor="text1"/>
        </w:rPr>
        <w:t>”</w:t>
      </w:r>
      <w:r w:rsidRPr="008F7498">
        <w:rPr>
          <w:rStyle w:val="Refdenotaalpie"/>
          <w:rFonts w:ascii="Verdana" w:eastAsia="Calibri" w:hAnsi="Verdana" w:cs="Arial"/>
          <w:color w:val="000000" w:themeColor="text1"/>
        </w:rPr>
        <w:footnoteReference w:id="12"/>
      </w:r>
      <w:r w:rsidRPr="008F7498">
        <w:rPr>
          <w:rFonts w:ascii="Verdana" w:eastAsia="Calibri" w:hAnsi="Verdana" w:cs="Arial"/>
          <w:color w:val="000000" w:themeColor="text1"/>
        </w:rPr>
        <w:t>.</w:t>
      </w:r>
    </w:p>
    <w:p w14:paraId="3D92AC8E"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Conforme con lo hasta aquí expuesto, llama la atención que la cesión de los contratos estatales esta fundada sobre la base de que será el contratista que </w:t>
      </w:r>
      <w:r w:rsidRPr="008F7498">
        <w:rPr>
          <w:rFonts w:ascii="Verdana" w:eastAsia="Calibri" w:hAnsi="Verdana" w:cs="Arial"/>
          <w:color w:val="000000" w:themeColor="text1"/>
        </w:rPr>
        <w:t>podrá hacerse sustituir por un tercero en la relación</w:t>
      </w:r>
      <w:r>
        <w:rPr>
          <w:rFonts w:ascii="Verdana" w:eastAsia="Calibri" w:hAnsi="Verdana" w:cs="Arial"/>
          <w:color w:val="000000" w:themeColor="text1"/>
        </w:rPr>
        <w:t xml:space="preserve"> contractual,</w:t>
      </w:r>
      <w:r w:rsidRPr="006C54A2">
        <w:rPr>
          <w:rFonts w:ascii="Verdana" w:eastAsia="Calibri" w:hAnsi="Verdana" w:cs="Arial"/>
          <w:color w:val="000000" w:themeColor="text1"/>
        </w:rPr>
        <w:t xml:space="preserve"> </w:t>
      </w:r>
      <w:r>
        <w:rPr>
          <w:rFonts w:ascii="Verdana" w:eastAsia="Calibri" w:hAnsi="Verdana" w:cs="Arial"/>
          <w:color w:val="000000" w:themeColor="text1"/>
        </w:rPr>
        <w:t xml:space="preserve">de acuerdo </w:t>
      </w:r>
      <w:r w:rsidRPr="008F7498">
        <w:rPr>
          <w:rFonts w:ascii="Verdana" w:eastAsia="Calibri" w:hAnsi="Verdana" w:cs="Arial"/>
          <w:color w:val="000000" w:themeColor="text1"/>
        </w:rPr>
        <w:t>con los requisitos y las restricciones explicadas</w:t>
      </w:r>
      <w:r>
        <w:rPr>
          <w:rFonts w:ascii="Verdana" w:eastAsia="Calibri" w:hAnsi="Verdana" w:cs="Arial"/>
          <w:color w:val="000000" w:themeColor="text1"/>
        </w:rPr>
        <w:t xml:space="preserve">. Sin embargo, cabe preguntarse si </w:t>
      </w:r>
      <w:r>
        <w:rPr>
          <w:rFonts w:ascii="Verdana" w:eastAsia="Calibri" w:hAnsi="Verdana" w:cs="Arial"/>
          <w:color w:val="000000" w:themeColor="text1"/>
        </w:rPr>
        <w:lastRenderedPageBreak/>
        <w:t>resulta viable que la cesión de la posición contractual se pueda efectuar respecto de la entidad contratante a favor de otra entidad estatal, caso en el cual la entidad contratante tendría la posición de cedente.</w:t>
      </w:r>
    </w:p>
    <w:p w14:paraId="3EF29D0D"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Pues bien, sobre este tema es preciso resaltar que, aunque en las </w:t>
      </w:r>
      <w:r w:rsidRPr="008F7498">
        <w:rPr>
          <w:rFonts w:ascii="Verdana" w:eastAsia="Calibri" w:hAnsi="Verdana" w:cs="Arial"/>
          <w:color w:val="000000" w:themeColor="text1"/>
        </w:rPr>
        <w:t>disposiciones específicas relativas a la figura de la cesión contractual</w:t>
      </w:r>
      <w:r>
        <w:rPr>
          <w:rFonts w:ascii="Verdana" w:eastAsia="Calibri" w:hAnsi="Verdana" w:cs="Arial"/>
          <w:color w:val="000000" w:themeColor="text1"/>
        </w:rPr>
        <w:t xml:space="preserve"> que establece </w:t>
      </w:r>
      <w:r w:rsidRPr="008F7498">
        <w:rPr>
          <w:rFonts w:ascii="Verdana" w:eastAsia="Calibri" w:hAnsi="Verdana" w:cs="Arial"/>
          <w:color w:val="000000" w:themeColor="text1"/>
        </w:rPr>
        <w:t xml:space="preserve">el Estatuto General de Contratación de la Administración Pública </w:t>
      </w:r>
      <w:r>
        <w:rPr>
          <w:rFonts w:ascii="Verdana" w:eastAsia="Calibri" w:hAnsi="Verdana" w:cs="Arial"/>
          <w:color w:val="000000" w:themeColor="text1"/>
        </w:rPr>
        <w:t xml:space="preserve">no se menciona la cesión de la posición contractual de la entidad estatal, esta ausencia regulatoria no implica que no sea viable jurídicamente su materialización. Precisamente, como se indicó, a la cesión del contrato estatal le </w:t>
      </w:r>
      <w:r w:rsidRPr="008F7498">
        <w:rPr>
          <w:rFonts w:ascii="Verdana" w:eastAsia="Calibri" w:hAnsi="Verdana" w:cs="Arial"/>
          <w:color w:val="000000" w:themeColor="text1"/>
        </w:rPr>
        <w:t>resultan aplicables las normas del derecho civil y comercial pertinentes, sobre cesión del crédito y cesión de contratos respectivamente,</w:t>
      </w:r>
      <w:r w:rsidRPr="002928E9">
        <w:rPr>
          <w:rFonts w:ascii="Verdana" w:eastAsia="Calibri" w:hAnsi="Verdana" w:cs="Arial"/>
          <w:color w:val="000000" w:themeColor="text1"/>
        </w:rPr>
        <w:t xml:space="preserve"> </w:t>
      </w:r>
      <w:r>
        <w:rPr>
          <w:rFonts w:ascii="Verdana" w:eastAsia="Calibri" w:hAnsi="Verdana" w:cs="Arial"/>
          <w:color w:val="000000" w:themeColor="text1"/>
        </w:rPr>
        <w:t xml:space="preserve">de acuerdo con lo señalado en el artículo 13 </w:t>
      </w:r>
      <w:r w:rsidRPr="008F7498">
        <w:rPr>
          <w:rFonts w:ascii="Verdana" w:eastAsia="Calibri" w:hAnsi="Verdana" w:cs="Arial"/>
          <w:color w:val="000000" w:themeColor="text1"/>
        </w:rPr>
        <w:t>de la Ley 80 de 1993</w:t>
      </w:r>
      <w:r>
        <w:rPr>
          <w:rFonts w:ascii="Verdana" w:eastAsia="Calibri" w:hAnsi="Verdana" w:cs="Arial"/>
          <w:color w:val="000000" w:themeColor="text1"/>
        </w:rPr>
        <w:t>. E</w:t>
      </w:r>
      <w:r w:rsidRPr="0017622D">
        <w:rPr>
          <w:rFonts w:ascii="Verdana" w:eastAsia="Calibri" w:hAnsi="Verdana" w:cs="Arial"/>
          <w:color w:val="000000" w:themeColor="text1"/>
        </w:rPr>
        <w:t>l artículo 887 del Código de Comercio</w:t>
      </w:r>
      <w:r>
        <w:rPr>
          <w:rFonts w:ascii="Verdana" w:eastAsia="Calibri" w:hAnsi="Verdana" w:cs="Arial"/>
          <w:color w:val="000000" w:themeColor="text1"/>
        </w:rPr>
        <w:t xml:space="preserve"> no restringe la forma en la que debe realizarse la cesión, por el contrario, permite que esta se efectúe tanto por el contratista como por el contratante al disponer que “</w:t>
      </w:r>
      <w:r w:rsidRPr="00170261">
        <w:rPr>
          <w:rFonts w:ascii="Verdana" w:eastAsia="Calibri" w:hAnsi="Verdana" w:cs="Arial"/>
          <w:i/>
          <w:iCs/>
          <w:color w:val="000000" w:themeColor="text1"/>
        </w:rPr>
        <w:t>cada una de las partes</w:t>
      </w:r>
      <w:r w:rsidRPr="0017622D">
        <w:rPr>
          <w:rFonts w:ascii="Verdana" w:eastAsia="Calibri" w:hAnsi="Verdana" w:cs="Arial"/>
          <w:color w:val="000000" w:themeColor="text1"/>
        </w:rPr>
        <w:t xml:space="preserve"> podrá hacerse sustituir por un tercero</w:t>
      </w:r>
      <w:r>
        <w:rPr>
          <w:rFonts w:ascii="Verdana" w:eastAsia="Calibri" w:hAnsi="Verdana" w:cs="Arial"/>
          <w:color w:val="000000" w:themeColor="text1"/>
        </w:rPr>
        <w:t xml:space="preserve"> en la totalidad o en parte de las relaciones derivadas del contrato”. </w:t>
      </w:r>
    </w:p>
    <w:p w14:paraId="7C7FD0EA"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A similar conclusión llegó el  Consejo de Estado en la Sentencia 23088 del 12 de agosto de 2013, al manifestar que: “[…] cualquiera de las partes -contratante o contratista- puede sustituirse por un tercero -llamado cesionario-, quien en adelante será el titular de los derechos y obligaciones que proceden del contrato, ocupando material y jurídicamente la posición que antes tenía el cedente, lo que implica, para éste, la extinción de su relación jurídica, para ser transferida al cesionario, quien en adelante ostentará la calidad de contratista -toda vez que en materia contractual estatal lo común es la cesión del contratista, aunque ya se dijo que también aplica respecto del contratante […]”</w:t>
      </w:r>
      <w:r>
        <w:rPr>
          <w:rStyle w:val="Refdenotaalpie"/>
          <w:rFonts w:ascii="Verdana" w:eastAsia="Calibri" w:hAnsi="Verdana" w:cs="Arial"/>
          <w:color w:val="000000" w:themeColor="text1"/>
        </w:rPr>
        <w:footnoteReference w:id="13"/>
      </w:r>
      <w:r>
        <w:rPr>
          <w:rFonts w:ascii="Verdana" w:eastAsia="Calibri" w:hAnsi="Verdana" w:cs="Arial"/>
          <w:color w:val="000000" w:themeColor="text1"/>
        </w:rPr>
        <w:t xml:space="preserve"> </w:t>
      </w:r>
    </w:p>
    <w:p w14:paraId="4E7E8F01"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En este sentido, l</w:t>
      </w:r>
      <w:r w:rsidRPr="0079758D">
        <w:rPr>
          <w:rFonts w:ascii="Verdana" w:eastAsia="Calibri" w:hAnsi="Verdana" w:cs="Arial"/>
          <w:color w:val="000000" w:themeColor="text1"/>
        </w:rPr>
        <w:t xml:space="preserve">a esencia de la cesión del contrato radica en la sustitución de uno de los sujetos que forman parte </w:t>
      </w:r>
      <w:proofErr w:type="gramStart"/>
      <w:r w:rsidRPr="0079758D">
        <w:rPr>
          <w:rFonts w:ascii="Verdana" w:eastAsia="Calibri" w:hAnsi="Verdana" w:cs="Arial"/>
          <w:color w:val="000000" w:themeColor="text1"/>
        </w:rPr>
        <w:t>del mismo</w:t>
      </w:r>
      <w:proofErr w:type="gramEnd"/>
      <w:r w:rsidRPr="0079758D">
        <w:rPr>
          <w:rFonts w:ascii="Verdana" w:eastAsia="Calibri" w:hAnsi="Verdana" w:cs="Arial"/>
          <w:color w:val="000000" w:themeColor="text1"/>
        </w:rPr>
        <w:t xml:space="preserve">, </w:t>
      </w:r>
      <w:r>
        <w:rPr>
          <w:rFonts w:ascii="Verdana" w:eastAsia="Calibri" w:hAnsi="Verdana" w:cs="Arial"/>
          <w:color w:val="000000" w:themeColor="text1"/>
        </w:rPr>
        <w:t xml:space="preserve">manteniendo el vínculo obligacional originario, independientemente que el cedente se trate de la entidad contratante o del contratista. </w:t>
      </w:r>
      <w:r w:rsidRPr="0079758D">
        <w:rPr>
          <w:rFonts w:ascii="Verdana" w:eastAsia="Calibri" w:hAnsi="Verdana" w:cs="Arial"/>
          <w:color w:val="000000" w:themeColor="text1"/>
        </w:rPr>
        <w:t>De esta forma, lo que se produce es un</w:t>
      </w:r>
      <w:r>
        <w:rPr>
          <w:rFonts w:ascii="Verdana" w:eastAsia="Calibri" w:hAnsi="Verdana" w:cs="Arial"/>
          <w:color w:val="000000" w:themeColor="text1"/>
        </w:rPr>
        <w:t>a sustitución</w:t>
      </w:r>
      <w:r w:rsidRPr="0079758D">
        <w:rPr>
          <w:rFonts w:ascii="Verdana" w:eastAsia="Calibri" w:hAnsi="Verdana" w:cs="Arial"/>
          <w:color w:val="000000" w:themeColor="text1"/>
        </w:rPr>
        <w:t xml:space="preserve"> de parte en la relación</w:t>
      </w:r>
      <w:r>
        <w:rPr>
          <w:rFonts w:ascii="Verdana" w:eastAsia="Calibri" w:hAnsi="Verdana" w:cs="Arial"/>
          <w:color w:val="000000" w:themeColor="text1"/>
        </w:rPr>
        <w:t xml:space="preserve"> contractual</w:t>
      </w:r>
      <w:r w:rsidRPr="0079758D">
        <w:rPr>
          <w:rFonts w:ascii="Verdana" w:eastAsia="Calibri" w:hAnsi="Verdana" w:cs="Arial"/>
          <w:color w:val="000000" w:themeColor="text1"/>
        </w:rPr>
        <w:t>, sin alterar el contenido ni la finalidad del acuerdo entre las partes restantes</w:t>
      </w:r>
      <w:r>
        <w:rPr>
          <w:rFonts w:ascii="Verdana" w:eastAsia="Calibri" w:hAnsi="Verdana" w:cs="Arial"/>
          <w:color w:val="000000" w:themeColor="text1"/>
        </w:rPr>
        <w:t>, por lo que nada obsta para que la entidad estatal contratante actúe como cedente de la posición contractual, máxime cuando las disposiciones del EGCAP no establecen una prohibición sobre el particular.</w:t>
      </w:r>
    </w:p>
    <w:p w14:paraId="6840E5B7"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lastRenderedPageBreak/>
        <w:t xml:space="preserve">De igual manera, la cesión de la posición contractual de la entidad estatal </w:t>
      </w:r>
      <w:r w:rsidRPr="006F3D24">
        <w:rPr>
          <w:rFonts w:ascii="Verdana" w:eastAsia="Calibri" w:hAnsi="Verdana" w:cs="Arial"/>
          <w:color w:val="000000" w:themeColor="text1"/>
        </w:rPr>
        <w:t xml:space="preserve">también procede con fundamento en el artículo 3 de la Ley 80 de 1993, </w:t>
      </w:r>
      <w:r>
        <w:rPr>
          <w:rFonts w:ascii="Verdana" w:eastAsia="Calibri" w:hAnsi="Verdana" w:cs="Arial"/>
          <w:color w:val="000000" w:themeColor="text1"/>
        </w:rPr>
        <w:t xml:space="preserve">cuando con esta se permite el </w:t>
      </w:r>
      <w:r w:rsidRPr="006F3D24">
        <w:rPr>
          <w:rFonts w:ascii="Verdana" w:eastAsia="Calibri" w:hAnsi="Verdana" w:cs="Arial"/>
          <w:color w:val="000000" w:themeColor="text1"/>
        </w:rPr>
        <w:t>cumplimiento de los fines estatales</w:t>
      </w:r>
      <w:r>
        <w:rPr>
          <w:rFonts w:ascii="Verdana" w:eastAsia="Calibri" w:hAnsi="Verdana" w:cs="Arial"/>
          <w:color w:val="000000" w:themeColor="text1"/>
        </w:rPr>
        <w:t xml:space="preserve"> y</w:t>
      </w:r>
      <w:r w:rsidRPr="006F3D24">
        <w:rPr>
          <w:rFonts w:ascii="Verdana" w:eastAsia="Calibri" w:hAnsi="Verdana" w:cs="Arial"/>
          <w:color w:val="000000" w:themeColor="text1"/>
        </w:rPr>
        <w:t xml:space="preserve"> la continua y eficiente prestación de los servicios públicos</w:t>
      </w:r>
      <w:r>
        <w:rPr>
          <w:rFonts w:ascii="Verdana" w:eastAsia="Calibri" w:hAnsi="Verdana" w:cs="Arial"/>
          <w:color w:val="000000" w:themeColor="text1"/>
        </w:rPr>
        <w:t xml:space="preserve">. </w:t>
      </w:r>
      <w:r w:rsidRPr="006F3D24">
        <w:rPr>
          <w:rFonts w:ascii="Verdana" w:eastAsia="Calibri" w:hAnsi="Verdana" w:cs="Arial"/>
          <w:color w:val="000000" w:themeColor="text1"/>
        </w:rPr>
        <w:t>Asimismo, con base en el artículo 40</w:t>
      </w:r>
      <w:r>
        <w:rPr>
          <w:rFonts w:ascii="Verdana" w:eastAsia="Calibri" w:hAnsi="Verdana" w:cs="Arial"/>
          <w:color w:val="000000" w:themeColor="text1"/>
        </w:rPr>
        <w:t xml:space="preserve"> </w:t>
      </w:r>
      <w:r w:rsidRPr="00EB10A9">
        <w:rPr>
          <w:rFonts w:ascii="Verdana" w:eastAsia="Calibri" w:hAnsi="Verdana" w:cs="Arial"/>
          <w:i/>
          <w:iCs/>
          <w:color w:val="000000" w:themeColor="text1"/>
        </w:rPr>
        <w:t>ibidem</w:t>
      </w:r>
      <w:r w:rsidRPr="006F3D24">
        <w:rPr>
          <w:rFonts w:ascii="Verdana" w:eastAsia="Calibri" w:hAnsi="Verdana" w:cs="Arial"/>
          <w:color w:val="000000" w:themeColor="text1"/>
        </w:rPr>
        <w:t xml:space="preserve">, las entidades </w:t>
      </w:r>
      <w:r>
        <w:rPr>
          <w:rFonts w:ascii="Verdana" w:eastAsia="Calibri" w:hAnsi="Verdana" w:cs="Arial"/>
          <w:color w:val="000000" w:themeColor="text1"/>
        </w:rPr>
        <w:t xml:space="preserve">tienen </w:t>
      </w:r>
      <w:r w:rsidRPr="006F3D24">
        <w:rPr>
          <w:rFonts w:ascii="Verdana" w:eastAsia="Calibri" w:hAnsi="Verdana" w:cs="Arial"/>
          <w:color w:val="000000" w:themeColor="text1"/>
        </w:rPr>
        <w:t>la facultad de celebrar contratos y acuerdos que</w:t>
      </w:r>
      <w:r w:rsidRPr="002C517A">
        <w:rPr>
          <w:rFonts w:ascii="Verdana" w:eastAsia="Calibri" w:hAnsi="Verdana" w:cs="Arial"/>
          <w:color w:val="000000" w:themeColor="text1"/>
        </w:rPr>
        <w:t xml:space="preserve"> permitan la autonomía de la voluntad y requieran el cumplimiento de los fines estatales</w:t>
      </w:r>
      <w:r>
        <w:rPr>
          <w:rFonts w:ascii="Verdana" w:eastAsia="Calibri" w:hAnsi="Verdana" w:cs="Arial"/>
          <w:color w:val="000000" w:themeColor="text1"/>
        </w:rPr>
        <w:t xml:space="preserve">, por lo que en el marco de dicha autonomía las entidades estatales podrán celebrar acuerdos que impliquen la cesión de la posición contractual. </w:t>
      </w:r>
    </w:p>
    <w:p w14:paraId="1CB97AD8"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Sin embargo, es preciso advertir que al tratarse de entidades del estado que están sometidas a un régimen de competencias,</w:t>
      </w:r>
      <w:r w:rsidRPr="00F72BD8">
        <w:rPr>
          <w:rFonts w:ascii="Verdana" w:eastAsia="Calibri" w:hAnsi="Verdana" w:cs="Arial"/>
          <w:color w:val="000000" w:themeColor="text1"/>
        </w:rPr>
        <w:t xml:space="preserve"> </w:t>
      </w:r>
      <w:r>
        <w:rPr>
          <w:rFonts w:ascii="Verdana" w:eastAsia="Calibri" w:hAnsi="Verdana" w:cs="Arial"/>
          <w:color w:val="000000" w:themeColor="text1"/>
        </w:rPr>
        <w:t xml:space="preserve">la posibilidad de cesión del contrato supone un análisis particular en relación con los requisitos explicados frente a la cesión de la posición contractual del contratista. En efecto, </w:t>
      </w:r>
      <w:r w:rsidRPr="00BF650E">
        <w:rPr>
          <w:rFonts w:ascii="Verdana" w:eastAsia="Calibri" w:hAnsi="Verdana" w:cs="Arial"/>
          <w:color w:val="000000" w:themeColor="text1"/>
        </w:rPr>
        <w:t xml:space="preserve">para la procedencia de la cesión de posición </w:t>
      </w:r>
      <w:r>
        <w:rPr>
          <w:rFonts w:ascii="Verdana" w:eastAsia="Calibri" w:hAnsi="Verdana" w:cs="Arial"/>
          <w:color w:val="000000" w:themeColor="text1"/>
        </w:rPr>
        <w:t xml:space="preserve">contractual de la entidad contratante es indispensable que la entidad estatal cesionaria cuente con las competencias para la ejecución del contrato cedido. Esto supone que las facultades legales y reglamentarias de la entidad cesionaria establezcan funciones que le permitan asumir la ejecución del contrato que se cede, pues de lo contrario la entidad no contaría con la capacidad jurídica para ejecutar el contrato estatal. </w:t>
      </w:r>
    </w:p>
    <w:p w14:paraId="12AA7063"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lang w:bidi="es-ES"/>
        </w:rPr>
        <w:t xml:space="preserve">En ese orden de ideas, se advierte que la figura de la cesión </w:t>
      </w:r>
      <w:r>
        <w:rPr>
          <w:rFonts w:ascii="Verdana" w:eastAsia="Calibri" w:hAnsi="Verdana" w:cs="Arial"/>
          <w:color w:val="000000" w:themeColor="text1"/>
        </w:rPr>
        <w:t xml:space="preserve">de la posición contractual de la entidad estatal puede comportar algunas restricciones elementales, que deben ser superadas para su efectiva aplicación: i) La determinación de la necesidad de la entidad cesionaria </w:t>
      </w:r>
      <w:r w:rsidRPr="00AB3E33">
        <w:rPr>
          <w:rFonts w:ascii="Verdana" w:eastAsia="Calibri" w:hAnsi="Verdana" w:cs="Arial"/>
          <w:color w:val="000000" w:themeColor="text1"/>
        </w:rPr>
        <w:t xml:space="preserve">que asume las obligaciones y derechos en el contrato, así como los actos de </w:t>
      </w:r>
      <w:r>
        <w:rPr>
          <w:rFonts w:ascii="Verdana" w:eastAsia="Calibri" w:hAnsi="Verdana" w:cs="Arial"/>
          <w:color w:val="000000" w:themeColor="text1"/>
        </w:rPr>
        <w:t>planeación</w:t>
      </w:r>
      <w:r w:rsidRPr="00AB3E33">
        <w:rPr>
          <w:rFonts w:ascii="Verdana" w:eastAsia="Calibri" w:hAnsi="Verdana" w:cs="Arial"/>
          <w:color w:val="000000" w:themeColor="text1"/>
        </w:rPr>
        <w:t xml:space="preserve"> que debe realizar respecto de los bienes, servicios u obras que va adquirir o contratar</w:t>
      </w:r>
      <w:r>
        <w:rPr>
          <w:rFonts w:ascii="Verdana" w:eastAsia="Calibri" w:hAnsi="Verdana" w:cs="Arial"/>
          <w:color w:val="000000" w:themeColor="text1"/>
        </w:rPr>
        <w:t xml:space="preserve">, mediante la actualización del Plan Anual de Adquisiciones y la verificación de las disponibilidades presupuestales;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Dicha necesidad deberá ser satisfecha -tanto técnica como económicamente- por la prestación que venga ejecutando el contratista cedido; </w:t>
      </w: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xml:space="preserve">) De otro lado, debió haber desaparecido la necesidad inicial de los bienes, obras o servicios respecto de la entidad cedente, debidamente justificado en los actos administrativos que se produzcan para su materialización y, </w:t>
      </w:r>
      <w:proofErr w:type="spellStart"/>
      <w:r>
        <w:rPr>
          <w:rFonts w:ascii="Verdana" w:eastAsia="Calibri" w:hAnsi="Verdana" w:cs="Arial"/>
          <w:color w:val="000000" w:themeColor="text1"/>
        </w:rPr>
        <w:t>iv</w:t>
      </w:r>
      <w:proofErr w:type="spellEnd"/>
      <w:r>
        <w:rPr>
          <w:rFonts w:ascii="Verdana" w:eastAsia="Calibri" w:hAnsi="Verdana" w:cs="Arial"/>
          <w:color w:val="000000" w:themeColor="text1"/>
        </w:rPr>
        <w:t>) La cesión debe corresponder a la figura contractual más ventajosa para el Estado desde los aspectos económicos y técnicos, atendiendo a los principios de conveniencia y oportunidad del proyecto a contratar. De no ser así, ambas entidades estatales deberán proceder conforme los mecanismos previstos en el ordenamiento jurídico, sea en relación con la resolución del contrato por parte de la entidad cedente, o en la posibilidad de una nueva convocatoria para la selección de contratistas por parte de la entidad cesionaria.</w:t>
      </w:r>
    </w:p>
    <w:p w14:paraId="2FA6371E"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lastRenderedPageBreak/>
        <w:t>En este contexto, es importante señalar que l</w:t>
      </w:r>
      <w:r w:rsidRPr="00035072">
        <w:rPr>
          <w:rFonts w:ascii="Verdana" w:eastAsia="Calibri" w:hAnsi="Verdana" w:cs="Arial"/>
          <w:color w:val="000000" w:themeColor="text1"/>
        </w:rPr>
        <w:t xml:space="preserve">a cesión de contratos </w:t>
      </w:r>
      <w:r>
        <w:rPr>
          <w:rFonts w:ascii="Verdana" w:eastAsia="Calibri" w:hAnsi="Verdana" w:cs="Arial"/>
          <w:color w:val="000000" w:themeColor="text1"/>
        </w:rPr>
        <w:t>entre</w:t>
      </w:r>
      <w:r w:rsidRPr="00035072">
        <w:rPr>
          <w:rFonts w:ascii="Verdana" w:eastAsia="Calibri" w:hAnsi="Verdana" w:cs="Arial"/>
          <w:color w:val="000000" w:themeColor="text1"/>
        </w:rPr>
        <w:t xml:space="preserve"> entidades </w:t>
      </w:r>
      <w:r>
        <w:rPr>
          <w:rFonts w:ascii="Verdana" w:eastAsia="Calibri" w:hAnsi="Verdana" w:cs="Arial"/>
          <w:color w:val="000000" w:themeColor="text1"/>
        </w:rPr>
        <w:t xml:space="preserve">estatales </w:t>
      </w:r>
      <w:r w:rsidRPr="00035072">
        <w:rPr>
          <w:rFonts w:ascii="Verdana" w:eastAsia="Calibri" w:hAnsi="Verdana" w:cs="Arial"/>
          <w:color w:val="000000" w:themeColor="text1"/>
        </w:rPr>
        <w:t xml:space="preserve">puede responder a diversas causas, dependiendo de las circunstancias de cada caso. </w:t>
      </w:r>
      <w:r>
        <w:rPr>
          <w:rFonts w:ascii="Verdana" w:eastAsia="Calibri" w:hAnsi="Verdana" w:cs="Arial"/>
          <w:color w:val="000000" w:themeColor="text1"/>
        </w:rPr>
        <w:t xml:space="preserve">Por ejemplo, la cesión podría derivarse de una previsión normativa que lo ordena, en el marco de </w:t>
      </w:r>
      <w:r w:rsidRPr="00035072">
        <w:rPr>
          <w:rFonts w:ascii="Verdana" w:eastAsia="Calibri" w:hAnsi="Verdana" w:cs="Arial"/>
          <w:color w:val="000000" w:themeColor="text1"/>
        </w:rPr>
        <w:t xml:space="preserve">la modificación de competencias funcionales de </w:t>
      </w:r>
      <w:r>
        <w:rPr>
          <w:rFonts w:ascii="Verdana" w:eastAsia="Calibri" w:hAnsi="Verdana" w:cs="Arial"/>
          <w:color w:val="000000" w:themeColor="text1"/>
        </w:rPr>
        <w:t xml:space="preserve">una </w:t>
      </w:r>
      <w:r w:rsidRPr="00035072">
        <w:rPr>
          <w:rFonts w:ascii="Verdana" w:eastAsia="Calibri" w:hAnsi="Verdana" w:cs="Arial"/>
          <w:color w:val="000000" w:themeColor="text1"/>
        </w:rPr>
        <w:t>entidad</w:t>
      </w:r>
      <w:r>
        <w:rPr>
          <w:rFonts w:ascii="Verdana" w:eastAsia="Calibri" w:hAnsi="Verdana" w:cs="Arial"/>
          <w:color w:val="000000" w:themeColor="text1"/>
        </w:rPr>
        <w:t xml:space="preserve"> estatal que implique una reorganización de competencias, </w:t>
      </w:r>
      <w:r w:rsidRPr="00035072">
        <w:rPr>
          <w:rFonts w:ascii="Verdana" w:eastAsia="Calibri" w:hAnsi="Verdana" w:cs="Arial"/>
          <w:color w:val="000000" w:themeColor="text1"/>
        </w:rPr>
        <w:t>puede realizarse por razones de interés público</w:t>
      </w:r>
      <w:r>
        <w:rPr>
          <w:rFonts w:ascii="Verdana" w:eastAsia="Calibri" w:hAnsi="Verdana" w:cs="Arial"/>
          <w:color w:val="000000" w:themeColor="text1"/>
        </w:rPr>
        <w:t xml:space="preserve">, entre otras. En todo caso, cualquiera que sea su fundamento, para que sea válida la cesión </w:t>
      </w:r>
      <w:r w:rsidRPr="007F4138">
        <w:rPr>
          <w:rFonts w:ascii="Verdana" w:eastAsia="Calibri" w:hAnsi="Verdana" w:cs="Arial"/>
          <w:color w:val="000000" w:themeColor="text1"/>
        </w:rPr>
        <w:t>es indispensable que la entidad que asume el contrato cedido cuente con la competencia legal para poder cumplir con las obligaciones derivadas del mismo</w:t>
      </w:r>
      <w:r>
        <w:rPr>
          <w:rFonts w:ascii="Verdana" w:eastAsia="Calibri" w:hAnsi="Verdana" w:cs="Arial"/>
          <w:color w:val="000000" w:themeColor="text1"/>
        </w:rPr>
        <w:t>, ya que</w:t>
      </w:r>
      <w:r w:rsidRPr="007F4138">
        <w:rPr>
          <w:rFonts w:ascii="Verdana" w:eastAsia="Calibri" w:hAnsi="Verdana" w:cs="Arial"/>
          <w:color w:val="000000" w:themeColor="text1"/>
        </w:rPr>
        <w:t xml:space="preserve"> la cesión no puede implicar una transferencia de responsabilidades a una entidad que no esté facultada para asumir las obligaciones del contrato. </w:t>
      </w:r>
    </w:p>
    <w:p w14:paraId="169D59BC" w14:textId="77777777" w:rsidR="00D319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En esta forma de cesión también </w:t>
      </w:r>
      <w:r w:rsidRPr="008F7498">
        <w:rPr>
          <w:rFonts w:ascii="Verdana" w:hAnsi="Verdana" w:cs="Arial"/>
          <w:color w:val="000000" w:themeColor="text1"/>
        </w:rPr>
        <w:t>concurren tres (3) sujetos</w:t>
      </w:r>
      <w:r>
        <w:rPr>
          <w:rFonts w:ascii="Verdana" w:hAnsi="Verdana" w:cs="Arial"/>
          <w:color w:val="000000" w:themeColor="text1"/>
        </w:rPr>
        <w:t xml:space="preserve">, no obstante, su posición es distinta en relación con la cesión del contratista, así: </w:t>
      </w:r>
      <w:r w:rsidRPr="008F7498">
        <w:rPr>
          <w:rFonts w:ascii="Verdana" w:hAnsi="Verdana" w:cs="Arial"/>
          <w:color w:val="000000" w:themeColor="text1"/>
        </w:rPr>
        <w:t xml:space="preserve">i) el cedente </w:t>
      </w:r>
      <w:r>
        <w:rPr>
          <w:rFonts w:ascii="Verdana" w:hAnsi="Verdana" w:cs="Arial"/>
          <w:color w:val="000000" w:themeColor="text1"/>
        </w:rPr>
        <w:t>es la entidad contratante</w:t>
      </w:r>
      <w:r w:rsidRPr="008F7498">
        <w:rPr>
          <w:rFonts w:ascii="Verdana" w:hAnsi="Verdana" w:cs="Arial"/>
          <w:color w:val="000000" w:themeColor="text1"/>
        </w:rPr>
        <w:t xml:space="preserve"> inicial; </w:t>
      </w:r>
      <w:proofErr w:type="spellStart"/>
      <w:r w:rsidRPr="008F7498">
        <w:rPr>
          <w:rFonts w:ascii="Verdana" w:hAnsi="Verdana" w:cs="Arial"/>
          <w:color w:val="000000" w:themeColor="text1"/>
        </w:rPr>
        <w:t>ii</w:t>
      </w:r>
      <w:proofErr w:type="spellEnd"/>
      <w:r w:rsidRPr="008F7498">
        <w:rPr>
          <w:rFonts w:ascii="Verdana" w:hAnsi="Verdana" w:cs="Arial"/>
          <w:color w:val="000000" w:themeColor="text1"/>
        </w:rPr>
        <w:t xml:space="preserve">) el cesionario, es </w:t>
      </w:r>
      <w:r>
        <w:rPr>
          <w:rFonts w:ascii="Verdana" w:hAnsi="Verdana" w:cs="Arial"/>
          <w:color w:val="000000" w:themeColor="text1"/>
        </w:rPr>
        <w:t>la entidad estatal que</w:t>
      </w:r>
      <w:r w:rsidRPr="008F7498">
        <w:rPr>
          <w:rFonts w:ascii="Verdana" w:hAnsi="Verdana" w:cs="Arial"/>
          <w:color w:val="000000" w:themeColor="text1"/>
        </w:rPr>
        <w:t xml:space="preserve"> asume total o parcialmente los derechos y obligaciones de este último; y </w:t>
      </w:r>
      <w:proofErr w:type="spellStart"/>
      <w:r w:rsidRPr="008F7498">
        <w:rPr>
          <w:rFonts w:ascii="Verdana" w:hAnsi="Verdana" w:cs="Arial"/>
          <w:color w:val="000000" w:themeColor="text1"/>
        </w:rPr>
        <w:t>iii</w:t>
      </w:r>
      <w:proofErr w:type="spellEnd"/>
      <w:r w:rsidRPr="008F7498">
        <w:rPr>
          <w:rFonts w:ascii="Verdana" w:hAnsi="Verdana" w:cs="Arial"/>
          <w:color w:val="000000" w:themeColor="text1"/>
        </w:rPr>
        <w:t xml:space="preserve">) el cedido </w:t>
      </w:r>
      <w:r>
        <w:rPr>
          <w:rFonts w:ascii="Verdana" w:hAnsi="Verdana" w:cs="Arial"/>
          <w:color w:val="000000" w:themeColor="text1"/>
        </w:rPr>
        <w:t xml:space="preserve">en este caso sería el contratista que suscribió el contrato. </w:t>
      </w:r>
    </w:p>
    <w:p w14:paraId="2D8840FD" w14:textId="77777777" w:rsidR="00D3191B" w:rsidRDefault="00D3191B" w:rsidP="00D3191B">
      <w:pPr>
        <w:tabs>
          <w:tab w:val="left" w:pos="709"/>
        </w:tabs>
        <w:spacing w:after="120" w:line="276" w:lineRule="auto"/>
        <w:ind w:firstLine="851"/>
        <w:jc w:val="both"/>
        <w:rPr>
          <w:rFonts w:ascii="Verdana" w:eastAsia="Calibri" w:hAnsi="Verdana" w:cs="Arial"/>
          <w:bCs/>
          <w:color w:val="000000" w:themeColor="text1"/>
        </w:rPr>
      </w:pPr>
      <w:r>
        <w:rPr>
          <w:rFonts w:ascii="Verdana" w:eastAsia="Calibri" w:hAnsi="Verdana" w:cs="Arial"/>
          <w:color w:val="000000" w:themeColor="text1"/>
        </w:rPr>
        <w:t xml:space="preserve">Adicionalmente, para la validez de esta cesión </w:t>
      </w:r>
      <w:r>
        <w:rPr>
          <w:rFonts w:ascii="Verdana" w:eastAsia="Calibri" w:hAnsi="Verdana" w:cs="Arial"/>
          <w:bCs/>
          <w:color w:val="000000" w:themeColor="text1"/>
        </w:rPr>
        <w:t xml:space="preserve">se </w:t>
      </w:r>
      <w:r w:rsidRPr="008F7498">
        <w:rPr>
          <w:rFonts w:ascii="Verdana" w:eastAsia="Calibri" w:hAnsi="Verdana" w:cs="Arial"/>
          <w:bCs/>
          <w:color w:val="000000" w:themeColor="text1"/>
        </w:rPr>
        <w:t>requiere la suscripción de un contrato entre el cedente y el cesionario,</w:t>
      </w:r>
      <w:r>
        <w:rPr>
          <w:rFonts w:ascii="Verdana" w:eastAsia="Calibri" w:hAnsi="Verdana" w:cs="Arial"/>
          <w:bCs/>
          <w:color w:val="000000" w:themeColor="text1"/>
        </w:rPr>
        <w:t xml:space="preserve"> porque el contrato estatal es solemne y, por ende, deberá elevarse el acuerdo de voluntades por escrito. Por tanto, la entidad contratante cedente y la entidad cesionaria deberán perfeccionar la cesión de la posición contractual por documento escrito que determine las condiciones de esta. En tal sentido, en los términos del artículo 895 del Código de Comercio,</w:t>
      </w:r>
      <w:r w:rsidDel="00447B07">
        <w:rPr>
          <w:rFonts w:ascii="Verdana" w:eastAsia="Calibri" w:hAnsi="Verdana" w:cs="Arial"/>
          <w:bCs/>
          <w:color w:val="000000" w:themeColor="text1"/>
        </w:rPr>
        <w:t xml:space="preserve"> </w:t>
      </w:r>
      <w:r>
        <w:rPr>
          <w:rFonts w:ascii="Verdana" w:eastAsia="Calibri" w:hAnsi="Verdana" w:cs="Arial"/>
          <w:bCs/>
          <w:color w:val="000000" w:themeColor="text1"/>
        </w:rPr>
        <w:t>la cesión producirá efectos entre el cedente y el cesionario desde la fecha de suscripción de la modificación y, respecto del contratista, sólo producirá efectos a partir de su publicación en el sistema SECOP y respectiva notificación.</w:t>
      </w:r>
    </w:p>
    <w:p w14:paraId="5F31EC85" w14:textId="77777777" w:rsidR="00D3191B" w:rsidRDefault="00D3191B" w:rsidP="00D3191B">
      <w:pPr>
        <w:tabs>
          <w:tab w:val="left" w:pos="709"/>
        </w:tabs>
        <w:spacing w:after="120" w:line="276" w:lineRule="auto"/>
        <w:ind w:firstLine="851"/>
        <w:jc w:val="both"/>
        <w:rPr>
          <w:rFonts w:ascii="Verdana" w:eastAsia="Calibri" w:hAnsi="Verdana" w:cs="Arial"/>
          <w:bCs/>
          <w:color w:val="000000" w:themeColor="text1"/>
        </w:rPr>
      </w:pPr>
      <w:r>
        <w:rPr>
          <w:rFonts w:ascii="Verdana" w:eastAsia="Calibri" w:hAnsi="Verdana" w:cs="Arial"/>
          <w:bCs/>
          <w:color w:val="000000" w:themeColor="text1"/>
        </w:rPr>
        <w:t xml:space="preserve">En ese orden, el documento mediante el cual se celebre la modificación consistente en la cesión del contrato, deberá contener entre otros, los siguientes elementos: i) indicar de manera clara el porcentaje de cesión, si aquella se efectúa a título gratuito u oneroso y manifestar si dicha cesión se configura de forma revocable o irrevocable, señalando de manera precisa el contrato y el objeto contractual; </w:t>
      </w: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el alcance de la cesión, bajo la estipulación concreta del estado de ejecución del proyecto cedido, estado del cumplimiento de las actividades contempladas en el contrato cedido desde los componentes técnico, financiero, ambiental y jurídico; </w:t>
      </w: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el proceso de empalme que permita por parte del cedente la entrega de toda la información necesaria para la continuidad </w:t>
      </w:r>
      <w:r>
        <w:rPr>
          <w:rFonts w:ascii="Verdana" w:eastAsia="Calibri" w:hAnsi="Verdana" w:cs="Arial"/>
          <w:bCs/>
          <w:color w:val="000000" w:themeColor="text1"/>
        </w:rPr>
        <w:lastRenderedPageBreak/>
        <w:t xml:space="preserve">exitosa de la ejecución contractual en cabeza del cesionario, que tengan relación con los aspectos técnico, financiero, ambiental y jurídico; </w:t>
      </w: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las obligaciones particulares en cabeza del cedente y el cesionario; v) la declaración de subrogación de derechos, acciones y obligaciones del cesionario al cedente; vi) los efectos tributarios de la cesión que asume el cesionario como sujeto activo de la administración; </w:t>
      </w:r>
      <w:proofErr w:type="spellStart"/>
      <w:r>
        <w:rPr>
          <w:rFonts w:ascii="Verdana" w:eastAsia="Calibri" w:hAnsi="Verdana" w:cs="Arial"/>
          <w:bCs/>
          <w:color w:val="000000" w:themeColor="text1"/>
        </w:rPr>
        <w:t>vii</w:t>
      </w:r>
      <w:proofErr w:type="spellEnd"/>
      <w:r>
        <w:rPr>
          <w:rFonts w:ascii="Verdana" w:eastAsia="Calibri" w:hAnsi="Verdana" w:cs="Arial"/>
          <w:bCs/>
          <w:color w:val="000000" w:themeColor="text1"/>
        </w:rPr>
        <w:t xml:space="preserve">) la exigencia de gestionar la modificación de las garantías constituidas inicialmente por el contratista en favor del cedente; </w:t>
      </w:r>
      <w:proofErr w:type="spellStart"/>
      <w:r>
        <w:rPr>
          <w:rFonts w:ascii="Verdana" w:eastAsia="Calibri" w:hAnsi="Verdana" w:cs="Arial"/>
          <w:bCs/>
          <w:color w:val="000000" w:themeColor="text1"/>
        </w:rPr>
        <w:t>viii</w:t>
      </w:r>
      <w:proofErr w:type="spellEnd"/>
      <w:r>
        <w:rPr>
          <w:rFonts w:ascii="Verdana" w:eastAsia="Calibri" w:hAnsi="Verdana" w:cs="Arial"/>
          <w:bCs/>
          <w:color w:val="000000" w:themeColor="text1"/>
        </w:rPr>
        <w:t>) la disponibilidad de los recursos presupuestales en cabeza del cesionario, que le permitan continuar con la ejecución del proyecto cedido, entre otros.</w:t>
      </w:r>
    </w:p>
    <w:p w14:paraId="194B9684" w14:textId="77777777" w:rsidR="00D3191B" w:rsidRDefault="00D3191B" w:rsidP="00D3191B">
      <w:pPr>
        <w:tabs>
          <w:tab w:val="left" w:pos="709"/>
        </w:tabs>
        <w:spacing w:after="120" w:line="276" w:lineRule="auto"/>
        <w:ind w:firstLine="851"/>
        <w:jc w:val="both"/>
        <w:rPr>
          <w:rFonts w:ascii="Verdana" w:eastAsia="Calibri" w:hAnsi="Verdana" w:cs="Arial"/>
          <w:bCs/>
          <w:color w:val="000000" w:themeColor="text1"/>
        </w:rPr>
      </w:pPr>
      <w:r>
        <w:rPr>
          <w:rFonts w:ascii="Verdana" w:eastAsia="Calibri" w:hAnsi="Verdana" w:cs="Arial"/>
          <w:bCs/>
          <w:color w:val="000000" w:themeColor="text1"/>
        </w:rPr>
        <w:t xml:space="preserve">Ahora bien, retomando lo dispuesto en el artículo 41 de la Ley 80 de 1993, la cesión se perfeccionará con la firma de las partes, cuando se logre acuerdo sobre estos elementos enlistados y, además, la ejecución del contrato por parte del cesionario requerirá de la aprobación de las nuevas garantías o la modificación de las inicialmente constituidas por el contratista, junto con la existencia de las disponibilidades presupuestales correspondientes. Aquí vale la pena señalar que, si la cesión contractual implica la transferencia de recursos públicos de la entidad cedente a la entidad cesionaria con el propósito de continuar con la ejecución del proyecto cedido, las operaciones y los instrumentos que se definan en la modificación contractual deberán observar lo dispuesto en las normas del </w:t>
      </w:r>
      <w:r w:rsidRPr="006F61C8">
        <w:rPr>
          <w:rFonts w:ascii="Verdana" w:eastAsia="Calibri" w:hAnsi="Verdana" w:cs="Arial"/>
          <w:bCs/>
          <w:color w:val="000000" w:themeColor="text1"/>
        </w:rPr>
        <w:t>Estatuto Orgánico de Presupuesto Nacional</w:t>
      </w:r>
      <w:r>
        <w:rPr>
          <w:rFonts w:ascii="Verdana" w:eastAsia="Calibri" w:hAnsi="Verdana" w:cs="Arial"/>
          <w:bCs/>
          <w:color w:val="000000" w:themeColor="text1"/>
        </w:rPr>
        <w:t xml:space="preserve"> y las normas orgánicas de presupuesto en sus respectivos niveles, particularmente aquellas que regulan pautas de procedimiento, la reglamentación de las fases de preparación y desarrollo de los principios constitucionales y legales en materia de presupuesto.</w:t>
      </w:r>
    </w:p>
    <w:p w14:paraId="5DEC2F7E" w14:textId="7FA84D6D" w:rsidR="00D3191B" w:rsidRDefault="00D3191B" w:rsidP="00D3191B">
      <w:pPr>
        <w:tabs>
          <w:tab w:val="left" w:pos="709"/>
        </w:tabs>
        <w:spacing w:after="120" w:line="276" w:lineRule="auto"/>
        <w:ind w:firstLine="851"/>
        <w:jc w:val="both"/>
        <w:rPr>
          <w:rFonts w:ascii="Verdana" w:eastAsia="Calibri" w:hAnsi="Verdana" w:cs="Arial"/>
          <w:bCs/>
          <w:color w:val="000000" w:themeColor="text1"/>
        </w:rPr>
      </w:pPr>
      <w:r>
        <w:rPr>
          <w:rFonts w:ascii="Verdana" w:eastAsia="Calibri" w:hAnsi="Verdana" w:cs="Arial"/>
          <w:bCs/>
          <w:color w:val="000000" w:themeColor="text1"/>
        </w:rPr>
        <w:t>En esa misma línea, cuando la entidad cesionaria hace parte del gobierno local, en los niveles municipal, departamental o distrital, en virtud de las atribuciones constitucionales y legales en cabeza de los alcaldes y gobernadores, deberá ejercerse aquella que exige en materia presupuestal la presentación oportuna ante las corporaciones públicas de los proyectos, planes, programas y obras públicas para su debida discusión y viabilidad</w:t>
      </w:r>
      <w:r>
        <w:rPr>
          <w:rStyle w:val="Refdenotaalpie"/>
          <w:rFonts w:ascii="Verdana" w:eastAsia="Calibri" w:hAnsi="Verdana" w:cs="Arial"/>
          <w:bCs/>
          <w:color w:val="000000" w:themeColor="text1"/>
        </w:rPr>
        <w:footnoteReference w:id="14"/>
      </w:r>
      <w:r>
        <w:rPr>
          <w:rStyle w:val="Refdenotaalpie"/>
          <w:rFonts w:ascii="Verdana" w:eastAsia="Calibri" w:hAnsi="Verdana" w:cs="Arial"/>
          <w:bCs/>
          <w:color w:val="000000" w:themeColor="text1"/>
        </w:rPr>
        <w:footnoteReference w:id="15"/>
      </w:r>
      <w:r>
        <w:rPr>
          <w:rFonts w:ascii="Verdana" w:eastAsia="Calibri" w:hAnsi="Verdana" w:cs="Arial"/>
          <w:bCs/>
          <w:color w:val="000000" w:themeColor="text1"/>
        </w:rPr>
        <w:t>.</w:t>
      </w:r>
    </w:p>
    <w:p w14:paraId="48E6D20F" w14:textId="76AF3FF6" w:rsidR="00D3191B" w:rsidRPr="00B67A1B" w:rsidRDefault="00D3191B" w:rsidP="00D319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Por otro lado, cabe aclarar que con la cesión </w:t>
      </w:r>
      <w:r w:rsidRPr="00B3707C">
        <w:rPr>
          <w:rFonts w:ascii="Verdana" w:eastAsia="Calibri" w:hAnsi="Verdana" w:cs="Arial"/>
          <w:color w:val="000000" w:themeColor="text1"/>
        </w:rPr>
        <w:t xml:space="preserve">no se produce alteración alguna en el contenido de las prestaciones del contrato, ya que las obligaciones y derechos establecidos en el mismo </w:t>
      </w:r>
      <w:r>
        <w:rPr>
          <w:rFonts w:ascii="Verdana" w:eastAsia="Calibri" w:hAnsi="Verdana" w:cs="Arial"/>
          <w:color w:val="000000" w:themeColor="text1"/>
        </w:rPr>
        <w:t>se mantienen iguales</w:t>
      </w:r>
      <w:r w:rsidRPr="00B3707C">
        <w:rPr>
          <w:rFonts w:ascii="Verdana" w:eastAsia="Calibri" w:hAnsi="Verdana" w:cs="Arial"/>
          <w:color w:val="000000" w:themeColor="text1"/>
        </w:rPr>
        <w:t xml:space="preserve">. Lo único que varía es la identidad de los sujetos que intervienen en la relación contractual. </w:t>
      </w:r>
      <w:r w:rsidRPr="00B67A1B">
        <w:rPr>
          <w:rFonts w:ascii="Verdana" w:eastAsia="Calibri" w:hAnsi="Verdana" w:cs="Arial"/>
          <w:color w:val="000000" w:themeColor="text1"/>
        </w:rPr>
        <w:t>Al respecto la doctrina señala que</w:t>
      </w:r>
      <w:r>
        <w:rPr>
          <w:rFonts w:ascii="Verdana" w:eastAsia="Calibri" w:hAnsi="Verdana" w:cs="Arial"/>
          <w:i/>
          <w:iCs/>
          <w:color w:val="000000" w:themeColor="text1"/>
        </w:rPr>
        <w:t xml:space="preserve"> </w:t>
      </w:r>
      <w:r w:rsidRPr="00B248A3">
        <w:rPr>
          <w:rFonts w:ascii="Verdana" w:eastAsia="Calibri" w:hAnsi="Verdana" w:cs="Arial"/>
          <w:color w:val="000000" w:themeColor="text1"/>
        </w:rPr>
        <w:t xml:space="preserve">“Para el cedido no se altera ni se modifica el </w:t>
      </w:r>
      <w:r w:rsidRPr="00B248A3">
        <w:rPr>
          <w:rFonts w:ascii="Verdana" w:eastAsia="Calibri" w:hAnsi="Verdana" w:cs="Arial"/>
          <w:color w:val="000000" w:themeColor="text1"/>
        </w:rPr>
        <w:lastRenderedPageBreak/>
        <w:t>contenido de las prestaciones del contrato por virtud de la cesión, bastando su notificación para que quede vinculado con el cesionario. El cedido es y continúa siendo parte en el contrato, en los mismos términos y condiciones pactados, ya no frente al contratante original sino frente al cesionario, salvo que, se insiste, la cesión haya sido parcial”</w:t>
      </w:r>
      <w:r>
        <w:rPr>
          <w:rStyle w:val="Refdenotaalpie"/>
          <w:rFonts w:ascii="Verdana" w:eastAsia="Calibri" w:hAnsi="Verdana" w:cs="Arial"/>
          <w:color w:val="000000" w:themeColor="text1"/>
        </w:rPr>
        <w:footnoteReference w:id="16"/>
      </w:r>
      <w:r w:rsidRPr="00B248A3">
        <w:rPr>
          <w:rFonts w:ascii="Verdana" w:eastAsia="Calibri" w:hAnsi="Verdana" w:cs="Arial"/>
          <w:color w:val="000000" w:themeColor="text1"/>
        </w:rPr>
        <w:t>.</w:t>
      </w:r>
      <w:r>
        <w:rPr>
          <w:rFonts w:ascii="Verdana" w:eastAsia="Calibri" w:hAnsi="Verdana" w:cs="Arial"/>
          <w:i/>
          <w:iCs/>
          <w:color w:val="000000" w:themeColor="text1"/>
        </w:rPr>
        <w:t xml:space="preserve"> </w:t>
      </w:r>
    </w:p>
    <w:p w14:paraId="5A1568C2" w14:textId="77777777" w:rsidR="00D3191B" w:rsidRDefault="00D3191B" w:rsidP="00D3191B">
      <w:pPr>
        <w:tabs>
          <w:tab w:val="left" w:pos="709"/>
        </w:tabs>
        <w:spacing w:after="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Finalmente, frente a la autorización señalada en el artículo 41 de la Ley 80 de 1993, es preciso indicar que esta </w:t>
      </w:r>
      <w:r w:rsidRPr="003D46E9">
        <w:rPr>
          <w:rFonts w:ascii="Verdana" w:eastAsia="Calibri" w:hAnsi="Verdana" w:cs="Arial"/>
          <w:color w:val="000000" w:themeColor="text1"/>
        </w:rPr>
        <w:t xml:space="preserve">esta autorización se refiere específicamente al caso en el que la cesión se realice por parte del contratista a un tercero. En este sentido, la norma no aplica en situaciones en las que la entidad contratante sea </w:t>
      </w:r>
      <w:r>
        <w:rPr>
          <w:rFonts w:ascii="Verdana" w:eastAsia="Calibri" w:hAnsi="Verdana" w:cs="Arial"/>
          <w:color w:val="000000" w:themeColor="text1"/>
        </w:rPr>
        <w:t xml:space="preserve">la cedente, </w:t>
      </w:r>
      <w:r w:rsidRPr="003D46E9">
        <w:rPr>
          <w:rFonts w:ascii="Verdana" w:eastAsia="Calibri" w:hAnsi="Verdana" w:cs="Arial"/>
          <w:color w:val="000000" w:themeColor="text1"/>
        </w:rPr>
        <w:t xml:space="preserve">ya que en este caso la </w:t>
      </w:r>
      <w:r>
        <w:rPr>
          <w:rFonts w:ascii="Verdana" w:eastAsia="Calibri" w:hAnsi="Verdana" w:cs="Arial"/>
          <w:color w:val="000000" w:themeColor="text1"/>
        </w:rPr>
        <w:t xml:space="preserve">cesión de la posición contractual </w:t>
      </w:r>
      <w:r w:rsidRPr="003D46E9">
        <w:rPr>
          <w:rFonts w:ascii="Verdana" w:eastAsia="Calibri" w:hAnsi="Verdana" w:cs="Arial"/>
          <w:color w:val="000000" w:themeColor="text1"/>
        </w:rPr>
        <w:t>se efectúa dentro del marco de sus competencias y bajo los principios de legalidad y eficiencia en la gestión pública</w:t>
      </w:r>
      <w:r>
        <w:rPr>
          <w:rFonts w:ascii="Verdana" w:eastAsia="Calibri" w:hAnsi="Verdana" w:cs="Arial"/>
          <w:color w:val="000000" w:themeColor="text1"/>
        </w:rPr>
        <w:t xml:space="preserve">. </w:t>
      </w:r>
    </w:p>
    <w:p w14:paraId="0260B61E" w14:textId="77777777" w:rsidR="00D3191B" w:rsidRDefault="00D3191B" w:rsidP="00D3191B">
      <w:pPr>
        <w:tabs>
          <w:tab w:val="left" w:pos="709"/>
        </w:tabs>
        <w:spacing w:after="0" w:line="276" w:lineRule="auto"/>
        <w:ind w:firstLine="851"/>
        <w:jc w:val="both"/>
        <w:rPr>
          <w:rFonts w:ascii="Verdana" w:hAnsi="Verdana" w:cs="Arial"/>
        </w:rPr>
      </w:pPr>
    </w:p>
    <w:p w14:paraId="533755FE" w14:textId="77777777" w:rsidR="00D3191B" w:rsidRPr="005B7C42" w:rsidRDefault="00D3191B" w:rsidP="00D3191B">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Referencias normativas, jurisprudenciales y otras fuentes:</w:t>
      </w:r>
    </w:p>
    <w:p w14:paraId="0CEADADA" w14:textId="77777777" w:rsidR="00D3191B" w:rsidRPr="005B7C42" w:rsidRDefault="00D3191B" w:rsidP="00D3191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3191B" w:rsidRPr="005B7C42" w14:paraId="1969593C" w14:textId="77777777" w:rsidTr="00AF17C7">
        <w:trPr>
          <w:trHeight w:val="359"/>
        </w:trPr>
        <w:tc>
          <w:tcPr>
            <w:tcW w:w="8647" w:type="dxa"/>
          </w:tcPr>
          <w:p w14:paraId="28DAA50E" w14:textId="77777777" w:rsidR="00D3191B" w:rsidRPr="007A4833" w:rsidRDefault="00D3191B" w:rsidP="00D3191B">
            <w:pPr>
              <w:pStyle w:val="Prrafodelista"/>
              <w:widowControl w:val="0"/>
              <w:numPr>
                <w:ilvl w:val="0"/>
                <w:numId w:val="1"/>
              </w:numPr>
              <w:autoSpaceDE w:val="0"/>
              <w:autoSpaceDN w:val="0"/>
              <w:spacing w:after="160" w:line="276" w:lineRule="auto"/>
              <w:jc w:val="both"/>
              <w:rPr>
                <w:rFonts w:ascii="Verdana" w:hAnsi="Verdana" w:cs="Arial"/>
              </w:rPr>
            </w:pPr>
            <w:r w:rsidRPr="007A4833">
              <w:rPr>
                <w:rFonts w:ascii="Verdana" w:hAnsi="Verdana" w:cs="Arial"/>
              </w:rPr>
              <w:t xml:space="preserve">Ley 80 de 1993, artículos </w:t>
            </w:r>
            <w:r>
              <w:rPr>
                <w:rFonts w:ascii="Verdana" w:hAnsi="Verdana" w:cs="Arial"/>
              </w:rPr>
              <w:t xml:space="preserve">3, </w:t>
            </w:r>
            <w:r w:rsidRPr="007A4833">
              <w:rPr>
                <w:rFonts w:ascii="Verdana" w:hAnsi="Verdana" w:cs="Arial"/>
              </w:rPr>
              <w:t xml:space="preserve">13, 32, 40 y 41. </w:t>
            </w:r>
          </w:p>
          <w:p w14:paraId="66FAC4FA" w14:textId="77777777" w:rsidR="00D3191B" w:rsidRPr="007A4833" w:rsidRDefault="00D3191B" w:rsidP="00D3191B">
            <w:pPr>
              <w:pStyle w:val="Prrafodelista"/>
              <w:widowControl w:val="0"/>
              <w:numPr>
                <w:ilvl w:val="0"/>
                <w:numId w:val="1"/>
              </w:numPr>
              <w:autoSpaceDE w:val="0"/>
              <w:autoSpaceDN w:val="0"/>
              <w:spacing w:after="120" w:line="276" w:lineRule="auto"/>
              <w:jc w:val="both"/>
              <w:rPr>
                <w:rFonts w:ascii="Verdana" w:hAnsi="Verdana" w:cs="Arial"/>
              </w:rPr>
            </w:pPr>
            <w:r w:rsidRPr="007A4833">
              <w:rPr>
                <w:rFonts w:ascii="Verdana" w:hAnsi="Verdana" w:cs="Arial"/>
              </w:rPr>
              <w:t>Código Civil, artículos 666 y 1959 a 1966.</w:t>
            </w:r>
          </w:p>
          <w:p w14:paraId="3D63A22E" w14:textId="77777777" w:rsidR="00D3191B" w:rsidRPr="000300FD" w:rsidRDefault="00D3191B" w:rsidP="00D3191B">
            <w:pPr>
              <w:pStyle w:val="Prrafodelista"/>
              <w:numPr>
                <w:ilvl w:val="0"/>
                <w:numId w:val="1"/>
              </w:numPr>
              <w:jc w:val="both"/>
              <w:rPr>
                <w:rFonts w:ascii="Verdana" w:eastAsia="Calibri" w:hAnsi="Verdana" w:cs="Arial"/>
                <w:color w:val="000000"/>
                <w:lang w:eastAsia="es-ES" w:bidi="es-ES"/>
              </w:rPr>
            </w:pPr>
            <w:r w:rsidRPr="007A4833">
              <w:rPr>
                <w:rFonts w:ascii="Verdana" w:hAnsi="Verdana" w:cs="Arial"/>
              </w:rPr>
              <w:t>Código de Comercio, artículo 887 y ss.</w:t>
            </w:r>
          </w:p>
          <w:p w14:paraId="3251A61D" w14:textId="77777777" w:rsidR="00D3191B" w:rsidRPr="00274EBE"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eastAsia="es-ES" w:bidi="es-ES"/>
              </w:rPr>
              <w:t>Consejo de Estado, Sección Tercera, Sentencia del 16 de marzo de 2015, Rad. 1999-03028, M.P. Jaime Orlando Santofimio Gamboa</w:t>
            </w:r>
            <w:r>
              <w:rPr>
                <w:rFonts w:ascii="Verdana" w:eastAsia="Calibri" w:hAnsi="Verdana" w:cs="Arial"/>
                <w:color w:val="000000"/>
                <w:lang w:eastAsia="es-ES" w:bidi="es-ES"/>
              </w:rPr>
              <w:t>.</w:t>
            </w:r>
          </w:p>
          <w:p w14:paraId="015E737E" w14:textId="77777777" w:rsidR="00D3191B" w:rsidRPr="000300FD"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eastAsia="es-ES" w:bidi="es-ES"/>
              </w:rPr>
              <w:t xml:space="preserve">MESSINEO, Francesco. Doctrina general del contrato. Santiago: </w:t>
            </w:r>
            <w:proofErr w:type="spellStart"/>
            <w:r w:rsidRPr="000300FD">
              <w:rPr>
                <w:rFonts w:ascii="Verdana" w:eastAsia="Calibri" w:hAnsi="Verdana" w:cs="Arial"/>
                <w:color w:val="000000"/>
                <w:lang w:eastAsia="es-ES" w:bidi="es-ES"/>
              </w:rPr>
              <w:t>Olejnik</w:t>
            </w:r>
            <w:proofErr w:type="spellEnd"/>
            <w:r w:rsidRPr="000300FD">
              <w:rPr>
                <w:rFonts w:ascii="Verdana" w:eastAsia="Calibri" w:hAnsi="Verdana" w:cs="Arial"/>
                <w:color w:val="000000"/>
                <w:lang w:eastAsia="es-ES" w:bidi="es-ES"/>
              </w:rPr>
              <w:t>, 2018. p. 633. Énfasis dentro del texto).</w:t>
            </w:r>
          </w:p>
          <w:p w14:paraId="1F814ACB" w14:textId="77777777" w:rsidR="00D3191B" w:rsidRPr="000300FD"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eastAsia="es-ES" w:bidi="es-ES"/>
              </w:rPr>
              <w:t xml:space="preserve">ROPPO, </w:t>
            </w:r>
            <w:proofErr w:type="spellStart"/>
            <w:r w:rsidRPr="000300FD">
              <w:rPr>
                <w:rFonts w:ascii="Verdana" w:eastAsia="Calibri" w:hAnsi="Verdana" w:cs="Arial"/>
                <w:color w:val="000000"/>
                <w:lang w:eastAsia="es-ES" w:bidi="es-ES"/>
              </w:rPr>
              <w:t>Vincenzo</w:t>
            </w:r>
            <w:proofErr w:type="spellEnd"/>
            <w:r w:rsidRPr="000300FD">
              <w:rPr>
                <w:rFonts w:ascii="Verdana" w:eastAsia="Calibri" w:hAnsi="Verdana" w:cs="Arial"/>
                <w:color w:val="000000"/>
                <w:lang w:eastAsia="es-ES" w:bidi="es-ES"/>
              </w:rPr>
              <w:t>. El contrato. Lima: Gaceta Jurídica, 2009. p. 547.</w:t>
            </w:r>
          </w:p>
          <w:p w14:paraId="3E1F130E" w14:textId="77777777" w:rsidR="00D3191B" w:rsidRPr="000300FD"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eastAsia="es-ES" w:bidi="es-ES"/>
              </w:rPr>
              <w:t>HINESTROSA, Fernando. Tratado de las obligaciones: concepto, estructura y vicisitudes. Tercera Edición. Bogotá: Universidad Externado de Colombia, 2007. Libro en formato EPUB.</w:t>
            </w:r>
          </w:p>
          <w:p w14:paraId="492AE61A" w14:textId="77777777" w:rsidR="00D3191B" w:rsidRPr="000300FD"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val="pt-BR" w:eastAsia="es-ES" w:bidi="es-ES"/>
              </w:rPr>
              <w:t xml:space="preserve">ESCOLA, Jorge. Tratado integral de los contratos administrativos. </w:t>
            </w:r>
            <w:r w:rsidRPr="000300FD">
              <w:rPr>
                <w:rFonts w:ascii="Verdana" w:eastAsia="Calibri" w:hAnsi="Verdana" w:cs="Arial"/>
                <w:color w:val="000000"/>
                <w:lang w:eastAsia="es-ES" w:bidi="es-ES"/>
              </w:rPr>
              <w:t xml:space="preserve">Volumen I. Buenos Aires: </w:t>
            </w:r>
            <w:proofErr w:type="spellStart"/>
            <w:r w:rsidRPr="000300FD">
              <w:rPr>
                <w:rFonts w:ascii="Verdana" w:eastAsia="Calibri" w:hAnsi="Verdana" w:cs="Arial"/>
                <w:color w:val="000000"/>
                <w:lang w:eastAsia="es-ES" w:bidi="es-ES"/>
              </w:rPr>
              <w:t>Depalma</w:t>
            </w:r>
            <w:proofErr w:type="spellEnd"/>
            <w:r w:rsidRPr="000300FD">
              <w:rPr>
                <w:rFonts w:ascii="Verdana" w:eastAsia="Calibri" w:hAnsi="Verdana" w:cs="Arial"/>
                <w:color w:val="000000"/>
                <w:lang w:eastAsia="es-ES" w:bidi="es-ES"/>
              </w:rPr>
              <w:t>, 2012. p. 424</w:t>
            </w:r>
          </w:p>
          <w:p w14:paraId="0DCA45B8" w14:textId="77777777" w:rsidR="00D3191B" w:rsidRPr="000300FD"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val="pt-BR" w:eastAsia="es-ES" w:bidi="es-ES"/>
              </w:rPr>
              <w:t xml:space="preserve">MARIENHOFF, Miguel S. Tratado de </w:t>
            </w:r>
            <w:proofErr w:type="spellStart"/>
            <w:r w:rsidRPr="000300FD">
              <w:rPr>
                <w:rFonts w:ascii="Verdana" w:eastAsia="Calibri" w:hAnsi="Verdana" w:cs="Arial"/>
                <w:color w:val="000000"/>
                <w:lang w:val="pt-BR" w:eastAsia="es-ES" w:bidi="es-ES"/>
              </w:rPr>
              <w:t>derecho</w:t>
            </w:r>
            <w:proofErr w:type="spellEnd"/>
            <w:r w:rsidRPr="000300FD">
              <w:rPr>
                <w:rFonts w:ascii="Verdana" w:eastAsia="Calibri" w:hAnsi="Verdana" w:cs="Arial"/>
                <w:color w:val="000000"/>
                <w:lang w:val="pt-BR" w:eastAsia="es-ES" w:bidi="es-ES"/>
              </w:rPr>
              <w:t xml:space="preserve"> administrativo. </w:t>
            </w:r>
            <w:r w:rsidRPr="000300FD">
              <w:rPr>
                <w:rFonts w:ascii="Verdana" w:eastAsia="Calibri" w:hAnsi="Verdana" w:cs="Arial"/>
                <w:color w:val="000000"/>
                <w:lang w:eastAsia="es-ES" w:bidi="es-ES"/>
              </w:rPr>
              <w:t>Tomo IIIA. Cuarta Edición. Buenos Aires: Abeledo Perrot, 1998. p. 318. Énfasis dentro del texto.</w:t>
            </w:r>
          </w:p>
          <w:p w14:paraId="23E16841" w14:textId="77777777" w:rsidR="00D3191B" w:rsidRPr="0031575C" w:rsidRDefault="00D3191B" w:rsidP="00D3191B">
            <w:pPr>
              <w:pStyle w:val="Prrafodelista"/>
              <w:numPr>
                <w:ilvl w:val="0"/>
                <w:numId w:val="1"/>
              </w:numPr>
              <w:jc w:val="both"/>
              <w:rPr>
                <w:rFonts w:ascii="Verdana" w:eastAsia="Calibri" w:hAnsi="Verdana" w:cs="Arial"/>
                <w:color w:val="000000"/>
                <w:lang w:eastAsia="es-ES" w:bidi="es-ES"/>
              </w:rPr>
            </w:pPr>
            <w:r w:rsidRPr="000300FD">
              <w:rPr>
                <w:rFonts w:ascii="Verdana" w:eastAsia="Calibri" w:hAnsi="Verdana" w:cs="Arial"/>
                <w:color w:val="000000"/>
                <w:lang w:eastAsia="es-ES" w:bidi="es-ES"/>
              </w:rPr>
              <w:t>RAMÍREZ GRISALES, Richard. La cesión. Serie: Las cláusulas del contrato estatal. Medellín: Centro de Estudios de Derecho Administrativo –CEDA– y Librería Jurídica Sánchez R., 2014. pp. 71-72.</w:t>
            </w:r>
          </w:p>
        </w:tc>
      </w:tr>
    </w:tbl>
    <w:p w14:paraId="7991218B" w14:textId="77777777" w:rsidR="00D3191B" w:rsidRPr="005B7C42" w:rsidRDefault="00D3191B" w:rsidP="00D3191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FC0CE07" w14:textId="77777777" w:rsidR="00D3191B" w:rsidRPr="005B7C42" w:rsidRDefault="00D3191B" w:rsidP="00D3191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32ACB830" w14:textId="77777777" w:rsidR="00D3191B" w:rsidRPr="005B7C42" w:rsidRDefault="00D3191B" w:rsidP="00D3191B">
      <w:pPr>
        <w:spacing w:after="0" w:line="276" w:lineRule="auto"/>
        <w:ind w:firstLine="709"/>
        <w:jc w:val="both"/>
        <w:rPr>
          <w:rFonts w:ascii="Verdana" w:eastAsia="Times New Roman" w:hAnsi="Verdana" w:cs="Arial"/>
          <w:szCs w:val="24"/>
          <w:lang w:eastAsia="es-ES_tradnl"/>
        </w:rPr>
      </w:pPr>
    </w:p>
    <w:p w14:paraId="2722D484" w14:textId="77777777" w:rsidR="00D3191B" w:rsidRPr="005B7C42" w:rsidRDefault="00D3191B" w:rsidP="00D3191B">
      <w:pPr>
        <w:widowControl w:val="0"/>
        <w:autoSpaceDE w:val="0"/>
        <w:autoSpaceDN w:val="0"/>
        <w:spacing w:after="0" w:line="276" w:lineRule="auto"/>
        <w:jc w:val="both"/>
        <w:rPr>
          <w:rStyle w:val="normaltextrun"/>
          <w:rFonts w:ascii="Verdana" w:hAnsi="Verdana"/>
          <w:color w:val="000000"/>
        </w:rPr>
      </w:pPr>
      <w:r w:rsidRPr="00323016">
        <w:rPr>
          <w:rFonts w:ascii="Verdana" w:eastAsia="Calibri" w:hAnsi="Verdana" w:cs="Arial"/>
          <w:lang w:val="es-ES" w:eastAsia="es-ES"/>
        </w:rPr>
        <w:lastRenderedPageBreak/>
        <w:t>La Agencia Nacional de Contratación Pública – Colombia Compra Eficiente, en los Conceptos 4201913000007643 y 4201913000007669 del 26 de diciembre de 2019, así como en los Conceptos C-551 del 24 de septiembre de 2020, C-572 del 27 de agosto de 2020, C-582 del 28 de agosto de 2020, C-385 del 20 de agosto de 2021, C-069 del 24 de abril de 2023</w:t>
      </w:r>
      <w:r>
        <w:rPr>
          <w:rFonts w:ascii="Verdana" w:eastAsia="Calibri" w:hAnsi="Verdana" w:cs="Arial"/>
          <w:lang w:val="es-ES" w:eastAsia="es-ES"/>
        </w:rPr>
        <w:t xml:space="preserve"> y C-868 del 20 de diciembre de 2024 </w:t>
      </w:r>
      <w:r w:rsidRPr="00323016">
        <w:rPr>
          <w:rFonts w:ascii="Verdana" w:eastAsia="Calibri" w:hAnsi="Verdana" w:cs="Arial"/>
          <w:lang w:val="es-ES" w:eastAsia="es-ES"/>
        </w:rPr>
        <w:t xml:space="preserve">abordó el régimen jurídico de la </w:t>
      </w:r>
      <w:r>
        <w:rPr>
          <w:rFonts w:ascii="Verdana" w:eastAsia="Calibri" w:hAnsi="Verdana" w:cs="Arial"/>
          <w:lang w:val="es-ES" w:eastAsia="es-ES"/>
        </w:rPr>
        <w:t>c</w:t>
      </w:r>
      <w:r w:rsidRPr="00323016">
        <w:rPr>
          <w:rFonts w:ascii="Verdana" w:eastAsia="Calibri" w:hAnsi="Verdana" w:cs="Arial"/>
          <w:lang w:val="es-ES" w:eastAsia="es-ES"/>
        </w:rPr>
        <w:t>esión del contrato estatal</w:t>
      </w:r>
      <w:r>
        <w:rPr>
          <w:rFonts w:ascii="Verdana" w:eastAsia="Calibri" w:hAnsi="Verdana" w:cs="Arial"/>
          <w:lang w:val="es-ES" w:eastAsia="es-ES"/>
        </w:rPr>
        <w:t>.</w:t>
      </w:r>
      <w:r>
        <w:rPr>
          <w:rFonts w:ascii="Verdana" w:eastAsia="Calibri" w:hAnsi="Verdana" w:cs="Arial"/>
          <w:lang w:val="es-ES" w:eastAsia="es-ES_tradnl"/>
        </w:rPr>
        <w:t xml:space="preserve"> </w:t>
      </w:r>
      <w:r>
        <w:rPr>
          <w:rFonts w:ascii="Verdana" w:eastAsia="Calibri" w:hAnsi="Verdana" w:cs="Arial"/>
          <w:shd w:val="clear" w:color="auto" w:fill="FFFFFF"/>
        </w:rPr>
        <w:t>Estos y otros conceptos los podrá consultar en el siguiente enlace:</w:t>
      </w:r>
    </w:p>
    <w:p w14:paraId="7E3FA5F0" w14:textId="77777777" w:rsidR="00D3191B" w:rsidRPr="005B7C42" w:rsidRDefault="00D3191B" w:rsidP="00D3191B">
      <w:pPr>
        <w:widowControl w:val="0"/>
        <w:autoSpaceDE w:val="0"/>
        <w:autoSpaceDN w:val="0"/>
        <w:spacing w:after="0" w:line="276" w:lineRule="auto"/>
        <w:jc w:val="both"/>
        <w:rPr>
          <w:rStyle w:val="normaltextrun"/>
          <w:rFonts w:ascii="Verdana" w:hAnsi="Verdana"/>
          <w:color w:val="000000"/>
        </w:rPr>
      </w:pPr>
    </w:p>
    <w:p w14:paraId="6ACDEE28" w14:textId="77777777" w:rsidR="00D3191B" w:rsidRPr="005B7C42" w:rsidRDefault="00D3191B" w:rsidP="00D3191B">
      <w:pPr>
        <w:widowControl w:val="0"/>
        <w:autoSpaceDE w:val="0"/>
        <w:autoSpaceDN w:val="0"/>
        <w:spacing w:after="0" w:line="276" w:lineRule="auto"/>
        <w:jc w:val="both"/>
        <w:rPr>
          <w:rFonts w:ascii="Verdana" w:eastAsia="Calibri" w:hAnsi="Verdana" w:cs="Arial"/>
          <w:lang w:eastAsia="es-ES_tradnl"/>
        </w:rPr>
      </w:pPr>
      <w:hyperlink r:id="rId9"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79366C0A" w14:textId="77777777" w:rsidR="00D3191B" w:rsidRPr="005B7C42" w:rsidRDefault="00D3191B" w:rsidP="00D3191B">
      <w:pPr>
        <w:widowControl w:val="0"/>
        <w:autoSpaceDE w:val="0"/>
        <w:autoSpaceDN w:val="0"/>
        <w:spacing w:after="0" w:line="276" w:lineRule="auto"/>
        <w:jc w:val="both"/>
        <w:rPr>
          <w:rFonts w:ascii="Verdana" w:eastAsia="Calibri" w:hAnsi="Verdana" w:cs="Arial"/>
          <w:lang w:eastAsia="es-ES_tradnl"/>
        </w:rPr>
      </w:pPr>
    </w:p>
    <w:p w14:paraId="37DBB10C" w14:textId="77777777" w:rsidR="00D3191B" w:rsidRDefault="00D3191B" w:rsidP="00D3191B">
      <w:pPr>
        <w:spacing w:after="0" w:line="240" w:lineRule="auto"/>
        <w:jc w:val="both"/>
        <w:rPr>
          <w:rFonts w:ascii="Verdana" w:eastAsia="Calibri" w:hAnsi="Verdana" w:cs="Arial"/>
          <w:lang w:val="es-ES" w:eastAsia="es-ES"/>
        </w:rPr>
      </w:pPr>
      <w:r w:rsidRPr="115AA27C">
        <w:rPr>
          <w:rFonts w:ascii="Verdana" w:eastAsia="Calibri" w:hAnsi="Verdana" w:cs="Arial"/>
          <w:lang w:val="es-ES" w:eastAsia="es-ES"/>
        </w:rPr>
        <w:t xml:space="preserve">Le informamos que ya se encuentra disponible la </w:t>
      </w:r>
      <w:r w:rsidRPr="115AA27C">
        <w:rPr>
          <w:rFonts w:ascii="Verdana" w:eastAsia="Calibri" w:hAnsi="Verdana" w:cs="Arial"/>
          <w:b/>
          <w:lang w:val="es-ES" w:eastAsia="es-ES"/>
        </w:rPr>
        <w:t>Guía para el manejo de ofertas artificialmente bajas en Procesos de Contratación</w:t>
      </w:r>
      <w:r w:rsidRPr="115AA27C">
        <w:rPr>
          <w:rFonts w:ascii="Verdana" w:eastAsia="Calibri" w:hAnsi="Verdana" w:cs="Arial"/>
          <w:lang w:val="es-ES" w:eastAsia="es-ES"/>
        </w:rPr>
        <w:t>. En este documento podrás consultar una serie de pautas para el manejo ofertas artificialmente bajas, en línea con las mejores prácticas internacionales en la materia. Puede consultar la versión actualizada en el siguiente enlace:</w:t>
      </w:r>
    </w:p>
    <w:p w14:paraId="0223E51E" w14:textId="77777777" w:rsidR="00D3191B" w:rsidRDefault="00D3191B" w:rsidP="00D3191B">
      <w:pPr>
        <w:spacing w:after="0" w:line="240" w:lineRule="auto"/>
        <w:jc w:val="both"/>
        <w:rPr>
          <w:rFonts w:ascii="Verdana" w:eastAsia="Calibri" w:hAnsi="Verdana" w:cs="Arial"/>
          <w:lang w:val="es-ES_tradnl" w:eastAsia="es-ES_tradnl"/>
        </w:rPr>
      </w:pPr>
    </w:p>
    <w:p w14:paraId="36195583" w14:textId="77777777" w:rsidR="00D3191B" w:rsidRDefault="00D3191B" w:rsidP="00D3191B">
      <w:pPr>
        <w:spacing w:after="0" w:line="240" w:lineRule="auto"/>
        <w:jc w:val="both"/>
        <w:rPr>
          <w:rFonts w:ascii="Verdana" w:eastAsia="Calibri" w:hAnsi="Verdana" w:cs="Arial"/>
          <w:u w:val="single"/>
          <w:lang w:eastAsia="es-ES_tradnl"/>
        </w:rPr>
      </w:pPr>
      <w:hyperlink r:id="rId10" w:history="1">
        <w:r w:rsidRPr="00B84822">
          <w:rPr>
            <w:rStyle w:val="Hipervnculo"/>
            <w:rFonts w:ascii="Verdana" w:eastAsia="Calibri" w:hAnsi="Verdana" w:cs="Arial"/>
            <w:lang w:eastAsia="es-ES_tradnl"/>
          </w:rPr>
          <w:t>https://www.colombiacompra.gov.co/manuales-guias-y-pliegos-tipo/manuales-y-guias/guia-para-el-manejo-de-ofertas-artificialmente-baja-0</w:t>
        </w:r>
      </w:hyperlink>
      <w:r w:rsidRPr="00B84822">
        <w:rPr>
          <w:rFonts w:ascii="Verdana" w:eastAsia="Calibri" w:hAnsi="Verdana" w:cs="Arial"/>
          <w:u w:val="single"/>
          <w:lang w:eastAsia="es-ES_tradnl"/>
        </w:rPr>
        <w:t> </w:t>
      </w:r>
    </w:p>
    <w:p w14:paraId="04F2637A" w14:textId="77777777" w:rsidR="00D3191B" w:rsidRPr="00B84822" w:rsidRDefault="00D3191B" w:rsidP="00D3191B">
      <w:pPr>
        <w:spacing w:after="0" w:line="240" w:lineRule="auto"/>
        <w:jc w:val="both"/>
        <w:rPr>
          <w:rFonts w:ascii="Verdana" w:eastAsia="Calibri" w:hAnsi="Verdana" w:cs="Arial"/>
          <w:lang w:eastAsia="es-ES_tradnl"/>
        </w:rPr>
      </w:pPr>
    </w:p>
    <w:p w14:paraId="61DF047A" w14:textId="77777777" w:rsidR="00D3191B" w:rsidRDefault="00D3191B" w:rsidP="00D3191B">
      <w:pPr>
        <w:spacing w:after="0" w:line="240" w:lineRule="auto"/>
        <w:jc w:val="both"/>
        <w:rPr>
          <w:rFonts w:ascii="Verdana" w:eastAsia="Calibri" w:hAnsi="Verdana" w:cs="Arial"/>
          <w:lang w:eastAsia="es-ES_tradnl"/>
        </w:rPr>
      </w:pPr>
      <w:r w:rsidRPr="00B84822">
        <w:rPr>
          <w:rFonts w:ascii="Verdana" w:eastAsia="Calibri" w:hAnsi="Verdana" w:cs="Arial"/>
          <w:lang w:eastAsia="es-ES_tradnl"/>
        </w:rPr>
        <w:t xml:space="preserve">De otra parte, te contamos que ya publicamos la </w:t>
      </w:r>
      <w:r w:rsidRPr="00B84822">
        <w:rPr>
          <w:rFonts w:ascii="Verdana" w:eastAsia="Calibri" w:hAnsi="Verdana" w:cs="Arial"/>
          <w:b/>
          <w:bCs/>
          <w:lang w:eastAsia="es-ES_tradnl"/>
        </w:rPr>
        <w:t>Guía para incentivar la participación de Mujeres en el Sistema de Compras y Contratación Pública</w:t>
      </w:r>
      <w:r w:rsidRPr="00B84822">
        <w:rPr>
          <w:rFonts w:ascii="Verdana" w:eastAsia="Calibri" w:hAnsi="Verdana" w:cs="Arial"/>
          <w:lang w:eastAsia="es-ES_tradnl"/>
        </w:rPr>
        <w:t xml:space="preserve">. Esta guía tiene como finalidad ofrecer información de valor para que las Entidades Estatales fomenten de manera efectiva la participación de las mujeres en el mercado de compras públicas. Puedes consultar la guía en el siguiente enlace: </w:t>
      </w:r>
    </w:p>
    <w:p w14:paraId="43BBAF43" w14:textId="77777777" w:rsidR="00D3191B" w:rsidRDefault="00D3191B" w:rsidP="00D3191B">
      <w:pPr>
        <w:spacing w:after="0" w:line="240" w:lineRule="auto"/>
        <w:jc w:val="both"/>
        <w:rPr>
          <w:rFonts w:ascii="Verdana" w:eastAsia="Calibri" w:hAnsi="Verdana" w:cs="Arial"/>
          <w:lang w:eastAsia="es-ES_tradnl"/>
        </w:rPr>
      </w:pPr>
    </w:p>
    <w:p w14:paraId="123F693F" w14:textId="77777777" w:rsidR="00D3191B" w:rsidRDefault="00D3191B" w:rsidP="00D3191B">
      <w:pPr>
        <w:spacing w:after="0" w:line="240" w:lineRule="auto"/>
        <w:jc w:val="both"/>
        <w:rPr>
          <w:rFonts w:ascii="Verdana" w:eastAsia="Calibri" w:hAnsi="Verdana" w:cs="Arial"/>
          <w:lang w:eastAsia="es-ES_tradnl"/>
        </w:rPr>
      </w:pPr>
      <w:hyperlink r:id="rId11" w:history="1">
        <w:r w:rsidRPr="00B84822">
          <w:rPr>
            <w:rStyle w:val="Hipervnculo"/>
            <w:rFonts w:ascii="Verdana" w:eastAsia="Calibri" w:hAnsi="Verdana" w:cs="Arial"/>
            <w:lang w:eastAsia="es-ES_tradnl"/>
          </w:rPr>
          <w:t>https://www.colombiacompra.gov.co/manuales-guias-y-pliegos-tipo/manuales-y-guias/guia-para-incentivar-la-participacion-de-las-mujeres</w:t>
        </w:r>
      </w:hyperlink>
    </w:p>
    <w:p w14:paraId="25B54970" w14:textId="77777777" w:rsidR="00D3191B" w:rsidRPr="00B84822" w:rsidRDefault="00D3191B" w:rsidP="00D3191B">
      <w:pPr>
        <w:spacing w:after="0" w:line="240" w:lineRule="auto"/>
        <w:jc w:val="both"/>
        <w:rPr>
          <w:rFonts w:ascii="Verdana" w:eastAsia="Calibri" w:hAnsi="Verdana" w:cs="Arial"/>
          <w:lang w:eastAsia="es-ES_tradnl"/>
        </w:rPr>
      </w:pPr>
    </w:p>
    <w:p w14:paraId="36CF2654" w14:textId="77777777" w:rsidR="00D3191B" w:rsidRDefault="00D3191B" w:rsidP="00D3191B">
      <w:pPr>
        <w:spacing w:after="0" w:line="240" w:lineRule="auto"/>
        <w:jc w:val="both"/>
        <w:rPr>
          <w:rFonts w:ascii="Verdana" w:eastAsia="Calibri" w:hAnsi="Verdana" w:cs="Arial"/>
          <w:lang w:eastAsia="es-ES_tradnl"/>
        </w:rPr>
      </w:pPr>
      <w:r w:rsidRPr="00B84822">
        <w:rPr>
          <w:rFonts w:ascii="Verdana" w:eastAsia="Calibri" w:hAnsi="Verdana" w:cs="Arial"/>
          <w:lang w:eastAsia="es-ES_tradnl"/>
        </w:rPr>
        <w:t xml:space="preserve">También te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p>
    <w:p w14:paraId="43FE39C9" w14:textId="77777777" w:rsidR="00D3191B" w:rsidRDefault="00D3191B" w:rsidP="00D3191B">
      <w:pPr>
        <w:spacing w:after="0" w:line="240" w:lineRule="auto"/>
        <w:jc w:val="both"/>
        <w:rPr>
          <w:rFonts w:ascii="Verdana" w:eastAsia="Calibri" w:hAnsi="Verdana" w:cs="Arial"/>
          <w:lang w:eastAsia="es-ES_tradnl"/>
        </w:rPr>
      </w:pPr>
    </w:p>
    <w:p w14:paraId="0AFBA29F" w14:textId="77777777" w:rsidR="00D3191B" w:rsidRPr="00B84822" w:rsidRDefault="00D3191B" w:rsidP="00D3191B">
      <w:pPr>
        <w:spacing w:after="0" w:line="240" w:lineRule="auto"/>
        <w:jc w:val="both"/>
        <w:rPr>
          <w:rFonts w:ascii="Verdana" w:eastAsia="Calibri" w:hAnsi="Verdana" w:cs="Arial"/>
          <w:lang w:eastAsia="es-ES_tradnl"/>
        </w:rPr>
      </w:pPr>
      <w:hyperlink r:id="rId12" w:history="1">
        <w:r w:rsidRPr="00B84822">
          <w:rPr>
            <w:rStyle w:val="Hipervnculo"/>
            <w:rFonts w:ascii="Verdana" w:eastAsia="Calibri" w:hAnsi="Verdana" w:cs="Arial"/>
            <w:lang w:eastAsia="es-ES_tradnl"/>
          </w:rPr>
          <w:t>https://www.colombiacompra.gov.co/sites/cce_public/files/files_2020/boletin_de_realtoria_viii.pdf</w:t>
        </w:r>
      </w:hyperlink>
    </w:p>
    <w:p w14:paraId="729A75FD" w14:textId="77777777" w:rsidR="00D3191B" w:rsidRPr="005B7C42" w:rsidRDefault="00D3191B" w:rsidP="00D3191B">
      <w:pPr>
        <w:spacing w:after="0" w:line="240" w:lineRule="auto"/>
        <w:jc w:val="both"/>
        <w:rPr>
          <w:rFonts w:ascii="Verdana" w:hAnsi="Verdana"/>
        </w:rPr>
      </w:pPr>
    </w:p>
    <w:p w14:paraId="2AAD6F03" w14:textId="77777777" w:rsidR="00D3191B" w:rsidRPr="005B7C42" w:rsidRDefault="00D3191B" w:rsidP="00D3191B">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5A88828E" w14:textId="77777777" w:rsidR="00D3191B" w:rsidRPr="005B7C42" w:rsidRDefault="00D3191B" w:rsidP="00D3191B">
      <w:pPr>
        <w:spacing w:after="0" w:line="240" w:lineRule="auto"/>
        <w:jc w:val="both"/>
        <w:rPr>
          <w:rFonts w:ascii="Verdana" w:hAnsi="Verdana"/>
        </w:rPr>
      </w:pPr>
    </w:p>
    <w:p w14:paraId="420571D4" w14:textId="77777777" w:rsidR="00D3191B" w:rsidRPr="005B7C42" w:rsidRDefault="00D3191B" w:rsidP="00D3191B">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65ECAF99" w14:textId="77777777" w:rsidR="00D3191B" w:rsidRPr="005B7C42" w:rsidRDefault="00D3191B" w:rsidP="00D3191B">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44197BC4" w14:textId="77777777" w:rsidR="00D3191B" w:rsidRPr="005B7C42" w:rsidRDefault="00D3191B" w:rsidP="00D3191B">
      <w:pPr>
        <w:spacing w:after="0" w:line="240" w:lineRule="auto"/>
        <w:jc w:val="both"/>
        <w:rPr>
          <w:rFonts w:ascii="Verdana" w:hAnsi="Verdana"/>
        </w:rPr>
      </w:pPr>
      <w:r w:rsidRPr="005B7C42">
        <w:rPr>
          <w:rFonts w:ascii="Verdana" w:hAnsi="Verdana"/>
        </w:rPr>
        <w:lastRenderedPageBreak/>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20ADD95C" w14:textId="77777777" w:rsidR="00D3191B" w:rsidRPr="005B7C42" w:rsidRDefault="00D3191B" w:rsidP="00D3191B">
      <w:pPr>
        <w:widowControl w:val="0"/>
        <w:autoSpaceDE w:val="0"/>
        <w:autoSpaceDN w:val="0"/>
        <w:spacing w:after="0" w:line="276" w:lineRule="auto"/>
        <w:jc w:val="both"/>
        <w:rPr>
          <w:rFonts w:ascii="Verdana" w:hAnsi="Verdana"/>
        </w:rPr>
      </w:pPr>
    </w:p>
    <w:p w14:paraId="48785904" w14:textId="77777777" w:rsidR="00D3191B" w:rsidRPr="005B7C42" w:rsidRDefault="00D3191B" w:rsidP="00D3191B">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BFBC9F1" w14:textId="77777777" w:rsidR="00D3191B" w:rsidRPr="005B7C42" w:rsidRDefault="00D3191B" w:rsidP="00D3191B">
      <w:pPr>
        <w:spacing w:after="0" w:line="276" w:lineRule="auto"/>
        <w:ind w:firstLine="709"/>
        <w:jc w:val="both"/>
        <w:rPr>
          <w:rFonts w:ascii="Verdana" w:eastAsia="Times New Roman" w:hAnsi="Verdana" w:cs="Arial"/>
          <w:szCs w:val="24"/>
          <w:lang w:eastAsia="es-ES_tradnl"/>
        </w:rPr>
      </w:pPr>
    </w:p>
    <w:p w14:paraId="157EF413" w14:textId="77777777" w:rsidR="00D3191B" w:rsidRPr="005B7C42" w:rsidRDefault="00D3191B" w:rsidP="00D3191B">
      <w:pPr>
        <w:spacing w:after="0" w:line="276" w:lineRule="auto"/>
        <w:jc w:val="both"/>
        <w:rPr>
          <w:rFonts w:ascii="Verdana" w:eastAsia="Times New Roman" w:hAnsi="Verdana" w:cs="Arial"/>
          <w:lang w:eastAsia="es-CO"/>
        </w:rPr>
      </w:pPr>
      <w:bookmarkStart w:id="3" w:name="_Hlk117695077"/>
      <w:r w:rsidRPr="005B7C42">
        <w:rPr>
          <w:rFonts w:ascii="Verdana" w:eastAsia="Times New Roman" w:hAnsi="Verdana" w:cs="Arial"/>
          <w:lang w:eastAsia="es-CO"/>
        </w:rPr>
        <w:t>Atentamente,</w:t>
      </w:r>
    </w:p>
    <w:bookmarkEnd w:id="3"/>
    <w:p w14:paraId="4266485B" w14:textId="401AE600" w:rsidR="00D3191B" w:rsidRPr="005B7C42" w:rsidRDefault="001E1E1D" w:rsidP="00D3191B">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62F668F6" wp14:editId="222592D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D3191B" w:rsidRPr="005B7C42" w14:paraId="10E60AF9" w14:textId="77777777" w:rsidTr="00AF17C7">
        <w:trPr>
          <w:trHeight w:val="286"/>
        </w:trPr>
        <w:tc>
          <w:tcPr>
            <w:tcW w:w="893" w:type="dxa"/>
            <w:vAlign w:val="center"/>
            <w:hideMark/>
          </w:tcPr>
          <w:p w14:paraId="68F2A186" w14:textId="77777777" w:rsidR="00D3191B" w:rsidRPr="005B7C42" w:rsidRDefault="00D3191B" w:rsidP="00AF17C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3F2B830C" w14:textId="77777777" w:rsidR="00D3191B" w:rsidRPr="005B7C42" w:rsidRDefault="00D3191B" w:rsidP="00AF17C7">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034F3662" w14:textId="77777777" w:rsidR="00D3191B" w:rsidRPr="005B7C42" w:rsidRDefault="00D3191B" w:rsidP="00AF17C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D3191B" w:rsidRPr="005B7C42" w14:paraId="7F27265F" w14:textId="77777777" w:rsidTr="00AF17C7">
        <w:trPr>
          <w:trHeight w:val="881"/>
        </w:trPr>
        <w:tc>
          <w:tcPr>
            <w:tcW w:w="893" w:type="dxa"/>
            <w:vAlign w:val="center"/>
            <w:hideMark/>
          </w:tcPr>
          <w:p w14:paraId="643F9CDE" w14:textId="77777777" w:rsidR="00D3191B" w:rsidRPr="005B7C42" w:rsidRDefault="00D3191B" w:rsidP="00AF17C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7771DA25" w14:textId="77777777" w:rsidR="00D3191B" w:rsidRPr="005B7C42" w:rsidRDefault="00D3191B" w:rsidP="00AF17C7">
            <w:pPr>
              <w:rPr>
                <w:rFonts w:ascii="Verdana" w:eastAsia="Times New Roman" w:hAnsi="Verdana" w:cs="Arial"/>
                <w:sz w:val="16"/>
                <w:szCs w:val="16"/>
                <w:lang w:eastAsia="es-ES"/>
              </w:rPr>
            </w:pPr>
            <w:r>
              <w:rPr>
                <w:rFonts w:ascii="Verdana" w:eastAsia="Times New Roman" w:hAnsi="Verdana" w:cs="Arial"/>
                <w:sz w:val="16"/>
                <w:szCs w:val="16"/>
                <w:lang w:eastAsia="es-ES"/>
              </w:rPr>
              <w:t>Juan Carlos González Vásquez</w:t>
            </w:r>
          </w:p>
          <w:p w14:paraId="65CAB40D" w14:textId="77777777" w:rsidR="00D3191B" w:rsidRDefault="00D3191B" w:rsidP="00AF17C7">
            <w:pPr>
              <w:rPr>
                <w:rFonts w:ascii="Verdana" w:eastAsia="Times New Roman" w:hAnsi="Verdana" w:cs="Arial"/>
                <w:sz w:val="16"/>
                <w:szCs w:val="16"/>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p w14:paraId="2C6A453E" w14:textId="77777777" w:rsidR="00D3191B" w:rsidRDefault="00D3191B" w:rsidP="00AF17C7">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Alejandro Sarmiento </w:t>
            </w:r>
          </w:p>
          <w:p w14:paraId="03EF324B" w14:textId="77777777" w:rsidR="00D3191B" w:rsidRDefault="00D3191B" w:rsidP="00AF17C7">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Gestor T1-15 </w:t>
            </w:r>
            <w:r w:rsidRPr="005B7C42">
              <w:rPr>
                <w:rFonts w:ascii="Verdana" w:eastAsia="Times New Roman" w:hAnsi="Verdana" w:cs="Arial"/>
                <w:sz w:val="16"/>
                <w:szCs w:val="16"/>
                <w:lang w:eastAsia="es-ES"/>
              </w:rPr>
              <w:t>de la Subdirección de Gestión Contractual</w:t>
            </w:r>
          </w:p>
          <w:p w14:paraId="0A6927C3" w14:textId="77777777" w:rsidR="00D3191B" w:rsidRPr="005B7C42" w:rsidRDefault="00D3191B" w:rsidP="00AF17C7">
            <w:pPr>
              <w:rPr>
                <w:rFonts w:ascii="Verdana" w:eastAsia="Times New Roman" w:hAnsi="Verdana" w:cs="Arial"/>
                <w:sz w:val="14"/>
                <w:szCs w:val="14"/>
                <w:lang w:eastAsia="es-ES"/>
              </w:rPr>
            </w:pPr>
          </w:p>
        </w:tc>
      </w:tr>
      <w:tr w:rsidR="00D3191B" w:rsidRPr="005B7C42" w14:paraId="76CF71E2" w14:textId="77777777" w:rsidTr="00AF17C7">
        <w:trPr>
          <w:trHeight w:val="272"/>
        </w:trPr>
        <w:tc>
          <w:tcPr>
            <w:tcW w:w="893" w:type="dxa"/>
            <w:vAlign w:val="center"/>
            <w:hideMark/>
          </w:tcPr>
          <w:p w14:paraId="1BF8161B" w14:textId="77777777" w:rsidR="00D3191B" w:rsidRPr="005B7C42" w:rsidRDefault="00D3191B" w:rsidP="00AF17C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1774CC93" w14:textId="77777777" w:rsidR="00D3191B" w:rsidRPr="005B7C42" w:rsidRDefault="00D3191B" w:rsidP="00AF17C7">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76D8D0CE" w14:textId="77777777" w:rsidR="00D3191B" w:rsidRPr="005B7C42" w:rsidRDefault="00D3191B" w:rsidP="00AF17C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r w:rsidR="00D3191B" w:rsidRPr="005B7C42" w14:paraId="1FD56844" w14:textId="77777777" w:rsidTr="00AF17C7">
        <w:trPr>
          <w:trHeight w:val="272"/>
        </w:trPr>
        <w:tc>
          <w:tcPr>
            <w:tcW w:w="893" w:type="dxa"/>
            <w:vAlign w:val="center"/>
          </w:tcPr>
          <w:p w14:paraId="0F50DF78" w14:textId="77777777" w:rsidR="00D3191B" w:rsidRPr="005B7C42" w:rsidRDefault="00D3191B" w:rsidP="00AF17C7">
            <w:pPr>
              <w:rPr>
                <w:rFonts w:ascii="Verdana" w:eastAsia="Times New Roman" w:hAnsi="Verdana" w:cs="Arial"/>
                <w:sz w:val="16"/>
                <w:szCs w:val="16"/>
                <w:lang w:eastAsia="es-ES"/>
              </w:rPr>
            </w:pPr>
            <w:r>
              <w:rPr>
                <w:rFonts w:ascii="Verdana" w:eastAsia="Times New Roman" w:hAnsi="Verdana" w:cs="Arial"/>
                <w:sz w:val="16"/>
                <w:szCs w:val="16"/>
                <w:lang w:eastAsia="es-ES"/>
              </w:rPr>
              <w:t>Anexos:</w:t>
            </w:r>
          </w:p>
        </w:tc>
        <w:tc>
          <w:tcPr>
            <w:tcW w:w="4777" w:type="dxa"/>
            <w:tcBorders>
              <w:top w:val="dotted" w:sz="4" w:space="0" w:color="7F7F7F"/>
              <w:left w:val="nil"/>
              <w:bottom w:val="dotted" w:sz="4" w:space="0" w:color="7F7F7F"/>
              <w:right w:val="nil"/>
            </w:tcBorders>
            <w:vAlign w:val="center"/>
          </w:tcPr>
          <w:p w14:paraId="2C99B585" w14:textId="77777777" w:rsidR="00D3191B" w:rsidRPr="005B7C42" w:rsidRDefault="00D3191B" w:rsidP="00AF17C7">
            <w:pPr>
              <w:rPr>
                <w:rFonts w:ascii="Verdana" w:eastAsia="Times New Roman" w:hAnsi="Verdana" w:cs="Arial"/>
                <w:sz w:val="16"/>
                <w:szCs w:val="16"/>
                <w:lang w:eastAsia="es-ES"/>
              </w:rPr>
            </w:pPr>
            <w:r>
              <w:rPr>
                <w:rFonts w:ascii="Verdana" w:eastAsia="Times New Roman" w:hAnsi="Verdana" w:cs="Arial"/>
                <w:sz w:val="16"/>
                <w:szCs w:val="16"/>
                <w:lang w:eastAsia="es-ES"/>
              </w:rPr>
              <w:t>Respuesta Subdirección de Información y Desarrollo Tecnológico - SIDT</w:t>
            </w:r>
          </w:p>
        </w:tc>
      </w:tr>
    </w:tbl>
    <w:p w14:paraId="590DADFA" w14:textId="77777777" w:rsidR="00D3191B" w:rsidRPr="005B7C42" w:rsidRDefault="00D3191B" w:rsidP="00D3191B">
      <w:pPr>
        <w:spacing w:after="0" w:line="276" w:lineRule="auto"/>
        <w:jc w:val="both"/>
        <w:rPr>
          <w:rFonts w:ascii="Verdana" w:eastAsia="Times New Roman" w:hAnsi="Verdana" w:cs="Arial"/>
        </w:rPr>
      </w:pPr>
    </w:p>
    <w:p w14:paraId="7CD82F47" w14:textId="77777777" w:rsidR="00D3191B" w:rsidRPr="00024229" w:rsidRDefault="00D3191B" w:rsidP="00D3191B"/>
    <w:p w14:paraId="0C9AA05F" w14:textId="77777777" w:rsidR="00D3191B" w:rsidRPr="00886C00" w:rsidRDefault="00D3191B" w:rsidP="00D3191B"/>
    <w:p w14:paraId="23070D71" w14:textId="77777777" w:rsidR="00D3191B" w:rsidRPr="00D71415" w:rsidRDefault="00D3191B" w:rsidP="00D3191B"/>
    <w:p w14:paraId="609B72FA" w14:textId="77777777" w:rsidR="00D3191B" w:rsidRPr="00862F3B" w:rsidRDefault="00D3191B" w:rsidP="00D3191B"/>
    <w:p w14:paraId="4696D33C" w14:textId="77777777" w:rsidR="00D3191B" w:rsidRDefault="00D3191B" w:rsidP="00D3191B"/>
    <w:p w14:paraId="23328CA6" w14:textId="77777777" w:rsidR="00D3191B" w:rsidRPr="00CE4E6C" w:rsidRDefault="00D3191B" w:rsidP="00D3191B"/>
    <w:p w14:paraId="44F3212C" w14:textId="77777777" w:rsidR="00C24FFE" w:rsidRDefault="00C24FFE"/>
    <w:sectPr w:rsidR="00C24FFE" w:rsidSect="00D3191B">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512AB" w14:textId="77777777" w:rsidR="009024F8" w:rsidRDefault="009024F8" w:rsidP="00D3191B">
      <w:pPr>
        <w:spacing w:after="0" w:line="240" w:lineRule="auto"/>
      </w:pPr>
      <w:r>
        <w:separator/>
      </w:r>
    </w:p>
  </w:endnote>
  <w:endnote w:type="continuationSeparator" w:id="0">
    <w:p w14:paraId="59924585" w14:textId="77777777" w:rsidR="009024F8" w:rsidRDefault="009024F8" w:rsidP="00D31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1D3B" w14:textId="77777777" w:rsidR="00EC32AD" w:rsidRDefault="00EC32AD">
    <w:pPr>
      <w:pStyle w:val="Piedepgina"/>
    </w:pPr>
  </w:p>
  <w:p w14:paraId="01C52213" w14:textId="77777777" w:rsidR="00EC32AD" w:rsidRPr="00174B77" w:rsidRDefault="00D716B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2B8EAE1" w14:textId="77777777" w:rsidR="00EC32AD" w:rsidRDefault="00D716B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B176128" w14:textId="77777777" w:rsidR="00EC32AD" w:rsidRPr="00E41027" w:rsidRDefault="00D716B5" w:rsidP="00D520D8">
    <w:pPr>
      <w:spacing w:after="0"/>
      <w:jc w:val="both"/>
      <w:rPr>
        <w:rFonts w:ascii="Verdana" w:hAnsi="Verdana"/>
        <w:sz w:val="18"/>
        <w:szCs w:val="18"/>
      </w:rPr>
    </w:pPr>
    <w:r w:rsidRPr="00E41027">
      <w:rPr>
        <w:rFonts w:ascii="Verdana" w:hAnsi="Verdana"/>
        <w:sz w:val="18"/>
        <w:szCs w:val="18"/>
      </w:rPr>
      <w:t>Mesa de servicio: (+57) 601 7456788</w:t>
    </w:r>
  </w:p>
  <w:p w14:paraId="1AF6F47A" w14:textId="77777777" w:rsidR="00EC32AD" w:rsidRDefault="00D716B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3AC67" w14:textId="77777777" w:rsidR="009024F8" w:rsidRDefault="009024F8" w:rsidP="00D3191B">
      <w:pPr>
        <w:spacing w:after="0" w:line="240" w:lineRule="auto"/>
      </w:pPr>
      <w:r>
        <w:separator/>
      </w:r>
    </w:p>
  </w:footnote>
  <w:footnote w:type="continuationSeparator" w:id="0">
    <w:p w14:paraId="66D93D62" w14:textId="77777777" w:rsidR="009024F8" w:rsidRDefault="009024F8" w:rsidP="00D3191B">
      <w:pPr>
        <w:spacing w:after="0" w:line="240" w:lineRule="auto"/>
      </w:pPr>
      <w:r>
        <w:continuationSeparator/>
      </w:r>
    </w:p>
  </w:footnote>
  <w:footnote w:id="1">
    <w:p w14:paraId="6630A2B3" w14:textId="77777777" w:rsidR="00D3191B" w:rsidRPr="004E6EBE" w:rsidRDefault="00D3191B" w:rsidP="00D3191B">
      <w:pPr>
        <w:pStyle w:val="Textonotapie"/>
        <w:ind w:firstLine="708"/>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72DE98D9" w14:textId="77777777" w:rsidR="00D3191B" w:rsidRPr="004E6EBE" w:rsidRDefault="00D3191B" w:rsidP="00D3191B">
      <w:pPr>
        <w:pStyle w:val="Textonotapie"/>
        <w:ind w:firstLine="708"/>
        <w:jc w:val="both"/>
        <w:rPr>
          <w:rFonts w:ascii="Verdana" w:hAnsi="Verdana" w:cs="Arial"/>
          <w:sz w:val="14"/>
          <w:szCs w:val="14"/>
        </w:rPr>
      </w:pPr>
      <w:r w:rsidRPr="004E6EBE">
        <w:rPr>
          <w:rFonts w:ascii="Verdana" w:hAnsi="Verdana" w:cs="Arial"/>
          <w:sz w:val="14"/>
          <w:szCs w:val="14"/>
        </w:rPr>
        <w:t xml:space="preserve">La misma sustitución podrá hacerse en los contratos mercantiles de ejecución instantánea que aún no hayan sido cumplidos en todo o en parte, y en los celebrados </w:t>
      </w:r>
      <w:proofErr w:type="spellStart"/>
      <w:r w:rsidRPr="004E6EBE">
        <w:rPr>
          <w:rFonts w:ascii="Verdana" w:hAnsi="Verdana" w:cs="Arial"/>
          <w:i/>
          <w:iCs/>
          <w:sz w:val="14"/>
          <w:szCs w:val="14"/>
        </w:rPr>
        <w:t>intuitu</w:t>
      </w:r>
      <w:proofErr w:type="spellEnd"/>
      <w:r w:rsidRPr="004E6EBE">
        <w:rPr>
          <w:rFonts w:ascii="Verdana" w:hAnsi="Verdana" w:cs="Arial"/>
          <w:i/>
          <w:iCs/>
          <w:sz w:val="14"/>
          <w:szCs w:val="14"/>
        </w:rPr>
        <w:t xml:space="preserve"> </w:t>
      </w:r>
      <w:proofErr w:type="spellStart"/>
      <w:r w:rsidRPr="004E6EBE">
        <w:rPr>
          <w:rFonts w:ascii="Verdana" w:hAnsi="Verdana" w:cs="Arial"/>
          <w:i/>
          <w:iCs/>
          <w:sz w:val="14"/>
          <w:szCs w:val="14"/>
        </w:rPr>
        <w:t>personae</w:t>
      </w:r>
      <w:proofErr w:type="spellEnd"/>
      <w:r w:rsidRPr="004E6EBE">
        <w:rPr>
          <w:rFonts w:ascii="Verdana" w:hAnsi="Verdana" w:cs="Arial"/>
          <w:sz w:val="14"/>
          <w:szCs w:val="14"/>
        </w:rPr>
        <w:t>, pero en estos casos será necesaria la aceptación del contratante cedido”.</w:t>
      </w:r>
    </w:p>
    <w:p w14:paraId="609AA548" w14:textId="77777777" w:rsidR="00D3191B" w:rsidRDefault="00D3191B" w:rsidP="00D3191B">
      <w:pPr>
        <w:pStyle w:val="Textonotapie"/>
        <w:ind w:firstLine="708"/>
        <w:jc w:val="both"/>
        <w:rPr>
          <w:rFonts w:ascii="Verdana" w:hAnsi="Verdana" w:cs="Arial"/>
          <w:sz w:val="14"/>
          <w:szCs w:val="14"/>
        </w:rPr>
      </w:pPr>
      <w:r w:rsidRPr="004E6EBE">
        <w:rPr>
          <w:rFonts w:ascii="Verdana" w:hAnsi="Verdana" w:cs="Arial"/>
          <w:sz w:val="14"/>
          <w:szCs w:val="14"/>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p w14:paraId="27C39D17" w14:textId="77777777" w:rsidR="00D3191B" w:rsidRPr="004E6EBE" w:rsidRDefault="00D3191B" w:rsidP="00D3191B">
      <w:pPr>
        <w:pStyle w:val="Textonotapie"/>
        <w:ind w:firstLine="708"/>
        <w:jc w:val="both"/>
        <w:rPr>
          <w:rFonts w:ascii="Verdana" w:hAnsi="Verdana" w:cs="Arial"/>
          <w:sz w:val="14"/>
          <w:szCs w:val="14"/>
        </w:rPr>
      </w:pPr>
    </w:p>
  </w:footnote>
  <w:footnote w:id="2">
    <w:p w14:paraId="166E3E58" w14:textId="77777777" w:rsidR="00D3191B" w:rsidRDefault="00D3191B" w:rsidP="00D3191B">
      <w:pPr>
        <w:pStyle w:val="Textonotapie"/>
        <w:ind w:firstLine="708"/>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MESSINEO, Francesco. Doctrina general del contrato. Santiago: </w:t>
      </w:r>
      <w:proofErr w:type="spellStart"/>
      <w:r w:rsidRPr="004E6EBE">
        <w:rPr>
          <w:rFonts w:ascii="Verdana" w:hAnsi="Verdana" w:cs="Arial"/>
          <w:sz w:val="14"/>
          <w:szCs w:val="14"/>
        </w:rPr>
        <w:t>Olejnik</w:t>
      </w:r>
      <w:proofErr w:type="spellEnd"/>
      <w:r w:rsidRPr="004E6EBE">
        <w:rPr>
          <w:rFonts w:ascii="Verdana" w:hAnsi="Verdana" w:cs="Arial"/>
          <w:sz w:val="14"/>
          <w:szCs w:val="14"/>
        </w:rPr>
        <w:t>, 2018. p. 633. Énfasis dentro del texto).</w:t>
      </w:r>
    </w:p>
    <w:p w14:paraId="1E5A7848" w14:textId="77777777" w:rsidR="00D3191B" w:rsidRPr="004E6EBE" w:rsidRDefault="00D3191B" w:rsidP="00D3191B">
      <w:pPr>
        <w:pStyle w:val="Textonotapie"/>
        <w:ind w:firstLine="708"/>
        <w:jc w:val="both"/>
        <w:rPr>
          <w:rFonts w:ascii="Verdana" w:hAnsi="Verdana" w:cs="Arial"/>
          <w:sz w:val="14"/>
          <w:szCs w:val="14"/>
        </w:rPr>
      </w:pPr>
    </w:p>
  </w:footnote>
  <w:footnote w:id="3">
    <w:p w14:paraId="0FC5327C" w14:textId="77777777" w:rsidR="00D3191B" w:rsidRDefault="00D3191B" w:rsidP="00D3191B">
      <w:pPr>
        <w:pStyle w:val="Textonotapie"/>
        <w:ind w:firstLine="709"/>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ROPPO, </w:t>
      </w:r>
      <w:proofErr w:type="spellStart"/>
      <w:r w:rsidRPr="004E6EBE">
        <w:rPr>
          <w:rFonts w:ascii="Verdana" w:hAnsi="Verdana" w:cs="Arial"/>
          <w:sz w:val="14"/>
          <w:szCs w:val="14"/>
        </w:rPr>
        <w:t>Vincenzo</w:t>
      </w:r>
      <w:proofErr w:type="spellEnd"/>
      <w:r w:rsidRPr="004E6EBE">
        <w:rPr>
          <w:rFonts w:ascii="Verdana" w:hAnsi="Verdana" w:cs="Arial"/>
          <w:sz w:val="14"/>
          <w:szCs w:val="14"/>
        </w:rPr>
        <w:t>. El contrato. Lima: Gaceta Jurídica, 2009. p. 547.</w:t>
      </w:r>
    </w:p>
    <w:p w14:paraId="1B2E67BC" w14:textId="77777777" w:rsidR="00D3191B" w:rsidRPr="004E6EBE" w:rsidRDefault="00D3191B" w:rsidP="00D3191B">
      <w:pPr>
        <w:pStyle w:val="Textonotapie"/>
        <w:ind w:firstLine="709"/>
        <w:jc w:val="both"/>
        <w:rPr>
          <w:rFonts w:ascii="Verdana" w:hAnsi="Verdana" w:cs="Arial"/>
          <w:sz w:val="14"/>
          <w:szCs w:val="14"/>
        </w:rPr>
      </w:pPr>
    </w:p>
  </w:footnote>
  <w:footnote w:id="4">
    <w:p w14:paraId="5E4E62F9" w14:textId="77777777" w:rsidR="00D3191B" w:rsidRPr="004E6EBE" w:rsidRDefault="00D3191B" w:rsidP="00D3191B">
      <w:pPr>
        <w:pStyle w:val="Textonotapie"/>
        <w:ind w:firstLine="709"/>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w:t>
      </w:r>
      <w:r w:rsidRPr="004E6EBE">
        <w:rPr>
          <w:rFonts w:ascii="Verdana" w:hAnsi="Verdana" w:cs="Arial"/>
          <w:i/>
          <w:iCs/>
          <w:sz w:val="14"/>
          <w:szCs w:val="14"/>
        </w:rPr>
        <w:t>Ibidem</w:t>
      </w:r>
      <w:r w:rsidRPr="004E6EBE">
        <w:rPr>
          <w:rFonts w:ascii="Verdana" w:hAnsi="Verdana" w:cs="Arial"/>
          <w:sz w:val="14"/>
          <w:szCs w:val="14"/>
        </w:rPr>
        <w:t>.</w:t>
      </w:r>
    </w:p>
  </w:footnote>
  <w:footnote w:id="5">
    <w:p w14:paraId="0037D5D5" w14:textId="77777777" w:rsidR="00D3191B" w:rsidRPr="004E6EBE" w:rsidRDefault="00D3191B" w:rsidP="00D3191B">
      <w:pPr>
        <w:pStyle w:val="Textonotapie"/>
        <w:ind w:firstLine="709"/>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footnote>
  <w:footnote w:id="6">
    <w:p w14:paraId="79130B04" w14:textId="77777777" w:rsidR="00D3191B" w:rsidRDefault="00D3191B" w:rsidP="00D3191B">
      <w:pPr>
        <w:pStyle w:val="Textonotapie"/>
        <w:ind w:firstLine="709"/>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Código de Comercio: “Artículo 890. El que cede un contrato se obliga a responder de la existencia y validez </w:t>
      </w:r>
      <w:proofErr w:type="gramStart"/>
      <w:r w:rsidRPr="004E6EBE">
        <w:rPr>
          <w:rFonts w:ascii="Verdana" w:hAnsi="Verdana" w:cs="Arial"/>
          <w:sz w:val="14"/>
          <w:szCs w:val="14"/>
        </w:rPr>
        <w:t>del mismo</w:t>
      </w:r>
      <w:proofErr w:type="gramEnd"/>
      <w:r w:rsidRPr="004E6EBE">
        <w:rPr>
          <w:rFonts w:ascii="Verdana" w:hAnsi="Verdana" w:cs="Arial"/>
          <w:sz w:val="14"/>
          <w:szCs w:val="14"/>
        </w:rPr>
        <w:t xml:space="preserve"> y de sus garantías, pero, salvo estipulación expresa en contrario, no responderá de su cumplimiento por parte del otro contratante y de los garantes”.</w:t>
      </w:r>
    </w:p>
    <w:p w14:paraId="6A9A92F6" w14:textId="77777777" w:rsidR="00D3191B" w:rsidRPr="004E6EBE" w:rsidRDefault="00D3191B" w:rsidP="00D3191B">
      <w:pPr>
        <w:pStyle w:val="Textonotapie"/>
        <w:ind w:firstLine="709"/>
        <w:jc w:val="both"/>
        <w:rPr>
          <w:rFonts w:ascii="Verdana" w:hAnsi="Verdana" w:cs="Arial"/>
          <w:sz w:val="14"/>
          <w:szCs w:val="14"/>
        </w:rPr>
      </w:pPr>
    </w:p>
  </w:footnote>
  <w:footnote w:id="7">
    <w:p w14:paraId="4704CEFE" w14:textId="77777777" w:rsidR="00D3191B" w:rsidRDefault="00D3191B" w:rsidP="00D3191B">
      <w:pPr>
        <w:pStyle w:val="Textonotapie"/>
        <w:ind w:firstLine="709"/>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p w14:paraId="1E85C822" w14:textId="77777777" w:rsidR="00D3191B" w:rsidRPr="004E6EBE" w:rsidRDefault="00D3191B" w:rsidP="00D3191B">
      <w:pPr>
        <w:pStyle w:val="Textonotapie"/>
        <w:ind w:firstLine="709"/>
        <w:jc w:val="both"/>
        <w:rPr>
          <w:rFonts w:ascii="Verdana" w:hAnsi="Verdana" w:cs="Arial"/>
          <w:sz w:val="14"/>
          <w:szCs w:val="14"/>
          <w:lang w:val="es-CO"/>
        </w:rPr>
      </w:pPr>
    </w:p>
  </w:footnote>
  <w:footnote w:id="8">
    <w:p w14:paraId="0D5B7C5F" w14:textId="77777777" w:rsidR="00D3191B" w:rsidRDefault="00D3191B" w:rsidP="00D3191B">
      <w:pPr>
        <w:pStyle w:val="Textonotapie"/>
        <w:ind w:firstLine="709"/>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09BF0EF3" w14:textId="77777777" w:rsidR="00D3191B" w:rsidRPr="004E6EBE" w:rsidRDefault="00D3191B" w:rsidP="00D3191B">
      <w:pPr>
        <w:pStyle w:val="Textonotapie"/>
        <w:ind w:firstLine="709"/>
        <w:jc w:val="both"/>
        <w:rPr>
          <w:rFonts w:ascii="Verdana" w:hAnsi="Verdana" w:cs="Arial"/>
          <w:sz w:val="14"/>
          <w:szCs w:val="14"/>
        </w:rPr>
      </w:pPr>
    </w:p>
    <w:p w14:paraId="01AD29DE" w14:textId="77777777" w:rsidR="00D3191B" w:rsidRPr="004E6EBE" w:rsidRDefault="00D3191B" w:rsidP="00D3191B">
      <w:pPr>
        <w:pStyle w:val="Textonotapie"/>
        <w:ind w:firstLine="709"/>
        <w:jc w:val="both"/>
        <w:rPr>
          <w:rFonts w:ascii="Verdana" w:hAnsi="Verdana" w:cs="Arial"/>
          <w:sz w:val="14"/>
          <w:szCs w:val="14"/>
        </w:rPr>
      </w:pPr>
      <w:r w:rsidRPr="004E6EBE">
        <w:rPr>
          <w:rFonts w:ascii="Verdana" w:hAnsi="Verdana" w:cs="Arial"/>
          <w:sz w:val="14"/>
          <w:szCs w:val="14"/>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9">
    <w:p w14:paraId="6B2BD5DB" w14:textId="77777777" w:rsidR="00D3191B" w:rsidRPr="004E6EBE" w:rsidRDefault="00D3191B" w:rsidP="00D3191B">
      <w:pPr>
        <w:pStyle w:val="Textonotapie"/>
        <w:ind w:firstLine="708"/>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0BB812D9" w14:textId="77777777" w:rsidR="00D3191B" w:rsidRDefault="00D3191B" w:rsidP="00D3191B">
      <w:pPr>
        <w:pStyle w:val="Textonotapie"/>
        <w:ind w:firstLine="708"/>
        <w:jc w:val="both"/>
        <w:rPr>
          <w:rFonts w:ascii="Verdana" w:hAnsi="Verdana" w:cs="Arial"/>
          <w:sz w:val="14"/>
          <w:szCs w:val="14"/>
        </w:rPr>
      </w:pPr>
      <w:r w:rsidRPr="004E6EBE">
        <w:rPr>
          <w:rFonts w:ascii="Verdana" w:hAnsi="Verdana" w:cs="Arial"/>
          <w:sz w:val="14"/>
          <w:szCs w:val="14"/>
        </w:rPr>
        <w:t xml:space="preserve">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w:t>
      </w:r>
      <w:proofErr w:type="spellStart"/>
      <w:r w:rsidRPr="004E6EBE">
        <w:rPr>
          <w:rFonts w:ascii="Verdana" w:hAnsi="Verdana" w:cs="Arial"/>
          <w:sz w:val="14"/>
          <w:szCs w:val="14"/>
        </w:rPr>
        <w:t>Depalma</w:t>
      </w:r>
      <w:proofErr w:type="spellEnd"/>
      <w:r w:rsidRPr="004E6EBE">
        <w:rPr>
          <w:rFonts w:ascii="Verdana" w:hAnsi="Verdana" w:cs="Arial"/>
          <w:sz w:val="14"/>
          <w:szCs w:val="14"/>
        </w:rPr>
        <w:t>, 2012. p. 424).</w:t>
      </w:r>
    </w:p>
    <w:p w14:paraId="2FB7C29C" w14:textId="77777777" w:rsidR="00D3191B" w:rsidRPr="004E6EBE" w:rsidRDefault="00D3191B" w:rsidP="00D3191B">
      <w:pPr>
        <w:pStyle w:val="Textonotapie"/>
        <w:ind w:firstLine="708"/>
        <w:jc w:val="both"/>
        <w:rPr>
          <w:rFonts w:ascii="Verdana" w:hAnsi="Verdana" w:cs="Arial"/>
          <w:sz w:val="14"/>
          <w:szCs w:val="14"/>
        </w:rPr>
      </w:pPr>
    </w:p>
  </w:footnote>
  <w:footnote w:id="10">
    <w:p w14:paraId="37B1A1DB" w14:textId="77777777" w:rsidR="00D3191B" w:rsidRDefault="00D3191B" w:rsidP="00D3191B">
      <w:pPr>
        <w:pStyle w:val="Textonotapie"/>
        <w:ind w:firstLine="708"/>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MARIENHOFF, Miguel S. Tratado de derecho administrativo. Tomo IIIA. Cuarta Edición. Buenos Aires: Abeledo Perrot, 1998. p. 318. Énfasis dentro del texto.</w:t>
      </w:r>
    </w:p>
    <w:p w14:paraId="349B1777" w14:textId="77777777" w:rsidR="00D3191B" w:rsidRPr="004E6EBE" w:rsidRDefault="00D3191B" w:rsidP="00D3191B">
      <w:pPr>
        <w:pStyle w:val="Textonotapie"/>
        <w:ind w:firstLine="708"/>
        <w:jc w:val="both"/>
        <w:rPr>
          <w:rFonts w:ascii="Verdana" w:hAnsi="Verdana" w:cs="Arial"/>
          <w:sz w:val="14"/>
          <w:szCs w:val="14"/>
          <w:lang w:val="es-ES"/>
        </w:rPr>
      </w:pPr>
    </w:p>
  </w:footnote>
  <w:footnote w:id="11">
    <w:p w14:paraId="3CDFFFF4" w14:textId="77777777" w:rsidR="00D3191B" w:rsidRPr="004E6EBE" w:rsidRDefault="00D3191B" w:rsidP="00D3191B">
      <w:pPr>
        <w:pStyle w:val="Textonotapie"/>
        <w:ind w:firstLine="708"/>
        <w:jc w:val="both"/>
        <w:rPr>
          <w:rFonts w:ascii="Verdana" w:hAnsi="Verdana" w:cs="Arial"/>
          <w:sz w:val="14"/>
          <w:szCs w:val="14"/>
        </w:rPr>
      </w:pPr>
      <w:r w:rsidRPr="004E6EBE">
        <w:rPr>
          <w:rStyle w:val="Refdenotaalpie"/>
          <w:rFonts w:ascii="Verdana" w:hAnsi="Verdana" w:cs="Arial"/>
          <w:sz w:val="14"/>
          <w:szCs w:val="14"/>
        </w:rPr>
        <w:footnoteRef/>
      </w:r>
      <w:r w:rsidRPr="004E6EBE">
        <w:rPr>
          <w:rFonts w:ascii="Verdana" w:hAnsi="Verdana" w:cs="Arial"/>
          <w:sz w:val="14"/>
          <w:szCs w:val="14"/>
        </w:rPr>
        <w:t xml:space="preserve"> RAMÍREZ GRISALES, Richard. La cesión. Serie: Las cláusulas del contrato estatal. Medellín: Centro de Estudios de Derecho Administrativo –CEDA– y Librería Jurídica Sánchez R., 2014. pp. 71-72.</w:t>
      </w:r>
    </w:p>
  </w:footnote>
  <w:footnote w:id="12">
    <w:p w14:paraId="786B17AB" w14:textId="77777777" w:rsidR="00D3191B" w:rsidRPr="004E6EBE" w:rsidRDefault="00D3191B" w:rsidP="00D3191B">
      <w:pPr>
        <w:pStyle w:val="Textonotapie"/>
        <w:ind w:firstLine="709"/>
        <w:jc w:val="both"/>
        <w:rPr>
          <w:rFonts w:ascii="Verdana" w:hAnsi="Verdana" w:cs="Arial"/>
          <w:sz w:val="14"/>
          <w:szCs w:val="14"/>
          <w:lang w:val="es-ES"/>
        </w:rPr>
      </w:pPr>
      <w:r w:rsidRPr="004E6EBE">
        <w:rPr>
          <w:rStyle w:val="Refdenotaalpie"/>
          <w:rFonts w:ascii="Verdana" w:hAnsi="Verdana" w:cs="Arial"/>
          <w:sz w:val="14"/>
          <w:szCs w:val="14"/>
        </w:rPr>
        <w:footnoteRef/>
      </w:r>
      <w:r w:rsidRPr="004E6EBE">
        <w:rPr>
          <w:rFonts w:ascii="Verdana" w:hAnsi="Verdana" w:cs="Arial"/>
          <w:sz w:val="14"/>
          <w:szCs w:val="14"/>
        </w:rPr>
        <w:t xml:space="preserve"> </w:t>
      </w:r>
      <w:r w:rsidRPr="004E6EBE">
        <w:rPr>
          <w:rFonts w:ascii="Verdana" w:hAnsi="Verdana" w:cs="Arial"/>
          <w:sz w:val="14"/>
          <w:szCs w:val="14"/>
          <w:lang w:val="es-ES"/>
        </w:rPr>
        <w:t>Consejo de Estado, Sección Tercera, Sentencia del 16 de marzo de 2015, Rad. 1999-03028, M.P. Jaime Orlando Santofimio Gamboa.</w:t>
      </w:r>
    </w:p>
  </w:footnote>
  <w:footnote w:id="13">
    <w:p w14:paraId="3F77E7C4" w14:textId="77777777" w:rsidR="00D3191B" w:rsidRPr="00FE5F8D" w:rsidRDefault="00D3191B" w:rsidP="00D3191B">
      <w:pPr>
        <w:pStyle w:val="Textonotapie"/>
        <w:ind w:firstLine="708"/>
        <w:jc w:val="both"/>
        <w:rPr>
          <w:rFonts w:ascii="Verdana" w:hAnsi="Verdana"/>
          <w:sz w:val="14"/>
          <w:szCs w:val="14"/>
          <w:lang w:val="es-CO"/>
        </w:rPr>
      </w:pPr>
      <w:r w:rsidRPr="00FE5F8D">
        <w:rPr>
          <w:rStyle w:val="Refdenotaalpie"/>
          <w:rFonts w:ascii="Verdana" w:hAnsi="Verdana"/>
          <w:sz w:val="14"/>
          <w:szCs w:val="14"/>
        </w:rPr>
        <w:footnoteRef/>
      </w:r>
      <w:r w:rsidRPr="00FE5F8D">
        <w:rPr>
          <w:rFonts w:ascii="Verdana" w:hAnsi="Verdana"/>
          <w:sz w:val="14"/>
          <w:szCs w:val="14"/>
        </w:rPr>
        <w:t xml:space="preserve"> </w:t>
      </w:r>
      <w:r w:rsidRPr="00FE5F8D">
        <w:rPr>
          <w:rFonts w:ascii="Verdana" w:hAnsi="Verdana"/>
          <w:sz w:val="14"/>
          <w:szCs w:val="14"/>
          <w:lang w:val="es-CO"/>
        </w:rPr>
        <w:t>Consejo de Estado, Sala de lo Contencioso Administrativo, Sección Tercera, Radicación Número 23088 del 12 de agosto de 2013. Consejero ponente, Enrique Gil Botero</w:t>
      </w:r>
    </w:p>
  </w:footnote>
  <w:footnote w:id="14">
    <w:p w14:paraId="760332BA" w14:textId="77777777" w:rsidR="00D3191B" w:rsidRPr="00FE5F8D" w:rsidRDefault="00D3191B" w:rsidP="00D3191B">
      <w:pPr>
        <w:pStyle w:val="Textonotapie"/>
        <w:ind w:firstLine="708"/>
        <w:jc w:val="both"/>
        <w:rPr>
          <w:rFonts w:ascii="Verdana" w:hAnsi="Verdana"/>
          <w:sz w:val="14"/>
          <w:szCs w:val="14"/>
          <w:lang w:val="es-CO"/>
        </w:rPr>
      </w:pPr>
      <w:r w:rsidRPr="00FE5F8D">
        <w:rPr>
          <w:rStyle w:val="Refdenotaalpie"/>
          <w:rFonts w:ascii="Verdana" w:hAnsi="Verdana"/>
          <w:sz w:val="14"/>
          <w:szCs w:val="14"/>
        </w:rPr>
        <w:footnoteRef/>
      </w:r>
      <w:r w:rsidRPr="00FE5F8D">
        <w:rPr>
          <w:rFonts w:ascii="Verdana" w:hAnsi="Verdana"/>
          <w:sz w:val="14"/>
          <w:szCs w:val="14"/>
        </w:rPr>
        <w:t xml:space="preserve"> </w:t>
      </w:r>
      <w:r w:rsidRPr="00FE5F8D">
        <w:rPr>
          <w:rFonts w:ascii="Verdana" w:hAnsi="Verdana"/>
          <w:sz w:val="14"/>
          <w:szCs w:val="14"/>
          <w:lang w:val="es-CO"/>
        </w:rPr>
        <w:t>Numeral 5 del Literal d) del artículo 92 de la Ley 136 de 1994.</w:t>
      </w:r>
    </w:p>
  </w:footnote>
  <w:footnote w:id="15">
    <w:p w14:paraId="73BDF251" w14:textId="77777777" w:rsidR="00D3191B" w:rsidRPr="00FE5F8D" w:rsidRDefault="00D3191B" w:rsidP="00D3191B">
      <w:pPr>
        <w:pStyle w:val="Textonotapie"/>
        <w:ind w:firstLine="708"/>
        <w:jc w:val="both"/>
        <w:rPr>
          <w:lang w:val="es-CO"/>
        </w:rPr>
      </w:pPr>
      <w:r w:rsidRPr="00FE5F8D">
        <w:rPr>
          <w:rStyle w:val="Refdenotaalpie"/>
          <w:rFonts w:ascii="Verdana" w:hAnsi="Verdana"/>
          <w:sz w:val="14"/>
          <w:szCs w:val="14"/>
        </w:rPr>
        <w:footnoteRef/>
      </w:r>
      <w:r w:rsidRPr="00FE5F8D">
        <w:rPr>
          <w:rFonts w:ascii="Verdana" w:hAnsi="Verdana"/>
          <w:sz w:val="14"/>
          <w:szCs w:val="14"/>
        </w:rPr>
        <w:t xml:space="preserve"> </w:t>
      </w:r>
      <w:r w:rsidRPr="00FE5F8D">
        <w:rPr>
          <w:rFonts w:ascii="Verdana" w:hAnsi="Verdana"/>
          <w:sz w:val="14"/>
          <w:szCs w:val="14"/>
          <w:lang w:val="es-CO"/>
        </w:rPr>
        <w:t>Numeral 4 del artículo 305 de la Constitución Política.</w:t>
      </w:r>
    </w:p>
  </w:footnote>
  <w:footnote w:id="16">
    <w:p w14:paraId="59060B3B" w14:textId="77777777" w:rsidR="00D3191B" w:rsidRPr="004E6EBE" w:rsidRDefault="00D3191B" w:rsidP="00D3191B">
      <w:pPr>
        <w:pStyle w:val="Textonotapie"/>
        <w:ind w:firstLine="709"/>
        <w:jc w:val="both"/>
        <w:rPr>
          <w:rFonts w:ascii="Verdana" w:hAnsi="Verdana"/>
          <w:sz w:val="14"/>
          <w:szCs w:val="14"/>
          <w:lang w:val="es-CO"/>
        </w:rPr>
      </w:pPr>
      <w:r w:rsidRPr="004E6EBE">
        <w:rPr>
          <w:rStyle w:val="Refdenotaalpie"/>
          <w:rFonts w:ascii="Verdana" w:hAnsi="Verdana"/>
          <w:sz w:val="14"/>
          <w:szCs w:val="14"/>
        </w:rPr>
        <w:footnoteRef/>
      </w:r>
      <w:r w:rsidRPr="004E6EBE">
        <w:rPr>
          <w:rFonts w:ascii="Verdana" w:hAnsi="Verdana"/>
          <w:sz w:val="14"/>
          <w:szCs w:val="14"/>
        </w:rPr>
        <w:t xml:space="preserve"> HERNANDÉZ SILVA, Aida Patricia. La cesión del contrato en “La reforma francesa del derecho de los contratos y de las obligaciones: ¿fuente de inspiración para una futura reforma en derecho colombiano?”. Pág. 474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AF5F" w14:textId="77777777" w:rsidR="00EC32AD" w:rsidRDefault="00D716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7D8A8D2" wp14:editId="6DD13F1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F6DC45A" wp14:editId="01125B5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AF9C0A7" w14:textId="77777777" w:rsidR="00EC32AD" w:rsidRDefault="00EC32AD">
    <w:pPr>
      <w:pStyle w:val="Encabezado"/>
    </w:pPr>
  </w:p>
  <w:p w14:paraId="1A60AB26" w14:textId="77777777" w:rsidR="00EC32AD" w:rsidRDefault="00EC32AD" w:rsidP="004A305D">
    <w:pPr>
      <w:spacing w:after="0"/>
      <w:rPr>
        <w:rFonts w:ascii="Verdana" w:hAnsi="Verdana"/>
        <w:b/>
        <w:bCs/>
      </w:rPr>
    </w:pPr>
  </w:p>
  <w:p w14:paraId="09929A8A" w14:textId="77777777" w:rsidR="00EC32AD" w:rsidRPr="004A305D" w:rsidRDefault="00EC32AD" w:rsidP="00B01B1A">
    <w:pPr>
      <w:spacing w:after="0" w:line="120" w:lineRule="auto"/>
      <w:rPr>
        <w:rFonts w:ascii="Century Gothic" w:eastAsia="Geo" w:hAnsi="Century Gothic" w:cs="Geo"/>
        <w:sz w:val="16"/>
        <w:szCs w:val="16"/>
        <w:lang w:eastAsia="es-CO"/>
      </w:rPr>
    </w:pPr>
  </w:p>
  <w:p w14:paraId="583F496B" w14:textId="77777777" w:rsidR="00EC32AD" w:rsidRDefault="00EC32A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1100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91B"/>
    <w:rsid w:val="001E1E1D"/>
    <w:rsid w:val="00474DF4"/>
    <w:rsid w:val="004F471F"/>
    <w:rsid w:val="0059094F"/>
    <w:rsid w:val="005C5BB7"/>
    <w:rsid w:val="009024F8"/>
    <w:rsid w:val="009A2C31"/>
    <w:rsid w:val="00C24FFE"/>
    <w:rsid w:val="00C64FFB"/>
    <w:rsid w:val="00D3191B"/>
    <w:rsid w:val="00D716B5"/>
    <w:rsid w:val="00EC32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9F5D9"/>
  <w15:chartTrackingRefBased/>
  <w15:docId w15:val="{B1C2C1DB-D828-49D2-ACEB-3BEFC6DB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91B"/>
    <w:rPr>
      <w:kern w:val="0"/>
      <w14:ligatures w14:val="none"/>
    </w:rPr>
  </w:style>
  <w:style w:type="paragraph" w:styleId="Ttulo1">
    <w:name w:val="heading 1"/>
    <w:basedOn w:val="Normal"/>
    <w:next w:val="Normal"/>
    <w:link w:val="Ttulo1Car"/>
    <w:uiPriority w:val="9"/>
    <w:qFormat/>
    <w:rsid w:val="00D319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319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3191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3191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3191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319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19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19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19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191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3191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3191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3191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3191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319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19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19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191B"/>
    <w:rPr>
      <w:rFonts w:eastAsiaTheme="majorEastAsia" w:cstheme="majorBidi"/>
      <w:color w:val="272727" w:themeColor="text1" w:themeTint="D8"/>
    </w:rPr>
  </w:style>
  <w:style w:type="paragraph" w:styleId="Ttulo">
    <w:name w:val="Title"/>
    <w:basedOn w:val="Normal"/>
    <w:next w:val="Normal"/>
    <w:link w:val="TtuloCar"/>
    <w:uiPriority w:val="10"/>
    <w:qFormat/>
    <w:rsid w:val="00D31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19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19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19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191B"/>
    <w:pPr>
      <w:spacing w:before="160"/>
      <w:jc w:val="center"/>
    </w:pPr>
    <w:rPr>
      <w:i/>
      <w:iCs/>
      <w:color w:val="404040" w:themeColor="text1" w:themeTint="BF"/>
    </w:rPr>
  </w:style>
  <w:style w:type="character" w:customStyle="1" w:styleId="CitaCar">
    <w:name w:val="Cita Car"/>
    <w:basedOn w:val="Fuentedeprrafopredeter"/>
    <w:link w:val="Cita"/>
    <w:uiPriority w:val="29"/>
    <w:rsid w:val="00D3191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3191B"/>
    <w:pPr>
      <w:ind w:left="720"/>
      <w:contextualSpacing/>
    </w:pPr>
  </w:style>
  <w:style w:type="character" w:styleId="nfasisintenso">
    <w:name w:val="Intense Emphasis"/>
    <w:basedOn w:val="Fuentedeprrafopredeter"/>
    <w:uiPriority w:val="21"/>
    <w:qFormat/>
    <w:rsid w:val="00D3191B"/>
    <w:rPr>
      <w:i/>
      <w:iCs/>
      <w:color w:val="2F5496" w:themeColor="accent1" w:themeShade="BF"/>
    </w:rPr>
  </w:style>
  <w:style w:type="paragraph" w:styleId="Citadestacada">
    <w:name w:val="Intense Quote"/>
    <w:basedOn w:val="Normal"/>
    <w:next w:val="Normal"/>
    <w:link w:val="CitadestacadaCar"/>
    <w:uiPriority w:val="30"/>
    <w:qFormat/>
    <w:rsid w:val="00D319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3191B"/>
    <w:rPr>
      <w:i/>
      <w:iCs/>
      <w:color w:val="2F5496" w:themeColor="accent1" w:themeShade="BF"/>
    </w:rPr>
  </w:style>
  <w:style w:type="character" w:styleId="Referenciaintensa">
    <w:name w:val="Intense Reference"/>
    <w:basedOn w:val="Fuentedeprrafopredeter"/>
    <w:uiPriority w:val="32"/>
    <w:qFormat/>
    <w:rsid w:val="00D3191B"/>
    <w:rPr>
      <w:b/>
      <w:bCs/>
      <w:smallCaps/>
      <w:color w:val="2F5496" w:themeColor="accent1" w:themeShade="BF"/>
      <w:spacing w:val="5"/>
    </w:rPr>
  </w:style>
  <w:style w:type="paragraph" w:styleId="Encabezado">
    <w:name w:val="header"/>
    <w:basedOn w:val="Normal"/>
    <w:link w:val="EncabezadoCar"/>
    <w:uiPriority w:val="99"/>
    <w:unhideWhenUsed/>
    <w:rsid w:val="00D319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191B"/>
    <w:rPr>
      <w:kern w:val="0"/>
      <w14:ligatures w14:val="none"/>
    </w:rPr>
  </w:style>
  <w:style w:type="paragraph" w:styleId="Piedepgina">
    <w:name w:val="footer"/>
    <w:basedOn w:val="Normal"/>
    <w:link w:val="PiedepginaCar"/>
    <w:uiPriority w:val="99"/>
    <w:unhideWhenUsed/>
    <w:rsid w:val="00D319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191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3191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3191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3191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3191B"/>
    <w:rPr>
      <w:vertAlign w:val="superscript"/>
    </w:rPr>
  </w:style>
  <w:style w:type="character" w:customStyle="1" w:styleId="normaltextrun">
    <w:name w:val="normaltextrun"/>
    <w:basedOn w:val="Fuentedeprrafopredeter"/>
    <w:rsid w:val="00D3191B"/>
  </w:style>
  <w:style w:type="table" w:styleId="Tablaconcuadrcula">
    <w:name w:val="Table Grid"/>
    <w:basedOn w:val="Tablanormal"/>
    <w:uiPriority w:val="39"/>
    <w:qFormat/>
    <w:rsid w:val="00D319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3191B"/>
    <w:rPr>
      <w:color w:val="0000FF"/>
      <w:u w:val="single"/>
    </w:rPr>
  </w:style>
  <w:style w:type="table" w:customStyle="1" w:styleId="Tablaconcuadrcula1">
    <w:name w:val="Tabla con cuadrícula1"/>
    <w:basedOn w:val="Tablanormal"/>
    <w:next w:val="Tablaconcuadrcula"/>
    <w:uiPriority w:val="59"/>
    <w:rsid w:val="00D3191B"/>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3191B"/>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31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rdila@mincultura.gov.co"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lombiacompra.gov.co/sites/cce_public/files/files_2020/boletin_de_realtoria_viii.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manuales-guias-y-pliegos-tipo/manuales-y-guias/guia-para-incentivar-la-participacion-de-las-mujer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www.colombiacompra.gov.co%2Fmanuales-guias-y-pliegos-tipo%2Fmanuales-y-guias%2Fguia-para-el-manejo-de-ofertas-artificialmente-baja-0&amp;data=05%7C02%7Csergio.caballero%40colombiacompra.gov.co%7C925ae1c2336243aecb2908dd21173dd2%7C7b09041e245149d08cb179d5e3d8c1be%7C0%7C0%7C638703105896351532%7CUnknown%7CTWFpbGZsb3d8eyJFbXB0eU1hcGkiOnRydWUsIlYiOiIwLjAuMDAwMCIsIlAiOiJXaW4zMiIsIkFOIjoiTWFpbCIsIldUIjoyfQ%3D%3D%7C0%7C%7C%7C&amp;sdata=I10CWLN7U2GgVC43ALaje6DbObLei%2FiW0OIn%2BxizJzc%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DCF4D3-6621-4B5E-BC88-F9ECD5CDDA08}"/>
</file>

<file path=customXml/itemProps2.xml><?xml version="1.0" encoding="utf-8"?>
<ds:datastoreItem xmlns:ds="http://schemas.openxmlformats.org/officeDocument/2006/customXml" ds:itemID="{B4195470-9495-4E11-93E5-57E44EC0BA2F}"/>
</file>

<file path=customXml/itemProps3.xml><?xml version="1.0" encoding="utf-8"?>
<ds:datastoreItem xmlns:ds="http://schemas.openxmlformats.org/officeDocument/2006/customXml" ds:itemID="{5A67787F-9465-4211-8C4E-B1F24A114200}"/>
</file>

<file path=docProps/app.xml><?xml version="1.0" encoding="utf-8"?>
<Properties xmlns="http://schemas.openxmlformats.org/officeDocument/2006/extended-properties" xmlns:vt="http://schemas.openxmlformats.org/officeDocument/2006/docPropsVTypes">
  <Template>Normal</Template>
  <TotalTime>5</TotalTime>
  <Pages>18</Pages>
  <Words>6445</Words>
  <Characters>35449</Characters>
  <Application>Microsoft Office Word</Application>
  <DocSecurity>0</DocSecurity>
  <Lines>295</Lines>
  <Paragraphs>83</Paragraphs>
  <ScaleCrop>false</ScaleCrop>
  <Company/>
  <LinksUpToDate>false</LinksUpToDate>
  <CharactersWithSpaces>41811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5</cp:revision>
  <dcterms:created xsi:type="dcterms:W3CDTF">2024-12-31T01:50:00Z</dcterms:created>
  <dcterms:modified xsi:type="dcterms:W3CDTF">2025-01-21T14:24:00Z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