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7E2F3" w14:textId="77777777" w:rsidR="00781134" w:rsidRPr="00A46476" w:rsidRDefault="00D6199D" w:rsidP="00DF413F">
      <w:pPr>
        <w:spacing w:after="120" w:line="276" w:lineRule="auto"/>
        <w:jc w:val="both"/>
        <w:rPr>
          <w:rFonts w:ascii="Verdana" w:eastAsia="Calibri" w:hAnsi="Verdana" w:cs="Arial"/>
          <w:b/>
          <w:bCs/>
          <w:lang w:val="es-ES_tradnl" w:eastAsia="es-ES"/>
        </w:rPr>
      </w:pPr>
      <w:bookmarkStart w:id="0" w:name="_Hlk202875225"/>
      <w:bookmarkStart w:id="1" w:name="_Hlk203032812"/>
      <w:bookmarkStart w:id="2" w:name="_Hlk204367265"/>
      <w:bookmarkStart w:id="3" w:name="_Hlk143780582"/>
      <w:r w:rsidRPr="00A46476">
        <w:rPr>
          <w:rFonts w:ascii="Verdana" w:eastAsia="Calibri" w:hAnsi="Verdana" w:cs="Arial"/>
          <w:b/>
          <w:bCs/>
          <w:lang w:val="es-ES_tradnl" w:eastAsia="es-ES"/>
        </w:rPr>
        <w:t>INHABILIDADES E INCOMPATIBILIDADES – Límites a la capacidad</w:t>
      </w:r>
    </w:p>
    <w:p w14:paraId="327C570D" w14:textId="3C6E0DA6" w:rsidR="00781134" w:rsidRDefault="00781134" w:rsidP="00A46476">
      <w:pPr>
        <w:spacing w:after="0" w:line="240" w:lineRule="auto"/>
        <w:jc w:val="both"/>
        <w:rPr>
          <w:rFonts w:ascii="Verdana" w:eastAsia="Calibri" w:hAnsi="Verdana" w:cs="Arial"/>
          <w:color w:val="000000" w:themeColor="text1"/>
          <w:sz w:val="20"/>
          <w:szCs w:val="20"/>
          <w:lang w:val="es-ES_tradnl"/>
        </w:rPr>
      </w:pPr>
      <w:r w:rsidRPr="00A46476">
        <w:rPr>
          <w:rFonts w:ascii="Verdana" w:eastAsia="Calibri" w:hAnsi="Verdana" w:cs="Arial"/>
          <w:color w:val="000000" w:themeColor="text1"/>
          <w:sz w:val="20"/>
          <w:szCs w:val="20"/>
          <w:lang w:val="es-ES_tradnl"/>
        </w:rPr>
        <w:t xml:space="preserve">En la contratación estatal, la </w:t>
      </w:r>
      <w:r w:rsidRPr="00A46476">
        <w:rPr>
          <w:rFonts w:ascii="Verdana" w:eastAsia="Calibri" w:hAnsi="Verdana" w:cs="Arial"/>
          <w:i/>
          <w:iCs/>
          <w:color w:val="000000" w:themeColor="text1"/>
          <w:sz w:val="20"/>
          <w:szCs w:val="20"/>
          <w:lang w:val="es-ES_tradnl"/>
        </w:rPr>
        <w:t>capacidad</w:t>
      </w:r>
      <w:r w:rsidRPr="00A46476">
        <w:rPr>
          <w:rFonts w:ascii="Verdana" w:eastAsia="Calibri" w:hAnsi="Verdana" w:cs="Arial"/>
          <w:color w:val="000000" w:themeColor="text1"/>
          <w:sz w:val="20"/>
          <w:szCs w:val="20"/>
          <w:lang w:val="es-ES_tradnl"/>
        </w:rPr>
        <w:t xml:space="preserve"> también es un requisito de validez de los contratos, tanto en el régimen de las entidades sujetas al Estatuto General de Contratación de la Administración Pública como en el de las entidades exceptuadas de aquel. Dicha capacidad está sujeta </w:t>
      </w:r>
      <w:r w:rsidRPr="00A46476">
        <w:rPr>
          <w:rFonts w:ascii="Verdana" w:eastAsia="Calibri" w:hAnsi="Verdana" w:cs="Arial"/>
          <w:color w:val="000000" w:themeColor="text1"/>
          <w:sz w:val="20"/>
          <w:szCs w:val="20"/>
        </w:rPr>
        <w:t>al régimen de inhabilidades e incompatibilidades, definidas como un conjunto de normas que imponen restricciones para los sujetos que, eventualmente, pretendan participar en los procedimientos de selección o celebrar contratos con las entidades estatales</w:t>
      </w:r>
      <w:r w:rsidRPr="00A46476">
        <w:rPr>
          <w:rFonts w:ascii="Verdana" w:eastAsia="Calibri" w:hAnsi="Verdana" w:cs="Arial"/>
          <w:color w:val="000000" w:themeColor="text1"/>
          <w:sz w:val="20"/>
          <w:szCs w:val="20"/>
          <w:lang w:val="es-ES_tradnl"/>
        </w:rPr>
        <w:t>.</w:t>
      </w:r>
    </w:p>
    <w:p w14:paraId="5FDDE1B7" w14:textId="77777777" w:rsidR="00A46476" w:rsidRPr="00A46476" w:rsidRDefault="00A46476" w:rsidP="00A46476">
      <w:pPr>
        <w:spacing w:after="0" w:line="240" w:lineRule="auto"/>
        <w:jc w:val="both"/>
        <w:rPr>
          <w:rFonts w:ascii="Verdana" w:eastAsia="Calibri" w:hAnsi="Verdana" w:cs="Arial"/>
          <w:color w:val="000000" w:themeColor="text1"/>
          <w:sz w:val="20"/>
          <w:szCs w:val="20"/>
        </w:rPr>
      </w:pPr>
    </w:p>
    <w:p w14:paraId="0960714A" w14:textId="047A42B4" w:rsidR="00781134" w:rsidRPr="00A46476" w:rsidRDefault="00781134" w:rsidP="00DF413F">
      <w:pPr>
        <w:spacing w:after="120" w:line="276" w:lineRule="auto"/>
        <w:jc w:val="both"/>
        <w:rPr>
          <w:rFonts w:ascii="Verdana" w:eastAsia="Calibri" w:hAnsi="Verdana" w:cs="Arial"/>
          <w:b/>
          <w:bCs/>
          <w:lang w:eastAsia="es-ES"/>
        </w:rPr>
      </w:pPr>
      <w:r w:rsidRPr="00A46476">
        <w:rPr>
          <w:rFonts w:ascii="Verdana" w:eastAsia="Calibri" w:hAnsi="Verdana" w:cs="Arial"/>
          <w:b/>
          <w:bCs/>
          <w:lang w:eastAsia="es-ES"/>
        </w:rPr>
        <w:t xml:space="preserve">INHABILIDADDES E INCOMPATIBILIDADES – Régimen </w:t>
      </w:r>
    </w:p>
    <w:p w14:paraId="62EE1D58" w14:textId="078C4EBE" w:rsidR="00781134" w:rsidRPr="00A46476" w:rsidRDefault="00781134" w:rsidP="00A46476">
      <w:pPr>
        <w:spacing w:after="0" w:line="240" w:lineRule="auto"/>
        <w:jc w:val="both"/>
        <w:rPr>
          <w:rFonts w:ascii="Verdana" w:eastAsia="Calibri" w:hAnsi="Verdana" w:cs="Arial"/>
          <w:color w:val="000000" w:themeColor="text1"/>
          <w:sz w:val="20"/>
          <w:szCs w:val="20"/>
          <w:lang w:val="es-ES"/>
        </w:rPr>
      </w:pPr>
      <w:r w:rsidRPr="00A46476">
        <w:rPr>
          <w:rFonts w:ascii="Verdana" w:eastAsia="Calibri" w:hAnsi="Verdana" w:cs="Arial"/>
          <w:color w:val="000000" w:themeColor="text1"/>
          <w:sz w:val="20"/>
          <w:szCs w:val="20"/>
          <w:lang w:val="es-ES"/>
        </w:rPr>
        <w:t xml:space="preserve">El régimen de inhabilidades para contratar con el Estado es un conjunto de restricciones establecidas por el constituyente o el legislador </w:t>
      </w:r>
      <w:r w:rsidRPr="00A46476">
        <w:rPr>
          <w:rFonts w:ascii="Verdana" w:eastAsia="Calibri" w:hAnsi="Verdana" w:cs="Arial"/>
          <w:sz w:val="20"/>
          <w:szCs w:val="20"/>
          <w:lang w:val="es-MX"/>
        </w:rPr>
        <w:t xml:space="preserve">que afectan directamente la capacidad de las personas para </w:t>
      </w:r>
      <w:r w:rsidRPr="00A46476">
        <w:rPr>
          <w:rFonts w:ascii="Verdana" w:eastAsia="Calibri" w:hAnsi="Verdana" w:cs="Arial"/>
          <w:color w:val="000000" w:themeColor="text1"/>
          <w:sz w:val="20"/>
          <w:szCs w:val="20"/>
          <w:lang w:val="es-ES"/>
        </w:rPr>
        <w:t xml:space="preserve">concurrir a los procedimientos de selección y para contratar con el Estado, que se derivan i) de la existencia de comportamientos reprochables o de sanciones anteriormente impuestas, </w:t>
      </w:r>
      <w:proofErr w:type="spellStart"/>
      <w:r w:rsidRPr="00A46476">
        <w:rPr>
          <w:rFonts w:ascii="Verdana" w:eastAsia="Calibri" w:hAnsi="Verdana" w:cs="Arial"/>
          <w:color w:val="000000" w:themeColor="text1"/>
          <w:sz w:val="20"/>
          <w:szCs w:val="20"/>
          <w:lang w:val="es-ES"/>
        </w:rPr>
        <w:t>ii</w:t>
      </w:r>
      <w:proofErr w:type="spellEnd"/>
      <w:r w:rsidRPr="00A46476">
        <w:rPr>
          <w:rFonts w:ascii="Verdana" w:eastAsia="Calibri" w:hAnsi="Verdana" w:cs="Arial"/>
          <w:color w:val="000000" w:themeColor="text1"/>
          <w:sz w:val="20"/>
          <w:szCs w:val="20"/>
          <w:lang w:val="es-ES"/>
        </w:rPr>
        <w:t xml:space="preserve">) de vínculos personales relativos al parentesco o al estado civil o </w:t>
      </w:r>
      <w:proofErr w:type="spellStart"/>
      <w:r w:rsidRPr="00A46476">
        <w:rPr>
          <w:rFonts w:ascii="Verdana" w:eastAsia="Calibri" w:hAnsi="Verdana" w:cs="Arial"/>
          <w:color w:val="000000" w:themeColor="text1"/>
          <w:sz w:val="20"/>
          <w:szCs w:val="20"/>
          <w:lang w:val="es-ES"/>
        </w:rPr>
        <w:t>iii</w:t>
      </w:r>
      <w:proofErr w:type="spellEnd"/>
      <w:r w:rsidRPr="00A46476">
        <w:rPr>
          <w:rFonts w:ascii="Verdana" w:eastAsia="Calibri" w:hAnsi="Verdana" w:cs="Arial"/>
          <w:color w:val="000000" w:themeColor="text1"/>
          <w:sz w:val="20"/>
          <w:szCs w:val="20"/>
          <w:lang w:val="es-ES"/>
        </w:rPr>
        <w:t xml:space="preserve">) de una actividad u oficio que se desempeñó en el pasado. De otro lado,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w:t>
      </w:r>
    </w:p>
    <w:p w14:paraId="596C399D" w14:textId="77777777" w:rsidR="00A46476" w:rsidRDefault="00A46476" w:rsidP="00A46476">
      <w:pPr>
        <w:spacing w:after="0" w:line="240" w:lineRule="auto"/>
        <w:jc w:val="both"/>
        <w:rPr>
          <w:rFonts w:ascii="Verdana" w:eastAsia="Calibri" w:hAnsi="Verdana" w:cs="Arial"/>
          <w:lang w:val="es-ES_tradnl" w:eastAsia="es-ES"/>
        </w:rPr>
      </w:pPr>
    </w:p>
    <w:p w14:paraId="08E1D3FC" w14:textId="6470E0C8" w:rsidR="00781134" w:rsidRPr="00A46476" w:rsidRDefault="00D6199D" w:rsidP="00DF413F">
      <w:pPr>
        <w:spacing w:after="120" w:line="276" w:lineRule="auto"/>
        <w:jc w:val="both"/>
        <w:rPr>
          <w:rFonts w:ascii="Verdana" w:eastAsia="Calibri" w:hAnsi="Verdana" w:cs="Arial"/>
          <w:b/>
          <w:bCs/>
          <w:lang w:val="es-ES_tradnl" w:eastAsia="es-ES"/>
        </w:rPr>
      </w:pPr>
      <w:r w:rsidRPr="00A46476">
        <w:rPr>
          <w:rFonts w:ascii="Verdana" w:eastAsia="Calibri" w:hAnsi="Verdana" w:cs="Arial"/>
          <w:b/>
          <w:bCs/>
          <w:lang w:val="es-ES_tradnl" w:eastAsia="es-ES"/>
        </w:rPr>
        <w:t xml:space="preserve">INHABILIDADES E INCOMPATIBILIDADES – Concepto </w:t>
      </w:r>
    </w:p>
    <w:p w14:paraId="618CC0B7" w14:textId="64EC88E4" w:rsidR="00781134" w:rsidRPr="00A46476" w:rsidRDefault="00DF413F" w:rsidP="00A46476">
      <w:pPr>
        <w:spacing w:after="0" w:line="240" w:lineRule="auto"/>
        <w:jc w:val="both"/>
        <w:rPr>
          <w:rFonts w:ascii="Verdana" w:eastAsia="Calibri" w:hAnsi="Verdana" w:cs="Arial"/>
          <w:sz w:val="20"/>
          <w:szCs w:val="20"/>
          <w:lang w:val="es-ES_tradnl" w:eastAsia="es-ES"/>
        </w:rPr>
      </w:pPr>
      <w:r w:rsidRPr="00A46476">
        <w:rPr>
          <w:rFonts w:ascii="Verdana" w:eastAsia="Calibri" w:hAnsi="Verdana" w:cs="Arial"/>
          <w:color w:val="000000" w:themeColor="text1"/>
          <w:sz w:val="20"/>
          <w:szCs w:val="20"/>
          <w:lang w:val="es-ES"/>
        </w:rPr>
        <w:t xml:space="preserve">Es por eso </w:t>
      </w:r>
      <w:proofErr w:type="gramStart"/>
      <w:r w:rsidRPr="00A46476">
        <w:rPr>
          <w:rFonts w:ascii="Verdana" w:eastAsia="Calibri" w:hAnsi="Verdana" w:cs="Arial"/>
          <w:color w:val="000000" w:themeColor="text1"/>
          <w:sz w:val="20"/>
          <w:szCs w:val="20"/>
          <w:lang w:val="es-ES"/>
        </w:rPr>
        <w:t>que</w:t>
      </w:r>
      <w:proofErr w:type="gramEnd"/>
      <w:r w:rsidRPr="00A46476">
        <w:rPr>
          <w:rFonts w:ascii="Verdana" w:eastAsia="Calibri" w:hAnsi="Verdana" w:cs="Arial"/>
          <w:color w:val="000000" w:themeColor="text1"/>
          <w:sz w:val="20"/>
          <w:szCs w:val="20"/>
          <w:lang w:val="es-ES"/>
        </w:rPr>
        <w:t>, como lo ha destacado la doctrina, las inhabilidades e incompatibilidades son herramientas en la lucha contra la corrupción, adoptando paulatinamente un carácter sancionatorio o “</w:t>
      </w:r>
      <w:proofErr w:type="spellStart"/>
      <w:r w:rsidRPr="00A46476">
        <w:rPr>
          <w:rFonts w:ascii="Verdana" w:eastAsia="Calibri" w:hAnsi="Verdana" w:cs="Arial"/>
          <w:color w:val="000000" w:themeColor="text1"/>
          <w:sz w:val="20"/>
          <w:szCs w:val="20"/>
          <w:lang w:val="es-ES"/>
        </w:rPr>
        <w:t>neopunitivo</w:t>
      </w:r>
      <w:proofErr w:type="spellEnd"/>
      <w:r w:rsidRPr="00A46476">
        <w:rPr>
          <w:rFonts w:ascii="Verdana" w:eastAsia="Calibri" w:hAnsi="Verdana" w:cs="Arial"/>
          <w:color w:val="000000" w:themeColor="text1"/>
          <w:sz w:val="20"/>
          <w:szCs w:val="20"/>
          <w:lang w:val="es-ES"/>
        </w:rPr>
        <w:t>”. Si bien no todas las causales de inhabilidad y de incompatibilidad son consecuencia de una medida de reproche ni de una sanción previa, es indiscutible que en los años más recientes los lamentables hechos de corrupción han generado, como respuesta del legislador, un incremento de las restricciones a la capacidad contractual, dirigidas a prevenir este tipo de situaciones o a sancionar tales conductas.</w:t>
      </w:r>
      <w:r w:rsidR="00781134" w:rsidRPr="00A46476">
        <w:rPr>
          <w:rFonts w:ascii="Verdana" w:eastAsia="Calibri" w:hAnsi="Verdana" w:cs="Arial"/>
          <w:sz w:val="20"/>
          <w:szCs w:val="20"/>
          <w:lang w:val="es-ES_tradnl" w:eastAsia="es-ES"/>
        </w:rPr>
        <w:t xml:space="preserve"> </w:t>
      </w:r>
    </w:p>
    <w:p w14:paraId="58F5B014" w14:textId="77777777" w:rsidR="00A46476" w:rsidRDefault="00A46476" w:rsidP="00A46476">
      <w:pPr>
        <w:spacing w:after="0" w:line="240" w:lineRule="auto"/>
        <w:jc w:val="both"/>
        <w:rPr>
          <w:rFonts w:ascii="Verdana" w:eastAsia="Calibri" w:hAnsi="Verdana" w:cs="Arial"/>
          <w:lang w:val="es-ES_tradnl" w:eastAsia="es-ES"/>
        </w:rPr>
      </w:pPr>
    </w:p>
    <w:p w14:paraId="5D6DDEDD" w14:textId="6DB1CC40" w:rsidR="00781134" w:rsidRPr="00A46476" w:rsidRDefault="00781134" w:rsidP="00A46476">
      <w:pPr>
        <w:spacing w:after="0" w:line="240" w:lineRule="auto"/>
        <w:jc w:val="both"/>
        <w:rPr>
          <w:rFonts w:ascii="Verdana" w:eastAsia="Calibri" w:hAnsi="Verdana" w:cs="Arial"/>
          <w:b/>
          <w:bCs/>
          <w:color w:val="000000" w:themeColor="text1"/>
          <w:lang w:val="es-ES_tradnl"/>
        </w:rPr>
      </w:pPr>
      <w:r w:rsidRPr="00A46476">
        <w:rPr>
          <w:rFonts w:ascii="Verdana" w:eastAsia="Calibri" w:hAnsi="Verdana" w:cs="Arial"/>
          <w:b/>
          <w:bCs/>
          <w:lang w:val="es-ES_tradnl" w:eastAsia="es-ES"/>
        </w:rPr>
        <w:t xml:space="preserve">INHABILIDADES E INCOMPATIBILIDADES – Interpretación restrictiva – Principio pro </w:t>
      </w:r>
      <w:proofErr w:type="spellStart"/>
      <w:r w:rsidRPr="00A46476">
        <w:rPr>
          <w:rFonts w:ascii="Verdana" w:eastAsia="Calibri" w:hAnsi="Verdana" w:cs="Arial"/>
          <w:b/>
          <w:bCs/>
          <w:lang w:val="es-ES_tradnl" w:eastAsia="es-ES"/>
        </w:rPr>
        <w:t>libertate</w:t>
      </w:r>
      <w:proofErr w:type="spellEnd"/>
      <w:r w:rsidRPr="00A46476">
        <w:rPr>
          <w:rFonts w:ascii="Verdana" w:eastAsia="Calibri" w:hAnsi="Verdana" w:cs="Arial"/>
          <w:b/>
          <w:bCs/>
          <w:lang w:val="es-ES_tradnl" w:eastAsia="es-ES"/>
        </w:rPr>
        <w:t xml:space="preserve"> </w:t>
      </w:r>
    </w:p>
    <w:p w14:paraId="364E20AA" w14:textId="77777777" w:rsidR="00A46476" w:rsidRDefault="00A46476" w:rsidP="00A46476">
      <w:pPr>
        <w:spacing w:after="0" w:line="240" w:lineRule="auto"/>
        <w:jc w:val="both"/>
        <w:rPr>
          <w:rFonts w:ascii="Verdana" w:eastAsia="Calibri" w:hAnsi="Verdana" w:cs="Arial"/>
          <w:color w:val="000000" w:themeColor="text1"/>
          <w:lang w:val="es-ES_tradnl"/>
        </w:rPr>
      </w:pPr>
    </w:p>
    <w:p w14:paraId="56CF8EC8" w14:textId="6F62A483" w:rsidR="00DF413F" w:rsidRPr="00A46476" w:rsidRDefault="00DF413F" w:rsidP="00A46476">
      <w:pPr>
        <w:spacing w:after="0" w:line="240" w:lineRule="auto"/>
        <w:jc w:val="both"/>
        <w:rPr>
          <w:rFonts w:ascii="Verdana" w:eastAsia="Calibri" w:hAnsi="Verdana" w:cs="Arial"/>
          <w:color w:val="000000" w:themeColor="text1"/>
          <w:sz w:val="20"/>
          <w:szCs w:val="20"/>
          <w:lang w:val="es-ES"/>
        </w:rPr>
      </w:pPr>
      <w:r w:rsidRPr="00A46476">
        <w:rPr>
          <w:rFonts w:ascii="Verdana" w:eastAsia="Calibri" w:hAnsi="Verdana" w:cs="Arial"/>
          <w:color w:val="000000" w:themeColor="text1"/>
          <w:sz w:val="20"/>
          <w:szCs w:val="20"/>
          <w:lang w:val="es-ES_tradnl"/>
        </w:rPr>
        <w:t xml:space="preserve">Ahora bien, las inhabilidades e incompatibilidades </w:t>
      </w:r>
      <w:r w:rsidR="00781134" w:rsidRPr="00A46476">
        <w:rPr>
          <w:rFonts w:ascii="Verdana" w:eastAsia="Calibri" w:hAnsi="Verdana" w:cs="Arial"/>
          <w:color w:val="000000" w:themeColor="text1"/>
          <w:sz w:val="20"/>
          <w:szCs w:val="20"/>
          <w:lang w:val="es-ES_tradnl"/>
        </w:rPr>
        <w:t>[…]</w:t>
      </w:r>
      <w:r w:rsidRPr="00A46476">
        <w:rPr>
          <w:rFonts w:ascii="Verdana" w:eastAsia="Calibri" w:hAnsi="Verdana" w:cs="Arial"/>
          <w:color w:val="000000" w:themeColor="text1"/>
          <w:sz w:val="20"/>
          <w:szCs w:val="20"/>
          <w:lang w:val="es-ES_tradnl"/>
        </w:rPr>
        <w:t xml:space="preserve"> solo pueden tipificarse en la ley –o sea, deben satisfacer el principio de legalidad– y su interpretación debe ser </w:t>
      </w:r>
      <w:r w:rsidRPr="00A46476">
        <w:rPr>
          <w:rFonts w:ascii="Verdana" w:eastAsia="Calibri" w:hAnsi="Verdana" w:cs="Arial"/>
          <w:i/>
          <w:iCs/>
          <w:color w:val="000000" w:themeColor="text1"/>
          <w:sz w:val="20"/>
          <w:szCs w:val="20"/>
          <w:lang w:val="es-ES_tradnl"/>
        </w:rPr>
        <w:t>restrictiva</w:t>
      </w:r>
      <w:r w:rsidRPr="00A46476">
        <w:rPr>
          <w:rFonts w:ascii="Verdana" w:eastAsia="Calibri" w:hAnsi="Verdana" w:cs="Arial"/>
          <w:color w:val="000000" w:themeColor="text1"/>
          <w:sz w:val="20"/>
          <w:szCs w:val="20"/>
          <w:lang w:val="es-ES_tradnl"/>
        </w:rPr>
        <w:t xml:space="preserve">. </w:t>
      </w:r>
    </w:p>
    <w:p w14:paraId="56DAE2F7" w14:textId="77777777" w:rsidR="00A46476" w:rsidRDefault="00A46476" w:rsidP="00A46476">
      <w:pPr>
        <w:spacing w:after="0" w:line="240" w:lineRule="auto"/>
        <w:jc w:val="both"/>
        <w:rPr>
          <w:rFonts w:ascii="Verdana" w:eastAsia="Calibri" w:hAnsi="Verdana" w:cs="Arial"/>
          <w:color w:val="000000" w:themeColor="text1"/>
          <w:sz w:val="20"/>
          <w:szCs w:val="20"/>
          <w:lang w:val="es-ES"/>
        </w:rPr>
      </w:pPr>
    </w:p>
    <w:p w14:paraId="17358CA2" w14:textId="6E47E2F6" w:rsidR="00781134" w:rsidRPr="00A46476" w:rsidRDefault="00781134" w:rsidP="00A46476">
      <w:pPr>
        <w:spacing w:after="0" w:line="240" w:lineRule="auto"/>
        <w:jc w:val="both"/>
        <w:rPr>
          <w:rFonts w:ascii="Verdana" w:eastAsia="Calibri" w:hAnsi="Verdana" w:cs="Arial"/>
          <w:color w:val="000000" w:themeColor="text1"/>
          <w:sz w:val="20"/>
          <w:szCs w:val="20"/>
          <w:lang w:val="es-ES"/>
        </w:rPr>
      </w:pPr>
      <w:r w:rsidRPr="00A46476">
        <w:rPr>
          <w:rFonts w:ascii="Verdana" w:eastAsia="Calibri" w:hAnsi="Verdana" w:cs="Arial"/>
          <w:color w:val="000000" w:themeColor="text1"/>
          <w:sz w:val="20"/>
          <w:szCs w:val="20"/>
          <w:lang w:val="es-ES"/>
        </w:rPr>
        <w:t xml:space="preserve">[…] </w:t>
      </w:r>
    </w:p>
    <w:p w14:paraId="4AD1F893" w14:textId="77777777" w:rsidR="00A46476" w:rsidRDefault="00A46476" w:rsidP="00A46476">
      <w:pPr>
        <w:spacing w:after="0" w:line="240" w:lineRule="auto"/>
        <w:jc w:val="both"/>
        <w:rPr>
          <w:rFonts w:ascii="Verdana" w:eastAsia="Calibri" w:hAnsi="Verdana" w:cs="Arial"/>
          <w:color w:val="000000" w:themeColor="text1"/>
          <w:sz w:val="20"/>
          <w:szCs w:val="20"/>
          <w:lang w:val="es-ES"/>
        </w:rPr>
      </w:pPr>
    </w:p>
    <w:p w14:paraId="73A56259" w14:textId="2641F147" w:rsidR="00DF413F" w:rsidRPr="00A46476" w:rsidRDefault="00DF413F" w:rsidP="00A46476">
      <w:pPr>
        <w:spacing w:after="0" w:line="240" w:lineRule="auto"/>
        <w:jc w:val="both"/>
        <w:rPr>
          <w:rFonts w:ascii="Verdana" w:eastAsia="Calibri" w:hAnsi="Verdana" w:cs="Arial"/>
          <w:color w:val="000000" w:themeColor="text1"/>
          <w:sz w:val="20"/>
          <w:szCs w:val="20"/>
          <w:lang w:val="es-ES"/>
        </w:rPr>
      </w:pPr>
      <w:r w:rsidRPr="00A46476">
        <w:rPr>
          <w:rFonts w:ascii="Verdana" w:eastAsia="Calibri" w:hAnsi="Verdana" w:cs="Arial"/>
          <w:color w:val="000000" w:themeColor="text1"/>
          <w:sz w:val="20"/>
          <w:szCs w:val="20"/>
          <w:lang w:val="es-ES"/>
        </w:rPr>
        <w:t xml:space="preserve">Como se aprecia, el principio </w:t>
      </w:r>
      <w:r w:rsidRPr="00A46476">
        <w:rPr>
          <w:rFonts w:ascii="Verdana" w:eastAsia="Calibri" w:hAnsi="Verdana" w:cs="Arial"/>
          <w:i/>
          <w:color w:val="000000" w:themeColor="text1"/>
          <w:sz w:val="20"/>
          <w:szCs w:val="20"/>
          <w:lang w:val="es-ES"/>
        </w:rPr>
        <w:t xml:space="preserve">pro </w:t>
      </w:r>
      <w:proofErr w:type="spellStart"/>
      <w:r w:rsidRPr="00A46476">
        <w:rPr>
          <w:rFonts w:ascii="Verdana" w:eastAsia="Calibri" w:hAnsi="Verdana" w:cs="Arial"/>
          <w:i/>
          <w:color w:val="000000" w:themeColor="text1"/>
          <w:sz w:val="20"/>
          <w:szCs w:val="20"/>
          <w:lang w:val="es-ES"/>
        </w:rPr>
        <w:t>libertate</w:t>
      </w:r>
      <w:proofErr w:type="spellEnd"/>
      <w:r w:rsidRPr="00A46476">
        <w:rPr>
          <w:rFonts w:ascii="Verdana" w:eastAsia="Calibri" w:hAnsi="Verdana" w:cs="Arial"/>
          <w:color w:val="000000" w:themeColor="text1"/>
          <w:sz w:val="20"/>
          <w:szCs w:val="20"/>
          <w:lang w:val="es-ES"/>
        </w:rPr>
        <w:t xml:space="preserve"> es el que debe dirigir la interpretación de las disposiciones normativas que consagran restricciones de derechos, como sucede con las causales de inhabilidad e incompatibilidad en la contratación estatal. El carácter reconocidamente taxativo y restrictivo de régimen de inhabilidades obedece a la necesidad de salvaguardar el interés general inherente en la contratación pública, de </w:t>
      </w:r>
      <w:r w:rsidRPr="00A46476">
        <w:rPr>
          <w:rFonts w:ascii="Verdana" w:eastAsia="Calibri" w:hAnsi="Verdana" w:cs="Arial"/>
          <w:color w:val="000000" w:themeColor="text1"/>
          <w:sz w:val="20"/>
          <w:szCs w:val="20"/>
          <w:lang w:val="es-ES"/>
        </w:rPr>
        <w:lastRenderedPageBreak/>
        <w:t>forma que implique el menor sacrificio posible al derecho de igualdad y de reconocimiento de la personalidad jurídica de quienes aspiran a contratar con el Estado.</w:t>
      </w:r>
    </w:p>
    <w:p w14:paraId="6F2CD06B" w14:textId="77777777" w:rsidR="00A46476" w:rsidRDefault="00A46476" w:rsidP="00A46476">
      <w:pPr>
        <w:spacing w:after="0" w:line="240" w:lineRule="auto"/>
        <w:jc w:val="both"/>
        <w:rPr>
          <w:rFonts w:ascii="Verdana" w:eastAsia="Calibri" w:hAnsi="Verdana" w:cs="Arial"/>
          <w:b/>
          <w:bCs/>
          <w:lang w:val="es-ES_tradnl" w:eastAsia="es-ES"/>
        </w:rPr>
      </w:pPr>
    </w:p>
    <w:p w14:paraId="7A0B32E1" w14:textId="7439F9B0" w:rsidR="00781134" w:rsidRPr="00781134" w:rsidRDefault="00781134" w:rsidP="00A46476">
      <w:pPr>
        <w:spacing w:after="0" w:line="240" w:lineRule="auto"/>
        <w:jc w:val="both"/>
        <w:rPr>
          <w:rFonts w:ascii="Verdana" w:eastAsia="Calibri" w:hAnsi="Verdana" w:cs="Arial"/>
          <w:b/>
          <w:bCs/>
          <w:color w:val="000000" w:themeColor="text1"/>
          <w:lang w:val="es-ES_tradnl"/>
        </w:rPr>
      </w:pPr>
      <w:r w:rsidRPr="00781134">
        <w:rPr>
          <w:rFonts w:ascii="Verdana" w:eastAsia="Calibri" w:hAnsi="Verdana" w:cs="Arial"/>
          <w:b/>
          <w:bCs/>
          <w:lang w:val="es-ES_tradnl" w:eastAsia="es-ES"/>
        </w:rPr>
        <w:t xml:space="preserve">INHABILIDADES E INCOMPATIBILIDADES – Ley 80 de 1993 – Artículo 8 – Numeral 2 – Literal D – </w:t>
      </w:r>
    </w:p>
    <w:p w14:paraId="3C145D54" w14:textId="77777777" w:rsidR="00A46476" w:rsidRDefault="00A46476" w:rsidP="00A46476">
      <w:pPr>
        <w:autoSpaceDE w:val="0"/>
        <w:autoSpaceDN w:val="0"/>
        <w:adjustRightInd w:val="0"/>
        <w:spacing w:after="0" w:line="240" w:lineRule="auto"/>
        <w:jc w:val="both"/>
        <w:rPr>
          <w:rFonts w:ascii="Verdana" w:hAnsi="Verdana" w:cs="Arial"/>
          <w:color w:val="000000" w:themeColor="text1"/>
          <w:lang w:val="es-ES_tradnl"/>
        </w:rPr>
      </w:pPr>
    </w:p>
    <w:p w14:paraId="6D3B8D34" w14:textId="52199FCD" w:rsidR="00DF413F" w:rsidRPr="00A46476" w:rsidRDefault="00DF413F" w:rsidP="00A46476">
      <w:pPr>
        <w:autoSpaceDE w:val="0"/>
        <w:autoSpaceDN w:val="0"/>
        <w:adjustRightInd w:val="0"/>
        <w:spacing w:after="0" w:line="240" w:lineRule="auto"/>
        <w:jc w:val="both"/>
        <w:rPr>
          <w:rFonts w:ascii="Verdana" w:eastAsia="Calibri" w:hAnsi="Verdana" w:cs="Arial"/>
          <w:spacing w:val="-2"/>
          <w:sz w:val="20"/>
          <w:szCs w:val="20"/>
          <w:lang w:val="es-ES"/>
        </w:rPr>
      </w:pPr>
      <w:r w:rsidRPr="00A46476">
        <w:rPr>
          <w:rFonts w:ascii="Verdana" w:eastAsia="Calibri" w:hAnsi="Verdana" w:cs="Arial"/>
          <w:spacing w:val="-2"/>
          <w:sz w:val="20"/>
          <w:szCs w:val="20"/>
          <w:lang w:val="es-ES"/>
        </w:rPr>
        <w:t xml:space="preserve">De acuerdo con la norma transcrita, algunas personas jurídicas no podrán celebrar contratos con la entidad a la que pertenezca un servidor público que: i) ostente un cargo en el nivel directivo, asesor, ejecutivo o que sea miembro de la junta o consejo directivo de la entidad contratante; y que, simultáneamente, </w:t>
      </w:r>
      <w:proofErr w:type="spellStart"/>
      <w:r w:rsidRPr="00A46476">
        <w:rPr>
          <w:rFonts w:ascii="Verdana" w:eastAsia="Calibri" w:hAnsi="Verdana" w:cs="Arial"/>
          <w:spacing w:val="-2"/>
          <w:sz w:val="20"/>
          <w:szCs w:val="20"/>
          <w:lang w:val="es-ES"/>
        </w:rPr>
        <w:t>ii</w:t>
      </w:r>
      <w:proofErr w:type="spellEnd"/>
      <w:r w:rsidRPr="00A46476">
        <w:rPr>
          <w:rFonts w:ascii="Verdana" w:eastAsia="Calibri" w:hAnsi="Verdana" w:cs="Arial"/>
          <w:spacing w:val="-2"/>
          <w:sz w:val="20"/>
          <w:szCs w:val="20"/>
          <w:lang w:val="es-ES"/>
        </w:rPr>
        <w:t>) dicho servidor público o el cónyuge, compañero o compañera permanente o los parientes hasta el segundo grado de consanguinidad, afinidad o civil de cualquiera de ellos tenga participación en esas personas jurídicas o desempeñe un cargo de dirección o manejo.</w:t>
      </w:r>
    </w:p>
    <w:p w14:paraId="46A1C2C5" w14:textId="77777777" w:rsidR="00A46476" w:rsidRDefault="00A46476" w:rsidP="00A46476">
      <w:pPr>
        <w:autoSpaceDE w:val="0"/>
        <w:autoSpaceDN w:val="0"/>
        <w:adjustRightInd w:val="0"/>
        <w:spacing w:after="0" w:line="240" w:lineRule="auto"/>
        <w:jc w:val="both"/>
        <w:rPr>
          <w:rFonts w:ascii="Verdana" w:eastAsia="Calibri" w:hAnsi="Verdana" w:cs="Arial"/>
          <w:spacing w:val="-2"/>
          <w:sz w:val="20"/>
          <w:szCs w:val="20"/>
          <w:lang w:val="es-MX"/>
        </w:rPr>
      </w:pPr>
    </w:p>
    <w:p w14:paraId="20A4E8D2" w14:textId="3DBAE9A2" w:rsidR="00DF413F" w:rsidRPr="00A46476" w:rsidRDefault="00DF413F" w:rsidP="00A46476">
      <w:pPr>
        <w:autoSpaceDE w:val="0"/>
        <w:autoSpaceDN w:val="0"/>
        <w:adjustRightInd w:val="0"/>
        <w:spacing w:after="0" w:line="240" w:lineRule="auto"/>
        <w:jc w:val="both"/>
        <w:rPr>
          <w:rFonts w:ascii="Verdana" w:eastAsia="Calibri" w:hAnsi="Verdana" w:cs="Arial"/>
          <w:spacing w:val="-2"/>
          <w:sz w:val="20"/>
          <w:szCs w:val="20"/>
          <w:lang w:val="es-ES"/>
        </w:rPr>
      </w:pPr>
      <w:r w:rsidRPr="00A46476">
        <w:rPr>
          <w:rFonts w:ascii="Verdana" w:eastAsia="Calibri" w:hAnsi="Verdana" w:cs="Arial"/>
          <w:spacing w:val="-2"/>
          <w:sz w:val="20"/>
          <w:szCs w:val="20"/>
          <w:lang w:val="es-MX"/>
        </w:rPr>
        <w:t>Sobre</w:t>
      </w:r>
      <w:r w:rsidRPr="00A46476">
        <w:rPr>
          <w:rFonts w:ascii="Verdana" w:eastAsia="Calibri" w:hAnsi="Verdana" w:cs="Arial"/>
          <w:spacing w:val="-14"/>
          <w:sz w:val="20"/>
          <w:szCs w:val="20"/>
          <w:lang w:val="es-MX"/>
        </w:rPr>
        <w:t xml:space="preserve"> </w:t>
      </w:r>
      <w:r w:rsidRPr="00A46476">
        <w:rPr>
          <w:rFonts w:ascii="Verdana" w:eastAsia="Calibri" w:hAnsi="Verdana" w:cs="Arial"/>
          <w:spacing w:val="-2"/>
          <w:sz w:val="20"/>
          <w:szCs w:val="20"/>
          <w:lang w:val="es-MX"/>
        </w:rPr>
        <w:t>el</w:t>
      </w:r>
      <w:r w:rsidRPr="00A46476">
        <w:rPr>
          <w:rFonts w:ascii="Verdana" w:eastAsia="Calibri" w:hAnsi="Verdana" w:cs="Arial"/>
          <w:spacing w:val="-13"/>
          <w:sz w:val="20"/>
          <w:szCs w:val="20"/>
          <w:lang w:val="es-MX"/>
        </w:rPr>
        <w:t xml:space="preserve"> </w:t>
      </w:r>
      <w:r w:rsidRPr="00A46476">
        <w:rPr>
          <w:rFonts w:ascii="Verdana" w:eastAsia="Calibri" w:hAnsi="Verdana" w:cs="Arial"/>
          <w:spacing w:val="-2"/>
          <w:sz w:val="20"/>
          <w:szCs w:val="20"/>
          <w:lang w:val="es-MX"/>
        </w:rPr>
        <w:t>primer</w:t>
      </w:r>
      <w:r w:rsidRPr="00A46476">
        <w:rPr>
          <w:rFonts w:ascii="Verdana" w:eastAsia="Calibri" w:hAnsi="Verdana" w:cs="Arial"/>
          <w:spacing w:val="-13"/>
          <w:sz w:val="20"/>
          <w:szCs w:val="20"/>
          <w:lang w:val="es-MX"/>
        </w:rPr>
        <w:t xml:space="preserve"> </w:t>
      </w:r>
      <w:r w:rsidRPr="00A46476">
        <w:rPr>
          <w:rFonts w:ascii="Verdana" w:eastAsia="Calibri" w:hAnsi="Verdana" w:cs="Arial"/>
          <w:spacing w:val="-2"/>
          <w:sz w:val="20"/>
          <w:szCs w:val="20"/>
          <w:lang w:val="es-MX"/>
        </w:rPr>
        <w:t>aspecto,</w:t>
      </w:r>
      <w:r w:rsidRPr="00A46476">
        <w:rPr>
          <w:rFonts w:ascii="Verdana" w:eastAsia="Calibri" w:hAnsi="Verdana" w:cs="Arial"/>
          <w:spacing w:val="-14"/>
          <w:sz w:val="20"/>
          <w:szCs w:val="20"/>
          <w:lang w:val="es-MX"/>
        </w:rPr>
        <w:t xml:space="preserve"> </w:t>
      </w:r>
      <w:r w:rsidRPr="00A46476">
        <w:rPr>
          <w:rFonts w:ascii="Verdana" w:eastAsia="Calibri" w:hAnsi="Verdana" w:cs="Arial"/>
          <w:spacing w:val="-2"/>
          <w:sz w:val="20"/>
          <w:szCs w:val="20"/>
          <w:lang w:val="es-MX"/>
        </w:rPr>
        <w:t>hay</w:t>
      </w:r>
      <w:r w:rsidRPr="00A46476">
        <w:rPr>
          <w:rFonts w:ascii="Verdana" w:eastAsia="Calibri" w:hAnsi="Verdana" w:cs="Arial"/>
          <w:spacing w:val="-13"/>
          <w:sz w:val="20"/>
          <w:szCs w:val="20"/>
          <w:lang w:val="es-MX"/>
        </w:rPr>
        <w:t xml:space="preserve"> </w:t>
      </w:r>
      <w:r w:rsidRPr="00A46476">
        <w:rPr>
          <w:rFonts w:ascii="Verdana" w:eastAsia="Calibri" w:hAnsi="Verdana" w:cs="Arial"/>
          <w:spacing w:val="-1"/>
          <w:sz w:val="20"/>
          <w:szCs w:val="20"/>
          <w:lang w:val="es-MX"/>
        </w:rPr>
        <w:t>que</w:t>
      </w:r>
      <w:r w:rsidRPr="00A46476">
        <w:rPr>
          <w:rFonts w:ascii="Verdana" w:eastAsia="Calibri" w:hAnsi="Verdana" w:cs="Arial"/>
          <w:spacing w:val="-13"/>
          <w:sz w:val="20"/>
          <w:szCs w:val="20"/>
          <w:lang w:val="es-MX"/>
        </w:rPr>
        <w:t xml:space="preserve"> </w:t>
      </w:r>
      <w:r w:rsidRPr="00A46476">
        <w:rPr>
          <w:rFonts w:ascii="Verdana" w:eastAsia="Calibri" w:hAnsi="Verdana" w:cs="Arial"/>
          <w:spacing w:val="-1"/>
          <w:sz w:val="20"/>
          <w:szCs w:val="20"/>
          <w:lang w:val="es-MX"/>
        </w:rPr>
        <w:t>señalar</w:t>
      </w:r>
      <w:r w:rsidRPr="00A46476">
        <w:rPr>
          <w:rFonts w:ascii="Verdana" w:eastAsia="Calibri" w:hAnsi="Verdana" w:cs="Arial"/>
          <w:spacing w:val="-13"/>
          <w:sz w:val="20"/>
          <w:szCs w:val="20"/>
          <w:lang w:val="es-MX"/>
        </w:rPr>
        <w:t xml:space="preserve"> </w:t>
      </w:r>
      <w:r w:rsidRPr="00A46476">
        <w:rPr>
          <w:rFonts w:ascii="Verdana" w:eastAsia="Calibri" w:hAnsi="Verdana" w:cs="Arial"/>
          <w:spacing w:val="-1"/>
          <w:sz w:val="20"/>
          <w:szCs w:val="20"/>
          <w:lang w:val="es-MX"/>
        </w:rPr>
        <w:t>que,</w:t>
      </w:r>
      <w:r w:rsidRPr="00A46476">
        <w:rPr>
          <w:rFonts w:ascii="Verdana" w:eastAsia="Calibri" w:hAnsi="Verdana" w:cs="Arial"/>
          <w:spacing w:val="-14"/>
          <w:sz w:val="20"/>
          <w:szCs w:val="20"/>
          <w:lang w:val="es-MX"/>
        </w:rPr>
        <w:t xml:space="preserve"> </w:t>
      </w:r>
      <w:r w:rsidRPr="00A46476">
        <w:rPr>
          <w:rFonts w:ascii="Verdana" w:eastAsia="Arial" w:hAnsi="Verdana" w:cs="Arial"/>
          <w:sz w:val="20"/>
          <w:szCs w:val="20"/>
          <w:lang w:val="es-ES" w:eastAsia="es-ES" w:bidi="es-ES"/>
        </w:rPr>
        <w:t>en cuanto a los destinatarios de la norma objeto de análisis, abarca de una parte a l</w:t>
      </w:r>
      <w:r w:rsidRPr="00A46476">
        <w:rPr>
          <w:rFonts w:ascii="Verdana" w:eastAsia="Arial" w:hAnsi="Verdana" w:cs="Arial"/>
          <w:color w:val="000000"/>
          <w:sz w:val="20"/>
          <w:szCs w:val="20"/>
          <w:lang w:val="es-ES" w:eastAsia="es-ES" w:bidi="es-ES"/>
        </w:rPr>
        <w:t xml:space="preserve">as corporaciones, asociaciones y fundaciones; así mismo, alude a las sociedades de responsabilidad limitada; las demás sociedades de personas; y a las sociedades anónimas, que no tengan el carácter de abiertas. </w:t>
      </w:r>
    </w:p>
    <w:p w14:paraId="441A3DA0" w14:textId="77777777" w:rsidR="00A46476" w:rsidRDefault="00A46476" w:rsidP="00A46476">
      <w:pPr>
        <w:spacing w:after="0" w:line="240" w:lineRule="auto"/>
        <w:jc w:val="both"/>
        <w:rPr>
          <w:rFonts w:ascii="Verdana" w:hAnsi="Verdana" w:cs="Arial"/>
          <w:color w:val="000000" w:themeColor="text1"/>
          <w:sz w:val="20"/>
          <w:szCs w:val="20"/>
          <w:lang w:val="es-ES"/>
        </w:rPr>
      </w:pPr>
    </w:p>
    <w:p w14:paraId="7A1A70CF" w14:textId="77777777" w:rsidR="002E13DC" w:rsidRDefault="00DF413F" w:rsidP="002E13DC">
      <w:pPr>
        <w:spacing w:after="0" w:line="240" w:lineRule="auto"/>
        <w:jc w:val="both"/>
        <w:rPr>
          <w:rFonts w:ascii="Verdana" w:hAnsi="Verdana" w:cs="Arial"/>
          <w:color w:val="000000" w:themeColor="text1"/>
          <w:sz w:val="20"/>
          <w:szCs w:val="20"/>
          <w:lang w:val="es-ES"/>
        </w:rPr>
      </w:pPr>
      <w:r w:rsidRPr="00A46476">
        <w:rPr>
          <w:rFonts w:ascii="Verdana" w:hAnsi="Verdana" w:cs="Arial"/>
          <w:color w:val="000000" w:themeColor="text1"/>
          <w:sz w:val="20"/>
          <w:szCs w:val="20"/>
          <w:lang w:val="es-ES"/>
        </w:rPr>
        <w:t>En relación con el sujeto que por sus condiciones o calidades ocasiona la configuración de la causal objeto de estudio −sujeto generador−, este se trata del servidor público de los niveles directivo, asesor o ejecutivo, o que sea miembro de la junta o consejo directivo; al igual que el cónyuge, compañero o compañera permanente o los parientes hasta el segundo grado de consanguinidad, afinidad o civil de cualquiera de ellos. Respecto de estos sujetos se predica una condición consistente en que “[…] tenga participación o desempeñe cargos de dirección o manejo” en la persona jurídica.</w:t>
      </w:r>
    </w:p>
    <w:p w14:paraId="75DFBDF3" w14:textId="77777777" w:rsidR="002E13DC" w:rsidRDefault="002E13DC" w:rsidP="002E13DC">
      <w:pPr>
        <w:spacing w:after="0" w:line="240" w:lineRule="auto"/>
        <w:jc w:val="both"/>
        <w:rPr>
          <w:rFonts w:ascii="Verdana" w:hAnsi="Verdana" w:cs="Arial"/>
          <w:color w:val="000000" w:themeColor="text1"/>
          <w:sz w:val="20"/>
          <w:szCs w:val="20"/>
          <w:lang w:val="es-ES"/>
        </w:rPr>
      </w:pPr>
    </w:p>
    <w:p w14:paraId="459009CB" w14:textId="6366B2A1" w:rsidR="00A46476" w:rsidRPr="002E13DC" w:rsidRDefault="00A46476" w:rsidP="002E13DC">
      <w:pPr>
        <w:spacing w:after="0" w:line="240" w:lineRule="auto"/>
        <w:jc w:val="both"/>
        <w:rPr>
          <w:rFonts w:ascii="Verdana" w:hAnsi="Verdana" w:cs="Arial"/>
          <w:color w:val="000000" w:themeColor="text1"/>
          <w:sz w:val="20"/>
          <w:szCs w:val="20"/>
          <w:lang w:val="es-ES"/>
        </w:rPr>
      </w:pPr>
      <w:r w:rsidRPr="00781134">
        <w:rPr>
          <w:rFonts w:ascii="Verdana" w:eastAsia="Calibri" w:hAnsi="Verdana" w:cs="Arial"/>
          <w:b/>
          <w:bCs/>
          <w:lang w:val="es-ES_tradnl" w:eastAsia="es-ES"/>
        </w:rPr>
        <w:t>INHABILIDADES E INCOMPATIBILIDADES</w:t>
      </w:r>
      <w:r>
        <w:rPr>
          <w:rFonts w:ascii="Verdana" w:eastAsia="Calibri" w:hAnsi="Verdana" w:cs="Arial"/>
          <w:b/>
          <w:bCs/>
          <w:lang w:val="es-ES_tradnl" w:eastAsia="es-ES"/>
        </w:rPr>
        <w:t xml:space="preserve"> – Cargos de dirección y manejo – Interpretación </w:t>
      </w:r>
    </w:p>
    <w:p w14:paraId="3D6B3DCD" w14:textId="77777777" w:rsidR="002E13DC" w:rsidRDefault="002E13DC" w:rsidP="00A46476">
      <w:pPr>
        <w:widowControl w:val="0"/>
        <w:autoSpaceDE w:val="0"/>
        <w:autoSpaceDN w:val="0"/>
        <w:spacing w:after="0" w:line="240" w:lineRule="auto"/>
        <w:jc w:val="both"/>
        <w:rPr>
          <w:rFonts w:ascii="Verdana" w:eastAsia="Calibri" w:hAnsi="Verdana" w:cs="Arial"/>
          <w:kern w:val="2"/>
          <w:sz w:val="20"/>
          <w:szCs w:val="20"/>
          <w:lang w:val="es-ES"/>
          <w14:ligatures w14:val="standardContextual"/>
        </w:rPr>
      </w:pPr>
    </w:p>
    <w:p w14:paraId="2225704E" w14:textId="65B3CA78" w:rsidR="00DF413F" w:rsidRDefault="00DF413F" w:rsidP="00A46476">
      <w:pPr>
        <w:widowControl w:val="0"/>
        <w:autoSpaceDE w:val="0"/>
        <w:autoSpaceDN w:val="0"/>
        <w:spacing w:after="0" w:line="240" w:lineRule="auto"/>
        <w:jc w:val="both"/>
        <w:rPr>
          <w:rFonts w:ascii="Verdana" w:hAnsi="Verdana" w:cs="Arial"/>
          <w:color w:val="000000" w:themeColor="text1"/>
          <w:sz w:val="20"/>
          <w:szCs w:val="20"/>
          <w:lang w:val="es-ES_tradnl" w:eastAsia="es-ES_tradnl"/>
        </w:rPr>
      </w:pPr>
      <w:r w:rsidRPr="00A46476">
        <w:rPr>
          <w:rFonts w:ascii="Verdana" w:eastAsia="Calibri" w:hAnsi="Verdana" w:cs="Arial"/>
          <w:kern w:val="2"/>
          <w:sz w:val="20"/>
          <w:szCs w:val="20"/>
          <w:lang w:val="es-ES"/>
          <w14:ligatures w14:val="standardContextual"/>
        </w:rPr>
        <w:t>Esta</w:t>
      </w:r>
      <w:r w:rsidRPr="00A46476">
        <w:rPr>
          <w:rFonts w:ascii="Verdana" w:hAnsi="Verdana" w:cs="Arial"/>
          <w:color w:val="000000" w:themeColor="text1"/>
          <w:sz w:val="20"/>
          <w:szCs w:val="20"/>
          <w:lang w:val="es-ES_tradnl" w:eastAsia="es-ES_tradnl"/>
        </w:rPr>
        <w:t xml:space="preserve"> Subdirección, ha considerado que la expresión “cargos de dirección o manejo”, debe entenderse como el resultado de la interpretación sistemática del artículo 22 de la Ley 222 de 1995 con el artículo 32 del Código Sustantivo del Trabajo; pues ambas son normas de derecho privado aplicables en virtud de la remisión de los artículos 13, 32 y 40 de la Ley 80 de 1993. Armonizando ambas normas, se puede concluir que alguien puede desempeñar en una persona jurídica un “cargo de dirección o manejo” bien sea actuando como “administrador” –en los términos del artículo 22 de la Ley 222 de 1995– o como “trabajador de dirección, confianza o manejo» –de conformidad con el artículo 32 del Código Sustantivo del Trabajo–.</w:t>
      </w:r>
    </w:p>
    <w:p w14:paraId="5B222EBB" w14:textId="77777777" w:rsidR="002E13DC" w:rsidRPr="00A46476" w:rsidRDefault="002E13DC" w:rsidP="00A46476">
      <w:pPr>
        <w:widowControl w:val="0"/>
        <w:autoSpaceDE w:val="0"/>
        <w:autoSpaceDN w:val="0"/>
        <w:spacing w:after="0" w:line="240" w:lineRule="auto"/>
        <w:jc w:val="both"/>
        <w:rPr>
          <w:rFonts w:ascii="Verdana" w:eastAsia="Calibri" w:hAnsi="Verdana" w:cs="Arial"/>
          <w:kern w:val="2"/>
          <w:sz w:val="20"/>
          <w:szCs w:val="20"/>
          <w:lang w:val="es-ES"/>
          <w14:ligatures w14:val="standardContextual"/>
        </w:rPr>
      </w:pPr>
    </w:p>
    <w:p w14:paraId="1886CABB" w14:textId="77777777" w:rsidR="00A46476" w:rsidRDefault="00DF413F" w:rsidP="00A46476">
      <w:pPr>
        <w:spacing w:after="0" w:line="240" w:lineRule="auto"/>
        <w:jc w:val="both"/>
        <w:rPr>
          <w:rFonts w:ascii="Verdana" w:eastAsia="Calibri" w:hAnsi="Verdana" w:cs="Arial"/>
          <w:color w:val="000000" w:themeColor="text1"/>
          <w:sz w:val="20"/>
          <w:szCs w:val="20"/>
          <w:lang w:val="es-ES_tradnl" w:eastAsia="es-ES_tradnl"/>
        </w:rPr>
      </w:pPr>
      <w:r w:rsidRPr="00A46476">
        <w:rPr>
          <w:rFonts w:ascii="Verdana" w:eastAsia="Calibri" w:hAnsi="Verdana" w:cs="Arial"/>
          <w:color w:val="000000" w:themeColor="text1"/>
          <w:sz w:val="20"/>
          <w:szCs w:val="20"/>
          <w:lang w:val="es-ES_tradnl" w:eastAsia="es-ES_tradnl"/>
        </w:rPr>
        <w:t>A partir de lo dicho, puede concluirse que si el servidor público del nivel directivo, asesor o ejecutivo, o el miembro de junta o consejo directivo, de</w:t>
      </w:r>
      <w:r w:rsidRPr="00A46476">
        <w:rPr>
          <w:rFonts w:ascii="Verdana" w:eastAsia="Calibri" w:hAnsi="Verdana" w:cs="Arial"/>
          <w:i/>
          <w:iCs/>
          <w:color w:val="000000" w:themeColor="text1"/>
          <w:sz w:val="20"/>
          <w:szCs w:val="20"/>
          <w:lang w:val="es-ES_tradnl" w:eastAsia="es-ES_tradnl"/>
        </w:rPr>
        <w:t xml:space="preserve"> </w:t>
      </w:r>
      <w:r w:rsidRPr="00A46476">
        <w:rPr>
          <w:rFonts w:ascii="Verdana" w:eastAsia="Calibri" w:hAnsi="Verdana" w:cs="Arial"/>
          <w:color w:val="000000" w:themeColor="text1"/>
          <w:sz w:val="20"/>
          <w:szCs w:val="20"/>
          <w:lang w:val="es-ES_tradnl" w:eastAsia="es-ES_tradnl"/>
        </w:rPr>
        <w:t xml:space="preserve">la entidad estatal contratante –o sus parientes o allegados, en las calidades ya indicadas, tiene participación o desempeña “cargos de dirección o manejo” –entendidos a la luz del artículo 22 de la Ley 222 de 1995 y del artículo 32 del Código Sustantivo del Trabajo– en corporaciones, asociaciones, fundaciones, sociedades anónimas que no tengan el carácter de abiertas, </w:t>
      </w:r>
      <w:r w:rsidRPr="00A46476">
        <w:rPr>
          <w:rFonts w:ascii="Verdana" w:eastAsia="Calibri" w:hAnsi="Verdana" w:cs="Arial"/>
          <w:color w:val="000000" w:themeColor="text1"/>
          <w:sz w:val="20"/>
          <w:szCs w:val="20"/>
          <w:lang w:val="es-ES_tradnl" w:eastAsia="es-ES_tradnl"/>
        </w:rPr>
        <w:lastRenderedPageBreak/>
        <w:t xml:space="preserve">sociedades de responsabilidad limitada y demás sociedades de personas, estas quedan inhabilitadas para contratar con la referida entidad pública. </w:t>
      </w:r>
    </w:p>
    <w:p w14:paraId="0100A98D" w14:textId="77777777" w:rsidR="00A46476" w:rsidRDefault="00A46476" w:rsidP="00A46476">
      <w:pPr>
        <w:spacing w:after="0" w:line="240" w:lineRule="auto"/>
        <w:jc w:val="both"/>
        <w:rPr>
          <w:rFonts w:ascii="Verdana" w:eastAsia="Calibri" w:hAnsi="Verdana" w:cs="Arial"/>
          <w:color w:val="000000" w:themeColor="text1"/>
          <w:sz w:val="20"/>
          <w:szCs w:val="20"/>
          <w:lang w:val="es-ES_tradnl" w:eastAsia="es-ES_tradnl"/>
        </w:rPr>
      </w:pPr>
    </w:p>
    <w:p w14:paraId="64B7FFD0" w14:textId="77777777" w:rsidR="00A46476" w:rsidRDefault="00DF413F" w:rsidP="00A46476">
      <w:pPr>
        <w:spacing w:after="0" w:line="240" w:lineRule="auto"/>
        <w:jc w:val="both"/>
        <w:rPr>
          <w:rFonts w:ascii="Verdana" w:eastAsia="Calibri" w:hAnsi="Verdana" w:cs="Arial"/>
          <w:color w:val="000000" w:themeColor="text1"/>
          <w:sz w:val="20"/>
          <w:szCs w:val="20"/>
          <w:lang w:val="es-ES_tradnl" w:eastAsia="es-ES_tradnl"/>
        </w:rPr>
      </w:pPr>
      <w:r w:rsidRPr="00A46476">
        <w:rPr>
          <w:rFonts w:ascii="Verdana" w:eastAsia="Calibri" w:hAnsi="Verdana" w:cs="Arial"/>
          <w:color w:val="000000" w:themeColor="text1"/>
          <w:sz w:val="20"/>
          <w:szCs w:val="20"/>
          <w:lang w:val="es-ES_tradnl" w:eastAsia="es-ES_tradnl"/>
        </w:rPr>
        <w:t xml:space="preserve">Ahora bien, conviene destacar que en la persona jurídica podría haber socios que no ejerzan estos cargos o personas que los desempeñen y no sean socias. No obstante, es importante aclarar que ambas circunstancias están previstas en el artículo 8, numeral 2, literal d), de la Ley 80 de 1993, pues esta norma se refiere tanto a tener </w:t>
      </w:r>
      <w:r w:rsidRPr="00A46476">
        <w:rPr>
          <w:rFonts w:ascii="Verdana" w:eastAsia="Calibri" w:hAnsi="Verdana" w:cs="Arial"/>
          <w:i/>
          <w:iCs/>
          <w:color w:val="000000" w:themeColor="text1"/>
          <w:sz w:val="20"/>
          <w:szCs w:val="20"/>
          <w:lang w:val="es-ES_tradnl" w:eastAsia="es-ES_tradnl"/>
        </w:rPr>
        <w:t>participación</w:t>
      </w:r>
      <w:r w:rsidRPr="00A46476">
        <w:rPr>
          <w:rFonts w:ascii="Verdana" w:eastAsia="Calibri" w:hAnsi="Verdana" w:cs="Arial"/>
          <w:color w:val="000000" w:themeColor="text1"/>
          <w:sz w:val="20"/>
          <w:szCs w:val="20"/>
          <w:lang w:val="es-ES_tradnl" w:eastAsia="es-ES_tradnl"/>
        </w:rPr>
        <w:t>, como al desempeño de “cargos de dirección o manejo”.</w:t>
      </w:r>
    </w:p>
    <w:p w14:paraId="304A40D0" w14:textId="77777777" w:rsidR="00A46476" w:rsidRDefault="00A46476" w:rsidP="00A46476">
      <w:pPr>
        <w:spacing w:after="0" w:line="240" w:lineRule="auto"/>
        <w:jc w:val="both"/>
        <w:rPr>
          <w:rFonts w:ascii="Verdana" w:eastAsia="Calibri" w:hAnsi="Verdana" w:cs="Arial"/>
          <w:color w:val="000000" w:themeColor="text1"/>
          <w:sz w:val="20"/>
          <w:szCs w:val="20"/>
          <w:lang w:val="es-ES_tradnl" w:eastAsia="es-ES_tradnl"/>
        </w:rPr>
      </w:pPr>
    </w:p>
    <w:p w14:paraId="6410C7C8" w14:textId="77777777" w:rsidR="00A46476" w:rsidRDefault="00A46476" w:rsidP="00A46476">
      <w:pPr>
        <w:spacing w:after="0" w:line="240" w:lineRule="auto"/>
        <w:jc w:val="both"/>
        <w:rPr>
          <w:rFonts w:ascii="Verdana" w:eastAsia="Calibri" w:hAnsi="Verdana" w:cs="Arial"/>
          <w:color w:val="000000" w:themeColor="text1"/>
          <w:sz w:val="20"/>
          <w:szCs w:val="20"/>
          <w:lang w:val="es-ES_tradnl" w:eastAsia="es-ES_tradnl"/>
        </w:rPr>
      </w:pPr>
      <w:r>
        <w:rPr>
          <w:rFonts w:ascii="Verdana" w:eastAsia="Calibri" w:hAnsi="Verdana" w:cs="Arial"/>
          <w:color w:val="000000" w:themeColor="text1"/>
          <w:sz w:val="20"/>
          <w:szCs w:val="20"/>
          <w:lang w:val="es-ES_tradnl" w:eastAsia="es-ES_tradnl"/>
        </w:rPr>
        <w:t xml:space="preserve">[…] </w:t>
      </w:r>
    </w:p>
    <w:p w14:paraId="474C851F" w14:textId="77777777" w:rsidR="00A46476" w:rsidRDefault="00A46476" w:rsidP="00A46476">
      <w:pPr>
        <w:spacing w:after="0" w:line="240" w:lineRule="auto"/>
        <w:jc w:val="both"/>
        <w:rPr>
          <w:rFonts w:ascii="Verdana" w:eastAsia="Calibri" w:hAnsi="Verdana" w:cs="Arial"/>
          <w:color w:val="000000" w:themeColor="text1"/>
          <w:sz w:val="20"/>
          <w:szCs w:val="20"/>
          <w:lang w:val="es-ES_tradnl" w:eastAsia="es-ES_tradnl"/>
        </w:rPr>
      </w:pPr>
    </w:p>
    <w:p w14:paraId="3D640BEB" w14:textId="72CD413C" w:rsidR="00DF413F" w:rsidRPr="00A46476" w:rsidRDefault="00DF413F" w:rsidP="00A46476">
      <w:pPr>
        <w:spacing w:after="0" w:line="240" w:lineRule="auto"/>
        <w:jc w:val="both"/>
        <w:rPr>
          <w:rFonts w:ascii="Verdana" w:eastAsia="Calibri" w:hAnsi="Verdana" w:cs="Arial"/>
          <w:color w:val="000000" w:themeColor="text1"/>
          <w:sz w:val="20"/>
          <w:szCs w:val="20"/>
          <w:lang w:val="es-ES_tradnl" w:eastAsia="es-ES_tradnl"/>
        </w:rPr>
      </w:pPr>
      <w:r w:rsidRPr="00A46476">
        <w:rPr>
          <w:rFonts w:ascii="Verdana" w:eastAsia="Calibri" w:hAnsi="Verdana" w:cs="Arial"/>
          <w:color w:val="000000" w:themeColor="text1"/>
          <w:sz w:val="20"/>
          <w:szCs w:val="20"/>
          <w:lang w:val="es-ES" w:eastAsia="es-ES"/>
        </w:rPr>
        <w:t xml:space="preserve">Ahora bien, conviene destacar que en la persona jurídica podría haber socios que no ejerzan estos cargos o personas que los desempeñen y no sean socias. No obstante, es importante aclarar que ambas circunstancias están previstas en el artículo 8, numeral 2, literal d), de la Ley 80 de 1993, pues esta norma se refiere tanto a tener </w:t>
      </w:r>
      <w:r w:rsidRPr="00A46476">
        <w:rPr>
          <w:rFonts w:ascii="Verdana" w:eastAsia="Calibri" w:hAnsi="Verdana" w:cs="Arial"/>
          <w:i/>
          <w:iCs/>
          <w:color w:val="000000" w:themeColor="text1"/>
          <w:sz w:val="20"/>
          <w:szCs w:val="20"/>
          <w:lang w:val="es-ES" w:eastAsia="es-ES"/>
        </w:rPr>
        <w:t>participación</w:t>
      </w:r>
      <w:r w:rsidRPr="00A46476">
        <w:rPr>
          <w:rFonts w:ascii="Verdana" w:eastAsia="Calibri" w:hAnsi="Verdana" w:cs="Arial"/>
          <w:color w:val="000000" w:themeColor="text1"/>
          <w:sz w:val="20"/>
          <w:szCs w:val="20"/>
          <w:lang w:val="es-ES" w:eastAsia="es-ES"/>
        </w:rPr>
        <w:t>, como al desempeño de “cargos de dirección o manejo”.</w:t>
      </w:r>
    </w:p>
    <w:p w14:paraId="3C1B57AC" w14:textId="77777777" w:rsidR="00A46476" w:rsidRDefault="00A46476" w:rsidP="002E13DC">
      <w:pPr>
        <w:spacing w:after="0" w:line="240" w:lineRule="auto"/>
        <w:jc w:val="both"/>
        <w:rPr>
          <w:rFonts w:ascii="Verdana" w:eastAsia="Calibri" w:hAnsi="Verdana" w:cs="Arial"/>
          <w:color w:val="000000"/>
          <w:kern w:val="2"/>
          <w14:ligatures w14:val="standardContextual"/>
        </w:rPr>
      </w:pPr>
    </w:p>
    <w:p w14:paraId="0E718157" w14:textId="7FFF3148" w:rsidR="00781134" w:rsidRPr="00A46476" w:rsidRDefault="00781134" w:rsidP="00781134">
      <w:pPr>
        <w:spacing w:after="120" w:line="276" w:lineRule="auto"/>
        <w:jc w:val="both"/>
        <w:rPr>
          <w:rFonts w:ascii="Verdana" w:hAnsi="Verdana"/>
        </w:rPr>
      </w:pPr>
      <w:r w:rsidRPr="00A46476">
        <w:rPr>
          <w:rFonts w:ascii="Verdana" w:eastAsia="Calibri" w:hAnsi="Verdana" w:cs="Arial"/>
          <w:b/>
          <w:bCs/>
          <w:color w:val="000000"/>
          <w:kern w:val="2"/>
          <w14:ligatures w14:val="standardContextual"/>
        </w:rPr>
        <w:t>CONFLICTO DE INTERÉS – Verificación</w:t>
      </w:r>
      <w:r w:rsidRPr="00A46476">
        <w:rPr>
          <w:rFonts w:ascii="Verdana" w:eastAsia="Calibri" w:hAnsi="Verdana" w:cs="Arial"/>
          <w:b/>
          <w:bCs/>
          <w:color w:val="000000" w:themeColor="text1"/>
          <w:lang w:val="es-ES_tradnl"/>
        </w:rPr>
        <w:t>.</w:t>
      </w:r>
      <w:r w:rsidRPr="00A46476">
        <w:rPr>
          <w:rFonts w:ascii="Verdana" w:hAnsi="Verdana"/>
        </w:rPr>
        <w:t xml:space="preserve"> </w:t>
      </w:r>
    </w:p>
    <w:p w14:paraId="422A1D53" w14:textId="7C128227" w:rsidR="00DF413F" w:rsidRPr="00A46476" w:rsidRDefault="00DF413F" w:rsidP="00A46476">
      <w:pPr>
        <w:spacing w:after="0" w:line="240" w:lineRule="auto"/>
        <w:jc w:val="both"/>
        <w:rPr>
          <w:rFonts w:ascii="Verdana" w:eastAsia="Arial MT" w:hAnsi="Verdana" w:cs="Arial"/>
          <w:sz w:val="20"/>
          <w:szCs w:val="20"/>
          <w:lang w:eastAsia="es-ES" w:bidi="es-ES"/>
        </w:rPr>
      </w:pPr>
      <w:r w:rsidRPr="00A46476">
        <w:rPr>
          <w:rFonts w:ascii="Verdana" w:hAnsi="Verdana"/>
          <w:sz w:val="20"/>
          <w:szCs w:val="20"/>
        </w:rPr>
        <w:t xml:space="preserve">Si una vez analizados los supuestos de un caso particular para verificar si se encuadran dentro de las causales de inhabilidad y específicamente dentro de los previstos en el literal d) del numeral 2 del artículo 8 de la Ley 80 de 1993 y estos no se reúnen para la configuración de la inhabilidad, la entidad estatal </w:t>
      </w:r>
      <w:r w:rsidRPr="00A46476">
        <w:rPr>
          <w:rFonts w:ascii="Verdana" w:eastAsia="Arial MT" w:hAnsi="Verdana" w:cs="Arial"/>
          <w:sz w:val="20"/>
          <w:szCs w:val="20"/>
          <w:lang w:eastAsia="es-ES" w:bidi="es-ES"/>
        </w:rPr>
        <w:t xml:space="preserve">tiene el deber de identificar cualquier conducta que pueda llegar a considerarse como un eventual conflicto de interés, producto de la concurrencia de intereses antagónicos en el contratista que lo lleven a adoptar determinaciones de aprovechamiento personal, familiar o particular en detrimento del interés público. </w:t>
      </w:r>
    </w:p>
    <w:p w14:paraId="344446F6" w14:textId="77777777" w:rsidR="00A46476" w:rsidRPr="002E13DC" w:rsidRDefault="00A46476" w:rsidP="002E13DC">
      <w:pPr>
        <w:widowControl w:val="0"/>
        <w:autoSpaceDE w:val="0"/>
        <w:autoSpaceDN w:val="0"/>
        <w:spacing w:after="0" w:line="240" w:lineRule="auto"/>
        <w:jc w:val="both"/>
        <w:rPr>
          <w:rFonts w:ascii="Verdana" w:eastAsia="Arial MT" w:hAnsi="Verdana" w:cs="Arial"/>
          <w:sz w:val="20"/>
          <w:szCs w:val="20"/>
          <w:lang w:eastAsia="es-ES" w:bidi="es-ES"/>
        </w:rPr>
      </w:pPr>
    </w:p>
    <w:p w14:paraId="6715B3E7" w14:textId="77777777" w:rsidR="002E13DC" w:rsidRDefault="002E13DC" w:rsidP="002E13DC">
      <w:pPr>
        <w:widowControl w:val="0"/>
        <w:autoSpaceDE w:val="0"/>
        <w:autoSpaceDN w:val="0"/>
        <w:spacing w:after="0" w:line="240" w:lineRule="auto"/>
        <w:jc w:val="both"/>
        <w:rPr>
          <w:rFonts w:ascii="Verdana" w:hAnsi="Verdana" w:cs="Arial"/>
          <w:color w:val="000000" w:themeColor="text1"/>
          <w:sz w:val="20"/>
          <w:szCs w:val="20"/>
          <w:lang w:val="es-ES_tradnl"/>
        </w:rPr>
      </w:pPr>
      <w:r w:rsidRPr="002E13DC">
        <w:rPr>
          <w:rFonts w:ascii="Verdana" w:hAnsi="Verdana" w:cs="Arial"/>
          <w:color w:val="000000" w:themeColor="text1"/>
          <w:sz w:val="20"/>
          <w:szCs w:val="20"/>
          <w:lang w:val="es-ES_tradnl"/>
        </w:rPr>
        <w:t xml:space="preserve">[…] </w:t>
      </w:r>
      <w:r w:rsidR="00DF413F" w:rsidRPr="002E13DC">
        <w:rPr>
          <w:rFonts w:ascii="Verdana" w:hAnsi="Verdana" w:cs="Arial"/>
          <w:color w:val="000000" w:themeColor="text1"/>
          <w:sz w:val="20"/>
          <w:szCs w:val="20"/>
          <w:lang w:val="es-ES_tradnl"/>
        </w:rPr>
        <w:t xml:space="preserve">el régimen de los </w:t>
      </w:r>
      <w:r w:rsidR="00DF413F" w:rsidRPr="002E13DC">
        <w:rPr>
          <w:rFonts w:ascii="Verdana" w:hAnsi="Verdana" w:cs="Arial"/>
          <w:i/>
          <w:iCs/>
          <w:color w:val="000000" w:themeColor="text1"/>
          <w:sz w:val="20"/>
          <w:szCs w:val="20"/>
          <w:lang w:val="es-ES_tradnl"/>
        </w:rPr>
        <w:t>conflictos de interés</w:t>
      </w:r>
      <w:r w:rsidR="00DF413F" w:rsidRPr="002E13DC">
        <w:rPr>
          <w:rFonts w:ascii="Verdana" w:hAnsi="Verdana" w:cs="Arial"/>
          <w:color w:val="000000" w:themeColor="text1"/>
          <w:sz w:val="20"/>
          <w:szCs w:val="20"/>
          <w:lang w:val="es-ES_tradnl"/>
        </w:rPr>
        <w:t xml:space="preserve"> tiene como objetivo la prevalencia del bien común sobre el particular, razón por la cual se configuran cuando los servidores públicos actúan influenciados por consideraciones personales que colisionan con el deber de preservar su independencia e imparcialidad.</w:t>
      </w:r>
    </w:p>
    <w:p w14:paraId="0D8F989F" w14:textId="77777777" w:rsidR="002E13DC" w:rsidRPr="002E13DC" w:rsidRDefault="002E13DC" w:rsidP="002E13DC">
      <w:pPr>
        <w:widowControl w:val="0"/>
        <w:autoSpaceDE w:val="0"/>
        <w:autoSpaceDN w:val="0"/>
        <w:spacing w:after="0" w:line="240" w:lineRule="auto"/>
        <w:jc w:val="both"/>
        <w:rPr>
          <w:rFonts w:ascii="Verdana" w:hAnsi="Verdana" w:cs="Arial"/>
          <w:color w:val="000000" w:themeColor="text1"/>
          <w:sz w:val="20"/>
          <w:szCs w:val="20"/>
          <w:lang w:val="es-ES_tradnl"/>
        </w:rPr>
      </w:pPr>
    </w:p>
    <w:p w14:paraId="5F3F8823" w14:textId="46A39B74" w:rsidR="00DF413F" w:rsidRPr="002E13DC" w:rsidRDefault="00DF413F" w:rsidP="002E13DC">
      <w:pPr>
        <w:widowControl w:val="0"/>
        <w:autoSpaceDE w:val="0"/>
        <w:autoSpaceDN w:val="0"/>
        <w:spacing w:after="0" w:line="240" w:lineRule="auto"/>
        <w:jc w:val="both"/>
        <w:rPr>
          <w:rFonts w:ascii="Verdana" w:hAnsi="Verdana" w:cs="Arial"/>
          <w:color w:val="000000" w:themeColor="text1"/>
          <w:sz w:val="20"/>
          <w:szCs w:val="20"/>
          <w:lang w:val="es-ES_tradnl"/>
        </w:rPr>
      </w:pPr>
      <w:r w:rsidRPr="002E13DC">
        <w:rPr>
          <w:rFonts w:ascii="Verdana" w:hAnsi="Verdana" w:cs="Arial"/>
          <w:color w:val="000000" w:themeColor="text1"/>
          <w:sz w:val="20"/>
          <w:szCs w:val="20"/>
          <w:lang w:val="es-ES"/>
        </w:rPr>
        <w:t xml:space="preserve">La institución jurídica de los conflictos de interés no está definida con carácter general en el ordenamiento jurídico y tampoco de forma precisa en las normas que regulan la contratación estatal, por lo que es un asunto ausente en el EGCAP. </w:t>
      </w:r>
    </w:p>
    <w:p w14:paraId="1A23F9A8" w14:textId="77777777" w:rsidR="002E13DC" w:rsidRDefault="002E13DC" w:rsidP="002E13DC">
      <w:pPr>
        <w:spacing w:after="0" w:line="240" w:lineRule="auto"/>
        <w:jc w:val="both"/>
        <w:rPr>
          <w:rFonts w:ascii="Verdana" w:eastAsia="Calibri" w:hAnsi="Verdana" w:cs="Arial"/>
          <w:color w:val="000000" w:themeColor="text1"/>
          <w:sz w:val="20"/>
          <w:szCs w:val="20"/>
          <w:lang w:val="es-ES_tradnl"/>
        </w:rPr>
      </w:pPr>
    </w:p>
    <w:p w14:paraId="7378430C" w14:textId="6F07D284" w:rsidR="002E13DC" w:rsidRPr="002E13DC" w:rsidRDefault="002E13DC" w:rsidP="002E13DC">
      <w:pPr>
        <w:spacing w:after="0" w:line="240" w:lineRule="auto"/>
        <w:jc w:val="both"/>
        <w:rPr>
          <w:rFonts w:ascii="Verdana" w:eastAsia="Calibri" w:hAnsi="Verdana" w:cs="Arial"/>
          <w:color w:val="000000" w:themeColor="text1"/>
          <w:sz w:val="20"/>
          <w:szCs w:val="20"/>
          <w:lang w:val="es-ES_tradnl"/>
        </w:rPr>
      </w:pPr>
      <w:r w:rsidRPr="002E13DC">
        <w:rPr>
          <w:rFonts w:ascii="Verdana" w:eastAsia="Calibri" w:hAnsi="Verdana" w:cs="Arial"/>
          <w:color w:val="000000" w:themeColor="text1"/>
          <w:sz w:val="20"/>
          <w:szCs w:val="20"/>
          <w:lang w:val="es-ES_tradnl"/>
        </w:rPr>
        <w:t>[…]</w:t>
      </w:r>
    </w:p>
    <w:p w14:paraId="75751408" w14:textId="77777777" w:rsidR="002E13DC" w:rsidRDefault="002E13DC" w:rsidP="002E13DC">
      <w:pPr>
        <w:spacing w:after="0" w:line="240" w:lineRule="auto"/>
        <w:jc w:val="both"/>
        <w:rPr>
          <w:rFonts w:ascii="Verdana" w:eastAsia="Calibri" w:hAnsi="Verdana" w:cs="Arial"/>
          <w:color w:val="000000" w:themeColor="text1"/>
          <w:sz w:val="20"/>
          <w:szCs w:val="20"/>
          <w:lang w:val="es-ES_tradnl"/>
        </w:rPr>
      </w:pPr>
    </w:p>
    <w:p w14:paraId="23569024" w14:textId="712D647D" w:rsidR="00DF413F" w:rsidRPr="002E13DC" w:rsidRDefault="00DF413F" w:rsidP="002E13DC">
      <w:pPr>
        <w:spacing w:after="0" w:line="240" w:lineRule="auto"/>
        <w:jc w:val="both"/>
        <w:rPr>
          <w:rFonts w:ascii="Verdana" w:eastAsia="Calibri" w:hAnsi="Verdana" w:cs="Arial"/>
          <w:color w:val="000000" w:themeColor="text1"/>
          <w:sz w:val="20"/>
          <w:szCs w:val="20"/>
          <w:lang w:val="es-ES_tradnl"/>
        </w:rPr>
      </w:pPr>
      <w:r w:rsidRPr="002E13DC">
        <w:rPr>
          <w:rFonts w:ascii="Verdana" w:eastAsia="Calibri" w:hAnsi="Verdana" w:cs="Arial"/>
          <w:color w:val="000000" w:themeColor="text1"/>
          <w:sz w:val="20"/>
          <w:szCs w:val="20"/>
          <w:lang w:val="es-ES_tradnl"/>
        </w:rPr>
        <w:t xml:space="preserve">Sin perjuicio de lo anterior, el EGCAP no establece una noción o causales particulares de conflictos de interés aplicables a los proponentes o contratistas del Estado. En efecto, además de las disposiciones brevemente enunciadas en el párrafo precedente, la Ley 1437 de 2011 establece un régimen de “conflictos de interés  y causales de impedimento y recusación” –artículos 11 y 12–, que si bien aplican en los procedimientos administrativos, en general, incluyendo los de selección de contratistas del Estado, están dirigidos a los servidores públicos que adelantan estas actuaciones en desarrollo de la actividad contractual de la entidad estatal de la cual hacen parte. Por lo anterior, sus </w:t>
      </w:r>
      <w:r w:rsidRPr="002E13DC">
        <w:rPr>
          <w:rFonts w:ascii="Verdana" w:eastAsia="Calibri" w:hAnsi="Verdana" w:cs="Arial"/>
          <w:color w:val="000000" w:themeColor="text1"/>
          <w:sz w:val="20"/>
          <w:szCs w:val="20"/>
          <w:lang w:val="es-ES_tradnl"/>
        </w:rPr>
        <w:lastRenderedPageBreak/>
        <w:t xml:space="preserve">destinatarios no son los proponentes o contratistas particulares que participan en el procedimiento de selección o celebran el contrato con la entidad estatal, sino los servidores mencionados. </w:t>
      </w:r>
    </w:p>
    <w:p w14:paraId="1CA7DF83" w14:textId="77777777" w:rsidR="002E13DC" w:rsidRDefault="002E13DC" w:rsidP="002E13DC">
      <w:pPr>
        <w:spacing w:after="0" w:line="240" w:lineRule="auto"/>
        <w:jc w:val="both"/>
        <w:rPr>
          <w:rFonts w:ascii="Verdana" w:eastAsia="Calibri" w:hAnsi="Verdana" w:cs="Arial"/>
          <w:color w:val="000000" w:themeColor="text1"/>
          <w:sz w:val="20"/>
          <w:szCs w:val="20"/>
          <w:lang w:val="es-ES_tradnl"/>
        </w:rPr>
      </w:pPr>
    </w:p>
    <w:p w14:paraId="4AE47E5C" w14:textId="278E643A" w:rsidR="00DF413F" w:rsidRPr="002E13DC" w:rsidRDefault="00DF413F" w:rsidP="002E13DC">
      <w:pPr>
        <w:spacing w:after="0" w:line="240" w:lineRule="auto"/>
        <w:jc w:val="both"/>
        <w:rPr>
          <w:rFonts w:ascii="Verdana" w:eastAsia="Calibri" w:hAnsi="Verdana" w:cs="Arial"/>
          <w:sz w:val="20"/>
          <w:szCs w:val="20"/>
        </w:rPr>
      </w:pPr>
      <w:r w:rsidRPr="002E13DC">
        <w:rPr>
          <w:rFonts w:ascii="Verdana" w:eastAsia="Calibri" w:hAnsi="Verdana" w:cs="Arial"/>
          <w:color w:val="000000" w:themeColor="text1"/>
          <w:sz w:val="20"/>
          <w:szCs w:val="20"/>
          <w:lang w:val="es-ES_tradnl"/>
        </w:rPr>
        <w:t>En este sentido, en caso de presentarse alguna de las causales establecidas en el artículo 11 del Código de Procedimiento Administrativo o de lo Contencioso Administrativo –en adelante CPACA–, corresponde aplicar el trámite establecido en el artículo 12 de la misma ley.</w:t>
      </w:r>
    </w:p>
    <w:p w14:paraId="6EBAA4BE" w14:textId="77777777" w:rsidR="002E13DC" w:rsidRDefault="002E13DC" w:rsidP="002E13DC">
      <w:pPr>
        <w:spacing w:after="0" w:line="240" w:lineRule="auto"/>
        <w:jc w:val="both"/>
        <w:rPr>
          <w:rFonts w:ascii="Verdana" w:eastAsia="Calibri" w:hAnsi="Verdana" w:cs="Arial"/>
          <w:sz w:val="20"/>
          <w:szCs w:val="20"/>
        </w:rPr>
      </w:pPr>
    </w:p>
    <w:p w14:paraId="26207C25" w14:textId="77777777" w:rsidR="002E13DC" w:rsidRDefault="00DF413F" w:rsidP="002E13DC">
      <w:pPr>
        <w:spacing w:after="0" w:line="240" w:lineRule="auto"/>
        <w:jc w:val="both"/>
        <w:rPr>
          <w:rFonts w:ascii="Verdana" w:eastAsia="Calibri" w:hAnsi="Verdana" w:cs="Arial"/>
          <w:sz w:val="20"/>
          <w:szCs w:val="20"/>
        </w:rPr>
      </w:pPr>
      <w:r w:rsidRPr="002E13DC">
        <w:rPr>
          <w:rFonts w:ascii="Verdana" w:eastAsia="Calibri" w:hAnsi="Verdana" w:cs="Arial"/>
          <w:sz w:val="20"/>
          <w:szCs w:val="20"/>
        </w:rPr>
        <w:t xml:space="preserve">Pese a que no existe regulación sobre el régimen de conflictos de interés, esto no obsta para que las entidades estatales con el fin de garantizar los principios de la función pública –de los que se resalta la moralidad administrativa–, definan objetivamente, las conductas prohibitivas o reprochables que se puedan encausar en posibles conflictos de interés por parte de sus futuros contratistas y la forma a través de la cual las afrontarán, en el marco de la expedición de sus manuales internos de contratación. </w:t>
      </w:r>
    </w:p>
    <w:p w14:paraId="1972F89C" w14:textId="77777777" w:rsidR="002E13DC" w:rsidRDefault="002E13DC" w:rsidP="002E13DC">
      <w:pPr>
        <w:spacing w:after="0" w:line="240" w:lineRule="auto"/>
        <w:jc w:val="both"/>
        <w:rPr>
          <w:rFonts w:ascii="Verdana" w:eastAsia="Calibri" w:hAnsi="Verdana" w:cs="Arial"/>
          <w:sz w:val="20"/>
          <w:szCs w:val="20"/>
        </w:rPr>
      </w:pPr>
    </w:p>
    <w:p w14:paraId="6657D88C" w14:textId="47476824" w:rsidR="00DF413F" w:rsidRPr="002E13DC" w:rsidRDefault="00DF413F" w:rsidP="002E13DC">
      <w:pPr>
        <w:spacing w:after="0" w:line="240" w:lineRule="auto"/>
        <w:jc w:val="both"/>
        <w:rPr>
          <w:rFonts w:ascii="Verdana" w:eastAsia="Calibri" w:hAnsi="Verdana" w:cs="Arial"/>
          <w:sz w:val="20"/>
          <w:szCs w:val="20"/>
        </w:rPr>
      </w:pPr>
      <w:r w:rsidRPr="002E13DC">
        <w:rPr>
          <w:rFonts w:ascii="Verdana" w:eastAsia="Calibri" w:hAnsi="Verdana" w:cs="Arial"/>
          <w:sz w:val="20"/>
          <w:szCs w:val="20"/>
        </w:rPr>
        <w:t xml:space="preserve">En este contexto, en el evento en que </w:t>
      </w:r>
      <w:r w:rsidRPr="002E13DC">
        <w:rPr>
          <w:rFonts w:ascii="Verdana" w:eastAsia="Calibri" w:hAnsi="Verdana" w:cs="Arial"/>
          <w:color w:val="000000" w:themeColor="text1"/>
          <w:sz w:val="20"/>
          <w:szCs w:val="20"/>
          <w:lang w:eastAsia="es-ES"/>
        </w:rPr>
        <w:t>una entidad pública pretenda celebrar un contrato con una de las personas jurídicas señaladas en el literal d) numeral 2 del artículo 8 de la Ley 80 de 1993, es indispensable que se analice la</w:t>
      </w:r>
      <w:r w:rsidRPr="002E13DC">
        <w:rPr>
          <w:rFonts w:ascii="Verdana" w:eastAsia="Calibri" w:hAnsi="Verdana" w:cs="Arial"/>
          <w:sz w:val="20"/>
          <w:szCs w:val="20"/>
        </w:rPr>
        <w:t xml:space="preserve"> ocurrencia de potenciales conflictos de interés de cara a una posible vulneración de la transparencia, imparcialidad, y moralidad administrativa, y de acuerdo con lo establecido en sus manuales de contratación. En este análisis es importante considerar la participación de servidores públicos que, en virtud de su cargo, puedan influir en la toma de decisiones contractuales o administrativas dentro de ambas entidades.</w:t>
      </w:r>
    </w:p>
    <w:p w14:paraId="00078625" w14:textId="77777777" w:rsidR="00DF413F" w:rsidRDefault="00DF413F" w:rsidP="006779CF">
      <w:pPr>
        <w:spacing w:after="0" w:line="240" w:lineRule="auto"/>
        <w:jc w:val="both"/>
        <w:rPr>
          <w:rFonts w:ascii="Verdana" w:eastAsia="Times New Roman" w:hAnsi="Verdana" w:cs="Arial"/>
          <w:color w:val="000000" w:themeColor="text1"/>
          <w:lang w:val="es-ES" w:eastAsia="es-ES"/>
        </w:rPr>
      </w:pPr>
    </w:p>
    <w:p w14:paraId="6AA65B95" w14:textId="77777777" w:rsidR="002E13DC" w:rsidRDefault="002E13DC" w:rsidP="006779CF">
      <w:pPr>
        <w:spacing w:after="0" w:line="240" w:lineRule="auto"/>
        <w:jc w:val="both"/>
        <w:rPr>
          <w:rFonts w:ascii="Verdana" w:eastAsia="Times New Roman" w:hAnsi="Verdana" w:cs="Arial"/>
          <w:color w:val="000000" w:themeColor="text1"/>
          <w:lang w:val="es-ES" w:eastAsia="es-ES"/>
        </w:rPr>
      </w:pPr>
    </w:p>
    <w:p w14:paraId="2867433A" w14:textId="77777777" w:rsidR="002E13DC" w:rsidRDefault="002E13DC" w:rsidP="006779CF">
      <w:pPr>
        <w:spacing w:after="0" w:line="240" w:lineRule="auto"/>
        <w:jc w:val="both"/>
        <w:rPr>
          <w:rFonts w:ascii="Verdana" w:eastAsia="Times New Roman" w:hAnsi="Verdana" w:cs="Arial"/>
          <w:color w:val="000000" w:themeColor="text1"/>
          <w:lang w:val="es-ES" w:eastAsia="es-ES"/>
        </w:rPr>
      </w:pPr>
    </w:p>
    <w:p w14:paraId="119A37EA" w14:textId="77777777" w:rsidR="002E13DC" w:rsidRDefault="002E13DC" w:rsidP="006779CF">
      <w:pPr>
        <w:spacing w:after="0" w:line="240" w:lineRule="auto"/>
        <w:jc w:val="both"/>
        <w:rPr>
          <w:rFonts w:ascii="Verdana" w:eastAsia="Times New Roman" w:hAnsi="Verdana" w:cs="Arial"/>
          <w:color w:val="000000" w:themeColor="text1"/>
          <w:lang w:val="es-ES" w:eastAsia="es-ES"/>
        </w:rPr>
      </w:pPr>
    </w:p>
    <w:p w14:paraId="48250B03" w14:textId="77777777" w:rsidR="002E13DC" w:rsidRDefault="002E13DC" w:rsidP="006779CF">
      <w:pPr>
        <w:spacing w:after="0" w:line="240" w:lineRule="auto"/>
        <w:jc w:val="both"/>
        <w:rPr>
          <w:rFonts w:ascii="Verdana" w:eastAsia="Times New Roman" w:hAnsi="Verdana" w:cs="Arial"/>
          <w:color w:val="000000" w:themeColor="text1"/>
          <w:lang w:val="es-ES" w:eastAsia="es-ES"/>
        </w:rPr>
      </w:pPr>
    </w:p>
    <w:p w14:paraId="1BDDB6FF" w14:textId="77777777" w:rsidR="002E13DC" w:rsidRDefault="002E13DC" w:rsidP="006779CF">
      <w:pPr>
        <w:spacing w:after="0" w:line="240" w:lineRule="auto"/>
        <w:jc w:val="both"/>
        <w:rPr>
          <w:rFonts w:ascii="Verdana" w:eastAsia="Times New Roman" w:hAnsi="Verdana" w:cs="Arial"/>
          <w:color w:val="000000" w:themeColor="text1"/>
          <w:lang w:val="es-ES" w:eastAsia="es-ES"/>
        </w:rPr>
      </w:pPr>
    </w:p>
    <w:p w14:paraId="68E8ADBC" w14:textId="77777777" w:rsidR="002E13DC" w:rsidRDefault="002E13DC" w:rsidP="006779CF">
      <w:pPr>
        <w:spacing w:after="0" w:line="240" w:lineRule="auto"/>
        <w:jc w:val="both"/>
        <w:rPr>
          <w:rFonts w:ascii="Verdana" w:eastAsia="Times New Roman" w:hAnsi="Verdana" w:cs="Arial"/>
          <w:color w:val="000000" w:themeColor="text1"/>
          <w:lang w:val="es-ES" w:eastAsia="es-ES"/>
        </w:rPr>
      </w:pPr>
    </w:p>
    <w:p w14:paraId="4D456559" w14:textId="77777777" w:rsidR="002E13DC" w:rsidRDefault="002E13DC" w:rsidP="006779CF">
      <w:pPr>
        <w:spacing w:after="0" w:line="240" w:lineRule="auto"/>
        <w:jc w:val="both"/>
        <w:rPr>
          <w:rFonts w:ascii="Verdana" w:eastAsia="Times New Roman" w:hAnsi="Verdana" w:cs="Arial"/>
          <w:color w:val="000000" w:themeColor="text1"/>
          <w:lang w:val="es-ES" w:eastAsia="es-ES"/>
        </w:rPr>
      </w:pPr>
    </w:p>
    <w:p w14:paraId="174E7779" w14:textId="77777777" w:rsidR="002E13DC" w:rsidRDefault="002E13DC" w:rsidP="006779CF">
      <w:pPr>
        <w:spacing w:after="0" w:line="240" w:lineRule="auto"/>
        <w:jc w:val="both"/>
        <w:rPr>
          <w:rFonts w:ascii="Verdana" w:eastAsia="Times New Roman" w:hAnsi="Verdana" w:cs="Arial"/>
          <w:color w:val="000000" w:themeColor="text1"/>
          <w:lang w:val="es-ES" w:eastAsia="es-ES"/>
        </w:rPr>
      </w:pPr>
    </w:p>
    <w:p w14:paraId="0C20471A" w14:textId="77777777" w:rsidR="002E13DC" w:rsidRDefault="002E13DC" w:rsidP="006779CF">
      <w:pPr>
        <w:spacing w:after="0" w:line="240" w:lineRule="auto"/>
        <w:jc w:val="both"/>
        <w:rPr>
          <w:rFonts w:ascii="Verdana" w:hAnsi="Verdana"/>
        </w:rPr>
      </w:pPr>
    </w:p>
    <w:p w14:paraId="370C7945" w14:textId="77777777" w:rsidR="002E13DC" w:rsidRDefault="002E13DC" w:rsidP="006779CF">
      <w:pPr>
        <w:spacing w:after="0" w:line="240" w:lineRule="auto"/>
        <w:jc w:val="both"/>
        <w:rPr>
          <w:rFonts w:ascii="Verdana" w:hAnsi="Verdana"/>
        </w:rPr>
      </w:pPr>
    </w:p>
    <w:p w14:paraId="17E4D214" w14:textId="77777777" w:rsidR="002E13DC" w:rsidRDefault="002E13DC" w:rsidP="006779CF">
      <w:pPr>
        <w:spacing w:after="0" w:line="240" w:lineRule="auto"/>
        <w:jc w:val="both"/>
        <w:rPr>
          <w:rFonts w:ascii="Verdana" w:hAnsi="Verdana"/>
        </w:rPr>
      </w:pPr>
    </w:p>
    <w:p w14:paraId="254947B2" w14:textId="77777777" w:rsidR="002E13DC" w:rsidRDefault="002E13DC" w:rsidP="006779CF">
      <w:pPr>
        <w:spacing w:after="0" w:line="240" w:lineRule="auto"/>
        <w:jc w:val="both"/>
        <w:rPr>
          <w:rFonts w:ascii="Verdana" w:hAnsi="Verdana"/>
        </w:rPr>
      </w:pPr>
    </w:p>
    <w:p w14:paraId="2C9BF2D5" w14:textId="77777777" w:rsidR="002E13DC" w:rsidRDefault="002E13DC" w:rsidP="006779CF">
      <w:pPr>
        <w:spacing w:after="0" w:line="240" w:lineRule="auto"/>
        <w:jc w:val="both"/>
        <w:rPr>
          <w:rFonts w:ascii="Verdana" w:hAnsi="Verdana"/>
        </w:rPr>
      </w:pPr>
    </w:p>
    <w:p w14:paraId="559ACA0D" w14:textId="77777777" w:rsidR="002E13DC" w:rsidRDefault="002E13DC" w:rsidP="006779CF">
      <w:pPr>
        <w:spacing w:after="0" w:line="240" w:lineRule="auto"/>
        <w:jc w:val="both"/>
        <w:rPr>
          <w:rFonts w:ascii="Verdana" w:hAnsi="Verdana"/>
        </w:rPr>
      </w:pPr>
    </w:p>
    <w:p w14:paraId="549AA5D0" w14:textId="77777777" w:rsidR="002E13DC" w:rsidRDefault="002E13DC" w:rsidP="006779CF">
      <w:pPr>
        <w:spacing w:after="0" w:line="240" w:lineRule="auto"/>
        <w:jc w:val="both"/>
        <w:rPr>
          <w:rFonts w:ascii="Verdana" w:hAnsi="Verdana"/>
        </w:rPr>
      </w:pPr>
    </w:p>
    <w:p w14:paraId="37F4D501" w14:textId="77777777" w:rsidR="002E13DC" w:rsidRDefault="002E13DC" w:rsidP="006779CF">
      <w:pPr>
        <w:spacing w:after="0" w:line="240" w:lineRule="auto"/>
        <w:jc w:val="both"/>
        <w:rPr>
          <w:rFonts w:ascii="Verdana" w:hAnsi="Verdana"/>
        </w:rPr>
      </w:pPr>
    </w:p>
    <w:p w14:paraId="760AF36D" w14:textId="77777777" w:rsidR="002E13DC" w:rsidRDefault="002E13DC" w:rsidP="006779CF">
      <w:pPr>
        <w:spacing w:after="0" w:line="240" w:lineRule="auto"/>
        <w:jc w:val="both"/>
        <w:rPr>
          <w:rFonts w:ascii="Verdana" w:hAnsi="Verdana"/>
        </w:rPr>
      </w:pPr>
    </w:p>
    <w:p w14:paraId="5D691923" w14:textId="77777777" w:rsidR="002E13DC" w:rsidRDefault="002E13DC" w:rsidP="006779CF">
      <w:pPr>
        <w:spacing w:after="0" w:line="240" w:lineRule="auto"/>
        <w:jc w:val="both"/>
        <w:rPr>
          <w:rFonts w:ascii="Verdana" w:hAnsi="Verdana"/>
        </w:rPr>
      </w:pPr>
    </w:p>
    <w:p w14:paraId="3214997B" w14:textId="77777777" w:rsidR="00DF413F" w:rsidRDefault="00DF413F" w:rsidP="006779CF">
      <w:pPr>
        <w:spacing w:after="0" w:line="240" w:lineRule="auto"/>
        <w:jc w:val="both"/>
        <w:rPr>
          <w:rFonts w:ascii="Verdana" w:hAnsi="Verdana"/>
        </w:rPr>
      </w:pPr>
    </w:p>
    <w:p w14:paraId="44611C9E" w14:textId="77777777" w:rsidR="00DF413F" w:rsidRDefault="00DF413F" w:rsidP="006779CF">
      <w:pPr>
        <w:spacing w:after="0" w:line="240" w:lineRule="auto"/>
        <w:jc w:val="both"/>
        <w:rPr>
          <w:rFonts w:ascii="Verdana" w:hAnsi="Verdana"/>
        </w:rPr>
      </w:pPr>
    </w:p>
    <w:p w14:paraId="76CEB4A4" w14:textId="5B50C34C" w:rsidR="006779CF" w:rsidRPr="008E4F36" w:rsidRDefault="006779CF" w:rsidP="006779CF">
      <w:pPr>
        <w:spacing w:after="0" w:line="240" w:lineRule="auto"/>
        <w:jc w:val="both"/>
        <w:rPr>
          <w:rFonts w:ascii="Verdana" w:hAnsi="Verdana"/>
        </w:rPr>
      </w:pPr>
      <w:r w:rsidRPr="008E4F36">
        <w:rPr>
          <w:rFonts w:ascii="Verdana" w:hAnsi="Verdana"/>
        </w:rPr>
        <w:lastRenderedPageBreak/>
        <w:t xml:space="preserve">Bogotá D.C., </w:t>
      </w:r>
      <w:r w:rsidR="004A5317">
        <w:rPr>
          <w:rFonts w:ascii="Verdana" w:hAnsi="Verdana"/>
        </w:rPr>
        <w:t>14 de agosto de 2025</w:t>
      </w:r>
      <w:r w:rsidRPr="008E4F36">
        <w:rPr>
          <w:rFonts w:ascii="Verdana" w:hAnsi="Verdana"/>
        </w:rPr>
        <w:tab/>
      </w:r>
    </w:p>
    <w:p w14:paraId="72F4E39F" w14:textId="594BF8C7" w:rsidR="006779CF" w:rsidRPr="008E4F36" w:rsidRDefault="004A5317" w:rsidP="004A5317">
      <w:pPr>
        <w:spacing w:after="0" w:line="240" w:lineRule="auto"/>
        <w:jc w:val="right"/>
        <w:rPr>
          <w:rFonts w:ascii="Verdana" w:eastAsia="Calibri" w:hAnsi="Verdana" w:cs="Arial"/>
          <w:lang w:eastAsia="es-ES"/>
        </w:rPr>
      </w:pPr>
      <w:r w:rsidRPr="004A5317">
        <w:rPr>
          <w:rFonts w:ascii="Verdana" w:eastAsia="Calibri" w:hAnsi="Verdana" w:cs="Arial"/>
          <w:lang w:eastAsia="es-ES"/>
        </w:rPr>
        <w:drawing>
          <wp:inline distT="0" distB="0" distL="0" distR="0" wp14:anchorId="5293DA63" wp14:editId="0650E24A">
            <wp:extent cx="2844800" cy="831226"/>
            <wp:effectExtent l="0" t="0" r="0" b="6985"/>
            <wp:docPr id="24097185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971851" name="Imagen 1" descr="Texto&#10;&#10;El contenido generado por IA puede ser incorrecto."/>
                    <pic:cNvPicPr/>
                  </pic:nvPicPr>
                  <pic:blipFill>
                    <a:blip r:embed="rId10"/>
                    <a:stretch>
                      <a:fillRect/>
                    </a:stretch>
                  </pic:blipFill>
                  <pic:spPr>
                    <a:xfrm>
                      <a:off x="0" y="0"/>
                      <a:ext cx="2853541" cy="833780"/>
                    </a:xfrm>
                    <a:prstGeom prst="rect">
                      <a:avLst/>
                    </a:prstGeom>
                  </pic:spPr>
                </pic:pic>
              </a:graphicData>
            </a:graphic>
          </wp:inline>
        </w:drawing>
      </w:r>
    </w:p>
    <w:p w14:paraId="37CD4844" w14:textId="77777777" w:rsidR="006779CF" w:rsidRPr="008E4F36" w:rsidRDefault="006779CF" w:rsidP="006779CF">
      <w:pPr>
        <w:spacing w:after="0" w:line="240" w:lineRule="auto"/>
        <w:jc w:val="both"/>
        <w:rPr>
          <w:rFonts w:ascii="Verdana" w:eastAsia="Calibri" w:hAnsi="Verdana" w:cs="Arial"/>
          <w:lang w:eastAsia="es-ES"/>
        </w:rPr>
      </w:pPr>
      <w:r w:rsidRPr="008E4F36">
        <w:rPr>
          <w:rFonts w:ascii="Verdana" w:eastAsia="Calibri" w:hAnsi="Verdana" w:cs="Arial"/>
          <w:lang w:eastAsia="es-ES"/>
        </w:rPr>
        <w:t>Señor</w:t>
      </w:r>
    </w:p>
    <w:p w14:paraId="595A3C22" w14:textId="77777777" w:rsidR="006779CF" w:rsidRDefault="006779CF" w:rsidP="006779CF">
      <w:pPr>
        <w:spacing w:after="0" w:line="240" w:lineRule="auto"/>
        <w:jc w:val="both"/>
        <w:rPr>
          <w:rFonts w:ascii="Verdana" w:eastAsia="Calibri" w:hAnsi="Verdana" w:cs="Arial"/>
          <w:b/>
          <w:lang w:eastAsia="es-ES_tradnl"/>
        </w:rPr>
      </w:pPr>
      <w:r w:rsidRPr="00503DDF">
        <w:rPr>
          <w:rFonts w:ascii="Verdana" w:eastAsia="Calibri" w:hAnsi="Verdana" w:cs="Arial"/>
          <w:b/>
          <w:lang w:eastAsia="es-ES_tradnl"/>
        </w:rPr>
        <w:t xml:space="preserve">Edson Jair Quejada Martines </w:t>
      </w:r>
    </w:p>
    <w:p w14:paraId="75C1BF9C" w14:textId="77777777" w:rsidR="006779CF" w:rsidRPr="00503DDF" w:rsidRDefault="006779CF" w:rsidP="006779CF">
      <w:pPr>
        <w:spacing w:after="0" w:line="240" w:lineRule="auto"/>
        <w:jc w:val="both"/>
        <w:rPr>
          <w:rFonts w:ascii="Verdana" w:hAnsi="Verdana"/>
          <w:b/>
          <w:bCs/>
        </w:rPr>
      </w:pPr>
      <w:hyperlink r:id="rId11" w:history="1">
        <w:r w:rsidRPr="00503DDF">
          <w:rPr>
            <w:rStyle w:val="Hipervnculo"/>
            <w:rFonts w:ascii="Verdana" w:hAnsi="Verdana"/>
            <w:b/>
            <w:bCs/>
          </w:rPr>
          <w:t>jairqm@gmail.com</w:t>
        </w:r>
      </w:hyperlink>
    </w:p>
    <w:p w14:paraId="24E0CD04" w14:textId="77777777" w:rsidR="006779CF" w:rsidRPr="00624A4C" w:rsidRDefault="006779CF" w:rsidP="006779CF">
      <w:pPr>
        <w:spacing w:after="0" w:line="240" w:lineRule="auto"/>
        <w:jc w:val="both"/>
        <w:rPr>
          <w:rFonts w:ascii="Verdana" w:eastAsia="Calibri" w:hAnsi="Verdana" w:cs="Arial"/>
          <w:bCs/>
          <w:lang w:eastAsia="es-ES_tradnl"/>
        </w:rPr>
      </w:pPr>
      <w:r w:rsidRPr="00624A4C">
        <w:rPr>
          <w:rFonts w:ascii="Verdana" w:eastAsia="Calibri" w:hAnsi="Verdana" w:cs="Arial"/>
          <w:bCs/>
          <w:lang w:eastAsia="es-ES_tradnl"/>
        </w:rPr>
        <w:t>Ciudad</w:t>
      </w:r>
    </w:p>
    <w:p w14:paraId="5F25EA58" w14:textId="77777777" w:rsidR="006779CF" w:rsidRDefault="006779CF" w:rsidP="006779CF">
      <w:pPr>
        <w:spacing w:after="0" w:line="240" w:lineRule="auto"/>
        <w:jc w:val="both"/>
        <w:rPr>
          <w:rFonts w:ascii="Verdana" w:hAnsi="Verdana"/>
          <w:lang w:val="it-CH"/>
        </w:rPr>
      </w:pPr>
    </w:p>
    <w:p w14:paraId="4C9C0E48" w14:textId="77777777" w:rsidR="006779CF" w:rsidRPr="005B4C57" w:rsidRDefault="006779CF" w:rsidP="006779CF">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6779CF" w:rsidRPr="002842E0" w14:paraId="1895FEE0" w14:textId="77777777" w:rsidTr="001800CC">
        <w:trPr>
          <w:trHeight w:val="162"/>
        </w:trPr>
        <w:tc>
          <w:tcPr>
            <w:tcW w:w="3119" w:type="dxa"/>
          </w:tcPr>
          <w:p w14:paraId="19DCB19B" w14:textId="77777777" w:rsidR="006779CF" w:rsidRPr="005B4C57" w:rsidRDefault="006779CF" w:rsidP="001800CC">
            <w:pPr>
              <w:jc w:val="both"/>
              <w:rPr>
                <w:rFonts w:ascii="Verdana" w:eastAsia="Calibri" w:hAnsi="Verdana" w:cs="Arial"/>
                <w:b/>
                <w:bCs/>
                <w:color w:val="7030A0"/>
                <w:lang w:val="it-CH" w:eastAsia="es-ES_tradnl"/>
              </w:rPr>
            </w:pPr>
          </w:p>
        </w:tc>
        <w:tc>
          <w:tcPr>
            <w:tcW w:w="5670" w:type="dxa"/>
          </w:tcPr>
          <w:p w14:paraId="42964BCB" w14:textId="77777777" w:rsidR="006779CF" w:rsidRPr="00801462" w:rsidRDefault="006779CF" w:rsidP="001800CC">
            <w:pPr>
              <w:jc w:val="both"/>
              <w:rPr>
                <w:rFonts w:ascii="Verdana" w:eastAsia="Calibri" w:hAnsi="Verdana" w:cs="Arial"/>
                <w:b/>
                <w:bCs/>
                <w:lang w:eastAsia="es-ES"/>
              </w:rPr>
            </w:pPr>
            <w:r w:rsidRPr="00801462">
              <w:rPr>
                <w:rFonts w:ascii="Verdana" w:eastAsia="Calibri" w:hAnsi="Verdana" w:cs="Arial"/>
                <w:b/>
                <w:bCs/>
                <w:lang w:eastAsia="es-ES"/>
              </w:rPr>
              <w:t xml:space="preserve">Concepto C- </w:t>
            </w:r>
            <w:r>
              <w:rPr>
                <w:rFonts w:ascii="Verdana" w:eastAsia="Calibri" w:hAnsi="Verdana" w:cs="Arial"/>
                <w:b/>
                <w:bCs/>
                <w:lang w:eastAsia="es-ES"/>
              </w:rPr>
              <w:t>884</w:t>
            </w:r>
            <w:r w:rsidRPr="00801462">
              <w:rPr>
                <w:rFonts w:ascii="Verdana" w:eastAsia="Calibri" w:hAnsi="Verdana" w:cs="Arial"/>
                <w:b/>
                <w:bCs/>
                <w:lang w:eastAsia="es-ES"/>
              </w:rPr>
              <w:t xml:space="preserve"> de 2025</w:t>
            </w:r>
          </w:p>
          <w:p w14:paraId="1AE68556" w14:textId="77777777" w:rsidR="006779CF" w:rsidRPr="00801462" w:rsidRDefault="006779CF" w:rsidP="001800CC">
            <w:pPr>
              <w:jc w:val="both"/>
              <w:rPr>
                <w:rFonts w:ascii="Verdana" w:eastAsia="Calibri" w:hAnsi="Verdana" w:cs="Arial"/>
                <w:b/>
                <w:bCs/>
                <w:color w:val="7030A0"/>
                <w:lang w:eastAsia="es-ES"/>
              </w:rPr>
            </w:pPr>
          </w:p>
        </w:tc>
      </w:tr>
      <w:tr w:rsidR="006779CF" w:rsidRPr="002842E0" w14:paraId="05E750DA" w14:textId="77777777" w:rsidTr="001800CC">
        <w:trPr>
          <w:trHeight w:val="884"/>
        </w:trPr>
        <w:tc>
          <w:tcPr>
            <w:tcW w:w="3119" w:type="dxa"/>
          </w:tcPr>
          <w:p w14:paraId="4D5F878E" w14:textId="77777777" w:rsidR="006779CF" w:rsidRPr="00801462" w:rsidRDefault="006779CF" w:rsidP="001800CC">
            <w:pPr>
              <w:jc w:val="both"/>
              <w:rPr>
                <w:rFonts w:ascii="Verdana" w:eastAsia="Calibri" w:hAnsi="Verdana" w:cs="Arial"/>
                <w:color w:val="000000"/>
                <w:lang w:eastAsia="es-ES_tradnl"/>
              </w:rPr>
            </w:pPr>
            <w:r w:rsidRPr="00801462">
              <w:rPr>
                <w:rFonts w:ascii="Verdana" w:eastAsia="Calibri" w:hAnsi="Verdana" w:cs="Arial"/>
                <w:b/>
                <w:color w:val="000000"/>
                <w:lang w:eastAsia="es-ES_tradnl"/>
              </w:rPr>
              <w:t>Temas:</w:t>
            </w:r>
            <w:r w:rsidRPr="00801462">
              <w:rPr>
                <w:rFonts w:ascii="Verdana" w:eastAsia="Calibri" w:hAnsi="Verdana" w:cs="Arial"/>
                <w:color w:val="000000"/>
                <w:lang w:eastAsia="es-ES_tradnl"/>
              </w:rPr>
              <w:t xml:space="preserve">                   </w:t>
            </w:r>
          </w:p>
        </w:tc>
        <w:tc>
          <w:tcPr>
            <w:tcW w:w="5670" w:type="dxa"/>
          </w:tcPr>
          <w:p w14:paraId="64E0248E" w14:textId="77777777" w:rsidR="006779CF" w:rsidRPr="00801462" w:rsidRDefault="006779CF" w:rsidP="001800CC">
            <w:pPr>
              <w:jc w:val="both"/>
              <w:rPr>
                <w:rFonts w:ascii="Verdana" w:eastAsia="Calibri" w:hAnsi="Verdana" w:cs="Arial"/>
                <w:lang w:val="es-ES_tradnl" w:eastAsia="es-ES"/>
              </w:rPr>
            </w:pPr>
            <w:r w:rsidRPr="00E8264F">
              <w:rPr>
                <w:rFonts w:ascii="Verdana" w:eastAsia="Calibri" w:hAnsi="Verdana" w:cs="Arial"/>
                <w:lang w:val="es-ES_tradnl" w:eastAsia="es-ES"/>
              </w:rPr>
              <w:t xml:space="preserve">INHABILIDADES E INCOMPATIBILIDADES – Límites a la capacidad – Régimen / INHABILIDADES E INCOMPATIBILIDADES – Concepto / INHABILIDADES E INCOMPATIBILIDADES – Interpretación restrictiva – Principio pro </w:t>
            </w:r>
            <w:proofErr w:type="spellStart"/>
            <w:r w:rsidRPr="00E8264F">
              <w:rPr>
                <w:rFonts w:ascii="Verdana" w:eastAsia="Calibri" w:hAnsi="Verdana" w:cs="Arial"/>
                <w:lang w:val="es-ES_tradnl" w:eastAsia="es-ES"/>
              </w:rPr>
              <w:t>libertate</w:t>
            </w:r>
            <w:proofErr w:type="spellEnd"/>
            <w:r w:rsidRPr="00E8264F">
              <w:rPr>
                <w:rFonts w:ascii="Verdana" w:eastAsia="Calibri" w:hAnsi="Verdana" w:cs="Arial"/>
                <w:lang w:val="es-ES_tradnl" w:eastAsia="es-ES"/>
              </w:rPr>
              <w:t xml:space="preserve"> / INHABILIDADES E INCOMPATIBILIDADES – Ley 80 de 1993 – Artículo 8 – Numeral 2 – Literal </w:t>
            </w:r>
            <w:r>
              <w:rPr>
                <w:rFonts w:ascii="Verdana" w:eastAsia="Calibri" w:hAnsi="Verdana" w:cs="Arial"/>
                <w:lang w:val="es-ES_tradnl" w:eastAsia="es-ES"/>
              </w:rPr>
              <w:t xml:space="preserve">D – </w:t>
            </w:r>
            <w:r w:rsidRPr="004A08C6">
              <w:rPr>
                <w:rFonts w:ascii="Verdana" w:eastAsia="Calibri" w:hAnsi="Verdana" w:cs="Arial"/>
                <w:color w:val="000000"/>
                <w:kern w:val="2"/>
                <w14:ligatures w14:val="standardContextual"/>
              </w:rPr>
              <w:t>CONFLICTO DE INTERÉS – Verificación</w:t>
            </w:r>
          </w:p>
        </w:tc>
      </w:tr>
      <w:tr w:rsidR="006779CF" w:rsidRPr="002842E0" w14:paraId="716018F0" w14:textId="77777777" w:rsidTr="19E815AD">
        <w:trPr>
          <w:trHeight w:val="495"/>
        </w:trPr>
        <w:tc>
          <w:tcPr>
            <w:tcW w:w="3119" w:type="dxa"/>
          </w:tcPr>
          <w:p w14:paraId="161578F0" w14:textId="77777777" w:rsidR="006779CF" w:rsidRPr="00801462" w:rsidRDefault="006779CF" w:rsidP="001800CC">
            <w:pPr>
              <w:jc w:val="both"/>
              <w:rPr>
                <w:rFonts w:ascii="Verdana" w:eastAsia="Calibri" w:hAnsi="Verdana" w:cs="Arial"/>
                <w:b/>
                <w:lang w:eastAsia="es-ES_tradnl"/>
              </w:rPr>
            </w:pPr>
            <w:r w:rsidRPr="00801462">
              <w:rPr>
                <w:rFonts w:ascii="Verdana" w:eastAsia="Calibri" w:hAnsi="Verdana" w:cs="Arial"/>
                <w:b/>
                <w:lang w:eastAsia="es-ES_tradnl"/>
              </w:rPr>
              <w:t>Radicación:</w:t>
            </w:r>
            <w:r w:rsidRPr="00801462">
              <w:rPr>
                <w:rFonts w:ascii="Verdana" w:eastAsia="Calibri" w:hAnsi="Verdana" w:cs="Arial"/>
                <w:lang w:eastAsia="es-ES_tradnl"/>
              </w:rPr>
              <w:t xml:space="preserve">               </w:t>
            </w:r>
          </w:p>
        </w:tc>
        <w:tc>
          <w:tcPr>
            <w:tcW w:w="5670" w:type="dxa"/>
          </w:tcPr>
          <w:p w14:paraId="50CD5C70" w14:textId="77777777" w:rsidR="006779CF" w:rsidRPr="00801462" w:rsidRDefault="006779CF" w:rsidP="001800CC">
            <w:pPr>
              <w:jc w:val="both"/>
              <w:rPr>
                <w:rFonts w:ascii="Verdana" w:eastAsia="Calibri" w:hAnsi="Verdana" w:cs="Arial"/>
                <w:lang w:eastAsia="es-ES_tradnl"/>
              </w:rPr>
            </w:pPr>
            <w:r w:rsidRPr="00801462">
              <w:rPr>
                <w:rFonts w:ascii="Verdana" w:eastAsia="Calibri" w:hAnsi="Verdana" w:cs="Arial"/>
                <w:lang w:eastAsia="es-ES_tradnl"/>
              </w:rPr>
              <w:t xml:space="preserve">Respuesta a consulta con radicado </w:t>
            </w:r>
            <w:r w:rsidRPr="00503DDF">
              <w:rPr>
                <w:rFonts w:ascii="Verdana" w:eastAsia="Calibri" w:hAnsi="Verdana" w:cs="Arial"/>
                <w:lang w:eastAsia="es-ES_tradnl"/>
              </w:rPr>
              <w:t>1_2025_07_07_006728</w:t>
            </w:r>
          </w:p>
        </w:tc>
      </w:tr>
    </w:tbl>
    <w:p w14:paraId="0EA9B0BE" w14:textId="77777777" w:rsidR="006779CF" w:rsidRDefault="006779CF" w:rsidP="006779CF">
      <w:pPr>
        <w:spacing w:after="0" w:line="276" w:lineRule="auto"/>
        <w:jc w:val="both"/>
        <w:rPr>
          <w:rFonts w:ascii="Verdana" w:eastAsia="Calibri" w:hAnsi="Verdana" w:cs="Arial"/>
          <w:lang w:eastAsia="es-ES_tradnl"/>
        </w:rPr>
      </w:pPr>
    </w:p>
    <w:p w14:paraId="1EEE1EC0" w14:textId="77777777" w:rsidR="006779CF" w:rsidRPr="008E4F36" w:rsidRDefault="006779CF" w:rsidP="006779CF">
      <w:pPr>
        <w:spacing w:after="0" w:line="276" w:lineRule="auto"/>
        <w:jc w:val="both"/>
        <w:rPr>
          <w:rFonts w:ascii="Verdana" w:eastAsia="Calibri" w:hAnsi="Verdana" w:cs="Arial"/>
          <w:lang w:eastAsia="es-ES"/>
        </w:rPr>
      </w:pPr>
      <w:r w:rsidRPr="008E4F36">
        <w:rPr>
          <w:rFonts w:ascii="Verdana" w:eastAsia="Calibri" w:hAnsi="Verdana" w:cs="Arial"/>
          <w:lang w:eastAsia="es-ES"/>
        </w:rPr>
        <w:t>Estimad</w:t>
      </w:r>
      <w:r>
        <w:rPr>
          <w:rFonts w:ascii="Verdana" w:eastAsia="Calibri" w:hAnsi="Verdana" w:cs="Arial"/>
          <w:lang w:eastAsia="es-ES"/>
        </w:rPr>
        <w:t xml:space="preserve">o </w:t>
      </w:r>
      <w:r w:rsidRPr="008E4F36">
        <w:rPr>
          <w:rFonts w:ascii="Verdana" w:eastAsia="Calibri" w:hAnsi="Verdana" w:cs="Arial"/>
          <w:lang w:eastAsia="es-ES"/>
        </w:rPr>
        <w:t>señor</w:t>
      </w:r>
      <w:r>
        <w:rPr>
          <w:rFonts w:ascii="Verdana" w:eastAsia="Calibri" w:hAnsi="Verdana" w:cs="Arial"/>
          <w:lang w:eastAsia="es-ES"/>
        </w:rPr>
        <w:t xml:space="preserve"> Quejada:</w:t>
      </w:r>
      <w:r w:rsidRPr="008E4F36">
        <w:rPr>
          <w:rFonts w:ascii="Verdana" w:eastAsia="Calibri" w:hAnsi="Verdana" w:cs="Arial"/>
          <w:lang w:eastAsia="es-ES"/>
        </w:rPr>
        <w:t xml:space="preserve"> </w:t>
      </w:r>
    </w:p>
    <w:p w14:paraId="301E684B" w14:textId="77777777" w:rsidR="006779CF" w:rsidRDefault="006779CF" w:rsidP="006779CF">
      <w:pPr>
        <w:tabs>
          <w:tab w:val="left" w:pos="3768"/>
        </w:tabs>
        <w:spacing w:after="0" w:line="240" w:lineRule="auto"/>
        <w:jc w:val="both"/>
        <w:rPr>
          <w:rFonts w:ascii="Verdana" w:eastAsia="Calibri" w:hAnsi="Verdana" w:cs="Arial"/>
          <w:lang w:eastAsia="es-ES"/>
        </w:rPr>
      </w:pPr>
    </w:p>
    <w:p w14:paraId="1993D619" w14:textId="77777777" w:rsidR="006779CF" w:rsidRPr="008E4F36" w:rsidRDefault="006779CF" w:rsidP="006779CF">
      <w:pPr>
        <w:tabs>
          <w:tab w:val="left" w:pos="3768"/>
        </w:tabs>
        <w:spacing w:after="0" w:line="276" w:lineRule="auto"/>
        <w:jc w:val="both"/>
        <w:rPr>
          <w:rFonts w:ascii="Verdana" w:eastAsia="Calibri" w:hAnsi="Verdana" w:cs="Arial"/>
          <w:lang w:eastAsia="es-ES"/>
        </w:rPr>
      </w:pPr>
      <w:r w:rsidRPr="008E4F36">
        <w:rPr>
          <w:rFonts w:ascii="Verdana" w:eastAsia="Calibri" w:hAnsi="Verdana" w:cs="Arial"/>
          <w:color w:val="000000" w:themeColor="text1"/>
          <w:lang w:eastAsia="es-ES"/>
        </w:rPr>
        <w:t>En ejercicio de la competencia otorgada por los artículos 3, numeral 5º, y 11, numeral 8º, del Decreto Ley 4170 de 2011,</w:t>
      </w:r>
      <w:r w:rsidRPr="008E4F36">
        <w:rPr>
          <w:rFonts w:ascii="Verdana" w:eastAsia="Arial MT" w:hAnsi="Verdana" w:cs="Arial MT"/>
          <w:lang w:eastAsia="es-ES"/>
        </w:rPr>
        <w:t xml:space="preserve"> </w:t>
      </w:r>
      <w:r w:rsidRPr="008E4F36">
        <w:rPr>
          <w:rFonts w:ascii="Verdana" w:hAnsi="Verdana" w:cs="Arial"/>
        </w:rPr>
        <w:t xml:space="preserve">así como lo establecido en el artículo 4 de la Resolución 1707 de 2018 expedida por esta Entidad, </w:t>
      </w:r>
      <w:r w:rsidRPr="008E4F36">
        <w:rPr>
          <w:rFonts w:ascii="Verdana" w:eastAsia="Calibri" w:hAnsi="Verdana" w:cs="Arial"/>
          <w:color w:val="000000" w:themeColor="text1"/>
          <w:lang w:eastAsia="es-ES"/>
        </w:rPr>
        <w:t xml:space="preserve">la Agencia Nacional de Contratación </w:t>
      </w:r>
      <w:r w:rsidRPr="008E4F36">
        <w:rPr>
          <w:rFonts w:ascii="Verdana" w:eastAsia="Calibri" w:hAnsi="Verdana" w:cs="Arial"/>
          <w:lang w:eastAsia="es-ES"/>
        </w:rPr>
        <w:t xml:space="preserve">Pública – Colombia Compra Eficiente– responde su solicitud de consulta de fecha </w:t>
      </w:r>
      <w:r>
        <w:rPr>
          <w:rFonts w:ascii="Verdana" w:eastAsia="Calibri" w:hAnsi="Verdana" w:cs="Arial"/>
          <w:lang w:eastAsia="es-ES"/>
        </w:rPr>
        <w:t xml:space="preserve">30 </w:t>
      </w:r>
      <w:r w:rsidRPr="008E4F36">
        <w:rPr>
          <w:rFonts w:ascii="Verdana" w:eastAsia="Calibri" w:hAnsi="Verdana" w:cs="Arial"/>
          <w:lang w:eastAsia="es-ES"/>
        </w:rPr>
        <w:t xml:space="preserve">de junio de 2025, </w:t>
      </w:r>
      <w:r>
        <w:rPr>
          <w:rFonts w:ascii="Verdana" w:eastAsia="Calibri" w:hAnsi="Verdana" w:cs="Arial"/>
          <w:lang w:eastAsia="es-ES"/>
        </w:rPr>
        <w:t xml:space="preserve">previamente trasladado por el Departamento Administrativo de la Función Pública mediante radicado 20252040317401 del 4 de julio de 2025, </w:t>
      </w:r>
      <w:r w:rsidRPr="008E4F36">
        <w:rPr>
          <w:rFonts w:ascii="Verdana" w:eastAsia="Calibri" w:hAnsi="Verdana" w:cs="Arial"/>
          <w:lang w:eastAsia="es-ES"/>
        </w:rPr>
        <w:t xml:space="preserve">en la cual manifiesta lo siguiente: </w:t>
      </w:r>
    </w:p>
    <w:p w14:paraId="5789302F" w14:textId="77777777" w:rsidR="006779CF" w:rsidRPr="008E4F36" w:rsidRDefault="006779CF" w:rsidP="006779CF">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450A5045" w14:textId="77777777" w:rsidR="006779CF" w:rsidRPr="00617A31" w:rsidRDefault="006779CF" w:rsidP="006779CF">
      <w:pPr>
        <w:spacing w:after="0" w:line="240" w:lineRule="auto"/>
        <w:ind w:left="709" w:right="709"/>
        <w:jc w:val="both"/>
        <w:rPr>
          <w:rFonts w:ascii="Verdana" w:eastAsia="Century Gothic" w:hAnsi="Verdana" w:cs="Century Gothic"/>
          <w:sz w:val="20"/>
          <w:szCs w:val="20"/>
        </w:rPr>
      </w:pPr>
      <w:r>
        <w:rPr>
          <w:rFonts w:ascii="Verdana" w:eastAsia="Century Gothic" w:hAnsi="Verdana" w:cs="Century Gothic"/>
          <w:sz w:val="20"/>
          <w:szCs w:val="20"/>
        </w:rPr>
        <w:t xml:space="preserve">“(…) </w:t>
      </w:r>
      <w:proofErr w:type="gramStart"/>
      <w:r w:rsidRPr="00E60C8C">
        <w:rPr>
          <w:rFonts w:ascii="Verdana" w:eastAsia="Century Gothic" w:hAnsi="Verdana" w:cs="Century Gothic"/>
          <w:sz w:val="20"/>
          <w:szCs w:val="20"/>
        </w:rPr>
        <w:t xml:space="preserve">La inhabilidad o incompatibilidad por parentesco para </w:t>
      </w:r>
      <w:proofErr w:type="spellStart"/>
      <w:r w:rsidRPr="00E60C8C">
        <w:rPr>
          <w:rFonts w:ascii="Verdana" w:eastAsia="Century Gothic" w:hAnsi="Verdana" w:cs="Century Gothic"/>
          <w:sz w:val="20"/>
          <w:szCs w:val="20"/>
        </w:rPr>
        <w:t>contrar</w:t>
      </w:r>
      <w:proofErr w:type="spellEnd"/>
      <w:r>
        <w:rPr>
          <w:rFonts w:ascii="Verdana" w:eastAsia="Century Gothic" w:hAnsi="Verdana" w:cs="Century Gothic"/>
          <w:sz w:val="20"/>
          <w:szCs w:val="20"/>
        </w:rPr>
        <w:t xml:space="preserve"> (sic)</w:t>
      </w:r>
      <w:r w:rsidRPr="00E60C8C">
        <w:rPr>
          <w:rFonts w:ascii="Verdana" w:eastAsia="Century Gothic" w:hAnsi="Verdana" w:cs="Century Gothic"/>
          <w:sz w:val="20"/>
          <w:szCs w:val="20"/>
        </w:rPr>
        <w:t xml:space="preserve"> con el Estado se predica sólo respecto del representante legal de la empresa o </w:t>
      </w:r>
      <w:r>
        <w:rPr>
          <w:rFonts w:ascii="Verdana" w:eastAsia="Century Gothic" w:hAnsi="Verdana" w:cs="Century Gothic"/>
          <w:sz w:val="20"/>
          <w:szCs w:val="20"/>
        </w:rPr>
        <w:t>también (sic)</w:t>
      </w:r>
      <w:r w:rsidRPr="00E60C8C">
        <w:rPr>
          <w:rFonts w:ascii="Verdana" w:eastAsia="Century Gothic" w:hAnsi="Verdana" w:cs="Century Gothic"/>
          <w:sz w:val="20"/>
          <w:szCs w:val="20"/>
        </w:rPr>
        <w:t xml:space="preserve"> respecto del dueño de esa empresa, teniendo en cuenta que el dueño no es el mismo representante legal?</w:t>
      </w:r>
      <w:proofErr w:type="gramEnd"/>
      <w:r w:rsidRPr="00624A4C">
        <w:rPr>
          <w:rFonts w:ascii="Verdana" w:eastAsia="Century Gothic" w:hAnsi="Verdana" w:cs="Century Gothic"/>
          <w:sz w:val="20"/>
          <w:szCs w:val="20"/>
        </w:rPr>
        <w:t xml:space="preserve"> </w:t>
      </w:r>
      <w:r>
        <w:rPr>
          <w:rFonts w:ascii="Verdana" w:eastAsia="Century Gothic" w:hAnsi="Verdana" w:cs="Century Gothic"/>
          <w:sz w:val="20"/>
          <w:szCs w:val="20"/>
        </w:rPr>
        <w:t>(</w:t>
      </w:r>
      <w:r w:rsidRPr="008E4F36">
        <w:rPr>
          <w:rFonts w:ascii="Verdana" w:hAnsi="Verdana"/>
          <w:sz w:val="20"/>
          <w:szCs w:val="20"/>
        </w:rPr>
        <w:t>…)”.</w:t>
      </w:r>
    </w:p>
    <w:p w14:paraId="37B62EB3" w14:textId="77777777" w:rsidR="006779CF" w:rsidRPr="008E4F36" w:rsidRDefault="006779CF" w:rsidP="006779CF">
      <w:pPr>
        <w:spacing w:after="0" w:line="240" w:lineRule="auto"/>
        <w:ind w:left="709" w:right="709"/>
        <w:jc w:val="both"/>
        <w:rPr>
          <w:rFonts w:ascii="Verdana" w:hAnsi="Verdana"/>
          <w:sz w:val="20"/>
          <w:szCs w:val="20"/>
        </w:rPr>
      </w:pPr>
    </w:p>
    <w:p w14:paraId="632A5561" w14:textId="77777777" w:rsidR="006779CF" w:rsidRDefault="006779CF" w:rsidP="006779CF">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6A1A4799" w14:textId="77777777" w:rsidR="006779CF" w:rsidRPr="00054383" w:rsidRDefault="006779CF" w:rsidP="006779CF">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0D399EDD" w14:textId="77777777" w:rsidR="006779CF" w:rsidRPr="008E4F36" w:rsidRDefault="006779CF" w:rsidP="006779CF">
      <w:pPr>
        <w:spacing w:after="0"/>
        <w:ind w:firstLine="709"/>
        <w:jc w:val="both"/>
        <w:rPr>
          <w:rFonts w:ascii="Verdana" w:eastAsia="Calibri" w:hAnsi="Verdana" w:cs="Arial"/>
          <w:color w:val="000000"/>
          <w:lang w:eastAsia="es-ES"/>
        </w:rPr>
      </w:pPr>
    </w:p>
    <w:p w14:paraId="7690356F" w14:textId="77777777" w:rsidR="006779CF" w:rsidRDefault="006779CF" w:rsidP="006779C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155EE986" w14:textId="77777777" w:rsidR="006779CF" w:rsidRDefault="006779CF" w:rsidP="006779CF">
      <w:pPr>
        <w:spacing w:after="0" w:line="276" w:lineRule="auto"/>
        <w:jc w:val="both"/>
        <w:rPr>
          <w:rFonts w:ascii="Verdana" w:eastAsia="Calibri" w:hAnsi="Verdana" w:cs="Arial"/>
          <w:color w:val="000000"/>
          <w:highlight w:val="yellow"/>
          <w:lang w:eastAsia="es-ES"/>
        </w:rPr>
      </w:pPr>
    </w:p>
    <w:p w14:paraId="75317971" w14:textId="350074FD" w:rsidR="006779CF" w:rsidRPr="00CC440A" w:rsidRDefault="006779CF" w:rsidP="006779CF">
      <w:pPr>
        <w:spacing w:after="0" w:line="276" w:lineRule="auto"/>
        <w:jc w:val="both"/>
        <w:rPr>
          <w:rFonts w:ascii="Verdana" w:eastAsia="Century Gothic" w:hAnsi="Verdana" w:cs="Century Gothic"/>
        </w:rPr>
      </w:pPr>
      <w:r w:rsidRPr="67C56047">
        <w:rPr>
          <w:rFonts w:ascii="Verdana" w:eastAsia="Calibri" w:hAnsi="Verdana" w:cs="Arial"/>
          <w:color w:val="000000" w:themeColor="text1"/>
          <w:lang w:eastAsia="es-ES"/>
        </w:rPr>
        <w:t xml:space="preserve">De acuerdo con el contenido de su solicitud, esta Agencia resolverá el siguiente problema jurídico: </w:t>
      </w:r>
      <w:r w:rsidRPr="00CC440A">
        <w:rPr>
          <w:rFonts w:ascii="Verdana" w:eastAsia="Century Gothic" w:hAnsi="Verdana" w:cs="Century Gothic"/>
        </w:rPr>
        <w:t xml:space="preserve">¿Se configura alguna causal de inhabilidad, incompatibilidad o conflicto de interés </w:t>
      </w:r>
      <w:r>
        <w:rPr>
          <w:rFonts w:ascii="Verdana" w:eastAsia="Century Gothic" w:hAnsi="Verdana" w:cs="Century Gothic"/>
        </w:rPr>
        <w:t xml:space="preserve">cuando el representante legal u otro miembro de la persona jurídica privada que pretende participar en un proceso de selección o celebrar un contrato estatal, tiene alguna relación de parentesco con el servidor público </w:t>
      </w:r>
      <w:r w:rsidR="2216C05E" w:rsidRPr="67C56047">
        <w:rPr>
          <w:rFonts w:ascii="Verdana" w:eastAsia="Century Gothic" w:hAnsi="Verdana" w:cs="Century Gothic"/>
        </w:rPr>
        <w:t>del nivel directivo</w:t>
      </w:r>
      <w:r w:rsidRPr="67C56047">
        <w:rPr>
          <w:rFonts w:ascii="Verdana" w:eastAsia="Century Gothic" w:hAnsi="Verdana" w:cs="Century Gothic"/>
        </w:rPr>
        <w:t xml:space="preserve"> que</w:t>
      </w:r>
      <w:r>
        <w:rPr>
          <w:rFonts w:ascii="Verdana" w:eastAsia="Century Gothic" w:hAnsi="Verdana" w:cs="Century Gothic"/>
        </w:rPr>
        <w:t xml:space="preserve"> hace parte de la entidad contratante?</w:t>
      </w:r>
    </w:p>
    <w:p w14:paraId="060CD3FF" w14:textId="77777777" w:rsidR="006779CF" w:rsidRPr="00EC582B" w:rsidRDefault="006779CF" w:rsidP="006779CF">
      <w:pPr>
        <w:spacing w:after="0" w:line="276" w:lineRule="auto"/>
        <w:jc w:val="both"/>
        <w:rPr>
          <w:rFonts w:ascii="Verdana" w:eastAsia="Century Gothic" w:hAnsi="Verdana" w:cs="Century Gothic"/>
        </w:rPr>
      </w:pPr>
    </w:p>
    <w:p w14:paraId="352D9F80" w14:textId="77777777" w:rsidR="006779CF" w:rsidRPr="008E4F36" w:rsidRDefault="006779CF" w:rsidP="006779CF">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324CBE61" w14:textId="77777777" w:rsidR="006779CF" w:rsidRPr="008E4F36" w:rsidRDefault="006779CF" w:rsidP="006779CF">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6779CF" w:rsidRPr="008E4F36" w14:paraId="521B2075" w14:textId="77777777" w:rsidTr="001800CC">
        <w:tc>
          <w:tcPr>
            <w:tcW w:w="8828" w:type="dxa"/>
          </w:tcPr>
          <w:p w14:paraId="54090CA7" w14:textId="77777777" w:rsidR="006779CF" w:rsidRDefault="006779CF" w:rsidP="67C56047">
            <w:pPr>
              <w:spacing w:after="120" w:line="276" w:lineRule="auto"/>
              <w:jc w:val="both"/>
              <w:rPr>
                <w:rFonts w:ascii="Verdana" w:eastAsia="Calibri" w:hAnsi="Verdana" w:cs="Arial"/>
                <w:lang w:val="es-ES"/>
              </w:rPr>
            </w:pPr>
            <w:r w:rsidRPr="67C56047">
              <w:rPr>
                <w:rFonts w:ascii="Verdana" w:eastAsia="Calibri" w:hAnsi="Verdana" w:cs="Arial"/>
                <w:color w:val="000000" w:themeColor="text1"/>
                <w:lang w:eastAsia="es-ES"/>
              </w:rPr>
              <w:t xml:space="preserve">El literal d) del numeral 2 del artículo 8 de la Ley 80 de 1993, </w:t>
            </w:r>
            <w:r w:rsidRPr="67C56047">
              <w:rPr>
                <w:rFonts w:ascii="Verdana" w:hAnsi="Verdana" w:cs="Arial"/>
                <w:color w:val="000000" w:themeColor="text1"/>
                <w:lang w:val="es-ES"/>
              </w:rPr>
              <w:t xml:space="preserve">dispone lo siguiente: </w:t>
            </w:r>
            <w:r w:rsidRPr="00FC4E4A">
              <w:rPr>
                <w:rFonts w:ascii="Verdana" w:hAnsi="Verdana" w:cs="Arial"/>
                <w:color w:val="000000" w:themeColor="text1"/>
              </w:rPr>
              <w:t xml:space="preserve">“2. Tampoco podrán participar en licitaciones o concursos ni celebrar contratos estatales con la entidad respectiva: </w:t>
            </w:r>
            <w:r w:rsidRPr="00FC4E4A">
              <w:rPr>
                <w:rFonts w:ascii="Verdana" w:hAnsi="Verdana" w:cs="Arial"/>
                <w:color w:val="000000" w:themeColor="text1"/>
                <w:lang w:val="es-ES"/>
              </w:rPr>
              <w:t xml:space="preserve">[…] </w:t>
            </w:r>
            <w:r w:rsidRPr="00FC4E4A">
              <w:rPr>
                <w:rFonts w:ascii="Verdana" w:hAnsi="Verdana" w:cs="Arial"/>
                <w:color w:val="000000" w:themeColor="text1"/>
              </w:rPr>
              <w:t xml:space="preserve">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w:t>
            </w:r>
            <w:r w:rsidRPr="00FC4E4A">
              <w:rPr>
                <w:rFonts w:ascii="Verdana" w:hAnsi="Verdana" w:cs="Arial"/>
                <w:color w:val="000000" w:themeColor="text1"/>
              </w:rPr>
              <w:lastRenderedPageBreak/>
              <w:t>hasta el segundo grado de consanguinidad, afinidad o civil de cualquiera de ellos, tenga participación o desempeñe cargos de dirección o manejo”.</w:t>
            </w:r>
            <w:r w:rsidRPr="00FC4E4A">
              <w:rPr>
                <w:rFonts w:ascii="Verdana" w:hAnsi="Verdana" w:cs="Arial"/>
                <w:color w:val="000000" w:themeColor="text1"/>
                <w:lang w:val="es-ES"/>
              </w:rPr>
              <w:t xml:space="preserve"> </w:t>
            </w:r>
          </w:p>
          <w:p w14:paraId="453050A7" w14:textId="77777777" w:rsidR="006779CF" w:rsidRDefault="006779CF" w:rsidP="001800CC">
            <w:pPr>
              <w:spacing w:after="120" w:line="276" w:lineRule="auto"/>
              <w:jc w:val="both"/>
              <w:rPr>
                <w:rFonts w:ascii="Verdana" w:eastAsia="Calibri" w:hAnsi="Verdana" w:cs="Arial"/>
                <w:spacing w:val="-2"/>
                <w:lang w:val="es-ES"/>
              </w:rPr>
            </w:pPr>
            <w:r w:rsidRPr="67C56047">
              <w:rPr>
                <w:rFonts w:ascii="Verdana" w:eastAsia="Calibri" w:hAnsi="Verdana" w:cs="Arial"/>
                <w:lang w:val="es-ES"/>
              </w:rPr>
              <w:t xml:space="preserve">De acuerdo con la norma transcrita, algunas personas jurídicas no podrán celebrar contratos con la entidad a la que pertenezca un servidor público que: i) ostente un cargo en el nivel directivo, asesor, ejecutivo o que sea miembro de la junta o consejo directivo de la entidad contratante; y que, simultáneamente, </w:t>
            </w:r>
            <w:proofErr w:type="spellStart"/>
            <w:r w:rsidRPr="67C56047">
              <w:rPr>
                <w:rFonts w:ascii="Verdana" w:eastAsia="Calibri" w:hAnsi="Verdana" w:cs="Arial"/>
                <w:lang w:val="es-ES"/>
              </w:rPr>
              <w:t>ii</w:t>
            </w:r>
            <w:proofErr w:type="spellEnd"/>
            <w:r w:rsidRPr="67C56047">
              <w:rPr>
                <w:rFonts w:ascii="Verdana" w:eastAsia="Calibri" w:hAnsi="Verdana" w:cs="Arial"/>
                <w:lang w:val="es-ES"/>
              </w:rPr>
              <w:t>) dicho servidor público o el cónyuge, compañero o compañera permanente o los parientes hasta el segundo grado de consanguinidad, afinidad o civil de cualquiera de ellos tenga participación en esas personas jurídicas o desempeñe un cargo de dirección o manejo.</w:t>
            </w:r>
          </w:p>
          <w:p w14:paraId="5EE9D013" w14:textId="2CD3B712" w:rsidR="006779CF" w:rsidRPr="00B36E70" w:rsidRDefault="006779CF" w:rsidP="00B36E70">
            <w:pPr>
              <w:autoSpaceDE w:val="0"/>
              <w:autoSpaceDN w:val="0"/>
              <w:adjustRightInd w:val="0"/>
              <w:spacing w:after="120" w:line="276" w:lineRule="auto"/>
              <w:ind w:firstLine="708"/>
              <w:jc w:val="both"/>
              <w:rPr>
                <w:rFonts w:ascii="Verdana" w:eastAsia="Calibri" w:hAnsi="Verdana" w:cs="Arial"/>
                <w:spacing w:val="-2"/>
                <w:lang w:val="es-ES"/>
              </w:rPr>
            </w:pPr>
            <w:r w:rsidRPr="67C56047">
              <w:rPr>
                <w:rFonts w:ascii="Verdana" w:eastAsia="Calibri" w:hAnsi="Verdana" w:cs="Arial"/>
                <w:lang w:val="es-MX"/>
              </w:rPr>
              <w:t xml:space="preserve">Sobre el primer aspecto, hay que señalar que, </w:t>
            </w:r>
            <w:r w:rsidRPr="004A08C6">
              <w:rPr>
                <w:rFonts w:ascii="Verdana" w:eastAsia="Arial" w:hAnsi="Verdana" w:cs="Arial"/>
                <w:lang w:val="es-ES" w:eastAsia="es-ES" w:bidi="es-ES"/>
              </w:rPr>
              <w:t>en cuanto a los destinatarios de la norma objeto de análisis, abarca de una parte a l</w:t>
            </w:r>
            <w:r w:rsidRPr="67C56047">
              <w:rPr>
                <w:rFonts w:ascii="Verdana" w:eastAsia="Arial" w:hAnsi="Verdana" w:cs="Arial"/>
                <w:color w:val="000000" w:themeColor="text1"/>
                <w:lang w:val="es-ES" w:eastAsia="es-ES" w:bidi="es-ES"/>
              </w:rPr>
              <w:t xml:space="preserve">as corporaciones, asociaciones y fundaciones; así mismo, alude a las sociedades de responsabilidad limitada; las demás sociedades de personas; y a las sociedades anónimas, que no tengan el carácter de abiertas. </w:t>
            </w:r>
          </w:p>
          <w:p w14:paraId="42ABF939" w14:textId="77777777" w:rsidR="006779CF" w:rsidRDefault="006779CF" w:rsidP="001800CC">
            <w:pPr>
              <w:spacing w:after="120" w:line="276" w:lineRule="auto"/>
              <w:ind w:firstLine="709"/>
              <w:jc w:val="both"/>
              <w:rPr>
                <w:rFonts w:ascii="Verdana" w:hAnsi="Verdana" w:cs="Arial"/>
                <w:color w:val="000000" w:themeColor="text1"/>
                <w:lang w:val="es-ES"/>
              </w:rPr>
            </w:pPr>
            <w:r w:rsidRPr="004A08C6">
              <w:rPr>
                <w:rFonts w:ascii="Verdana" w:hAnsi="Verdana" w:cs="Arial"/>
                <w:color w:val="000000" w:themeColor="text1"/>
                <w:lang w:val="es-ES"/>
              </w:rPr>
              <w:t>En relación con el sujeto que por sus condiciones o calidades ocasiona la configuración de la causal objeto de estudio −sujeto generador−, este se trata del servidor público de los niveles directivo, asesor o ejecutivo, o que sea miembro de la junta o consejo directivo; al igual que el cónyuge, compañero o compañera permanente o los parientes hasta el segundo grado de consanguinidad, afinidad o civil de cualquiera de ellos. Respecto de estos sujetos se predica una condición consistente en que “[…] tenga participación o desempeñe cargos de dirección o manejo” en la persona jurídica</w:t>
            </w:r>
            <w:r>
              <w:rPr>
                <w:rFonts w:ascii="Verdana" w:hAnsi="Verdana" w:cs="Arial"/>
                <w:color w:val="000000" w:themeColor="text1"/>
                <w:lang w:val="es-ES"/>
              </w:rPr>
              <w:t>.</w:t>
            </w:r>
          </w:p>
          <w:p w14:paraId="5A84C6E3" w14:textId="77777777" w:rsidR="006779CF" w:rsidRPr="004A08C6" w:rsidRDefault="006779CF" w:rsidP="001800CC">
            <w:pPr>
              <w:widowControl w:val="0"/>
              <w:autoSpaceDE w:val="0"/>
              <w:autoSpaceDN w:val="0"/>
              <w:spacing w:after="120" w:line="276" w:lineRule="auto"/>
              <w:ind w:firstLine="708"/>
              <w:jc w:val="both"/>
              <w:rPr>
                <w:rFonts w:ascii="Verdana" w:eastAsia="Calibri" w:hAnsi="Verdana" w:cs="Arial"/>
                <w:kern w:val="2"/>
                <w:lang w:val="es-ES"/>
                <w14:ligatures w14:val="standardContextual"/>
              </w:rPr>
            </w:pPr>
            <w:r>
              <w:rPr>
                <w:rFonts w:ascii="Verdana" w:eastAsia="Calibri" w:hAnsi="Verdana" w:cs="Arial"/>
                <w:kern w:val="2"/>
                <w:lang w:val="es-ES"/>
                <w14:ligatures w14:val="standardContextual"/>
              </w:rPr>
              <w:t>Esta</w:t>
            </w:r>
            <w:r w:rsidRPr="004A08C6">
              <w:rPr>
                <w:rFonts w:ascii="Verdana" w:hAnsi="Verdana" w:cs="Arial"/>
                <w:color w:val="000000" w:themeColor="text1"/>
                <w:szCs w:val="24"/>
                <w:lang w:val="es-ES_tradnl" w:eastAsia="es-ES_tradnl"/>
              </w:rPr>
              <w:t xml:space="preserve"> Subdirección, </w:t>
            </w:r>
            <w:r>
              <w:rPr>
                <w:rFonts w:ascii="Verdana" w:hAnsi="Verdana" w:cs="Arial"/>
                <w:color w:val="000000" w:themeColor="text1"/>
                <w:szCs w:val="24"/>
                <w:lang w:val="es-ES_tradnl" w:eastAsia="es-ES_tradnl"/>
              </w:rPr>
              <w:t xml:space="preserve">ha considerado que la </w:t>
            </w:r>
            <w:r w:rsidRPr="004A08C6">
              <w:rPr>
                <w:rFonts w:ascii="Verdana" w:hAnsi="Verdana" w:cs="Arial"/>
                <w:color w:val="000000" w:themeColor="text1"/>
                <w:szCs w:val="24"/>
                <w:lang w:val="es-ES_tradnl" w:eastAsia="es-ES_tradnl"/>
              </w:rPr>
              <w:t>expresión “cargos de dirección o manejo”, debe entenderse como el resultado de la interpretación sistemática del artículo 22 de la Ley 222 de 1995 con el artículo 32 del Código Sustantivo del Trabajo; pues ambas son normas de derecho privado aplicables en virtud de la remisión de los artículos 13, 32 y 40 de la Ley 80 de 1993. Armonizando ambas normas, se puede concluir que alguien puede desempeñar en una persona jurídica un “cargo de dirección o manejo” bien sea actuando como “administrador” –en los términos del artículo 22 de la Ley 222 de 1995– o como “trabajador de dirección, confianza o manejo» –de conformidad con el artículo 32 del Código Sustantivo del Trabajo–.</w:t>
            </w:r>
          </w:p>
          <w:p w14:paraId="32CEE1BC" w14:textId="77777777" w:rsidR="006779CF" w:rsidRDefault="006779CF" w:rsidP="001800CC">
            <w:pPr>
              <w:spacing w:after="120" w:line="276" w:lineRule="auto"/>
              <w:ind w:firstLine="709"/>
              <w:jc w:val="both"/>
              <w:rPr>
                <w:rFonts w:ascii="Verdana" w:eastAsia="Calibri" w:hAnsi="Verdana" w:cs="Arial"/>
                <w:color w:val="000000" w:themeColor="text1"/>
                <w:szCs w:val="24"/>
                <w:lang w:val="es-ES_tradnl" w:eastAsia="es-ES_tradnl"/>
              </w:rPr>
            </w:pPr>
            <w:r w:rsidRPr="004A08C6">
              <w:rPr>
                <w:rFonts w:ascii="Verdana" w:eastAsia="Calibri" w:hAnsi="Verdana" w:cs="Arial"/>
                <w:color w:val="000000" w:themeColor="text1"/>
                <w:szCs w:val="24"/>
                <w:lang w:val="es-ES_tradnl" w:eastAsia="es-ES_tradnl"/>
              </w:rPr>
              <w:t xml:space="preserve">A partir de lo dicho, puede concluirse que si el servidor público del nivel directivo, asesor o ejecutivo, o el miembro de junta o consejo directivo, </w:t>
            </w:r>
            <w:r w:rsidRPr="004A08C6">
              <w:rPr>
                <w:rFonts w:ascii="Verdana" w:eastAsia="Calibri" w:hAnsi="Verdana" w:cs="Arial"/>
                <w:i/>
                <w:iCs/>
                <w:color w:val="000000" w:themeColor="text1"/>
                <w:szCs w:val="24"/>
                <w:lang w:val="es-ES_tradnl" w:eastAsia="es-ES_tradnl"/>
              </w:rPr>
              <w:t xml:space="preserve">de </w:t>
            </w:r>
            <w:r w:rsidRPr="006C402E">
              <w:rPr>
                <w:rFonts w:ascii="Verdana" w:eastAsia="Calibri" w:hAnsi="Verdana" w:cs="Arial"/>
                <w:color w:val="000000" w:themeColor="text1"/>
                <w:szCs w:val="24"/>
                <w:lang w:val="es-ES_tradnl" w:eastAsia="es-ES_tradnl"/>
              </w:rPr>
              <w:t xml:space="preserve">la </w:t>
            </w:r>
            <w:r w:rsidRPr="006C402E">
              <w:rPr>
                <w:rFonts w:ascii="Verdana" w:eastAsia="Calibri" w:hAnsi="Verdana" w:cs="Arial"/>
                <w:color w:val="000000" w:themeColor="text1"/>
                <w:szCs w:val="24"/>
                <w:lang w:val="es-ES_tradnl" w:eastAsia="es-ES_tradnl"/>
              </w:rPr>
              <w:lastRenderedPageBreak/>
              <w:t>entidad estatal contratante</w:t>
            </w:r>
            <w:r w:rsidRPr="004A08C6">
              <w:rPr>
                <w:rFonts w:ascii="Verdana" w:eastAsia="Calibri" w:hAnsi="Verdana" w:cs="Arial"/>
                <w:color w:val="000000" w:themeColor="text1"/>
                <w:szCs w:val="24"/>
                <w:lang w:val="es-ES_tradnl" w:eastAsia="es-ES_tradnl"/>
              </w:rPr>
              <w:t xml:space="preserve"> –o sus parientes o allegados, en las calidades ya indicadas–, tiene </w:t>
            </w:r>
            <w:r w:rsidRPr="006C402E">
              <w:rPr>
                <w:rFonts w:ascii="Verdana" w:eastAsia="Calibri" w:hAnsi="Verdana" w:cs="Arial"/>
                <w:color w:val="000000" w:themeColor="text1"/>
                <w:szCs w:val="24"/>
                <w:lang w:val="es-ES_tradnl" w:eastAsia="es-ES_tradnl"/>
              </w:rPr>
              <w:t>participación</w:t>
            </w:r>
            <w:r w:rsidRPr="004A08C6">
              <w:rPr>
                <w:rFonts w:ascii="Verdana" w:eastAsia="Calibri" w:hAnsi="Verdana" w:cs="Arial"/>
                <w:color w:val="000000" w:themeColor="text1"/>
                <w:szCs w:val="24"/>
                <w:lang w:val="es-ES_tradnl" w:eastAsia="es-ES_tradnl"/>
              </w:rPr>
              <w:t xml:space="preserve"> o desempeña “cargos de dirección o manejo” –entendidos a la luz del artículo 22 de la Ley 222 de 1995 y del artículo 32 del Código Sustantivo del Trabajo– en corporaciones, asociaciones, fundaciones, sociedades anónimas que no tengan el carácter de abiertas, sociedades de responsabilidad limitada y demás sociedades de personas, estas quedan inhabilitadas para contratar con la referida entidad pública. </w:t>
            </w:r>
          </w:p>
          <w:p w14:paraId="45B6B905" w14:textId="77777777" w:rsidR="006779CF" w:rsidRDefault="006779CF" w:rsidP="001800CC">
            <w:pPr>
              <w:spacing w:after="120" w:line="276" w:lineRule="auto"/>
              <w:ind w:firstLine="709"/>
              <w:jc w:val="both"/>
              <w:rPr>
                <w:rFonts w:ascii="Verdana" w:eastAsia="Calibri" w:hAnsi="Verdana" w:cs="Arial"/>
                <w:color w:val="000000" w:themeColor="text1"/>
                <w:szCs w:val="24"/>
                <w:lang w:val="es-ES_tradnl" w:eastAsia="es-ES_tradnl"/>
              </w:rPr>
            </w:pPr>
            <w:r w:rsidRPr="004A08C6">
              <w:rPr>
                <w:rFonts w:ascii="Verdana" w:eastAsia="Calibri" w:hAnsi="Verdana" w:cs="Arial"/>
                <w:color w:val="000000" w:themeColor="text1"/>
                <w:szCs w:val="24"/>
                <w:lang w:val="es-ES_tradnl" w:eastAsia="es-ES_tradnl"/>
              </w:rPr>
              <w:t xml:space="preserve">Ahora bien, conviene destacar que en la persona jurídica podría haber socios que no ejerzan estos cargos o personas que los desempeñen y no sean socias. No obstante, es importante aclarar que ambas circunstancias están previstas en el artículo 8, numeral 2, literal d), de la Ley 80 de 1993, pues esta norma se refiere tanto a tener </w:t>
            </w:r>
            <w:r w:rsidRPr="004A08C6">
              <w:rPr>
                <w:rFonts w:ascii="Verdana" w:eastAsia="Calibri" w:hAnsi="Verdana" w:cs="Arial"/>
                <w:i/>
                <w:iCs/>
                <w:color w:val="000000" w:themeColor="text1"/>
                <w:szCs w:val="24"/>
                <w:lang w:val="es-ES_tradnl" w:eastAsia="es-ES_tradnl"/>
              </w:rPr>
              <w:t>participación</w:t>
            </w:r>
            <w:r w:rsidRPr="004A08C6">
              <w:rPr>
                <w:rFonts w:ascii="Verdana" w:eastAsia="Calibri" w:hAnsi="Verdana" w:cs="Arial"/>
                <w:color w:val="000000" w:themeColor="text1"/>
                <w:szCs w:val="24"/>
                <w:lang w:val="es-ES_tradnl" w:eastAsia="es-ES_tradnl"/>
              </w:rPr>
              <w:t>, como al desempeño de “cargos de dirección o manejo”.</w:t>
            </w:r>
          </w:p>
          <w:p w14:paraId="3D07FB1B" w14:textId="2CFBF7A6" w:rsidR="00B80CE5" w:rsidRDefault="23BE3906" w:rsidP="001800CC">
            <w:pPr>
              <w:spacing w:before="120" w:line="276" w:lineRule="auto"/>
              <w:ind w:firstLine="708"/>
              <w:jc w:val="both"/>
              <w:rPr>
                <w:rFonts w:ascii="Verdana" w:eastAsia="Arial MT" w:hAnsi="Verdana" w:cs="Arial"/>
                <w:lang w:eastAsia="es-ES" w:bidi="es-ES"/>
              </w:rPr>
            </w:pPr>
            <w:r w:rsidRPr="0127DDE8">
              <w:rPr>
                <w:rFonts w:ascii="Verdana" w:hAnsi="Verdana"/>
              </w:rPr>
              <w:t>S</w:t>
            </w:r>
            <w:r w:rsidR="2CEB9A35" w:rsidRPr="0127DDE8">
              <w:rPr>
                <w:rFonts w:ascii="Verdana" w:hAnsi="Verdana"/>
              </w:rPr>
              <w:t xml:space="preserve">i una vez </w:t>
            </w:r>
            <w:r w:rsidR="36CF3B13" w:rsidRPr="0127DDE8">
              <w:rPr>
                <w:rFonts w:ascii="Verdana" w:hAnsi="Verdana"/>
              </w:rPr>
              <w:t>analiza</w:t>
            </w:r>
            <w:r w:rsidR="1C4BECE6" w:rsidRPr="0127DDE8">
              <w:rPr>
                <w:rFonts w:ascii="Verdana" w:hAnsi="Verdana"/>
              </w:rPr>
              <w:t>d</w:t>
            </w:r>
            <w:r w:rsidR="5882BF9F" w:rsidRPr="0127DDE8">
              <w:rPr>
                <w:rFonts w:ascii="Verdana" w:hAnsi="Verdana"/>
              </w:rPr>
              <w:t>os los supuestos de un caso particular para verificar si se encuadra</w:t>
            </w:r>
            <w:r w:rsidR="2D60895A" w:rsidRPr="0127DDE8">
              <w:rPr>
                <w:rFonts w:ascii="Verdana" w:hAnsi="Verdana"/>
              </w:rPr>
              <w:t>n</w:t>
            </w:r>
            <w:r w:rsidR="5882BF9F" w:rsidRPr="0127DDE8">
              <w:rPr>
                <w:rFonts w:ascii="Verdana" w:hAnsi="Verdana"/>
              </w:rPr>
              <w:t xml:space="preserve"> dentro de l</w:t>
            </w:r>
            <w:r w:rsidR="1C4BECE6" w:rsidRPr="0127DDE8">
              <w:rPr>
                <w:rFonts w:ascii="Verdana" w:hAnsi="Verdana"/>
              </w:rPr>
              <w:t>a</w:t>
            </w:r>
            <w:r w:rsidR="4BA3BB16" w:rsidRPr="0127DDE8">
              <w:rPr>
                <w:rFonts w:ascii="Verdana" w:hAnsi="Verdana"/>
              </w:rPr>
              <w:t>s causales de</w:t>
            </w:r>
            <w:r w:rsidR="36CF3B13" w:rsidRPr="0127DDE8">
              <w:rPr>
                <w:rFonts w:ascii="Verdana" w:hAnsi="Verdana"/>
              </w:rPr>
              <w:t xml:space="preserve"> </w:t>
            </w:r>
            <w:r w:rsidR="00B80CE5">
              <w:rPr>
                <w:rFonts w:ascii="Verdana" w:hAnsi="Verdana"/>
              </w:rPr>
              <w:t xml:space="preserve">inhabilidad </w:t>
            </w:r>
            <w:r w:rsidR="7D8E1317" w:rsidRPr="0127DDE8">
              <w:rPr>
                <w:rFonts w:ascii="Verdana" w:hAnsi="Verdana"/>
              </w:rPr>
              <w:t>y específicamente dentro de los previstos</w:t>
            </w:r>
            <w:r w:rsidR="00B80CE5">
              <w:rPr>
                <w:rFonts w:ascii="Verdana" w:hAnsi="Verdana"/>
              </w:rPr>
              <w:t xml:space="preserve"> en el literal d) del numeral 2 del artículo 8 de la Ley 80 de 1993 </w:t>
            </w:r>
            <w:r w:rsidR="36D09365" w:rsidRPr="0127DDE8">
              <w:rPr>
                <w:rFonts w:ascii="Verdana" w:hAnsi="Verdana"/>
              </w:rPr>
              <w:t>y esto</w:t>
            </w:r>
            <w:r w:rsidR="51FFFF1F" w:rsidRPr="0127DDE8">
              <w:rPr>
                <w:rFonts w:ascii="Verdana" w:hAnsi="Verdana"/>
              </w:rPr>
              <w:t>s</w:t>
            </w:r>
            <w:r w:rsidR="00187FC6">
              <w:rPr>
                <w:rFonts w:ascii="Verdana" w:hAnsi="Verdana"/>
              </w:rPr>
              <w:t xml:space="preserve"> no </w:t>
            </w:r>
            <w:r w:rsidR="51FFFF1F" w:rsidRPr="0127DDE8">
              <w:rPr>
                <w:rFonts w:ascii="Verdana" w:hAnsi="Verdana"/>
              </w:rPr>
              <w:t>se reúnen para la configuración de la inhabilidad</w:t>
            </w:r>
            <w:r w:rsidR="00B80CE5">
              <w:rPr>
                <w:rFonts w:ascii="Verdana" w:hAnsi="Verdana"/>
              </w:rPr>
              <w:t xml:space="preserve">, la entidad estatal </w:t>
            </w:r>
            <w:r w:rsidR="00B80CE5" w:rsidRPr="004A08C6">
              <w:rPr>
                <w:rFonts w:ascii="Verdana" w:eastAsia="Arial MT" w:hAnsi="Verdana" w:cs="Arial"/>
                <w:lang w:eastAsia="es-ES" w:bidi="es-ES"/>
              </w:rPr>
              <w:t xml:space="preserve">tiene el deber de identificar cualquier conducta que pueda llegar </w:t>
            </w:r>
            <w:r w:rsidR="3E8433A8" w:rsidRPr="0127DDE8">
              <w:rPr>
                <w:rFonts w:ascii="Verdana" w:eastAsia="Arial MT" w:hAnsi="Verdana" w:cs="Arial"/>
                <w:lang w:eastAsia="es-ES" w:bidi="es-ES"/>
              </w:rPr>
              <w:t xml:space="preserve">a </w:t>
            </w:r>
            <w:r w:rsidR="00B80CE5">
              <w:rPr>
                <w:rFonts w:ascii="Verdana" w:eastAsia="Arial MT" w:hAnsi="Verdana" w:cs="Arial"/>
                <w:lang w:eastAsia="es-ES" w:bidi="es-ES"/>
              </w:rPr>
              <w:t xml:space="preserve">considerarse </w:t>
            </w:r>
            <w:r w:rsidR="452B27AA" w:rsidRPr="0127DDE8">
              <w:rPr>
                <w:rFonts w:ascii="Verdana" w:eastAsia="Arial MT" w:hAnsi="Verdana" w:cs="Arial"/>
                <w:lang w:eastAsia="es-ES" w:bidi="es-ES"/>
              </w:rPr>
              <w:t>como</w:t>
            </w:r>
            <w:r w:rsidR="1FDFBD45" w:rsidRPr="0127DDE8">
              <w:rPr>
                <w:rFonts w:ascii="Verdana" w:eastAsia="Arial MT" w:hAnsi="Verdana" w:cs="Arial"/>
                <w:lang w:eastAsia="es-ES" w:bidi="es-ES"/>
              </w:rPr>
              <w:t xml:space="preserve"> </w:t>
            </w:r>
            <w:r w:rsidR="398FC5F1" w:rsidRPr="0127DDE8">
              <w:rPr>
                <w:rFonts w:ascii="Verdana" w:eastAsia="Arial MT" w:hAnsi="Verdana" w:cs="Arial"/>
                <w:lang w:eastAsia="es-ES" w:bidi="es-ES"/>
              </w:rPr>
              <w:t xml:space="preserve">un </w:t>
            </w:r>
            <w:r w:rsidR="580C2C9E" w:rsidRPr="0127DDE8">
              <w:rPr>
                <w:rFonts w:ascii="Verdana" w:eastAsia="Arial MT" w:hAnsi="Verdana" w:cs="Arial"/>
                <w:lang w:eastAsia="es-ES" w:bidi="es-ES"/>
              </w:rPr>
              <w:t>eventual</w:t>
            </w:r>
            <w:r w:rsidR="00B80CE5">
              <w:rPr>
                <w:rFonts w:ascii="Verdana" w:eastAsia="Arial MT" w:hAnsi="Verdana" w:cs="Arial"/>
                <w:lang w:eastAsia="es-ES" w:bidi="es-ES"/>
              </w:rPr>
              <w:t xml:space="preserve"> conflicto de interés</w:t>
            </w:r>
            <w:r w:rsidR="00B80CE5" w:rsidRPr="004A08C6">
              <w:rPr>
                <w:rFonts w:ascii="Verdana" w:eastAsia="Arial MT" w:hAnsi="Verdana" w:cs="Arial"/>
                <w:lang w:eastAsia="es-ES" w:bidi="es-ES"/>
              </w:rPr>
              <w:t>, producto de la concurrencia de intereses antagónicos en el contratista que lo lleven a adoptar determinaciones de aprovechamiento personal, familiar o particular en detrimento del interés público</w:t>
            </w:r>
            <w:r w:rsidR="00B80CE5">
              <w:rPr>
                <w:rFonts w:ascii="Verdana" w:eastAsia="Arial MT" w:hAnsi="Verdana" w:cs="Arial"/>
                <w:lang w:eastAsia="es-ES" w:bidi="es-ES"/>
              </w:rPr>
              <w:t>.</w:t>
            </w:r>
          </w:p>
          <w:p w14:paraId="1F5FC31E" w14:textId="7D6F9730" w:rsidR="006779CF" w:rsidRPr="004A08C6" w:rsidRDefault="006779CF" w:rsidP="001800CC">
            <w:pPr>
              <w:spacing w:before="120" w:line="276" w:lineRule="auto"/>
              <w:ind w:firstLine="708"/>
              <w:jc w:val="both"/>
              <w:rPr>
                <w:rFonts w:ascii="Verdana" w:eastAsia="Calibri" w:hAnsi="Verdana" w:cs="Arial"/>
              </w:rPr>
            </w:pPr>
            <w:r w:rsidRPr="004A08C6">
              <w:rPr>
                <w:rFonts w:ascii="Verdana" w:hAnsi="Verdana" w:cs="Arial"/>
                <w:color w:val="000000" w:themeColor="text1"/>
                <w:lang w:val="es-ES"/>
              </w:rPr>
              <w:t>La institución jurídica de los conflictos de interés no está definida con carácter general en el ordenamiento jurídico y tampoco de forma precisa en las normas que regulan la contratación estatal, por lo que es un asunto ausente en el EGCAP.</w:t>
            </w:r>
            <w:r>
              <w:rPr>
                <w:rFonts w:ascii="Verdana" w:hAnsi="Verdana" w:cs="Arial"/>
                <w:color w:val="000000" w:themeColor="text1"/>
                <w:lang w:val="es-ES"/>
              </w:rPr>
              <w:t xml:space="preserve"> </w:t>
            </w:r>
            <w:r w:rsidRPr="004A08C6">
              <w:rPr>
                <w:rFonts w:ascii="Verdana" w:eastAsia="Calibri" w:hAnsi="Verdana" w:cs="Arial"/>
              </w:rPr>
              <w:t xml:space="preserve">Pese a que no existe regulación sobre el régimen de conflictos de interés, esto no obsta para que las entidades estatales con el fin de garantizar los principios de la función pública –de los que se resalta la moralidad administrativa–, definan objetivamente, las conductas prohibitivas o reprochables que se puedan encausar en posibles conflictos de interés por parte de sus futuros contratistas y la forma a través de la cual las afrontarán, en el marco de la expedición de sus manuales internos de contratación. </w:t>
            </w:r>
          </w:p>
          <w:p w14:paraId="37CD17E9" w14:textId="52887C41" w:rsidR="006779CF" w:rsidRPr="00EE3AC6" w:rsidRDefault="006779CF" w:rsidP="001800CC">
            <w:pPr>
              <w:spacing w:before="120" w:after="120" w:line="276" w:lineRule="auto"/>
              <w:ind w:firstLine="708"/>
              <w:jc w:val="both"/>
              <w:rPr>
                <w:rFonts w:ascii="Verdana" w:eastAsia="Calibri" w:hAnsi="Verdana" w:cs="Arial"/>
              </w:rPr>
            </w:pPr>
            <w:r w:rsidRPr="004A08C6">
              <w:rPr>
                <w:rFonts w:ascii="Verdana" w:eastAsia="Calibri" w:hAnsi="Verdana" w:cs="Arial"/>
              </w:rPr>
              <w:t xml:space="preserve">En este contexto, en el evento en que </w:t>
            </w:r>
            <w:r w:rsidRPr="67C56047">
              <w:rPr>
                <w:rFonts w:ascii="Verdana" w:eastAsia="Calibri" w:hAnsi="Verdana" w:cs="Arial"/>
                <w:color w:val="000000" w:themeColor="text1"/>
                <w:lang w:eastAsia="es-ES"/>
              </w:rPr>
              <w:t>una entidad pública pretenda celebrar un contrato con una de las personas jurídicas señaladas en el literal d) numeral 2 del artículo 8 de la Ley 80 de 1993</w:t>
            </w:r>
            <w:r w:rsidRPr="19E815AD">
              <w:rPr>
                <w:rFonts w:ascii="Verdana" w:eastAsia="Calibri" w:hAnsi="Verdana" w:cs="Arial"/>
                <w:color w:val="000000" w:themeColor="text1"/>
                <w:lang w:eastAsia="es-ES"/>
              </w:rPr>
              <w:t xml:space="preserve">, </w:t>
            </w:r>
            <w:r w:rsidR="7574FFD4" w:rsidRPr="19E815AD">
              <w:rPr>
                <w:rFonts w:ascii="Verdana" w:eastAsia="Calibri" w:hAnsi="Verdana" w:cs="Arial"/>
                <w:color w:val="000000" w:themeColor="text1"/>
                <w:lang w:eastAsia="es-ES"/>
              </w:rPr>
              <w:t xml:space="preserve">debe revisar si con tal </w:t>
            </w:r>
            <w:r w:rsidR="7574FFD4" w:rsidRPr="19E815AD">
              <w:rPr>
                <w:rFonts w:ascii="Verdana" w:eastAsia="Calibri" w:hAnsi="Verdana" w:cs="Arial"/>
                <w:color w:val="000000" w:themeColor="text1"/>
                <w:lang w:eastAsia="es-ES"/>
              </w:rPr>
              <w:lastRenderedPageBreak/>
              <w:t>circunstancia se presenta alguna</w:t>
            </w:r>
            <w:r w:rsidR="65FBE30C" w:rsidRPr="19E815AD">
              <w:rPr>
                <w:rFonts w:ascii="Verdana" w:eastAsia="Calibri" w:hAnsi="Verdana" w:cs="Arial"/>
                <w:color w:val="000000" w:themeColor="text1"/>
                <w:lang w:eastAsia="es-ES"/>
              </w:rPr>
              <w:t xml:space="preserve"> situación de</w:t>
            </w:r>
            <w:r w:rsidR="7574FFD4" w:rsidRPr="19E815AD">
              <w:rPr>
                <w:rFonts w:ascii="Verdana" w:eastAsia="Calibri" w:hAnsi="Verdana" w:cs="Arial"/>
                <w:color w:val="000000" w:themeColor="text1"/>
                <w:lang w:eastAsia="es-ES"/>
              </w:rPr>
              <w:t xml:space="preserve"> inhabilidad, </w:t>
            </w:r>
            <w:r w:rsidR="78E18B97" w:rsidRPr="19E815AD">
              <w:rPr>
                <w:rFonts w:ascii="Verdana" w:eastAsia="Calibri" w:hAnsi="Verdana" w:cs="Arial"/>
                <w:color w:val="000000" w:themeColor="text1"/>
                <w:lang w:eastAsia="es-ES"/>
              </w:rPr>
              <w:t>y/o</w:t>
            </w:r>
            <w:r w:rsidRPr="67C56047">
              <w:rPr>
                <w:rFonts w:ascii="Verdana" w:eastAsia="Calibri" w:hAnsi="Verdana" w:cs="Arial"/>
                <w:color w:val="000000" w:themeColor="text1"/>
                <w:lang w:eastAsia="es-ES"/>
              </w:rPr>
              <w:t xml:space="preserve"> se analice la</w:t>
            </w:r>
            <w:r w:rsidRPr="004A08C6">
              <w:rPr>
                <w:rFonts w:ascii="Verdana" w:eastAsia="Calibri" w:hAnsi="Verdana" w:cs="Arial"/>
              </w:rPr>
              <w:t xml:space="preserve"> ocurrencia de potenciales conflictos de interés de cara a una posible vulneración de la transparencia, imparcialidad, y moralidad administrativa</w:t>
            </w:r>
            <w:r w:rsidRPr="19E815AD">
              <w:rPr>
                <w:rFonts w:ascii="Verdana" w:eastAsia="Calibri" w:hAnsi="Verdana" w:cs="Arial"/>
              </w:rPr>
              <w:t>.</w:t>
            </w:r>
            <w:r w:rsidRPr="004A08C6">
              <w:rPr>
                <w:rFonts w:ascii="Verdana" w:eastAsia="Calibri" w:hAnsi="Verdana" w:cs="Arial"/>
              </w:rPr>
              <w:t xml:space="preserve"> En este análisis es importante considerar la participación de servidores públicos que, en virtud de su cargo, puedan influir en la toma de decisiones contractuales o administrativas </w:t>
            </w:r>
            <w:r w:rsidR="705AA97E" w:rsidRPr="19E815AD">
              <w:rPr>
                <w:rFonts w:ascii="Verdana" w:eastAsia="Calibri" w:hAnsi="Verdana" w:cs="Arial"/>
              </w:rPr>
              <w:t>en las organizaciones involucradas con la actividad contractual</w:t>
            </w:r>
            <w:r w:rsidRPr="19E815AD">
              <w:rPr>
                <w:rFonts w:ascii="Verdana" w:eastAsia="Calibri" w:hAnsi="Verdana" w:cs="Arial"/>
              </w:rPr>
              <w:t>.</w:t>
            </w:r>
          </w:p>
        </w:tc>
      </w:tr>
    </w:tbl>
    <w:p w14:paraId="2D3C62CC" w14:textId="77777777" w:rsidR="00DF413F" w:rsidRDefault="00DF413F" w:rsidP="006779CF">
      <w:pPr>
        <w:tabs>
          <w:tab w:val="left" w:pos="142"/>
          <w:tab w:val="left" w:pos="284"/>
        </w:tabs>
        <w:spacing w:after="0" w:line="276" w:lineRule="auto"/>
        <w:jc w:val="both"/>
        <w:rPr>
          <w:rFonts w:ascii="Verdana" w:eastAsia="Century Gothic" w:hAnsi="Verdana" w:cs="Century Gothic"/>
          <w:b/>
          <w:bCs/>
        </w:rPr>
      </w:pPr>
    </w:p>
    <w:p w14:paraId="567631D0" w14:textId="4A43FC8C" w:rsidR="006779CF" w:rsidRPr="008E4F36" w:rsidRDefault="006779CF" w:rsidP="006779CF">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0F61CBD0" w14:textId="77777777" w:rsidR="006779CF" w:rsidRDefault="006779CF" w:rsidP="006779CF">
      <w:pPr>
        <w:pStyle w:val="Prrafodelista"/>
        <w:tabs>
          <w:tab w:val="left" w:pos="142"/>
          <w:tab w:val="left" w:pos="284"/>
        </w:tabs>
        <w:spacing w:after="0" w:line="276" w:lineRule="auto"/>
        <w:ind w:left="0"/>
        <w:contextualSpacing w:val="0"/>
        <w:jc w:val="both"/>
        <w:rPr>
          <w:rFonts w:ascii="Verdana" w:eastAsia="Calibri" w:hAnsi="Verdana" w:cs="Arial"/>
        </w:rPr>
      </w:pPr>
    </w:p>
    <w:p w14:paraId="35D49679" w14:textId="77777777" w:rsidR="006779CF" w:rsidRDefault="006779CF" w:rsidP="006779CF">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379D645E" w14:textId="77777777" w:rsidR="006779CF" w:rsidRPr="00D26444" w:rsidRDefault="006779CF" w:rsidP="006779CF">
      <w:pPr>
        <w:pStyle w:val="Prrafodelista"/>
        <w:tabs>
          <w:tab w:val="left" w:pos="142"/>
          <w:tab w:val="left" w:pos="284"/>
        </w:tabs>
        <w:spacing w:after="0" w:line="240" w:lineRule="auto"/>
        <w:ind w:left="0"/>
        <w:contextualSpacing w:val="0"/>
        <w:jc w:val="both"/>
        <w:rPr>
          <w:rFonts w:ascii="Verdana" w:eastAsia="Calibri" w:hAnsi="Verdana" w:cs="Arial"/>
        </w:rPr>
      </w:pPr>
    </w:p>
    <w:p w14:paraId="2C203DC5" w14:textId="77777777" w:rsidR="006779CF" w:rsidRPr="004A08C6" w:rsidRDefault="006779CF" w:rsidP="006779CF">
      <w:pPr>
        <w:spacing w:after="120" w:line="276" w:lineRule="auto"/>
        <w:jc w:val="both"/>
        <w:rPr>
          <w:rFonts w:ascii="Verdana" w:eastAsia="Calibri" w:hAnsi="Verdana" w:cs="Arial"/>
          <w:color w:val="000000" w:themeColor="text1"/>
        </w:rPr>
      </w:pPr>
      <w:r w:rsidRPr="004A08C6">
        <w:rPr>
          <w:rFonts w:ascii="Verdana" w:eastAsia="Calibri" w:hAnsi="Verdana" w:cs="Arial"/>
          <w:color w:val="000000" w:themeColor="text1"/>
          <w:lang w:val="es-ES_tradnl"/>
        </w:rPr>
        <w:t xml:space="preserve">i. En la contratación estatal, la </w:t>
      </w:r>
      <w:r w:rsidRPr="004A08C6">
        <w:rPr>
          <w:rFonts w:ascii="Verdana" w:eastAsia="Calibri" w:hAnsi="Verdana" w:cs="Arial"/>
          <w:i/>
          <w:iCs/>
          <w:color w:val="000000" w:themeColor="text1"/>
          <w:lang w:val="es-ES_tradnl"/>
        </w:rPr>
        <w:t>capacidad</w:t>
      </w:r>
      <w:r w:rsidRPr="004A08C6">
        <w:rPr>
          <w:rFonts w:ascii="Verdana" w:eastAsia="Calibri" w:hAnsi="Verdana" w:cs="Arial"/>
          <w:color w:val="000000" w:themeColor="text1"/>
          <w:lang w:val="es-ES_tradnl"/>
        </w:rPr>
        <w:t xml:space="preserve"> también es un requisito de validez de los contratos, tanto en el régimen de las entidades sujetas al Estatuto General de Contratación de la Administración Pública</w:t>
      </w:r>
      <w:r w:rsidRPr="004A08C6">
        <w:rPr>
          <w:vertAlign w:val="superscript"/>
        </w:rPr>
        <w:footnoteReference w:id="1"/>
      </w:r>
      <w:r w:rsidRPr="004A08C6">
        <w:rPr>
          <w:rFonts w:ascii="Verdana" w:eastAsia="Calibri" w:hAnsi="Verdana" w:cs="Arial"/>
          <w:color w:val="000000" w:themeColor="text1"/>
          <w:lang w:val="es-ES_tradnl"/>
        </w:rPr>
        <w:t xml:space="preserve"> como en el de las entidades exceptuadas de aquel</w:t>
      </w:r>
      <w:r w:rsidRPr="004A08C6">
        <w:rPr>
          <w:vertAlign w:val="superscript"/>
        </w:rPr>
        <w:footnoteReference w:id="2"/>
      </w:r>
      <w:r w:rsidRPr="004A08C6">
        <w:rPr>
          <w:rFonts w:ascii="Verdana" w:eastAsia="Calibri" w:hAnsi="Verdana" w:cs="Arial"/>
          <w:color w:val="000000" w:themeColor="text1"/>
          <w:lang w:val="es-ES_tradnl"/>
        </w:rPr>
        <w:t xml:space="preserve">. </w:t>
      </w:r>
      <w:r>
        <w:rPr>
          <w:rFonts w:ascii="Verdana" w:eastAsia="Calibri" w:hAnsi="Verdana" w:cs="Arial"/>
          <w:color w:val="000000" w:themeColor="text1"/>
          <w:lang w:val="es-ES_tradnl"/>
        </w:rPr>
        <w:t xml:space="preserve">Dicha capacidad está sujeta </w:t>
      </w:r>
      <w:r>
        <w:rPr>
          <w:rFonts w:ascii="Verdana" w:eastAsia="Calibri" w:hAnsi="Verdana" w:cs="Arial"/>
          <w:color w:val="000000" w:themeColor="text1"/>
        </w:rPr>
        <w:t>al</w:t>
      </w:r>
      <w:r w:rsidRPr="004A08C6">
        <w:rPr>
          <w:rFonts w:ascii="Verdana" w:eastAsia="Calibri" w:hAnsi="Verdana" w:cs="Arial"/>
          <w:color w:val="000000" w:themeColor="text1"/>
        </w:rPr>
        <w:t xml:space="preserve"> régimen de inhabilidades e incompatibilidades</w:t>
      </w:r>
      <w:r>
        <w:rPr>
          <w:rFonts w:ascii="Verdana" w:eastAsia="Calibri" w:hAnsi="Verdana" w:cs="Arial"/>
          <w:color w:val="000000" w:themeColor="text1"/>
        </w:rPr>
        <w:t xml:space="preserve">, definidas </w:t>
      </w:r>
      <w:r w:rsidRPr="004A08C6">
        <w:rPr>
          <w:rFonts w:ascii="Verdana" w:eastAsia="Calibri" w:hAnsi="Verdana" w:cs="Arial"/>
          <w:color w:val="000000" w:themeColor="text1"/>
        </w:rPr>
        <w:t>como un conjunto de normas que imponen restricciones para los sujetos que, eventualmente, pretendan participar en los procedimientos de selección o celebrar contratos con las entidades estatales</w:t>
      </w:r>
      <w:r w:rsidRPr="004A08C6">
        <w:rPr>
          <w:vertAlign w:val="superscript"/>
        </w:rPr>
        <w:footnoteReference w:id="3"/>
      </w:r>
      <w:r w:rsidRPr="004A08C6">
        <w:rPr>
          <w:rFonts w:ascii="Verdana" w:eastAsia="Calibri" w:hAnsi="Verdana" w:cs="Arial"/>
          <w:color w:val="000000" w:themeColor="text1"/>
          <w:lang w:val="es-ES_tradnl"/>
        </w:rPr>
        <w:t>.</w:t>
      </w:r>
    </w:p>
    <w:p w14:paraId="6BEE7D50" w14:textId="77777777" w:rsidR="006779CF" w:rsidRPr="004A08C6" w:rsidRDefault="006779CF" w:rsidP="006779CF">
      <w:pPr>
        <w:spacing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El régimen de </w:t>
      </w:r>
      <w:r w:rsidRPr="004A08C6">
        <w:rPr>
          <w:rFonts w:ascii="Verdana" w:eastAsia="Calibri" w:hAnsi="Verdana" w:cs="Arial"/>
          <w:color w:val="000000" w:themeColor="text1"/>
          <w:lang w:val="es-ES"/>
        </w:rPr>
        <w:t xml:space="preserve">inhabilidades </w:t>
      </w:r>
      <w:r>
        <w:rPr>
          <w:rFonts w:ascii="Verdana" w:eastAsia="Calibri" w:hAnsi="Verdana" w:cs="Arial"/>
          <w:color w:val="000000" w:themeColor="text1"/>
          <w:lang w:val="es-ES"/>
        </w:rPr>
        <w:t xml:space="preserve">para contratar con el Estado es un conjunto de restricciones establecidas por el constituyente o el legislador </w:t>
      </w:r>
      <w:r w:rsidRPr="0060163E">
        <w:rPr>
          <w:rFonts w:ascii="Verdana" w:eastAsia="Calibri" w:hAnsi="Verdana" w:cs="Arial"/>
          <w:lang w:val="es-MX"/>
        </w:rPr>
        <w:t xml:space="preserve">que afectan directamente la capacidad de las personas </w:t>
      </w:r>
      <w:r>
        <w:rPr>
          <w:rFonts w:ascii="Verdana" w:eastAsia="Calibri" w:hAnsi="Verdana" w:cs="Arial"/>
          <w:lang w:val="es-MX"/>
        </w:rPr>
        <w:t xml:space="preserve">para </w:t>
      </w:r>
      <w:r w:rsidRPr="004A08C6">
        <w:rPr>
          <w:rFonts w:ascii="Verdana" w:eastAsia="Calibri" w:hAnsi="Verdana" w:cs="Arial"/>
          <w:color w:val="000000" w:themeColor="text1"/>
          <w:lang w:val="es-ES"/>
        </w:rPr>
        <w:t>concurrir a los procedimientos de selección y para contratar con el Estado, que se derivan i) de la existencia de comportamientos reprochables o de sanciones anteriormente impuestas</w:t>
      </w:r>
      <w:r w:rsidRPr="004A08C6">
        <w:rPr>
          <w:rFonts w:ascii="Verdana" w:eastAsia="Calibri" w:hAnsi="Verdana" w:cs="Arial"/>
          <w:color w:val="000000" w:themeColor="text1"/>
          <w:vertAlign w:val="superscript"/>
          <w:lang w:val="es-ES"/>
        </w:rPr>
        <w:footnoteReference w:id="4"/>
      </w:r>
      <w:r w:rsidRPr="004A08C6">
        <w:rPr>
          <w:rFonts w:ascii="Verdana" w:eastAsia="Calibri" w:hAnsi="Verdana" w:cs="Arial"/>
          <w:color w:val="000000" w:themeColor="text1"/>
          <w:lang w:val="es-ES"/>
        </w:rPr>
        <w:t xml:space="preserve">, </w:t>
      </w:r>
      <w:proofErr w:type="spellStart"/>
      <w:r w:rsidRPr="004A08C6">
        <w:rPr>
          <w:rFonts w:ascii="Verdana" w:eastAsia="Calibri" w:hAnsi="Verdana" w:cs="Arial"/>
          <w:color w:val="000000" w:themeColor="text1"/>
          <w:lang w:val="es-ES"/>
        </w:rPr>
        <w:t>ii</w:t>
      </w:r>
      <w:proofErr w:type="spellEnd"/>
      <w:r w:rsidRPr="004A08C6">
        <w:rPr>
          <w:rFonts w:ascii="Verdana" w:eastAsia="Calibri" w:hAnsi="Verdana" w:cs="Arial"/>
          <w:color w:val="000000" w:themeColor="text1"/>
          <w:lang w:val="es-ES"/>
        </w:rPr>
        <w:t xml:space="preserve">) de </w:t>
      </w:r>
      <w:r w:rsidRPr="004A08C6">
        <w:rPr>
          <w:rFonts w:ascii="Verdana" w:eastAsia="Calibri" w:hAnsi="Verdana" w:cs="Arial"/>
          <w:color w:val="000000" w:themeColor="text1"/>
          <w:lang w:val="es-ES"/>
        </w:rPr>
        <w:lastRenderedPageBreak/>
        <w:t>vínculos personales relativos al parentesco o al estado civil</w:t>
      </w:r>
      <w:r w:rsidRPr="004A08C6">
        <w:rPr>
          <w:rFonts w:ascii="Verdana" w:eastAsia="Calibri" w:hAnsi="Verdana" w:cs="Arial"/>
          <w:color w:val="000000" w:themeColor="text1"/>
          <w:vertAlign w:val="superscript"/>
          <w:lang w:val="es-ES"/>
        </w:rPr>
        <w:footnoteReference w:id="5"/>
      </w:r>
      <w:r w:rsidRPr="004A08C6">
        <w:rPr>
          <w:rFonts w:ascii="Verdana" w:eastAsia="Calibri" w:hAnsi="Verdana" w:cs="Arial"/>
          <w:color w:val="000000" w:themeColor="text1"/>
          <w:lang w:val="es-ES"/>
        </w:rPr>
        <w:t xml:space="preserve"> o </w:t>
      </w:r>
      <w:proofErr w:type="spellStart"/>
      <w:r w:rsidRPr="004A08C6">
        <w:rPr>
          <w:rFonts w:ascii="Verdana" w:eastAsia="Calibri" w:hAnsi="Verdana" w:cs="Arial"/>
          <w:color w:val="000000" w:themeColor="text1"/>
          <w:lang w:val="es-ES"/>
        </w:rPr>
        <w:t>iii</w:t>
      </w:r>
      <w:proofErr w:type="spellEnd"/>
      <w:r w:rsidRPr="004A08C6">
        <w:rPr>
          <w:rFonts w:ascii="Verdana" w:eastAsia="Calibri" w:hAnsi="Verdana" w:cs="Arial"/>
          <w:color w:val="000000" w:themeColor="text1"/>
          <w:lang w:val="es-ES"/>
        </w:rPr>
        <w:t>) de una actividad u oficio que se desempeñó en el pasado</w:t>
      </w:r>
      <w:r w:rsidRPr="004A08C6">
        <w:rPr>
          <w:rFonts w:ascii="Verdana" w:eastAsia="Calibri" w:hAnsi="Verdana" w:cs="Arial"/>
          <w:color w:val="000000" w:themeColor="text1"/>
          <w:vertAlign w:val="superscript"/>
          <w:lang w:val="es-ES"/>
        </w:rPr>
        <w:footnoteReference w:id="6"/>
      </w:r>
      <w:r w:rsidRPr="004A08C6">
        <w:rPr>
          <w:rFonts w:ascii="Verdana" w:eastAsia="Calibri" w:hAnsi="Verdana" w:cs="Arial"/>
          <w:color w:val="000000" w:themeColor="text1"/>
          <w:lang w:val="es-ES"/>
        </w:rPr>
        <w:t xml:space="preserve">. De otro lado, las </w:t>
      </w:r>
      <w:r w:rsidRPr="004A08C6">
        <w:rPr>
          <w:rFonts w:ascii="Verdana" w:eastAsia="Calibri" w:hAnsi="Verdana" w:cs="Arial"/>
          <w:color w:val="000000" w:themeColor="text1"/>
          <w:lang w:val="es-ES"/>
        </w:rPr>
        <w:lastRenderedPageBreak/>
        <w:t>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r w:rsidRPr="004A08C6">
        <w:rPr>
          <w:rFonts w:ascii="Verdana" w:eastAsia="Calibri" w:hAnsi="Verdana" w:cs="Arial"/>
          <w:color w:val="000000" w:themeColor="text1"/>
          <w:vertAlign w:val="superscript"/>
          <w:lang w:val="es-ES"/>
        </w:rPr>
        <w:footnoteReference w:id="7"/>
      </w:r>
      <w:r w:rsidRPr="004A08C6">
        <w:rPr>
          <w:rFonts w:ascii="Verdana" w:eastAsia="Calibri" w:hAnsi="Verdana" w:cs="Arial"/>
          <w:color w:val="000000" w:themeColor="text1"/>
          <w:lang w:val="es-ES"/>
        </w:rPr>
        <w:t xml:space="preserve">. </w:t>
      </w:r>
    </w:p>
    <w:p w14:paraId="374A6298" w14:textId="77777777" w:rsidR="006779CF" w:rsidRPr="004A08C6" w:rsidRDefault="006779CF" w:rsidP="006779CF">
      <w:pPr>
        <w:spacing w:after="120" w:line="276" w:lineRule="auto"/>
        <w:ind w:firstLine="709"/>
        <w:jc w:val="both"/>
        <w:rPr>
          <w:rFonts w:ascii="Verdana" w:eastAsia="Calibri" w:hAnsi="Verdana" w:cs="Arial"/>
          <w:color w:val="000000" w:themeColor="text1"/>
          <w:lang w:val="es-ES"/>
        </w:rPr>
      </w:pPr>
      <w:r w:rsidRPr="004A08C6">
        <w:rPr>
          <w:rFonts w:ascii="Verdana" w:eastAsia="Calibri" w:hAnsi="Verdana" w:cs="Arial"/>
          <w:color w:val="000000" w:themeColor="text1"/>
          <w:lang w:val="es-ES"/>
        </w:rPr>
        <w:t xml:space="preserve">El régimen de inhabilidades e incompatibilidades en la contratación pública responde a la tendencia de asegurar que la provisión de los bienes y servicios por parte de las entidades estatales se efectúe cumpliendo con los principios de la función administrativa y de la gestión fiscal, especialmente con probidad y transparencia. Es por eso </w:t>
      </w:r>
      <w:proofErr w:type="gramStart"/>
      <w:r w:rsidRPr="004A08C6">
        <w:rPr>
          <w:rFonts w:ascii="Verdana" w:eastAsia="Calibri" w:hAnsi="Verdana" w:cs="Arial"/>
          <w:color w:val="000000" w:themeColor="text1"/>
          <w:lang w:val="es-ES"/>
        </w:rPr>
        <w:t>que</w:t>
      </w:r>
      <w:proofErr w:type="gramEnd"/>
      <w:r w:rsidRPr="004A08C6">
        <w:rPr>
          <w:rFonts w:ascii="Verdana" w:eastAsia="Calibri" w:hAnsi="Verdana" w:cs="Arial"/>
          <w:color w:val="000000" w:themeColor="text1"/>
          <w:lang w:val="es-ES"/>
        </w:rPr>
        <w:t>, como lo ha destacado la doctrina, las inhabilidades e incompatibilidades son herramientas en la lucha contra la corrupción, adoptando paulatinamente un carácter sancionatorio o “</w:t>
      </w:r>
      <w:proofErr w:type="spellStart"/>
      <w:r w:rsidRPr="004A08C6">
        <w:rPr>
          <w:rFonts w:ascii="Verdana" w:eastAsia="Calibri" w:hAnsi="Verdana" w:cs="Arial"/>
          <w:color w:val="000000" w:themeColor="text1"/>
          <w:lang w:val="es-ES"/>
        </w:rPr>
        <w:t>neopunitivo</w:t>
      </w:r>
      <w:proofErr w:type="spellEnd"/>
      <w:r w:rsidRPr="004A08C6">
        <w:rPr>
          <w:rFonts w:ascii="Verdana" w:eastAsia="Calibri" w:hAnsi="Verdana" w:cs="Arial"/>
          <w:color w:val="000000" w:themeColor="text1"/>
          <w:lang w:val="es-ES"/>
        </w:rPr>
        <w:t>”</w:t>
      </w:r>
      <w:r w:rsidRPr="004A08C6">
        <w:rPr>
          <w:rFonts w:ascii="Verdana" w:eastAsia="Calibri" w:hAnsi="Verdana" w:cs="Arial"/>
          <w:color w:val="000000" w:themeColor="text1"/>
          <w:vertAlign w:val="superscript"/>
          <w:lang w:val="es-ES"/>
        </w:rPr>
        <w:footnoteReference w:id="8"/>
      </w:r>
      <w:r w:rsidRPr="004A08C6">
        <w:rPr>
          <w:rFonts w:ascii="Verdana" w:eastAsia="Calibri" w:hAnsi="Verdana" w:cs="Arial"/>
          <w:color w:val="000000" w:themeColor="text1"/>
          <w:lang w:val="es-ES"/>
        </w:rPr>
        <w:t>. Si bien no todas las causales de inhabilidad y de incompatibilidad son consecuencia de una medida de reproche ni de una sanción previa,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3BB536DD" w14:textId="77777777" w:rsidR="006779CF" w:rsidRPr="004A08C6" w:rsidRDefault="006779CF" w:rsidP="006779CF">
      <w:pPr>
        <w:spacing w:after="120" w:line="276" w:lineRule="auto"/>
        <w:ind w:firstLine="709"/>
        <w:jc w:val="both"/>
        <w:rPr>
          <w:rFonts w:ascii="Verdana" w:eastAsia="Calibri" w:hAnsi="Verdana" w:cs="Arial"/>
          <w:color w:val="000000" w:themeColor="text1"/>
          <w:lang w:val="es-ES_tradnl"/>
        </w:rPr>
      </w:pPr>
      <w:r w:rsidRPr="004A08C6">
        <w:rPr>
          <w:rFonts w:ascii="Verdana" w:eastAsia="Calibri" w:hAnsi="Verdana" w:cs="Arial"/>
          <w:color w:val="000000" w:themeColor="text1"/>
          <w:lang w:val="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4A08C6">
        <w:rPr>
          <w:rFonts w:ascii="Verdana" w:eastAsia="Calibri" w:hAnsi="Verdana" w:cs="Arial"/>
          <w:i/>
          <w:iCs/>
          <w:color w:val="000000" w:themeColor="text1"/>
          <w:lang w:val="es-ES_tradnl"/>
        </w:rPr>
        <w:t>restrictiva</w:t>
      </w:r>
      <w:r w:rsidRPr="004A08C6">
        <w:rPr>
          <w:rFonts w:ascii="Verdana" w:eastAsia="Calibri" w:hAnsi="Verdana" w:cs="Arial"/>
          <w:color w:val="000000" w:themeColor="text1"/>
          <w:vertAlign w:val="superscript"/>
          <w:lang w:val="es-ES_tradnl"/>
        </w:rPr>
        <w:footnoteReference w:id="9"/>
      </w:r>
      <w:r w:rsidRPr="004A08C6">
        <w:rPr>
          <w:rFonts w:ascii="Verdana" w:eastAsia="Calibri" w:hAnsi="Verdana" w:cs="Arial"/>
          <w:color w:val="000000" w:themeColor="text1"/>
          <w:lang w:val="es-ES_tradnl"/>
        </w:rPr>
        <w:t xml:space="preserve">. En </w:t>
      </w:r>
      <w:r w:rsidRPr="004A08C6">
        <w:rPr>
          <w:rFonts w:ascii="Verdana" w:eastAsia="Calibri" w:hAnsi="Verdana" w:cs="Arial"/>
          <w:color w:val="000000" w:themeColor="text1"/>
          <w:lang w:val="es-ES_tradnl"/>
        </w:rPr>
        <w:lastRenderedPageBreak/>
        <w:t xml:space="preserve">efecto,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3206875D" w14:textId="77777777" w:rsidR="006779CF" w:rsidRPr="004A08C6" w:rsidRDefault="006779CF" w:rsidP="006779CF">
      <w:pPr>
        <w:spacing w:after="120" w:line="276" w:lineRule="auto"/>
        <w:ind w:firstLine="709"/>
        <w:jc w:val="both"/>
        <w:rPr>
          <w:rFonts w:ascii="Verdana" w:eastAsia="Calibri" w:hAnsi="Verdana" w:cs="Arial"/>
          <w:color w:val="000000" w:themeColor="text1"/>
          <w:lang w:val="es-ES_tradnl"/>
        </w:rPr>
      </w:pPr>
      <w:r w:rsidRPr="004A08C6">
        <w:rPr>
          <w:rFonts w:ascii="Verdana" w:eastAsia="Calibri" w:hAnsi="Verdana" w:cs="Arial"/>
          <w:color w:val="000000" w:themeColor="text1"/>
          <w:lang w:val="es-ES_tradnl"/>
        </w:rPr>
        <w:t xml:space="preserve">En efecto, el máximo tribunal constitucional ha indicado que, al tratar de precisar el sentido de este tipo de normas, “[…] el intérprete de las disposiciones legislativas en la materia ha de ceñirse en la mayor medida posible al tenor literal y gramatical de los enunciados normativos, sin que pueda acudir </w:t>
      </w:r>
      <w:r w:rsidRPr="004A08C6">
        <w:rPr>
          <w:rFonts w:ascii="Verdana" w:eastAsia="Calibri" w:hAnsi="Verdana" w:cs="Arial"/>
          <w:i/>
          <w:iCs/>
          <w:color w:val="000000" w:themeColor="text1"/>
          <w:lang w:val="es-ES_tradnl"/>
        </w:rPr>
        <w:t>prima facie</w:t>
      </w:r>
      <w:r w:rsidRPr="004A08C6">
        <w:rPr>
          <w:rFonts w:ascii="Verdana" w:eastAsia="Calibri" w:hAnsi="Verdana" w:cs="Arial"/>
          <w:color w:val="000000" w:themeColor="text1"/>
          <w:lang w:val="es-ES_tradnl"/>
        </w:rPr>
        <w:t xml:space="preserve"> a criterios interpretativos tales como la analogía, la interpretación extensiva para ampliar el alcance de las causales legalmente fijadas”</w:t>
      </w:r>
      <w:r w:rsidRPr="004A08C6">
        <w:rPr>
          <w:rFonts w:ascii="Verdana" w:eastAsia="Calibri" w:hAnsi="Verdana" w:cs="Arial"/>
          <w:color w:val="000000" w:themeColor="text1"/>
          <w:vertAlign w:val="superscript"/>
          <w:lang w:val="es-ES_tradnl"/>
        </w:rPr>
        <w:footnoteReference w:id="10"/>
      </w:r>
      <w:r w:rsidRPr="004A08C6">
        <w:rPr>
          <w:rFonts w:ascii="Verdana" w:eastAsia="Calibri" w:hAnsi="Verdana" w:cs="Arial"/>
          <w:color w:val="000000" w:themeColor="text1"/>
          <w:lang w:val="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4A08C6">
        <w:rPr>
          <w:rFonts w:ascii="Verdana" w:eastAsia="Calibri" w:hAnsi="Verdana" w:cs="Arial"/>
          <w:color w:val="000000" w:themeColor="text1"/>
          <w:vertAlign w:val="superscript"/>
          <w:lang w:val="es-ES_tradnl"/>
        </w:rPr>
        <w:footnoteReference w:id="11"/>
      </w:r>
      <w:r w:rsidRPr="004A08C6">
        <w:rPr>
          <w:rFonts w:ascii="Verdana" w:eastAsia="Calibri" w:hAnsi="Verdana" w:cs="Arial"/>
          <w:color w:val="000000" w:themeColor="text1"/>
          <w:lang w:val="es-ES_tradnl"/>
        </w:rPr>
        <w:t>. En tal sentido, la Sección Tercera ha señalado que:</w:t>
      </w:r>
    </w:p>
    <w:p w14:paraId="3F83D4C6" w14:textId="77777777" w:rsidR="006779CF" w:rsidRPr="004A08C6" w:rsidRDefault="006779CF" w:rsidP="0085316F">
      <w:pPr>
        <w:spacing w:after="0" w:line="240" w:lineRule="auto"/>
        <w:ind w:firstLine="709"/>
        <w:rPr>
          <w:rFonts w:ascii="Verdana" w:eastAsia="Calibri" w:hAnsi="Verdana" w:cs="Arial"/>
          <w:color w:val="000000" w:themeColor="text1"/>
          <w:sz w:val="20"/>
          <w:szCs w:val="20"/>
          <w:lang w:val="es-ES_tradnl"/>
        </w:rPr>
      </w:pPr>
    </w:p>
    <w:p w14:paraId="3F868F8A" w14:textId="77777777" w:rsidR="006779CF" w:rsidRPr="004A08C6" w:rsidRDefault="006779CF" w:rsidP="006779CF">
      <w:pPr>
        <w:spacing w:after="0"/>
        <w:ind w:left="709" w:right="709"/>
        <w:jc w:val="both"/>
        <w:rPr>
          <w:rFonts w:ascii="Verdana" w:hAnsi="Verdana" w:cs="Arial"/>
          <w:color w:val="000000" w:themeColor="text1"/>
          <w:sz w:val="20"/>
          <w:szCs w:val="20"/>
          <w:lang w:val="es-ES_tradnl"/>
        </w:rPr>
      </w:pPr>
      <w:r w:rsidRPr="004A08C6">
        <w:rPr>
          <w:rFonts w:ascii="Verdana" w:hAnsi="Verdana" w:cs="Arial"/>
          <w:color w:val="000000" w:themeColor="text1"/>
          <w:sz w:val="20"/>
          <w:szCs w:val="20"/>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4A08C6">
        <w:rPr>
          <w:rFonts w:ascii="Verdana" w:hAnsi="Verdana" w:cs="Arial"/>
          <w:color w:val="000000" w:themeColor="text1"/>
          <w:sz w:val="20"/>
          <w:szCs w:val="20"/>
          <w:vertAlign w:val="superscript"/>
          <w:lang w:val="es-ES_tradnl"/>
        </w:rPr>
        <w:footnoteReference w:id="12"/>
      </w:r>
      <w:r w:rsidRPr="004A08C6">
        <w:rPr>
          <w:rFonts w:ascii="Verdana" w:hAnsi="Verdana" w:cs="Arial"/>
          <w:color w:val="000000" w:themeColor="text1"/>
          <w:sz w:val="20"/>
          <w:szCs w:val="20"/>
          <w:lang w:val="es-ES_tradnl"/>
        </w:rPr>
        <w:t>.</w:t>
      </w:r>
    </w:p>
    <w:p w14:paraId="283D7248" w14:textId="77777777" w:rsidR="006779CF" w:rsidRPr="004A08C6" w:rsidRDefault="006779CF" w:rsidP="006779CF">
      <w:pPr>
        <w:spacing w:after="0"/>
        <w:ind w:left="709" w:right="709"/>
        <w:jc w:val="both"/>
        <w:rPr>
          <w:rFonts w:ascii="Verdana" w:hAnsi="Verdana" w:cs="Arial"/>
          <w:bCs/>
          <w:color w:val="000000" w:themeColor="text1"/>
          <w:sz w:val="20"/>
          <w:szCs w:val="20"/>
          <w:lang w:val="es-ES_tradnl"/>
        </w:rPr>
      </w:pPr>
    </w:p>
    <w:p w14:paraId="58560321" w14:textId="77777777" w:rsidR="006779CF" w:rsidRPr="004A08C6" w:rsidRDefault="006779CF" w:rsidP="006779CF">
      <w:pPr>
        <w:spacing w:after="0" w:line="276" w:lineRule="auto"/>
        <w:ind w:firstLine="709"/>
        <w:jc w:val="both"/>
        <w:rPr>
          <w:rFonts w:ascii="Verdana" w:eastAsia="Calibri" w:hAnsi="Verdana" w:cs="Arial"/>
          <w:color w:val="000000" w:themeColor="text1"/>
          <w:sz w:val="20"/>
          <w:szCs w:val="20"/>
          <w:lang w:val="es-ES_tradnl"/>
        </w:rPr>
      </w:pPr>
      <w:r w:rsidRPr="004A08C6">
        <w:rPr>
          <w:rFonts w:ascii="Verdana" w:eastAsia="Calibri" w:hAnsi="Verdana" w:cs="Arial"/>
          <w:color w:val="000000" w:themeColor="text1"/>
          <w:sz w:val="20"/>
          <w:szCs w:val="20"/>
          <w:lang w:val="es-ES_tradnl"/>
        </w:rPr>
        <w:t>También ha dicho que:</w:t>
      </w:r>
    </w:p>
    <w:p w14:paraId="76C2F40F" w14:textId="77777777" w:rsidR="006779CF" w:rsidRPr="004A08C6" w:rsidRDefault="006779CF" w:rsidP="006779CF">
      <w:pPr>
        <w:spacing w:after="0"/>
        <w:ind w:firstLine="709"/>
        <w:jc w:val="both"/>
        <w:rPr>
          <w:rFonts w:ascii="Verdana" w:eastAsia="Calibri" w:hAnsi="Verdana" w:cs="Arial"/>
          <w:color w:val="000000" w:themeColor="text1"/>
          <w:sz w:val="20"/>
          <w:szCs w:val="20"/>
          <w:lang w:val="es-ES_tradnl"/>
        </w:rPr>
      </w:pPr>
    </w:p>
    <w:p w14:paraId="3A9679E0" w14:textId="6183A7F7" w:rsidR="0085316F" w:rsidRDefault="006779CF" w:rsidP="004D4C08">
      <w:pPr>
        <w:spacing w:after="120" w:line="276" w:lineRule="auto"/>
        <w:ind w:left="708"/>
        <w:jc w:val="both"/>
        <w:rPr>
          <w:rFonts w:ascii="Verdana" w:eastAsia="Calibri" w:hAnsi="Verdana" w:cs="Arial"/>
          <w:color w:val="000000" w:themeColor="text1"/>
          <w:lang w:val="es-ES"/>
        </w:rPr>
      </w:pPr>
      <w:r w:rsidRPr="004A08C6">
        <w:rPr>
          <w:rFonts w:ascii="Verdana" w:hAnsi="Verdana" w:cs="Arial"/>
          <w:color w:val="000000" w:themeColor="text1"/>
          <w:sz w:val="20"/>
          <w:szCs w:val="20"/>
          <w:lang w:val="es-ES"/>
        </w:rPr>
        <w:lastRenderedPageBreak/>
        <w:t xml:space="preserve">“[…] la aplicación de estos preceptos exige una interpretación restrictiva, dado que según el principio hermenéutico </w:t>
      </w:r>
      <w:r w:rsidRPr="004A08C6">
        <w:rPr>
          <w:rFonts w:ascii="Verdana" w:hAnsi="Verdana" w:cs="Arial"/>
          <w:i/>
          <w:iCs/>
          <w:color w:val="000000" w:themeColor="text1"/>
          <w:sz w:val="20"/>
          <w:szCs w:val="20"/>
          <w:lang w:val="es-ES"/>
        </w:rPr>
        <w:t xml:space="preserve">pro </w:t>
      </w:r>
      <w:proofErr w:type="spellStart"/>
      <w:r w:rsidRPr="004A08C6">
        <w:rPr>
          <w:rFonts w:ascii="Verdana" w:hAnsi="Verdana" w:cs="Arial"/>
          <w:i/>
          <w:iCs/>
          <w:color w:val="000000" w:themeColor="text1"/>
          <w:sz w:val="20"/>
          <w:szCs w:val="20"/>
          <w:lang w:val="es-ES"/>
        </w:rPr>
        <w:t>libertate</w:t>
      </w:r>
      <w:proofErr w:type="spellEnd"/>
      <w:r w:rsidRPr="004A08C6">
        <w:rPr>
          <w:rFonts w:ascii="Verdana" w:hAnsi="Verdana" w:cs="Arial"/>
          <w:color w:val="000000" w:themeColor="text1"/>
          <w:sz w:val="20"/>
          <w:szCs w:val="20"/>
          <w:lang w:val="es-ES"/>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4A08C6">
        <w:rPr>
          <w:rFonts w:ascii="Verdana" w:hAnsi="Verdana" w:cs="Arial"/>
          <w:color w:val="000000" w:themeColor="text1"/>
          <w:sz w:val="20"/>
          <w:szCs w:val="20"/>
          <w:vertAlign w:val="superscript"/>
          <w:lang w:val="es-ES"/>
        </w:rPr>
        <w:footnoteReference w:id="13"/>
      </w:r>
      <w:r w:rsidRPr="004A08C6">
        <w:rPr>
          <w:rFonts w:ascii="Verdana" w:hAnsi="Verdana" w:cs="Arial"/>
          <w:color w:val="000000" w:themeColor="text1"/>
          <w:sz w:val="20"/>
          <w:szCs w:val="20"/>
          <w:lang w:val="es-ES"/>
        </w:rPr>
        <w:t>.</w:t>
      </w:r>
    </w:p>
    <w:p w14:paraId="447D5861" w14:textId="2A452B2F" w:rsidR="006779CF" w:rsidRPr="004A08C6" w:rsidRDefault="006779CF" w:rsidP="0085316F">
      <w:pPr>
        <w:spacing w:after="120" w:line="276" w:lineRule="auto"/>
        <w:ind w:firstLine="709"/>
        <w:jc w:val="both"/>
        <w:rPr>
          <w:rFonts w:ascii="Verdana" w:eastAsia="Calibri" w:hAnsi="Verdana" w:cs="Arial"/>
          <w:color w:val="000000" w:themeColor="text1"/>
          <w:lang w:val="es-ES"/>
        </w:rPr>
      </w:pPr>
      <w:r w:rsidRPr="004A08C6">
        <w:rPr>
          <w:rFonts w:ascii="Verdana" w:eastAsia="Calibri" w:hAnsi="Verdana" w:cs="Arial"/>
          <w:color w:val="000000" w:themeColor="text1"/>
          <w:lang w:val="es-ES"/>
        </w:rPr>
        <w:t xml:space="preserve">Como se aprecia, el principio </w:t>
      </w:r>
      <w:r w:rsidRPr="004A08C6">
        <w:rPr>
          <w:rFonts w:ascii="Verdana" w:eastAsia="Calibri" w:hAnsi="Verdana" w:cs="Arial"/>
          <w:i/>
          <w:color w:val="000000" w:themeColor="text1"/>
          <w:lang w:val="es-ES"/>
        </w:rPr>
        <w:t xml:space="preserve">pro </w:t>
      </w:r>
      <w:proofErr w:type="spellStart"/>
      <w:r w:rsidRPr="004A08C6">
        <w:rPr>
          <w:rFonts w:ascii="Verdana" w:eastAsia="Calibri" w:hAnsi="Verdana" w:cs="Arial"/>
          <w:i/>
          <w:color w:val="000000" w:themeColor="text1"/>
          <w:lang w:val="es-ES"/>
        </w:rPr>
        <w:t>libertate</w:t>
      </w:r>
      <w:proofErr w:type="spellEnd"/>
      <w:r w:rsidRPr="004A08C6">
        <w:rPr>
          <w:rFonts w:ascii="Verdana" w:eastAsia="Calibri" w:hAnsi="Verdana" w:cs="Arial"/>
          <w:color w:val="000000" w:themeColor="text1"/>
          <w:lang w:val="es-ES"/>
        </w:rPr>
        <w:t xml:space="preserve"> es el que debe dirigir la interpretación de las disposiciones normativas que consagran restricciones de derechos, como sucede con las causales de inhabilidad e incompatibilidad en la contratación estatal. El carácter reconocidamente taxativo y restrictivo de régimen de inhabilidades obedece a la necesidad de salvaguardar el interés general inherente en la contratación pública, de forma que implique el menor sacrificio posible al derecho de igualdad y de reconocimiento de la personalidad jurídica de quienes aspiran a contratar con el Estado.</w:t>
      </w:r>
    </w:p>
    <w:p w14:paraId="17B448A6" w14:textId="77777777" w:rsidR="006779CF" w:rsidRPr="004A08C6" w:rsidRDefault="006779CF" w:rsidP="006779CF">
      <w:pPr>
        <w:spacing w:after="120" w:line="276" w:lineRule="auto"/>
        <w:jc w:val="both"/>
        <w:rPr>
          <w:rFonts w:ascii="Verdana" w:hAnsi="Verdana" w:cs="Arial"/>
          <w:color w:val="000000" w:themeColor="text1"/>
          <w:lang w:val="es-ES"/>
        </w:rPr>
      </w:pPr>
      <w:proofErr w:type="spellStart"/>
      <w:r w:rsidRPr="004A08C6">
        <w:rPr>
          <w:rFonts w:ascii="Verdana" w:hAnsi="Verdana" w:cs="Arial"/>
          <w:color w:val="000000" w:themeColor="text1"/>
          <w:lang w:val="es-ES"/>
        </w:rPr>
        <w:t>ii</w:t>
      </w:r>
      <w:proofErr w:type="spellEnd"/>
      <w:r w:rsidRPr="004A08C6">
        <w:rPr>
          <w:rFonts w:ascii="Verdana" w:hAnsi="Verdana" w:cs="Arial"/>
          <w:color w:val="000000" w:themeColor="text1"/>
          <w:lang w:val="es-ES"/>
        </w:rPr>
        <w:t xml:space="preserve">. Analizado el régimen de inhabilidades e incompatibilidades previsto para la contratación estatal, </w:t>
      </w:r>
      <w:r>
        <w:rPr>
          <w:rFonts w:ascii="Verdana" w:eastAsia="Calibri" w:hAnsi="Verdana" w:cs="Arial"/>
          <w:color w:val="000000" w:themeColor="text1"/>
          <w:szCs w:val="24"/>
          <w:lang w:eastAsia="es-ES_tradnl"/>
        </w:rPr>
        <w:t xml:space="preserve">el </w:t>
      </w:r>
      <w:r w:rsidRPr="004A08C6">
        <w:rPr>
          <w:rFonts w:ascii="Verdana" w:eastAsia="Calibri" w:hAnsi="Verdana" w:cs="Arial"/>
          <w:color w:val="000000" w:themeColor="text1"/>
          <w:szCs w:val="24"/>
          <w:lang w:eastAsia="es-ES_tradnl"/>
        </w:rPr>
        <w:t xml:space="preserve">literal d) del numeral 2 del artículo 8 de la Ley 80 de 1993, </w:t>
      </w:r>
      <w:r w:rsidRPr="004A08C6">
        <w:rPr>
          <w:rFonts w:ascii="Verdana" w:hAnsi="Verdana" w:cs="Arial"/>
          <w:color w:val="000000" w:themeColor="text1"/>
          <w:lang w:val="es-ES_tradnl"/>
        </w:rPr>
        <w:t xml:space="preserve">dispone lo siguiente:  </w:t>
      </w:r>
    </w:p>
    <w:p w14:paraId="7A53BFC0" w14:textId="77777777" w:rsidR="006779CF" w:rsidRPr="004A08C6" w:rsidRDefault="006779CF" w:rsidP="006779CF">
      <w:pPr>
        <w:spacing w:after="120" w:line="276" w:lineRule="auto"/>
        <w:ind w:left="709"/>
        <w:jc w:val="both"/>
        <w:rPr>
          <w:rFonts w:ascii="Verdana" w:hAnsi="Verdana" w:cs="Arial"/>
          <w:color w:val="000000" w:themeColor="text1"/>
          <w:sz w:val="20"/>
          <w:szCs w:val="20"/>
        </w:rPr>
      </w:pPr>
      <w:r w:rsidRPr="004A08C6">
        <w:rPr>
          <w:rFonts w:ascii="Verdana" w:hAnsi="Verdana" w:cs="Arial"/>
          <w:color w:val="000000" w:themeColor="text1"/>
          <w:sz w:val="20"/>
          <w:szCs w:val="20"/>
        </w:rPr>
        <w:t>“2. Tampoco podrán participar en licitaciones o concursos ni celebrar contratos estatales con la entidad respectiva:</w:t>
      </w:r>
    </w:p>
    <w:p w14:paraId="79F01278" w14:textId="77777777" w:rsidR="006779CF" w:rsidRPr="004A08C6" w:rsidRDefault="006779CF" w:rsidP="006779CF">
      <w:pPr>
        <w:tabs>
          <w:tab w:val="num" w:pos="720"/>
        </w:tabs>
        <w:spacing w:after="0" w:line="240" w:lineRule="auto"/>
        <w:ind w:left="709" w:right="618"/>
        <w:jc w:val="both"/>
        <w:rPr>
          <w:rFonts w:ascii="Verdana" w:hAnsi="Verdana" w:cs="Arial"/>
          <w:color w:val="000000" w:themeColor="text1"/>
          <w:sz w:val="20"/>
          <w:szCs w:val="20"/>
          <w:lang w:val="es-ES"/>
        </w:rPr>
      </w:pPr>
      <w:r w:rsidRPr="004A08C6">
        <w:rPr>
          <w:rFonts w:ascii="Verdana" w:hAnsi="Verdana" w:cs="Arial"/>
          <w:color w:val="000000" w:themeColor="text1"/>
          <w:sz w:val="20"/>
          <w:szCs w:val="20"/>
          <w:lang w:val="es-ES"/>
        </w:rPr>
        <w:t>[…]</w:t>
      </w:r>
    </w:p>
    <w:p w14:paraId="0A019130" w14:textId="77777777" w:rsidR="006779CF" w:rsidRPr="004A08C6" w:rsidRDefault="006779CF" w:rsidP="006779CF">
      <w:pPr>
        <w:tabs>
          <w:tab w:val="num" w:pos="720"/>
        </w:tabs>
        <w:spacing w:after="0" w:line="240" w:lineRule="auto"/>
        <w:ind w:left="709" w:right="618"/>
        <w:jc w:val="both"/>
        <w:rPr>
          <w:rFonts w:ascii="Verdana" w:hAnsi="Verdana" w:cs="Arial"/>
          <w:color w:val="000000" w:themeColor="text1"/>
          <w:sz w:val="20"/>
          <w:szCs w:val="20"/>
        </w:rPr>
      </w:pPr>
    </w:p>
    <w:p w14:paraId="792BA132" w14:textId="77777777" w:rsidR="006779CF" w:rsidRPr="004A08C6" w:rsidRDefault="006779CF" w:rsidP="006779CF">
      <w:pPr>
        <w:tabs>
          <w:tab w:val="num" w:pos="720"/>
        </w:tabs>
        <w:spacing w:after="0" w:line="240" w:lineRule="auto"/>
        <w:ind w:left="709" w:right="618"/>
        <w:jc w:val="both"/>
        <w:rPr>
          <w:rFonts w:ascii="Verdana" w:hAnsi="Verdana" w:cs="Arial"/>
          <w:color w:val="000000" w:themeColor="text1"/>
          <w:sz w:val="20"/>
          <w:szCs w:val="20"/>
        </w:rPr>
      </w:pPr>
      <w:r w:rsidRPr="004A08C6">
        <w:rPr>
          <w:rFonts w:ascii="Verdana" w:hAnsi="Verdana" w:cs="Arial"/>
          <w:color w:val="000000" w:themeColor="text1"/>
          <w:sz w:val="20"/>
          <w:szCs w:val="20"/>
        </w:rPr>
        <w:t>d) </w:t>
      </w:r>
      <w:r w:rsidRPr="00CF7032">
        <w:rPr>
          <w:rFonts w:ascii="Verdana" w:hAnsi="Verdana" w:cs="Arial"/>
          <w:color w:val="000000" w:themeColor="text1"/>
          <w:sz w:val="20"/>
          <w:szCs w:val="20"/>
        </w:rPr>
        <w:t>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w:t>
      </w:r>
      <w:r w:rsidRPr="004A08C6">
        <w:rPr>
          <w:rFonts w:ascii="Verdana" w:hAnsi="Verdana" w:cs="Arial"/>
          <w:color w:val="000000" w:themeColor="text1"/>
          <w:sz w:val="20"/>
          <w:szCs w:val="20"/>
          <w:lang w:val="es-ES"/>
        </w:rPr>
        <w:t xml:space="preserve"> </w:t>
      </w:r>
    </w:p>
    <w:p w14:paraId="19D3F54D" w14:textId="77777777" w:rsidR="006779CF" w:rsidRPr="004A08C6" w:rsidRDefault="006779CF" w:rsidP="006779CF">
      <w:pPr>
        <w:spacing w:after="0" w:line="276" w:lineRule="auto"/>
        <w:ind w:firstLine="709"/>
        <w:jc w:val="both"/>
        <w:rPr>
          <w:rFonts w:ascii="Verdana" w:hAnsi="Verdana" w:cs="Arial"/>
          <w:color w:val="000000" w:themeColor="text1"/>
          <w:lang w:val="es-ES_tradnl"/>
        </w:rPr>
      </w:pPr>
    </w:p>
    <w:p w14:paraId="73764171" w14:textId="77777777" w:rsidR="006779CF" w:rsidRPr="004A08C6" w:rsidRDefault="006779CF" w:rsidP="006779CF">
      <w:pPr>
        <w:autoSpaceDE w:val="0"/>
        <w:autoSpaceDN w:val="0"/>
        <w:adjustRightInd w:val="0"/>
        <w:spacing w:after="120" w:line="276" w:lineRule="auto"/>
        <w:ind w:firstLine="709"/>
        <w:jc w:val="both"/>
        <w:rPr>
          <w:rFonts w:ascii="Verdana" w:eastAsia="Calibri" w:hAnsi="Verdana" w:cs="Arial"/>
          <w:spacing w:val="-2"/>
          <w:lang w:val="es-ES"/>
        </w:rPr>
      </w:pPr>
      <w:r w:rsidRPr="004A08C6">
        <w:rPr>
          <w:rFonts w:ascii="Verdana" w:eastAsia="Calibri" w:hAnsi="Verdana" w:cs="Arial"/>
          <w:spacing w:val="-2"/>
          <w:lang w:val="es-ES"/>
        </w:rPr>
        <w:t xml:space="preserve">De acuerdo con la norma transcrita, algunas personas jurídicas no podrán celebrar contratos con la entidad a la que pertenezca un servidor público que: i) ostente un cargo en el nivel directivo, asesor, ejecutivo o que sea miembro de la </w:t>
      </w:r>
      <w:r w:rsidRPr="004A08C6">
        <w:rPr>
          <w:rFonts w:ascii="Verdana" w:eastAsia="Calibri" w:hAnsi="Verdana" w:cs="Arial"/>
          <w:spacing w:val="-2"/>
          <w:lang w:val="es-ES"/>
        </w:rPr>
        <w:lastRenderedPageBreak/>
        <w:t xml:space="preserve">junta o consejo directivo de la entidad contratante; y que, simultáneamente, </w:t>
      </w:r>
      <w:proofErr w:type="spellStart"/>
      <w:r w:rsidRPr="004A08C6">
        <w:rPr>
          <w:rFonts w:ascii="Verdana" w:eastAsia="Calibri" w:hAnsi="Verdana" w:cs="Arial"/>
          <w:spacing w:val="-2"/>
          <w:lang w:val="es-ES"/>
        </w:rPr>
        <w:t>ii</w:t>
      </w:r>
      <w:proofErr w:type="spellEnd"/>
      <w:r w:rsidRPr="004A08C6">
        <w:rPr>
          <w:rFonts w:ascii="Verdana" w:eastAsia="Calibri" w:hAnsi="Verdana" w:cs="Arial"/>
          <w:spacing w:val="-2"/>
          <w:lang w:val="es-ES"/>
        </w:rPr>
        <w:t>) dicho servidor público</w:t>
      </w:r>
      <w:r>
        <w:rPr>
          <w:rFonts w:ascii="Verdana" w:eastAsia="Calibri" w:hAnsi="Verdana" w:cs="Arial"/>
          <w:spacing w:val="-2"/>
          <w:lang w:val="es-ES"/>
        </w:rPr>
        <w:t xml:space="preserve"> o </w:t>
      </w:r>
      <w:r w:rsidRPr="00CF7032">
        <w:rPr>
          <w:rFonts w:ascii="Verdana" w:eastAsia="Calibri" w:hAnsi="Verdana" w:cs="Arial"/>
          <w:spacing w:val="-2"/>
          <w:lang w:val="es-ES"/>
        </w:rPr>
        <w:t>el cónyuge, compañero o compañera permanente o los parientes hasta el segundo grado de consanguinidad, afinidad o civil de cualquiera de ellos</w:t>
      </w:r>
      <w:r w:rsidRPr="004A08C6">
        <w:rPr>
          <w:rFonts w:ascii="Verdana" w:eastAsia="Calibri" w:hAnsi="Verdana" w:cs="Arial"/>
          <w:spacing w:val="-2"/>
          <w:lang w:val="es-ES"/>
        </w:rPr>
        <w:t xml:space="preserve"> tenga participación en esas personas jurídicas o desempeñe un cargo de dirección o manejo.</w:t>
      </w:r>
    </w:p>
    <w:p w14:paraId="1AB98E47" w14:textId="77777777" w:rsidR="006779CF" w:rsidRPr="004A08C6" w:rsidRDefault="006779CF" w:rsidP="006779CF">
      <w:pPr>
        <w:autoSpaceDE w:val="0"/>
        <w:autoSpaceDN w:val="0"/>
        <w:adjustRightInd w:val="0"/>
        <w:spacing w:after="120" w:line="276" w:lineRule="auto"/>
        <w:ind w:firstLine="708"/>
        <w:jc w:val="both"/>
        <w:rPr>
          <w:rFonts w:ascii="Verdana" w:eastAsia="Calibri" w:hAnsi="Verdana" w:cs="Arial"/>
          <w:spacing w:val="-2"/>
          <w:lang w:val="es-ES"/>
        </w:rPr>
      </w:pPr>
      <w:r w:rsidRPr="004A08C6">
        <w:rPr>
          <w:rFonts w:ascii="Verdana" w:eastAsia="Calibri" w:hAnsi="Verdana" w:cs="Arial"/>
          <w:spacing w:val="-2"/>
          <w:lang w:val="es-MX"/>
        </w:rPr>
        <w:t>Sobre</w:t>
      </w:r>
      <w:r w:rsidRPr="004A08C6">
        <w:rPr>
          <w:rFonts w:ascii="Verdana" w:eastAsia="Calibri" w:hAnsi="Verdana" w:cs="Arial"/>
          <w:spacing w:val="-14"/>
          <w:lang w:val="es-MX"/>
        </w:rPr>
        <w:t xml:space="preserve"> </w:t>
      </w:r>
      <w:r w:rsidRPr="004A08C6">
        <w:rPr>
          <w:rFonts w:ascii="Verdana" w:eastAsia="Calibri" w:hAnsi="Verdana" w:cs="Arial"/>
          <w:spacing w:val="-2"/>
          <w:lang w:val="es-MX"/>
        </w:rPr>
        <w:t>el</w:t>
      </w:r>
      <w:r w:rsidRPr="004A08C6">
        <w:rPr>
          <w:rFonts w:ascii="Verdana" w:eastAsia="Calibri" w:hAnsi="Verdana" w:cs="Arial"/>
          <w:spacing w:val="-13"/>
          <w:lang w:val="es-MX"/>
        </w:rPr>
        <w:t xml:space="preserve"> </w:t>
      </w:r>
      <w:r w:rsidRPr="004A08C6">
        <w:rPr>
          <w:rFonts w:ascii="Verdana" w:eastAsia="Calibri" w:hAnsi="Verdana" w:cs="Arial"/>
          <w:spacing w:val="-2"/>
          <w:lang w:val="es-MX"/>
        </w:rPr>
        <w:t>primer</w:t>
      </w:r>
      <w:r w:rsidRPr="004A08C6">
        <w:rPr>
          <w:rFonts w:ascii="Verdana" w:eastAsia="Calibri" w:hAnsi="Verdana" w:cs="Arial"/>
          <w:spacing w:val="-13"/>
          <w:lang w:val="es-MX"/>
        </w:rPr>
        <w:t xml:space="preserve"> </w:t>
      </w:r>
      <w:r w:rsidRPr="004A08C6">
        <w:rPr>
          <w:rFonts w:ascii="Verdana" w:eastAsia="Calibri" w:hAnsi="Verdana" w:cs="Arial"/>
          <w:spacing w:val="-2"/>
          <w:lang w:val="es-MX"/>
        </w:rPr>
        <w:t>aspecto,</w:t>
      </w:r>
      <w:r w:rsidRPr="004A08C6">
        <w:rPr>
          <w:rFonts w:ascii="Verdana" w:eastAsia="Calibri" w:hAnsi="Verdana" w:cs="Arial"/>
          <w:spacing w:val="-14"/>
          <w:lang w:val="es-MX"/>
        </w:rPr>
        <w:t xml:space="preserve"> </w:t>
      </w:r>
      <w:r w:rsidRPr="004A08C6">
        <w:rPr>
          <w:rFonts w:ascii="Verdana" w:eastAsia="Calibri" w:hAnsi="Verdana" w:cs="Arial"/>
          <w:spacing w:val="-2"/>
          <w:lang w:val="es-MX"/>
        </w:rPr>
        <w:t>hay</w:t>
      </w:r>
      <w:r w:rsidRPr="004A08C6">
        <w:rPr>
          <w:rFonts w:ascii="Verdana" w:eastAsia="Calibri" w:hAnsi="Verdana" w:cs="Arial"/>
          <w:spacing w:val="-13"/>
          <w:lang w:val="es-MX"/>
        </w:rPr>
        <w:t xml:space="preserve"> </w:t>
      </w:r>
      <w:r w:rsidRPr="004A08C6">
        <w:rPr>
          <w:rFonts w:ascii="Verdana" w:eastAsia="Calibri" w:hAnsi="Verdana" w:cs="Arial"/>
          <w:spacing w:val="-1"/>
          <w:lang w:val="es-MX"/>
        </w:rPr>
        <w:t>que</w:t>
      </w:r>
      <w:r w:rsidRPr="004A08C6">
        <w:rPr>
          <w:rFonts w:ascii="Verdana" w:eastAsia="Calibri" w:hAnsi="Verdana" w:cs="Arial"/>
          <w:spacing w:val="-13"/>
          <w:lang w:val="es-MX"/>
        </w:rPr>
        <w:t xml:space="preserve"> </w:t>
      </w:r>
      <w:r w:rsidRPr="004A08C6">
        <w:rPr>
          <w:rFonts w:ascii="Verdana" w:eastAsia="Calibri" w:hAnsi="Verdana" w:cs="Arial"/>
          <w:spacing w:val="-1"/>
          <w:lang w:val="es-MX"/>
        </w:rPr>
        <w:t>señalar</w:t>
      </w:r>
      <w:r w:rsidRPr="004A08C6">
        <w:rPr>
          <w:rFonts w:ascii="Verdana" w:eastAsia="Calibri" w:hAnsi="Verdana" w:cs="Arial"/>
          <w:spacing w:val="-13"/>
          <w:lang w:val="es-MX"/>
        </w:rPr>
        <w:t xml:space="preserve"> </w:t>
      </w:r>
      <w:r w:rsidRPr="004A08C6">
        <w:rPr>
          <w:rFonts w:ascii="Verdana" w:eastAsia="Calibri" w:hAnsi="Verdana" w:cs="Arial"/>
          <w:spacing w:val="-1"/>
          <w:lang w:val="es-MX"/>
        </w:rPr>
        <w:t>que,</w:t>
      </w:r>
      <w:r w:rsidRPr="004A08C6">
        <w:rPr>
          <w:rFonts w:ascii="Verdana" w:eastAsia="Calibri" w:hAnsi="Verdana" w:cs="Arial"/>
          <w:spacing w:val="-14"/>
          <w:lang w:val="es-MX"/>
        </w:rPr>
        <w:t xml:space="preserve"> </w:t>
      </w:r>
      <w:r w:rsidRPr="004A08C6">
        <w:rPr>
          <w:rFonts w:ascii="Verdana" w:eastAsia="Arial" w:hAnsi="Verdana" w:cs="Arial"/>
          <w:lang w:val="es-ES" w:eastAsia="es-ES" w:bidi="es-ES"/>
        </w:rPr>
        <w:t>en cuanto a los destinatarios de la norma objeto de análisis, abarca de una parte a l</w:t>
      </w:r>
      <w:r w:rsidRPr="004A08C6">
        <w:rPr>
          <w:rFonts w:ascii="Verdana" w:eastAsia="Arial" w:hAnsi="Verdana" w:cs="Arial"/>
          <w:color w:val="000000"/>
          <w:lang w:val="es-ES" w:eastAsia="es-ES" w:bidi="es-ES"/>
        </w:rPr>
        <w:t xml:space="preserve">as </w:t>
      </w:r>
      <w:r w:rsidRPr="00DB3025">
        <w:rPr>
          <w:rFonts w:ascii="Verdana" w:eastAsia="Arial" w:hAnsi="Verdana" w:cs="Arial"/>
          <w:color w:val="000000"/>
          <w:lang w:val="es-ES" w:eastAsia="es-ES" w:bidi="es-ES"/>
        </w:rPr>
        <w:t>corporaciones,</w:t>
      </w:r>
      <w:r w:rsidRPr="004A08C6">
        <w:rPr>
          <w:rFonts w:ascii="Verdana" w:eastAsia="Arial" w:hAnsi="Verdana" w:cs="Arial"/>
          <w:color w:val="000000"/>
          <w:lang w:val="es-ES" w:eastAsia="es-ES" w:bidi="es-ES"/>
        </w:rPr>
        <w:t xml:space="preserve"> asociaciones y fundaciones; así mismo, alude a las sociedades de responsabilidad limitada; las demás sociedades de personas; y a las sociedades anónimas, que no tengan el carácter de abiertas. </w:t>
      </w:r>
    </w:p>
    <w:p w14:paraId="5B9407F1" w14:textId="77777777" w:rsidR="006779CF" w:rsidRPr="004A08C6" w:rsidRDefault="006779CF" w:rsidP="006779CF">
      <w:pPr>
        <w:spacing w:after="120" w:line="276" w:lineRule="auto"/>
        <w:ind w:firstLine="709"/>
        <w:jc w:val="both"/>
        <w:rPr>
          <w:rFonts w:ascii="Verdana" w:hAnsi="Verdana" w:cs="Arial"/>
          <w:color w:val="000000" w:themeColor="text1"/>
          <w:lang w:val="es-ES"/>
        </w:rPr>
      </w:pPr>
      <w:r w:rsidRPr="004A08C6">
        <w:rPr>
          <w:rFonts w:ascii="Verdana" w:hAnsi="Verdana" w:cs="Arial"/>
          <w:color w:val="000000" w:themeColor="text1"/>
          <w:lang w:val="es-ES"/>
        </w:rPr>
        <w:t>En relación con el sujeto que por sus condiciones o calidades ocasiona la configuración de la causal objeto de estudio −sujeto generador−, este se trata del servidor público de los niveles directivo, asesor o ejecutivo, o que sea miembro de la junta o consejo directivo; al igual que el cónyuge, compañero o compañera permanente o los parientes hasta el segundo grado de consanguinidad, afinidad o civil de cualquiera de ellos. Respecto de estos sujetos se predica una condición consistente en que “[…] tenga participación o desempeñe cargos de dirección o manejo” en la persona jurídica</w:t>
      </w:r>
      <w:r>
        <w:rPr>
          <w:rFonts w:ascii="Verdana" w:hAnsi="Verdana" w:cs="Arial"/>
          <w:color w:val="000000" w:themeColor="text1"/>
          <w:lang w:val="es-ES"/>
        </w:rPr>
        <w:t>.</w:t>
      </w:r>
    </w:p>
    <w:p w14:paraId="590193B2" w14:textId="77777777" w:rsidR="006779CF" w:rsidRPr="004A08C6" w:rsidRDefault="006779CF" w:rsidP="006779CF">
      <w:pPr>
        <w:spacing w:after="120" w:line="276" w:lineRule="auto"/>
        <w:ind w:firstLine="709"/>
        <w:jc w:val="both"/>
        <w:rPr>
          <w:rFonts w:ascii="Verdana" w:hAnsi="Verdana" w:cs="Arial"/>
          <w:color w:val="000000" w:themeColor="text1"/>
          <w:lang w:val="es-ES"/>
        </w:rPr>
      </w:pPr>
      <w:r w:rsidRPr="004A08C6">
        <w:rPr>
          <w:rFonts w:ascii="Verdana" w:hAnsi="Verdana" w:cs="Arial"/>
          <w:color w:val="000000" w:themeColor="text1"/>
          <w:lang w:val="es-ES"/>
        </w:rPr>
        <w:t xml:space="preserve">Sobre el particular, el Consejo de Estado ha señalado que la finalidad de esta prohibición </w:t>
      </w:r>
      <w:r w:rsidRPr="004A08C6">
        <w:rPr>
          <w:rFonts w:ascii="Verdana" w:hAnsi="Verdana" w:cs="Arial"/>
          <w:color w:val="000000" w:themeColor="text1"/>
        </w:rPr>
        <w:t xml:space="preserve">tiene por objeto garantizar </w:t>
      </w:r>
      <w:r>
        <w:rPr>
          <w:rFonts w:ascii="Verdana" w:hAnsi="Verdana" w:cs="Arial"/>
          <w:color w:val="000000" w:themeColor="text1"/>
        </w:rPr>
        <w:t xml:space="preserve">la </w:t>
      </w:r>
      <w:r w:rsidRPr="004A08C6">
        <w:rPr>
          <w:rFonts w:ascii="Verdana" w:hAnsi="Verdana" w:cs="Arial"/>
          <w:color w:val="000000" w:themeColor="text1"/>
        </w:rPr>
        <w:t>transparencia, imparcialidad e igualdad en la contratación administrativa y tiene naturaleza preventiva pues</w:t>
      </w:r>
      <w:r w:rsidRPr="004A08C6">
        <w:t xml:space="preserve"> “</w:t>
      </w:r>
      <w:r w:rsidRPr="004A08C6">
        <w:rPr>
          <w:rFonts w:ascii="Verdana" w:hAnsi="Verdana" w:cs="Arial"/>
          <w:color w:val="000000" w:themeColor="text1"/>
        </w:rPr>
        <w:t>está dirigida a evitar que la contratación pública se utilice para favorecer los negocios personales o familiares</w:t>
      </w:r>
      <w:r w:rsidRPr="004A08C6">
        <w:t xml:space="preserve"> </w:t>
      </w:r>
      <w:r w:rsidRPr="004A08C6">
        <w:rPr>
          <w:rFonts w:ascii="Verdana" w:hAnsi="Verdana" w:cs="Arial"/>
          <w:color w:val="000000" w:themeColor="text1"/>
        </w:rPr>
        <w:t>de los directivos de las entidades estatales, quienes podrían ejercer algún tipo de influencia directa o indirecta en las decisiones contractuales de los organismos públicos, dada la naturaleza de sus cargos, la autoridad que representan, su capacidad de influencia sobre personal subordinado y la información a la que tienen acceso”</w:t>
      </w:r>
      <w:r w:rsidRPr="004A08C6">
        <w:rPr>
          <w:rFonts w:ascii="Verdana" w:hAnsi="Verdana" w:cs="Arial"/>
          <w:color w:val="000000" w:themeColor="text1"/>
          <w:vertAlign w:val="superscript"/>
        </w:rPr>
        <w:footnoteReference w:id="14"/>
      </w:r>
      <w:r w:rsidRPr="004A08C6">
        <w:rPr>
          <w:rFonts w:ascii="Verdana" w:hAnsi="Verdana" w:cs="Arial"/>
          <w:color w:val="000000" w:themeColor="text1"/>
        </w:rPr>
        <w:t xml:space="preserve">. </w:t>
      </w:r>
    </w:p>
    <w:p w14:paraId="2C8C0A21" w14:textId="77777777" w:rsidR="006779CF" w:rsidRPr="004A08C6" w:rsidRDefault="006779CF" w:rsidP="006779CF">
      <w:pPr>
        <w:widowControl w:val="0"/>
        <w:autoSpaceDE w:val="0"/>
        <w:autoSpaceDN w:val="0"/>
        <w:spacing w:after="120" w:line="276" w:lineRule="auto"/>
        <w:ind w:firstLine="708"/>
        <w:jc w:val="both"/>
        <w:rPr>
          <w:rFonts w:ascii="Verdana" w:eastAsia="Calibri" w:hAnsi="Verdana" w:cs="Arial"/>
          <w:kern w:val="2"/>
          <w:lang w:val="es-ES"/>
          <w14:ligatures w14:val="standardContextual"/>
        </w:rPr>
      </w:pPr>
      <w:r>
        <w:rPr>
          <w:rFonts w:ascii="Verdana" w:eastAsia="Calibri" w:hAnsi="Verdana" w:cs="Arial"/>
          <w:kern w:val="2"/>
          <w:lang w:val="es-ES"/>
          <w14:ligatures w14:val="standardContextual"/>
        </w:rPr>
        <w:t>Esta</w:t>
      </w:r>
      <w:r w:rsidRPr="004A08C6">
        <w:rPr>
          <w:rFonts w:ascii="Verdana" w:hAnsi="Verdana" w:cs="Arial"/>
          <w:color w:val="000000" w:themeColor="text1"/>
          <w:szCs w:val="24"/>
          <w:lang w:val="es-ES_tradnl" w:eastAsia="es-ES_tradnl"/>
        </w:rPr>
        <w:t xml:space="preserve"> Subdirección, </w:t>
      </w:r>
      <w:r>
        <w:rPr>
          <w:rFonts w:ascii="Verdana" w:hAnsi="Verdana" w:cs="Arial"/>
          <w:color w:val="000000" w:themeColor="text1"/>
          <w:szCs w:val="24"/>
          <w:lang w:val="es-ES_tradnl" w:eastAsia="es-ES_tradnl"/>
        </w:rPr>
        <w:t xml:space="preserve">ha considerado que la </w:t>
      </w:r>
      <w:r w:rsidRPr="004A08C6">
        <w:rPr>
          <w:rFonts w:ascii="Verdana" w:hAnsi="Verdana" w:cs="Arial"/>
          <w:color w:val="000000" w:themeColor="text1"/>
          <w:szCs w:val="24"/>
          <w:lang w:val="es-ES_tradnl" w:eastAsia="es-ES_tradnl"/>
        </w:rPr>
        <w:t xml:space="preserve">expresión “cargos de dirección o manejo”, debe entenderse como el resultado de la interpretación sistemática del artículo 22 de la Ley 222 de 1995 con el artículo 32 del Código Sustantivo del Trabajo; pues ambas son normas de derecho privado aplicables en virtud de la remisión de los artículos 13, 32 y 40 de la Ley 80 de 1993. Armonizando </w:t>
      </w:r>
      <w:r w:rsidRPr="004A08C6">
        <w:rPr>
          <w:rFonts w:ascii="Verdana" w:hAnsi="Verdana" w:cs="Arial"/>
          <w:color w:val="000000" w:themeColor="text1"/>
          <w:szCs w:val="24"/>
          <w:lang w:val="es-ES_tradnl" w:eastAsia="es-ES_tradnl"/>
        </w:rPr>
        <w:lastRenderedPageBreak/>
        <w:t>ambas normas, se puede concluir que alguien puede desempeñar en una persona jurídica un “cargo de dirección o manejo” bien sea actuando como “administrador” –en los términos del artículo 22 de la Ley 222 de 1995– o como “trabajador de dirección, confianza o manejo» –de conformidad con el artículo 32 del Código Sustantivo del Trabajo–</w:t>
      </w:r>
      <w:r w:rsidRPr="004A08C6">
        <w:rPr>
          <w:rFonts w:ascii="Verdana" w:hAnsi="Verdana" w:cs="Arial"/>
          <w:color w:val="000000" w:themeColor="text1"/>
          <w:szCs w:val="24"/>
          <w:vertAlign w:val="superscript"/>
          <w:lang w:val="es-ES_tradnl" w:eastAsia="es-ES_tradnl"/>
        </w:rPr>
        <w:footnoteReference w:id="15"/>
      </w:r>
      <w:r w:rsidRPr="004A08C6">
        <w:rPr>
          <w:rFonts w:ascii="Verdana" w:hAnsi="Verdana" w:cs="Arial"/>
          <w:color w:val="000000" w:themeColor="text1"/>
          <w:szCs w:val="24"/>
          <w:lang w:val="es-ES_tradnl" w:eastAsia="es-ES_tradnl"/>
        </w:rPr>
        <w:t>.</w:t>
      </w:r>
    </w:p>
    <w:p w14:paraId="136D4E23" w14:textId="77777777" w:rsidR="006779CF" w:rsidRDefault="006779CF" w:rsidP="006779CF">
      <w:pPr>
        <w:spacing w:after="120" w:line="276" w:lineRule="auto"/>
        <w:ind w:firstLine="709"/>
        <w:jc w:val="both"/>
        <w:rPr>
          <w:rFonts w:ascii="Verdana" w:eastAsia="Calibri" w:hAnsi="Verdana" w:cs="Arial"/>
          <w:color w:val="000000" w:themeColor="text1"/>
          <w:szCs w:val="24"/>
          <w:lang w:val="es-ES_tradnl" w:eastAsia="es-ES_tradnl"/>
        </w:rPr>
      </w:pPr>
      <w:r w:rsidRPr="004A08C6">
        <w:rPr>
          <w:rFonts w:ascii="Verdana" w:eastAsia="Calibri" w:hAnsi="Verdana" w:cs="Arial"/>
          <w:color w:val="000000" w:themeColor="text1"/>
          <w:szCs w:val="24"/>
          <w:lang w:val="es-ES_tradnl" w:eastAsia="es-ES_tradnl"/>
        </w:rPr>
        <w:t xml:space="preserve">A partir de lo dicho, puede concluirse que si el servidor público del nivel directivo, asesor o ejecutivo, o el miembro de junta o consejo directivo, </w:t>
      </w:r>
      <w:r w:rsidRPr="00983DE6">
        <w:rPr>
          <w:rFonts w:ascii="Verdana" w:eastAsia="Calibri" w:hAnsi="Verdana" w:cs="Arial"/>
          <w:color w:val="000000" w:themeColor="text1"/>
          <w:szCs w:val="24"/>
          <w:lang w:val="es-ES_tradnl" w:eastAsia="es-ES_tradnl"/>
        </w:rPr>
        <w:t>de</w:t>
      </w:r>
      <w:r w:rsidRPr="004A08C6">
        <w:rPr>
          <w:rFonts w:ascii="Verdana" w:eastAsia="Calibri" w:hAnsi="Verdana" w:cs="Arial"/>
          <w:i/>
          <w:iCs/>
          <w:color w:val="000000" w:themeColor="text1"/>
          <w:szCs w:val="24"/>
          <w:lang w:val="es-ES_tradnl" w:eastAsia="es-ES_tradnl"/>
        </w:rPr>
        <w:t xml:space="preserve"> </w:t>
      </w:r>
      <w:r w:rsidRPr="006C402E">
        <w:rPr>
          <w:rFonts w:ascii="Verdana" w:eastAsia="Calibri" w:hAnsi="Verdana" w:cs="Arial"/>
          <w:color w:val="000000" w:themeColor="text1"/>
          <w:szCs w:val="24"/>
          <w:lang w:val="es-ES_tradnl" w:eastAsia="es-ES_tradnl"/>
        </w:rPr>
        <w:t>la entidad estatal contratante</w:t>
      </w:r>
      <w:r w:rsidRPr="004A08C6">
        <w:rPr>
          <w:rFonts w:ascii="Verdana" w:eastAsia="Calibri" w:hAnsi="Verdana" w:cs="Arial"/>
          <w:color w:val="000000" w:themeColor="text1"/>
          <w:szCs w:val="24"/>
          <w:lang w:val="es-ES_tradnl" w:eastAsia="es-ES_tradnl"/>
        </w:rPr>
        <w:t xml:space="preserve"> –o sus parientes o allegados, en las calidades ya indicadas–, tiene </w:t>
      </w:r>
      <w:r w:rsidRPr="006C402E">
        <w:rPr>
          <w:rFonts w:ascii="Verdana" w:eastAsia="Calibri" w:hAnsi="Verdana" w:cs="Arial"/>
          <w:color w:val="000000" w:themeColor="text1"/>
          <w:szCs w:val="24"/>
          <w:lang w:val="es-ES_tradnl" w:eastAsia="es-ES_tradnl"/>
        </w:rPr>
        <w:t>participación</w:t>
      </w:r>
      <w:r w:rsidRPr="004A08C6">
        <w:rPr>
          <w:rFonts w:ascii="Verdana" w:eastAsia="Calibri" w:hAnsi="Verdana" w:cs="Arial"/>
          <w:color w:val="000000" w:themeColor="text1"/>
          <w:szCs w:val="24"/>
          <w:lang w:val="es-ES_tradnl" w:eastAsia="es-ES_tradnl"/>
        </w:rPr>
        <w:t xml:space="preserve"> o desempeña “cargos de dirección o manejo” –entendidos a la luz del artículo 22 de la Ley 222 de 1995 y del artículo 32</w:t>
      </w:r>
      <w:r>
        <w:rPr>
          <w:rStyle w:val="Refdenotaalpie"/>
          <w:rFonts w:ascii="Verdana" w:eastAsia="Calibri" w:hAnsi="Verdana" w:cs="Arial"/>
          <w:color w:val="000000" w:themeColor="text1"/>
          <w:szCs w:val="24"/>
          <w:lang w:val="es-ES_tradnl" w:eastAsia="es-ES_tradnl"/>
        </w:rPr>
        <w:footnoteReference w:id="16"/>
      </w:r>
      <w:r w:rsidRPr="004A08C6">
        <w:rPr>
          <w:rFonts w:ascii="Verdana" w:eastAsia="Calibri" w:hAnsi="Verdana" w:cs="Arial"/>
          <w:color w:val="000000" w:themeColor="text1"/>
          <w:szCs w:val="24"/>
          <w:lang w:val="es-ES_tradnl" w:eastAsia="es-ES_tradnl"/>
        </w:rPr>
        <w:t xml:space="preserve"> del Código Sustantivo del Trabajo– en corporaciones, asociaciones, fundaciones, sociedades anónimas que no tengan el carácter de abiertas, sociedades de responsabilidad limitada y demás sociedades de personas, estas quedan inhabilitadas para contratar con la referida entidad pública. </w:t>
      </w:r>
    </w:p>
    <w:p w14:paraId="635B4664" w14:textId="77777777" w:rsidR="006779CF" w:rsidRPr="004A08C6" w:rsidRDefault="006779CF" w:rsidP="006779CF">
      <w:pPr>
        <w:spacing w:after="120" w:line="276" w:lineRule="auto"/>
        <w:ind w:firstLine="709"/>
        <w:jc w:val="both"/>
        <w:rPr>
          <w:rFonts w:ascii="Verdana" w:eastAsia="Calibri" w:hAnsi="Verdana" w:cs="Arial"/>
          <w:color w:val="000000" w:themeColor="text1"/>
          <w:szCs w:val="24"/>
          <w:lang w:val="es-ES_tradnl" w:eastAsia="es-ES_tradnl"/>
        </w:rPr>
      </w:pPr>
      <w:r w:rsidRPr="004A08C6">
        <w:rPr>
          <w:rFonts w:ascii="Verdana" w:eastAsia="Calibri" w:hAnsi="Verdana" w:cs="Arial"/>
          <w:color w:val="000000" w:themeColor="text1"/>
          <w:szCs w:val="24"/>
          <w:lang w:val="es-ES_tradnl" w:eastAsia="es-ES_tradnl"/>
        </w:rPr>
        <w:t>Ahora bien, conviene destacar que en la persona jurídica podría haber socios que no ejerzan estos cargos o personas que los desempeñen y no sean socias</w:t>
      </w:r>
      <w:r w:rsidRPr="004A08C6">
        <w:rPr>
          <w:rFonts w:ascii="Verdana" w:hAnsi="Verdana"/>
          <w:vertAlign w:val="superscript"/>
        </w:rPr>
        <w:footnoteReference w:id="17"/>
      </w:r>
      <w:r w:rsidRPr="004A08C6">
        <w:rPr>
          <w:rFonts w:ascii="Verdana" w:eastAsia="Calibri" w:hAnsi="Verdana" w:cs="Arial"/>
          <w:color w:val="000000" w:themeColor="text1"/>
          <w:szCs w:val="24"/>
          <w:lang w:val="es-ES_tradnl" w:eastAsia="es-ES_tradnl"/>
        </w:rPr>
        <w:t xml:space="preserve">. No obstante, es importante aclarar que ambas circunstancias están previstas en el artículo 8, numeral 2, literal d), de la Ley 80 de 1993, pues esta norma se refiere tanto a tener </w:t>
      </w:r>
      <w:r w:rsidRPr="004A08C6">
        <w:rPr>
          <w:rFonts w:ascii="Verdana" w:eastAsia="Calibri" w:hAnsi="Verdana" w:cs="Arial"/>
          <w:i/>
          <w:iCs/>
          <w:color w:val="000000" w:themeColor="text1"/>
          <w:szCs w:val="24"/>
          <w:lang w:val="es-ES_tradnl" w:eastAsia="es-ES_tradnl"/>
        </w:rPr>
        <w:t>participación</w:t>
      </w:r>
      <w:r w:rsidRPr="004A08C6">
        <w:rPr>
          <w:rFonts w:ascii="Verdana" w:eastAsia="Calibri" w:hAnsi="Verdana" w:cs="Arial"/>
          <w:color w:val="000000" w:themeColor="text1"/>
          <w:szCs w:val="24"/>
          <w:lang w:val="es-ES_tradnl" w:eastAsia="es-ES_tradnl"/>
        </w:rPr>
        <w:t>, como al desempeño de “cargos de dirección o manejo”.</w:t>
      </w:r>
    </w:p>
    <w:p w14:paraId="3FA85494" w14:textId="77777777" w:rsidR="006779CF" w:rsidRPr="004A08C6" w:rsidRDefault="006779CF" w:rsidP="006779CF">
      <w:pPr>
        <w:spacing w:after="120" w:line="276" w:lineRule="auto"/>
        <w:ind w:firstLine="709"/>
        <w:jc w:val="both"/>
        <w:rPr>
          <w:rFonts w:ascii="Verdana" w:eastAsia="Calibri" w:hAnsi="Verdana" w:cs="Arial"/>
          <w:color w:val="000000" w:themeColor="text1"/>
          <w:szCs w:val="24"/>
          <w:lang w:val="es-ES_tradnl" w:eastAsia="es-ES_tradnl"/>
        </w:rPr>
      </w:pPr>
      <w:r w:rsidRPr="004A08C6">
        <w:rPr>
          <w:rFonts w:ascii="Verdana" w:eastAsia="Arial" w:hAnsi="Verdana" w:cs="Arial"/>
          <w:lang w:val="es-ES" w:eastAsia="es-ES" w:bidi="es-ES"/>
        </w:rPr>
        <w:t xml:space="preserve">De otra parte, resulta necesario tener en cuenta una salvedad a la restricción que se ha estudiado, consagrada en el parágrafo 1 del artículo 8 de la Ley 80 de 1993, precisando que no se aplicará la limitación prevista en el literal d) del ordinal 2 del artículo ibidem a las “[…] corporaciones, asociaciones, fundaciones y sociedades […] cuando por disposición legal o estatutaria el </w:t>
      </w:r>
      <w:r w:rsidRPr="004A08C6">
        <w:rPr>
          <w:rFonts w:ascii="Verdana" w:eastAsia="Arial" w:hAnsi="Verdana" w:cs="Arial"/>
          <w:lang w:val="es-ES" w:eastAsia="es-ES" w:bidi="es-ES"/>
        </w:rPr>
        <w:lastRenderedPageBreak/>
        <w:t>servidor público en los niveles referidos debe desempeñar en ellas cargos de dirección o manejo”, entendiendo que los intereses que representaría el servidor público no serían particulares sino propios de la entidad a la que pertenece.</w:t>
      </w:r>
    </w:p>
    <w:p w14:paraId="37C17AF9" w14:textId="77777777" w:rsidR="006779CF" w:rsidRDefault="006779CF" w:rsidP="006779CF">
      <w:pPr>
        <w:spacing w:after="120" w:line="276" w:lineRule="auto"/>
        <w:ind w:firstLine="709"/>
        <w:jc w:val="both"/>
        <w:rPr>
          <w:rFonts w:ascii="Verdana" w:hAnsi="Verdana"/>
        </w:rPr>
      </w:pPr>
      <w:r w:rsidRPr="19E815AD">
        <w:rPr>
          <w:rFonts w:ascii="Verdana" w:eastAsia="Calibri" w:hAnsi="Verdana" w:cs="Arial"/>
          <w:color w:val="000000" w:themeColor="text1"/>
          <w:lang w:eastAsia="es-ES"/>
        </w:rPr>
        <w:t>Es importante aclarar que, conforme lo ha expuesto el Consejo de Estado, “</w:t>
      </w:r>
      <w:r w:rsidRPr="004A08C6">
        <w:rPr>
          <w:rFonts w:ascii="Verdana" w:hAnsi="Verdana"/>
        </w:rPr>
        <w:t>la presentación de un impedimento por el servidor público directivo para no tomar parte en las decisiones de tipo contractual que puedan afectar sus intereses personales o familiares, resulta de suyo irrelevante frente a la inhabilidad y, por lo mismo, no hace que esta última desaparezca</w:t>
      </w:r>
      <w:r w:rsidRPr="004A08C6">
        <w:rPr>
          <w:rFonts w:ascii="Verdana" w:hAnsi="Verdana"/>
          <w:vertAlign w:val="superscript"/>
        </w:rPr>
        <w:footnoteReference w:id="18"/>
      </w:r>
      <w:r w:rsidRPr="004A08C6">
        <w:rPr>
          <w:rFonts w:ascii="Verdana" w:hAnsi="Verdana"/>
        </w:rPr>
        <w:t>”. Lo anterior, teniendo en cuenta que la restricción señalada no recae en el servidor estatal sino en las personas jurídicas determinadas en la norma, de modo que las manifestaciones de aquél en relación con tal inhabilidad carecen de efecto frente a la misma.</w:t>
      </w:r>
    </w:p>
    <w:p w14:paraId="03B4321B" w14:textId="01A47C86" w:rsidR="006779CF" w:rsidRPr="004A08C6" w:rsidRDefault="004D4C08" w:rsidP="19E815AD">
      <w:pPr>
        <w:spacing w:before="120" w:after="120" w:line="276" w:lineRule="auto"/>
        <w:ind w:firstLine="709"/>
        <w:jc w:val="both"/>
        <w:rPr>
          <w:rFonts w:ascii="Verdana" w:eastAsia="Calibri" w:hAnsi="Verdana" w:cs="Arial"/>
          <w:color w:val="000000" w:themeColor="text1"/>
          <w:lang w:val="es-ES" w:eastAsia="es-ES"/>
        </w:rPr>
      </w:pPr>
      <w:r w:rsidRPr="19E815AD">
        <w:rPr>
          <w:rFonts w:ascii="Verdana" w:eastAsia="Calibri" w:hAnsi="Verdana" w:cs="Arial"/>
          <w:color w:val="000000" w:themeColor="text1"/>
          <w:lang w:val="es-ES" w:eastAsia="es-ES"/>
        </w:rPr>
        <w:t xml:space="preserve">Ahora bien, </w:t>
      </w:r>
      <w:r w:rsidR="72C47AAC" w:rsidRPr="19E815AD">
        <w:rPr>
          <w:rFonts w:ascii="Verdana" w:eastAsia="Calibri" w:hAnsi="Verdana" w:cs="Arial"/>
          <w:color w:val="000000" w:themeColor="text1"/>
          <w:lang w:val="es-ES" w:eastAsia="es-ES"/>
        </w:rPr>
        <w:t xml:space="preserve">conviene destacar que en la persona jurídica podría haber socios que no ejerzan estos cargos o personas que los desempeñen y no sean socias. No obstante, es importante aclarar que ambas circunstancias están previstas </w:t>
      </w:r>
      <w:r w:rsidRPr="19E815AD">
        <w:rPr>
          <w:rFonts w:ascii="Verdana" w:eastAsia="Calibri" w:hAnsi="Verdana" w:cs="Arial"/>
          <w:color w:val="000000" w:themeColor="text1"/>
          <w:lang w:val="es-ES" w:eastAsia="es-ES"/>
        </w:rPr>
        <w:t xml:space="preserve">en el </w:t>
      </w:r>
      <w:r w:rsidR="72C47AAC" w:rsidRPr="19E815AD">
        <w:rPr>
          <w:rFonts w:ascii="Verdana" w:eastAsia="Calibri" w:hAnsi="Verdana" w:cs="Arial"/>
          <w:color w:val="000000" w:themeColor="text1"/>
          <w:lang w:val="es-ES" w:eastAsia="es-ES"/>
        </w:rPr>
        <w:t xml:space="preserve">artículo 8, numeral 2, literal d), de la Ley 80 de 1993, pues esta norma se refiere tanto a tener </w:t>
      </w:r>
      <w:r w:rsidR="72C47AAC" w:rsidRPr="19E815AD">
        <w:rPr>
          <w:rFonts w:ascii="Verdana" w:eastAsia="Calibri" w:hAnsi="Verdana" w:cs="Arial"/>
          <w:i/>
          <w:iCs/>
          <w:color w:val="000000" w:themeColor="text1"/>
          <w:lang w:val="es-ES" w:eastAsia="es-ES"/>
        </w:rPr>
        <w:t>participación</w:t>
      </w:r>
      <w:r w:rsidR="72C47AAC" w:rsidRPr="19E815AD">
        <w:rPr>
          <w:rFonts w:ascii="Verdana" w:eastAsia="Calibri" w:hAnsi="Verdana" w:cs="Arial"/>
          <w:color w:val="000000" w:themeColor="text1"/>
          <w:lang w:val="es-ES" w:eastAsia="es-ES"/>
        </w:rPr>
        <w:t xml:space="preserve">, como </w:t>
      </w:r>
      <w:r w:rsidRPr="19E815AD">
        <w:rPr>
          <w:rFonts w:ascii="Verdana" w:eastAsia="Calibri" w:hAnsi="Verdana" w:cs="Arial"/>
          <w:color w:val="000000" w:themeColor="text1"/>
          <w:lang w:val="es-ES" w:eastAsia="es-ES"/>
        </w:rPr>
        <w:t xml:space="preserve">al </w:t>
      </w:r>
      <w:r w:rsidR="72C47AAC" w:rsidRPr="19E815AD">
        <w:rPr>
          <w:rFonts w:ascii="Verdana" w:eastAsia="Calibri" w:hAnsi="Verdana" w:cs="Arial"/>
          <w:color w:val="000000" w:themeColor="text1"/>
          <w:lang w:val="es-ES" w:eastAsia="es-ES"/>
        </w:rPr>
        <w:t>desempeño de “cargos de dirección o manejo”.</w:t>
      </w:r>
    </w:p>
    <w:p w14:paraId="149767B2" w14:textId="33DDA2E5" w:rsidR="006779CF" w:rsidRPr="004A08C6" w:rsidRDefault="72C47AAC" w:rsidP="004D4C08">
      <w:pPr>
        <w:spacing w:before="120" w:line="276" w:lineRule="auto"/>
        <w:ind w:firstLine="708"/>
        <w:jc w:val="both"/>
        <w:rPr>
          <w:rFonts w:ascii="Verdana" w:eastAsia="Arial MT" w:hAnsi="Verdana" w:cs="Arial"/>
          <w:lang w:eastAsia="es-ES" w:bidi="es-ES"/>
        </w:rPr>
      </w:pPr>
      <w:r w:rsidRPr="19E815AD">
        <w:rPr>
          <w:rFonts w:ascii="Verdana" w:hAnsi="Verdana"/>
        </w:rPr>
        <w:t xml:space="preserve">Si una vez analizados los supuestos de un caso particular para verificar si se encuadran dentro de las causales de </w:t>
      </w:r>
      <w:r w:rsidR="004D4C08">
        <w:rPr>
          <w:rFonts w:ascii="Verdana" w:hAnsi="Verdana"/>
        </w:rPr>
        <w:t xml:space="preserve">inhabilidad </w:t>
      </w:r>
      <w:r w:rsidRPr="19E815AD">
        <w:rPr>
          <w:rFonts w:ascii="Verdana" w:hAnsi="Verdana"/>
        </w:rPr>
        <w:t>y específicamente dentro de los previstos</w:t>
      </w:r>
      <w:r w:rsidR="004D4C08">
        <w:rPr>
          <w:rFonts w:ascii="Verdana" w:hAnsi="Verdana"/>
        </w:rPr>
        <w:t xml:space="preserve"> en el literal d) del numeral 2 del artículo 8 de la Ley 80 de 1993 </w:t>
      </w:r>
      <w:r w:rsidRPr="19E815AD">
        <w:rPr>
          <w:rFonts w:ascii="Verdana" w:hAnsi="Verdana"/>
        </w:rPr>
        <w:t>y estos no se reúnen para la configuración de la inhabilidad</w:t>
      </w:r>
      <w:r w:rsidR="004D4C08">
        <w:rPr>
          <w:rFonts w:ascii="Verdana" w:hAnsi="Verdana"/>
        </w:rPr>
        <w:t xml:space="preserve">, la entidad estatal </w:t>
      </w:r>
      <w:r w:rsidR="004D4C08" w:rsidRPr="004A08C6">
        <w:rPr>
          <w:rFonts w:ascii="Verdana" w:eastAsia="Arial MT" w:hAnsi="Verdana" w:cs="Arial"/>
          <w:lang w:eastAsia="es-ES" w:bidi="es-ES"/>
        </w:rPr>
        <w:t xml:space="preserve">tiene el deber de identificar cualquier conducta que pueda llegar </w:t>
      </w:r>
      <w:r w:rsidRPr="19E815AD">
        <w:rPr>
          <w:rFonts w:ascii="Verdana" w:eastAsia="Arial MT" w:hAnsi="Verdana" w:cs="Arial"/>
          <w:lang w:eastAsia="es-ES" w:bidi="es-ES"/>
        </w:rPr>
        <w:t xml:space="preserve">a </w:t>
      </w:r>
      <w:r w:rsidR="004D4C08">
        <w:rPr>
          <w:rFonts w:ascii="Verdana" w:eastAsia="Arial MT" w:hAnsi="Verdana" w:cs="Arial"/>
          <w:lang w:eastAsia="es-ES" w:bidi="es-ES"/>
        </w:rPr>
        <w:t xml:space="preserve">considerarse </w:t>
      </w:r>
      <w:r w:rsidRPr="19E815AD">
        <w:rPr>
          <w:rFonts w:ascii="Verdana" w:eastAsia="Arial MT" w:hAnsi="Verdana" w:cs="Arial"/>
          <w:lang w:eastAsia="es-ES" w:bidi="es-ES"/>
        </w:rPr>
        <w:t>como un eventual</w:t>
      </w:r>
      <w:r w:rsidR="004D4C08">
        <w:rPr>
          <w:rFonts w:ascii="Verdana" w:eastAsia="Arial MT" w:hAnsi="Verdana" w:cs="Arial"/>
          <w:lang w:eastAsia="es-ES" w:bidi="es-ES"/>
        </w:rPr>
        <w:t xml:space="preserve"> conflicto de interés</w:t>
      </w:r>
      <w:r w:rsidR="004D4C08" w:rsidRPr="004A08C6">
        <w:rPr>
          <w:rFonts w:ascii="Verdana" w:eastAsia="Arial MT" w:hAnsi="Verdana" w:cs="Arial"/>
          <w:lang w:eastAsia="es-ES" w:bidi="es-ES"/>
        </w:rPr>
        <w:t>, producto de la concurrencia de intereses antagónicos en el contratista que lo lleven a adoptar determinaciones de aprovechamiento personal, familiar o particular en detrimento del interés público</w:t>
      </w:r>
      <w:r w:rsidR="006779CF" w:rsidRPr="004A08C6">
        <w:rPr>
          <w:rFonts w:ascii="Verdana" w:eastAsia="Arial MT" w:hAnsi="Verdana" w:cs="Arial"/>
          <w:vertAlign w:val="superscript"/>
          <w:lang w:eastAsia="es-ES" w:bidi="es-ES"/>
        </w:rPr>
        <w:footnoteReference w:id="19"/>
      </w:r>
      <w:r w:rsidR="006779CF" w:rsidRPr="004A08C6">
        <w:rPr>
          <w:rFonts w:ascii="Verdana" w:eastAsia="Arial MT" w:hAnsi="Verdana" w:cs="Arial"/>
          <w:lang w:eastAsia="es-ES" w:bidi="es-ES"/>
        </w:rPr>
        <w:t xml:space="preserve">. </w:t>
      </w:r>
    </w:p>
    <w:p w14:paraId="0F71C4D9" w14:textId="77777777" w:rsidR="006779CF" w:rsidRPr="004A08C6" w:rsidRDefault="006779CF" w:rsidP="006779CF">
      <w:pPr>
        <w:widowControl w:val="0"/>
        <w:autoSpaceDE w:val="0"/>
        <w:autoSpaceDN w:val="0"/>
        <w:spacing w:after="120" w:line="276" w:lineRule="auto"/>
        <w:ind w:firstLine="708"/>
        <w:jc w:val="both"/>
        <w:rPr>
          <w:rFonts w:ascii="Verdana" w:hAnsi="Verdana" w:cs="Arial"/>
          <w:color w:val="000000" w:themeColor="text1"/>
          <w:lang w:val="es-ES_tradnl"/>
        </w:rPr>
      </w:pPr>
      <w:r w:rsidRPr="004A08C6">
        <w:rPr>
          <w:rFonts w:ascii="Verdana" w:eastAsia="Arial MT" w:hAnsi="Verdana" w:cs="Arial"/>
          <w:lang w:eastAsia="es-ES" w:bidi="es-ES"/>
        </w:rPr>
        <w:t xml:space="preserve">Al respecto, </w:t>
      </w:r>
      <w:bookmarkStart w:id="4" w:name="_Hlk192056166"/>
      <w:r w:rsidRPr="004A08C6">
        <w:rPr>
          <w:rFonts w:ascii="Verdana" w:eastAsia="Arial MT" w:hAnsi="Verdana" w:cs="Arial"/>
          <w:lang w:eastAsia="es-ES" w:bidi="es-ES"/>
        </w:rPr>
        <w:t xml:space="preserve">es importante señalar que </w:t>
      </w:r>
      <w:r w:rsidRPr="004A08C6">
        <w:rPr>
          <w:rFonts w:ascii="Verdana" w:hAnsi="Verdana" w:cs="Arial"/>
          <w:color w:val="000000" w:themeColor="text1"/>
          <w:lang w:val="es-ES_tradnl"/>
        </w:rPr>
        <w:t xml:space="preserve">de acuerdo con el artículo 209 de la Constitución Política de 1991, la función administrativa debe desarrollarse conforme al principio de moralidad, mandato que se concreta en la idea de que “[…] todas las personas y los servidores públicos están obligados a actuar con rectitud, lealtad y honestidad en las actuaciones administrativas […]” –numeral </w:t>
      </w:r>
      <w:r w:rsidRPr="004A08C6">
        <w:rPr>
          <w:rFonts w:ascii="Verdana" w:hAnsi="Verdana" w:cs="Arial"/>
          <w:color w:val="000000" w:themeColor="text1"/>
          <w:lang w:val="es-ES_tradnl"/>
        </w:rPr>
        <w:lastRenderedPageBreak/>
        <w:t xml:space="preserve">5 del artículo 3 de la Ley 1437 de 2011–. En desarrollo de esta directriz, </w:t>
      </w:r>
      <w:bookmarkStart w:id="5" w:name="_Hlk36672204"/>
      <w:r w:rsidRPr="004A08C6">
        <w:rPr>
          <w:rFonts w:ascii="Verdana" w:hAnsi="Verdana" w:cs="Arial"/>
          <w:color w:val="000000" w:themeColor="text1"/>
          <w:lang w:val="es-ES_tradnl"/>
        </w:rPr>
        <w:t xml:space="preserve">el régimen de los </w:t>
      </w:r>
      <w:r w:rsidRPr="004A08C6">
        <w:rPr>
          <w:rFonts w:ascii="Verdana" w:hAnsi="Verdana" w:cs="Arial"/>
          <w:i/>
          <w:iCs/>
          <w:color w:val="000000" w:themeColor="text1"/>
          <w:lang w:val="es-ES_tradnl"/>
        </w:rPr>
        <w:t>conflictos de interés</w:t>
      </w:r>
      <w:r w:rsidRPr="004A08C6">
        <w:rPr>
          <w:rFonts w:ascii="Verdana" w:hAnsi="Verdana" w:cs="Arial"/>
          <w:color w:val="000000" w:themeColor="text1"/>
          <w:lang w:val="es-ES_tradnl"/>
        </w:rPr>
        <w:t xml:space="preserve"> tiene como objetivo la prevalencia del bien común sobre el particular, razón por la cual se configuran cuando los servidores públicos actúan influenciados por consideraciones personales que colisionan con el deber de preservar su independencia e imparcialidad.</w:t>
      </w:r>
      <w:bookmarkEnd w:id="5"/>
    </w:p>
    <w:bookmarkEnd w:id="4"/>
    <w:p w14:paraId="1A99809E" w14:textId="77777777" w:rsidR="006779CF" w:rsidRPr="004A08C6" w:rsidRDefault="006779CF" w:rsidP="006779CF">
      <w:pPr>
        <w:widowControl w:val="0"/>
        <w:autoSpaceDE w:val="0"/>
        <w:autoSpaceDN w:val="0"/>
        <w:spacing w:after="120" w:line="276" w:lineRule="auto"/>
        <w:ind w:firstLine="708"/>
        <w:jc w:val="both"/>
        <w:rPr>
          <w:rFonts w:ascii="Verdana" w:hAnsi="Verdana" w:cs="Arial"/>
          <w:color w:val="000000" w:themeColor="text1"/>
          <w:lang w:val="es-ES_tradnl"/>
        </w:rPr>
      </w:pPr>
      <w:r w:rsidRPr="004A08C6">
        <w:rPr>
          <w:rFonts w:ascii="Verdana" w:hAnsi="Verdana" w:cs="Arial"/>
          <w:color w:val="000000" w:themeColor="text1"/>
          <w:lang w:val="es-ES"/>
        </w:rPr>
        <w:t xml:space="preserve">La institución jurídica de los conflictos de interés no está definida con carácter general en el ordenamiento jurídico y tampoco de forma precisa en las normas que regulan la contratación estatal, por lo que es un asunto ausente en el EGCAP. En todo caso, la satisfacción del principio de moralidad, el deber de probidad y rectitud también se exige a los contratistas. Al respecto, el artículo 3 de la Ley 80 de 1993 dispone que la actividad contractual del Estado se dirige tanto al cumplimiento de los fines estatales como a la continua y eficiente prestación de los servicios públicos, precisando que “Los particulares, por su parte, tendrán en cuenta al celebrar y ejecutar contratos con las entidades estatales que colaboran con ellas en el logro de sus fines y cumplen una función social que, como tal, implica obligaciones”. En concordancia con lo anterior, el numeral 2 del artículo 5 del EGCAP dispone que aquellos obrarán con lealtad y buena fe en las distintas etapas contractuales. </w:t>
      </w:r>
    </w:p>
    <w:p w14:paraId="0DE7E154" w14:textId="77777777" w:rsidR="006779CF" w:rsidRDefault="006779CF" w:rsidP="006779CF">
      <w:pPr>
        <w:spacing w:before="120" w:after="0" w:line="276" w:lineRule="auto"/>
        <w:ind w:firstLine="708"/>
        <w:jc w:val="both"/>
        <w:rPr>
          <w:rFonts w:ascii="Verdana" w:eastAsia="Calibri" w:hAnsi="Verdana" w:cs="Arial"/>
          <w:color w:val="000000" w:themeColor="text1"/>
          <w:lang w:val="es-ES_tradnl"/>
        </w:rPr>
      </w:pPr>
      <w:r w:rsidRPr="004A08C6">
        <w:rPr>
          <w:rFonts w:ascii="Verdana" w:eastAsia="Calibri" w:hAnsi="Verdana" w:cs="Arial"/>
          <w:color w:val="000000" w:themeColor="text1"/>
          <w:lang w:val="es-ES_tradnl"/>
        </w:rPr>
        <w:t xml:space="preserve">Sin perjuicio de lo anterior, el EGCAP no establece una noción o causales particulares de conflictos de interés aplicables a los proponentes o contratistas del Estado. En efecto, además de las disposiciones brevemente enunciadas en el párrafo precedente, la Ley 1437 de 2011 establece un régimen de “conflictos de interés  y causales de impedimento y recusación” –artículos 11 y 12–, que si bien aplican en los procedimientos administrativos, en general, incluyendo los de selección de contratistas del Estado, están dirigidos a los servidores públicos que adelantan estas actuaciones en desarrollo de la actividad contractual de la entidad estatal de la cual hacen parte. Por lo anterior, sus destinatarios no son los proponentes o contratistas particulares que participan en el procedimiento de selección o celebran el contrato con la entidad estatal, sino los servidores mencionados. </w:t>
      </w:r>
    </w:p>
    <w:p w14:paraId="13BC0246" w14:textId="77777777" w:rsidR="006779CF" w:rsidRPr="004A08C6" w:rsidRDefault="006779CF" w:rsidP="006779CF">
      <w:pPr>
        <w:spacing w:before="120" w:after="0" w:line="276" w:lineRule="auto"/>
        <w:ind w:firstLine="708"/>
        <w:jc w:val="both"/>
        <w:rPr>
          <w:rFonts w:ascii="Verdana" w:eastAsia="Calibri" w:hAnsi="Verdana" w:cs="Arial"/>
        </w:rPr>
      </w:pPr>
      <w:r w:rsidRPr="004A08C6">
        <w:rPr>
          <w:rFonts w:ascii="Verdana" w:eastAsia="Calibri" w:hAnsi="Verdana" w:cs="Arial"/>
          <w:color w:val="000000" w:themeColor="text1"/>
          <w:lang w:val="es-ES_tradnl"/>
        </w:rPr>
        <w:t>En este sentido, en caso de presentarse alguna de las causales establecidas en el artículo 11 del Código de Procedimiento Administrativo o de lo Contencioso Administrativo –en adelante CPACA–, corresponde aplicar el trámite establecido en el artículo 12 de la misma ley.</w:t>
      </w:r>
    </w:p>
    <w:p w14:paraId="2EAFF818" w14:textId="77777777" w:rsidR="006779CF" w:rsidRPr="004A08C6" w:rsidRDefault="006779CF" w:rsidP="006779CF">
      <w:pPr>
        <w:spacing w:before="120" w:after="0" w:line="276" w:lineRule="auto"/>
        <w:ind w:firstLine="708"/>
        <w:jc w:val="both"/>
        <w:rPr>
          <w:rFonts w:ascii="Verdana" w:eastAsia="Calibri" w:hAnsi="Verdana" w:cs="Arial"/>
        </w:rPr>
      </w:pPr>
      <w:r w:rsidRPr="004A08C6">
        <w:rPr>
          <w:rFonts w:ascii="Verdana" w:eastAsia="Calibri" w:hAnsi="Verdana" w:cs="Arial"/>
        </w:rPr>
        <w:t xml:space="preserve">Pese a que no existe regulación sobre el régimen de conflictos de interés, esto no obsta para que las entidades estatales con el fin de garantizar los </w:t>
      </w:r>
      <w:r w:rsidRPr="004A08C6">
        <w:rPr>
          <w:rFonts w:ascii="Verdana" w:eastAsia="Calibri" w:hAnsi="Verdana" w:cs="Arial"/>
        </w:rPr>
        <w:lastRenderedPageBreak/>
        <w:t xml:space="preserve">principios de la función pública –de los que se resalta la moralidad administrativa–, definan objetivamente, las conductas prohibitivas o reprochables que se puedan encausar en posibles conflictos de interés por parte de sus futuros contratistas y la forma a través de la cual las afrontarán, en el marco de la expedición de sus manuales internos de contratación. </w:t>
      </w:r>
    </w:p>
    <w:p w14:paraId="0BC6C52A" w14:textId="04DE4408" w:rsidR="006779CF" w:rsidRPr="004A08C6" w:rsidRDefault="006779CF" w:rsidP="19E815AD">
      <w:pPr>
        <w:spacing w:before="120" w:after="120" w:line="276" w:lineRule="auto"/>
        <w:ind w:firstLine="708"/>
        <w:jc w:val="both"/>
        <w:rPr>
          <w:rFonts w:ascii="Verdana" w:eastAsia="Calibri" w:hAnsi="Verdana" w:cs="Arial"/>
          <w:lang w:val="es-ES"/>
        </w:rPr>
      </w:pPr>
      <w:r w:rsidRPr="19E815AD">
        <w:rPr>
          <w:rFonts w:ascii="Verdana" w:eastAsia="Calibri" w:hAnsi="Verdana" w:cs="Arial"/>
        </w:rPr>
        <w:t xml:space="preserve">En este contexto, en el evento en que </w:t>
      </w:r>
      <w:r w:rsidRPr="19E815AD">
        <w:rPr>
          <w:rFonts w:ascii="Verdana" w:eastAsia="Calibri" w:hAnsi="Verdana" w:cs="Arial"/>
          <w:color w:val="000000" w:themeColor="text1"/>
          <w:lang w:eastAsia="es-ES"/>
        </w:rPr>
        <w:t>una entidad pública pretenda celebrar un contrato con una de las personas jurídicas señaladas en el literal d) numeral 2 del artículo 8 de la Ley 80 de 1993, es indispensable que se analice la</w:t>
      </w:r>
      <w:r w:rsidRPr="19E815AD">
        <w:rPr>
          <w:rFonts w:ascii="Verdana" w:eastAsia="Calibri" w:hAnsi="Verdana" w:cs="Arial"/>
        </w:rPr>
        <w:t xml:space="preserve"> ocurrencia de potenciales conflictos de interés de cara a una posible vulneración de la transparencia, imparcialidad, y moralidad administrativa, y de acuerdo con lo establecido en sus manuales de contratación. En este análisis es importante considerar la participación de servidores públicos que, en virtud de su cargo, puedan influir en la toma de decisiones contractuales o administrativas dentro de ambas entidades.</w:t>
      </w:r>
    </w:p>
    <w:p w14:paraId="79E211C9" w14:textId="0CA07C47" w:rsidR="006779CF" w:rsidRPr="004A08C6" w:rsidRDefault="006779CF" w:rsidP="19E815AD">
      <w:pPr>
        <w:spacing w:before="120" w:after="120" w:line="276" w:lineRule="auto"/>
        <w:ind w:firstLine="708"/>
        <w:jc w:val="both"/>
        <w:rPr>
          <w:rFonts w:ascii="Verdana" w:eastAsia="Calibri" w:hAnsi="Verdana" w:cs="Arial"/>
          <w:lang w:val="es-ES"/>
        </w:rPr>
      </w:pPr>
      <w:r w:rsidRPr="19E815AD">
        <w:rPr>
          <w:rFonts w:ascii="Verdana" w:eastAsia="Times New Roman" w:hAnsi="Verdana" w:cs="Arial"/>
          <w:color w:val="000000" w:themeColor="text1"/>
          <w:lang w:val="es-ES" w:eastAsia="es-ES"/>
        </w:rPr>
        <w:t xml:space="preserve">Finalmente, debe advertirse que el análisis requerido para resolver problemas específicos en torno a </w:t>
      </w:r>
      <w:r w:rsidRPr="004A08C6">
        <w:rPr>
          <w:rFonts w:ascii="Verdana" w:eastAsia="Calibri" w:hAnsi="Verdana" w:cs="Arial"/>
          <w:lang w:val="es-ES"/>
        </w:rPr>
        <w:t>la configuración de inhabilidades, incompatibilidades y conflictos de interés</w:t>
      </w:r>
      <w:r w:rsidRPr="19E815AD">
        <w:rPr>
          <w:rFonts w:ascii="Verdana" w:eastAsia="Times New Roman" w:hAnsi="Verdana" w:cs="Arial"/>
          <w:color w:val="000000" w:themeColor="text1"/>
          <w:lang w:val="es-ES" w:eastAsia="es-ES"/>
        </w:rPr>
        <w:t xml:space="preserve">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70D135D1" w14:textId="77777777" w:rsidR="006779CF" w:rsidRPr="00552635" w:rsidRDefault="006779CF" w:rsidP="006779CF">
      <w:pPr>
        <w:spacing w:after="120" w:line="276" w:lineRule="auto"/>
        <w:ind w:firstLine="709"/>
        <w:jc w:val="both"/>
        <w:rPr>
          <w:rFonts w:ascii="Verdana" w:eastAsia="Calibri" w:hAnsi="Verdana" w:cs="Arial"/>
          <w:lang w:val="es-ES"/>
        </w:rPr>
      </w:pPr>
      <w:r w:rsidRPr="004A08C6">
        <w:rPr>
          <w:rFonts w:ascii="Verdana" w:eastAsia="Times New Roman" w:hAnsi="Verdana" w:cs="Arial"/>
          <w:color w:val="000000" w:themeColor="text1"/>
          <w:lang w:val="es-ES" w:eastAsia="es-ES"/>
        </w:rPr>
        <w:t xml:space="preserve">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250A7F0D" w14:textId="77777777" w:rsidR="006779CF" w:rsidRPr="001F283D" w:rsidRDefault="006779CF" w:rsidP="006779CF">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p w14:paraId="1EB8CD66" w14:textId="77777777" w:rsidR="006779CF" w:rsidRPr="00593A5F" w:rsidRDefault="006779CF" w:rsidP="006779CF">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779CF" w:rsidRPr="002407CE" w14:paraId="4D877EE9" w14:textId="77777777" w:rsidTr="001800CC">
        <w:trPr>
          <w:trHeight w:val="2900"/>
          <w:jc w:val="center"/>
        </w:trPr>
        <w:tc>
          <w:tcPr>
            <w:tcW w:w="8647" w:type="dxa"/>
          </w:tcPr>
          <w:p w14:paraId="32AC73F5" w14:textId="77777777" w:rsidR="006779CF" w:rsidRPr="00D26444" w:rsidRDefault="006779CF" w:rsidP="001800CC">
            <w:pPr>
              <w:pStyle w:val="Prrafodelista"/>
              <w:numPr>
                <w:ilvl w:val="0"/>
                <w:numId w:val="17"/>
              </w:numPr>
              <w:jc w:val="both"/>
              <w:rPr>
                <w:rFonts w:ascii="Verdana" w:eastAsia="Times New Roman" w:hAnsi="Verdana" w:cs="Arial"/>
                <w:color w:val="000000" w:themeColor="text1"/>
                <w:lang w:val="es-CO" w:eastAsia="es-CO"/>
              </w:rPr>
            </w:pPr>
            <w:r w:rsidRPr="00D26444">
              <w:rPr>
                <w:rFonts w:ascii="Verdana" w:eastAsia="Times New Roman" w:hAnsi="Verdana" w:cs="Arial"/>
                <w:color w:val="000000" w:themeColor="text1"/>
                <w:lang w:val="es-CO" w:eastAsia="es-CO"/>
              </w:rPr>
              <w:lastRenderedPageBreak/>
              <w:t xml:space="preserve">Constitución Política de Colombia. Artículo 209.  </w:t>
            </w:r>
          </w:p>
          <w:p w14:paraId="1CE956CC" w14:textId="77777777" w:rsidR="006779CF" w:rsidRPr="00D26444" w:rsidRDefault="006779CF" w:rsidP="001800CC">
            <w:pPr>
              <w:pStyle w:val="Prrafodelista"/>
              <w:numPr>
                <w:ilvl w:val="0"/>
                <w:numId w:val="17"/>
              </w:numPr>
              <w:jc w:val="both"/>
              <w:rPr>
                <w:rFonts w:ascii="Verdana" w:eastAsia="Times New Roman" w:hAnsi="Verdana" w:cs="Arial"/>
                <w:color w:val="000000" w:themeColor="text1"/>
                <w:lang w:val="es-CO" w:eastAsia="es-CO"/>
              </w:rPr>
            </w:pPr>
            <w:r w:rsidRPr="00D26444">
              <w:rPr>
                <w:rFonts w:ascii="Verdana" w:eastAsia="Times New Roman" w:hAnsi="Verdana" w:cs="Arial"/>
                <w:color w:val="000000" w:themeColor="text1"/>
                <w:lang w:val="es-CO" w:eastAsia="es-CO"/>
              </w:rPr>
              <w:t xml:space="preserve">Ley 80 de 1993. Artículo </w:t>
            </w:r>
            <w:r>
              <w:rPr>
                <w:rFonts w:ascii="Verdana" w:eastAsia="Times New Roman" w:hAnsi="Verdana" w:cs="Arial"/>
                <w:color w:val="000000" w:themeColor="text1"/>
                <w:lang w:val="es-CO" w:eastAsia="es-CO"/>
              </w:rPr>
              <w:t xml:space="preserve">5, </w:t>
            </w:r>
            <w:r w:rsidRPr="00D26444">
              <w:rPr>
                <w:rFonts w:ascii="Verdana" w:eastAsia="Times New Roman" w:hAnsi="Verdana" w:cs="Arial"/>
                <w:color w:val="000000" w:themeColor="text1"/>
                <w:lang w:val="es-CO" w:eastAsia="es-CO"/>
              </w:rPr>
              <w:t>6, 8</w:t>
            </w:r>
            <w:r>
              <w:rPr>
                <w:rFonts w:ascii="Verdana" w:eastAsia="Times New Roman" w:hAnsi="Verdana" w:cs="Arial"/>
                <w:color w:val="000000" w:themeColor="text1"/>
                <w:lang w:val="es-CO" w:eastAsia="es-CO"/>
              </w:rPr>
              <w:t>, 11, 12</w:t>
            </w:r>
            <w:r w:rsidRPr="00D26444">
              <w:rPr>
                <w:rFonts w:ascii="Verdana" w:eastAsia="Times New Roman" w:hAnsi="Verdana" w:cs="Arial"/>
                <w:color w:val="000000" w:themeColor="text1"/>
                <w:lang w:val="es-CO" w:eastAsia="es-CO"/>
              </w:rPr>
              <w:t>.</w:t>
            </w:r>
          </w:p>
          <w:p w14:paraId="3EB38CF4" w14:textId="77777777" w:rsidR="006779CF" w:rsidRDefault="006779CF" w:rsidP="001800CC">
            <w:pPr>
              <w:pStyle w:val="Prrafodelista"/>
              <w:numPr>
                <w:ilvl w:val="0"/>
                <w:numId w:val="17"/>
              </w:numPr>
              <w:jc w:val="both"/>
              <w:rPr>
                <w:rFonts w:ascii="Verdana" w:eastAsia="Times New Roman" w:hAnsi="Verdana" w:cs="Arial"/>
                <w:color w:val="000000" w:themeColor="text1"/>
                <w:lang w:val="es-CO" w:eastAsia="es-CO"/>
              </w:rPr>
            </w:pPr>
            <w:r w:rsidRPr="00D26444">
              <w:rPr>
                <w:rFonts w:ascii="Verdana" w:eastAsia="Times New Roman" w:hAnsi="Verdana" w:cs="Arial"/>
                <w:color w:val="000000" w:themeColor="text1"/>
                <w:lang w:val="es-CO" w:eastAsia="es-CO"/>
              </w:rPr>
              <w:t>Código Civil. Artículo 1502.</w:t>
            </w:r>
          </w:p>
          <w:p w14:paraId="09333301" w14:textId="77777777" w:rsidR="006779CF" w:rsidRDefault="006779CF" w:rsidP="001800CC">
            <w:pPr>
              <w:pStyle w:val="Prrafodelista"/>
              <w:numPr>
                <w:ilvl w:val="0"/>
                <w:numId w:val="17"/>
              </w:numPr>
              <w:jc w:val="both"/>
              <w:rPr>
                <w:rFonts w:ascii="Verdana" w:eastAsia="Times New Roman" w:hAnsi="Verdana" w:cs="Arial"/>
                <w:color w:val="000000" w:themeColor="text1"/>
                <w:lang w:val="es-CO" w:eastAsia="es-CO"/>
              </w:rPr>
            </w:pPr>
            <w:r>
              <w:rPr>
                <w:rFonts w:ascii="Verdana" w:eastAsia="Times New Roman" w:hAnsi="Verdana" w:cs="Arial"/>
                <w:color w:val="000000" w:themeColor="text1"/>
                <w:lang w:val="es-CO" w:eastAsia="es-CO"/>
              </w:rPr>
              <w:t>Código de Comercio. Artículo 318.</w:t>
            </w:r>
          </w:p>
          <w:p w14:paraId="0C384FFC" w14:textId="77777777" w:rsidR="006779CF" w:rsidRDefault="006779CF" w:rsidP="001800CC">
            <w:pPr>
              <w:pStyle w:val="Prrafodelista"/>
              <w:numPr>
                <w:ilvl w:val="0"/>
                <w:numId w:val="17"/>
              </w:numPr>
              <w:jc w:val="both"/>
              <w:rPr>
                <w:rFonts w:ascii="Verdana" w:eastAsia="Times New Roman" w:hAnsi="Verdana" w:cs="Arial"/>
                <w:color w:val="000000" w:themeColor="text1"/>
                <w:lang w:val="es-CO" w:eastAsia="es-CO"/>
              </w:rPr>
            </w:pPr>
            <w:r>
              <w:rPr>
                <w:rFonts w:ascii="Verdana" w:eastAsia="Times New Roman" w:hAnsi="Verdana" w:cs="Arial"/>
                <w:color w:val="000000" w:themeColor="text1"/>
                <w:lang w:val="es-CO" w:eastAsia="es-CO"/>
              </w:rPr>
              <w:t>Código sustantivo del Trabajo. Artículo 32.</w:t>
            </w:r>
          </w:p>
          <w:p w14:paraId="676126E0" w14:textId="77777777" w:rsidR="006779CF" w:rsidRDefault="006779CF" w:rsidP="001800CC">
            <w:pPr>
              <w:pStyle w:val="Prrafodelista"/>
              <w:numPr>
                <w:ilvl w:val="0"/>
                <w:numId w:val="17"/>
              </w:numPr>
              <w:jc w:val="both"/>
              <w:rPr>
                <w:rFonts w:ascii="Verdana" w:eastAsia="Times New Roman" w:hAnsi="Verdana" w:cs="Arial"/>
                <w:color w:val="000000" w:themeColor="text1"/>
                <w:lang w:val="es-CO" w:eastAsia="es-CO"/>
              </w:rPr>
            </w:pPr>
            <w:r w:rsidRPr="004A08C6">
              <w:rPr>
                <w:rFonts w:ascii="Verdana" w:hAnsi="Verdana" w:cs="Arial"/>
                <w:color w:val="000000" w:themeColor="text1"/>
                <w:lang w:val="es-ES_tradnl"/>
              </w:rPr>
              <w:t>Ley 1437 de 2011</w:t>
            </w:r>
            <w:r>
              <w:rPr>
                <w:rFonts w:ascii="Verdana" w:hAnsi="Verdana" w:cs="Arial"/>
                <w:color w:val="000000" w:themeColor="text1"/>
                <w:lang w:val="es-ES_tradnl"/>
              </w:rPr>
              <w:t xml:space="preserve">. Artículo 3. </w:t>
            </w:r>
          </w:p>
          <w:p w14:paraId="151D3F49" w14:textId="77777777" w:rsidR="006779CF" w:rsidRDefault="006779CF" w:rsidP="001800CC">
            <w:pPr>
              <w:pStyle w:val="Prrafodelista"/>
              <w:numPr>
                <w:ilvl w:val="0"/>
                <w:numId w:val="17"/>
              </w:numPr>
              <w:jc w:val="both"/>
              <w:rPr>
                <w:rFonts w:ascii="Verdana" w:eastAsia="Times New Roman" w:hAnsi="Verdana" w:cs="Arial"/>
                <w:color w:val="000000" w:themeColor="text1"/>
                <w:lang w:val="es-CO" w:eastAsia="es-CO"/>
              </w:rPr>
            </w:pPr>
            <w:r w:rsidRPr="00D26444">
              <w:rPr>
                <w:rFonts w:ascii="Verdana" w:eastAsia="Times New Roman" w:hAnsi="Verdana" w:cs="Arial"/>
                <w:color w:val="000000" w:themeColor="text1"/>
                <w:lang w:val="es-CO" w:eastAsia="es-CO"/>
              </w:rPr>
              <w:t xml:space="preserve">Consejo de Estado. Sala de Consulta y Servicio Civil. Concepto del 30 de abril de 2015. Expediente: 2251. Consejero Ponente: Álvaro </w:t>
            </w:r>
            <w:proofErr w:type="spellStart"/>
            <w:r w:rsidRPr="00D26444">
              <w:rPr>
                <w:rFonts w:ascii="Verdana" w:eastAsia="Times New Roman" w:hAnsi="Verdana" w:cs="Arial"/>
                <w:color w:val="000000" w:themeColor="text1"/>
                <w:lang w:val="es-CO" w:eastAsia="es-CO"/>
              </w:rPr>
              <w:t>Namén</w:t>
            </w:r>
            <w:proofErr w:type="spellEnd"/>
            <w:r w:rsidRPr="00D26444">
              <w:rPr>
                <w:rFonts w:ascii="Verdana" w:eastAsia="Times New Roman" w:hAnsi="Verdana" w:cs="Arial"/>
                <w:color w:val="000000" w:themeColor="text1"/>
                <w:lang w:val="es-CO" w:eastAsia="es-CO"/>
              </w:rPr>
              <w:t xml:space="preserve"> Vargas.</w:t>
            </w:r>
          </w:p>
          <w:p w14:paraId="1E119A2E" w14:textId="77777777" w:rsidR="006779CF" w:rsidRPr="00D26444" w:rsidRDefault="006779CF" w:rsidP="001800CC">
            <w:pPr>
              <w:pStyle w:val="Prrafodelista"/>
              <w:numPr>
                <w:ilvl w:val="0"/>
                <w:numId w:val="17"/>
              </w:numPr>
              <w:jc w:val="both"/>
              <w:rPr>
                <w:rFonts w:ascii="Verdana" w:eastAsia="Times New Roman" w:hAnsi="Verdana" w:cs="Arial"/>
                <w:color w:val="000000" w:themeColor="text1"/>
                <w:lang w:val="es-CO" w:eastAsia="es-CO"/>
              </w:rPr>
            </w:pPr>
            <w:r w:rsidRPr="00D26444">
              <w:rPr>
                <w:rFonts w:ascii="Verdana" w:eastAsia="Times New Roman" w:hAnsi="Verdana" w:cs="Arial"/>
                <w:color w:val="000000" w:themeColor="text1"/>
                <w:lang w:val="es-CO" w:eastAsia="es-CO"/>
              </w:rPr>
              <w:t xml:space="preserve">Consejo de Estado. Sala de lo Contencioso Administrativo. Sección Tercera. Subsección A. Sentencia del 24 de junio de 2015. </w:t>
            </w:r>
            <w:proofErr w:type="spellStart"/>
            <w:r w:rsidRPr="00D26444">
              <w:rPr>
                <w:rFonts w:ascii="Verdana" w:eastAsia="Times New Roman" w:hAnsi="Verdana" w:cs="Arial"/>
                <w:color w:val="000000" w:themeColor="text1"/>
                <w:lang w:val="es-CO" w:eastAsia="es-CO"/>
              </w:rPr>
              <w:t>Exp</w:t>
            </w:r>
            <w:proofErr w:type="spellEnd"/>
            <w:r w:rsidRPr="00D26444">
              <w:rPr>
                <w:rFonts w:ascii="Verdana" w:eastAsia="Times New Roman" w:hAnsi="Verdana" w:cs="Arial"/>
                <w:color w:val="000000" w:themeColor="text1"/>
                <w:lang w:val="es-CO" w:eastAsia="es-CO"/>
              </w:rPr>
              <w:t>. 40.635. Consejero Ponente: Hernán Andrade Rincón (E).</w:t>
            </w:r>
          </w:p>
          <w:p w14:paraId="24549534" w14:textId="77777777" w:rsidR="006779CF" w:rsidRPr="00D26444" w:rsidRDefault="006779CF" w:rsidP="001800CC">
            <w:pPr>
              <w:pStyle w:val="Prrafodelista"/>
              <w:numPr>
                <w:ilvl w:val="0"/>
                <w:numId w:val="17"/>
              </w:numPr>
              <w:jc w:val="both"/>
              <w:rPr>
                <w:rFonts w:ascii="Verdana" w:eastAsia="Times New Roman" w:hAnsi="Verdana" w:cs="Arial"/>
                <w:color w:val="000000" w:themeColor="text1"/>
                <w:lang w:val="es-CO" w:eastAsia="es-CO"/>
              </w:rPr>
            </w:pPr>
            <w:r w:rsidRPr="00D26444">
              <w:rPr>
                <w:rFonts w:ascii="Verdana" w:eastAsia="Times New Roman" w:hAnsi="Verdana" w:cs="Arial"/>
                <w:color w:val="000000" w:themeColor="text1"/>
                <w:lang w:val="es-CO" w:eastAsia="es-CO"/>
              </w:rPr>
              <w:t xml:space="preserve">Consejo de Estado. Sala de lo Contencioso Administrativo. Sección Tercera. Subsección C. Sentencia del 22 de mayo de 2013. </w:t>
            </w:r>
            <w:proofErr w:type="spellStart"/>
            <w:r w:rsidRPr="00D26444">
              <w:rPr>
                <w:rFonts w:ascii="Verdana" w:eastAsia="Times New Roman" w:hAnsi="Verdana" w:cs="Arial"/>
                <w:color w:val="000000" w:themeColor="text1"/>
                <w:lang w:val="es-CO" w:eastAsia="es-CO"/>
              </w:rPr>
              <w:t>Exp</w:t>
            </w:r>
            <w:proofErr w:type="spellEnd"/>
            <w:r w:rsidRPr="00D26444">
              <w:rPr>
                <w:rFonts w:ascii="Verdana" w:eastAsia="Times New Roman" w:hAnsi="Verdana" w:cs="Arial"/>
                <w:color w:val="000000" w:themeColor="text1"/>
                <w:lang w:val="es-CO" w:eastAsia="es-CO"/>
              </w:rPr>
              <w:t xml:space="preserve">. 24.057. Consejera Ponente: Olga </w:t>
            </w:r>
            <w:proofErr w:type="spellStart"/>
            <w:r w:rsidRPr="00D26444">
              <w:rPr>
                <w:rFonts w:ascii="Verdana" w:eastAsia="Times New Roman" w:hAnsi="Verdana" w:cs="Arial"/>
                <w:color w:val="000000" w:themeColor="text1"/>
                <w:lang w:val="es-CO" w:eastAsia="es-CO"/>
              </w:rPr>
              <w:t>Melida</w:t>
            </w:r>
            <w:proofErr w:type="spellEnd"/>
            <w:r w:rsidRPr="00D26444">
              <w:rPr>
                <w:rFonts w:ascii="Verdana" w:eastAsia="Times New Roman" w:hAnsi="Verdana" w:cs="Arial"/>
                <w:color w:val="000000" w:themeColor="text1"/>
                <w:lang w:val="es-CO" w:eastAsia="es-CO"/>
              </w:rPr>
              <w:t xml:space="preserve"> Valle De </w:t>
            </w:r>
            <w:proofErr w:type="spellStart"/>
            <w:r w:rsidRPr="00D26444">
              <w:rPr>
                <w:rFonts w:ascii="Verdana" w:eastAsia="Times New Roman" w:hAnsi="Verdana" w:cs="Arial"/>
                <w:color w:val="000000" w:themeColor="text1"/>
                <w:lang w:val="es-CO" w:eastAsia="es-CO"/>
              </w:rPr>
              <w:t>De</w:t>
            </w:r>
            <w:proofErr w:type="spellEnd"/>
            <w:r w:rsidRPr="00D26444">
              <w:rPr>
                <w:rFonts w:ascii="Verdana" w:eastAsia="Times New Roman" w:hAnsi="Verdana" w:cs="Arial"/>
                <w:color w:val="000000" w:themeColor="text1"/>
                <w:lang w:val="es-CO" w:eastAsia="es-CO"/>
              </w:rPr>
              <w:t xml:space="preserve"> La Hoz.</w:t>
            </w:r>
          </w:p>
          <w:p w14:paraId="5BECB219" w14:textId="77777777" w:rsidR="006779CF" w:rsidRDefault="006779CF" w:rsidP="001800CC">
            <w:pPr>
              <w:pStyle w:val="Prrafodelista"/>
              <w:numPr>
                <w:ilvl w:val="0"/>
                <w:numId w:val="17"/>
              </w:numPr>
              <w:jc w:val="both"/>
              <w:rPr>
                <w:rFonts w:ascii="Verdana" w:eastAsia="Times New Roman" w:hAnsi="Verdana" w:cs="Arial"/>
                <w:color w:val="000000" w:themeColor="text1"/>
                <w:lang w:val="es-CO" w:eastAsia="es-CO"/>
              </w:rPr>
            </w:pPr>
            <w:r w:rsidRPr="00D26444">
              <w:rPr>
                <w:rFonts w:ascii="Verdana" w:eastAsia="Times New Roman" w:hAnsi="Verdana" w:cs="Arial"/>
                <w:color w:val="000000" w:themeColor="text1"/>
                <w:lang w:val="es-CO" w:eastAsia="es-CO"/>
              </w:rPr>
              <w:t>Consejo de Estado. Sala de Consulta y de Servicio Civil. Concepto del 25 de octubre de 2012. Rad. 2113. C.P. William Zambrano Cetina</w:t>
            </w:r>
            <w:r>
              <w:rPr>
                <w:rFonts w:ascii="Verdana" w:eastAsia="Times New Roman" w:hAnsi="Verdana" w:cs="Arial"/>
                <w:color w:val="000000" w:themeColor="text1"/>
                <w:lang w:val="es-CO" w:eastAsia="es-CO"/>
              </w:rPr>
              <w:t>.</w:t>
            </w:r>
          </w:p>
          <w:p w14:paraId="22794A7E" w14:textId="77777777" w:rsidR="006779CF" w:rsidRPr="00D26444" w:rsidRDefault="006779CF" w:rsidP="001800CC">
            <w:pPr>
              <w:pStyle w:val="Prrafodelista"/>
              <w:numPr>
                <w:ilvl w:val="0"/>
                <w:numId w:val="17"/>
              </w:numPr>
              <w:jc w:val="both"/>
              <w:rPr>
                <w:rFonts w:ascii="Verdana" w:eastAsia="Times New Roman" w:hAnsi="Verdana" w:cs="Arial"/>
                <w:color w:val="000000" w:themeColor="text1"/>
                <w:lang w:val="es-CO" w:eastAsia="es-CO"/>
              </w:rPr>
            </w:pPr>
            <w:r w:rsidRPr="00D26444">
              <w:rPr>
                <w:rFonts w:ascii="Verdana" w:eastAsia="Times New Roman" w:hAnsi="Verdana" w:cs="Arial"/>
                <w:color w:val="000000" w:themeColor="text1"/>
                <w:lang w:val="es-CO" w:eastAsia="es-CO"/>
              </w:rPr>
              <w:t>Consejo de Estado. Sala de Consulta y de Servicio Civil. Concepto del 23 de marzo de 2011. Rad. 2.045. C.P. Enrique José Arboleda Perdomo</w:t>
            </w:r>
            <w:r>
              <w:rPr>
                <w:rFonts w:ascii="Verdana" w:eastAsia="Times New Roman" w:hAnsi="Verdana" w:cs="Arial"/>
                <w:color w:val="000000" w:themeColor="text1"/>
                <w:lang w:val="es-CO" w:eastAsia="es-CO"/>
              </w:rPr>
              <w:t>.</w:t>
            </w:r>
          </w:p>
          <w:p w14:paraId="222B7C59" w14:textId="77777777" w:rsidR="006779CF" w:rsidRPr="006C0A5D" w:rsidRDefault="006779CF" w:rsidP="001800CC">
            <w:pPr>
              <w:pStyle w:val="NormalWeb"/>
              <w:numPr>
                <w:ilvl w:val="0"/>
                <w:numId w:val="17"/>
              </w:numPr>
              <w:spacing w:before="120" w:after="0" w:line="276" w:lineRule="auto"/>
              <w:jc w:val="both"/>
              <w:rPr>
                <w:rFonts w:ascii="Verdana" w:hAnsi="Verdana" w:cs="Arial"/>
                <w:color w:val="000000" w:themeColor="text1"/>
                <w:sz w:val="22"/>
                <w:szCs w:val="22"/>
                <w:lang w:val="it-CH"/>
              </w:rPr>
            </w:pPr>
            <w:r w:rsidRPr="00D26444">
              <w:rPr>
                <w:rFonts w:ascii="Verdana" w:hAnsi="Verdana" w:cs="Arial"/>
                <w:color w:val="000000" w:themeColor="text1"/>
                <w:sz w:val="22"/>
                <w:szCs w:val="22"/>
              </w:rPr>
              <w:t xml:space="preserve">Corte Constitucional. Sentencia T-1039 de 2006. </w:t>
            </w:r>
            <w:r w:rsidRPr="00D26444">
              <w:rPr>
                <w:rFonts w:ascii="Verdana" w:hAnsi="Verdana" w:cs="Arial"/>
                <w:color w:val="000000" w:themeColor="text1"/>
                <w:sz w:val="22"/>
                <w:szCs w:val="22"/>
                <w:lang w:val="it-CH"/>
              </w:rPr>
              <w:t xml:space="preserve">Magistrado Ponente: Humberto Sierra Porto. </w:t>
            </w:r>
          </w:p>
          <w:p w14:paraId="794E1B20" w14:textId="77777777" w:rsidR="006779CF" w:rsidRDefault="006779CF" w:rsidP="001800CC">
            <w:pPr>
              <w:pStyle w:val="NormalWeb"/>
              <w:numPr>
                <w:ilvl w:val="0"/>
                <w:numId w:val="17"/>
              </w:numPr>
              <w:spacing w:before="120" w:after="0" w:line="276" w:lineRule="auto"/>
              <w:jc w:val="both"/>
              <w:rPr>
                <w:rFonts w:ascii="Verdana" w:hAnsi="Verdana" w:cs="Arial"/>
                <w:color w:val="000000" w:themeColor="text1"/>
                <w:sz w:val="22"/>
                <w:szCs w:val="22"/>
              </w:rPr>
            </w:pPr>
            <w:r>
              <w:rPr>
                <w:rFonts w:ascii="Verdana" w:hAnsi="Verdana" w:cs="Arial"/>
                <w:color w:val="000000" w:themeColor="text1"/>
                <w:sz w:val="22"/>
                <w:szCs w:val="22"/>
              </w:rPr>
              <w:t xml:space="preserve">Corte Constitucional. Sentencia </w:t>
            </w:r>
            <w:r w:rsidRPr="00D26444">
              <w:rPr>
                <w:rFonts w:ascii="Verdana" w:hAnsi="Verdana" w:cs="Arial"/>
                <w:color w:val="000000" w:themeColor="text1"/>
                <w:sz w:val="22"/>
                <w:szCs w:val="22"/>
              </w:rPr>
              <w:t>C-903 de 2008. Magistrado Ponente: Jaime Araujo Rentería</w:t>
            </w:r>
            <w:r>
              <w:rPr>
                <w:rFonts w:ascii="Verdana" w:hAnsi="Verdana" w:cs="Arial"/>
                <w:color w:val="000000" w:themeColor="text1"/>
                <w:sz w:val="22"/>
                <w:szCs w:val="22"/>
              </w:rPr>
              <w:t>.</w:t>
            </w:r>
          </w:p>
          <w:p w14:paraId="44738EB0" w14:textId="77777777" w:rsidR="006779CF" w:rsidRPr="006C0A5D" w:rsidRDefault="006779CF" w:rsidP="001800CC">
            <w:pPr>
              <w:pStyle w:val="NormalWeb"/>
              <w:numPr>
                <w:ilvl w:val="0"/>
                <w:numId w:val="17"/>
              </w:numPr>
              <w:spacing w:before="120" w:after="0" w:line="276" w:lineRule="auto"/>
              <w:jc w:val="both"/>
              <w:rPr>
                <w:rFonts w:ascii="Verdana" w:hAnsi="Verdana" w:cs="Arial"/>
                <w:color w:val="000000" w:themeColor="text1"/>
                <w:sz w:val="22"/>
                <w:szCs w:val="22"/>
                <w:lang w:val="it-CH"/>
              </w:rPr>
            </w:pPr>
            <w:r>
              <w:rPr>
                <w:rFonts w:ascii="Verdana" w:hAnsi="Verdana" w:cs="Arial"/>
                <w:color w:val="000000" w:themeColor="text1"/>
                <w:sz w:val="22"/>
                <w:szCs w:val="22"/>
              </w:rPr>
              <w:t xml:space="preserve">Corte Constitucional. Sentencia </w:t>
            </w:r>
            <w:r w:rsidRPr="00D26444">
              <w:rPr>
                <w:rFonts w:ascii="Verdana" w:hAnsi="Verdana" w:cs="Arial"/>
                <w:color w:val="000000" w:themeColor="text1"/>
                <w:sz w:val="22"/>
                <w:szCs w:val="22"/>
              </w:rPr>
              <w:t xml:space="preserve">C-101 de 2018. </w:t>
            </w:r>
            <w:r w:rsidRPr="00D26444">
              <w:rPr>
                <w:rFonts w:ascii="Verdana" w:hAnsi="Verdana" w:cs="Arial"/>
                <w:color w:val="000000" w:themeColor="text1"/>
                <w:sz w:val="22"/>
                <w:szCs w:val="22"/>
                <w:lang w:val="it-CH"/>
              </w:rPr>
              <w:t>Magistrada Ponente: Gloria Stella Ortiz Delgado.</w:t>
            </w:r>
          </w:p>
          <w:p w14:paraId="2035DDB7" w14:textId="77777777" w:rsidR="006779CF" w:rsidRPr="00AF0CB1" w:rsidRDefault="006779CF" w:rsidP="001800CC">
            <w:pPr>
              <w:pStyle w:val="NormalWeb"/>
              <w:numPr>
                <w:ilvl w:val="0"/>
                <w:numId w:val="17"/>
              </w:numPr>
              <w:spacing w:before="120" w:after="0" w:line="276" w:lineRule="auto"/>
              <w:jc w:val="both"/>
              <w:rPr>
                <w:rFonts w:ascii="Verdana" w:hAnsi="Verdana" w:cs="Arial"/>
                <w:color w:val="000000" w:themeColor="text1"/>
                <w:sz w:val="22"/>
                <w:szCs w:val="22"/>
              </w:rPr>
            </w:pPr>
            <w:r w:rsidRPr="00D26444">
              <w:rPr>
                <w:rFonts w:ascii="Verdana" w:hAnsi="Verdana" w:cs="Arial"/>
                <w:color w:val="000000" w:themeColor="text1"/>
                <w:sz w:val="22"/>
                <w:szCs w:val="22"/>
              </w:rPr>
              <w:t xml:space="preserve">BARRETO ROZO, Antonio Alejandro. Inhabilidades de la contratación estatal, efectos y </w:t>
            </w:r>
            <w:proofErr w:type="spellStart"/>
            <w:r w:rsidRPr="00D26444">
              <w:rPr>
                <w:rFonts w:ascii="Verdana" w:hAnsi="Verdana" w:cs="Arial"/>
                <w:color w:val="000000" w:themeColor="text1"/>
                <w:sz w:val="22"/>
                <w:szCs w:val="22"/>
              </w:rPr>
              <w:t>neopunitivismo</w:t>
            </w:r>
            <w:proofErr w:type="spellEnd"/>
            <w:r w:rsidRPr="00D26444">
              <w:rPr>
                <w:rFonts w:ascii="Verdana" w:hAnsi="Verdana" w:cs="Arial"/>
                <w:color w:val="000000" w:themeColor="text1"/>
                <w:sz w:val="22"/>
                <w:szCs w:val="22"/>
              </w:rPr>
              <w:t xml:space="preserve"> en el Estatuto Anticorrupción. En: ALVIAR GARCÍA, Helena (Coordinadora). Nuevas tendencias del Derecho administrativo. Bogotá: Universidad de los Andes; Temis, 2016. pp. 63-99.</w:t>
            </w:r>
          </w:p>
        </w:tc>
      </w:tr>
    </w:tbl>
    <w:p w14:paraId="621C8AC8" w14:textId="77777777" w:rsidR="006779CF" w:rsidRPr="00277E26" w:rsidRDefault="006779CF" w:rsidP="006779CF">
      <w:pPr>
        <w:widowControl w:val="0"/>
        <w:autoSpaceDE w:val="0"/>
        <w:autoSpaceDN w:val="0"/>
        <w:spacing w:after="0" w:line="276" w:lineRule="auto"/>
        <w:jc w:val="both"/>
        <w:rPr>
          <w:rFonts w:ascii="Verdana" w:hAnsi="Verdana" w:cs="Arial"/>
        </w:rPr>
      </w:pPr>
    </w:p>
    <w:p w14:paraId="7C050833" w14:textId="77777777" w:rsidR="006779CF" w:rsidRPr="001F283D" w:rsidRDefault="006779CF" w:rsidP="006779CF">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68187BCB" w14:textId="77777777" w:rsidR="006779CF" w:rsidRDefault="006779CF" w:rsidP="006779CF">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14:paraId="0E5210E9" w14:textId="77777777" w:rsidR="006779CF" w:rsidRPr="00AB70DD" w:rsidRDefault="006779CF" w:rsidP="006779CF">
      <w:pPr>
        <w:widowControl w:val="0"/>
        <w:autoSpaceDE w:val="0"/>
        <w:autoSpaceDN w:val="0"/>
        <w:spacing w:after="120" w:line="276" w:lineRule="auto"/>
        <w:jc w:val="both"/>
        <w:rPr>
          <w:rFonts w:ascii="Verdana" w:eastAsia="Calibri" w:hAnsi="Verdana" w:cs="Arial"/>
          <w:color w:val="000000" w:themeColor="text1"/>
          <w:lang w:val="es-ES_tradnl" w:eastAsia="es-ES_tradnl"/>
        </w:rPr>
      </w:pPr>
      <w:r w:rsidRPr="006E66BF">
        <w:rPr>
          <w:rFonts w:ascii="Verdana" w:eastAsia="Calibri" w:hAnsi="Verdana" w:cs="Arial"/>
          <w:lang w:val="es-ES_tradnl" w:eastAsia="es-ES_tradnl"/>
        </w:rPr>
        <w:t>L</w:t>
      </w:r>
      <w:r w:rsidRPr="006E66BF">
        <w:rPr>
          <w:rFonts w:ascii="Verdana" w:eastAsia="Times New Roman" w:hAnsi="Verdana" w:cs="Arial"/>
          <w:lang w:val="es-ES_tradnl" w:eastAsia="es-ES_tradnl"/>
        </w:rPr>
        <w:t xml:space="preserve">a Agencia Nacional de Contratación Pública ― Colombia Compra Eficiente analizó el régimen de inhabilidades e incompatibilidades en la contratación pública </w:t>
      </w:r>
      <w:r>
        <w:rPr>
          <w:rFonts w:ascii="Verdana" w:eastAsia="Times New Roman" w:hAnsi="Verdana" w:cs="Arial"/>
          <w:lang w:val="es-ES_tradnl" w:eastAsia="es-ES_tradnl"/>
        </w:rPr>
        <w:t xml:space="preserve">en los conceptos </w:t>
      </w:r>
      <w:r w:rsidRPr="00E8264F">
        <w:rPr>
          <w:rFonts w:ascii="Verdana" w:eastAsia="Times New Roman" w:hAnsi="Verdana" w:cs="Arial"/>
          <w:lang w:val="es-ES_tradnl" w:eastAsia="es-ES_tradnl"/>
        </w:rPr>
        <w:t>2201913000009466</w:t>
      </w:r>
      <w:r>
        <w:rPr>
          <w:rFonts w:ascii="Verdana" w:eastAsia="Times New Roman" w:hAnsi="Verdana" w:cs="Arial"/>
          <w:lang w:val="es-ES_tradnl" w:eastAsia="es-ES_tradnl"/>
        </w:rPr>
        <w:t xml:space="preserve"> del 22 de diciembre de 2019, </w:t>
      </w:r>
      <w:r w:rsidRPr="006E66BF">
        <w:rPr>
          <w:rFonts w:ascii="Verdana" w:eastAsia="Times New Roman" w:hAnsi="Verdana" w:cs="Arial"/>
          <w:lang w:val="es-ES_tradnl" w:eastAsia="es-ES_tradnl"/>
        </w:rPr>
        <w:t xml:space="preserve">C-090 del 24 de febrero de 2020, C-125 del 3 de marzo de 2020, C-157 del 17 de marzo de 2020, C-273 del 21 de mayo de 2020, C-402 del 26 de junio de 2020, </w:t>
      </w:r>
      <w:r w:rsidRPr="006E66BF">
        <w:rPr>
          <w:rFonts w:ascii="Verdana" w:eastAsia="Times New Roman" w:hAnsi="Verdana" w:cs="Arial"/>
          <w:lang w:val="es-ES_tradnl" w:eastAsia="es-ES_tradnl"/>
        </w:rPr>
        <w:lastRenderedPageBreak/>
        <w:t>C-386 del 24 de julio de 2020, C-701 del 6 de enero de 2021, C-004 del 12 de febrero de 2021, C-210 del 12 de mayo de 2021, C-275 del 11 de junio de 2021, C-449 del 31 de agosto de 2021, C-028 del 28 de febrero de 2022, C-318 del 18 de mayo de 2022, C-252 del 30 de mayo de 2022,</w:t>
      </w:r>
      <w:r>
        <w:rPr>
          <w:rFonts w:ascii="Verdana" w:eastAsia="Times New Roman" w:hAnsi="Verdana" w:cs="Arial"/>
          <w:lang w:val="es-ES_tradnl" w:eastAsia="es-ES_tradnl"/>
        </w:rPr>
        <w:t xml:space="preserve"> </w:t>
      </w:r>
      <w:r w:rsidRPr="006E66BF">
        <w:rPr>
          <w:rFonts w:ascii="Verdana" w:eastAsia="Times New Roman" w:hAnsi="Verdana" w:cs="Arial"/>
          <w:lang w:val="es-ES_tradnl" w:eastAsia="es-ES_tradnl"/>
        </w:rPr>
        <w:t>C-619 del 27 de septiembre de 2022,</w:t>
      </w:r>
      <w:r>
        <w:rPr>
          <w:rFonts w:ascii="Verdana" w:eastAsia="Times New Roman" w:hAnsi="Verdana" w:cs="Arial"/>
          <w:lang w:val="es-ES_tradnl" w:eastAsia="es-ES_tradnl"/>
        </w:rPr>
        <w:t xml:space="preserve"> </w:t>
      </w:r>
      <w:r w:rsidRPr="004A08C6">
        <w:rPr>
          <w:rFonts w:ascii="Verdana" w:eastAsia="Calibri" w:hAnsi="Verdana" w:cs="Arial"/>
          <w:lang w:val="es-MX"/>
        </w:rPr>
        <w:t>C−010 del 31 de enero de 2024</w:t>
      </w:r>
      <w:r>
        <w:rPr>
          <w:rFonts w:ascii="Verdana" w:eastAsia="Calibri" w:hAnsi="Verdana" w:cs="Arial"/>
          <w:lang w:val="es-MX"/>
        </w:rPr>
        <w:t xml:space="preserve">, </w:t>
      </w:r>
      <w:r>
        <w:rPr>
          <w:rFonts w:ascii="Verdana" w:eastAsia="Times New Roman" w:hAnsi="Verdana" w:cs="Arial"/>
          <w:lang w:val="es-ES_tradnl" w:eastAsia="es-ES_tradnl"/>
        </w:rPr>
        <w:t>C-205 del 12 de septiembre de 2024, C- 470 del 23 de septiembre de 2024, C-631 del 2 de julio de 2025, entre otros</w:t>
      </w:r>
      <w:r w:rsidRPr="00E8264F">
        <w:rPr>
          <w:rFonts w:ascii="Verdana" w:hAnsi="Verdana" w:cs="Arial"/>
          <w:shd w:val="clear" w:color="auto" w:fill="FFFFFF"/>
          <w:lang w:val="es-ES"/>
        </w:rPr>
        <w:t xml:space="preserve">. </w:t>
      </w:r>
      <w:r w:rsidRPr="004A08C6">
        <w:rPr>
          <w:rFonts w:ascii="Verdana" w:hAnsi="Verdana" w:cs="Arial"/>
        </w:rPr>
        <w:t xml:space="preserve">También se ha pronunciado sobre el conflicto de interés en los conceptos C-229 del 16 de abril de 2020, C-815 del 18 de febrero de 2021, C-449 del 31 de agosto de 2021, C-288 del 14 de julio de 2023, </w:t>
      </w:r>
      <w:r w:rsidRPr="004A08C6">
        <w:rPr>
          <w:rFonts w:ascii="Verdana" w:eastAsia="Calibri" w:hAnsi="Verdana" w:cs="Arial"/>
          <w:lang w:val="es-MX"/>
        </w:rPr>
        <w:t>C-039 del 23 de abril de 2024</w:t>
      </w:r>
      <w:r>
        <w:rPr>
          <w:rFonts w:ascii="Verdana" w:eastAsia="Calibri" w:hAnsi="Verdana" w:cs="Arial"/>
          <w:lang w:val="es-MX"/>
        </w:rPr>
        <w:t xml:space="preserve">, </w:t>
      </w:r>
      <w:r w:rsidRPr="004A08C6">
        <w:rPr>
          <w:rFonts w:ascii="Verdana" w:hAnsi="Verdana" w:cs="Arial"/>
        </w:rPr>
        <w:t>C-651 del 22 de octubre de 2024, C-680 del 15 de noviembre de 2024, C-693 del 19 de noviembre de 2024</w:t>
      </w:r>
      <w:r>
        <w:rPr>
          <w:rFonts w:ascii="Verdana" w:hAnsi="Verdana" w:cs="Arial"/>
        </w:rPr>
        <w:t xml:space="preserve">, </w:t>
      </w:r>
      <w:r w:rsidRPr="004A08C6">
        <w:rPr>
          <w:rFonts w:ascii="Verdana" w:hAnsi="Verdana" w:cs="Arial"/>
        </w:rPr>
        <w:t>C-839 del 13 de diciembre de 2024</w:t>
      </w:r>
      <w:r>
        <w:rPr>
          <w:rFonts w:ascii="Verdana" w:hAnsi="Verdana" w:cs="Arial"/>
        </w:rPr>
        <w:t>, entre otros</w:t>
      </w:r>
      <w:r w:rsidRPr="004A08C6">
        <w:rPr>
          <w:rFonts w:ascii="Verdana" w:hAnsi="Verdana" w:cs="Arial"/>
          <w:shd w:val="clear" w:color="auto" w:fill="FFFFFF"/>
          <w:lang w:val="es-ES"/>
        </w:rPr>
        <w:t>.</w:t>
      </w:r>
      <w:r>
        <w:rPr>
          <w:rFonts w:ascii="Verdana" w:hAnsi="Verdana" w:cs="Arial"/>
          <w:shd w:val="clear" w:color="auto" w:fill="FFFFFF"/>
          <w:lang w:val="es-ES"/>
        </w:rPr>
        <w:t xml:space="preserve"> </w:t>
      </w:r>
      <w:r w:rsidRPr="00E8264F">
        <w:rPr>
          <w:rFonts w:ascii="Verdana" w:hAnsi="Verdana" w:cs="Arial"/>
          <w:shd w:val="clear" w:color="auto" w:fill="FFFFFF"/>
        </w:rPr>
        <w:t>E</w:t>
      </w:r>
      <w:proofErr w:type="spellStart"/>
      <w:r w:rsidRPr="00E8264F">
        <w:rPr>
          <w:rFonts w:ascii="Verdana" w:hAnsi="Verdana" w:cs="Arial"/>
          <w:shd w:val="clear" w:color="auto" w:fill="FFFFFF"/>
          <w:lang w:val="es-ES"/>
        </w:rPr>
        <w:t>stos</w:t>
      </w:r>
      <w:proofErr w:type="spellEnd"/>
      <w:r w:rsidRPr="00E8264F">
        <w:rPr>
          <w:rFonts w:ascii="Verdana" w:hAnsi="Verdana" w:cs="Arial"/>
          <w:shd w:val="clear" w:color="auto" w:fill="FFFFFF"/>
          <w:lang w:val="es-ES"/>
        </w:rPr>
        <w:t xml:space="preserve"> y otros </w:t>
      </w:r>
      <w:r w:rsidRPr="00E8264F">
        <w:rPr>
          <w:rFonts w:ascii="Verdana" w:hAnsi="Verdana"/>
        </w:rPr>
        <w:t>conceptos se encuentran disponibles para consulta en el Sistema de relatoría de la Agencia, al cual se puede acceder a través</w:t>
      </w:r>
      <w:r w:rsidRPr="00AB70DD">
        <w:rPr>
          <w:rFonts w:ascii="Verdana" w:hAnsi="Verdana"/>
        </w:rPr>
        <w:t xml:space="preserve"> del siguiente enlace:</w:t>
      </w:r>
      <w:r w:rsidRPr="00AB70DD">
        <w:rPr>
          <w:rFonts w:ascii="Verdana" w:hAnsi="Verdana" w:cs="Arial"/>
          <w:shd w:val="clear" w:color="auto" w:fill="FFFFFF"/>
        </w:rPr>
        <w:t xml:space="preserve"> </w:t>
      </w:r>
      <w:hyperlink r:id="rId12" w:history="1">
        <w:r w:rsidRPr="00AB70DD">
          <w:rPr>
            <w:rFonts w:ascii="Verdana" w:hAnsi="Verdana" w:cs="Arial"/>
            <w:color w:val="0563C1" w:themeColor="hyperlink"/>
            <w:u w:val="single"/>
            <w:shd w:val="clear" w:color="auto" w:fill="FFFFFF"/>
          </w:rPr>
          <w:t>https://relatoria.colombiacompra.gov.co/busqueda/conceptos</w:t>
        </w:r>
      </w:hyperlink>
      <w:r w:rsidRPr="00AB70DD">
        <w:rPr>
          <w:rFonts w:ascii="Verdana" w:hAnsi="Verdana" w:cs="Arial"/>
          <w:shd w:val="clear" w:color="auto" w:fill="FFFFFF"/>
        </w:rPr>
        <w:t>.</w:t>
      </w:r>
      <w:r w:rsidRPr="00AB70DD">
        <w:rPr>
          <w:rFonts w:ascii="Verdana" w:hAnsi="Verdana" w:cs="Arial"/>
          <w:color w:val="FF0000"/>
          <w:shd w:val="clear" w:color="auto" w:fill="FFFFFF"/>
        </w:rPr>
        <w:t xml:space="preserve"> </w:t>
      </w:r>
      <w:r w:rsidRPr="00AB70DD">
        <w:rPr>
          <w:rFonts w:ascii="Verdana" w:hAnsi="Verdana" w:cs="Arial"/>
          <w:color w:val="000000" w:themeColor="text1"/>
          <w:shd w:val="clear" w:color="auto" w:fill="FFFFFF"/>
        </w:rPr>
        <w:t>  </w:t>
      </w:r>
    </w:p>
    <w:p w14:paraId="7D5F7F47" w14:textId="77777777" w:rsidR="006779CF" w:rsidRPr="00237766" w:rsidRDefault="006779CF" w:rsidP="006779CF">
      <w:pPr>
        <w:spacing w:after="120" w:line="276" w:lineRule="auto"/>
        <w:jc w:val="both"/>
        <w:rPr>
          <w:rFonts w:ascii="Verdana" w:eastAsia="Calibri" w:hAnsi="Verdana" w:cs="Times New Roman"/>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53A2AF51" w14:textId="77777777" w:rsidR="006779CF" w:rsidRPr="008E4F36" w:rsidRDefault="006779CF" w:rsidP="006779CF">
      <w:pPr>
        <w:pStyle w:val="Prrafodelista"/>
        <w:numPr>
          <w:ilvl w:val="0"/>
          <w:numId w:val="15"/>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232C9F41" w14:textId="77777777" w:rsidR="006779CF" w:rsidRPr="008E4F36" w:rsidRDefault="006779CF" w:rsidP="006779CF">
      <w:pPr>
        <w:pStyle w:val="Prrafodelista"/>
        <w:numPr>
          <w:ilvl w:val="0"/>
          <w:numId w:val="15"/>
        </w:numPr>
        <w:spacing w:after="0" w:line="276" w:lineRule="auto"/>
        <w:contextualSpacing w:val="0"/>
        <w:jc w:val="both"/>
        <w:rPr>
          <w:rFonts w:ascii="Verdana" w:hAnsi="Verdana"/>
        </w:rPr>
      </w:pPr>
      <w:r w:rsidRPr="008E4F36">
        <w:rPr>
          <w:rFonts w:ascii="Verdana" w:hAnsi="Verdana"/>
        </w:rPr>
        <w:t>Línea en Bogotá (Mesa de servicio): +57 601 7456788</w:t>
      </w:r>
    </w:p>
    <w:p w14:paraId="01E63884" w14:textId="77777777" w:rsidR="006779CF" w:rsidRPr="008E4F36" w:rsidRDefault="006779CF" w:rsidP="006779CF">
      <w:pPr>
        <w:pStyle w:val="Prrafodelista"/>
        <w:numPr>
          <w:ilvl w:val="0"/>
          <w:numId w:val="15"/>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7812C065" w14:textId="77777777" w:rsidR="006779CF" w:rsidRPr="008E4F36" w:rsidRDefault="006779CF" w:rsidP="006779CF">
      <w:pPr>
        <w:pStyle w:val="Prrafodelista"/>
        <w:numPr>
          <w:ilvl w:val="0"/>
          <w:numId w:val="15"/>
        </w:numPr>
        <w:spacing w:after="0" w:line="276" w:lineRule="auto"/>
        <w:contextualSpacing w:val="0"/>
        <w:jc w:val="both"/>
        <w:rPr>
          <w:rFonts w:ascii="Verdana" w:hAnsi="Verdana"/>
        </w:rPr>
      </w:pPr>
      <w:r w:rsidRPr="008E4F36">
        <w:rPr>
          <w:rFonts w:ascii="Verdana" w:hAnsi="Verdana"/>
        </w:rPr>
        <w:t xml:space="preserve">Página web: </w:t>
      </w:r>
      <w:hyperlink r:id="rId13" w:history="1">
        <w:r w:rsidRPr="008E4F36">
          <w:rPr>
            <w:rStyle w:val="Hipervnculo"/>
            <w:rFonts w:ascii="Verdana" w:hAnsi="Verdana"/>
          </w:rPr>
          <w:t>www.colombiacompra.gov.co</w:t>
        </w:r>
      </w:hyperlink>
    </w:p>
    <w:p w14:paraId="026BD57D" w14:textId="77777777" w:rsidR="006779CF" w:rsidRPr="008E4F36" w:rsidRDefault="006779CF" w:rsidP="006779CF">
      <w:pPr>
        <w:spacing w:before="120"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7DE9CB16" w14:textId="77777777" w:rsidR="006779CF" w:rsidRPr="008E4F36" w:rsidRDefault="006779CF" w:rsidP="006779CF">
      <w:pPr>
        <w:spacing w:after="0" w:line="276" w:lineRule="auto"/>
        <w:jc w:val="both"/>
        <w:rPr>
          <w:rFonts w:ascii="Verdana" w:hAnsi="Verdana"/>
        </w:rPr>
      </w:pPr>
    </w:p>
    <w:p w14:paraId="0D21116B" w14:textId="77777777" w:rsidR="006779CF" w:rsidRPr="008E4F36" w:rsidRDefault="006779CF" w:rsidP="006779CF">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48A5FB2E" w14:textId="77777777" w:rsidR="006779CF" w:rsidRPr="008E4F36" w:rsidRDefault="006779CF" w:rsidP="006779CF">
      <w:pPr>
        <w:spacing w:after="0" w:line="276"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14:paraId="22A1EE3A" w14:textId="77777777" w:rsidR="006779CF" w:rsidRPr="008E4F36" w:rsidRDefault="006779CF" w:rsidP="006779CF">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393CEABB" w14:textId="77777777" w:rsidR="006779CF" w:rsidRDefault="006779CF" w:rsidP="006779CF">
      <w:pPr>
        <w:spacing w:before="120" w:after="0" w:line="276" w:lineRule="auto"/>
        <w:jc w:val="both"/>
        <w:rPr>
          <w:rFonts w:ascii="Verdana" w:hAnsi="Verdana"/>
        </w:rPr>
      </w:pPr>
    </w:p>
    <w:p w14:paraId="7105E298" w14:textId="77777777" w:rsidR="006779CF" w:rsidRPr="00FB6C33" w:rsidRDefault="006779CF" w:rsidP="006779CF">
      <w:pPr>
        <w:spacing w:before="120" w:after="0" w:line="276" w:lineRule="auto"/>
        <w:jc w:val="both"/>
        <w:rPr>
          <w:rFonts w:ascii="Verdana" w:hAnsi="Verdana"/>
        </w:rPr>
      </w:pPr>
      <w:r w:rsidRPr="00FB6C33">
        <w:rPr>
          <w:rFonts w:ascii="Verdana" w:hAnsi="Verdana"/>
        </w:rPr>
        <w:t xml:space="preserve">Este concepto tiene el alcance previsto en el artículo 28 del Código de Procedimiento Administrativo y de lo Contencioso Administrativo y las </w:t>
      </w:r>
      <w:r w:rsidRPr="00FB6C33">
        <w:rPr>
          <w:rFonts w:ascii="Verdana" w:hAnsi="Verdana"/>
        </w:rPr>
        <w:lastRenderedPageBreak/>
        <w:t>expresiones utilizadas con mayúscula inicial deben ser entendidas con el significado que les otorga el artículo 2.2.1.1.1.3.1 del Decreto 1082 de 2015.</w:t>
      </w:r>
    </w:p>
    <w:p w14:paraId="09D2D92F" w14:textId="77777777" w:rsidR="006779CF" w:rsidRPr="008E4F36" w:rsidRDefault="006779CF" w:rsidP="006779CF">
      <w:pPr>
        <w:spacing w:after="0" w:line="276" w:lineRule="auto"/>
        <w:jc w:val="both"/>
        <w:rPr>
          <w:rFonts w:ascii="Verdana" w:eastAsia="Calibri" w:hAnsi="Verdana" w:cs="Times New Roman"/>
        </w:rPr>
      </w:pPr>
    </w:p>
    <w:p w14:paraId="78E28C34" w14:textId="77777777" w:rsidR="006779CF" w:rsidRPr="00375017" w:rsidRDefault="006779CF" w:rsidP="006779CF">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2629A692" w14:textId="708F4D4C" w:rsidR="006779CF" w:rsidRDefault="004A5317" w:rsidP="006779CF">
      <w:pPr>
        <w:spacing w:after="0" w:line="256" w:lineRule="auto"/>
        <w:jc w:val="center"/>
        <w:rPr>
          <w:rFonts w:ascii="Verdana" w:eastAsia="Times New Roman" w:hAnsi="Verdana"/>
          <w:b/>
          <w:bCs/>
          <w:noProof/>
        </w:rPr>
      </w:pPr>
      <w:r w:rsidRPr="0065791A">
        <w:rPr>
          <w:rFonts w:ascii="Century Gothic" w:hAnsi="Century Gothic"/>
          <w:noProof/>
        </w:rPr>
        <w:drawing>
          <wp:inline distT="0" distB="0" distL="0" distR="0" wp14:anchorId="44954330" wp14:editId="2D3F558A">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4"/>
                    <a:stretch>
                      <a:fillRect/>
                    </a:stretch>
                  </pic:blipFill>
                  <pic:spPr>
                    <a:xfrm>
                      <a:off x="0" y="0"/>
                      <a:ext cx="3962953" cy="1867161"/>
                    </a:xfrm>
                    <a:prstGeom prst="rect">
                      <a:avLst/>
                    </a:prstGeom>
                  </pic:spPr>
                </pic:pic>
              </a:graphicData>
            </a:graphic>
          </wp:inline>
        </w:drawing>
      </w: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6779CF" w:rsidRPr="008E4F36" w14:paraId="0B2A7DB6" w14:textId="77777777" w:rsidTr="001800CC">
        <w:trPr>
          <w:trHeight w:val="315"/>
        </w:trPr>
        <w:tc>
          <w:tcPr>
            <w:tcW w:w="893" w:type="dxa"/>
            <w:vAlign w:val="center"/>
            <w:hideMark/>
          </w:tcPr>
          <w:p w14:paraId="26E7F64C" w14:textId="77777777" w:rsidR="006779CF" w:rsidRPr="008E4F36" w:rsidRDefault="006779CF" w:rsidP="001800CC">
            <w:pPr>
              <w:contextualSpacing/>
              <w:rPr>
                <w:rFonts w:ascii="Verdana" w:hAnsi="Verdana" w:cs="Arial"/>
                <w:sz w:val="16"/>
                <w:szCs w:val="16"/>
                <w:lang w:eastAsia="es-ES"/>
              </w:rPr>
            </w:pPr>
            <w:r w:rsidRPr="008E4F36">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2BE0917C" w14:textId="77777777" w:rsidR="006779CF" w:rsidRPr="008E4F36" w:rsidRDefault="006779CF" w:rsidP="001800CC">
            <w:pPr>
              <w:contextualSpacing/>
              <w:rPr>
                <w:rStyle w:val="normaltextrun"/>
                <w:rFonts w:ascii="Verdana" w:hAnsi="Verdana"/>
                <w:sz w:val="16"/>
                <w:szCs w:val="16"/>
              </w:rPr>
            </w:pPr>
            <w:r w:rsidRPr="008E4F36">
              <w:rPr>
                <w:rStyle w:val="normaltextrun"/>
                <w:rFonts w:ascii="Verdana" w:hAnsi="Verdana"/>
                <w:sz w:val="16"/>
                <w:szCs w:val="16"/>
              </w:rPr>
              <w:t xml:space="preserve">Esperanza Contreras P </w:t>
            </w:r>
          </w:p>
          <w:p w14:paraId="613A0DA6" w14:textId="77777777" w:rsidR="006779CF" w:rsidRPr="008E4F36" w:rsidRDefault="006779CF" w:rsidP="001800CC">
            <w:pPr>
              <w:contextualSpacing/>
              <w:rPr>
                <w:rFonts w:ascii="Verdana" w:eastAsia="Arial" w:hAnsi="Verdana" w:cs="Arial"/>
                <w:sz w:val="16"/>
                <w:szCs w:val="16"/>
              </w:rPr>
            </w:pPr>
            <w:r w:rsidRPr="008E4F36">
              <w:rPr>
                <w:rStyle w:val="normaltextrun"/>
                <w:rFonts w:ascii="Verdana" w:hAnsi="Verdana" w:cs="Arial"/>
                <w:sz w:val="16"/>
                <w:szCs w:val="16"/>
              </w:rPr>
              <w:t>Contratista de la Subdirección de Gestión Contractual</w:t>
            </w:r>
            <w:r w:rsidRPr="008E4F36">
              <w:rPr>
                <w:rStyle w:val="eop"/>
                <w:rFonts w:ascii="Verdana" w:hAnsi="Verdana" w:cs="Arial"/>
                <w:sz w:val="16"/>
                <w:szCs w:val="16"/>
              </w:rPr>
              <w:t> </w:t>
            </w:r>
          </w:p>
        </w:tc>
      </w:tr>
      <w:tr w:rsidR="006779CF" w:rsidRPr="008E4F36" w14:paraId="680C91AC" w14:textId="77777777" w:rsidTr="001800CC">
        <w:trPr>
          <w:trHeight w:val="330"/>
        </w:trPr>
        <w:tc>
          <w:tcPr>
            <w:tcW w:w="893" w:type="dxa"/>
            <w:vAlign w:val="center"/>
            <w:hideMark/>
          </w:tcPr>
          <w:p w14:paraId="782571E0" w14:textId="77777777" w:rsidR="006779CF" w:rsidRPr="008E4F36" w:rsidRDefault="006779CF" w:rsidP="001800CC">
            <w:pPr>
              <w:contextualSpacing/>
              <w:rPr>
                <w:rFonts w:ascii="Verdana" w:hAnsi="Verdana" w:cs="Arial"/>
                <w:sz w:val="16"/>
                <w:szCs w:val="16"/>
                <w:lang w:eastAsia="es-ES"/>
              </w:rPr>
            </w:pPr>
            <w:r w:rsidRPr="008E4F36">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4F8E9882" w14:textId="77777777" w:rsidR="006779CF" w:rsidRPr="00E8264F" w:rsidRDefault="006779CF" w:rsidP="001800CC">
            <w:pPr>
              <w:pStyle w:val="paragraph"/>
              <w:spacing w:before="0" w:beforeAutospacing="0" w:after="0" w:afterAutospacing="0"/>
              <w:contextualSpacing/>
              <w:textAlignment w:val="baseline"/>
              <w:rPr>
                <w:rStyle w:val="normaltextrun"/>
                <w:rFonts w:ascii="Verdana" w:hAnsi="Verdana"/>
                <w:sz w:val="16"/>
                <w:szCs w:val="16"/>
              </w:rPr>
            </w:pPr>
            <w:r w:rsidRPr="00E8264F">
              <w:rPr>
                <w:rStyle w:val="normaltextrun"/>
                <w:rFonts w:ascii="Verdana" w:hAnsi="Verdana"/>
                <w:sz w:val="16"/>
                <w:szCs w:val="16"/>
              </w:rPr>
              <w:t xml:space="preserve">Juan Carlos González Vásquez </w:t>
            </w:r>
          </w:p>
          <w:p w14:paraId="2C7D9010" w14:textId="77777777" w:rsidR="006779CF" w:rsidRPr="008E4F36" w:rsidRDefault="006779CF" w:rsidP="001800CC">
            <w:pPr>
              <w:pStyle w:val="paragraph"/>
              <w:spacing w:before="0" w:beforeAutospacing="0" w:after="0" w:afterAutospacing="0"/>
              <w:contextualSpacing/>
              <w:textAlignment w:val="baseline"/>
              <w:rPr>
                <w:rFonts w:ascii="Verdana" w:hAnsi="Verdana" w:cs="Segoe UI"/>
                <w:sz w:val="16"/>
                <w:szCs w:val="16"/>
              </w:rPr>
            </w:pPr>
            <w:r w:rsidRPr="008E4F36">
              <w:rPr>
                <w:rStyle w:val="eop"/>
                <w:rFonts w:ascii="Verdana" w:hAnsi="Verdana" w:cs="Arial"/>
                <w:sz w:val="16"/>
                <w:szCs w:val="16"/>
              </w:rPr>
              <w:t xml:space="preserve">Contratista de la Subdirección de Negocios </w:t>
            </w:r>
          </w:p>
        </w:tc>
      </w:tr>
      <w:tr w:rsidR="006779CF" w:rsidRPr="008E4F36" w14:paraId="43B87E00" w14:textId="77777777" w:rsidTr="001800CC">
        <w:trPr>
          <w:trHeight w:val="300"/>
        </w:trPr>
        <w:tc>
          <w:tcPr>
            <w:tcW w:w="893" w:type="dxa"/>
            <w:vAlign w:val="center"/>
          </w:tcPr>
          <w:p w14:paraId="453D67D9" w14:textId="77777777" w:rsidR="006779CF" w:rsidRPr="008E4F36" w:rsidRDefault="006779CF" w:rsidP="001800CC">
            <w:pPr>
              <w:contextualSpacing/>
              <w:rPr>
                <w:rFonts w:ascii="Verdana" w:hAnsi="Verdana" w:cs="Arial"/>
                <w:sz w:val="16"/>
                <w:szCs w:val="16"/>
                <w:lang w:eastAsia="es-ES"/>
              </w:rPr>
            </w:pPr>
            <w:r w:rsidRPr="008E4F36">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5FC5CD0B" w14:textId="77777777" w:rsidR="006779CF" w:rsidRPr="008E4F36" w:rsidRDefault="006779CF" w:rsidP="001800CC">
            <w:pPr>
              <w:contextualSpacing/>
              <w:rPr>
                <w:rFonts w:ascii="Verdana" w:eastAsia="Calibri" w:hAnsi="Verdana" w:cs="Arial"/>
                <w:sz w:val="16"/>
                <w:szCs w:val="16"/>
                <w:lang w:eastAsia="es-ES"/>
              </w:rPr>
            </w:pPr>
            <w:r>
              <w:rPr>
                <w:rFonts w:ascii="Verdana" w:eastAsia="Calibri" w:hAnsi="Verdana" w:cs="Arial"/>
                <w:sz w:val="16"/>
                <w:szCs w:val="16"/>
                <w:lang w:eastAsia="es-ES"/>
              </w:rPr>
              <w:t xml:space="preserve">Carolina Quintero </w:t>
            </w:r>
            <w:proofErr w:type="spellStart"/>
            <w:r>
              <w:rPr>
                <w:rFonts w:ascii="Verdana" w:eastAsia="Calibri" w:hAnsi="Verdana" w:cs="Arial"/>
                <w:sz w:val="16"/>
                <w:szCs w:val="16"/>
                <w:lang w:eastAsia="es-ES"/>
              </w:rPr>
              <w:t>Gacharná</w:t>
            </w:r>
            <w:proofErr w:type="spellEnd"/>
          </w:p>
          <w:p w14:paraId="4257F756" w14:textId="77777777" w:rsidR="006779CF" w:rsidRPr="008E4F36" w:rsidRDefault="006779CF" w:rsidP="001800CC">
            <w:pPr>
              <w:contextualSpacing/>
              <w:rPr>
                <w:rFonts w:ascii="Verdana" w:eastAsia="Calibri" w:hAnsi="Verdana" w:cs="Arial"/>
                <w:sz w:val="16"/>
                <w:szCs w:val="16"/>
                <w:lang w:eastAsia="es-ES"/>
              </w:rPr>
            </w:pPr>
            <w:r w:rsidRPr="008E4F36">
              <w:rPr>
                <w:rFonts w:ascii="Verdana" w:eastAsia="Calibri" w:hAnsi="Verdana" w:cs="Arial"/>
                <w:sz w:val="16"/>
                <w:szCs w:val="16"/>
                <w:lang w:eastAsia="es-ES"/>
              </w:rPr>
              <w:t>Subdirectora de Gestión Contractual</w:t>
            </w:r>
            <w:r>
              <w:rPr>
                <w:rFonts w:ascii="Verdana" w:eastAsia="Calibri" w:hAnsi="Verdana" w:cs="Arial"/>
                <w:sz w:val="16"/>
                <w:szCs w:val="16"/>
                <w:lang w:eastAsia="es-ES"/>
              </w:rPr>
              <w:t xml:space="preserve"> </w:t>
            </w:r>
            <w:r w:rsidRPr="008E4F36">
              <w:rPr>
                <w:rFonts w:ascii="Verdana" w:eastAsia="Calibri" w:hAnsi="Verdana" w:cs="Arial"/>
                <w:sz w:val="16"/>
                <w:szCs w:val="16"/>
                <w:lang w:eastAsia="es-ES"/>
              </w:rPr>
              <w:t>ANCP – CCE</w:t>
            </w:r>
          </w:p>
        </w:tc>
      </w:tr>
      <w:bookmarkEnd w:id="0"/>
      <w:bookmarkEnd w:id="1"/>
      <w:bookmarkEnd w:id="2"/>
      <w:bookmarkEnd w:id="3"/>
    </w:tbl>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ADFB1" w14:textId="77777777" w:rsidR="00575ADF" w:rsidRDefault="00575ADF" w:rsidP="004A1847">
      <w:pPr>
        <w:spacing w:after="0" w:line="240" w:lineRule="auto"/>
      </w:pPr>
      <w:r>
        <w:separator/>
      </w:r>
    </w:p>
  </w:endnote>
  <w:endnote w:type="continuationSeparator" w:id="0">
    <w:p w14:paraId="4CE18C11" w14:textId="77777777" w:rsidR="00575ADF" w:rsidRDefault="00575AD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24621" w14:textId="77777777" w:rsidR="00575ADF" w:rsidRDefault="00575ADF" w:rsidP="004A1847">
      <w:pPr>
        <w:spacing w:after="0" w:line="240" w:lineRule="auto"/>
      </w:pPr>
      <w:r>
        <w:separator/>
      </w:r>
    </w:p>
  </w:footnote>
  <w:footnote w:type="continuationSeparator" w:id="0">
    <w:p w14:paraId="7F5AB571" w14:textId="77777777" w:rsidR="00575ADF" w:rsidRDefault="00575ADF" w:rsidP="004A1847">
      <w:pPr>
        <w:spacing w:after="0" w:line="240" w:lineRule="auto"/>
      </w:pPr>
      <w:r>
        <w:continuationSeparator/>
      </w:r>
    </w:p>
  </w:footnote>
  <w:footnote w:id="1">
    <w:p w14:paraId="330140FE" w14:textId="77777777" w:rsidR="006779CF" w:rsidRPr="008A1DE1" w:rsidRDefault="006779CF" w:rsidP="006779CF">
      <w:pPr>
        <w:pStyle w:val="Textonotapie"/>
        <w:ind w:firstLine="709"/>
        <w:jc w:val="both"/>
        <w:rPr>
          <w:rFonts w:ascii="Verdana" w:hAnsi="Verdana" w:cs="Arial"/>
          <w:color w:val="000000" w:themeColor="text1"/>
          <w:sz w:val="16"/>
          <w:szCs w:val="16"/>
        </w:rPr>
      </w:pPr>
      <w:r w:rsidRPr="008A1DE1">
        <w:rPr>
          <w:rStyle w:val="Refdenotaalpie"/>
          <w:rFonts w:ascii="Verdana" w:hAnsi="Verdana" w:cs="Arial"/>
          <w:color w:val="000000" w:themeColor="text1"/>
          <w:sz w:val="16"/>
          <w:szCs w:val="16"/>
        </w:rPr>
        <w:footnoteRef/>
      </w:r>
      <w:r w:rsidRPr="008A1DE1">
        <w:rPr>
          <w:rFonts w:ascii="Verdana" w:hAnsi="Verdana" w:cs="Arial"/>
          <w:color w:val="000000" w:themeColor="text1"/>
          <w:sz w:val="16"/>
          <w:szCs w:val="16"/>
        </w:rPr>
        <w:t xml:space="preserve"> El artículo 6 de la Ley 80 de 1993 expresa: “Pueden celebrar contratos con las entidades estatales las personas consideradas legalmente capaces en las disposiciones vigentes. También podrán celebrar contratos con las entidades estatales, los consorcios y uniones temporales.</w:t>
      </w:r>
    </w:p>
    <w:p w14:paraId="5227320E" w14:textId="77777777" w:rsidR="006779CF" w:rsidRPr="008A1DE1" w:rsidRDefault="006779CF" w:rsidP="006779CF">
      <w:pPr>
        <w:pStyle w:val="Textonotapie"/>
        <w:ind w:firstLine="709"/>
        <w:jc w:val="both"/>
        <w:rPr>
          <w:rFonts w:ascii="Verdana" w:hAnsi="Verdana" w:cs="Arial"/>
          <w:color w:val="000000" w:themeColor="text1"/>
          <w:sz w:val="16"/>
          <w:szCs w:val="16"/>
        </w:rPr>
      </w:pPr>
      <w:r w:rsidRPr="008A1DE1">
        <w:rPr>
          <w:rFonts w:ascii="Verdana" w:hAnsi="Verdana" w:cs="Arial"/>
          <w:color w:val="000000" w:themeColor="text1"/>
          <w:sz w:val="16"/>
          <w:szCs w:val="16"/>
        </w:rPr>
        <w:t>Las personas jurídicas nacionales y extranjeras deberán acreditar que su duración no será inferior a la del plazo del contrato y un año más”.</w:t>
      </w:r>
    </w:p>
    <w:p w14:paraId="44B81E80" w14:textId="77777777" w:rsidR="006779CF" w:rsidRPr="008A1DE1" w:rsidRDefault="006779CF" w:rsidP="006779CF">
      <w:pPr>
        <w:pStyle w:val="Textonotapie"/>
        <w:ind w:firstLine="709"/>
        <w:jc w:val="both"/>
        <w:rPr>
          <w:rFonts w:ascii="Verdana" w:hAnsi="Verdana" w:cs="Arial"/>
          <w:color w:val="000000" w:themeColor="text1"/>
          <w:sz w:val="16"/>
          <w:szCs w:val="16"/>
        </w:rPr>
      </w:pPr>
    </w:p>
  </w:footnote>
  <w:footnote w:id="2">
    <w:p w14:paraId="6676DF0D" w14:textId="77777777" w:rsidR="006779CF" w:rsidRPr="008A1DE1" w:rsidRDefault="006779CF" w:rsidP="006779CF">
      <w:pPr>
        <w:pStyle w:val="Textonotapie"/>
        <w:ind w:firstLine="709"/>
        <w:jc w:val="both"/>
        <w:rPr>
          <w:rFonts w:ascii="Verdana" w:hAnsi="Verdana" w:cs="Arial"/>
          <w:color w:val="000000" w:themeColor="text1"/>
          <w:sz w:val="16"/>
          <w:szCs w:val="16"/>
        </w:rPr>
      </w:pPr>
      <w:r w:rsidRPr="008A1DE1">
        <w:rPr>
          <w:rStyle w:val="Refdenotaalpie"/>
          <w:rFonts w:ascii="Verdana" w:hAnsi="Verdana" w:cs="Arial"/>
          <w:color w:val="000000" w:themeColor="text1"/>
          <w:sz w:val="16"/>
          <w:szCs w:val="16"/>
        </w:rPr>
        <w:footnoteRef/>
      </w:r>
      <w:r w:rsidRPr="008A1DE1">
        <w:rPr>
          <w:rFonts w:ascii="Verdana" w:hAnsi="Verdana" w:cs="Arial"/>
          <w:color w:val="000000" w:themeColor="text1"/>
          <w:sz w:val="16"/>
          <w:szCs w:val="16"/>
        </w:rPr>
        <w:t xml:space="preserve"> El artículo 1502 del Código Civil prevé la capacidad legal como requisito para obligarse contractualmente, en los siguientes términos: “Para que una persona se obligue a otra por un acto o declaración de voluntad, es necesario:</w:t>
      </w:r>
    </w:p>
    <w:p w14:paraId="7957EBA8" w14:textId="77777777" w:rsidR="006779CF" w:rsidRPr="008A1DE1" w:rsidRDefault="006779CF" w:rsidP="006779CF">
      <w:pPr>
        <w:pStyle w:val="Textonotapie"/>
        <w:ind w:firstLine="709"/>
        <w:jc w:val="both"/>
        <w:rPr>
          <w:rFonts w:ascii="Verdana" w:hAnsi="Verdana" w:cs="Arial"/>
          <w:color w:val="000000" w:themeColor="text1"/>
          <w:sz w:val="16"/>
          <w:szCs w:val="16"/>
        </w:rPr>
      </w:pPr>
      <w:r w:rsidRPr="008A1DE1">
        <w:rPr>
          <w:rFonts w:ascii="Verdana" w:hAnsi="Verdana" w:cs="Arial"/>
          <w:color w:val="000000" w:themeColor="text1"/>
          <w:sz w:val="16"/>
          <w:szCs w:val="16"/>
        </w:rPr>
        <w:t>1o.) que sea legalmente capaz.</w:t>
      </w:r>
    </w:p>
    <w:p w14:paraId="3CF8887D" w14:textId="77777777" w:rsidR="006779CF" w:rsidRPr="008A1DE1" w:rsidRDefault="006779CF" w:rsidP="006779CF">
      <w:pPr>
        <w:pStyle w:val="Textonotapie"/>
        <w:ind w:firstLine="709"/>
        <w:jc w:val="both"/>
        <w:rPr>
          <w:rFonts w:ascii="Verdana" w:hAnsi="Verdana" w:cs="Arial"/>
          <w:color w:val="000000" w:themeColor="text1"/>
          <w:sz w:val="16"/>
          <w:szCs w:val="16"/>
        </w:rPr>
      </w:pPr>
      <w:r w:rsidRPr="008A1DE1">
        <w:rPr>
          <w:rFonts w:ascii="Verdana" w:hAnsi="Verdana" w:cs="Arial"/>
          <w:color w:val="000000" w:themeColor="text1"/>
          <w:sz w:val="16"/>
          <w:szCs w:val="16"/>
        </w:rPr>
        <w:t>[…]</w:t>
      </w:r>
    </w:p>
    <w:p w14:paraId="2598F203" w14:textId="77777777" w:rsidR="006779CF" w:rsidRPr="00311106" w:rsidRDefault="006779CF" w:rsidP="006779CF">
      <w:pPr>
        <w:pStyle w:val="Textonotapie"/>
        <w:ind w:firstLine="709"/>
        <w:jc w:val="both"/>
        <w:rPr>
          <w:rFonts w:ascii="Verdana" w:hAnsi="Verdana" w:cs="Arial"/>
          <w:color w:val="000000" w:themeColor="text1"/>
          <w:sz w:val="16"/>
          <w:szCs w:val="16"/>
        </w:rPr>
      </w:pPr>
      <w:r w:rsidRPr="008A1DE1">
        <w:rPr>
          <w:rFonts w:ascii="Verdana" w:hAnsi="Verdana" w:cs="Arial"/>
          <w:color w:val="000000" w:themeColor="text1"/>
          <w:sz w:val="16"/>
          <w:szCs w:val="16"/>
        </w:rPr>
        <w:t>La capacidad legal de una persona consiste en poderse obligar por sí misma, sin el ministerio o la autorización de otra”.</w:t>
      </w:r>
    </w:p>
  </w:footnote>
  <w:footnote w:id="3">
    <w:p w14:paraId="77892551" w14:textId="77777777" w:rsidR="006779CF" w:rsidRPr="008A1DE1" w:rsidRDefault="006779CF" w:rsidP="006779CF">
      <w:pPr>
        <w:pStyle w:val="Textonotapie"/>
        <w:jc w:val="both"/>
        <w:rPr>
          <w:rFonts w:ascii="Verdana" w:hAnsi="Verdana" w:cs="Arial"/>
          <w:color w:val="000000" w:themeColor="text1"/>
          <w:sz w:val="16"/>
          <w:szCs w:val="16"/>
          <w:lang w:val="es-ES"/>
        </w:rPr>
      </w:pPr>
    </w:p>
  </w:footnote>
  <w:footnote w:id="4">
    <w:p w14:paraId="63699886" w14:textId="77777777" w:rsidR="006779CF" w:rsidRDefault="006779CF" w:rsidP="006779CF">
      <w:pPr>
        <w:spacing w:after="0" w:line="240" w:lineRule="auto"/>
        <w:ind w:firstLine="709"/>
        <w:jc w:val="both"/>
        <w:rPr>
          <w:rFonts w:ascii="Verdana" w:hAnsi="Verdana" w:cs="Arial"/>
          <w:color w:val="000000" w:themeColor="text1"/>
          <w:sz w:val="16"/>
          <w:szCs w:val="16"/>
          <w:lang w:val="es-ES"/>
        </w:rPr>
      </w:pPr>
      <w:r w:rsidRPr="008A1DE1">
        <w:rPr>
          <w:rStyle w:val="Refdenotaalpie"/>
          <w:rFonts w:ascii="Verdana" w:hAnsi="Verdana" w:cs="Arial"/>
          <w:color w:val="000000" w:themeColor="text1"/>
          <w:sz w:val="16"/>
          <w:szCs w:val="16"/>
        </w:rPr>
        <w:footnoteRef/>
      </w:r>
      <w:r w:rsidRPr="008A1DE1">
        <w:rPr>
          <w:rFonts w:ascii="Verdana" w:hAnsi="Verdana" w:cs="Arial"/>
          <w:color w:val="000000" w:themeColor="text1"/>
          <w:sz w:val="16"/>
          <w:szCs w:val="16"/>
        </w:rPr>
        <w:t xml:space="preserve"> </w:t>
      </w:r>
      <w:r w:rsidRPr="008A1DE1">
        <w:rPr>
          <w:rFonts w:ascii="Verdana" w:hAnsi="Verdana" w:cs="Arial"/>
          <w:color w:val="000000" w:themeColor="text1"/>
          <w:sz w:val="16"/>
          <w:szCs w:val="16"/>
          <w:lang w:val="es-ES"/>
        </w:rPr>
        <w:t>Son inhabilidades que responden a esta circunstancia, entre otras, las siguientes: “Quienes participaron en las licitaciones o celebraron los contratos de que trata el literal anterior estando inhabilitados” (art. 8, 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p w14:paraId="650D2F82" w14:textId="77777777" w:rsidR="006779CF" w:rsidRPr="008A1DE1" w:rsidRDefault="006779CF" w:rsidP="006779CF">
      <w:pPr>
        <w:spacing w:after="0" w:line="240" w:lineRule="auto"/>
        <w:ind w:firstLine="709"/>
        <w:jc w:val="both"/>
        <w:rPr>
          <w:rFonts w:ascii="Verdana" w:hAnsi="Verdana" w:cs="Arial"/>
          <w:color w:val="000000" w:themeColor="text1"/>
          <w:sz w:val="16"/>
          <w:szCs w:val="16"/>
          <w:lang w:val="es-ES"/>
        </w:rPr>
      </w:pPr>
    </w:p>
  </w:footnote>
  <w:footnote w:id="5">
    <w:p w14:paraId="45E47E78" w14:textId="77777777" w:rsidR="006779CF" w:rsidRPr="008A1DE1" w:rsidRDefault="006779CF" w:rsidP="006779CF">
      <w:pPr>
        <w:pStyle w:val="Textonotapie"/>
        <w:ind w:firstLine="709"/>
        <w:jc w:val="both"/>
        <w:rPr>
          <w:rFonts w:ascii="Verdana" w:hAnsi="Verdana" w:cs="Arial"/>
          <w:color w:val="000000" w:themeColor="text1"/>
          <w:sz w:val="16"/>
          <w:szCs w:val="16"/>
          <w:lang w:val="es-ES"/>
        </w:rPr>
      </w:pPr>
      <w:r w:rsidRPr="008A1DE1">
        <w:rPr>
          <w:rStyle w:val="Refdenotaalpie"/>
          <w:rFonts w:ascii="Verdana" w:hAnsi="Verdana" w:cs="Arial"/>
          <w:color w:val="000000" w:themeColor="text1"/>
          <w:sz w:val="16"/>
          <w:szCs w:val="16"/>
        </w:rPr>
        <w:footnoteRef/>
      </w:r>
      <w:r w:rsidRPr="008A1DE1">
        <w:rPr>
          <w:rFonts w:ascii="Verdana" w:hAnsi="Verdana" w:cs="Arial"/>
          <w:color w:val="000000" w:themeColor="text1"/>
          <w:sz w:val="16"/>
          <w:szCs w:val="16"/>
        </w:rPr>
        <w:t xml:space="preserve"> </w:t>
      </w:r>
      <w:r w:rsidRPr="008A1DE1">
        <w:rPr>
          <w:rFonts w:ascii="Verdana" w:hAnsi="Verdana" w:cs="Arial"/>
          <w:color w:val="000000" w:themeColor="text1"/>
          <w:sz w:val="16"/>
          <w:szCs w:val="16"/>
          <w:lang w:val="es-ES"/>
        </w:rPr>
        <w:t>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p w14:paraId="69D49F2D" w14:textId="77777777" w:rsidR="006779CF" w:rsidRPr="008A1DE1" w:rsidRDefault="006779CF" w:rsidP="006779CF">
      <w:pPr>
        <w:pStyle w:val="Textonotapie"/>
        <w:ind w:firstLine="709"/>
        <w:jc w:val="both"/>
        <w:rPr>
          <w:rFonts w:ascii="Verdana" w:hAnsi="Verdana" w:cs="Arial"/>
          <w:color w:val="000000" w:themeColor="text1"/>
          <w:sz w:val="16"/>
          <w:szCs w:val="16"/>
          <w:lang w:val="es-CO"/>
        </w:rPr>
      </w:pPr>
    </w:p>
  </w:footnote>
  <w:footnote w:id="6">
    <w:p w14:paraId="1CEB7C88" w14:textId="77777777" w:rsidR="006779CF" w:rsidRPr="008A1DE1" w:rsidRDefault="006779CF" w:rsidP="006779CF">
      <w:pPr>
        <w:pStyle w:val="Textonotapie"/>
        <w:ind w:firstLine="709"/>
        <w:jc w:val="both"/>
        <w:rPr>
          <w:rFonts w:ascii="Verdana" w:hAnsi="Verdana" w:cs="Arial"/>
          <w:color w:val="000000" w:themeColor="text1"/>
          <w:sz w:val="16"/>
          <w:szCs w:val="16"/>
          <w:lang w:val="es-ES"/>
        </w:rPr>
      </w:pPr>
      <w:r w:rsidRPr="008A1DE1">
        <w:rPr>
          <w:rStyle w:val="Refdenotaalpie"/>
          <w:rFonts w:ascii="Verdana" w:hAnsi="Verdana" w:cs="Arial"/>
          <w:color w:val="000000" w:themeColor="text1"/>
          <w:sz w:val="16"/>
          <w:szCs w:val="16"/>
        </w:rPr>
        <w:footnoteRef/>
      </w:r>
      <w:r w:rsidRPr="008A1DE1">
        <w:rPr>
          <w:rFonts w:ascii="Verdana" w:hAnsi="Verdana" w:cs="Arial"/>
          <w:color w:val="000000" w:themeColor="text1"/>
          <w:sz w:val="16"/>
          <w:szCs w:val="16"/>
        </w:rPr>
        <w:t xml:space="preserve"> </w:t>
      </w:r>
      <w:r w:rsidRPr="008A1DE1">
        <w:rPr>
          <w:rFonts w:ascii="Verdana" w:hAnsi="Verdana" w:cs="Arial"/>
          <w:color w:val="000000" w:themeColor="text1"/>
          <w:sz w:val="16"/>
          <w:szCs w:val="16"/>
          <w:lang w:val="es-ES"/>
        </w:rPr>
        <w:t xml:space="preserve">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num. 1º, lit. k), Ley 80/93, modificado por el art. 33, Ley 1778/16); “Quienes fueron miembros de la junta o consejo directivo o servidores públicos de la entidad contratante” (art. 8, num. 2º, lit.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 [a pesar de que la norma la califica como una incompatibilidad, en realidad se trata de una inhabilidad, ya que en dicha causal no existe concurrencia de calidades en un sujeto]. </w:t>
      </w:r>
    </w:p>
    <w:p w14:paraId="11153890" w14:textId="77777777" w:rsidR="006779CF" w:rsidRPr="008A1DE1" w:rsidRDefault="006779CF" w:rsidP="006779CF">
      <w:pPr>
        <w:pStyle w:val="Textonotapie"/>
        <w:ind w:firstLine="709"/>
        <w:jc w:val="both"/>
        <w:rPr>
          <w:rFonts w:ascii="Verdana" w:hAnsi="Verdana" w:cs="Arial"/>
          <w:color w:val="000000" w:themeColor="text1"/>
          <w:sz w:val="16"/>
          <w:szCs w:val="16"/>
          <w:lang w:val="es-CO"/>
        </w:rPr>
      </w:pPr>
      <w:r w:rsidRPr="008A1DE1">
        <w:rPr>
          <w:rFonts w:ascii="Verdana" w:hAnsi="Verdana" w:cs="Arial"/>
          <w:color w:val="000000" w:themeColor="text1"/>
          <w:sz w:val="16"/>
          <w:szCs w:val="16"/>
          <w:lang w:val="es-ES"/>
        </w:rPr>
        <w:t xml:space="preserve">  </w:t>
      </w:r>
    </w:p>
  </w:footnote>
  <w:footnote w:id="7">
    <w:p w14:paraId="7627A6E7" w14:textId="77777777" w:rsidR="006779CF" w:rsidRPr="008A1DE1" w:rsidRDefault="006779CF" w:rsidP="006779CF">
      <w:pPr>
        <w:spacing w:after="0" w:line="240" w:lineRule="auto"/>
        <w:ind w:firstLine="709"/>
        <w:jc w:val="both"/>
        <w:rPr>
          <w:rFonts w:ascii="Verdana" w:hAnsi="Verdana" w:cs="Arial"/>
          <w:color w:val="000000" w:themeColor="text1"/>
          <w:sz w:val="16"/>
          <w:szCs w:val="16"/>
          <w:lang w:val="es-ES"/>
        </w:rPr>
      </w:pPr>
      <w:r w:rsidRPr="008A1DE1">
        <w:rPr>
          <w:rStyle w:val="Refdenotaalpie"/>
          <w:rFonts w:ascii="Verdana" w:hAnsi="Verdana" w:cs="Arial"/>
          <w:color w:val="000000" w:themeColor="text1"/>
          <w:sz w:val="16"/>
          <w:szCs w:val="16"/>
        </w:rPr>
        <w:footnoteRef/>
      </w:r>
      <w:r w:rsidRPr="008A1DE1">
        <w:rPr>
          <w:rFonts w:ascii="Verdana" w:hAnsi="Verdana" w:cs="Arial"/>
          <w:color w:val="000000" w:themeColor="text1"/>
          <w:sz w:val="16"/>
          <w:szCs w:val="16"/>
        </w:rPr>
        <w:t xml:space="preserve"> </w:t>
      </w:r>
      <w:r w:rsidRPr="008A1DE1">
        <w:rPr>
          <w:rFonts w:ascii="Verdana" w:hAnsi="Verdana" w:cs="Arial"/>
          <w:color w:val="000000" w:themeColor="text1"/>
          <w:sz w:val="16"/>
          <w:szCs w:val="16"/>
          <w:lang w:val="es-ES"/>
        </w:rPr>
        <w:t xml:space="preserve">Como las señaladas a continuación: “Los servidores públicos” (art. 8, num. 1º, lit.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 “Los miembros de las juntas o consejos directivos. Esta incompatibilidad sólo se predica respecto de la entidad a la cual prestan sus servicios y de las del sector administrativo al que la misma esté adscrita o vinculada” (art. 8, num. 2º, lit. e), Ley 80/93); “Quien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p w14:paraId="6A3AEDC4" w14:textId="77777777" w:rsidR="006779CF" w:rsidRPr="008A1DE1" w:rsidRDefault="006779CF" w:rsidP="006779CF">
      <w:pPr>
        <w:spacing w:after="0" w:line="240" w:lineRule="auto"/>
        <w:ind w:firstLine="709"/>
        <w:jc w:val="both"/>
        <w:rPr>
          <w:rFonts w:ascii="Verdana" w:hAnsi="Verdana" w:cs="Arial"/>
          <w:color w:val="000000" w:themeColor="text1"/>
          <w:sz w:val="16"/>
          <w:szCs w:val="16"/>
          <w:lang w:val="es-ES"/>
        </w:rPr>
      </w:pPr>
    </w:p>
  </w:footnote>
  <w:footnote w:id="8">
    <w:p w14:paraId="71C07029" w14:textId="77777777" w:rsidR="006779CF" w:rsidRPr="008A1DE1" w:rsidRDefault="006779CF" w:rsidP="006779CF">
      <w:pPr>
        <w:pStyle w:val="Textonotapie"/>
        <w:ind w:firstLine="709"/>
        <w:jc w:val="both"/>
        <w:rPr>
          <w:rFonts w:ascii="Verdana" w:hAnsi="Verdana" w:cs="Arial"/>
          <w:color w:val="000000" w:themeColor="text1"/>
          <w:sz w:val="16"/>
          <w:szCs w:val="16"/>
          <w:lang w:val="es-ES"/>
        </w:rPr>
      </w:pPr>
      <w:r w:rsidRPr="008A1DE1">
        <w:rPr>
          <w:rStyle w:val="Refdenotaalpie"/>
          <w:rFonts w:ascii="Verdana" w:hAnsi="Verdana" w:cs="Arial"/>
          <w:color w:val="000000" w:themeColor="text1"/>
          <w:sz w:val="16"/>
          <w:szCs w:val="16"/>
        </w:rPr>
        <w:footnoteRef/>
      </w:r>
      <w:r w:rsidRPr="008A1DE1">
        <w:rPr>
          <w:rFonts w:ascii="Verdana" w:hAnsi="Verdana" w:cs="Arial"/>
          <w:color w:val="000000" w:themeColor="text1"/>
          <w:sz w:val="16"/>
          <w:szCs w:val="16"/>
        </w:rPr>
        <w:t xml:space="preserve"> </w:t>
      </w:r>
      <w:r w:rsidRPr="008A1DE1">
        <w:rPr>
          <w:rFonts w:ascii="Verdana" w:hAnsi="Verdana" w:cs="Arial"/>
          <w:color w:val="000000" w:themeColor="text1"/>
          <w:sz w:val="16"/>
          <w:szCs w:val="16"/>
          <w:lang w:val="es-ES"/>
        </w:rPr>
        <w:t>BARRETO ROZO, Antonio Alejandro. Inhabilidades de la contratación estatal, efectos y neopunitivismo en el Estatuto Anticorrupción. En: ALVIAR GARCÍA, Helena (Coordinadora). Nuevas tendencias del Derecho administrativo. Bogotá: Universidad de los Andes; Temis, 2016. pp. 63-99.</w:t>
      </w:r>
    </w:p>
  </w:footnote>
  <w:footnote w:id="9">
    <w:p w14:paraId="7E9BCDAD" w14:textId="77777777" w:rsidR="006779CF" w:rsidRPr="008A1DE1" w:rsidRDefault="006779CF" w:rsidP="006779CF">
      <w:pPr>
        <w:pStyle w:val="Textonotapie"/>
        <w:ind w:firstLine="709"/>
        <w:jc w:val="both"/>
        <w:rPr>
          <w:rFonts w:ascii="Verdana" w:hAnsi="Verdana" w:cs="Arial"/>
          <w:color w:val="000000" w:themeColor="text1"/>
          <w:sz w:val="16"/>
          <w:szCs w:val="16"/>
          <w:lang w:val="es-ES"/>
        </w:rPr>
      </w:pPr>
      <w:r w:rsidRPr="008A1DE1">
        <w:rPr>
          <w:rStyle w:val="Refdenotaalpie"/>
          <w:rFonts w:ascii="Verdana" w:hAnsi="Verdana" w:cs="Arial"/>
          <w:color w:val="000000" w:themeColor="text1"/>
          <w:sz w:val="16"/>
          <w:szCs w:val="16"/>
        </w:rPr>
        <w:footnoteRef/>
      </w:r>
      <w:r w:rsidRPr="008A1DE1">
        <w:rPr>
          <w:rFonts w:ascii="Verdana" w:hAnsi="Verdana" w:cs="Arial"/>
          <w:color w:val="000000" w:themeColor="text1"/>
          <w:sz w:val="16"/>
          <w:szCs w:val="16"/>
        </w:rPr>
        <w:t xml:space="preserve"> </w:t>
      </w:r>
      <w:r w:rsidRPr="008A1DE1">
        <w:rPr>
          <w:rFonts w:ascii="Verdana" w:hAnsi="Verdana" w:cs="Arial"/>
          <w:color w:val="000000" w:themeColor="text1"/>
          <w:sz w:val="16"/>
          <w:szCs w:val="16"/>
          <w:lang w:val="es-ES"/>
        </w:rPr>
        <w:t>Ibíd., p. 69.</w:t>
      </w:r>
    </w:p>
    <w:p w14:paraId="3A2E5E8F" w14:textId="77777777" w:rsidR="006779CF" w:rsidRPr="008A1DE1" w:rsidRDefault="006779CF" w:rsidP="006779CF">
      <w:pPr>
        <w:pStyle w:val="Textonotapie"/>
        <w:ind w:firstLine="709"/>
        <w:jc w:val="both"/>
        <w:rPr>
          <w:rFonts w:ascii="Verdana" w:hAnsi="Verdana" w:cs="Arial"/>
          <w:color w:val="000000" w:themeColor="text1"/>
          <w:sz w:val="16"/>
          <w:szCs w:val="16"/>
          <w:lang w:val="es-ES"/>
        </w:rPr>
      </w:pPr>
    </w:p>
  </w:footnote>
  <w:footnote w:id="10">
    <w:p w14:paraId="1FEE5F67" w14:textId="77777777" w:rsidR="006779CF" w:rsidRPr="008A1DE1" w:rsidRDefault="006779CF" w:rsidP="006779CF">
      <w:pPr>
        <w:pStyle w:val="Textonotapie"/>
        <w:ind w:firstLine="709"/>
        <w:jc w:val="both"/>
        <w:rPr>
          <w:rFonts w:ascii="Verdana" w:hAnsi="Verdana" w:cs="Arial"/>
          <w:color w:val="000000" w:themeColor="text1"/>
          <w:sz w:val="16"/>
          <w:szCs w:val="16"/>
          <w:lang w:val="es-ES"/>
        </w:rPr>
      </w:pPr>
      <w:r w:rsidRPr="008A1DE1">
        <w:rPr>
          <w:rStyle w:val="Refdenotaalpie"/>
          <w:rFonts w:ascii="Verdana" w:hAnsi="Verdana" w:cs="Arial"/>
          <w:color w:val="000000" w:themeColor="text1"/>
          <w:sz w:val="16"/>
          <w:szCs w:val="16"/>
        </w:rPr>
        <w:footnoteRef/>
      </w:r>
      <w:r w:rsidRPr="008A1DE1">
        <w:rPr>
          <w:rFonts w:ascii="Verdana" w:hAnsi="Verdana" w:cs="Arial"/>
          <w:color w:val="000000" w:themeColor="text1"/>
          <w:sz w:val="16"/>
          <w:szCs w:val="16"/>
        </w:rPr>
        <w:t xml:space="preserve"> </w:t>
      </w:r>
      <w:r w:rsidRPr="008A1DE1">
        <w:rPr>
          <w:rFonts w:ascii="Verdana" w:hAnsi="Verdana" w:cs="Arial"/>
          <w:color w:val="000000" w:themeColor="text1"/>
          <w:sz w:val="16"/>
          <w:szCs w:val="16"/>
          <w:lang w:val="es-ES"/>
        </w:rPr>
        <w:t xml:space="preserve">Corte Constitucional. Sentencia T-1039 de 2006. Magistrado Ponente: Humberto Sierra Porto. La Corte ha mantenido este criterio en las sentencias: C-903 de 2008. Magistrado Ponente: Jaime Araujo Rentería; C-101 de 2018. Magistrada Ponente Gloria Stella Ortiz Delgado; entre otras. </w:t>
      </w:r>
    </w:p>
    <w:p w14:paraId="16CEC8E3" w14:textId="77777777" w:rsidR="006779CF" w:rsidRPr="008A1DE1" w:rsidRDefault="006779CF" w:rsidP="006779CF">
      <w:pPr>
        <w:pStyle w:val="Textonotapie"/>
        <w:ind w:firstLine="709"/>
        <w:jc w:val="both"/>
        <w:rPr>
          <w:rFonts w:ascii="Verdana" w:hAnsi="Verdana" w:cs="Arial"/>
          <w:color w:val="000000" w:themeColor="text1"/>
          <w:sz w:val="16"/>
          <w:szCs w:val="16"/>
          <w:lang w:val="es-ES"/>
        </w:rPr>
      </w:pPr>
    </w:p>
  </w:footnote>
  <w:footnote w:id="11">
    <w:p w14:paraId="15FD7779" w14:textId="77777777" w:rsidR="006779CF" w:rsidRPr="008A1DE1" w:rsidRDefault="006779CF" w:rsidP="006779CF">
      <w:pPr>
        <w:pStyle w:val="Textonotapie"/>
        <w:ind w:firstLine="709"/>
        <w:jc w:val="both"/>
        <w:rPr>
          <w:rFonts w:ascii="Verdana" w:hAnsi="Verdana" w:cs="Arial"/>
          <w:color w:val="000000" w:themeColor="text1"/>
          <w:sz w:val="16"/>
          <w:szCs w:val="16"/>
          <w:lang w:val="es-ES"/>
        </w:rPr>
      </w:pPr>
      <w:r w:rsidRPr="008A1DE1">
        <w:rPr>
          <w:rStyle w:val="Refdenotaalpie"/>
          <w:rFonts w:ascii="Verdana" w:hAnsi="Verdana" w:cs="Arial"/>
          <w:color w:val="000000" w:themeColor="text1"/>
          <w:sz w:val="16"/>
          <w:szCs w:val="16"/>
        </w:rPr>
        <w:footnoteRef/>
      </w:r>
      <w:r w:rsidRPr="008A1DE1">
        <w:rPr>
          <w:rFonts w:ascii="Verdana" w:hAnsi="Verdana" w:cs="Arial"/>
          <w:color w:val="000000" w:themeColor="text1"/>
          <w:sz w:val="16"/>
          <w:szCs w:val="16"/>
        </w:rPr>
        <w:t xml:space="preserve"> </w:t>
      </w:r>
      <w:r w:rsidRPr="008A1DE1">
        <w:rPr>
          <w:rFonts w:ascii="Verdana" w:hAnsi="Verdana" w:cs="Arial"/>
          <w:color w:val="000000" w:themeColor="text1"/>
          <w:sz w:val="16"/>
          <w:szCs w:val="16"/>
          <w:lang w:val="es-ES"/>
        </w:rPr>
        <w:t>Consejo de Estado. Sala de Consulta y Servicio Civil. Concepto del 30 de abril de 2015. Expediente: 2251. Consejero Ponente: Álvaro Namén Vargas.</w:t>
      </w:r>
    </w:p>
    <w:p w14:paraId="37DD099D" w14:textId="77777777" w:rsidR="006779CF" w:rsidRPr="008A1DE1" w:rsidRDefault="006779CF" w:rsidP="006779CF">
      <w:pPr>
        <w:pStyle w:val="Textonotapie"/>
        <w:ind w:firstLine="709"/>
        <w:jc w:val="both"/>
        <w:rPr>
          <w:rFonts w:ascii="Verdana" w:hAnsi="Verdana" w:cs="Arial"/>
          <w:color w:val="000000" w:themeColor="text1"/>
          <w:sz w:val="16"/>
          <w:szCs w:val="16"/>
          <w:lang w:val="es-ES"/>
        </w:rPr>
      </w:pPr>
    </w:p>
  </w:footnote>
  <w:footnote w:id="12">
    <w:p w14:paraId="35C6AFC4" w14:textId="77777777" w:rsidR="006779CF" w:rsidRPr="008A1DE1" w:rsidRDefault="006779CF" w:rsidP="006779CF">
      <w:pPr>
        <w:pStyle w:val="Textonotapie"/>
        <w:ind w:firstLine="709"/>
        <w:jc w:val="both"/>
        <w:rPr>
          <w:rFonts w:ascii="Verdana" w:hAnsi="Verdana" w:cs="Arial"/>
          <w:color w:val="000000" w:themeColor="text1"/>
          <w:sz w:val="16"/>
          <w:szCs w:val="16"/>
        </w:rPr>
      </w:pPr>
      <w:r w:rsidRPr="008A1DE1">
        <w:rPr>
          <w:rStyle w:val="Refdenotaalpie"/>
          <w:rFonts w:ascii="Verdana" w:hAnsi="Verdana" w:cs="Arial"/>
          <w:color w:val="000000" w:themeColor="text1"/>
          <w:sz w:val="16"/>
          <w:szCs w:val="16"/>
        </w:rPr>
        <w:footnoteRef/>
      </w:r>
      <w:r w:rsidRPr="008A1DE1">
        <w:rPr>
          <w:rFonts w:ascii="Verdana" w:hAnsi="Verdana" w:cs="Arial"/>
          <w:color w:val="000000" w:themeColor="text1"/>
          <w:sz w:val="16"/>
          <w:szCs w:val="16"/>
        </w:rPr>
        <w:t xml:space="preserve"> Consejo de Estado. </w:t>
      </w:r>
      <w:r>
        <w:rPr>
          <w:rFonts w:ascii="Verdana" w:hAnsi="Verdana" w:cs="Arial"/>
          <w:color w:val="000000" w:themeColor="text1"/>
          <w:sz w:val="16"/>
          <w:szCs w:val="16"/>
        </w:rPr>
        <w:t xml:space="preserve">Sala de lo Contencioso Administrativo. </w:t>
      </w:r>
      <w:r w:rsidRPr="008A1DE1">
        <w:rPr>
          <w:rFonts w:ascii="Verdana" w:hAnsi="Verdana" w:cs="Arial"/>
          <w:color w:val="000000" w:themeColor="text1"/>
          <w:sz w:val="16"/>
          <w:szCs w:val="16"/>
        </w:rPr>
        <w:t>Sección Tercera. Subsección A. Sentencia del 24 de junio de 2015. Exp. 40.635. Consejero Ponente: Hernán Andrade Rincón (E).</w:t>
      </w:r>
    </w:p>
    <w:p w14:paraId="2251C2FA" w14:textId="77777777" w:rsidR="006779CF" w:rsidRPr="008A1DE1" w:rsidRDefault="006779CF" w:rsidP="006779CF">
      <w:pPr>
        <w:pStyle w:val="Textonotapie"/>
        <w:ind w:firstLine="709"/>
        <w:jc w:val="both"/>
        <w:rPr>
          <w:rFonts w:ascii="Verdana" w:hAnsi="Verdana" w:cs="Arial"/>
          <w:color w:val="000000" w:themeColor="text1"/>
          <w:sz w:val="16"/>
          <w:szCs w:val="16"/>
          <w:lang w:val="es-ES"/>
        </w:rPr>
      </w:pPr>
    </w:p>
  </w:footnote>
  <w:footnote w:id="13">
    <w:p w14:paraId="35B1C351" w14:textId="77777777" w:rsidR="006779CF" w:rsidRPr="008A1DE1" w:rsidRDefault="006779CF" w:rsidP="006779CF">
      <w:pPr>
        <w:pStyle w:val="Textonotapie"/>
        <w:ind w:firstLine="709"/>
        <w:jc w:val="both"/>
        <w:rPr>
          <w:rFonts w:ascii="Verdana" w:hAnsi="Verdana" w:cs="Arial"/>
          <w:color w:val="000000" w:themeColor="text1"/>
          <w:sz w:val="16"/>
          <w:szCs w:val="16"/>
        </w:rPr>
      </w:pPr>
      <w:r w:rsidRPr="008A1DE1">
        <w:rPr>
          <w:rStyle w:val="Refdenotaalpie"/>
          <w:rFonts w:ascii="Verdana" w:hAnsi="Verdana" w:cs="Arial"/>
          <w:color w:val="000000" w:themeColor="text1"/>
          <w:sz w:val="16"/>
          <w:szCs w:val="16"/>
        </w:rPr>
        <w:footnoteRef/>
      </w:r>
      <w:r w:rsidRPr="008A1DE1">
        <w:rPr>
          <w:rFonts w:ascii="Verdana" w:hAnsi="Verdana" w:cs="Arial"/>
          <w:color w:val="000000" w:themeColor="text1"/>
          <w:sz w:val="16"/>
          <w:szCs w:val="16"/>
        </w:rPr>
        <w:t xml:space="preserve"> Consejo de Estado.</w:t>
      </w:r>
      <w:r>
        <w:rPr>
          <w:rFonts w:ascii="Verdana" w:hAnsi="Verdana" w:cs="Arial"/>
          <w:color w:val="000000" w:themeColor="text1"/>
          <w:sz w:val="16"/>
          <w:szCs w:val="16"/>
        </w:rPr>
        <w:t xml:space="preserve"> Sala de lo Contencioso Administrativo.</w:t>
      </w:r>
      <w:r w:rsidRPr="008A1DE1">
        <w:rPr>
          <w:rFonts w:ascii="Verdana" w:hAnsi="Verdana" w:cs="Arial"/>
          <w:color w:val="000000" w:themeColor="text1"/>
          <w:sz w:val="16"/>
          <w:szCs w:val="16"/>
        </w:rPr>
        <w:t xml:space="preserve"> Sección Tercera. Subsección C. Sentencia del 22 de mayo de 2013. Exp. 24.057. Consejera Ponente: Olga Melida Valle De De La Hoz.</w:t>
      </w:r>
    </w:p>
    <w:p w14:paraId="7F9ED3BD" w14:textId="77777777" w:rsidR="006779CF" w:rsidRPr="008A1DE1" w:rsidRDefault="006779CF" w:rsidP="006779CF">
      <w:pPr>
        <w:pStyle w:val="Textonotapie"/>
        <w:ind w:firstLine="709"/>
        <w:jc w:val="both"/>
        <w:rPr>
          <w:rFonts w:ascii="Verdana" w:hAnsi="Verdana" w:cs="Arial"/>
          <w:color w:val="000000" w:themeColor="text1"/>
          <w:sz w:val="16"/>
          <w:szCs w:val="16"/>
          <w:lang w:val="es-ES"/>
        </w:rPr>
      </w:pPr>
    </w:p>
  </w:footnote>
  <w:footnote w:id="14">
    <w:p w14:paraId="0B2DE749" w14:textId="77777777" w:rsidR="006779CF" w:rsidRDefault="006779CF" w:rsidP="006779CF">
      <w:pPr>
        <w:pStyle w:val="Textonotapie"/>
        <w:ind w:firstLine="709"/>
        <w:jc w:val="both"/>
        <w:rPr>
          <w:rFonts w:ascii="Verdana" w:hAnsi="Verdana" w:cs="Arial"/>
          <w:color w:val="000000"/>
          <w:sz w:val="16"/>
          <w:szCs w:val="16"/>
          <w:lang w:val="es-CO"/>
        </w:rPr>
      </w:pPr>
      <w:r>
        <w:rPr>
          <w:rStyle w:val="Refdenotaalpie"/>
        </w:rPr>
        <w:footnoteRef/>
      </w:r>
      <w:r>
        <w:t xml:space="preserve"> </w:t>
      </w:r>
      <w:r>
        <w:rPr>
          <w:rFonts w:ascii="Verdana" w:hAnsi="Verdana" w:cs="Arial"/>
          <w:color w:val="000000"/>
          <w:sz w:val="16"/>
          <w:szCs w:val="16"/>
        </w:rPr>
        <w:t>Consejo de Estado</w:t>
      </w:r>
      <w:r w:rsidRPr="008A1DE1">
        <w:rPr>
          <w:rFonts w:ascii="Verdana" w:hAnsi="Verdana" w:cs="Arial"/>
          <w:color w:val="000000"/>
          <w:sz w:val="16"/>
          <w:szCs w:val="16"/>
        </w:rPr>
        <w:t xml:space="preserve">. Sala de Consulta y de Servicio Civil. Concepto del 25 de octubre de 2012. Rad. 2113. C.P. </w:t>
      </w:r>
      <w:r w:rsidRPr="008A1DE1">
        <w:rPr>
          <w:rFonts w:ascii="Verdana" w:hAnsi="Verdana" w:cs="Arial"/>
          <w:color w:val="000000"/>
          <w:sz w:val="16"/>
          <w:szCs w:val="16"/>
          <w:lang w:val="es-CO"/>
        </w:rPr>
        <w:t>William Zambrano Cetina</w:t>
      </w:r>
      <w:r>
        <w:rPr>
          <w:rFonts w:ascii="Verdana" w:hAnsi="Verdana" w:cs="Arial"/>
          <w:color w:val="000000"/>
          <w:sz w:val="16"/>
          <w:szCs w:val="16"/>
          <w:lang w:val="es-CO"/>
        </w:rPr>
        <w:t>.</w:t>
      </w:r>
    </w:p>
    <w:p w14:paraId="7B0E851A" w14:textId="77777777" w:rsidR="006779CF" w:rsidRPr="00655945" w:rsidRDefault="006779CF" w:rsidP="006779CF">
      <w:pPr>
        <w:pStyle w:val="Textonotapie"/>
        <w:ind w:firstLine="709"/>
        <w:jc w:val="both"/>
        <w:rPr>
          <w:lang w:val="es-CO"/>
        </w:rPr>
      </w:pPr>
    </w:p>
  </w:footnote>
  <w:footnote w:id="15">
    <w:p w14:paraId="77152F60" w14:textId="77777777" w:rsidR="006779CF" w:rsidRDefault="006779CF" w:rsidP="006779CF">
      <w:pPr>
        <w:pStyle w:val="Textonotapie"/>
        <w:ind w:firstLine="709"/>
        <w:rPr>
          <w:rFonts w:ascii="Verdana" w:hAnsi="Verdana"/>
          <w:sz w:val="16"/>
          <w:szCs w:val="16"/>
          <w:lang w:val="es-CO"/>
        </w:rPr>
      </w:pPr>
      <w:r w:rsidRPr="008A1DE1">
        <w:rPr>
          <w:rStyle w:val="Refdenotaalpie"/>
          <w:rFonts w:ascii="Verdana" w:hAnsi="Verdana"/>
          <w:sz w:val="16"/>
          <w:szCs w:val="16"/>
        </w:rPr>
        <w:footnoteRef/>
      </w:r>
      <w:r w:rsidRPr="008A1DE1">
        <w:rPr>
          <w:rFonts w:ascii="Verdana" w:hAnsi="Verdana"/>
          <w:sz w:val="16"/>
          <w:szCs w:val="16"/>
        </w:rPr>
        <w:t xml:space="preserve"> </w:t>
      </w:r>
      <w:r w:rsidRPr="008A1DE1">
        <w:rPr>
          <w:rFonts w:ascii="Verdana" w:hAnsi="Verdana"/>
          <w:sz w:val="16"/>
          <w:szCs w:val="16"/>
          <w:lang w:val="es-CO"/>
        </w:rPr>
        <w:t>Concepto C-619 del 27 de septiembre de 2022.</w:t>
      </w:r>
    </w:p>
    <w:p w14:paraId="02C77CAD" w14:textId="77777777" w:rsidR="006779CF" w:rsidRPr="008A1DE1" w:rsidRDefault="006779CF" w:rsidP="006779CF">
      <w:pPr>
        <w:pStyle w:val="Textonotapie"/>
        <w:ind w:firstLine="709"/>
        <w:rPr>
          <w:rFonts w:ascii="Verdana" w:hAnsi="Verdana"/>
          <w:sz w:val="16"/>
          <w:szCs w:val="16"/>
          <w:lang w:val="es-CO"/>
        </w:rPr>
      </w:pPr>
    </w:p>
  </w:footnote>
  <w:footnote w:id="16">
    <w:p w14:paraId="3A06A3A2" w14:textId="77777777" w:rsidR="006779CF" w:rsidRPr="00375017" w:rsidRDefault="006779CF" w:rsidP="006779CF">
      <w:pPr>
        <w:pStyle w:val="Textonotapie"/>
        <w:ind w:firstLine="709"/>
        <w:jc w:val="both"/>
        <w:rPr>
          <w:rFonts w:ascii="Verdana" w:hAnsi="Verdana"/>
          <w:sz w:val="16"/>
          <w:szCs w:val="16"/>
          <w:lang w:val="es-CO"/>
        </w:rPr>
      </w:pPr>
      <w:r w:rsidRPr="00375017">
        <w:rPr>
          <w:rStyle w:val="Refdenotaalpie"/>
          <w:rFonts w:ascii="Verdana" w:hAnsi="Verdana"/>
          <w:sz w:val="16"/>
          <w:szCs w:val="16"/>
        </w:rPr>
        <w:footnoteRef/>
      </w:r>
      <w:r w:rsidRPr="00375017">
        <w:rPr>
          <w:rFonts w:ascii="Verdana" w:hAnsi="Verdana"/>
          <w:sz w:val="16"/>
          <w:szCs w:val="16"/>
        </w:rPr>
        <w:t xml:space="preserve"> </w:t>
      </w:r>
      <w:r w:rsidRPr="00375017">
        <w:rPr>
          <w:rFonts w:ascii="Verdana" w:hAnsi="Verdana"/>
          <w:sz w:val="16"/>
          <w:szCs w:val="16"/>
          <w:lang w:val="es-CO"/>
        </w:rPr>
        <w:t>Son representantes del {empleador} y como tales lo obligan frente a sus trabajadores además de quienes tienen ese carácter según la ley, la convención o el reglamento de trabajo, las siguientes personas:</w:t>
      </w:r>
    </w:p>
    <w:p w14:paraId="2BC04CD4" w14:textId="77777777" w:rsidR="006779CF" w:rsidRPr="00375017" w:rsidRDefault="006779CF" w:rsidP="006779CF">
      <w:pPr>
        <w:pStyle w:val="Textonotapie"/>
        <w:ind w:firstLine="709"/>
        <w:jc w:val="both"/>
        <w:rPr>
          <w:rFonts w:ascii="Verdana" w:hAnsi="Verdana"/>
          <w:sz w:val="16"/>
          <w:szCs w:val="16"/>
          <w:lang w:val="es-CO"/>
        </w:rPr>
      </w:pPr>
      <w:r w:rsidRPr="00375017">
        <w:rPr>
          <w:rFonts w:ascii="Verdana" w:hAnsi="Verdana"/>
          <w:sz w:val="16"/>
          <w:szCs w:val="16"/>
          <w:lang w:val="es-CO"/>
        </w:rPr>
        <w:t>a) Las que ejerzan funciones de dirección o administración, tales como directores, gerentes, administradores, síndicos o liquidadores, mayordomos y capitanes de barco, y quienes ejercitan actos de representación con la aquiescencia expresa o tácita del {empleador};</w:t>
      </w:r>
    </w:p>
    <w:p w14:paraId="0B503CBB" w14:textId="77777777" w:rsidR="006779CF" w:rsidRPr="00375017" w:rsidRDefault="006779CF" w:rsidP="006779CF">
      <w:pPr>
        <w:pStyle w:val="Textonotapie"/>
        <w:ind w:firstLine="709"/>
        <w:jc w:val="both"/>
        <w:rPr>
          <w:rFonts w:ascii="Verdana" w:hAnsi="Verdana"/>
          <w:sz w:val="16"/>
          <w:szCs w:val="16"/>
          <w:lang w:val="es-CO"/>
        </w:rPr>
      </w:pPr>
      <w:r w:rsidRPr="00375017">
        <w:rPr>
          <w:rFonts w:ascii="Verdana" w:hAnsi="Verdana"/>
          <w:sz w:val="16"/>
          <w:szCs w:val="16"/>
          <w:lang w:val="es-CO"/>
        </w:rPr>
        <w:t>b) Los intermediarios.</w:t>
      </w:r>
    </w:p>
    <w:p w14:paraId="20369200" w14:textId="77777777" w:rsidR="006779CF" w:rsidRPr="00375017" w:rsidRDefault="006779CF" w:rsidP="006779CF">
      <w:pPr>
        <w:pStyle w:val="Textonotapie"/>
      </w:pPr>
    </w:p>
  </w:footnote>
  <w:footnote w:id="17">
    <w:p w14:paraId="688BC916" w14:textId="77777777" w:rsidR="006779CF" w:rsidRPr="008A1DE1" w:rsidRDefault="006779CF" w:rsidP="006779CF">
      <w:pPr>
        <w:pStyle w:val="Textonotapie"/>
        <w:ind w:firstLine="709"/>
        <w:jc w:val="both"/>
        <w:rPr>
          <w:rFonts w:ascii="Verdana" w:hAnsi="Verdana" w:cs="Arial"/>
          <w:sz w:val="16"/>
          <w:szCs w:val="16"/>
          <w:lang w:val="es-ES"/>
        </w:rPr>
      </w:pPr>
      <w:r w:rsidRPr="008A1DE1">
        <w:rPr>
          <w:rStyle w:val="Refdenotaalpie"/>
          <w:rFonts w:ascii="Verdana" w:hAnsi="Verdana"/>
          <w:sz w:val="16"/>
          <w:szCs w:val="16"/>
        </w:rPr>
        <w:footnoteRef/>
      </w:r>
      <w:r w:rsidRPr="008A1DE1">
        <w:rPr>
          <w:rFonts w:ascii="Verdana" w:hAnsi="Verdana" w:cs="Arial"/>
          <w:sz w:val="16"/>
          <w:szCs w:val="16"/>
        </w:rPr>
        <w:t xml:space="preserve"> </w:t>
      </w:r>
      <w:r w:rsidRPr="008A1DE1">
        <w:rPr>
          <w:rFonts w:ascii="Verdana" w:hAnsi="Verdana" w:cs="Arial"/>
          <w:sz w:val="16"/>
          <w:szCs w:val="16"/>
          <w:lang w:val="es-ES"/>
        </w:rPr>
        <w:t>El artículo 318 del Código de Comercio establece: “Los administradores, sean socios o extraños, al fin de cada ejercicio social darán cuenta de su gestión a la junta de socios e informarán sobre la situación financiera y contable de la sociedad. Además, rendirán a la misma junta cuentas comprobadas de su gestión cuando ésta la solicite y, en todo caso, al separarse del cargo.</w:t>
      </w:r>
    </w:p>
    <w:p w14:paraId="55AE4EF2" w14:textId="77777777" w:rsidR="006779CF" w:rsidRDefault="006779CF" w:rsidP="006779CF">
      <w:pPr>
        <w:pStyle w:val="Textonotapie"/>
        <w:ind w:firstLine="709"/>
        <w:jc w:val="both"/>
        <w:rPr>
          <w:rFonts w:ascii="Verdana" w:hAnsi="Verdana" w:cs="Arial"/>
          <w:sz w:val="16"/>
          <w:szCs w:val="16"/>
          <w:lang w:val="es-ES"/>
        </w:rPr>
      </w:pPr>
      <w:r w:rsidRPr="008A1DE1">
        <w:rPr>
          <w:rFonts w:ascii="Verdana" w:hAnsi="Verdana" w:cs="Arial"/>
          <w:sz w:val="16"/>
          <w:szCs w:val="16"/>
          <w:lang w:val="es-ES"/>
        </w:rPr>
        <w:t>Las estipulaciones tendientes a exonerarlos de dichas obligaciones y de las responsabilidades consiguientes se tendrán por no escritas”.</w:t>
      </w:r>
    </w:p>
    <w:p w14:paraId="1B1780B8" w14:textId="77777777" w:rsidR="006779CF" w:rsidRPr="008A1DE1" w:rsidRDefault="006779CF" w:rsidP="006779CF">
      <w:pPr>
        <w:pStyle w:val="Textonotapie"/>
        <w:ind w:firstLine="709"/>
        <w:jc w:val="both"/>
        <w:rPr>
          <w:rFonts w:ascii="Verdana" w:hAnsi="Verdana" w:cs="Arial"/>
          <w:sz w:val="16"/>
          <w:szCs w:val="16"/>
          <w:lang w:val="es-ES"/>
        </w:rPr>
      </w:pPr>
    </w:p>
  </w:footnote>
  <w:footnote w:id="18">
    <w:p w14:paraId="6FB1CE69" w14:textId="77777777" w:rsidR="006779CF" w:rsidRPr="00456DC7" w:rsidRDefault="006779CF" w:rsidP="006779CF">
      <w:pPr>
        <w:pStyle w:val="Textonotapie"/>
        <w:ind w:firstLine="709"/>
        <w:jc w:val="both"/>
        <w:rPr>
          <w:rFonts w:ascii="Verdana" w:hAnsi="Verdana"/>
          <w:sz w:val="16"/>
          <w:szCs w:val="16"/>
          <w:lang w:val="pt-BR"/>
        </w:rPr>
      </w:pPr>
      <w:r w:rsidRPr="008A1DE1">
        <w:rPr>
          <w:rStyle w:val="Refdenotaalpie"/>
          <w:rFonts w:ascii="Verdana" w:hAnsi="Verdana"/>
          <w:sz w:val="16"/>
          <w:szCs w:val="16"/>
        </w:rPr>
        <w:footnoteRef/>
      </w:r>
      <w:r w:rsidRPr="008A1DE1">
        <w:rPr>
          <w:rFonts w:ascii="Verdana" w:hAnsi="Verdana"/>
          <w:sz w:val="16"/>
          <w:szCs w:val="16"/>
        </w:rPr>
        <w:t xml:space="preserve"> </w:t>
      </w:r>
      <w:r w:rsidRPr="008A1DE1">
        <w:rPr>
          <w:rFonts w:ascii="Verdana" w:hAnsi="Verdana" w:cs="Arial"/>
          <w:color w:val="000000"/>
          <w:sz w:val="16"/>
          <w:szCs w:val="16"/>
        </w:rPr>
        <w:t>C</w:t>
      </w:r>
      <w:r>
        <w:rPr>
          <w:rFonts w:ascii="Verdana" w:hAnsi="Verdana" w:cs="Arial"/>
          <w:color w:val="000000"/>
          <w:sz w:val="16"/>
          <w:szCs w:val="16"/>
        </w:rPr>
        <w:t xml:space="preserve">onsejo de Estado. </w:t>
      </w:r>
      <w:r w:rsidRPr="008A1DE1">
        <w:rPr>
          <w:rFonts w:ascii="Verdana" w:hAnsi="Verdana" w:cs="Arial"/>
          <w:color w:val="000000"/>
          <w:sz w:val="16"/>
          <w:szCs w:val="16"/>
        </w:rPr>
        <w:t xml:space="preserve">Sala de Consulta y de Servicio Civil. Concepto del 25 de octubre de 2012. </w:t>
      </w:r>
      <w:r w:rsidRPr="00456DC7">
        <w:rPr>
          <w:rFonts w:ascii="Verdana" w:hAnsi="Verdana" w:cs="Arial"/>
          <w:color w:val="000000"/>
          <w:sz w:val="16"/>
          <w:szCs w:val="16"/>
          <w:lang w:val="pt-BR"/>
        </w:rPr>
        <w:t>Rad. 2113. C.P. William Zambrano Cetina</w:t>
      </w:r>
    </w:p>
  </w:footnote>
  <w:footnote w:id="19">
    <w:p w14:paraId="13487B7F" w14:textId="77777777" w:rsidR="006779CF" w:rsidRPr="008A1DE1" w:rsidRDefault="006779CF" w:rsidP="006779CF">
      <w:pPr>
        <w:pStyle w:val="Textonotapie"/>
        <w:ind w:firstLine="709"/>
        <w:rPr>
          <w:rFonts w:ascii="Verdana" w:hAnsi="Verdana"/>
          <w:sz w:val="16"/>
          <w:szCs w:val="16"/>
          <w:lang w:val="es-CO"/>
        </w:rPr>
      </w:pPr>
      <w:r w:rsidRPr="008A1DE1">
        <w:rPr>
          <w:rStyle w:val="Refdenotaalpie"/>
          <w:rFonts w:ascii="Verdana" w:hAnsi="Verdana"/>
          <w:sz w:val="16"/>
          <w:szCs w:val="16"/>
        </w:rPr>
        <w:footnoteRef/>
      </w:r>
      <w:r w:rsidRPr="00456DC7">
        <w:rPr>
          <w:rFonts w:ascii="Verdana" w:hAnsi="Verdana"/>
          <w:sz w:val="16"/>
          <w:szCs w:val="16"/>
          <w:lang w:val="pt-BR"/>
        </w:rPr>
        <w:t xml:space="preserve"> </w:t>
      </w:r>
      <w:r>
        <w:rPr>
          <w:rFonts w:ascii="Verdana" w:hAnsi="Verdana"/>
          <w:sz w:val="16"/>
          <w:szCs w:val="16"/>
          <w:lang w:val="pt-BR"/>
        </w:rPr>
        <w:t>Consejo de Estado</w:t>
      </w:r>
      <w:r w:rsidRPr="00456DC7">
        <w:rPr>
          <w:rFonts w:ascii="Verdana" w:hAnsi="Verdana" w:cs="Arial"/>
          <w:color w:val="000000"/>
          <w:sz w:val="16"/>
          <w:szCs w:val="16"/>
          <w:lang w:val="pt-BR"/>
        </w:rPr>
        <w:t xml:space="preserve">. </w:t>
      </w:r>
      <w:r w:rsidRPr="008A1DE1">
        <w:rPr>
          <w:rFonts w:ascii="Verdana" w:hAnsi="Verdana" w:cs="Arial"/>
          <w:color w:val="000000"/>
          <w:sz w:val="16"/>
          <w:szCs w:val="16"/>
        </w:rPr>
        <w:t>Sala de Consulta y de Servicio Civil. Concepto del 23 de marzo de 2011. Rad. 2.045. C.P. Enrique José Arboleda Perdomo.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87FC6"/>
    <w:rsid w:val="001E4177"/>
    <w:rsid w:val="001F7DC6"/>
    <w:rsid w:val="0022087A"/>
    <w:rsid w:val="002421BB"/>
    <w:rsid w:val="0025796E"/>
    <w:rsid w:val="002707A2"/>
    <w:rsid w:val="002951A0"/>
    <w:rsid w:val="002962BC"/>
    <w:rsid w:val="002A093D"/>
    <w:rsid w:val="002A0DD0"/>
    <w:rsid w:val="002A49AC"/>
    <w:rsid w:val="002A64FD"/>
    <w:rsid w:val="002C7A84"/>
    <w:rsid w:val="002E13DC"/>
    <w:rsid w:val="002E4FD9"/>
    <w:rsid w:val="00322A85"/>
    <w:rsid w:val="00324168"/>
    <w:rsid w:val="003448F4"/>
    <w:rsid w:val="00374F5E"/>
    <w:rsid w:val="00377E3E"/>
    <w:rsid w:val="003A779E"/>
    <w:rsid w:val="003D0F4D"/>
    <w:rsid w:val="003D5B0D"/>
    <w:rsid w:val="003E0499"/>
    <w:rsid w:val="003F3941"/>
    <w:rsid w:val="00406575"/>
    <w:rsid w:val="00406624"/>
    <w:rsid w:val="00414C74"/>
    <w:rsid w:val="0042722E"/>
    <w:rsid w:val="0044528D"/>
    <w:rsid w:val="0045107D"/>
    <w:rsid w:val="004A1847"/>
    <w:rsid w:val="004A305D"/>
    <w:rsid w:val="004A5317"/>
    <w:rsid w:val="004D4C08"/>
    <w:rsid w:val="004E7BAD"/>
    <w:rsid w:val="004F21C4"/>
    <w:rsid w:val="004F4432"/>
    <w:rsid w:val="004F685F"/>
    <w:rsid w:val="005566E8"/>
    <w:rsid w:val="00574867"/>
    <w:rsid w:val="00575ADF"/>
    <w:rsid w:val="0058588C"/>
    <w:rsid w:val="00591460"/>
    <w:rsid w:val="005B3816"/>
    <w:rsid w:val="005C3777"/>
    <w:rsid w:val="005C5CDC"/>
    <w:rsid w:val="005D476C"/>
    <w:rsid w:val="006219F8"/>
    <w:rsid w:val="00665D70"/>
    <w:rsid w:val="006779CF"/>
    <w:rsid w:val="006865DA"/>
    <w:rsid w:val="006900D9"/>
    <w:rsid w:val="006A096E"/>
    <w:rsid w:val="006C0A5D"/>
    <w:rsid w:val="006C5AD0"/>
    <w:rsid w:val="00706C16"/>
    <w:rsid w:val="00741795"/>
    <w:rsid w:val="00756841"/>
    <w:rsid w:val="007649AB"/>
    <w:rsid w:val="00771D0C"/>
    <w:rsid w:val="00781134"/>
    <w:rsid w:val="007833AC"/>
    <w:rsid w:val="007910A5"/>
    <w:rsid w:val="007A4BCE"/>
    <w:rsid w:val="007B268C"/>
    <w:rsid w:val="007B7171"/>
    <w:rsid w:val="007C0C0F"/>
    <w:rsid w:val="007C3DC2"/>
    <w:rsid w:val="007E5497"/>
    <w:rsid w:val="007F3C93"/>
    <w:rsid w:val="00806F5F"/>
    <w:rsid w:val="00820278"/>
    <w:rsid w:val="0085316F"/>
    <w:rsid w:val="00867F95"/>
    <w:rsid w:val="008843B6"/>
    <w:rsid w:val="00884784"/>
    <w:rsid w:val="00886A3F"/>
    <w:rsid w:val="00891928"/>
    <w:rsid w:val="008A446D"/>
    <w:rsid w:val="008D180B"/>
    <w:rsid w:val="008F0EA7"/>
    <w:rsid w:val="00923EEF"/>
    <w:rsid w:val="009419F9"/>
    <w:rsid w:val="0095685E"/>
    <w:rsid w:val="00961B09"/>
    <w:rsid w:val="00965334"/>
    <w:rsid w:val="0097093E"/>
    <w:rsid w:val="0097356F"/>
    <w:rsid w:val="00983DE6"/>
    <w:rsid w:val="009851F1"/>
    <w:rsid w:val="00986AC5"/>
    <w:rsid w:val="009A0DFA"/>
    <w:rsid w:val="009A23F8"/>
    <w:rsid w:val="009B2D26"/>
    <w:rsid w:val="009C71FA"/>
    <w:rsid w:val="009C72E7"/>
    <w:rsid w:val="009D2AC9"/>
    <w:rsid w:val="009D3058"/>
    <w:rsid w:val="009D5F96"/>
    <w:rsid w:val="009F3A13"/>
    <w:rsid w:val="00A122D3"/>
    <w:rsid w:val="00A15726"/>
    <w:rsid w:val="00A17F13"/>
    <w:rsid w:val="00A20739"/>
    <w:rsid w:val="00A24ACC"/>
    <w:rsid w:val="00A33C78"/>
    <w:rsid w:val="00A46476"/>
    <w:rsid w:val="00AB0ADB"/>
    <w:rsid w:val="00AD2E8A"/>
    <w:rsid w:val="00B01B1A"/>
    <w:rsid w:val="00B36E70"/>
    <w:rsid w:val="00B37B91"/>
    <w:rsid w:val="00B66319"/>
    <w:rsid w:val="00B72CD3"/>
    <w:rsid w:val="00B72FFF"/>
    <w:rsid w:val="00B80CE5"/>
    <w:rsid w:val="00BC3D36"/>
    <w:rsid w:val="00BD7F72"/>
    <w:rsid w:val="00C04FB3"/>
    <w:rsid w:val="00C330EB"/>
    <w:rsid w:val="00C41061"/>
    <w:rsid w:val="00C754BE"/>
    <w:rsid w:val="00C76B1C"/>
    <w:rsid w:val="00C956DB"/>
    <w:rsid w:val="00CA5297"/>
    <w:rsid w:val="00CB6357"/>
    <w:rsid w:val="00CC1B26"/>
    <w:rsid w:val="00CD1D38"/>
    <w:rsid w:val="00D423A2"/>
    <w:rsid w:val="00D520D8"/>
    <w:rsid w:val="00D6199D"/>
    <w:rsid w:val="00D63AC2"/>
    <w:rsid w:val="00D7383B"/>
    <w:rsid w:val="00DA1F8E"/>
    <w:rsid w:val="00DA231B"/>
    <w:rsid w:val="00DB4CE6"/>
    <w:rsid w:val="00DC1223"/>
    <w:rsid w:val="00DC39FC"/>
    <w:rsid w:val="00DF413F"/>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2625"/>
    <w:rsid w:val="00FB5DD1"/>
    <w:rsid w:val="00FC2B5D"/>
    <w:rsid w:val="00FE4105"/>
    <w:rsid w:val="00FF1449"/>
    <w:rsid w:val="0127DDE8"/>
    <w:rsid w:val="01D52715"/>
    <w:rsid w:val="03296664"/>
    <w:rsid w:val="05C2435E"/>
    <w:rsid w:val="09DF4305"/>
    <w:rsid w:val="0AA6DAB5"/>
    <w:rsid w:val="0AD6105B"/>
    <w:rsid w:val="165E9519"/>
    <w:rsid w:val="19E815AD"/>
    <w:rsid w:val="1AA9004A"/>
    <w:rsid w:val="1C4BECE6"/>
    <w:rsid w:val="1F18F86A"/>
    <w:rsid w:val="1FDFBD45"/>
    <w:rsid w:val="20458594"/>
    <w:rsid w:val="215DA8EC"/>
    <w:rsid w:val="2216C05E"/>
    <w:rsid w:val="22A7DDF3"/>
    <w:rsid w:val="238B0AA1"/>
    <w:rsid w:val="23BE3906"/>
    <w:rsid w:val="2425A9C1"/>
    <w:rsid w:val="288348CA"/>
    <w:rsid w:val="2B859C67"/>
    <w:rsid w:val="2CEB9A35"/>
    <w:rsid w:val="2D60895A"/>
    <w:rsid w:val="2D7C8409"/>
    <w:rsid w:val="2DA68229"/>
    <w:rsid w:val="2E682DCF"/>
    <w:rsid w:val="2FD94B3F"/>
    <w:rsid w:val="30B3C410"/>
    <w:rsid w:val="31D8CAE5"/>
    <w:rsid w:val="32204D1A"/>
    <w:rsid w:val="3286062F"/>
    <w:rsid w:val="3533AE51"/>
    <w:rsid w:val="36CF3B13"/>
    <w:rsid w:val="36D09365"/>
    <w:rsid w:val="37C6B72D"/>
    <w:rsid w:val="381116FE"/>
    <w:rsid w:val="382536D9"/>
    <w:rsid w:val="398FC5F1"/>
    <w:rsid w:val="3B312EAB"/>
    <w:rsid w:val="3C44D9F6"/>
    <w:rsid w:val="3D7F741D"/>
    <w:rsid w:val="3E092993"/>
    <w:rsid w:val="3E8433A8"/>
    <w:rsid w:val="3F58C563"/>
    <w:rsid w:val="4055FEE7"/>
    <w:rsid w:val="44876440"/>
    <w:rsid w:val="452B27AA"/>
    <w:rsid w:val="4BA3BB16"/>
    <w:rsid w:val="4C66D117"/>
    <w:rsid w:val="4D30C29A"/>
    <w:rsid w:val="5015B200"/>
    <w:rsid w:val="51EF1121"/>
    <w:rsid w:val="51FFFF1F"/>
    <w:rsid w:val="53CAD87A"/>
    <w:rsid w:val="53EB0FDF"/>
    <w:rsid w:val="5540803B"/>
    <w:rsid w:val="580C2C9E"/>
    <w:rsid w:val="5882BF9F"/>
    <w:rsid w:val="5DBA612F"/>
    <w:rsid w:val="64E8ACD3"/>
    <w:rsid w:val="65FBE30C"/>
    <w:rsid w:val="66CF283E"/>
    <w:rsid w:val="673DF4AD"/>
    <w:rsid w:val="6766C058"/>
    <w:rsid w:val="67C3BA4E"/>
    <w:rsid w:val="67C56047"/>
    <w:rsid w:val="6C172DA7"/>
    <w:rsid w:val="6EFDAB80"/>
    <w:rsid w:val="705AA97E"/>
    <w:rsid w:val="71C9A821"/>
    <w:rsid w:val="72C47AAC"/>
    <w:rsid w:val="74145060"/>
    <w:rsid w:val="746B669F"/>
    <w:rsid w:val="7574FFD4"/>
    <w:rsid w:val="76D2995D"/>
    <w:rsid w:val="78E18B97"/>
    <w:rsid w:val="7A2C4D26"/>
    <w:rsid w:val="7B6AA7A6"/>
    <w:rsid w:val="7C183931"/>
    <w:rsid w:val="7CD0DA94"/>
    <w:rsid w:val="7CE5FBB7"/>
    <w:rsid w:val="7CEA6837"/>
    <w:rsid w:val="7D68A80C"/>
    <w:rsid w:val="7D8E131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E410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FE4105"/>
    <w:rPr>
      <w:rFonts w:ascii="Geomanist Light" w:hAnsi="Geomanist Light"/>
      <w:lang w:val="es-ES"/>
    </w:rPr>
  </w:style>
  <w:style w:type="character" w:customStyle="1" w:styleId="NormalWebCar">
    <w:name w:val="Normal (Web) Car"/>
    <w:link w:val="NormalWeb"/>
    <w:uiPriority w:val="99"/>
    <w:locked/>
    <w:rsid w:val="00FE4105"/>
    <w:rPr>
      <w:rFonts w:ascii="Times New Roman" w:eastAsia="Times New Roman" w:hAnsi="Times New Roman" w:cs="Times New Roman"/>
      <w:sz w:val="24"/>
      <w:szCs w:val="24"/>
      <w:lang w:eastAsia="es-CO"/>
    </w:r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6A096E"/>
    <w:rPr>
      <w:b/>
      <w:bCs/>
    </w:rPr>
  </w:style>
  <w:style w:type="character" w:customStyle="1" w:styleId="AsuntodelcomentarioCar">
    <w:name w:val="Asunto del comentario Car"/>
    <w:basedOn w:val="TextocomentarioCar"/>
    <w:link w:val="Asuntodelcomentario"/>
    <w:uiPriority w:val="99"/>
    <w:semiHidden/>
    <w:rsid w:val="006A096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olombiacompra.gov.c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airqm@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d3b1a209-6428-47ff-99e7-c80af9907737"/>
  </ds:schemaRefs>
</ds:datastoreItem>
</file>

<file path=customXml/itemProps3.xml><?xml version="1.0" encoding="utf-8"?>
<ds:datastoreItem xmlns:ds="http://schemas.openxmlformats.org/officeDocument/2006/customXml" ds:itemID="{4A43E76F-82C3-4AE9-A6CC-0A199549B9B6}"/>
</file>

<file path=docProps/app.xml><?xml version="1.0" encoding="utf-8"?>
<Properties xmlns="http://schemas.openxmlformats.org/officeDocument/2006/extended-properties" xmlns:vt="http://schemas.openxmlformats.org/officeDocument/2006/docPropsVTypes">
  <Template>Normal</Template>
  <TotalTime>64</TotalTime>
  <Pages>1</Pages>
  <Words>6597</Words>
  <Characters>36287</Characters>
  <Application>Microsoft Office Word</Application>
  <DocSecurity>0</DocSecurity>
  <Lines>302</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6</cp:revision>
  <cp:lastPrinted>2023-01-10T21:18:00Z</cp:lastPrinted>
  <dcterms:created xsi:type="dcterms:W3CDTF">2025-08-14T21:03:00Z</dcterms:created>
  <dcterms:modified xsi:type="dcterms:W3CDTF">2025-08-19T17:07:00Z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