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7C7A8" w14:textId="77777777" w:rsidR="00106967" w:rsidRPr="008C32C0" w:rsidRDefault="00106967" w:rsidP="00106967">
      <w:pPr>
        <w:spacing w:after="0" w:line="240" w:lineRule="auto"/>
        <w:jc w:val="both"/>
        <w:rPr>
          <w:rFonts w:ascii="Verdana" w:eastAsia="Geomanist Light" w:hAnsi="Verdana" w:cs="Arial"/>
          <w:b/>
          <w:bCs/>
          <w:color w:val="000000" w:themeColor="text1"/>
          <w:lang w:val="es-MX"/>
        </w:rPr>
      </w:pPr>
      <w:r w:rsidRPr="008C32C0">
        <w:rPr>
          <w:rFonts w:ascii="Verdana" w:eastAsia="Calibri" w:hAnsi="Verdana" w:cs="Arial"/>
          <w:b/>
          <w:bCs/>
          <w:color w:val="000000" w:themeColor="text1"/>
          <w:lang w:val="es-ES_tradnl" w:eastAsia="es-ES"/>
        </w:rPr>
        <w:t>PROCEDIMIENTO SANCIONATORIO CONTRACTUAL – Citación a audiencia</w:t>
      </w:r>
      <w:r>
        <w:rPr>
          <w:rFonts w:ascii="Verdana" w:eastAsia="Calibri" w:hAnsi="Verdana" w:cs="Arial"/>
          <w:b/>
          <w:bCs/>
          <w:color w:val="000000" w:themeColor="text1"/>
          <w:lang w:val="es-ES_tradnl" w:eastAsia="es-ES"/>
        </w:rPr>
        <w:t xml:space="preserve"> – Recurso de reposición </w:t>
      </w:r>
    </w:p>
    <w:p w14:paraId="6B0350F8" w14:textId="77777777" w:rsidR="00106967" w:rsidRDefault="00106967" w:rsidP="00106967">
      <w:pPr>
        <w:spacing w:after="120" w:line="276" w:lineRule="auto"/>
        <w:contextualSpacing/>
        <w:jc w:val="both"/>
        <w:rPr>
          <w:rFonts w:ascii="Verdana" w:eastAsia="Geomanist Light" w:hAnsi="Verdana" w:cs="Arial"/>
          <w:color w:val="000000" w:themeColor="text1"/>
          <w:lang w:val="es-MX"/>
        </w:rPr>
      </w:pPr>
    </w:p>
    <w:p w14:paraId="79462B3B" w14:textId="77777777" w:rsidR="00106967" w:rsidRDefault="00106967" w:rsidP="00106967">
      <w:pPr>
        <w:spacing w:after="120" w:line="276" w:lineRule="auto"/>
        <w:contextualSpacing/>
        <w:jc w:val="both"/>
        <w:rPr>
          <w:rFonts w:ascii="Verdana" w:eastAsia="Times New Roman" w:hAnsi="Verdana" w:cs="Arial"/>
          <w:lang w:val="es-ES" w:eastAsia="es-ES"/>
        </w:rPr>
      </w:pPr>
      <w:r>
        <w:rPr>
          <w:rFonts w:ascii="Verdana" w:eastAsia="Times New Roman" w:hAnsi="Verdana" w:cs="Arial"/>
          <w:lang w:val="es-ES" w:eastAsia="es-ES"/>
        </w:rPr>
        <w:t>E</w:t>
      </w:r>
      <w:r w:rsidRPr="00217328">
        <w:rPr>
          <w:rFonts w:ascii="Verdana" w:eastAsia="Times New Roman" w:hAnsi="Verdana" w:cs="Arial"/>
          <w:lang w:val="es-ES" w:eastAsia="es-ES"/>
        </w:rPr>
        <w:t>l</w:t>
      </w:r>
      <w:r>
        <w:rPr>
          <w:rFonts w:ascii="Verdana" w:eastAsia="Times New Roman" w:hAnsi="Verdana" w:cs="Arial"/>
          <w:lang w:val="es-ES" w:eastAsia="es-ES"/>
        </w:rPr>
        <w:t xml:space="preserve"> </w:t>
      </w:r>
      <w:r w:rsidRPr="00217328">
        <w:rPr>
          <w:rFonts w:ascii="Verdana" w:eastAsia="Times New Roman" w:hAnsi="Verdana" w:cs="Arial"/>
          <w:lang w:val="es-ES" w:eastAsia="es-ES"/>
        </w:rPr>
        <w:t>artículo 86 de la Ley 1474 de 2011 establece las etapas del procedimiento que se deben seguir, las cuales se sintetizan, de forma esquemática, así: i) c</w:t>
      </w:r>
      <w:r w:rsidRPr="00217328">
        <w:rPr>
          <w:rFonts w:ascii="Verdana" w:eastAsia="Times New Roman" w:hAnsi="Verdana" w:cs="Arial"/>
          <w:i/>
          <w:iCs/>
          <w:lang w:val="es-ES" w:eastAsia="es-ES"/>
        </w:rPr>
        <w:t>itación a audiencia</w:t>
      </w:r>
      <w:r w:rsidRPr="00217328">
        <w:rPr>
          <w:rFonts w:ascii="Verdana" w:eastAsia="Times New Roman" w:hAnsi="Verdana" w:cs="Arial"/>
          <w:lang w:val="es-ES" w:eastAsia="es-ES"/>
        </w:rPr>
        <w:t xml:space="preserve">. Es necesario remitir una citación a audiencia al contratista y al garante –cuando proceda–, cuyo contenido de señalará más adelante. ii) </w:t>
      </w:r>
      <w:r w:rsidRPr="00217328">
        <w:rPr>
          <w:rFonts w:ascii="Verdana" w:eastAsia="Times New Roman" w:hAnsi="Verdana" w:cs="Arial"/>
          <w:i/>
          <w:iCs/>
          <w:lang w:val="es-ES" w:eastAsia="es-ES"/>
        </w:rPr>
        <w:t>Audiencia</w:t>
      </w:r>
      <w:r w:rsidRPr="00217328">
        <w:rPr>
          <w:rFonts w:ascii="Verdana" w:eastAsia="Times New Roman" w:hAnsi="Verdana" w:cs="Arial"/>
          <w:lang w:val="es-ES" w:eastAsia="es-ES"/>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217328">
        <w:rPr>
          <w:rFonts w:ascii="Verdana" w:eastAsia="Times New Roman" w:hAnsi="Verdana" w:cs="Arial"/>
          <w:i/>
          <w:iCs/>
          <w:lang w:val="es-ES" w:eastAsia="es-ES"/>
        </w:rPr>
        <w:t>Decisión</w:t>
      </w:r>
      <w:r w:rsidRPr="00217328">
        <w:rPr>
          <w:rFonts w:ascii="Verdana" w:eastAsia="Times New Roman" w:hAnsi="Verdana" w:cs="Arial"/>
          <w:lang w:val="es-ES" w:eastAsia="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13F5816E" w14:textId="77777777" w:rsidR="00106967" w:rsidRDefault="00106967" w:rsidP="00106967">
      <w:pPr>
        <w:spacing w:line="276" w:lineRule="auto"/>
        <w:contextualSpacing/>
        <w:jc w:val="both"/>
        <w:rPr>
          <w:rFonts w:ascii="Verdana" w:eastAsia="Geomanist Light" w:hAnsi="Verdana" w:cs="Arial"/>
          <w:color w:val="000000" w:themeColor="text1"/>
          <w:lang w:val="es-ES"/>
        </w:rPr>
      </w:pPr>
    </w:p>
    <w:p w14:paraId="4C730A57" w14:textId="77777777" w:rsidR="00106967" w:rsidRDefault="00106967" w:rsidP="00106967">
      <w:pPr>
        <w:spacing w:line="276" w:lineRule="auto"/>
        <w:contextualSpacing/>
        <w:jc w:val="both"/>
        <w:rPr>
          <w:rFonts w:ascii="Verdana" w:eastAsia="Times New Roman" w:hAnsi="Verdana" w:cs="Arial"/>
          <w:lang w:val="es-ES" w:eastAsia="es-ES_tradnl"/>
        </w:rPr>
      </w:pPr>
      <w:r w:rsidRPr="00217328">
        <w:rPr>
          <w:rFonts w:ascii="Verdana" w:eastAsia="Times New Roman" w:hAnsi="Verdana" w:cs="Arial"/>
          <w:lang w:val="es-ES" w:eastAsia="es-ES_tradnl"/>
        </w:rPr>
        <w:t xml:space="preserve">La Corte Constitucional en sentencia SU 339 del 4 de mayo de 2011, indicó que el derecho al debido proceso, en ciertos casos tiene un </w:t>
      </w:r>
      <w:r w:rsidRPr="00217328">
        <w:rPr>
          <w:rFonts w:ascii="Verdana" w:eastAsia="Times New Roman" w:hAnsi="Verdana" w:cs="Arial"/>
          <w:iCs/>
          <w:lang w:val="es-ES_tradnl" w:eastAsia="es-ES_tradnl"/>
        </w:rPr>
        <w:t xml:space="preserve">“carácter instrumental” pues el estricto cumplimiento de “las garantías constitutivas del debido proceso administrativo y de las regulaciones legales que determinan la actuación del poder público, </w:t>
      </w:r>
      <w:r w:rsidRPr="00217328">
        <w:rPr>
          <w:rFonts w:ascii="Verdana" w:eastAsia="Times New Roman" w:hAnsi="Verdana" w:cs="Arial"/>
          <w:i/>
          <w:lang w:val="es-ES_tradnl" w:eastAsia="es-ES_tradnl"/>
        </w:rPr>
        <w:t>se deriva la salvaguarda de otros derechos fundamentales</w:t>
      </w:r>
      <w:r w:rsidRPr="00217328">
        <w:rPr>
          <w:rFonts w:ascii="Verdana" w:eastAsia="Times New Roman" w:hAnsi="Verdana" w:cs="Arial"/>
          <w:iCs/>
          <w:lang w:val="es-ES_tradnl" w:eastAsia="es-ES_tradnl"/>
        </w:rPr>
        <w:t xml:space="preserve">”. </w:t>
      </w:r>
      <w:r w:rsidRPr="00217328">
        <w:rPr>
          <w:rFonts w:ascii="Verdana" w:eastAsia="Times New Roman" w:hAnsi="Verdana" w:cs="Arial"/>
          <w:lang w:val="es-ES" w:eastAsia="es-ES_tradnl"/>
        </w:rPr>
        <w:t xml:space="preserve">En virtud a ello, el contratista contra quien se adelanta esta clase de procedimiento administrativo sancionatorio cuenta, entre otros, con los siguientes derechos: i) a un procedimiento público; ii) el ser oído antes de la decisión; iii) a la defensa y contradicción; iv) a aportar pruebas y a contradecir las que se alleguen en su contra; iv) que el procedimiento se adelante ante la autoridad competente para conocer del asunto; v) a que se le otorgue un tratamiento igual que el dado a otros particulares; vi)  a que el procedimiento se adelante en un término razonable; y, </w:t>
      </w:r>
      <w:proofErr w:type="spellStart"/>
      <w:r w:rsidRPr="00217328">
        <w:rPr>
          <w:rFonts w:ascii="Verdana" w:eastAsia="Times New Roman" w:hAnsi="Verdana" w:cs="Arial"/>
          <w:lang w:val="es-ES" w:eastAsia="es-ES_tradnl"/>
        </w:rPr>
        <w:t>vii</w:t>
      </w:r>
      <w:proofErr w:type="spellEnd"/>
      <w:r w:rsidRPr="00217328">
        <w:rPr>
          <w:rFonts w:ascii="Verdana" w:eastAsia="Times New Roman" w:hAnsi="Verdana" w:cs="Arial"/>
          <w:lang w:val="es-ES" w:eastAsia="es-ES_tradnl"/>
        </w:rPr>
        <w:t>) a que las decisiones sean motivadas, debidamente notificadas y a impugnar las mismas.</w:t>
      </w:r>
    </w:p>
    <w:p w14:paraId="746079FA" w14:textId="77777777" w:rsidR="00106967" w:rsidRDefault="00106967" w:rsidP="00106967">
      <w:pPr>
        <w:spacing w:after="0" w:line="240" w:lineRule="auto"/>
        <w:rPr>
          <w:rFonts w:ascii="Verdana" w:eastAsia="Geomanist Light" w:hAnsi="Verdana" w:cs="Arial"/>
          <w:color w:val="000000" w:themeColor="text1"/>
          <w:lang w:val="es-MX"/>
        </w:rPr>
      </w:pPr>
    </w:p>
    <w:p w14:paraId="34346BE0" w14:textId="77777777" w:rsidR="00106967" w:rsidRDefault="00106967" w:rsidP="00106967">
      <w:pPr>
        <w:spacing w:after="0" w:line="240" w:lineRule="auto"/>
        <w:rPr>
          <w:rFonts w:ascii="Verdana" w:eastAsia="Geomanist Light" w:hAnsi="Verdana" w:cs="Arial"/>
          <w:color w:val="000000" w:themeColor="text1"/>
          <w:lang w:val="es-MX"/>
        </w:rPr>
      </w:pPr>
    </w:p>
    <w:p w14:paraId="332D20DC" w14:textId="77777777" w:rsidR="00106967" w:rsidRDefault="00106967" w:rsidP="00106967">
      <w:pPr>
        <w:spacing w:after="0" w:line="240" w:lineRule="auto"/>
        <w:rPr>
          <w:rFonts w:ascii="Verdana" w:eastAsia="Geomanist Light" w:hAnsi="Verdana" w:cs="Arial"/>
          <w:color w:val="000000" w:themeColor="text1"/>
          <w:lang w:val="es-MX"/>
        </w:rPr>
      </w:pPr>
    </w:p>
    <w:p w14:paraId="25A405DE" w14:textId="77777777" w:rsidR="00106967" w:rsidRDefault="00106967" w:rsidP="00106967">
      <w:pPr>
        <w:spacing w:after="0" w:line="240" w:lineRule="auto"/>
        <w:rPr>
          <w:rFonts w:ascii="Verdana" w:eastAsia="Geomanist Light" w:hAnsi="Verdana" w:cs="Arial"/>
          <w:color w:val="000000" w:themeColor="text1"/>
          <w:lang w:val="es-MX"/>
        </w:rPr>
      </w:pPr>
    </w:p>
    <w:p w14:paraId="60ADD7AC" w14:textId="77777777" w:rsidR="00106967" w:rsidRPr="005812BE" w:rsidRDefault="00106967" w:rsidP="00106967">
      <w:pPr>
        <w:spacing w:after="0" w:line="240" w:lineRule="auto"/>
        <w:rPr>
          <w:rFonts w:ascii="Verdana" w:eastAsia="Geomanist Light" w:hAnsi="Verdana" w:cs="Arial"/>
          <w:color w:val="201F1E"/>
          <w:lang w:val="es-MX"/>
        </w:rPr>
      </w:pPr>
      <w:r w:rsidRPr="005812BE">
        <w:rPr>
          <w:rFonts w:ascii="Verdana" w:eastAsia="Geomanist Light" w:hAnsi="Verdana" w:cs="Arial"/>
          <w:color w:val="000000" w:themeColor="text1"/>
          <w:lang w:val="es-MX"/>
        </w:rPr>
        <w:lastRenderedPageBreak/>
        <w:t>Bogotá D.C., </w:t>
      </w:r>
      <w:r w:rsidRPr="005812BE">
        <w:rPr>
          <w:rFonts w:ascii="Verdana" w:eastAsia="Geomanist Light" w:hAnsi="Verdana" w:cs="Arial"/>
          <w:color w:val="201F1E"/>
          <w:lang w:val="es-MX"/>
        </w:rPr>
        <w:t>[Día] de [</w:t>
      </w:r>
      <w:proofErr w:type="spellStart"/>
      <w:r w:rsidRPr="005812BE">
        <w:rPr>
          <w:rFonts w:ascii="Verdana" w:eastAsia="Geomanist Light" w:hAnsi="Verdana" w:cs="Arial"/>
          <w:color w:val="201F1E"/>
          <w:lang w:val="es-MX"/>
        </w:rPr>
        <w:t>Mes.NombreCapitalizado</w:t>
      </w:r>
      <w:proofErr w:type="spellEnd"/>
      <w:r w:rsidRPr="005812BE">
        <w:rPr>
          <w:rFonts w:ascii="Verdana" w:eastAsia="Geomanist Light" w:hAnsi="Verdana" w:cs="Arial"/>
          <w:color w:val="201F1E"/>
          <w:lang w:val="es-MX"/>
        </w:rPr>
        <w:t>] de [Año]</w:t>
      </w:r>
    </w:p>
    <w:p w14:paraId="0837D135" w14:textId="77777777" w:rsidR="00106967" w:rsidRPr="006C7E16" w:rsidRDefault="00106967" w:rsidP="00106967">
      <w:pPr>
        <w:spacing w:after="0" w:line="240" w:lineRule="auto"/>
        <w:jc w:val="both"/>
        <w:rPr>
          <w:rFonts w:ascii="Century Gothic" w:eastAsia="Calibri" w:hAnsi="Century Gothic" w:cs="Arial"/>
          <w:color w:val="000000"/>
          <w:lang w:val="es-ES"/>
        </w:rPr>
      </w:pPr>
    </w:p>
    <w:p w14:paraId="60618B0F" w14:textId="77777777" w:rsidR="00106967" w:rsidRPr="006C7E16" w:rsidRDefault="00106967" w:rsidP="00106967">
      <w:pPr>
        <w:spacing w:after="0" w:line="240" w:lineRule="auto"/>
        <w:jc w:val="both"/>
        <w:rPr>
          <w:rFonts w:ascii="Century Gothic" w:eastAsia="Calibri" w:hAnsi="Century Gothic" w:cs="Arial"/>
          <w:bCs/>
          <w:lang w:val="es-MX" w:eastAsia="es-ES_tradnl"/>
        </w:rPr>
      </w:pPr>
    </w:p>
    <w:p w14:paraId="1920B01E" w14:textId="77777777" w:rsidR="00106967" w:rsidRDefault="00106967" w:rsidP="00106967">
      <w:pPr>
        <w:spacing w:after="0" w:line="240" w:lineRule="auto"/>
        <w:jc w:val="both"/>
        <w:rPr>
          <w:rFonts w:ascii="Verdana" w:eastAsia="Calibri" w:hAnsi="Verdana" w:cs="Arial"/>
          <w:bCs/>
          <w:lang w:val="es-MX" w:eastAsia="es-ES_tradnl"/>
        </w:rPr>
      </w:pPr>
      <w:r w:rsidRPr="006C7E16">
        <w:rPr>
          <w:rFonts w:ascii="Verdana" w:eastAsia="Calibri" w:hAnsi="Verdana" w:cs="Arial"/>
          <w:bCs/>
          <w:lang w:val="es-MX" w:eastAsia="es-ES_tradnl"/>
        </w:rPr>
        <w:t>Señor</w:t>
      </w:r>
      <w:r>
        <w:rPr>
          <w:rFonts w:ascii="Verdana" w:eastAsia="Calibri" w:hAnsi="Verdana" w:cs="Arial"/>
          <w:bCs/>
          <w:lang w:val="es-MX" w:eastAsia="es-ES_tradnl"/>
        </w:rPr>
        <w:t>a</w:t>
      </w:r>
    </w:p>
    <w:p w14:paraId="1611376F" w14:textId="77777777" w:rsidR="00106967" w:rsidRPr="002D2A0A" w:rsidRDefault="00106967" w:rsidP="00106967">
      <w:pPr>
        <w:spacing w:after="0" w:line="240" w:lineRule="auto"/>
        <w:jc w:val="both"/>
        <w:rPr>
          <w:rFonts w:ascii="Verdana" w:eastAsia="Calibri" w:hAnsi="Verdana" w:cs="Arial"/>
          <w:b/>
          <w:lang w:val="es-MX" w:eastAsia="es-ES_tradnl"/>
        </w:rPr>
      </w:pPr>
      <w:r w:rsidRPr="002D2A0A">
        <w:rPr>
          <w:rFonts w:ascii="Verdana" w:eastAsia="Calibri" w:hAnsi="Verdana" w:cs="Arial"/>
          <w:b/>
          <w:lang w:val="es-MX" w:eastAsia="es-ES_tradnl"/>
        </w:rPr>
        <w:t xml:space="preserve">Juliana Patricia Bautista Ardila </w:t>
      </w:r>
    </w:p>
    <w:p w14:paraId="2D884A35" w14:textId="77777777" w:rsidR="00106967" w:rsidRPr="006C7E16" w:rsidRDefault="00106967" w:rsidP="00106967">
      <w:pPr>
        <w:spacing w:after="0" w:line="240" w:lineRule="auto"/>
        <w:jc w:val="both"/>
        <w:rPr>
          <w:rFonts w:ascii="Century Gothic" w:eastAsia="Calibri" w:hAnsi="Century Gothic" w:cs="Arial"/>
          <w:bCs/>
          <w:lang w:val="es-MX" w:eastAsia="es-ES_tradnl"/>
        </w:rPr>
      </w:pPr>
      <w:r>
        <w:rPr>
          <w:rFonts w:ascii="Verdana" w:eastAsia="Calibri" w:hAnsi="Verdana" w:cs="Arial"/>
          <w:bCs/>
          <w:lang w:val="es-MX" w:eastAsia="es-ES_tradnl"/>
        </w:rPr>
        <w:t>Bogotá D.C</w:t>
      </w:r>
    </w:p>
    <w:p w14:paraId="6093A586" w14:textId="77777777" w:rsidR="00106967" w:rsidRDefault="00106967" w:rsidP="00106967">
      <w:pPr>
        <w:spacing w:after="0" w:line="240" w:lineRule="auto"/>
        <w:jc w:val="right"/>
        <w:rPr>
          <w:rFonts w:ascii="Century Gothic" w:eastAsia="Calibri" w:hAnsi="Century Gothic" w:cs="Arial"/>
          <w:bCs/>
          <w:noProof/>
          <w:lang w:val="es-MX" w:eastAsia="es-ES_tradnl"/>
        </w:rPr>
      </w:pPr>
    </w:p>
    <w:p w14:paraId="1B41F074" w14:textId="774EB832" w:rsidR="00106967" w:rsidRPr="006C7E16" w:rsidRDefault="00917454" w:rsidP="00106967">
      <w:pPr>
        <w:spacing w:after="0" w:line="240" w:lineRule="auto"/>
        <w:jc w:val="right"/>
        <w:rPr>
          <w:rFonts w:ascii="Century Gothic" w:eastAsia="Calibri" w:hAnsi="Century Gothic" w:cs="Arial"/>
          <w:bCs/>
          <w:lang w:val="es-MX" w:eastAsia="es-ES_tradnl"/>
        </w:rPr>
      </w:pPr>
      <w:r w:rsidRPr="00917454">
        <w:rPr>
          <w:rFonts w:ascii="Century Gothic" w:eastAsia="Calibri" w:hAnsi="Century Gothic" w:cs="Arial"/>
          <w:bCs/>
          <w:lang w:val="es-MX" w:eastAsia="es-ES_tradnl"/>
        </w:rPr>
        <w:drawing>
          <wp:inline distT="0" distB="0" distL="0" distR="0" wp14:anchorId="21FD5791" wp14:editId="390C40CD">
            <wp:extent cx="4105275" cy="1181100"/>
            <wp:effectExtent l="0" t="0" r="9525" b="0"/>
            <wp:docPr id="42140666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06666" name="Imagen 1" descr="Texto&#10;&#10;El contenido generado por IA puede ser incorrecto."/>
                    <pic:cNvPicPr/>
                  </pic:nvPicPr>
                  <pic:blipFill>
                    <a:blip r:embed="rId10"/>
                    <a:stretch>
                      <a:fillRect/>
                    </a:stretch>
                  </pic:blipFill>
                  <pic:spPr>
                    <a:xfrm>
                      <a:off x="0" y="0"/>
                      <a:ext cx="4105275" cy="1181100"/>
                    </a:xfrm>
                    <a:prstGeom prst="rect">
                      <a:avLst/>
                    </a:prstGeom>
                  </pic:spPr>
                </pic:pic>
              </a:graphicData>
            </a:graphic>
          </wp:inline>
        </w:drawing>
      </w:r>
    </w:p>
    <w:p w14:paraId="4BB265C3" w14:textId="77777777" w:rsidR="00106967" w:rsidRPr="006C7E16" w:rsidRDefault="00106967" w:rsidP="00106967">
      <w:pPr>
        <w:spacing w:after="0" w:line="240" w:lineRule="auto"/>
        <w:rPr>
          <w:rFonts w:ascii="Century Gothic" w:eastAsia="Calibri" w:hAnsi="Century Gothic"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06967" w:rsidRPr="006C7E16" w14:paraId="67286EAC" w14:textId="77777777" w:rsidTr="00305C92">
        <w:trPr>
          <w:trHeight w:val="884"/>
        </w:trPr>
        <w:tc>
          <w:tcPr>
            <w:tcW w:w="2689" w:type="dxa"/>
          </w:tcPr>
          <w:p w14:paraId="15F6B898" w14:textId="77777777" w:rsidR="00106967" w:rsidRPr="006C7E16" w:rsidRDefault="00106967" w:rsidP="00305C92">
            <w:pPr>
              <w:jc w:val="both"/>
              <w:rPr>
                <w:rFonts w:ascii="Century Gothic" w:eastAsia="Calibri" w:hAnsi="Century Gothic" w:cs="Arial"/>
                <w:b/>
                <w:bCs/>
                <w:color w:val="7030A0"/>
                <w:lang w:val="es-ES_tradnl" w:eastAsia="es-ES_tradnl"/>
              </w:rPr>
            </w:pPr>
          </w:p>
        </w:tc>
        <w:tc>
          <w:tcPr>
            <w:tcW w:w="6100" w:type="dxa"/>
          </w:tcPr>
          <w:p w14:paraId="35144F06" w14:textId="77777777" w:rsidR="00106967" w:rsidRPr="006C7E16" w:rsidRDefault="00106967" w:rsidP="00305C92">
            <w:pPr>
              <w:jc w:val="both"/>
              <w:rPr>
                <w:rFonts w:ascii="Verdana" w:eastAsia="Calibri" w:hAnsi="Verdana" w:cs="Arial"/>
                <w:b/>
                <w:bCs/>
                <w:color w:val="7030A0"/>
                <w:lang w:val="es-ES" w:eastAsia="es-ES"/>
              </w:rPr>
            </w:pPr>
            <w:r w:rsidRPr="006C7E16">
              <w:rPr>
                <w:rFonts w:ascii="Verdana" w:eastAsia="Calibri" w:hAnsi="Verdana" w:cs="Arial"/>
                <w:b/>
                <w:bCs/>
                <w:lang w:val="es-ES" w:eastAsia="es-ES"/>
              </w:rPr>
              <w:t>Concepto C</w:t>
            </w:r>
            <w:r>
              <w:rPr>
                <w:rFonts w:ascii="Verdana" w:eastAsia="Calibri" w:hAnsi="Verdana" w:cs="Arial"/>
                <w:b/>
                <w:bCs/>
                <w:lang w:val="es-ES" w:eastAsia="es-ES"/>
              </w:rPr>
              <w:t xml:space="preserve"> – 885 </w:t>
            </w:r>
            <w:r w:rsidRPr="006C7E16">
              <w:rPr>
                <w:rFonts w:ascii="Verdana" w:eastAsia="Calibri" w:hAnsi="Verdana" w:cs="Arial"/>
                <w:b/>
                <w:bCs/>
                <w:lang w:val="es-ES" w:eastAsia="es-ES"/>
              </w:rPr>
              <w:t>de 2024</w:t>
            </w:r>
          </w:p>
        </w:tc>
      </w:tr>
      <w:tr w:rsidR="00106967" w:rsidRPr="006C7E16" w14:paraId="79506D60" w14:textId="77777777" w:rsidTr="00305C92">
        <w:trPr>
          <w:trHeight w:val="884"/>
        </w:trPr>
        <w:tc>
          <w:tcPr>
            <w:tcW w:w="2689" w:type="dxa"/>
          </w:tcPr>
          <w:p w14:paraId="152A9FFE" w14:textId="77777777" w:rsidR="00106967" w:rsidRPr="005812BE" w:rsidRDefault="00106967" w:rsidP="00305C92">
            <w:pPr>
              <w:jc w:val="both"/>
              <w:rPr>
                <w:rFonts w:ascii="Verdana" w:eastAsia="Calibri" w:hAnsi="Verdana" w:cs="Arial"/>
                <w:b/>
                <w:lang w:val="es-MX" w:eastAsia="es-ES_tradnl"/>
              </w:rPr>
            </w:pPr>
            <w:r w:rsidRPr="005812BE">
              <w:rPr>
                <w:rFonts w:ascii="Verdana" w:eastAsia="Calibri" w:hAnsi="Verdana" w:cs="Arial"/>
                <w:b/>
                <w:lang w:val="es-MX" w:eastAsia="es-ES_tradnl"/>
              </w:rPr>
              <w:t xml:space="preserve">Temas:                   </w:t>
            </w:r>
          </w:p>
        </w:tc>
        <w:tc>
          <w:tcPr>
            <w:tcW w:w="6100" w:type="dxa"/>
          </w:tcPr>
          <w:p w14:paraId="07D91B58" w14:textId="7E49FB95" w:rsidR="007A10B8" w:rsidRPr="003B367A" w:rsidRDefault="007A10B8" w:rsidP="007A10B8">
            <w:pPr>
              <w:jc w:val="both"/>
              <w:rPr>
                <w:rFonts w:ascii="Verdana" w:eastAsia="Geomanist Light" w:hAnsi="Verdana" w:cs="Arial"/>
                <w:color w:val="000000" w:themeColor="text1"/>
                <w:lang w:val="es-MX"/>
              </w:rPr>
            </w:pPr>
            <w:r w:rsidRPr="003B367A">
              <w:rPr>
                <w:rFonts w:ascii="Verdana" w:eastAsia="Calibri" w:hAnsi="Verdana" w:cs="Arial"/>
                <w:color w:val="000000" w:themeColor="text1"/>
                <w:lang w:val="es-ES_tradnl" w:eastAsia="es-ES"/>
              </w:rPr>
              <w:t xml:space="preserve">PROCEDIMIENTO SANCIONATORIO CONTRACTUAL – Citación a audiencia – Recurso de reposición </w:t>
            </w:r>
          </w:p>
          <w:p w14:paraId="3DA836F0" w14:textId="77777777" w:rsidR="00106967" w:rsidRPr="006C7E16" w:rsidRDefault="00106967" w:rsidP="003B367A">
            <w:pPr>
              <w:jc w:val="both"/>
              <w:rPr>
                <w:rFonts w:ascii="Verdana" w:eastAsia="Calibri" w:hAnsi="Verdana" w:cs="Arial"/>
                <w:bCs/>
                <w:lang w:val="es-ES" w:eastAsia="es-ES_tradnl"/>
              </w:rPr>
            </w:pPr>
          </w:p>
        </w:tc>
      </w:tr>
      <w:tr w:rsidR="00106967" w:rsidRPr="006C7E16" w14:paraId="19B2FA47" w14:textId="77777777" w:rsidTr="00305C92">
        <w:tc>
          <w:tcPr>
            <w:tcW w:w="2689" w:type="dxa"/>
          </w:tcPr>
          <w:p w14:paraId="1D80F410" w14:textId="77777777" w:rsidR="00106967" w:rsidRPr="005812BE" w:rsidRDefault="00106967" w:rsidP="00305C92">
            <w:pPr>
              <w:jc w:val="both"/>
              <w:rPr>
                <w:rFonts w:ascii="Verdana" w:eastAsia="Calibri" w:hAnsi="Verdana" w:cs="Arial"/>
                <w:b/>
                <w:lang w:val="es-MX" w:eastAsia="es-ES_tradnl"/>
              </w:rPr>
            </w:pPr>
            <w:r w:rsidRPr="005812BE">
              <w:rPr>
                <w:rFonts w:ascii="Verdana" w:eastAsia="Calibri" w:hAnsi="Verdana" w:cs="Arial"/>
                <w:b/>
                <w:lang w:val="es-MX" w:eastAsia="es-ES_tradnl"/>
              </w:rPr>
              <w:t xml:space="preserve">Radicación:               </w:t>
            </w:r>
          </w:p>
        </w:tc>
        <w:tc>
          <w:tcPr>
            <w:tcW w:w="6100" w:type="dxa"/>
          </w:tcPr>
          <w:p w14:paraId="771FCAC6" w14:textId="77777777" w:rsidR="00106967" w:rsidRPr="006C7E16" w:rsidRDefault="00106967" w:rsidP="00305C92">
            <w:pPr>
              <w:jc w:val="both"/>
              <w:rPr>
                <w:rFonts w:ascii="Verdana" w:eastAsia="Calibri" w:hAnsi="Verdana" w:cs="Arial"/>
                <w:bCs/>
                <w:lang w:val="es-MX" w:eastAsia="es-ES_tradnl"/>
              </w:rPr>
            </w:pPr>
            <w:r w:rsidRPr="006C7E16">
              <w:rPr>
                <w:rFonts w:ascii="Verdana" w:eastAsia="Calibri" w:hAnsi="Verdana" w:cs="Arial"/>
                <w:bCs/>
                <w:lang w:val="es-MX" w:eastAsia="es-ES_tradnl"/>
              </w:rPr>
              <w:t>Respuesta a consulta con radicado No. P</w:t>
            </w:r>
            <w:r w:rsidRPr="00D11BD1">
              <w:rPr>
                <w:rFonts w:ascii="Verdana" w:eastAsia="Calibri" w:hAnsi="Verdana" w:cs="Arial"/>
                <w:bCs/>
                <w:lang w:val="es-MX" w:eastAsia="es-ES_tradnl"/>
              </w:rPr>
              <w:t>202</w:t>
            </w:r>
            <w:r>
              <w:rPr>
                <w:rFonts w:ascii="Verdana" w:eastAsia="Calibri" w:hAnsi="Verdana" w:cs="Arial"/>
                <w:bCs/>
                <w:lang w:val="es-MX" w:eastAsia="es-ES_tradnl"/>
              </w:rPr>
              <w:t>41220012743</w:t>
            </w:r>
          </w:p>
        </w:tc>
      </w:tr>
    </w:tbl>
    <w:p w14:paraId="02384273" w14:textId="77777777" w:rsidR="00106967" w:rsidRPr="006C7E16" w:rsidRDefault="00106967" w:rsidP="00106967">
      <w:pPr>
        <w:spacing w:after="0" w:line="240" w:lineRule="auto"/>
        <w:jc w:val="both"/>
        <w:rPr>
          <w:rFonts w:ascii="Century Gothic" w:eastAsia="Calibri" w:hAnsi="Century Gothic" w:cs="Arial"/>
          <w:color w:val="000000"/>
          <w:lang w:val="es-ES_tradnl" w:eastAsia="es-ES_tradnl"/>
        </w:rPr>
      </w:pPr>
    </w:p>
    <w:p w14:paraId="4359E249" w14:textId="77777777" w:rsidR="00106967" w:rsidRPr="006C7E16" w:rsidRDefault="00106967" w:rsidP="00106967">
      <w:pPr>
        <w:spacing w:after="0" w:line="240" w:lineRule="auto"/>
        <w:jc w:val="both"/>
        <w:rPr>
          <w:rFonts w:ascii="Century Gothic" w:eastAsia="Calibri" w:hAnsi="Century Gothic" w:cs="Arial"/>
          <w:color w:val="000000"/>
          <w:lang w:val="es-ES_tradnl" w:eastAsia="es-ES_tradnl"/>
        </w:rPr>
      </w:pPr>
    </w:p>
    <w:p w14:paraId="6A4AE050" w14:textId="330E84D4" w:rsidR="00106967" w:rsidRPr="006C7E16" w:rsidRDefault="00106967" w:rsidP="00106967">
      <w:pPr>
        <w:spacing w:after="0" w:line="276" w:lineRule="auto"/>
        <w:jc w:val="both"/>
        <w:rPr>
          <w:rFonts w:ascii="Verdana" w:eastAsia="Calibri" w:hAnsi="Verdana" w:cs="Arial"/>
          <w:bCs/>
          <w:lang w:val="es-MX" w:eastAsia="es-ES_tradnl"/>
        </w:rPr>
      </w:pPr>
      <w:r w:rsidRPr="006C7E16">
        <w:rPr>
          <w:rFonts w:ascii="Verdana" w:eastAsia="Calibri" w:hAnsi="Verdana" w:cs="Arial"/>
          <w:bCs/>
          <w:lang w:val="es-MX" w:eastAsia="es-ES_tradnl"/>
        </w:rPr>
        <w:t>Estimad</w:t>
      </w:r>
      <w:r>
        <w:rPr>
          <w:rFonts w:ascii="Verdana" w:eastAsia="Calibri" w:hAnsi="Verdana" w:cs="Arial"/>
          <w:bCs/>
          <w:lang w:val="es-MX" w:eastAsia="es-ES_tradnl"/>
        </w:rPr>
        <w:t>a</w:t>
      </w:r>
      <w:r w:rsidRPr="006C7E16">
        <w:rPr>
          <w:rFonts w:ascii="Verdana" w:eastAsia="Calibri" w:hAnsi="Verdana" w:cs="Arial"/>
          <w:bCs/>
          <w:lang w:val="es-MX" w:eastAsia="es-ES_tradnl"/>
        </w:rPr>
        <w:t xml:space="preserve"> señor</w:t>
      </w:r>
      <w:r>
        <w:rPr>
          <w:rFonts w:ascii="Verdana" w:eastAsia="Calibri" w:hAnsi="Verdana" w:cs="Arial"/>
          <w:bCs/>
          <w:lang w:val="es-MX" w:eastAsia="es-ES_tradnl"/>
        </w:rPr>
        <w:t>a</w:t>
      </w:r>
      <w:r w:rsidRPr="006C7E16">
        <w:rPr>
          <w:rFonts w:ascii="Verdana" w:eastAsia="Calibri" w:hAnsi="Verdana" w:cs="Arial"/>
          <w:bCs/>
          <w:lang w:val="es-MX" w:eastAsia="es-ES_tradnl"/>
        </w:rPr>
        <w:t xml:space="preserve"> </w:t>
      </w:r>
      <w:r w:rsidR="002E3271">
        <w:rPr>
          <w:rFonts w:ascii="Verdana" w:eastAsia="Calibri" w:hAnsi="Verdana" w:cs="Arial"/>
          <w:bCs/>
          <w:lang w:val="es-MX" w:eastAsia="es-ES_tradnl"/>
        </w:rPr>
        <w:t>Bautista</w:t>
      </w:r>
      <w:r w:rsidRPr="006C7E16">
        <w:rPr>
          <w:rFonts w:ascii="Verdana" w:eastAsia="Calibri" w:hAnsi="Verdana" w:cs="Arial"/>
          <w:bCs/>
          <w:lang w:val="es-MX" w:eastAsia="es-ES_tradnl"/>
        </w:rPr>
        <w:t xml:space="preserve">: </w:t>
      </w:r>
    </w:p>
    <w:p w14:paraId="558C4D14" w14:textId="77777777" w:rsidR="00106967" w:rsidRPr="006C7E16" w:rsidRDefault="00106967" w:rsidP="00106967">
      <w:pPr>
        <w:tabs>
          <w:tab w:val="left" w:pos="3768"/>
        </w:tabs>
        <w:spacing w:after="0" w:line="276" w:lineRule="auto"/>
        <w:jc w:val="both"/>
        <w:rPr>
          <w:rFonts w:ascii="Verdana" w:eastAsia="Calibri" w:hAnsi="Verdana" w:cs="Arial"/>
          <w:color w:val="000000" w:themeColor="text1"/>
          <w:lang w:val="es-ES" w:eastAsia="es-ES"/>
        </w:rPr>
      </w:pPr>
      <w:r w:rsidRPr="006C7E16">
        <w:rPr>
          <w:rFonts w:ascii="Verdana" w:eastAsia="Calibri" w:hAnsi="Verdana" w:cs="Arial"/>
          <w:color w:val="000000" w:themeColor="text1"/>
          <w:lang w:val="es-ES" w:eastAsia="es-ES"/>
        </w:rPr>
        <w:tab/>
      </w:r>
    </w:p>
    <w:p w14:paraId="0275E750" w14:textId="77777777" w:rsidR="00106967" w:rsidRPr="006C7E16" w:rsidRDefault="00106967" w:rsidP="00106967">
      <w:pPr>
        <w:spacing w:after="0" w:line="276" w:lineRule="auto"/>
        <w:jc w:val="both"/>
        <w:rPr>
          <w:rFonts w:ascii="Verdana" w:eastAsia="Calibri" w:hAnsi="Verdana" w:cs="Arial"/>
          <w:lang w:val="es-ES" w:eastAsia="es-ES"/>
        </w:rPr>
      </w:pPr>
      <w:r w:rsidRPr="006C7E16">
        <w:rPr>
          <w:rFonts w:ascii="Verdana" w:eastAsia="Calibri" w:hAnsi="Verdana" w:cs="Arial"/>
          <w:color w:val="000000" w:themeColor="text1"/>
          <w:lang w:val="es-ES" w:eastAsia="es-ES"/>
        </w:rPr>
        <w:t>En ejercicio de la competencia otorgada por los artículos 3, numeral 5º, y 11, numeral 8º, del Decreto Ley 4170 de 2011,</w:t>
      </w:r>
      <w:r w:rsidRPr="006C7E16">
        <w:rPr>
          <w:rFonts w:ascii="Verdana" w:eastAsia="Arial MT" w:hAnsi="Verdana" w:cs="Arial MT"/>
          <w:lang w:val="es-ES" w:eastAsia="es-ES"/>
        </w:rPr>
        <w:t xml:space="preserve"> </w:t>
      </w:r>
      <w:r w:rsidRPr="006C7E16">
        <w:rPr>
          <w:rFonts w:ascii="Verdana" w:eastAsia="Times New Roman" w:hAnsi="Verdana" w:cs="Arial"/>
        </w:rPr>
        <w:t xml:space="preserve">así como lo establecido en el artículo 4 de la Resolución 1707 de 2018 expedida por esta Entidad, </w:t>
      </w:r>
      <w:r w:rsidRPr="006C7E1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20</w:t>
      </w:r>
      <w:r w:rsidRPr="006C7E16">
        <w:rPr>
          <w:rFonts w:ascii="Verdana" w:eastAsia="Calibri" w:hAnsi="Verdana" w:cs="Arial"/>
          <w:lang w:val="es-ES" w:eastAsia="es-ES"/>
        </w:rPr>
        <w:t xml:space="preserve"> de </w:t>
      </w:r>
      <w:r>
        <w:rPr>
          <w:rFonts w:ascii="Verdana" w:eastAsia="Calibri" w:hAnsi="Verdana" w:cs="Arial"/>
          <w:lang w:val="es-ES" w:eastAsia="es-ES"/>
        </w:rPr>
        <w:t>diciembre</w:t>
      </w:r>
      <w:r w:rsidRPr="006C7E16">
        <w:rPr>
          <w:rFonts w:ascii="Verdana" w:eastAsia="Calibri" w:hAnsi="Verdana" w:cs="Arial"/>
          <w:lang w:val="es-ES" w:eastAsia="es-ES"/>
        </w:rPr>
        <w:t xml:space="preserve"> de 2024</w:t>
      </w:r>
      <w:r>
        <w:rPr>
          <w:rFonts w:ascii="Verdana" w:eastAsia="Calibri" w:hAnsi="Verdana" w:cs="Arial"/>
          <w:lang w:val="es-ES" w:eastAsia="es-ES"/>
        </w:rPr>
        <w:t xml:space="preserve"> remitida por el Departamento Administrativo de la Función Pública</w:t>
      </w:r>
      <w:r w:rsidRPr="006C7E16">
        <w:rPr>
          <w:rFonts w:ascii="Verdana" w:eastAsia="Calibri" w:hAnsi="Verdana" w:cs="Arial"/>
          <w:lang w:val="es-ES" w:eastAsia="es-ES"/>
        </w:rPr>
        <w:t xml:space="preserve">, en la cual manifiesta lo siguiente: </w:t>
      </w:r>
    </w:p>
    <w:p w14:paraId="0037A2E3" w14:textId="77777777" w:rsidR="00106967" w:rsidRPr="006C7E16" w:rsidRDefault="00106967" w:rsidP="00106967">
      <w:pPr>
        <w:tabs>
          <w:tab w:val="left" w:pos="142"/>
          <w:tab w:val="left" w:pos="284"/>
        </w:tabs>
        <w:spacing w:line="276" w:lineRule="auto"/>
        <w:contextualSpacing/>
        <w:jc w:val="both"/>
        <w:rPr>
          <w:rFonts w:ascii="Century Gothic" w:eastAsia="Century Gothic" w:hAnsi="Century Gothic" w:cs="Century Gothic"/>
          <w:b/>
          <w:bCs/>
          <w:lang w:val="es-ES"/>
        </w:rPr>
      </w:pPr>
    </w:p>
    <w:p w14:paraId="71708221" w14:textId="5292464D" w:rsidR="00106967" w:rsidRPr="006C7E16" w:rsidRDefault="00106967" w:rsidP="00106967">
      <w:pPr>
        <w:tabs>
          <w:tab w:val="left" w:pos="142"/>
          <w:tab w:val="left" w:pos="284"/>
        </w:tabs>
        <w:spacing w:after="120" w:line="276" w:lineRule="auto"/>
        <w:ind w:left="709" w:right="709"/>
        <w:contextualSpacing/>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¿Cuál es el plazo establecido para resolver el recurso de reposición en el procedimiento sancionatorio contractual, conforme al </w:t>
      </w:r>
      <w:r w:rsidR="003B367A">
        <w:rPr>
          <w:rFonts w:ascii="Verdana" w:eastAsia="Century Gothic" w:hAnsi="Verdana" w:cs="Century Gothic"/>
          <w:sz w:val="20"/>
          <w:szCs w:val="20"/>
          <w:lang w:val="es-ES"/>
        </w:rPr>
        <w:t>artículo</w:t>
      </w:r>
      <w:r>
        <w:rPr>
          <w:rFonts w:ascii="Verdana" w:eastAsia="Century Gothic" w:hAnsi="Verdana" w:cs="Century Gothic"/>
          <w:sz w:val="20"/>
          <w:szCs w:val="20"/>
          <w:lang w:val="es-ES"/>
        </w:rPr>
        <w:t xml:space="preserve"> 86 de la ley 1474 de 2011?</w:t>
      </w:r>
    </w:p>
    <w:p w14:paraId="043D2E83" w14:textId="77777777" w:rsidR="00106967" w:rsidRPr="006C7E16" w:rsidRDefault="00106967" w:rsidP="00106967">
      <w:pPr>
        <w:tabs>
          <w:tab w:val="left" w:pos="142"/>
          <w:tab w:val="left" w:pos="284"/>
        </w:tabs>
        <w:spacing w:after="120" w:line="276" w:lineRule="auto"/>
        <w:ind w:left="709" w:right="709"/>
        <w:contextualSpacing/>
        <w:jc w:val="both"/>
        <w:rPr>
          <w:rFonts w:ascii="Verdana" w:eastAsia="Century Gothic" w:hAnsi="Verdana" w:cs="Century Gothic"/>
          <w:sz w:val="20"/>
          <w:szCs w:val="20"/>
          <w:lang w:val="es-ES"/>
        </w:rPr>
      </w:pPr>
    </w:p>
    <w:p w14:paraId="13659D1C" w14:textId="77777777" w:rsidR="00106967" w:rsidRPr="006C7E16" w:rsidRDefault="00106967" w:rsidP="00106967">
      <w:pPr>
        <w:spacing w:after="120" w:line="276" w:lineRule="auto"/>
        <w:ind w:firstLine="709"/>
        <w:jc w:val="both"/>
        <w:rPr>
          <w:rFonts w:ascii="Verdana" w:eastAsia="Calibri" w:hAnsi="Verdana" w:cs="Arial"/>
          <w:color w:val="000000"/>
          <w:lang w:val="es-ES_tradnl" w:eastAsia="es-ES_tradnl"/>
        </w:rPr>
      </w:pPr>
      <w:r w:rsidRPr="006C7E1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6C7E16">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C7E16">
        <w:rPr>
          <w:rFonts w:ascii="Verdana" w:eastAsia="Calibri" w:hAnsi="Verdana" w:cs="Arial"/>
          <w:color w:val="000000"/>
          <w:lang w:val="es-ES_tradnl" w:eastAsia="es-ES_tradnl"/>
        </w:rPr>
        <w:tab/>
      </w:r>
    </w:p>
    <w:p w14:paraId="3C48F671" w14:textId="77777777" w:rsidR="00106967" w:rsidRPr="006C7E16" w:rsidRDefault="00106967" w:rsidP="00106967">
      <w:pPr>
        <w:spacing w:after="0" w:line="276" w:lineRule="auto"/>
        <w:ind w:firstLine="709"/>
        <w:jc w:val="both"/>
        <w:rPr>
          <w:rFonts w:ascii="Verdana" w:eastAsia="Calibri" w:hAnsi="Verdana" w:cs="Arial"/>
          <w:color w:val="000000"/>
          <w:lang w:val="es-ES" w:eastAsia="es-ES"/>
        </w:rPr>
      </w:pPr>
      <w:r w:rsidRPr="006C7E1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problema</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jurídico</w:t>
      </w:r>
      <w:r w:rsidRPr="006C7E16">
        <w:rPr>
          <w:rFonts w:ascii="Verdana" w:eastAsia="Calibri" w:hAnsi="Verdana" w:cs="Arial"/>
          <w:color w:val="7030A0"/>
          <w:lang w:val="es-ES" w:eastAsia="es-ES"/>
        </w:rPr>
        <w:t xml:space="preserve"> </w:t>
      </w:r>
      <w:r w:rsidRPr="006C7E16">
        <w:rPr>
          <w:rFonts w:ascii="Verdana" w:eastAsia="Calibri" w:hAnsi="Verdana" w:cs="Arial"/>
          <w:color w:val="000000"/>
          <w:lang w:val="es-ES" w:eastAsia="es-ES"/>
        </w:rPr>
        <w:t xml:space="preserve">de su consulta. </w:t>
      </w:r>
    </w:p>
    <w:p w14:paraId="56231A87" w14:textId="77777777" w:rsidR="00106967" w:rsidRPr="006C7E16" w:rsidRDefault="00106967" w:rsidP="00106967">
      <w:pPr>
        <w:spacing w:after="0" w:line="276" w:lineRule="auto"/>
        <w:ind w:firstLine="709"/>
        <w:jc w:val="both"/>
        <w:rPr>
          <w:rFonts w:ascii="Century Gothic" w:eastAsia="Calibri" w:hAnsi="Century Gothic" w:cs="Arial"/>
          <w:color w:val="000000"/>
          <w:lang w:val="es-ES" w:eastAsia="es-ES"/>
        </w:rPr>
      </w:pPr>
    </w:p>
    <w:p w14:paraId="1BBD7FD7" w14:textId="77777777" w:rsidR="00106967" w:rsidRPr="000F0744" w:rsidRDefault="00106967" w:rsidP="00106967">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0F0744">
        <w:rPr>
          <w:rFonts w:ascii="Verdana" w:eastAsia="Century Gothic" w:hAnsi="Verdana" w:cs="Century Gothic"/>
          <w:b/>
          <w:bCs/>
          <w:lang w:val="es-ES"/>
        </w:rPr>
        <w:t>Problema planteado:</w:t>
      </w:r>
    </w:p>
    <w:p w14:paraId="4FDE29EE" w14:textId="77777777" w:rsidR="00106967" w:rsidRPr="000F0744" w:rsidRDefault="00106967" w:rsidP="00106967">
      <w:pPr>
        <w:tabs>
          <w:tab w:val="left" w:pos="426"/>
        </w:tabs>
        <w:spacing w:after="0" w:line="276" w:lineRule="auto"/>
        <w:jc w:val="both"/>
        <w:rPr>
          <w:rFonts w:ascii="Verdana" w:eastAsia="Century Gothic" w:hAnsi="Verdana" w:cs="Century Gothic"/>
          <w:lang w:val="es-ES"/>
        </w:rPr>
      </w:pPr>
    </w:p>
    <w:p w14:paraId="18FB6C99" w14:textId="7FFAAB59" w:rsidR="00106967" w:rsidRPr="00570A3F" w:rsidRDefault="00106967" w:rsidP="00106967">
      <w:pPr>
        <w:tabs>
          <w:tab w:val="left" w:pos="142"/>
          <w:tab w:val="left" w:pos="284"/>
        </w:tabs>
        <w:spacing w:after="120" w:line="276" w:lineRule="auto"/>
        <w:contextualSpacing/>
        <w:jc w:val="both"/>
        <w:rPr>
          <w:rFonts w:ascii="Verdana" w:eastAsia="Century Gothic" w:hAnsi="Verdana" w:cs="Century Gothic"/>
        </w:rPr>
      </w:pPr>
      <w:r w:rsidRPr="000F0744">
        <w:rPr>
          <w:rFonts w:ascii="Verdana" w:eastAsia="Century Gothic" w:hAnsi="Verdana" w:cs="Century Gothic"/>
        </w:rPr>
        <w:t xml:space="preserve">De acuerdo con el contenido de su solicitud, esta Agencia resolverá </w:t>
      </w:r>
      <w:r>
        <w:rPr>
          <w:rFonts w:ascii="Verdana" w:eastAsia="Century Gothic" w:hAnsi="Verdana" w:cs="Century Gothic"/>
        </w:rPr>
        <w:t>el siguiente</w:t>
      </w:r>
      <w:r w:rsidRPr="000F0744">
        <w:rPr>
          <w:rFonts w:ascii="Verdana" w:eastAsia="Century Gothic" w:hAnsi="Verdana" w:cs="Century Gothic"/>
        </w:rPr>
        <w:t xml:space="preserve"> problema jurídico:</w:t>
      </w:r>
      <w:r>
        <w:rPr>
          <w:rFonts w:ascii="Verdana" w:eastAsia="Century Gothic" w:hAnsi="Verdana" w:cs="Century Gothic"/>
        </w:rPr>
        <w:t xml:space="preserve"> </w:t>
      </w:r>
      <w:r w:rsidRPr="00570A3F">
        <w:rPr>
          <w:rFonts w:ascii="Verdana" w:eastAsia="Century Gothic" w:hAnsi="Verdana" w:cs="Century Gothic"/>
        </w:rPr>
        <w:t>¿Cuál es el plazo establecido para resolver el recurso de reposición en el procedimiento sancionatorio contractual</w:t>
      </w:r>
      <w:r w:rsidR="001B1050">
        <w:rPr>
          <w:rFonts w:ascii="Verdana" w:eastAsia="Century Gothic" w:hAnsi="Verdana" w:cs="Century Gothic"/>
        </w:rPr>
        <w:t xml:space="preserve"> de</w:t>
      </w:r>
      <w:r w:rsidRPr="00570A3F">
        <w:rPr>
          <w:rFonts w:ascii="Verdana" w:eastAsia="Century Gothic" w:hAnsi="Verdana" w:cs="Century Gothic"/>
        </w:rPr>
        <w:t xml:space="preserve">l artículo 86 de la </w:t>
      </w:r>
      <w:r w:rsidR="007B359D">
        <w:rPr>
          <w:rFonts w:ascii="Verdana" w:eastAsia="Century Gothic" w:hAnsi="Verdana" w:cs="Century Gothic"/>
        </w:rPr>
        <w:t>L</w:t>
      </w:r>
      <w:r w:rsidRPr="00570A3F">
        <w:rPr>
          <w:rFonts w:ascii="Verdana" w:eastAsia="Century Gothic" w:hAnsi="Verdana" w:cs="Century Gothic"/>
        </w:rPr>
        <w:t>ey 1474 de 2011?</w:t>
      </w:r>
    </w:p>
    <w:p w14:paraId="15854686" w14:textId="77777777" w:rsidR="00106967" w:rsidRDefault="00106967" w:rsidP="00106967">
      <w:pPr>
        <w:spacing w:after="0" w:line="276" w:lineRule="auto"/>
        <w:jc w:val="both"/>
        <w:rPr>
          <w:rFonts w:ascii="Verdana" w:eastAsia="Century Gothic" w:hAnsi="Verdana" w:cs="Century Gothic"/>
        </w:rPr>
      </w:pPr>
    </w:p>
    <w:p w14:paraId="34EF3B07" w14:textId="71909227" w:rsidR="00106967" w:rsidRPr="000F0744" w:rsidRDefault="00AF50E8" w:rsidP="00106967">
      <w:pPr>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2. </w:t>
      </w:r>
      <w:r w:rsidR="00106967" w:rsidRPr="000F0744">
        <w:rPr>
          <w:rFonts w:ascii="Verdana" w:eastAsia="Century Gothic" w:hAnsi="Verdana" w:cs="Century Gothic"/>
          <w:b/>
          <w:bCs/>
          <w:lang w:val="es-ES"/>
        </w:rPr>
        <w:t>Respuesta:</w:t>
      </w:r>
    </w:p>
    <w:p w14:paraId="58B8514C" w14:textId="77777777" w:rsidR="00106967" w:rsidRPr="006C7E16" w:rsidRDefault="00106967" w:rsidP="00106967">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06967" w:rsidRPr="006C7E16" w14:paraId="39B965BE" w14:textId="77777777" w:rsidTr="00305C92">
        <w:tc>
          <w:tcPr>
            <w:tcW w:w="8828" w:type="dxa"/>
            <w:shd w:val="clear" w:color="auto" w:fill="auto"/>
          </w:tcPr>
          <w:p w14:paraId="7413E7E8" w14:textId="77777777" w:rsidR="00BD25CC" w:rsidRDefault="00106967" w:rsidP="003B367A">
            <w:pPr>
              <w:spacing w:line="276" w:lineRule="auto"/>
              <w:jc w:val="both"/>
              <w:rPr>
                <w:rFonts w:ascii="Verdana" w:eastAsia="Times New Roman" w:hAnsi="Verdana" w:cs="Arial"/>
                <w:lang w:val="es-ES" w:eastAsia="es-ES"/>
              </w:rPr>
            </w:pPr>
            <w:r>
              <w:rPr>
                <w:rFonts w:ascii="Verdana" w:eastAsia="Times New Roman" w:hAnsi="Verdana" w:cs="Arial"/>
                <w:lang w:val="es-ES" w:eastAsia="es-ES"/>
              </w:rPr>
              <w:t xml:space="preserve">El </w:t>
            </w:r>
            <w:r w:rsidRPr="00217328">
              <w:rPr>
                <w:rFonts w:ascii="Verdana" w:eastAsia="Times New Roman" w:hAnsi="Verdana" w:cs="Arial"/>
                <w:lang w:val="es-ES" w:eastAsia="es-ES"/>
              </w:rPr>
              <w:t>artículo 86 de la Ley 1474 de 2011 establece las etapas del procedimiento que se deben seguir, las cuales se sintetizan, de forma esquemática, así: i) c</w:t>
            </w:r>
            <w:r w:rsidRPr="00217328">
              <w:rPr>
                <w:rFonts w:ascii="Verdana" w:eastAsia="Times New Roman" w:hAnsi="Verdana" w:cs="Arial"/>
                <w:i/>
                <w:iCs/>
                <w:lang w:val="es-ES" w:eastAsia="es-ES"/>
              </w:rPr>
              <w:t>itación a audiencia</w:t>
            </w:r>
            <w:r w:rsidRPr="00217328">
              <w:rPr>
                <w:rFonts w:ascii="Verdana" w:eastAsia="Times New Roman" w:hAnsi="Verdana" w:cs="Arial"/>
                <w:lang w:val="es-ES" w:eastAsia="es-ES"/>
              </w:rPr>
              <w:t xml:space="preserve">. Es necesario remitir una citación a audiencia al contratista y al garante –cuando proceda–, cuyo contenido de señalará más adelante. ii) </w:t>
            </w:r>
            <w:r w:rsidRPr="00217328">
              <w:rPr>
                <w:rFonts w:ascii="Verdana" w:eastAsia="Times New Roman" w:hAnsi="Verdana" w:cs="Arial"/>
                <w:i/>
                <w:iCs/>
                <w:lang w:val="es-ES" w:eastAsia="es-ES"/>
              </w:rPr>
              <w:t>Audiencia</w:t>
            </w:r>
            <w:r w:rsidRPr="00217328">
              <w:rPr>
                <w:rFonts w:ascii="Verdana" w:eastAsia="Times New Roman" w:hAnsi="Verdana" w:cs="Arial"/>
                <w:lang w:val="es-ES" w:eastAsia="es-ES"/>
              </w:rPr>
              <w:t>.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w:t>
            </w:r>
            <w:r w:rsidR="00BD25CC">
              <w:rPr>
                <w:rFonts w:ascii="Verdana" w:eastAsia="Times New Roman" w:hAnsi="Verdana" w:cs="Arial"/>
                <w:lang w:val="es-ES" w:eastAsia="es-ES"/>
              </w:rPr>
              <w:t xml:space="preserve"> y</w:t>
            </w:r>
            <w:r w:rsidRPr="00217328">
              <w:rPr>
                <w:rFonts w:ascii="Verdana" w:eastAsia="Times New Roman" w:hAnsi="Verdana" w:cs="Arial"/>
                <w:lang w:val="es-ES" w:eastAsia="es-ES"/>
              </w:rPr>
              <w:t xml:space="preserve"> iii) </w:t>
            </w:r>
            <w:r w:rsidRPr="00217328">
              <w:rPr>
                <w:rFonts w:ascii="Verdana" w:eastAsia="Times New Roman" w:hAnsi="Verdana" w:cs="Arial"/>
                <w:i/>
                <w:iCs/>
                <w:lang w:val="es-ES" w:eastAsia="es-ES"/>
              </w:rPr>
              <w:t>Decisión</w:t>
            </w:r>
            <w:r w:rsidRPr="00217328">
              <w:rPr>
                <w:rFonts w:ascii="Verdana" w:eastAsia="Times New Roman" w:hAnsi="Verdana" w:cs="Arial"/>
                <w:lang w:val="es-ES" w:eastAsia="es-ES"/>
              </w:rPr>
              <w:t xml:space="preserve">. Debe estar contenida en resolución motivada donde se consigne, por un lado, lo ocurrido en el desarrollo de la diligencia y, por el otro, lo relativo a la imposición o no de multas y sanciones o la declaratoria de incumplimiento del contrato estatal. </w:t>
            </w:r>
          </w:p>
          <w:p w14:paraId="40865C2D" w14:textId="77777777" w:rsidR="00BD25CC" w:rsidRDefault="00BD25CC" w:rsidP="003B367A">
            <w:pPr>
              <w:spacing w:line="276" w:lineRule="auto"/>
              <w:jc w:val="both"/>
              <w:rPr>
                <w:rFonts w:ascii="Verdana" w:eastAsia="Times New Roman" w:hAnsi="Verdana" w:cs="Arial"/>
                <w:lang w:val="es-ES" w:eastAsia="es-ES"/>
              </w:rPr>
            </w:pPr>
          </w:p>
          <w:p w14:paraId="3213B953" w14:textId="2E37B9DF" w:rsidR="00106967" w:rsidRPr="008F3B49" w:rsidRDefault="00106967" w:rsidP="003B367A">
            <w:pPr>
              <w:spacing w:line="276" w:lineRule="auto"/>
              <w:jc w:val="both"/>
              <w:rPr>
                <w:rFonts w:ascii="Century Gothic" w:eastAsia="Calibri" w:hAnsi="Century Gothic" w:cs="Arial"/>
                <w:color w:val="000000"/>
              </w:rPr>
            </w:pPr>
            <w:r w:rsidRPr="00087508">
              <w:rPr>
                <w:rFonts w:ascii="Verdana" w:eastAsia="Times New Roman" w:hAnsi="Verdana" w:cs="Arial"/>
                <w:lang w:val="es-ES" w:eastAsia="es-ES"/>
              </w:rPr>
              <w:t>Contra la decisión únicamente procede el recurso de reposición que se interpondrá, sustentará y decidirá en la misma diligencia.</w:t>
            </w:r>
            <w:r w:rsidRPr="00217328">
              <w:rPr>
                <w:rFonts w:ascii="Verdana" w:eastAsia="Times New Roman" w:hAnsi="Verdana" w:cs="Arial"/>
                <w:lang w:val="es-ES" w:eastAsia="es-ES"/>
              </w:rPr>
              <w:t xml:space="preserve"> Ambas decisiones se entenderán notificadas en audiencia. </w:t>
            </w:r>
            <w:r w:rsidR="00DA2B37">
              <w:rPr>
                <w:rFonts w:ascii="Verdana" w:eastAsia="Times New Roman" w:hAnsi="Verdana" w:cs="Arial"/>
                <w:lang w:val="es-ES" w:eastAsia="es-ES"/>
              </w:rPr>
              <w:t xml:space="preserve">En todo caso, el literal d) del artículo 86 de la Ley 1474 de 2011 dispone que </w:t>
            </w:r>
            <w:r w:rsidR="003F1CDE">
              <w:rPr>
                <w:rFonts w:ascii="Verdana" w:eastAsia="Times New Roman" w:hAnsi="Verdana" w:cs="Arial"/>
                <w:lang w:val="es-ES" w:eastAsia="es-ES"/>
              </w:rPr>
              <w:t xml:space="preserve">se puede suspender la audiencia por una razón debidamente sustentada y </w:t>
            </w:r>
            <w:r w:rsidR="005B673D">
              <w:rPr>
                <w:rFonts w:ascii="Verdana" w:eastAsia="Times New Roman" w:hAnsi="Verdana" w:cs="Arial"/>
                <w:lang w:val="es-ES" w:eastAsia="es-ES"/>
              </w:rPr>
              <w:t xml:space="preserve">que </w:t>
            </w:r>
            <w:r w:rsidR="003F1CDE">
              <w:rPr>
                <w:rFonts w:ascii="Verdana" w:eastAsia="Times New Roman" w:hAnsi="Verdana" w:cs="Arial"/>
                <w:lang w:val="es-ES" w:eastAsia="es-ES"/>
              </w:rPr>
              <w:t xml:space="preserve">sea necesario </w:t>
            </w:r>
            <w:r w:rsidR="0082595E">
              <w:rPr>
                <w:rFonts w:ascii="Verdana" w:eastAsia="Times New Roman" w:hAnsi="Verdana" w:cs="Arial"/>
                <w:lang w:val="es-ES" w:eastAsia="es-ES"/>
              </w:rPr>
              <w:t xml:space="preserve">para el correcto desarrollo en la actuación administrativa. En ese sentido, </w:t>
            </w:r>
            <w:r w:rsidR="001A7DDF">
              <w:rPr>
                <w:rFonts w:ascii="Verdana" w:eastAsia="Times New Roman" w:hAnsi="Verdana" w:cs="Arial"/>
                <w:lang w:val="es-ES" w:eastAsia="es-ES"/>
              </w:rPr>
              <w:t xml:space="preserve">como la norma no indica un término para resolver el recurso, será la entidad la que señale el tiempo para resolverlo dentro del desarrollo de la audiencia, o la suspensión de </w:t>
            </w:r>
            <w:r w:rsidR="005B673D">
              <w:rPr>
                <w:rFonts w:ascii="Verdana" w:eastAsia="Times New Roman" w:hAnsi="Verdana" w:cs="Arial"/>
                <w:lang w:val="es-ES" w:eastAsia="es-ES"/>
              </w:rPr>
              <w:t>esta</w:t>
            </w:r>
            <w:r w:rsidR="001A7DDF">
              <w:rPr>
                <w:rFonts w:ascii="Verdana" w:eastAsia="Times New Roman" w:hAnsi="Verdana" w:cs="Arial"/>
                <w:lang w:val="es-ES" w:eastAsia="es-ES"/>
              </w:rPr>
              <w:t>, siempre y cuando se sustente la razón de la suspensión y se resuelva el recurso dentro de la misma audiencia, tal y como lo dispone la norma.</w:t>
            </w:r>
          </w:p>
        </w:tc>
      </w:tr>
    </w:tbl>
    <w:p w14:paraId="1880F388" w14:textId="77777777" w:rsidR="00106967" w:rsidRPr="006C7E16" w:rsidRDefault="00106967" w:rsidP="00726F1C">
      <w:pPr>
        <w:tabs>
          <w:tab w:val="left" w:pos="142"/>
          <w:tab w:val="left" w:pos="284"/>
        </w:tabs>
        <w:spacing w:after="0" w:line="276" w:lineRule="auto"/>
        <w:jc w:val="both"/>
        <w:rPr>
          <w:rFonts w:ascii="Century Gothic" w:eastAsia="Century Gothic" w:hAnsi="Century Gothic" w:cs="Century Gothic"/>
          <w:b/>
          <w:bCs/>
          <w:lang w:val="es-ES"/>
        </w:rPr>
      </w:pPr>
    </w:p>
    <w:p w14:paraId="260B6327" w14:textId="1116AAD9" w:rsidR="00106967" w:rsidRPr="006C7E16" w:rsidRDefault="00151E77" w:rsidP="003B367A">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3. </w:t>
      </w:r>
      <w:r w:rsidR="00106967" w:rsidRPr="006C7E16">
        <w:rPr>
          <w:rFonts w:ascii="Verdana" w:eastAsia="Century Gothic" w:hAnsi="Verdana" w:cs="Century Gothic"/>
          <w:b/>
          <w:bCs/>
          <w:lang w:val="es-ES"/>
        </w:rPr>
        <w:t>Razones de la respuesta:</w:t>
      </w:r>
    </w:p>
    <w:p w14:paraId="1DE7923B" w14:textId="77777777" w:rsidR="00106967" w:rsidRPr="006C7E16" w:rsidRDefault="00106967" w:rsidP="00726F1C">
      <w:pPr>
        <w:spacing w:after="0" w:line="276" w:lineRule="auto"/>
        <w:jc w:val="both"/>
        <w:rPr>
          <w:rFonts w:ascii="Verdana" w:eastAsia="Calibri" w:hAnsi="Verdana" w:cs="Arial"/>
          <w:color w:val="7030A0"/>
          <w:lang w:val="es-ES"/>
        </w:rPr>
      </w:pPr>
    </w:p>
    <w:p w14:paraId="57E1AAB6" w14:textId="77777777" w:rsidR="00106967" w:rsidRDefault="00106967" w:rsidP="00726F1C">
      <w:pPr>
        <w:spacing w:after="0" w:line="276" w:lineRule="auto"/>
        <w:jc w:val="both"/>
        <w:rPr>
          <w:rFonts w:ascii="Verdana" w:eastAsia="Calibri" w:hAnsi="Verdana" w:cs="Arial"/>
          <w:lang w:val="es-ES"/>
        </w:rPr>
      </w:pPr>
      <w:r w:rsidRPr="006C7E16">
        <w:rPr>
          <w:rFonts w:ascii="Verdana" w:eastAsia="Calibri" w:hAnsi="Verdana" w:cs="Arial"/>
          <w:lang w:val="es-ES"/>
        </w:rPr>
        <w:t xml:space="preserve">Lo anterior se sustenta en las siguientes consideraciones: </w:t>
      </w:r>
    </w:p>
    <w:p w14:paraId="61C3DAFF" w14:textId="77777777" w:rsidR="00106967" w:rsidRDefault="00106967" w:rsidP="00726F1C">
      <w:pPr>
        <w:pStyle w:val="Prrafodelista"/>
        <w:spacing w:after="120" w:line="276" w:lineRule="auto"/>
        <w:jc w:val="both"/>
        <w:rPr>
          <w:rFonts w:ascii="Verdana" w:eastAsia="Times New Roman" w:hAnsi="Verdana" w:cs="Arial"/>
          <w:lang w:eastAsia="es-ES"/>
        </w:rPr>
      </w:pPr>
    </w:p>
    <w:p w14:paraId="31B55728" w14:textId="77777777" w:rsidR="00106967" w:rsidRDefault="00106967" w:rsidP="00726F1C">
      <w:pPr>
        <w:numPr>
          <w:ilvl w:val="0"/>
          <w:numId w:val="19"/>
        </w:numPr>
        <w:spacing w:after="120" w:line="276" w:lineRule="auto"/>
        <w:contextualSpacing/>
        <w:jc w:val="both"/>
        <w:rPr>
          <w:rFonts w:ascii="Verdana" w:eastAsia="Times New Roman" w:hAnsi="Verdana" w:cs="Arial"/>
          <w:lang w:val="es-ES" w:eastAsia="es-ES"/>
        </w:rPr>
      </w:pPr>
      <w:r w:rsidRPr="00217328">
        <w:rPr>
          <w:rFonts w:ascii="Verdana" w:eastAsia="Times New Roman" w:hAnsi="Verdana" w:cs="Arial"/>
          <w:lang w:val="es-ES" w:eastAsia="es-ES"/>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cuantificando los perjuicios de este, imponer las multas y sanciones pactadas en el contrato, y hacer efectiva la cláusula penal. Para tal efecto observarán el siguiente procedimiento: (…)”. </w:t>
      </w:r>
    </w:p>
    <w:p w14:paraId="14DD704D" w14:textId="77777777" w:rsidR="00106967" w:rsidRPr="00217328" w:rsidRDefault="00106967" w:rsidP="00106967">
      <w:pPr>
        <w:spacing w:after="120" w:line="276" w:lineRule="auto"/>
        <w:ind w:left="720"/>
        <w:contextualSpacing/>
        <w:jc w:val="both"/>
        <w:rPr>
          <w:rFonts w:ascii="Verdana" w:eastAsia="Times New Roman" w:hAnsi="Verdana" w:cs="Arial"/>
          <w:lang w:val="es-ES" w:eastAsia="es-ES"/>
        </w:rPr>
      </w:pPr>
    </w:p>
    <w:p w14:paraId="0E29FA7D" w14:textId="77777777" w:rsidR="00106967" w:rsidRDefault="00106967" w:rsidP="00106967">
      <w:pPr>
        <w:numPr>
          <w:ilvl w:val="0"/>
          <w:numId w:val="19"/>
        </w:numPr>
        <w:spacing w:after="120" w:line="276" w:lineRule="auto"/>
        <w:contextualSpacing/>
        <w:jc w:val="both"/>
        <w:rPr>
          <w:rFonts w:ascii="Verdana" w:eastAsia="Times New Roman" w:hAnsi="Verdana" w:cs="Arial"/>
          <w:iCs/>
          <w:lang w:val="es-ES_tradnl" w:eastAsia="es-ES_tradnl"/>
        </w:rPr>
      </w:pPr>
      <w:r w:rsidRPr="00217328">
        <w:rPr>
          <w:rFonts w:ascii="Verdana" w:eastAsia="Times New Roman" w:hAnsi="Verdana" w:cs="Arial"/>
          <w:iCs/>
          <w:lang w:val="es-ES_tradnl" w:eastAsia="es-ES_tradnl"/>
        </w:rPr>
        <w:t>Cabe destacar que esta norma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217328">
        <w:rPr>
          <w:rFonts w:ascii="Geomanist Light" w:eastAsia="Times New Roman" w:hAnsi="Geomanist Light" w:cs="Times New Roman"/>
          <w:vertAlign w:val="superscript"/>
          <w:lang w:val="es-ES" w:eastAsia="es-ES_tradnl"/>
        </w:rPr>
        <w:footnoteReference w:id="1"/>
      </w:r>
      <w:r w:rsidRPr="00217328">
        <w:rPr>
          <w:rFonts w:ascii="Verdana" w:eastAsia="Times New Roman" w:hAnsi="Verdana" w:cs="Arial"/>
          <w:iCs/>
          <w:lang w:val="es-ES_tradnl" w:eastAsia="es-ES_tradnl"/>
        </w:rPr>
        <w:t xml:space="preserve">. A la misma conclusión se llega si se tiene en consideración la necesidad de respetar el debido proceso en </w:t>
      </w:r>
      <w:r w:rsidRPr="00217328">
        <w:rPr>
          <w:rFonts w:ascii="Verdana" w:eastAsia="Times New Roman" w:hAnsi="Verdana" w:cs="Arial"/>
          <w:iCs/>
          <w:lang w:val="es-ES_tradnl" w:eastAsia="es-ES_tradnl"/>
        </w:rPr>
        <w:lastRenderedPageBreak/>
        <w:t xml:space="preserve">“todas las actuaciones administrativas” como lo ordena el artículo 29 superior. </w:t>
      </w:r>
    </w:p>
    <w:p w14:paraId="7B7B4FF1" w14:textId="77777777" w:rsidR="00106967" w:rsidRDefault="00106967" w:rsidP="00106967">
      <w:pPr>
        <w:spacing w:after="120" w:line="276" w:lineRule="auto"/>
        <w:contextualSpacing/>
        <w:jc w:val="both"/>
        <w:rPr>
          <w:rFonts w:ascii="Verdana" w:eastAsia="Times New Roman" w:hAnsi="Verdana" w:cs="Arial"/>
          <w:lang w:val="es-ES" w:eastAsia="es-ES"/>
        </w:rPr>
      </w:pPr>
    </w:p>
    <w:p w14:paraId="44B6DC24" w14:textId="77777777" w:rsidR="00106967" w:rsidRPr="00217328" w:rsidRDefault="00106967" w:rsidP="00106967">
      <w:pPr>
        <w:spacing w:after="120" w:line="276" w:lineRule="auto"/>
        <w:ind w:left="720"/>
        <w:contextualSpacing/>
        <w:jc w:val="both"/>
        <w:rPr>
          <w:rFonts w:ascii="Verdana" w:eastAsia="Times New Roman" w:hAnsi="Verdana" w:cs="Arial"/>
          <w:lang w:val="es-ES" w:eastAsia="es-ES"/>
        </w:rPr>
      </w:pPr>
    </w:p>
    <w:p w14:paraId="36283A34" w14:textId="77777777" w:rsidR="00106967" w:rsidRPr="00217328" w:rsidRDefault="00106967" w:rsidP="00106967">
      <w:pPr>
        <w:numPr>
          <w:ilvl w:val="0"/>
          <w:numId w:val="19"/>
        </w:numPr>
        <w:contextualSpacing/>
        <w:jc w:val="both"/>
        <w:rPr>
          <w:rFonts w:ascii="Verdana" w:eastAsia="Times New Roman" w:hAnsi="Verdana" w:cs="Arial"/>
          <w:lang w:val="es-ES_tradnl" w:eastAsia="es-ES_tradnl"/>
        </w:rPr>
      </w:pPr>
      <w:r w:rsidRPr="00217328">
        <w:rPr>
          <w:rFonts w:ascii="Verdana" w:eastAsia="Times New Roman" w:hAnsi="Verdana" w:cs="Arial"/>
          <w:iCs/>
          <w:lang w:val="es-ES_tradnl" w:eastAsia="es-ES_tradnl"/>
        </w:rPr>
        <w:t>Como precisión previa, vale la pena aclarar que e</w:t>
      </w:r>
      <w:r w:rsidRPr="00217328">
        <w:rPr>
          <w:rFonts w:ascii="Verdana" w:eastAsia="Times New Roman" w:hAnsi="Verdana" w:cs="Arial"/>
          <w:lang w:val="es-ES_tradnl" w:eastAsia="es-ES_tradnl"/>
        </w:rPr>
        <w:t>l artículo 86 de la Ley 1474 de 2011 regula un procedimiento administrativo sancionatorio dirigido a sujetos específicos: las entidades sometidas al EGCAP</w:t>
      </w:r>
      <w:r w:rsidRPr="00217328">
        <w:rPr>
          <w:rFonts w:ascii="Geomanist Light" w:eastAsia="Times New Roman" w:hAnsi="Geomanist Light" w:cs="Times New Roman"/>
          <w:vertAlign w:val="superscript"/>
          <w:lang w:val="es-ES" w:eastAsia="es-ES_tradnl"/>
        </w:rPr>
        <w:footnoteReference w:id="2"/>
      </w:r>
      <w:r w:rsidRPr="00217328">
        <w:rPr>
          <w:rFonts w:ascii="Verdana" w:eastAsia="Times New Roman" w:hAnsi="Verdana" w:cs="Arial"/>
          <w:lang w:val="es-ES_tradnl" w:eastAsia="es-ES_tradnl"/>
        </w:rPr>
        <w:t xml:space="preserve">. De ahí que las entidades de </w:t>
      </w:r>
      <w:r w:rsidRPr="00217328">
        <w:rPr>
          <w:rFonts w:ascii="Verdana" w:eastAsia="Times New Roman" w:hAnsi="Verdana" w:cs="Arial"/>
          <w:i/>
          <w:iCs/>
          <w:lang w:val="es-ES_tradnl" w:eastAsia="es-ES_tradnl"/>
        </w:rPr>
        <w:t>régimen especial</w:t>
      </w:r>
      <w:r w:rsidRPr="00217328">
        <w:rPr>
          <w:rFonts w:ascii="Geomanist Light" w:eastAsia="Times New Roman" w:hAnsi="Geomanist Light" w:cs="Times New Roman"/>
          <w:vertAlign w:val="superscript"/>
          <w:lang w:val="es-ES" w:eastAsia="es-ES_tradnl"/>
        </w:rPr>
        <w:footnoteReference w:id="3"/>
      </w:r>
      <w:r w:rsidRPr="00217328">
        <w:rPr>
          <w:rFonts w:ascii="Verdana" w:eastAsia="Times New Roman" w:hAnsi="Verdana" w:cs="Arial"/>
          <w:lang w:val="es-ES_tradnl" w:eastAsia="es-ES_tradnl"/>
        </w:rPr>
        <w:t xml:space="preserve"> en materia contractual no pueden aplicar el procedimiento administrativo sancionatorio regulado en el artículo 86 de la Ley 1474 de 2011, al no ser entidades sometidas al EGCAP, sino, por el contrario, entidades exceptuadas de este</w:t>
      </w:r>
      <w:r w:rsidRPr="00217328">
        <w:rPr>
          <w:rFonts w:ascii="Geomanist Light" w:eastAsia="Times New Roman" w:hAnsi="Geomanist Light" w:cs="Times New Roman"/>
          <w:vertAlign w:val="superscript"/>
          <w:lang w:val="es-ES" w:eastAsia="es-ES_tradnl"/>
        </w:rPr>
        <w:footnoteReference w:id="4"/>
      </w:r>
      <w:r w:rsidRPr="00217328">
        <w:rPr>
          <w:rFonts w:ascii="Verdana" w:eastAsia="Times New Roman" w:hAnsi="Verdana" w:cs="Arial"/>
          <w:lang w:val="es-ES_tradnl" w:eastAsia="es-ES_tradnl"/>
        </w:rPr>
        <w:t>. La norma indicada desarrolla el procedimiento de la siguiente manera:</w:t>
      </w:r>
    </w:p>
    <w:p w14:paraId="404DB0A9" w14:textId="77777777" w:rsidR="00106967" w:rsidRPr="00217328" w:rsidRDefault="00106967" w:rsidP="00106967">
      <w:pPr>
        <w:ind w:left="720"/>
        <w:contextualSpacing/>
        <w:jc w:val="both"/>
        <w:rPr>
          <w:rFonts w:ascii="Verdana" w:eastAsia="Times New Roman" w:hAnsi="Verdana" w:cs="Arial"/>
          <w:lang w:val="es-ES_tradnl" w:eastAsia="es-ES_tradnl"/>
        </w:rPr>
      </w:pPr>
    </w:p>
    <w:p w14:paraId="7F7F2014" w14:textId="77777777" w:rsidR="00106967" w:rsidRPr="00217328" w:rsidRDefault="00106967" w:rsidP="00106967">
      <w:pPr>
        <w:spacing w:before="120" w:after="120" w:line="240" w:lineRule="auto"/>
        <w:ind w:left="1134" w:right="709"/>
        <w:contextualSpacing/>
        <w:jc w:val="both"/>
        <w:rPr>
          <w:rFonts w:ascii="Verdana" w:eastAsia="Times New Roman" w:hAnsi="Verdana" w:cs="Arial"/>
          <w:sz w:val="20"/>
          <w:szCs w:val="20"/>
          <w:lang w:val="es-ES"/>
        </w:rPr>
      </w:pPr>
      <w:bookmarkStart w:id="0" w:name="86"/>
      <w:bookmarkEnd w:id="0"/>
      <w:r w:rsidRPr="00217328">
        <w:rPr>
          <w:rFonts w:ascii="Verdana" w:eastAsia="Times New Roman" w:hAnsi="Verdana" w:cs="Arial"/>
          <w:sz w:val="20"/>
          <w:szCs w:val="20"/>
          <w:lang w:val="es-ES"/>
        </w:rPr>
        <w:t>“Artículo 86. Imposición de multas, sanciones y declaratorias de incumplimiento.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4AFE938E" w14:textId="77777777" w:rsidR="00106967" w:rsidRPr="00217328" w:rsidRDefault="00106967" w:rsidP="00106967">
      <w:pPr>
        <w:spacing w:after="0" w:line="240" w:lineRule="auto"/>
        <w:ind w:left="709" w:right="709"/>
        <w:contextualSpacing/>
        <w:jc w:val="both"/>
        <w:rPr>
          <w:rFonts w:ascii="Verdana" w:eastAsia="Times New Roman" w:hAnsi="Verdana" w:cs="Arial"/>
          <w:iCs/>
          <w:sz w:val="20"/>
          <w:szCs w:val="20"/>
          <w:lang w:val="es-ES_tradnl"/>
        </w:rPr>
      </w:pPr>
    </w:p>
    <w:p w14:paraId="236F84D5" w14:textId="77777777" w:rsidR="00106967" w:rsidRPr="00217328" w:rsidRDefault="00106967" w:rsidP="00106967">
      <w:pPr>
        <w:spacing w:before="120" w:after="120" w:line="240" w:lineRule="auto"/>
        <w:ind w:left="1134" w:right="709"/>
        <w:contextualSpacing/>
        <w:jc w:val="both"/>
        <w:rPr>
          <w:rFonts w:ascii="Verdana" w:eastAsia="Times New Roman" w:hAnsi="Verdana" w:cs="Arial"/>
          <w:i/>
          <w:iCs/>
          <w:sz w:val="20"/>
          <w:szCs w:val="20"/>
          <w:lang w:val="es-ES"/>
        </w:rPr>
      </w:pPr>
      <w:r w:rsidRPr="00217328">
        <w:rPr>
          <w:rFonts w:ascii="Verdana" w:eastAsia="Times New Roman" w:hAnsi="Verdana" w:cs="Arial"/>
          <w:i/>
          <w:iCs/>
          <w:sz w:val="20"/>
          <w:szCs w:val="20"/>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0847957B" w14:textId="77777777" w:rsidR="00106967" w:rsidRPr="00217328" w:rsidRDefault="00106967" w:rsidP="00106967">
      <w:pPr>
        <w:spacing w:before="120" w:after="120" w:line="240" w:lineRule="auto"/>
        <w:ind w:left="1134" w:right="709"/>
        <w:contextualSpacing/>
        <w:jc w:val="both"/>
        <w:rPr>
          <w:rFonts w:ascii="Verdana" w:eastAsia="Times New Roman" w:hAnsi="Verdana" w:cs="Arial"/>
          <w:i/>
          <w:iCs/>
          <w:sz w:val="20"/>
          <w:szCs w:val="20"/>
          <w:lang w:val="es-ES_tradnl"/>
        </w:rPr>
      </w:pPr>
    </w:p>
    <w:p w14:paraId="3D3E48B4" w14:textId="77777777" w:rsidR="00106967" w:rsidRPr="00217328" w:rsidRDefault="00106967" w:rsidP="00106967">
      <w:pPr>
        <w:spacing w:before="120" w:after="120" w:line="240" w:lineRule="auto"/>
        <w:ind w:left="1134" w:right="709"/>
        <w:contextualSpacing/>
        <w:jc w:val="both"/>
        <w:rPr>
          <w:rFonts w:ascii="Verdana" w:eastAsia="Times New Roman" w:hAnsi="Verdana" w:cs="Arial"/>
          <w:i/>
          <w:iCs/>
          <w:sz w:val="20"/>
          <w:szCs w:val="20"/>
          <w:lang w:val="es-ES"/>
        </w:rPr>
      </w:pPr>
      <w:r w:rsidRPr="00217328">
        <w:rPr>
          <w:rFonts w:ascii="Verdana" w:eastAsia="Times New Roman" w:hAnsi="Verdana" w:cs="Arial"/>
          <w:i/>
          <w:iCs/>
          <w:sz w:val="20"/>
          <w:szCs w:val="20"/>
          <w:lang w:val="es-ES"/>
        </w:rPr>
        <w:t xml:space="preserve">b) En desarrollo de la audiencia, el jefe de la entidad o su delegado presentará las circunstancias de hecho que motivan la actuación, enunciará las posibles normas o cláusulas posiblemente violadas y las consecuencias que podrían derivarse para el contratista en desarrollo </w:t>
      </w:r>
      <w:r w:rsidRPr="00217328">
        <w:rPr>
          <w:rFonts w:ascii="Verdana" w:eastAsia="Times New Roman" w:hAnsi="Verdana" w:cs="Arial"/>
          <w:i/>
          <w:iCs/>
          <w:sz w:val="20"/>
          <w:szCs w:val="20"/>
          <w:lang w:val="es-ES"/>
        </w:rPr>
        <w:lastRenderedPageBreak/>
        <w:t>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9780400" w14:textId="77777777" w:rsidR="00106967" w:rsidRPr="00217328" w:rsidRDefault="00106967" w:rsidP="00106967">
      <w:pPr>
        <w:spacing w:before="120" w:after="120" w:line="240" w:lineRule="auto"/>
        <w:ind w:left="1134" w:right="709"/>
        <w:contextualSpacing/>
        <w:jc w:val="both"/>
        <w:rPr>
          <w:rFonts w:ascii="Verdana" w:eastAsia="Times New Roman" w:hAnsi="Verdana" w:cs="Arial"/>
          <w:i/>
          <w:iCs/>
          <w:sz w:val="20"/>
          <w:szCs w:val="20"/>
          <w:lang w:val="es-ES_tradnl"/>
        </w:rPr>
      </w:pPr>
    </w:p>
    <w:p w14:paraId="2C3E28FA" w14:textId="77777777" w:rsidR="00106967" w:rsidRPr="00217328" w:rsidRDefault="00106967" w:rsidP="00106967">
      <w:pPr>
        <w:spacing w:before="120" w:after="120" w:line="240" w:lineRule="auto"/>
        <w:ind w:left="1134" w:right="709"/>
        <w:contextualSpacing/>
        <w:jc w:val="both"/>
        <w:rPr>
          <w:rFonts w:ascii="Verdana" w:eastAsia="Times New Roman" w:hAnsi="Verdana" w:cs="Arial"/>
          <w:i/>
          <w:iCs/>
          <w:sz w:val="20"/>
          <w:szCs w:val="20"/>
          <w:lang w:val="es-ES"/>
        </w:rPr>
      </w:pPr>
      <w:r w:rsidRPr="00217328">
        <w:rPr>
          <w:rFonts w:ascii="Verdana" w:eastAsia="Times New Roman" w:hAnsi="Verdana" w:cs="Arial"/>
          <w:i/>
          <w:iCs/>
          <w:sz w:val="20"/>
          <w:szCs w:val="20"/>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67B6C267" w14:textId="77777777" w:rsidR="00106967" w:rsidRPr="00217328" w:rsidRDefault="00106967" w:rsidP="00106967">
      <w:pPr>
        <w:spacing w:before="120" w:after="120" w:line="240" w:lineRule="auto"/>
        <w:ind w:left="1134" w:right="709"/>
        <w:contextualSpacing/>
        <w:jc w:val="both"/>
        <w:rPr>
          <w:rFonts w:ascii="Verdana" w:eastAsia="Times New Roman" w:hAnsi="Verdana" w:cs="Arial"/>
          <w:i/>
          <w:iCs/>
          <w:sz w:val="20"/>
          <w:szCs w:val="20"/>
          <w:lang w:val="es-ES_tradnl"/>
        </w:rPr>
      </w:pPr>
    </w:p>
    <w:p w14:paraId="694CE379" w14:textId="77777777" w:rsidR="00106967" w:rsidRPr="00217328" w:rsidRDefault="00106967" w:rsidP="00106967">
      <w:pPr>
        <w:spacing w:before="120" w:after="120" w:line="240" w:lineRule="auto"/>
        <w:ind w:left="1134" w:right="709"/>
        <w:contextualSpacing/>
        <w:jc w:val="both"/>
        <w:rPr>
          <w:rFonts w:ascii="Verdana" w:eastAsia="Times New Roman" w:hAnsi="Verdana" w:cs="Arial"/>
          <w:i/>
          <w:iCs/>
          <w:sz w:val="20"/>
          <w:szCs w:val="20"/>
          <w:lang w:val="es-ES"/>
        </w:rPr>
      </w:pPr>
      <w:r w:rsidRPr="00217328">
        <w:rPr>
          <w:rFonts w:ascii="Verdana" w:eastAsia="Times New Roman" w:hAnsi="Verdana" w:cs="Arial"/>
          <w:i/>
          <w:iCs/>
          <w:sz w:val="20"/>
          <w:szCs w:val="20"/>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45BF950A" w14:textId="77777777" w:rsidR="00106967" w:rsidRPr="00217328" w:rsidRDefault="00106967" w:rsidP="00106967">
      <w:pPr>
        <w:spacing w:after="0" w:line="276" w:lineRule="auto"/>
        <w:ind w:right="142"/>
        <w:contextualSpacing/>
        <w:jc w:val="both"/>
        <w:rPr>
          <w:rFonts w:ascii="Verdana" w:eastAsia="Times New Roman" w:hAnsi="Verdana" w:cs="Arial"/>
          <w:szCs w:val="24"/>
          <w:lang w:val="es-ES_tradnl" w:eastAsia="es-ES_tradnl"/>
        </w:rPr>
      </w:pPr>
    </w:p>
    <w:p w14:paraId="61C572AD" w14:textId="77777777" w:rsidR="00106967" w:rsidRDefault="00106967" w:rsidP="00106967">
      <w:pPr>
        <w:numPr>
          <w:ilvl w:val="0"/>
          <w:numId w:val="20"/>
        </w:numPr>
        <w:spacing w:after="120" w:line="276" w:lineRule="auto"/>
        <w:contextualSpacing/>
        <w:jc w:val="both"/>
        <w:rPr>
          <w:rFonts w:ascii="Verdana" w:eastAsia="Times New Roman" w:hAnsi="Verdana" w:cs="Arial"/>
          <w:lang w:val="es-ES_tradnl" w:eastAsia="es-ES_tradnl"/>
        </w:rPr>
      </w:pPr>
      <w:r w:rsidRPr="00217328">
        <w:rPr>
          <w:rFonts w:ascii="Verdana" w:eastAsia="Times New Roman" w:hAnsi="Verdana" w:cs="Arial"/>
          <w:lang w:val="es-ES_tradnl" w:eastAsia="es-ES_tradnl"/>
        </w:rPr>
        <w:t xml:space="preserve">Como se observa, la citación a la audiencia debe cumplir </w:t>
      </w:r>
      <w:r w:rsidRPr="00217328">
        <w:rPr>
          <w:rFonts w:ascii="Verdana" w:eastAsia="Times New Roman" w:hAnsi="Verdana" w:cs="Arial"/>
          <w:i/>
          <w:iCs/>
          <w:lang w:val="es-ES_tradnl" w:eastAsia="es-ES_tradnl"/>
        </w:rPr>
        <w:t>mínimamente</w:t>
      </w:r>
      <w:r w:rsidRPr="00217328">
        <w:rPr>
          <w:rFonts w:ascii="Verdana" w:eastAsia="Times New Roman" w:hAnsi="Verdana" w:cs="Arial"/>
          <w:lang w:val="es-ES_tradnl" w:eastAsia="es-ES_tradnl"/>
        </w:rPr>
        <w:t xml:space="preserve"> los siguientes aspectos: i) señalar los </w:t>
      </w:r>
      <w:r w:rsidRPr="00217328">
        <w:rPr>
          <w:rFonts w:ascii="Verdana" w:eastAsia="Times New Roman" w:hAnsi="Verdana" w:cs="Arial"/>
          <w:i/>
          <w:iCs/>
          <w:lang w:val="es-ES_tradnl" w:eastAsia="es-ES_tradnl"/>
        </w:rPr>
        <w:t>hechos</w:t>
      </w:r>
      <w:r w:rsidRPr="00217328">
        <w:rPr>
          <w:rFonts w:ascii="Verdana" w:eastAsia="Times New Roman" w:hAnsi="Verdana" w:cs="Arial"/>
          <w:lang w:val="es-ES_tradnl" w:eastAsia="es-ES_tradnl"/>
        </w:rPr>
        <w:t xml:space="preserve"> que soportan la actuación, en particular la descripción detallada de cuáles son las actuaciones u omisiones del contratista que materializan el incumplimiento de las obligaciones. Además, se deben ii) adjuntar los </w:t>
      </w:r>
      <w:r w:rsidRPr="00217328">
        <w:rPr>
          <w:rFonts w:ascii="Verdana" w:eastAsia="Times New Roman" w:hAnsi="Verdana" w:cs="Arial"/>
          <w:i/>
          <w:iCs/>
          <w:lang w:val="es-ES_tradnl" w:eastAsia="es-ES_tradnl"/>
        </w:rPr>
        <w:t>informes de supervisión o de interventoría</w:t>
      </w:r>
      <w:r w:rsidRPr="00217328">
        <w:rPr>
          <w:rFonts w:ascii="Verdana" w:eastAsia="Times New Roman" w:hAnsi="Verdana" w:cs="Arial"/>
          <w:lang w:val="es-ES_tradnl" w:eastAsia="es-ES_tradnl"/>
        </w:rPr>
        <w:t xml:space="preserve"> que soportan la actuación, donde la entidad fundamenta su decisión de iniciar el procedimiento sancionatorio. Asimismo, iii) lo anterior debe acompañarse de las </w:t>
      </w:r>
      <w:r w:rsidRPr="00217328">
        <w:rPr>
          <w:rFonts w:ascii="Verdana" w:eastAsia="Times New Roman" w:hAnsi="Verdana" w:cs="Arial"/>
          <w:i/>
          <w:iCs/>
          <w:lang w:val="es-ES_tradnl" w:eastAsia="es-ES_tradnl"/>
        </w:rPr>
        <w:t>pruebas adicionales</w:t>
      </w:r>
      <w:r w:rsidRPr="00217328">
        <w:rPr>
          <w:rFonts w:ascii="Verdana" w:eastAsia="Times New Roman" w:hAnsi="Verdana" w:cs="Arial"/>
          <w:lang w:val="es-ES_tradnl" w:eastAsia="es-ES_tradnl"/>
        </w:rPr>
        <w:t xml:space="preserve">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217328">
        <w:rPr>
          <w:rFonts w:ascii="Verdana" w:eastAsia="Times New Roman" w:hAnsi="Verdana" w:cs="Arial"/>
          <w:lang w:val="es-ES_tradnl" w:eastAsia="es-ES_tradnl"/>
        </w:rPr>
        <w:t>vii</w:t>
      </w:r>
      <w:proofErr w:type="spellEnd"/>
      <w:r w:rsidRPr="00217328">
        <w:rPr>
          <w:rFonts w:ascii="Verdana" w:eastAsia="Times New Roman" w:hAnsi="Verdana" w:cs="Arial"/>
          <w:lang w:val="es-ES_tradnl" w:eastAsia="es-ES_tradnl"/>
        </w:rPr>
        <w:t xml:space="preserve">) deben </w:t>
      </w:r>
      <w:r w:rsidRPr="00217328">
        <w:rPr>
          <w:rFonts w:ascii="Verdana" w:eastAsia="Times New Roman" w:hAnsi="Verdana" w:cs="Arial"/>
          <w:lang w:val="es-ES_tradnl" w:eastAsia="es-ES_tradnl"/>
        </w:rPr>
        <w:lastRenderedPageBreak/>
        <w:t>indicar el lugar, fecha y hora para la realización de la audiencia, sin perjuicio de que esta se pueda efectuar por medios electrónicos</w:t>
      </w:r>
      <w:r w:rsidRPr="00217328">
        <w:rPr>
          <w:rFonts w:ascii="Geomanist Light" w:eastAsia="Times New Roman" w:hAnsi="Geomanist Light" w:cs="Times New Roman"/>
          <w:vertAlign w:val="superscript"/>
          <w:lang w:val="es-ES" w:eastAsia="es-ES_tradnl"/>
        </w:rPr>
        <w:footnoteReference w:id="5"/>
      </w:r>
      <w:r w:rsidRPr="00217328">
        <w:rPr>
          <w:rFonts w:ascii="Verdana" w:eastAsia="Times New Roman" w:hAnsi="Verdana" w:cs="Arial"/>
          <w:lang w:val="es-ES_tradnl" w:eastAsia="es-ES_tradnl"/>
        </w:rPr>
        <w:t>.</w:t>
      </w:r>
    </w:p>
    <w:p w14:paraId="6ECD5314" w14:textId="77777777" w:rsidR="00106967" w:rsidRPr="00217328" w:rsidRDefault="00106967" w:rsidP="00106967">
      <w:pPr>
        <w:spacing w:after="120" w:line="276" w:lineRule="auto"/>
        <w:ind w:left="720"/>
        <w:contextualSpacing/>
        <w:jc w:val="both"/>
        <w:rPr>
          <w:rFonts w:ascii="Verdana" w:eastAsia="Times New Roman" w:hAnsi="Verdana" w:cs="Arial"/>
          <w:lang w:val="es-ES_tradnl" w:eastAsia="es-ES_tradnl"/>
        </w:rPr>
      </w:pPr>
      <w:r w:rsidRPr="00217328">
        <w:rPr>
          <w:rFonts w:ascii="Verdana" w:eastAsia="Times New Roman" w:hAnsi="Verdana" w:cs="Arial"/>
          <w:lang w:val="es-ES_tradnl" w:eastAsia="es-ES_tradnl"/>
        </w:rPr>
        <w:t xml:space="preserve"> </w:t>
      </w:r>
    </w:p>
    <w:p w14:paraId="55F9063F" w14:textId="77777777" w:rsidR="00106967" w:rsidRPr="00217328" w:rsidRDefault="00106967" w:rsidP="00106967">
      <w:pPr>
        <w:numPr>
          <w:ilvl w:val="0"/>
          <w:numId w:val="20"/>
        </w:numPr>
        <w:spacing w:before="240" w:line="276" w:lineRule="auto"/>
        <w:contextualSpacing/>
        <w:jc w:val="both"/>
        <w:rPr>
          <w:rFonts w:ascii="Verdana" w:eastAsia="Times New Roman" w:hAnsi="Verdana" w:cs="Times New Roman"/>
          <w:lang w:val="es-ES"/>
        </w:rPr>
      </w:pPr>
      <w:r w:rsidRPr="00217328">
        <w:rPr>
          <w:rFonts w:ascii="Verdana" w:eastAsia="Times New Roman" w:hAnsi="Verdana" w:cs="Arial"/>
          <w:lang w:val="es-ES" w:eastAsia="es-ES"/>
        </w:rPr>
        <w:t xml:space="preserve">Como se observa, sobre la cuantificación de perjuicios </w:t>
      </w:r>
      <w:r w:rsidRPr="00217328">
        <w:rPr>
          <w:rFonts w:ascii="Verdana" w:eastAsia="Times New Roman" w:hAnsi="Verdana" w:cs="Arial"/>
          <w:lang w:val="es-ES"/>
        </w:rPr>
        <w:t>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pertinente. Sin embargo, se aclara que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 pues con base en estos se determinará y verificará la proporcionalidad de las sanciones a aplicar.</w:t>
      </w:r>
    </w:p>
    <w:p w14:paraId="4D7192F3" w14:textId="77777777" w:rsidR="00106967" w:rsidRPr="00217328" w:rsidRDefault="00106967" w:rsidP="00106967">
      <w:pPr>
        <w:spacing w:before="240" w:line="276" w:lineRule="auto"/>
        <w:ind w:left="720"/>
        <w:contextualSpacing/>
        <w:jc w:val="both"/>
        <w:rPr>
          <w:rFonts w:ascii="Verdana" w:eastAsia="Times New Roman" w:hAnsi="Verdana" w:cs="Times New Roman"/>
          <w:lang w:val="es-ES"/>
        </w:rPr>
      </w:pPr>
    </w:p>
    <w:p w14:paraId="191F5BFB" w14:textId="77777777" w:rsidR="00106967" w:rsidRDefault="00106967" w:rsidP="00106967">
      <w:pPr>
        <w:numPr>
          <w:ilvl w:val="0"/>
          <w:numId w:val="20"/>
        </w:numPr>
        <w:spacing w:line="276" w:lineRule="auto"/>
        <w:contextualSpacing/>
        <w:jc w:val="both"/>
        <w:rPr>
          <w:rFonts w:ascii="Verdana" w:eastAsia="Times New Roman" w:hAnsi="Verdana" w:cs="Arial"/>
          <w:lang w:val="es-ES" w:eastAsia="es-ES_tradnl"/>
        </w:rPr>
      </w:pPr>
      <w:r w:rsidRPr="00217328">
        <w:rPr>
          <w:rFonts w:ascii="Verdana" w:eastAsia="Times New Roman" w:hAnsi="Verdana" w:cs="Arial"/>
          <w:lang w:val="es-ES" w:eastAsia="es-ES_tradnl"/>
        </w:rPr>
        <w:t>Al respecto, es importante indicar que el artículo 17 de la Ley 1150 de 2007 dispuso el debido proceso como principio rector de la potestad sancionatoria de la administración en contratación estatal, y el artículo 86 de la Ley 1474 de 2011</w:t>
      </w:r>
      <w:r w:rsidRPr="00217328">
        <w:rPr>
          <w:rFonts w:ascii="Verdana" w:eastAsia="Times New Roman" w:hAnsi="Verdana" w:cs="Arial"/>
          <w:vertAlign w:val="superscript"/>
          <w:lang w:val="es-ES" w:eastAsia="es-ES_tradnl"/>
        </w:rPr>
        <w:footnoteReference w:id="6"/>
      </w:r>
      <w:r w:rsidRPr="00217328">
        <w:rPr>
          <w:rFonts w:ascii="Verdana" w:eastAsia="Times New Roman" w:hAnsi="Verdana" w:cs="Arial"/>
          <w:lang w:val="es-ES" w:eastAsia="es-ES_tradnl"/>
        </w:rPr>
        <w:t xml:space="preserve">, como ya lo vimos, reglamentó su procedimiento. De la lectura de dichos artículos se observa el querer, por parte del legislador, de que el contratista cuente con un procedimiento sancionatorio contractual que tenga plena garantía al debido proceso. </w:t>
      </w:r>
    </w:p>
    <w:p w14:paraId="63186EA5" w14:textId="77777777" w:rsidR="00106967" w:rsidRDefault="00106967" w:rsidP="00106967">
      <w:pPr>
        <w:pStyle w:val="Prrafodelista"/>
        <w:rPr>
          <w:rFonts w:ascii="Verdana" w:eastAsia="Times New Roman" w:hAnsi="Verdana" w:cs="Arial"/>
          <w:lang w:eastAsia="es-ES_tradnl"/>
        </w:rPr>
      </w:pPr>
    </w:p>
    <w:p w14:paraId="3B598E34" w14:textId="77777777" w:rsidR="00106967" w:rsidRDefault="00106967" w:rsidP="00106967">
      <w:pPr>
        <w:numPr>
          <w:ilvl w:val="0"/>
          <w:numId w:val="20"/>
        </w:numPr>
        <w:spacing w:line="276" w:lineRule="auto"/>
        <w:contextualSpacing/>
        <w:jc w:val="both"/>
        <w:rPr>
          <w:rFonts w:ascii="Verdana" w:eastAsia="Times New Roman" w:hAnsi="Verdana" w:cs="Arial"/>
          <w:lang w:val="es-ES" w:eastAsia="es-ES_tradnl"/>
        </w:rPr>
      </w:pPr>
      <w:r w:rsidRPr="00217328">
        <w:rPr>
          <w:rFonts w:ascii="Verdana" w:eastAsia="Times New Roman" w:hAnsi="Verdana" w:cs="Arial"/>
          <w:lang w:val="es-ES" w:eastAsia="es-ES_tradnl"/>
        </w:rPr>
        <w:t>La Corte Constitucional en sentencia SU 339 del 4 de mayo de 2011</w:t>
      </w:r>
      <w:r w:rsidRPr="00217328">
        <w:rPr>
          <w:rFonts w:ascii="Verdana" w:eastAsia="Times New Roman" w:hAnsi="Verdana" w:cs="Arial"/>
          <w:vertAlign w:val="superscript"/>
          <w:lang w:val="es-ES" w:eastAsia="es-ES_tradnl"/>
        </w:rPr>
        <w:footnoteReference w:id="7"/>
      </w:r>
      <w:r w:rsidRPr="00217328">
        <w:rPr>
          <w:rFonts w:ascii="Verdana" w:eastAsia="Times New Roman" w:hAnsi="Verdana" w:cs="Arial"/>
          <w:lang w:val="es-ES" w:eastAsia="es-ES_tradnl"/>
        </w:rPr>
        <w:t xml:space="preserve">, indicó que el derecho al debido proceso, en ciertos casos tiene un </w:t>
      </w:r>
      <w:r w:rsidRPr="00217328">
        <w:rPr>
          <w:rFonts w:ascii="Verdana" w:eastAsia="Times New Roman" w:hAnsi="Verdana" w:cs="Arial"/>
          <w:iCs/>
          <w:lang w:val="es-ES_tradnl" w:eastAsia="es-ES_tradnl"/>
        </w:rPr>
        <w:t xml:space="preserve">“carácter instrumental” pues el estricto cumplimiento de “las garantías </w:t>
      </w:r>
      <w:r w:rsidRPr="00217328">
        <w:rPr>
          <w:rFonts w:ascii="Verdana" w:eastAsia="Times New Roman" w:hAnsi="Verdana" w:cs="Arial"/>
          <w:iCs/>
          <w:lang w:val="es-ES_tradnl" w:eastAsia="es-ES_tradnl"/>
        </w:rPr>
        <w:lastRenderedPageBreak/>
        <w:t xml:space="preserve">constitutivas del debido proceso administrativo y de las regulaciones legales que determinan la actuación del poder público, </w:t>
      </w:r>
      <w:r w:rsidRPr="00217328">
        <w:rPr>
          <w:rFonts w:ascii="Verdana" w:eastAsia="Times New Roman" w:hAnsi="Verdana" w:cs="Arial"/>
          <w:i/>
          <w:lang w:val="es-ES_tradnl" w:eastAsia="es-ES_tradnl"/>
        </w:rPr>
        <w:t>se deriva la salvaguarda de otros derechos fundamentales</w:t>
      </w:r>
      <w:r w:rsidRPr="00217328">
        <w:rPr>
          <w:rFonts w:ascii="Verdana" w:eastAsia="Times New Roman" w:hAnsi="Verdana" w:cs="Arial"/>
          <w:iCs/>
          <w:lang w:val="es-ES_tradnl" w:eastAsia="es-ES_tradnl"/>
        </w:rPr>
        <w:t xml:space="preserve">”. </w:t>
      </w:r>
      <w:r w:rsidRPr="00217328">
        <w:rPr>
          <w:rFonts w:ascii="Verdana" w:eastAsia="Times New Roman" w:hAnsi="Verdana" w:cs="Arial"/>
          <w:lang w:val="es-ES" w:eastAsia="es-ES_tradnl"/>
        </w:rPr>
        <w:t xml:space="preserve">En virtud a ello, el contratista contra quien se adelanta esta clase de procedimiento administrativo sancionatorio cuenta, entre otros, con los siguientes derechos: i) a un procedimiento público; ii) el ser oído antes de la decisión; iii) a la defensa y contradicción; iv) a aportar pruebas y a contradecir las que se alleguen en su contra; iv) que el procedimiento se adelante ante la autoridad competente para conocer del asunto; v) a que se le otorgue un tratamiento igual que el dado a otros particulares; vi)  a que el procedimiento se adelante en un término razonable; y, </w:t>
      </w:r>
      <w:proofErr w:type="spellStart"/>
      <w:r w:rsidRPr="00217328">
        <w:rPr>
          <w:rFonts w:ascii="Verdana" w:eastAsia="Times New Roman" w:hAnsi="Verdana" w:cs="Arial"/>
          <w:lang w:val="es-ES" w:eastAsia="es-ES_tradnl"/>
        </w:rPr>
        <w:t>vii</w:t>
      </w:r>
      <w:proofErr w:type="spellEnd"/>
      <w:r w:rsidRPr="00217328">
        <w:rPr>
          <w:rFonts w:ascii="Verdana" w:eastAsia="Times New Roman" w:hAnsi="Verdana" w:cs="Arial"/>
          <w:lang w:val="es-ES" w:eastAsia="es-ES_tradnl"/>
        </w:rPr>
        <w:t>) a que las decisiones sean motivadas, debidamente notificadas y a impugnar las mismas.</w:t>
      </w:r>
    </w:p>
    <w:p w14:paraId="75B127B2" w14:textId="77777777" w:rsidR="00106967" w:rsidRPr="00217328" w:rsidRDefault="00106967" w:rsidP="00106967">
      <w:pPr>
        <w:spacing w:line="276" w:lineRule="auto"/>
        <w:ind w:left="720"/>
        <w:contextualSpacing/>
        <w:jc w:val="both"/>
        <w:rPr>
          <w:rFonts w:ascii="Verdana" w:eastAsia="Times New Roman" w:hAnsi="Verdana" w:cs="Arial"/>
          <w:lang w:val="es-ES" w:eastAsia="es-ES_tradnl"/>
        </w:rPr>
      </w:pPr>
    </w:p>
    <w:p w14:paraId="284CCA75" w14:textId="77777777" w:rsidR="00106967" w:rsidRDefault="00106967" w:rsidP="00106967">
      <w:pPr>
        <w:numPr>
          <w:ilvl w:val="0"/>
          <w:numId w:val="20"/>
        </w:numPr>
        <w:spacing w:after="120" w:line="276" w:lineRule="auto"/>
        <w:contextualSpacing/>
        <w:jc w:val="both"/>
        <w:rPr>
          <w:rFonts w:ascii="Verdana" w:eastAsia="Times New Roman" w:hAnsi="Verdana" w:cs="Arial"/>
          <w:lang w:val="es-ES_tradnl" w:eastAsia="es-ES_tradnl"/>
        </w:rPr>
      </w:pPr>
      <w:r w:rsidRPr="00217328">
        <w:rPr>
          <w:rFonts w:ascii="Verdana" w:eastAsia="Times New Roman" w:hAnsi="Verdana" w:cs="Arial"/>
          <w:lang w:val="es-ES_tradnl" w:eastAsia="es-ES_tradnl"/>
        </w:rPr>
        <w:t>En fin, el principio al debido proceso busca en materia de contratación estatal “en su interrelación obtener una actuación administrativa coherente a las necedades públicas sin lesionar los intereses individuales en juego”. Al respecto la Corte Constitucional en sentencia T-722 de 2010</w:t>
      </w:r>
      <w:r w:rsidRPr="00217328">
        <w:rPr>
          <w:rFonts w:ascii="Verdana" w:eastAsia="Times New Roman" w:hAnsi="Verdana" w:cs="Arial"/>
          <w:vertAlign w:val="superscript"/>
          <w:lang w:val="es-ES_tradnl" w:eastAsia="es-ES_tradnl"/>
        </w:rPr>
        <w:footnoteReference w:id="8"/>
      </w:r>
      <w:r w:rsidRPr="00217328">
        <w:rPr>
          <w:rFonts w:ascii="Verdana" w:eastAsia="Times New Roman" w:hAnsi="Verdana" w:cs="Arial"/>
          <w:lang w:val="es-ES_tradnl" w:eastAsia="es-ES_tradnl"/>
        </w:rPr>
        <w:t>, recordó que el derecho al debido proceso administrativo como la garantía a todas las personas de acceder a un proceso justo y adecuado, permite que “la afectación o la privación de ciertos bienes jurídicos por parte del Estado, no pueda hacerse con detrimento de sus derechos fundamentales”.</w:t>
      </w:r>
    </w:p>
    <w:p w14:paraId="24FFA879" w14:textId="77777777" w:rsidR="00106967" w:rsidRPr="00217328" w:rsidRDefault="00106967" w:rsidP="00106967">
      <w:pPr>
        <w:spacing w:after="120" w:line="276" w:lineRule="auto"/>
        <w:ind w:left="720"/>
        <w:contextualSpacing/>
        <w:jc w:val="both"/>
        <w:rPr>
          <w:rFonts w:ascii="Verdana" w:eastAsia="Times New Roman" w:hAnsi="Verdana" w:cs="Arial"/>
          <w:lang w:val="es-ES_tradnl" w:eastAsia="es-ES_tradnl"/>
        </w:rPr>
      </w:pPr>
    </w:p>
    <w:p w14:paraId="7EEEE5BF" w14:textId="77777777" w:rsidR="00106967" w:rsidRPr="00217328" w:rsidRDefault="00106967" w:rsidP="00106967">
      <w:pPr>
        <w:numPr>
          <w:ilvl w:val="0"/>
          <w:numId w:val="20"/>
        </w:numPr>
        <w:spacing w:after="120" w:line="276" w:lineRule="auto"/>
        <w:contextualSpacing/>
        <w:jc w:val="both"/>
        <w:rPr>
          <w:rFonts w:ascii="Verdana" w:eastAsia="Times New Roman" w:hAnsi="Verdana" w:cs="Arial"/>
          <w:iCs/>
          <w:lang w:val="es-ES_tradnl" w:eastAsia="es-ES_tradnl"/>
        </w:rPr>
      </w:pPr>
      <w:r w:rsidRPr="00217328">
        <w:rPr>
          <w:rFonts w:ascii="Verdana" w:eastAsia="Times New Roman" w:hAnsi="Verdana" w:cs="Arial"/>
          <w:lang w:val="es-ES_tradnl" w:eastAsia="es-ES_tradnl"/>
        </w:rPr>
        <w:t xml:space="preserve">Conforme lo expuesto, es importante que la entidad acompañe la citación de la audiencia, con las pruebas que dan a lugar al reproche sancionatorio, adicionales a los informes de supervisión o de interventoría que sirven para acreditar el incumplimiento de obligaciones contractuales. </w:t>
      </w:r>
      <w:r w:rsidRPr="00217328">
        <w:rPr>
          <w:rFonts w:ascii="Verdana" w:eastAsia="Times New Roman" w:hAnsi="Verdana" w:cs="Arial"/>
          <w:lang w:val="es-ES" w:eastAsia="es-ES_tradnl"/>
        </w:rPr>
        <w:t xml:space="preserve">Por otro lado, </w:t>
      </w:r>
      <w:r w:rsidRPr="00217328">
        <w:rPr>
          <w:rFonts w:ascii="Verdana" w:eastAsia="Times New Roman" w:hAnsi="Verdana" w:cs="Arial"/>
          <w:lang w:val="es-ES_tradnl" w:eastAsia="es-ES_tradnl"/>
        </w:rPr>
        <w:t xml:space="preserve">debe señalarse que el literal d) del artículo 86 dispone que, en </w:t>
      </w:r>
      <w:r w:rsidRPr="00217328">
        <w:rPr>
          <w:rFonts w:ascii="Verdana" w:eastAsia="Times New Roman" w:hAnsi="Verdana" w:cs="Arial"/>
          <w:iCs/>
          <w:lang w:val="es-ES_tradnl" w:eastAsia="es-ES_tradnl"/>
        </w:rPr>
        <w:t xml:space="preserve">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w:t>
      </w:r>
      <w:r w:rsidRPr="00217328">
        <w:rPr>
          <w:rFonts w:ascii="Verdana" w:eastAsia="Times New Roman" w:hAnsi="Verdana" w:cs="Arial"/>
          <w:iCs/>
          <w:lang w:val="es-ES_tradnl" w:eastAsia="es-ES_tradnl"/>
        </w:rPr>
        <w:lastRenderedPageBreak/>
        <w:t xml:space="preserve">de la actuación administrativa. En todo caso, al adoptar la decisión, se señalará fecha y hora para reanudar la audiencia. </w:t>
      </w:r>
    </w:p>
    <w:p w14:paraId="2DF0CEA4" w14:textId="77777777" w:rsidR="00106967" w:rsidRPr="007841A6" w:rsidRDefault="00106967" w:rsidP="00106967">
      <w:pPr>
        <w:pStyle w:val="Prrafodelista"/>
        <w:spacing w:after="120" w:line="276" w:lineRule="auto"/>
        <w:jc w:val="both"/>
        <w:rPr>
          <w:rFonts w:ascii="Verdana" w:eastAsia="Times New Roman" w:hAnsi="Verdana" w:cs="Arial"/>
          <w:lang w:val="es-ES_tradnl" w:eastAsia="es-ES"/>
        </w:rPr>
      </w:pPr>
    </w:p>
    <w:p w14:paraId="0A3445F8" w14:textId="77777777" w:rsidR="00106967" w:rsidRDefault="00106967" w:rsidP="00106967">
      <w:pPr>
        <w:spacing w:after="0" w:line="276" w:lineRule="auto"/>
        <w:jc w:val="both"/>
        <w:rPr>
          <w:rFonts w:ascii="Verdana" w:eastAsia="Calibri" w:hAnsi="Verdana" w:cs="Arial"/>
          <w:lang w:val="es-ES"/>
        </w:rPr>
      </w:pPr>
    </w:p>
    <w:p w14:paraId="126CED26" w14:textId="5B41C255" w:rsidR="00106967" w:rsidRPr="003B367A" w:rsidRDefault="00106967" w:rsidP="003B367A">
      <w:pPr>
        <w:pStyle w:val="Prrafodelista"/>
        <w:numPr>
          <w:ilvl w:val="0"/>
          <w:numId w:val="21"/>
        </w:numPr>
        <w:tabs>
          <w:tab w:val="left" w:pos="142"/>
          <w:tab w:val="left" w:pos="284"/>
        </w:tabs>
        <w:spacing w:after="0" w:line="276" w:lineRule="auto"/>
        <w:jc w:val="both"/>
        <w:rPr>
          <w:rFonts w:ascii="Verdana" w:eastAsia="Century Gothic" w:hAnsi="Verdana" w:cs="Century Gothic"/>
          <w:b/>
          <w:bCs/>
        </w:rPr>
      </w:pPr>
      <w:r w:rsidRPr="003B367A">
        <w:rPr>
          <w:rFonts w:ascii="Verdana" w:eastAsia="Century Gothic" w:hAnsi="Verdana" w:cs="Century Gothic"/>
          <w:b/>
          <w:bCs/>
        </w:rPr>
        <w:t>Referencias normativas, jurisprudenciales y otras fuentes:</w:t>
      </w:r>
    </w:p>
    <w:p w14:paraId="77D28B2A" w14:textId="77777777" w:rsidR="00106967" w:rsidRPr="006C7E16" w:rsidRDefault="00106967" w:rsidP="00106967">
      <w:pPr>
        <w:widowControl w:val="0"/>
        <w:autoSpaceDE w:val="0"/>
        <w:autoSpaceDN w:val="0"/>
        <w:spacing w:after="0" w:line="276" w:lineRule="auto"/>
        <w:jc w:val="both"/>
        <w:rPr>
          <w:rFonts w:ascii="Century Gothic" w:eastAsia="Times New Roman"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06967" w:rsidRPr="006C7E16" w14:paraId="5794D53D" w14:textId="77777777" w:rsidTr="00305C92">
        <w:trPr>
          <w:trHeight w:val="870"/>
        </w:trPr>
        <w:tc>
          <w:tcPr>
            <w:tcW w:w="8647" w:type="dxa"/>
          </w:tcPr>
          <w:p w14:paraId="6331CB95" w14:textId="77777777" w:rsidR="00106967" w:rsidRPr="00217328" w:rsidRDefault="00106967" w:rsidP="00305C92">
            <w:pPr>
              <w:pStyle w:val="Prrafodelista"/>
              <w:widowControl w:val="0"/>
              <w:numPr>
                <w:ilvl w:val="0"/>
                <w:numId w:val="17"/>
              </w:numPr>
              <w:autoSpaceDE w:val="0"/>
              <w:autoSpaceDN w:val="0"/>
              <w:spacing w:after="120" w:line="276" w:lineRule="auto"/>
              <w:contextualSpacing w:val="0"/>
              <w:rPr>
                <w:rFonts w:ascii="Verdana" w:hAnsi="Verdana" w:cs="Arial"/>
                <w:color w:val="000000" w:themeColor="text1"/>
              </w:rPr>
            </w:pPr>
            <w:r w:rsidRPr="00793478">
              <w:rPr>
                <w:color w:val="000000" w:themeColor="text1"/>
              </w:rPr>
              <w:t xml:space="preserve"> </w:t>
            </w:r>
            <w:r w:rsidRPr="00217328">
              <w:rPr>
                <w:rFonts w:ascii="Verdana" w:hAnsi="Verdana" w:cs="Arial"/>
                <w:color w:val="000000" w:themeColor="text1"/>
              </w:rPr>
              <w:t xml:space="preserve">Constitución Política de Colombia de 1991, artículo 29. </w:t>
            </w:r>
          </w:p>
          <w:p w14:paraId="085C00C1" w14:textId="77777777" w:rsidR="00106967" w:rsidRPr="00217328" w:rsidRDefault="00106967" w:rsidP="00305C92">
            <w:pPr>
              <w:pStyle w:val="Prrafodelista"/>
              <w:widowControl w:val="0"/>
              <w:numPr>
                <w:ilvl w:val="0"/>
                <w:numId w:val="17"/>
              </w:numPr>
              <w:autoSpaceDE w:val="0"/>
              <w:autoSpaceDN w:val="0"/>
              <w:spacing w:after="120" w:line="276" w:lineRule="auto"/>
              <w:contextualSpacing w:val="0"/>
              <w:rPr>
                <w:rFonts w:ascii="Verdana" w:hAnsi="Verdana" w:cs="Arial"/>
                <w:color w:val="000000" w:themeColor="text1"/>
              </w:rPr>
            </w:pPr>
            <w:r w:rsidRPr="00217328">
              <w:rPr>
                <w:rFonts w:ascii="Verdana" w:hAnsi="Verdana" w:cs="Arial"/>
                <w:color w:val="000000" w:themeColor="text1"/>
              </w:rPr>
              <w:t>Ley 1150 de 2007, artículo 17.</w:t>
            </w:r>
          </w:p>
          <w:p w14:paraId="4C9595A0" w14:textId="77777777" w:rsidR="00106967" w:rsidRPr="00217328" w:rsidRDefault="00106967" w:rsidP="00305C92">
            <w:pPr>
              <w:pStyle w:val="Prrafodelista"/>
              <w:widowControl w:val="0"/>
              <w:numPr>
                <w:ilvl w:val="0"/>
                <w:numId w:val="17"/>
              </w:numPr>
              <w:autoSpaceDE w:val="0"/>
              <w:autoSpaceDN w:val="0"/>
              <w:spacing w:after="120" w:line="276" w:lineRule="auto"/>
              <w:contextualSpacing w:val="0"/>
              <w:rPr>
                <w:rFonts w:ascii="Verdana" w:hAnsi="Verdana" w:cs="Arial"/>
                <w:color w:val="000000" w:themeColor="text1"/>
              </w:rPr>
            </w:pPr>
            <w:r w:rsidRPr="00217328">
              <w:rPr>
                <w:rFonts w:ascii="Verdana" w:hAnsi="Verdana" w:cs="Arial"/>
                <w:color w:val="000000" w:themeColor="text1"/>
              </w:rPr>
              <w:t>Ley 1474 de 2011, artículo 86.</w:t>
            </w:r>
          </w:p>
          <w:p w14:paraId="2199E6BB" w14:textId="77777777" w:rsidR="00106967" w:rsidRPr="00217328" w:rsidRDefault="00106967" w:rsidP="00305C92">
            <w:pPr>
              <w:pStyle w:val="Prrafodelista"/>
              <w:widowControl w:val="0"/>
              <w:numPr>
                <w:ilvl w:val="0"/>
                <w:numId w:val="17"/>
              </w:numPr>
              <w:autoSpaceDE w:val="0"/>
              <w:autoSpaceDN w:val="0"/>
              <w:spacing w:after="120" w:line="276" w:lineRule="auto"/>
              <w:contextualSpacing w:val="0"/>
              <w:rPr>
                <w:rFonts w:ascii="Verdana" w:hAnsi="Verdana" w:cs="Arial"/>
                <w:color w:val="000000" w:themeColor="text1"/>
              </w:rPr>
            </w:pPr>
            <w:r w:rsidRPr="00217328">
              <w:rPr>
                <w:rFonts w:ascii="Verdana" w:hAnsi="Verdana" w:cs="Arial"/>
                <w:color w:val="000000" w:themeColor="text1"/>
              </w:rPr>
              <w:t>Decreto Legislativo 537 de 2020.</w:t>
            </w:r>
          </w:p>
          <w:p w14:paraId="283551FA" w14:textId="77777777" w:rsidR="00106967" w:rsidRPr="00217328" w:rsidRDefault="00106967" w:rsidP="00305C92">
            <w:pPr>
              <w:pStyle w:val="Prrafodelista"/>
              <w:widowControl w:val="0"/>
              <w:numPr>
                <w:ilvl w:val="0"/>
                <w:numId w:val="17"/>
              </w:numPr>
              <w:autoSpaceDE w:val="0"/>
              <w:autoSpaceDN w:val="0"/>
              <w:spacing w:after="120" w:line="276" w:lineRule="auto"/>
              <w:contextualSpacing w:val="0"/>
              <w:rPr>
                <w:rFonts w:ascii="Verdana" w:hAnsi="Verdana" w:cs="Arial"/>
                <w:color w:val="000000" w:themeColor="text1"/>
                <w:lang w:val="es-MX"/>
              </w:rPr>
            </w:pPr>
            <w:r w:rsidRPr="0032022C">
              <w:rPr>
                <w:rFonts w:ascii="Verdana" w:hAnsi="Verdana" w:cs="Arial"/>
                <w:color w:val="000000" w:themeColor="text1"/>
                <w:lang w:val="pt-BR"/>
              </w:rPr>
              <w:t xml:space="preserve">Sentencia T-722 de 2010. Magistrado Ponente: Jorge Ignacio </w:t>
            </w:r>
            <w:proofErr w:type="spellStart"/>
            <w:r w:rsidRPr="0032022C">
              <w:rPr>
                <w:rFonts w:ascii="Verdana" w:hAnsi="Verdana" w:cs="Arial"/>
                <w:color w:val="000000" w:themeColor="text1"/>
                <w:lang w:val="pt-BR"/>
              </w:rPr>
              <w:t>Pretelt</w:t>
            </w:r>
            <w:proofErr w:type="spellEnd"/>
            <w:r w:rsidRPr="0032022C">
              <w:rPr>
                <w:rFonts w:ascii="Verdana" w:hAnsi="Verdana" w:cs="Arial"/>
                <w:color w:val="000000" w:themeColor="text1"/>
                <w:lang w:val="pt-BR"/>
              </w:rPr>
              <w:t xml:space="preserve">. </w:t>
            </w:r>
            <w:r w:rsidRPr="00217328">
              <w:rPr>
                <w:rFonts w:ascii="Verdana" w:hAnsi="Verdana" w:cs="Arial"/>
                <w:color w:val="000000" w:themeColor="text1"/>
              </w:rPr>
              <w:t>Corte Constitucional.</w:t>
            </w:r>
          </w:p>
          <w:p w14:paraId="790F2BBF" w14:textId="59E696A9" w:rsidR="005077DD" w:rsidRPr="00217328" w:rsidRDefault="00106967" w:rsidP="00305C92">
            <w:pPr>
              <w:pStyle w:val="Prrafodelista"/>
              <w:widowControl w:val="0"/>
              <w:numPr>
                <w:ilvl w:val="0"/>
                <w:numId w:val="17"/>
              </w:numPr>
              <w:autoSpaceDE w:val="0"/>
              <w:autoSpaceDN w:val="0"/>
              <w:spacing w:after="120" w:line="276" w:lineRule="auto"/>
              <w:contextualSpacing w:val="0"/>
              <w:rPr>
                <w:rFonts w:ascii="Verdana" w:hAnsi="Verdana" w:cs="Arial"/>
                <w:color w:val="000000" w:themeColor="text1"/>
                <w:lang w:val="es-MX"/>
              </w:rPr>
            </w:pPr>
            <w:r w:rsidRPr="00217328">
              <w:rPr>
                <w:rFonts w:ascii="Verdana" w:hAnsi="Verdana" w:cs="Arial"/>
                <w:color w:val="000000" w:themeColor="text1"/>
              </w:rPr>
              <w:t xml:space="preserve">Sentencia de Unificación Jurisprudencial SU 339 del 4 de mayo de 2011, Magistrado ponente: Humberto Antonio Sierra Porto. </w:t>
            </w:r>
            <w:proofErr w:type="spellStart"/>
            <w:r w:rsidRPr="00217328">
              <w:rPr>
                <w:rFonts w:ascii="Verdana" w:hAnsi="Verdana" w:cs="Arial"/>
                <w:color w:val="000000" w:themeColor="text1"/>
              </w:rPr>
              <w:t>Exp</w:t>
            </w:r>
            <w:proofErr w:type="spellEnd"/>
            <w:r w:rsidRPr="00217328">
              <w:rPr>
                <w:rFonts w:ascii="Verdana" w:hAnsi="Verdana" w:cs="Arial"/>
                <w:color w:val="000000" w:themeColor="text1"/>
              </w:rPr>
              <w:t>. T-2.735.401.</w:t>
            </w:r>
          </w:p>
          <w:p w14:paraId="4E8175E6" w14:textId="7E2ECA07" w:rsidR="00106967" w:rsidRPr="005077DD" w:rsidRDefault="00106967" w:rsidP="003B367A">
            <w:pPr>
              <w:pStyle w:val="Prrafodelista"/>
              <w:widowControl w:val="0"/>
              <w:numPr>
                <w:ilvl w:val="0"/>
                <w:numId w:val="17"/>
              </w:numPr>
              <w:autoSpaceDE w:val="0"/>
              <w:autoSpaceDN w:val="0"/>
              <w:spacing w:after="120" w:line="276" w:lineRule="auto"/>
              <w:contextualSpacing w:val="0"/>
              <w:rPr>
                <w:rFonts w:ascii="Century Gothic" w:hAnsi="Century Gothic"/>
              </w:rPr>
            </w:pPr>
            <w:r w:rsidRPr="003B367A">
              <w:rPr>
                <w:rFonts w:ascii="Verdana" w:hAnsi="Verdana" w:cs="Arial"/>
                <w:color w:val="000000" w:themeColor="text1"/>
              </w:rPr>
              <w:t>Sentencia C-317 de 2012.</w:t>
            </w:r>
          </w:p>
        </w:tc>
      </w:tr>
    </w:tbl>
    <w:p w14:paraId="03C57974" w14:textId="77777777" w:rsidR="00106967" w:rsidRPr="006C7E16" w:rsidRDefault="00106967" w:rsidP="00106967">
      <w:pPr>
        <w:widowControl w:val="0"/>
        <w:autoSpaceDE w:val="0"/>
        <w:autoSpaceDN w:val="0"/>
        <w:spacing w:after="0" w:line="276" w:lineRule="auto"/>
        <w:jc w:val="both"/>
        <w:rPr>
          <w:rFonts w:ascii="Century Gothic" w:eastAsia="Times New Roman" w:hAnsi="Century Gothic" w:cs="Arial"/>
        </w:rPr>
      </w:pPr>
    </w:p>
    <w:p w14:paraId="49D10705" w14:textId="77777777" w:rsidR="00106967" w:rsidRDefault="00106967" w:rsidP="003B367A">
      <w:pPr>
        <w:numPr>
          <w:ilvl w:val="0"/>
          <w:numId w:val="21"/>
        </w:numPr>
        <w:tabs>
          <w:tab w:val="left" w:pos="142"/>
          <w:tab w:val="left" w:pos="284"/>
        </w:tabs>
        <w:spacing w:after="0" w:line="276" w:lineRule="auto"/>
        <w:ind w:left="0" w:firstLine="0"/>
        <w:jc w:val="both"/>
        <w:rPr>
          <w:rFonts w:ascii="Verdana" w:eastAsia="Century Gothic" w:hAnsi="Verdana" w:cs="Century Gothic"/>
          <w:b/>
          <w:bCs/>
          <w:lang w:val="es-ES"/>
        </w:rPr>
      </w:pPr>
      <w:r w:rsidRPr="006C7E16">
        <w:rPr>
          <w:rFonts w:ascii="Verdana" w:eastAsia="Century Gothic" w:hAnsi="Verdana" w:cs="Century Gothic"/>
          <w:b/>
          <w:bCs/>
          <w:lang w:val="es-ES"/>
        </w:rPr>
        <w:t>Doctrina de la Agencia Nacional de Contratación Pública:</w:t>
      </w:r>
    </w:p>
    <w:p w14:paraId="73072746" w14:textId="77777777" w:rsidR="00106967" w:rsidRDefault="00106967" w:rsidP="00106967">
      <w:pPr>
        <w:tabs>
          <w:tab w:val="left" w:pos="142"/>
          <w:tab w:val="left" w:pos="284"/>
        </w:tabs>
        <w:spacing w:after="0" w:line="276" w:lineRule="auto"/>
        <w:jc w:val="both"/>
        <w:rPr>
          <w:rFonts w:ascii="Verdana" w:eastAsia="Century Gothic" w:hAnsi="Verdana" w:cs="Century Gothic"/>
          <w:b/>
          <w:bCs/>
          <w:lang w:val="es-ES"/>
        </w:rPr>
      </w:pPr>
    </w:p>
    <w:p w14:paraId="747AAE2C" w14:textId="00D916FC" w:rsidR="00106967" w:rsidRPr="00C66D05" w:rsidRDefault="00106967" w:rsidP="00106967">
      <w:pPr>
        <w:tabs>
          <w:tab w:val="left" w:pos="142"/>
          <w:tab w:val="left" w:pos="284"/>
        </w:tabs>
        <w:spacing w:after="0" w:line="276" w:lineRule="auto"/>
        <w:jc w:val="both"/>
        <w:rPr>
          <w:rFonts w:ascii="Verdana" w:eastAsia="Century Gothic" w:hAnsi="Verdana" w:cs="Century Gothic"/>
          <w:b/>
          <w:bCs/>
          <w:lang w:val="es-ES"/>
        </w:rPr>
      </w:pPr>
      <w:r w:rsidRPr="00217328">
        <w:rPr>
          <w:rFonts w:ascii="Verdana" w:hAnsi="Verdana" w:cs="Arial"/>
          <w:color w:val="000000" w:themeColor="text1"/>
          <w:shd w:val="clear" w:color="auto" w:fill="FFFFFF"/>
          <w:lang w:val="es-ES"/>
        </w:rPr>
        <w:t>Sobre el tema del procedimiento sancionatorio esta Subdirección</w:t>
      </w:r>
      <w:r>
        <w:rPr>
          <w:rFonts w:ascii="Verdana" w:hAnsi="Verdana" w:cs="Arial"/>
          <w:color w:val="000000" w:themeColor="text1"/>
          <w:shd w:val="clear" w:color="auto" w:fill="FFFFFF"/>
          <w:lang w:val="es-ES"/>
        </w:rPr>
        <w:t xml:space="preserve"> se</w:t>
      </w:r>
      <w:r w:rsidRPr="00217328">
        <w:rPr>
          <w:rFonts w:ascii="Verdana" w:hAnsi="Verdana" w:cs="Arial"/>
          <w:color w:val="000000" w:themeColor="text1"/>
          <w:shd w:val="clear" w:color="auto" w:fill="FFFFFF"/>
          <w:lang w:val="es-ES"/>
        </w:rPr>
        <w:t xml:space="preserve"> ha </w:t>
      </w:r>
      <w:r>
        <w:rPr>
          <w:rFonts w:ascii="Verdana" w:hAnsi="Verdana" w:cs="Arial"/>
          <w:color w:val="000000" w:themeColor="text1"/>
          <w:shd w:val="clear" w:color="auto" w:fill="FFFFFF"/>
          <w:lang w:val="es-ES"/>
        </w:rPr>
        <w:t xml:space="preserve">pronunciado </w:t>
      </w:r>
      <w:r w:rsidRPr="00217328">
        <w:rPr>
          <w:rFonts w:ascii="Verdana" w:hAnsi="Verdana" w:cs="Arial"/>
          <w:color w:val="000000" w:themeColor="text1"/>
          <w:shd w:val="clear" w:color="auto" w:fill="FFFFFF"/>
          <w:lang w:val="es-ES"/>
        </w:rPr>
        <w:t>en</w:t>
      </w:r>
      <w:r>
        <w:rPr>
          <w:rFonts w:ascii="Verdana" w:hAnsi="Verdana" w:cs="Arial"/>
          <w:color w:val="000000" w:themeColor="text1"/>
          <w:shd w:val="clear" w:color="auto" w:fill="FFFFFF"/>
          <w:lang w:val="es-ES"/>
        </w:rPr>
        <w:t xml:space="preserve"> los siguientes </w:t>
      </w:r>
      <w:r w:rsidRPr="00217328">
        <w:rPr>
          <w:rFonts w:ascii="Verdana" w:hAnsi="Verdana" w:cs="Arial"/>
          <w:color w:val="000000" w:themeColor="text1"/>
          <w:shd w:val="clear" w:color="auto" w:fill="FFFFFF"/>
          <w:lang w:val="es-ES"/>
        </w:rPr>
        <w:t>conceptos</w:t>
      </w:r>
      <w:r w:rsidR="00222B47">
        <w:rPr>
          <w:rFonts w:ascii="Verdana" w:hAnsi="Verdana" w:cs="Arial"/>
          <w:color w:val="000000" w:themeColor="text1"/>
          <w:shd w:val="clear" w:color="auto" w:fill="FFFFFF"/>
          <w:lang w:val="es-ES"/>
        </w:rPr>
        <w:t>:</w:t>
      </w:r>
      <w:r w:rsidRPr="00217328">
        <w:rPr>
          <w:rFonts w:ascii="Verdana" w:hAnsi="Verdana" w:cs="Arial"/>
          <w:color w:val="000000" w:themeColor="text1"/>
          <w:shd w:val="clear" w:color="auto" w:fill="FFFFFF"/>
          <w:lang w:val="es-ES"/>
        </w:rPr>
        <w:t xml:space="preserve"> C-219 del 29 de abril de 2020, el C-280 del 6 de julio de 2020 y el C–434 del 29 de julio de 2020, C-047 del 25 de abril de </w:t>
      </w:r>
      <w:r w:rsidR="00222B47" w:rsidRPr="00217328">
        <w:rPr>
          <w:rFonts w:ascii="Verdana" w:hAnsi="Verdana" w:cs="Arial"/>
          <w:color w:val="000000" w:themeColor="text1"/>
          <w:shd w:val="clear" w:color="auto" w:fill="FFFFFF"/>
          <w:lang w:val="es-ES"/>
        </w:rPr>
        <w:t>2024</w:t>
      </w:r>
      <w:r w:rsidR="00222B47">
        <w:rPr>
          <w:rFonts w:ascii="Verdana" w:hAnsi="Verdana" w:cs="Arial"/>
          <w:color w:val="000000" w:themeColor="text1"/>
          <w:shd w:val="clear" w:color="auto" w:fill="FFFFFF"/>
          <w:lang w:val="es-ES"/>
        </w:rPr>
        <w:t>, C</w:t>
      </w:r>
      <w:r>
        <w:rPr>
          <w:rFonts w:ascii="Verdana" w:hAnsi="Verdana" w:cs="Arial"/>
          <w:color w:val="000000" w:themeColor="text1"/>
          <w:shd w:val="clear" w:color="auto" w:fill="FFFFFF"/>
          <w:lang w:val="es-ES"/>
        </w:rPr>
        <w:t xml:space="preserve">-438 del 17 de septiembre de 2024 y C-815 </w:t>
      </w:r>
      <w:proofErr w:type="gramStart"/>
      <w:r>
        <w:rPr>
          <w:rFonts w:ascii="Verdana" w:hAnsi="Verdana" w:cs="Arial"/>
          <w:color w:val="000000" w:themeColor="text1"/>
          <w:shd w:val="clear" w:color="auto" w:fill="FFFFFF"/>
          <w:lang w:val="es-ES"/>
        </w:rPr>
        <w:t>del  11</w:t>
      </w:r>
      <w:proofErr w:type="gramEnd"/>
      <w:r>
        <w:rPr>
          <w:rFonts w:ascii="Verdana" w:hAnsi="Verdana" w:cs="Arial"/>
          <w:color w:val="000000" w:themeColor="text1"/>
          <w:shd w:val="clear" w:color="auto" w:fill="FFFFFF"/>
          <w:lang w:val="es-ES"/>
        </w:rPr>
        <w:t xml:space="preserve"> de diciembre de 2024</w:t>
      </w:r>
      <w:r w:rsidRPr="00E25E52">
        <w:rPr>
          <w:rFonts w:ascii="Verdana" w:eastAsia="Calibri" w:hAnsi="Verdana" w:cs="Arial"/>
          <w:color w:val="000000"/>
        </w:rPr>
        <w:t>, entre otros</w:t>
      </w:r>
      <w:r>
        <w:rPr>
          <w:rFonts w:ascii="Verdana" w:eastAsia="Calibri" w:hAnsi="Verdana" w:cs="Arial"/>
          <w:color w:val="000000"/>
        </w:rPr>
        <w:t>.</w:t>
      </w:r>
      <w:r>
        <w:rPr>
          <w:rFonts w:ascii="Verdana" w:eastAsia="Calibri" w:hAnsi="Verdana" w:cs="Arial"/>
          <w:color w:val="000000"/>
          <w:lang w:val="es-ES"/>
        </w:rPr>
        <w:t xml:space="preserve"> </w:t>
      </w:r>
      <w:r w:rsidRPr="006C7E16">
        <w:rPr>
          <w:rFonts w:ascii="Verdana" w:eastAsia="Times New Roman" w:hAnsi="Verdana" w:cs="Arial"/>
          <w:shd w:val="clear" w:color="auto" w:fill="FFFFFF"/>
          <w:lang w:val="es-ES"/>
        </w:rPr>
        <w:t>Es</w:t>
      </w:r>
      <w:r w:rsidRPr="006C7E16">
        <w:rPr>
          <w:rFonts w:ascii="Verdana" w:eastAsia="Times New Roman" w:hAnsi="Verdana" w:cs="Times New Roman"/>
        </w:rPr>
        <w:t>tos y otros conceptos se encuentran disponibles para consulta en el Sistema de relatoría de la Agencia, al cual se puede acceder a través del siguiente enlace:</w:t>
      </w:r>
      <w:r w:rsidRPr="006C7E16">
        <w:rPr>
          <w:rFonts w:ascii="Verdana" w:eastAsia="Times New Roman" w:hAnsi="Verdana" w:cs="Arial"/>
          <w:shd w:val="clear" w:color="auto" w:fill="FFFFFF"/>
          <w:lang w:val="es-ES"/>
        </w:rPr>
        <w:t xml:space="preserve"> </w:t>
      </w:r>
      <w:hyperlink r:id="rId11" w:history="1">
        <w:r w:rsidRPr="006C7E16">
          <w:rPr>
            <w:rFonts w:ascii="Verdana" w:eastAsia="Times New Roman" w:hAnsi="Verdana" w:cs="Arial"/>
            <w:color w:val="0563C1" w:themeColor="hyperlink"/>
            <w:u w:val="single"/>
            <w:shd w:val="clear" w:color="auto" w:fill="FFFFFF"/>
            <w:lang w:val="es-ES"/>
          </w:rPr>
          <w:t>https://relatoria.colombiacompra.gov.co/busqueda/conceptos</w:t>
        </w:r>
      </w:hyperlink>
    </w:p>
    <w:p w14:paraId="2178D708" w14:textId="77777777" w:rsidR="00106967" w:rsidRPr="006C7E16" w:rsidRDefault="00106967" w:rsidP="00106967">
      <w:pPr>
        <w:widowControl w:val="0"/>
        <w:autoSpaceDE w:val="0"/>
        <w:autoSpaceDN w:val="0"/>
        <w:spacing w:after="0" w:line="276" w:lineRule="auto"/>
        <w:jc w:val="both"/>
        <w:rPr>
          <w:rFonts w:ascii="Century Gothic" w:eastAsia="Times New Roman" w:hAnsi="Century Gothic" w:cs="Arial"/>
          <w:color w:val="FF0000"/>
          <w:shd w:val="clear" w:color="auto" w:fill="FFFFFF"/>
          <w:lang w:val="es-ES"/>
        </w:rPr>
      </w:pPr>
    </w:p>
    <w:p w14:paraId="33DE09ED" w14:textId="77777777" w:rsidR="00106967" w:rsidRPr="00AC361B" w:rsidRDefault="00106967" w:rsidP="00106967">
      <w:pPr>
        <w:widowControl w:val="0"/>
        <w:autoSpaceDE w:val="0"/>
        <w:autoSpaceDN w:val="0"/>
        <w:spacing w:after="0" w:line="276" w:lineRule="auto"/>
        <w:jc w:val="both"/>
        <w:rPr>
          <w:rFonts w:ascii="Verdana" w:hAnsi="Verdana"/>
        </w:rPr>
      </w:pPr>
      <w:r w:rsidRPr="00AC361B">
        <w:rPr>
          <w:rFonts w:ascii="Verdana" w:hAnsi="Verdana"/>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682F8F87" w14:textId="77777777" w:rsidR="00106967" w:rsidRPr="00AC361B" w:rsidRDefault="00106967" w:rsidP="00106967">
      <w:pPr>
        <w:widowControl w:val="0"/>
        <w:numPr>
          <w:ilvl w:val="0"/>
          <w:numId w:val="18"/>
        </w:numPr>
        <w:autoSpaceDE w:val="0"/>
        <w:autoSpaceDN w:val="0"/>
        <w:spacing w:after="0" w:line="276" w:lineRule="auto"/>
        <w:jc w:val="both"/>
        <w:rPr>
          <w:rFonts w:ascii="Verdana" w:hAnsi="Verdana"/>
        </w:rPr>
      </w:pPr>
      <w:r w:rsidRPr="00AC361B">
        <w:rPr>
          <w:rFonts w:ascii="Verdana" w:hAnsi="Verdana"/>
          <w:b/>
          <w:bCs/>
        </w:rPr>
        <w:t>Documentos tipo para los procesos de selección de interventoría de obra pública de infraestructura de transporte – versión 3: </w:t>
      </w:r>
      <w:hyperlink r:id="rId12" w:tgtFrame="_blank" w:tooltip="Dirección URL original: https://www.colombiacompra.gov.co/content/03-documentos-tipo-para-los-procesos-de-seleccion-de-interventoria-de-obra-publica-de. Haga clic o pulse si confía en este vínculo." w:history="1">
        <w:r w:rsidRPr="00AC361B">
          <w:rPr>
            <w:rStyle w:val="Hipervnculo"/>
            <w:rFonts w:ascii="Verdana" w:hAnsi="Verdana"/>
          </w:rPr>
          <w:t xml:space="preserve">03. </w:t>
        </w:r>
        <w:r w:rsidRPr="00AC361B">
          <w:rPr>
            <w:rStyle w:val="Hipervnculo"/>
            <w:rFonts w:ascii="Verdana" w:hAnsi="Verdana"/>
          </w:rPr>
          <w:lastRenderedPageBreak/>
          <w:t>Documentos tipo para los procesos de selección de interventoría de obra pública de infraestructura de transporte – versión 3 | Colombia Compra Eficiente | Agencia Nacional de Contratación Pública</w:t>
        </w:r>
      </w:hyperlink>
    </w:p>
    <w:p w14:paraId="03A2245C" w14:textId="77777777" w:rsidR="00106967" w:rsidRPr="00AC361B" w:rsidRDefault="00106967" w:rsidP="00106967">
      <w:pPr>
        <w:widowControl w:val="0"/>
        <w:numPr>
          <w:ilvl w:val="0"/>
          <w:numId w:val="18"/>
        </w:numPr>
        <w:autoSpaceDE w:val="0"/>
        <w:autoSpaceDN w:val="0"/>
        <w:spacing w:after="0" w:line="276" w:lineRule="auto"/>
        <w:jc w:val="both"/>
        <w:rPr>
          <w:rFonts w:ascii="Verdana" w:hAnsi="Verdana"/>
        </w:rPr>
      </w:pPr>
      <w:r w:rsidRPr="00AC361B">
        <w:rPr>
          <w:rFonts w:ascii="Verdana" w:hAnsi="Verdana"/>
          <w:b/>
          <w:bCs/>
        </w:rPr>
        <w:t>Documentos tipo para los procesos de selección de consultoría de obra pública de infraestructura de transporte – versión 2:</w:t>
      </w:r>
      <w:r w:rsidRPr="00AC361B">
        <w:rPr>
          <w:rFonts w:ascii="Verdana" w:hAnsi="Verdana"/>
        </w:rPr>
        <w:t> </w:t>
      </w:r>
      <w:hyperlink r:id="rId13" w:tgtFrame="_blank" w:tooltip="Dirección URL original: https://www.colombiacompra.gov.co/content/02-documentos-tipo-para-los-procesos-de-seleccion-de-consultoria-de-obra-publica-de. Haga clic o pulse si confía en este vínculo." w:history="1">
        <w:r w:rsidRPr="00AC361B">
          <w:rPr>
            <w:rStyle w:val="Hipervnculo"/>
            <w:rFonts w:ascii="Verdana" w:hAnsi="Verdana"/>
          </w:rPr>
          <w:t>02. Documentos tipo para los procesos de selección de consultoría de obra pública de infraestructura de transporte – versión 2. | Colombia Compra Eficiente | Agencia Nacional de Contratación Pública</w:t>
        </w:r>
      </w:hyperlink>
    </w:p>
    <w:p w14:paraId="7E5989A0" w14:textId="77777777" w:rsidR="00106967" w:rsidRDefault="00106967" w:rsidP="00106967">
      <w:pPr>
        <w:widowControl w:val="0"/>
        <w:autoSpaceDE w:val="0"/>
        <w:autoSpaceDN w:val="0"/>
        <w:spacing w:after="0" w:line="276" w:lineRule="auto"/>
        <w:jc w:val="both"/>
        <w:rPr>
          <w:rFonts w:ascii="Verdana" w:hAnsi="Verdana"/>
        </w:rPr>
      </w:pPr>
    </w:p>
    <w:p w14:paraId="4C01C5C5" w14:textId="77777777" w:rsidR="00106967" w:rsidRPr="00AC361B" w:rsidRDefault="00106967" w:rsidP="00106967">
      <w:pPr>
        <w:widowControl w:val="0"/>
        <w:autoSpaceDE w:val="0"/>
        <w:autoSpaceDN w:val="0"/>
        <w:spacing w:after="0" w:line="276" w:lineRule="auto"/>
        <w:jc w:val="both"/>
        <w:rPr>
          <w:rFonts w:ascii="Verdana" w:hAnsi="Verdana"/>
        </w:rPr>
      </w:pPr>
      <w:r w:rsidRPr="00AC361B">
        <w:rPr>
          <w:rFonts w:ascii="Verdana" w:hAnsi="Verdana"/>
        </w:rPr>
        <w:t>También, te contamos que ya publicamos </w:t>
      </w:r>
      <w:r w:rsidRPr="00AC361B">
        <w:rPr>
          <w:rFonts w:ascii="Verdana" w:hAnsi="Verdana"/>
          <w:b/>
          <w:bCs/>
        </w:rPr>
        <w:t>la nueva Guía de Contratación Pública Sostenible y Socialmente Responsable</w:t>
      </w:r>
      <w:r w:rsidRPr="00AC361B">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AC361B">
          <w:rPr>
            <w:rStyle w:val="Hipervnculo"/>
            <w:rFonts w:ascii="Verdana" w:hAnsi="Verdana"/>
          </w:rPr>
          <w:t>Guía de Contratación Pública Sostenible y Socialmente Responsable | Colombia Compra Eficiente | Agencia Nacional de Contratación Pública</w:t>
        </w:r>
      </w:hyperlink>
    </w:p>
    <w:p w14:paraId="7B0D0023" w14:textId="77777777" w:rsidR="00106967" w:rsidRPr="006C7E16" w:rsidRDefault="00106967" w:rsidP="00106967">
      <w:pPr>
        <w:widowControl w:val="0"/>
        <w:autoSpaceDE w:val="0"/>
        <w:autoSpaceDN w:val="0"/>
        <w:spacing w:after="0" w:line="276" w:lineRule="auto"/>
        <w:jc w:val="both"/>
      </w:pPr>
    </w:p>
    <w:p w14:paraId="3CCB3C4C" w14:textId="77777777" w:rsidR="00106967" w:rsidRPr="008774D0" w:rsidRDefault="00106967" w:rsidP="00106967">
      <w:pPr>
        <w:spacing w:after="0" w:line="240" w:lineRule="auto"/>
        <w:jc w:val="both"/>
        <w:rPr>
          <w:rFonts w:ascii="Verdana" w:eastAsia="Times New Roman" w:hAnsi="Verdana" w:cs="Times New Roman"/>
        </w:rPr>
      </w:pPr>
      <w:r w:rsidRPr="008774D0">
        <w:rPr>
          <w:rFonts w:ascii="Verdana" w:eastAsia="Times New Roman" w:hAnsi="Verdana" w:cs="Times New Roman"/>
        </w:rPr>
        <w:t xml:space="preserve">Por último, lo invitamos a seguirnos en las redes sociales en las cuales se difunde información institucional: </w:t>
      </w:r>
    </w:p>
    <w:p w14:paraId="5BD4F391" w14:textId="77777777" w:rsidR="00106967" w:rsidRPr="00A456A7" w:rsidRDefault="00106967" w:rsidP="00106967">
      <w:pPr>
        <w:spacing w:after="0" w:line="240" w:lineRule="auto"/>
        <w:jc w:val="both"/>
        <w:rPr>
          <w:rFonts w:ascii="Verdana" w:eastAsia="Times New Roman" w:hAnsi="Verdana" w:cs="Times New Roman"/>
        </w:rPr>
      </w:pPr>
    </w:p>
    <w:p w14:paraId="1390F837" w14:textId="77777777" w:rsidR="00106967" w:rsidRPr="00A456A7" w:rsidRDefault="00106967" w:rsidP="00106967">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Twitter: </w:t>
      </w:r>
      <w:r w:rsidRPr="00A456A7">
        <w:rPr>
          <w:rFonts w:ascii="Verdana" w:eastAsia="Times New Roman" w:hAnsi="Verdana" w:cs="Times New Roman"/>
          <w:color w:val="4472C4" w:themeColor="accent1"/>
          <w:u w:val="single"/>
        </w:rPr>
        <w:t>@colombiacompra</w:t>
      </w:r>
      <w:r w:rsidRPr="00A456A7">
        <w:rPr>
          <w:rFonts w:ascii="Verdana" w:eastAsia="Times New Roman" w:hAnsi="Verdana" w:cs="Times New Roman"/>
          <w:color w:val="4472C4" w:themeColor="accent1"/>
        </w:rPr>
        <w:t xml:space="preserve"> </w:t>
      </w:r>
    </w:p>
    <w:p w14:paraId="3B8F1718" w14:textId="77777777" w:rsidR="00106967" w:rsidRPr="00A456A7" w:rsidRDefault="00106967" w:rsidP="00106967">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Facebook: </w:t>
      </w:r>
      <w:proofErr w:type="spellStart"/>
      <w:r w:rsidRPr="00A456A7">
        <w:rPr>
          <w:rFonts w:ascii="Verdana" w:eastAsia="Times New Roman" w:hAnsi="Verdana" w:cs="Times New Roman"/>
          <w:color w:val="4472C4" w:themeColor="accent1"/>
          <w:u w:val="single"/>
        </w:rPr>
        <w:t>ColombiaCompraEficiente</w:t>
      </w:r>
      <w:proofErr w:type="spellEnd"/>
    </w:p>
    <w:p w14:paraId="7B75C7A3" w14:textId="77777777" w:rsidR="00106967" w:rsidRPr="00A456A7" w:rsidRDefault="00106967" w:rsidP="00106967">
      <w:pPr>
        <w:spacing w:after="0" w:line="240" w:lineRule="auto"/>
        <w:jc w:val="both"/>
        <w:rPr>
          <w:rFonts w:ascii="Verdana" w:eastAsia="Times New Roman" w:hAnsi="Verdana" w:cs="Times New Roman"/>
        </w:rPr>
      </w:pPr>
      <w:r w:rsidRPr="00A456A7">
        <w:rPr>
          <w:rFonts w:ascii="Verdana" w:eastAsia="Times New Roman" w:hAnsi="Verdana" w:cs="Times New Roman"/>
        </w:rPr>
        <w:t xml:space="preserve">LinkedIn: </w:t>
      </w:r>
      <w:r w:rsidRPr="00A456A7">
        <w:rPr>
          <w:rFonts w:ascii="Verdana" w:eastAsia="Times New Roman" w:hAnsi="Verdana" w:cs="Times New Roman"/>
          <w:color w:val="4472C4" w:themeColor="accent1"/>
          <w:u w:val="single"/>
        </w:rPr>
        <w:t>Agencia Nacional de Contratación Pública - Colombia Compra Eficiente</w:t>
      </w:r>
      <w:r w:rsidRPr="00A456A7">
        <w:rPr>
          <w:rFonts w:ascii="Verdana" w:eastAsia="Times New Roman" w:hAnsi="Verdana" w:cs="Times New Roman"/>
          <w:color w:val="4472C4" w:themeColor="accent1"/>
        </w:rPr>
        <w:t xml:space="preserve"> </w:t>
      </w:r>
      <w:r w:rsidRPr="00A456A7">
        <w:rPr>
          <w:rFonts w:ascii="Verdana" w:eastAsia="Times New Roman" w:hAnsi="Verdana" w:cs="Times New Roman"/>
        </w:rPr>
        <w:t xml:space="preserve">Instagram: </w:t>
      </w:r>
      <w:r w:rsidRPr="00A456A7">
        <w:rPr>
          <w:rFonts w:ascii="Verdana" w:eastAsia="Times New Roman" w:hAnsi="Verdana" w:cs="Times New Roman"/>
          <w:color w:val="4472C4" w:themeColor="accent1"/>
          <w:u w:val="single"/>
        </w:rPr>
        <w:t>@colombiacompraeficiente_cce</w:t>
      </w:r>
    </w:p>
    <w:p w14:paraId="7078A2D6" w14:textId="77777777" w:rsidR="00106967" w:rsidRPr="00A456A7" w:rsidRDefault="00106967" w:rsidP="00106967">
      <w:pPr>
        <w:widowControl w:val="0"/>
        <w:autoSpaceDE w:val="0"/>
        <w:autoSpaceDN w:val="0"/>
        <w:spacing w:after="0" w:line="276" w:lineRule="auto"/>
        <w:jc w:val="both"/>
        <w:rPr>
          <w:rFonts w:ascii="Verdana" w:eastAsia="Times New Roman" w:hAnsi="Verdana" w:cs="Arial"/>
        </w:rPr>
      </w:pPr>
    </w:p>
    <w:p w14:paraId="5F0BD7DD" w14:textId="77777777" w:rsidR="00106967" w:rsidRPr="008774D0" w:rsidRDefault="00106967" w:rsidP="00106967">
      <w:pPr>
        <w:widowControl w:val="0"/>
        <w:autoSpaceDE w:val="0"/>
        <w:autoSpaceDN w:val="0"/>
        <w:spacing w:after="0" w:line="276" w:lineRule="auto"/>
        <w:jc w:val="both"/>
        <w:rPr>
          <w:rFonts w:ascii="Verdana" w:eastAsia="Times New Roman" w:hAnsi="Verdana" w:cs="Arial"/>
          <w:lang w:val="es-ES_tradnl"/>
        </w:rPr>
      </w:pPr>
      <w:r w:rsidRPr="008774D0">
        <w:rPr>
          <w:rFonts w:ascii="Verdana" w:eastAsia="Times New Roman" w:hAnsi="Verdana" w:cs="Arial"/>
        </w:rPr>
        <w:t xml:space="preserve">Este concepto tiene el alcance previsto en el artículo 28 del Código de Procedimiento Administrativo y de lo Contencioso Administrativo </w:t>
      </w:r>
      <w:r w:rsidRPr="008774D0">
        <w:rPr>
          <w:rFonts w:ascii="Verdana" w:eastAsia="Times New Roman" w:hAnsi="Verdana" w:cs="Arial"/>
          <w:lang w:val="es-ES_tradnl"/>
        </w:rPr>
        <w:t>y las expresiones aquí utilizadas con mayúscula inicial deben ser entendidas con el significado que les otorga el artículo 2.2.1.1.1.3.1. del Decreto 1082 de 2015.</w:t>
      </w:r>
    </w:p>
    <w:p w14:paraId="64651751" w14:textId="77777777" w:rsidR="00106967" w:rsidRPr="006C7E16" w:rsidRDefault="00106967" w:rsidP="00106967">
      <w:pPr>
        <w:widowControl w:val="0"/>
        <w:autoSpaceDE w:val="0"/>
        <w:autoSpaceDN w:val="0"/>
        <w:spacing w:after="0" w:line="276" w:lineRule="auto"/>
        <w:jc w:val="both"/>
        <w:rPr>
          <w:rFonts w:ascii="Verdana" w:eastAsia="Times New Roman" w:hAnsi="Verdana" w:cs="Arial"/>
        </w:rPr>
      </w:pPr>
    </w:p>
    <w:p w14:paraId="153C7D0F" w14:textId="77777777" w:rsidR="00106967" w:rsidRPr="006C7E16" w:rsidRDefault="00106967" w:rsidP="00106967">
      <w:pPr>
        <w:spacing w:after="0" w:line="240" w:lineRule="auto"/>
        <w:rPr>
          <w:rFonts w:ascii="Verdana" w:eastAsia="Times New Roman" w:hAnsi="Verdana" w:cs="Arial"/>
          <w:lang w:eastAsia="es-CO"/>
        </w:rPr>
      </w:pPr>
      <w:r w:rsidRPr="006C7E16">
        <w:rPr>
          <w:rFonts w:ascii="Verdana" w:eastAsia="Times New Roman" w:hAnsi="Verdana" w:cs="Arial"/>
          <w:lang w:eastAsia="es-CO"/>
        </w:rPr>
        <w:t xml:space="preserve">Atentamente, </w:t>
      </w:r>
    </w:p>
    <w:p w14:paraId="4C965AE0" w14:textId="40609278" w:rsidR="00106967" w:rsidRPr="006C7E16" w:rsidRDefault="00664182" w:rsidP="00106967">
      <w:pPr>
        <w:spacing w:line="276" w:lineRule="auto"/>
        <w:rPr>
          <w:rFonts w:ascii="Century Gothic" w:eastAsia="Times New Roman" w:hAnsi="Century Gothic" w:cs="Times New Roman"/>
          <w:noProof/>
          <w:color w:val="000000"/>
          <w:lang w:val="es-ES_tradnl" w:eastAsia="es-CO"/>
        </w:rPr>
      </w:pPr>
      <w:r w:rsidRPr="00664182">
        <w:rPr>
          <w:rFonts w:ascii="Century Gothic" w:eastAsia="Aptos" w:hAnsi="Century Gothic" w:cs="Arial"/>
          <w:noProof/>
          <w:kern w:val="2"/>
          <w14:ligatures w14:val="standardContextual"/>
        </w:rPr>
        <w:lastRenderedPageBreak/>
        <w:drawing>
          <wp:inline distT="0" distB="0" distL="0" distR="0" wp14:anchorId="53DFDED5" wp14:editId="4E74780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3F292695" w14:textId="578FBD5E" w:rsidR="00106967" w:rsidRPr="006C7E16" w:rsidRDefault="00106967" w:rsidP="00106967">
      <w:pPr>
        <w:spacing w:line="276" w:lineRule="auto"/>
        <w:jc w:val="center"/>
        <w:rPr>
          <w:rFonts w:ascii="Century Gothic" w:eastAsia="Times New Roman" w:hAnsi="Century Gothic" w:cs="Times New Roman"/>
          <w:noProof/>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06967" w:rsidRPr="006C7E16" w14:paraId="628F72CC" w14:textId="77777777" w:rsidTr="00305C92">
        <w:trPr>
          <w:trHeight w:val="315"/>
        </w:trPr>
        <w:tc>
          <w:tcPr>
            <w:tcW w:w="893" w:type="dxa"/>
            <w:vAlign w:val="center"/>
            <w:hideMark/>
          </w:tcPr>
          <w:p w14:paraId="28B9E87D" w14:textId="77777777" w:rsidR="00106967" w:rsidRPr="006C7E16" w:rsidRDefault="00106967" w:rsidP="00305C92">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F18CC63" w14:textId="77777777" w:rsidR="00106967" w:rsidRPr="006C7E16" w:rsidRDefault="00106967" w:rsidP="00305C92">
            <w:pPr>
              <w:contextualSpacing/>
              <w:rPr>
                <w:rFonts w:ascii="Verdana" w:eastAsia="Arial" w:hAnsi="Verdana" w:cs="Arial"/>
                <w:sz w:val="16"/>
                <w:szCs w:val="16"/>
              </w:rPr>
            </w:pPr>
            <w:r w:rsidRPr="006C7E16">
              <w:rPr>
                <w:rFonts w:ascii="Verdana" w:eastAsia="Arial" w:hAnsi="Verdana" w:cs="Arial"/>
                <w:sz w:val="16"/>
                <w:szCs w:val="16"/>
              </w:rPr>
              <w:t xml:space="preserve">Héctor Luis Quiñones </w:t>
            </w:r>
            <w:proofErr w:type="spellStart"/>
            <w:r w:rsidRPr="006C7E16">
              <w:rPr>
                <w:rFonts w:ascii="Verdana" w:eastAsia="Arial" w:hAnsi="Verdana" w:cs="Arial"/>
                <w:sz w:val="16"/>
                <w:szCs w:val="16"/>
              </w:rPr>
              <w:t>Quiñones</w:t>
            </w:r>
            <w:proofErr w:type="spellEnd"/>
          </w:p>
          <w:p w14:paraId="7565EF04" w14:textId="77777777" w:rsidR="00106967" w:rsidRPr="006C7E16" w:rsidRDefault="00106967" w:rsidP="00305C92">
            <w:pPr>
              <w:contextualSpacing/>
              <w:rPr>
                <w:rFonts w:ascii="Verdana" w:eastAsia="Arial" w:hAnsi="Verdana" w:cs="Arial"/>
                <w:sz w:val="16"/>
                <w:szCs w:val="16"/>
              </w:rPr>
            </w:pPr>
            <w:r w:rsidRPr="006C7E16">
              <w:rPr>
                <w:rFonts w:ascii="Verdana" w:eastAsia="Arial" w:hAnsi="Verdana" w:cs="Arial"/>
                <w:sz w:val="16"/>
                <w:szCs w:val="16"/>
              </w:rPr>
              <w:t>Analista T2 - 02 de la Subdirección de Gestión Contractual</w:t>
            </w:r>
          </w:p>
        </w:tc>
      </w:tr>
      <w:tr w:rsidR="00106967" w:rsidRPr="006C7E16" w14:paraId="17F4E851" w14:textId="77777777" w:rsidTr="00305C92">
        <w:trPr>
          <w:trHeight w:val="330"/>
        </w:trPr>
        <w:tc>
          <w:tcPr>
            <w:tcW w:w="893" w:type="dxa"/>
            <w:vAlign w:val="center"/>
            <w:hideMark/>
          </w:tcPr>
          <w:p w14:paraId="3433F02D" w14:textId="77777777" w:rsidR="00106967" w:rsidRPr="006C7E16" w:rsidRDefault="00106967" w:rsidP="00305C92">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791AFAF" w14:textId="77777777" w:rsidR="00106967" w:rsidRPr="006C7E16" w:rsidRDefault="00106967" w:rsidP="00305C92">
            <w:pPr>
              <w:contextualSpacing/>
              <w:textAlignment w:val="baseline"/>
              <w:rPr>
                <w:rFonts w:ascii="Verdana" w:eastAsia="Times New Roman" w:hAnsi="Verdana" w:cs="Segoe UI"/>
                <w:sz w:val="16"/>
                <w:szCs w:val="16"/>
                <w:lang w:eastAsia="es-ES_tradnl"/>
              </w:rPr>
            </w:pPr>
            <w:r w:rsidRPr="008774D0">
              <w:rPr>
                <w:rFonts w:ascii="Verdana" w:eastAsia="Times New Roman" w:hAnsi="Verdana" w:cs="Segoe UI"/>
                <w:sz w:val="16"/>
                <w:szCs w:val="16"/>
                <w:lang w:eastAsia="es-ES_tradnl"/>
              </w:rPr>
              <w:t>Ximena Ríos López</w:t>
            </w:r>
          </w:p>
          <w:p w14:paraId="3B0DB566" w14:textId="77777777" w:rsidR="00106967" w:rsidRPr="006C7E16" w:rsidRDefault="00106967" w:rsidP="00305C92">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Gestor T1-11</w:t>
            </w:r>
            <w:r w:rsidRPr="006C7E16">
              <w:rPr>
                <w:rFonts w:ascii="Verdana" w:eastAsia="Times New Roman" w:hAnsi="Verdana" w:cs="Arial"/>
                <w:sz w:val="16"/>
                <w:szCs w:val="16"/>
                <w:lang w:val="es-ES" w:eastAsia="es-ES_tradnl"/>
              </w:rPr>
              <w:t xml:space="preserve"> de la Subdirección de Gestión Contractual</w:t>
            </w:r>
            <w:r w:rsidRPr="006C7E16">
              <w:rPr>
                <w:rFonts w:ascii="Verdana" w:eastAsia="Times New Roman" w:hAnsi="Verdana" w:cs="Arial"/>
                <w:sz w:val="16"/>
                <w:szCs w:val="16"/>
                <w:lang w:eastAsia="es-ES_tradnl"/>
              </w:rPr>
              <w:t> </w:t>
            </w:r>
          </w:p>
        </w:tc>
      </w:tr>
      <w:tr w:rsidR="00106967" w:rsidRPr="006C7E16" w14:paraId="2525226D" w14:textId="77777777" w:rsidTr="00305C92">
        <w:trPr>
          <w:trHeight w:val="300"/>
        </w:trPr>
        <w:tc>
          <w:tcPr>
            <w:tcW w:w="893" w:type="dxa"/>
            <w:vAlign w:val="center"/>
          </w:tcPr>
          <w:p w14:paraId="2981323C" w14:textId="77777777" w:rsidR="00106967" w:rsidRPr="006C7E16" w:rsidRDefault="00106967" w:rsidP="00305C92">
            <w:pPr>
              <w:contextualSpacing/>
              <w:rPr>
                <w:rFonts w:ascii="Verdana" w:eastAsia="Calibri" w:hAnsi="Verdana" w:cs="Arial"/>
                <w:sz w:val="16"/>
                <w:szCs w:val="16"/>
                <w:lang w:val="es-ES" w:eastAsia="es-ES"/>
              </w:rPr>
            </w:pPr>
            <w:r w:rsidRPr="006C7E16">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C70F439" w14:textId="77777777" w:rsidR="00106967" w:rsidRPr="006C7E16" w:rsidRDefault="00106967" w:rsidP="00305C92">
            <w:pPr>
              <w:contextualSpacing/>
              <w:rPr>
                <w:rFonts w:ascii="Verdana" w:eastAsia="Calibri" w:hAnsi="Verdana" w:cs="Arial"/>
                <w:sz w:val="16"/>
                <w:szCs w:val="16"/>
                <w:lang w:val="pt-BR" w:eastAsia="es-ES"/>
              </w:rPr>
            </w:pPr>
            <w:r w:rsidRPr="006C7E16">
              <w:rPr>
                <w:rFonts w:ascii="Verdana" w:eastAsia="Calibri" w:hAnsi="Verdana" w:cs="Arial"/>
                <w:sz w:val="16"/>
                <w:szCs w:val="16"/>
                <w:lang w:val="pt-BR" w:eastAsia="es-ES"/>
              </w:rPr>
              <w:t xml:space="preserve">Carolina Quintero </w:t>
            </w:r>
            <w:proofErr w:type="spellStart"/>
            <w:r w:rsidRPr="006C7E16">
              <w:rPr>
                <w:rFonts w:ascii="Verdana" w:eastAsia="Calibri" w:hAnsi="Verdana" w:cs="Arial"/>
                <w:sz w:val="16"/>
                <w:szCs w:val="16"/>
                <w:lang w:val="pt-BR" w:eastAsia="es-ES"/>
              </w:rPr>
              <w:t>Gacharná</w:t>
            </w:r>
            <w:proofErr w:type="spellEnd"/>
          </w:p>
          <w:p w14:paraId="74561308" w14:textId="77777777" w:rsidR="00106967" w:rsidRPr="006C7E16" w:rsidRDefault="00106967" w:rsidP="00305C92">
            <w:pPr>
              <w:contextualSpacing/>
              <w:rPr>
                <w:rFonts w:ascii="Verdana" w:eastAsia="Calibri" w:hAnsi="Verdana" w:cs="Arial"/>
                <w:sz w:val="16"/>
                <w:szCs w:val="16"/>
                <w:lang w:val="pt-BR" w:eastAsia="es-ES"/>
              </w:rPr>
            </w:pPr>
            <w:r w:rsidRPr="006C7E16">
              <w:rPr>
                <w:rFonts w:ascii="Verdana" w:eastAsia="Calibri" w:hAnsi="Verdana" w:cs="Arial"/>
                <w:sz w:val="16"/>
                <w:szCs w:val="16"/>
                <w:lang w:eastAsia="es-ES"/>
              </w:rPr>
              <w:t>Subdirectora</w:t>
            </w:r>
            <w:r w:rsidRPr="006C7E16">
              <w:rPr>
                <w:rFonts w:ascii="Verdana" w:eastAsia="Calibri" w:hAnsi="Verdana" w:cs="Arial"/>
                <w:sz w:val="16"/>
                <w:szCs w:val="16"/>
                <w:lang w:val="pt-BR" w:eastAsia="es-ES"/>
              </w:rPr>
              <w:t xml:space="preserve"> de Gestión Contractual ANCP – CCE</w:t>
            </w:r>
          </w:p>
        </w:tc>
      </w:tr>
    </w:tbl>
    <w:p w14:paraId="1CA687A4" w14:textId="77777777" w:rsidR="00106967" w:rsidRPr="00AB23E4" w:rsidRDefault="00106967" w:rsidP="00106967">
      <w:pPr>
        <w:spacing w:after="0" w:line="240" w:lineRule="auto"/>
        <w:textAlignment w:val="baseline"/>
        <w:rPr>
          <w:rFonts w:ascii="Verdana" w:eastAsia="Calibri" w:hAnsi="Verdana" w:cs="Arial"/>
          <w:sz w:val="16"/>
          <w:szCs w:val="16"/>
          <w:lang w:val="pt-BR" w:eastAsia="es-ES"/>
        </w:rPr>
      </w:pPr>
      <w:r>
        <w:rPr>
          <w:rFonts w:ascii="Verdana" w:eastAsia="Calibri" w:hAnsi="Verdana" w:cs="Arial"/>
          <w:sz w:val="16"/>
          <w:szCs w:val="16"/>
          <w:lang w:val="pt-BR" w:eastAsia="es-ES"/>
        </w:rPr>
        <w:t xml:space="preserve">  </w:t>
      </w:r>
    </w:p>
    <w:p w14:paraId="3BAE6277" w14:textId="77777777" w:rsidR="00106967" w:rsidRPr="002A016A" w:rsidRDefault="00106967" w:rsidP="00106967"/>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4C826247" w14:textId="77777777" w:rsidR="00106967" w:rsidRPr="003B367A" w:rsidRDefault="00106967" w:rsidP="00106967">
      <w:pPr>
        <w:pStyle w:val="Textonotapie"/>
        <w:ind w:firstLine="708"/>
        <w:contextualSpacing/>
        <w:jc w:val="both"/>
        <w:rPr>
          <w:rFonts w:ascii="Verdana" w:hAnsi="Verdana" w:cs="Arial"/>
          <w:color w:val="000000"/>
          <w:sz w:val="10"/>
          <w:szCs w:val="10"/>
        </w:rPr>
      </w:pPr>
      <w:r w:rsidRPr="003B367A">
        <w:rPr>
          <w:rFonts w:ascii="Verdana" w:hAnsi="Verdana" w:cs="Arial"/>
          <w:color w:val="000000"/>
          <w:sz w:val="10"/>
          <w:szCs w:val="10"/>
          <w:vertAlign w:val="superscript"/>
        </w:rPr>
        <w:footnoteRef/>
      </w:r>
      <w:r w:rsidRPr="003B367A">
        <w:rPr>
          <w:rFonts w:ascii="Verdana" w:hAnsi="Verdana" w:cs="Arial"/>
          <w:color w:val="000000"/>
          <w:sz w:val="10"/>
          <w:szCs w:val="10"/>
          <w:lang w:val="pt-BR"/>
        </w:rPr>
        <w:t xml:space="preserve"> Corte Constitucional. Sentencia C-317 de 2012. </w:t>
      </w:r>
      <w:r w:rsidRPr="003B367A">
        <w:rPr>
          <w:rFonts w:ascii="Verdana" w:hAnsi="Verdana" w:cs="Arial"/>
          <w:color w:val="000000"/>
          <w:sz w:val="10"/>
          <w:szCs w:val="10"/>
        </w:rPr>
        <w:t xml:space="preserve">M.P. María Victoria Calle Correa. </w:t>
      </w:r>
    </w:p>
    <w:p w14:paraId="41012BF0" w14:textId="77777777" w:rsidR="00106967" w:rsidRPr="003B367A" w:rsidRDefault="00106967" w:rsidP="00106967">
      <w:pPr>
        <w:pStyle w:val="Textonotapie"/>
        <w:contextualSpacing/>
        <w:jc w:val="both"/>
        <w:rPr>
          <w:rFonts w:ascii="Verdana" w:hAnsi="Verdana"/>
          <w:sz w:val="10"/>
          <w:szCs w:val="10"/>
        </w:rPr>
      </w:pPr>
    </w:p>
  </w:footnote>
  <w:footnote w:id="2">
    <w:p w14:paraId="64FF7079" w14:textId="77777777" w:rsidR="00106967" w:rsidRPr="003B367A" w:rsidRDefault="00106967" w:rsidP="00106967">
      <w:pPr>
        <w:pStyle w:val="Textonotapie"/>
        <w:ind w:firstLine="708"/>
        <w:contextualSpacing/>
        <w:jc w:val="both"/>
        <w:rPr>
          <w:rFonts w:ascii="Verdana" w:hAnsi="Verdana" w:cs="Arial"/>
          <w:color w:val="000000"/>
          <w:sz w:val="10"/>
          <w:szCs w:val="10"/>
        </w:rPr>
      </w:pPr>
      <w:r w:rsidRPr="003B367A">
        <w:rPr>
          <w:rFonts w:ascii="Verdana" w:hAnsi="Verdana" w:cs="Arial"/>
          <w:color w:val="000000"/>
          <w:sz w:val="10"/>
          <w:szCs w:val="10"/>
          <w:vertAlign w:val="superscript"/>
        </w:rPr>
        <w:footnoteRef/>
      </w:r>
      <w:r w:rsidRPr="003B367A">
        <w:rPr>
          <w:rFonts w:ascii="Verdana" w:hAnsi="Verdana" w:cs="Arial"/>
          <w:color w:val="000000"/>
          <w:sz w:val="10"/>
          <w:szCs w:val="10"/>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368ACD71" w14:textId="77777777" w:rsidR="00106967" w:rsidRPr="003B367A" w:rsidRDefault="00106967" w:rsidP="00106967">
      <w:pPr>
        <w:pStyle w:val="Textonotapie"/>
        <w:contextualSpacing/>
        <w:jc w:val="both"/>
        <w:rPr>
          <w:rFonts w:ascii="Verdana" w:hAnsi="Verdana"/>
          <w:sz w:val="10"/>
          <w:szCs w:val="10"/>
        </w:rPr>
      </w:pPr>
    </w:p>
  </w:footnote>
  <w:footnote w:id="3">
    <w:p w14:paraId="05F828B8" w14:textId="77777777" w:rsidR="00106967" w:rsidRPr="003B367A" w:rsidRDefault="00106967" w:rsidP="00106967">
      <w:pPr>
        <w:pStyle w:val="Textonotapie"/>
        <w:ind w:firstLine="708"/>
        <w:contextualSpacing/>
        <w:jc w:val="both"/>
        <w:rPr>
          <w:rFonts w:ascii="Verdana" w:hAnsi="Verdana" w:cs="Arial"/>
          <w:color w:val="000000"/>
          <w:sz w:val="10"/>
          <w:szCs w:val="10"/>
        </w:rPr>
      </w:pPr>
      <w:r w:rsidRPr="003B367A">
        <w:rPr>
          <w:rFonts w:ascii="Verdana" w:hAnsi="Verdana" w:cs="Arial"/>
          <w:color w:val="000000"/>
          <w:sz w:val="10"/>
          <w:szCs w:val="10"/>
          <w:vertAlign w:val="superscript"/>
        </w:rPr>
        <w:footnoteRef/>
      </w:r>
      <w:r w:rsidRPr="003B367A">
        <w:rPr>
          <w:rFonts w:ascii="Verdana" w:hAnsi="Verdana" w:cs="Arial"/>
          <w:color w:val="000000"/>
          <w:sz w:val="10"/>
          <w:szCs w:val="10"/>
        </w:rPr>
        <w:t xml:space="preserve"> Se entiende por entidades de </w:t>
      </w:r>
      <w:r w:rsidRPr="003B367A">
        <w:rPr>
          <w:rFonts w:ascii="Verdana" w:hAnsi="Verdana" w:cs="Arial"/>
          <w:i/>
          <w:iCs/>
          <w:color w:val="000000"/>
          <w:sz w:val="10"/>
          <w:szCs w:val="10"/>
        </w:rPr>
        <w:t xml:space="preserve">régimen especial </w:t>
      </w:r>
      <w:r w:rsidRPr="003B367A">
        <w:rPr>
          <w:rFonts w:ascii="Verdana" w:hAnsi="Verdana" w:cs="Arial"/>
          <w:color w:val="000000"/>
          <w:sz w:val="10"/>
          <w:szCs w:val="10"/>
        </w:rPr>
        <w:t>aquellas que tienen un régimen contractual distinto al Estatuto General de Contratación de la Administración Pública, y que por regla general se rigen por el derecho privado.</w:t>
      </w:r>
    </w:p>
    <w:p w14:paraId="1C3EC4F5" w14:textId="77777777" w:rsidR="00106967" w:rsidRPr="003B367A" w:rsidRDefault="00106967" w:rsidP="00106967">
      <w:pPr>
        <w:pStyle w:val="Textonotapie"/>
        <w:contextualSpacing/>
        <w:jc w:val="both"/>
        <w:rPr>
          <w:rFonts w:ascii="Verdana" w:hAnsi="Verdana"/>
          <w:sz w:val="10"/>
          <w:szCs w:val="10"/>
        </w:rPr>
      </w:pPr>
    </w:p>
  </w:footnote>
  <w:footnote w:id="4">
    <w:p w14:paraId="2F16A1A1" w14:textId="77777777" w:rsidR="00106967" w:rsidRPr="003B367A" w:rsidRDefault="00106967" w:rsidP="00106967">
      <w:pPr>
        <w:pStyle w:val="Textonotapie"/>
        <w:ind w:firstLine="708"/>
        <w:contextualSpacing/>
        <w:jc w:val="both"/>
        <w:rPr>
          <w:rFonts w:ascii="Verdana" w:hAnsi="Verdana" w:cs="Arial"/>
          <w:color w:val="000000"/>
          <w:sz w:val="10"/>
          <w:szCs w:val="10"/>
        </w:rPr>
      </w:pPr>
      <w:r w:rsidRPr="003B367A">
        <w:rPr>
          <w:rFonts w:ascii="Verdana" w:hAnsi="Verdana" w:cs="Arial"/>
          <w:color w:val="000000"/>
          <w:sz w:val="10"/>
          <w:szCs w:val="10"/>
          <w:vertAlign w:val="superscript"/>
        </w:rPr>
        <w:footnoteRef/>
      </w:r>
      <w:r w:rsidRPr="003B367A">
        <w:rPr>
          <w:rFonts w:ascii="Verdana" w:hAnsi="Verdana" w:cs="Arial"/>
          <w:color w:val="000000"/>
          <w:sz w:val="10"/>
          <w:szCs w:val="10"/>
        </w:rPr>
        <w:t xml:space="preserve"> Esto se ha señalado en distintos conceptos de esta Subdirección, como el C-219 del 29 de abril de 2020, el C-280 del 6 de julio de 2020 y el C–434 del 29 de julio de 2020.</w:t>
      </w:r>
    </w:p>
    <w:p w14:paraId="124360ED" w14:textId="77777777" w:rsidR="00106967" w:rsidRPr="003B367A" w:rsidRDefault="00106967" w:rsidP="00106967">
      <w:pPr>
        <w:pStyle w:val="Textonotapie"/>
        <w:contextualSpacing/>
        <w:jc w:val="both"/>
        <w:rPr>
          <w:rFonts w:ascii="Verdana" w:hAnsi="Verdana"/>
          <w:sz w:val="10"/>
          <w:szCs w:val="10"/>
        </w:rPr>
      </w:pPr>
    </w:p>
  </w:footnote>
  <w:footnote w:id="5">
    <w:p w14:paraId="3DEA29DB" w14:textId="77777777" w:rsidR="00106967" w:rsidRPr="003B367A" w:rsidRDefault="00106967" w:rsidP="00106967">
      <w:pPr>
        <w:pStyle w:val="Textonotapie"/>
        <w:ind w:firstLine="708"/>
        <w:contextualSpacing/>
        <w:jc w:val="both"/>
        <w:rPr>
          <w:rFonts w:ascii="Verdana" w:hAnsi="Verdana" w:cs="Arial"/>
          <w:color w:val="000000"/>
          <w:sz w:val="10"/>
          <w:szCs w:val="10"/>
        </w:rPr>
      </w:pPr>
      <w:r w:rsidRPr="003B367A">
        <w:rPr>
          <w:rFonts w:ascii="Verdana" w:hAnsi="Verdana" w:cs="Arial"/>
          <w:color w:val="000000"/>
          <w:sz w:val="10"/>
          <w:szCs w:val="10"/>
          <w:vertAlign w:val="superscript"/>
        </w:rPr>
        <w:footnoteRef/>
      </w:r>
      <w:r w:rsidRPr="003B367A">
        <w:rPr>
          <w:rFonts w:ascii="Verdana" w:hAnsi="Verdana" w:cs="Arial"/>
          <w:color w:val="000000"/>
          <w:sz w:val="10"/>
          <w:szCs w:val="10"/>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5B549484" w14:textId="77777777" w:rsidR="00106967" w:rsidRPr="003B367A" w:rsidRDefault="00106967" w:rsidP="00106967">
      <w:pPr>
        <w:pStyle w:val="Textonotapie"/>
        <w:ind w:firstLine="709"/>
        <w:contextualSpacing/>
        <w:jc w:val="both"/>
        <w:rPr>
          <w:rFonts w:ascii="Verdana" w:hAnsi="Verdana" w:cs="Arial"/>
          <w:color w:val="000000"/>
          <w:sz w:val="10"/>
          <w:szCs w:val="10"/>
        </w:rPr>
      </w:pPr>
    </w:p>
    <w:p w14:paraId="56D2839D" w14:textId="77777777" w:rsidR="00106967" w:rsidRPr="003B367A" w:rsidRDefault="00106967" w:rsidP="00106967">
      <w:pPr>
        <w:pStyle w:val="Textonotapie"/>
        <w:contextualSpacing/>
        <w:jc w:val="both"/>
        <w:rPr>
          <w:rFonts w:ascii="Verdana" w:hAnsi="Verdana" w:cs="Arial"/>
          <w:color w:val="000000"/>
          <w:sz w:val="10"/>
          <w:szCs w:val="10"/>
        </w:rPr>
      </w:pPr>
      <w:r w:rsidRPr="003B367A">
        <w:rPr>
          <w:rFonts w:ascii="Verdana" w:hAnsi="Verdana" w:cs="Arial"/>
          <w:color w:val="000000"/>
          <w:sz w:val="10"/>
          <w:szCs w:val="10"/>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650FFAF2" w14:textId="77777777" w:rsidR="00106967" w:rsidRPr="003B367A" w:rsidRDefault="00106967" w:rsidP="00106967">
      <w:pPr>
        <w:pStyle w:val="Textonotapie"/>
        <w:ind w:firstLine="709"/>
        <w:contextualSpacing/>
        <w:jc w:val="both"/>
        <w:rPr>
          <w:rFonts w:ascii="Verdana" w:hAnsi="Verdana" w:cs="Arial"/>
          <w:color w:val="000000"/>
          <w:sz w:val="10"/>
          <w:szCs w:val="10"/>
        </w:rPr>
      </w:pPr>
    </w:p>
    <w:p w14:paraId="311AF8BF" w14:textId="77777777" w:rsidR="00106967" w:rsidRPr="003B367A" w:rsidRDefault="00106967" w:rsidP="00106967">
      <w:pPr>
        <w:pStyle w:val="Textonotapie"/>
        <w:contextualSpacing/>
        <w:jc w:val="both"/>
        <w:rPr>
          <w:rFonts w:ascii="Verdana" w:hAnsi="Verdana" w:cs="Arial"/>
          <w:color w:val="000000"/>
          <w:sz w:val="10"/>
          <w:szCs w:val="10"/>
        </w:rPr>
      </w:pPr>
      <w:r w:rsidRPr="003B367A">
        <w:rPr>
          <w:rFonts w:ascii="Verdana" w:hAnsi="Verdana" w:cs="Arial"/>
          <w:color w:val="000000"/>
          <w:sz w:val="10"/>
          <w:szCs w:val="10"/>
        </w:rPr>
        <w:t>La entidad estatal debe elegir y garantizar los medios electrónicos y de comunicación que utilizará, así como los mecanismos para el registro de la Información generada.</w:t>
      </w:r>
    </w:p>
    <w:p w14:paraId="72C58143" w14:textId="77777777" w:rsidR="00106967" w:rsidRPr="003B367A" w:rsidRDefault="00106967" w:rsidP="00106967">
      <w:pPr>
        <w:pStyle w:val="Textonotapie"/>
        <w:ind w:firstLine="709"/>
        <w:contextualSpacing/>
        <w:jc w:val="both"/>
        <w:rPr>
          <w:rFonts w:ascii="Verdana" w:hAnsi="Verdana" w:cs="Arial"/>
          <w:color w:val="000000"/>
          <w:sz w:val="10"/>
          <w:szCs w:val="10"/>
        </w:rPr>
      </w:pPr>
    </w:p>
    <w:p w14:paraId="1DFCEB4A" w14:textId="77777777" w:rsidR="00106967" w:rsidRPr="003B367A" w:rsidRDefault="00106967" w:rsidP="00106967">
      <w:pPr>
        <w:pStyle w:val="Textonotapie"/>
        <w:contextualSpacing/>
        <w:jc w:val="both"/>
        <w:rPr>
          <w:rFonts w:ascii="Verdana" w:hAnsi="Verdana" w:cs="Arial"/>
          <w:color w:val="000000"/>
          <w:sz w:val="10"/>
          <w:szCs w:val="10"/>
        </w:rPr>
      </w:pPr>
      <w:r w:rsidRPr="003B367A">
        <w:rPr>
          <w:rFonts w:ascii="Verdana" w:hAnsi="Verdana" w:cs="Arial"/>
          <w:color w:val="000000"/>
          <w:sz w:val="10"/>
          <w:szCs w:val="10"/>
        </w:rPr>
        <w:t>Sin perjuicio de lo anterior, el ordenador del gasto o funcionario competente podrá decretar la suspensión de términos, inclusive los iniciados con anterioridad a la vigencia de este Decreto”.</w:t>
      </w:r>
    </w:p>
    <w:p w14:paraId="0ADB4AC8" w14:textId="77777777" w:rsidR="00106967" w:rsidRPr="003B367A" w:rsidRDefault="00106967" w:rsidP="00106967">
      <w:pPr>
        <w:pStyle w:val="Textonotapie"/>
        <w:ind w:firstLine="709"/>
        <w:contextualSpacing/>
        <w:jc w:val="both"/>
        <w:rPr>
          <w:rFonts w:ascii="Verdana" w:hAnsi="Verdana"/>
          <w:sz w:val="10"/>
          <w:szCs w:val="10"/>
        </w:rPr>
      </w:pPr>
      <w:r w:rsidRPr="003B367A">
        <w:rPr>
          <w:rFonts w:ascii="Verdana" w:hAnsi="Verdana" w:cs="Arial"/>
          <w:color w:val="000000"/>
          <w:sz w:val="10"/>
          <w:szCs w:val="10"/>
        </w:rPr>
        <w:t xml:space="preserve"> </w:t>
      </w:r>
    </w:p>
  </w:footnote>
  <w:footnote w:id="6">
    <w:p w14:paraId="19D0866B" w14:textId="77777777" w:rsidR="00106967" w:rsidRPr="003B367A" w:rsidRDefault="00106967" w:rsidP="00106967">
      <w:pPr>
        <w:pStyle w:val="Textonotapie"/>
        <w:ind w:firstLine="708"/>
        <w:rPr>
          <w:rFonts w:ascii="Verdana" w:hAnsi="Verdana"/>
          <w:sz w:val="10"/>
          <w:szCs w:val="10"/>
        </w:rPr>
      </w:pPr>
    </w:p>
    <w:p w14:paraId="6FC16D57" w14:textId="77777777" w:rsidR="00106967" w:rsidRPr="003B367A" w:rsidRDefault="00106967" w:rsidP="00106967">
      <w:pPr>
        <w:pStyle w:val="Textonotapie"/>
        <w:ind w:firstLine="708"/>
        <w:rPr>
          <w:rFonts w:ascii="Verdana" w:hAnsi="Verdana"/>
          <w:sz w:val="10"/>
          <w:szCs w:val="10"/>
        </w:rPr>
      </w:pPr>
      <w:r w:rsidRPr="003B367A">
        <w:rPr>
          <w:rFonts w:ascii="Verdana" w:hAnsi="Verdana"/>
          <w:sz w:val="10"/>
          <w:szCs w:val="10"/>
          <w:vertAlign w:val="superscript"/>
        </w:rPr>
        <w:footnoteRef/>
      </w:r>
      <w:r w:rsidRPr="003B367A">
        <w:rPr>
          <w:rFonts w:ascii="Verdana" w:hAnsi="Verdana"/>
          <w:sz w:val="10"/>
          <w:szCs w:val="10"/>
        </w:rPr>
        <w:t xml:space="preserve"> Ibidem.</w:t>
      </w:r>
    </w:p>
    <w:p w14:paraId="6A8CA4D4" w14:textId="77777777" w:rsidR="00106967" w:rsidRPr="003B367A" w:rsidRDefault="00106967" w:rsidP="00106967">
      <w:pPr>
        <w:pStyle w:val="Textonotapie"/>
        <w:ind w:firstLine="708"/>
        <w:rPr>
          <w:rFonts w:ascii="Verdana" w:hAnsi="Verdana"/>
          <w:sz w:val="10"/>
          <w:szCs w:val="10"/>
        </w:rPr>
      </w:pPr>
    </w:p>
  </w:footnote>
  <w:footnote w:id="7">
    <w:p w14:paraId="309C4D88" w14:textId="77777777" w:rsidR="00106967" w:rsidRPr="003B367A" w:rsidRDefault="00106967" w:rsidP="00106967">
      <w:pPr>
        <w:pStyle w:val="Textonotapie"/>
        <w:ind w:firstLine="708"/>
        <w:jc w:val="both"/>
        <w:rPr>
          <w:rFonts w:ascii="Verdana" w:hAnsi="Verdana" w:cs="Arial"/>
          <w:sz w:val="10"/>
          <w:szCs w:val="10"/>
          <w:lang w:val="es-CO"/>
        </w:rPr>
      </w:pPr>
      <w:r w:rsidRPr="003B367A">
        <w:rPr>
          <w:rFonts w:ascii="Verdana" w:hAnsi="Verdana" w:cs="Arial"/>
          <w:sz w:val="10"/>
          <w:szCs w:val="10"/>
          <w:vertAlign w:val="superscript"/>
        </w:rPr>
        <w:footnoteRef/>
      </w:r>
      <w:r w:rsidRPr="003B367A">
        <w:rPr>
          <w:rFonts w:ascii="Verdana" w:hAnsi="Verdana" w:cs="Arial"/>
          <w:sz w:val="10"/>
          <w:szCs w:val="10"/>
        </w:rPr>
        <w:t xml:space="preserve"> </w:t>
      </w:r>
      <w:r w:rsidRPr="003B367A">
        <w:rPr>
          <w:rFonts w:ascii="Verdana" w:hAnsi="Verdana" w:cs="Arial"/>
          <w:sz w:val="10"/>
          <w:szCs w:val="10"/>
          <w:lang w:val="es-CO"/>
        </w:rPr>
        <w:t xml:space="preserve">Corte Constitucional, sentencia de Unificación Jurisprudencial SU 339 del 4 de mayo de 2011. Magistrado ponente: Humberto Antonio Sierra Porto. </w:t>
      </w:r>
      <w:proofErr w:type="spellStart"/>
      <w:r w:rsidRPr="003B367A">
        <w:rPr>
          <w:rFonts w:ascii="Verdana" w:hAnsi="Verdana" w:cs="Arial"/>
          <w:sz w:val="10"/>
          <w:szCs w:val="10"/>
          <w:lang w:val="es-CO"/>
        </w:rPr>
        <w:t>Exp</w:t>
      </w:r>
      <w:proofErr w:type="spellEnd"/>
      <w:r w:rsidRPr="003B367A">
        <w:rPr>
          <w:rFonts w:ascii="Verdana" w:hAnsi="Verdana" w:cs="Arial"/>
          <w:sz w:val="10"/>
          <w:szCs w:val="10"/>
          <w:lang w:val="es-CO"/>
        </w:rPr>
        <w:t>. T-2.735.401</w:t>
      </w:r>
    </w:p>
    <w:p w14:paraId="77571F30" w14:textId="77777777" w:rsidR="00106967" w:rsidRPr="003B367A" w:rsidRDefault="00106967" w:rsidP="00106967">
      <w:pPr>
        <w:pStyle w:val="Textonotapie"/>
        <w:jc w:val="both"/>
        <w:rPr>
          <w:rFonts w:ascii="Verdana" w:hAnsi="Verdana"/>
          <w:sz w:val="10"/>
          <w:szCs w:val="10"/>
        </w:rPr>
      </w:pPr>
    </w:p>
  </w:footnote>
  <w:footnote w:id="8">
    <w:p w14:paraId="64546AE6" w14:textId="77777777" w:rsidR="00106967" w:rsidRPr="003B367A" w:rsidRDefault="00106967" w:rsidP="00106967">
      <w:pPr>
        <w:pStyle w:val="Textonotapie"/>
        <w:ind w:firstLine="708"/>
        <w:rPr>
          <w:rFonts w:ascii="Verdana" w:hAnsi="Verdana"/>
          <w:sz w:val="10"/>
          <w:szCs w:val="10"/>
        </w:rPr>
      </w:pPr>
      <w:r w:rsidRPr="003B367A">
        <w:rPr>
          <w:rFonts w:ascii="Verdana" w:hAnsi="Verdana"/>
          <w:sz w:val="10"/>
          <w:szCs w:val="10"/>
          <w:vertAlign w:val="superscript"/>
        </w:rPr>
        <w:footnoteRef/>
      </w:r>
      <w:r w:rsidRPr="003B367A">
        <w:rPr>
          <w:rFonts w:ascii="Verdana" w:hAnsi="Verdana"/>
          <w:sz w:val="10"/>
          <w:szCs w:val="10"/>
        </w:rPr>
        <w:t xml:space="preserve"> Sentencia T-722 de 2010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3BE69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91276170" o:spid="_x0000_i1025" type="#_x0000_t75" style="width:11.4pt;height:11.4pt;visibility:visible;mso-wrap-style:square">
            <v:imagedata r:id="rId1" o:title=""/>
          </v:shape>
        </w:pict>
      </mc:Choice>
      <mc:Fallback>
        <w:drawing>
          <wp:inline distT="0" distB="0" distL="0" distR="0" wp14:anchorId="517CCA80">
            <wp:extent cx="144780" cy="144780"/>
            <wp:effectExtent l="0" t="0" r="0" b="0"/>
            <wp:docPr id="1791276170" name="Imagen 179127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FDA484A"/>
    <w:multiLevelType w:val="hybridMultilevel"/>
    <w:tmpl w:val="92D0C202"/>
    <w:lvl w:ilvl="0" w:tplc="240A000F">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1FA4C4F"/>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786944"/>
    <w:multiLevelType w:val="multilevel"/>
    <w:tmpl w:val="548E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FD3277"/>
    <w:multiLevelType w:val="hybridMultilevel"/>
    <w:tmpl w:val="FFFFFFFF"/>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1"/>
  </w:num>
  <w:num w:numId="13" w16cid:durableId="1512908409">
    <w:abstractNumId w:val="4"/>
  </w:num>
  <w:num w:numId="14" w16cid:durableId="895897244">
    <w:abstractNumId w:val="18"/>
  </w:num>
  <w:num w:numId="15" w16cid:durableId="390349800">
    <w:abstractNumId w:val="12"/>
  </w:num>
  <w:num w:numId="16" w16cid:durableId="341274352">
    <w:abstractNumId w:val="0"/>
  </w:num>
  <w:num w:numId="17" w16cid:durableId="679089576">
    <w:abstractNumId w:val="10"/>
  </w:num>
  <w:num w:numId="18" w16cid:durableId="474571350">
    <w:abstractNumId w:val="13"/>
  </w:num>
  <w:num w:numId="19" w16cid:durableId="1035958015">
    <w:abstractNumId w:val="11"/>
  </w:num>
  <w:num w:numId="20" w16cid:durableId="1679309429">
    <w:abstractNumId w:val="14"/>
  </w:num>
  <w:num w:numId="21" w16cid:durableId="872692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1B13"/>
    <w:rsid w:val="00082362"/>
    <w:rsid w:val="000A683E"/>
    <w:rsid w:val="000B19B9"/>
    <w:rsid w:val="000B3EF2"/>
    <w:rsid w:val="000D0334"/>
    <w:rsid w:val="000F6486"/>
    <w:rsid w:val="00106967"/>
    <w:rsid w:val="00125105"/>
    <w:rsid w:val="00127233"/>
    <w:rsid w:val="001511A0"/>
    <w:rsid w:val="00151E77"/>
    <w:rsid w:val="001A7DDF"/>
    <w:rsid w:val="001B1050"/>
    <w:rsid w:val="001E4177"/>
    <w:rsid w:val="001F7DC6"/>
    <w:rsid w:val="00222B47"/>
    <w:rsid w:val="002421BB"/>
    <w:rsid w:val="0025796E"/>
    <w:rsid w:val="002707A2"/>
    <w:rsid w:val="00273580"/>
    <w:rsid w:val="00281338"/>
    <w:rsid w:val="002951A0"/>
    <w:rsid w:val="002962BC"/>
    <w:rsid w:val="002A093D"/>
    <w:rsid w:val="002A0DD0"/>
    <w:rsid w:val="002A49AC"/>
    <w:rsid w:val="002A64FD"/>
    <w:rsid w:val="002C7A84"/>
    <w:rsid w:val="002E3271"/>
    <w:rsid w:val="002E4FD9"/>
    <w:rsid w:val="00322A85"/>
    <w:rsid w:val="00324168"/>
    <w:rsid w:val="003448F4"/>
    <w:rsid w:val="00374F5E"/>
    <w:rsid w:val="00377E3E"/>
    <w:rsid w:val="003A779E"/>
    <w:rsid w:val="003B367A"/>
    <w:rsid w:val="003D0F4D"/>
    <w:rsid w:val="003D5B0D"/>
    <w:rsid w:val="003E0499"/>
    <w:rsid w:val="003F1CDE"/>
    <w:rsid w:val="003F3941"/>
    <w:rsid w:val="00406575"/>
    <w:rsid w:val="00414C74"/>
    <w:rsid w:val="0042722E"/>
    <w:rsid w:val="0044528D"/>
    <w:rsid w:val="00492086"/>
    <w:rsid w:val="004A1847"/>
    <w:rsid w:val="004A305D"/>
    <w:rsid w:val="004F21C4"/>
    <w:rsid w:val="004F4F51"/>
    <w:rsid w:val="004F685F"/>
    <w:rsid w:val="005077DD"/>
    <w:rsid w:val="005566E8"/>
    <w:rsid w:val="00574867"/>
    <w:rsid w:val="00591460"/>
    <w:rsid w:val="005B3642"/>
    <w:rsid w:val="005B3816"/>
    <w:rsid w:val="005B673D"/>
    <w:rsid w:val="005C3777"/>
    <w:rsid w:val="005C5CDC"/>
    <w:rsid w:val="005D476C"/>
    <w:rsid w:val="006219F8"/>
    <w:rsid w:val="00664182"/>
    <w:rsid w:val="00665D70"/>
    <w:rsid w:val="00671C8B"/>
    <w:rsid w:val="006900D9"/>
    <w:rsid w:val="006E1731"/>
    <w:rsid w:val="00706C16"/>
    <w:rsid w:val="00726F1C"/>
    <w:rsid w:val="00756841"/>
    <w:rsid w:val="007649AB"/>
    <w:rsid w:val="00771D0C"/>
    <w:rsid w:val="007833AC"/>
    <w:rsid w:val="007A10B8"/>
    <w:rsid w:val="007B268C"/>
    <w:rsid w:val="007B359D"/>
    <w:rsid w:val="007B7171"/>
    <w:rsid w:val="007C0C0F"/>
    <w:rsid w:val="007C3DC2"/>
    <w:rsid w:val="007E5497"/>
    <w:rsid w:val="00806F5F"/>
    <w:rsid w:val="00820278"/>
    <w:rsid w:val="0082595E"/>
    <w:rsid w:val="00867F95"/>
    <w:rsid w:val="008843B6"/>
    <w:rsid w:val="00891928"/>
    <w:rsid w:val="008A446D"/>
    <w:rsid w:val="008D180B"/>
    <w:rsid w:val="008F0EA7"/>
    <w:rsid w:val="00917454"/>
    <w:rsid w:val="00923EEF"/>
    <w:rsid w:val="009419F9"/>
    <w:rsid w:val="0095685E"/>
    <w:rsid w:val="00961B09"/>
    <w:rsid w:val="00965334"/>
    <w:rsid w:val="0097093E"/>
    <w:rsid w:val="00986AC5"/>
    <w:rsid w:val="009A0DFA"/>
    <w:rsid w:val="009B2D26"/>
    <w:rsid w:val="009C71FA"/>
    <w:rsid w:val="009C72E7"/>
    <w:rsid w:val="009D3058"/>
    <w:rsid w:val="009D7B98"/>
    <w:rsid w:val="009F3A13"/>
    <w:rsid w:val="009F3DDC"/>
    <w:rsid w:val="009F47F0"/>
    <w:rsid w:val="00A122D3"/>
    <w:rsid w:val="00A17F13"/>
    <w:rsid w:val="00A20739"/>
    <w:rsid w:val="00A33C78"/>
    <w:rsid w:val="00AB0ADB"/>
    <w:rsid w:val="00AF50E8"/>
    <w:rsid w:val="00B01B1A"/>
    <w:rsid w:val="00B66319"/>
    <w:rsid w:val="00B72CD3"/>
    <w:rsid w:val="00B72FFF"/>
    <w:rsid w:val="00BC3D36"/>
    <w:rsid w:val="00BD25CC"/>
    <w:rsid w:val="00BD7F72"/>
    <w:rsid w:val="00C04FB3"/>
    <w:rsid w:val="00C330EB"/>
    <w:rsid w:val="00C41061"/>
    <w:rsid w:val="00C754BE"/>
    <w:rsid w:val="00C76B1C"/>
    <w:rsid w:val="00CB6357"/>
    <w:rsid w:val="00CC1B26"/>
    <w:rsid w:val="00D17DC2"/>
    <w:rsid w:val="00D423A2"/>
    <w:rsid w:val="00D520D8"/>
    <w:rsid w:val="00D52CD1"/>
    <w:rsid w:val="00D60766"/>
    <w:rsid w:val="00D63AC2"/>
    <w:rsid w:val="00D7383B"/>
    <w:rsid w:val="00DA231B"/>
    <w:rsid w:val="00DA2B37"/>
    <w:rsid w:val="00DC39FC"/>
    <w:rsid w:val="00DF5254"/>
    <w:rsid w:val="00E16408"/>
    <w:rsid w:val="00E20894"/>
    <w:rsid w:val="00E245AB"/>
    <w:rsid w:val="00E2764C"/>
    <w:rsid w:val="00E27F2E"/>
    <w:rsid w:val="00E4010B"/>
    <w:rsid w:val="00E50AFE"/>
    <w:rsid w:val="00E75C92"/>
    <w:rsid w:val="00E771DC"/>
    <w:rsid w:val="00E8772A"/>
    <w:rsid w:val="00E90F6B"/>
    <w:rsid w:val="00E929CB"/>
    <w:rsid w:val="00E92C27"/>
    <w:rsid w:val="00EA0E3D"/>
    <w:rsid w:val="00EC38A7"/>
    <w:rsid w:val="00ED7384"/>
    <w:rsid w:val="00EE1AA8"/>
    <w:rsid w:val="00F1065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06967"/>
    <w:rPr>
      <w:rFonts w:ascii="Geomanist Light" w:hAnsi="Geomanist Light"/>
      <w:lang w:val="es-ES"/>
    </w:rPr>
  </w:style>
  <w:style w:type="character" w:styleId="Refdecomentario">
    <w:name w:val="annotation reference"/>
    <w:basedOn w:val="Fuentedeprrafopredeter"/>
    <w:uiPriority w:val="99"/>
    <w:semiHidden/>
    <w:unhideWhenUsed/>
    <w:rsid w:val="00E4010B"/>
    <w:rPr>
      <w:sz w:val="16"/>
      <w:szCs w:val="16"/>
    </w:rPr>
  </w:style>
  <w:style w:type="paragraph" w:styleId="Textocomentario">
    <w:name w:val="annotation text"/>
    <w:basedOn w:val="Normal"/>
    <w:link w:val="TextocomentarioCar"/>
    <w:uiPriority w:val="99"/>
    <w:unhideWhenUsed/>
    <w:rsid w:val="00E4010B"/>
    <w:pPr>
      <w:spacing w:line="240" w:lineRule="auto"/>
    </w:pPr>
    <w:rPr>
      <w:sz w:val="20"/>
      <w:szCs w:val="20"/>
    </w:rPr>
  </w:style>
  <w:style w:type="character" w:customStyle="1" w:styleId="TextocomentarioCar">
    <w:name w:val="Texto comentario Car"/>
    <w:basedOn w:val="Fuentedeprrafopredeter"/>
    <w:link w:val="Textocomentario"/>
    <w:uiPriority w:val="99"/>
    <w:rsid w:val="00E4010B"/>
    <w:rPr>
      <w:sz w:val="20"/>
      <w:szCs w:val="20"/>
    </w:rPr>
  </w:style>
  <w:style w:type="paragraph" w:styleId="Asuntodelcomentario">
    <w:name w:val="annotation subject"/>
    <w:basedOn w:val="Textocomentario"/>
    <w:next w:val="Textocomentario"/>
    <w:link w:val="AsuntodelcomentarioCar"/>
    <w:uiPriority w:val="99"/>
    <w:semiHidden/>
    <w:unhideWhenUsed/>
    <w:rsid w:val="00E4010B"/>
    <w:rPr>
      <w:b/>
      <w:bCs/>
    </w:rPr>
  </w:style>
  <w:style w:type="character" w:customStyle="1" w:styleId="AsuntodelcomentarioCar">
    <w:name w:val="Asunto del comentario Car"/>
    <w:basedOn w:val="TextocomentarioCar"/>
    <w:link w:val="Asuntodelcomentario"/>
    <w:uiPriority w:val="99"/>
    <w:semiHidden/>
    <w:rsid w:val="00E401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87ED6AB-89DB-4CA4-B76E-4AD45219C424}"/>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8ae15d26-076e-464e-81a7-6f76a0fb3917"/>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b531b13d-89bf-4629-be1e-22fdf3dd34d4"/>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3476</Words>
  <Characters>19120</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4</cp:revision>
  <cp:lastPrinted>2023-01-10T21:18:00Z</cp:lastPrinted>
  <dcterms:created xsi:type="dcterms:W3CDTF">2025-02-05T18:45:00Z</dcterms:created>
  <dcterms:modified xsi:type="dcterms:W3CDTF">2025-02-11T15:41:00Z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