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A7C6C" w14:textId="12F0374E" w:rsidR="00875776" w:rsidRDefault="00875776" w:rsidP="00875776">
      <w:pPr>
        <w:spacing w:after="0" w:line="240" w:lineRule="auto"/>
        <w:rPr>
          <w:rFonts w:ascii="Verdana" w:eastAsia="Times New Roman" w:hAnsi="Verdana" w:cs="Arial"/>
          <w:b/>
          <w:lang w:val="es-ES" w:eastAsia="es-ES"/>
        </w:rPr>
      </w:pPr>
      <w:bookmarkStart w:id="0" w:name="_Hlk143780582"/>
      <w:r w:rsidRPr="00875776">
        <w:rPr>
          <w:rFonts w:ascii="Verdana" w:eastAsia="Calibri" w:hAnsi="Verdana" w:cs="Arial"/>
          <w:b/>
          <w:color w:val="000000" w:themeColor="text1"/>
        </w:rPr>
        <w:t xml:space="preserve">CONTRATO DE PRESTACIÓN DE SERVICIOS ─ </w:t>
      </w:r>
      <w:r w:rsidRPr="00875776">
        <w:rPr>
          <w:rFonts w:ascii="Verdana" w:eastAsia="Times New Roman" w:hAnsi="Verdana" w:cs="Arial"/>
          <w:b/>
          <w:lang w:val="es-ES" w:eastAsia="es-ES"/>
        </w:rPr>
        <w:t xml:space="preserve">Concepto </w:t>
      </w:r>
      <w:r w:rsidRPr="00875776">
        <w:rPr>
          <w:rFonts w:ascii="Verdana" w:eastAsia="Calibri" w:hAnsi="Verdana" w:cs="Arial"/>
          <w:b/>
          <w:lang w:val="es-ES" w:eastAsia="es-ES"/>
        </w:rPr>
        <w:t>–</w:t>
      </w:r>
      <w:r w:rsidRPr="00875776">
        <w:rPr>
          <w:rFonts w:ascii="Verdana" w:eastAsia="Times New Roman" w:hAnsi="Verdana" w:cs="Arial"/>
          <w:b/>
          <w:lang w:val="es-ES" w:eastAsia="es-ES"/>
        </w:rPr>
        <w:t xml:space="preserve"> Requisitos y límites para su celebración</w:t>
      </w:r>
    </w:p>
    <w:p w14:paraId="047AFE3D" w14:textId="77777777" w:rsidR="00875776" w:rsidRDefault="00875776" w:rsidP="00875776">
      <w:pPr>
        <w:spacing w:after="0" w:line="240" w:lineRule="auto"/>
        <w:rPr>
          <w:rFonts w:ascii="Verdana" w:eastAsia="Times New Roman" w:hAnsi="Verdana" w:cs="Arial"/>
          <w:b/>
          <w:lang w:val="es-ES" w:eastAsia="es-ES"/>
        </w:rPr>
      </w:pPr>
    </w:p>
    <w:p w14:paraId="04356678" w14:textId="52C7BBDC" w:rsidR="00875776" w:rsidRDefault="00875776" w:rsidP="00875776">
      <w:pPr>
        <w:spacing w:after="0" w:line="240" w:lineRule="auto"/>
        <w:jc w:val="both"/>
        <w:rPr>
          <w:rFonts w:ascii="Verdana" w:eastAsia="Calibri" w:hAnsi="Verdana" w:cs="Arial"/>
          <w:color w:val="000000" w:themeColor="text1"/>
          <w:lang w:val="es-ES" w:eastAsia="es-ES"/>
        </w:rPr>
      </w:pPr>
      <w:r w:rsidRPr="0DAAAAE4">
        <w:rPr>
          <w:rFonts w:ascii="Verdana" w:eastAsia="Calibri" w:hAnsi="Verdana" w:cs="Arial"/>
          <w:color w:val="000000" w:themeColor="text1"/>
          <w:lang w:val="es-ES" w:eastAsia="es-ES"/>
        </w:rPr>
        <w:t>Como primera medida, es menester indicar que,</w:t>
      </w:r>
      <w:r w:rsidRPr="0DAAAAE4">
        <w:rPr>
          <w:rFonts w:ascii="Verdana" w:eastAsia="Calibri" w:hAnsi="Verdana" w:cs="Arial"/>
          <w:b/>
          <w:color w:val="000000" w:themeColor="text1"/>
          <w:lang w:val="es-ES" w:eastAsia="es-ES"/>
        </w:rPr>
        <w:t xml:space="preserve"> </w:t>
      </w:r>
      <w:r w:rsidRPr="0DAAAAE4">
        <w:rPr>
          <w:rFonts w:ascii="Verdana" w:eastAsia="Calibri" w:hAnsi="Verdana" w:cs="Arial"/>
          <w:color w:val="000000" w:themeColor="text1"/>
          <w:lang w:val="es-ES" w:eastAsia="es-ES"/>
        </w:rPr>
        <w:t>el contrato de prestación de servicios es uno de los tipos contractuales consagrados en el Estatuto General de Contratación de la Administración Pública – en adelante EGCAP–, que</w:t>
      </w:r>
      <w:r>
        <w:rPr>
          <w:rFonts w:ascii="Verdana" w:eastAsia="Calibri" w:hAnsi="Verdana" w:cs="Arial"/>
          <w:color w:val="000000" w:themeColor="text1"/>
          <w:lang w:val="es-ES" w:eastAsia="es-ES"/>
        </w:rPr>
        <w:t xml:space="preserve"> </w:t>
      </w:r>
      <w:r w:rsidRPr="0DAAAAE4">
        <w:rPr>
          <w:rFonts w:ascii="Verdana" w:eastAsia="Calibri" w:hAnsi="Verdana" w:cs="Arial"/>
          <w:color w:val="000000" w:themeColor="text1"/>
          <w:lang w:val="es-ES" w:eastAsia="es-ES"/>
        </w:rPr>
        <w:t>pueden celebrar las Entidades Estatales. Se trata de un contrato típico, ya que se encuentra definido en la ley</w:t>
      </w:r>
      <w:r>
        <w:rPr>
          <w:rFonts w:ascii="Verdana" w:eastAsia="Calibri" w:hAnsi="Verdana" w:cs="Arial"/>
          <w:color w:val="000000" w:themeColor="text1"/>
          <w:lang w:val="es-ES" w:eastAsia="es-ES"/>
        </w:rPr>
        <w:t xml:space="preserve"> […] </w:t>
      </w:r>
    </w:p>
    <w:p w14:paraId="77078669" w14:textId="77777777" w:rsidR="00875776" w:rsidRDefault="00875776" w:rsidP="00875776">
      <w:pPr>
        <w:spacing w:after="0" w:line="240" w:lineRule="auto"/>
        <w:jc w:val="both"/>
        <w:rPr>
          <w:rFonts w:ascii="Verdana" w:eastAsia="Calibri" w:hAnsi="Verdana" w:cs="Arial"/>
          <w:color w:val="000000" w:themeColor="text1"/>
          <w:lang w:val="es-ES" w:eastAsia="es-ES"/>
        </w:rPr>
      </w:pPr>
    </w:p>
    <w:p w14:paraId="49B08A72" w14:textId="77777777" w:rsidR="00875776" w:rsidRDefault="00875776" w:rsidP="00875776">
      <w:pPr>
        <w:spacing w:line="240" w:lineRule="auto"/>
        <w:jc w:val="both"/>
        <w:rPr>
          <w:rFonts w:ascii="Verdana" w:eastAsia="Times New Roman" w:hAnsi="Verdana" w:cs="Arial"/>
          <w:b/>
          <w:bCs/>
          <w:lang w:val="es-MX" w:eastAsia="es-ES"/>
        </w:rPr>
      </w:pPr>
      <w:r w:rsidRPr="00875776">
        <w:rPr>
          <w:rFonts w:ascii="Verdana" w:eastAsia="Times New Roman" w:hAnsi="Verdana" w:cs="Arial"/>
          <w:b/>
          <w:bCs/>
          <w:lang w:val="es-MX" w:eastAsia="es-ES"/>
        </w:rPr>
        <w:t xml:space="preserve">CONTRATO DE PRESTACIÓN DE SERVICIOS </w:t>
      </w:r>
      <w:r w:rsidRPr="00875776">
        <w:rPr>
          <w:rFonts w:ascii="Verdana" w:eastAsia="Yu Gothic UI Semibold" w:hAnsi="Verdana" w:cs="Arial"/>
          <w:b/>
          <w:bCs/>
          <w:color w:val="000000" w:themeColor="text1"/>
          <w:lang w:val="es-MX" w:eastAsia="es-ES"/>
        </w:rPr>
        <w:t xml:space="preserve">– Contrato laboral – </w:t>
      </w:r>
      <w:r w:rsidRPr="00875776">
        <w:rPr>
          <w:rFonts w:ascii="Verdana" w:eastAsia="Times New Roman" w:hAnsi="Verdana" w:cs="Arial"/>
          <w:b/>
          <w:bCs/>
          <w:lang w:val="es-ES" w:eastAsia="es-ES"/>
        </w:rPr>
        <w:t xml:space="preserve">Posibilidad de celebrar varios contratos de forma simultánea </w:t>
      </w:r>
      <w:r w:rsidRPr="00875776">
        <w:rPr>
          <w:rFonts w:ascii="Verdana" w:eastAsia="Times New Roman" w:hAnsi="Verdana" w:cs="Arial"/>
          <w:b/>
          <w:bCs/>
          <w:lang w:val="es-MX" w:eastAsia="es-ES"/>
        </w:rPr>
        <w:t>– Procedencia</w:t>
      </w:r>
    </w:p>
    <w:p w14:paraId="2C345625" w14:textId="7AE49B7B" w:rsidR="00875776" w:rsidRPr="000312C3" w:rsidRDefault="00875776" w:rsidP="00875776">
      <w:pPr>
        <w:pStyle w:val="Textoindependiente"/>
        <w:spacing w:after="120"/>
        <w:jc w:val="both"/>
      </w:pPr>
      <w:r>
        <w:t xml:space="preserve">[…] </w:t>
      </w:r>
      <w:r w:rsidRPr="000312C3">
        <w:t>En efecto, las inhabilidades e incompatibilidades constituyen restricciones o límites especiales a la capacidad de las personas para presentar ofertas y celebrar contratos con el Estado. Dichas limitaciones, por tratarse de medidas que restringen derechos fundamentales como la libertad de empresa, la libre concurrencia y el ejercicio de profesiones u oficios, deben estar expresamente previstas en la ley, en virtud del principio de legalidad.</w:t>
      </w:r>
    </w:p>
    <w:p w14:paraId="6ED98455" w14:textId="640F58F3" w:rsidR="00875776" w:rsidRPr="000312C3" w:rsidRDefault="00875776" w:rsidP="00875776">
      <w:pPr>
        <w:pStyle w:val="Textoindependiente"/>
        <w:spacing w:after="120"/>
        <w:jc w:val="both"/>
      </w:pPr>
      <w:r w:rsidRPr="000312C3">
        <w:t>Hecha esta claridad, debe señalarse que no existe norma alguna</w:t>
      </w:r>
      <w:r>
        <w:t xml:space="preserve">, </w:t>
      </w:r>
      <w:r w:rsidRPr="000312C3">
        <w:t>ni en la Constitución Política de 1991, ni en el artículo 8º de la Ley 80 de 1993, ni en otras disposiciones complementarias</w:t>
      </w:r>
      <w:r>
        <w:t>,</w:t>
      </w:r>
      <w:r w:rsidRPr="000312C3">
        <w:t xml:space="preserve"> que establezca una inhabilidad, incompatibilidad o prohibición que impida que una persona natural celebre un contrato de prestación de servicios con una </w:t>
      </w:r>
      <w:r>
        <w:t>Entidad Estatal</w:t>
      </w:r>
      <w:r w:rsidRPr="000312C3">
        <w:t xml:space="preserve"> mientras mantiene una relación laboral vigente con una persona jurídica de derecho privado.</w:t>
      </w:r>
    </w:p>
    <w:p w14:paraId="29B6A83E" w14:textId="77777777" w:rsidR="00875776" w:rsidRDefault="00875776" w:rsidP="00875776">
      <w:pPr>
        <w:pStyle w:val="Textoindependiente"/>
        <w:spacing w:after="120"/>
        <w:jc w:val="both"/>
      </w:pPr>
      <w:r w:rsidRPr="000312C3">
        <w:t>Dado que las inhabilidades e incompatibilidades son limitaciones de carácter excepcional, su interpretación debe ser restrictiva, lo cual excluye cualquier aplicación extensiva, analógica o por integración normativa. En consecuencia, en ausencia de una disposición expresa que prohíba dicha simultaneidad de vínculos contractuales, no puede afirmarse su ilegalidad o improcedencia</w:t>
      </w:r>
      <w:r>
        <w:t>.</w:t>
      </w:r>
    </w:p>
    <w:p w14:paraId="49D930DC" w14:textId="77777777" w:rsidR="00875776" w:rsidRPr="00875776" w:rsidRDefault="00875776" w:rsidP="00875776">
      <w:pPr>
        <w:jc w:val="both"/>
        <w:rPr>
          <w:rFonts w:ascii="Verdana" w:eastAsia="Times New Roman" w:hAnsi="Verdana" w:cs="Arial"/>
          <w:b/>
          <w:bCs/>
          <w:lang w:val="es-ES" w:eastAsia="es-ES"/>
        </w:rPr>
      </w:pPr>
    </w:p>
    <w:p w14:paraId="3462B46D" w14:textId="77777777" w:rsidR="00875776" w:rsidRPr="00875776" w:rsidRDefault="00875776" w:rsidP="00875776">
      <w:pPr>
        <w:spacing w:after="0" w:line="240" w:lineRule="auto"/>
        <w:jc w:val="both"/>
        <w:rPr>
          <w:rFonts w:ascii="Verdana" w:hAnsi="Verdana"/>
          <w:b/>
          <w:lang w:val="es-ES"/>
        </w:rPr>
      </w:pPr>
    </w:p>
    <w:p w14:paraId="368E7A22" w14:textId="77777777" w:rsidR="00875776" w:rsidRDefault="00875776" w:rsidP="0DAAAAE4">
      <w:pPr>
        <w:spacing w:after="0" w:line="240" w:lineRule="auto"/>
        <w:rPr>
          <w:rFonts w:ascii="Verdana" w:hAnsi="Verdana"/>
          <w:lang w:val="es-ES"/>
        </w:rPr>
      </w:pPr>
    </w:p>
    <w:p w14:paraId="54F872B5" w14:textId="77777777" w:rsidR="00875776" w:rsidRDefault="00875776" w:rsidP="0DAAAAE4">
      <w:pPr>
        <w:spacing w:after="0" w:line="240" w:lineRule="auto"/>
        <w:rPr>
          <w:rFonts w:ascii="Verdana" w:hAnsi="Verdana"/>
          <w:lang w:val="es-ES"/>
        </w:rPr>
      </w:pPr>
    </w:p>
    <w:p w14:paraId="175F20F7" w14:textId="77777777" w:rsidR="00875776" w:rsidRDefault="00875776" w:rsidP="0DAAAAE4">
      <w:pPr>
        <w:spacing w:after="0" w:line="240" w:lineRule="auto"/>
        <w:rPr>
          <w:rFonts w:ascii="Verdana" w:hAnsi="Verdana"/>
          <w:lang w:val="es-ES"/>
        </w:rPr>
      </w:pPr>
    </w:p>
    <w:p w14:paraId="529592CE" w14:textId="77777777" w:rsidR="00875776" w:rsidRDefault="00875776" w:rsidP="0DAAAAE4">
      <w:pPr>
        <w:spacing w:after="0" w:line="240" w:lineRule="auto"/>
        <w:rPr>
          <w:rFonts w:ascii="Verdana" w:hAnsi="Verdana"/>
          <w:lang w:val="es-ES"/>
        </w:rPr>
      </w:pPr>
    </w:p>
    <w:p w14:paraId="28224913" w14:textId="77777777" w:rsidR="00875776" w:rsidRDefault="00875776" w:rsidP="0DAAAAE4">
      <w:pPr>
        <w:spacing w:after="0" w:line="240" w:lineRule="auto"/>
        <w:rPr>
          <w:rFonts w:ascii="Verdana" w:hAnsi="Verdana"/>
          <w:lang w:val="es-ES"/>
        </w:rPr>
      </w:pPr>
    </w:p>
    <w:p w14:paraId="0C981707" w14:textId="77777777" w:rsidR="00875776" w:rsidRDefault="00875776" w:rsidP="0DAAAAE4">
      <w:pPr>
        <w:spacing w:after="0" w:line="240" w:lineRule="auto"/>
        <w:rPr>
          <w:rFonts w:ascii="Verdana" w:hAnsi="Verdana"/>
          <w:lang w:val="es-ES"/>
        </w:rPr>
      </w:pPr>
    </w:p>
    <w:p w14:paraId="5124C724" w14:textId="77777777" w:rsidR="00875776" w:rsidRDefault="00875776" w:rsidP="0DAAAAE4">
      <w:pPr>
        <w:spacing w:after="0" w:line="240" w:lineRule="auto"/>
        <w:rPr>
          <w:rFonts w:ascii="Verdana" w:hAnsi="Verdana"/>
          <w:lang w:val="es-ES"/>
        </w:rPr>
      </w:pPr>
    </w:p>
    <w:p w14:paraId="7B6E1270" w14:textId="77777777" w:rsidR="00875776" w:rsidRDefault="00875776" w:rsidP="0DAAAAE4">
      <w:pPr>
        <w:spacing w:after="0" w:line="240" w:lineRule="auto"/>
        <w:rPr>
          <w:rFonts w:ascii="Verdana" w:hAnsi="Verdana"/>
          <w:lang w:val="es-ES"/>
        </w:rPr>
      </w:pPr>
    </w:p>
    <w:p w14:paraId="7955DE5E" w14:textId="77777777" w:rsidR="00875776" w:rsidRDefault="00875776" w:rsidP="0DAAAAE4">
      <w:pPr>
        <w:spacing w:after="0" w:line="240" w:lineRule="auto"/>
        <w:rPr>
          <w:rFonts w:ascii="Verdana" w:hAnsi="Verdana"/>
          <w:lang w:val="es-ES"/>
        </w:rPr>
      </w:pPr>
    </w:p>
    <w:p w14:paraId="706FD201" w14:textId="4AD14BC8" w:rsidR="00FD6B24" w:rsidRPr="00875776" w:rsidRDefault="00FD6B24" w:rsidP="0DAAAAE4">
      <w:pPr>
        <w:spacing w:after="0" w:line="240" w:lineRule="auto"/>
        <w:rPr>
          <w:rFonts w:ascii="Verdana" w:hAnsi="Verdana"/>
          <w:lang w:val="pt-PT"/>
        </w:rPr>
      </w:pPr>
      <w:r w:rsidRPr="00875776">
        <w:rPr>
          <w:rFonts w:ascii="Verdana" w:hAnsi="Verdana"/>
          <w:lang w:val="pt-PT"/>
        </w:rPr>
        <w:lastRenderedPageBreak/>
        <w:t xml:space="preserve">Bogotá D.C., </w:t>
      </w:r>
      <w:r w:rsidR="00875776" w:rsidRPr="00875776">
        <w:rPr>
          <w:rFonts w:ascii="Verdana" w:hAnsi="Verdana"/>
          <w:lang w:val="pt-PT"/>
        </w:rPr>
        <w:t>01</w:t>
      </w:r>
      <w:r w:rsidRPr="00875776">
        <w:rPr>
          <w:rFonts w:ascii="Verdana" w:hAnsi="Verdana"/>
          <w:lang w:val="pt-PT"/>
        </w:rPr>
        <w:t xml:space="preserve"> </w:t>
      </w:r>
      <w:r w:rsidR="00875776" w:rsidRPr="00875776">
        <w:rPr>
          <w:rFonts w:ascii="Verdana" w:hAnsi="Verdana"/>
          <w:lang w:val="pt-PT"/>
        </w:rPr>
        <w:t xml:space="preserve">agosto de </w:t>
      </w:r>
      <w:r w:rsidRPr="00875776">
        <w:rPr>
          <w:rFonts w:ascii="Verdana" w:hAnsi="Verdana"/>
          <w:lang w:val="pt-PT"/>
        </w:rPr>
        <w:t xml:space="preserve"> </w:t>
      </w:r>
      <w:r w:rsidR="00875776" w:rsidRPr="00875776">
        <w:rPr>
          <w:rFonts w:ascii="Verdana" w:hAnsi="Verdana"/>
          <w:lang w:val="pt-PT"/>
        </w:rPr>
        <w:t>2</w:t>
      </w:r>
      <w:r w:rsidR="00875776">
        <w:rPr>
          <w:rFonts w:ascii="Verdana" w:hAnsi="Verdana"/>
          <w:lang w:val="pt-PT"/>
        </w:rPr>
        <w:t>025</w:t>
      </w:r>
      <w:r w:rsidRPr="00875776">
        <w:rPr>
          <w:lang w:val="pt-PT"/>
        </w:rPr>
        <w:tab/>
      </w:r>
    </w:p>
    <w:p w14:paraId="62FF10AC" w14:textId="77777777" w:rsidR="002736AE" w:rsidRPr="00875776" w:rsidRDefault="002736AE" w:rsidP="00AC7576">
      <w:pPr>
        <w:spacing w:after="0" w:line="240" w:lineRule="auto"/>
        <w:rPr>
          <w:rFonts w:ascii="Verdana" w:hAnsi="Verdana"/>
          <w:lang w:val="pt-PT"/>
        </w:rPr>
      </w:pPr>
    </w:p>
    <w:p w14:paraId="767E9651" w14:textId="54E9F971" w:rsidR="00875776" w:rsidRDefault="00875776" w:rsidP="00875776">
      <w:pPr>
        <w:spacing w:after="0" w:line="240" w:lineRule="auto"/>
        <w:ind w:left="4956"/>
        <w:rPr>
          <w:rFonts w:ascii="Verdana" w:hAnsi="Verdana"/>
          <w:lang w:val="es-ES"/>
        </w:rPr>
      </w:pPr>
      <w:r w:rsidRPr="00875776">
        <w:rPr>
          <w:rFonts w:ascii="Verdana" w:hAnsi="Verdana"/>
          <w:noProof/>
          <w:lang w:val="es-ES"/>
        </w:rPr>
        <w:drawing>
          <wp:inline distT="0" distB="0" distL="0" distR="0" wp14:anchorId="2F134A54" wp14:editId="12175009">
            <wp:extent cx="3105583" cy="924054"/>
            <wp:effectExtent l="0" t="0" r="0" b="9525"/>
            <wp:docPr id="18793048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304869" name=""/>
                    <pic:cNvPicPr/>
                  </pic:nvPicPr>
                  <pic:blipFill>
                    <a:blip r:embed="rId10"/>
                    <a:stretch>
                      <a:fillRect/>
                    </a:stretch>
                  </pic:blipFill>
                  <pic:spPr>
                    <a:xfrm>
                      <a:off x="0" y="0"/>
                      <a:ext cx="3105583" cy="924054"/>
                    </a:xfrm>
                    <a:prstGeom prst="rect">
                      <a:avLst/>
                    </a:prstGeom>
                  </pic:spPr>
                </pic:pic>
              </a:graphicData>
            </a:graphic>
          </wp:inline>
        </w:drawing>
      </w:r>
    </w:p>
    <w:p w14:paraId="0CD874EA" w14:textId="43CEFAF6" w:rsidR="00FD6B24" w:rsidRPr="00FD28DB" w:rsidRDefault="00FD6B24" w:rsidP="0DAAAAE4">
      <w:pPr>
        <w:spacing w:after="0" w:line="240" w:lineRule="auto"/>
        <w:rPr>
          <w:rFonts w:ascii="Verdana" w:hAnsi="Verdana"/>
          <w:lang w:val="es-ES"/>
        </w:rPr>
      </w:pPr>
      <w:r w:rsidRPr="00FD28DB">
        <w:rPr>
          <w:rFonts w:ascii="Verdana" w:hAnsi="Verdana"/>
          <w:lang w:val="es-ES"/>
        </w:rPr>
        <w:t>Señor</w:t>
      </w:r>
    </w:p>
    <w:p w14:paraId="6709F4EB" w14:textId="77777777" w:rsidR="00FD6B24" w:rsidRPr="00866FE5" w:rsidRDefault="00FD6B24" w:rsidP="00FD6B24">
      <w:pPr>
        <w:spacing w:after="0" w:line="240" w:lineRule="auto"/>
        <w:jc w:val="both"/>
        <w:textAlignment w:val="baseline"/>
        <w:rPr>
          <w:rFonts w:ascii="Verdana" w:hAnsi="Verdana"/>
          <w:b/>
          <w:bCs/>
        </w:rPr>
      </w:pPr>
      <w:r>
        <w:rPr>
          <w:rFonts w:ascii="Verdana" w:hAnsi="Verdana"/>
          <w:b/>
          <w:bCs/>
        </w:rPr>
        <w:t>Jairo Gómez</w:t>
      </w:r>
    </w:p>
    <w:p w14:paraId="0405D941" w14:textId="77777777" w:rsidR="00FD6B24" w:rsidRPr="00866FE5" w:rsidRDefault="00FD6B24" w:rsidP="00FD6B24">
      <w:pPr>
        <w:spacing w:after="0" w:line="240" w:lineRule="auto"/>
        <w:jc w:val="both"/>
        <w:textAlignment w:val="baseline"/>
        <w:rPr>
          <w:rFonts w:ascii="Verdana" w:hAnsi="Verdana"/>
        </w:rPr>
      </w:pPr>
      <w:hyperlink r:id="rId11" w:history="1">
        <w:r w:rsidRPr="00E43F41">
          <w:rPr>
            <w:rStyle w:val="Hipervnculo"/>
            <w:rFonts w:ascii="Verdana" w:hAnsi="Verdana"/>
          </w:rPr>
          <w:t>Abogado.jairocelis@gmail.com</w:t>
        </w:r>
      </w:hyperlink>
      <w:r>
        <w:rPr>
          <w:rFonts w:ascii="Verdana" w:hAnsi="Verdana"/>
        </w:rPr>
        <w:t xml:space="preserve">; </w:t>
      </w:r>
    </w:p>
    <w:p w14:paraId="6F6C4C15" w14:textId="77777777" w:rsidR="00FD6B24" w:rsidRPr="00FD28DB" w:rsidRDefault="00FD6B24" w:rsidP="00FD6B24">
      <w:pPr>
        <w:spacing w:after="0" w:line="240" w:lineRule="auto"/>
        <w:jc w:val="both"/>
        <w:textAlignment w:val="baseline"/>
        <w:rPr>
          <w:rFonts w:ascii="Verdana" w:eastAsia="Times New Roman" w:hAnsi="Verdana" w:cs="Segoe UI"/>
          <w:lang w:val="es-ES" w:eastAsia="es-CO"/>
        </w:rPr>
      </w:pPr>
      <w:r w:rsidRPr="00FD28DB">
        <w:rPr>
          <w:rFonts w:ascii="Verdana" w:eastAsia="Times New Roman" w:hAnsi="Verdana" w:cs="Segoe UI"/>
          <w:lang w:val="es-ES" w:eastAsia="es-CO"/>
        </w:rPr>
        <w:t xml:space="preserve">Ciudad </w:t>
      </w:r>
    </w:p>
    <w:p w14:paraId="28AFA7AF" w14:textId="77777777" w:rsidR="00FD6B24" w:rsidRPr="00FD28DB" w:rsidRDefault="00FD6B24" w:rsidP="00FD6B24">
      <w:pPr>
        <w:spacing w:after="0" w:line="240" w:lineRule="auto"/>
        <w:jc w:val="both"/>
        <w:textAlignment w:val="baseline"/>
        <w:rPr>
          <w:rFonts w:ascii="Verdana" w:eastAsia="Times New Roman" w:hAnsi="Verdana" w:cs="Segoe UI"/>
          <w:lang w:val="es-ES" w:eastAsia="es-CO"/>
        </w:rPr>
      </w:pPr>
    </w:p>
    <w:tbl>
      <w:tblPr>
        <w:tblStyle w:val="Tablaconcuadrcula"/>
        <w:tblW w:w="9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931"/>
        <w:gridCol w:w="388"/>
      </w:tblGrid>
      <w:tr w:rsidR="00FD6B24" w:rsidRPr="00FD28DB" w14:paraId="446824AE" w14:textId="77777777" w:rsidTr="0DAAAAE4">
        <w:trPr>
          <w:trHeight w:val="2578"/>
        </w:trPr>
        <w:tc>
          <w:tcPr>
            <w:tcW w:w="8931" w:type="dxa"/>
          </w:tcPr>
          <w:p w14:paraId="75C0A755" w14:textId="77777777" w:rsidR="00FD6B24" w:rsidRPr="00FD28DB" w:rsidRDefault="00FD6B24" w:rsidP="00FC637B">
            <w:pPr>
              <w:jc w:val="both"/>
              <w:rPr>
                <w:rFonts w:ascii="Verdana" w:eastAsia="Calibri" w:hAnsi="Verdana" w:cs="Arial"/>
                <w:lang w:val="es-ES" w:eastAsia="es-ES_tradnl"/>
              </w:rPr>
            </w:pPr>
            <w:r w:rsidRPr="00FD28DB">
              <w:rPr>
                <w:rFonts w:ascii="Verdana" w:eastAsia="Calibri" w:hAnsi="Verdana" w:cs="Arial"/>
                <w:b/>
                <w:lang w:val="es-ES" w:eastAsia="es-ES_tradnl"/>
              </w:rPr>
              <w:t xml:space="preserve">                         </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D6B24" w:rsidRPr="00FD28DB" w14:paraId="29470509" w14:textId="77777777" w:rsidTr="0DAAAAE4">
              <w:trPr>
                <w:trHeight w:val="328"/>
              </w:trPr>
              <w:tc>
                <w:tcPr>
                  <w:tcW w:w="2689" w:type="dxa"/>
                </w:tcPr>
                <w:p w14:paraId="7AE06202" w14:textId="77777777" w:rsidR="00FD6B24" w:rsidRPr="00FD28DB" w:rsidRDefault="00FD6B24" w:rsidP="00FC637B">
                  <w:pPr>
                    <w:jc w:val="both"/>
                    <w:rPr>
                      <w:rFonts w:ascii="Verdana" w:eastAsia="Calibri" w:hAnsi="Verdana" w:cs="Arial"/>
                      <w:b/>
                      <w:bCs/>
                      <w:lang w:val="es-ES" w:eastAsia="es-ES_tradnl"/>
                    </w:rPr>
                  </w:pPr>
                </w:p>
              </w:tc>
              <w:tc>
                <w:tcPr>
                  <w:tcW w:w="6100" w:type="dxa"/>
                </w:tcPr>
                <w:p w14:paraId="05FE4CDB" w14:textId="77777777" w:rsidR="00FD6B24" w:rsidRDefault="00FD6B24" w:rsidP="00AC7576">
                  <w:pPr>
                    <w:jc w:val="both"/>
                    <w:rPr>
                      <w:rFonts w:ascii="Verdana" w:eastAsia="Calibri" w:hAnsi="Verdana" w:cs="Arial"/>
                      <w:b/>
                      <w:bCs/>
                      <w:lang w:val="es-ES" w:eastAsia="es-ES"/>
                    </w:rPr>
                  </w:pPr>
                  <w:r w:rsidRPr="00FD28DB">
                    <w:rPr>
                      <w:rFonts w:ascii="Verdana" w:eastAsia="Calibri" w:hAnsi="Verdana" w:cs="Arial"/>
                      <w:b/>
                      <w:bCs/>
                      <w:lang w:val="es-ES" w:eastAsia="es-ES"/>
                    </w:rPr>
                    <w:t xml:space="preserve">Concepto C- </w:t>
                  </w:r>
                  <w:r>
                    <w:rPr>
                      <w:rFonts w:ascii="Verdana" w:eastAsia="Calibri" w:hAnsi="Verdana" w:cs="Arial"/>
                      <w:b/>
                      <w:bCs/>
                      <w:lang w:val="es-ES" w:eastAsia="es-ES"/>
                    </w:rPr>
                    <w:t xml:space="preserve">886 </w:t>
                  </w:r>
                  <w:r w:rsidRPr="00FD28DB">
                    <w:rPr>
                      <w:rFonts w:ascii="Verdana" w:eastAsia="Calibri" w:hAnsi="Verdana" w:cs="Arial"/>
                      <w:b/>
                      <w:bCs/>
                      <w:lang w:val="es-ES" w:eastAsia="es-ES"/>
                    </w:rPr>
                    <w:t>de 202</w:t>
                  </w:r>
                  <w:r>
                    <w:rPr>
                      <w:rFonts w:ascii="Verdana" w:eastAsia="Calibri" w:hAnsi="Verdana" w:cs="Arial"/>
                      <w:b/>
                      <w:bCs/>
                      <w:lang w:val="es-ES" w:eastAsia="es-ES"/>
                    </w:rPr>
                    <w:t>5</w:t>
                  </w:r>
                </w:p>
                <w:p w14:paraId="0D1CE9EE" w14:textId="77777777" w:rsidR="00FD6B24" w:rsidRPr="00FD28DB" w:rsidRDefault="00FD6B24" w:rsidP="00FC637B">
                  <w:pPr>
                    <w:jc w:val="both"/>
                    <w:rPr>
                      <w:rFonts w:ascii="Verdana" w:eastAsia="Calibri" w:hAnsi="Verdana" w:cs="Arial"/>
                      <w:b/>
                      <w:bCs/>
                      <w:lang w:val="es-ES" w:eastAsia="es-ES"/>
                    </w:rPr>
                  </w:pPr>
                </w:p>
              </w:tc>
            </w:tr>
            <w:tr w:rsidR="00FD6B24" w:rsidRPr="00FD28DB" w14:paraId="27048FF8" w14:textId="77777777" w:rsidTr="0DAAAAE4">
              <w:trPr>
                <w:trHeight w:val="1270"/>
              </w:trPr>
              <w:tc>
                <w:tcPr>
                  <w:tcW w:w="2689" w:type="dxa"/>
                </w:tcPr>
                <w:p w14:paraId="2498FF3D" w14:textId="77777777" w:rsidR="00FD6B24" w:rsidRPr="00FD28DB" w:rsidRDefault="00FD6B24" w:rsidP="00FC637B">
                  <w:pPr>
                    <w:jc w:val="both"/>
                    <w:rPr>
                      <w:rFonts w:ascii="Verdana" w:eastAsia="Calibri" w:hAnsi="Verdana" w:cs="Arial"/>
                      <w:lang w:val="es-ES" w:eastAsia="es-ES_tradnl"/>
                    </w:rPr>
                  </w:pPr>
                  <w:r>
                    <w:rPr>
                      <w:rFonts w:ascii="Verdana" w:eastAsia="Calibri" w:hAnsi="Verdana" w:cs="Arial"/>
                      <w:b/>
                      <w:lang w:val="es-ES" w:eastAsia="es-ES_tradnl"/>
                    </w:rPr>
                    <w:t>Te</w:t>
                  </w:r>
                  <w:r w:rsidRPr="00FD28DB">
                    <w:rPr>
                      <w:rFonts w:ascii="Verdana" w:eastAsia="Calibri" w:hAnsi="Verdana" w:cs="Arial"/>
                      <w:b/>
                      <w:lang w:val="es-ES" w:eastAsia="es-ES_tradnl"/>
                    </w:rPr>
                    <w:t>mas:</w:t>
                  </w:r>
                  <w:r w:rsidRPr="00FD28DB">
                    <w:rPr>
                      <w:rFonts w:ascii="Verdana" w:eastAsia="Calibri" w:hAnsi="Verdana" w:cs="Arial"/>
                      <w:lang w:val="es-ES" w:eastAsia="es-ES_tradnl"/>
                    </w:rPr>
                    <w:t xml:space="preserve">                   </w:t>
                  </w:r>
                </w:p>
              </w:tc>
              <w:tc>
                <w:tcPr>
                  <w:tcW w:w="6100" w:type="dxa"/>
                </w:tcPr>
                <w:p w14:paraId="559CE128" w14:textId="77777777" w:rsidR="00FD6B24" w:rsidRDefault="00FD6B24" w:rsidP="0DAAAAE4">
                  <w:pPr>
                    <w:jc w:val="both"/>
                    <w:rPr>
                      <w:rFonts w:ascii="Verdana" w:eastAsia="Times New Roman" w:hAnsi="Verdana" w:cs="Arial"/>
                      <w:lang w:val="es-MX" w:eastAsia="es-ES"/>
                    </w:rPr>
                  </w:pPr>
                  <w:r w:rsidRPr="00DA0133">
                    <w:rPr>
                      <w:rFonts w:ascii="Verdana" w:eastAsia="Calibri" w:hAnsi="Verdana" w:cs="Arial"/>
                      <w:bCs/>
                      <w:color w:val="000000" w:themeColor="text1"/>
                    </w:rPr>
                    <w:t xml:space="preserve">CONTRATO DE PRESTACIÓN DE SERVICIOS ─ </w:t>
                  </w:r>
                  <w:r w:rsidRPr="0DAAAAE4">
                    <w:rPr>
                      <w:rFonts w:ascii="Verdana" w:eastAsia="Times New Roman" w:hAnsi="Verdana" w:cs="Arial"/>
                      <w:lang w:val="es-ES" w:eastAsia="es-ES"/>
                    </w:rPr>
                    <w:t xml:space="preserve">Concepto </w:t>
                  </w:r>
                  <w:r w:rsidRPr="0DAAAAE4">
                    <w:rPr>
                      <w:rFonts w:ascii="Verdana" w:eastAsia="Calibri" w:hAnsi="Verdana" w:cs="Arial"/>
                      <w:lang w:val="es-ES" w:eastAsia="es-ES"/>
                    </w:rPr>
                    <w:t>–</w:t>
                  </w:r>
                  <w:r w:rsidRPr="0DAAAAE4">
                    <w:rPr>
                      <w:rFonts w:ascii="Verdana" w:eastAsia="Times New Roman" w:hAnsi="Verdana" w:cs="Arial"/>
                      <w:lang w:val="es-ES" w:eastAsia="es-ES"/>
                    </w:rPr>
                    <w:t xml:space="preserve"> Requisitos y límites para su celebración / </w:t>
                  </w:r>
                  <w:r w:rsidRPr="0DAAAAE4">
                    <w:rPr>
                      <w:rFonts w:ascii="Verdana" w:eastAsia="Times New Roman" w:hAnsi="Verdana" w:cs="Arial"/>
                      <w:lang w:val="es-MX" w:eastAsia="es-ES"/>
                    </w:rPr>
                    <w:t xml:space="preserve">CONTRATO DE PRESTACIÓN DE SERVICIOS </w:t>
                  </w:r>
                  <w:r w:rsidRPr="0DAAAAE4">
                    <w:rPr>
                      <w:rFonts w:ascii="Verdana" w:eastAsia="Yu Gothic UI Semibold" w:hAnsi="Verdana" w:cs="Arial"/>
                      <w:color w:val="000000" w:themeColor="text1"/>
                      <w:lang w:val="es-MX" w:eastAsia="es-ES"/>
                    </w:rPr>
                    <w:t xml:space="preserve">– Contrato laboral – </w:t>
                  </w:r>
                  <w:r w:rsidRPr="0DAAAAE4">
                    <w:rPr>
                      <w:rFonts w:ascii="Verdana" w:eastAsia="Times New Roman" w:hAnsi="Verdana" w:cs="Arial"/>
                      <w:lang w:val="es-ES" w:eastAsia="es-ES"/>
                    </w:rPr>
                    <w:t xml:space="preserve">Posibilidad de celebrar varios contratos de forma simultánea </w:t>
                  </w:r>
                  <w:r w:rsidRPr="0DAAAAE4">
                    <w:rPr>
                      <w:rFonts w:ascii="Verdana" w:eastAsia="Times New Roman" w:hAnsi="Verdana" w:cs="Arial"/>
                      <w:lang w:val="es-MX" w:eastAsia="es-ES"/>
                    </w:rPr>
                    <w:t>– Procedencia</w:t>
                  </w:r>
                </w:p>
                <w:p w14:paraId="1C84A041" w14:textId="77777777" w:rsidR="00FD6B24" w:rsidRPr="00FD28DB" w:rsidRDefault="00FD6B24" w:rsidP="0DAAAAE4">
                  <w:pPr>
                    <w:jc w:val="both"/>
                    <w:rPr>
                      <w:rFonts w:ascii="Verdana" w:hAnsi="Verdana" w:cs="Arial"/>
                      <w:bCs/>
                      <w:lang w:val="es-ES"/>
                    </w:rPr>
                  </w:pPr>
                </w:p>
              </w:tc>
            </w:tr>
            <w:tr w:rsidR="0029044F" w:rsidRPr="00AC7576" w14:paraId="7CBC8565" w14:textId="77777777" w:rsidTr="0DAAAAE4">
              <w:trPr>
                <w:trHeight w:val="448"/>
              </w:trPr>
              <w:tc>
                <w:tcPr>
                  <w:tcW w:w="2689" w:type="dxa"/>
                </w:tcPr>
                <w:p w14:paraId="55231A42" w14:textId="5F6A9684" w:rsidR="0029044F" w:rsidRPr="00AC7576" w:rsidRDefault="0029044F" w:rsidP="00AC7576">
                  <w:pPr>
                    <w:jc w:val="both"/>
                    <w:rPr>
                      <w:rFonts w:ascii="Verdana" w:eastAsia="Calibri" w:hAnsi="Verdana" w:cs="Arial"/>
                      <w:b/>
                      <w:lang w:val="es-ES" w:eastAsia="es-ES_tradnl"/>
                    </w:rPr>
                  </w:pPr>
                  <w:r w:rsidRPr="00AC7576">
                    <w:rPr>
                      <w:rFonts w:ascii="Verdana" w:eastAsia="Calibri" w:hAnsi="Verdana" w:cs="Arial"/>
                      <w:b/>
                      <w:lang w:val="es-ES" w:eastAsia="es-ES_tradnl"/>
                    </w:rPr>
                    <w:t>Radicación:</w:t>
                  </w:r>
                  <w:r w:rsidRPr="00AC7576">
                    <w:rPr>
                      <w:rFonts w:ascii="Verdana" w:eastAsia="Calibri" w:hAnsi="Verdana" w:cs="Arial"/>
                      <w:lang w:val="es-ES" w:eastAsia="es-ES_tradnl"/>
                    </w:rPr>
                    <w:t xml:space="preserve">  </w:t>
                  </w:r>
                </w:p>
              </w:tc>
              <w:tc>
                <w:tcPr>
                  <w:tcW w:w="6100" w:type="dxa"/>
                </w:tcPr>
                <w:p w14:paraId="3EB339C8" w14:textId="53D3E11A" w:rsidR="0029044F" w:rsidRPr="00AC7576" w:rsidRDefault="0029044F" w:rsidP="0DAAAAE4">
                  <w:pPr>
                    <w:jc w:val="both"/>
                    <w:rPr>
                      <w:rFonts w:ascii="Verdana" w:eastAsia="Calibri" w:hAnsi="Verdana" w:cs="Arial"/>
                      <w:color w:val="000000" w:themeColor="text1"/>
                    </w:rPr>
                  </w:pPr>
                  <w:r w:rsidRPr="0DAAAAE4">
                    <w:rPr>
                      <w:rFonts w:ascii="Verdana" w:eastAsia="Calibri" w:hAnsi="Verdana" w:cs="Arial"/>
                      <w:lang w:val="es-ES" w:eastAsia="es-ES"/>
                    </w:rPr>
                    <w:t>Respuesta a consulta con radicado No. 1</w:t>
                  </w:r>
                  <w:r w:rsidRPr="0DAAAAE4">
                    <w:rPr>
                      <w:rFonts w:ascii="Verdana" w:eastAsia="Calibri" w:hAnsi="Verdana" w:cs="Arial"/>
                      <w:b/>
                      <w:bCs/>
                      <w:lang w:val="es-ES" w:eastAsia="es-ES"/>
                    </w:rPr>
                    <w:t>_</w:t>
                  </w:r>
                  <w:r w:rsidRPr="0DAAAAE4">
                    <w:rPr>
                      <w:rFonts w:ascii="Verdana" w:eastAsia="Calibri" w:hAnsi="Verdana" w:cs="Arial"/>
                      <w:lang w:val="es-ES" w:eastAsia="es-ES"/>
                    </w:rPr>
                    <w:t>2025_07_07_006735</w:t>
                  </w:r>
                </w:p>
              </w:tc>
            </w:tr>
          </w:tbl>
          <w:p w14:paraId="7513D2F7" w14:textId="2B7C47B6" w:rsidR="00FD6B24" w:rsidRPr="00AC7576" w:rsidRDefault="00FD6B24" w:rsidP="00FC637B">
            <w:pPr>
              <w:jc w:val="both"/>
              <w:rPr>
                <w:rFonts w:ascii="Verdana" w:eastAsia="Calibri" w:hAnsi="Verdana" w:cs="Arial"/>
                <w:lang w:val="es-ES" w:eastAsia="es-ES"/>
              </w:rPr>
            </w:pPr>
          </w:p>
        </w:tc>
        <w:tc>
          <w:tcPr>
            <w:tcW w:w="388" w:type="dxa"/>
          </w:tcPr>
          <w:p w14:paraId="14913E93" w14:textId="77777777" w:rsidR="00FD6B24" w:rsidRPr="00FD28DB" w:rsidRDefault="00FD6B24" w:rsidP="0DAAAAE4">
            <w:pPr>
              <w:jc w:val="both"/>
              <w:rPr>
                <w:rFonts w:ascii="Verdana" w:eastAsia="Calibri" w:hAnsi="Verdana" w:cs="Arial"/>
                <w:lang w:val="es-ES" w:eastAsia="es-ES"/>
              </w:rPr>
            </w:pPr>
            <w:r w:rsidRPr="00FD28DB">
              <w:rPr>
                <w:rFonts w:ascii="Verdana" w:eastAsia="Calibri" w:hAnsi="Verdana" w:cs="Arial"/>
                <w:lang w:val="es-ES" w:eastAsia="es-ES"/>
              </w:rPr>
              <w:t xml:space="preserve">  </w:t>
            </w:r>
          </w:p>
          <w:p w14:paraId="231A5629" w14:textId="77777777" w:rsidR="00FD6B24" w:rsidRPr="00FD28DB" w:rsidRDefault="00FD6B24" w:rsidP="0DAAAAE4">
            <w:pPr>
              <w:jc w:val="both"/>
              <w:rPr>
                <w:rFonts w:ascii="Verdana" w:eastAsia="Calibri" w:hAnsi="Verdana" w:cs="Arial"/>
                <w:highlight w:val="cyan"/>
                <w:lang w:val="es-ES" w:eastAsia="es-ES"/>
              </w:rPr>
            </w:pPr>
          </w:p>
        </w:tc>
      </w:tr>
      <w:tr w:rsidR="00FD6B24" w:rsidRPr="00FD28DB" w14:paraId="57ECBA2F" w14:textId="77777777" w:rsidTr="00FC637B">
        <w:trPr>
          <w:trHeight w:val="260"/>
        </w:trPr>
        <w:tc>
          <w:tcPr>
            <w:tcW w:w="8931" w:type="dxa"/>
          </w:tcPr>
          <w:p w14:paraId="6A54137B" w14:textId="66F8048F" w:rsidR="00FD6B24" w:rsidRPr="00FD28DB" w:rsidRDefault="00FD6B24" w:rsidP="00FC637B">
            <w:pPr>
              <w:jc w:val="both"/>
              <w:rPr>
                <w:rFonts w:ascii="Verdana" w:eastAsia="Calibri" w:hAnsi="Verdana" w:cs="Arial"/>
                <w:b/>
                <w:lang w:val="es-ES" w:eastAsia="es-ES_tradnl"/>
              </w:rPr>
            </w:pPr>
          </w:p>
        </w:tc>
        <w:tc>
          <w:tcPr>
            <w:tcW w:w="388" w:type="dxa"/>
          </w:tcPr>
          <w:p w14:paraId="367C4195" w14:textId="77777777" w:rsidR="00FD6B24" w:rsidRPr="00FD28DB" w:rsidRDefault="00FD6B24" w:rsidP="00FC637B">
            <w:pPr>
              <w:jc w:val="both"/>
              <w:rPr>
                <w:rFonts w:ascii="Verdana" w:eastAsia="Calibri" w:hAnsi="Verdana" w:cs="Arial"/>
                <w:lang w:val="es-ES" w:eastAsia="es-ES_tradnl"/>
              </w:rPr>
            </w:pPr>
          </w:p>
        </w:tc>
      </w:tr>
    </w:tbl>
    <w:p w14:paraId="1400C507" w14:textId="77777777" w:rsidR="00FD6B24" w:rsidRPr="00FD28DB" w:rsidRDefault="00FD6B24" w:rsidP="00FD6B24">
      <w:pPr>
        <w:spacing w:after="0" w:line="276" w:lineRule="auto"/>
        <w:jc w:val="both"/>
        <w:rPr>
          <w:rFonts w:ascii="Verdana" w:eastAsia="Calibri" w:hAnsi="Verdana" w:cs="Arial"/>
          <w:lang w:val="es-ES" w:eastAsia="es-ES"/>
        </w:rPr>
      </w:pPr>
      <w:r w:rsidRPr="00FD28DB">
        <w:rPr>
          <w:rFonts w:ascii="Verdana" w:eastAsia="Calibri" w:hAnsi="Verdana" w:cs="Arial"/>
          <w:lang w:val="es-ES" w:eastAsia="es-ES"/>
        </w:rPr>
        <w:t>Estimad</w:t>
      </w:r>
      <w:r>
        <w:rPr>
          <w:rFonts w:ascii="Verdana" w:eastAsia="Calibri" w:hAnsi="Verdana" w:cs="Arial"/>
          <w:lang w:val="es-ES" w:eastAsia="es-ES"/>
        </w:rPr>
        <w:t>o</w:t>
      </w:r>
      <w:r w:rsidRPr="00FD28DB">
        <w:rPr>
          <w:rFonts w:ascii="Verdana" w:eastAsia="Calibri" w:hAnsi="Verdana" w:cs="Arial"/>
          <w:lang w:val="es-ES" w:eastAsia="es-ES"/>
        </w:rPr>
        <w:t xml:space="preserve"> señor </w:t>
      </w:r>
      <w:r>
        <w:rPr>
          <w:rFonts w:ascii="Verdana" w:eastAsia="Calibri" w:hAnsi="Verdana" w:cs="Arial"/>
          <w:lang w:val="es-ES" w:eastAsia="es-ES"/>
        </w:rPr>
        <w:t xml:space="preserve">Gómez, </w:t>
      </w:r>
    </w:p>
    <w:p w14:paraId="7C935882" w14:textId="77777777" w:rsidR="00FD6B24" w:rsidRPr="00FD28DB" w:rsidRDefault="00FD6B24" w:rsidP="00FD6B24">
      <w:pPr>
        <w:spacing w:after="0" w:line="276" w:lineRule="auto"/>
        <w:jc w:val="both"/>
        <w:rPr>
          <w:rFonts w:ascii="Verdana" w:eastAsia="Calibri" w:hAnsi="Verdana" w:cs="Arial"/>
          <w:lang w:val="es-ES" w:eastAsia="es-ES"/>
        </w:rPr>
      </w:pPr>
    </w:p>
    <w:p w14:paraId="03800C05" w14:textId="24B32C70" w:rsidR="00A7430F" w:rsidRDefault="00FD6B24" w:rsidP="0DAAAAE4">
      <w:pPr>
        <w:tabs>
          <w:tab w:val="left" w:pos="3768"/>
        </w:tabs>
        <w:spacing w:after="0" w:line="276" w:lineRule="auto"/>
        <w:jc w:val="both"/>
        <w:rPr>
          <w:rFonts w:ascii="Verdana" w:eastAsia="Calibri" w:hAnsi="Verdana" w:cs="Arial"/>
          <w:lang w:val="es-ES" w:eastAsia="es-ES"/>
        </w:rPr>
      </w:pPr>
      <w:r w:rsidRPr="00FD28DB">
        <w:rPr>
          <w:rFonts w:ascii="Verdana" w:eastAsia="Calibri" w:hAnsi="Verdana" w:cs="Arial"/>
          <w:lang w:val="es-ES" w:eastAsia="es-ES"/>
        </w:rPr>
        <w:t>En ejercicio de la competencia otorgada por los artículos 3, numeral 5º, y 11, numeral 8º, del Decreto Ley 4170 de 2011,</w:t>
      </w:r>
      <w:r w:rsidRPr="00FD28DB">
        <w:rPr>
          <w:rFonts w:ascii="Verdana" w:eastAsia="Arial MT" w:hAnsi="Verdana" w:cs="Arial MT"/>
          <w:lang w:val="es-ES" w:eastAsia="es-ES"/>
        </w:rPr>
        <w:t xml:space="preserve"> </w:t>
      </w:r>
      <w:r w:rsidRPr="00FD28DB">
        <w:rPr>
          <w:rFonts w:ascii="Verdana" w:hAnsi="Verdana" w:cs="Arial"/>
          <w:lang w:val="es-ES"/>
        </w:rPr>
        <w:t xml:space="preserve">así como lo establecido en el artículo 4 de la Resolución 1707 de 2018 expedida por esta Entidad, </w:t>
      </w:r>
      <w:r w:rsidRPr="00FD28DB">
        <w:rPr>
          <w:rFonts w:ascii="Verdana" w:eastAsia="Calibri" w:hAnsi="Verdana" w:cs="Arial"/>
          <w:lang w:val="es-ES" w:eastAsia="es-ES"/>
        </w:rPr>
        <w:t xml:space="preserve">la Agencia Nacional de Contratación Pública – Colombia Compra Eficiente– responde su solicitud de consulta de fecha </w:t>
      </w:r>
      <w:r w:rsidR="0058695B" w:rsidRPr="0DAAAAE4">
        <w:rPr>
          <w:rFonts w:ascii="Verdana" w:eastAsia="Calibri" w:hAnsi="Verdana" w:cs="Arial"/>
          <w:lang w:val="es-ES" w:eastAsia="es-ES"/>
        </w:rPr>
        <w:t>18</w:t>
      </w:r>
      <w:r w:rsidRPr="00FD28DB">
        <w:rPr>
          <w:rFonts w:ascii="Verdana" w:eastAsia="Calibri" w:hAnsi="Verdana" w:cs="Arial"/>
          <w:lang w:val="es-ES" w:eastAsia="es-ES"/>
        </w:rPr>
        <w:t xml:space="preserve"> de </w:t>
      </w:r>
      <w:r w:rsidRPr="0DAAAAE4">
        <w:rPr>
          <w:rFonts w:ascii="Verdana" w:eastAsia="Calibri" w:hAnsi="Verdana" w:cs="Arial"/>
          <w:lang w:val="es-ES" w:eastAsia="es-ES"/>
        </w:rPr>
        <w:t>ju</w:t>
      </w:r>
      <w:r w:rsidR="0058695B" w:rsidRPr="0DAAAAE4">
        <w:rPr>
          <w:rFonts w:ascii="Verdana" w:eastAsia="Calibri" w:hAnsi="Verdana" w:cs="Arial"/>
          <w:lang w:val="es-ES" w:eastAsia="es-ES"/>
        </w:rPr>
        <w:t>n</w:t>
      </w:r>
      <w:r w:rsidRPr="0DAAAAE4">
        <w:rPr>
          <w:rFonts w:ascii="Verdana" w:eastAsia="Calibri" w:hAnsi="Verdana" w:cs="Arial"/>
          <w:lang w:val="es-ES" w:eastAsia="es-ES"/>
        </w:rPr>
        <w:t>io</w:t>
      </w:r>
      <w:r w:rsidRPr="00FD28DB">
        <w:rPr>
          <w:rFonts w:ascii="Verdana" w:eastAsia="Calibri" w:hAnsi="Verdana" w:cs="Arial"/>
          <w:lang w:val="es-ES" w:eastAsia="es-ES"/>
        </w:rPr>
        <w:t xml:space="preserve"> de 202</w:t>
      </w:r>
      <w:r>
        <w:rPr>
          <w:rFonts w:ascii="Verdana" w:eastAsia="Calibri" w:hAnsi="Verdana" w:cs="Arial"/>
          <w:lang w:val="es-ES" w:eastAsia="es-ES"/>
        </w:rPr>
        <w:t>5</w:t>
      </w:r>
      <w:r w:rsidRPr="00FD28DB">
        <w:rPr>
          <w:rFonts w:ascii="Verdana" w:eastAsia="Calibri" w:hAnsi="Verdana" w:cs="Arial"/>
          <w:lang w:val="es-ES" w:eastAsia="es-ES"/>
        </w:rPr>
        <w:t xml:space="preserve">, </w:t>
      </w:r>
      <w:r>
        <w:rPr>
          <w:rFonts w:ascii="Verdana" w:eastAsia="Calibri" w:hAnsi="Verdana" w:cs="Arial"/>
          <w:lang w:val="es-ES" w:eastAsia="es-ES"/>
        </w:rPr>
        <w:t xml:space="preserve">la cual fue remitida a esta Entidad por el Departamento Administrativo de la Función Pública, </w:t>
      </w:r>
      <w:r w:rsidR="0058695B" w:rsidRPr="0DAAAAE4">
        <w:rPr>
          <w:rFonts w:ascii="Verdana" w:eastAsia="Calibri" w:hAnsi="Verdana" w:cs="Arial"/>
          <w:lang w:val="es-ES" w:eastAsia="es-ES"/>
        </w:rPr>
        <w:t>el 7 de julio de 2025</w:t>
      </w:r>
      <w:r w:rsidR="00A7430F" w:rsidRPr="0DAAAAE4">
        <w:rPr>
          <w:rFonts w:ascii="Verdana" w:eastAsia="Calibri" w:hAnsi="Verdana" w:cs="Arial"/>
          <w:lang w:val="es-ES" w:eastAsia="es-ES"/>
        </w:rPr>
        <w:t>,</w:t>
      </w:r>
      <w:r w:rsidRPr="0DAAAAE4">
        <w:rPr>
          <w:rFonts w:ascii="Verdana" w:eastAsia="Calibri" w:hAnsi="Verdana" w:cs="Arial"/>
          <w:lang w:val="es-ES" w:eastAsia="es-ES"/>
        </w:rPr>
        <w:t xml:space="preserve"> en la </w:t>
      </w:r>
      <w:r w:rsidR="00A7430F" w:rsidRPr="0DAAAAE4">
        <w:rPr>
          <w:rFonts w:ascii="Verdana" w:eastAsia="Calibri" w:hAnsi="Verdana" w:cs="Arial"/>
          <w:lang w:val="es-ES" w:eastAsia="es-ES"/>
        </w:rPr>
        <w:t>que</w:t>
      </w:r>
      <w:r w:rsidRPr="00FD28DB">
        <w:rPr>
          <w:rFonts w:ascii="Verdana" w:eastAsia="Calibri" w:hAnsi="Verdana" w:cs="Arial"/>
          <w:lang w:val="es-ES" w:eastAsia="es-ES"/>
        </w:rPr>
        <w:t xml:space="preserve"> usted manifiesta lo siguiente:</w:t>
      </w:r>
    </w:p>
    <w:p w14:paraId="59ADC0E3" w14:textId="77777777" w:rsidR="00A7430F" w:rsidRDefault="00A7430F" w:rsidP="0DAAAAE4">
      <w:pPr>
        <w:tabs>
          <w:tab w:val="left" w:pos="3768"/>
        </w:tabs>
        <w:spacing w:after="0" w:line="276" w:lineRule="auto"/>
        <w:jc w:val="both"/>
        <w:rPr>
          <w:rFonts w:ascii="Verdana" w:eastAsia="Calibri" w:hAnsi="Verdana" w:cs="Arial"/>
          <w:lang w:val="es-ES" w:eastAsia="es-ES"/>
        </w:rPr>
      </w:pPr>
    </w:p>
    <w:p w14:paraId="72E925D2" w14:textId="1E408DF9" w:rsidR="00684F69" w:rsidRDefault="00FD6B24" w:rsidP="00A7430F">
      <w:pPr>
        <w:tabs>
          <w:tab w:val="left" w:pos="3768"/>
        </w:tabs>
        <w:spacing w:after="0" w:line="240" w:lineRule="auto"/>
        <w:ind w:left="709" w:right="709"/>
        <w:jc w:val="both"/>
        <w:rPr>
          <w:rFonts w:ascii="Verdana" w:eastAsia="Calibri" w:hAnsi="Verdana" w:cs="Arial"/>
          <w:sz w:val="20"/>
          <w:szCs w:val="20"/>
          <w:lang w:eastAsia="es-ES"/>
        </w:rPr>
      </w:pPr>
      <w:r w:rsidRPr="0DAAAAE4">
        <w:rPr>
          <w:rFonts w:ascii="Verdana" w:eastAsia="Calibri" w:hAnsi="Verdana" w:cs="Arial"/>
          <w:sz w:val="20"/>
          <w:szCs w:val="20"/>
          <w:lang w:eastAsia="es-ES"/>
        </w:rPr>
        <w:t xml:space="preserve">“[…] ¿una persona que actualmente trabaja en el sector privado mediante contrato laboral a término indefinido puede suscribir, en calidad de persona natural, un contrato de prestación de servicios con un Ministerio, o en general con una entidad pública, durante la vigencia 2025, sin incurrir en alguna inhabilidad o incompatibilidad? </w:t>
      </w:r>
    </w:p>
    <w:p w14:paraId="12471B10" w14:textId="77777777" w:rsidR="00684F69" w:rsidRDefault="00684F69" w:rsidP="00A7430F">
      <w:pPr>
        <w:tabs>
          <w:tab w:val="left" w:pos="3768"/>
        </w:tabs>
        <w:spacing w:after="0" w:line="240" w:lineRule="auto"/>
        <w:ind w:left="709" w:right="709"/>
        <w:jc w:val="both"/>
        <w:rPr>
          <w:rFonts w:ascii="Verdana" w:eastAsia="Calibri" w:hAnsi="Verdana" w:cs="Arial"/>
          <w:sz w:val="20"/>
          <w:szCs w:val="20"/>
          <w:lang w:eastAsia="es-ES"/>
        </w:rPr>
      </w:pPr>
    </w:p>
    <w:p w14:paraId="3BB7718E" w14:textId="18397B85" w:rsidR="00FD6B24" w:rsidRDefault="00684F69" w:rsidP="00684F69">
      <w:pPr>
        <w:tabs>
          <w:tab w:val="left" w:pos="3768"/>
        </w:tabs>
        <w:spacing w:after="0" w:line="240" w:lineRule="auto"/>
        <w:ind w:left="709" w:right="709"/>
        <w:jc w:val="both"/>
        <w:rPr>
          <w:rFonts w:ascii="Verdana" w:eastAsia="Calibri" w:hAnsi="Verdana" w:cs="Arial"/>
          <w:sz w:val="20"/>
          <w:szCs w:val="20"/>
          <w:lang w:val="es-ES" w:eastAsia="es-ES"/>
        </w:rPr>
      </w:pPr>
      <w:r w:rsidRPr="00684F69">
        <w:rPr>
          <w:rFonts w:ascii="Verdana" w:eastAsia="Calibri" w:hAnsi="Verdana" w:cs="Arial"/>
          <w:sz w:val="20"/>
          <w:szCs w:val="20"/>
          <w:lang w:eastAsia="es-ES"/>
        </w:rPr>
        <w:lastRenderedPageBreak/>
        <w:t>En caso de que exista alguna restricción, quisiera saber si esta persona estaría obligada a</w:t>
      </w:r>
      <w:r>
        <w:rPr>
          <w:rFonts w:ascii="Verdana" w:eastAsia="Calibri" w:hAnsi="Verdana" w:cs="Arial"/>
          <w:sz w:val="20"/>
          <w:szCs w:val="20"/>
          <w:lang w:eastAsia="es-ES"/>
        </w:rPr>
        <w:t xml:space="preserve"> </w:t>
      </w:r>
      <w:r w:rsidRPr="00684F69">
        <w:rPr>
          <w:rFonts w:ascii="Verdana" w:eastAsia="Calibri" w:hAnsi="Verdana" w:cs="Arial"/>
          <w:sz w:val="20"/>
          <w:szCs w:val="20"/>
          <w:lang w:eastAsia="es-ES"/>
        </w:rPr>
        <w:t>renunciar a su empleo actual en el sector privado o si puede mantener ambos contratos</w:t>
      </w:r>
      <w:r>
        <w:rPr>
          <w:rFonts w:ascii="Verdana" w:eastAsia="Calibri" w:hAnsi="Verdana" w:cs="Arial"/>
          <w:sz w:val="20"/>
          <w:szCs w:val="20"/>
          <w:lang w:eastAsia="es-ES"/>
        </w:rPr>
        <w:t xml:space="preserve"> </w:t>
      </w:r>
      <w:r w:rsidRPr="00684F69">
        <w:rPr>
          <w:rFonts w:ascii="Verdana" w:eastAsia="Calibri" w:hAnsi="Verdana" w:cs="Arial"/>
          <w:sz w:val="20"/>
          <w:szCs w:val="20"/>
          <w:lang w:eastAsia="es-ES"/>
        </w:rPr>
        <w:t>(el laboral y el de prestación de servicios) de manera simultánea.</w:t>
      </w:r>
      <w:r w:rsidRPr="00684F69">
        <w:rPr>
          <w:rFonts w:ascii="Verdana" w:eastAsia="Calibri" w:hAnsi="Verdana" w:cs="Arial"/>
          <w:sz w:val="20"/>
          <w:szCs w:val="20"/>
          <w:lang w:eastAsia="es-ES"/>
        </w:rPr>
        <w:cr/>
      </w:r>
      <w:r w:rsidR="00FD6B24" w:rsidRPr="00A7430F">
        <w:rPr>
          <w:rFonts w:ascii="Verdana" w:eastAsia="Calibri" w:hAnsi="Verdana" w:cs="Arial"/>
          <w:sz w:val="20"/>
          <w:szCs w:val="20"/>
          <w:lang w:eastAsia="es-ES"/>
        </w:rPr>
        <w:t>[…]</w:t>
      </w:r>
      <w:r w:rsidR="00FD6B24" w:rsidRPr="00A7430F">
        <w:rPr>
          <w:rFonts w:ascii="Verdana" w:eastAsia="Calibri" w:hAnsi="Verdana" w:cs="Arial"/>
          <w:sz w:val="20"/>
          <w:szCs w:val="20"/>
          <w:lang w:val="es-ES" w:eastAsia="es-ES"/>
        </w:rPr>
        <w:t>” [SIC].</w:t>
      </w:r>
    </w:p>
    <w:p w14:paraId="76A618BF" w14:textId="77777777" w:rsidR="00A7430F" w:rsidRPr="006B401F" w:rsidRDefault="00A7430F" w:rsidP="0DAAAAE4">
      <w:pPr>
        <w:tabs>
          <w:tab w:val="left" w:pos="3768"/>
        </w:tabs>
        <w:spacing w:after="0" w:line="276" w:lineRule="auto"/>
        <w:ind w:left="709" w:right="709"/>
        <w:jc w:val="both"/>
        <w:rPr>
          <w:rFonts w:ascii="Verdana" w:eastAsia="Calibri" w:hAnsi="Verdana" w:cs="Arial"/>
          <w:lang w:eastAsia="es-ES"/>
        </w:rPr>
      </w:pPr>
    </w:p>
    <w:p w14:paraId="078C3805" w14:textId="77777777" w:rsidR="00FD6B24" w:rsidRPr="00FD28DB" w:rsidRDefault="00FD6B24" w:rsidP="00FD6B24">
      <w:pPr>
        <w:spacing w:after="120" w:line="276" w:lineRule="auto"/>
        <w:ind w:firstLine="708"/>
        <w:jc w:val="both"/>
        <w:rPr>
          <w:rFonts w:ascii="Verdana" w:eastAsia="Calibri" w:hAnsi="Verdana" w:cs="Arial"/>
          <w:lang w:val="es-ES" w:eastAsia="es-ES"/>
        </w:rPr>
      </w:pPr>
      <w:r w:rsidRPr="00FD28DB">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294DCCB8" w14:textId="77777777" w:rsidR="00FD6B24" w:rsidRPr="00FD28DB" w:rsidRDefault="00FD6B24" w:rsidP="00FD6B24">
      <w:pPr>
        <w:spacing w:after="0" w:line="276" w:lineRule="auto"/>
        <w:ind w:firstLine="709"/>
        <w:jc w:val="both"/>
        <w:rPr>
          <w:rFonts w:ascii="Verdana" w:eastAsia="Calibri" w:hAnsi="Verdana" w:cs="Arial"/>
          <w:lang w:val="es-ES" w:eastAsia="es-ES"/>
        </w:rPr>
      </w:pPr>
      <w:r w:rsidRPr="00FD28DB">
        <w:rPr>
          <w:rFonts w:ascii="Verdana" w:eastAsia="Calibri" w:hAnsi="Verdana" w:cs="Arial"/>
          <w:lang w:val="es-ES"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28B36B76" w14:textId="77777777" w:rsidR="00FD6B24" w:rsidRPr="00FD28DB" w:rsidRDefault="00FD6B24" w:rsidP="00FD6B24">
      <w:pPr>
        <w:spacing w:after="0" w:line="276" w:lineRule="auto"/>
        <w:ind w:firstLine="708"/>
        <w:jc w:val="both"/>
        <w:rPr>
          <w:rFonts w:ascii="Verdana" w:eastAsia="Calibri" w:hAnsi="Verdana" w:cs="Arial"/>
          <w:lang w:val="es-ES" w:eastAsia="es-ES"/>
        </w:rPr>
      </w:pPr>
    </w:p>
    <w:p w14:paraId="062E65B0" w14:textId="0A88EB18" w:rsidR="00FD6B24" w:rsidRPr="006B401F" w:rsidRDefault="00FD6B24" w:rsidP="0DAAAAE4">
      <w:pPr>
        <w:pStyle w:val="Prrafodelista"/>
        <w:numPr>
          <w:ilvl w:val="0"/>
          <w:numId w:val="18"/>
        </w:numPr>
        <w:spacing w:after="0" w:line="276" w:lineRule="auto"/>
        <w:ind w:left="360"/>
        <w:jc w:val="both"/>
        <w:rPr>
          <w:rFonts w:ascii="Verdana" w:eastAsia="Calibri" w:hAnsi="Verdana" w:cs="Arial"/>
          <w:b/>
          <w:lang w:eastAsia="es-ES"/>
        </w:rPr>
      </w:pPr>
      <w:r w:rsidRPr="0DAAAAE4">
        <w:rPr>
          <w:rFonts w:ascii="Verdana" w:eastAsia="Calibri" w:hAnsi="Verdana" w:cs="Arial"/>
          <w:b/>
          <w:lang w:eastAsia="es-ES"/>
        </w:rPr>
        <w:t>Problemas planteados:</w:t>
      </w:r>
    </w:p>
    <w:p w14:paraId="3CFFBFEB" w14:textId="77777777" w:rsidR="00FD6B24" w:rsidRPr="00FD28DB" w:rsidRDefault="00FD6B24" w:rsidP="00FD6B24">
      <w:pPr>
        <w:pStyle w:val="Prrafodelista"/>
        <w:spacing w:after="0" w:line="276" w:lineRule="auto"/>
        <w:ind w:left="1068"/>
        <w:jc w:val="both"/>
        <w:rPr>
          <w:rFonts w:ascii="Verdana" w:eastAsia="Calibri" w:hAnsi="Verdana" w:cs="Arial"/>
          <w:b/>
          <w:bCs/>
          <w:lang w:eastAsia="es-ES"/>
        </w:rPr>
      </w:pPr>
    </w:p>
    <w:p w14:paraId="6E1A1581" w14:textId="7B938E04" w:rsidR="00FD6B24" w:rsidRDefault="00FD6B24" w:rsidP="00FD6B24">
      <w:pPr>
        <w:spacing w:after="0" w:line="276" w:lineRule="auto"/>
        <w:jc w:val="both"/>
        <w:textAlignment w:val="baseline"/>
        <w:rPr>
          <w:rFonts w:ascii="Verdana" w:eastAsia="Calibri" w:hAnsi="Verdana" w:cs="Arial"/>
          <w:lang w:val="es-ES" w:eastAsia="es-ES"/>
        </w:rPr>
      </w:pPr>
      <w:r w:rsidRPr="00FD28DB">
        <w:rPr>
          <w:rFonts w:ascii="Verdana" w:eastAsia="Calibri" w:hAnsi="Verdana" w:cs="Arial"/>
          <w:lang w:val="es-ES" w:eastAsia="es-ES"/>
        </w:rPr>
        <w:t xml:space="preserve">De acuerdo con el contenido de su solicitud, esta Agencia resolverá </w:t>
      </w:r>
      <w:r>
        <w:rPr>
          <w:rFonts w:ascii="Verdana" w:eastAsia="Calibri" w:hAnsi="Verdana" w:cs="Arial"/>
          <w:lang w:val="es-ES" w:eastAsia="es-ES"/>
        </w:rPr>
        <w:t xml:space="preserve">el </w:t>
      </w:r>
      <w:r w:rsidRPr="00FD28DB">
        <w:rPr>
          <w:rFonts w:ascii="Verdana" w:eastAsia="Calibri" w:hAnsi="Verdana" w:cs="Arial"/>
          <w:lang w:val="es-ES" w:eastAsia="es-ES"/>
        </w:rPr>
        <w:t>siguiente problema jurídico</w:t>
      </w:r>
      <w:bookmarkStart w:id="1" w:name="_Hlk182581156"/>
      <w:r w:rsidRPr="00D95487">
        <w:rPr>
          <w:rFonts w:ascii="Verdana" w:eastAsia="Calibri" w:hAnsi="Verdana" w:cs="Arial"/>
          <w:lang w:val="es-ES" w:eastAsia="es-ES"/>
        </w:rPr>
        <w:t xml:space="preserve">: </w:t>
      </w:r>
      <w:r w:rsidRPr="0DAAAAE4">
        <w:rPr>
          <w:rFonts w:ascii="Verdana" w:hAnsi="Verdana"/>
        </w:rPr>
        <w:t>¿</w:t>
      </w:r>
      <w:r w:rsidR="00CE54CE" w:rsidRPr="0DAAAAE4">
        <w:rPr>
          <w:rFonts w:ascii="Verdana" w:hAnsi="Verdana"/>
        </w:rPr>
        <w:t xml:space="preserve">Una </w:t>
      </w:r>
      <w:r w:rsidRPr="00D95487">
        <w:rPr>
          <w:rFonts w:ascii="Verdana" w:hAnsi="Verdana"/>
        </w:rPr>
        <w:t xml:space="preserve">persona </w:t>
      </w:r>
      <w:r w:rsidR="00BD3503" w:rsidRPr="0DAAAAE4">
        <w:rPr>
          <w:rFonts w:ascii="Verdana" w:hAnsi="Verdana"/>
        </w:rPr>
        <w:t xml:space="preserve">que tiene un </w:t>
      </w:r>
      <w:r w:rsidRPr="00D95487">
        <w:rPr>
          <w:rFonts w:ascii="Verdana" w:hAnsi="Verdana"/>
        </w:rPr>
        <w:t xml:space="preserve">contrato laboral vigente </w:t>
      </w:r>
      <w:r w:rsidR="007E2EDA" w:rsidRPr="0DAAAAE4">
        <w:rPr>
          <w:rFonts w:ascii="Verdana" w:hAnsi="Verdana"/>
        </w:rPr>
        <w:t xml:space="preserve">con una empresa </w:t>
      </w:r>
      <w:r w:rsidR="00BD3503" w:rsidRPr="0DAAAAE4">
        <w:rPr>
          <w:rFonts w:ascii="Verdana" w:hAnsi="Verdana"/>
        </w:rPr>
        <w:t>d</w:t>
      </w:r>
      <w:r w:rsidRPr="0DAAAAE4">
        <w:rPr>
          <w:rFonts w:ascii="Verdana" w:hAnsi="Verdana"/>
        </w:rPr>
        <w:t>el</w:t>
      </w:r>
      <w:r w:rsidRPr="00D95487">
        <w:rPr>
          <w:rFonts w:ascii="Verdana" w:hAnsi="Verdana"/>
        </w:rPr>
        <w:t xml:space="preserve"> sector privado </w:t>
      </w:r>
      <w:r w:rsidR="00CE54CE" w:rsidRPr="0DAAAAE4">
        <w:rPr>
          <w:rFonts w:ascii="Verdana" w:hAnsi="Verdana"/>
        </w:rPr>
        <w:t xml:space="preserve">puede </w:t>
      </w:r>
      <w:r w:rsidRPr="00D95487">
        <w:rPr>
          <w:rFonts w:ascii="Verdana" w:hAnsi="Verdana"/>
        </w:rPr>
        <w:t>suscribir y ejecutar</w:t>
      </w:r>
      <w:r w:rsidR="00BA678B" w:rsidRPr="0DAAAAE4">
        <w:rPr>
          <w:rFonts w:ascii="Verdana" w:hAnsi="Verdana"/>
        </w:rPr>
        <w:t>,</w:t>
      </w:r>
      <w:r w:rsidRPr="00D95487">
        <w:rPr>
          <w:rFonts w:ascii="Verdana" w:hAnsi="Verdana"/>
        </w:rPr>
        <w:t xml:space="preserve"> simultáneamente</w:t>
      </w:r>
      <w:r w:rsidR="00BA678B" w:rsidRPr="0DAAAAE4">
        <w:rPr>
          <w:rFonts w:ascii="Verdana" w:hAnsi="Verdana"/>
        </w:rPr>
        <w:t>,</w:t>
      </w:r>
      <w:r w:rsidRPr="00D95487">
        <w:rPr>
          <w:rFonts w:ascii="Verdana" w:hAnsi="Verdana"/>
        </w:rPr>
        <w:t xml:space="preserve"> un contrato de prestación de servicios con una </w:t>
      </w:r>
      <w:r w:rsidR="00BA678B" w:rsidRPr="0DAAAAE4">
        <w:rPr>
          <w:rFonts w:ascii="Verdana" w:hAnsi="Verdana"/>
        </w:rPr>
        <w:t>Entidad Pública</w:t>
      </w:r>
      <w:r w:rsidRPr="00D95487">
        <w:rPr>
          <w:rFonts w:ascii="Verdana" w:hAnsi="Verdana"/>
        </w:rPr>
        <w:t>, sin incurrir en inhabilidades, incompatibilidades o conflicto de intereses?</w:t>
      </w:r>
    </w:p>
    <w:bookmarkEnd w:id="1"/>
    <w:p w14:paraId="79B7D518" w14:textId="77777777" w:rsidR="00FD6B24" w:rsidRPr="00FE5A24" w:rsidRDefault="00FD6B24" w:rsidP="00FD6B24">
      <w:pPr>
        <w:spacing w:after="0" w:line="276" w:lineRule="auto"/>
        <w:jc w:val="both"/>
        <w:rPr>
          <w:rFonts w:ascii="Verdana" w:eastAsia="Calibri" w:hAnsi="Verdana" w:cs="Arial"/>
          <w:color w:val="000000" w:themeColor="text1"/>
          <w:lang w:val="es-ES"/>
        </w:rPr>
      </w:pPr>
    </w:p>
    <w:p w14:paraId="1C76F4D4" w14:textId="740BF600" w:rsidR="00FD6B24" w:rsidRPr="006B401F" w:rsidRDefault="00FD6B24" w:rsidP="0DAAAAE4">
      <w:pPr>
        <w:pStyle w:val="Prrafodelista"/>
        <w:numPr>
          <w:ilvl w:val="0"/>
          <w:numId w:val="18"/>
        </w:numPr>
        <w:spacing w:after="0" w:line="276" w:lineRule="auto"/>
        <w:ind w:left="360"/>
        <w:jc w:val="both"/>
        <w:rPr>
          <w:rFonts w:ascii="Verdana" w:eastAsia="Calibri" w:hAnsi="Verdana" w:cs="Arial"/>
          <w:b/>
          <w:lang w:eastAsia="es-ES"/>
        </w:rPr>
      </w:pPr>
      <w:r w:rsidRPr="0DAAAAE4">
        <w:rPr>
          <w:rFonts w:ascii="Verdana" w:eastAsia="Calibri" w:hAnsi="Verdana" w:cs="Arial"/>
          <w:b/>
          <w:lang w:eastAsia="es-ES"/>
        </w:rPr>
        <w:t>Respuesta:</w:t>
      </w:r>
    </w:p>
    <w:p w14:paraId="1A9B2D47" w14:textId="77777777" w:rsidR="00FD6B24" w:rsidRPr="00FE5A24" w:rsidRDefault="00FD6B24" w:rsidP="00FD6B24">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D6B24" w:rsidRPr="00FE5A24" w14:paraId="012BB485" w14:textId="77777777" w:rsidTr="00FC637B">
        <w:tc>
          <w:tcPr>
            <w:tcW w:w="9067" w:type="dxa"/>
          </w:tcPr>
          <w:p w14:paraId="4E24C27A" w14:textId="6AB2C658" w:rsidR="00FD6B24" w:rsidRPr="000312C3" w:rsidRDefault="0013614A" w:rsidP="0DAAAAE4">
            <w:pPr>
              <w:pStyle w:val="Textoindependiente"/>
              <w:spacing w:after="120" w:line="276" w:lineRule="auto"/>
              <w:jc w:val="both"/>
            </w:pPr>
            <w:r>
              <w:t>Respecto al problema jurídico planteado se señala que</w:t>
            </w:r>
            <w:r w:rsidR="00FD6B24">
              <w:t>, n</w:t>
            </w:r>
            <w:r w:rsidR="00FD6B24" w:rsidRPr="000312C3">
              <w:t xml:space="preserve">o existe prohibición legal ni constitucional que impida la celebración de un contrato de prestación de servicios con una persona natural que, de manera simultánea, mantenga </w:t>
            </w:r>
            <w:r w:rsidR="00FD6B24" w:rsidRPr="000312C3">
              <w:lastRenderedPageBreak/>
              <w:t xml:space="preserve">un contrato laboral vigente con una </w:t>
            </w:r>
            <w:r w:rsidR="00FC375F">
              <w:t>persona</w:t>
            </w:r>
            <w:r w:rsidR="00FD6B24" w:rsidRPr="000312C3">
              <w:t xml:space="preserve"> del sector privado.</w:t>
            </w:r>
          </w:p>
          <w:p w14:paraId="7345994F" w14:textId="77777777" w:rsidR="00FD6B24" w:rsidRPr="000312C3" w:rsidRDefault="00FD6B24" w:rsidP="0DAAAAE4">
            <w:pPr>
              <w:pStyle w:val="Textoindependiente"/>
              <w:spacing w:after="120" w:line="276" w:lineRule="auto"/>
              <w:ind w:firstLine="709"/>
              <w:jc w:val="both"/>
            </w:pPr>
            <w:r w:rsidRPr="000312C3">
              <w:t>En efecto, las inhabilidades e incompatibilidades constituyen restricciones o límites especiales a la capacidad de las personas para presentar ofertas y celebrar contratos con el Estado. Dichas limitaciones, por tratarse de medidas que restringen derechos fundamentales como la libertad de empresa, la libre concurrencia y el ejercicio de profesiones u oficios, deben estar expresamente previstas en la ley, en virtud del principio de legalidad.</w:t>
            </w:r>
          </w:p>
          <w:p w14:paraId="5017677B" w14:textId="427388E8" w:rsidR="00FD6B24" w:rsidRPr="000312C3" w:rsidRDefault="00FD6B24" w:rsidP="0DAAAAE4">
            <w:pPr>
              <w:pStyle w:val="Textoindependiente"/>
              <w:spacing w:after="120" w:line="276" w:lineRule="auto"/>
              <w:ind w:firstLine="709"/>
              <w:jc w:val="both"/>
            </w:pPr>
            <w:r w:rsidRPr="000312C3">
              <w:t>Hecha esta claridad, debe señalarse que no existe norma alguna</w:t>
            </w:r>
            <w:r>
              <w:t xml:space="preserve">, </w:t>
            </w:r>
            <w:r w:rsidRPr="000312C3">
              <w:t>ni en la Constitución Política de 1991, ni en el artículo 8º de la Ley 80 de 1993, ni en otras disposiciones complementarias</w:t>
            </w:r>
            <w:r>
              <w:t>,</w:t>
            </w:r>
            <w:r w:rsidRPr="000312C3">
              <w:t xml:space="preserve"> que establezca una inhabilidad, incompatibilidad o prohibición que impida que una persona natural celebre un contrato de prestación de servicios con una </w:t>
            </w:r>
            <w:r w:rsidR="00FD5383">
              <w:t>Entidad Estatal</w:t>
            </w:r>
            <w:r w:rsidRPr="000312C3">
              <w:t xml:space="preserve"> mientras mantiene una relación laboral vigente con una persona jurídica de derecho privado.</w:t>
            </w:r>
          </w:p>
          <w:p w14:paraId="2CE9B639" w14:textId="77777777" w:rsidR="00FD6B24" w:rsidRDefault="00FD6B24" w:rsidP="0DAAAAE4">
            <w:pPr>
              <w:pStyle w:val="Textoindependiente"/>
              <w:spacing w:after="120" w:line="276" w:lineRule="auto"/>
              <w:ind w:firstLine="709"/>
              <w:jc w:val="both"/>
            </w:pPr>
            <w:r w:rsidRPr="000312C3">
              <w:t>Dado que las inhabilidades e incompatibilidades son limitaciones de carácter excepcional, su interpretación debe ser restrictiva, lo cual excluye cualquier aplicación extensiva, analógica o por integración normativa. En consecuencia, en ausencia de una disposición expresa que prohíba dicha simultaneidad de vínculos contractuales, no puede afirmarse su ilegalidad o improcedencia</w:t>
            </w:r>
            <w:r>
              <w:t>.</w:t>
            </w:r>
          </w:p>
          <w:p w14:paraId="1D0068B3" w14:textId="121447A5" w:rsidR="00FD6B24" w:rsidRPr="00162FB2" w:rsidRDefault="00FD6B24" w:rsidP="0DAAAAE4">
            <w:pPr>
              <w:pStyle w:val="Textoindependiente"/>
              <w:spacing w:after="120" w:line="276" w:lineRule="auto"/>
              <w:ind w:firstLine="709"/>
              <w:jc w:val="both"/>
              <w:rPr>
                <w:lang w:val="es-CO"/>
              </w:rPr>
            </w:pPr>
            <w:r w:rsidRPr="00162FB2">
              <w:rPr>
                <w:lang w:val="es-CO"/>
              </w:rPr>
              <w:t xml:space="preserve">Ahora bien, ello no exime a las </w:t>
            </w:r>
            <w:r w:rsidR="00FD5383" w:rsidRPr="0DAAAAE4">
              <w:rPr>
                <w:lang w:val="es-CO"/>
              </w:rPr>
              <w:t>Entidades Estatales</w:t>
            </w:r>
            <w:r w:rsidRPr="00162FB2">
              <w:rPr>
                <w:lang w:val="es-CO"/>
              </w:rPr>
              <w:t xml:space="preserve"> de actuar con diligencia al momento de evaluar las condiciones de ejecución del contrato estatal. Es necesario analizar, en cada caso, la complejidad, el alcance y la dedicación requerida para el cumplimiento de las obligaciones contractuales, con el fin de determinar si el contratista cuenta efectivamente con la capacidad jurídica, técnica y económica para atender simultáneamente sus responsabilidades laborales y contractuales. De no hacerse este análisis, podría presentarse una situación de sobrecarga que derive en el incumplimiento de las obligaciones adquiridas con la </w:t>
            </w:r>
            <w:r w:rsidR="00FD5383" w:rsidRPr="0DAAAAE4">
              <w:rPr>
                <w:lang w:val="es-CO"/>
              </w:rPr>
              <w:t>Entidad Pública</w:t>
            </w:r>
            <w:r w:rsidRPr="0DAAAAE4">
              <w:rPr>
                <w:lang w:val="es-CO"/>
              </w:rPr>
              <w:t>.</w:t>
            </w:r>
          </w:p>
          <w:p w14:paraId="33BD5326" w14:textId="77777777" w:rsidR="00FD6B24" w:rsidRPr="00162FB2" w:rsidRDefault="00FD6B24" w:rsidP="0DAAAAE4">
            <w:pPr>
              <w:pStyle w:val="Textoindependiente"/>
              <w:spacing w:line="276" w:lineRule="auto"/>
              <w:ind w:firstLine="709"/>
              <w:jc w:val="both"/>
              <w:rPr>
                <w:lang w:val="es-CO"/>
              </w:rPr>
            </w:pPr>
            <w:r w:rsidRPr="00162FB2">
              <w:rPr>
                <w:lang w:val="es-CO"/>
              </w:rPr>
              <w:t>Adicionalmente, resulta fundamental verificar que en la relación laboral vigente no se haya pactado una cláusula de exclusividad, o cualquier otro acuerdo que restrinja o prohíba al trabajador celebrar contratos paralelos, incluidos aquellos suscritos con entidades estatales. El desconocimiento de dichas restricciones podría dar lugar a conflictos contractuales o incluso a sanciones por parte del empleador privado.</w:t>
            </w:r>
            <w:r w:rsidRPr="00B10AF8">
              <w:t xml:space="preserve"> </w:t>
            </w:r>
          </w:p>
        </w:tc>
      </w:tr>
    </w:tbl>
    <w:p w14:paraId="04B91262" w14:textId="77777777" w:rsidR="00FD6B24" w:rsidRPr="00FE5A24" w:rsidRDefault="00FD6B24" w:rsidP="00FD6B24">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4B02F8B1" w14:textId="54EDD493" w:rsidR="00FD6B24" w:rsidRPr="006B401F" w:rsidRDefault="00FD6B24" w:rsidP="0DAAAAE4">
      <w:pPr>
        <w:pStyle w:val="Prrafodelista"/>
        <w:numPr>
          <w:ilvl w:val="0"/>
          <w:numId w:val="18"/>
        </w:numPr>
        <w:spacing w:after="0" w:line="276" w:lineRule="auto"/>
        <w:ind w:left="360"/>
        <w:jc w:val="both"/>
        <w:rPr>
          <w:rFonts w:ascii="Verdana" w:eastAsia="Calibri" w:hAnsi="Verdana" w:cs="Arial"/>
          <w:b/>
          <w:lang w:eastAsia="es-ES"/>
        </w:rPr>
      </w:pPr>
      <w:r w:rsidRPr="0DAAAAE4">
        <w:rPr>
          <w:rFonts w:ascii="Verdana" w:eastAsia="Calibri" w:hAnsi="Verdana" w:cs="Arial"/>
          <w:b/>
          <w:lang w:eastAsia="es-ES"/>
        </w:rPr>
        <w:lastRenderedPageBreak/>
        <w:t>Razones de la respuesta:</w:t>
      </w:r>
    </w:p>
    <w:p w14:paraId="4C0B8163" w14:textId="77777777" w:rsidR="00FD6B24" w:rsidRDefault="00FD6B24" w:rsidP="00FD6B24">
      <w:pPr>
        <w:spacing w:after="0" w:line="276" w:lineRule="auto"/>
        <w:jc w:val="both"/>
        <w:rPr>
          <w:rFonts w:ascii="Verdana" w:eastAsia="Calibri" w:hAnsi="Verdana" w:cs="Arial"/>
          <w:color w:val="000000" w:themeColor="text1"/>
          <w:lang w:val="es-ES"/>
        </w:rPr>
      </w:pPr>
    </w:p>
    <w:p w14:paraId="706FA0CF" w14:textId="77777777" w:rsidR="00FD6B24" w:rsidRPr="00567489" w:rsidRDefault="00FD6B24" w:rsidP="00FD6B24">
      <w:pPr>
        <w:spacing w:after="0" w:line="276" w:lineRule="auto"/>
        <w:jc w:val="both"/>
        <w:rPr>
          <w:rFonts w:ascii="Verdana" w:eastAsia="Calibri" w:hAnsi="Verdana" w:cs="Arial"/>
          <w:color w:val="000000" w:themeColor="text1"/>
          <w:lang w:val="es-ES"/>
        </w:rPr>
      </w:pPr>
      <w:r w:rsidRPr="00567489">
        <w:rPr>
          <w:rFonts w:ascii="Verdana" w:eastAsia="Calibri" w:hAnsi="Verdana" w:cs="Arial"/>
          <w:color w:val="000000" w:themeColor="text1"/>
          <w:lang w:val="es-ES"/>
        </w:rPr>
        <w:t xml:space="preserve">Lo anterior se sustenta en las siguientes consideraciones: </w:t>
      </w:r>
    </w:p>
    <w:p w14:paraId="057909FB" w14:textId="77777777" w:rsidR="00FD6B24" w:rsidRDefault="00FD6B24" w:rsidP="00FD6B24">
      <w:pPr>
        <w:spacing w:after="0" w:line="276" w:lineRule="auto"/>
        <w:jc w:val="both"/>
        <w:rPr>
          <w:rFonts w:ascii="Verdana" w:eastAsia="Calibri" w:hAnsi="Verdana" w:cs="Arial"/>
          <w:lang w:val="es-ES_tradnl" w:eastAsia="es-ES_tradnl"/>
        </w:rPr>
      </w:pPr>
    </w:p>
    <w:p w14:paraId="0F80A180" w14:textId="3403B75D" w:rsidR="00FD6B24" w:rsidRPr="00162FB2" w:rsidRDefault="00BA678B" w:rsidP="00FD6B24">
      <w:pPr>
        <w:spacing w:after="0" w:line="276" w:lineRule="auto"/>
        <w:jc w:val="both"/>
        <w:rPr>
          <w:rFonts w:ascii="Verdana" w:eastAsia="Calibri" w:hAnsi="Verdana" w:cs="Arial"/>
          <w:color w:val="000000"/>
          <w:lang w:val="es-ES" w:eastAsia="es-ES"/>
        </w:rPr>
      </w:pPr>
      <w:r w:rsidRPr="0DAAAAE4">
        <w:rPr>
          <w:rFonts w:ascii="Verdana" w:eastAsia="Calibri" w:hAnsi="Verdana" w:cs="Arial"/>
          <w:color w:val="000000" w:themeColor="text1"/>
          <w:lang w:val="es-ES" w:eastAsia="es-ES"/>
        </w:rPr>
        <w:t xml:space="preserve">i) </w:t>
      </w:r>
      <w:r w:rsidR="00FD6B24" w:rsidRPr="0DAAAAE4">
        <w:rPr>
          <w:rFonts w:ascii="Verdana" w:eastAsia="Calibri" w:hAnsi="Verdana" w:cs="Arial"/>
          <w:color w:val="000000" w:themeColor="text1"/>
          <w:lang w:val="es-ES" w:eastAsia="es-ES"/>
        </w:rPr>
        <w:t>Como primera medida, es menester indicar que,</w:t>
      </w:r>
      <w:r w:rsidR="00FD6B24" w:rsidRPr="0DAAAAE4">
        <w:rPr>
          <w:rFonts w:ascii="Verdana" w:eastAsia="Calibri" w:hAnsi="Verdana" w:cs="Arial"/>
          <w:b/>
          <w:color w:val="000000" w:themeColor="text1"/>
          <w:lang w:val="es-ES" w:eastAsia="es-ES"/>
        </w:rPr>
        <w:t xml:space="preserve"> </w:t>
      </w:r>
      <w:r w:rsidR="00FD6B24" w:rsidRPr="0DAAAAE4">
        <w:rPr>
          <w:rFonts w:ascii="Verdana" w:eastAsia="Calibri" w:hAnsi="Verdana" w:cs="Arial"/>
          <w:color w:val="000000" w:themeColor="text1"/>
          <w:lang w:val="es-ES" w:eastAsia="es-ES"/>
        </w:rPr>
        <w:t>el contrato de prestación de servicios es uno de los tipos contractuales consagrados en el Estatuto General de Contratación de la Administración Pública – en adelante EGCAP–, que pueden celebrar las Entidades Estatales. Se trata de un contrato típico, ya que se encuentra definido en la ley. Concretamente, el artículo 32, numeral 3º, de la Ley 80 de 1993, establece:</w:t>
      </w:r>
    </w:p>
    <w:p w14:paraId="54C071A2" w14:textId="77777777" w:rsidR="00FD6B24" w:rsidRPr="00162FB2" w:rsidRDefault="00FD6B24" w:rsidP="0DAAAAE4">
      <w:pPr>
        <w:spacing w:after="0" w:line="276" w:lineRule="auto"/>
        <w:ind w:left="709" w:right="709"/>
        <w:jc w:val="both"/>
        <w:rPr>
          <w:rFonts w:ascii="Verdana" w:eastAsia="Calibri" w:hAnsi="Verdana" w:cs="Arial"/>
          <w:color w:val="000000"/>
          <w:lang w:val="es-ES" w:eastAsia="es-ES"/>
        </w:rPr>
      </w:pPr>
    </w:p>
    <w:p w14:paraId="75D42E49" w14:textId="77777777" w:rsidR="00FD6B24" w:rsidRPr="00162FB2" w:rsidRDefault="00FD6B24" w:rsidP="00FD6B24">
      <w:pPr>
        <w:spacing w:after="0" w:line="240" w:lineRule="auto"/>
        <w:ind w:left="709" w:right="709"/>
        <w:jc w:val="both"/>
        <w:rPr>
          <w:rFonts w:ascii="Verdana" w:eastAsia="Calibri" w:hAnsi="Verdana" w:cs="Arial"/>
          <w:color w:val="000000"/>
          <w:sz w:val="20"/>
          <w:szCs w:val="20"/>
          <w:lang w:val="es-ES_tradnl" w:eastAsia="es-ES_tradnl"/>
        </w:rPr>
      </w:pPr>
      <w:r w:rsidRPr="00162FB2">
        <w:rPr>
          <w:rFonts w:ascii="Verdana" w:eastAsia="Calibri" w:hAnsi="Verdana" w:cs="Arial"/>
          <w:color w:val="000000"/>
          <w:sz w:val="20"/>
          <w:szCs w:val="20"/>
          <w:lang w:val="es-ES_tradnl" w:eastAsia="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6800AFF0" w14:textId="77777777" w:rsidR="00FD6B24" w:rsidRPr="00162FB2" w:rsidRDefault="00FD6B24" w:rsidP="00FD6B24">
      <w:pPr>
        <w:spacing w:after="0" w:line="240" w:lineRule="auto"/>
        <w:ind w:left="709" w:right="709"/>
        <w:jc w:val="both"/>
        <w:rPr>
          <w:rFonts w:ascii="Verdana" w:eastAsia="Calibri" w:hAnsi="Verdana" w:cs="Arial"/>
          <w:color w:val="000000"/>
          <w:sz w:val="20"/>
          <w:szCs w:val="20"/>
          <w:lang w:val="es-ES_tradnl" w:eastAsia="es-ES_tradnl"/>
        </w:rPr>
      </w:pPr>
    </w:p>
    <w:p w14:paraId="7D6A691E" w14:textId="77777777" w:rsidR="00FD6B24" w:rsidRPr="00162FB2" w:rsidRDefault="00FD6B24" w:rsidP="00FD6B24">
      <w:pPr>
        <w:spacing w:after="0" w:line="240" w:lineRule="auto"/>
        <w:ind w:left="709" w:right="709"/>
        <w:jc w:val="both"/>
        <w:rPr>
          <w:rFonts w:ascii="Verdana" w:eastAsia="Calibri" w:hAnsi="Verdana" w:cs="Arial"/>
          <w:color w:val="000000"/>
          <w:sz w:val="20"/>
          <w:szCs w:val="20"/>
          <w:lang w:val="es-ES_tradnl" w:eastAsia="es-ES_tradnl"/>
        </w:rPr>
      </w:pPr>
      <w:r w:rsidRPr="00162FB2">
        <w:rPr>
          <w:rFonts w:ascii="Verdana" w:eastAsia="Calibri" w:hAnsi="Verdana" w:cs="Arial"/>
          <w:color w:val="000000"/>
          <w:sz w:val="20"/>
          <w:szCs w:val="20"/>
          <w:lang w:val="es-ES_tradnl" w:eastAsia="es-ES_tradnl"/>
        </w:rPr>
        <w:t>En ningún caso estos contratos generan relación laboral ni prestaciones sociales y se celebrarán por el término estrictamente indispensable”.</w:t>
      </w:r>
    </w:p>
    <w:p w14:paraId="764FA96B" w14:textId="77777777" w:rsidR="00FD6B24" w:rsidRPr="00162FB2" w:rsidRDefault="00FD6B24" w:rsidP="00FD6B24">
      <w:pPr>
        <w:tabs>
          <w:tab w:val="left" w:pos="284"/>
        </w:tabs>
        <w:spacing w:after="0" w:line="276" w:lineRule="auto"/>
        <w:jc w:val="both"/>
        <w:rPr>
          <w:rFonts w:ascii="Verdana" w:eastAsia="Calibri" w:hAnsi="Verdana" w:cs="Arial"/>
          <w:b/>
          <w:color w:val="000000"/>
          <w:lang w:val="es-ES_tradnl" w:eastAsia="es-ES_tradnl"/>
        </w:rPr>
      </w:pPr>
    </w:p>
    <w:p w14:paraId="69236215" w14:textId="77777777" w:rsidR="00FD6B24" w:rsidRPr="00162FB2" w:rsidRDefault="00FD6B24" w:rsidP="00FD6B24">
      <w:pPr>
        <w:spacing w:after="0" w:line="276" w:lineRule="auto"/>
        <w:ind w:firstLine="709"/>
        <w:jc w:val="both"/>
        <w:rPr>
          <w:rFonts w:ascii="Verdana" w:eastAsia="Calibri" w:hAnsi="Verdana" w:cs="Arial"/>
          <w:color w:val="000000"/>
          <w:lang w:val="es-ES" w:eastAsia="es-ES"/>
        </w:rPr>
      </w:pPr>
      <w:r w:rsidRPr="1455B6A0">
        <w:rPr>
          <w:rFonts w:ascii="Verdana" w:eastAsia="Calibri" w:hAnsi="Verdana" w:cs="Arial"/>
          <w:color w:val="000000" w:themeColor="text1"/>
          <w:lang w:val="es-ES" w:eastAsia="es-ES"/>
        </w:rPr>
        <w:t>De otro lado, la celebración de dicho contrato se debe efectuar a través de la modalidad de la contratación directa. Así lo prevé el artículo 2, numeral 4º, literal h), de la Ley 1150 de 2007, que dispone:</w:t>
      </w:r>
    </w:p>
    <w:p w14:paraId="0D76B558" w14:textId="77777777" w:rsidR="00FD6B24" w:rsidRPr="00162FB2" w:rsidRDefault="00FD6B24" w:rsidP="00FD6B24">
      <w:pPr>
        <w:spacing w:after="0" w:line="276" w:lineRule="auto"/>
        <w:ind w:firstLine="709"/>
        <w:jc w:val="both"/>
        <w:rPr>
          <w:rFonts w:ascii="Verdana" w:eastAsia="Calibri" w:hAnsi="Verdana" w:cs="Arial"/>
          <w:color w:val="000000"/>
          <w:lang w:val="es-ES_tradnl" w:eastAsia="es-ES_tradnl"/>
        </w:rPr>
      </w:pPr>
    </w:p>
    <w:p w14:paraId="1E17B229" w14:textId="77777777" w:rsidR="00FD6B24" w:rsidRPr="00162FB2" w:rsidRDefault="00FD6B24" w:rsidP="0DAAAAE4">
      <w:pPr>
        <w:spacing w:after="0" w:line="240" w:lineRule="auto"/>
        <w:ind w:left="709" w:right="709"/>
        <w:jc w:val="both"/>
        <w:rPr>
          <w:rFonts w:ascii="Verdana" w:eastAsia="Calibri" w:hAnsi="Verdana" w:cs="Arial"/>
          <w:color w:val="000000"/>
          <w:sz w:val="20"/>
          <w:szCs w:val="20"/>
          <w:lang w:val="es-ES" w:eastAsia="es-ES"/>
        </w:rPr>
      </w:pPr>
      <w:r w:rsidRPr="0DAAAAE4">
        <w:rPr>
          <w:rFonts w:ascii="Verdana" w:eastAsia="Calibri" w:hAnsi="Verdana" w:cs="Arial"/>
          <w:color w:val="000000" w:themeColor="text1"/>
          <w:sz w:val="20"/>
          <w:szCs w:val="20"/>
          <w:lang w:val="es-ES" w:eastAsia="es-ES"/>
        </w:rPr>
        <w:t>“[…]</w:t>
      </w:r>
    </w:p>
    <w:p w14:paraId="0E1A836C" w14:textId="77777777" w:rsidR="00FD6B24" w:rsidRPr="00162FB2" w:rsidRDefault="00FD6B24" w:rsidP="0DAAAAE4">
      <w:pPr>
        <w:spacing w:after="0" w:line="240" w:lineRule="auto"/>
        <w:ind w:left="709" w:right="709"/>
        <w:jc w:val="both"/>
        <w:rPr>
          <w:rFonts w:ascii="Verdana" w:eastAsia="Calibri" w:hAnsi="Verdana" w:cs="Arial"/>
          <w:color w:val="000000"/>
          <w:sz w:val="20"/>
          <w:szCs w:val="20"/>
          <w:lang w:val="es-ES" w:eastAsia="es-ES"/>
        </w:rPr>
      </w:pPr>
    </w:p>
    <w:p w14:paraId="2A308660" w14:textId="77777777" w:rsidR="00FD6B24" w:rsidRPr="00162FB2" w:rsidRDefault="00FD6B24" w:rsidP="0DAAAAE4">
      <w:pPr>
        <w:spacing w:after="0" w:line="240" w:lineRule="auto"/>
        <w:ind w:left="709" w:right="709"/>
        <w:jc w:val="both"/>
        <w:rPr>
          <w:rFonts w:ascii="Verdana" w:eastAsia="Calibri" w:hAnsi="Verdana" w:cs="Arial"/>
          <w:color w:val="000000"/>
          <w:sz w:val="20"/>
          <w:szCs w:val="20"/>
          <w:lang w:val="es-ES" w:eastAsia="es-ES"/>
        </w:rPr>
      </w:pPr>
      <w:r w:rsidRPr="1455B6A0">
        <w:rPr>
          <w:rFonts w:ascii="Verdana" w:eastAsia="Calibri" w:hAnsi="Verdana" w:cs="Arial"/>
          <w:color w:val="000000" w:themeColor="text1"/>
          <w:sz w:val="20"/>
          <w:szCs w:val="20"/>
          <w:lang w:val="es-ES" w:eastAsia="es-ES"/>
        </w:rPr>
        <w:t xml:space="preserve">Contratación directa. La modalidad de selección de contratación </w:t>
      </w:r>
      <w:proofErr w:type="gramStart"/>
      <w:r w:rsidRPr="1455B6A0">
        <w:rPr>
          <w:rFonts w:ascii="Verdana" w:eastAsia="Calibri" w:hAnsi="Verdana" w:cs="Arial"/>
          <w:color w:val="000000" w:themeColor="text1"/>
          <w:sz w:val="20"/>
          <w:szCs w:val="20"/>
          <w:lang w:val="es-ES" w:eastAsia="es-ES"/>
        </w:rPr>
        <w:t>directa,</w:t>
      </w:r>
      <w:proofErr w:type="gramEnd"/>
      <w:r w:rsidRPr="1455B6A0">
        <w:rPr>
          <w:rFonts w:ascii="Verdana" w:eastAsia="Calibri" w:hAnsi="Verdana" w:cs="Arial"/>
          <w:color w:val="000000" w:themeColor="text1"/>
          <w:sz w:val="20"/>
          <w:szCs w:val="20"/>
          <w:lang w:val="es-ES" w:eastAsia="es-ES"/>
        </w:rPr>
        <w:t xml:space="preserve"> solamente procederá en los siguientes casos:</w:t>
      </w:r>
    </w:p>
    <w:p w14:paraId="229FD6EF" w14:textId="77777777" w:rsidR="00FD6B24" w:rsidRPr="00162FB2" w:rsidRDefault="00FD6B24" w:rsidP="0DAAAAE4">
      <w:pPr>
        <w:spacing w:after="0" w:line="240" w:lineRule="auto"/>
        <w:ind w:left="709" w:right="709"/>
        <w:jc w:val="both"/>
        <w:rPr>
          <w:rFonts w:ascii="Verdana" w:eastAsia="Calibri" w:hAnsi="Verdana" w:cs="Arial"/>
          <w:color w:val="000000"/>
          <w:sz w:val="20"/>
          <w:szCs w:val="20"/>
          <w:lang w:val="es-ES" w:eastAsia="es-ES"/>
        </w:rPr>
      </w:pPr>
    </w:p>
    <w:p w14:paraId="6905624B" w14:textId="77777777" w:rsidR="00FD6B24" w:rsidRPr="00162FB2" w:rsidRDefault="00FD6B24" w:rsidP="0DAAAAE4">
      <w:pPr>
        <w:spacing w:after="0" w:line="240" w:lineRule="auto"/>
        <w:ind w:left="709" w:right="709"/>
        <w:jc w:val="both"/>
        <w:rPr>
          <w:rFonts w:ascii="Verdana" w:eastAsia="Calibri" w:hAnsi="Verdana" w:cs="Arial"/>
          <w:color w:val="000000"/>
          <w:sz w:val="20"/>
          <w:szCs w:val="20"/>
          <w:lang w:val="es-ES" w:eastAsia="es-ES"/>
        </w:rPr>
      </w:pPr>
      <w:r w:rsidRPr="0DAAAAE4">
        <w:rPr>
          <w:rFonts w:ascii="Verdana" w:eastAsia="Calibri" w:hAnsi="Verdana" w:cs="Arial"/>
          <w:color w:val="000000" w:themeColor="text1"/>
          <w:sz w:val="20"/>
          <w:szCs w:val="20"/>
          <w:lang w:val="es-ES" w:eastAsia="es-ES"/>
        </w:rPr>
        <w:t>[…]</w:t>
      </w:r>
    </w:p>
    <w:p w14:paraId="0E98BE6D" w14:textId="77777777" w:rsidR="00FD6B24" w:rsidRPr="00162FB2" w:rsidRDefault="00FD6B24" w:rsidP="0DAAAAE4">
      <w:pPr>
        <w:spacing w:after="0" w:line="240" w:lineRule="auto"/>
        <w:ind w:left="709" w:right="709"/>
        <w:jc w:val="both"/>
        <w:rPr>
          <w:rFonts w:ascii="Verdana" w:eastAsia="Calibri" w:hAnsi="Verdana" w:cs="Arial"/>
          <w:color w:val="000000"/>
          <w:sz w:val="20"/>
          <w:szCs w:val="20"/>
          <w:lang w:val="es-ES" w:eastAsia="es-ES"/>
        </w:rPr>
      </w:pPr>
    </w:p>
    <w:p w14:paraId="14CE13A6" w14:textId="77777777" w:rsidR="00FD6B24" w:rsidRPr="00162FB2" w:rsidRDefault="00FD6B24" w:rsidP="0DAAAAE4">
      <w:pPr>
        <w:spacing w:after="0" w:line="240" w:lineRule="auto"/>
        <w:ind w:left="709" w:right="709"/>
        <w:jc w:val="both"/>
        <w:rPr>
          <w:rFonts w:ascii="Verdana" w:eastAsia="Calibri" w:hAnsi="Verdana" w:cs="Arial"/>
          <w:color w:val="000000"/>
          <w:sz w:val="20"/>
          <w:szCs w:val="20"/>
          <w:lang w:val="es-ES" w:eastAsia="es-ES"/>
        </w:rPr>
      </w:pPr>
      <w:r w:rsidRPr="0DAAAAE4">
        <w:rPr>
          <w:rFonts w:ascii="Verdana" w:eastAsia="Calibri" w:hAnsi="Verdana" w:cs="Arial"/>
          <w:color w:val="000000" w:themeColor="text1"/>
          <w:sz w:val="20"/>
          <w:szCs w:val="20"/>
          <w:lang w:val="es-ES" w:eastAsia="es-ES"/>
        </w:rPr>
        <w:t xml:space="preserve">h) Para la prestación de servicios profesionales y de apoyo a la gestión, o para la ejecución de trabajos artísticos que sólo puedan encomendarse a determinadas personas naturales; </w:t>
      </w:r>
    </w:p>
    <w:p w14:paraId="40D475B0" w14:textId="77777777" w:rsidR="00FD6B24" w:rsidRPr="00162FB2" w:rsidRDefault="00FD6B24" w:rsidP="0DAAAAE4">
      <w:pPr>
        <w:spacing w:after="0" w:line="240" w:lineRule="auto"/>
        <w:ind w:left="709" w:right="709"/>
        <w:jc w:val="both"/>
        <w:rPr>
          <w:rFonts w:ascii="Verdana" w:eastAsia="Calibri" w:hAnsi="Verdana" w:cs="Arial"/>
          <w:color w:val="000000"/>
          <w:sz w:val="20"/>
          <w:szCs w:val="20"/>
          <w:lang w:val="es-ES" w:eastAsia="es-ES"/>
        </w:rPr>
      </w:pPr>
    </w:p>
    <w:p w14:paraId="31B3A520" w14:textId="77777777" w:rsidR="00FD6B24" w:rsidRPr="00162FB2" w:rsidRDefault="00FD6B24" w:rsidP="0DAAAAE4">
      <w:pPr>
        <w:spacing w:after="0" w:line="240" w:lineRule="auto"/>
        <w:ind w:left="709" w:right="709"/>
        <w:jc w:val="both"/>
        <w:rPr>
          <w:rFonts w:ascii="Verdana" w:eastAsia="Calibri" w:hAnsi="Verdana" w:cs="Arial"/>
          <w:color w:val="000000"/>
          <w:sz w:val="20"/>
          <w:szCs w:val="20"/>
          <w:lang w:val="es-ES" w:eastAsia="es-ES"/>
        </w:rPr>
      </w:pPr>
      <w:r w:rsidRPr="0DAAAAE4">
        <w:rPr>
          <w:rFonts w:ascii="Verdana" w:eastAsia="Calibri" w:hAnsi="Verdana" w:cs="Arial"/>
          <w:color w:val="000000" w:themeColor="text1"/>
          <w:sz w:val="20"/>
          <w:szCs w:val="20"/>
          <w:lang w:val="es-ES" w:eastAsia="es-ES"/>
        </w:rPr>
        <w:t>[…]”.</w:t>
      </w:r>
    </w:p>
    <w:p w14:paraId="53D27B57" w14:textId="77777777" w:rsidR="00FD6B24" w:rsidRPr="00162FB2" w:rsidRDefault="00FD6B24" w:rsidP="00FD6B24">
      <w:pPr>
        <w:spacing w:after="0" w:line="276" w:lineRule="auto"/>
        <w:ind w:right="709"/>
        <w:jc w:val="both"/>
        <w:rPr>
          <w:rFonts w:ascii="Verdana" w:eastAsia="Calibri" w:hAnsi="Verdana" w:cs="Arial"/>
          <w:color w:val="000000"/>
          <w:lang w:val="es-ES_tradnl" w:eastAsia="es-ES_tradnl"/>
        </w:rPr>
      </w:pPr>
    </w:p>
    <w:p w14:paraId="4CD293B8" w14:textId="77777777" w:rsidR="00FD6B24" w:rsidRPr="00162FB2" w:rsidRDefault="00FD6B24" w:rsidP="00FD6B24">
      <w:pPr>
        <w:spacing w:after="120" w:line="276" w:lineRule="auto"/>
        <w:ind w:firstLine="709"/>
        <w:jc w:val="both"/>
        <w:rPr>
          <w:rFonts w:ascii="Verdana" w:eastAsia="Calibri" w:hAnsi="Verdana" w:cs="Arial"/>
          <w:color w:val="000000"/>
          <w:lang w:val="es-ES_tradnl" w:eastAsia="es-ES_tradnl"/>
        </w:rPr>
      </w:pPr>
      <w:r w:rsidRPr="00162FB2">
        <w:rPr>
          <w:rFonts w:ascii="Verdana" w:eastAsia="Calibri" w:hAnsi="Verdana" w:cs="Arial"/>
          <w:color w:val="000000"/>
          <w:lang w:val="es-ES_tradnl" w:eastAsia="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4579CEE3" w14:textId="77777777" w:rsidR="00FD6B24" w:rsidRPr="00162FB2" w:rsidRDefault="00FD6B24" w:rsidP="00FD6B24">
      <w:pPr>
        <w:spacing w:after="120" w:line="276" w:lineRule="auto"/>
        <w:ind w:firstLine="709"/>
        <w:jc w:val="both"/>
        <w:rPr>
          <w:rFonts w:ascii="Verdana" w:eastAsia="Calibri" w:hAnsi="Verdana" w:cs="Arial"/>
          <w:color w:val="000000"/>
          <w:lang w:val="es-ES_tradnl" w:eastAsia="es-ES_tradnl"/>
        </w:rPr>
      </w:pPr>
      <w:r w:rsidRPr="00162FB2">
        <w:rPr>
          <w:rFonts w:ascii="Verdana" w:eastAsia="Calibri" w:hAnsi="Verdana" w:cs="Arial"/>
          <w:color w:val="000000"/>
          <w:lang w:val="es-ES_tradnl" w:eastAsia="es-ES_tradnl"/>
        </w:rPr>
        <w:lastRenderedPageBreak/>
        <w:t>i) Solo puede celebrarse para realizar “actividades relacionadas con la administración o funcionamiento de la entidad”, es decir, que hagan parte de su giro ordinario o quehacer cotidiano.</w:t>
      </w:r>
    </w:p>
    <w:p w14:paraId="6D02BA85" w14:textId="77777777" w:rsidR="00FD6B24" w:rsidRPr="00162FB2" w:rsidRDefault="00FD6B24" w:rsidP="00FD6B24">
      <w:pPr>
        <w:spacing w:after="120" w:line="276" w:lineRule="auto"/>
        <w:ind w:firstLine="709"/>
        <w:jc w:val="both"/>
        <w:rPr>
          <w:rFonts w:ascii="Verdana" w:eastAsia="Calibri" w:hAnsi="Verdana" w:cs="Arial"/>
          <w:color w:val="000000"/>
          <w:lang w:val="es-ES" w:eastAsia="es-ES"/>
        </w:rPr>
      </w:pPr>
      <w:proofErr w:type="spellStart"/>
      <w:r w:rsidRPr="1455B6A0">
        <w:rPr>
          <w:rFonts w:ascii="Verdana" w:eastAsia="Calibri" w:hAnsi="Verdana" w:cs="Arial"/>
          <w:color w:val="000000"/>
          <w:lang w:val="es-ES" w:eastAsia="es-ES"/>
        </w:rPr>
        <w:t>ii</w:t>
      </w:r>
      <w:proofErr w:type="spellEnd"/>
      <w:r w:rsidRPr="1455B6A0">
        <w:rPr>
          <w:rFonts w:ascii="Verdana" w:eastAsia="Calibri" w:hAnsi="Verdana" w:cs="Arial"/>
          <w:color w:val="000000"/>
          <w:lang w:val="es-ES" w:eastAsia="es-ES"/>
        </w:rPr>
        <w:t>) Admite que se suscriba tanto con personas naturales como con personas jurídicas. Y requiere que la Entidad Estatal justifique en los Estudios Previos que las actividades que buscan encomendarse a aquella “no puedan realizarse con personal de planta o requieran conocimientos especializados”.</w:t>
      </w:r>
      <w:r w:rsidRPr="1455B6A0">
        <w:rPr>
          <w:rFonts w:ascii="Verdana" w:eastAsia="Calibri" w:hAnsi="Verdana" w:cs="Arial"/>
          <w:color w:val="000000"/>
          <w:vertAlign w:val="superscript"/>
          <w:lang w:val="es-ES" w:eastAsia="es-ES"/>
        </w:rPr>
        <w:footnoteReference w:id="1"/>
      </w:r>
      <w:r w:rsidRPr="1455B6A0">
        <w:rPr>
          <w:rFonts w:ascii="Verdana" w:eastAsia="Calibri" w:hAnsi="Verdana" w:cs="Arial"/>
          <w:color w:val="000000"/>
          <w:lang w:val="es-ES" w:eastAsia="es-ES"/>
        </w:rPr>
        <w:t xml:space="preserve">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00B29454" w14:textId="77777777" w:rsidR="00B8016E" w:rsidRDefault="00FD6B24" w:rsidP="00FD6B24">
      <w:pPr>
        <w:spacing w:after="120" w:line="276" w:lineRule="auto"/>
        <w:ind w:firstLine="709"/>
        <w:jc w:val="both"/>
        <w:rPr>
          <w:rFonts w:ascii="Verdana" w:eastAsia="Calibri" w:hAnsi="Verdana" w:cs="Arial"/>
          <w:color w:val="000000"/>
          <w:lang w:val="es-ES" w:eastAsia="es-ES"/>
        </w:rPr>
      </w:pPr>
      <w:proofErr w:type="spellStart"/>
      <w:r w:rsidRPr="1455B6A0">
        <w:rPr>
          <w:rFonts w:ascii="Verdana" w:eastAsia="Calibri" w:hAnsi="Verdana" w:cs="Arial"/>
          <w:color w:val="000000"/>
          <w:lang w:val="es-ES" w:eastAsia="es-ES"/>
        </w:rPr>
        <w:t>iii</w:t>
      </w:r>
      <w:proofErr w:type="spellEnd"/>
      <w:r w:rsidRPr="1455B6A0">
        <w:rPr>
          <w:rFonts w:ascii="Verdana" w:eastAsia="Calibri" w:hAnsi="Verdana" w:cs="Arial"/>
          <w:color w:val="000000"/>
          <w:lang w:val="es-ES" w:eastAsia="es-ES"/>
        </w:rPr>
        <w:t>) Si bien se celebran para obtener la prestación personal de un servicio, se diferencian del contrato de trabajo</w:t>
      </w:r>
      <w:r w:rsidRPr="1455B6A0">
        <w:rPr>
          <w:rFonts w:ascii="Verdana" w:eastAsia="Calibri" w:hAnsi="Verdana" w:cs="Arial"/>
          <w:color w:val="000000"/>
          <w:vertAlign w:val="superscript"/>
          <w:lang w:val="es-ES" w:eastAsia="es-ES"/>
        </w:rPr>
        <w:footnoteReference w:id="2"/>
      </w:r>
      <w:r w:rsidRPr="1455B6A0">
        <w:rPr>
          <w:rFonts w:ascii="Verdana" w:eastAsia="Calibri" w:hAnsi="Verdana" w:cs="Arial"/>
          <w:color w:val="000000"/>
          <w:lang w:val="es-ES" w:eastAsia="es-ES"/>
        </w:rPr>
        <w:t xml:space="preserve"> en que quien celebra el contrato de prestación de servicios debe mantener autonomía e independencia en la ejecución de la labor, lo que significa que no puede existir la </w:t>
      </w:r>
      <w:r w:rsidRPr="1455B6A0">
        <w:rPr>
          <w:rFonts w:ascii="Verdana" w:eastAsia="Calibri" w:hAnsi="Verdana" w:cs="Arial"/>
          <w:i/>
          <w:color w:val="000000"/>
          <w:lang w:val="es-ES" w:eastAsia="es-ES"/>
        </w:rPr>
        <w:t>subordinación y dependencia</w:t>
      </w:r>
      <w:r w:rsidRPr="1455B6A0">
        <w:rPr>
          <w:rFonts w:ascii="Verdana" w:eastAsia="Calibri" w:hAnsi="Verdana" w:cs="Arial"/>
          <w:color w:val="000000"/>
          <w:lang w:val="es-ES" w:eastAsia="es-ES"/>
        </w:rPr>
        <w:t xml:space="preserve">, que es uno de los elementos constitutivos del vínculo laboral. </w:t>
      </w:r>
    </w:p>
    <w:p w14:paraId="164E50DA" w14:textId="77777777" w:rsidR="00B8016E" w:rsidRDefault="00FD6B24" w:rsidP="00FD6B24">
      <w:pPr>
        <w:spacing w:after="120" w:line="276" w:lineRule="auto"/>
        <w:ind w:firstLine="709"/>
        <w:jc w:val="both"/>
        <w:rPr>
          <w:rFonts w:ascii="Verdana" w:eastAsia="Calibri" w:hAnsi="Verdana" w:cs="Arial"/>
          <w:color w:val="000000"/>
          <w:lang w:val="es-ES" w:eastAsia="es-ES"/>
        </w:rPr>
      </w:pPr>
      <w:r w:rsidRPr="0DAAAAE4">
        <w:rPr>
          <w:rFonts w:ascii="Verdana" w:eastAsia="Calibri" w:hAnsi="Verdana" w:cs="Arial"/>
          <w:color w:val="000000" w:themeColor="text1"/>
          <w:lang w:val="es-ES" w:eastAsia="es-ES"/>
        </w:rPr>
        <w:t xml:space="preserve">Por ello el artículo 32, numeral 3º, de la Ley 80 de 1993 establece que “En ningún caso estos contratos generan relación laboral ni prestaciones sociales”, inciso que más que un enunciado que aluda al “ser” se refiere al “deber </w:t>
      </w:r>
      <w:r w:rsidRPr="0DAAAAE4">
        <w:rPr>
          <w:rFonts w:ascii="Verdana" w:eastAsia="Calibri" w:hAnsi="Verdana" w:cs="Arial"/>
          <w:color w:val="000000" w:themeColor="text1"/>
          <w:lang w:val="es-ES" w:eastAsia="es-ES"/>
        </w:rPr>
        <w:lastRenderedPageBreak/>
        <w:t xml:space="preserve">ser”, pues debe interpretarse en el sentido de que los contratos de prestación de servicios profesionales </w:t>
      </w:r>
      <w:r w:rsidRPr="0DAAAAE4">
        <w:rPr>
          <w:rFonts w:ascii="Verdana" w:eastAsia="Calibri" w:hAnsi="Verdana" w:cs="Arial"/>
          <w:i/>
          <w:color w:val="000000" w:themeColor="text1"/>
          <w:lang w:val="es-ES" w:eastAsia="es-ES"/>
        </w:rPr>
        <w:t>no pueden</w:t>
      </w:r>
      <w:r w:rsidRPr="0DAAAAE4">
        <w:rPr>
          <w:rFonts w:ascii="Verdana" w:eastAsia="Calibri" w:hAnsi="Verdana" w:cs="Arial"/>
          <w:color w:val="000000" w:themeColor="text1"/>
          <w:lang w:val="es-ES" w:eastAsia="es-ES"/>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w:t>
      </w:r>
      <w:r w:rsidR="00624EF5" w:rsidRPr="0DAAAAE4">
        <w:rPr>
          <w:rFonts w:ascii="Verdana" w:eastAsia="Calibri" w:hAnsi="Verdana" w:cs="Arial"/>
          <w:color w:val="000000" w:themeColor="text1"/>
          <w:lang w:val="es-ES" w:eastAsia="es-ES"/>
        </w:rPr>
        <w:t>Seguridad Social</w:t>
      </w:r>
      <w:r w:rsidRPr="0DAAAAE4">
        <w:rPr>
          <w:rFonts w:ascii="Verdana" w:eastAsia="Calibri" w:hAnsi="Verdana" w:cs="Arial"/>
          <w:color w:val="000000" w:themeColor="text1"/>
          <w:lang w:val="es-ES" w:eastAsia="es-ES"/>
        </w:rPr>
        <w:t xml:space="preserve">– debe cotizar por su cuenta y riesgo al Sistema de Seguridad Social Integral. </w:t>
      </w:r>
    </w:p>
    <w:p w14:paraId="1CBA7B47" w14:textId="6A4F7E49" w:rsidR="00FD6B24" w:rsidRPr="00162FB2" w:rsidRDefault="00B8016E" w:rsidP="00FD6B24">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No obstante lo anterior,</w:t>
      </w:r>
      <w:r w:rsidR="00FD6B24" w:rsidRPr="1455B6A0">
        <w:rPr>
          <w:rFonts w:ascii="Verdana" w:eastAsia="Calibri" w:hAnsi="Verdana" w:cs="Arial"/>
          <w:color w:val="000000"/>
          <w:lang w:val="es-ES" w:eastAsia="es-ES"/>
        </w:rPr>
        <w:t xml:space="preserve"> es posible que, a pesar de este mandato deontológico, en la práctica surja la relación laboral, pues, como se sabe, el contrato de trabajo es un </w:t>
      </w:r>
      <w:r w:rsidR="00FD6B24" w:rsidRPr="1455B6A0">
        <w:rPr>
          <w:rFonts w:ascii="Verdana" w:eastAsia="Calibri" w:hAnsi="Verdana" w:cs="Arial"/>
          <w:i/>
          <w:color w:val="000000"/>
          <w:lang w:val="es-ES" w:eastAsia="es-ES"/>
        </w:rPr>
        <w:t>contrato realidad</w:t>
      </w:r>
      <w:r w:rsidR="00FD6B24" w:rsidRPr="1455B6A0">
        <w:rPr>
          <w:rFonts w:ascii="Verdana" w:eastAsia="Calibri" w:hAnsi="Verdana" w:cs="Arial"/>
          <w:color w:val="000000"/>
          <w:lang w:val="es-ES" w:eastAsia="es-ES"/>
        </w:rPr>
        <w:t>,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00FD6B24" w:rsidRPr="1455B6A0">
        <w:rPr>
          <w:rFonts w:ascii="Verdana" w:eastAsia="Calibri" w:hAnsi="Verdana" w:cs="Arial"/>
          <w:color w:val="000000"/>
          <w:vertAlign w:val="superscript"/>
          <w:lang w:val="es-ES" w:eastAsia="es-ES"/>
        </w:rPr>
        <w:footnoteReference w:id="3"/>
      </w:r>
      <w:r w:rsidR="00FD6B24" w:rsidRPr="1455B6A0">
        <w:rPr>
          <w:rFonts w:ascii="Verdana" w:eastAsia="Calibri" w:hAnsi="Verdana" w:cs="Arial"/>
          <w:color w:val="000000"/>
          <w:lang w:val="es-ES" w:eastAsia="es-ES"/>
        </w:rPr>
        <w:t>.</w:t>
      </w:r>
    </w:p>
    <w:p w14:paraId="3918091E" w14:textId="66281DA1" w:rsidR="00FD6B24" w:rsidRPr="00162FB2" w:rsidRDefault="00FD6B24" w:rsidP="00FD6B24">
      <w:pPr>
        <w:spacing w:after="0" w:line="276" w:lineRule="auto"/>
        <w:ind w:firstLine="709"/>
        <w:jc w:val="both"/>
        <w:rPr>
          <w:rFonts w:ascii="Verdana" w:eastAsia="Calibri" w:hAnsi="Verdana" w:cs="Arial"/>
          <w:color w:val="000000"/>
          <w:lang w:val="es-ES" w:eastAsia="es-ES"/>
        </w:rPr>
      </w:pPr>
      <w:proofErr w:type="spellStart"/>
      <w:r w:rsidRPr="1455B6A0">
        <w:rPr>
          <w:rFonts w:ascii="Verdana" w:eastAsia="Calibri" w:hAnsi="Verdana" w:cs="Arial"/>
          <w:color w:val="000000" w:themeColor="text1"/>
          <w:lang w:val="es-ES" w:eastAsia="es-ES"/>
        </w:rPr>
        <w:t>iv</w:t>
      </w:r>
      <w:proofErr w:type="spellEnd"/>
      <w:r w:rsidRPr="1455B6A0">
        <w:rPr>
          <w:rFonts w:ascii="Verdana" w:eastAsia="Calibri" w:hAnsi="Verdana" w:cs="Arial"/>
          <w:color w:val="000000" w:themeColor="text1"/>
          <w:lang w:val="es-ES" w:eastAsia="es-ES"/>
        </w:rPr>
        <w:t>) Deben ser temporales. Así lo señaló la Corte Constitucional</w:t>
      </w:r>
      <w:r w:rsidR="009803EE" w:rsidRPr="0DAAAAE4">
        <w:rPr>
          <w:rFonts w:ascii="Verdana" w:eastAsia="Calibri" w:hAnsi="Verdana" w:cs="Arial"/>
          <w:color w:val="000000" w:themeColor="text1"/>
          <w:lang w:val="es-ES" w:eastAsia="es-ES"/>
        </w:rPr>
        <w:t>,</w:t>
      </w:r>
      <w:r w:rsidRPr="1455B6A0">
        <w:rPr>
          <w:rFonts w:ascii="Verdana" w:eastAsia="Calibri" w:hAnsi="Verdana" w:cs="Arial"/>
          <w:color w:val="000000" w:themeColor="text1"/>
          <w:lang w:val="es-ES" w:eastAsia="es-ES"/>
        </w:rPr>
        <w:t xml:space="preserve"> en la misma providencia a la que se aludió previamente, expresando que:</w:t>
      </w:r>
    </w:p>
    <w:p w14:paraId="6A2291D2" w14:textId="77777777" w:rsidR="00FD6B24" w:rsidRPr="00162FB2" w:rsidRDefault="00FD6B24" w:rsidP="00FD6B24">
      <w:pPr>
        <w:spacing w:after="0" w:line="276" w:lineRule="auto"/>
        <w:ind w:firstLine="709"/>
        <w:jc w:val="both"/>
        <w:rPr>
          <w:rFonts w:ascii="Verdana" w:eastAsia="Calibri" w:hAnsi="Verdana" w:cs="Arial"/>
          <w:color w:val="000000"/>
          <w:lang w:val="es-ES_tradnl" w:eastAsia="es-ES_tradnl"/>
        </w:rPr>
      </w:pPr>
    </w:p>
    <w:p w14:paraId="4B4121E5" w14:textId="77777777" w:rsidR="00FD6B24" w:rsidRPr="00162FB2" w:rsidRDefault="00FD6B24" w:rsidP="00FD6B24">
      <w:pPr>
        <w:spacing w:after="0" w:line="240" w:lineRule="auto"/>
        <w:ind w:left="709" w:right="709"/>
        <w:contextualSpacing/>
        <w:jc w:val="both"/>
        <w:rPr>
          <w:rFonts w:ascii="Verdana" w:eastAsia="Calibri" w:hAnsi="Verdana" w:cs="Arial"/>
          <w:color w:val="000000"/>
          <w:sz w:val="20"/>
          <w:szCs w:val="20"/>
          <w:lang w:val="es-ES_tradnl" w:eastAsia="es-ES_tradnl"/>
        </w:rPr>
      </w:pPr>
      <w:r w:rsidRPr="00162FB2">
        <w:rPr>
          <w:rFonts w:ascii="Verdana" w:eastAsia="Calibri" w:hAnsi="Verdana" w:cs="Arial"/>
          <w:color w:val="000000"/>
          <w:sz w:val="20"/>
          <w:szCs w:val="20"/>
          <w:lang w:val="es-ES_tradnl" w:eastAsia="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162FB2">
        <w:rPr>
          <w:rFonts w:ascii="Verdana" w:eastAsia="Calibri" w:hAnsi="Verdana" w:cs="Arial"/>
          <w:color w:val="000000"/>
          <w:sz w:val="20"/>
          <w:szCs w:val="20"/>
          <w:vertAlign w:val="superscript"/>
          <w:lang w:val="es-ES_tradnl" w:eastAsia="es-ES_tradnl"/>
        </w:rPr>
        <w:footnoteReference w:id="4"/>
      </w:r>
      <w:r w:rsidRPr="00162FB2">
        <w:rPr>
          <w:rFonts w:ascii="Verdana" w:eastAsia="Calibri" w:hAnsi="Verdana" w:cs="Arial"/>
          <w:color w:val="000000"/>
          <w:sz w:val="20"/>
          <w:szCs w:val="20"/>
          <w:lang w:val="es-ES_tradnl" w:eastAsia="es-ES_tradnl"/>
        </w:rPr>
        <w:t>.</w:t>
      </w:r>
    </w:p>
    <w:p w14:paraId="1CBE2AA8" w14:textId="77777777" w:rsidR="00FD6B24" w:rsidRPr="00162FB2" w:rsidRDefault="00FD6B24" w:rsidP="00FD6B24">
      <w:pPr>
        <w:spacing w:after="0" w:line="276" w:lineRule="auto"/>
        <w:ind w:firstLine="709"/>
        <w:jc w:val="both"/>
        <w:rPr>
          <w:rFonts w:ascii="Verdana" w:eastAsia="Calibri" w:hAnsi="Verdana" w:cs="Arial"/>
          <w:color w:val="000000"/>
          <w:lang w:val="es-ES_tradnl" w:eastAsia="es-ES_tradnl"/>
        </w:rPr>
      </w:pPr>
    </w:p>
    <w:p w14:paraId="4677280D" w14:textId="77777777" w:rsidR="00FD6B24" w:rsidRPr="00162FB2" w:rsidRDefault="00FD6B24" w:rsidP="00FD6B24">
      <w:pPr>
        <w:spacing w:after="0" w:line="276" w:lineRule="auto"/>
        <w:ind w:firstLine="709"/>
        <w:jc w:val="both"/>
        <w:rPr>
          <w:rFonts w:ascii="Verdana" w:eastAsia="Calibri" w:hAnsi="Verdana" w:cs="Arial"/>
          <w:color w:val="000000"/>
          <w:lang w:val="es-ES" w:eastAsia="es-ES"/>
        </w:rPr>
      </w:pPr>
      <w:r w:rsidRPr="1455B6A0">
        <w:rPr>
          <w:rFonts w:ascii="Verdana" w:eastAsia="Calibri" w:hAnsi="Verdana" w:cs="Arial"/>
          <w:color w:val="000000"/>
          <w:lang w:val="es-ES" w:eastAsia="es-ES"/>
        </w:rPr>
        <w:t xml:space="preserve">v) Los contratos de prestación de servicios constituyen un </w:t>
      </w:r>
      <w:r w:rsidRPr="1455B6A0">
        <w:rPr>
          <w:rFonts w:ascii="Verdana" w:eastAsia="Calibri" w:hAnsi="Verdana" w:cs="Arial"/>
          <w:i/>
          <w:color w:val="000000"/>
          <w:lang w:val="es-ES" w:eastAsia="es-ES"/>
        </w:rPr>
        <w:t>género</w:t>
      </w:r>
      <w:r w:rsidRPr="1455B6A0">
        <w:rPr>
          <w:rFonts w:ascii="Verdana" w:eastAsia="Calibri" w:hAnsi="Verdana" w:cs="Arial"/>
          <w:color w:val="000000"/>
          <w:lang w:val="es-ES" w:eastAsia="es-ES"/>
        </w:rPr>
        <w:t xml:space="preserve"> que incluye, como </w:t>
      </w:r>
      <w:r w:rsidRPr="1455B6A0">
        <w:rPr>
          <w:rFonts w:ascii="Verdana" w:eastAsia="Calibri" w:hAnsi="Verdana" w:cs="Arial"/>
          <w:i/>
          <w:color w:val="000000"/>
          <w:lang w:val="es-ES" w:eastAsia="es-ES"/>
        </w:rPr>
        <w:t>especies</w:t>
      </w:r>
      <w:r w:rsidRPr="1455B6A0">
        <w:rPr>
          <w:rFonts w:ascii="Verdana" w:eastAsia="Calibri" w:hAnsi="Verdana" w:cs="Arial"/>
          <w:color w:val="000000"/>
          <w:lang w:val="es-ES" w:eastAsia="es-ES"/>
        </w:rPr>
        <w:t xml:space="preserve">, los contratos de prestación de servicios profesionales, </w:t>
      </w:r>
      <w:r w:rsidRPr="1455B6A0">
        <w:rPr>
          <w:rFonts w:ascii="Verdana" w:eastAsia="Calibri" w:hAnsi="Verdana" w:cs="Arial"/>
          <w:color w:val="000000"/>
          <w:lang w:val="es-ES" w:eastAsia="es-ES"/>
        </w:rPr>
        <w:lastRenderedPageBreak/>
        <w:t>los contratos de prestación de servicios de apoyo a la gestión y los contratos de prestación de servicios artísticos que solo pueden encomendarse a determinadas personas naturales</w:t>
      </w:r>
      <w:r w:rsidRPr="1455B6A0">
        <w:rPr>
          <w:rFonts w:ascii="Verdana" w:eastAsia="Calibri" w:hAnsi="Verdana" w:cs="Arial"/>
          <w:color w:val="000000"/>
          <w:vertAlign w:val="superscript"/>
          <w:lang w:val="es-ES" w:eastAsia="es-ES"/>
        </w:rPr>
        <w:footnoteReference w:id="5"/>
      </w:r>
      <w:r w:rsidRPr="1455B6A0">
        <w:rPr>
          <w:rFonts w:ascii="Verdana" w:eastAsia="Calibri" w:hAnsi="Verdana" w:cs="Arial"/>
          <w:color w:val="000000"/>
          <w:lang w:val="es-ES" w:eastAsia="es-ES"/>
        </w:rPr>
        <w:t xml:space="preserve">. La diferencia entre el contrato de prestación de servicios </w:t>
      </w:r>
      <w:r w:rsidRPr="1455B6A0">
        <w:rPr>
          <w:rFonts w:ascii="Verdana" w:eastAsia="Calibri" w:hAnsi="Verdana" w:cs="Arial"/>
          <w:i/>
          <w:color w:val="000000"/>
          <w:lang w:val="es-ES" w:eastAsia="es-ES"/>
        </w:rPr>
        <w:t>profesionales</w:t>
      </w:r>
      <w:r w:rsidRPr="1455B6A0">
        <w:rPr>
          <w:rFonts w:ascii="Verdana" w:eastAsia="Calibri" w:hAnsi="Verdana" w:cs="Arial"/>
          <w:color w:val="000000"/>
          <w:lang w:val="es-ES" w:eastAsia="es-ES"/>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64485D54" w14:textId="77777777" w:rsidR="00FD6B24" w:rsidRPr="00162FB2" w:rsidRDefault="00FD6B24" w:rsidP="00FD6B24">
      <w:pPr>
        <w:spacing w:after="0" w:line="276" w:lineRule="auto"/>
        <w:ind w:firstLine="709"/>
        <w:jc w:val="both"/>
        <w:rPr>
          <w:rFonts w:ascii="Verdana" w:eastAsia="Calibri" w:hAnsi="Verdana" w:cs="Arial"/>
          <w:color w:val="000000"/>
          <w:lang w:val="es-ES_tradnl" w:eastAsia="es-ES_tradnl"/>
        </w:rPr>
      </w:pPr>
    </w:p>
    <w:p w14:paraId="47313ADA" w14:textId="77777777" w:rsidR="00FD6B24" w:rsidRPr="00162FB2" w:rsidRDefault="00FD6B24" w:rsidP="00FD6B24">
      <w:pPr>
        <w:spacing w:after="0" w:line="240" w:lineRule="auto"/>
        <w:ind w:left="709" w:right="709"/>
        <w:contextualSpacing/>
        <w:jc w:val="both"/>
        <w:rPr>
          <w:rFonts w:ascii="Verdana" w:eastAsia="Calibri" w:hAnsi="Verdana" w:cs="Arial"/>
          <w:color w:val="000000"/>
          <w:sz w:val="20"/>
          <w:szCs w:val="20"/>
          <w:lang w:val="es-ES_tradnl" w:eastAsia="es-ES_tradnl"/>
        </w:rPr>
      </w:pPr>
      <w:r w:rsidRPr="00162FB2">
        <w:rPr>
          <w:rFonts w:ascii="Verdana" w:eastAsia="Calibri" w:hAnsi="Verdana" w:cs="Arial"/>
          <w:color w:val="000000"/>
          <w:sz w:val="20"/>
          <w:szCs w:val="20"/>
          <w:lang w:val="es-ES_tradnl" w:eastAsia="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162FB2">
        <w:rPr>
          <w:rFonts w:ascii="Verdana" w:eastAsia="Calibri" w:hAnsi="Verdana" w:cs="Arial"/>
          <w:color w:val="000000"/>
          <w:sz w:val="20"/>
          <w:szCs w:val="20"/>
          <w:vertAlign w:val="superscript"/>
          <w:lang w:val="es-ES_tradnl" w:eastAsia="es-ES_tradnl"/>
        </w:rPr>
        <w:footnoteReference w:id="6"/>
      </w:r>
      <w:r w:rsidRPr="00162FB2">
        <w:rPr>
          <w:rFonts w:ascii="Verdana" w:eastAsia="Calibri" w:hAnsi="Verdana" w:cs="Arial"/>
          <w:color w:val="000000"/>
          <w:sz w:val="20"/>
          <w:szCs w:val="20"/>
          <w:lang w:val="es-ES_tradnl" w:eastAsia="es-ES_tradnl"/>
        </w:rPr>
        <w:t>.</w:t>
      </w:r>
    </w:p>
    <w:p w14:paraId="46ABA725" w14:textId="77777777" w:rsidR="00FD6B24" w:rsidRPr="00162FB2" w:rsidRDefault="00FD6B24" w:rsidP="00FD6B24">
      <w:pPr>
        <w:spacing w:after="0" w:line="276" w:lineRule="auto"/>
        <w:ind w:firstLine="709"/>
        <w:jc w:val="both"/>
        <w:rPr>
          <w:rFonts w:ascii="Verdana" w:eastAsia="Calibri" w:hAnsi="Verdana" w:cs="Arial"/>
          <w:color w:val="000000"/>
          <w:lang w:val="es-ES_tradnl" w:eastAsia="es-ES_tradnl"/>
        </w:rPr>
      </w:pPr>
    </w:p>
    <w:p w14:paraId="42380A23" w14:textId="77777777" w:rsidR="00FD6B24" w:rsidRPr="00162FB2" w:rsidRDefault="00FD6B24" w:rsidP="00FD6B24">
      <w:pPr>
        <w:spacing w:after="0" w:line="276" w:lineRule="auto"/>
        <w:ind w:firstLine="709"/>
        <w:jc w:val="both"/>
        <w:rPr>
          <w:rFonts w:ascii="Verdana" w:eastAsia="Calibri" w:hAnsi="Verdana" w:cs="Arial"/>
          <w:color w:val="000000"/>
          <w:lang w:val="es-ES_tradnl" w:eastAsia="es-ES_tradnl"/>
        </w:rPr>
      </w:pPr>
      <w:r w:rsidRPr="00162FB2">
        <w:rPr>
          <w:rFonts w:ascii="Verdana" w:eastAsia="Calibri" w:hAnsi="Verdana" w:cs="Arial"/>
          <w:color w:val="000000"/>
          <w:lang w:val="es-ES_tradnl" w:eastAsia="es-ES_tradnl"/>
        </w:rPr>
        <w:t>Objeto que, según la sentencia que se cita, se diferencia del objeto del contrato de prestación de servicios de apoyo a la gestión, porque en este:</w:t>
      </w:r>
    </w:p>
    <w:p w14:paraId="7AE9B66E" w14:textId="77777777" w:rsidR="00FD6B24" w:rsidRPr="00162FB2" w:rsidRDefault="00FD6B24" w:rsidP="00FD6B24">
      <w:pPr>
        <w:spacing w:after="0" w:line="276" w:lineRule="auto"/>
        <w:ind w:firstLine="709"/>
        <w:jc w:val="both"/>
        <w:rPr>
          <w:rFonts w:ascii="Verdana" w:eastAsia="Calibri" w:hAnsi="Verdana" w:cs="Arial"/>
          <w:color w:val="000000"/>
          <w:lang w:val="es-ES_tradnl" w:eastAsia="es-ES_tradnl"/>
        </w:rPr>
      </w:pPr>
    </w:p>
    <w:p w14:paraId="7308925E" w14:textId="77777777" w:rsidR="00FD6B24" w:rsidRPr="00162FB2" w:rsidRDefault="00FD6B24" w:rsidP="0DAAAAE4">
      <w:pPr>
        <w:spacing w:after="0" w:line="240" w:lineRule="auto"/>
        <w:ind w:left="709" w:right="709"/>
        <w:jc w:val="both"/>
        <w:rPr>
          <w:rFonts w:ascii="Verdana" w:eastAsia="Calibri" w:hAnsi="Verdana" w:cs="Arial"/>
          <w:color w:val="000000"/>
          <w:sz w:val="20"/>
          <w:szCs w:val="20"/>
          <w:lang w:val="es-ES" w:eastAsia="es-ES"/>
        </w:rPr>
      </w:pPr>
      <w:r w:rsidRPr="0DAAAAE4">
        <w:rPr>
          <w:rFonts w:ascii="Verdana" w:eastAsia="Calibri" w:hAnsi="Verdana" w:cs="Arial"/>
          <w:color w:val="000000" w:themeColor="text1"/>
          <w:sz w:val="20"/>
          <w:szCs w:val="20"/>
          <w:lang w:val="es-ES" w:eastAsia="es-ES"/>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2AE41C75" w14:textId="77777777" w:rsidR="00FD6B24" w:rsidRPr="00162FB2" w:rsidRDefault="00FD6B24" w:rsidP="0DAAAAE4">
      <w:pPr>
        <w:spacing w:after="0" w:line="240" w:lineRule="auto"/>
        <w:ind w:left="709" w:right="709"/>
        <w:jc w:val="both"/>
        <w:rPr>
          <w:rFonts w:ascii="Verdana" w:eastAsia="Calibri" w:hAnsi="Verdana" w:cs="Arial"/>
          <w:color w:val="000000"/>
          <w:sz w:val="20"/>
          <w:szCs w:val="20"/>
          <w:lang w:val="es-ES" w:eastAsia="es-ES"/>
        </w:rPr>
      </w:pPr>
    </w:p>
    <w:p w14:paraId="0C24752C" w14:textId="77777777" w:rsidR="00FD6B24" w:rsidRPr="00162FB2" w:rsidRDefault="00FD6B24" w:rsidP="0DAAAAE4">
      <w:pPr>
        <w:spacing w:after="0" w:line="240" w:lineRule="auto"/>
        <w:ind w:left="709" w:right="709"/>
        <w:jc w:val="both"/>
        <w:rPr>
          <w:rFonts w:ascii="Verdana" w:eastAsia="Calibri" w:hAnsi="Verdana" w:cs="Arial"/>
          <w:color w:val="000000"/>
          <w:sz w:val="20"/>
          <w:szCs w:val="20"/>
          <w:lang w:val="es-ES" w:eastAsia="es-ES"/>
        </w:rPr>
      </w:pPr>
      <w:r w:rsidRPr="1455B6A0">
        <w:rPr>
          <w:rFonts w:ascii="Verdana" w:eastAsia="Calibri" w:hAnsi="Verdana" w:cs="Arial"/>
          <w:color w:val="000000" w:themeColor="text1"/>
          <w:sz w:val="20"/>
          <w:szCs w:val="20"/>
          <w:lang w:val="es-ES" w:eastAsia="es-ES"/>
        </w:rPr>
        <w:t xml:space="preserve">Aunque también se caracteriza por el desempeño de actividad intelectiva, ésta </w:t>
      </w:r>
      <w:proofErr w:type="gramStart"/>
      <w:r w:rsidRPr="1455B6A0">
        <w:rPr>
          <w:rFonts w:ascii="Verdana" w:eastAsia="Calibri" w:hAnsi="Verdana" w:cs="Arial"/>
          <w:color w:val="000000" w:themeColor="text1"/>
          <w:sz w:val="20"/>
          <w:szCs w:val="20"/>
          <w:lang w:val="es-ES" w:eastAsia="es-ES"/>
        </w:rPr>
        <w:t>se enmarca dentro de</w:t>
      </w:r>
      <w:proofErr w:type="gramEnd"/>
      <w:r w:rsidRPr="1455B6A0">
        <w:rPr>
          <w:rFonts w:ascii="Verdana" w:eastAsia="Calibri" w:hAnsi="Verdana" w:cs="Arial"/>
          <w:color w:val="000000" w:themeColor="text1"/>
          <w:sz w:val="20"/>
          <w:szCs w:val="20"/>
          <w:lang w:val="es-ES" w:eastAsia="es-ES"/>
        </w:rPr>
        <w:t xml:space="preserve"> un saber propiamente técnico; igualmente </w:t>
      </w:r>
      <w:r w:rsidRPr="1455B6A0">
        <w:rPr>
          <w:rFonts w:ascii="Verdana" w:eastAsia="Calibri" w:hAnsi="Verdana" w:cs="Arial"/>
          <w:color w:val="000000" w:themeColor="text1"/>
          <w:sz w:val="20"/>
          <w:szCs w:val="20"/>
          <w:lang w:val="es-ES" w:eastAsia="es-ES"/>
        </w:rPr>
        <w:lastRenderedPageBreak/>
        <w:t>involucra actividades en donde prima el esfuerzo físico o mecánico, en donde no se requiere de personal profesional.</w:t>
      </w:r>
    </w:p>
    <w:p w14:paraId="6DAFC317" w14:textId="77777777" w:rsidR="00FD6B24" w:rsidRPr="00162FB2" w:rsidRDefault="00FD6B24" w:rsidP="0DAAAAE4">
      <w:pPr>
        <w:spacing w:after="0" w:line="240" w:lineRule="auto"/>
        <w:ind w:left="709" w:right="709"/>
        <w:jc w:val="both"/>
        <w:rPr>
          <w:rFonts w:ascii="Verdana" w:eastAsia="Calibri" w:hAnsi="Verdana" w:cs="Arial"/>
          <w:color w:val="000000"/>
          <w:sz w:val="20"/>
          <w:szCs w:val="20"/>
          <w:lang w:val="es-ES" w:eastAsia="es-ES"/>
        </w:rPr>
      </w:pPr>
    </w:p>
    <w:p w14:paraId="0ADC4CB5" w14:textId="77777777" w:rsidR="00FD6B24" w:rsidRPr="00162FB2" w:rsidRDefault="00FD6B24" w:rsidP="0DAAAAE4">
      <w:pPr>
        <w:spacing w:after="0" w:line="240" w:lineRule="auto"/>
        <w:ind w:left="709" w:right="709"/>
        <w:jc w:val="both"/>
        <w:rPr>
          <w:rFonts w:ascii="Verdana" w:eastAsia="Calibri" w:hAnsi="Verdana" w:cs="Arial"/>
          <w:color w:val="000000"/>
          <w:sz w:val="20"/>
          <w:szCs w:val="20"/>
          <w:lang w:val="es-ES" w:eastAsia="es-ES"/>
        </w:rPr>
      </w:pPr>
      <w:r w:rsidRPr="0DAAAAE4">
        <w:rPr>
          <w:rFonts w:ascii="Verdana" w:eastAsia="Calibri" w:hAnsi="Verdana" w:cs="Arial"/>
          <w:color w:val="000000"/>
          <w:sz w:val="20"/>
          <w:szCs w:val="20"/>
          <w:lang w:val="es-ES" w:eastAsia="es-ES"/>
        </w:rPr>
        <w:t>Dentro de su objeto contractual pueden tener lugar actividades operativas, logísticas o asistenciales, siempre que satisfaga los requisitos antes mencionados y sea acorde con las necesidades de la Administración y el principio de planeación”</w:t>
      </w:r>
      <w:r w:rsidRPr="0DAAAAE4">
        <w:rPr>
          <w:rFonts w:ascii="Verdana" w:eastAsia="Calibri" w:hAnsi="Verdana" w:cs="Arial"/>
          <w:color w:val="000000"/>
          <w:sz w:val="20"/>
          <w:szCs w:val="20"/>
          <w:vertAlign w:val="superscript"/>
          <w:lang w:val="es-ES" w:eastAsia="es-ES"/>
        </w:rPr>
        <w:footnoteReference w:id="7"/>
      </w:r>
      <w:r w:rsidRPr="0DAAAAE4">
        <w:rPr>
          <w:rFonts w:ascii="Verdana" w:eastAsia="Calibri" w:hAnsi="Verdana" w:cs="Arial"/>
          <w:color w:val="000000"/>
          <w:sz w:val="20"/>
          <w:szCs w:val="20"/>
          <w:lang w:val="es-ES" w:eastAsia="es-ES"/>
        </w:rPr>
        <w:t>.</w:t>
      </w:r>
    </w:p>
    <w:p w14:paraId="40777F44" w14:textId="77777777" w:rsidR="00FD6B24" w:rsidRPr="00162FB2" w:rsidRDefault="00FD6B24" w:rsidP="00FD6B24">
      <w:pPr>
        <w:spacing w:after="0" w:line="276" w:lineRule="auto"/>
        <w:ind w:firstLine="709"/>
        <w:jc w:val="both"/>
        <w:rPr>
          <w:rFonts w:ascii="Verdana" w:eastAsia="Calibri" w:hAnsi="Verdana" w:cs="Arial"/>
          <w:color w:val="000000"/>
          <w:lang w:val="es-ES_tradnl" w:eastAsia="es-ES_tradnl"/>
        </w:rPr>
      </w:pPr>
    </w:p>
    <w:p w14:paraId="435A206E" w14:textId="77777777" w:rsidR="00FD6B24" w:rsidRPr="00162FB2" w:rsidRDefault="00FD6B24" w:rsidP="00FD6B24">
      <w:pPr>
        <w:spacing w:after="0" w:line="276" w:lineRule="auto"/>
        <w:ind w:firstLine="709"/>
        <w:jc w:val="both"/>
        <w:rPr>
          <w:rFonts w:ascii="Verdana" w:eastAsia="Calibri" w:hAnsi="Verdana" w:cs="Arial"/>
          <w:color w:val="000000"/>
          <w:lang w:val="es-ES_tradnl" w:eastAsia="es-ES_tradnl"/>
        </w:rPr>
      </w:pPr>
      <w:r w:rsidRPr="00162FB2">
        <w:rPr>
          <w:rFonts w:ascii="Verdana" w:eastAsia="Calibri" w:hAnsi="Verdana" w:cs="Arial"/>
          <w:color w:val="000000"/>
          <w:lang w:val="es-ES_tradnl" w:eastAsia="es-ES_tradnl"/>
        </w:rPr>
        <w:t>En relación con el contrato de prestación de servicios artísticos que solo pueden encomendarse a determinadas personas naturales, señala el mencionado fallo que:</w:t>
      </w:r>
    </w:p>
    <w:p w14:paraId="739AF5CC" w14:textId="77777777" w:rsidR="00FD6B24" w:rsidRPr="00162FB2" w:rsidRDefault="00FD6B24" w:rsidP="00FD6B24">
      <w:pPr>
        <w:spacing w:after="0" w:line="276" w:lineRule="auto"/>
        <w:ind w:left="709" w:right="709"/>
        <w:jc w:val="both"/>
        <w:rPr>
          <w:rFonts w:ascii="Verdana" w:eastAsia="Calibri" w:hAnsi="Verdana" w:cs="Arial"/>
          <w:color w:val="000000"/>
          <w:lang w:val="es-ES_tradnl" w:eastAsia="es-ES_tradnl"/>
        </w:rPr>
      </w:pPr>
    </w:p>
    <w:p w14:paraId="1AD48B26" w14:textId="77777777" w:rsidR="00FD6B24" w:rsidRPr="00162FB2" w:rsidRDefault="00FD6B24" w:rsidP="0DAAAAE4">
      <w:pPr>
        <w:spacing w:after="0" w:line="240" w:lineRule="auto"/>
        <w:ind w:left="709" w:right="709"/>
        <w:jc w:val="both"/>
        <w:rPr>
          <w:rFonts w:ascii="Verdana" w:eastAsia="Calibri" w:hAnsi="Verdana" w:cs="Arial"/>
          <w:color w:val="000000"/>
          <w:sz w:val="20"/>
          <w:szCs w:val="20"/>
          <w:lang w:val="es-ES" w:eastAsia="es-ES"/>
        </w:rPr>
      </w:pPr>
      <w:r w:rsidRPr="0DAAAAE4">
        <w:rPr>
          <w:rFonts w:ascii="Verdana" w:eastAsia="Calibri" w:hAnsi="Verdana" w:cs="Arial"/>
          <w:color w:val="000000"/>
          <w:sz w:val="20"/>
          <w:szCs w:val="20"/>
          <w:lang w:val="es-ES" w:eastAsia="es-ES"/>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DAAAAE4">
        <w:rPr>
          <w:rFonts w:ascii="Verdana" w:eastAsia="Calibri" w:hAnsi="Verdana" w:cs="Arial"/>
          <w:color w:val="000000"/>
          <w:sz w:val="20"/>
          <w:szCs w:val="20"/>
          <w:vertAlign w:val="superscript"/>
          <w:lang w:val="es-ES" w:eastAsia="es-ES"/>
        </w:rPr>
        <w:footnoteReference w:id="8"/>
      </w:r>
      <w:r w:rsidRPr="0DAAAAE4">
        <w:rPr>
          <w:rFonts w:ascii="Verdana" w:eastAsia="Calibri" w:hAnsi="Verdana" w:cs="Arial"/>
          <w:color w:val="000000"/>
          <w:sz w:val="20"/>
          <w:szCs w:val="20"/>
          <w:lang w:val="es-ES" w:eastAsia="es-ES"/>
        </w:rPr>
        <w:t>.</w:t>
      </w:r>
    </w:p>
    <w:p w14:paraId="66EAE3FB" w14:textId="77777777" w:rsidR="00FD6B24" w:rsidRPr="00162FB2" w:rsidRDefault="00FD6B24" w:rsidP="00FD6B24">
      <w:pPr>
        <w:spacing w:after="0" w:line="276" w:lineRule="auto"/>
        <w:ind w:left="709" w:right="709"/>
        <w:contextualSpacing/>
        <w:jc w:val="both"/>
        <w:rPr>
          <w:rFonts w:ascii="Verdana" w:eastAsia="Calibri" w:hAnsi="Verdana" w:cs="Arial"/>
          <w:color w:val="000000"/>
          <w:lang w:val="es-ES_tradnl" w:eastAsia="es-ES_tradnl"/>
        </w:rPr>
      </w:pPr>
    </w:p>
    <w:p w14:paraId="5C38F058" w14:textId="428579D3" w:rsidR="00FD6B24" w:rsidRPr="00162FB2" w:rsidRDefault="00FD6B24" w:rsidP="00FD6B24">
      <w:pPr>
        <w:spacing w:after="120" w:line="276" w:lineRule="auto"/>
        <w:ind w:firstLine="709"/>
        <w:jc w:val="both"/>
        <w:rPr>
          <w:rFonts w:ascii="Verdana" w:eastAsia="Calibri" w:hAnsi="Verdana" w:cs="Arial"/>
          <w:color w:val="000000"/>
          <w:lang w:val="es-ES" w:eastAsia="es-ES"/>
        </w:rPr>
      </w:pPr>
      <w:r w:rsidRPr="1455B6A0">
        <w:rPr>
          <w:rFonts w:ascii="Verdana" w:eastAsia="Calibri" w:hAnsi="Verdana" w:cs="Arial"/>
          <w:color w:val="000000"/>
          <w:lang w:val="es-ES" w:eastAsia="es-ES"/>
        </w:rPr>
        <w:t>vi) Su celebración debe realizarse a través de la modalidad de contratación directa, independientemente de la cuantía y del tipo de servicio, siempre que este no ingrese dentro del objeto del contrato de consultoría</w:t>
      </w:r>
      <w:r w:rsidR="007826C4">
        <w:rPr>
          <w:rFonts w:ascii="Verdana" w:eastAsia="Calibri" w:hAnsi="Verdana" w:cs="Arial"/>
          <w:color w:val="000000"/>
          <w:lang w:val="es-ES" w:eastAsia="es-ES"/>
        </w:rPr>
        <w:t>. C</w:t>
      </w:r>
      <w:r w:rsidRPr="1455B6A0">
        <w:rPr>
          <w:rFonts w:ascii="Verdana" w:eastAsia="Calibri" w:hAnsi="Verdana" w:cs="Arial"/>
          <w:color w:val="000000"/>
          <w:lang w:val="es-ES" w:eastAsia="es-ES"/>
        </w:rPr>
        <w:t>omo lo indicó el Consejo de Estado</w:t>
      </w:r>
      <w:r w:rsidR="007826C4">
        <w:rPr>
          <w:rFonts w:ascii="Verdana" w:eastAsia="Calibri" w:hAnsi="Verdana" w:cs="Arial"/>
          <w:color w:val="000000"/>
          <w:lang w:val="es-ES" w:eastAsia="es-ES"/>
        </w:rPr>
        <w:t>,</w:t>
      </w:r>
      <w:r w:rsidRPr="1455B6A0">
        <w:rPr>
          <w:rFonts w:ascii="Verdana" w:eastAsia="Calibri" w:hAnsi="Verdana" w:cs="Arial"/>
          <w:color w:val="000000"/>
          <w:lang w:val="es-ES" w:eastAsia="es-ES"/>
        </w:rPr>
        <w:t xml:space="preserve"> en la sentencia de unificación jurisprudencial a la que se hizo referencia, si bien en ambos existe un componente intelectual intangible, el objeto del contrato de consultoría es especial y debe celebrarse, por regla general, precedido de un concurso de méritos</w:t>
      </w:r>
      <w:r w:rsidRPr="1455B6A0">
        <w:rPr>
          <w:rFonts w:ascii="Verdana" w:eastAsia="Calibri" w:hAnsi="Verdana" w:cs="Arial"/>
          <w:color w:val="000000"/>
          <w:vertAlign w:val="superscript"/>
          <w:lang w:val="es-ES" w:eastAsia="es-ES"/>
        </w:rPr>
        <w:footnoteReference w:id="9"/>
      </w:r>
      <w:r w:rsidRPr="1455B6A0">
        <w:rPr>
          <w:rFonts w:ascii="Verdana" w:eastAsia="Calibri" w:hAnsi="Verdana" w:cs="Arial"/>
          <w:color w:val="000000"/>
          <w:lang w:val="es-ES" w:eastAsia="es-ES"/>
        </w:rPr>
        <w:t xml:space="preserve">. Pero, tampoco puede suscribirse un contrato de prestación de servicios profesionales para que el contratista ejecute labores que </w:t>
      </w:r>
      <w:proofErr w:type="gramStart"/>
      <w:r w:rsidRPr="1455B6A0">
        <w:rPr>
          <w:rFonts w:ascii="Verdana" w:eastAsia="Calibri" w:hAnsi="Verdana" w:cs="Arial"/>
          <w:color w:val="000000"/>
          <w:lang w:val="es-ES" w:eastAsia="es-ES"/>
        </w:rPr>
        <w:t>se enmarcan dentro de</w:t>
      </w:r>
      <w:proofErr w:type="gramEnd"/>
      <w:r w:rsidRPr="1455B6A0">
        <w:rPr>
          <w:rFonts w:ascii="Verdana" w:eastAsia="Calibri" w:hAnsi="Verdana" w:cs="Arial"/>
          <w:color w:val="000000"/>
          <w:lang w:val="es-ES" w:eastAsia="es-ES"/>
        </w:rPr>
        <w:t xml:space="preserve"> los otros contratos tipificados en el </w:t>
      </w:r>
      <w:r w:rsidRPr="1455B6A0">
        <w:rPr>
          <w:rFonts w:ascii="Verdana" w:eastAsia="Calibri" w:hAnsi="Verdana" w:cs="Arial"/>
          <w:color w:val="000000"/>
          <w:lang w:val="es-ES" w:eastAsia="es-ES"/>
        </w:rPr>
        <w:lastRenderedPageBreak/>
        <w:t>artículo 32 de la Ley 80 de 1993, como, por ejemplo, para que el contratista de prestación de servicios construya una obra.</w:t>
      </w:r>
    </w:p>
    <w:p w14:paraId="0F6949D9" w14:textId="77777777" w:rsidR="00FD6B24" w:rsidRPr="00162FB2" w:rsidRDefault="00FD6B24" w:rsidP="00FD6B24">
      <w:pPr>
        <w:spacing w:after="120" w:line="276" w:lineRule="auto"/>
        <w:ind w:firstLine="709"/>
        <w:jc w:val="both"/>
        <w:rPr>
          <w:rFonts w:ascii="Verdana" w:eastAsia="Calibri" w:hAnsi="Verdana" w:cs="Arial"/>
          <w:color w:val="000000"/>
          <w:lang w:val="es-ES" w:eastAsia="es-ES"/>
        </w:rPr>
      </w:pPr>
      <w:proofErr w:type="spellStart"/>
      <w:r w:rsidRPr="1455B6A0">
        <w:rPr>
          <w:rFonts w:ascii="Verdana" w:eastAsia="Calibri" w:hAnsi="Verdana" w:cs="Arial"/>
          <w:color w:val="000000"/>
          <w:lang w:val="es-ES" w:eastAsia="es-ES"/>
        </w:rPr>
        <w:t>vii</w:t>
      </w:r>
      <w:proofErr w:type="spellEnd"/>
      <w:r w:rsidRPr="1455B6A0">
        <w:rPr>
          <w:rFonts w:ascii="Verdana" w:eastAsia="Calibri" w:hAnsi="Verdana" w:cs="Arial"/>
          <w:color w:val="000000"/>
          <w:lang w:val="es-ES" w:eastAsia="es-ES"/>
        </w:rPr>
        <w:t>) Para su celebración no se requiere en algunos casos la expedición del acto administrativo de justificación de la contratación directa</w:t>
      </w:r>
      <w:r w:rsidRPr="1455B6A0">
        <w:rPr>
          <w:rFonts w:ascii="Verdana" w:eastAsia="Calibri" w:hAnsi="Verdana" w:cs="Arial"/>
          <w:color w:val="000000"/>
          <w:vertAlign w:val="superscript"/>
          <w:lang w:val="es-ES" w:eastAsia="es-ES"/>
        </w:rPr>
        <w:footnoteReference w:id="10"/>
      </w:r>
      <w:r w:rsidRPr="1455B6A0">
        <w:rPr>
          <w:rFonts w:ascii="Verdana" w:eastAsia="Calibri" w:hAnsi="Verdana" w:cs="Arial"/>
          <w:color w:val="000000"/>
          <w:lang w:val="es-ES" w:eastAsia="es-ES"/>
        </w:rPr>
        <w:t xml:space="preserve">. </w:t>
      </w:r>
    </w:p>
    <w:p w14:paraId="5542B032" w14:textId="77777777" w:rsidR="00FD6B24" w:rsidRPr="00162FB2" w:rsidRDefault="00FD6B24" w:rsidP="00FD6B24">
      <w:pPr>
        <w:spacing w:after="120" w:line="276" w:lineRule="auto"/>
        <w:ind w:firstLine="709"/>
        <w:jc w:val="both"/>
        <w:rPr>
          <w:rFonts w:ascii="Verdana" w:eastAsia="Calibri" w:hAnsi="Verdana" w:cs="Arial"/>
          <w:color w:val="000000"/>
          <w:lang w:val="es-ES" w:eastAsia="es-ES"/>
        </w:rPr>
      </w:pPr>
      <w:proofErr w:type="spellStart"/>
      <w:r w:rsidRPr="1455B6A0">
        <w:rPr>
          <w:rFonts w:ascii="Verdana" w:eastAsia="Calibri" w:hAnsi="Verdana" w:cs="Arial"/>
          <w:color w:val="000000"/>
          <w:lang w:val="es-ES" w:eastAsia="es-ES"/>
        </w:rPr>
        <w:t>viii</w:t>
      </w:r>
      <w:proofErr w:type="spellEnd"/>
      <w:r w:rsidRPr="1455B6A0">
        <w:rPr>
          <w:rFonts w:ascii="Verdana" w:eastAsia="Calibri" w:hAnsi="Verdana" w:cs="Arial"/>
          <w:color w:val="000000"/>
          <w:lang w:val="es-ES" w:eastAsia="es-ES"/>
        </w:rPr>
        <w:t>)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1455B6A0">
        <w:rPr>
          <w:rFonts w:ascii="Verdana" w:eastAsia="Calibri" w:hAnsi="Verdana" w:cs="Arial"/>
          <w:color w:val="000000"/>
          <w:vertAlign w:val="superscript"/>
          <w:lang w:val="es-ES" w:eastAsia="es-ES"/>
        </w:rPr>
        <w:footnoteReference w:id="11"/>
      </w:r>
      <w:r w:rsidRPr="1455B6A0">
        <w:rPr>
          <w:rFonts w:ascii="Verdana" w:eastAsia="Calibri" w:hAnsi="Verdana" w:cs="Arial"/>
          <w:color w:val="000000"/>
          <w:lang w:val="es-ES" w:eastAsia="es-ES"/>
        </w:rPr>
        <w:t>.</w:t>
      </w:r>
    </w:p>
    <w:p w14:paraId="7A6E4800" w14:textId="77777777" w:rsidR="00FD6B24" w:rsidRPr="00162FB2" w:rsidRDefault="00FD6B24" w:rsidP="00FD6B24">
      <w:pPr>
        <w:spacing w:after="120" w:line="276" w:lineRule="auto"/>
        <w:ind w:firstLine="709"/>
        <w:jc w:val="both"/>
        <w:rPr>
          <w:rFonts w:ascii="Verdana" w:eastAsia="Calibri" w:hAnsi="Verdana" w:cs="Arial"/>
          <w:color w:val="000000"/>
          <w:lang w:val="es-ES" w:eastAsia="es-ES"/>
        </w:rPr>
      </w:pPr>
      <w:proofErr w:type="spellStart"/>
      <w:r w:rsidRPr="1455B6A0">
        <w:rPr>
          <w:rFonts w:ascii="Verdana" w:eastAsia="Calibri" w:hAnsi="Verdana" w:cs="Arial"/>
          <w:color w:val="000000"/>
          <w:lang w:val="es-ES" w:eastAsia="es-ES"/>
        </w:rPr>
        <w:t>ix</w:t>
      </w:r>
      <w:proofErr w:type="spellEnd"/>
      <w:r w:rsidRPr="1455B6A0">
        <w:rPr>
          <w:rFonts w:ascii="Verdana" w:eastAsia="Calibri" w:hAnsi="Verdana" w:cs="Arial"/>
          <w:color w:val="000000"/>
          <w:lang w:val="es-ES" w:eastAsia="es-ES"/>
        </w:rPr>
        <w:t>) En algunos casos no es obligatoria la liquidación, pues así lo estableció el artículo 217 del Decreto 019 de 2012, que modificó el artículo 60 de la Ley 80 de 1993</w:t>
      </w:r>
      <w:r w:rsidRPr="1455B6A0">
        <w:rPr>
          <w:rFonts w:ascii="Verdana" w:eastAsia="Calibri" w:hAnsi="Verdana" w:cs="Arial"/>
          <w:color w:val="000000"/>
          <w:vertAlign w:val="superscript"/>
          <w:lang w:val="es-ES" w:eastAsia="es-ES"/>
        </w:rPr>
        <w:footnoteReference w:id="12"/>
      </w:r>
      <w:r w:rsidRPr="1455B6A0">
        <w:rPr>
          <w:rFonts w:ascii="Verdana" w:eastAsia="Calibri" w:hAnsi="Verdana" w:cs="Arial"/>
          <w:color w:val="000000"/>
          <w:lang w:val="es-ES" w:eastAsia="es-ES"/>
        </w:rPr>
        <w:t>, refiriéndose a los contratos de prestación de servicios profesionales y de apoyo a la gestión.</w:t>
      </w:r>
    </w:p>
    <w:p w14:paraId="73CD2008" w14:textId="77777777" w:rsidR="00FD6B24" w:rsidRPr="00162FB2" w:rsidRDefault="00FD6B24" w:rsidP="00FD6B24">
      <w:pPr>
        <w:spacing w:after="120" w:line="276" w:lineRule="auto"/>
        <w:ind w:firstLine="709"/>
        <w:jc w:val="both"/>
        <w:rPr>
          <w:rFonts w:ascii="Verdana" w:eastAsia="Calibri" w:hAnsi="Verdana" w:cs="Arial"/>
          <w:color w:val="000000"/>
          <w:lang w:val="es-ES_tradnl" w:eastAsia="es-ES_tradnl"/>
        </w:rPr>
      </w:pPr>
      <w:r w:rsidRPr="00162FB2">
        <w:rPr>
          <w:rFonts w:ascii="Verdana" w:eastAsia="Calibri" w:hAnsi="Verdana" w:cs="Arial"/>
          <w:color w:val="000000"/>
          <w:lang w:val="es-ES_tradnl" w:eastAsia="es-ES_tradnl"/>
        </w:rPr>
        <w:t>x) Para su celebración no se requiere inscripción en el Registro Único de Proponentes (RUP), según lo prevé el artículo 6 de la Ley 1150 de 2007</w:t>
      </w:r>
      <w:r w:rsidRPr="00162FB2">
        <w:rPr>
          <w:rFonts w:ascii="Verdana" w:eastAsia="Calibri" w:hAnsi="Verdana" w:cs="Arial"/>
          <w:color w:val="000000"/>
          <w:vertAlign w:val="superscript"/>
          <w:lang w:val="es-ES_tradnl" w:eastAsia="es-ES_tradnl"/>
        </w:rPr>
        <w:footnoteReference w:id="13"/>
      </w:r>
      <w:r w:rsidRPr="00162FB2">
        <w:rPr>
          <w:rFonts w:ascii="Verdana" w:eastAsia="Calibri" w:hAnsi="Verdana" w:cs="Arial"/>
          <w:color w:val="000000"/>
          <w:lang w:val="es-ES_tradnl" w:eastAsia="es-ES_tradnl"/>
        </w:rPr>
        <w:t>.</w:t>
      </w:r>
    </w:p>
    <w:p w14:paraId="1F52D2D0" w14:textId="77777777" w:rsidR="00FD6B24" w:rsidRPr="00162FB2" w:rsidRDefault="00FD6B24" w:rsidP="0DAAAAE4">
      <w:pPr>
        <w:spacing w:after="0" w:line="276" w:lineRule="auto"/>
        <w:ind w:firstLine="709"/>
        <w:jc w:val="both"/>
        <w:rPr>
          <w:rFonts w:ascii="Verdana" w:eastAsia="Calibri" w:hAnsi="Verdana" w:cs="Arial"/>
          <w:color w:val="000000"/>
          <w:lang w:val="es-ES" w:eastAsia="es-ES"/>
        </w:rPr>
      </w:pPr>
      <w:r w:rsidRPr="0DAAAAE4">
        <w:rPr>
          <w:rFonts w:ascii="Verdana" w:eastAsia="Calibri" w:hAnsi="Verdana" w:cs="Arial"/>
          <w:color w:val="000000"/>
          <w:lang w:val="es-ES" w:eastAsia="es-ES"/>
        </w:rPr>
        <w:lastRenderedPageBreak/>
        <w:t>xi) En ellos no son necesarias las garantías</w:t>
      </w:r>
      <w:r w:rsidRPr="0DAAAAE4">
        <w:rPr>
          <w:rFonts w:ascii="Verdana" w:eastAsia="Calibri" w:hAnsi="Verdana" w:cs="Arial"/>
          <w:color w:val="000000"/>
          <w:vertAlign w:val="superscript"/>
          <w:lang w:val="es-ES" w:eastAsia="es-ES"/>
        </w:rPr>
        <w:footnoteReference w:id="14"/>
      </w:r>
      <w:r w:rsidRPr="0DAAAAE4">
        <w:rPr>
          <w:rFonts w:ascii="Verdana" w:eastAsia="Calibri" w:hAnsi="Verdana" w:cs="Arial"/>
          <w:color w:val="000000"/>
          <w:lang w:val="es-ES" w:eastAsia="es-ES"/>
        </w:rPr>
        <w:t>.</w:t>
      </w:r>
    </w:p>
    <w:p w14:paraId="08FFEF4A" w14:textId="77777777" w:rsidR="009803EE" w:rsidRDefault="009803EE" w:rsidP="0DAAAAE4">
      <w:pPr>
        <w:spacing w:after="0" w:line="276" w:lineRule="auto"/>
        <w:jc w:val="both"/>
        <w:rPr>
          <w:rFonts w:ascii="Verdana" w:eastAsia="Calibri" w:hAnsi="Verdana" w:cs="Arial"/>
          <w:color w:val="000000"/>
          <w:lang w:val="es-ES" w:eastAsia="es-ES"/>
        </w:rPr>
      </w:pPr>
    </w:p>
    <w:p w14:paraId="15809BC8" w14:textId="77777777" w:rsidR="008E4D63" w:rsidRDefault="00AB1261" w:rsidP="009803EE">
      <w:pPr>
        <w:spacing w:after="120" w:line="276" w:lineRule="auto"/>
        <w:jc w:val="both"/>
        <w:rPr>
          <w:rFonts w:ascii="Verdana" w:eastAsia="Times New Roman" w:hAnsi="Verdana" w:cs="Arial"/>
          <w:lang w:eastAsia="es-CO"/>
        </w:rPr>
      </w:pPr>
      <w:proofErr w:type="spellStart"/>
      <w:r w:rsidRPr="0DAAAAE4">
        <w:rPr>
          <w:rFonts w:ascii="Verdana" w:eastAsia="Calibri" w:hAnsi="Verdana" w:cs="Arial"/>
          <w:color w:val="000000"/>
          <w:lang w:val="es-ES" w:eastAsia="es-ES"/>
        </w:rPr>
        <w:t>ii</w:t>
      </w:r>
      <w:proofErr w:type="spellEnd"/>
      <w:r w:rsidRPr="0DAAAAE4">
        <w:rPr>
          <w:rFonts w:ascii="Verdana" w:eastAsia="Calibri" w:hAnsi="Verdana" w:cs="Arial"/>
          <w:color w:val="000000"/>
          <w:lang w:val="es-ES" w:eastAsia="es-ES"/>
        </w:rPr>
        <w:t xml:space="preserve">) </w:t>
      </w:r>
      <w:r w:rsidR="00FD6B24" w:rsidRPr="0DAAAAE4">
        <w:rPr>
          <w:rFonts w:ascii="Verdana" w:eastAsia="Calibri" w:hAnsi="Verdana" w:cs="Arial"/>
          <w:color w:val="000000"/>
          <w:lang w:val="es-ES" w:eastAsia="es-ES"/>
        </w:rPr>
        <w:t xml:space="preserve">Ahora bien, teniendo en cuenta la pregunta planteada, es importante indicar que, </w:t>
      </w:r>
      <w:r w:rsidR="00FD6B24" w:rsidRPr="0DAAAAE4">
        <w:rPr>
          <w:rFonts w:ascii="Verdana" w:eastAsia="Yu Gothic UI Semibold" w:hAnsi="Verdana" w:cs="Arial"/>
          <w:color w:val="000000"/>
          <w:lang w:val="es-ES" w:eastAsia="es-ES"/>
        </w:rPr>
        <w:t xml:space="preserve">en materia de contratación estatal, la capacidad jurídica también configura </w:t>
      </w:r>
      <w:r w:rsidR="00FD6B24" w:rsidRPr="00162FB2">
        <w:rPr>
          <w:rFonts w:ascii="Verdana" w:eastAsia="Times New Roman" w:hAnsi="Verdana" w:cs="Arial"/>
          <w:lang w:eastAsia="es-CO"/>
        </w:rPr>
        <w:t>un requisito de validez de los contratos, tanto en el régimen de las entidades sujetas al EGCAP</w:t>
      </w:r>
      <w:r w:rsidR="00FD6B24" w:rsidRPr="00162FB2">
        <w:rPr>
          <w:rFonts w:ascii="Verdana" w:eastAsia="Times New Roman" w:hAnsi="Verdana" w:cs="Arial"/>
          <w:vertAlign w:val="superscript"/>
          <w:lang w:eastAsia="es-CO"/>
        </w:rPr>
        <w:footnoteReference w:id="15"/>
      </w:r>
      <w:r w:rsidR="00FD6B24" w:rsidRPr="00162FB2">
        <w:rPr>
          <w:rFonts w:ascii="Verdana" w:eastAsia="Times New Roman" w:hAnsi="Verdana" w:cs="Arial"/>
          <w:lang w:eastAsia="es-CO"/>
        </w:rPr>
        <w:t xml:space="preserve"> como en el de las entidades exceptuadas de aquel</w:t>
      </w:r>
      <w:r w:rsidR="00FD6B24" w:rsidRPr="00162FB2">
        <w:rPr>
          <w:rFonts w:ascii="Verdana" w:eastAsia="Times New Roman" w:hAnsi="Verdana" w:cs="Arial"/>
          <w:vertAlign w:val="superscript"/>
          <w:lang w:eastAsia="es-CO"/>
        </w:rPr>
        <w:footnoteReference w:id="16"/>
      </w:r>
      <w:r w:rsidR="00FD6B24" w:rsidRPr="00162FB2">
        <w:rPr>
          <w:rFonts w:ascii="Verdana" w:eastAsia="Times New Roman" w:hAnsi="Verdana" w:cs="Arial"/>
          <w:lang w:eastAsia="es-CO"/>
        </w:rPr>
        <w:t>. Si bien la regulación de la capacidad se integra por varias disposiciones y exigencias especiales – como el requisito de inscribirse, por regla general, en el RUP-, se destaca también el régimen de inhabilidades e incompatibilidades</w:t>
      </w:r>
      <w:r w:rsidR="008E4D63">
        <w:rPr>
          <w:rFonts w:ascii="Verdana" w:eastAsia="Times New Roman" w:hAnsi="Verdana" w:cs="Arial"/>
          <w:lang w:eastAsia="es-CO"/>
        </w:rPr>
        <w:t>,</w:t>
      </w:r>
      <w:r w:rsidR="00FD6B24" w:rsidRPr="00162FB2">
        <w:rPr>
          <w:rFonts w:ascii="Verdana" w:eastAsia="Times New Roman" w:hAnsi="Verdana" w:cs="Arial"/>
          <w:lang w:eastAsia="es-CO"/>
        </w:rPr>
        <w:t xml:space="preserve"> como un conjunto de enunciados normativos que imponen restricciones para los sujetos que, eventualmente, pretendan participar en los procedimientos de selección o celebrar contratos con las Entidades Estatales. </w:t>
      </w:r>
    </w:p>
    <w:p w14:paraId="476E2B70" w14:textId="40F86D29" w:rsidR="00FD6B24" w:rsidRPr="006B401F" w:rsidRDefault="00FD6B24" w:rsidP="0DAAAAE4">
      <w:pPr>
        <w:spacing w:after="120" w:line="276" w:lineRule="auto"/>
        <w:ind w:firstLine="708"/>
        <w:jc w:val="both"/>
        <w:rPr>
          <w:rFonts w:ascii="Verdana" w:eastAsia="Times New Roman" w:hAnsi="Verdana" w:cs="Arial"/>
          <w:lang w:eastAsia="es-CO"/>
        </w:rPr>
      </w:pPr>
      <w:r w:rsidRPr="00162FB2">
        <w:rPr>
          <w:rFonts w:ascii="Verdana" w:eastAsia="Times New Roman" w:hAnsi="Verdana" w:cs="Arial"/>
          <w:lang w:eastAsia="es-CO"/>
        </w:rPr>
        <w:t>Este régimen de inhabilidades e incompatibilidades aplica, incluso en el marco de los contratos no sometidos a la Ley 80 de 1993, en los términos del artículo 13 de la Ley 1150 de 2007, como respuesta, si se quiere, a la tendencia de asegurar que la provisión de los bienes y servicios por parte de las Entidades Estatales se efectúe cumpliendo con los principios de la función administrativa y de la gestión fiscal, especialmente con probidad y transparencia.</w:t>
      </w:r>
    </w:p>
    <w:p w14:paraId="6885322A" w14:textId="77777777" w:rsidR="00FD6B24" w:rsidRPr="00162FB2" w:rsidRDefault="00FD6B24" w:rsidP="00FD6B24">
      <w:pPr>
        <w:spacing w:after="120" w:line="276" w:lineRule="auto"/>
        <w:ind w:firstLine="708"/>
        <w:jc w:val="both"/>
        <w:rPr>
          <w:rFonts w:ascii="Verdana" w:eastAsia="Times New Roman" w:hAnsi="Verdana" w:cs="Arial"/>
          <w:lang w:eastAsia="es-CO"/>
        </w:rPr>
      </w:pPr>
      <w:r w:rsidRPr="00162FB2">
        <w:rPr>
          <w:rFonts w:ascii="Verdana" w:eastAsia="Times New Roman" w:hAnsi="Verdana" w:cs="Arial"/>
          <w:lang w:eastAsia="es-CO"/>
        </w:rPr>
        <w:t xml:space="preserve">En definitiva, las inhabilidades e incompatibilidades constituyen restricciones o límites especiales a la capacidad para presentar ofertas y celebrar </w:t>
      </w:r>
      <w:r w:rsidRPr="00162FB2">
        <w:rPr>
          <w:rFonts w:ascii="Verdana" w:eastAsia="Times New Roman" w:hAnsi="Verdana" w:cs="Arial"/>
          <w:lang w:eastAsia="es-CO"/>
        </w:rPr>
        <w:lastRenderedPageBreak/>
        <w:t>contratos estatales, las cuales están tipificadas en la ley, es decir, que deben satisfacer el principio de legalidad.</w:t>
      </w:r>
    </w:p>
    <w:p w14:paraId="58E2643A" w14:textId="77777777" w:rsidR="00FD6B24" w:rsidRPr="00162FB2" w:rsidRDefault="00FD6B24" w:rsidP="00FD6B24">
      <w:pPr>
        <w:spacing w:after="120" w:line="276" w:lineRule="auto"/>
        <w:ind w:firstLine="708"/>
        <w:jc w:val="both"/>
        <w:rPr>
          <w:rFonts w:ascii="Verdana" w:eastAsia="Times New Roman" w:hAnsi="Verdana" w:cs="Arial"/>
          <w:lang w:eastAsia="es-CO"/>
        </w:rPr>
      </w:pPr>
      <w:r w:rsidRPr="00162FB2">
        <w:rPr>
          <w:rFonts w:ascii="Verdana" w:eastAsia="Times New Roman" w:hAnsi="Verdana" w:cs="Arial"/>
          <w:lang w:eastAsia="es-CO"/>
        </w:rPr>
        <w:t xml:space="preserve">Hecha esta claridad, cabe señalar que </w:t>
      </w:r>
      <w:bookmarkStart w:id="2" w:name="_Hlk134189783"/>
      <w:r w:rsidRPr="00162FB2">
        <w:rPr>
          <w:rFonts w:ascii="Verdana" w:eastAsia="Times New Roman" w:hAnsi="Verdana" w:cs="Arial"/>
          <w:lang w:eastAsia="es-CO"/>
        </w:rPr>
        <w:t>no existe inhabilidad, incompatibilidad o prohibición alguna de otra naturaleza para que una persona celebre un contrato de prestación de servicios con una Entidad Estatal y de forma simultánea tenga una relación laboral con una persona jurídica de derecho privado. Ello, por cuanto, como ya se señaló, las inhabilidades e incompatibilidades, al ser limitaciones a la capacidad contractual que afectan derechos como la libre concurrencia o la libertad de ejercicio de la profesión u oficio, es decir, al ser enunciados normativos gravosos, deben interpretarse de forma restrictiva. Esto supone que su aplicación no admite una interpretación amplia, extensiva o analógica.</w:t>
      </w:r>
    </w:p>
    <w:bookmarkEnd w:id="2"/>
    <w:p w14:paraId="002BDF4A" w14:textId="77777777" w:rsidR="00FD6B24" w:rsidRPr="00162FB2" w:rsidRDefault="00FD6B24" w:rsidP="00FD6B24">
      <w:pPr>
        <w:spacing w:after="120" w:line="276" w:lineRule="auto"/>
        <w:ind w:firstLine="708"/>
        <w:jc w:val="both"/>
        <w:rPr>
          <w:rFonts w:ascii="Verdana" w:eastAsia="Times New Roman" w:hAnsi="Verdana" w:cs="Arial"/>
          <w:lang w:eastAsia="es-ES_tradnl"/>
        </w:rPr>
      </w:pPr>
      <w:r w:rsidRPr="00162FB2">
        <w:rPr>
          <w:rFonts w:ascii="Verdana" w:eastAsia="Times New Roman" w:hAnsi="Verdana" w:cs="Arial"/>
          <w:lang w:eastAsia="es-CO"/>
        </w:rPr>
        <w:t xml:space="preserve">Precisamente, </w:t>
      </w:r>
      <w:bookmarkStart w:id="3" w:name="_Hlk141120039"/>
      <w:r w:rsidRPr="00162FB2">
        <w:rPr>
          <w:rFonts w:ascii="Verdana" w:eastAsia="Times New Roman" w:hAnsi="Verdana" w:cs="Arial"/>
          <w:lang w:eastAsia="es-CO"/>
        </w:rPr>
        <w:t>revisadas las causales previstas en la Carta Política de 1991, así como en el artículo 8º de la Ley 80 de 1993 y en otras disposiciones complementarias, no se evidencia la existencia de una prohibición para que una misma persona natural preste sus servicios a una Entidad Estatal y a una empresa privada, a través de contratos distintos y concomitantes o simultáneos – uno de carácter estatal y el otro laboral, respectivamente –.</w:t>
      </w:r>
      <w:bookmarkEnd w:id="3"/>
    </w:p>
    <w:p w14:paraId="2E21C1AC" w14:textId="2E2EBF68" w:rsidR="00FD6B24" w:rsidRPr="00162FB2" w:rsidRDefault="00FD6B24" w:rsidP="00FD6B24">
      <w:pPr>
        <w:spacing w:after="120" w:line="276" w:lineRule="auto"/>
        <w:ind w:firstLine="708"/>
        <w:jc w:val="both"/>
        <w:rPr>
          <w:rFonts w:ascii="Verdana" w:eastAsia="Times New Roman" w:hAnsi="Verdana" w:cs="Arial"/>
          <w:lang w:eastAsia="es-CO"/>
        </w:rPr>
      </w:pPr>
      <w:r w:rsidRPr="00162FB2">
        <w:rPr>
          <w:rFonts w:ascii="Verdana" w:eastAsia="Times New Roman" w:hAnsi="Verdana" w:cs="Arial"/>
          <w:lang w:eastAsia="es-CO"/>
        </w:rPr>
        <w:t>Sin embargo, el hecho de que no haya una causal de inhabilidad o de incompatibilidad no significa que siempre se pueda celebrar el contrato de prestación de servicios, en la medida que para que ello sea viable, deben cumplirse los requisitos a los que se hizo referencia en este concepto</w:t>
      </w:r>
      <w:r w:rsidR="004E68C7" w:rsidRPr="0DAAAAE4">
        <w:rPr>
          <w:rFonts w:ascii="Verdana" w:eastAsia="Times New Roman" w:hAnsi="Verdana" w:cs="Arial"/>
          <w:lang w:eastAsia="es-CO"/>
        </w:rPr>
        <w:t>. Al respecto</w:t>
      </w:r>
      <w:r w:rsidRPr="0DAAAAE4">
        <w:rPr>
          <w:rFonts w:ascii="Verdana" w:eastAsia="Times New Roman" w:hAnsi="Verdana" w:cs="Arial"/>
          <w:lang w:eastAsia="es-CO"/>
        </w:rPr>
        <w:t>,</w:t>
      </w:r>
      <w:r w:rsidRPr="00162FB2">
        <w:rPr>
          <w:rFonts w:ascii="Verdana" w:eastAsia="Times New Roman" w:hAnsi="Verdana" w:cs="Arial"/>
          <w:lang w:eastAsia="es-CO"/>
        </w:rPr>
        <w:t xml:space="preserve"> se recuerda que la celebración del contrato de prestación de servicios con una persona natural es de carácter excepcional, en tanto sólo es admisible cuando las “actividades no puedan realizarse con personal de planta o requieran conocimientos especializados”, lo cual debe justificarse satisfactoriamente en los Estudios Previos. Adicionalmente, el respectivo contrato debe ser temporal y no puede servir para la creación de nóminas paralelas. </w:t>
      </w:r>
    </w:p>
    <w:p w14:paraId="600FA845" w14:textId="77777777" w:rsidR="00FD6B24" w:rsidRPr="00162FB2" w:rsidRDefault="00FD6B24" w:rsidP="00FD6B24">
      <w:pPr>
        <w:spacing w:after="120" w:line="276" w:lineRule="auto"/>
        <w:ind w:firstLine="708"/>
        <w:jc w:val="both"/>
        <w:rPr>
          <w:rFonts w:ascii="Verdana" w:eastAsia="Times New Roman" w:hAnsi="Verdana" w:cs="Arial"/>
          <w:lang w:eastAsia="es-CO"/>
        </w:rPr>
      </w:pPr>
      <w:r w:rsidRPr="00162FB2">
        <w:rPr>
          <w:rFonts w:ascii="Verdana" w:eastAsia="Times New Roman" w:hAnsi="Verdana" w:cs="Arial"/>
          <w:lang w:eastAsia="es-CO"/>
        </w:rPr>
        <w:t xml:space="preserve">Por otro lado, las Entidades Estatales deben ser diligentes en el análisis de las condiciones de ejecución del contrato de prestación de servicios, evaluando la complejidad y el alcance de las labores encomendadas al contratista, pues solo de esta manera pueden determinar razonablemente si el mismo contratista tiene la capacidad, no solo jurídica sino también técnica y económica, para mantener una relación laboral al tiempo que se ejecuta el contrato estatal. Si tales factores no se tienen en cuenta, existe el riesgo de que </w:t>
      </w:r>
      <w:r w:rsidRPr="00162FB2">
        <w:rPr>
          <w:rFonts w:ascii="Verdana" w:eastAsia="Times New Roman" w:hAnsi="Verdana" w:cs="Arial"/>
          <w:lang w:eastAsia="es-CO"/>
        </w:rPr>
        <w:lastRenderedPageBreak/>
        <w:t>el contratista termine incumpliendo sus obligaciones, por la sobrecarga de actividades.</w:t>
      </w:r>
    </w:p>
    <w:p w14:paraId="53B73D8D" w14:textId="77777777" w:rsidR="00FD6B24" w:rsidRPr="00162FB2" w:rsidRDefault="00FD6B24" w:rsidP="0DAAAAE4">
      <w:pPr>
        <w:widowControl w:val="0"/>
        <w:autoSpaceDE w:val="0"/>
        <w:autoSpaceDN w:val="0"/>
        <w:spacing w:after="0" w:line="276" w:lineRule="auto"/>
        <w:ind w:firstLine="708"/>
        <w:jc w:val="both"/>
        <w:rPr>
          <w:rFonts w:ascii="Verdana" w:eastAsia="Times New Roman" w:hAnsi="Verdana" w:cs="Arial"/>
          <w:lang w:eastAsia="es-CO"/>
        </w:rPr>
      </w:pPr>
      <w:r w:rsidRPr="00162FB2">
        <w:rPr>
          <w:rFonts w:ascii="Verdana" w:eastAsia="Times New Roman" w:hAnsi="Verdana" w:cs="Arial"/>
          <w:lang w:eastAsia="es-CO"/>
        </w:rPr>
        <w:t>Finalmente, resulta importante verificar que dentro del contrato de trabajo que rige la relación laboral no se haya pactado la cláusula de exclusividad o se haya incorporado un acuerdo que le impida al futuro contratista suscribir un contrato de prestación de servicios con una Entidad Estatal.</w:t>
      </w:r>
    </w:p>
    <w:p w14:paraId="37C125F0" w14:textId="77777777" w:rsidR="00FD6B24" w:rsidRPr="00FE5A24" w:rsidRDefault="00FD6B24" w:rsidP="00FD6B24">
      <w:pPr>
        <w:widowControl w:val="0"/>
        <w:autoSpaceDE w:val="0"/>
        <w:autoSpaceDN w:val="0"/>
        <w:spacing w:after="0" w:line="276" w:lineRule="auto"/>
        <w:jc w:val="both"/>
        <w:rPr>
          <w:rFonts w:ascii="Verdana" w:eastAsia="Calibri" w:hAnsi="Verdana" w:cs="Arial"/>
          <w:color w:val="000000" w:themeColor="text1"/>
        </w:rPr>
      </w:pPr>
    </w:p>
    <w:p w14:paraId="07D92841" w14:textId="77777777" w:rsidR="00FD6B24" w:rsidRPr="006B401F" w:rsidRDefault="00FD6B24" w:rsidP="0DAAAAE4">
      <w:pPr>
        <w:pStyle w:val="Prrafodelista"/>
        <w:numPr>
          <w:ilvl w:val="0"/>
          <w:numId w:val="18"/>
        </w:numPr>
        <w:spacing w:after="0" w:line="276" w:lineRule="auto"/>
        <w:ind w:left="360"/>
        <w:jc w:val="both"/>
        <w:rPr>
          <w:rFonts w:ascii="Verdana" w:eastAsia="Calibri" w:hAnsi="Verdana" w:cs="Arial"/>
          <w:b/>
          <w:lang w:eastAsia="es-ES"/>
        </w:rPr>
      </w:pPr>
      <w:r w:rsidRPr="0DAAAAE4">
        <w:rPr>
          <w:rFonts w:ascii="Verdana" w:eastAsia="Calibri" w:hAnsi="Verdana" w:cs="Arial"/>
          <w:b/>
          <w:lang w:eastAsia="es-ES"/>
        </w:rPr>
        <w:t>Referencias normativas, jurisprudenciales y otras fuentes:</w:t>
      </w:r>
    </w:p>
    <w:p w14:paraId="30EA04B4" w14:textId="77777777" w:rsidR="00FD6B24" w:rsidRPr="00FE5A24" w:rsidRDefault="00FD6B24" w:rsidP="00FD6B24">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D6B24" w:rsidRPr="00FE5A24" w14:paraId="4062ED1D" w14:textId="77777777" w:rsidTr="00FC637B">
        <w:trPr>
          <w:trHeight w:val="313"/>
        </w:trPr>
        <w:tc>
          <w:tcPr>
            <w:tcW w:w="8647" w:type="dxa"/>
          </w:tcPr>
          <w:p w14:paraId="1CC344FC" w14:textId="77777777" w:rsidR="00FD6B24" w:rsidRDefault="00FD6B24" w:rsidP="00FC637B">
            <w:pPr>
              <w:pStyle w:val="Textoindependiente"/>
              <w:numPr>
                <w:ilvl w:val="0"/>
                <w:numId w:val="17"/>
              </w:numPr>
              <w:tabs>
                <w:tab w:val="left" w:pos="816"/>
              </w:tabs>
            </w:pPr>
            <w:r>
              <w:t>Constitución</w:t>
            </w:r>
            <w:r>
              <w:rPr>
                <w:spacing w:val="-10"/>
              </w:rPr>
              <w:t xml:space="preserve"> </w:t>
            </w:r>
            <w:r>
              <w:t>Política,</w:t>
            </w:r>
            <w:r>
              <w:rPr>
                <w:spacing w:val="-10"/>
              </w:rPr>
              <w:t xml:space="preserve"> </w:t>
            </w:r>
            <w:r>
              <w:t>artículos</w:t>
            </w:r>
            <w:r>
              <w:rPr>
                <w:spacing w:val="-9"/>
              </w:rPr>
              <w:t xml:space="preserve"> </w:t>
            </w:r>
            <w:r>
              <w:t>209 y</w:t>
            </w:r>
            <w:r>
              <w:rPr>
                <w:spacing w:val="-10"/>
              </w:rPr>
              <w:t xml:space="preserve"> </w:t>
            </w:r>
            <w:r>
              <w:rPr>
                <w:spacing w:val="-4"/>
              </w:rPr>
              <w:t>267.</w:t>
            </w:r>
          </w:p>
          <w:p w14:paraId="7682A07A" w14:textId="77777777" w:rsidR="00FD6B24" w:rsidRDefault="00FD6B24" w:rsidP="0DAAAAE4">
            <w:pPr>
              <w:pStyle w:val="Textoindependiente"/>
              <w:numPr>
                <w:ilvl w:val="0"/>
                <w:numId w:val="17"/>
              </w:numPr>
              <w:tabs>
                <w:tab w:val="left" w:pos="816"/>
              </w:tabs>
              <w:spacing w:before="131"/>
            </w:pPr>
            <w:r>
              <w:t>Ley</w:t>
            </w:r>
            <w:r>
              <w:rPr>
                <w:spacing w:val="-9"/>
              </w:rPr>
              <w:t xml:space="preserve"> </w:t>
            </w:r>
            <w:r>
              <w:t>80</w:t>
            </w:r>
            <w:r>
              <w:rPr>
                <w:spacing w:val="-9"/>
              </w:rPr>
              <w:t xml:space="preserve"> </w:t>
            </w:r>
            <w:r>
              <w:t>de</w:t>
            </w:r>
            <w:r>
              <w:rPr>
                <w:spacing w:val="-9"/>
              </w:rPr>
              <w:t xml:space="preserve"> </w:t>
            </w:r>
            <w:r>
              <w:t>1993,</w:t>
            </w:r>
            <w:r>
              <w:rPr>
                <w:spacing w:val="-9"/>
              </w:rPr>
              <w:t xml:space="preserve"> </w:t>
            </w:r>
            <w:r>
              <w:t>artículo</w:t>
            </w:r>
            <w:r>
              <w:rPr>
                <w:spacing w:val="-8"/>
              </w:rPr>
              <w:t xml:space="preserve"> </w:t>
            </w:r>
            <w:r>
              <w:rPr>
                <w:spacing w:val="-5"/>
              </w:rPr>
              <w:t>32.</w:t>
            </w:r>
          </w:p>
          <w:p w14:paraId="0C5351AC" w14:textId="77777777" w:rsidR="00FD6B24" w:rsidRDefault="00FD6B24" w:rsidP="00FC637B">
            <w:pPr>
              <w:pStyle w:val="Textoindependiente"/>
              <w:numPr>
                <w:ilvl w:val="0"/>
                <w:numId w:val="17"/>
              </w:numPr>
              <w:tabs>
                <w:tab w:val="left" w:pos="816"/>
              </w:tabs>
              <w:spacing w:before="131"/>
            </w:pPr>
            <w:r>
              <w:t>Ley</w:t>
            </w:r>
            <w:r>
              <w:rPr>
                <w:spacing w:val="-6"/>
              </w:rPr>
              <w:t xml:space="preserve"> </w:t>
            </w:r>
            <w:r>
              <w:t>1150</w:t>
            </w:r>
            <w:r>
              <w:rPr>
                <w:spacing w:val="-5"/>
              </w:rPr>
              <w:t xml:space="preserve"> </w:t>
            </w:r>
            <w:r>
              <w:t>de</w:t>
            </w:r>
            <w:r>
              <w:rPr>
                <w:spacing w:val="-5"/>
              </w:rPr>
              <w:t xml:space="preserve"> </w:t>
            </w:r>
            <w:r>
              <w:t>2007,</w:t>
            </w:r>
            <w:r>
              <w:rPr>
                <w:spacing w:val="-5"/>
              </w:rPr>
              <w:t xml:space="preserve"> </w:t>
            </w:r>
            <w:r>
              <w:t>artículo</w:t>
            </w:r>
            <w:r>
              <w:rPr>
                <w:spacing w:val="-5"/>
              </w:rPr>
              <w:t xml:space="preserve"> 13.</w:t>
            </w:r>
          </w:p>
          <w:p w14:paraId="7370F5F1" w14:textId="77777777" w:rsidR="00FD6B24" w:rsidRDefault="00FD6B24" w:rsidP="00FC637B">
            <w:pPr>
              <w:pStyle w:val="Textoindependiente"/>
              <w:numPr>
                <w:ilvl w:val="0"/>
                <w:numId w:val="17"/>
              </w:numPr>
              <w:tabs>
                <w:tab w:val="left" w:pos="816"/>
              </w:tabs>
              <w:spacing w:before="132"/>
            </w:pPr>
            <w:r>
              <w:t>Ley</w:t>
            </w:r>
            <w:r>
              <w:rPr>
                <w:spacing w:val="-10"/>
              </w:rPr>
              <w:t xml:space="preserve"> </w:t>
            </w:r>
            <w:r>
              <w:t>1474</w:t>
            </w:r>
            <w:r>
              <w:rPr>
                <w:spacing w:val="-10"/>
              </w:rPr>
              <w:t xml:space="preserve"> </w:t>
            </w:r>
            <w:r>
              <w:t>de</w:t>
            </w:r>
            <w:r>
              <w:rPr>
                <w:spacing w:val="-10"/>
              </w:rPr>
              <w:t xml:space="preserve"> </w:t>
            </w:r>
            <w:r>
              <w:t>2011,</w:t>
            </w:r>
            <w:r>
              <w:rPr>
                <w:spacing w:val="-9"/>
              </w:rPr>
              <w:t xml:space="preserve"> </w:t>
            </w:r>
            <w:r>
              <w:t>artículo</w:t>
            </w:r>
            <w:r>
              <w:rPr>
                <w:spacing w:val="-10"/>
              </w:rPr>
              <w:t xml:space="preserve"> </w:t>
            </w:r>
            <w:r>
              <w:rPr>
                <w:spacing w:val="-5"/>
              </w:rPr>
              <w:t>83.</w:t>
            </w:r>
          </w:p>
          <w:p w14:paraId="4F98232C" w14:textId="77777777" w:rsidR="00FD6B24" w:rsidRDefault="00FD6B24" w:rsidP="00FC637B">
            <w:pPr>
              <w:pStyle w:val="Textoindependiente"/>
              <w:numPr>
                <w:ilvl w:val="0"/>
                <w:numId w:val="17"/>
              </w:numPr>
              <w:tabs>
                <w:tab w:val="left" w:pos="816"/>
              </w:tabs>
              <w:spacing w:before="132"/>
            </w:pPr>
            <w:r>
              <w:t>Decreto</w:t>
            </w:r>
            <w:r>
              <w:rPr>
                <w:spacing w:val="-10"/>
              </w:rPr>
              <w:t xml:space="preserve"> </w:t>
            </w:r>
            <w:r>
              <w:t>1082</w:t>
            </w:r>
            <w:r>
              <w:rPr>
                <w:spacing w:val="-10"/>
              </w:rPr>
              <w:t xml:space="preserve"> </w:t>
            </w:r>
            <w:r>
              <w:t>de</w:t>
            </w:r>
            <w:r>
              <w:rPr>
                <w:spacing w:val="-10"/>
              </w:rPr>
              <w:t xml:space="preserve"> </w:t>
            </w:r>
            <w:r>
              <w:rPr>
                <w:spacing w:val="-2"/>
              </w:rPr>
              <w:t>2015.</w:t>
            </w:r>
          </w:p>
          <w:p w14:paraId="1A8A3C4F" w14:textId="77777777" w:rsidR="00FD6B24" w:rsidRPr="00E708A8" w:rsidRDefault="00FD6B24" w:rsidP="00FC637B">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2407CE">
              <w:rPr>
                <w:rFonts w:ascii="Verdana" w:hAnsi="Verdana" w:cs="Arial"/>
              </w:rPr>
              <w:t xml:space="preserve">Jurisprudencia de la Corte Constitucional. Disponible en:  </w:t>
            </w:r>
            <w:hyperlink r:id="rId12" w:history="1">
              <w:r w:rsidRPr="00DE449B">
                <w:rPr>
                  <w:rFonts w:ascii="Verdana" w:eastAsia="Verdana" w:hAnsi="Verdana" w:cs="Verdana"/>
                  <w:color w:val="0000FF"/>
                  <w:u w:color="0000FF"/>
                </w:rPr>
                <w:t>https://www.corteconstitucional.gov./relatoria/</w:t>
              </w:r>
            </w:hyperlink>
            <w:r w:rsidRPr="002407CE">
              <w:rPr>
                <w:rFonts w:ascii="Verdana" w:hAnsi="Verdana" w:cs="Arial"/>
              </w:rPr>
              <w:t xml:space="preserve"> </w:t>
            </w:r>
          </w:p>
          <w:p w14:paraId="443856B3" w14:textId="77777777" w:rsidR="00FD6B24" w:rsidRPr="00F13B6D" w:rsidRDefault="00FD6B24" w:rsidP="00FC637B">
            <w:pPr>
              <w:pStyle w:val="Textoindependiente"/>
              <w:numPr>
                <w:ilvl w:val="0"/>
                <w:numId w:val="17"/>
              </w:numPr>
              <w:tabs>
                <w:tab w:val="left" w:pos="817"/>
              </w:tabs>
              <w:spacing w:before="3" w:line="357" w:lineRule="auto"/>
              <w:ind w:right="101"/>
              <w:jc w:val="both"/>
            </w:pPr>
            <w:r>
              <w:t>Jurisprudencia del Consejo de Estado. Disponible en:</w:t>
            </w:r>
            <w:r>
              <w:rPr>
                <w:color w:val="0000FF"/>
              </w:rPr>
              <w:t xml:space="preserve"> </w:t>
            </w:r>
            <w:hyperlink r:id="rId13">
              <w:r>
                <w:rPr>
                  <w:color w:val="0000FF"/>
                  <w:u w:val="single" w:color="0000FF"/>
                </w:rPr>
                <w:t>https://relatoria.c</w:t>
              </w:r>
            </w:hyperlink>
            <w:r>
              <w:rPr>
                <w:color w:val="0000FF"/>
                <w:spacing w:val="-75"/>
              </w:rPr>
              <w:t xml:space="preserve"> </w:t>
            </w:r>
            <w:hyperlink r:id="rId14">
              <w:r>
                <w:rPr>
                  <w:color w:val="0000FF"/>
                  <w:u w:val="single" w:color="0000FF"/>
                </w:rPr>
                <w:t>olombiacompra.gov.co/providencias-consejo-de-estado/</w:t>
              </w:r>
            </w:hyperlink>
          </w:p>
        </w:tc>
      </w:tr>
    </w:tbl>
    <w:p w14:paraId="2E2F5471" w14:textId="77777777" w:rsidR="00FD6B24" w:rsidRPr="00FE5A24" w:rsidRDefault="00FD6B24" w:rsidP="00FD6B24">
      <w:pPr>
        <w:widowControl w:val="0"/>
        <w:autoSpaceDE w:val="0"/>
        <w:autoSpaceDN w:val="0"/>
        <w:spacing w:after="0" w:line="276" w:lineRule="auto"/>
        <w:jc w:val="both"/>
        <w:rPr>
          <w:rFonts w:ascii="Verdana" w:hAnsi="Verdana" w:cs="Arial"/>
          <w:color w:val="000000" w:themeColor="text1"/>
        </w:rPr>
      </w:pPr>
    </w:p>
    <w:p w14:paraId="68C743E5" w14:textId="77777777" w:rsidR="00FD6B24" w:rsidRPr="006B401F" w:rsidRDefault="00FD6B24" w:rsidP="0DAAAAE4">
      <w:pPr>
        <w:pStyle w:val="Prrafodelista"/>
        <w:numPr>
          <w:ilvl w:val="0"/>
          <w:numId w:val="18"/>
        </w:numPr>
        <w:spacing w:after="0" w:line="276" w:lineRule="auto"/>
        <w:ind w:left="360"/>
        <w:jc w:val="both"/>
        <w:rPr>
          <w:rFonts w:ascii="Verdana" w:eastAsia="Calibri" w:hAnsi="Verdana" w:cs="Arial"/>
          <w:b/>
          <w:lang w:eastAsia="es-ES"/>
        </w:rPr>
      </w:pPr>
      <w:r w:rsidRPr="0DAAAAE4">
        <w:rPr>
          <w:rFonts w:ascii="Verdana" w:eastAsia="Calibri" w:hAnsi="Verdana" w:cs="Arial"/>
          <w:b/>
          <w:lang w:eastAsia="es-ES"/>
        </w:rPr>
        <w:t>Doctrina de la Agencia Nacional de Contratación Pública:</w:t>
      </w:r>
    </w:p>
    <w:p w14:paraId="3F84A805" w14:textId="77777777" w:rsidR="00FD6B24" w:rsidRPr="00FE5A24" w:rsidRDefault="00FD6B24" w:rsidP="00FD6B24">
      <w:pPr>
        <w:widowControl w:val="0"/>
        <w:autoSpaceDE w:val="0"/>
        <w:autoSpaceDN w:val="0"/>
        <w:spacing w:after="0" w:line="276" w:lineRule="auto"/>
        <w:jc w:val="both"/>
        <w:rPr>
          <w:rFonts w:ascii="Verdana" w:hAnsi="Verdana" w:cs="Arial"/>
          <w:color w:val="000000" w:themeColor="text1"/>
        </w:rPr>
      </w:pPr>
    </w:p>
    <w:p w14:paraId="5F2E9D02" w14:textId="77777777" w:rsidR="00FD6B24" w:rsidRPr="00824BAD" w:rsidRDefault="00FD6B24" w:rsidP="00FD6B24">
      <w:pPr>
        <w:widowControl w:val="0"/>
        <w:autoSpaceDE w:val="0"/>
        <w:autoSpaceDN w:val="0"/>
        <w:spacing w:after="0" w:line="276" w:lineRule="auto"/>
        <w:jc w:val="both"/>
        <w:rPr>
          <w:rStyle w:val="normaltextrun"/>
          <w:rFonts w:ascii="Verdana" w:eastAsia="Times New Roman" w:hAnsi="Verdana" w:cs="Arial"/>
          <w:shd w:val="clear" w:color="auto" w:fill="FFFFFF"/>
          <w:lang w:val="es-ES"/>
        </w:rPr>
      </w:pPr>
      <w:r w:rsidRPr="00E52602">
        <w:rPr>
          <w:rFonts w:ascii="Verdana" w:hAnsi="Verdana" w:cs="Arial"/>
          <w:shd w:val="clear" w:color="auto" w:fill="FFFFFF"/>
        </w:rPr>
        <w:t xml:space="preserve">La Agencia Nacional de Contratación Pública – Colombia Compra Eficiente </w:t>
      </w:r>
      <w:r>
        <w:rPr>
          <w:rFonts w:ascii="Verdana" w:hAnsi="Verdana" w:cs="Arial"/>
          <w:shd w:val="clear" w:color="auto" w:fill="FFFFFF"/>
        </w:rPr>
        <w:t>se ha pronunciado frente a los</w:t>
      </w:r>
      <w:r w:rsidRPr="00C42100">
        <w:rPr>
          <w:rFonts w:ascii="Verdana" w:hAnsi="Verdana" w:cs="Arial"/>
          <w:shd w:val="clear" w:color="auto" w:fill="FFFFFF"/>
        </w:rPr>
        <w:t xml:space="preserve"> requisitos para </w:t>
      </w:r>
      <w:r>
        <w:rPr>
          <w:rFonts w:ascii="Verdana" w:hAnsi="Verdana" w:cs="Arial"/>
          <w:shd w:val="clear" w:color="auto" w:fill="FFFFFF"/>
        </w:rPr>
        <w:t xml:space="preserve">la </w:t>
      </w:r>
      <w:r w:rsidRPr="00C42100">
        <w:rPr>
          <w:rFonts w:ascii="Verdana" w:hAnsi="Verdana" w:cs="Arial"/>
          <w:shd w:val="clear" w:color="auto" w:fill="FFFFFF"/>
        </w:rPr>
        <w:t>celebración</w:t>
      </w:r>
      <w:r>
        <w:rPr>
          <w:rFonts w:ascii="Verdana" w:hAnsi="Verdana" w:cs="Arial"/>
          <w:shd w:val="clear" w:color="auto" w:fill="FFFFFF"/>
        </w:rPr>
        <w:t xml:space="preserve"> de los contratos de prestación de servicios</w:t>
      </w:r>
      <w:r w:rsidRPr="00C42100">
        <w:rPr>
          <w:rFonts w:ascii="Verdana" w:hAnsi="Verdana" w:cs="Arial"/>
          <w:shd w:val="clear" w:color="auto" w:fill="FFFFFF"/>
        </w:rPr>
        <w:t>, en los conceptos con radicado</w:t>
      </w:r>
      <w:r>
        <w:rPr>
          <w:rFonts w:ascii="Verdana" w:hAnsi="Verdana" w:cs="Arial"/>
          <w:shd w:val="clear" w:color="auto" w:fill="FFFFFF"/>
        </w:rPr>
        <w:t>s</w:t>
      </w:r>
      <w:r w:rsidRPr="00C42100">
        <w:rPr>
          <w:rFonts w:ascii="Verdana" w:hAnsi="Verdana" w:cs="Arial"/>
          <w:shd w:val="clear" w:color="auto" w:fill="FFFFFF"/>
        </w:rPr>
        <w:t xml:space="preserve">: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w:t>
      </w:r>
      <w:r w:rsidRPr="00C42100">
        <w:rPr>
          <w:rFonts w:ascii="Verdana" w:hAnsi="Verdana" w:cs="Arial"/>
          <w:shd w:val="clear" w:color="auto" w:fill="FFFFFF"/>
        </w:rPr>
        <w:lastRenderedPageBreak/>
        <w:t xml:space="preserve">C−685 del 18 de diciembre de 2020, C- 004 del 12 de febrero de 2021, C−106 del 7 de abril de 2021, C-181 del 07 de abril de 2022, C-214 del 22 de abril de 2022 y C-491 de 01 de agosto de 2022, C-008 del 20 de febrero de 2023, C-009 del 20 de febrero de 2023, </w:t>
      </w:r>
      <w:r w:rsidRPr="007E128E">
        <w:rPr>
          <w:rFonts w:ascii="Verdana" w:hAnsi="Verdana" w:cs="Arial"/>
          <w:shd w:val="clear" w:color="auto" w:fill="FFFFFF"/>
        </w:rPr>
        <w:t>C-1011 del 6 de junio de 2024, C- 970 del 17 de diciembre de  2024 y C</w:t>
      </w:r>
      <w:r>
        <w:rPr>
          <w:rFonts w:ascii="Verdana" w:hAnsi="Verdana" w:cs="Arial"/>
          <w:shd w:val="clear" w:color="auto" w:fill="FFFFFF"/>
        </w:rPr>
        <w:t>-</w:t>
      </w:r>
      <w:r w:rsidRPr="007E128E">
        <w:rPr>
          <w:rFonts w:ascii="Verdana" w:hAnsi="Verdana" w:cs="Arial"/>
          <w:shd w:val="clear" w:color="auto" w:fill="FFFFFF"/>
        </w:rPr>
        <w:t xml:space="preserve">085 del 3 de marzo 2025, </w:t>
      </w:r>
      <w:r w:rsidRPr="007E128E">
        <w:rPr>
          <w:rFonts w:ascii="Verdana" w:hAnsi="Verdana"/>
        </w:rPr>
        <w:t xml:space="preserve">entre </w:t>
      </w:r>
      <w:r w:rsidRPr="007E128E">
        <w:rPr>
          <w:rStyle w:val="normaltextrun"/>
          <w:rFonts w:ascii="Verdana" w:hAnsi="Verdana" w:cs="Arial"/>
          <w:color w:val="000000" w:themeColor="text1"/>
          <w:shd w:val="clear" w:color="auto" w:fill="FFFFFF"/>
          <w:lang w:val="es-ES"/>
        </w:rPr>
        <w:t>otros</w:t>
      </w:r>
      <w:r w:rsidRPr="00167520">
        <w:rPr>
          <w:rFonts w:ascii="Verdana" w:hAnsi="Verdana"/>
          <w:color w:val="000000" w:themeColor="text1"/>
        </w:rPr>
        <w:t>.</w:t>
      </w:r>
      <w:r w:rsidRPr="00167520">
        <w:rPr>
          <w:rFonts w:ascii="Verdana" w:hAnsi="Verdana" w:cs="Arial"/>
          <w:color w:val="000000" w:themeColor="text1"/>
          <w:shd w:val="clear" w:color="auto" w:fill="FFFFFF"/>
        </w:rPr>
        <w:t xml:space="preserve"> </w:t>
      </w:r>
      <w:r w:rsidRPr="00FE5A24">
        <w:rPr>
          <w:rFonts w:ascii="Verdana" w:hAnsi="Verdana" w:cs="Arial"/>
          <w:color w:val="000000" w:themeColor="text1"/>
          <w:shd w:val="clear" w:color="auto" w:fill="FFFFFF"/>
        </w:rPr>
        <w:t xml:space="preserve">Estos </w:t>
      </w:r>
      <w:r w:rsidRPr="00FE5A24">
        <w:rPr>
          <w:rStyle w:val="normaltextrun"/>
          <w:rFonts w:ascii="Verdana" w:hAnsi="Verdana" w:cs="Arial"/>
          <w:color w:val="000000" w:themeColor="text1"/>
          <w:shd w:val="clear" w:color="auto" w:fill="FFFFFF"/>
        </w:rPr>
        <w:t xml:space="preserve">se encuentran disponibles para consulta en el Sistema de relatoría de la Agencia, al cual puede accederse a través del siguiente enlace: </w:t>
      </w:r>
      <w:hyperlink r:id="rId15" w:history="1">
        <w:r w:rsidRPr="00401F64">
          <w:rPr>
            <w:rStyle w:val="Hipervnculo"/>
            <w:rFonts w:ascii="Verdana" w:hAnsi="Verdana" w:cs="Arial"/>
            <w:shd w:val="clear" w:color="auto" w:fill="FFFFFF"/>
          </w:rPr>
          <w:t>https://relatoria.colombiacompra.gov.co/busqueda/conceptos</w:t>
        </w:r>
      </w:hyperlink>
      <w:r w:rsidRPr="00AB1261">
        <w:rPr>
          <w:rStyle w:val="Hipervnculo"/>
          <w:rFonts w:ascii="Verdana" w:hAnsi="Verdana"/>
        </w:rPr>
        <w:t>.</w:t>
      </w:r>
      <w:r w:rsidRPr="00FE5A24">
        <w:rPr>
          <w:rStyle w:val="normaltextrun"/>
          <w:rFonts w:ascii="Verdana" w:hAnsi="Verdana" w:cs="Arial"/>
          <w:color w:val="000000" w:themeColor="text1"/>
          <w:shd w:val="clear" w:color="auto" w:fill="FFFFFF"/>
        </w:rPr>
        <w:t xml:space="preserve"> </w:t>
      </w:r>
      <w:r w:rsidRPr="0DAAAAE4">
        <w:rPr>
          <w:rStyle w:val="normaltextrun"/>
          <w:rFonts w:ascii="Verdana" w:hAnsi="Verdana" w:cs="Arial"/>
          <w:color w:val="000000" w:themeColor="text1"/>
          <w:lang w:val="es-ES"/>
        </w:rPr>
        <w:t xml:space="preserve"> </w:t>
      </w:r>
    </w:p>
    <w:p w14:paraId="1A4A43B9" w14:textId="77777777" w:rsidR="00FD6B24" w:rsidRPr="00FE5A24" w:rsidRDefault="00FD6B24" w:rsidP="00FD6B24">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2E14DC8F" w14:textId="77777777" w:rsidR="00FD6B24" w:rsidRDefault="00FD6B24" w:rsidP="00FD6B24">
      <w:pPr>
        <w:widowControl w:val="0"/>
        <w:autoSpaceDE w:val="0"/>
        <w:autoSpaceDN w:val="0"/>
        <w:spacing w:after="0" w:line="276" w:lineRule="auto"/>
        <w:jc w:val="both"/>
        <w:rPr>
          <w:rFonts w:ascii="Verdana" w:hAnsi="Verdana" w:cs="Arial"/>
          <w:color w:val="FF0000"/>
          <w:shd w:val="clear" w:color="auto" w:fill="FFFFFF"/>
          <w:lang w:val="es-ES"/>
        </w:rPr>
      </w:pPr>
      <w:r>
        <w:rPr>
          <w:rStyle w:val="normaltextrun"/>
          <w:rFonts w:ascii="Verdana" w:hAnsi="Verdana"/>
          <w:lang w:val="es-ES"/>
        </w:rPr>
        <w:t>L</w:t>
      </w:r>
      <w:r w:rsidRPr="009E61FE">
        <w:rPr>
          <w:rStyle w:val="normaltextrun"/>
          <w:rFonts w:ascii="Verdana" w:hAnsi="Verdana"/>
          <w:lang w:val="es-ES"/>
        </w:rPr>
        <w:t>e informamos que ya se encuentra disponible la Cartilla para incentivar y fortalecer el acceso a las compras y contratación pública de los pueblos y comunidades étnicas en Colombia.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6" w:tgtFrame="_blank" w:tooltip="Original URL: https://www.colombiacompra.gov.co/manuales-guias-y-pliegos-tipo/manuales-y-guias/cartilla-para-incentivar-y-fortalecer-el-acceso-las. Click or tap if you trust this link." w:history="1">
        <w:r w:rsidRPr="009E61FE">
          <w:rPr>
            <w:rStyle w:val="Hipervnculo"/>
            <w:rFonts w:ascii="Verdana" w:hAnsi="Verdana" w:cs="Arial"/>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0920D0D9" w14:textId="6CB59B62" w:rsidR="00FD6B24" w:rsidRPr="00AB1261" w:rsidRDefault="00FD6B24" w:rsidP="00FD6B24">
      <w:pPr>
        <w:widowControl w:val="0"/>
        <w:autoSpaceDE w:val="0"/>
        <w:autoSpaceDN w:val="0"/>
        <w:spacing w:after="0" w:line="276" w:lineRule="auto"/>
        <w:jc w:val="both"/>
        <w:rPr>
          <w:rFonts w:ascii="Verdana" w:hAnsi="Verdana" w:cs="Arial"/>
          <w:color w:val="FF0000"/>
          <w:shd w:val="clear" w:color="auto" w:fill="FFFFFF"/>
          <w:lang w:val="es-ES"/>
        </w:rPr>
      </w:pPr>
    </w:p>
    <w:p w14:paraId="4AF8D7D1" w14:textId="77777777" w:rsidR="00FD6B24" w:rsidRPr="003E2460" w:rsidRDefault="00FD6B24" w:rsidP="0DAAAAE4">
      <w:pPr>
        <w:spacing w:after="0" w:line="276"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477C559A" w14:textId="77777777" w:rsidR="00FD6B24" w:rsidRPr="003E2460" w:rsidRDefault="00FD6B24" w:rsidP="0DAAAAE4">
      <w:pPr>
        <w:spacing w:after="0" w:line="276" w:lineRule="auto"/>
        <w:jc w:val="both"/>
        <w:rPr>
          <w:rFonts w:ascii="Verdana" w:hAnsi="Verdana"/>
        </w:rPr>
      </w:pPr>
    </w:p>
    <w:p w14:paraId="07ECC546" w14:textId="77777777" w:rsidR="00FD6B24" w:rsidRPr="003E2460" w:rsidRDefault="00FD6B24" w:rsidP="0DAAAAE4">
      <w:pPr>
        <w:spacing w:after="0" w:line="276" w:lineRule="auto"/>
        <w:jc w:val="both"/>
        <w:rPr>
          <w:rFonts w:ascii="Verdana" w:hAnsi="Verdana"/>
        </w:rPr>
      </w:pPr>
      <w:r w:rsidRPr="003E2460">
        <w:rPr>
          <w:rFonts w:ascii="Verdana" w:hAnsi="Verdana"/>
        </w:rPr>
        <w:t xml:space="preserve">Twitter: </w:t>
      </w:r>
      <w:r w:rsidRPr="00386BAA">
        <w:rPr>
          <w:rStyle w:val="Hipervnculo"/>
          <w:rFonts w:ascii="Verdana" w:hAnsi="Verdana" w:cs="Arial"/>
          <w:shd w:val="clear" w:color="auto" w:fill="FFFFFF"/>
        </w:rPr>
        <w:t>@colombiacompra</w:t>
      </w:r>
      <w:r w:rsidRPr="003E2460">
        <w:rPr>
          <w:rFonts w:ascii="Verdana" w:hAnsi="Verdana"/>
          <w:color w:val="4472C4" w:themeColor="accent1"/>
        </w:rPr>
        <w:t xml:space="preserve"> </w:t>
      </w:r>
    </w:p>
    <w:p w14:paraId="2158B71E" w14:textId="77777777" w:rsidR="00FD6B24" w:rsidRPr="003E2460" w:rsidRDefault="00FD6B24" w:rsidP="0DAAAAE4">
      <w:pPr>
        <w:spacing w:after="0" w:line="276" w:lineRule="auto"/>
        <w:jc w:val="both"/>
        <w:rPr>
          <w:rFonts w:ascii="Verdana" w:hAnsi="Verdana"/>
        </w:rPr>
      </w:pPr>
      <w:r w:rsidRPr="003E2460">
        <w:rPr>
          <w:rFonts w:ascii="Verdana" w:hAnsi="Verdana"/>
        </w:rPr>
        <w:t xml:space="preserve">Facebook: </w:t>
      </w:r>
      <w:proofErr w:type="spellStart"/>
      <w:r w:rsidRPr="00386BAA">
        <w:rPr>
          <w:rStyle w:val="Hipervnculo"/>
          <w:rFonts w:ascii="Verdana" w:hAnsi="Verdana" w:cs="Arial"/>
          <w:shd w:val="clear" w:color="auto" w:fill="FFFFFF"/>
        </w:rPr>
        <w:t>ColombiaCompraEficiente</w:t>
      </w:r>
      <w:proofErr w:type="spellEnd"/>
    </w:p>
    <w:p w14:paraId="6375C593" w14:textId="77777777" w:rsidR="00FD6B24" w:rsidRPr="003E2460" w:rsidRDefault="00FD6B24" w:rsidP="0DAAAAE4">
      <w:pPr>
        <w:spacing w:after="0" w:line="276" w:lineRule="auto"/>
        <w:jc w:val="both"/>
        <w:rPr>
          <w:rFonts w:ascii="Verdana" w:hAnsi="Verdana"/>
        </w:rPr>
      </w:pPr>
      <w:r w:rsidRPr="003E2460">
        <w:rPr>
          <w:rFonts w:ascii="Verdana" w:hAnsi="Verdana"/>
        </w:rPr>
        <w:t xml:space="preserve">LinkedIn: </w:t>
      </w:r>
      <w:r w:rsidRPr="00386BAA">
        <w:rPr>
          <w:rStyle w:val="Hipervnculo"/>
          <w:rFonts w:ascii="Verdana" w:hAnsi="Verdana" w:cs="Arial"/>
          <w:shd w:val="clear" w:color="auto" w:fill="FFFFFF"/>
        </w:rPr>
        <w:t>Agencia Nacional de Contratación Pública - Colombia Compra Eficiente</w:t>
      </w:r>
      <w:r w:rsidRPr="00AB1261">
        <w:rPr>
          <w:rStyle w:val="Hipervnculo"/>
          <w:rFonts w:ascii="Verdana" w:hAnsi="Verdana" w:cs="Arial"/>
          <w:shd w:val="clear" w:color="auto" w:fill="FFFFFF"/>
        </w:rPr>
        <w:t xml:space="preserve"> </w:t>
      </w:r>
      <w:r w:rsidRPr="003E2460">
        <w:rPr>
          <w:rFonts w:ascii="Verdana" w:hAnsi="Verdana"/>
        </w:rPr>
        <w:t xml:space="preserve">Instagram: </w:t>
      </w:r>
      <w:r w:rsidRPr="00386BAA">
        <w:rPr>
          <w:rStyle w:val="Hipervnculo"/>
          <w:rFonts w:ascii="Verdana" w:hAnsi="Verdana" w:cs="Arial"/>
          <w:shd w:val="clear" w:color="auto" w:fill="FFFFFF"/>
        </w:rPr>
        <w:t>@colombiacompraeficiente_cce</w:t>
      </w:r>
    </w:p>
    <w:p w14:paraId="382983C6" w14:textId="77777777" w:rsidR="00FD6B24" w:rsidRPr="00FE5A24" w:rsidRDefault="00FD6B24" w:rsidP="00FD6B24">
      <w:pPr>
        <w:widowControl w:val="0"/>
        <w:autoSpaceDE w:val="0"/>
        <w:autoSpaceDN w:val="0"/>
        <w:spacing w:after="0" w:line="276" w:lineRule="auto"/>
        <w:jc w:val="both"/>
        <w:rPr>
          <w:rFonts w:ascii="Verdana" w:hAnsi="Verdana" w:cs="Arial"/>
          <w:color w:val="000000" w:themeColor="text1"/>
        </w:rPr>
      </w:pPr>
    </w:p>
    <w:p w14:paraId="2BB127EF" w14:textId="77777777" w:rsidR="00FD6B24" w:rsidRPr="00FE5A24" w:rsidRDefault="00FD6B24" w:rsidP="00FD6B24">
      <w:pPr>
        <w:widowControl w:val="0"/>
        <w:autoSpaceDE w:val="0"/>
        <w:autoSpaceDN w:val="0"/>
        <w:spacing w:after="0" w:line="276" w:lineRule="auto"/>
        <w:jc w:val="both"/>
        <w:rPr>
          <w:rFonts w:ascii="Verdana" w:hAnsi="Verdana" w:cs="Arial"/>
          <w:color w:val="000000" w:themeColor="text1"/>
          <w:lang w:val="es-ES_tradnl"/>
        </w:rPr>
      </w:pPr>
      <w:r w:rsidRPr="00FE5A24">
        <w:rPr>
          <w:rFonts w:ascii="Verdana" w:hAnsi="Verdana" w:cs="Arial"/>
          <w:color w:val="000000" w:themeColor="text1"/>
        </w:rPr>
        <w:t xml:space="preserve">Este concepto tiene el alcance previsto en el artículo 28 del Código de Procedimiento Administrativo y de lo Contencioso Administrativo </w:t>
      </w:r>
      <w:r w:rsidRPr="00FE5A24">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4655CFF8" w14:textId="77777777" w:rsidR="00FD6B24" w:rsidRPr="00FE5A24" w:rsidRDefault="00FD6B24" w:rsidP="00FD6B24">
      <w:pPr>
        <w:widowControl w:val="0"/>
        <w:autoSpaceDE w:val="0"/>
        <w:autoSpaceDN w:val="0"/>
        <w:spacing w:after="0" w:line="276" w:lineRule="auto"/>
        <w:jc w:val="both"/>
        <w:rPr>
          <w:rFonts w:ascii="Verdana" w:hAnsi="Verdana" w:cs="Arial"/>
          <w:color w:val="000000" w:themeColor="text1"/>
        </w:rPr>
      </w:pPr>
    </w:p>
    <w:p w14:paraId="65183642" w14:textId="77777777" w:rsidR="00FD6B24" w:rsidRPr="00FE5A24" w:rsidRDefault="00FD6B24" w:rsidP="0DAAAAE4">
      <w:pPr>
        <w:spacing w:after="0" w:line="276" w:lineRule="auto"/>
        <w:rPr>
          <w:rFonts w:ascii="Verdana" w:hAnsi="Verdana" w:cs="Arial"/>
          <w:color w:val="000000" w:themeColor="text1"/>
          <w:lang w:eastAsia="es-CO"/>
        </w:rPr>
      </w:pPr>
      <w:r w:rsidRPr="00FE5A24">
        <w:rPr>
          <w:rFonts w:ascii="Verdana" w:eastAsia="Times New Roman" w:hAnsi="Verdana" w:cs="Arial"/>
          <w:color w:val="000000" w:themeColor="text1"/>
          <w:lang w:eastAsia="es-CO"/>
        </w:rPr>
        <w:t>Atentamente,</w:t>
      </w:r>
      <w:r w:rsidRPr="00FE5A24">
        <w:rPr>
          <w:rFonts w:ascii="Verdana" w:hAnsi="Verdana" w:cs="Arial"/>
          <w:color w:val="000000" w:themeColor="text1"/>
          <w:lang w:eastAsia="es-CO"/>
        </w:rPr>
        <w:t xml:space="preserve"> </w:t>
      </w:r>
    </w:p>
    <w:p w14:paraId="6CE661A8" w14:textId="2CEB86C3" w:rsidR="00FD6B24" w:rsidRPr="00EB1CF7" w:rsidRDefault="00875776" w:rsidP="0DAAAAE4">
      <w:pPr>
        <w:spacing w:after="0" w:line="276" w:lineRule="auto"/>
        <w:jc w:val="center"/>
      </w:pPr>
      <w:r>
        <w:rPr>
          <w:noProof/>
        </w:rPr>
        <w:lastRenderedPageBreak/>
        <w:drawing>
          <wp:inline distT="0" distB="0" distL="0" distR="0" wp14:anchorId="629DC22D" wp14:editId="3B2A330E">
            <wp:extent cx="4248743" cy="1781424"/>
            <wp:effectExtent l="0" t="0" r="0" b="9525"/>
            <wp:docPr id="4130523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052309" name="Imagen 413052309"/>
                    <pic:cNvPicPr/>
                  </pic:nvPicPr>
                  <pic:blipFill>
                    <a:blip r:embed="rId17">
                      <a:extLst>
                        <a:ext uri="{28A0092B-C50C-407E-A947-70E740481C1C}">
                          <a14:useLocalDpi xmlns:a14="http://schemas.microsoft.com/office/drawing/2010/main" val="0"/>
                        </a:ext>
                      </a:extLst>
                    </a:blip>
                    <a:stretch>
                      <a:fillRect/>
                    </a:stretch>
                  </pic:blipFill>
                  <pic:spPr>
                    <a:xfrm>
                      <a:off x="0" y="0"/>
                      <a:ext cx="4248743" cy="1781424"/>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D6B24" w:rsidRPr="00EB1CF7" w14:paraId="36F7FA1C" w14:textId="77777777" w:rsidTr="00FC637B">
        <w:trPr>
          <w:trHeight w:val="315"/>
        </w:trPr>
        <w:tc>
          <w:tcPr>
            <w:tcW w:w="893" w:type="dxa"/>
            <w:vAlign w:val="center"/>
            <w:hideMark/>
          </w:tcPr>
          <w:p w14:paraId="5D3D6882" w14:textId="77777777" w:rsidR="00FD6B24" w:rsidRPr="00EB1CF7" w:rsidRDefault="00FD6B24" w:rsidP="00FC637B">
            <w:pPr>
              <w:contextualSpacing/>
              <w:rPr>
                <w:rFonts w:ascii="Verdana" w:hAnsi="Verdana" w:cs="Arial"/>
                <w:sz w:val="16"/>
                <w:szCs w:val="16"/>
                <w:lang w:val="es-ES" w:eastAsia="es-ES"/>
              </w:rPr>
            </w:pPr>
            <w:r w:rsidRPr="00EB1CF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7DF3472" w14:textId="77777777" w:rsidR="00FD6B24" w:rsidRPr="00EB1CF7" w:rsidRDefault="00FD6B24" w:rsidP="00FC637B">
            <w:pPr>
              <w:contextualSpacing/>
              <w:rPr>
                <w:rStyle w:val="normaltextrun"/>
                <w:rFonts w:ascii="Verdana" w:hAnsi="Verdana"/>
                <w:sz w:val="16"/>
                <w:szCs w:val="16"/>
              </w:rPr>
            </w:pPr>
            <w:r>
              <w:rPr>
                <w:rStyle w:val="normaltextrun"/>
                <w:rFonts w:ascii="Verdana" w:hAnsi="Verdana"/>
                <w:sz w:val="16"/>
                <w:szCs w:val="16"/>
              </w:rPr>
              <w:t>Richard Andrés Montenegro Siefken</w:t>
            </w:r>
          </w:p>
          <w:p w14:paraId="68EBBE7F" w14:textId="77777777" w:rsidR="00FD6B24" w:rsidRPr="00EB1CF7" w:rsidRDefault="00FD6B24" w:rsidP="00FC637B">
            <w:pPr>
              <w:contextualSpacing/>
              <w:rPr>
                <w:rFonts w:ascii="Verdana" w:eastAsia="Arial" w:hAnsi="Verdana" w:cs="Arial"/>
                <w:sz w:val="16"/>
                <w:szCs w:val="16"/>
              </w:rPr>
            </w:pPr>
            <w:r w:rsidRPr="00EB1CF7">
              <w:rPr>
                <w:rStyle w:val="normaltextrun"/>
                <w:rFonts w:ascii="Verdana" w:hAnsi="Verdana"/>
                <w:sz w:val="16"/>
                <w:szCs w:val="16"/>
              </w:rPr>
              <w:t>Contratista de la Subdirección de Gestión Contractual</w:t>
            </w:r>
          </w:p>
        </w:tc>
      </w:tr>
      <w:tr w:rsidR="00FD6B24" w:rsidRPr="00EB1CF7" w14:paraId="6F59DF18" w14:textId="77777777" w:rsidTr="00FC637B">
        <w:trPr>
          <w:trHeight w:val="330"/>
        </w:trPr>
        <w:tc>
          <w:tcPr>
            <w:tcW w:w="893" w:type="dxa"/>
            <w:vAlign w:val="center"/>
            <w:hideMark/>
          </w:tcPr>
          <w:p w14:paraId="6242D432" w14:textId="77777777" w:rsidR="00FD6B24" w:rsidRPr="0063536A" w:rsidRDefault="00FD6B24" w:rsidP="00FC637B">
            <w:pPr>
              <w:contextualSpacing/>
              <w:rPr>
                <w:rStyle w:val="normaltextrun"/>
                <w:rFonts w:ascii="Verdana" w:hAnsi="Verdana"/>
                <w:sz w:val="16"/>
                <w:szCs w:val="16"/>
              </w:rPr>
            </w:pPr>
            <w:r w:rsidRPr="0063536A">
              <w:rPr>
                <w:rStyle w:val="normaltextrun"/>
                <w:rFonts w:ascii="Verdana" w:hAnsi="Verdana"/>
                <w:sz w:val="16"/>
                <w:szCs w:val="16"/>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8D35BB4" w14:textId="77777777" w:rsidR="00FD6B24" w:rsidRPr="0023577C" w:rsidRDefault="00FD6B24" w:rsidP="00FC637B">
            <w:pPr>
              <w:pStyle w:val="paragraph"/>
              <w:spacing w:before="0" w:beforeAutospacing="0" w:after="0" w:afterAutospacing="0"/>
              <w:contextualSpacing/>
              <w:textAlignment w:val="baseline"/>
              <w:rPr>
                <w:rStyle w:val="normaltextrun"/>
                <w:rFonts w:ascii="Verdana" w:eastAsiaTheme="minorHAnsi" w:hAnsi="Verdana" w:cstheme="minorBidi"/>
                <w:sz w:val="16"/>
                <w:szCs w:val="16"/>
                <w:lang w:eastAsia="en-US"/>
              </w:rPr>
            </w:pPr>
            <w:r>
              <w:rPr>
                <w:rStyle w:val="normaltextrun"/>
                <w:rFonts w:ascii="Verdana" w:eastAsiaTheme="minorHAnsi" w:hAnsi="Verdana" w:cstheme="minorBidi"/>
                <w:sz w:val="16"/>
                <w:szCs w:val="16"/>
                <w:lang w:eastAsia="en-US"/>
              </w:rPr>
              <w:t>Diana Lucia Saavedra Castañeda</w:t>
            </w:r>
          </w:p>
          <w:p w14:paraId="1F71E48E" w14:textId="77777777" w:rsidR="00FD6B24" w:rsidRPr="0063536A" w:rsidRDefault="00FD6B24" w:rsidP="00FC637B">
            <w:pPr>
              <w:pStyle w:val="paragraph"/>
              <w:spacing w:before="0" w:beforeAutospacing="0" w:after="0" w:afterAutospacing="0"/>
              <w:contextualSpacing/>
              <w:textAlignment w:val="baseline"/>
              <w:rPr>
                <w:rStyle w:val="normaltextrun"/>
                <w:rFonts w:ascii="Verdana" w:eastAsiaTheme="minorHAnsi" w:hAnsi="Verdana" w:cstheme="minorBidi"/>
                <w:sz w:val="16"/>
                <w:szCs w:val="16"/>
                <w:lang w:eastAsia="en-US"/>
              </w:rPr>
            </w:pPr>
            <w:r w:rsidRPr="0023577C">
              <w:rPr>
                <w:rStyle w:val="normaltextrun"/>
                <w:rFonts w:ascii="Verdana" w:eastAsiaTheme="minorHAnsi" w:hAnsi="Verdana" w:cstheme="minorBidi"/>
                <w:sz w:val="16"/>
                <w:szCs w:val="16"/>
                <w:lang w:eastAsia="en-US"/>
              </w:rPr>
              <w:t>Contratista de la Subdirección de Gestión Contractual</w:t>
            </w:r>
            <w:r w:rsidRPr="0063536A">
              <w:rPr>
                <w:rStyle w:val="normaltextrun"/>
                <w:rFonts w:ascii="Verdana" w:eastAsiaTheme="minorHAnsi" w:hAnsi="Verdana" w:cstheme="minorBidi"/>
                <w:sz w:val="16"/>
                <w:szCs w:val="16"/>
                <w:lang w:eastAsia="en-US"/>
              </w:rPr>
              <w:t> </w:t>
            </w:r>
          </w:p>
        </w:tc>
      </w:tr>
      <w:tr w:rsidR="00FD6B24" w:rsidRPr="00EB1CF7" w14:paraId="1F69D3BA" w14:textId="77777777" w:rsidTr="00FC637B">
        <w:trPr>
          <w:trHeight w:val="300"/>
        </w:trPr>
        <w:tc>
          <w:tcPr>
            <w:tcW w:w="893" w:type="dxa"/>
            <w:vAlign w:val="center"/>
          </w:tcPr>
          <w:p w14:paraId="65D08ECE" w14:textId="77777777" w:rsidR="00FD6B24" w:rsidRPr="00EB1CF7" w:rsidRDefault="00FD6B24" w:rsidP="00FC637B">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D03750B" w14:textId="5B870E42" w:rsidR="00FD6B24" w:rsidRPr="00EB1CF7" w:rsidRDefault="003E062B" w:rsidP="00FC637B">
            <w:pPr>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Ana Maria Tolosa Rico</w:t>
            </w:r>
          </w:p>
          <w:p w14:paraId="58ADD24E" w14:textId="21A0F2AF" w:rsidR="00FD6B24" w:rsidRPr="00EB1CF7" w:rsidRDefault="00FD6B24" w:rsidP="00FC637B">
            <w:pPr>
              <w:contextualSpacing/>
              <w:rPr>
                <w:rFonts w:ascii="Verdana" w:eastAsia="Calibri" w:hAnsi="Verdana" w:cs="Arial"/>
                <w:sz w:val="16"/>
                <w:szCs w:val="16"/>
                <w:lang w:val="pt-BR" w:eastAsia="es-ES"/>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w:t>
            </w:r>
            <w:r w:rsidR="00F174AF" w:rsidRPr="00EB1CF7">
              <w:rPr>
                <w:rFonts w:ascii="Verdana" w:eastAsia="Calibri" w:hAnsi="Verdana" w:cs="Arial"/>
                <w:sz w:val="16"/>
                <w:szCs w:val="16"/>
                <w:lang w:val="pt-BR" w:eastAsia="es-ES"/>
              </w:rPr>
              <w:t>Contratual</w:t>
            </w:r>
            <w:r w:rsidRPr="00EB1CF7">
              <w:rPr>
                <w:rFonts w:ascii="Verdana" w:eastAsia="Calibri" w:hAnsi="Verdana" w:cs="Arial"/>
                <w:sz w:val="16"/>
                <w:szCs w:val="16"/>
                <w:lang w:val="pt-BR" w:eastAsia="es-ES"/>
              </w:rPr>
              <w:t xml:space="preserve"> </w:t>
            </w:r>
            <w:r w:rsidR="00F174AF">
              <w:rPr>
                <w:rFonts w:ascii="Verdana" w:eastAsia="Calibri" w:hAnsi="Verdana" w:cs="Arial"/>
                <w:sz w:val="16"/>
                <w:szCs w:val="16"/>
                <w:lang w:val="pt-BR" w:eastAsia="es-ES"/>
              </w:rPr>
              <w:t>(E)</w:t>
            </w:r>
            <w:r w:rsidRPr="00EB1CF7">
              <w:rPr>
                <w:rFonts w:ascii="Verdana" w:eastAsia="Calibri" w:hAnsi="Verdana" w:cs="Arial"/>
                <w:sz w:val="16"/>
                <w:szCs w:val="16"/>
                <w:lang w:val="pt-BR" w:eastAsia="es-ES"/>
              </w:rPr>
              <w:t>ANCP – CCE</w:t>
            </w:r>
            <w:r w:rsidR="003E062B">
              <w:rPr>
                <w:rFonts w:ascii="Verdana" w:eastAsia="Calibri" w:hAnsi="Verdana" w:cs="Arial"/>
                <w:sz w:val="16"/>
                <w:szCs w:val="16"/>
                <w:lang w:val="pt-BR" w:eastAsia="es-ES"/>
              </w:rPr>
              <w:t xml:space="preserve"> (E) </w:t>
            </w:r>
          </w:p>
        </w:tc>
      </w:tr>
      <w:bookmarkEnd w:id="0"/>
    </w:tbl>
    <w:p w14:paraId="39EC54CC" w14:textId="77777777" w:rsidR="00FD6B24" w:rsidRPr="00FE5A24" w:rsidRDefault="00FD6B24" w:rsidP="00FD6B24">
      <w:pPr>
        <w:spacing w:line="276" w:lineRule="auto"/>
        <w:jc w:val="center"/>
        <w:rPr>
          <w:rFonts w:ascii="Verdana" w:hAnsi="Verdana" w:cs="Arial"/>
          <w:color w:val="000000" w:themeColor="text1"/>
          <w:lang w:val="es-ES_tradnl" w:eastAsia="es-CO"/>
        </w:rPr>
      </w:pPr>
    </w:p>
    <w:p w14:paraId="3900974D" w14:textId="77777777" w:rsidR="003D5B0D" w:rsidRPr="00B32535" w:rsidRDefault="003D5B0D" w:rsidP="00B32535"/>
    <w:sectPr w:rsidR="003D5B0D" w:rsidRPr="00B32535"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8D989" w14:textId="77777777" w:rsidR="007969E1" w:rsidRDefault="007969E1" w:rsidP="004A1847">
      <w:pPr>
        <w:spacing w:after="0" w:line="240" w:lineRule="auto"/>
      </w:pPr>
      <w:r>
        <w:separator/>
      </w:r>
    </w:p>
  </w:endnote>
  <w:endnote w:type="continuationSeparator" w:id="0">
    <w:p w14:paraId="06DFA2C5" w14:textId="77777777" w:rsidR="007969E1" w:rsidRDefault="007969E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Yu Gothic UI Semibold">
    <w:panose1 w:val="020B07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D4814" w14:textId="77777777" w:rsidR="007969E1" w:rsidRDefault="007969E1" w:rsidP="004A1847">
      <w:pPr>
        <w:spacing w:after="0" w:line="240" w:lineRule="auto"/>
      </w:pPr>
      <w:r>
        <w:separator/>
      </w:r>
    </w:p>
  </w:footnote>
  <w:footnote w:type="continuationSeparator" w:id="0">
    <w:p w14:paraId="0589B3F7" w14:textId="77777777" w:rsidR="007969E1" w:rsidRDefault="007969E1" w:rsidP="004A1847">
      <w:pPr>
        <w:spacing w:after="0" w:line="240" w:lineRule="auto"/>
      </w:pPr>
      <w:r>
        <w:continuationSeparator/>
      </w:r>
    </w:p>
  </w:footnote>
  <w:footnote w:id="1">
    <w:p w14:paraId="0673963A" w14:textId="77777777" w:rsidR="00FD6B24" w:rsidRPr="00162FB2" w:rsidRDefault="00FD6B24" w:rsidP="00FD6B24">
      <w:pPr>
        <w:pStyle w:val="Textonotapie"/>
        <w:ind w:firstLine="709"/>
        <w:contextualSpacing/>
        <w:jc w:val="both"/>
        <w:rPr>
          <w:rFonts w:ascii="Verdana" w:hAnsi="Verdana" w:cs="Arial"/>
          <w:color w:val="000000" w:themeColor="text1"/>
          <w:sz w:val="16"/>
          <w:szCs w:val="16"/>
        </w:rPr>
      </w:pPr>
      <w:r w:rsidRPr="00162FB2">
        <w:rPr>
          <w:rStyle w:val="Refdenotaalpie"/>
          <w:rFonts w:ascii="Verdana" w:hAnsi="Verdana" w:cs="Arial"/>
          <w:sz w:val="16"/>
          <w:szCs w:val="16"/>
        </w:rPr>
        <w:footnoteRef/>
      </w:r>
      <w:r w:rsidRPr="00162FB2">
        <w:rPr>
          <w:rFonts w:ascii="Verdana" w:hAnsi="Verdana" w:cs="Arial"/>
          <w:sz w:val="16"/>
          <w:szCs w:val="16"/>
        </w:rPr>
        <w:t xml:space="preserve"> Decreto 1068 de 2015: “</w:t>
      </w:r>
      <w:r w:rsidRPr="00162FB2">
        <w:rPr>
          <w:rFonts w:ascii="Verdana" w:hAnsi="Verdana" w:cs="Arial"/>
          <w:color w:val="000000" w:themeColor="text1"/>
          <w:sz w:val="16"/>
          <w:szCs w:val="16"/>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1B56DD3B" w14:textId="77777777" w:rsidR="00FD6B24" w:rsidRPr="00162FB2" w:rsidRDefault="00FD6B24" w:rsidP="00FD6B24">
      <w:pPr>
        <w:pStyle w:val="Textonotapie"/>
        <w:ind w:firstLine="709"/>
        <w:contextualSpacing/>
        <w:jc w:val="both"/>
        <w:rPr>
          <w:rFonts w:ascii="Verdana" w:hAnsi="Verdana" w:cs="Arial"/>
          <w:color w:val="000000" w:themeColor="text1"/>
          <w:sz w:val="16"/>
          <w:szCs w:val="16"/>
        </w:rPr>
      </w:pPr>
      <w:r w:rsidRPr="00162FB2">
        <w:rPr>
          <w:rFonts w:ascii="Verdana" w:hAnsi="Verdana" w:cs="Arial"/>
          <w:color w:val="000000" w:themeColor="text1"/>
          <w:sz w:val="16"/>
          <w:szCs w:val="16"/>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6E71CFB6" w14:textId="77777777" w:rsidR="00FD6B24" w:rsidRPr="00162FB2" w:rsidRDefault="00FD6B24" w:rsidP="00FD6B24">
      <w:pPr>
        <w:pStyle w:val="Textonotapie"/>
        <w:ind w:firstLine="708"/>
        <w:contextualSpacing/>
        <w:jc w:val="both"/>
        <w:rPr>
          <w:rFonts w:ascii="Verdana" w:hAnsi="Verdana" w:cs="Arial"/>
          <w:sz w:val="16"/>
          <w:szCs w:val="16"/>
        </w:rPr>
      </w:pPr>
      <w:r w:rsidRPr="00162FB2">
        <w:rPr>
          <w:rFonts w:ascii="Verdana" w:hAnsi="Verdana" w:cs="Arial"/>
          <w:color w:val="000000" w:themeColor="text1"/>
          <w:sz w:val="16"/>
          <w:szCs w:val="16"/>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14:paraId="1F3A6A90" w14:textId="77777777" w:rsidR="00FD6B24" w:rsidRPr="00320AF8" w:rsidRDefault="00FD6B24" w:rsidP="00FD6B24">
      <w:pPr>
        <w:pStyle w:val="Textonotapie"/>
        <w:ind w:firstLine="708"/>
        <w:contextualSpacing/>
        <w:jc w:val="both"/>
        <w:rPr>
          <w:rFonts w:ascii="Verdana" w:hAnsi="Verdana" w:cs="Arial"/>
          <w:sz w:val="16"/>
          <w:szCs w:val="16"/>
        </w:rPr>
      </w:pPr>
      <w:r w:rsidRPr="0DAAAAE4">
        <w:rPr>
          <w:rFonts w:ascii="Verdana" w:hAnsi="Verdana" w:cs="Arial"/>
          <w:sz w:val="16"/>
          <w:szCs w:val="16"/>
        </w:rPr>
        <w:t xml:space="preserve"> </w:t>
      </w:r>
    </w:p>
  </w:footnote>
  <w:footnote w:id="2">
    <w:p w14:paraId="1F16CA17"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r w:rsidRPr="00162FB2">
        <w:rPr>
          <w:rStyle w:val="Refdenotaalpie"/>
          <w:rFonts w:ascii="Verdana" w:hAnsi="Verdana" w:cs="Arial"/>
          <w:color w:val="000000"/>
          <w:sz w:val="16"/>
          <w:szCs w:val="16"/>
        </w:rPr>
        <w:footnoteRef/>
      </w:r>
      <w:r w:rsidRPr="00162FB2">
        <w:rPr>
          <w:rFonts w:ascii="Verdana" w:hAnsi="Verdana" w:cs="Arial"/>
          <w:color w:val="000000"/>
          <w:sz w:val="16"/>
          <w:szCs w:val="16"/>
        </w:rPr>
        <w:t xml:space="preserve"> </w:t>
      </w:r>
      <w:r w:rsidRPr="00162FB2">
        <w:rPr>
          <w:rFonts w:ascii="Verdana" w:hAnsi="Verdana" w:cs="Arial"/>
          <w:color w:val="000000"/>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48539B8A"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r w:rsidRPr="00162FB2">
        <w:rPr>
          <w:rFonts w:ascii="Verdana" w:hAnsi="Verdana" w:cs="Arial"/>
          <w:color w:val="000000"/>
          <w:sz w:val="16"/>
          <w:szCs w:val="16"/>
          <w:lang w:val="es-ES"/>
        </w:rPr>
        <w:t>2. Quien presta el servicio se denomina trabajador, quien lo recibe y remunera, empleador, y la remuneración, cualquiera que sea su forma, salario”.</w:t>
      </w:r>
    </w:p>
    <w:p w14:paraId="4A82C60A"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p>
  </w:footnote>
  <w:footnote w:id="3">
    <w:p w14:paraId="15F43D5C"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r w:rsidRPr="00162FB2">
        <w:rPr>
          <w:rStyle w:val="Refdenotaalpie"/>
          <w:rFonts w:ascii="Verdana" w:hAnsi="Verdana" w:cs="Arial"/>
          <w:color w:val="000000"/>
          <w:sz w:val="16"/>
          <w:szCs w:val="16"/>
        </w:rPr>
        <w:footnoteRef/>
      </w:r>
      <w:r w:rsidRPr="00162FB2">
        <w:rPr>
          <w:rFonts w:ascii="Verdana" w:hAnsi="Verdana" w:cs="Arial"/>
          <w:color w:val="000000"/>
          <w:sz w:val="16"/>
          <w:szCs w:val="16"/>
          <w:lang w:val="pt-PT"/>
        </w:rPr>
        <w:t xml:space="preserve"> CORTE CONSTITUCIONAL. Sentencia C-154 de 1997. </w:t>
      </w:r>
      <w:r w:rsidRPr="00162FB2">
        <w:rPr>
          <w:rFonts w:ascii="Verdana" w:hAnsi="Verdana" w:cs="Arial"/>
          <w:color w:val="000000"/>
          <w:sz w:val="16"/>
          <w:szCs w:val="16"/>
          <w:lang w:val="es-ES"/>
        </w:rPr>
        <w:t>Magistrado Ponente: Hernando Herrera Vergara.</w:t>
      </w:r>
    </w:p>
    <w:p w14:paraId="55E2B016" w14:textId="77777777" w:rsidR="00FD6B24" w:rsidRPr="00320AF8" w:rsidRDefault="00FD6B24" w:rsidP="00FD6B24">
      <w:pPr>
        <w:pStyle w:val="Textonotapie"/>
        <w:ind w:firstLine="709"/>
        <w:contextualSpacing/>
        <w:jc w:val="both"/>
        <w:rPr>
          <w:rFonts w:ascii="Verdana" w:hAnsi="Verdana" w:cs="Arial"/>
          <w:color w:val="000000"/>
          <w:sz w:val="16"/>
          <w:szCs w:val="16"/>
          <w:lang w:val="es-ES"/>
        </w:rPr>
      </w:pPr>
    </w:p>
  </w:footnote>
  <w:footnote w:id="4">
    <w:p w14:paraId="748A28A3"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r w:rsidRPr="00162FB2">
        <w:rPr>
          <w:rStyle w:val="Refdenotaalpie"/>
          <w:rFonts w:ascii="Verdana" w:hAnsi="Verdana" w:cs="Arial"/>
          <w:color w:val="000000"/>
          <w:sz w:val="16"/>
          <w:szCs w:val="16"/>
        </w:rPr>
        <w:footnoteRef/>
      </w:r>
      <w:r w:rsidRPr="00162FB2">
        <w:rPr>
          <w:rFonts w:ascii="Verdana" w:hAnsi="Verdana" w:cs="Arial"/>
          <w:color w:val="000000"/>
          <w:sz w:val="16"/>
          <w:szCs w:val="16"/>
        </w:rPr>
        <w:t xml:space="preserve"> </w:t>
      </w:r>
      <w:r w:rsidRPr="00162FB2">
        <w:rPr>
          <w:rFonts w:ascii="Verdana" w:hAnsi="Verdana" w:cs="Arial"/>
          <w:color w:val="000000"/>
          <w:sz w:val="16"/>
          <w:szCs w:val="16"/>
          <w:lang w:val="es-ES"/>
        </w:rPr>
        <w:t>Ibíd.</w:t>
      </w:r>
    </w:p>
    <w:p w14:paraId="7345DD96"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p>
  </w:footnote>
  <w:footnote w:id="5">
    <w:p w14:paraId="5A52C4BE"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r w:rsidRPr="00162FB2">
        <w:rPr>
          <w:rStyle w:val="Refdenotaalpie"/>
          <w:rFonts w:ascii="Verdana" w:hAnsi="Verdana" w:cs="Arial"/>
          <w:color w:val="000000"/>
          <w:sz w:val="16"/>
          <w:szCs w:val="16"/>
        </w:rPr>
        <w:footnoteRef/>
      </w:r>
      <w:r w:rsidRPr="00162FB2">
        <w:rPr>
          <w:rFonts w:ascii="Verdana" w:hAnsi="Verdana" w:cs="Arial"/>
          <w:color w:val="000000"/>
          <w:sz w:val="16"/>
          <w:szCs w:val="16"/>
        </w:rPr>
        <w:t xml:space="preserve"> </w:t>
      </w:r>
      <w:r w:rsidRPr="00162FB2">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3452939A"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r w:rsidRPr="00162FB2">
        <w:rPr>
          <w:rFonts w:ascii="Verdana" w:hAnsi="Verdana" w:cs="Arial"/>
          <w:color w:val="000000"/>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5EF547F8"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r w:rsidRPr="00162FB2">
        <w:rPr>
          <w:rFonts w:ascii="Verdana" w:hAnsi="Verdana" w:cs="Arial"/>
          <w:color w:val="000000"/>
          <w:sz w:val="16"/>
          <w:szCs w:val="16"/>
          <w:lang w:val="es-ES"/>
        </w:rPr>
        <w:t>La Entidad Estatal, para la contratación de trabajos artísticos que solamente puedan en­comendarse a determinadas personas naturales, debe justificar esta situación en los estudios y documentos previos”.</w:t>
      </w:r>
    </w:p>
    <w:p w14:paraId="02D6EACF" w14:textId="77777777" w:rsidR="00FD6B24" w:rsidRPr="00320AF8" w:rsidRDefault="00FD6B24" w:rsidP="00FD6B24">
      <w:pPr>
        <w:pStyle w:val="Textonotapie"/>
        <w:ind w:firstLine="709"/>
        <w:contextualSpacing/>
        <w:jc w:val="both"/>
        <w:rPr>
          <w:rFonts w:ascii="Verdana" w:hAnsi="Verdana" w:cs="Arial"/>
          <w:color w:val="000000"/>
          <w:sz w:val="16"/>
          <w:szCs w:val="16"/>
          <w:lang w:val="es-ES"/>
        </w:rPr>
      </w:pPr>
    </w:p>
  </w:footnote>
  <w:footnote w:id="6">
    <w:p w14:paraId="09FAC864"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r w:rsidRPr="00162FB2">
        <w:rPr>
          <w:rStyle w:val="Refdenotaalpie"/>
          <w:rFonts w:ascii="Verdana" w:hAnsi="Verdana" w:cs="Arial"/>
          <w:color w:val="000000"/>
          <w:sz w:val="16"/>
          <w:szCs w:val="16"/>
        </w:rPr>
        <w:footnoteRef/>
      </w:r>
      <w:r w:rsidRPr="00162FB2">
        <w:rPr>
          <w:rFonts w:ascii="Verdana" w:hAnsi="Verdana" w:cs="Arial"/>
          <w:color w:val="000000"/>
          <w:sz w:val="16"/>
          <w:szCs w:val="16"/>
        </w:rPr>
        <w:t xml:space="preserve"> </w:t>
      </w:r>
      <w:r w:rsidRPr="00162FB2">
        <w:rPr>
          <w:rFonts w:ascii="Verdana" w:hAnsi="Verdana" w:cs="Arial"/>
          <w:color w:val="000000"/>
          <w:sz w:val="16"/>
          <w:szCs w:val="16"/>
          <w:lang w:val="es-ES"/>
        </w:rPr>
        <w:t>CONSEJO DE ESTADO. Sección Tercera. Subsección C. Sentencia del 2 de diciembre de 2013. Exp. 41719. Consejero Ponente: Jaime Orlando Santofimio Gamboa.</w:t>
      </w:r>
    </w:p>
    <w:p w14:paraId="74E658DA"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p>
  </w:footnote>
  <w:footnote w:id="7">
    <w:p w14:paraId="43EBA0B1"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r w:rsidRPr="00162FB2">
        <w:rPr>
          <w:rStyle w:val="Refdenotaalpie"/>
          <w:rFonts w:ascii="Verdana" w:hAnsi="Verdana" w:cs="Arial"/>
          <w:color w:val="000000"/>
          <w:sz w:val="16"/>
          <w:szCs w:val="16"/>
        </w:rPr>
        <w:footnoteRef/>
      </w:r>
      <w:r w:rsidRPr="00162FB2">
        <w:rPr>
          <w:rFonts w:ascii="Verdana" w:hAnsi="Verdana" w:cs="Arial"/>
          <w:color w:val="000000"/>
          <w:sz w:val="16"/>
          <w:szCs w:val="16"/>
        </w:rPr>
        <w:t xml:space="preserve"> </w:t>
      </w:r>
      <w:r w:rsidRPr="00162FB2">
        <w:rPr>
          <w:rFonts w:ascii="Verdana" w:hAnsi="Verdana" w:cs="Arial"/>
          <w:color w:val="000000"/>
          <w:sz w:val="16"/>
          <w:szCs w:val="16"/>
          <w:lang w:val="es-ES"/>
        </w:rPr>
        <w:t>Ibíd.</w:t>
      </w:r>
    </w:p>
    <w:p w14:paraId="41807A72"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p>
  </w:footnote>
  <w:footnote w:id="8">
    <w:p w14:paraId="78E64093"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r w:rsidRPr="00162FB2">
        <w:rPr>
          <w:rStyle w:val="Refdenotaalpie"/>
          <w:rFonts w:ascii="Verdana" w:hAnsi="Verdana" w:cs="Arial"/>
          <w:color w:val="000000"/>
          <w:sz w:val="16"/>
          <w:szCs w:val="16"/>
        </w:rPr>
        <w:footnoteRef/>
      </w:r>
      <w:r w:rsidRPr="00162FB2">
        <w:rPr>
          <w:rFonts w:ascii="Verdana" w:hAnsi="Verdana" w:cs="Arial"/>
          <w:color w:val="000000"/>
          <w:sz w:val="16"/>
          <w:szCs w:val="16"/>
        </w:rPr>
        <w:t xml:space="preserve"> </w:t>
      </w:r>
      <w:r w:rsidRPr="00162FB2">
        <w:rPr>
          <w:rFonts w:ascii="Verdana" w:hAnsi="Verdana" w:cs="Arial"/>
          <w:color w:val="000000"/>
          <w:sz w:val="16"/>
          <w:szCs w:val="16"/>
          <w:lang w:val="es-ES"/>
        </w:rPr>
        <w:t>Ibíd.</w:t>
      </w:r>
    </w:p>
    <w:p w14:paraId="34484D73" w14:textId="77777777" w:rsidR="00FD6B24" w:rsidRPr="00320AF8" w:rsidRDefault="00FD6B24" w:rsidP="00FD6B24">
      <w:pPr>
        <w:pStyle w:val="Textonotapie"/>
        <w:ind w:firstLine="709"/>
        <w:contextualSpacing/>
        <w:jc w:val="both"/>
        <w:rPr>
          <w:rFonts w:ascii="Verdana" w:hAnsi="Verdana" w:cs="Arial"/>
          <w:color w:val="000000"/>
          <w:sz w:val="16"/>
          <w:szCs w:val="16"/>
          <w:lang w:val="es-ES"/>
        </w:rPr>
      </w:pPr>
    </w:p>
  </w:footnote>
  <w:footnote w:id="9">
    <w:p w14:paraId="54D00CF8"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r w:rsidRPr="00162FB2">
        <w:rPr>
          <w:rStyle w:val="Refdenotaalpie"/>
          <w:rFonts w:ascii="Verdana" w:hAnsi="Verdana" w:cs="Arial"/>
          <w:color w:val="000000"/>
          <w:sz w:val="16"/>
          <w:szCs w:val="16"/>
        </w:rPr>
        <w:footnoteRef/>
      </w:r>
      <w:r w:rsidRPr="00162FB2">
        <w:rPr>
          <w:rFonts w:ascii="Verdana" w:hAnsi="Verdana" w:cs="Arial"/>
          <w:color w:val="000000"/>
          <w:sz w:val="16"/>
          <w:szCs w:val="16"/>
        </w:rPr>
        <w:t xml:space="preserve"> </w:t>
      </w:r>
      <w:r w:rsidRPr="00162FB2">
        <w:rPr>
          <w:rFonts w:ascii="Verdana" w:hAnsi="Verdana" w:cs="Arial"/>
          <w:color w:val="000000"/>
          <w:sz w:val="16"/>
          <w:szCs w:val="16"/>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4C8E57EA"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r w:rsidRPr="00162FB2">
        <w:rPr>
          <w:rFonts w:ascii="Verdana" w:hAnsi="Verdana" w:cs="Arial"/>
          <w:color w:val="000000"/>
          <w:sz w:val="16"/>
          <w:szCs w:val="16"/>
          <w:lang w:val="es-ES"/>
        </w:rPr>
        <w:t>Son también contratos de consultoría los que tienen por objeto la interventoría, asesoría, gerencia de obra o de proyectos, dirección, programación y la ejecución de diseños, planos, anteproyectos y proyectos.</w:t>
      </w:r>
    </w:p>
    <w:p w14:paraId="0BCF9356"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r w:rsidRPr="00162FB2">
        <w:rPr>
          <w:rFonts w:ascii="Verdana" w:hAnsi="Verdana" w:cs="Arial"/>
          <w:color w:val="000000"/>
          <w:sz w:val="16"/>
          <w:szCs w:val="16"/>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3554103A"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p>
  </w:footnote>
  <w:footnote w:id="10">
    <w:p w14:paraId="74FF4D92"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r w:rsidRPr="00162FB2">
        <w:rPr>
          <w:rStyle w:val="Refdenotaalpie"/>
          <w:rFonts w:ascii="Verdana" w:hAnsi="Verdana" w:cs="Arial"/>
          <w:color w:val="000000"/>
          <w:sz w:val="16"/>
          <w:szCs w:val="16"/>
        </w:rPr>
        <w:footnoteRef/>
      </w:r>
      <w:r w:rsidRPr="00162FB2">
        <w:rPr>
          <w:rFonts w:ascii="Verdana" w:hAnsi="Verdana" w:cs="Arial"/>
          <w:color w:val="000000"/>
          <w:sz w:val="16"/>
          <w:szCs w:val="16"/>
        </w:rPr>
        <w:t xml:space="preserve"> </w:t>
      </w:r>
      <w:r w:rsidRPr="00162FB2">
        <w:rPr>
          <w:rFonts w:ascii="Verdana" w:hAnsi="Verdana" w:cs="Arial"/>
          <w:color w:val="000000"/>
          <w:sz w:val="16"/>
          <w:szCs w:val="16"/>
          <w:lang w:val="es-ES"/>
        </w:rPr>
        <w:t>Así lo prevé el artículo 2.2.1.2.1.4.1. del Decreto 1082 de 2015: “La Entidad Estatal debe señalar en un acto administrativo la justificación para contratar bajo la modalidad de contratación directa, el cual debe contener:</w:t>
      </w:r>
    </w:p>
    <w:p w14:paraId="014FC557"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r w:rsidRPr="00162FB2">
        <w:rPr>
          <w:rFonts w:ascii="Verdana" w:hAnsi="Verdana" w:cs="Arial"/>
          <w:color w:val="000000"/>
          <w:sz w:val="16"/>
          <w:szCs w:val="16"/>
          <w:lang w:val="es-ES"/>
        </w:rPr>
        <w:t>1. La causal que invoca para contratar directamente.</w:t>
      </w:r>
    </w:p>
    <w:p w14:paraId="6C525246"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r w:rsidRPr="00162FB2">
        <w:rPr>
          <w:rFonts w:ascii="Verdana" w:hAnsi="Verdana" w:cs="Arial"/>
          <w:color w:val="000000"/>
          <w:sz w:val="16"/>
          <w:szCs w:val="16"/>
          <w:lang w:val="es-ES"/>
        </w:rPr>
        <w:t>2. El objeto del contrato.</w:t>
      </w:r>
    </w:p>
    <w:p w14:paraId="2D2B4610"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r w:rsidRPr="00162FB2">
        <w:rPr>
          <w:rFonts w:ascii="Verdana" w:hAnsi="Verdana" w:cs="Arial"/>
          <w:color w:val="000000"/>
          <w:sz w:val="16"/>
          <w:szCs w:val="16"/>
          <w:lang w:val="es-ES"/>
        </w:rPr>
        <w:t>3. El presupuesto para la contratación y las condiciones que exigirá al contratista.</w:t>
      </w:r>
    </w:p>
    <w:p w14:paraId="702B91C7"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r w:rsidRPr="00162FB2">
        <w:rPr>
          <w:rFonts w:ascii="Verdana" w:hAnsi="Verdana" w:cs="Arial"/>
          <w:color w:val="000000"/>
          <w:sz w:val="16"/>
          <w:szCs w:val="16"/>
          <w:lang w:val="es-ES"/>
        </w:rPr>
        <w:t>4. El lugar en el cual los interesados pueden consultar los estudios y documentos previos.</w:t>
      </w:r>
    </w:p>
    <w:p w14:paraId="52846173"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r w:rsidRPr="00162FB2">
        <w:rPr>
          <w:rFonts w:ascii="Verdana" w:hAnsi="Verdana" w:cs="Arial"/>
          <w:color w:val="000000"/>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3B9B50D2"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p>
  </w:footnote>
  <w:footnote w:id="11">
    <w:p w14:paraId="50784C2C"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r w:rsidRPr="00162FB2">
        <w:rPr>
          <w:rStyle w:val="Refdenotaalpie"/>
          <w:rFonts w:ascii="Verdana" w:hAnsi="Verdana" w:cs="Arial"/>
          <w:color w:val="000000"/>
          <w:sz w:val="16"/>
          <w:szCs w:val="16"/>
        </w:rPr>
        <w:footnoteRef/>
      </w:r>
      <w:r w:rsidRPr="00162FB2">
        <w:rPr>
          <w:rFonts w:ascii="Verdana" w:hAnsi="Verdana" w:cs="Arial"/>
          <w:color w:val="000000"/>
          <w:sz w:val="16"/>
          <w:szCs w:val="16"/>
        </w:rPr>
        <w:t xml:space="preserve"> </w:t>
      </w:r>
      <w:r w:rsidRPr="00162FB2">
        <w:rPr>
          <w:rFonts w:ascii="Verdana" w:hAnsi="Verdana" w:cs="Arial"/>
          <w:color w:val="000000"/>
          <w:sz w:val="16"/>
          <w:szCs w:val="16"/>
          <w:lang w:val="es-ES"/>
        </w:rPr>
        <w:t>Esta norma expresa: “</w:t>
      </w:r>
      <w:r w:rsidRPr="00162FB2">
        <w:rPr>
          <w:rFonts w:ascii="Verdana" w:hAnsi="Verdana" w:cs="Arial"/>
          <w:color w:val="000000"/>
          <w:sz w:val="16"/>
          <w:szCs w:val="16"/>
        </w:rPr>
        <w:t>P</w:t>
      </w:r>
      <w:r w:rsidRPr="00162FB2">
        <w:rPr>
          <w:rFonts w:ascii="Verdana" w:hAnsi="Verdana" w:cs="Arial"/>
          <w:color w:val="000000"/>
          <w:sz w:val="16"/>
          <w:szCs w:val="16"/>
          <w:lang w:val="es-ES"/>
        </w:rPr>
        <w:t>ara el cumplimiento de los fines de la contratación, las entidades estatales al celebrar un contrato:</w:t>
      </w:r>
    </w:p>
    <w:p w14:paraId="320F238E"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r w:rsidRPr="00162FB2">
        <w:rPr>
          <w:rFonts w:ascii="Verdana" w:hAnsi="Verdana" w:cs="Arial"/>
          <w:color w:val="000000"/>
          <w:sz w:val="16"/>
          <w:szCs w:val="16"/>
          <w:lang w:val="es-ES"/>
        </w:rPr>
        <w:t>[…]</w:t>
      </w:r>
    </w:p>
    <w:p w14:paraId="09D3C3D3" w14:textId="77777777" w:rsidR="00FD6B24" w:rsidRPr="00320AF8" w:rsidRDefault="00FD6B24" w:rsidP="00FD6B24">
      <w:pPr>
        <w:pStyle w:val="Textonotapie"/>
        <w:ind w:firstLine="709"/>
        <w:contextualSpacing/>
        <w:jc w:val="both"/>
        <w:rPr>
          <w:rFonts w:ascii="Verdana" w:hAnsi="Verdana" w:cs="Arial"/>
          <w:color w:val="000000"/>
          <w:sz w:val="16"/>
          <w:szCs w:val="16"/>
          <w:lang w:val="es-ES"/>
        </w:rPr>
      </w:pPr>
      <w:r w:rsidRPr="0DAAAAE4">
        <w:rPr>
          <w:rFonts w:ascii="Verdana" w:hAnsi="Verdana" w:cs="Arial"/>
          <w:color w:val="000000" w:themeColor="text1"/>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1C0C22D6"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r w:rsidRPr="00162FB2">
        <w:rPr>
          <w:rFonts w:ascii="Verdana" w:hAnsi="Verdana" w:cs="Arial"/>
          <w:color w:val="000000"/>
          <w:sz w:val="16"/>
          <w:szCs w:val="16"/>
          <w:lang w:val="es-ES"/>
        </w:rPr>
        <w:t>Las entidades estatales podrán pactar estas cláusulas en los contratos de suministro y de prestación de servicios.</w:t>
      </w:r>
    </w:p>
    <w:p w14:paraId="18A13387"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r w:rsidRPr="00162FB2">
        <w:rPr>
          <w:rFonts w:ascii="Verdana" w:hAnsi="Verdana" w:cs="Arial"/>
          <w:color w:val="000000"/>
          <w:sz w:val="16"/>
          <w:szCs w:val="16"/>
          <w:lang w:val="es-ES"/>
        </w:rPr>
        <w:t>[…]”.</w:t>
      </w:r>
    </w:p>
    <w:p w14:paraId="7B4275F7"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p>
  </w:footnote>
  <w:footnote w:id="12">
    <w:p w14:paraId="3FB48036"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r w:rsidRPr="00162FB2">
        <w:rPr>
          <w:rStyle w:val="Refdenotaalpie"/>
          <w:rFonts w:ascii="Verdana" w:hAnsi="Verdana" w:cs="Arial"/>
          <w:color w:val="000000"/>
          <w:sz w:val="16"/>
          <w:szCs w:val="16"/>
        </w:rPr>
        <w:footnoteRef/>
      </w:r>
      <w:r w:rsidRPr="00162FB2">
        <w:rPr>
          <w:rFonts w:ascii="Verdana" w:hAnsi="Verdana" w:cs="Arial"/>
          <w:color w:val="000000"/>
          <w:sz w:val="16"/>
          <w:szCs w:val="16"/>
        </w:rPr>
        <w:t xml:space="preserve"> </w:t>
      </w:r>
      <w:r w:rsidRPr="00162FB2">
        <w:rPr>
          <w:rFonts w:ascii="Verdana" w:hAnsi="Verdana" w:cs="Arial"/>
          <w:color w:val="000000"/>
          <w:sz w:val="16"/>
          <w:szCs w:val="16"/>
          <w:lang w:val="es-ES"/>
        </w:rPr>
        <w:t>La norma dispone: “La liquidación a que se refiere el presente artículo no será obligatoria en los contratos de prestación de servicios profesionales y de apoyo a la gestión”.</w:t>
      </w:r>
    </w:p>
    <w:p w14:paraId="0AA77EA6"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p>
  </w:footnote>
  <w:footnote w:id="13">
    <w:p w14:paraId="56B2506A" w14:textId="77777777" w:rsidR="00FD6B24" w:rsidRPr="00162FB2" w:rsidRDefault="00FD6B24" w:rsidP="00FD6B24">
      <w:pPr>
        <w:pStyle w:val="Textonotapie"/>
        <w:ind w:firstLine="709"/>
        <w:contextualSpacing/>
        <w:jc w:val="both"/>
        <w:rPr>
          <w:rFonts w:ascii="Verdana" w:hAnsi="Verdana" w:cs="Arial"/>
          <w:color w:val="000000"/>
          <w:sz w:val="16"/>
          <w:szCs w:val="16"/>
        </w:rPr>
      </w:pPr>
      <w:r w:rsidRPr="00162FB2">
        <w:rPr>
          <w:rStyle w:val="Refdenotaalpie"/>
          <w:rFonts w:ascii="Verdana" w:hAnsi="Verdana" w:cs="Arial"/>
          <w:color w:val="000000"/>
          <w:sz w:val="16"/>
          <w:szCs w:val="16"/>
        </w:rPr>
        <w:footnoteRef/>
      </w:r>
      <w:r w:rsidRPr="00162FB2">
        <w:rPr>
          <w:rFonts w:ascii="Verdana" w:hAnsi="Verdana" w:cs="Arial"/>
          <w:color w:val="000000"/>
          <w:sz w:val="16"/>
          <w:szCs w:val="16"/>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1C3CF7F" w14:textId="77777777" w:rsidR="00FD6B24" w:rsidRPr="00162FB2" w:rsidRDefault="00FD6B24" w:rsidP="00FD6B24">
      <w:pPr>
        <w:pStyle w:val="Textonotapie"/>
        <w:ind w:firstLine="709"/>
        <w:contextualSpacing/>
        <w:jc w:val="both"/>
        <w:rPr>
          <w:rFonts w:ascii="Verdana" w:hAnsi="Verdana" w:cs="Arial"/>
          <w:color w:val="000000"/>
          <w:sz w:val="16"/>
          <w:szCs w:val="16"/>
        </w:rPr>
      </w:pPr>
      <w:r w:rsidRPr="00162FB2">
        <w:rPr>
          <w:rFonts w:ascii="Verdana" w:hAnsi="Verdana" w:cs="Arial"/>
          <w:color w:val="000000"/>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1FFBFE93" w14:textId="77777777" w:rsidR="00FD6B24" w:rsidRPr="00162FB2" w:rsidRDefault="00FD6B24" w:rsidP="00FD6B24">
      <w:pPr>
        <w:pStyle w:val="Textonotapie"/>
        <w:ind w:firstLine="709"/>
        <w:contextualSpacing/>
        <w:jc w:val="both"/>
        <w:rPr>
          <w:rFonts w:ascii="Verdana" w:hAnsi="Verdana" w:cs="Arial"/>
          <w:color w:val="000000"/>
          <w:sz w:val="16"/>
          <w:szCs w:val="16"/>
        </w:rPr>
      </w:pPr>
      <w:r w:rsidRPr="00162FB2">
        <w:rPr>
          <w:rFonts w:ascii="Verdana" w:hAnsi="Verdana" w:cs="Arial"/>
          <w:color w:val="000000"/>
          <w:sz w:val="16"/>
          <w:szCs w:val="16"/>
        </w:rPr>
        <w:t>[…]”.</w:t>
      </w:r>
    </w:p>
    <w:p w14:paraId="2162132A"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p>
  </w:footnote>
  <w:footnote w:id="14">
    <w:p w14:paraId="4A85E9DB"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r w:rsidRPr="00162FB2">
        <w:rPr>
          <w:rStyle w:val="Refdenotaalpie"/>
          <w:rFonts w:ascii="Verdana" w:hAnsi="Verdana" w:cs="Arial"/>
          <w:color w:val="000000"/>
          <w:sz w:val="16"/>
          <w:szCs w:val="16"/>
        </w:rPr>
        <w:footnoteRef/>
      </w:r>
      <w:r w:rsidRPr="00162FB2">
        <w:rPr>
          <w:rFonts w:ascii="Verdana" w:hAnsi="Verdana" w:cs="Arial"/>
          <w:color w:val="000000"/>
          <w:sz w:val="16"/>
          <w:szCs w:val="16"/>
        </w:rPr>
        <w:t xml:space="preserve"> </w:t>
      </w:r>
      <w:r w:rsidRPr="00162FB2">
        <w:rPr>
          <w:rFonts w:ascii="Verdana" w:hAnsi="Verdana" w:cs="Arial"/>
          <w:color w:val="000000"/>
          <w:sz w:val="16"/>
          <w:szCs w:val="16"/>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0E6947DC" w14:textId="77777777" w:rsidR="00FD6B24" w:rsidRPr="00162FB2" w:rsidRDefault="00FD6B24" w:rsidP="00FD6B24">
      <w:pPr>
        <w:pStyle w:val="Textonotapie"/>
        <w:ind w:firstLine="709"/>
        <w:contextualSpacing/>
        <w:jc w:val="both"/>
        <w:rPr>
          <w:rFonts w:ascii="Verdana" w:hAnsi="Verdana" w:cs="Arial"/>
          <w:color w:val="000000"/>
          <w:sz w:val="16"/>
          <w:szCs w:val="16"/>
          <w:lang w:val="es-ES"/>
        </w:rPr>
      </w:pPr>
    </w:p>
  </w:footnote>
  <w:footnote w:id="15">
    <w:p w14:paraId="77F67977" w14:textId="77777777" w:rsidR="00FD6B24" w:rsidRPr="00162FB2" w:rsidRDefault="00FD6B24" w:rsidP="00FD6B24">
      <w:pPr>
        <w:pStyle w:val="Textonotapie"/>
        <w:ind w:firstLine="707"/>
        <w:contextualSpacing/>
        <w:jc w:val="both"/>
        <w:rPr>
          <w:rFonts w:ascii="Verdana" w:hAnsi="Verdana" w:cs="Arial"/>
          <w:sz w:val="16"/>
          <w:szCs w:val="16"/>
        </w:rPr>
      </w:pPr>
      <w:r w:rsidRPr="00162FB2">
        <w:rPr>
          <w:rStyle w:val="Refdenotaalpie"/>
          <w:rFonts w:ascii="Verdana" w:hAnsi="Verdana" w:cs="Arial"/>
          <w:sz w:val="16"/>
          <w:szCs w:val="16"/>
        </w:rPr>
        <w:footnoteRef/>
      </w:r>
      <w:r w:rsidRPr="00162FB2">
        <w:rPr>
          <w:rFonts w:ascii="Verdana" w:hAnsi="Verdana" w:cs="Arial"/>
          <w:sz w:val="16"/>
          <w:szCs w:val="16"/>
        </w:rPr>
        <w:t xml:space="preserve"> El artículo 6 de la Ley 80 de 1993 dispone “Pueden celebrar contratos con las entidades estatales las personas consideradas legalmente capaces en las disposiciones vigentes. También podrán celebrar contratos con las entidades estatales, los consorcios y uniones temporales. Las personas jurídicas nacionales y extranjeras deberán acreditar que su duración no será inferior a la del plazo del contrato y un año más”.</w:t>
      </w:r>
    </w:p>
  </w:footnote>
  <w:footnote w:id="16">
    <w:p w14:paraId="459ED36D" w14:textId="77777777" w:rsidR="00FD6B24" w:rsidRPr="00162FB2" w:rsidRDefault="00FD6B24" w:rsidP="00FD6B24">
      <w:pPr>
        <w:pStyle w:val="Textonotapie"/>
        <w:contextualSpacing/>
        <w:jc w:val="both"/>
        <w:rPr>
          <w:rFonts w:ascii="Verdana" w:hAnsi="Verdana" w:cs="Arial"/>
          <w:sz w:val="16"/>
          <w:szCs w:val="16"/>
        </w:rPr>
      </w:pPr>
    </w:p>
    <w:p w14:paraId="7921C68C" w14:textId="77777777" w:rsidR="00FD6B24" w:rsidRPr="00320AF8" w:rsidRDefault="00FD6B24" w:rsidP="00FD6B24">
      <w:pPr>
        <w:pStyle w:val="Textonotapie"/>
        <w:ind w:firstLine="707"/>
        <w:contextualSpacing/>
        <w:jc w:val="both"/>
        <w:rPr>
          <w:rFonts w:ascii="Verdana" w:hAnsi="Verdana" w:cs="Arial"/>
          <w:sz w:val="16"/>
          <w:szCs w:val="16"/>
        </w:rPr>
      </w:pPr>
      <w:r w:rsidRPr="00162FB2">
        <w:rPr>
          <w:rStyle w:val="Refdenotaalpie"/>
          <w:rFonts w:ascii="Verdana" w:hAnsi="Verdana" w:cs="Arial"/>
          <w:sz w:val="16"/>
          <w:szCs w:val="16"/>
        </w:rPr>
        <w:footnoteRef/>
      </w:r>
      <w:r w:rsidRPr="00162FB2">
        <w:rPr>
          <w:rFonts w:ascii="Verdana" w:hAnsi="Verdana" w:cs="Arial"/>
          <w:sz w:val="16"/>
          <w:szCs w:val="16"/>
        </w:rPr>
        <w:t xml:space="preserve"> Artículo 1502 del Código Civil.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4.25pt;height:14.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B2122E2"/>
    <w:multiLevelType w:val="hybridMultilevel"/>
    <w:tmpl w:val="54E0A1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6802056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FC0"/>
    <w:rsid w:val="00016F78"/>
    <w:rsid w:val="00044A37"/>
    <w:rsid w:val="00046945"/>
    <w:rsid w:val="00061B2A"/>
    <w:rsid w:val="00082362"/>
    <w:rsid w:val="00091451"/>
    <w:rsid w:val="000A683E"/>
    <w:rsid w:val="000B19B9"/>
    <w:rsid w:val="000D0334"/>
    <w:rsid w:val="000F6486"/>
    <w:rsid w:val="00125105"/>
    <w:rsid w:val="00127233"/>
    <w:rsid w:val="0013614A"/>
    <w:rsid w:val="001511A0"/>
    <w:rsid w:val="00166609"/>
    <w:rsid w:val="001E0747"/>
    <w:rsid w:val="001E3620"/>
    <w:rsid w:val="001E4177"/>
    <w:rsid w:val="001F7DC6"/>
    <w:rsid w:val="002421BB"/>
    <w:rsid w:val="0025796E"/>
    <w:rsid w:val="002707A2"/>
    <w:rsid w:val="002736AE"/>
    <w:rsid w:val="0029044F"/>
    <w:rsid w:val="002951A0"/>
    <w:rsid w:val="002962BC"/>
    <w:rsid w:val="002A093D"/>
    <w:rsid w:val="002A0DD0"/>
    <w:rsid w:val="002A49AC"/>
    <w:rsid w:val="002A64FD"/>
    <w:rsid w:val="002C7A84"/>
    <w:rsid w:val="002E4FD9"/>
    <w:rsid w:val="00320AF8"/>
    <w:rsid w:val="00322A85"/>
    <w:rsid w:val="00324168"/>
    <w:rsid w:val="00337C63"/>
    <w:rsid w:val="003448F4"/>
    <w:rsid w:val="00374F5E"/>
    <w:rsid w:val="00377E3E"/>
    <w:rsid w:val="003A779E"/>
    <w:rsid w:val="003D0F4D"/>
    <w:rsid w:val="003D5B0D"/>
    <w:rsid w:val="003E0499"/>
    <w:rsid w:val="003E062B"/>
    <w:rsid w:val="003F3941"/>
    <w:rsid w:val="00406575"/>
    <w:rsid w:val="00414C74"/>
    <w:rsid w:val="0042722E"/>
    <w:rsid w:val="0044528D"/>
    <w:rsid w:val="004A1847"/>
    <w:rsid w:val="004A305D"/>
    <w:rsid w:val="004D5E8E"/>
    <w:rsid w:val="004E68C7"/>
    <w:rsid w:val="004F21C4"/>
    <w:rsid w:val="004F685F"/>
    <w:rsid w:val="0052749D"/>
    <w:rsid w:val="005566E8"/>
    <w:rsid w:val="00574867"/>
    <w:rsid w:val="0058695B"/>
    <w:rsid w:val="00591460"/>
    <w:rsid w:val="005B3816"/>
    <w:rsid w:val="005C3777"/>
    <w:rsid w:val="005C5CDC"/>
    <w:rsid w:val="005D476C"/>
    <w:rsid w:val="006219F8"/>
    <w:rsid w:val="00624EF5"/>
    <w:rsid w:val="00654842"/>
    <w:rsid w:val="00665D70"/>
    <w:rsid w:val="00684F69"/>
    <w:rsid w:val="006900D9"/>
    <w:rsid w:val="006B3345"/>
    <w:rsid w:val="006B401F"/>
    <w:rsid w:val="00706C16"/>
    <w:rsid w:val="00756841"/>
    <w:rsid w:val="007649AB"/>
    <w:rsid w:val="00771D0C"/>
    <w:rsid w:val="007826C4"/>
    <w:rsid w:val="007833AC"/>
    <w:rsid w:val="007833CA"/>
    <w:rsid w:val="007969E1"/>
    <w:rsid w:val="007B268C"/>
    <w:rsid w:val="007B7171"/>
    <w:rsid w:val="007C0C0F"/>
    <w:rsid w:val="007C3DC2"/>
    <w:rsid w:val="007E2EDA"/>
    <w:rsid w:val="007E5497"/>
    <w:rsid w:val="00806F5F"/>
    <w:rsid w:val="00820278"/>
    <w:rsid w:val="00867F95"/>
    <w:rsid w:val="00875776"/>
    <w:rsid w:val="008843B6"/>
    <w:rsid w:val="00891928"/>
    <w:rsid w:val="008A446D"/>
    <w:rsid w:val="008D180B"/>
    <w:rsid w:val="008E4D63"/>
    <w:rsid w:val="008F0EA7"/>
    <w:rsid w:val="00923EEF"/>
    <w:rsid w:val="009419F9"/>
    <w:rsid w:val="0095685E"/>
    <w:rsid w:val="00961B09"/>
    <w:rsid w:val="00965334"/>
    <w:rsid w:val="0097093E"/>
    <w:rsid w:val="009803EE"/>
    <w:rsid w:val="00986AC5"/>
    <w:rsid w:val="009A0DFA"/>
    <w:rsid w:val="009B2D26"/>
    <w:rsid w:val="009C71FA"/>
    <w:rsid w:val="009C72E7"/>
    <w:rsid w:val="009D3058"/>
    <w:rsid w:val="009E2C58"/>
    <w:rsid w:val="009E6D28"/>
    <w:rsid w:val="009F3A13"/>
    <w:rsid w:val="00A122D3"/>
    <w:rsid w:val="00A17F13"/>
    <w:rsid w:val="00A20739"/>
    <w:rsid w:val="00A33C78"/>
    <w:rsid w:val="00A7430F"/>
    <w:rsid w:val="00AB0ADB"/>
    <w:rsid w:val="00AB1261"/>
    <w:rsid w:val="00AC7576"/>
    <w:rsid w:val="00B01B1A"/>
    <w:rsid w:val="00B32535"/>
    <w:rsid w:val="00B66319"/>
    <w:rsid w:val="00B72CD3"/>
    <w:rsid w:val="00B72FFF"/>
    <w:rsid w:val="00B8016E"/>
    <w:rsid w:val="00BA678B"/>
    <w:rsid w:val="00BB7E97"/>
    <w:rsid w:val="00BC3D36"/>
    <w:rsid w:val="00BD3503"/>
    <w:rsid w:val="00BD7F72"/>
    <w:rsid w:val="00BE6E63"/>
    <w:rsid w:val="00BF588D"/>
    <w:rsid w:val="00C04FB3"/>
    <w:rsid w:val="00C330EB"/>
    <w:rsid w:val="00C41061"/>
    <w:rsid w:val="00C754BE"/>
    <w:rsid w:val="00C759C2"/>
    <w:rsid w:val="00C76B1C"/>
    <w:rsid w:val="00CB6357"/>
    <w:rsid w:val="00CC1B26"/>
    <w:rsid w:val="00CE54CE"/>
    <w:rsid w:val="00D423A2"/>
    <w:rsid w:val="00D520D8"/>
    <w:rsid w:val="00D63AC2"/>
    <w:rsid w:val="00D65F7A"/>
    <w:rsid w:val="00D7383B"/>
    <w:rsid w:val="00DA231B"/>
    <w:rsid w:val="00DC39FC"/>
    <w:rsid w:val="00DF5254"/>
    <w:rsid w:val="00E16408"/>
    <w:rsid w:val="00E20894"/>
    <w:rsid w:val="00E245AB"/>
    <w:rsid w:val="00E2764C"/>
    <w:rsid w:val="00E27F2E"/>
    <w:rsid w:val="00E421E6"/>
    <w:rsid w:val="00E50AFE"/>
    <w:rsid w:val="00E67441"/>
    <w:rsid w:val="00E75C92"/>
    <w:rsid w:val="00E771DC"/>
    <w:rsid w:val="00E8772A"/>
    <w:rsid w:val="00E90F6B"/>
    <w:rsid w:val="00E92C27"/>
    <w:rsid w:val="00EA0E3D"/>
    <w:rsid w:val="00EB6C44"/>
    <w:rsid w:val="00EC38A7"/>
    <w:rsid w:val="00ED7384"/>
    <w:rsid w:val="00EE1AA8"/>
    <w:rsid w:val="00F174AF"/>
    <w:rsid w:val="00F31EDC"/>
    <w:rsid w:val="00F462B3"/>
    <w:rsid w:val="00F5664F"/>
    <w:rsid w:val="00F666C4"/>
    <w:rsid w:val="00F76AFC"/>
    <w:rsid w:val="00FA47C0"/>
    <w:rsid w:val="00FB5DD1"/>
    <w:rsid w:val="00FC2B5D"/>
    <w:rsid w:val="00FC375F"/>
    <w:rsid w:val="00FD5383"/>
    <w:rsid w:val="00FD6B24"/>
    <w:rsid w:val="00FF1449"/>
    <w:rsid w:val="0DAAAAE4"/>
    <w:rsid w:val="1455B6A0"/>
    <w:rsid w:val="165E9519"/>
    <w:rsid w:val="229D7B5D"/>
    <w:rsid w:val="382536D9"/>
    <w:rsid w:val="625C9C90"/>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D6B2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D6B24"/>
    <w:rPr>
      <w:rFonts w:ascii="Geomanist Light" w:hAnsi="Geomanist Light"/>
      <w:lang w:val="es-ES"/>
    </w:rPr>
  </w:style>
  <w:style w:type="paragraph" w:styleId="Textoindependiente">
    <w:name w:val="Body Text"/>
    <w:basedOn w:val="Normal"/>
    <w:link w:val="TextoindependienteCar"/>
    <w:uiPriority w:val="1"/>
    <w:qFormat/>
    <w:rsid w:val="00FD6B24"/>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FD6B24"/>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providencias-consejo-de-esta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rteconstitucional.gov./relatoria/"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cartilla-para-incentivar-y-fortalecer-el-acceso-las&amp;data=05%7C02%7Cana.bonilla%40colombiacompra.gov.co%7Ceb0fd05604104aa4d3bc08dd4c4ad35e%7C7b09041e245149d08cb179d5e3d8c1be%7C0%7C0%7C638750606446092694%7CUnknown%7CTWFpbGZsb3d8eyJFbXB0eU1hcGkiOnRydWUsIlYiOiIwLjAuMDAwMCIsIlAiOiJXaW4zMiIsIkFOIjoiTWFpbCIsIldUIjoyfQ%3D%3D%7C0%7C%7C%7C&amp;sdata=iuMSUNSIHYcn%2By48hB4feMl9Ay5ZO5BW821EblA%2BTsw%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bogado.jairocelis@gmail.com" TargetMode="Externa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providencias-consejo-de-estad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9755EB2-BFCF-4C7E-8309-96196D924A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d3b1a209-6428-47ff-99e7-c80af9907737"/>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4191</Words>
  <Characters>23056</Characters>
  <Application>Microsoft Office Word</Application>
  <DocSecurity>0</DocSecurity>
  <Lines>192</Lines>
  <Paragraphs>54</Paragraphs>
  <ScaleCrop>false</ScaleCrop>
  <Company/>
  <LinksUpToDate>false</LinksUpToDate>
  <CharactersWithSpaces>27193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2025-08-05T23:43:00Z</dcterms:created>
  <dcterms:modified xsi:type="dcterms:W3CDTF">2025-08-05T23:43:00Z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