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8A53469" w14:textId="77777777" w:rsidR="00205079" w:rsidRPr="00205079" w:rsidRDefault="00205079" w:rsidP="00205079">
      <w:pPr>
        <w:spacing w:after="0" w:line="240" w:lineRule="auto"/>
        <w:jc w:val="both"/>
        <w:rPr>
          <w:rFonts w:ascii="Arial" w:eastAsia="Calibri" w:hAnsi="Arial" w:cs="Arial"/>
          <w:sz w:val="21"/>
          <w:szCs w:val="21"/>
          <w:lang w:val="es-MX"/>
        </w:rPr>
      </w:pPr>
      <w:bookmarkStart w:id="0" w:name="_Hlk34951122"/>
      <w:r w:rsidRPr="00205079">
        <w:rPr>
          <w:rFonts w:ascii="Arial" w:eastAsia="Calibri" w:hAnsi="Arial" w:cs="Arial"/>
          <w:b/>
          <w:sz w:val="21"/>
          <w:szCs w:val="21"/>
          <w:lang w:val="es-MX"/>
        </w:rPr>
        <w:t>PLAN ANUAL DE ADQUISICIONES – Plan de acción</w:t>
      </w:r>
    </w:p>
    <w:p w14:paraId="44D85DBC" w14:textId="77777777" w:rsidR="00205079" w:rsidRPr="00205079" w:rsidRDefault="00205079" w:rsidP="00205079">
      <w:pPr>
        <w:spacing w:after="0" w:line="240" w:lineRule="auto"/>
        <w:jc w:val="both"/>
        <w:rPr>
          <w:rFonts w:ascii="Arial" w:eastAsia="Calibri" w:hAnsi="Arial" w:cs="Arial"/>
          <w:bCs/>
          <w:sz w:val="20"/>
          <w:szCs w:val="20"/>
          <w:lang w:val="es-MX" w:eastAsia="en-GB"/>
        </w:rPr>
      </w:pPr>
    </w:p>
    <w:p w14:paraId="3B90DAFA" w14:textId="77777777" w:rsidR="00205079" w:rsidRPr="00205079" w:rsidRDefault="00205079" w:rsidP="00205079">
      <w:pPr>
        <w:spacing w:after="0" w:line="240" w:lineRule="auto"/>
        <w:jc w:val="both"/>
        <w:rPr>
          <w:rFonts w:ascii="Arial" w:eastAsia="Calibri" w:hAnsi="Arial" w:cs="Arial"/>
          <w:sz w:val="20"/>
          <w:szCs w:val="20"/>
          <w:lang w:val="es-ES" w:eastAsia="en-GB"/>
        </w:rPr>
      </w:pPr>
      <w:r w:rsidRPr="00205079">
        <w:rPr>
          <w:rFonts w:ascii="Arial" w:eastAsia="Calibri" w:hAnsi="Arial" w:cs="Arial"/>
          <w:sz w:val="20"/>
          <w:szCs w:val="20"/>
          <w:lang w:val="es-ES" w:eastAsia="en-GB"/>
        </w:rPr>
        <w:t>El artículo 74 de la Ley 1474 establece, que «todas las entidades del Estado» deben publicar, a más tardar el 31 de enero de cada año, en su respectiva página web, el plan de acción, en el cual se incluye el plan general de compras. El plan general de compras para el ordenamiento vigente corresponde con el concepto de plan anual de adquisiciones como lo establece el artículo 2.2.1.1.1.3.1. del Decreto 1082 de 2015.</w:t>
      </w:r>
    </w:p>
    <w:p w14:paraId="3F2D6EF4" w14:textId="77777777" w:rsidR="00205079" w:rsidRPr="00205079" w:rsidRDefault="00205079" w:rsidP="00205079">
      <w:pPr>
        <w:widowControl w:val="0"/>
        <w:autoSpaceDE w:val="0"/>
        <w:autoSpaceDN w:val="0"/>
        <w:spacing w:before="94" w:after="0" w:line="240" w:lineRule="auto"/>
        <w:ind w:right="533"/>
        <w:jc w:val="both"/>
        <w:rPr>
          <w:rFonts w:ascii="Arial" w:eastAsia="Arial MT" w:hAnsi="Arial MT" w:cs="Arial MT"/>
          <w:b/>
          <w:color w:val="585858"/>
          <w:sz w:val="20"/>
          <w:szCs w:val="20"/>
          <w:lang w:val="es-ES"/>
        </w:rPr>
      </w:pPr>
    </w:p>
    <w:p w14:paraId="4D066114" w14:textId="043C9B41" w:rsidR="00205079" w:rsidRPr="00205079" w:rsidRDefault="00205079" w:rsidP="00205079">
      <w:pPr>
        <w:spacing w:after="0" w:line="240" w:lineRule="auto"/>
        <w:jc w:val="both"/>
        <w:rPr>
          <w:rFonts w:ascii="Arial" w:eastAsia="Calibri" w:hAnsi="Arial" w:cs="Arial"/>
          <w:b/>
          <w:sz w:val="21"/>
          <w:szCs w:val="21"/>
          <w:lang w:val="es-ES" w:eastAsia="en-GB"/>
        </w:rPr>
      </w:pPr>
      <w:r w:rsidRPr="00205079">
        <w:rPr>
          <w:rFonts w:ascii="Arial" w:eastAsia="Calibri" w:hAnsi="Arial" w:cs="Arial"/>
          <w:b/>
          <w:sz w:val="21"/>
          <w:szCs w:val="21"/>
          <w:lang w:val="es-ES" w:eastAsia="en-GB"/>
        </w:rPr>
        <w:t>P</w:t>
      </w:r>
      <w:r w:rsidRPr="00205079">
        <w:rPr>
          <w:rFonts w:ascii="Arial" w:eastAsia="Calibri" w:hAnsi="Arial" w:cs="Arial"/>
          <w:b/>
          <w:sz w:val="21"/>
          <w:szCs w:val="21"/>
          <w:lang w:val="es-MX"/>
        </w:rPr>
        <w:t xml:space="preserve">LAN ANUAL DE ADQUISICIONES – Publicidad – Entidades </w:t>
      </w:r>
      <w:r w:rsidR="021514E1" w:rsidRPr="6D55F041">
        <w:rPr>
          <w:rFonts w:ascii="Arial" w:eastAsia="Calibri" w:hAnsi="Arial" w:cs="Arial"/>
          <w:b/>
          <w:bCs/>
          <w:sz w:val="21"/>
          <w:szCs w:val="21"/>
          <w:lang w:val="es-MX"/>
        </w:rPr>
        <w:t>E</w:t>
      </w:r>
      <w:r w:rsidRPr="6D55F041">
        <w:rPr>
          <w:rFonts w:ascii="Arial" w:eastAsia="Calibri" w:hAnsi="Arial" w:cs="Arial"/>
          <w:b/>
          <w:bCs/>
          <w:sz w:val="21"/>
          <w:szCs w:val="21"/>
          <w:lang w:val="es-MX"/>
        </w:rPr>
        <w:t>statales</w:t>
      </w:r>
      <w:r w:rsidRPr="00205079">
        <w:rPr>
          <w:rFonts w:ascii="Arial" w:eastAsia="Calibri" w:hAnsi="Arial" w:cs="Arial"/>
          <w:b/>
          <w:sz w:val="21"/>
          <w:szCs w:val="21"/>
          <w:lang w:val="es-MX"/>
        </w:rPr>
        <w:t xml:space="preserve"> obligadas</w:t>
      </w:r>
    </w:p>
    <w:p w14:paraId="08C71F53" w14:textId="77777777" w:rsidR="00205079" w:rsidRPr="00205079" w:rsidRDefault="00205079" w:rsidP="00205079">
      <w:pPr>
        <w:spacing w:after="0" w:line="240" w:lineRule="auto"/>
        <w:jc w:val="both"/>
        <w:rPr>
          <w:rFonts w:ascii="Arial" w:eastAsia="Calibri" w:hAnsi="Arial" w:cs="Arial"/>
          <w:sz w:val="20"/>
          <w:szCs w:val="20"/>
          <w:lang w:val="es-ES" w:eastAsia="en-GB"/>
        </w:rPr>
      </w:pPr>
    </w:p>
    <w:p w14:paraId="5A096B92" w14:textId="77777777" w:rsidR="00205079" w:rsidRPr="00205079" w:rsidRDefault="00205079" w:rsidP="00205079">
      <w:pPr>
        <w:spacing w:after="0" w:line="240" w:lineRule="auto"/>
        <w:jc w:val="both"/>
        <w:rPr>
          <w:rFonts w:ascii="Arial" w:eastAsia="Calibri" w:hAnsi="Arial" w:cs="Arial"/>
          <w:sz w:val="20"/>
          <w:szCs w:val="20"/>
          <w:lang w:val="es-ES" w:eastAsia="en-GB"/>
        </w:rPr>
      </w:pPr>
      <w:r w:rsidRPr="00205079">
        <w:rPr>
          <w:rFonts w:ascii="Arial" w:eastAsia="Calibri" w:hAnsi="Arial" w:cs="Arial"/>
          <w:sz w:val="20"/>
          <w:szCs w:val="20"/>
          <w:lang w:val="es-ES" w:eastAsia="en-GB"/>
        </w:rPr>
        <w:t xml:space="preserve">El artículo 9, literal e), prescribe que todo sujeto obligado deberá publicar, en los sistemas de información del Estado o herramientas que lo sustituyan, su respectivo plan de compras anual. Para determinar los sujetos obligados a publicarlo es necesario remitirse al artículo 5 de la Ley 1712 de 2014. </w:t>
      </w:r>
    </w:p>
    <w:p w14:paraId="3670B7A0" w14:textId="77777777" w:rsidR="00205079" w:rsidRPr="00205079" w:rsidRDefault="00205079" w:rsidP="00205079">
      <w:pPr>
        <w:spacing w:after="0" w:line="240" w:lineRule="auto"/>
        <w:jc w:val="both"/>
        <w:rPr>
          <w:rFonts w:ascii="Arial" w:eastAsia="Calibri" w:hAnsi="Arial" w:cs="Arial"/>
          <w:sz w:val="20"/>
          <w:szCs w:val="20"/>
          <w:lang w:val="es-ES" w:eastAsia="en-GB"/>
        </w:rPr>
      </w:pPr>
      <w:r w:rsidRPr="00205079">
        <w:rPr>
          <w:rFonts w:ascii="Arial" w:eastAsia="Calibri" w:hAnsi="Arial" w:cs="Arial"/>
          <w:sz w:val="20"/>
          <w:szCs w:val="20"/>
          <w:lang w:val="es-ES" w:eastAsia="en-GB"/>
        </w:rPr>
        <w:t>[…]</w:t>
      </w:r>
    </w:p>
    <w:p w14:paraId="1D414B12" w14:textId="77777777" w:rsidR="00205079" w:rsidRPr="00205079" w:rsidRDefault="00205079" w:rsidP="00205079">
      <w:pPr>
        <w:spacing w:after="0" w:line="240" w:lineRule="auto"/>
        <w:jc w:val="both"/>
        <w:rPr>
          <w:rFonts w:ascii="Arial" w:eastAsia="Calibri" w:hAnsi="Arial" w:cs="Arial"/>
          <w:sz w:val="20"/>
          <w:szCs w:val="20"/>
          <w:lang w:val="es-ES" w:eastAsia="en-GB"/>
        </w:rPr>
      </w:pPr>
    </w:p>
    <w:p w14:paraId="6CE9B220" w14:textId="77777777" w:rsidR="00205079" w:rsidRPr="00205079" w:rsidRDefault="00205079" w:rsidP="00205079">
      <w:pPr>
        <w:spacing w:after="0" w:line="240" w:lineRule="auto"/>
        <w:jc w:val="both"/>
        <w:rPr>
          <w:rFonts w:ascii="Arial" w:eastAsia="Calibri" w:hAnsi="Arial" w:cs="Arial"/>
          <w:sz w:val="20"/>
          <w:szCs w:val="20"/>
          <w:lang w:val="es-ES" w:eastAsia="en-GB"/>
        </w:rPr>
      </w:pPr>
      <w:r w:rsidRPr="00205079">
        <w:rPr>
          <w:rFonts w:ascii="Arial" w:eastAsia="Calibri" w:hAnsi="Arial" w:cs="Arial"/>
          <w:sz w:val="20"/>
          <w:szCs w:val="20"/>
          <w:lang w:val="es-ES" w:eastAsia="en-GB"/>
        </w:rPr>
        <w:t>La norma citada contiene una lista cuyo propósito es incluir a cualquier entidad, órgano, organismo, o persona natural que desempeñe funciones públicas o administre recursos públicos. De hecho, esta Agencia ha aclarado, en relación con el plan anual de adquisiciones, que se encuentran obligadas todas las entidades del Estado sin importar la rama a la cual pertenecen, o si se trata de entidades descentralizadas territorialmente o por servicios. También están incluidos todos los órganos con competencia para contratar, como los concejos municipales.</w:t>
      </w:r>
    </w:p>
    <w:p w14:paraId="5C63657E" w14:textId="77777777" w:rsidR="00205079" w:rsidRPr="00205079" w:rsidRDefault="00205079" w:rsidP="00205079">
      <w:pPr>
        <w:spacing w:after="0" w:line="240" w:lineRule="auto"/>
        <w:jc w:val="both"/>
        <w:rPr>
          <w:rFonts w:ascii="Arial" w:eastAsia="Calibri" w:hAnsi="Arial" w:cs="Arial"/>
          <w:sz w:val="20"/>
          <w:szCs w:val="20"/>
          <w:lang w:val="es-ES" w:eastAsia="en-GB"/>
        </w:rPr>
      </w:pPr>
    </w:p>
    <w:p w14:paraId="6C3973F4" w14:textId="77777777" w:rsidR="00205079" w:rsidRPr="00205079" w:rsidRDefault="00205079" w:rsidP="00205079">
      <w:pPr>
        <w:spacing w:after="0" w:line="240" w:lineRule="auto"/>
        <w:jc w:val="both"/>
        <w:rPr>
          <w:rFonts w:ascii="Arial" w:eastAsia="Calibri" w:hAnsi="Arial" w:cs="Arial"/>
          <w:b/>
          <w:sz w:val="21"/>
          <w:szCs w:val="21"/>
          <w:lang w:val="es-MX"/>
        </w:rPr>
      </w:pPr>
      <w:r w:rsidRPr="00205079">
        <w:rPr>
          <w:rFonts w:ascii="Arial" w:eastAsia="Calibri" w:hAnsi="Arial" w:cs="Arial"/>
          <w:b/>
          <w:sz w:val="21"/>
          <w:szCs w:val="21"/>
          <w:lang w:val="es-MX"/>
        </w:rPr>
        <w:t xml:space="preserve">PLAN ANUAL DE ADQUISICIONES – Contenido </w:t>
      </w:r>
    </w:p>
    <w:p w14:paraId="73224808" w14:textId="77777777" w:rsidR="00205079" w:rsidRPr="00205079" w:rsidRDefault="00205079" w:rsidP="00205079">
      <w:pPr>
        <w:spacing w:after="0" w:line="240" w:lineRule="auto"/>
        <w:jc w:val="both"/>
        <w:rPr>
          <w:rFonts w:ascii="Arial" w:eastAsia="Calibri" w:hAnsi="Arial" w:cs="Arial"/>
          <w:b/>
          <w:sz w:val="20"/>
          <w:szCs w:val="20"/>
          <w:lang w:val="es-ES"/>
        </w:rPr>
      </w:pPr>
    </w:p>
    <w:p w14:paraId="0532466F" w14:textId="77777777" w:rsidR="00205079" w:rsidRPr="00205079" w:rsidRDefault="00205079" w:rsidP="00205079">
      <w:pPr>
        <w:spacing w:after="0" w:line="240" w:lineRule="auto"/>
        <w:jc w:val="both"/>
        <w:rPr>
          <w:rFonts w:ascii="Arial" w:eastAsia="Calibri" w:hAnsi="Arial" w:cs="Arial"/>
          <w:sz w:val="20"/>
          <w:szCs w:val="20"/>
          <w:lang w:val="es-ES"/>
        </w:rPr>
      </w:pPr>
      <w:r w:rsidRPr="00205079">
        <w:rPr>
          <w:rFonts w:ascii="Arial" w:eastAsia="Calibri" w:hAnsi="Arial" w:cs="Arial"/>
          <w:sz w:val="20"/>
          <w:szCs w:val="20"/>
          <w:lang w:val="es-ES"/>
        </w:rPr>
        <w:t xml:space="preserve">El artículo 2.2.1.1.1.4.1. del Decreto 1082 de 2015 establece el deber de elaborar el plan anual de adquisiciones, que debe contener un listado de lo que la entidad adquirirá durante el año, para satisfacer sus necesidades de bienes, obras o servicios, y debe tener la información desagregada, principalmente en los siguientes aspectos: i) identificación con el clasificador de bienes y servicios, </w:t>
      </w:r>
      <w:proofErr w:type="spellStart"/>
      <w:r w:rsidRPr="00205079">
        <w:rPr>
          <w:rFonts w:ascii="Arial" w:eastAsia="Calibri" w:hAnsi="Arial" w:cs="Arial"/>
          <w:sz w:val="20"/>
          <w:szCs w:val="20"/>
          <w:lang w:val="es-ES"/>
        </w:rPr>
        <w:t>ii</w:t>
      </w:r>
      <w:proofErr w:type="spellEnd"/>
      <w:r w:rsidRPr="00205079">
        <w:rPr>
          <w:rFonts w:ascii="Arial" w:eastAsia="Calibri" w:hAnsi="Arial" w:cs="Arial"/>
          <w:sz w:val="20"/>
          <w:szCs w:val="20"/>
          <w:lang w:val="es-ES"/>
        </w:rPr>
        <w:t xml:space="preserve">) valor estimado del contrato, </w:t>
      </w:r>
      <w:proofErr w:type="spellStart"/>
      <w:r w:rsidRPr="00205079">
        <w:rPr>
          <w:rFonts w:ascii="Arial" w:eastAsia="Calibri" w:hAnsi="Arial" w:cs="Arial"/>
          <w:sz w:val="20"/>
          <w:szCs w:val="20"/>
          <w:lang w:val="es-ES"/>
        </w:rPr>
        <w:t>iii</w:t>
      </w:r>
      <w:proofErr w:type="spellEnd"/>
      <w:r w:rsidRPr="00205079">
        <w:rPr>
          <w:rFonts w:ascii="Arial" w:eastAsia="Calibri" w:hAnsi="Arial" w:cs="Arial"/>
          <w:sz w:val="20"/>
          <w:szCs w:val="20"/>
          <w:lang w:val="es-ES"/>
        </w:rPr>
        <w:t xml:space="preserve">) tipo de recursos, </w:t>
      </w:r>
      <w:proofErr w:type="spellStart"/>
      <w:r w:rsidRPr="00205079">
        <w:rPr>
          <w:rFonts w:ascii="Arial" w:eastAsia="Calibri" w:hAnsi="Arial" w:cs="Arial"/>
          <w:sz w:val="20"/>
          <w:szCs w:val="20"/>
          <w:lang w:val="es-ES"/>
        </w:rPr>
        <w:t>iv</w:t>
      </w:r>
      <w:proofErr w:type="spellEnd"/>
      <w:r w:rsidRPr="00205079">
        <w:rPr>
          <w:rFonts w:ascii="Arial" w:eastAsia="Calibri" w:hAnsi="Arial" w:cs="Arial"/>
          <w:sz w:val="20"/>
          <w:szCs w:val="20"/>
          <w:lang w:val="es-ES"/>
        </w:rPr>
        <w:t>) modalidad de selección y v) fecha de inicio del proceso contractual.</w:t>
      </w:r>
    </w:p>
    <w:p w14:paraId="74C4B69C" w14:textId="77777777" w:rsidR="00205079" w:rsidRPr="00205079" w:rsidRDefault="00205079" w:rsidP="00205079">
      <w:pPr>
        <w:spacing w:after="0" w:line="240" w:lineRule="auto"/>
        <w:jc w:val="both"/>
        <w:rPr>
          <w:rFonts w:ascii="Arial" w:eastAsia="Calibri" w:hAnsi="Arial" w:cs="Arial"/>
          <w:sz w:val="20"/>
          <w:szCs w:val="20"/>
          <w:lang w:val="es-ES" w:eastAsia="en-GB"/>
        </w:rPr>
      </w:pPr>
    </w:p>
    <w:p w14:paraId="399E77E8" w14:textId="77777777" w:rsidR="00205079" w:rsidRPr="00205079" w:rsidRDefault="00205079" w:rsidP="00205079">
      <w:pPr>
        <w:spacing w:after="0" w:line="240" w:lineRule="auto"/>
        <w:jc w:val="both"/>
        <w:rPr>
          <w:rFonts w:ascii="Arial" w:eastAsia="Calibri" w:hAnsi="Arial" w:cs="Arial"/>
          <w:b/>
          <w:sz w:val="21"/>
          <w:szCs w:val="21"/>
          <w:lang w:val="es-MX"/>
        </w:rPr>
      </w:pPr>
      <w:r w:rsidRPr="00205079">
        <w:rPr>
          <w:rFonts w:ascii="Arial" w:eastAsia="Calibri" w:hAnsi="Arial" w:cs="Arial"/>
          <w:b/>
          <w:sz w:val="21"/>
          <w:szCs w:val="21"/>
          <w:lang w:val="es-MX"/>
        </w:rPr>
        <w:t xml:space="preserve">PLAN ANUAL DE ADQUISICIONES – Carácter estimativo </w:t>
      </w:r>
    </w:p>
    <w:p w14:paraId="0F6AD53A" w14:textId="77777777" w:rsidR="00205079" w:rsidRPr="00205079" w:rsidRDefault="00205079" w:rsidP="00205079">
      <w:pPr>
        <w:spacing w:after="0" w:line="240" w:lineRule="auto"/>
        <w:jc w:val="both"/>
        <w:rPr>
          <w:rFonts w:ascii="Arial" w:eastAsia="Calibri" w:hAnsi="Arial" w:cs="Arial"/>
          <w:sz w:val="20"/>
          <w:szCs w:val="20"/>
          <w:lang w:val="es-ES"/>
        </w:rPr>
      </w:pPr>
    </w:p>
    <w:p w14:paraId="1082D2A9" w14:textId="77777777" w:rsidR="00205079" w:rsidRPr="00205079" w:rsidRDefault="00205079" w:rsidP="00205079">
      <w:pPr>
        <w:spacing w:after="0" w:line="240" w:lineRule="auto"/>
        <w:jc w:val="both"/>
        <w:rPr>
          <w:rFonts w:ascii="Geomanist Light" w:eastAsia="Times New Roman" w:hAnsi="Geomanist Light" w:cs="Times New Roman"/>
          <w:sz w:val="20"/>
          <w:szCs w:val="20"/>
        </w:rPr>
      </w:pPr>
      <w:r w:rsidRPr="00205079">
        <w:rPr>
          <w:rFonts w:ascii="Arial" w:eastAsia="Calibri" w:hAnsi="Arial" w:cs="Arial"/>
          <w:sz w:val="20"/>
          <w:szCs w:val="20"/>
          <w:lang w:val="es-ES"/>
        </w:rPr>
        <w:t>La norma referida establece la obligación de enunciar la información de manera indicativa, y no impone determinar valores precisos, tiempos, bienes, obras o servicios de manera exacta; todo lo contrario, permite realizar un pronóstico indicativo de las necesidades que debe contratar. Este carácter estimativo del plan anual de adquisiciones fue reconocido por la Agencia Nacional de Contratación Pública ― Colombia Compra Eficiente, en la guía para elaborar el plan anual de adquisiciones, donde precisó, como uno de sus usos, «servir como referente inicial para evaluar la ejecución de presupuesto y pronosticar la demanda de bienes y servicios de la entidad durante el año referido del plan».</w:t>
      </w:r>
    </w:p>
    <w:p w14:paraId="05D866E7" w14:textId="77777777" w:rsidR="00205079" w:rsidRPr="00205079" w:rsidRDefault="00205079" w:rsidP="00205079">
      <w:pPr>
        <w:spacing w:after="0" w:line="276" w:lineRule="auto"/>
        <w:rPr>
          <w:rFonts w:ascii="Arial" w:eastAsia="Times New Roman" w:hAnsi="Arial" w:cs="Arial"/>
          <w:bCs/>
        </w:rPr>
      </w:pPr>
    </w:p>
    <w:p w14:paraId="59F066A9" w14:textId="77777777" w:rsidR="00205079" w:rsidRDefault="00205079" w:rsidP="00205079">
      <w:pPr>
        <w:spacing w:after="0" w:line="276" w:lineRule="auto"/>
        <w:rPr>
          <w:rFonts w:ascii="Arial" w:eastAsia="Times New Roman" w:hAnsi="Arial" w:cs="Arial"/>
          <w:bCs/>
        </w:rPr>
      </w:pPr>
    </w:p>
    <w:p w14:paraId="0C44D2DC" w14:textId="77777777" w:rsidR="00205079" w:rsidRDefault="00205079" w:rsidP="00205079">
      <w:pPr>
        <w:spacing w:after="0" w:line="276" w:lineRule="auto"/>
        <w:rPr>
          <w:rFonts w:ascii="Arial" w:eastAsia="Times New Roman" w:hAnsi="Arial" w:cs="Arial"/>
          <w:bCs/>
        </w:rPr>
      </w:pPr>
    </w:p>
    <w:p w14:paraId="60E03EF5" w14:textId="77777777" w:rsidR="00205079" w:rsidRDefault="00205079" w:rsidP="00205079">
      <w:pPr>
        <w:spacing w:after="0" w:line="276" w:lineRule="auto"/>
        <w:rPr>
          <w:rFonts w:ascii="Arial" w:eastAsia="Times New Roman" w:hAnsi="Arial" w:cs="Arial"/>
          <w:bCs/>
        </w:rPr>
      </w:pPr>
    </w:p>
    <w:p w14:paraId="3B44E186" w14:textId="77777777" w:rsidR="00205079" w:rsidRDefault="00205079" w:rsidP="00205079">
      <w:pPr>
        <w:spacing w:after="0" w:line="276" w:lineRule="auto"/>
        <w:rPr>
          <w:rFonts w:ascii="Arial" w:eastAsia="Times New Roman" w:hAnsi="Arial" w:cs="Arial"/>
          <w:bCs/>
        </w:rPr>
      </w:pPr>
    </w:p>
    <w:p w14:paraId="1B3283C7" w14:textId="77777777" w:rsidR="00205079" w:rsidRDefault="00205079" w:rsidP="00205079">
      <w:pPr>
        <w:spacing w:after="0" w:line="276" w:lineRule="auto"/>
        <w:rPr>
          <w:rFonts w:ascii="Arial" w:eastAsia="Times New Roman" w:hAnsi="Arial" w:cs="Arial"/>
          <w:bCs/>
        </w:rPr>
      </w:pPr>
    </w:p>
    <w:p w14:paraId="2B83E5B2" w14:textId="77777777" w:rsidR="00205079" w:rsidRDefault="00205079" w:rsidP="00205079">
      <w:pPr>
        <w:spacing w:after="0" w:line="276" w:lineRule="auto"/>
        <w:rPr>
          <w:rFonts w:ascii="Arial" w:eastAsia="Times New Roman" w:hAnsi="Arial" w:cs="Arial"/>
          <w:bCs/>
        </w:rPr>
      </w:pPr>
    </w:p>
    <w:p w14:paraId="3C2D9F77" w14:textId="77777777" w:rsidR="00205079" w:rsidRDefault="00205079" w:rsidP="00205079">
      <w:pPr>
        <w:spacing w:after="0" w:line="276" w:lineRule="auto"/>
        <w:rPr>
          <w:rFonts w:ascii="Arial" w:eastAsia="Times New Roman" w:hAnsi="Arial" w:cs="Arial"/>
          <w:bCs/>
        </w:rPr>
      </w:pPr>
    </w:p>
    <w:p w14:paraId="13F65C1C" w14:textId="77777777" w:rsidR="00205079" w:rsidRPr="00205079" w:rsidRDefault="00205079" w:rsidP="00205079">
      <w:pPr>
        <w:spacing w:after="0" w:line="276" w:lineRule="auto"/>
        <w:rPr>
          <w:rFonts w:ascii="Arial" w:eastAsia="Times New Roman" w:hAnsi="Arial" w:cs="Arial"/>
          <w:bCs/>
        </w:rPr>
      </w:pPr>
    </w:p>
    <w:p w14:paraId="769F4AD1" w14:textId="1D6426E8" w:rsidR="00205079" w:rsidRPr="00205079" w:rsidRDefault="00205079" w:rsidP="00205079">
      <w:pPr>
        <w:spacing w:after="0" w:line="276" w:lineRule="auto"/>
        <w:rPr>
          <w:rFonts w:ascii="Arial" w:eastAsia="Times New Roman" w:hAnsi="Arial" w:cs="Arial"/>
          <w:sz w:val="24"/>
          <w:szCs w:val="24"/>
        </w:rPr>
      </w:pPr>
      <w:r w:rsidRPr="00205079">
        <w:rPr>
          <w:rFonts w:ascii="Arial" w:eastAsia="Times New Roman" w:hAnsi="Arial" w:cs="Arial" w:hint="cs"/>
          <w:bCs/>
        </w:rPr>
        <w:lastRenderedPageBreak/>
        <w:t>Bogotá,</w:t>
      </w:r>
      <w:r w:rsidR="006627E1">
        <w:rPr>
          <w:rFonts w:ascii="Arial" w:eastAsia="Times New Roman" w:hAnsi="Arial" w:cs="Arial"/>
          <w:bCs/>
        </w:rPr>
        <w:t xml:space="preserve"> 26 de diciembre de 2022                                       </w:t>
      </w:r>
      <w:r w:rsidR="006627E1" w:rsidRPr="006627E1">
        <w:rPr>
          <w:rFonts w:ascii="Arial" w:eastAsia="Times New Roman" w:hAnsi="Arial" w:cs="Arial"/>
          <w:bCs/>
          <w:noProof/>
        </w:rPr>
        <w:drawing>
          <wp:inline distT="0" distB="0" distL="0" distR="0" wp14:anchorId="26355558" wp14:editId="17001E17">
            <wp:extent cx="2207709" cy="618490"/>
            <wp:effectExtent l="0" t="0" r="2540" b="3810"/>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
                    <a:stretch>
                      <a:fillRect/>
                    </a:stretch>
                  </pic:blipFill>
                  <pic:spPr>
                    <a:xfrm>
                      <a:off x="0" y="0"/>
                      <a:ext cx="2235080" cy="626158"/>
                    </a:xfrm>
                    <a:prstGeom prst="rect">
                      <a:avLst/>
                    </a:prstGeom>
                  </pic:spPr>
                </pic:pic>
              </a:graphicData>
            </a:graphic>
          </wp:inline>
        </w:drawing>
      </w:r>
    </w:p>
    <w:p w14:paraId="58062391" w14:textId="77777777" w:rsidR="00205079" w:rsidRPr="00205079" w:rsidRDefault="00205079" w:rsidP="00205079">
      <w:pPr>
        <w:spacing w:after="0" w:line="240" w:lineRule="auto"/>
        <w:rPr>
          <w:rFonts w:ascii="Arial" w:eastAsia="Calibri" w:hAnsi="Arial" w:cs="Arial"/>
          <w:color w:val="000000" w:themeColor="text1"/>
        </w:rPr>
      </w:pPr>
    </w:p>
    <w:p w14:paraId="7E8F6463" w14:textId="023FB439" w:rsidR="00205079" w:rsidRPr="00205079" w:rsidRDefault="006A719F" w:rsidP="00205079">
      <w:pPr>
        <w:spacing w:after="0" w:line="240" w:lineRule="auto"/>
        <w:rPr>
          <w:rFonts w:ascii="Arial" w:eastAsia="Calibri" w:hAnsi="Arial" w:cs="Arial"/>
          <w:color w:val="000000" w:themeColor="text1"/>
        </w:rPr>
      </w:pPr>
      <w:r>
        <w:rPr>
          <w:rFonts w:ascii="Arial" w:eastAsia="Calibri" w:hAnsi="Arial" w:cs="Arial"/>
          <w:color w:val="000000" w:themeColor="text1"/>
        </w:rPr>
        <w:t>Señora</w:t>
      </w:r>
    </w:p>
    <w:p w14:paraId="5E0B2DB0" w14:textId="77777777" w:rsidR="00205079" w:rsidRPr="00205079" w:rsidRDefault="00205079" w:rsidP="00205079">
      <w:pPr>
        <w:spacing w:after="0" w:line="240" w:lineRule="auto"/>
        <w:rPr>
          <w:rFonts w:ascii="Arial" w:eastAsia="Calibri" w:hAnsi="Arial" w:cs="Arial"/>
          <w:b/>
          <w:color w:val="000000" w:themeColor="text1"/>
        </w:rPr>
      </w:pPr>
      <w:r w:rsidRPr="00205079">
        <w:rPr>
          <w:rFonts w:ascii="Arial" w:eastAsia="Calibri" w:hAnsi="Arial" w:cs="Arial" w:hint="cs"/>
          <w:b/>
          <w:color w:val="000000" w:themeColor="text1"/>
        </w:rPr>
        <w:t xml:space="preserve">Amanda Dueñas Cubides </w:t>
      </w:r>
    </w:p>
    <w:p w14:paraId="6DE49F5D" w14:textId="77777777" w:rsidR="00205079" w:rsidRPr="00205079" w:rsidRDefault="00205079" w:rsidP="00205079">
      <w:pPr>
        <w:spacing w:after="0" w:line="240" w:lineRule="auto"/>
        <w:rPr>
          <w:rFonts w:ascii="Arial" w:eastAsia="Calibri" w:hAnsi="Arial" w:cs="Arial"/>
          <w:bCs/>
          <w:color w:val="000000" w:themeColor="text1"/>
        </w:rPr>
      </w:pPr>
      <w:r w:rsidRPr="00205079">
        <w:rPr>
          <w:rFonts w:ascii="Arial" w:eastAsia="Calibri" w:hAnsi="Arial" w:cs="Arial" w:hint="cs"/>
          <w:bCs/>
          <w:color w:val="000000" w:themeColor="text1"/>
        </w:rPr>
        <w:t xml:space="preserve">Jefe Oficina Asesora de Planeación </w:t>
      </w:r>
    </w:p>
    <w:p w14:paraId="76C2983C" w14:textId="77777777" w:rsidR="00205079" w:rsidRPr="00205079" w:rsidRDefault="00205079" w:rsidP="00205079">
      <w:pPr>
        <w:spacing w:after="0" w:line="240" w:lineRule="auto"/>
        <w:rPr>
          <w:rFonts w:ascii="Arial" w:eastAsia="Calibri" w:hAnsi="Arial" w:cs="Arial"/>
          <w:bCs/>
          <w:color w:val="000000" w:themeColor="text1"/>
        </w:rPr>
      </w:pPr>
      <w:proofErr w:type="spellStart"/>
      <w:r w:rsidRPr="00205079">
        <w:rPr>
          <w:rFonts w:ascii="Arial" w:eastAsia="Calibri" w:hAnsi="Arial" w:cs="Arial" w:hint="cs"/>
          <w:bCs/>
          <w:color w:val="000000" w:themeColor="text1"/>
        </w:rPr>
        <w:t>Unitrópico</w:t>
      </w:r>
      <w:proofErr w:type="spellEnd"/>
      <w:r w:rsidRPr="00205079">
        <w:rPr>
          <w:rFonts w:ascii="Arial" w:eastAsia="Calibri" w:hAnsi="Arial" w:cs="Arial" w:hint="cs"/>
          <w:bCs/>
          <w:color w:val="000000" w:themeColor="text1"/>
        </w:rPr>
        <w:t xml:space="preserve"> </w:t>
      </w:r>
    </w:p>
    <w:p w14:paraId="225733E7" w14:textId="77777777" w:rsidR="00205079" w:rsidRPr="00205079" w:rsidRDefault="00205079" w:rsidP="00205079">
      <w:pPr>
        <w:spacing w:after="0" w:line="240" w:lineRule="auto"/>
        <w:rPr>
          <w:rFonts w:ascii="Arial" w:eastAsia="Calibri" w:hAnsi="Arial" w:cs="Arial"/>
          <w:bCs/>
          <w:color w:val="000000" w:themeColor="text1"/>
        </w:rPr>
      </w:pPr>
      <w:r w:rsidRPr="00205079">
        <w:rPr>
          <w:rFonts w:ascii="Arial" w:eastAsia="Calibri" w:hAnsi="Arial" w:cs="Arial" w:hint="cs"/>
          <w:bCs/>
          <w:color w:val="000000" w:themeColor="text1"/>
        </w:rPr>
        <w:t>Yopal, Casanare</w:t>
      </w:r>
    </w:p>
    <w:p w14:paraId="066EF35F" w14:textId="77777777" w:rsidR="00205079" w:rsidRPr="00205079" w:rsidRDefault="00205079" w:rsidP="00205079">
      <w:pPr>
        <w:spacing w:after="0" w:line="240" w:lineRule="auto"/>
        <w:rPr>
          <w:rFonts w:ascii="Arial" w:eastAsia="Calibri" w:hAnsi="Arial" w:cs="Arial"/>
          <w:color w:val="000000" w:themeColor="text1"/>
        </w:rPr>
      </w:pPr>
    </w:p>
    <w:p w14:paraId="697B3DCE" w14:textId="77777777" w:rsidR="00205079" w:rsidRPr="00205079" w:rsidRDefault="00205079" w:rsidP="00205079">
      <w:pPr>
        <w:spacing w:after="0" w:line="240" w:lineRule="auto"/>
        <w:rPr>
          <w:rFonts w:ascii="Arial" w:eastAsia="Calibri" w:hAnsi="Arial" w:cs="Arial"/>
          <w:b/>
          <w:color w:val="000000" w:themeColor="text1"/>
          <w:lang w:val="es-ES_tradnl"/>
        </w:rPr>
      </w:pPr>
      <w:r w:rsidRPr="00205079">
        <w:rPr>
          <w:rFonts w:ascii="Arial" w:eastAsia="Calibri" w:hAnsi="Arial" w:cs="Arial" w:hint="cs"/>
          <w:b/>
          <w:color w:val="000000" w:themeColor="text1"/>
          <w:lang w:val="es-ES_tradnl"/>
        </w:rPr>
        <w:t xml:space="preserve">                                                      Concepto C – 889 de 2022</w:t>
      </w:r>
    </w:p>
    <w:p w14:paraId="37FEEDD0" w14:textId="77777777" w:rsidR="00205079" w:rsidRPr="00205079" w:rsidRDefault="00205079" w:rsidP="00205079">
      <w:pPr>
        <w:spacing w:after="0" w:line="240" w:lineRule="auto"/>
        <w:rPr>
          <w:rFonts w:ascii="Arial" w:eastAsia="Calibri" w:hAnsi="Arial" w:cs="Arial"/>
          <w:color w:val="000000" w:themeColor="text1"/>
        </w:rPr>
      </w:pPr>
    </w:p>
    <w:tbl>
      <w:tblPr>
        <w:tblStyle w:val="Tablaconcuadrcula"/>
        <w:tblW w:w="892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2689"/>
        <w:gridCol w:w="6237"/>
      </w:tblGrid>
      <w:tr w:rsidR="00205079" w:rsidRPr="00205079" w14:paraId="5A1F71B7" w14:textId="77777777" w:rsidTr="007D1C37">
        <w:tc>
          <w:tcPr>
            <w:tcW w:w="2689" w:type="dxa"/>
            <w:hideMark/>
          </w:tcPr>
          <w:p w14:paraId="49F62692" w14:textId="77777777" w:rsidR="00205079" w:rsidRPr="000F2C38" w:rsidRDefault="00205079" w:rsidP="00205079">
            <w:pPr>
              <w:rPr>
                <w:rFonts w:ascii="Arial" w:eastAsia="Calibri" w:hAnsi="Arial" w:cs="Arial"/>
                <w:color w:val="000000" w:themeColor="text1"/>
              </w:rPr>
            </w:pPr>
            <w:r w:rsidRPr="000F2C38">
              <w:rPr>
                <w:rFonts w:ascii="Arial" w:eastAsia="Calibri" w:hAnsi="Arial" w:cs="Arial" w:hint="cs"/>
                <w:color w:val="000000" w:themeColor="text1"/>
              </w:rPr>
              <w:t xml:space="preserve">Temas:           </w:t>
            </w:r>
          </w:p>
          <w:p w14:paraId="033278FF" w14:textId="77777777" w:rsidR="00205079" w:rsidRPr="000F2C38" w:rsidRDefault="00205079" w:rsidP="00205079">
            <w:pPr>
              <w:rPr>
                <w:rFonts w:ascii="Arial" w:eastAsia="Calibri" w:hAnsi="Arial" w:cs="Arial"/>
                <w:color w:val="000000" w:themeColor="text1"/>
              </w:rPr>
            </w:pPr>
            <w:r w:rsidRPr="000F2C38">
              <w:rPr>
                <w:rFonts w:ascii="Arial" w:eastAsia="Calibri" w:hAnsi="Arial" w:cs="Arial" w:hint="cs"/>
                <w:color w:val="000000" w:themeColor="text1"/>
              </w:rPr>
              <w:t xml:space="preserve">                           </w:t>
            </w:r>
          </w:p>
        </w:tc>
        <w:tc>
          <w:tcPr>
            <w:tcW w:w="6237" w:type="dxa"/>
            <w:hideMark/>
          </w:tcPr>
          <w:p w14:paraId="42588CD4" w14:textId="77777777" w:rsidR="00205079" w:rsidRPr="000F2C38" w:rsidRDefault="00205079" w:rsidP="00205079">
            <w:pPr>
              <w:jc w:val="both"/>
              <w:rPr>
                <w:rFonts w:ascii="Arial" w:eastAsia="Calibri" w:hAnsi="Arial" w:cs="Arial"/>
                <w:color w:val="000000" w:themeColor="text1"/>
              </w:rPr>
            </w:pPr>
            <w:r w:rsidRPr="000F2C38">
              <w:rPr>
                <w:rFonts w:ascii="Arial" w:eastAsia="Calibri" w:hAnsi="Arial" w:cs="Arial" w:hint="cs"/>
                <w:color w:val="000000" w:themeColor="text1"/>
              </w:rPr>
              <w:t>PLAN ANUAL DE ADQUISICIONES – Plan de acción / PLAN ANUAL DE ADQUISICIONES – Publicidad – Entidades estatales obligadas / PLAN ANUAL DE ADQUISICIONES – Publicidad – Entidades de régimen especial / PLAN ANUAL DE ADQUISICIONES – Contenido / PLAN ANUAL DE ADQUISICIONES – Competencia / PLAN ANUAL DE ADQUISICIONES – Carácter estimativo</w:t>
            </w:r>
          </w:p>
        </w:tc>
      </w:tr>
      <w:tr w:rsidR="00205079" w:rsidRPr="00205079" w14:paraId="7B3343B8" w14:textId="77777777" w:rsidTr="007D1C37">
        <w:tc>
          <w:tcPr>
            <w:tcW w:w="2689" w:type="dxa"/>
          </w:tcPr>
          <w:p w14:paraId="035A5C04" w14:textId="77777777" w:rsidR="00205079" w:rsidRPr="000F2C38" w:rsidRDefault="00205079" w:rsidP="00205079">
            <w:pPr>
              <w:spacing w:before="120"/>
              <w:rPr>
                <w:rFonts w:ascii="Arial" w:eastAsia="Calibri" w:hAnsi="Arial" w:cs="Arial"/>
                <w:color w:val="000000" w:themeColor="text1"/>
              </w:rPr>
            </w:pPr>
            <w:r w:rsidRPr="000F2C38">
              <w:rPr>
                <w:rFonts w:ascii="Arial" w:eastAsia="Calibri" w:hAnsi="Arial" w:cs="Arial" w:hint="cs"/>
                <w:color w:val="000000" w:themeColor="text1"/>
              </w:rPr>
              <w:t xml:space="preserve">Radicación:                              </w:t>
            </w:r>
          </w:p>
        </w:tc>
        <w:tc>
          <w:tcPr>
            <w:tcW w:w="6237" w:type="dxa"/>
          </w:tcPr>
          <w:p w14:paraId="3C88B376" w14:textId="77777777" w:rsidR="00205079" w:rsidRPr="000F2C38" w:rsidRDefault="00205079" w:rsidP="00205079">
            <w:pPr>
              <w:spacing w:before="120"/>
              <w:jc w:val="both"/>
              <w:rPr>
                <w:rFonts w:ascii="Arial" w:eastAsia="Calibri" w:hAnsi="Arial" w:cs="Arial"/>
                <w:color w:val="000000" w:themeColor="text1"/>
              </w:rPr>
            </w:pPr>
            <w:r w:rsidRPr="000F2C38">
              <w:rPr>
                <w:rFonts w:ascii="Arial" w:eastAsia="Calibri" w:hAnsi="Arial" w:cs="Arial" w:hint="cs"/>
                <w:color w:val="000000" w:themeColor="text1"/>
              </w:rPr>
              <w:t>Respuesta a consulta P20221115011380</w:t>
            </w:r>
          </w:p>
          <w:p w14:paraId="63597D92" w14:textId="77777777" w:rsidR="00205079" w:rsidRPr="000F2C38" w:rsidRDefault="00205079" w:rsidP="00205079">
            <w:pPr>
              <w:spacing w:before="120"/>
              <w:jc w:val="both"/>
              <w:rPr>
                <w:rFonts w:ascii="Arial" w:eastAsia="Calibri" w:hAnsi="Arial" w:cs="Arial"/>
                <w:color w:val="000000" w:themeColor="text1"/>
              </w:rPr>
            </w:pPr>
          </w:p>
        </w:tc>
      </w:tr>
    </w:tbl>
    <w:p w14:paraId="78B9E972" w14:textId="60F18D0D" w:rsidR="00205079" w:rsidRPr="000F2C38" w:rsidRDefault="00205079" w:rsidP="00205079">
      <w:pPr>
        <w:spacing w:after="0" w:line="240" w:lineRule="auto"/>
        <w:jc w:val="both"/>
        <w:rPr>
          <w:rFonts w:ascii="Arial" w:eastAsia="Calibri" w:hAnsi="Arial" w:cs="Arial"/>
          <w:color w:val="000000" w:themeColor="text1"/>
        </w:rPr>
      </w:pPr>
      <w:r w:rsidRPr="000F2C38">
        <w:rPr>
          <w:rFonts w:ascii="Arial" w:eastAsia="Calibri" w:hAnsi="Arial" w:cs="Arial" w:hint="cs"/>
          <w:color w:val="000000" w:themeColor="text1"/>
        </w:rPr>
        <w:t xml:space="preserve">Estimada </w:t>
      </w:r>
      <w:r w:rsidR="006A719F">
        <w:rPr>
          <w:rFonts w:ascii="Arial" w:eastAsia="Calibri" w:hAnsi="Arial" w:cs="Arial"/>
          <w:bCs/>
          <w:color w:val="000000" w:themeColor="text1"/>
        </w:rPr>
        <w:t>señora Dueñas</w:t>
      </w:r>
      <w:r w:rsidRPr="000F2C38">
        <w:rPr>
          <w:rFonts w:ascii="Arial" w:eastAsia="Calibri" w:hAnsi="Arial" w:cs="Arial" w:hint="cs"/>
          <w:color w:val="000000" w:themeColor="text1"/>
        </w:rPr>
        <w:t>:</w:t>
      </w:r>
    </w:p>
    <w:p w14:paraId="0F3DA125" w14:textId="77777777" w:rsidR="00205079" w:rsidRPr="00205079" w:rsidRDefault="00205079" w:rsidP="00205079">
      <w:pPr>
        <w:spacing w:after="0" w:line="240" w:lineRule="auto"/>
        <w:jc w:val="both"/>
        <w:rPr>
          <w:rFonts w:ascii="Arial" w:eastAsia="Calibri" w:hAnsi="Arial" w:cs="Arial"/>
          <w:color w:val="000000" w:themeColor="text1"/>
          <w:lang w:val="es-ES_tradnl"/>
        </w:rPr>
      </w:pPr>
    </w:p>
    <w:p w14:paraId="4A5BBD1E" w14:textId="77777777" w:rsidR="00205079" w:rsidRPr="00205079" w:rsidRDefault="00205079" w:rsidP="00205079">
      <w:pPr>
        <w:spacing w:after="0" w:line="276" w:lineRule="auto"/>
        <w:jc w:val="both"/>
        <w:rPr>
          <w:rFonts w:ascii="Arial" w:eastAsia="Calibri" w:hAnsi="Arial" w:cs="Arial"/>
          <w:color w:val="000000" w:themeColor="text1"/>
          <w:lang w:val="es-ES_tradnl"/>
        </w:rPr>
      </w:pPr>
      <w:r w:rsidRPr="00205079">
        <w:rPr>
          <w:rFonts w:ascii="Arial" w:eastAsia="Calibri" w:hAnsi="Arial" w:cs="Arial" w:hint="cs"/>
          <w:color w:val="000000" w:themeColor="text1"/>
          <w:lang w:val="es-ES_tradnl"/>
        </w:rPr>
        <w:t xml:space="preserve">En ejercicio de la competencia otorgada por el numeral 8 del artículo 11 y el numeral 5 del artículo 3 del Decreto Ley 4170 de 2011, la Agencia Nacional de Contratación Pública − Colombia Compra Eficiente procede a dar respuesta a su consulta del 15 de noviembre de 2022. </w:t>
      </w:r>
    </w:p>
    <w:p w14:paraId="3C72F5F9" w14:textId="77777777" w:rsidR="00205079" w:rsidRPr="00205079" w:rsidRDefault="00205079" w:rsidP="00205079">
      <w:pPr>
        <w:spacing w:after="0" w:line="240" w:lineRule="auto"/>
        <w:jc w:val="both"/>
        <w:rPr>
          <w:rFonts w:ascii="Arial" w:eastAsia="Calibri" w:hAnsi="Arial" w:cs="Arial"/>
          <w:color w:val="000000" w:themeColor="text1"/>
          <w:lang w:val="es-ES_tradnl"/>
        </w:rPr>
      </w:pPr>
    </w:p>
    <w:p w14:paraId="215335A3" w14:textId="77777777" w:rsidR="00205079" w:rsidRPr="00205079" w:rsidRDefault="00205079" w:rsidP="00205079">
      <w:pPr>
        <w:numPr>
          <w:ilvl w:val="0"/>
          <w:numId w:val="4"/>
        </w:numPr>
        <w:tabs>
          <w:tab w:val="left" w:pos="284"/>
        </w:tabs>
        <w:spacing w:after="0" w:line="276" w:lineRule="auto"/>
        <w:ind w:left="0" w:firstLine="0"/>
        <w:contextualSpacing/>
        <w:jc w:val="both"/>
        <w:rPr>
          <w:rFonts w:ascii="Arial" w:eastAsia="Calibri" w:hAnsi="Arial" w:cs="Arial"/>
          <w:b/>
          <w:color w:val="000000" w:themeColor="text1"/>
        </w:rPr>
      </w:pPr>
      <w:r w:rsidRPr="00205079">
        <w:rPr>
          <w:rFonts w:ascii="Arial" w:eastAsia="Calibri" w:hAnsi="Arial" w:cs="Arial" w:hint="cs"/>
          <w:b/>
          <w:color w:val="000000" w:themeColor="text1"/>
        </w:rPr>
        <w:t xml:space="preserve">Problemas planteados </w:t>
      </w:r>
    </w:p>
    <w:p w14:paraId="103D8270" w14:textId="77777777" w:rsidR="00205079" w:rsidRPr="00205079" w:rsidRDefault="00205079" w:rsidP="00205079">
      <w:pPr>
        <w:tabs>
          <w:tab w:val="left" w:pos="426"/>
        </w:tabs>
        <w:spacing w:after="0" w:line="276" w:lineRule="auto"/>
        <w:jc w:val="both"/>
        <w:rPr>
          <w:rFonts w:ascii="Arial" w:eastAsia="Calibri" w:hAnsi="Arial" w:cs="Arial"/>
          <w:b/>
          <w:color w:val="000000" w:themeColor="text1"/>
        </w:rPr>
      </w:pPr>
    </w:p>
    <w:p w14:paraId="22C1BC76" w14:textId="77777777" w:rsidR="00205079" w:rsidRPr="00205079" w:rsidRDefault="00205079" w:rsidP="00205079">
      <w:pPr>
        <w:tabs>
          <w:tab w:val="left" w:pos="426"/>
        </w:tabs>
        <w:spacing w:after="0" w:line="276" w:lineRule="auto"/>
        <w:jc w:val="both"/>
        <w:rPr>
          <w:rFonts w:ascii="Arial" w:eastAsia="Calibri" w:hAnsi="Arial" w:cs="Arial"/>
          <w:color w:val="000000" w:themeColor="text1"/>
          <w:szCs w:val="24"/>
          <w:lang w:val="es-ES_tradnl"/>
        </w:rPr>
      </w:pPr>
      <w:r w:rsidRPr="00205079">
        <w:rPr>
          <w:rFonts w:ascii="Arial" w:eastAsia="Calibri" w:hAnsi="Arial" w:cs="Arial" w:hint="cs"/>
          <w:color w:val="000000" w:themeColor="text1"/>
          <w:szCs w:val="24"/>
        </w:rPr>
        <w:t xml:space="preserve">En relación con el contenido del </w:t>
      </w:r>
      <w:r w:rsidRPr="00205079">
        <w:rPr>
          <w:rFonts w:ascii="Arial" w:eastAsia="Calibri" w:hAnsi="Arial" w:cs="Arial" w:hint="cs"/>
          <w:color w:val="000000" w:themeColor="text1"/>
          <w:szCs w:val="24"/>
          <w:lang w:val="es-ES_tradnl"/>
        </w:rPr>
        <w:t>Plan Anual de Adquisiciones, usted realiza la siguiente consulta:</w:t>
      </w:r>
    </w:p>
    <w:p w14:paraId="7D67B010" w14:textId="77777777" w:rsidR="00205079" w:rsidRPr="00205079" w:rsidRDefault="00205079" w:rsidP="00205079">
      <w:pPr>
        <w:spacing w:after="0" w:line="240" w:lineRule="auto"/>
        <w:ind w:left="709" w:right="758"/>
        <w:jc w:val="both"/>
        <w:rPr>
          <w:rFonts w:ascii="Arial" w:eastAsia="Times New Roman" w:hAnsi="Arial" w:cs="Arial"/>
        </w:rPr>
      </w:pPr>
    </w:p>
    <w:p w14:paraId="0DDA54AB" w14:textId="7DDBCB1A" w:rsidR="00205079" w:rsidRPr="00205079" w:rsidRDefault="00205079" w:rsidP="00205079">
      <w:pPr>
        <w:spacing w:after="0" w:line="240" w:lineRule="auto"/>
        <w:ind w:left="709" w:right="758"/>
        <w:jc w:val="both"/>
        <w:rPr>
          <w:rFonts w:ascii="Arial" w:eastAsia="Times New Roman" w:hAnsi="Arial" w:cs="Arial"/>
          <w:bCs/>
        </w:rPr>
      </w:pPr>
      <w:r w:rsidRPr="00205079">
        <w:rPr>
          <w:rFonts w:ascii="Arial" w:eastAsia="Times New Roman" w:hAnsi="Arial" w:cs="Arial" w:hint="cs"/>
        </w:rPr>
        <w:t>«</w:t>
      </w:r>
      <w:r w:rsidRPr="00205079">
        <w:rPr>
          <w:rFonts w:ascii="Arial" w:eastAsia="Times New Roman" w:hAnsi="Arial" w:cs="Arial" w:hint="cs"/>
          <w:sz w:val="24"/>
          <w:szCs w:val="24"/>
        </w:rPr>
        <w:t>[…]</w:t>
      </w:r>
      <w:r w:rsidRPr="00205079">
        <w:rPr>
          <w:rFonts w:ascii="Arial" w:eastAsia="Times New Roman" w:hAnsi="Arial" w:cs="Arial" w:hint="cs"/>
        </w:rPr>
        <w:t xml:space="preserve"> para el caso de los bienes, obras y servicios que se adquieren en el marco de cumplimiento por la suscripción de contratos o convenios con otras entidades, cual es el procedimiento, cuál entidad debe incorporar en el plan de adquisiciones los bienes, obras y servicios a adquirir?».</w:t>
      </w:r>
    </w:p>
    <w:p w14:paraId="0BEEEB88" w14:textId="77777777" w:rsidR="00205079" w:rsidRPr="00205079" w:rsidRDefault="00205079" w:rsidP="00205079">
      <w:pPr>
        <w:spacing w:after="0" w:line="240" w:lineRule="auto"/>
        <w:ind w:left="709" w:right="758"/>
        <w:jc w:val="both"/>
        <w:rPr>
          <w:rFonts w:ascii="Arial" w:eastAsia="Times New Roman" w:hAnsi="Arial" w:cs="Arial"/>
          <w:bCs/>
        </w:rPr>
      </w:pPr>
    </w:p>
    <w:p w14:paraId="67CE77DA" w14:textId="77777777" w:rsidR="00205079" w:rsidRPr="00205079" w:rsidRDefault="00205079" w:rsidP="00205079">
      <w:pPr>
        <w:numPr>
          <w:ilvl w:val="0"/>
          <w:numId w:val="4"/>
        </w:numPr>
        <w:tabs>
          <w:tab w:val="left" w:pos="426"/>
        </w:tabs>
        <w:spacing w:after="0" w:line="276" w:lineRule="auto"/>
        <w:ind w:left="0" w:firstLine="0"/>
        <w:contextualSpacing/>
        <w:jc w:val="both"/>
        <w:rPr>
          <w:rFonts w:ascii="Arial" w:eastAsia="Calibri" w:hAnsi="Arial" w:cs="Arial"/>
          <w:b/>
          <w:color w:val="000000" w:themeColor="text1"/>
        </w:rPr>
      </w:pPr>
      <w:r w:rsidRPr="00205079">
        <w:rPr>
          <w:rFonts w:ascii="Arial" w:eastAsia="Calibri" w:hAnsi="Arial" w:cs="Arial" w:hint="cs"/>
          <w:b/>
          <w:color w:val="000000" w:themeColor="text1"/>
        </w:rPr>
        <w:t>Consideraciones</w:t>
      </w:r>
    </w:p>
    <w:p w14:paraId="76D8CFEB" w14:textId="77777777" w:rsidR="00205079" w:rsidRPr="00205079" w:rsidRDefault="00205079" w:rsidP="00205079">
      <w:pPr>
        <w:spacing w:after="0" w:line="276" w:lineRule="auto"/>
        <w:jc w:val="both"/>
        <w:rPr>
          <w:rFonts w:ascii="Arial" w:eastAsia="Calibri" w:hAnsi="Arial" w:cs="Arial"/>
          <w:color w:val="000000" w:themeColor="text1"/>
          <w:sz w:val="18"/>
          <w:szCs w:val="18"/>
        </w:rPr>
      </w:pPr>
    </w:p>
    <w:p w14:paraId="76AD4F85" w14:textId="5DC2AB1E" w:rsidR="00205079" w:rsidRPr="00205079" w:rsidRDefault="00205079" w:rsidP="00205079">
      <w:pPr>
        <w:spacing w:after="120" w:line="276" w:lineRule="auto"/>
        <w:jc w:val="both"/>
        <w:rPr>
          <w:rFonts w:ascii="Arial" w:eastAsia="Calibri" w:hAnsi="Arial" w:cs="Arial"/>
          <w:lang w:val="es-ES"/>
        </w:rPr>
      </w:pPr>
      <w:r w:rsidRPr="00205079">
        <w:rPr>
          <w:rFonts w:ascii="Arial" w:eastAsia="Batang" w:hAnsi="Arial" w:cs="Arial" w:hint="cs"/>
          <w:lang w:val="es-MX"/>
        </w:rPr>
        <w:t xml:space="preserve">De conformidad con el numeral 5 del artículo 3 y el numeral 8 del artículo 11 del Decreto 4170 de 2011, la Agencia Nacional de Contratación Pública – Colombia Compra Eficiente tiene competencia para atender consultas relativas a temas contractuales, pero solo para «absolver </w:t>
      </w:r>
      <w:r w:rsidRPr="00205079">
        <w:rPr>
          <w:rFonts w:ascii="Arial" w:eastAsia="Batang" w:hAnsi="Arial" w:cs="Arial" w:hint="cs"/>
          <w:lang w:val="es-MX"/>
        </w:rPr>
        <w:lastRenderedPageBreak/>
        <w:t>consultas sobre la aplicación de normas de carácter general</w:t>
      </w:r>
      <w:r w:rsidRPr="00205079">
        <w:rPr>
          <w:rFonts w:ascii="Arial" w:eastAsia="Calibri" w:hAnsi="Arial" w:cs="Arial" w:hint="cs"/>
          <w:lang w:val="es-MX"/>
        </w:rPr>
        <w:t>»</w:t>
      </w:r>
      <w:r w:rsidRPr="00205079">
        <w:rPr>
          <w:rFonts w:ascii="Arial" w:eastAsia="Batang" w:hAnsi="Arial" w:cs="Arial" w:hint="cs"/>
          <w:vertAlign w:val="superscript"/>
          <w:lang w:val="es-MX"/>
        </w:rPr>
        <w:footnoteReference w:id="2"/>
      </w:r>
      <w:r w:rsidRPr="00205079">
        <w:rPr>
          <w:rFonts w:ascii="Arial" w:eastAsia="Batang" w:hAnsi="Arial" w:cs="Arial" w:hint="cs"/>
          <w:lang w:val="es-MX"/>
        </w:rPr>
        <w:t>. Esto significa que la entidad no puede pronunciarse sobre situaciones o casos particulares, pues l</w:t>
      </w:r>
      <w:r w:rsidRPr="00205079">
        <w:rPr>
          <w:rFonts w:ascii="Arial" w:eastAsia="Calibri" w:hAnsi="Arial" w:cs="Arial" w:hint="cs"/>
          <w:lang w:val="es-ES"/>
        </w:rPr>
        <w:t xml:space="preserve">a competencia de esta entidad se establece con límites claros con el objeto de evitar que los conceptos sean una </w:t>
      </w:r>
      <w:bookmarkStart w:id="1" w:name="_Hlk45529370"/>
      <w:r w:rsidRPr="00205079">
        <w:rPr>
          <w:rFonts w:ascii="Arial" w:eastAsia="Calibri" w:hAnsi="Arial" w:cs="Arial" w:hint="cs"/>
          <w:lang w:val="es-ES"/>
        </w:rPr>
        <w:t>instancia de validación de las actuaciones de las demás autoridades públicas</w:t>
      </w:r>
      <w:bookmarkEnd w:id="1"/>
      <w:r w:rsidRPr="00205079">
        <w:rPr>
          <w:rFonts w:ascii="Arial" w:eastAsia="Calibri" w:hAnsi="Arial" w:cs="Arial" w:hint="cs"/>
          <w:lang w:val="es-ES"/>
        </w:rPr>
        <w:t xml:space="preserve">. De tal manera, no es competencia de la entidad definir </w:t>
      </w:r>
      <w:r w:rsidR="00992409">
        <w:rPr>
          <w:rFonts w:ascii="Arial" w:eastAsia="Calibri" w:hAnsi="Arial" w:cs="Arial"/>
          <w:lang w:val="es-ES"/>
        </w:rPr>
        <w:t xml:space="preserve">el procedimiento para incluir </w:t>
      </w:r>
      <w:r w:rsidR="00992409" w:rsidRPr="00205079">
        <w:rPr>
          <w:rFonts w:ascii="Arial" w:eastAsia="Times New Roman" w:hAnsi="Arial" w:cs="Arial" w:hint="cs"/>
        </w:rPr>
        <w:t>los bienes, obras y servicios</w:t>
      </w:r>
      <w:r w:rsidR="00992409">
        <w:rPr>
          <w:rFonts w:ascii="Arial" w:eastAsia="Times New Roman" w:hAnsi="Arial" w:cs="Arial"/>
        </w:rPr>
        <w:t xml:space="preserve"> en el plan anual de adquisiciones</w:t>
      </w:r>
      <w:r w:rsidR="00F10642">
        <w:rPr>
          <w:rFonts w:ascii="Arial" w:eastAsia="Times New Roman" w:hAnsi="Arial" w:cs="Arial"/>
        </w:rPr>
        <w:t>, pues el procedimiento será propio de cada entidad</w:t>
      </w:r>
      <w:r w:rsidRPr="00205079">
        <w:rPr>
          <w:rFonts w:ascii="Arial" w:eastAsia="Calibri" w:hAnsi="Arial" w:cs="Arial" w:hint="cs"/>
          <w:lang w:val="es-ES"/>
        </w:rPr>
        <w:t xml:space="preserve">. </w:t>
      </w:r>
    </w:p>
    <w:p w14:paraId="71D0A9E8" w14:textId="102B9796" w:rsidR="00205079" w:rsidRPr="00205079" w:rsidRDefault="00205079" w:rsidP="00205079">
      <w:pPr>
        <w:spacing w:after="120" w:line="276" w:lineRule="auto"/>
        <w:jc w:val="both"/>
        <w:rPr>
          <w:rFonts w:ascii="Arial" w:eastAsia="Times New Roman" w:hAnsi="Arial" w:cs="Arial"/>
          <w:szCs w:val="24"/>
          <w:lang w:val="es-ES" w:eastAsia="en-GB"/>
        </w:rPr>
      </w:pPr>
      <w:r w:rsidRPr="00205079">
        <w:rPr>
          <w:rFonts w:ascii="Arial" w:eastAsia="Calibri" w:hAnsi="Arial" w:cs="Arial" w:hint="cs"/>
          <w:lang w:val="es-ES"/>
        </w:rPr>
        <w:tab/>
        <w:t xml:space="preserve">Sin perjuicio de lo anterior, la Subdirección –dentro de los límites de sus atribuciones– resolverá las solicitudes conforme a las normas generales en materia de compra pública. Con este objetivo, se analizarán tres tópicos: </w:t>
      </w:r>
      <w:r w:rsidRPr="00205079">
        <w:rPr>
          <w:rFonts w:ascii="Arial" w:eastAsia="Calibri" w:hAnsi="Arial" w:cs="Arial" w:hint="cs"/>
          <w:color w:val="000000"/>
          <w:szCs w:val="24"/>
          <w:lang w:eastAsia="es-ES_tradnl"/>
        </w:rPr>
        <w:t xml:space="preserve">i) sujetos obligados a publicar el plan anual de adquisiciones, </w:t>
      </w:r>
      <w:proofErr w:type="spellStart"/>
      <w:r w:rsidRPr="00205079">
        <w:rPr>
          <w:rFonts w:ascii="Arial" w:eastAsia="Calibri" w:hAnsi="Arial" w:cs="Arial" w:hint="cs"/>
          <w:color w:val="000000"/>
          <w:szCs w:val="24"/>
          <w:lang w:eastAsia="es-ES_tradnl"/>
        </w:rPr>
        <w:t>ii</w:t>
      </w:r>
      <w:proofErr w:type="spellEnd"/>
      <w:r w:rsidRPr="00205079">
        <w:rPr>
          <w:rFonts w:ascii="Arial" w:eastAsia="Calibri" w:hAnsi="Arial" w:cs="Arial" w:hint="cs"/>
          <w:color w:val="000000"/>
          <w:szCs w:val="24"/>
          <w:lang w:eastAsia="es-ES_tradnl"/>
        </w:rPr>
        <w:t xml:space="preserve">) </w:t>
      </w:r>
      <w:r w:rsidRPr="00205079">
        <w:rPr>
          <w:rFonts w:ascii="Arial" w:eastAsia="Times New Roman" w:hAnsi="Arial" w:cs="Arial" w:hint="cs"/>
          <w:szCs w:val="24"/>
          <w:lang w:val="es-ES" w:eastAsia="en-GB"/>
        </w:rPr>
        <w:t xml:space="preserve">obligación y condiciones de publicación del Plan Anual de Adquisiciones; </w:t>
      </w:r>
      <w:proofErr w:type="spellStart"/>
      <w:r w:rsidRPr="00205079">
        <w:rPr>
          <w:rFonts w:ascii="Arial" w:eastAsia="Times New Roman" w:hAnsi="Arial" w:cs="Arial" w:hint="cs"/>
          <w:szCs w:val="24"/>
          <w:lang w:val="es-ES" w:eastAsia="en-GB"/>
        </w:rPr>
        <w:t>iii</w:t>
      </w:r>
      <w:proofErr w:type="spellEnd"/>
      <w:r w:rsidRPr="00205079">
        <w:rPr>
          <w:rFonts w:ascii="Arial" w:eastAsia="Times New Roman" w:hAnsi="Arial" w:cs="Arial" w:hint="cs"/>
          <w:szCs w:val="24"/>
          <w:lang w:val="es-ES" w:eastAsia="en-GB"/>
        </w:rPr>
        <w:t xml:space="preserve">) </w:t>
      </w:r>
      <w:r w:rsidRPr="00205079">
        <w:rPr>
          <w:rFonts w:ascii="Arial" w:eastAsia="Calibri" w:hAnsi="Arial" w:cs="Arial" w:hint="cs"/>
          <w:bCs/>
          <w:lang w:val="es-ES" w:eastAsia="en-GB"/>
        </w:rPr>
        <w:t xml:space="preserve">contenido del plan anual y competencia para expedirlo; y </w:t>
      </w:r>
      <w:proofErr w:type="spellStart"/>
      <w:r w:rsidRPr="00205079">
        <w:rPr>
          <w:rFonts w:ascii="Arial" w:eastAsia="Calibri" w:hAnsi="Arial" w:cs="Arial" w:hint="cs"/>
          <w:bCs/>
          <w:lang w:val="es-ES" w:eastAsia="en-GB"/>
        </w:rPr>
        <w:t>iv</w:t>
      </w:r>
      <w:proofErr w:type="spellEnd"/>
      <w:r w:rsidRPr="00205079">
        <w:rPr>
          <w:rFonts w:ascii="Arial" w:eastAsia="Calibri" w:hAnsi="Arial" w:cs="Arial" w:hint="cs"/>
          <w:bCs/>
          <w:lang w:val="es-ES" w:eastAsia="en-GB"/>
        </w:rPr>
        <w:t xml:space="preserve">) </w:t>
      </w:r>
      <w:r w:rsidRPr="00205079">
        <w:rPr>
          <w:rFonts w:ascii="Arial" w:eastAsia="Calibri" w:hAnsi="Arial" w:cs="Arial" w:hint="cs"/>
          <w:color w:val="000000"/>
          <w:szCs w:val="24"/>
          <w:lang w:val="es-ES" w:eastAsia="es-ES_tradnl"/>
        </w:rPr>
        <w:t>carácter estimativo del plan anual de adquisiciones respecto al régimen jurídico para su expedición y publicación.</w:t>
      </w:r>
    </w:p>
    <w:p w14:paraId="6D132E94" w14:textId="77777777" w:rsidR="00205079" w:rsidRPr="00205079" w:rsidRDefault="00205079" w:rsidP="00205079">
      <w:pPr>
        <w:tabs>
          <w:tab w:val="left" w:pos="426"/>
        </w:tabs>
        <w:spacing w:after="120" w:line="276" w:lineRule="auto"/>
        <w:contextualSpacing/>
        <w:jc w:val="both"/>
        <w:rPr>
          <w:rFonts w:ascii="Arial" w:eastAsia="Calibri" w:hAnsi="Arial" w:cs="Arial"/>
          <w:lang w:val="es-ES_tradnl"/>
        </w:rPr>
      </w:pPr>
      <w:r w:rsidRPr="00205079">
        <w:rPr>
          <w:rFonts w:ascii="Arial" w:eastAsia="Calibri" w:hAnsi="Arial" w:cs="Arial" w:hint="cs"/>
        </w:rPr>
        <w:tab/>
      </w:r>
      <w:r w:rsidRPr="00205079">
        <w:rPr>
          <w:rFonts w:ascii="Arial" w:eastAsia="Calibri" w:hAnsi="Arial" w:cs="Arial" w:hint="cs"/>
        </w:rPr>
        <w:tab/>
        <w:t xml:space="preserve">La Agencia Nacional de Contratación Pública – Colombia Compra Eficiente </w:t>
      </w:r>
      <w:r w:rsidRPr="00205079">
        <w:rPr>
          <w:rFonts w:ascii="Arial" w:eastAsia="Calibri" w:hAnsi="Arial" w:cs="Arial" w:hint="cs"/>
          <w:lang w:val="es-ES_tradnl"/>
        </w:rPr>
        <w:t xml:space="preserve">analizó el plan anual de </w:t>
      </w:r>
      <w:r w:rsidRPr="00205079">
        <w:rPr>
          <w:rFonts w:ascii="Arial" w:eastAsia="Calibri" w:hAnsi="Arial" w:cs="Arial" w:hint="cs"/>
          <w:bCs/>
          <w:lang w:val="es-ES_tradnl"/>
        </w:rPr>
        <w:t>adquisiciones en los siguientes conceptos</w:t>
      </w:r>
      <w:r w:rsidRPr="00205079">
        <w:rPr>
          <w:rFonts w:ascii="Arial" w:eastAsia="Calibri" w:hAnsi="Arial" w:cs="Arial" w:hint="cs"/>
          <w:lang w:val="es-ES_tradnl"/>
        </w:rPr>
        <w:t xml:space="preserve"> 4201913000006571 del 8 de noviembre de 2019, reiterado y desarrollado en los conceptos 4201912000007258 del 4 de diciembre de 2019, C-048 del 13 de enero de 2020, C</w:t>
      </w:r>
      <w:r w:rsidRPr="00205079">
        <w:rPr>
          <w:rFonts w:ascii="Arial" w:eastAsia="Calibri" w:hAnsi="Arial" w:cs="Arial" w:hint="cs"/>
          <w:bCs/>
          <w:lang w:val="es-ES_tradnl"/>
        </w:rPr>
        <w:t>-</w:t>
      </w:r>
      <w:r w:rsidRPr="00205079">
        <w:rPr>
          <w:rFonts w:ascii="Arial" w:eastAsia="Calibri" w:hAnsi="Arial" w:cs="Arial" w:hint="cs"/>
          <w:lang w:val="es-ES_tradnl"/>
        </w:rPr>
        <w:t xml:space="preserve">106 del 20 de marzo de 2020, C-109 del 25 de marzo de 2020, C-177 del 31 de marzo de 2020, C- 158 del 03 de abril de 2020, C-237 del 27 de abril de 2020, C-266 del 21 de mayo de 2020, C- 329 del 16 de junio de 2020, C-390 del 23 de junio de 2020, C-331 del 25 de junio de 2020, C-428 del 07 de julio de 2020, C-467 del 31 de julio de 2020, C-638 del 14 de octubre de 2020, C-648 del 25 de octubre de 2020 y C-686 del 01 de diciembre de 2020, C-131 de 6 de abril de 2021, C-257 de 3 de junio de 2021, C-258 de 3 de junio de 2021, C-345 de 13 de julio de 2021, C-376 de 26 de julio de 2021, C-489 de 13 de septiembre de 2021, C-637 del 7 de diciembre de 2021 y C-733 del 13 de enero de 2022, C-026 del 18 de febrero de 2022, C-027 del 25 de febrero de 2022, C-047 del 2 de marzo de 2022, C-087 del 17 de marzo de 2022, C-408 del 23 de junio de 2022, C-622 de 28 de septiembre de 2022, </w:t>
      </w:r>
      <w:r w:rsidRPr="00205079">
        <w:rPr>
          <w:rFonts w:ascii="Arial" w:eastAsia="Times New Roman" w:hAnsi="Arial" w:cs="Arial" w:hint="cs"/>
          <w:sz w:val="24"/>
          <w:szCs w:val="24"/>
          <w:lang w:val="es-ES_tradnl" w:eastAsia="es-ES_tradnl"/>
        </w:rPr>
        <w:t>C-754 de 9 de noviembre de 2022 y C-763 de 15 de noviembre de 2022,</w:t>
      </w:r>
      <w:r w:rsidRPr="00205079">
        <w:rPr>
          <w:rFonts w:ascii="Arial" w:eastAsia="Calibri" w:hAnsi="Arial" w:cs="Arial" w:hint="cs"/>
          <w:lang w:val="es-ES_tradnl"/>
        </w:rPr>
        <w:t xml:space="preserve"> entre otros</w:t>
      </w:r>
      <w:r w:rsidRPr="00205079">
        <w:rPr>
          <w:rFonts w:ascii="Arial" w:eastAsia="Times New Roman" w:hAnsi="Arial" w:cs="Arial" w:hint="cs"/>
          <w:sz w:val="24"/>
          <w:szCs w:val="24"/>
          <w:vertAlign w:val="superscript"/>
          <w:lang w:val="es-ES_tradnl"/>
        </w:rPr>
        <w:footnoteReference w:id="3"/>
      </w:r>
      <w:r w:rsidRPr="00205079">
        <w:rPr>
          <w:rFonts w:ascii="Arial" w:eastAsia="Calibri" w:hAnsi="Arial" w:cs="Arial" w:hint="cs"/>
          <w:lang w:val="es-ES_tradnl"/>
        </w:rPr>
        <w:t xml:space="preserve">. </w:t>
      </w:r>
      <w:r w:rsidRPr="00205079">
        <w:rPr>
          <w:rFonts w:ascii="Arial" w:eastAsia="Calibri" w:hAnsi="Arial" w:cs="Arial" w:hint="cs"/>
          <w:lang w:val="es-MX"/>
        </w:rPr>
        <w:t xml:space="preserve">La tesis desarrollada en estos conceptos se reitera y se complementa en lo pertinente. </w:t>
      </w:r>
    </w:p>
    <w:p w14:paraId="13EEC301" w14:textId="77777777" w:rsidR="00205079" w:rsidRPr="00205079" w:rsidRDefault="00205079" w:rsidP="00205079">
      <w:pPr>
        <w:spacing w:after="120" w:line="276" w:lineRule="auto"/>
        <w:jc w:val="both"/>
        <w:rPr>
          <w:rFonts w:ascii="Arial" w:eastAsia="Calibri" w:hAnsi="Arial" w:cs="Arial"/>
          <w:color w:val="000000" w:themeColor="text1"/>
          <w:lang w:val="es-ES_tradnl"/>
        </w:rPr>
      </w:pPr>
    </w:p>
    <w:p w14:paraId="49BBABBE" w14:textId="77777777" w:rsidR="00205079" w:rsidRPr="00205079" w:rsidRDefault="00205079" w:rsidP="00205079">
      <w:pPr>
        <w:spacing w:after="0" w:line="240" w:lineRule="auto"/>
        <w:rPr>
          <w:rFonts w:ascii="Arial" w:eastAsia="Calibri" w:hAnsi="Arial" w:cs="Arial"/>
          <w:b/>
          <w:color w:val="000000"/>
          <w:lang w:val="es-ES" w:eastAsia="en-GB"/>
        </w:rPr>
      </w:pPr>
      <w:r w:rsidRPr="00205079">
        <w:rPr>
          <w:rFonts w:ascii="Arial" w:eastAsia="Calibri" w:hAnsi="Arial" w:cs="Arial" w:hint="cs"/>
          <w:b/>
          <w:color w:val="000000"/>
          <w:lang w:val="es-ES" w:eastAsia="en-GB"/>
        </w:rPr>
        <w:lastRenderedPageBreak/>
        <w:t xml:space="preserve">2.1. Sujetos obligados a publicar el plan anual de adquisiciones </w:t>
      </w:r>
    </w:p>
    <w:p w14:paraId="3FB88292" w14:textId="77777777" w:rsidR="00205079" w:rsidRPr="00205079" w:rsidRDefault="00205079" w:rsidP="00205079">
      <w:pPr>
        <w:spacing w:after="0" w:line="240" w:lineRule="auto"/>
        <w:rPr>
          <w:rFonts w:ascii="Arial" w:eastAsia="Calibri" w:hAnsi="Arial" w:cs="Arial"/>
          <w:b/>
          <w:color w:val="000000"/>
          <w:lang w:val="es-ES" w:eastAsia="en-GB"/>
        </w:rPr>
      </w:pPr>
    </w:p>
    <w:p w14:paraId="2476001F" w14:textId="77777777" w:rsidR="00205079" w:rsidRPr="00205079" w:rsidRDefault="00205079" w:rsidP="00205079">
      <w:pPr>
        <w:tabs>
          <w:tab w:val="left" w:pos="426"/>
          <w:tab w:val="left" w:pos="8505"/>
        </w:tabs>
        <w:spacing w:after="120" w:line="276" w:lineRule="auto"/>
        <w:ind w:right="51"/>
        <w:jc w:val="both"/>
        <w:rPr>
          <w:rFonts w:ascii="Arial" w:eastAsia="Calibri" w:hAnsi="Arial" w:cs="Arial"/>
          <w:lang w:val="es-ES" w:eastAsia="en-GB"/>
        </w:rPr>
      </w:pPr>
      <w:r w:rsidRPr="00205079">
        <w:rPr>
          <w:rFonts w:ascii="Arial" w:eastAsia="Calibri" w:hAnsi="Arial" w:cs="Arial" w:hint="cs"/>
          <w:lang w:val="es-ES" w:eastAsia="en-GB"/>
        </w:rPr>
        <w:t>El artículo 74 de la Ley 1474</w:t>
      </w:r>
      <w:r w:rsidRPr="00205079">
        <w:rPr>
          <w:rFonts w:ascii="Arial" w:eastAsia="Calibri" w:hAnsi="Arial" w:cs="Arial" w:hint="cs"/>
          <w:vertAlign w:val="superscript"/>
          <w:lang w:val="es-ES" w:eastAsia="en-GB"/>
        </w:rPr>
        <w:footnoteReference w:id="4"/>
      </w:r>
      <w:r w:rsidRPr="00205079">
        <w:rPr>
          <w:rFonts w:ascii="Arial" w:eastAsia="Calibri" w:hAnsi="Arial" w:cs="Arial" w:hint="cs"/>
          <w:lang w:val="es-ES" w:eastAsia="en-GB"/>
        </w:rPr>
        <w:t xml:space="preserve"> establece, que «todas las entidades del Estado» deben publicar, a más tardar el 31 de enero de cada año, en su respectiva página web, el plan de acción, en el cual se incluye el plan general de compras. En tal sentido, este plan general de compras para el ordenamiento vigente corresponde con el concepto de Plan Anual de Adquisiciones como lo establece el artículo 2.2.1.1.1.3.1. del Decreto 1082 de 2015</w:t>
      </w:r>
      <w:r w:rsidRPr="00205079">
        <w:rPr>
          <w:rFonts w:ascii="Arial" w:eastAsia="Calibri" w:hAnsi="Arial" w:cs="Arial" w:hint="cs"/>
          <w:vertAlign w:val="superscript"/>
          <w:lang w:val="es-ES" w:eastAsia="en-GB"/>
        </w:rPr>
        <w:footnoteReference w:id="5"/>
      </w:r>
      <w:r w:rsidRPr="00205079">
        <w:rPr>
          <w:rFonts w:ascii="Arial" w:eastAsia="Calibri" w:hAnsi="Arial" w:cs="Arial" w:hint="cs"/>
          <w:lang w:val="es-ES" w:eastAsia="en-GB"/>
        </w:rPr>
        <w:t xml:space="preserve">.  </w:t>
      </w:r>
    </w:p>
    <w:p w14:paraId="5DEF5A02" w14:textId="3944E4CD" w:rsidR="00205079" w:rsidRPr="00205079" w:rsidRDefault="00205079" w:rsidP="00205079">
      <w:pPr>
        <w:tabs>
          <w:tab w:val="left" w:pos="426"/>
          <w:tab w:val="left" w:pos="709"/>
        </w:tabs>
        <w:spacing w:after="0" w:line="276" w:lineRule="auto"/>
        <w:ind w:right="51" w:firstLine="709"/>
        <w:jc w:val="both"/>
        <w:rPr>
          <w:rFonts w:ascii="Arial" w:eastAsia="Calibri" w:hAnsi="Arial" w:cs="Arial"/>
          <w:lang w:val="es-ES" w:eastAsia="en-GB"/>
        </w:rPr>
      </w:pPr>
      <w:r w:rsidRPr="00205079">
        <w:rPr>
          <w:rFonts w:ascii="Arial" w:eastAsia="Calibri" w:hAnsi="Arial" w:cs="Arial" w:hint="cs"/>
          <w:lang w:val="es-ES" w:eastAsia="en-GB"/>
        </w:rPr>
        <w:t xml:space="preserve">Para continuar con las normas generales sobre la publicidad del plan de compras, debe analizarse la Ley 1712 de 2014 </w:t>
      </w:r>
      <w:r w:rsidRPr="00205079">
        <w:rPr>
          <w:rFonts w:ascii="Arial" w:eastAsia="Calibri" w:hAnsi="Arial" w:cs="Arial" w:hint="cs"/>
          <w:i/>
          <w:lang w:val="es-ES" w:eastAsia="en-GB"/>
        </w:rPr>
        <w:t>«</w:t>
      </w:r>
      <w:r w:rsidRPr="00205079">
        <w:rPr>
          <w:rFonts w:ascii="Arial" w:hAnsi="Arial" w:cs="Arial" w:hint="cs"/>
          <w:iCs/>
          <w:shd w:val="clear" w:color="auto" w:fill="FFFFFF"/>
        </w:rPr>
        <w:t>Por medio del cual se crea la ley de transparencia y del derecho de acceso a la información pública nacional</w:t>
      </w:r>
      <w:r w:rsidRPr="00205079">
        <w:rPr>
          <w:rFonts w:ascii="Arial" w:eastAsia="Calibri" w:hAnsi="Arial" w:cs="Arial" w:hint="cs"/>
          <w:i/>
          <w:lang w:val="es-ES" w:eastAsia="en-GB"/>
        </w:rPr>
        <w:t xml:space="preserve">». </w:t>
      </w:r>
      <w:r w:rsidRPr="00205079">
        <w:rPr>
          <w:rFonts w:ascii="Arial" w:eastAsia="Calibri" w:hAnsi="Arial" w:cs="Arial" w:hint="cs"/>
          <w:lang w:val="es-ES" w:eastAsia="en-GB"/>
        </w:rPr>
        <w:t>Al respecto, el artículo 9, literal e) de la precitada Ley, prescribe que todo sujeto obligado deberá publicar, en los sistemas de información del Estado o herramientas que lo sustituyan, su respectivo plan de compras anual</w:t>
      </w:r>
      <w:r w:rsidRPr="00205079">
        <w:rPr>
          <w:rFonts w:ascii="Arial" w:eastAsia="Calibri" w:hAnsi="Arial" w:cs="Arial" w:hint="cs"/>
          <w:vertAlign w:val="superscript"/>
          <w:lang w:val="es-ES" w:eastAsia="en-GB"/>
        </w:rPr>
        <w:footnoteReference w:id="6"/>
      </w:r>
      <w:r w:rsidRPr="00205079">
        <w:rPr>
          <w:rFonts w:ascii="Arial" w:eastAsia="Calibri" w:hAnsi="Arial" w:cs="Arial" w:hint="cs"/>
          <w:lang w:val="es-ES" w:eastAsia="en-GB"/>
        </w:rPr>
        <w:t xml:space="preserve">. Para determinar </w:t>
      </w:r>
      <w:r w:rsidRPr="00205079">
        <w:rPr>
          <w:rFonts w:ascii="Arial" w:eastAsia="Calibri" w:hAnsi="Arial" w:cs="Arial" w:hint="cs"/>
          <w:lang w:val="es-ES" w:eastAsia="en-GB"/>
        </w:rPr>
        <w:lastRenderedPageBreak/>
        <w:t xml:space="preserve">los sujetos obligados a publicarlo es necesario remitirse al artículo 5 de la Ley 1712 de 2014. </w:t>
      </w:r>
      <w:r w:rsidR="00200FB1">
        <w:rPr>
          <w:rFonts w:ascii="Arial" w:eastAsia="Calibri" w:hAnsi="Arial" w:cs="Arial"/>
          <w:lang w:val="es-ES" w:eastAsia="en-GB"/>
        </w:rPr>
        <w:t xml:space="preserve">Esta norma </w:t>
      </w:r>
      <w:r w:rsidRPr="00205079">
        <w:rPr>
          <w:rFonts w:ascii="Arial" w:eastAsia="Calibri" w:hAnsi="Arial" w:cs="Arial" w:hint="cs"/>
          <w:lang w:val="es-ES" w:eastAsia="en-GB"/>
        </w:rPr>
        <w:t>prescribe</w:t>
      </w:r>
      <w:r w:rsidR="00200FB1">
        <w:rPr>
          <w:rFonts w:ascii="Arial" w:eastAsia="Calibri" w:hAnsi="Arial" w:cs="Arial"/>
          <w:lang w:val="es-ES" w:eastAsia="en-GB"/>
        </w:rPr>
        <w:t xml:space="preserve"> lo siguient</w:t>
      </w:r>
      <w:r w:rsidRPr="00205079">
        <w:rPr>
          <w:rFonts w:ascii="Arial" w:eastAsia="Calibri" w:hAnsi="Arial" w:cs="Arial" w:hint="cs"/>
          <w:lang w:val="es-ES" w:eastAsia="en-GB"/>
        </w:rPr>
        <w:t xml:space="preserve">e: </w:t>
      </w:r>
    </w:p>
    <w:p w14:paraId="425CFA22" w14:textId="77777777" w:rsidR="00205079" w:rsidRPr="00205079" w:rsidRDefault="00205079" w:rsidP="00205079">
      <w:pPr>
        <w:tabs>
          <w:tab w:val="left" w:pos="426"/>
        </w:tabs>
        <w:spacing w:after="0" w:line="240" w:lineRule="auto"/>
        <w:ind w:left="426" w:right="760"/>
        <w:jc w:val="both"/>
        <w:rPr>
          <w:rFonts w:ascii="Arial" w:eastAsia="Calibri" w:hAnsi="Arial" w:cs="Arial"/>
          <w:color w:val="000000"/>
          <w:lang w:val="es-ES" w:eastAsia="en-GB"/>
        </w:rPr>
      </w:pPr>
    </w:p>
    <w:p w14:paraId="03F4CA6A" w14:textId="77777777" w:rsidR="00205079" w:rsidRPr="00205079" w:rsidRDefault="00205079" w:rsidP="00205079">
      <w:pPr>
        <w:tabs>
          <w:tab w:val="left" w:pos="709"/>
        </w:tabs>
        <w:spacing w:after="0" w:line="240" w:lineRule="auto"/>
        <w:ind w:left="709" w:right="760"/>
        <w:jc w:val="both"/>
        <w:rPr>
          <w:rFonts w:ascii="Arial" w:eastAsia="Calibri" w:hAnsi="Arial" w:cs="Arial"/>
          <w:color w:val="000000"/>
          <w:sz w:val="21"/>
          <w:szCs w:val="21"/>
          <w:lang w:val="es-ES" w:eastAsia="en-GB"/>
        </w:rPr>
      </w:pPr>
      <w:r w:rsidRPr="00205079">
        <w:rPr>
          <w:rFonts w:ascii="Arial" w:eastAsia="Calibri" w:hAnsi="Arial" w:cs="Arial" w:hint="cs"/>
          <w:color w:val="000000"/>
          <w:sz w:val="21"/>
          <w:szCs w:val="21"/>
          <w:lang w:val="es-ES" w:eastAsia="en-GB"/>
        </w:rPr>
        <w:t>Artículo 5. Las disposiciones de esta ley serán aplicables a las siguientes personas en calidad de sujetos obligados:</w:t>
      </w:r>
    </w:p>
    <w:p w14:paraId="6105F2BD" w14:textId="77777777" w:rsidR="00205079" w:rsidRPr="00205079" w:rsidRDefault="00205079" w:rsidP="00205079">
      <w:pPr>
        <w:tabs>
          <w:tab w:val="left" w:pos="709"/>
        </w:tabs>
        <w:spacing w:after="0" w:line="240" w:lineRule="auto"/>
        <w:ind w:left="709" w:right="760"/>
        <w:jc w:val="both"/>
        <w:rPr>
          <w:rFonts w:ascii="Arial" w:eastAsia="Calibri" w:hAnsi="Arial" w:cs="Arial"/>
          <w:color w:val="000000"/>
          <w:sz w:val="21"/>
          <w:szCs w:val="21"/>
          <w:lang w:val="es-ES" w:eastAsia="en-GB"/>
        </w:rPr>
      </w:pPr>
    </w:p>
    <w:p w14:paraId="3C3E1946" w14:textId="77777777" w:rsidR="00205079" w:rsidRPr="00205079" w:rsidRDefault="00205079" w:rsidP="00205079">
      <w:pPr>
        <w:tabs>
          <w:tab w:val="left" w:pos="709"/>
        </w:tabs>
        <w:spacing w:after="0" w:line="240" w:lineRule="auto"/>
        <w:ind w:left="709" w:right="758"/>
        <w:jc w:val="both"/>
        <w:rPr>
          <w:rFonts w:ascii="Arial" w:eastAsia="Calibri" w:hAnsi="Arial" w:cs="Arial"/>
          <w:color w:val="000000"/>
          <w:sz w:val="21"/>
          <w:szCs w:val="21"/>
          <w:lang w:val="es-ES" w:eastAsia="en-GB"/>
        </w:rPr>
      </w:pPr>
      <w:r w:rsidRPr="00205079">
        <w:rPr>
          <w:rFonts w:ascii="Arial" w:eastAsia="Calibri" w:hAnsi="Arial" w:cs="Arial" w:hint="cs"/>
          <w:color w:val="000000"/>
          <w:sz w:val="21"/>
          <w:szCs w:val="21"/>
          <w:lang w:val="es-ES" w:eastAsia="en-GB"/>
        </w:rPr>
        <w:t>a) Toda entidad pública, incluyendo las pertenecientes a todas las Ramas del Poder Público, en todos los niveles de la estructura estatal, central o descentralizada por servicios o territorialmente, en los órdenes nacional, departamental, municipal y distrital.</w:t>
      </w:r>
    </w:p>
    <w:p w14:paraId="355C5963" w14:textId="77777777" w:rsidR="00205079" w:rsidRPr="00205079" w:rsidRDefault="00205079" w:rsidP="00205079">
      <w:pPr>
        <w:tabs>
          <w:tab w:val="left" w:pos="709"/>
        </w:tabs>
        <w:spacing w:after="0" w:line="240" w:lineRule="auto"/>
        <w:ind w:left="709" w:right="758"/>
        <w:jc w:val="both"/>
        <w:rPr>
          <w:rFonts w:ascii="Arial" w:eastAsia="Calibri" w:hAnsi="Arial" w:cs="Arial"/>
          <w:color w:val="000000"/>
          <w:sz w:val="21"/>
          <w:szCs w:val="21"/>
          <w:lang w:val="es-ES" w:eastAsia="en-GB"/>
        </w:rPr>
      </w:pPr>
    </w:p>
    <w:p w14:paraId="32DE0554" w14:textId="77777777" w:rsidR="00205079" w:rsidRPr="00205079" w:rsidRDefault="00205079" w:rsidP="00205079">
      <w:pPr>
        <w:tabs>
          <w:tab w:val="left" w:pos="709"/>
        </w:tabs>
        <w:spacing w:after="0" w:line="240" w:lineRule="auto"/>
        <w:ind w:left="709" w:right="758"/>
        <w:jc w:val="both"/>
        <w:rPr>
          <w:rFonts w:ascii="Arial" w:eastAsia="Calibri" w:hAnsi="Arial" w:cs="Arial"/>
          <w:color w:val="000000"/>
          <w:sz w:val="21"/>
          <w:szCs w:val="21"/>
          <w:lang w:val="es-ES" w:eastAsia="en-GB"/>
        </w:rPr>
      </w:pPr>
      <w:r w:rsidRPr="00205079">
        <w:rPr>
          <w:rFonts w:ascii="Arial" w:eastAsia="Calibri" w:hAnsi="Arial" w:cs="Arial" w:hint="cs"/>
          <w:color w:val="000000"/>
          <w:sz w:val="21"/>
          <w:szCs w:val="21"/>
          <w:lang w:val="es-ES" w:eastAsia="en-GB"/>
        </w:rPr>
        <w:t>b) Los órganos, organismos y entidades estatales independientes o autónomos y de control.</w:t>
      </w:r>
    </w:p>
    <w:p w14:paraId="0A7F439B" w14:textId="77777777" w:rsidR="00205079" w:rsidRPr="00205079" w:rsidRDefault="00205079" w:rsidP="00205079">
      <w:pPr>
        <w:tabs>
          <w:tab w:val="left" w:pos="709"/>
        </w:tabs>
        <w:spacing w:after="0" w:line="240" w:lineRule="auto"/>
        <w:ind w:left="709" w:right="758"/>
        <w:jc w:val="both"/>
        <w:rPr>
          <w:rFonts w:ascii="Arial" w:eastAsia="Calibri" w:hAnsi="Arial" w:cs="Arial"/>
          <w:color w:val="000000"/>
          <w:sz w:val="21"/>
          <w:szCs w:val="21"/>
          <w:lang w:val="es-ES" w:eastAsia="en-GB"/>
        </w:rPr>
      </w:pPr>
    </w:p>
    <w:p w14:paraId="4F514DDA" w14:textId="77777777" w:rsidR="00205079" w:rsidRPr="00205079" w:rsidRDefault="00205079" w:rsidP="00205079">
      <w:pPr>
        <w:tabs>
          <w:tab w:val="left" w:pos="709"/>
        </w:tabs>
        <w:spacing w:after="0" w:line="240" w:lineRule="auto"/>
        <w:ind w:left="709" w:right="758"/>
        <w:jc w:val="both"/>
        <w:rPr>
          <w:rFonts w:ascii="Arial" w:eastAsia="Calibri" w:hAnsi="Arial" w:cs="Arial"/>
          <w:color w:val="000000"/>
          <w:sz w:val="21"/>
          <w:szCs w:val="21"/>
          <w:lang w:val="es-ES" w:eastAsia="en-GB"/>
        </w:rPr>
      </w:pPr>
      <w:r w:rsidRPr="00205079">
        <w:rPr>
          <w:rFonts w:ascii="Arial" w:eastAsia="Calibri" w:hAnsi="Arial" w:cs="Arial" w:hint="cs"/>
          <w:color w:val="000000"/>
          <w:sz w:val="21"/>
          <w:szCs w:val="21"/>
          <w:lang w:val="es-ES" w:eastAsia="en-GB"/>
        </w:rPr>
        <w:t>c) Las personas naturales y jurídicas, públicas o privadas, que presten función pública, que presten servicios públicos respecto de la información directamente relacionada con la prestación del servicio público.</w:t>
      </w:r>
    </w:p>
    <w:p w14:paraId="7D24750A" w14:textId="77777777" w:rsidR="00205079" w:rsidRPr="00205079" w:rsidRDefault="00205079" w:rsidP="00205079">
      <w:pPr>
        <w:tabs>
          <w:tab w:val="left" w:pos="709"/>
        </w:tabs>
        <w:spacing w:after="0" w:line="240" w:lineRule="auto"/>
        <w:ind w:left="709" w:right="758"/>
        <w:jc w:val="both"/>
        <w:rPr>
          <w:rFonts w:ascii="Arial" w:eastAsia="Calibri" w:hAnsi="Arial" w:cs="Arial"/>
          <w:color w:val="000000"/>
          <w:sz w:val="21"/>
          <w:szCs w:val="21"/>
          <w:lang w:val="es-ES" w:eastAsia="en-GB"/>
        </w:rPr>
      </w:pPr>
    </w:p>
    <w:p w14:paraId="7AAB0075" w14:textId="77777777" w:rsidR="00205079" w:rsidRPr="00205079" w:rsidRDefault="00205079" w:rsidP="00205079">
      <w:pPr>
        <w:tabs>
          <w:tab w:val="left" w:pos="709"/>
        </w:tabs>
        <w:spacing w:after="0" w:line="240" w:lineRule="auto"/>
        <w:ind w:left="709" w:right="758"/>
        <w:jc w:val="both"/>
        <w:rPr>
          <w:rFonts w:ascii="Arial" w:eastAsia="Calibri" w:hAnsi="Arial" w:cs="Arial"/>
          <w:color w:val="000000"/>
          <w:sz w:val="21"/>
          <w:szCs w:val="21"/>
          <w:lang w:val="es-ES" w:eastAsia="en-GB"/>
        </w:rPr>
      </w:pPr>
      <w:r w:rsidRPr="00205079">
        <w:rPr>
          <w:rFonts w:ascii="Arial" w:eastAsia="Calibri" w:hAnsi="Arial" w:cs="Arial" w:hint="cs"/>
          <w:color w:val="000000"/>
          <w:sz w:val="21"/>
          <w:szCs w:val="21"/>
          <w:lang w:val="es-ES" w:eastAsia="en-GB"/>
        </w:rPr>
        <w:t xml:space="preserve">d) Cualquier persona natural, jurídica o dependencia de persona jurídica que desempeñe función pública o de </w:t>
      </w:r>
      <w:proofErr w:type="gramStart"/>
      <w:r w:rsidRPr="00205079">
        <w:rPr>
          <w:rFonts w:ascii="Arial" w:eastAsia="Calibri" w:hAnsi="Arial" w:cs="Arial" w:hint="cs"/>
          <w:color w:val="000000"/>
          <w:sz w:val="21"/>
          <w:szCs w:val="21"/>
          <w:lang w:val="es-ES" w:eastAsia="en-GB"/>
        </w:rPr>
        <w:t>autoridad pública</w:t>
      </w:r>
      <w:proofErr w:type="gramEnd"/>
      <w:r w:rsidRPr="00205079">
        <w:rPr>
          <w:rFonts w:ascii="Arial" w:eastAsia="Calibri" w:hAnsi="Arial" w:cs="Arial" w:hint="cs"/>
          <w:color w:val="000000"/>
          <w:sz w:val="21"/>
          <w:szCs w:val="21"/>
          <w:lang w:val="es-ES" w:eastAsia="en-GB"/>
        </w:rPr>
        <w:t>, respecto de la información directamente relacionada con el desempeño de su función.</w:t>
      </w:r>
    </w:p>
    <w:p w14:paraId="0D3D8437" w14:textId="77777777" w:rsidR="00205079" w:rsidRPr="00205079" w:rsidRDefault="00205079" w:rsidP="00205079">
      <w:pPr>
        <w:tabs>
          <w:tab w:val="left" w:pos="709"/>
        </w:tabs>
        <w:spacing w:after="0" w:line="240" w:lineRule="auto"/>
        <w:ind w:left="709" w:right="758"/>
        <w:jc w:val="both"/>
        <w:rPr>
          <w:rFonts w:ascii="Arial" w:eastAsia="Calibri" w:hAnsi="Arial" w:cs="Arial"/>
          <w:color w:val="000000"/>
          <w:sz w:val="21"/>
          <w:szCs w:val="21"/>
          <w:lang w:val="es-ES" w:eastAsia="en-GB"/>
        </w:rPr>
      </w:pPr>
    </w:p>
    <w:p w14:paraId="0C05E144" w14:textId="77777777" w:rsidR="00205079" w:rsidRPr="00205079" w:rsidRDefault="00205079" w:rsidP="00205079">
      <w:pPr>
        <w:tabs>
          <w:tab w:val="left" w:pos="709"/>
        </w:tabs>
        <w:spacing w:after="0" w:line="240" w:lineRule="auto"/>
        <w:ind w:left="709" w:right="758"/>
        <w:jc w:val="both"/>
        <w:rPr>
          <w:rFonts w:ascii="Arial" w:eastAsia="Calibri" w:hAnsi="Arial" w:cs="Arial"/>
          <w:color w:val="000000"/>
          <w:sz w:val="21"/>
          <w:szCs w:val="21"/>
          <w:lang w:val="es-ES" w:eastAsia="en-GB"/>
        </w:rPr>
      </w:pPr>
      <w:r w:rsidRPr="00205079">
        <w:rPr>
          <w:rFonts w:ascii="Arial" w:eastAsia="Calibri" w:hAnsi="Arial" w:cs="Arial" w:hint="cs"/>
          <w:color w:val="000000"/>
          <w:sz w:val="21"/>
          <w:szCs w:val="21"/>
          <w:lang w:val="es-ES" w:eastAsia="en-GB"/>
        </w:rPr>
        <w:t>e)  Las empresas públicas creadas por ley, las empresas del Estado y sociedades en que este tenga participación.</w:t>
      </w:r>
    </w:p>
    <w:p w14:paraId="589F926B" w14:textId="77777777" w:rsidR="00205079" w:rsidRPr="00205079" w:rsidRDefault="00205079" w:rsidP="00205079">
      <w:pPr>
        <w:tabs>
          <w:tab w:val="left" w:pos="709"/>
        </w:tabs>
        <w:spacing w:after="0" w:line="240" w:lineRule="auto"/>
        <w:ind w:left="709" w:right="758"/>
        <w:jc w:val="both"/>
        <w:rPr>
          <w:rFonts w:ascii="Arial" w:eastAsia="Calibri" w:hAnsi="Arial" w:cs="Arial"/>
          <w:color w:val="000000"/>
          <w:sz w:val="21"/>
          <w:szCs w:val="21"/>
          <w:lang w:val="es-ES" w:eastAsia="en-GB"/>
        </w:rPr>
      </w:pPr>
    </w:p>
    <w:p w14:paraId="7CC0ECDB" w14:textId="77777777" w:rsidR="00205079" w:rsidRPr="00205079" w:rsidRDefault="00205079" w:rsidP="00205079">
      <w:pPr>
        <w:tabs>
          <w:tab w:val="left" w:pos="709"/>
        </w:tabs>
        <w:spacing w:after="0" w:line="240" w:lineRule="auto"/>
        <w:ind w:left="709" w:right="758"/>
        <w:jc w:val="both"/>
        <w:rPr>
          <w:rFonts w:ascii="Arial" w:eastAsia="Calibri" w:hAnsi="Arial" w:cs="Arial"/>
          <w:color w:val="000000"/>
          <w:sz w:val="21"/>
          <w:szCs w:val="21"/>
          <w:lang w:val="es-ES" w:eastAsia="en-GB"/>
        </w:rPr>
      </w:pPr>
      <w:r w:rsidRPr="00205079">
        <w:rPr>
          <w:rFonts w:ascii="Arial" w:eastAsia="Calibri" w:hAnsi="Arial" w:cs="Arial" w:hint="cs"/>
          <w:color w:val="000000"/>
          <w:sz w:val="21"/>
          <w:szCs w:val="21"/>
          <w:lang w:val="es-ES" w:eastAsia="en-GB"/>
        </w:rPr>
        <w:t>f) Los partidos o movimientos políticos y los grupos significativos de ciudadanos.</w:t>
      </w:r>
    </w:p>
    <w:p w14:paraId="104B9389" w14:textId="77777777" w:rsidR="00205079" w:rsidRPr="00205079" w:rsidRDefault="00205079" w:rsidP="00205079">
      <w:pPr>
        <w:tabs>
          <w:tab w:val="left" w:pos="709"/>
        </w:tabs>
        <w:spacing w:after="0" w:line="240" w:lineRule="auto"/>
        <w:ind w:left="709" w:right="758"/>
        <w:jc w:val="both"/>
        <w:rPr>
          <w:rFonts w:ascii="Arial" w:eastAsia="Calibri" w:hAnsi="Arial" w:cs="Arial"/>
          <w:color w:val="000000"/>
          <w:sz w:val="21"/>
          <w:szCs w:val="21"/>
          <w:lang w:val="es-ES" w:eastAsia="en-GB"/>
        </w:rPr>
      </w:pPr>
      <w:r w:rsidRPr="00205079">
        <w:rPr>
          <w:rFonts w:ascii="Arial" w:eastAsia="Calibri" w:hAnsi="Arial" w:cs="Arial" w:hint="cs"/>
          <w:color w:val="000000"/>
          <w:sz w:val="21"/>
          <w:szCs w:val="21"/>
          <w:lang w:val="es-ES" w:eastAsia="en-GB"/>
        </w:rPr>
        <w:t>g) Las entidades que administren instituciones parafiscales, fondos o recursos de naturaleza u origen público.</w:t>
      </w:r>
    </w:p>
    <w:p w14:paraId="3E67998E" w14:textId="77777777" w:rsidR="00205079" w:rsidRPr="00205079" w:rsidRDefault="00205079" w:rsidP="00205079">
      <w:pPr>
        <w:tabs>
          <w:tab w:val="left" w:pos="709"/>
        </w:tabs>
        <w:spacing w:after="0" w:line="240" w:lineRule="auto"/>
        <w:ind w:left="709" w:right="758"/>
        <w:jc w:val="both"/>
        <w:rPr>
          <w:rFonts w:ascii="Arial" w:eastAsia="Calibri" w:hAnsi="Arial" w:cs="Arial"/>
          <w:color w:val="000000"/>
          <w:sz w:val="21"/>
          <w:szCs w:val="21"/>
          <w:lang w:val="es-ES" w:eastAsia="en-GB"/>
        </w:rPr>
      </w:pPr>
    </w:p>
    <w:p w14:paraId="277AAB90" w14:textId="77777777" w:rsidR="00205079" w:rsidRPr="00205079" w:rsidRDefault="00205079" w:rsidP="00205079">
      <w:pPr>
        <w:tabs>
          <w:tab w:val="left" w:pos="709"/>
        </w:tabs>
        <w:spacing w:after="0" w:line="240" w:lineRule="auto"/>
        <w:ind w:left="709" w:right="758"/>
        <w:jc w:val="both"/>
        <w:rPr>
          <w:rFonts w:ascii="Arial" w:eastAsia="Calibri" w:hAnsi="Arial" w:cs="Arial"/>
          <w:color w:val="000000"/>
          <w:sz w:val="21"/>
          <w:szCs w:val="21"/>
          <w:lang w:val="es-ES" w:eastAsia="en-GB"/>
        </w:rPr>
      </w:pPr>
      <w:r w:rsidRPr="00205079">
        <w:rPr>
          <w:rFonts w:ascii="Arial" w:eastAsia="Calibri" w:hAnsi="Arial" w:cs="Arial" w:hint="cs"/>
          <w:color w:val="000000"/>
          <w:sz w:val="21"/>
          <w:szCs w:val="21"/>
          <w:lang w:val="es-ES" w:eastAsia="en-GB"/>
        </w:rPr>
        <w:t>Las personas naturales o jurídicas que reciban o intermedien fondos o beneficios públicos territoriales y nacionales y no cumplan ninguno de los otros requisitos para ser considerados sujetos obligados, solo deberán cumplir con la presente ley respecto de aquella información que se produzca en relación con fondos públicos que reciban o intermedien.</w:t>
      </w:r>
    </w:p>
    <w:p w14:paraId="28147806" w14:textId="77777777" w:rsidR="00205079" w:rsidRPr="00205079" w:rsidRDefault="00205079" w:rsidP="00205079">
      <w:pPr>
        <w:tabs>
          <w:tab w:val="left" w:pos="709"/>
        </w:tabs>
        <w:spacing w:after="0" w:line="240" w:lineRule="auto"/>
        <w:ind w:left="709" w:right="758"/>
        <w:jc w:val="both"/>
        <w:rPr>
          <w:rFonts w:ascii="Arial" w:eastAsia="Calibri" w:hAnsi="Arial" w:cs="Arial"/>
          <w:color w:val="000000"/>
          <w:sz w:val="21"/>
          <w:szCs w:val="21"/>
          <w:lang w:val="es-ES" w:eastAsia="en-GB"/>
        </w:rPr>
      </w:pPr>
    </w:p>
    <w:p w14:paraId="344D4750" w14:textId="77777777" w:rsidR="00205079" w:rsidRPr="00205079" w:rsidRDefault="00205079" w:rsidP="00205079">
      <w:pPr>
        <w:tabs>
          <w:tab w:val="left" w:pos="709"/>
        </w:tabs>
        <w:spacing w:after="0" w:line="240" w:lineRule="auto"/>
        <w:ind w:left="709" w:right="758"/>
        <w:jc w:val="both"/>
        <w:rPr>
          <w:rFonts w:ascii="Arial" w:eastAsia="Calibri" w:hAnsi="Arial" w:cs="Arial"/>
          <w:color w:val="000000"/>
          <w:sz w:val="21"/>
          <w:szCs w:val="21"/>
          <w:lang w:val="es-ES" w:eastAsia="en-GB"/>
        </w:rPr>
      </w:pPr>
      <w:r w:rsidRPr="00205079">
        <w:rPr>
          <w:rFonts w:ascii="Arial" w:eastAsia="Calibri" w:hAnsi="Arial" w:cs="Arial" w:hint="cs"/>
          <w:color w:val="000000"/>
          <w:sz w:val="21"/>
          <w:szCs w:val="21"/>
          <w:lang w:val="es-ES" w:eastAsia="en-GB"/>
        </w:rPr>
        <w:t>PARÁGRAFO 1o. No serán sujetos obligados aquellas personas naturales o jurídicas de carácter privado que sean usuarios de información pública.</w:t>
      </w:r>
    </w:p>
    <w:p w14:paraId="13B58655" w14:textId="77777777" w:rsidR="00205079" w:rsidRPr="00205079" w:rsidRDefault="00205079" w:rsidP="00205079">
      <w:pPr>
        <w:tabs>
          <w:tab w:val="left" w:pos="426"/>
        </w:tabs>
        <w:spacing w:after="0" w:line="240" w:lineRule="auto"/>
        <w:ind w:right="758"/>
        <w:jc w:val="both"/>
        <w:rPr>
          <w:rFonts w:ascii="Arial" w:eastAsia="Calibri" w:hAnsi="Arial" w:cs="Arial"/>
          <w:color w:val="000000"/>
          <w:lang w:val="es-ES" w:eastAsia="en-GB"/>
        </w:rPr>
      </w:pPr>
    </w:p>
    <w:p w14:paraId="35EF1C2F" w14:textId="2F5081FF" w:rsidR="00205079" w:rsidRPr="00205079" w:rsidRDefault="00205079" w:rsidP="00205079">
      <w:pPr>
        <w:spacing w:after="0" w:line="276" w:lineRule="auto"/>
        <w:ind w:firstLine="709"/>
        <w:jc w:val="both"/>
        <w:rPr>
          <w:rFonts w:ascii="Arial" w:eastAsia="Calibri" w:hAnsi="Arial" w:cs="Arial"/>
          <w:lang w:val="es-ES" w:eastAsia="en-GB"/>
        </w:rPr>
      </w:pPr>
      <w:r w:rsidRPr="00205079">
        <w:rPr>
          <w:rFonts w:ascii="Arial" w:eastAsia="Calibri" w:hAnsi="Arial" w:cs="Arial" w:hint="cs"/>
          <w:lang w:val="es-ES" w:eastAsia="en-GB"/>
        </w:rPr>
        <w:t xml:space="preserve">La norma citada contiene una lista cuyo propósito es incluir a cualquier entidad, órgano, organismo, o persona natural que desempeñe funciones públicas o administre recursos públicos. De hecho, esta Agencia ha aclarado, en relación con el Plan Anual de Adquisiciones, que se encuentran obligadas todas las entidades del Estado sin importar la rama a la cual pertenecen, o si se trata de entidades descentralizadas territorialmente o por servicios. También están incluidos todos los órganos con competencia para contratar, como los concejos municipales. Adicionalmente, esta también ha aclarado que son sujetos obligados las empresas públicas, las empresas del Estado y las sociedades en las que el Estado tenga participación, sin que importe </w:t>
      </w:r>
      <w:r w:rsidRPr="00205079">
        <w:rPr>
          <w:rFonts w:ascii="Arial" w:eastAsia="Calibri" w:hAnsi="Arial" w:cs="Arial" w:hint="cs"/>
          <w:lang w:val="es-ES" w:eastAsia="en-GB"/>
        </w:rPr>
        <w:lastRenderedPageBreak/>
        <w:t xml:space="preserve">su monto. Esta obligación de origen legal tiene desarrollo reglamentario en el Decreto 103 de 2015, compilado por el Decreto 1081 de 2015. </w:t>
      </w:r>
      <w:r w:rsidR="00AD2445">
        <w:rPr>
          <w:rFonts w:ascii="Arial" w:eastAsia="Calibri" w:hAnsi="Arial" w:cs="Arial"/>
          <w:lang w:val="es-ES" w:eastAsia="en-GB"/>
        </w:rPr>
        <w:t>El</w:t>
      </w:r>
      <w:r w:rsidRPr="00205079">
        <w:rPr>
          <w:rFonts w:ascii="Arial" w:eastAsia="Calibri" w:hAnsi="Arial" w:cs="Arial" w:hint="cs"/>
          <w:lang w:val="es-ES" w:eastAsia="en-GB"/>
        </w:rPr>
        <w:t xml:space="preserve"> artículo 2.1.1.2.1.10 del Decreto 1081 de 2015 </w:t>
      </w:r>
      <w:r w:rsidR="006D0EB5">
        <w:rPr>
          <w:rFonts w:ascii="Arial" w:eastAsia="Calibri" w:hAnsi="Arial" w:cs="Arial"/>
          <w:lang w:val="es-ES" w:eastAsia="en-GB"/>
        </w:rPr>
        <w:t>dispone que</w:t>
      </w:r>
      <w:r w:rsidRPr="00205079">
        <w:rPr>
          <w:rFonts w:ascii="Arial" w:eastAsia="Calibri" w:hAnsi="Arial" w:cs="Arial" w:hint="cs"/>
          <w:lang w:val="es-ES" w:eastAsia="en-GB"/>
        </w:rPr>
        <w:t xml:space="preserve">: </w:t>
      </w:r>
    </w:p>
    <w:p w14:paraId="3118FE7B" w14:textId="77777777" w:rsidR="00205079" w:rsidRPr="00205079" w:rsidRDefault="00205079" w:rsidP="00205079">
      <w:pPr>
        <w:spacing w:after="0" w:line="240" w:lineRule="auto"/>
        <w:ind w:firstLine="709"/>
        <w:rPr>
          <w:rFonts w:ascii="Arial" w:eastAsia="Calibri" w:hAnsi="Arial" w:cs="Arial"/>
          <w:lang w:val="es-ES" w:eastAsia="en-GB"/>
        </w:rPr>
      </w:pPr>
    </w:p>
    <w:p w14:paraId="26E7927F" w14:textId="653C15F7" w:rsidR="00205079" w:rsidRPr="00205079" w:rsidRDefault="006D0EB5" w:rsidP="00205079">
      <w:pPr>
        <w:tabs>
          <w:tab w:val="left" w:pos="426"/>
        </w:tabs>
        <w:spacing w:after="120" w:line="240" w:lineRule="auto"/>
        <w:ind w:left="709" w:right="709"/>
        <w:jc w:val="both"/>
        <w:rPr>
          <w:rFonts w:ascii="Arial" w:eastAsia="Calibri" w:hAnsi="Arial" w:cs="Arial"/>
          <w:color w:val="000000"/>
          <w:sz w:val="21"/>
          <w:szCs w:val="21"/>
          <w:lang w:val="es-ES" w:eastAsia="en-GB"/>
        </w:rPr>
      </w:pPr>
      <w:r>
        <w:rPr>
          <w:rFonts w:ascii="Arial" w:eastAsia="Calibri" w:hAnsi="Arial" w:cs="Arial"/>
          <w:color w:val="000000"/>
          <w:sz w:val="21"/>
          <w:szCs w:val="21"/>
          <w:lang w:val="es-ES" w:eastAsia="en-GB"/>
        </w:rPr>
        <w:t>«</w:t>
      </w:r>
      <w:r w:rsidR="00205079" w:rsidRPr="00205079">
        <w:rPr>
          <w:rFonts w:ascii="Arial" w:eastAsia="Calibri" w:hAnsi="Arial" w:cs="Arial" w:hint="cs"/>
          <w:color w:val="000000"/>
          <w:sz w:val="21"/>
          <w:szCs w:val="21"/>
          <w:lang w:val="es-ES" w:eastAsia="en-GB"/>
        </w:rPr>
        <w:t xml:space="preserve">Los sujetos obligados que contratan con cargo a recursos públicos deben publicar en su página web y en el </w:t>
      </w:r>
      <w:proofErr w:type="spellStart"/>
      <w:r w:rsidR="00205079" w:rsidRPr="00205079">
        <w:rPr>
          <w:rFonts w:ascii="Arial" w:eastAsia="Calibri" w:hAnsi="Arial" w:cs="Arial" w:hint="cs"/>
          <w:color w:val="000000"/>
          <w:sz w:val="21"/>
          <w:szCs w:val="21"/>
          <w:lang w:val="es-ES" w:eastAsia="en-GB"/>
        </w:rPr>
        <w:t>Secop</w:t>
      </w:r>
      <w:proofErr w:type="spellEnd"/>
      <w:r w:rsidR="00205079" w:rsidRPr="00205079">
        <w:rPr>
          <w:rFonts w:ascii="Arial" w:eastAsia="Calibri" w:hAnsi="Arial" w:cs="Arial" w:hint="cs"/>
          <w:color w:val="000000"/>
          <w:sz w:val="21"/>
          <w:szCs w:val="21"/>
          <w:lang w:val="es-ES" w:eastAsia="en-GB"/>
        </w:rPr>
        <w:t xml:space="preserve"> el Plan Anual de Adquisiciones, de acuerdo con lo previsto en el artículo 74 de la Ley 1474 de 2011, el literal e) del artículo 9° de la Ley 1712 de 2014 y el Decreto 1510 de 2013, o el que lo modifique, sustituya o adicione.</w:t>
      </w:r>
    </w:p>
    <w:p w14:paraId="1CEBD580" w14:textId="77777777" w:rsidR="00205079" w:rsidRPr="00205079" w:rsidRDefault="00205079" w:rsidP="00205079">
      <w:pPr>
        <w:tabs>
          <w:tab w:val="left" w:pos="426"/>
        </w:tabs>
        <w:spacing w:after="120" w:line="240" w:lineRule="auto"/>
        <w:ind w:left="709" w:right="709"/>
        <w:jc w:val="both"/>
        <w:rPr>
          <w:rFonts w:ascii="Arial" w:eastAsia="Calibri" w:hAnsi="Arial" w:cs="Arial"/>
          <w:color w:val="000000"/>
          <w:sz w:val="21"/>
          <w:szCs w:val="21"/>
          <w:lang w:val="es-ES" w:eastAsia="en-GB"/>
        </w:rPr>
      </w:pPr>
      <w:r w:rsidRPr="00205079">
        <w:rPr>
          <w:rFonts w:ascii="Arial" w:eastAsia="Calibri" w:hAnsi="Arial" w:cs="Arial" w:hint="cs"/>
          <w:color w:val="000000"/>
          <w:sz w:val="21"/>
          <w:szCs w:val="21"/>
          <w:lang w:val="es-ES" w:eastAsia="en-GB"/>
        </w:rPr>
        <w:t xml:space="preserve">Los sujetos obligados que no contratan con cargo a recursos públicos no están obligados a publicar su Plan Anual de Adquisiciones. </w:t>
      </w:r>
    </w:p>
    <w:p w14:paraId="1E6A4E4B" w14:textId="77777777" w:rsidR="00205079" w:rsidRPr="00205079" w:rsidRDefault="00205079" w:rsidP="00205079">
      <w:pPr>
        <w:tabs>
          <w:tab w:val="left" w:pos="426"/>
        </w:tabs>
        <w:spacing w:after="120" w:line="240" w:lineRule="auto"/>
        <w:ind w:left="709" w:right="709"/>
        <w:jc w:val="both"/>
        <w:rPr>
          <w:rFonts w:ascii="Arial" w:eastAsia="Calibri" w:hAnsi="Arial" w:cs="Arial"/>
          <w:color w:val="000000"/>
          <w:sz w:val="21"/>
          <w:szCs w:val="21"/>
          <w:lang w:val="es-ES" w:eastAsia="en-GB"/>
        </w:rPr>
      </w:pPr>
      <w:r w:rsidRPr="00205079">
        <w:rPr>
          <w:rFonts w:ascii="Arial" w:eastAsia="Calibri" w:hAnsi="Arial" w:cs="Arial" w:hint="cs"/>
          <w:color w:val="000000"/>
          <w:sz w:val="21"/>
          <w:szCs w:val="21"/>
          <w:lang w:val="es-ES" w:eastAsia="en-GB"/>
        </w:rPr>
        <w:t xml:space="preserve">Los sujetos obligados que contratan con cargo a recursos públicos y recursos privados, deben publicar en su página web y en el </w:t>
      </w:r>
      <w:proofErr w:type="spellStart"/>
      <w:r w:rsidRPr="00205079">
        <w:rPr>
          <w:rFonts w:ascii="Arial" w:eastAsia="Calibri" w:hAnsi="Arial" w:cs="Arial" w:hint="cs"/>
          <w:color w:val="000000"/>
          <w:sz w:val="21"/>
          <w:szCs w:val="21"/>
          <w:lang w:val="es-ES" w:eastAsia="en-GB"/>
        </w:rPr>
        <w:t>Secop</w:t>
      </w:r>
      <w:proofErr w:type="spellEnd"/>
      <w:r w:rsidRPr="00205079">
        <w:rPr>
          <w:rFonts w:ascii="Arial" w:eastAsia="Calibri" w:hAnsi="Arial" w:cs="Arial" w:hint="cs"/>
          <w:color w:val="000000"/>
          <w:sz w:val="21"/>
          <w:szCs w:val="21"/>
          <w:lang w:val="es-ES" w:eastAsia="en-GB"/>
        </w:rPr>
        <w:t xml:space="preserve"> el Plan Anual de Adquisiciones para los recursos de carácter público que ejecutarán en el año. </w:t>
      </w:r>
    </w:p>
    <w:p w14:paraId="6F4A4EF6" w14:textId="5A1E0796" w:rsidR="00205079" w:rsidRPr="00205079" w:rsidRDefault="00205079" w:rsidP="00205079">
      <w:pPr>
        <w:tabs>
          <w:tab w:val="left" w:pos="426"/>
        </w:tabs>
        <w:spacing w:after="0" w:line="240" w:lineRule="auto"/>
        <w:ind w:left="709" w:right="709"/>
        <w:jc w:val="both"/>
        <w:rPr>
          <w:rFonts w:ascii="Arial" w:eastAsia="Calibri" w:hAnsi="Arial" w:cs="Arial"/>
          <w:color w:val="000000"/>
          <w:sz w:val="21"/>
          <w:szCs w:val="21"/>
          <w:lang w:val="es-ES" w:eastAsia="en-GB"/>
        </w:rPr>
      </w:pPr>
      <w:r w:rsidRPr="00205079">
        <w:rPr>
          <w:rFonts w:ascii="Arial" w:eastAsia="Calibri" w:hAnsi="Arial" w:cs="Arial" w:hint="cs"/>
          <w:color w:val="000000"/>
          <w:sz w:val="21"/>
          <w:szCs w:val="21"/>
          <w:lang w:val="es-ES" w:eastAsia="en-GB"/>
        </w:rPr>
        <w:t>Se entenderá como definición de Plan Anual de Adquisiciones respecto a todos los sujetos obligados que contratan con recursos públicos, la prevista en el artículo 3° del Decreto 1510 de 2013, o el que lo modifique, sustituya o adicione</w:t>
      </w:r>
      <w:r w:rsidR="006D0EB5">
        <w:rPr>
          <w:rFonts w:ascii="Arial" w:eastAsia="Calibri" w:hAnsi="Arial" w:cs="Arial"/>
          <w:color w:val="000000"/>
          <w:sz w:val="21"/>
          <w:szCs w:val="21"/>
          <w:lang w:val="es-ES" w:eastAsia="en-GB"/>
        </w:rPr>
        <w:t>»</w:t>
      </w:r>
      <w:r w:rsidRPr="00205079">
        <w:rPr>
          <w:rFonts w:ascii="Arial" w:eastAsia="Calibri" w:hAnsi="Arial" w:cs="Arial" w:hint="cs"/>
          <w:color w:val="000000"/>
          <w:sz w:val="21"/>
          <w:szCs w:val="21"/>
          <w:lang w:val="es-ES" w:eastAsia="en-GB"/>
        </w:rPr>
        <w:t xml:space="preserve">. </w:t>
      </w:r>
    </w:p>
    <w:p w14:paraId="10C42AA8" w14:textId="77777777" w:rsidR="00205079" w:rsidRPr="00205079" w:rsidRDefault="00205079" w:rsidP="00205079">
      <w:pPr>
        <w:tabs>
          <w:tab w:val="left" w:pos="8505"/>
        </w:tabs>
        <w:spacing w:after="0" w:line="240" w:lineRule="auto"/>
        <w:ind w:rightChars="709" w:right="1560"/>
        <w:rPr>
          <w:rFonts w:ascii="Arial" w:eastAsia="Calibri" w:hAnsi="Arial" w:cs="Arial"/>
          <w:lang w:val="es-ES" w:eastAsia="en-GB"/>
        </w:rPr>
      </w:pPr>
    </w:p>
    <w:p w14:paraId="50A5291A" w14:textId="77777777" w:rsidR="00205079" w:rsidRPr="00205079" w:rsidRDefault="00205079" w:rsidP="00205079">
      <w:pPr>
        <w:spacing w:after="0" w:line="276" w:lineRule="auto"/>
        <w:ind w:firstLine="709"/>
        <w:jc w:val="both"/>
        <w:rPr>
          <w:rFonts w:ascii="Arial" w:eastAsia="Calibri" w:hAnsi="Arial" w:cs="Arial"/>
          <w:szCs w:val="24"/>
          <w:lang w:val="es-ES" w:eastAsia="en-GB"/>
        </w:rPr>
      </w:pPr>
      <w:r w:rsidRPr="00205079">
        <w:rPr>
          <w:rFonts w:ascii="Arial" w:eastAsia="Calibri" w:hAnsi="Arial" w:cs="Arial" w:hint="cs"/>
          <w:szCs w:val="24"/>
          <w:lang w:val="es-ES" w:eastAsia="en-GB"/>
        </w:rPr>
        <w:t xml:space="preserve">El artículo citado dispone que los sujetos obligados que contraten con cargo a recursos públicos tienen la obligación de publicar el Plan Anual de Adquisiciones en el SECOP. Los sujetos que no contratan con cargo a recursos públicos no están obligados a publicarlo, mientras que aquellos que contratan tanto con cargo a recursos públicos como recursos que no tienen esta naturaleza, solamente están obligados a publicar el plan anual de adquisiciones para los recursos de carácter público que se ejecutarán durante la vigencia fiscal. </w:t>
      </w:r>
    </w:p>
    <w:p w14:paraId="6B269B84" w14:textId="77777777" w:rsidR="00205079" w:rsidRPr="00205079" w:rsidRDefault="00205079" w:rsidP="00205079">
      <w:pPr>
        <w:spacing w:after="120" w:line="276" w:lineRule="auto"/>
        <w:jc w:val="both"/>
        <w:rPr>
          <w:rFonts w:ascii="Arial" w:eastAsia="Calibri" w:hAnsi="Arial" w:cs="Arial"/>
          <w:color w:val="000000" w:themeColor="text1"/>
          <w:lang w:val="es-ES"/>
        </w:rPr>
      </w:pPr>
    </w:p>
    <w:p w14:paraId="43290553" w14:textId="77777777" w:rsidR="00205079" w:rsidRPr="00205079" w:rsidRDefault="00205079" w:rsidP="00205079">
      <w:pPr>
        <w:tabs>
          <w:tab w:val="left" w:pos="426"/>
          <w:tab w:val="left" w:pos="8505"/>
        </w:tabs>
        <w:spacing w:after="0" w:line="276" w:lineRule="auto"/>
        <w:rPr>
          <w:rFonts w:ascii="Arial" w:eastAsia="Calibri" w:hAnsi="Arial" w:cs="Arial"/>
          <w:b/>
          <w:bCs/>
          <w:lang w:val="es-ES" w:eastAsia="en-GB"/>
        </w:rPr>
      </w:pPr>
      <w:r w:rsidRPr="00205079">
        <w:rPr>
          <w:rFonts w:ascii="Arial" w:eastAsia="Calibri" w:hAnsi="Arial" w:cs="Arial" w:hint="cs"/>
          <w:b/>
          <w:bCs/>
          <w:lang w:val="es-ES" w:eastAsia="en-GB"/>
        </w:rPr>
        <w:t>2.</w:t>
      </w:r>
      <w:r w:rsidRPr="00205079">
        <w:rPr>
          <w:rFonts w:ascii="Arial" w:eastAsia="Calibri" w:hAnsi="Arial" w:cs="Arial"/>
          <w:b/>
          <w:bCs/>
          <w:lang w:val="es-ES" w:eastAsia="en-GB"/>
        </w:rPr>
        <w:t>2</w:t>
      </w:r>
      <w:r w:rsidRPr="00205079">
        <w:rPr>
          <w:rFonts w:ascii="Arial" w:eastAsia="Calibri" w:hAnsi="Arial" w:cs="Arial" w:hint="cs"/>
          <w:b/>
          <w:bCs/>
          <w:lang w:val="es-ES" w:eastAsia="en-GB"/>
        </w:rPr>
        <w:t xml:space="preserve">. </w:t>
      </w:r>
      <w:r w:rsidRPr="00205079">
        <w:rPr>
          <w:rFonts w:ascii="Arial" w:eastAsia="Calibri" w:hAnsi="Arial" w:cs="Arial"/>
          <w:b/>
          <w:szCs w:val="24"/>
          <w:lang w:val="es-ES" w:eastAsia="en-GB"/>
        </w:rPr>
        <w:t>Contenido y c</w:t>
      </w:r>
      <w:r w:rsidRPr="00205079">
        <w:rPr>
          <w:rFonts w:ascii="Arial" w:eastAsia="Calibri" w:hAnsi="Arial" w:cs="Arial" w:hint="cs"/>
          <w:b/>
          <w:szCs w:val="24"/>
          <w:lang w:val="es-ES" w:eastAsia="en-GB"/>
        </w:rPr>
        <w:t>arácter estimativo del plan anual de adquisiciones</w:t>
      </w:r>
    </w:p>
    <w:p w14:paraId="17BE0A0F" w14:textId="77777777" w:rsidR="00205079" w:rsidRPr="00205079" w:rsidRDefault="00205079" w:rsidP="00205079">
      <w:pPr>
        <w:spacing w:after="0" w:line="240" w:lineRule="auto"/>
        <w:rPr>
          <w:rFonts w:ascii="Arial" w:eastAsia="Calibri" w:hAnsi="Arial" w:cs="Arial"/>
          <w:b/>
          <w:szCs w:val="24"/>
          <w:lang w:val="es-ES" w:eastAsia="en-GB"/>
        </w:rPr>
      </w:pPr>
    </w:p>
    <w:p w14:paraId="0FF564D0" w14:textId="5C718408" w:rsidR="00205079" w:rsidRPr="00205079" w:rsidRDefault="00925BDB" w:rsidP="00205079">
      <w:pPr>
        <w:spacing w:after="0" w:line="276" w:lineRule="auto"/>
        <w:jc w:val="both"/>
        <w:rPr>
          <w:rFonts w:ascii="Arial" w:eastAsia="Calibri" w:hAnsi="Arial" w:cs="Arial"/>
          <w:color w:val="000000"/>
          <w:szCs w:val="24"/>
          <w:lang w:val="es-ES" w:eastAsia="en-GB"/>
        </w:rPr>
      </w:pPr>
      <w:proofErr w:type="spellStart"/>
      <w:r>
        <w:rPr>
          <w:rFonts w:ascii="Arial" w:eastAsia="Calibri" w:hAnsi="Arial" w:cs="Arial"/>
          <w:szCs w:val="24"/>
          <w:lang w:val="es-ES" w:eastAsia="en-GB"/>
        </w:rPr>
        <w:t>P</w:t>
      </w:r>
      <w:r w:rsidR="00205079" w:rsidRPr="00205079">
        <w:rPr>
          <w:rFonts w:ascii="Arial" w:eastAsia="Calibri" w:hAnsi="Arial" w:cs="Arial"/>
          <w:szCs w:val="24"/>
          <w:lang w:val="es-ES" w:eastAsia="en-GB"/>
        </w:rPr>
        <w:t>p</w:t>
      </w:r>
      <w:r w:rsidR="00205079" w:rsidRPr="00205079">
        <w:rPr>
          <w:rFonts w:ascii="Arial" w:eastAsia="Calibri" w:hAnsi="Arial" w:cs="Arial" w:hint="cs"/>
          <w:szCs w:val="24"/>
          <w:lang w:val="es-ES" w:eastAsia="en-GB"/>
        </w:rPr>
        <w:t>recisar</w:t>
      </w:r>
      <w:proofErr w:type="spellEnd"/>
      <w:r w:rsidR="00205079" w:rsidRPr="00205079">
        <w:rPr>
          <w:rFonts w:ascii="Arial" w:eastAsia="Calibri" w:hAnsi="Arial" w:cs="Arial" w:hint="cs"/>
          <w:szCs w:val="24"/>
          <w:lang w:val="es-ES" w:eastAsia="en-GB"/>
        </w:rPr>
        <w:t xml:space="preserve"> el grado de vinculatoriedad del plan anual de adquisiciones supone el análisis de lo dispuesto en los artículos 2.2.1.1.1.4.1, 2.2.1.1.1.4.3</w:t>
      </w:r>
      <w:r w:rsidR="00205079" w:rsidRPr="00205079">
        <w:rPr>
          <w:rFonts w:ascii="Arial" w:eastAsia="Calibri" w:hAnsi="Arial" w:cs="Arial" w:hint="cs"/>
          <w:szCs w:val="24"/>
          <w:vertAlign w:val="superscript"/>
          <w:lang w:val="en-GB" w:eastAsia="en-GB"/>
        </w:rPr>
        <w:footnoteReference w:id="7"/>
      </w:r>
      <w:r w:rsidR="00205079" w:rsidRPr="00205079">
        <w:rPr>
          <w:rFonts w:ascii="Arial" w:eastAsia="Calibri" w:hAnsi="Arial" w:cs="Arial" w:hint="cs"/>
          <w:szCs w:val="24"/>
          <w:lang w:val="es-ES" w:eastAsia="en-GB"/>
        </w:rPr>
        <w:t xml:space="preserve"> y 2.2.1.1.1.4.4</w:t>
      </w:r>
      <w:r w:rsidR="00205079" w:rsidRPr="00205079">
        <w:rPr>
          <w:rFonts w:ascii="Arial" w:eastAsia="Calibri" w:hAnsi="Arial" w:cs="Arial" w:hint="cs"/>
          <w:szCs w:val="24"/>
          <w:vertAlign w:val="superscript"/>
          <w:lang w:val="en-GB" w:eastAsia="en-GB"/>
        </w:rPr>
        <w:footnoteReference w:id="8"/>
      </w:r>
      <w:r w:rsidR="00205079" w:rsidRPr="00205079">
        <w:rPr>
          <w:rFonts w:ascii="Arial" w:eastAsia="Calibri" w:hAnsi="Arial" w:cs="Arial" w:hint="cs"/>
          <w:szCs w:val="24"/>
          <w:lang w:val="es-ES" w:eastAsia="en-GB"/>
        </w:rPr>
        <w:t xml:space="preserve"> del Decreto 1082 de 2015. </w:t>
      </w:r>
      <w:r w:rsidR="00205079" w:rsidRPr="00205079">
        <w:rPr>
          <w:rFonts w:ascii="Arial" w:eastAsia="Calibri" w:hAnsi="Arial" w:cs="Arial" w:hint="cs"/>
          <w:color w:val="000000"/>
          <w:szCs w:val="24"/>
          <w:lang w:val="es-ES" w:eastAsia="en-GB"/>
        </w:rPr>
        <w:t xml:space="preserve">El primer artículo establece el deber de las entidades de «elaborar el Plan Anual de Adquisiciones, el cual debe contener la lista de bienes, obras y servicios que pretenden adquirir durante el año». </w:t>
      </w:r>
      <w:r w:rsidR="00205079" w:rsidRPr="00205079">
        <w:rPr>
          <w:rFonts w:ascii="Arial" w:eastAsia="Calibri" w:hAnsi="Arial" w:cs="Arial" w:hint="cs"/>
          <w:color w:val="000000"/>
          <w:szCs w:val="24"/>
          <w:lang w:val="es-ES" w:eastAsia="en-GB"/>
        </w:rPr>
        <w:lastRenderedPageBreak/>
        <w:t xml:space="preserve">El aparte trascrito permite inferir que se trata de un documento </w:t>
      </w:r>
      <w:r w:rsidR="00205079" w:rsidRPr="00205079">
        <w:rPr>
          <w:rFonts w:ascii="Arial" w:eastAsia="Calibri" w:hAnsi="Arial" w:cs="Arial" w:hint="cs"/>
          <w:i/>
          <w:iCs/>
          <w:color w:val="000000"/>
          <w:szCs w:val="24"/>
          <w:lang w:val="es-ES" w:eastAsia="en-GB"/>
        </w:rPr>
        <w:t>estimativo</w:t>
      </w:r>
      <w:r w:rsidR="00205079" w:rsidRPr="00205079">
        <w:rPr>
          <w:rFonts w:ascii="Arial" w:eastAsia="Calibri" w:hAnsi="Arial" w:cs="Arial" w:hint="cs"/>
          <w:color w:val="000000"/>
          <w:szCs w:val="24"/>
          <w:lang w:val="es-ES" w:eastAsia="en-GB"/>
        </w:rPr>
        <w:t xml:space="preserve">, pues contiene un listado de bienes, obras o servicios que, producto del ejercicio de planeación de la entidad, esta pretende adquirir dentro de la vigencia correspondiente. Esta redacción advierte la naturaleza estimativa del documento, pues contiene los siguientes aspectos: i) la necesidad; </w:t>
      </w:r>
      <w:proofErr w:type="spellStart"/>
      <w:r w:rsidR="00205079" w:rsidRPr="00205079">
        <w:rPr>
          <w:rFonts w:ascii="Arial" w:eastAsia="Calibri" w:hAnsi="Arial" w:cs="Arial" w:hint="cs"/>
          <w:color w:val="000000"/>
          <w:szCs w:val="24"/>
          <w:lang w:val="es-ES" w:eastAsia="en-GB"/>
        </w:rPr>
        <w:t>ii</w:t>
      </w:r>
      <w:proofErr w:type="spellEnd"/>
      <w:r w:rsidR="00205079" w:rsidRPr="00205079">
        <w:rPr>
          <w:rFonts w:ascii="Arial" w:eastAsia="Calibri" w:hAnsi="Arial" w:cs="Arial" w:hint="cs"/>
          <w:color w:val="000000"/>
          <w:szCs w:val="24"/>
          <w:lang w:val="es-ES" w:eastAsia="en-GB"/>
        </w:rPr>
        <w:t xml:space="preserve">) la identificación en el clasificador si la entidad conoce el bien, obra o servicio que satisface la necesidad; </w:t>
      </w:r>
      <w:proofErr w:type="spellStart"/>
      <w:r w:rsidR="00205079" w:rsidRPr="00205079">
        <w:rPr>
          <w:rFonts w:ascii="Arial" w:eastAsia="Calibri" w:hAnsi="Arial" w:cs="Arial" w:hint="cs"/>
          <w:color w:val="000000"/>
          <w:szCs w:val="24"/>
          <w:lang w:val="es-ES" w:eastAsia="en-GB"/>
        </w:rPr>
        <w:t>iii</w:t>
      </w:r>
      <w:proofErr w:type="spellEnd"/>
      <w:r w:rsidR="00205079" w:rsidRPr="00205079">
        <w:rPr>
          <w:rFonts w:ascii="Arial" w:eastAsia="Calibri" w:hAnsi="Arial" w:cs="Arial" w:hint="cs"/>
          <w:color w:val="000000"/>
          <w:szCs w:val="24"/>
          <w:lang w:val="es-ES" w:eastAsia="en-GB"/>
        </w:rPr>
        <w:t xml:space="preserve">) el valor estimado del contrato; </w:t>
      </w:r>
      <w:proofErr w:type="spellStart"/>
      <w:r w:rsidR="00205079" w:rsidRPr="00205079">
        <w:rPr>
          <w:rFonts w:ascii="Arial" w:eastAsia="Calibri" w:hAnsi="Arial" w:cs="Arial" w:hint="cs"/>
          <w:color w:val="000000"/>
          <w:szCs w:val="24"/>
          <w:lang w:val="es-ES" w:eastAsia="en-GB"/>
        </w:rPr>
        <w:t>iv</w:t>
      </w:r>
      <w:proofErr w:type="spellEnd"/>
      <w:r w:rsidR="00205079" w:rsidRPr="00205079">
        <w:rPr>
          <w:rFonts w:ascii="Arial" w:eastAsia="Calibri" w:hAnsi="Arial" w:cs="Arial" w:hint="cs"/>
          <w:color w:val="000000"/>
          <w:szCs w:val="24"/>
          <w:lang w:val="es-ES" w:eastAsia="en-GB"/>
        </w:rPr>
        <w:t xml:space="preserve">) el tipo de recursos con cargo a los cuales la entidad pagará el bien, obra o servicio; v) la modalidad de selección del contratista y vi) la fecha aproximada en la cual la entidad indicará el procedimiento de selección. </w:t>
      </w:r>
    </w:p>
    <w:p w14:paraId="5429488B" w14:textId="77777777" w:rsidR="00205079" w:rsidRPr="00205079" w:rsidRDefault="00205079" w:rsidP="00205079">
      <w:pPr>
        <w:spacing w:before="120" w:after="120" w:line="276" w:lineRule="auto"/>
        <w:ind w:firstLine="709"/>
        <w:jc w:val="both"/>
        <w:rPr>
          <w:rFonts w:ascii="Arial" w:eastAsia="Calibri" w:hAnsi="Arial" w:cs="Arial"/>
          <w:color w:val="000000"/>
          <w:szCs w:val="24"/>
          <w:lang w:val="es-ES" w:eastAsia="en-GB"/>
        </w:rPr>
      </w:pPr>
      <w:r w:rsidRPr="00205079">
        <w:rPr>
          <w:rFonts w:ascii="Arial" w:eastAsia="Calibri" w:hAnsi="Arial" w:cs="Arial" w:hint="cs"/>
          <w:color w:val="000000"/>
          <w:szCs w:val="24"/>
          <w:lang w:val="es-ES" w:eastAsia="en-GB"/>
        </w:rPr>
        <w:t xml:space="preserve">La norma referida establece la obligación de enunciar la información de manera indicativa, y no impone determinar valores precisos, tiempos, bienes, obras o servicios de manera exacta; todo lo contrario, permite realizar un pronóstico indicativo de las necesidades que debe contratar. Este carácter estimativo del Plan Anual de Adquisiciones fue reconocido por la Agencia Nacional de Contratación Pública </w:t>
      </w:r>
      <w:r w:rsidRPr="00205079">
        <w:rPr>
          <w:rFonts w:ascii="Arial" w:eastAsia="Calibri" w:hAnsi="Arial" w:cs="Arial" w:hint="cs"/>
          <w:bCs/>
          <w:color w:val="000000"/>
          <w:szCs w:val="24"/>
          <w:lang w:val="es-ES" w:eastAsia="en-GB"/>
        </w:rPr>
        <w:t>―</w:t>
      </w:r>
      <w:r w:rsidRPr="00205079">
        <w:rPr>
          <w:rFonts w:ascii="Arial" w:eastAsia="Calibri" w:hAnsi="Arial" w:cs="Arial" w:hint="cs"/>
          <w:b/>
          <w:color w:val="000000"/>
          <w:szCs w:val="24"/>
          <w:lang w:val="es-ES" w:eastAsia="en-GB"/>
        </w:rPr>
        <w:t xml:space="preserve"> </w:t>
      </w:r>
      <w:r w:rsidRPr="00205079">
        <w:rPr>
          <w:rFonts w:ascii="Arial" w:eastAsia="Calibri" w:hAnsi="Arial" w:cs="Arial" w:hint="cs"/>
          <w:color w:val="000000"/>
          <w:szCs w:val="24"/>
          <w:lang w:val="es-ES" w:eastAsia="en-GB"/>
        </w:rPr>
        <w:t>Colombia Compra Eficiente, en la guía para elaborar el Plan Anual de Adquisiciones, donde precisó, como uno de sus usos, «servir como referente inicial para evaluar la ejecución de presupuesto y pronosticar la demanda de bienes y servicios de la entidad durante el año referido del plan»</w:t>
      </w:r>
      <w:r w:rsidRPr="00205079">
        <w:rPr>
          <w:rFonts w:ascii="Arial" w:eastAsia="Calibri" w:hAnsi="Arial" w:cs="Arial" w:hint="cs"/>
          <w:color w:val="000000"/>
          <w:szCs w:val="24"/>
          <w:vertAlign w:val="superscript"/>
          <w:lang w:val="en-GB" w:eastAsia="en-GB"/>
        </w:rPr>
        <w:footnoteReference w:id="9"/>
      </w:r>
      <w:r w:rsidRPr="00205079">
        <w:rPr>
          <w:rFonts w:ascii="Arial" w:eastAsia="Calibri" w:hAnsi="Arial" w:cs="Arial" w:hint="cs"/>
          <w:color w:val="000000"/>
          <w:szCs w:val="24"/>
          <w:lang w:val="es-ES" w:eastAsia="en-GB"/>
        </w:rPr>
        <w:t xml:space="preserve">. </w:t>
      </w:r>
    </w:p>
    <w:p w14:paraId="3C42B859" w14:textId="7F37407E" w:rsidR="00205079" w:rsidRPr="00205079" w:rsidRDefault="00205079" w:rsidP="00205079">
      <w:pPr>
        <w:spacing w:before="120" w:after="120" w:line="276" w:lineRule="auto"/>
        <w:ind w:firstLine="709"/>
        <w:jc w:val="both"/>
        <w:rPr>
          <w:rFonts w:ascii="Arial" w:eastAsia="Calibri" w:hAnsi="Arial" w:cs="Arial"/>
          <w:color w:val="000000"/>
          <w:szCs w:val="24"/>
          <w:lang w:val="es-ES" w:eastAsia="en-GB"/>
        </w:rPr>
      </w:pPr>
      <w:r w:rsidRPr="00205079">
        <w:rPr>
          <w:rFonts w:ascii="Arial" w:eastAsia="Calibri" w:hAnsi="Arial" w:cs="Arial" w:hint="cs"/>
          <w:color w:val="000000"/>
          <w:szCs w:val="24"/>
          <w:lang w:val="es-ES" w:eastAsia="en-GB"/>
        </w:rPr>
        <w:t xml:space="preserve">La segunda disposición relevante </w:t>
      </w:r>
      <w:r w:rsidRPr="00205079">
        <w:rPr>
          <w:rFonts w:ascii="Arial" w:eastAsia="Calibri" w:hAnsi="Arial" w:cs="Arial" w:hint="cs"/>
          <w:bCs/>
          <w:color w:val="000000"/>
          <w:szCs w:val="24"/>
          <w:lang w:val="es-ES" w:eastAsia="en-GB"/>
        </w:rPr>
        <w:t xml:space="preserve">–esto es, el artículo </w:t>
      </w:r>
      <w:r w:rsidRPr="00205079">
        <w:rPr>
          <w:rFonts w:ascii="Arial" w:eastAsia="Calibri" w:hAnsi="Arial" w:cs="Arial" w:hint="cs"/>
          <w:color w:val="000000"/>
          <w:szCs w:val="24"/>
          <w:lang w:val="es-ES" w:eastAsia="en-GB"/>
        </w:rPr>
        <w:t>2.2.1.1.1.4.3 del Decreto 1082 de 2015</w:t>
      </w:r>
      <w:r w:rsidRPr="00205079">
        <w:rPr>
          <w:rFonts w:ascii="Arial" w:eastAsia="Calibri" w:hAnsi="Arial" w:cs="Arial" w:hint="cs"/>
          <w:bCs/>
          <w:color w:val="000000"/>
          <w:szCs w:val="24"/>
          <w:lang w:val="es-ES" w:eastAsia="en-GB"/>
        </w:rPr>
        <w:t>–</w:t>
      </w:r>
      <w:r w:rsidRPr="00205079">
        <w:rPr>
          <w:rFonts w:ascii="Arial" w:eastAsia="Calibri" w:hAnsi="Arial" w:cs="Arial" w:hint="cs"/>
          <w:b/>
          <w:color w:val="000000"/>
          <w:szCs w:val="24"/>
          <w:lang w:val="es-ES" w:eastAsia="en-GB"/>
        </w:rPr>
        <w:t xml:space="preserve"> </w:t>
      </w:r>
      <w:r w:rsidRPr="00205079">
        <w:rPr>
          <w:rFonts w:ascii="Arial" w:eastAsia="Calibri" w:hAnsi="Arial" w:cs="Arial" w:hint="cs"/>
          <w:color w:val="000000"/>
          <w:szCs w:val="24"/>
          <w:lang w:val="es-ES" w:eastAsia="en-GB"/>
        </w:rPr>
        <w:t xml:space="preserve">establece el deber de publicidad de las entidades públicas del plan anual de adquisiciones, en sus páginas web y en el SECOP, con la información mínima señalada en el artículo 2.2.1.1.1.4.1. del Decreto 1082 de 2015. La norma impone a las entidades el deber de publicar las actualizaciones que realicen al plan anual. De esta manera, se faculta a la Administración para realizar cambios y modificaciones, por lo que no es un documento rígido que vincule la contratación, sino que, por el contrario, se trata de un instrumento de planificación que orienta y permite tener un referente de las necesidades de bienes, obras y servicio que debe contratar para la respectiva anualidad, y que además puede ser actualizado. </w:t>
      </w:r>
    </w:p>
    <w:p w14:paraId="2E1172C4" w14:textId="580736B2" w:rsidR="00205079" w:rsidRPr="00205079" w:rsidRDefault="00205079" w:rsidP="00205079">
      <w:pPr>
        <w:spacing w:before="120" w:after="120" w:line="276" w:lineRule="auto"/>
        <w:ind w:firstLine="709"/>
        <w:jc w:val="both"/>
        <w:rPr>
          <w:rFonts w:ascii="Arial" w:eastAsia="Calibri" w:hAnsi="Arial" w:cs="Arial"/>
          <w:color w:val="000000"/>
          <w:szCs w:val="24"/>
          <w:lang w:val="es-ES" w:eastAsia="en-GB"/>
        </w:rPr>
      </w:pPr>
      <w:r w:rsidRPr="00205079">
        <w:rPr>
          <w:rFonts w:ascii="Arial" w:eastAsia="Calibri" w:hAnsi="Arial" w:cs="Arial" w:hint="cs"/>
          <w:color w:val="000000"/>
          <w:szCs w:val="24"/>
          <w:lang w:val="es-ES" w:eastAsia="en-GB"/>
        </w:rPr>
        <w:t xml:space="preserve">La tercera norma mencionada, el artículo 2.2.1.1.1.4.4. del Decreto 1082 de 2015, en el inciso 1, fijó, en criterio de esta Subdirección, el alcance de la facultad otorgada a las entidades para actualizar el plan anual de adquisiciones. </w:t>
      </w:r>
    </w:p>
    <w:p w14:paraId="6E6C8F69" w14:textId="77777777" w:rsidR="00205079" w:rsidRPr="00205079" w:rsidRDefault="00205079" w:rsidP="00205079">
      <w:pPr>
        <w:spacing w:before="120" w:after="120" w:line="276" w:lineRule="auto"/>
        <w:ind w:firstLine="709"/>
        <w:jc w:val="both"/>
        <w:rPr>
          <w:rFonts w:ascii="Arial" w:eastAsia="Calibri" w:hAnsi="Arial" w:cs="Arial"/>
          <w:color w:val="000000"/>
          <w:szCs w:val="24"/>
          <w:lang w:val="es-ES" w:eastAsia="en-GB"/>
        </w:rPr>
      </w:pPr>
      <w:r w:rsidRPr="00205079">
        <w:rPr>
          <w:rFonts w:ascii="Arial" w:eastAsia="Calibri" w:hAnsi="Arial" w:cs="Arial" w:hint="cs"/>
          <w:color w:val="000000"/>
          <w:szCs w:val="24"/>
          <w:lang w:val="es-ES" w:eastAsia="en-GB"/>
        </w:rPr>
        <w:t xml:space="preserve">Con el deber de actualizar el plan, una vez al año cuando menos, implícitamente se señala que el contenido inicial no es rígido ni inmodificable y, en consecuencia, por la misma dinámica de la actividad contractual de la Administración, estos datos necesariamente tendrán que modificarse. Además, la norma no limita la actualización del plan a un tope máximo, pero estableció un número mínimo, pues indicó que debían actualizarlo por lo menos una vez durante su vigencia. </w:t>
      </w:r>
    </w:p>
    <w:p w14:paraId="55C6908D" w14:textId="77777777" w:rsidR="00205079" w:rsidRPr="00205079" w:rsidRDefault="00205079" w:rsidP="00205079">
      <w:pPr>
        <w:spacing w:before="120" w:after="120" w:line="276" w:lineRule="auto"/>
        <w:ind w:firstLine="709"/>
        <w:jc w:val="both"/>
        <w:rPr>
          <w:rFonts w:ascii="Arial" w:eastAsia="Calibri" w:hAnsi="Arial" w:cs="Arial"/>
          <w:color w:val="000000"/>
          <w:szCs w:val="24"/>
          <w:lang w:val="es-ES" w:eastAsia="en-GB"/>
        </w:rPr>
      </w:pPr>
      <w:r w:rsidRPr="00205079">
        <w:rPr>
          <w:rFonts w:ascii="Arial" w:eastAsia="Calibri" w:hAnsi="Arial" w:cs="Arial" w:hint="cs"/>
          <w:color w:val="000000"/>
          <w:szCs w:val="24"/>
          <w:lang w:val="es-ES" w:eastAsia="en-GB"/>
        </w:rPr>
        <w:lastRenderedPageBreak/>
        <w:t xml:space="preserve">El inciso 2 del artículo citado estableció cuatro (4) eventos en los que procede actualizar el Plan Anual de Adquisiciones: i) ajustes en los cronogramas de adquisición, valores, modalidad de selección y origen de los recursos; </w:t>
      </w:r>
      <w:proofErr w:type="spellStart"/>
      <w:r w:rsidRPr="00205079">
        <w:rPr>
          <w:rFonts w:ascii="Arial" w:eastAsia="Calibri" w:hAnsi="Arial" w:cs="Arial" w:hint="cs"/>
          <w:color w:val="000000"/>
          <w:szCs w:val="24"/>
          <w:lang w:val="es-ES" w:eastAsia="en-GB"/>
        </w:rPr>
        <w:t>ii</w:t>
      </w:r>
      <w:proofErr w:type="spellEnd"/>
      <w:r w:rsidRPr="00205079">
        <w:rPr>
          <w:rFonts w:ascii="Arial" w:eastAsia="Calibri" w:hAnsi="Arial" w:cs="Arial" w:hint="cs"/>
          <w:color w:val="000000"/>
          <w:szCs w:val="24"/>
          <w:lang w:val="es-ES" w:eastAsia="en-GB"/>
        </w:rPr>
        <w:t xml:space="preserve">) para incluir nuevas obras, bienes o servicios; </w:t>
      </w:r>
      <w:proofErr w:type="spellStart"/>
      <w:r w:rsidRPr="00205079">
        <w:rPr>
          <w:rFonts w:ascii="Arial" w:eastAsia="Calibri" w:hAnsi="Arial" w:cs="Arial" w:hint="cs"/>
          <w:color w:val="000000"/>
          <w:szCs w:val="24"/>
          <w:lang w:val="es-ES" w:eastAsia="en-GB"/>
        </w:rPr>
        <w:t>iii</w:t>
      </w:r>
      <w:proofErr w:type="spellEnd"/>
      <w:r w:rsidRPr="00205079">
        <w:rPr>
          <w:rFonts w:ascii="Arial" w:eastAsia="Calibri" w:hAnsi="Arial" w:cs="Arial" w:hint="cs"/>
          <w:color w:val="000000"/>
          <w:szCs w:val="24"/>
          <w:lang w:val="es-ES" w:eastAsia="en-GB"/>
        </w:rPr>
        <w:t xml:space="preserve">) excluir obras, bienes o servicios y </w:t>
      </w:r>
      <w:proofErr w:type="spellStart"/>
      <w:r w:rsidRPr="00205079">
        <w:rPr>
          <w:rFonts w:ascii="Arial" w:eastAsia="Calibri" w:hAnsi="Arial" w:cs="Arial" w:hint="cs"/>
          <w:color w:val="000000"/>
          <w:szCs w:val="24"/>
          <w:lang w:val="es-ES" w:eastAsia="en-GB"/>
        </w:rPr>
        <w:t>iv</w:t>
      </w:r>
      <w:proofErr w:type="spellEnd"/>
      <w:r w:rsidRPr="00205079">
        <w:rPr>
          <w:rFonts w:ascii="Arial" w:eastAsia="Calibri" w:hAnsi="Arial" w:cs="Arial" w:hint="cs"/>
          <w:color w:val="000000"/>
          <w:szCs w:val="24"/>
          <w:lang w:val="es-ES" w:eastAsia="en-GB"/>
        </w:rPr>
        <w:t xml:space="preserve">) modificar el presupuesto anual de adquisiciones. El inciso citado solo estableció los eventos en los que tiene que actualizarse, sin limitar la modificación a ciertos topes, como, por ejemplo, aumentar o disminuir valores. La norma no enfatizó en este punto, por lo cual, en principio, podrá modificarse. </w:t>
      </w:r>
    </w:p>
    <w:p w14:paraId="3DA45028" w14:textId="27CA31FE" w:rsidR="00205079" w:rsidRPr="00205079" w:rsidRDefault="002B1326" w:rsidP="00205079">
      <w:pPr>
        <w:spacing w:before="120" w:after="120" w:line="276" w:lineRule="auto"/>
        <w:ind w:firstLine="709"/>
        <w:jc w:val="both"/>
        <w:rPr>
          <w:rFonts w:ascii="Arial" w:eastAsia="Calibri" w:hAnsi="Arial" w:cs="Arial"/>
          <w:color w:val="000000"/>
          <w:szCs w:val="24"/>
          <w:lang w:val="es-ES" w:eastAsia="en-GB"/>
        </w:rPr>
      </w:pPr>
      <w:r>
        <w:rPr>
          <w:rFonts w:ascii="Arial" w:eastAsia="Calibri" w:hAnsi="Arial" w:cs="Arial"/>
          <w:color w:val="000000"/>
          <w:szCs w:val="24"/>
          <w:lang w:val="es-ES" w:eastAsia="en-GB"/>
        </w:rPr>
        <w:t>Así las cosas</w:t>
      </w:r>
      <w:r w:rsidR="00205079" w:rsidRPr="00205079">
        <w:rPr>
          <w:rFonts w:ascii="Arial" w:eastAsia="Calibri" w:hAnsi="Arial" w:cs="Arial" w:hint="cs"/>
          <w:color w:val="000000"/>
          <w:szCs w:val="24"/>
          <w:lang w:val="es-ES" w:eastAsia="en-GB"/>
        </w:rPr>
        <w:t xml:space="preserve">, la Subdirección de Gestión Contractual considera que el Plan Anual de Adquisiciones es un instrumento de planificación y orientación de la contratación de las entidades públicas, establecido para identificar las necesidades de contratación, en el que se incluyen, de manera estimativa, los bienes, obras y servicios que la Administración está interesada en adquirir, pero que de ninguna manera restringe las decisiones en la contratación, que habrán de adoptarse dentro de la anualidad respectiva. </w:t>
      </w:r>
    </w:p>
    <w:p w14:paraId="63A3EDB0" w14:textId="77777777" w:rsidR="00205079" w:rsidRPr="00205079" w:rsidRDefault="00205079" w:rsidP="00205079">
      <w:pPr>
        <w:spacing w:before="120" w:after="120" w:line="276" w:lineRule="auto"/>
        <w:ind w:firstLine="709"/>
        <w:jc w:val="both"/>
        <w:rPr>
          <w:rFonts w:ascii="Arial" w:eastAsia="Calibri" w:hAnsi="Arial" w:cs="Arial"/>
          <w:color w:val="000000"/>
          <w:szCs w:val="24"/>
          <w:lang w:val="es-ES" w:eastAsia="en-GB"/>
        </w:rPr>
      </w:pPr>
      <w:r w:rsidRPr="00205079">
        <w:rPr>
          <w:rFonts w:ascii="Arial" w:eastAsia="Calibri" w:hAnsi="Arial" w:cs="Arial" w:hint="cs"/>
          <w:color w:val="000000"/>
          <w:szCs w:val="24"/>
          <w:lang w:val="es-ES" w:eastAsia="en-GB"/>
        </w:rPr>
        <w:t xml:space="preserve">Las normas citadas permiten concluir que el objetivo del Plan Anual de Adquisiciones es indicar los bienes, obras y servicios que la entidad pretende </w:t>
      </w:r>
      <w:r w:rsidRPr="00205079">
        <w:rPr>
          <w:rFonts w:ascii="Arial" w:eastAsia="Calibri" w:hAnsi="Arial" w:cs="Arial" w:hint="cs"/>
          <w:i/>
          <w:iCs/>
          <w:color w:val="000000"/>
          <w:szCs w:val="24"/>
          <w:lang w:val="es-ES" w:eastAsia="en-GB"/>
        </w:rPr>
        <w:t>adquirir</w:t>
      </w:r>
      <w:r w:rsidRPr="00205079">
        <w:rPr>
          <w:rFonts w:ascii="Arial" w:eastAsia="Calibri" w:hAnsi="Arial" w:cs="Arial" w:hint="cs"/>
          <w:color w:val="000000"/>
          <w:szCs w:val="24"/>
          <w:lang w:val="es-ES" w:eastAsia="en-GB"/>
        </w:rPr>
        <w:t xml:space="preserve">, sin consideración a la forma en que estos deberán obtenerse, pues es el </w:t>
      </w:r>
      <w:r w:rsidRPr="00205079">
        <w:rPr>
          <w:rFonts w:ascii="Arial" w:eastAsia="Calibri" w:hAnsi="Arial" w:cs="Arial" w:hint="cs"/>
          <w:i/>
          <w:iCs/>
          <w:color w:val="000000"/>
          <w:szCs w:val="24"/>
          <w:lang w:val="es-ES" w:eastAsia="en-GB"/>
        </w:rPr>
        <w:t>criterio de necesidad</w:t>
      </w:r>
      <w:r w:rsidRPr="00205079">
        <w:rPr>
          <w:rFonts w:ascii="Arial" w:eastAsia="Calibri" w:hAnsi="Arial" w:cs="Arial" w:hint="cs"/>
          <w:color w:val="000000"/>
          <w:szCs w:val="24"/>
          <w:lang w:val="es-ES" w:eastAsia="en-GB"/>
        </w:rPr>
        <w:t xml:space="preserve"> de aquellos el que fundamenta la inclusión o no en la lista del plan y no el carácter pecuniario de este ni su modalidad de contratación. Por tanto, bastará con que la entidad identifique la necesidad contractual para que deba incluirlo en el listado.  </w:t>
      </w:r>
    </w:p>
    <w:p w14:paraId="22E26D01" w14:textId="77777777" w:rsidR="00205079" w:rsidRPr="00205079" w:rsidRDefault="00205079" w:rsidP="00205079">
      <w:pPr>
        <w:spacing w:before="120" w:after="120" w:line="276" w:lineRule="auto"/>
        <w:ind w:firstLine="709"/>
        <w:jc w:val="both"/>
        <w:rPr>
          <w:rFonts w:ascii="Arial" w:eastAsia="Times New Roman" w:hAnsi="Arial" w:cs="Arial"/>
          <w:color w:val="000000"/>
          <w:szCs w:val="24"/>
          <w:lang w:val="es-ES" w:eastAsia="en-GB"/>
        </w:rPr>
      </w:pPr>
      <w:r w:rsidRPr="00205079">
        <w:rPr>
          <w:rFonts w:ascii="Arial" w:eastAsia="Calibri" w:hAnsi="Arial" w:cs="Arial" w:hint="cs"/>
          <w:color w:val="000000"/>
          <w:szCs w:val="24"/>
          <w:lang w:val="es-ES" w:eastAsia="en-GB"/>
        </w:rPr>
        <w:t xml:space="preserve">Un cuestionamiento surge de lo anterior: ¿la entidad cómo puede definir si debe o no incluir un bien, obra o servicio en el plan? Basta consultar el artículo 2.2.1.1.1.4.1. del Decreto 1082 de 2015, donde señala que «las entidades deben elaborar un plan anual de adquisiciones, el cual debe contener la lista de bienes, obras y servicios que pretenden adquirir durante el año». Este aparte permite </w:t>
      </w:r>
      <w:r w:rsidRPr="00205079">
        <w:rPr>
          <w:rFonts w:ascii="Arial" w:eastAsia="Times New Roman" w:hAnsi="Arial" w:cs="Arial" w:hint="cs"/>
          <w:color w:val="000000"/>
          <w:szCs w:val="24"/>
          <w:lang w:val="es-ES" w:eastAsia="en-GB"/>
        </w:rPr>
        <w:t xml:space="preserve">extraer el contenido esencialísimo del mismo, pues los enlista como requisitos mínimos del plan. Luego, la norma establece el deber de incluir otra información:  «la Entidad Estatal debe señalar la necesidad y cuando conoce el bien, obra o servicio que satisface esa necesidad debe identificarlo utilizando el Clasificador de Bienes y Servicios, e indicar el valor estimado del contrato, el tipo de recursos con cargo a los cuales la Entidad Estatal pagará el bien, obra o servicio, la modalidad de selección del contratista, y la fecha aproximada en la cual la Entidad Estatal iniciará el Proceso de Contratación», que no siendo menos importante es complementaria y descriptiva de la información esencialísima del plan, como se explicará a continuación. </w:t>
      </w:r>
    </w:p>
    <w:p w14:paraId="637C80B3" w14:textId="77777777" w:rsidR="00205079" w:rsidRPr="00205079" w:rsidRDefault="00205079" w:rsidP="00205079">
      <w:pPr>
        <w:spacing w:before="120" w:after="120" w:line="276" w:lineRule="auto"/>
        <w:ind w:firstLine="709"/>
        <w:jc w:val="both"/>
        <w:rPr>
          <w:rFonts w:ascii="Arial" w:eastAsia="Times New Roman" w:hAnsi="Arial" w:cs="Arial"/>
          <w:color w:val="000000"/>
          <w:szCs w:val="24"/>
          <w:lang w:val="es-ES" w:eastAsia="en-GB"/>
        </w:rPr>
      </w:pPr>
      <w:r w:rsidRPr="00205079">
        <w:rPr>
          <w:rFonts w:ascii="Arial" w:eastAsia="Times New Roman" w:hAnsi="Arial" w:cs="Arial" w:hint="cs"/>
          <w:color w:val="000000"/>
          <w:szCs w:val="24"/>
          <w:lang w:val="es-ES" w:eastAsia="en-GB"/>
        </w:rPr>
        <w:t xml:space="preserve">La norma citada en el párrafo precedente dispone que el plan tiene un contenido esencial </w:t>
      </w:r>
      <w:r w:rsidRPr="00205079">
        <w:rPr>
          <w:rFonts w:ascii="Arial" w:eastAsia="Calibri" w:hAnsi="Arial" w:cs="Arial" w:hint="cs"/>
          <w:bCs/>
          <w:color w:val="000000"/>
          <w:szCs w:val="24"/>
          <w:lang w:val="es-ES" w:eastAsia="en-GB"/>
        </w:rPr>
        <w:t>–</w:t>
      </w:r>
      <w:r w:rsidRPr="00205079">
        <w:rPr>
          <w:rFonts w:ascii="Arial" w:eastAsia="Times New Roman" w:hAnsi="Arial" w:cs="Arial" w:hint="cs"/>
          <w:color w:val="000000"/>
          <w:szCs w:val="24"/>
          <w:lang w:val="es-ES" w:eastAsia="en-GB"/>
        </w:rPr>
        <w:t>la lista de bienes, obras y servicios que pretenda adquirir la entidad– y otro que es obligatorio incluirlo pero que es complementario y descriptivo de lo esencial –valor del contrato, modalidad de selección, tipo de recursos, etc.</w:t>
      </w:r>
      <w:r w:rsidRPr="00205079">
        <w:rPr>
          <w:rFonts w:ascii="Arial" w:eastAsia="Calibri" w:hAnsi="Arial" w:cs="Arial" w:hint="cs"/>
          <w:bCs/>
          <w:color w:val="000000"/>
          <w:szCs w:val="24"/>
          <w:lang w:val="es-ES" w:eastAsia="en-GB"/>
        </w:rPr>
        <w:t>–</w:t>
      </w:r>
      <w:r w:rsidRPr="00205079">
        <w:rPr>
          <w:rFonts w:ascii="Arial" w:eastAsia="Times New Roman" w:hAnsi="Arial" w:cs="Arial" w:hint="cs"/>
          <w:color w:val="000000"/>
          <w:szCs w:val="24"/>
          <w:lang w:val="es-ES" w:eastAsia="en-GB"/>
        </w:rPr>
        <w:t>. A partir de esta clasificación se infiere</w:t>
      </w:r>
      <w:r w:rsidRPr="00205079">
        <w:rPr>
          <w:rFonts w:ascii="Arial" w:eastAsia="Calibri" w:hAnsi="Arial" w:cs="Arial" w:hint="cs"/>
          <w:color w:val="000000"/>
          <w:szCs w:val="24"/>
          <w:lang w:val="es-ES" w:eastAsia="en-GB"/>
        </w:rPr>
        <w:t xml:space="preserve"> su finalidad y el criterio rector para que, en cada caso, la entidad resuelva cómo se define si un bien, obra o servicio se incluye o no en el plan. </w:t>
      </w:r>
    </w:p>
    <w:p w14:paraId="3A623BDA" w14:textId="77777777" w:rsidR="00205079" w:rsidRPr="00205079" w:rsidRDefault="00205079" w:rsidP="00205079">
      <w:pPr>
        <w:spacing w:before="120" w:after="120" w:line="276" w:lineRule="auto"/>
        <w:ind w:firstLine="708"/>
        <w:jc w:val="both"/>
        <w:rPr>
          <w:rFonts w:ascii="Arial" w:eastAsia="Times New Roman" w:hAnsi="Arial" w:cs="Arial"/>
          <w:color w:val="000000"/>
          <w:szCs w:val="24"/>
          <w:lang w:val="es-ES" w:eastAsia="en-GB"/>
        </w:rPr>
      </w:pPr>
      <w:r w:rsidRPr="00205079">
        <w:rPr>
          <w:rFonts w:ascii="Arial" w:eastAsia="Calibri" w:hAnsi="Arial" w:cs="Arial" w:hint="cs"/>
          <w:color w:val="000000"/>
          <w:szCs w:val="24"/>
          <w:lang w:val="es-ES" w:eastAsia="en-GB"/>
        </w:rPr>
        <w:lastRenderedPageBreak/>
        <w:t xml:space="preserve">Del primer aparte de la norma, se observa que su finalidad es clara: todo los bienes, obras o servicios que la entidad tenga intención de </w:t>
      </w:r>
      <w:r w:rsidRPr="00205079">
        <w:rPr>
          <w:rFonts w:ascii="Arial" w:eastAsia="Calibri" w:hAnsi="Arial" w:cs="Arial" w:hint="cs"/>
          <w:i/>
          <w:color w:val="000000"/>
          <w:szCs w:val="24"/>
          <w:lang w:val="es-ES" w:eastAsia="en-GB"/>
        </w:rPr>
        <w:t>adquirir</w:t>
      </w:r>
      <w:r w:rsidRPr="00205079">
        <w:rPr>
          <w:rFonts w:ascii="Arial" w:eastAsia="Times New Roman" w:hAnsi="Arial" w:cs="Arial" w:hint="cs"/>
          <w:color w:val="000000"/>
          <w:szCs w:val="24"/>
          <w:lang w:val="es-ES" w:eastAsia="en-GB"/>
        </w:rPr>
        <w:t xml:space="preserve"> deben incluirse en el plan. Es decir, la obligación de incluir un contenido específico en el plan se fundamenta únicamente en que se trate de un bien, obra o servicio que la entidad pretenda </w:t>
      </w:r>
      <w:r w:rsidRPr="00205079">
        <w:rPr>
          <w:rFonts w:ascii="Arial" w:eastAsia="Times New Roman" w:hAnsi="Arial" w:cs="Arial" w:hint="cs"/>
          <w:i/>
          <w:color w:val="000000"/>
          <w:szCs w:val="24"/>
          <w:lang w:val="es-ES" w:eastAsia="en-GB"/>
        </w:rPr>
        <w:t xml:space="preserve">adquirir. </w:t>
      </w:r>
      <w:r w:rsidRPr="00205079">
        <w:rPr>
          <w:rFonts w:ascii="Arial" w:eastAsia="Times New Roman" w:hAnsi="Arial" w:cs="Arial" w:hint="cs"/>
          <w:color w:val="000000"/>
          <w:szCs w:val="24"/>
          <w:lang w:val="es-ES" w:eastAsia="en-GB"/>
        </w:rPr>
        <w:t xml:space="preserve"> De manera que, para responder a la pregunta de si una entidad está o no obligada a incluir un contenido en particular dentro del plan anual de adquisiciones, bastará con tener claro que aquellos sean </w:t>
      </w:r>
      <w:r w:rsidRPr="00205079">
        <w:rPr>
          <w:rFonts w:ascii="Arial" w:eastAsia="Times New Roman" w:hAnsi="Arial" w:cs="Arial" w:hint="cs"/>
          <w:i/>
          <w:iCs/>
          <w:color w:val="000000"/>
          <w:szCs w:val="24"/>
          <w:lang w:val="es-ES" w:eastAsia="en-GB"/>
        </w:rPr>
        <w:t>objeto de adquisición</w:t>
      </w:r>
      <w:r w:rsidRPr="00205079">
        <w:rPr>
          <w:rFonts w:ascii="Arial" w:eastAsia="Times New Roman" w:hAnsi="Arial" w:cs="Arial" w:hint="cs"/>
          <w:color w:val="000000"/>
          <w:szCs w:val="24"/>
          <w:lang w:val="es-ES" w:eastAsia="en-GB"/>
        </w:rPr>
        <w:t xml:space="preserve">, sin consideración a la forma en que la entidad planee obtenerlos. </w:t>
      </w:r>
    </w:p>
    <w:p w14:paraId="659EF874" w14:textId="77777777" w:rsidR="00205079" w:rsidRPr="00205079" w:rsidRDefault="00205079" w:rsidP="00205079">
      <w:pPr>
        <w:spacing w:before="120" w:after="120" w:line="276" w:lineRule="auto"/>
        <w:ind w:firstLine="709"/>
        <w:jc w:val="both"/>
        <w:rPr>
          <w:rFonts w:ascii="Arial" w:eastAsia="Times New Roman" w:hAnsi="Arial" w:cs="Arial"/>
          <w:color w:val="000000"/>
          <w:szCs w:val="24"/>
          <w:lang w:val="es-ES" w:eastAsia="en-GB"/>
        </w:rPr>
      </w:pPr>
      <w:r w:rsidRPr="00205079">
        <w:rPr>
          <w:rFonts w:ascii="Arial" w:eastAsia="Times New Roman" w:hAnsi="Arial" w:cs="Arial" w:hint="cs"/>
          <w:color w:val="000000"/>
          <w:szCs w:val="24"/>
          <w:lang w:val="es-ES" w:eastAsia="en-GB"/>
        </w:rPr>
        <w:t>Lo anterior, también permite entender que la actividad de «adquirir», como el criterio rector</w:t>
      </w:r>
      <w:r w:rsidRPr="00205079">
        <w:rPr>
          <w:rFonts w:ascii="Arial" w:eastAsia="Calibri" w:hAnsi="Arial" w:cs="Arial" w:hint="cs"/>
          <w:b/>
          <w:color w:val="000000"/>
          <w:szCs w:val="24"/>
          <w:lang w:val="es-ES" w:eastAsia="en-GB"/>
        </w:rPr>
        <w:t xml:space="preserve"> </w:t>
      </w:r>
      <w:r w:rsidRPr="00205079">
        <w:rPr>
          <w:rFonts w:ascii="Arial" w:eastAsia="Times New Roman" w:hAnsi="Arial" w:cs="Arial" w:hint="cs"/>
          <w:color w:val="000000"/>
          <w:szCs w:val="24"/>
          <w:lang w:val="es-ES" w:eastAsia="en-GB"/>
        </w:rPr>
        <w:t xml:space="preserve">para determinar el alcance de la obligatoriedad de incluir en el plan una información específica. Cuando el primer aparte señala que el plan «[…] deberá contener la lista de bienes, obras y servicios que pretenden adquirir durante un año», es claro que adquirir es el elemento determinante para concluir qué se debe enlistar un bien, obra o servicio en el plan. Esto, muy a pesar de que la misma disposición establezca otra información adicional que debe incluir este documento –modalidad, valor estimado–, pero que a para esta Subdirección es complementaria o descriptiva a la señalada como información mínima o esencialísima del plan. </w:t>
      </w:r>
    </w:p>
    <w:p w14:paraId="1EAE6750" w14:textId="77777777" w:rsidR="00205079" w:rsidRPr="00205079" w:rsidRDefault="00205079" w:rsidP="00205079">
      <w:pPr>
        <w:spacing w:before="120" w:after="120" w:line="276" w:lineRule="auto"/>
        <w:ind w:firstLine="709"/>
        <w:jc w:val="both"/>
        <w:rPr>
          <w:rFonts w:ascii="Arial" w:eastAsia="Calibri" w:hAnsi="Arial" w:cs="Arial"/>
          <w:color w:val="000000"/>
          <w:szCs w:val="24"/>
          <w:lang w:val="es-ES" w:eastAsia="en-GB"/>
        </w:rPr>
      </w:pPr>
      <w:r w:rsidRPr="00205079">
        <w:rPr>
          <w:rFonts w:ascii="Arial" w:eastAsia="Times New Roman" w:hAnsi="Arial" w:cs="Arial" w:hint="cs"/>
          <w:color w:val="000000"/>
          <w:szCs w:val="24"/>
          <w:lang w:val="es-ES" w:eastAsia="en-GB"/>
        </w:rPr>
        <w:t xml:space="preserve">Así las cosas, la obligación de incluir información en el plan se fundamenta en que se trate de la adquisición de bienes, obras o servicios por parte de la entidad, y no se encuentra condicionada por la naturaleza de la información complementaria </w:t>
      </w:r>
      <w:r w:rsidRPr="00205079">
        <w:rPr>
          <w:rFonts w:ascii="Arial" w:eastAsia="Calibri" w:hAnsi="Arial" w:cs="Arial" w:hint="cs"/>
          <w:b/>
          <w:color w:val="000000"/>
          <w:szCs w:val="24"/>
          <w:lang w:val="es-ES" w:eastAsia="en-GB"/>
        </w:rPr>
        <w:t>─</w:t>
      </w:r>
      <w:r w:rsidRPr="00205079">
        <w:rPr>
          <w:rFonts w:ascii="Arial" w:eastAsia="Calibri" w:hAnsi="Arial" w:cs="Arial" w:hint="cs"/>
          <w:color w:val="000000"/>
          <w:szCs w:val="24"/>
          <w:lang w:val="es-ES" w:eastAsia="en-GB"/>
        </w:rPr>
        <w:t>modalidad de contratación, valor, forma de pago, etc.</w:t>
      </w:r>
      <w:r w:rsidRPr="00205079">
        <w:rPr>
          <w:rFonts w:ascii="Arial" w:eastAsia="Calibri" w:hAnsi="Arial" w:cs="Arial" w:hint="cs"/>
          <w:b/>
          <w:color w:val="000000"/>
          <w:szCs w:val="24"/>
          <w:lang w:val="es-ES" w:eastAsia="en-GB"/>
        </w:rPr>
        <w:t xml:space="preserve">─ </w:t>
      </w:r>
      <w:r w:rsidRPr="00205079">
        <w:rPr>
          <w:rFonts w:ascii="Arial" w:eastAsia="Calibri" w:hAnsi="Arial" w:cs="Arial" w:hint="cs"/>
          <w:color w:val="000000"/>
          <w:szCs w:val="24"/>
          <w:lang w:val="es-ES" w:eastAsia="en-GB"/>
        </w:rPr>
        <w:t xml:space="preserve">relacionada con la información principal, máxime cuando la obligación de enlistar está consagrada en la norma respecto de los bienes, obras o servicios a adquirir, y no respecto de los procesos de contratación, lo cual otorga cierta importancia a ese primer aspecto, más que a su forma de contratación.  </w:t>
      </w:r>
    </w:p>
    <w:p w14:paraId="23BE347E" w14:textId="77777777" w:rsidR="00205079" w:rsidRPr="00205079" w:rsidRDefault="00205079" w:rsidP="00205079">
      <w:pPr>
        <w:spacing w:before="120" w:after="120" w:line="276" w:lineRule="auto"/>
        <w:ind w:firstLine="709"/>
        <w:jc w:val="both"/>
        <w:rPr>
          <w:rFonts w:ascii="Arial" w:eastAsia="Times New Roman" w:hAnsi="Arial" w:cs="Arial"/>
          <w:color w:val="000000"/>
          <w:szCs w:val="24"/>
          <w:lang w:val="es-ES" w:eastAsia="en-GB"/>
        </w:rPr>
      </w:pPr>
      <w:r w:rsidRPr="00205079">
        <w:rPr>
          <w:rFonts w:ascii="Arial" w:eastAsia="Calibri" w:hAnsi="Arial" w:cs="Arial" w:hint="cs"/>
          <w:color w:val="000000"/>
          <w:szCs w:val="24"/>
          <w:lang w:val="es-ES" w:eastAsia="en-GB"/>
        </w:rPr>
        <w:t xml:space="preserve">La norma es categórica en señalar que en el plan debe enlistarse todo bien, obra o servicio que se pretenda adquirir, y en este sentido las entidades deben cumplir la obligación, sin consideración a las condiciones en que planee hacerlo, pues </w:t>
      </w:r>
      <w:r w:rsidRPr="00205079">
        <w:rPr>
          <w:rFonts w:ascii="Arial" w:eastAsia="Times New Roman" w:hAnsi="Arial" w:cs="Arial" w:hint="cs"/>
          <w:color w:val="000000"/>
          <w:szCs w:val="24"/>
          <w:lang w:val="es-ES" w:eastAsia="en-GB"/>
        </w:rPr>
        <w:t xml:space="preserve">el deber de inclusión en el plan es independiente de la clase o modalidad de contratación o de la forma en que se pagará el valor estimado, etc. Basta con que se trate de un bien obra o servicio que la entidad quiere adquirir para que surja la obligación de relacionarlo. </w:t>
      </w:r>
    </w:p>
    <w:p w14:paraId="6FFACBD0" w14:textId="7DA01E9D" w:rsidR="00205079" w:rsidRPr="00205079" w:rsidRDefault="00205079" w:rsidP="00205079">
      <w:pPr>
        <w:spacing w:before="120" w:after="120" w:line="276" w:lineRule="auto"/>
        <w:ind w:firstLine="709"/>
        <w:jc w:val="both"/>
        <w:rPr>
          <w:rFonts w:ascii="Arial" w:eastAsia="Calibri" w:hAnsi="Arial" w:cs="Arial"/>
          <w:color w:val="000000"/>
          <w:szCs w:val="24"/>
          <w:lang w:val="es-ES" w:eastAsia="en-GB"/>
        </w:rPr>
      </w:pPr>
      <w:r w:rsidRPr="00205079">
        <w:rPr>
          <w:rFonts w:ascii="Arial" w:eastAsia="Calibri" w:hAnsi="Arial" w:cs="Arial" w:hint="cs"/>
          <w:color w:val="000000"/>
          <w:szCs w:val="24"/>
          <w:lang w:val="es-ES" w:eastAsia="en-GB"/>
        </w:rPr>
        <w:t xml:space="preserve">De modo que el elemento rector para anunciar la posible contratación en el plan anual de adquisiciones es la intención de </w:t>
      </w:r>
      <w:r w:rsidRPr="00205079">
        <w:rPr>
          <w:rFonts w:ascii="Arial" w:eastAsia="Calibri" w:hAnsi="Arial" w:cs="Arial" w:hint="cs"/>
          <w:i/>
          <w:color w:val="000000"/>
          <w:szCs w:val="24"/>
          <w:lang w:val="es-ES" w:eastAsia="en-GB"/>
        </w:rPr>
        <w:t>adquirir</w:t>
      </w:r>
      <w:r w:rsidRPr="00205079">
        <w:rPr>
          <w:rFonts w:ascii="Arial" w:eastAsia="Calibri" w:hAnsi="Arial" w:cs="Arial" w:hint="cs"/>
          <w:color w:val="000000"/>
          <w:szCs w:val="24"/>
          <w:lang w:val="es-ES" w:eastAsia="en-GB"/>
        </w:rPr>
        <w:t xml:space="preserve"> el bien, obra o servicio, independientemente de la forma en que la entidad pretenda hacerlo, es decir, para el reglamento es irrelevante si el bien será comprado o si la contraprestación por este será en especie. Lo importante es que en el plan se reporte la estimación del valor que la entidad deberá pagar como contraprestación para la obtención de dicho bien, obra o servicio. Por tanto, las entidades deben incluir en su plan anual de adquisición todos los convenios o cualquier otra modalidad de contratación, a través de los que la entidad podrá adquirir bienes, obras y servicios para satisfacer sus necesidades, pues la finalidad del artículo 2.2.1.1.1.4.1. del Decreto 1082 de 2015 es que en este documento se enuncien todas las necesidades de contratación de las entidades públicas. </w:t>
      </w:r>
    </w:p>
    <w:p w14:paraId="5CF11586" w14:textId="77777777" w:rsidR="0010526E" w:rsidRPr="00C94F95" w:rsidRDefault="0010526E" w:rsidP="0010526E">
      <w:pPr>
        <w:spacing w:before="120" w:after="0" w:line="276" w:lineRule="auto"/>
        <w:ind w:firstLine="709"/>
        <w:jc w:val="both"/>
        <w:rPr>
          <w:rFonts w:ascii="Arial" w:hAnsi="Arial" w:cs="Arial"/>
          <w:szCs w:val="24"/>
          <w:lang w:val="es-MX" w:eastAsia="es-ES_tradnl"/>
        </w:rPr>
      </w:pPr>
      <w:r w:rsidRPr="00C94F95">
        <w:rPr>
          <w:rFonts w:ascii="Arial" w:hAnsi="Arial" w:cs="Arial"/>
          <w:szCs w:val="24"/>
          <w:lang w:val="es-MX" w:eastAsia="es-ES_tradnl"/>
        </w:rPr>
        <w:lastRenderedPageBreak/>
        <w:t>De este modo, la obligación de incluir información en el plan se fundamenta en que se trate de la adquisición de bienes, obras o servicios por parte de la entidad, y no se encuentra condicionada por la naturaleza de la información complementaria ─modalidad de contratación, valor, forma de pago etc.─ relacionada con la información principal. Máxime cuando la obligación de enlistar está consagrada en la norma respecto de los bienes, obras o servicios a adquirir, y no respecto de los procesos de contratación, lo cual otorga cierta importancia a este primer aspecto para determinar si debe o no inscribirse, más que a su modalidad de selección o erogación presupuestal.</w:t>
      </w:r>
    </w:p>
    <w:p w14:paraId="3D9E1A59" w14:textId="77777777" w:rsidR="006D27A2" w:rsidRDefault="0010526E" w:rsidP="009332A2">
      <w:pPr>
        <w:spacing w:before="120" w:after="0" w:line="276" w:lineRule="auto"/>
        <w:ind w:firstLine="709"/>
        <w:jc w:val="both"/>
        <w:rPr>
          <w:rFonts w:ascii="Arial" w:hAnsi="Arial" w:cs="Arial"/>
          <w:szCs w:val="24"/>
          <w:lang w:val="es-MX" w:eastAsia="es-ES_tradnl"/>
        </w:rPr>
      </w:pPr>
      <w:r w:rsidRPr="00C94F95">
        <w:rPr>
          <w:rFonts w:ascii="Arial" w:hAnsi="Arial" w:cs="Arial"/>
          <w:szCs w:val="24"/>
          <w:lang w:val="es-MX" w:eastAsia="es-ES_tradnl"/>
        </w:rPr>
        <w:t xml:space="preserve">En virtud de lo anterior se colige que es obligación de las entidades estatales enlistar todos y cada uno de los bienes, obras y servicios que pretende adquirir de acuerdo </w:t>
      </w:r>
      <w:r>
        <w:rPr>
          <w:rFonts w:ascii="Arial" w:hAnsi="Arial" w:cs="Arial"/>
          <w:szCs w:val="24"/>
          <w:lang w:val="es-MX" w:eastAsia="es-ES_tradnl"/>
        </w:rPr>
        <w:t>con</w:t>
      </w:r>
      <w:r w:rsidRPr="00C94F95">
        <w:rPr>
          <w:rFonts w:ascii="Arial" w:hAnsi="Arial" w:cs="Arial"/>
          <w:szCs w:val="24"/>
          <w:lang w:val="es-MX" w:eastAsia="es-ES_tradnl"/>
        </w:rPr>
        <w:t xml:space="preserve"> sus necesidades, independientemente de la información complementaria que puede estar relacionada con la modalidad de selección del contratista, el valor, la forma de pago, etc. </w:t>
      </w:r>
    </w:p>
    <w:p w14:paraId="297A8946" w14:textId="3C9F12B9" w:rsidR="0010526E" w:rsidRPr="009332A2" w:rsidRDefault="0010526E" w:rsidP="009332A2">
      <w:pPr>
        <w:spacing w:before="120" w:after="0" w:line="276" w:lineRule="auto"/>
        <w:ind w:firstLine="709"/>
        <w:jc w:val="both"/>
        <w:rPr>
          <w:rFonts w:ascii="Arial" w:hAnsi="Arial" w:cs="Arial"/>
          <w:szCs w:val="24"/>
          <w:lang w:val="es-MX" w:eastAsia="es-ES_tradnl"/>
        </w:rPr>
      </w:pPr>
      <w:r w:rsidRPr="67F292D6">
        <w:rPr>
          <w:rFonts w:ascii="Arial" w:hAnsi="Arial" w:cs="Arial"/>
          <w:lang w:val="es-MX" w:eastAsia="es-ES"/>
        </w:rPr>
        <w:t xml:space="preserve">Así las cosas, tratándose de contratos o convenios </w:t>
      </w:r>
      <w:r w:rsidR="00C90F04" w:rsidRPr="67F292D6">
        <w:rPr>
          <w:rFonts w:ascii="Arial" w:hAnsi="Arial" w:cs="Arial"/>
          <w:lang w:val="es-MX" w:eastAsia="es-ES"/>
        </w:rPr>
        <w:t xml:space="preserve">interadministrativos </w:t>
      </w:r>
      <w:r w:rsidRPr="67F292D6">
        <w:rPr>
          <w:rFonts w:ascii="Arial" w:hAnsi="Arial" w:cs="Arial"/>
          <w:lang w:val="es-MX" w:eastAsia="es-ES"/>
        </w:rPr>
        <w:t>si estos tienen por objeto la adquisición de bienes, obras y/o servicios deben estar contemplados en el Plan Anual de Adquisiciones de la</w:t>
      </w:r>
      <w:r w:rsidR="00C90F04" w:rsidRPr="67F292D6">
        <w:rPr>
          <w:rFonts w:ascii="Arial" w:hAnsi="Arial" w:cs="Arial"/>
          <w:lang w:val="es-MX" w:eastAsia="es-ES"/>
        </w:rPr>
        <w:t>s</w:t>
      </w:r>
      <w:r w:rsidRPr="67F292D6">
        <w:rPr>
          <w:rFonts w:ascii="Arial" w:hAnsi="Arial" w:cs="Arial"/>
          <w:lang w:val="es-MX" w:eastAsia="es-ES"/>
        </w:rPr>
        <w:t xml:space="preserve"> entidad</w:t>
      </w:r>
      <w:r w:rsidR="00C90F04" w:rsidRPr="67F292D6">
        <w:rPr>
          <w:rFonts w:ascii="Arial" w:hAnsi="Arial" w:cs="Arial"/>
          <w:lang w:val="es-MX" w:eastAsia="es-ES"/>
        </w:rPr>
        <w:t>es parte</w:t>
      </w:r>
      <w:r w:rsidR="00685EBF" w:rsidRPr="67F292D6">
        <w:rPr>
          <w:rFonts w:ascii="Arial" w:hAnsi="Arial" w:cs="Arial"/>
          <w:lang w:val="es-MX" w:eastAsia="es-ES"/>
        </w:rPr>
        <w:t xml:space="preserve"> que pretendan realizar la adquisición</w:t>
      </w:r>
      <w:r w:rsidR="00C90F04" w:rsidRPr="67F292D6">
        <w:rPr>
          <w:rFonts w:ascii="Arial" w:hAnsi="Arial" w:cs="Arial"/>
          <w:lang w:val="es-MX" w:eastAsia="es-ES"/>
        </w:rPr>
        <w:t>.</w:t>
      </w:r>
      <w:r w:rsidRPr="67F292D6">
        <w:rPr>
          <w:rFonts w:ascii="Arial" w:hAnsi="Arial" w:cs="Arial"/>
          <w:lang w:val="es-MX" w:eastAsia="es-ES"/>
        </w:rPr>
        <w:t xml:space="preserve"> Como se advirtió, el Plan anual de adquisiciones es un documento de planeación que permite a las entidades estatales identificar las necesidades que debe satisfacer durante la respectiva anualidad a través de la contratación e incorporarlas dentro del mismo, independientemente si la necesidad de adquisición de esos bienes, obras o servicios implique o no una erogación presupuestal. En este sentido, si en el contrato o convenio se identifica </w:t>
      </w:r>
      <w:r w:rsidR="00987869" w:rsidRPr="67F292D6">
        <w:rPr>
          <w:rFonts w:ascii="Arial" w:hAnsi="Arial" w:cs="Arial"/>
          <w:lang w:val="es-MX" w:eastAsia="es-ES"/>
        </w:rPr>
        <w:t>por todas las partes</w:t>
      </w:r>
      <w:r w:rsidR="00A032AF" w:rsidRPr="67F292D6">
        <w:rPr>
          <w:rFonts w:ascii="Arial" w:hAnsi="Arial" w:cs="Arial"/>
          <w:lang w:val="es-MX" w:eastAsia="es-ES"/>
        </w:rPr>
        <w:t xml:space="preserve"> o </w:t>
      </w:r>
      <w:r w:rsidR="00150FAB" w:rsidRPr="67F292D6">
        <w:rPr>
          <w:rFonts w:ascii="Arial" w:hAnsi="Arial" w:cs="Arial"/>
          <w:lang w:val="es-MX" w:eastAsia="es-ES"/>
        </w:rPr>
        <w:t>por una</w:t>
      </w:r>
      <w:r w:rsidR="00987869" w:rsidRPr="67F292D6">
        <w:rPr>
          <w:rFonts w:ascii="Arial" w:hAnsi="Arial" w:cs="Arial"/>
          <w:lang w:val="es-MX" w:eastAsia="es-ES"/>
        </w:rPr>
        <w:t xml:space="preserve"> </w:t>
      </w:r>
      <w:r w:rsidRPr="67F292D6">
        <w:rPr>
          <w:rFonts w:ascii="Arial" w:hAnsi="Arial" w:cs="Arial"/>
          <w:lang w:val="es-MX" w:eastAsia="es-ES"/>
        </w:rPr>
        <w:t>la necesidad de adquirir bienes, obras y/o servicio, deberá incluirse en el Plan Anual de Adquisiciones aun cuando este no implique erogación de recursos.</w:t>
      </w:r>
    </w:p>
    <w:p w14:paraId="08511A93" w14:textId="77777777" w:rsidR="009332A2" w:rsidRDefault="009332A2" w:rsidP="009332A2">
      <w:pPr>
        <w:tabs>
          <w:tab w:val="left" w:pos="284"/>
        </w:tabs>
        <w:spacing w:after="0" w:line="276" w:lineRule="auto"/>
        <w:contextualSpacing/>
        <w:rPr>
          <w:rFonts w:ascii="Arial" w:hAnsi="Arial" w:cs="Arial"/>
          <w:lang w:val="es-MX" w:eastAsia="es-ES"/>
        </w:rPr>
      </w:pPr>
    </w:p>
    <w:p w14:paraId="7F68B379" w14:textId="1C47210E" w:rsidR="00205079" w:rsidRPr="00205079" w:rsidRDefault="009332A2" w:rsidP="39C339F5">
      <w:pPr>
        <w:spacing w:before="120" w:after="0" w:line="276" w:lineRule="auto"/>
        <w:contextualSpacing/>
        <w:jc w:val="both"/>
        <w:rPr>
          <w:rFonts w:ascii="Arial" w:eastAsia="Times New Roman" w:hAnsi="Arial" w:cs="Arial"/>
          <w:b/>
          <w:bCs/>
          <w:color w:val="000000" w:themeColor="text1"/>
        </w:rPr>
      </w:pPr>
      <w:r w:rsidRPr="39C339F5">
        <w:rPr>
          <w:rFonts w:ascii="Arial" w:hAnsi="Arial" w:cs="Arial"/>
          <w:b/>
          <w:bCs/>
          <w:lang w:val="es-MX" w:eastAsia="es-ES"/>
        </w:rPr>
        <w:t xml:space="preserve">3. </w:t>
      </w:r>
      <w:r w:rsidR="00205079" w:rsidRPr="00205079">
        <w:rPr>
          <w:rFonts w:ascii="Arial" w:eastAsia="Times New Roman" w:hAnsi="Arial" w:cs="Arial" w:hint="cs"/>
          <w:b/>
          <w:bCs/>
          <w:color w:val="000000" w:themeColor="text1"/>
        </w:rPr>
        <w:t xml:space="preserve">Respuesta </w:t>
      </w:r>
    </w:p>
    <w:p w14:paraId="6EBA360B" w14:textId="77777777" w:rsidR="00205079" w:rsidRPr="00205079" w:rsidRDefault="00205079" w:rsidP="00205079">
      <w:pPr>
        <w:spacing w:after="0" w:line="276" w:lineRule="auto"/>
        <w:ind w:right="709"/>
        <w:jc w:val="both"/>
        <w:rPr>
          <w:rFonts w:ascii="Arial" w:eastAsia="Times New Roman" w:hAnsi="Arial" w:cs="Arial"/>
          <w:color w:val="000000" w:themeColor="text1"/>
          <w:sz w:val="21"/>
          <w:szCs w:val="21"/>
        </w:rPr>
      </w:pPr>
    </w:p>
    <w:p w14:paraId="78B84565" w14:textId="74CD0708" w:rsidR="00205079" w:rsidRPr="00205079" w:rsidRDefault="00205079" w:rsidP="00205079">
      <w:pPr>
        <w:spacing w:after="0" w:line="240" w:lineRule="auto"/>
        <w:ind w:left="709" w:right="758"/>
        <w:jc w:val="both"/>
        <w:rPr>
          <w:rFonts w:ascii="Arial" w:eastAsia="Times New Roman" w:hAnsi="Arial" w:cs="Arial"/>
          <w:bCs/>
          <w:sz w:val="21"/>
          <w:szCs w:val="21"/>
        </w:rPr>
      </w:pPr>
      <w:r w:rsidRPr="00205079">
        <w:rPr>
          <w:rFonts w:ascii="Arial" w:eastAsia="Times New Roman" w:hAnsi="Arial" w:cs="Arial" w:hint="cs"/>
          <w:sz w:val="21"/>
          <w:szCs w:val="21"/>
        </w:rPr>
        <w:t>«[…] para el caso de los bienes, obras y servicios que se adquieren en el marco de cumplimiento por la suscripción de contratos o convenios con otras entidades, cual es el procedimiento, cuál entidad debe incorporar en el plan de adquisiciones los bienes, obras y servicios a adquirir?».</w:t>
      </w:r>
    </w:p>
    <w:p w14:paraId="504B2834" w14:textId="77777777" w:rsidR="00205079" w:rsidRPr="00205079" w:rsidRDefault="00205079" w:rsidP="00205079">
      <w:pPr>
        <w:spacing w:after="0" w:line="240" w:lineRule="auto"/>
        <w:ind w:left="709" w:right="758"/>
        <w:jc w:val="both"/>
        <w:rPr>
          <w:rFonts w:ascii="Arial" w:eastAsia="Times New Roman" w:hAnsi="Arial" w:cs="Arial"/>
          <w:bCs/>
          <w:sz w:val="21"/>
          <w:szCs w:val="21"/>
        </w:rPr>
      </w:pPr>
    </w:p>
    <w:p w14:paraId="6E523E1C" w14:textId="1EE387AB" w:rsidR="00205079" w:rsidRPr="00205079" w:rsidRDefault="00205079" w:rsidP="00205079">
      <w:pPr>
        <w:spacing w:after="120" w:line="276" w:lineRule="auto"/>
        <w:jc w:val="both"/>
        <w:rPr>
          <w:rFonts w:ascii="Arial" w:eastAsia="Calibri" w:hAnsi="Arial" w:cs="Arial"/>
          <w:szCs w:val="24"/>
        </w:rPr>
      </w:pPr>
      <w:r w:rsidRPr="00205079">
        <w:rPr>
          <w:rFonts w:ascii="Arial" w:eastAsia="Calibri" w:hAnsi="Arial" w:cs="Arial" w:hint="cs"/>
          <w:szCs w:val="24"/>
        </w:rPr>
        <w:t>Conforme a lo expuesto</w:t>
      </w:r>
      <w:r w:rsidRPr="00205079">
        <w:rPr>
          <w:rFonts w:ascii="Arial" w:eastAsia="Calibri" w:hAnsi="Arial" w:cs="Arial"/>
          <w:szCs w:val="24"/>
        </w:rPr>
        <w:t>,</w:t>
      </w:r>
      <w:r w:rsidRPr="00205079">
        <w:rPr>
          <w:rFonts w:ascii="Arial" w:eastAsia="Calibri" w:hAnsi="Arial" w:cs="Arial" w:hint="cs"/>
          <w:szCs w:val="24"/>
        </w:rPr>
        <w:t xml:space="preserve"> </w:t>
      </w:r>
      <w:r w:rsidRPr="00205079">
        <w:rPr>
          <w:rFonts w:ascii="Arial" w:eastAsia="Calibri" w:hAnsi="Arial" w:cs="Arial"/>
          <w:szCs w:val="24"/>
        </w:rPr>
        <w:t>la obligación de incluir información en el plan se fundamenta en que se trate de la adquisición de bienes, obras o servicios por parte de la entidad, y no se encuentra condicionada por la naturaleza de la información complementaria ─modalidad de contratación, valor, forma de pago, etc.─ relacionada con la información principal, máxime cuando la obligación de enlistar está consagrada en la norma respecto de los bienes, obras o servicios a adquirir, y no respecto de los procesos de contratación</w:t>
      </w:r>
      <w:r w:rsidR="00BC09F6">
        <w:rPr>
          <w:rFonts w:ascii="Arial" w:eastAsia="Calibri" w:hAnsi="Arial" w:cs="Arial"/>
          <w:szCs w:val="24"/>
        </w:rPr>
        <w:t>.</w:t>
      </w:r>
      <w:r w:rsidRPr="00205079">
        <w:rPr>
          <w:rFonts w:ascii="Arial" w:eastAsia="Calibri" w:hAnsi="Arial" w:cs="Arial"/>
          <w:szCs w:val="24"/>
        </w:rPr>
        <w:t xml:space="preserve"> </w:t>
      </w:r>
    </w:p>
    <w:p w14:paraId="6425B59A" w14:textId="77777777" w:rsidR="00205079" w:rsidRPr="00205079" w:rsidRDefault="00205079" w:rsidP="00205079">
      <w:pPr>
        <w:spacing w:after="120" w:line="276" w:lineRule="auto"/>
        <w:ind w:firstLine="708"/>
        <w:jc w:val="both"/>
        <w:rPr>
          <w:rFonts w:ascii="Arial" w:eastAsia="Calibri" w:hAnsi="Arial" w:cs="Arial"/>
          <w:szCs w:val="24"/>
        </w:rPr>
      </w:pPr>
      <w:r w:rsidRPr="00205079">
        <w:rPr>
          <w:rFonts w:ascii="Arial" w:eastAsia="Calibri" w:hAnsi="Arial" w:cs="Arial"/>
          <w:szCs w:val="24"/>
        </w:rPr>
        <w:t xml:space="preserve">La norma es categórica en señalar que en el plan debe enlistarse todo bien, obra o servicio que se pretenda </w:t>
      </w:r>
      <w:r w:rsidRPr="000F2C38">
        <w:rPr>
          <w:rFonts w:ascii="Arial" w:eastAsia="Calibri" w:hAnsi="Arial" w:cs="Arial"/>
          <w:i/>
          <w:szCs w:val="24"/>
        </w:rPr>
        <w:t>adquirir</w:t>
      </w:r>
      <w:r w:rsidRPr="00205079">
        <w:rPr>
          <w:rFonts w:ascii="Arial" w:eastAsia="Calibri" w:hAnsi="Arial" w:cs="Arial"/>
          <w:szCs w:val="24"/>
        </w:rPr>
        <w:t xml:space="preserve">, y en este sentido las entidades deben cumplir la obligación, sin consideración a las condiciones en que planee hacerlo, pues el deber de inclusión en el plan es </w:t>
      </w:r>
      <w:r w:rsidRPr="00205079">
        <w:rPr>
          <w:rFonts w:ascii="Arial" w:eastAsia="Calibri" w:hAnsi="Arial" w:cs="Arial"/>
          <w:szCs w:val="24"/>
        </w:rPr>
        <w:lastRenderedPageBreak/>
        <w:t xml:space="preserve">independiente de la clase o modalidad de contratación o de la forma en que se pagará el valor estimado, etc. Basta con que se trate de un bien obra o servicio que la entidad quiere adquirir para que surja la obligación de relacionarlo. </w:t>
      </w:r>
    </w:p>
    <w:p w14:paraId="15B4B17C" w14:textId="77777777" w:rsidR="00205079" w:rsidRPr="00205079" w:rsidRDefault="00205079" w:rsidP="00205079">
      <w:pPr>
        <w:spacing w:after="120" w:line="276" w:lineRule="auto"/>
        <w:ind w:firstLine="708"/>
        <w:jc w:val="both"/>
        <w:rPr>
          <w:rFonts w:ascii="Arial" w:eastAsia="Calibri" w:hAnsi="Arial" w:cs="Arial"/>
          <w:szCs w:val="24"/>
        </w:rPr>
      </w:pPr>
      <w:r w:rsidRPr="00205079">
        <w:rPr>
          <w:rFonts w:ascii="Arial" w:eastAsia="Calibri" w:hAnsi="Arial" w:cs="Arial"/>
          <w:szCs w:val="24"/>
        </w:rPr>
        <w:t xml:space="preserve">De modo que el elemento rector para anunciar la posible contratación en el plan anual de adquisiciones es la intención de adquirir el bien, obra o servicio, independientemente de la forma en que la entidad pretenda hacerlo, es decir, para el reglamento es irrelevante si el bien será comprado o si la contraprestación por este será en especie. Lo importante es que en el plan se reporte la estimación del valor que la entidad deberá pagar como contraprestación para la obtención de dicho bien, obra o servicio. </w:t>
      </w:r>
    </w:p>
    <w:p w14:paraId="5009A209" w14:textId="4746F5DD" w:rsidR="00205079" w:rsidRPr="00205079" w:rsidRDefault="00205079" w:rsidP="00205079">
      <w:pPr>
        <w:spacing w:after="120" w:line="276" w:lineRule="auto"/>
        <w:ind w:firstLine="708"/>
        <w:jc w:val="both"/>
        <w:rPr>
          <w:rFonts w:ascii="Arial" w:eastAsia="Calibri" w:hAnsi="Arial" w:cs="Arial"/>
          <w:szCs w:val="24"/>
        </w:rPr>
      </w:pPr>
      <w:r w:rsidRPr="00205079">
        <w:rPr>
          <w:rFonts w:ascii="Arial" w:eastAsia="Calibri" w:hAnsi="Arial" w:cs="Arial"/>
          <w:szCs w:val="24"/>
        </w:rPr>
        <w:t>Por tanto, las entidades deben incluir en su plan anual de adquisición todos los convenios o cualquier otra modalidad de contratación, a través de los que la entidad podrá adquirir bienes, obras y servicios para satisfacer sus necesidades, pues la finalidad del artículo 2.2.1.1.1.4.1. del Decreto 1082 de 2015 es que en este documento se enuncien todas las necesidades de contratación de las entidades públicas.</w:t>
      </w:r>
      <w:r w:rsidR="003435B3">
        <w:rPr>
          <w:rFonts w:ascii="Arial" w:eastAsia="Calibri" w:hAnsi="Arial" w:cs="Arial"/>
          <w:szCs w:val="24"/>
        </w:rPr>
        <w:t xml:space="preserve"> Así, si todas las partes del convenio o contrato interadministrativo</w:t>
      </w:r>
      <w:r w:rsidR="000A3678">
        <w:rPr>
          <w:rFonts w:ascii="Arial" w:eastAsia="Calibri" w:hAnsi="Arial" w:cs="Arial"/>
          <w:szCs w:val="24"/>
        </w:rPr>
        <w:t xml:space="preserve"> van a</w:t>
      </w:r>
      <w:r w:rsidR="003435B3">
        <w:rPr>
          <w:rFonts w:ascii="Arial" w:eastAsia="Calibri" w:hAnsi="Arial" w:cs="Arial"/>
          <w:szCs w:val="24"/>
        </w:rPr>
        <w:t xml:space="preserve"> </w:t>
      </w:r>
      <w:r w:rsidR="000A3678" w:rsidRPr="00205079">
        <w:rPr>
          <w:rFonts w:ascii="Arial" w:eastAsia="Calibri" w:hAnsi="Arial" w:cs="Arial"/>
          <w:szCs w:val="24"/>
        </w:rPr>
        <w:t>adquirir bienes, obras y servicios para satisfacer sus necesidades</w:t>
      </w:r>
      <w:r w:rsidR="000A3678">
        <w:rPr>
          <w:rFonts w:ascii="Arial" w:eastAsia="Calibri" w:hAnsi="Arial" w:cs="Arial"/>
          <w:szCs w:val="24"/>
        </w:rPr>
        <w:t xml:space="preserve"> en virtud de tal acuerdo de voluntades deberán incluirlo en su respectivo plan anual de adquisiciones; en caso contrario</w:t>
      </w:r>
      <w:r w:rsidR="007763D7">
        <w:rPr>
          <w:rFonts w:ascii="Arial" w:eastAsia="Calibri" w:hAnsi="Arial" w:cs="Arial"/>
          <w:szCs w:val="24"/>
        </w:rPr>
        <w:t>,</w:t>
      </w:r>
      <w:r w:rsidR="000A3678">
        <w:rPr>
          <w:rFonts w:ascii="Arial" w:eastAsia="Calibri" w:hAnsi="Arial" w:cs="Arial"/>
          <w:szCs w:val="24"/>
        </w:rPr>
        <w:t xml:space="preserve"> solo la entidad que </w:t>
      </w:r>
      <w:r w:rsidR="00CB50F2">
        <w:rPr>
          <w:rFonts w:ascii="Arial" w:eastAsia="Calibri" w:hAnsi="Arial" w:cs="Arial"/>
          <w:szCs w:val="24"/>
        </w:rPr>
        <w:t xml:space="preserve">va a </w:t>
      </w:r>
      <w:r w:rsidR="00CB50F2" w:rsidRPr="00205079">
        <w:rPr>
          <w:rFonts w:ascii="Arial" w:eastAsia="Calibri" w:hAnsi="Arial" w:cs="Arial"/>
          <w:szCs w:val="24"/>
        </w:rPr>
        <w:t>adquirir bienes, obras y servicios</w:t>
      </w:r>
      <w:r w:rsidR="00CB50F2">
        <w:rPr>
          <w:rFonts w:ascii="Arial" w:eastAsia="Calibri" w:hAnsi="Arial" w:cs="Arial"/>
          <w:szCs w:val="24"/>
        </w:rPr>
        <w:t xml:space="preserve"> deberá incluirlo.</w:t>
      </w:r>
    </w:p>
    <w:p w14:paraId="1C9A11C2" w14:textId="77777777" w:rsidR="00205079" w:rsidRPr="00205079" w:rsidRDefault="00205079" w:rsidP="00205079">
      <w:pPr>
        <w:spacing w:after="0" w:line="276" w:lineRule="auto"/>
        <w:ind w:right="-65"/>
        <w:jc w:val="both"/>
        <w:rPr>
          <w:rFonts w:ascii="Arial" w:eastAsia="Calibri" w:hAnsi="Arial" w:cs="Arial"/>
          <w:color w:val="000000" w:themeColor="text1"/>
          <w:lang w:eastAsia="es-CO"/>
        </w:rPr>
      </w:pPr>
      <w:r w:rsidRPr="00205079">
        <w:rPr>
          <w:rFonts w:ascii="Arial" w:eastAsia="Calibri" w:hAnsi="Arial" w:cs="Arial" w:hint="cs"/>
          <w:color w:val="000000" w:themeColor="text1"/>
          <w:lang w:eastAsia="es-CO"/>
        </w:rPr>
        <w:t>Este concepto tiene el alcance previsto en el artículo 28 del Código de Procedimiento Administrativo y de lo Contencioso Administrativo.</w:t>
      </w:r>
    </w:p>
    <w:p w14:paraId="5DA7F4D3" w14:textId="77777777" w:rsidR="00205079" w:rsidRPr="000F2C38" w:rsidRDefault="00205079" w:rsidP="00205079">
      <w:pPr>
        <w:spacing w:after="0" w:line="240" w:lineRule="auto"/>
        <w:ind w:firstLine="709"/>
        <w:jc w:val="both"/>
        <w:rPr>
          <w:rFonts w:ascii="Arial" w:eastAsia="Calibri" w:hAnsi="Arial" w:cs="Arial"/>
          <w:color w:val="000000" w:themeColor="text1"/>
          <w:lang w:eastAsia="es-CO"/>
        </w:rPr>
      </w:pPr>
    </w:p>
    <w:p w14:paraId="29FCC9B8" w14:textId="2819C926" w:rsidR="00205079" w:rsidRPr="00205079" w:rsidRDefault="00205079" w:rsidP="62DCE50C">
      <w:pPr>
        <w:spacing w:before="120" w:after="120" w:line="276" w:lineRule="auto"/>
        <w:jc w:val="both"/>
        <w:rPr>
          <w:rFonts w:ascii="Arial" w:eastAsia="Calibri" w:hAnsi="Arial" w:cs="Arial"/>
          <w:color w:val="000000" w:themeColor="text1"/>
          <w:lang w:eastAsia="es-CO"/>
        </w:rPr>
      </w:pPr>
      <w:r w:rsidRPr="000F2C38">
        <w:rPr>
          <w:rFonts w:ascii="Arial" w:eastAsia="Calibri" w:hAnsi="Arial" w:cs="Arial"/>
          <w:color w:val="000000" w:themeColor="text1"/>
          <w:lang w:eastAsia="es-CO"/>
        </w:rPr>
        <w:t>Atentamente,</w:t>
      </w:r>
    </w:p>
    <w:p w14:paraId="61D36F6F" w14:textId="6F60CB61" w:rsidR="00205079" w:rsidRPr="00205079" w:rsidRDefault="002032C5" w:rsidP="00205079">
      <w:pPr>
        <w:spacing w:after="0" w:line="276" w:lineRule="auto"/>
        <w:jc w:val="center"/>
        <w:rPr>
          <w:rFonts w:ascii="Arial" w:eastAsia="Times New Roman" w:hAnsi="Arial" w:cs="Arial"/>
          <w:szCs w:val="24"/>
          <w:lang w:eastAsia="es-CO"/>
        </w:rPr>
      </w:pPr>
      <w:r>
        <w:rPr>
          <w:noProof/>
        </w:rPr>
        <w:drawing>
          <wp:inline distT="0" distB="0" distL="0" distR="0" wp14:anchorId="6F672AFE" wp14:editId="63E93BB2">
            <wp:extent cx="2775006" cy="1064730"/>
            <wp:effectExtent l="0" t="0" r="6350" b="2540"/>
            <wp:docPr id="6" name="Imagen 6" descr="Text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Imagen 6" descr="Texto&#10;&#10;Descripción generada automáticamente"/>
                    <pic:cNvPicPr/>
                  </pic:nvPicPr>
                  <pic:blipFill>
                    <a:blip r:embed="rId12"/>
                    <a:stretch>
                      <a:fillRect/>
                    </a:stretch>
                  </pic:blipFill>
                  <pic:spPr>
                    <a:xfrm>
                      <a:off x="0" y="0"/>
                      <a:ext cx="2785707" cy="1068836"/>
                    </a:xfrm>
                    <a:prstGeom prst="rect">
                      <a:avLst/>
                    </a:prstGeom>
                  </pic:spPr>
                </pic:pic>
              </a:graphicData>
            </a:graphic>
          </wp:inline>
        </w:drawing>
      </w:r>
    </w:p>
    <w:p w14:paraId="0766DC21" w14:textId="77777777" w:rsidR="00205079" w:rsidRPr="00205079" w:rsidRDefault="00205079" w:rsidP="00205079">
      <w:pPr>
        <w:spacing w:after="0" w:line="276" w:lineRule="auto"/>
        <w:jc w:val="center"/>
        <w:rPr>
          <w:rFonts w:ascii="Arial" w:eastAsia="Times New Roman" w:hAnsi="Arial" w:cs="Arial"/>
          <w:szCs w:val="24"/>
          <w:lang w:eastAsia="es-CO"/>
        </w:rPr>
      </w:pPr>
    </w:p>
    <w:tbl>
      <w:tblPr>
        <w:tblStyle w:val="Tablaconcuadrcula11"/>
        <w:tblpPr w:leftFromText="141" w:rightFromText="141" w:vertAnchor="text" w:horzAnchor="margin" w:tblpY="-19"/>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266"/>
        <w:gridCol w:w="5276"/>
      </w:tblGrid>
      <w:tr w:rsidR="00205079" w:rsidRPr="00205079" w14:paraId="6D8EE0E5" w14:textId="77777777" w:rsidTr="007D1C37">
        <w:trPr>
          <w:trHeight w:val="291"/>
        </w:trPr>
        <w:tc>
          <w:tcPr>
            <w:tcW w:w="1266" w:type="dxa"/>
            <w:vAlign w:val="center"/>
            <w:hideMark/>
          </w:tcPr>
          <w:p w14:paraId="1017998F" w14:textId="77777777" w:rsidR="00205079" w:rsidRPr="00205079" w:rsidRDefault="00205079" w:rsidP="00205079">
            <w:pPr>
              <w:spacing w:line="276" w:lineRule="auto"/>
              <w:rPr>
                <w:rFonts w:ascii="Arial" w:eastAsia="Times New Roman" w:hAnsi="Arial" w:cs="Arial"/>
                <w:sz w:val="16"/>
                <w:szCs w:val="16"/>
                <w:lang w:eastAsia="es-ES"/>
              </w:rPr>
            </w:pPr>
            <w:r w:rsidRPr="00205079">
              <w:rPr>
                <w:rFonts w:ascii="Arial" w:eastAsia="Times New Roman" w:hAnsi="Arial" w:cs="Arial"/>
                <w:sz w:val="16"/>
                <w:szCs w:val="16"/>
                <w:lang w:eastAsia="es-ES"/>
              </w:rPr>
              <w:t>Elaboró:</w:t>
            </w:r>
          </w:p>
        </w:tc>
        <w:tc>
          <w:tcPr>
            <w:tcW w:w="5276" w:type="dxa"/>
            <w:tcBorders>
              <w:top w:val="nil"/>
              <w:left w:val="nil"/>
              <w:bottom w:val="dotted" w:sz="4" w:space="0" w:color="7F7F7F"/>
              <w:right w:val="nil"/>
            </w:tcBorders>
            <w:vAlign w:val="center"/>
            <w:hideMark/>
          </w:tcPr>
          <w:p w14:paraId="746AC5EF" w14:textId="77777777" w:rsidR="00205079" w:rsidRPr="00205079" w:rsidRDefault="00205079" w:rsidP="00205079">
            <w:pPr>
              <w:spacing w:line="276" w:lineRule="auto"/>
              <w:rPr>
                <w:rFonts w:ascii="Arial" w:eastAsia="Times New Roman" w:hAnsi="Arial" w:cs="Arial"/>
                <w:sz w:val="16"/>
                <w:szCs w:val="16"/>
                <w:lang w:eastAsia="es-ES"/>
              </w:rPr>
            </w:pPr>
            <w:r w:rsidRPr="00205079">
              <w:rPr>
                <w:rFonts w:ascii="Arial" w:eastAsia="Times New Roman" w:hAnsi="Arial" w:cs="Arial"/>
                <w:sz w:val="16"/>
                <w:szCs w:val="16"/>
                <w:lang w:eastAsia="es-ES"/>
              </w:rPr>
              <w:t>Felipe Bastidas Paredes</w:t>
            </w:r>
          </w:p>
          <w:p w14:paraId="3F384A80" w14:textId="77777777" w:rsidR="00205079" w:rsidRPr="00205079" w:rsidRDefault="00205079" w:rsidP="00205079">
            <w:pPr>
              <w:spacing w:line="276" w:lineRule="auto"/>
              <w:rPr>
                <w:rFonts w:ascii="Arial" w:eastAsia="Times New Roman" w:hAnsi="Arial" w:cs="Arial"/>
                <w:sz w:val="16"/>
                <w:szCs w:val="16"/>
                <w:lang w:eastAsia="es-ES"/>
              </w:rPr>
            </w:pPr>
            <w:r w:rsidRPr="00205079">
              <w:rPr>
                <w:rFonts w:ascii="Arial" w:eastAsia="Times New Roman" w:hAnsi="Arial" w:cs="Arial"/>
                <w:sz w:val="16"/>
                <w:szCs w:val="16"/>
                <w:lang w:eastAsia="es-ES"/>
              </w:rPr>
              <w:t>Contratista de la Subdirección de Gestión Contractual</w:t>
            </w:r>
          </w:p>
        </w:tc>
      </w:tr>
      <w:tr w:rsidR="00205079" w:rsidRPr="00205079" w14:paraId="6D80A03B" w14:textId="77777777" w:rsidTr="007D1C37">
        <w:trPr>
          <w:trHeight w:val="304"/>
        </w:trPr>
        <w:tc>
          <w:tcPr>
            <w:tcW w:w="1266" w:type="dxa"/>
            <w:vAlign w:val="center"/>
          </w:tcPr>
          <w:p w14:paraId="1D56AD93" w14:textId="77777777" w:rsidR="00205079" w:rsidRPr="00205079" w:rsidRDefault="00205079" w:rsidP="00205079">
            <w:pPr>
              <w:spacing w:line="276" w:lineRule="auto"/>
              <w:rPr>
                <w:rFonts w:ascii="Arial" w:eastAsia="Times New Roman" w:hAnsi="Arial" w:cs="Arial"/>
                <w:sz w:val="16"/>
                <w:szCs w:val="16"/>
                <w:lang w:eastAsia="es-ES"/>
              </w:rPr>
            </w:pPr>
            <w:r w:rsidRPr="00205079">
              <w:rPr>
                <w:rFonts w:ascii="Arial" w:eastAsia="Times New Roman" w:hAnsi="Arial" w:cs="Arial"/>
                <w:sz w:val="16"/>
                <w:szCs w:val="16"/>
                <w:lang w:eastAsia="es-ES"/>
              </w:rPr>
              <w:t>Revisó:</w:t>
            </w:r>
          </w:p>
        </w:tc>
        <w:tc>
          <w:tcPr>
            <w:tcW w:w="5276" w:type="dxa"/>
            <w:tcBorders>
              <w:top w:val="dotted" w:sz="4" w:space="0" w:color="7F7F7F"/>
              <w:left w:val="nil"/>
              <w:bottom w:val="dotted" w:sz="4" w:space="0" w:color="7F7F7F"/>
              <w:right w:val="nil"/>
            </w:tcBorders>
            <w:vAlign w:val="center"/>
          </w:tcPr>
          <w:p w14:paraId="214DA7F6" w14:textId="6941DA6E" w:rsidR="00205079" w:rsidRPr="00205079" w:rsidRDefault="00205079" w:rsidP="00205079">
            <w:pPr>
              <w:spacing w:line="276" w:lineRule="auto"/>
              <w:rPr>
                <w:rFonts w:ascii="Arial" w:eastAsia="Times New Roman" w:hAnsi="Arial" w:cs="Arial"/>
                <w:sz w:val="16"/>
                <w:szCs w:val="16"/>
                <w:lang w:eastAsia="es-ES"/>
              </w:rPr>
            </w:pPr>
            <w:proofErr w:type="spellStart"/>
            <w:r w:rsidRPr="00205079">
              <w:rPr>
                <w:rFonts w:ascii="Arial" w:eastAsia="Times New Roman" w:hAnsi="Arial" w:cs="Arial"/>
                <w:sz w:val="16"/>
                <w:szCs w:val="16"/>
                <w:lang w:eastAsia="es-ES"/>
              </w:rPr>
              <w:t>Nathalia</w:t>
            </w:r>
            <w:proofErr w:type="spellEnd"/>
            <w:r w:rsidRPr="00205079">
              <w:rPr>
                <w:rFonts w:ascii="Arial" w:eastAsia="Times New Roman" w:hAnsi="Arial" w:cs="Arial"/>
                <w:sz w:val="16"/>
                <w:szCs w:val="16"/>
                <w:lang w:eastAsia="es-ES"/>
              </w:rPr>
              <w:t xml:space="preserve"> Urrego </w:t>
            </w:r>
            <w:r w:rsidR="00264A43">
              <w:rPr>
                <w:rFonts w:ascii="Arial" w:eastAsia="Times New Roman" w:hAnsi="Arial" w:cs="Arial"/>
                <w:sz w:val="16"/>
                <w:szCs w:val="16"/>
                <w:lang w:eastAsia="es-ES"/>
              </w:rPr>
              <w:t>Jiménez</w:t>
            </w:r>
          </w:p>
          <w:p w14:paraId="3B314DC0" w14:textId="77777777" w:rsidR="00205079" w:rsidRPr="00205079" w:rsidRDefault="00205079" w:rsidP="00205079">
            <w:pPr>
              <w:spacing w:line="276" w:lineRule="auto"/>
              <w:rPr>
                <w:rFonts w:ascii="Arial" w:eastAsia="Times New Roman" w:hAnsi="Arial" w:cs="Arial"/>
                <w:sz w:val="16"/>
                <w:szCs w:val="16"/>
                <w:lang w:eastAsia="es-ES"/>
              </w:rPr>
            </w:pPr>
            <w:r w:rsidRPr="00205079">
              <w:rPr>
                <w:rFonts w:ascii="Arial" w:eastAsia="Times New Roman" w:hAnsi="Arial" w:cs="Arial"/>
                <w:sz w:val="16"/>
                <w:szCs w:val="16"/>
                <w:lang w:eastAsia="es-ES"/>
              </w:rPr>
              <w:t xml:space="preserve">Contratista de la Subdirección de Gestión Contractual </w:t>
            </w:r>
          </w:p>
        </w:tc>
      </w:tr>
      <w:tr w:rsidR="00205079" w:rsidRPr="00205079" w14:paraId="6E2E528E" w14:textId="77777777" w:rsidTr="007D1C37">
        <w:trPr>
          <w:trHeight w:val="277"/>
        </w:trPr>
        <w:tc>
          <w:tcPr>
            <w:tcW w:w="1266" w:type="dxa"/>
            <w:vAlign w:val="center"/>
            <w:hideMark/>
          </w:tcPr>
          <w:p w14:paraId="7A8FDD55" w14:textId="77777777" w:rsidR="00205079" w:rsidRPr="00205079" w:rsidRDefault="00205079" w:rsidP="00205079">
            <w:pPr>
              <w:spacing w:line="276" w:lineRule="auto"/>
              <w:rPr>
                <w:rFonts w:ascii="Arial" w:eastAsia="Times New Roman" w:hAnsi="Arial" w:cs="Arial"/>
                <w:sz w:val="16"/>
                <w:szCs w:val="16"/>
                <w:lang w:eastAsia="es-ES"/>
              </w:rPr>
            </w:pPr>
            <w:r w:rsidRPr="00205079">
              <w:rPr>
                <w:rFonts w:ascii="Arial" w:eastAsia="Times New Roman" w:hAnsi="Arial" w:cs="Arial"/>
                <w:sz w:val="16"/>
                <w:szCs w:val="16"/>
                <w:lang w:eastAsia="es-ES"/>
              </w:rPr>
              <w:t>Aprobó:</w:t>
            </w:r>
          </w:p>
        </w:tc>
        <w:tc>
          <w:tcPr>
            <w:tcW w:w="5276" w:type="dxa"/>
            <w:tcBorders>
              <w:top w:val="dotted" w:sz="4" w:space="0" w:color="7F7F7F"/>
              <w:left w:val="nil"/>
              <w:bottom w:val="dotted" w:sz="4" w:space="0" w:color="7F7F7F"/>
              <w:right w:val="nil"/>
            </w:tcBorders>
            <w:vAlign w:val="center"/>
            <w:hideMark/>
          </w:tcPr>
          <w:p w14:paraId="7C2B0747" w14:textId="77777777" w:rsidR="00205079" w:rsidRPr="00205079" w:rsidRDefault="00205079" w:rsidP="00205079">
            <w:pPr>
              <w:spacing w:line="276" w:lineRule="auto"/>
              <w:rPr>
                <w:rFonts w:ascii="Arial" w:eastAsia="Times New Roman" w:hAnsi="Arial" w:cs="Arial"/>
                <w:sz w:val="16"/>
                <w:szCs w:val="16"/>
                <w:lang w:eastAsia="es-ES"/>
              </w:rPr>
            </w:pPr>
            <w:r w:rsidRPr="00205079">
              <w:rPr>
                <w:rFonts w:ascii="Arial" w:eastAsia="Times New Roman" w:hAnsi="Arial" w:cs="Arial"/>
                <w:sz w:val="16"/>
                <w:szCs w:val="16"/>
                <w:lang w:eastAsia="es-ES"/>
              </w:rPr>
              <w:t>Nohelia del Carmen Zawady Palacio</w:t>
            </w:r>
          </w:p>
          <w:p w14:paraId="19C3234F" w14:textId="77777777" w:rsidR="00205079" w:rsidRPr="00205079" w:rsidRDefault="00205079" w:rsidP="00205079">
            <w:pPr>
              <w:spacing w:line="276" w:lineRule="auto"/>
              <w:rPr>
                <w:rFonts w:ascii="Arial" w:eastAsia="Times New Roman" w:hAnsi="Arial" w:cs="Arial"/>
                <w:sz w:val="16"/>
                <w:szCs w:val="16"/>
                <w:lang w:eastAsia="es-ES"/>
              </w:rPr>
            </w:pPr>
            <w:r w:rsidRPr="00205079">
              <w:rPr>
                <w:rFonts w:ascii="Arial" w:eastAsia="Times New Roman" w:hAnsi="Arial" w:cs="Arial"/>
                <w:sz w:val="16"/>
                <w:szCs w:val="16"/>
                <w:lang w:eastAsia="es-ES"/>
              </w:rPr>
              <w:t>Subdirectora de Gestión Contractual ANCP – CCE</w:t>
            </w:r>
          </w:p>
        </w:tc>
      </w:tr>
    </w:tbl>
    <w:p w14:paraId="445AF486" w14:textId="77777777" w:rsidR="001A48D0" w:rsidRPr="00205079" w:rsidRDefault="001A48D0" w:rsidP="001A48D0">
      <w:pPr>
        <w:spacing w:after="0" w:line="240" w:lineRule="auto"/>
        <w:rPr>
          <w:rFonts w:ascii="Geomanist Light" w:hAnsi="Geomanist Light"/>
          <w:b/>
          <w:color w:val="404040" w:themeColor="text1" w:themeTint="BF"/>
          <w:sz w:val="20"/>
          <w:szCs w:val="21"/>
        </w:rPr>
      </w:pPr>
    </w:p>
    <w:p w14:paraId="70639100" w14:textId="77777777" w:rsidR="001A48D0" w:rsidRDefault="001A48D0" w:rsidP="001A48D0">
      <w:pPr>
        <w:spacing w:after="0" w:line="240" w:lineRule="auto"/>
        <w:rPr>
          <w:rFonts w:ascii="Geomanist Light" w:hAnsi="Geomanist Light"/>
          <w:b/>
          <w:color w:val="404040" w:themeColor="text1" w:themeTint="BF"/>
          <w:lang w:val="es-ES"/>
        </w:rPr>
      </w:pPr>
    </w:p>
    <w:p w14:paraId="31D419DD" w14:textId="30F0F96B" w:rsidR="001A1011" w:rsidRDefault="001A1011" w:rsidP="006219F8">
      <w:pPr>
        <w:spacing w:after="0" w:line="240" w:lineRule="auto"/>
        <w:rPr>
          <w:rFonts w:ascii="Geomanist Light" w:hAnsi="Geomanist Light"/>
          <w:b/>
          <w:color w:val="404040" w:themeColor="text1" w:themeTint="BF"/>
          <w:lang w:val="es-ES"/>
        </w:rPr>
      </w:pPr>
    </w:p>
    <w:p w14:paraId="279D5850" w14:textId="5A51B1C1" w:rsidR="001A1011" w:rsidRDefault="001A1011" w:rsidP="006219F8">
      <w:pPr>
        <w:spacing w:after="0" w:line="240" w:lineRule="auto"/>
        <w:rPr>
          <w:rFonts w:ascii="Geomanist Light" w:hAnsi="Geomanist Light"/>
          <w:b/>
          <w:color w:val="404040" w:themeColor="text1" w:themeTint="BF"/>
          <w:lang w:val="es-ES"/>
        </w:rPr>
      </w:pPr>
    </w:p>
    <w:p w14:paraId="0B1D17E7" w14:textId="762AA3C6" w:rsidR="001A1011" w:rsidRDefault="001A1011" w:rsidP="006219F8">
      <w:pPr>
        <w:spacing w:after="0" w:line="240" w:lineRule="auto"/>
        <w:rPr>
          <w:rFonts w:ascii="Geomanist Light" w:hAnsi="Geomanist Light"/>
          <w:b/>
          <w:color w:val="404040" w:themeColor="text1" w:themeTint="BF"/>
          <w:lang w:val="es-ES"/>
        </w:rPr>
      </w:pPr>
    </w:p>
    <w:bookmarkEnd w:id="0"/>
    <w:p w14:paraId="0F293BF4" w14:textId="0F6FB6C1" w:rsidR="00127233" w:rsidRPr="006219F8" w:rsidRDefault="00127233">
      <w:pPr>
        <w:rPr>
          <w:lang w:val="es-MX"/>
        </w:rPr>
      </w:pPr>
    </w:p>
    <w:sectPr w:rsidR="00127233" w:rsidRPr="006219F8" w:rsidSect="0039439C">
      <w:headerReference w:type="default" r:id="rId13"/>
      <w:footerReference w:type="default" r:id="rId14"/>
      <w:pgSz w:w="12240" w:h="15840" w:code="1"/>
      <w:pgMar w:top="1418" w:right="1418" w:bottom="1418" w:left="1418" w:header="850" w:footer="397" w:gutter="0"/>
      <w:pgBorders w:offsetFrom="page">
        <w:top w:val="dotted" w:sz="4" w:space="24" w:color="auto"/>
        <w:left w:val="dotted" w:sz="4" w:space="24" w:color="auto"/>
        <w:bottom w:val="dotted" w:sz="4" w:space="24" w:color="auto"/>
        <w:right w:val="dotted" w:sz="4" w:space="24" w:color="auto"/>
      </w:pgBorders>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405F7D5" w14:textId="77777777" w:rsidR="00732201" w:rsidRDefault="00732201" w:rsidP="004A1847">
      <w:pPr>
        <w:spacing w:after="0" w:line="240" w:lineRule="auto"/>
      </w:pPr>
      <w:r>
        <w:separator/>
      </w:r>
    </w:p>
  </w:endnote>
  <w:endnote w:type="continuationSeparator" w:id="0">
    <w:p w14:paraId="257EBA19" w14:textId="77777777" w:rsidR="00732201" w:rsidRDefault="00732201" w:rsidP="004A1847">
      <w:pPr>
        <w:spacing w:after="0" w:line="240" w:lineRule="auto"/>
      </w:pPr>
      <w:r>
        <w:continuationSeparator/>
      </w:r>
    </w:p>
  </w:endnote>
  <w:endnote w:type="continuationNotice" w:id="1">
    <w:p w14:paraId="2C5D1420" w14:textId="77777777" w:rsidR="00732201" w:rsidRDefault="00732201">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Geomanist Light">
    <w:altName w:val="Calibri"/>
    <w:panose1 w:val="02000503000000020004"/>
    <w:charset w:val="00"/>
    <w:family w:val="modern"/>
    <w:notTrueType/>
    <w:pitch w:val="variable"/>
    <w:sig w:usb0="A000002F" w:usb1="1000004A" w:usb2="00000000" w:usb3="00000000" w:csb0="00000193" w:csb1="00000000"/>
  </w:font>
  <w:font w:name="Geomanist">
    <w:altName w:val="Calibri"/>
    <w:panose1 w:val="02000503000000020004"/>
    <w:charset w:val="00"/>
    <w:family w:val="modern"/>
    <w:notTrueType/>
    <w:pitch w:val="variable"/>
    <w:sig w:usb0="A000002F" w:usb1="1000004A" w:usb2="00000000" w:usb3="00000000" w:csb0="00000193" w:csb1="00000000"/>
  </w:font>
  <w:font w:name="Arial MT">
    <w:altName w:val="Arial"/>
    <w:charset w:val="01"/>
    <w:family w:val="swiss"/>
    <w:pitch w:val="variable"/>
  </w:font>
  <w:font w:name="Batang">
    <w:altName w:val="바탕"/>
    <w:panose1 w:val="02030600000101010101"/>
    <w:charset w:val="81"/>
    <w:family w:val="roman"/>
    <w:pitch w:val="variable"/>
    <w:sig w:usb0="B00002AF" w:usb1="69D77CFB" w:usb2="00000030" w:usb3="00000000" w:csb0="0008009F" w:csb1="00000000"/>
  </w:font>
  <w:font w:name="Arial Nova">
    <w:altName w:val="Arial Nova"/>
    <w:charset w:val="00"/>
    <w:family w:val="swiss"/>
    <w:pitch w:val="variable"/>
    <w:sig w:usb0="0000028F" w:usb1="00000002" w:usb2="00000000" w:usb3="00000000" w:csb0="0000019F" w:csb1="00000000"/>
  </w:font>
  <w:font w:name="Geo">
    <w:altName w:val="Calibri"/>
    <w:charset w:val="00"/>
    <w:family w:val="auto"/>
    <w:pitch w:val="variable"/>
    <w:sig w:usb0="8000002F" w:usb1="40000048" w:usb2="00000000" w:usb3="00000000" w:csb0="00000001" w:csb1="00000000"/>
  </w:font>
  <w:font w:name="Geomanist Bold">
    <w:altName w:val="Calibri"/>
    <w:panose1 w:val="02000503000000020004"/>
    <w:charset w:val="00"/>
    <w:family w:val="modern"/>
    <w:notTrueType/>
    <w:pitch w:val="variable"/>
    <w:sig w:usb0="A000002F" w:usb1="1000004A" w:usb2="00000000" w:usb3="00000000" w:csb0="00000193"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8911A32" w14:textId="460CCDF7" w:rsidR="004A1847" w:rsidRDefault="004A1847" w:rsidP="008614E5">
    <w:pPr>
      <w:pStyle w:val="Piedepgina"/>
    </w:pPr>
    <w:r>
      <w:rPr>
        <w:noProof/>
      </w:rPr>
      <w:drawing>
        <wp:inline distT="0" distB="0" distL="0" distR="0" wp14:anchorId="1F77499E" wp14:editId="160C643E">
          <wp:extent cx="5742143" cy="892175"/>
          <wp:effectExtent l="0" t="0" r="0" b="3175"/>
          <wp:docPr id="4" name="Imagen 4" descr="Interfaz de usuario gráfica, Texto, Correo electrónic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gen 4" descr="Interfaz de usuario gráfica, Texto, Correo electrónico&#10;&#10;Descripción generada automáticamente"/>
                  <pic:cNvPicPr/>
                </pic:nvPicPr>
                <pic:blipFill>
                  <a:blip r:embed="rId1">
                    <a:extLst>
                      <a:ext uri="{28A0092B-C50C-407E-A947-70E740481C1C}">
                        <a14:useLocalDpi xmlns:a14="http://schemas.microsoft.com/office/drawing/2010/main" val="0"/>
                      </a:ext>
                    </a:extLst>
                  </a:blip>
                  <a:stretch>
                    <a:fillRect/>
                  </a:stretch>
                </pic:blipFill>
                <pic:spPr>
                  <a:xfrm>
                    <a:off x="0" y="0"/>
                    <a:ext cx="5792894" cy="900060"/>
                  </a:xfrm>
                  <a:prstGeom prst="rect">
                    <a:avLst/>
                  </a:prstGeom>
                </pic:spPr>
              </pic:pic>
            </a:graphicData>
          </a:graphic>
        </wp:inline>
      </w:drawing>
    </w:r>
  </w:p>
  <w:tbl>
    <w:tblPr>
      <w:tblStyle w:val="Tablaconcuadrcula"/>
      <w:tblW w:w="9209"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38"/>
      <w:gridCol w:w="678"/>
      <w:gridCol w:w="844"/>
      <w:gridCol w:w="1784"/>
      <w:gridCol w:w="720"/>
      <w:gridCol w:w="2818"/>
      <w:gridCol w:w="1527"/>
    </w:tblGrid>
    <w:tr w:rsidR="008614E5" w:rsidRPr="00080DA3" w14:paraId="0534DA7F" w14:textId="77777777" w:rsidTr="00A07532">
      <w:trPr>
        <w:trHeight w:val="198"/>
        <w:jc w:val="center"/>
      </w:trPr>
      <w:tc>
        <w:tcPr>
          <w:tcW w:w="838" w:type="dxa"/>
          <w:tcBorders>
            <w:top w:val="dotted" w:sz="4" w:space="0" w:color="808080" w:themeColor="background1" w:themeShade="80"/>
            <w:left w:val="dotted" w:sz="4" w:space="0" w:color="808080" w:themeColor="background1" w:themeShade="80"/>
            <w:bottom w:val="dotted" w:sz="4" w:space="0" w:color="808080" w:themeColor="background1" w:themeShade="80"/>
          </w:tcBorders>
          <w:shd w:val="clear" w:color="auto" w:fill="auto"/>
        </w:tcPr>
        <w:p w14:paraId="4B28DD0E" w14:textId="403BB573" w:rsidR="006219F8" w:rsidRPr="00080DA3" w:rsidRDefault="006219F8" w:rsidP="00A07532">
          <w:pPr>
            <w:pStyle w:val="Piedepgina"/>
            <w:jc w:val="center"/>
            <w:rPr>
              <w:rFonts w:ascii="Geomanist Light" w:hAnsi="Geomanist Light"/>
              <w:sz w:val="18"/>
              <w:szCs w:val="18"/>
            </w:rPr>
          </w:pPr>
          <w:r w:rsidRPr="00080DA3">
            <w:rPr>
              <w:rFonts w:ascii="Geomanist Light" w:hAnsi="Geomanist Light"/>
              <w:sz w:val="18"/>
              <w:szCs w:val="18"/>
            </w:rPr>
            <w:t>Versión:</w:t>
          </w:r>
        </w:p>
      </w:tc>
      <w:tc>
        <w:tcPr>
          <w:tcW w:w="678" w:type="dxa"/>
          <w:tcBorders>
            <w:top w:val="dotted" w:sz="4" w:space="0" w:color="808080" w:themeColor="background1" w:themeShade="80"/>
            <w:bottom w:val="dotted" w:sz="4" w:space="0" w:color="808080" w:themeColor="background1" w:themeShade="80"/>
            <w:right w:val="dotted" w:sz="4" w:space="0" w:color="808080" w:themeColor="background1" w:themeShade="80"/>
          </w:tcBorders>
          <w:shd w:val="clear" w:color="auto" w:fill="auto"/>
        </w:tcPr>
        <w:p w14:paraId="79B52F09" w14:textId="22188FC9" w:rsidR="006219F8" w:rsidRPr="00080DA3" w:rsidRDefault="006219F8" w:rsidP="00A07532">
          <w:pPr>
            <w:pStyle w:val="Piedepgina"/>
            <w:jc w:val="center"/>
            <w:rPr>
              <w:rFonts w:ascii="Geomanist Light" w:hAnsi="Geomanist Light"/>
              <w:sz w:val="18"/>
              <w:szCs w:val="18"/>
            </w:rPr>
          </w:pPr>
          <w:r w:rsidRPr="00080DA3">
            <w:rPr>
              <w:rFonts w:ascii="Geomanist Light" w:hAnsi="Geomanist Light"/>
              <w:sz w:val="18"/>
              <w:szCs w:val="18"/>
            </w:rPr>
            <w:t>0</w:t>
          </w:r>
          <w:r w:rsidR="00C9405D">
            <w:rPr>
              <w:rFonts w:ascii="Geomanist Light" w:hAnsi="Geomanist Light"/>
              <w:sz w:val="18"/>
              <w:szCs w:val="18"/>
            </w:rPr>
            <w:t>2</w:t>
          </w:r>
        </w:p>
      </w:tc>
      <w:tc>
        <w:tcPr>
          <w:tcW w:w="844" w:type="dxa"/>
          <w:tcBorders>
            <w:top w:val="dotted" w:sz="4" w:space="0" w:color="808080" w:themeColor="background1" w:themeShade="80"/>
            <w:left w:val="dotted" w:sz="4" w:space="0" w:color="808080" w:themeColor="background1" w:themeShade="80"/>
            <w:bottom w:val="dotted" w:sz="4" w:space="0" w:color="808080" w:themeColor="background1" w:themeShade="80"/>
          </w:tcBorders>
          <w:shd w:val="clear" w:color="auto" w:fill="auto"/>
        </w:tcPr>
        <w:p w14:paraId="36DA5B04" w14:textId="372D5633" w:rsidR="006219F8" w:rsidRPr="00080DA3" w:rsidRDefault="006219F8" w:rsidP="00A07532">
          <w:pPr>
            <w:pStyle w:val="Piedepgina"/>
            <w:jc w:val="center"/>
            <w:rPr>
              <w:rFonts w:ascii="Geomanist Light" w:hAnsi="Geomanist Light"/>
              <w:sz w:val="18"/>
              <w:szCs w:val="18"/>
            </w:rPr>
          </w:pPr>
          <w:r w:rsidRPr="00080DA3">
            <w:rPr>
              <w:rFonts w:ascii="Geomanist Light" w:hAnsi="Geomanist Light"/>
              <w:sz w:val="18"/>
              <w:szCs w:val="18"/>
            </w:rPr>
            <w:t>Código:</w:t>
          </w:r>
        </w:p>
      </w:tc>
      <w:tc>
        <w:tcPr>
          <w:tcW w:w="1784" w:type="dxa"/>
          <w:tcBorders>
            <w:top w:val="dotted" w:sz="4" w:space="0" w:color="808080" w:themeColor="background1" w:themeShade="80"/>
            <w:bottom w:val="dotted" w:sz="4" w:space="0" w:color="808080" w:themeColor="background1" w:themeShade="80"/>
            <w:right w:val="dotted" w:sz="4" w:space="0" w:color="808080" w:themeColor="background1" w:themeShade="80"/>
          </w:tcBorders>
          <w:shd w:val="clear" w:color="auto" w:fill="auto"/>
          <w:vAlign w:val="center"/>
        </w:tcPr>
        <w:p w14:paraId="71E26DE9" w14:textId="227155A8" w:rsidR="006219F8" w:rsidRPr="004B6B0E" w:rsidRDefault="00906B3C" w:rsidP="00A07532">
          <w:pPr>
            <w:pBdr>
              <w:top w:val="nil"/>
              <w:left w:val="nil"/>
              <w:bottom w:val="nil"/>
              <w:right w:val="nil"/>
              <w:between w:val="nil"/>
            </w:pBdr>
            <w:tabs>
              <w:tab w:val="center" w:pos="4419"/>
              <w:tab w:val="right" w:pos="8838"/>
              <w:tab w:val="center" w:pos="5400"/>
            </w:tabs>
            <w:jc w:val="center"/>
            <w:rPr>
              <w:rFonts w:ascii="Geomanist Bold" w:eastAsia="Geo" w:hAnsi="Geomanist Bold" w:cs="Geo"/>
              <w:b/>
              <w:color w:val="002060"/>
              <w:lang w:eastAsia="es-CO"/>
            </w:rPr>
          </w:pPr>
          <w:r w:rsidRPr="0000650B">
            <w:rPr>
              <w:rFonts w:ascii="Geomanist Light" w:eastAsia="Geo" w:hAnsi="Geomanist Light" w:cs="Geo"/>
              <w:b/>
              <w:color w:val="000000"/>
              <w:sz w:val="18"/>
              <w:szCs w:val="18"/>
              <w:lang w:eastAsia="es-CO"/>
            </w:rPr>
            <w:t>CCE-</w:t>
          </w:r>
          <w:r>
            <w:rPr>
              <w:rFonts w:ascii="Geomanist Light" w:eastAsia="Geo" w:hAnsi="Geomanist Light" w:cs="Geo"/>
              <w:b/>
              <w:color w:val="000000"/>
              <w:sz w:val="18"/>
              <w:szCs w:val="18"/>
              <w:lang w:eastAsia="es-CO"/>
            </w:rPr>
            <w:t>PQRSD</w:t>
          </w:r>
          <w:r w:rsidRPr="0000650B">
            <w:rPr>
              <w:rFonts w:ascii="Geomanist Light" w:eastAsia="Geo" w:hAnsi="Geomanist Light" w:cs="Geo"/>
              <w:b/>
              <w:color w:val="000000"/>
              <w:sz w:val="18"/>
              <w:szCs w:val="18"/>
              <w:lang w:eastAsia="es-CO"/>
            </w:rPr>
            <w:t>-</w:t>
          </w:r>
          <w:r>
            <w:rPr>
              <w:rFonts w:ascii="Geomanist Light" w:eastAsia="Geo" w:hAnsi="Geomanist Light" w:cs="Geo"/>
              <w:b/>
              <w:color w:val="000000"/>
              <w:sz w:val="18"/>
              <w:szCs w:val="18"/>
              <w:lang w:eastAsia="es-CO"/>
            </w:rPr>
            <w:t>FM</w:t>
          </w:r>
          <w:r w:rsidRPr="0000650B">
            <w:rPr>
              <w:rFonts w:ascii="Geomanist Light" w:eastAsia="Geo" w:hAnsi="Geomanist Light" w:cs="Geo"/>
              <w:b/>
              <w:color w:val="000000"/>
              <w:sz w:val="18"/>
              <w:szCs w:val="18"/>
              <w:lang w:eastAsia="es-CO"/>
            </w:rPr>
            <w:t>-</w:t>
          </w:r>
          <w:r>
            <w:rPr>
              <w:rFonts w:ascii="Geomanist Light" w:eastAsia="Geo" w:hAnsi="Geomanist Light" w:cs="Geo"/>
              <w:b/>
              <w:color w:val="000000"/>
              <w:sz w:val="18"/>
              <w:szCs w:val="18"/>
              <w:lang w:eastAsia="es-CO"/>
            </w:rPr>
            <w:t>0</w:t>
          </w:r>
          <w:r w:rsidR="004B6B0E">
            <w:rPr>
              <w:rFonts w:ascii="Geomanist Light" w:eastAsia="Geo" w:hAnsi="Geomanist Light" w:cs="Geo"/>
              <w:b/>
              <w:color w:val="000000"/>
              <w:sz w:val="18"/>
              <w:szCs w:val="18"/>
              <w:lang w:eastAsia="es-CO"/>
            </w:rPr>
            <w:t>8</w:t>
          </w:r>
        </w:p>
      </w:tc>
      <w:tc>
        <w:tcPr>
          <w:tcW w:w="720" w:type="dxa"/>
          <w:tcBorders>
            <w:top w:val="dotted" w:sz="4" w:space="0" w:color="808080" w:themeColor="background1" w:themeShade="80"/>
            <w:left w:val="dotted" w:sz="4" w:space="0" w:color="808080" w:themeColor="background1" w:themeShade="80"/>
            <w:bottom w:val="dotted" w:sz="4" w:space="0" w:color="808080" w:themeColor="background1" w:themeShade="80"/>
          </w:tcBorders>
          <w:shd w:val="clear" w:color="auto" w:fill="auto"/>
        </w:tcPr>
        <w:p w14:paraId="169F6C19" w14:textId="77777777" w:rsidR="006219F8" w:rsidRPr="00080DA3" w:rsidRDefault="006219F8" w:rsidP="00A07532">
          <w:pPr>
            <w:pStyle w:val="Piedepgina"/>
            <w:jc w:val="center"/>
            <w:rPr>
              <w:rFonts w:ascii="Geomanist Light" w:hAnsi="Geomanist Light"/>
              <w:sz w:val="18"/>
              <w:szCs w:val="18"/>
            </w:rPr>
          </w:pPr>
          <w:r w:rsidRPr="00080DA3">
            <w:rPr>
              <w:rFonts w:ascii="Geomanist Light" w:hAnsi="Geomanist Light"/>
              <w:sz w:val="18"/>
              <w:szCs w:val="18"/>
            </w:rPr>
            <w:t>Fecha:</w:t>
          </w:r>
        </w:p>
      </w:tc>
      <w:tc>
        <w:tcPr>
          <w:tcW w:w="2818" w:type="dxa"/>
          <w:tcBorders>
            <w:top w:val="dotted" w:sz="4" w:space="0" w:color="808080" w:themeColor="background1" w:themeShade="80"/>
            <w:bottom w:val="dotted" w:sz="4" w:space="0" w:color="808080" w:themeColor="background1" w:themeShade="80"/>
            <w:right w:val="dotted" w:sz="4" w:space="0" w:color="808080" w:themeColor="background1" w:themeShade="80"/>
          </w:tcBorders>
          <w:shd w:val="clear" w:color="auto" w:fill="auto"/>
        </w:tcPr>
        <w:p w14:paraId="7D02B6A6" w14:textId="04459FA8" w:rsidR="00A07532" w:rsidRPr="00080DA3" w:rsidRDefault="00906B3C" w:rsidP="00A07532">
          <w:pPr>
            <w:pStyle w:val="Piedepgina"/>
            <w:jc w:val="center"/>
            <w:rPr>
              <w:rFonts w:ascii="Geomanist Light" w:hAnsi="Geomanist Light"/>
              <w:sz w:val="18"/>
              <w:szCs w:val="18"/>
            </w:rPr>
          </w:pPr>
          <w:r>
            <w:rPr>
              <w:rFonts w:ascii="Geomanist Light" w:hAnsi="Geomanist Light"/>
              <w:sz w:val="18"/>
              <w:szCs w:val="18"/>
            </w:rPr>
            <w:t>2</w:t>
          </w:r>
          <w:r w:rsidR="00C9405D">
            <w:rPr>
              <w:rFonts w:ascii="Geomanist Light" w:hAnsi="Geomanist Light"/>
              <w:sz w:val="18"/>
              <w:szCs w:val="18"/>
            </w:rPr>
            <w:t>8</w:t>
          </w:r>
          <w:r w:rsidR="006219F8" w:rsidRPr="00080DA3">
            <w:rPr>
              <w:rFonts w:ascii="Geomanist Light" w:hAnsi="Geomanist Light"/>
              <w:sz w:val="18"/>
              <w:szCs w:val="18"/>
            </w:rPr>
            <w:t xml:space="preserve"> de </w:t>
          </w:r>
          <w:r w:rsidR="00C9405D">
            <w:rPr>
              <w:rFonts w:ascii="Geomanist Light" w:hAnsi="Geomanist Light"/>
              <w:sz w:val="18"/>
              <w:szCs w:val="18"/>
            </w:rPr>
            <w:t>septiembre</w:t>
          </w:r>
          <w:r w:rsidR="006219F8" w:rsidRPr="00080DA3">
            <w:rPr>
              <w:rFonts w:ascii="Geomanist Light" w:hAnsi="Geomanist Light"/>
              <w:sz w:val="18"/>
              <w:szCs w:val="18"/>
            </w:rPr>
            <w:t xml:space="preserve"> de 202</w:t>
          </w:r>
          <w:r w:rsidR="000A683E">
            <w:rPr>
              <w:rFonts w:ascii="Geomanist Light" w:hAnsi="Geomanist Light"/>
              <w:sz w:val="18"/>
              <w:szCs w:val="18"/>
            </w:rPr>
            <w:t>2</w:t>
          </w:r>
        </w:p>
      </w:tc>
      <w:tc>
        <w:tcPr>
          <w:tcW w:w="1527" w:type="dxa"/>
          <w:tcBorders>
            <w:top w:val="dotted" w:sz="4" w:space="0" w:color="808080" w:themeColor="background1" w:themeShade="80"/>
            <w:left w:val="dotted" w:sz="4" w:space="0" w:color="808080" w:themeColor="background1" w:themeShade="80"/>
            <w:bottom w:val="dotted" w:sz="4" w:space="0" w:color="808080" w:themeColor="background1" w:themeShade="80"/>
            <w:right w:val="dotted" w:sz="4" w:space="0" w:color="808080" w:themeColor="background1" w:themeShade="80"/>
          </w:tcBorders>
          <w:shd w:val="clear" w:color="auto" w:fill="auto"/>
        </w:tcPr>
        <w:p w14:paraId="6C25E7A7" w14:textId="74CFB824" w:rsidR="006219F8" w:rsidRPr="00080DA3" w:rsidRDefault="006219F8" w:rsidP="00A07532">
          <w:pPr>
            <w:pStyle w:val="Piedepgina"/>
            <w:jc w:val="center"/>
            <w:rPr>
              <w:rFonts w:ascii="Geomanist Light" w:hAnsi="Geomanist Light"/>
              <w:sz w:val="18"/>
              <w:szCs w:val="18"/>
            </w:rPr>
          </w:pPr>
          <w:r w:rsidRPr="00080DA3">
            <w:rPr>
              <w:rFonts w:ascii="Geomanist Light" w:hAnsi="Geomanist Light"/>
              <w:sz w:val="18"/>
              <w:szCs w:val="18"/>
            </w:rPr>
            <w:t xml:space="preserve">Página </w:t>
          </w:r>
          <w:r w:rsidRPr="00080DA3">
            <w:rPr>
              <w:rFonts w:ascii="Geomanist Light" w:hAnsi="Geomanist Light"/>
              <w:b/>
              <w:bCs/>
              <w:sz w:val="18"/>
              <w:szCs w:val="18"/>
            </w:rPr>
            <w:fldChar w:fldCharType="begin"/>
          </w:r>
          <w:r w:rsidRPr="00080DA3">
            <w:rPr>
              <w:rFonts w:ascii="Geomanist Light" w:hAnsi="Geomanist Light"/>
              <w:b/>
              <w:bCs/>
              <w:sz w:val="18"/>
              <w:szCs w:val="18"/>
            </w:rPr>
            <w:instrText>PAGE  \* Arabic  \* MERGEFORMAT</w:instrText>
          </w:r>
          <w:r w:rsidRPr="00080DA3">
            <w:rPr>
              <w:rFonts w:ascii="Geomanist Light" w:hAnsi="Geomanist Light"/>
              <w:b/>
              <w:bCs/>
              <w:sz w:val="18"/>
              <w:szCs w:val="18"/>
            </w:rPr>
            <w:fldChar w:fldCharType="separate"/>
          </w:r>
          <w:r w:rsidRPr="00080DA3">
            <w:rPr>
              <w:rFonts w:ascii="Geomanist Light" w:hAnsi="Geomanist Light"/>
              <w:b/>
              <w:bCs/>
              <w:sz w:val="18"/>
              <w:szCs w:val="18"/>
            </w:rPr>
            <w:t>1</w:t>
          </w:r>
          <w:r w:rsidRPr="00080DA3">
            <w:rPr>
              <w:rFonts w:ascii="Geomanist Light" w:hAnsi="Geomanist Light"/>
              <w:b/>
              <w:bCs/>
              <w:sz w:val="18"/>
              <w:szCs w:val="18"/>
            </w:rPr>
            <w:fldChar w:fldCharType="end"/>
          </w:r>
          <w:r w:rsidRPr="00080DA3">
            <w:rPr>
              <w:rFonts w:ascii="Geomanist Light" w:hAnsi="Geomanist Light"/>
              <w:sz w:val="18"/>
              <w:szCs w:val="18"/>
            </w:rPr>
            <w:t xml:space="preserve"> de </w:t>
          </w:r>
          <w:r w:rsidRPr="00080DA3">
            <w:rPr>
              <w:rFonts w:ascii="Geomanist Light" w:hAnsi="Geomanist Light"/>
              <w:b/>
              <w:bCs/>
              <w:sz w:val="18"/>
              <w:szCs w:val="18"/>
            </w:rPr>
            <w:fldChar w:fldCharType="begin"/>
          </w:r>
          <w:r w:rsidRPr="00080DA3">
            <w:rPr>
              <w:rFonts w:ascii="Geomanist Light" w:hAnsi="Geomanist Light"/>
              <w:b/>
              <w:bCs/>
              <w:sz w:val="18"/>
              <w:szCs w:val="18"/>
            </w:rPr>
            <w:instrText>NUMPAGES  \* Arabic  \* MERGEFORMAT</w:instrText>
          </w:r>
          <w:r w:rsidRPr="00080DA3">
            <w:rPr>
              <w:rFonts w:ascii="Geomanist Light" w:hAnsi="Geomanist Light"/>
              <w:b/>
              <w:bCs/>
              <w:sz w:val="18"/>
              <w:szCs w:val="18"/>
            </w:rPr>
            <w:fldChar w:fldCharType="separate"/>
          </w:r>
          <w:r w:rsidRPr="00080DA3">
            <w:rPr>
              <w:rFonts w:ascii="Geomanist Light" w:hAnsi="Geomanist Light"/>
              <w:b/>
              <w:bCs/>
              <w:sz w:val="18"/>
              <w:szCs w:val="18"/>
            </w:rPr>
            <w:t>2</w:t>
          </w:r>
          <w:r w:rsidRPr="00080DA3">
            <w:rPr>
              <w:rFonts w:ascii="Geomanist Light" w:hAnsi="Geomanist Light"/>
              <w:b/>
              <w:bCs/>
              <w:sz w:val="18"/>
              <w:szCs w:val="18"/>
            </w:rPr>
            <w:fldChar w:fldCharType="end"/>
          </w:r>
        </w:p>
      </w:tc>
    </w:tr>
  </w:tbl>
  <w:p w14:paraId="744661F5" w14:textId="77777777" w:rsidR="006219F8" w:rsidRDefault="006219F8" w:rsidP="00A07532">
    <w:pPr>
      <w:pStyle w:val="Piedepgina"/>
      <w:jc w:val="cen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07B6395" w14:textId="77777777" w:rsidR="00732201" w:rsidRDefault="00732201" w:rsidP="004A1847">
      <w:pPr>
        <w:spacing w:after="0" w:line="240" w:lineRule="auto"/>
      </w:pPr>
      <w:r>
        <w:separator/>
      </w:r>
    </w:p>
  </w:footnote>
  <w:footnote w:type="continuationSeparator" w:id="0">
    <w:p w14:paraId="43CD64B7" w14:textId="77777777" w:rsidR="00732201" w:rsidRDefault="00732201" w:rsidP="004A1847">
      <w:pPr>
        <w:spacing w:after="0" w:line="240" w:lineRule="auto"/>
      </w:pPr>
      <w:r>
        <w:continuationSeparator/>
      </w:r>
    </w:p>
  </w:footnote>
  <w:footnote w:type="continuationNotice" w:id="1">
    <w:p w14:paraId="7074F398" w14:textId="77777777" w:rsidR="00732201" w:rsidRDefault="00732201">
      <w:pPr>
        <w:spacing w:after="0" w:line="240" w:lineRule="auto"/>
      </w:pPr>
    </w:p>
  </w:footnote>
  <w:footnote w:id="2">
    <w:p w14:paraId="71451843" w14:textId="77777777" w:rsidR="00205079" w:rsidRPr="00AF2438" w:rsidRDefault="00205079" w:rsidP="00205079">
      <w:pPr>
        <w:pStyle w:val="Textonotapie"/>
        <w:ind w:firstLine="708"/>
        <w:jc w:val="both"/>
        <w:rPr>
          <w:rFonts w:ascii="Arial" w:hAnsi="Arial" w:cs="Arial"/>
          <w:sz w:val="19"/>
          <w:szCs w:val="19"/>
          <w:lang w:val="es-ES"/>
        </w:rPr>
      </w:pPr>
      <w:r w:rsidRPr="00AF2438">
        <w:rPr>
          <w:rStyle w:val="Refdenotaalpie"/>
          <w:rFonts w:ascii="Arial" w:hAnsi="Arial" w:cs="Arial"/>
          <w:sz w:val="19"/>
          <w:szCs w:val="19"/>
        </w:rPr>
        <w:footnoteRef/>
      </w:r>
      <w:r w:rsidRPr="00AF2438">
        <w:rPr>
          <w:rFonts w:ascii="Arial" w:hAnsi="Arial" w:cs="Arial"/>
          <w:sz w:val="19"/>
          <w:szCs w:val="19"/>
        </w:rPr>
        <w:t xml:space="preserve"> En este sentido, el Decreto Ley 4170 de 2011 dispone que «Artículo 3°. La Agencia Nacional de Contratación Pública –Colombia Compra Eficiente– ejercerá las siguientes funciones: </w:t>
      </w:r>
    </w:p>
    <w:p w14:paraId="02C0B7E8" w14:textId="77777777" w:rsidR="00205079" w:rsidRPr="00AF2438" w:rsidRDefault="00205079" w:rsidP="00205079">
      <w:pPr>
        <w:pStyle w:val="Textonotapie"/>
        <w:ind w:firstLine="708"/>
        <w:jc w:val="both"/>
        <w:rPr>
          <w:rFonts w:ascii="Arial" w:hAnsi="Arial" w:cs="Arial"/>
          <w:sz w:val="19"/>
          <w:szCs w:val="19"/>
          <w:lang w:val="es-ES"/>
        </w:rPr>
      </w:pPr>
      <w:r w:rsidRPr="00AF2438">
        <w:rPr>
          <w:rFonts w:ascii="Arial" w:hAnsi="Arial" w:cs="Arial"/>
          <w:sz w:val="19"/>
          <w:szCs w:val="19"/>
          <w:lang w:val="es-ES"/>
        </w:rPr>
        <w:t>[…]</w:t>
      </w:r>
    </w:p>
    <w:p w14:paraId="365BF29C" w14:textId="77777777" w:rsidR="00205079" w:rsidRPr="00AF2438" w:rsidRDefault="00205079" w:rsidP="00205079">
      <w:pPr>
        <w:pStyle w:val="Textonotapie"/>
        <w:ind w:firstLine="708"/>
        <w:jc w:val="both"/>
        <w:rPr>
          <w:rFonts w:ascii="Arial" w:hAnsi="Arial" w:cs="Arial"/>
          <w:sz w:val="19"/>
          <w:szCs w:val="19"/>
          <w:lang w:val="es-ES"/>
        </w:rPr>
      </w:pPr>
      <w:r w:rsidRPr="00AF2438">
        <w:rPr>
          <w:rFonts w:ascii="Arial" w:hAnsi="Arial" w:cs="Arial"/>
          <w:sz w:val="19"/>
          <w:szCs w:val="19"/>
          <w:lang w:val="es-ES"/>
        </w:rPr>
        <w:t>»5. Absolver consultas sobre la aplicación de normas de carácter general y expedir circulares externas en materia de compras y contratación pública.</w:t>
      </w:r>
    </w:p>
    <w:p w14:paraId="00770E6A" w14:textId="77777777" w:rsidR="00205079" w:rsidRPr="00AF2438" w:rsidRDefault="00205079" w:rsidP="00205079">
      <w:pPr>
        <w:pStyle w:val="Textonotapie"/>
        <w:ind w:firstLine="708"/>
        <w:jc w:val="both"/>
        <w:rPr>
          <w:rFonts w:ascii="Arial" w:hAnsi="Arial" w:cs="Arial"/>
          <w:sz w:val="19"/>
          <w:szCs w:val="19"/>
          <w:lang w:val="es-ES"/>
        </w:rPr>
      </w:pPr>
      <w:r w:rsidRPr="00AF2438">
        <w:rPr>
          <w:rFonts w:ascii="Arial" w:hAnsi="Arial" w:cs="Arial"/>
          <w:sz w:val="19"/>
          <w:szCs w:val="19"/>
          <w:lang w:val="es-ES"/>
        </w:rPr>
        <w:t>[…]</w:t>
      </w:r>
    </w:p>
    <w:p w14:paraId="7270A46A" w14:textId="77777777" w:rsidR="00205079" w:rsidRPr="00AF2438" w:rsidRDefault="00205079" w:rsidP="00205079">
      <w:pPr>
        <w:pStyle w:val="Textonotapie"/>
        <w:ind w:firstLine="708"/>
        <w:jc w:val="both"/>
        <w:rPr>
          <w:rFonts w:ascii="Arial" w:hAnsi="Arial" w:cs="Arial"/>
          <w:sz w:val="19"/>
          <w:szCs w:val="19"/>
          <w:lang w:val="es-ES"/>
        </w:rPr>
      </w:pPr>
      <w:r w:rsidRPr="00AF2438">
        <w:rPr>
          <w:rFonts w:ascii="Arial" w:hAnsi="Arial" w:cs="Arial"/>
          <w:sz w:val="19"/>
          <w:szCs w:val="19"/>
          <w:lang w:val="es-ES"/>
        </w:rPr>
        <w:t>»Artículo 11. Son funciones de la Subdirección de Gestión Contractual las siguientes:</w:t>
      </w:r>
    </w:p>
    <w:p w14:paraId="66606148" w14:textId="77777777" w:rsidR="00205079" w:rsidRPr="00AF2438" w:rsidRDefault="00205079" w:rsidP="00205079">
      <w:pPr>
        <w:pStyle w:val="Textonotapie"/>
        <w:ind w:firstLine="708"/>
        <w:jc w:val="both"/>
        <w:rPr>
          <w:rFonts w:ascii="Arial" w:hAnsi="Arial" w:cs="Arial"/>
          <w:sz w:val="19"/>
          <w:szCs w:val="19"/>
          <w:lang w:val="es-ES"/>
        </w:rPr>
      </w:pPr>
      <w:r w:rsidRPr="00AF2438">
        <w:rPr>
          <w:rFonts w:ascii="Arial" w:hAnsi="Arial" w:cs="Arial"/>
          <w:sz w:val="19"/>
          <w:szCs w:val="19"/>
          <w:lang w:val="es-ES"/>
        </w:rPr>
        <w:t>[...]</w:t>
      </w:r>
    </w:p>
    <w:p w14:paraId="1A80E665" w14:textId="77777777" w:rsidR="00205079" w:rsidRPr="00AF2438" w:rsidRDefault="00205079" w:rsidP="00205079">
      <w:pPr>
        <w:pStyle w:val="Textonotapie"/>
        <w:ind w:firstLine="708"/>
        <w:jc w:val="both"/>
        <w:rPr>
          <w:rFonts w:ascii="Arial" w:hAnsi="Arial" w:cs="Arial"/>
          <w:sz w:val="19"/>
          <w:szCs w:val="19"/>
          <w:lang w:val="es-ES"/>
        </w:rPr>
      </w:pPr>
      <w:r w:rsidRPr="00AF2438">
        <w:rPr>
          <w:rFonts w:ascii="Arial" w:hAnsi="Arial" w:cs="Arial"/>
          <w:sz w:val="19"/>
          <w:szCs w:val="19"/>
          <w:lang w:val="es-ES"/>
        </w:rPr>
        <w:t>»8. Absolver consultas sobre la aplicación de normas de carácter general».</w:t>
      </w:r>
    </w:p>
    <w:p w14:paraId="5E135EFF" w14:textId="77777777" w:rsidR="00205079" w:rsidRPr="00AF2438" w:rsidRDefault="00205079" w:rsidP="00205079">
      <w:pPr>
        <w:pStyle w:val="Textonotapie"/>
        <w:ind w:firstLine="708"/>
        <w:jc w:val="both"/>
        <w:rPr>
          <w:rFonts w:ascii="Arial" w:hAnsi="Arial" w:cs="Arial"/>
          <w:sz w:val="19"/>
          <w:szCs w:val="19"/>
          <w:lang w:val="es-ES"/>
        </w:rPr>
      </w:pPr>
    </w:p>
  </w:footnote>
  <w:footnote w:id="3">
    <w:p w14:paraId="28304038" w14:textId="77777777" w:rsidR="00205079" w:rsidRDefault="00205079" w:rsidP="00205079">
      <w:pPr>
        <w:pStyle w:val="Textonotapie"/>
        <w:ind w:firstLine="709"/>
        <w:rPr>
          <w:rFonts w:ascii="Arial" w:hAnsi="Arial" w:cs="Arial"/>
          <w:sz w:val="18"/>
          <w:szCs w:val="18"/>
          <w:lang w:val="es-CO"/>
        </w:rPr>
      </w:pPr>
      <w:r w:rsidRPr="006B1575">
        <w:rPr>
          <w:rStyle w:val="Refdenotaalpie"/>
          <w:rFonts w:ascii="Arial" w:hAnsi="Arial" w:cs="Arial"/>
          <w:sz w:val="18"/>
          <w:szCs w:val="18"/>
        </w:rPr>
        <w:footnoteRef/>
      </w:r>
      <w:r w:rsidRPr="006B1575">
        <w:rPr>
          <w:rFonts w:ascii="Arial" w:hAnsi="Arial" w:cs="Arial"/>
          <w:sz w:val="18"/>
          <w:szCs w:val="18"/>
        </w:rPr>
        <w:t xml:space="preserve"> </w:t>
      </w:r>
      <w:r w:rsidRPr="006B1575">
        <w:rPr>
          <w:rFonts w:ascii="Arial" w:hAnsi="Arial" w:cs="Arial"/>
          <w:sz w:val="18"/>
          <w:szCs w:val="18"/>
          <w:lang w:val="es-CO"/>
        </w:rPr>
        <w:t>Estos conceptos pueden ser consultados en</w:t>
      </w:r>
      <w:r>
        <w:rPr>
          <w:rFonts w:ascii="Arial" w:hAnsi="Arial" w:cs="Arial"/>
          <w:sz w:val="18"/>
          <w:szCs w:val="18"/>
          <w:lang w:val="es-CO"/>
        </w:rPr>
        <w:t xml:space="preserve">: </w:t>
      </w:r>
      <w:hyperlink r:id="rId1" w:history="1">
        <w:r w:rsidRPr="006B1575">
          <w:rPr>
            <w:rStyle w:val="Hipervnculo"/>
            <w:sz w:val="18"/>
            <w:szCs w:val="18"/>
          </w:rPr>
          <w:t>https://relatoria.colombiacompra.gov.co/busqueda/conceptos#</w:t>
        </w:r>
      </w:hyperlink>
    </w:p>
    <w:p w14:paraId="5E1C672E" w14:textId="77777777" w:rsidR="00205079" w:rsidRPr="006B1575" w:rsidRDefault="00205079" w:rsidP="00205079">
      <w:pPr>
        <w:pStyle w:val="Textonotapie"/>
        <w:ind w:firstLine="709"/>
        <w:rPr>
          <w:rFonts w:ascii="Arial" w:hAnsi="Arial" w:cs="Arial"/>
          <w:sz w:val="18"/>
          <w:szCs w:val="18"/>
          <w:lang w:val="es-CO"/>
        </w:rPr>
      </w:pPr>
    </w:p>
  </w:footnote>
  <w:footnote w:id="4">
    <w:p w14:paraId="02AF2A74" w14:textId="77777777" w:rsidR="00205079" w:rsidRPr="004D7944" w:rsidRDefault="00205079" w:rsidP="00205079">
      <w:pPr>
        <w:pStyle w:val="Textonotapie"/>
        <w:ind w:firstLine="708"/>
        <w:jc w:val="both"/>
        <w:rPr>
          <w:rFonts w:ascii="Arial" w:hAnsi="Arial" w:cs="Arial"/>
          <w:sz w:val="19"/>
          <w:szCs w:val="19"/>
          <w:lang w:val="es-ES"/>
        </w:rPr>
      </w:pPr>
      <w:r w:rsidRPr="00205753">
        <w:rPr>
          <w:rStyle w:val="Refdenotaalpie"/>
          <w:rFonts w:ascii="Arial" w:hAnsi="Arial" w:cs="Arial"/>
          <w:sz w:val="19"/>
          <w:szCs w:val="19"/>
        </w:rPr>
        <w:footnoteRef/>
      </w:r>
      <w:r w:rsidRPr="00205753">
        <w:rPr>
          <w:rFonts w:ascii="Arial" w:hAnsi="Arial" w:cs="Arial"/>
          <w:sz w:val="19"/>
          <w:szCs w:val="19"/>
        </w:rPr>
        <w:t xml:space="preserve"> </w:t>
      </w:r>
      <w:r w:rsidRPr="004D7944">
        <w:rPr>
          <w:rFonts w:ascii="Arial" w:hAnsi="Arial" w:cs="Arial"/>
          <w:sz w:val="19"/>
          <w:szCs w:val="19"/>
        </w:rPr>
        <w:t>El artículo 74 de la Ley 1474 prescribe: «</w:t>
      </w:r>
      <w:r w:rsidRPr="004D7944">
        <w:rPr>
          <w:rFonts w:ascii="Arial" w:hAnsi="Arial" w:cs="Arial"/>
          <w:sz w:val="19"/>
          <w:szCs w:val="19"/>
          <w:lang w:val="es-ES"/>
        </w:rPr>
        <w:t xml:space="preserve">A partir de la vigencia de la presente ley, </w:t>
      </w:r>
      <w:r w:rsidRPr="00416308">
        <w:rPr>
          <w:rFonts w:ascii="Arial" w:hAnsi="Arial" w:cs="Arial"/>
          <w:sz w:val="19"/>
          <w:szCs w:val="19"/>
          <w:lang w:val="es-ES"/>
        </w:rPr>
        <w:t>todas las entidades del Estado</w:t>
      </w:r>
      <w:r w:rsidRPr="004D7944">
        <w:rPr>
          <w:rFonts w:ascii="Arial" w:hAnsi="Arial" w:cs="Arial"/>
          <w:sz w:val="19"/>
          <w:szCs w:val="19"/>
          <w:lang w:val="es-ES"/>
        </w:rPr>
        <w:t xml:space="preserve"> a más tardar el 31 de enero de cada año, deberán publicar en su respectiva página web el Plan de Acción para el año siguiente, en el cual se especificarán los objetivos, las estrategias, los proyectos, las metas, los responsables, los planes generales de compras y la distribución presupuestal de sus proyectos de inversión junto a los indicadores de gestión.</w:t>
      </w:r>
    </w:p>
    <w:p w14:paraId="14FC5658" w14:textId="77777777" w:rsidR="00205079" w:rsidRPr="004D7944" w:rsidRDefault="00205079" w:rsidP="00205079">
      <w:pPr>
        <w:pStyle w:val="Textonotapie"/>
        <w:ind w:firstLine="708"/>
        <w:jc w:val="both"/>
        <w:rPr>
          <w:rFonts w:ascii="Arial" w:hAnsi="Arial" w:cs="Arial"/>
          <w:sz w:val="19"/>
          <w:szCs w:val="19"/>
          <w:lang w:val="es-ES"/>
        </w:rPr>
      </w:pPr>
      <w:r w:rsidRPr="004D7944">
        <w:rPr>
          <w:rFonts w:ascii="Arial" w:hAnsi="Arial" w:cs="Arial"/>
          <w:sz w:val="19"/>
          <w:szCs w:val="19"/>
          <w:lang w:val="es-ES"/>
        </w:rPr>
        <w:t>»A partir del año siguiente, el Plan de Acción deberá estar acompañado del informe de gestión del año inmediatamente anterior.</w:t>
      </w:r>
    </w:p>
    <w:p w14:paraId="2F893C46" w14:textId="77777777" w:rsidR="00205079" w:rsidRPr="004D7944" w:rsidRDefault="00205079" w:rsidP="00205079">
      <w:pPr>
        <w:pStyle w:val="Textonotapie"/>
        <w:ind w:firstLine="708"/>
        <w:jc w:val="both"/>
        <w:rPr>
          <w:rFonts w:ascii="Arial" w:hAnsi="Arial" w:cs="Arial"/>
          <w:sz w:val="19"/>
          <w:szCs w:val="19"/>
          <w:lang w:val="es-ES"/>
        </w:rPr>
      </w:pPr>
      <w:r w:rsidRPr="004D7944">
        <w:rPr>
          <w:rFonts w:ascii="Arial" w:hAnsi="Arial" w:cs="Arial"/>
          <w:sz w:val="19"/>
          <w:szCs w:val="19"/>
          <w:lang w:val="es-ES"/>
        </w:rPr>
        <w:t>»Igualmente publicarán por dicho medio su presupuesto debidamente desagregado, así como las modificaciones a este o a su desagregación.</w:t>
      </w:r>
      <w:r w:rsidRPr="004D7944">
        <w:rPr>
          <w:rFonts w:ascii="Arial" w:hAnsi="Arial" w:cs="Arial"/>
          <w:sz w:val="19"/>
          <w:szCs w:val="19"/>
          <w:lang w:val="es-ES"/>
        </w:rPr>
        <w:tab/>
      </w:r>
    </w:p>
    <w:p w14:paraId="3EDA0CCA" w14:textId="77777777" w:rsidR="00205079" w:rsidRPr="004D7944" w:rsidRDefault="00205079" w:rsidP="00205079">
      <w:pPr>
        <w:pStyle w:val="Textonotapie"/>
        <w:ind w:firstLine="708"/>
        <w:jc w:val="both"/>
        <w:rPr>
          <w:rFonts w:ascii="Arial" w:hAnsi="Arial" w:cs="Arial"/>
          <w:sz w:val="19"/>
          <w:szCs w:val="19"/>
          <w:lang w:val="es-ES"/>
        </w:rPr>
      </w:pPr>
      <w:r w:rsidRPr="00416308">
        <w:rPr>
          <w:rFonts w:ascii="Arial" w:hAnsi="Arial" w:cs="Arial"/>
          <w:sz w:val="19"/>
          <w:szCs w:val="19"/>
          <w:lang w:val="es-ES"/>
        </w:rPr>
        <w:t>»Parágrafo.</w:t>
      </w:r>
      <w:r w:rsidRPr="004D7944">
        <w:rPr>
          <w:rFonts w:ascii="Arial" w:hAnsi="Arial" w:cs="Arial"/>
          <w:sz w:val="19"/>
          <w:szCs w:val="19"/>
          <w:lang w:val="es-ES"/>
        </w:rPr>
        <w:t> Las empresas industriales y comerciales del Estado y las Sociedades de Economía Mixta estarán exentas de publicar la información relacionada con sus proyectos de inversión».</w:t>
      </w:r>
    </w:p>
    <w:p w14:paraId="4E298689" w14:textId="77777777" w:rsidR="00205079" w:rsidRPr="004D7944" w:rsidRDefault="00205079" w:rsidP="00205079">
      <w:pPr>
        <w:pStyle w:val="Textonotapie"/>
        <w:ind w:firstLine="708"/>
        <w:jc w:val="both"/>
        <w:rPr>
          <w:rFonts w:ascii="Arial" w:hAnsi="Arial" w:cs="Arial"/>
          <w:sz w:val="19"/>
          <w:szCs w:val="19"/>
          <w:lang w:val="es-ES"/>
        </w:rPr>
      </w:pPr>
      <w:r w:rsidRPr="004D7944">
        <w:rPr>
          <w:rFonts w:ascii="Arial" w:hAnsi="Arial" w:cs="Arial"/>
          <w:sz w:val="19"/>
          <w:szCs w:val="19"/>
          <w:lang w:val="es-ES"/>
        </w:rPr>
        <w:t xml:space="preserve"> </w:t>
      </w:r>
    </w:p>
  </w:footnote>
  <w:footnote w:id="5">
    <w:p w14:paraId="2A1B17DA" w14:textId="77777777" w:rsidR="00205079" w:rsidRPr="00C46ADC" w:rsidRDefault="00205079" w:rsidP="00205079">
      <w:pPr>
        <w:pStyle w:val="Textonotapie"/>
        <w:ind w:firstLine="709"/>
        <w:jc w:val="both"/>
        <w:rPr>
          <w:rFonts w:ascii="Arial" w:hAnsi="Arial" w:cs="Arial"/>
          <w:color w:val="000000"/>
          <w:sz w:val="19"/>
          <w:szCs w:val="19"/>
          <w:shd w:val="clear" w:color="auto" w:fill="FFFFFF"/>
        </w:rPr>
      </w:pPr>
      <w:r w:rsidRPr="00C46ADC">
        <w:rPr>
          <w:rStyle w:val="Refdenotaalpie"/>
          <w:rFonts w:ascii="Arial" w:hAnsi="Arial" w:cs="Arial"/>
          <w:color w:val="000000"/>
          <w:sz w:val="19"/>
          <w:szCs w:val="19"/>
        </w:rPr>
        <w:footnoteRef/>
      </w:r>
      <w:r w:rsidRPr="00C46ADC">
        <w:rPr>
          <w:rFonts w:ascii="Arial" w:hAnsi="Arial" w:cs="Arial"/>
          <w:color w:val="000000"/>
          <w:sz w:val="19"/>
          <w:szCs w:val="19"/>
        </w:rPr>
        <w:t xml:space="preserve"> </w:t>
      </w:r>
      <w:r w:rsidRPr="00B97084">
        <w:rPr>
          <w:rFonts w:ascii="Arial" w:hAnsi="Arial" w:cs="Arial"/>
          <w:b/>
          <w:color w:val="000000"/>
          <w:sz w:val="19"/>
          <w:szCs w:val="19"/>
        </w:rPr>
        <w:t>«</w:t>
      </w:r>
      <w:r w:rsidRPr="00B97084">
        <w:rPr>
          <w:rStyle w:val="Textoennegrita"/>
          <w:rFonts w:ascii="Arial" w:hAnsi="Arial" w:cs="Arial"/>
          <w:color w:val="000000"/>
          <w:sz w:val="19"/>
          <w:szCs w:val="19"/>
          <w:shd w:val="clear" w:color="auto" w:fill="FFFFFF"/>
        </w:rPr>
        <w:t>Artículo 2.2.1.1.1.3.1</w:t>
      </w:r>
      <w:r w:rsidRPr="00C46ADC">
        <w:rPr>
          <w:rStyle w:val="Textoennegrita"/>
          <w:rFonts w:ascii="Arial" w:hAnsi="Arial" w:cs="Arial"/>
          <w:color w:val="000000"/>
          <w:sz w:val="19"/>
          <w:szCs w:val="19"/>
          <w:shd w:val="clear" w:color="auto" w:fill="FFFFFF"/>
        </w:rPr>
        <w:t>. </w:t>
      </w:r>
      <w:r w:rsidRPr="00C46ADC">
        <w:rPr>
          <w:rStyle w:val="nfasis"/>
          <w:rFonts w:ascii="Arial" w:hAnsi="Arial" w:cs="Arial"/>
          <w:color w:val="000000"/>
          <w:sz w:val="19"/>
          <w:szCs w:val="19"/>
          <w:shd w:val="clear" w:color="auto" w:fill="FFFFFF"/>
        </w:rPr>
        <w:t>Definiciones. </w:t>
      </w:r>
      <w:r w:rsidRPr="00C46ADC">
        <w:rPr>
          <w:rFonts w:ascii="Arial" w:hAnsi="Arial" w:cs="Arial"/>
          <w:color w:val="000000"/>
          <w:sz w:val="19"/>
          <w:szCs w:val="19"/>
          <w:shd w:val="clear" w:color="auto" w:fill="FFFFFF"/>
        </w:rPr>
        <w:t>Los términos no definidos en el Título I de la Parte 2 del presente decreto y utilizados frecuentemente deben entenderse de acuerdo con su significado natural y obvio. Para la interpretación del presente Título I, las expresiones aquí utilizadas con mayúscula inicial deben ser entendidas con el significado que a continuación se indica. Los términos definidos son utilizados en singular y en plural de acuerdo como lo requiera el contexto en el cual son utilizados.</w:t>
      </w:r>
    </w:p>
    <w:p w14:paraId="6C6ED71E" w14:textId="77777777" w:rsidR="00205079" w:rsidRPr="00C46ADC" w:rsidRDefault="00205079" w:rsidP="00205079">
      <w:pPr>
        <w:pStyle w:val="Textonotapie"/>
        <w:ind w:firstLine="709"/>
        <w:jc w:val="both"/>
        <w:rPr>
          <w:rFonts w:ascii="Arial" w:hAnsi="Arial" w:cs="Arial"/>
          <w:color w:val="000000"/>
          <w:sz w:val="19"/>
          <w:szCs w:val="19"/>
          <w:shd w:val="clear" w:color="auto" w:fill="FFFFFF"/>
        </w:rPr>
      </w:pPr>
      <w:r w:rsidRPr="00C46ADC">
        <w:rPr>
          <w:rFonts w:ascii="Arial" w:hAnsi="Arial" w:cs="Arial"/>
          <w:color w:val="000000"/>
          <w:sz w:val="19"/>
          <w:szCs w:val="19"/>
          <w:shd w:val="clear" w:color="auto" w:fill="FFFFFF"/>
        </w:rPr>
        <w:t>[…]</w:t>
      </w:r>
    </w:p>
    <w:p w14:paraId="733F7A54" w14:textId="77777777" w:rsidR="00205079" w:rsidRPr="00C46ADC" w:rsidRDefault="00205079" w:rsidP="00205079">
      <w:pPr>
        <w:pStyle w:val="NormalWeb"/>
        <w:shd w:val="clear" w:color="auto" w:fill="FFFFFF"/>
        <w:spacing w:after="0"/>
        <w:ind w:firstLine="709"/>
        <w:jc w:val="both"/>
        <w:rPr>
          <w:rFonts w:ascii="Arial" w:hAnsi="Arial" w:cs="Arial"/>
          <w:color w:val="000000"/>
          <w:sz w:val="19"/>
          <w:szCs w:val="19"/>
        </w:rPr>
      </w:pPr>
      <w:r w:rsidRPr="00C46ADC">
        <w:rPr>
          <w:rStyle w:val="nfasis"/>
          <w:rFonts w:ascii="Arial" w:hAnsi="Arial" w:cs="Arial"/>
          <w:color w:val="000000"/>
          <w:sz w:val="19"/>
          <w:szCs w:val="19"/>
        </w:rPr>
        <w:t>»Plan Anual de Adquisiciones: </w:t>
      </w:r>
      <w:r w:rsidRPr="00C46ADC">
        <w:rPr>
          <w:rFonts w:ascii="Arial" w:hAnsi="Arial" w:cs="Arial"/>
          <w:color w:val="000000"/>
          <w:sz w:val="19"/>
          <w:szCs w:val="19"/>
        </w:rPr>
        <w:t>Plan general de compras al que se refiere el </w:t>
      </w:r>
      <w:hyperlink r:id="rId2" w:history="1">
        <w:r w:rsidRPr="00C46ADC">
          <w:rPr>
            <w:rStyle w:val="Hipervnculo"/>
            <w:rFonts w:ascii="Arial" w:hAnsi="Arial" w:cs="Arial"/>
            <w:color w:val="000000"/>
            <w:sz w:val="19"/>
            <w:szCs w:val="19"/>
          </w:rPr>
          <w:t>artículo 74 de la Ley 1474 de 2011</w:t>
        </w:r>
      </w:hyperlink>
      <w:r w:rsidRPr="00C46ADC">
        <w:rPr>
          <w:rFonts w:ascii="Arial" w:hAnsi="Arial" w:cs="Arial"/>
          <w:color w:val="000000"/>
          <w:sz w:val="19"/>
          <w:szCs w:val="19"/>
        </w:rPr>
        <w:t> y el plan de compras al que se refiere la Ley Anual de Presupuesto. Es un instrumento de planeación contractual que las Entidades Estatales deben diligenciar, publicar y actualizar en los términos del presente título».</w:t>
      </w:r>
    </w:p>
    <w:p w14:paraId="6544E006" w14:textId="77777777" w:rsidR="00205079" w:rsidRPr="00C46ADC" w:rsidRDefault="00205079" w:rsidP="00205079">
      <w:pPr>
        <w:pStyle w:val="NormalWeb"/>
        <w:shd w:val="clear" w:color="auto" w:fill="FFFFFF"/>
        <w:spacing w:after="0"/>
        <w:ind w:firstLine="709"/>
        <w:jc w:val="both"/>
        <w:rPr>
          <w:rFonts w:ascii="Arial" w:hAnsi="Arial" w:cs="Arial"/>
          <w:color w:val="000000"/>
          <w:sz w:val="19"/>
          <w:szCs w:val="19"/>
        </w:rPr>
      </w:pPr>
    </w:p>
  </w:footnote>
  <w:footnote w:id="6">
    <w:p w14:paraId="1E533B98" w14:textId="77777777" w:rsidR="00205079" w:rsidRPr="00C46ADC" w:rsidRDefault="00205079" w:rsidP="00205079">
      <w:pPr>
        <w:pStyle w:val="NormalWeb"/>
        <w:shd w:val="clear" w:color="auto" w:fill="FFFFFF"/>
        <w:spacing w:after="0"/>
        <w:ind w:firstLine="709"/>
        <w:jc w:val="both"/>
        <w:rPr>
          <w:rStyle w:val="nfasis"/>
          <w:rFonts w:ascii="Arial" w:hAnsi="Arial" w:cs="Arial"/>
          <w:i w:val="0"/>
          <w:iCs w:val="0"/>
          <w:color w:val="000000"/>
          <w:sz w:val="19"/>
          <w:szCs w:val="19"/>
        </w:rPr>
      </w:pPr>
      <w:r w:rsidRPr="00C46ADC">
        <w:rPr>
          <w:rStyle w:val="Refdenotaalpie"/>
          <w:rFonts w:ascii="Arial" w:hAnsi="Arial" w:cs="Arial"/>
          <w:color w:val="000000"/>
          <w:sz w:val="19"/>
          <w:szCs w:val="19"/>
        </w:rPr>
        <w:footnoteRef/>
      </w:r>
      <w:r w:rsidRPr="00C46ADC">
        <w:rPr>
          <w:rFonts w:ascii="Arial" w:hAnsi="Arial" w:cs="Arial"/>
          <w:color w:val="000000"/>
          <w:sz w:val="19"/>
          <w:szCs w:val="19"/>
        </w:rPr>
        <w:t xml:space="preserve"> </w:t>
      </w:r>
      <w:r w:rsidRPr="00C46ADC">
        <w:rPr>
          <w:rFonts w:ascii="Arial" w:hAnsi="Arial" w:cs="Arial"/>
          <w:b/>
          <w:color w:val="000000"/>
          <w:sz w:val="19"/>
          <w:szCs w:val="19"/>
        </w:rPr>
        <w:t>«</w:t>
      </w:r>
      <w:r w:rsidRPr="00C46ADC">
        <w:rPr>
          <w:rStyle w:val="nfasis"/>
          <w:rFonts w:ascii="Arial" w:hAnsi="Arial" w:cs="Arial"/>
          <w:color w:val="000000"/>
          <w:sz w:val="19"/>
          <w:szCs w:val="19"/>
        </w:rPr>
        <w:t>Todo sujeto obligado deberá publicar la siguiente información mínima obligatoria de manera proactiva en los sistemas de información del Estado o herramientas que lo sustituyan:</w:t>
      </w:r>
    </w:p>
    <w:p w14:paraId="7A2201E5" w14:textId="77777777" w:rsidR="00205079" w:rsidRPr="00C46ADC" w:rsidRDefault="00205079" w:rsidP="00205079">
      <w:pPr>
        <w:pStyle w:val="NormalWeb"/>
        <w:shd w:val="clear" w:color="auto" w:fill="FFFFFF"/>
        <w:spacing w:after="0"/>
        <w:ind w:firstLine="709"/>
        <w:jc w:val="both"/>
        <w:rPr>
          <w:rStyle w:val="nfasis"/>
          <w:rFonts w:ascii="Arial" w:hAnsi="Arial" w:cs="Arial"/>
          <w:i w:val="0"/>
          <w:iCs w:val="0"/>
          <w:color w:val="000000"/>
          <w:sz w:val="19"/>
          <w:szCs w:val="19"/>
        </w:rPr>
      </w:pPr>
      <w:r w:rsidRPr="00C46ADC">
        <w:rPr>
          <w:rStyle w:val="nfasis"/>
          <w:rFonts w:ascii="Arial" w:hAnsi="Arial" w:cs="Arial"/>
          <w:color w:val="000000"/>
          <w:sz w:val="19"/>
          <w:szCs w:val="19"/>
        </w:rPr>
        <w:t>[…]</w:t>
      </w:r>
    </w:p>
    <w:p w14:paraId="05AF9991" w14:textId="77777777" w:rsidR="00205079" w:rsidRPr="00C46ADC" w:rsidRDefault="00205079" w:rsidP="00205079">
      <w:pPr>
        <w:pStyle w:val="NormalWeb"/>
        <w:shd w:val="clear" w:color="auto" w:fill="FFFFFF"/>
        <w:spacing w:after="0"/>
        <w:ind w:firstLine="709"/>
        <w:jc w:val="both"/>
        <w:rPr>
          <w:rStyle w:val="nfasis"/>
          <w:rFonts w:ascii="Arial" w:hAnsi="Arial" w:cs="Arial"/>
          <w:i w:val="0"/>
          <w:iCs w:val="0"/>
          <w:color w:val="000000"/>
          <w:sz w:val="19"/>
          <w:szCs w:val="19"/>
        </w:rPr>
      </w:pPr>
      <w:r w:rsidRPr="00C46ADC">
        <w:rPr>
          <w:rStyle w:val="nfasis"/>
          <w:rFonts w:ascii="Arial" w:hAnsi="Arial" w:cs="Arial"/>
          <w:color w:val="000000"/>
          <w:sz w:val="19"/>
          <w:szCs w:val="19"/>
        </w:rPr>
        <w:t>»e) Su respectivo plan de compras anual, así como las contrataciones adjudicadas para la correspondiente vigencia en lo relacionado con funcionamiento e inversión, las obras públicas, los bienes adquiridos, arrendados y en caso de los servicios de estudios o investigaciones deberá señalarse el tema específico, de conformidad con el artículo 74 de la Ley 1474 de 2011. En el caso de las personas naturales con contratos de prestación de servicios, deberá publicarse el objeto del contrato, monto de los honorarios y direcciones de correo electrónico, de conformidad con el formato de información de servidores públicos y contratistas […]</w:t>
      </w:r>
      <w:r w:rsidRPr="00C46ADC">
        <w:rPr>
          <w:rFonts w:ascii="Arial" w:hAnsi="Arial" w:cs="Arial"/>
          <w:color w:val="000000"/>
          <w:sz w:val="19"/>
          <w:szCs w:val="19"/>
        </w:rPr>
        <w:t>»</w:t>
      </w:r>
      <w:r w:rsidRPr="00C46ADC">
        <w:rPr>
          <w:rStyle w:val="nfasis"/>
          <w:rFonts w:ascii="Arial" w:hAnsi="Arial" w:cs="Arial"/>
          <w:color w:val="000000"/>
          <w:sz w:val="19"/>
          <w:szCs w:val="19"/>
        </w:rPr>
        <w:t>.</w:t>
      </w:r>
    </w:p>
  </w:footnote>
  <w:footnote w:id="7">
    <w:p w14:paraId="0580DD19" w14:textId="77777777" w:rsidR="00205079" w:rsidRDefault="00205079" w:rsidP="00205079">
      <w:pPr>
        <w:pStyle w:val="Textonotapie"/>
        <w:ind w:firstLine="708"/>
        <w:jc w:val="both"/>
        <w:rPr>
          <w:rFonts w:ascii="Arial" w:hAnsi="Arial" w:cs="Arial"/>
          <w:sz w:val="19"/>
          <w:szCs w:val="19"/>
        </w:rPr>
      </w:pPr>
      <w:r w:rsidRPr="00205753">
        <w:rPr>
          <w:rStyle w:val="Refdenotaalpie"/>
          <w:rFonts w:ascii="Arial" w:hAnsi="Arial" w:cs="Arial"/>
          <w:sz w:val="19"/>
          <w:szCs w:val="19"/>
        </w:rPr>
        <w:footnoteRef/>
      </w:r>
      <w:r w:rsidRPr="00205753">
        <w:rPr>
          <w:rFonts w:ascii="Arial" w:hAnsi="Arial" w:cs="Arial"/>
          <w:sz w:val="19"/>
          <w:szCs w:val="19"/>
        </w:rPr>
        <w:t xml:space="preserve"> Decreto 1082 de 2015: «Artículo 2.2.1.1.1.4.3. Publicación del Plan Anual de Adquisiciones.</w:t>
      </w:r>
      <w:r w:rsidRPr="00205753">
        <w:rPr>
          <w:rFonts w:ascii="Arial" w:hAnsi="Arial" w:cs="Arial"/>
          <w:i/>
          <w:iCs/>
          <w:sz w:val="19"/>
          <w:szCs w:val="19"/>
        </w:rPr>
        <w:t> </w:t>
      </w:r>
      <w:r w:rsidRPr="00205753">
        <w:rPr>
          <w:rFonts w:ascii="Arial" w:hAnsi="Arial" w:cs="Arial"/>
          <w:sz w:val="19"/>
          <w:szCs w:val="19"/>
        </w:rPr>
        <w:t>La Entidad Estatal debe publicar su Plan Anual de Adquisiciones y las actualizaciones del mismo en su página web y en el SECOP, en la forma que para el efecto disponga Colombia Compra Eficiente».</w:t>
      </w:r>
    </w:p>
    <w:p w14:paraId="3BAEC1C7" w14:textId="77777777" w:rsidR="00205079" w:rsidRPr="00205753" w:rsidRDefault="00205079" w:rsidP="00205079">
      <w:pPr>
        <w:pStyle w:val="Textonotapie"/>
        <w:ind w:firstLine="708"/>
        <w:jc w:val="both"/>
        <w:rPr>
          <w:rFonts w:ascii="Arial" w:hAnsi="Arial" w:cs="Arial"/>
          <w:sz w:val="19"/>
          <w:szCs w:val="19"/>
        </w:rPr>
      </w:pPr>
    </w:p>
  </w:footnote>
  <w:footnote w:id="8">
    <w:p w14:paraId="3A4CC3E3" w14:textId="77777777" w:rsidR="00205079" w:rsidRPr="00205753" w:rsidRDefault="00205079" w:rsidP="00205079">
      <w:pPr>
        <w:pStyle w:val="NormalWeb"/>
        <w:shd w:val="clear" w:color="auto" w:fill="FFFFFF"/>
        <w:spacing w:after="0"/>
        <w:ind w:firstLine="708"/>
        <w:jc w:val="both"/>
        <w:rPr>
          <w:rFonts w:ascii="Arial" w:hAnsi="Arial" w:cs="Arial"/>
          <w:sz w:val="19"/>
          <w:szCs w:val="19"/>
          <w:lang w:val="es-MX"/>
        </w:rPr>
      </w:pPr>
      <w:r w:rsidRPr="00205753">
        <w:rPr>
          <w:rStyle w:val="Refdenotaalpie"/>
          <w:rFonts w:ascii="Arial" w:hAnsi="Arial" w:cs="Arial"/>
          <w:sz w:val="19"/>
          <w:szCs w:val="19"/>
        </w:rPr>
        <w:footnoteRef/>
      </w:r>
      <w:r w:rsidRPr="00205753">
        <w:rPr>
          <w:rFonts w:ascii="Arial" w:hAnsi="Arial" w:cs="Arial"/>
          <w:sz w:val="19"/>
          <w:szCs w:val="19"/>
        </w:rPr>
        <w:t xml:space="preserve"> Decreto 1082 de 2015: </w:t>
      </w:r>
      <w:r w:rsidRPr="00205753">
        <w:rPr>
          <w:rFonts w:ascii="Arial" w:hAnsi="Arial" w:cs="Arial"/>
          <w:sz w:val="19"/>
          <w:szCs w:val="19"/>
          <w:lang w:val="es-MX"/>
        </w:rPr>
        <w:t>«Artículo 2.2.1.1.1.4.4. Actualización del Plan Anual de Adquisiciones. La Entidad Estatal debe actualizar el Plan Anual de Adquisiciones por lo menos una vez durante su vigencia, en la forma y la oportunidad que para el efecto disponga Colombia Compra Eficiente.</w:t>
      </w:r>
    </w:p>
    <w:p w14:paraId="2E03B814" w14:textId="77777777" w:rsidR="00205079" w:rsidRDefault="00205079" w:rsidP="00205079">
      <w:pPr>
        <w:pStyle w:val="NormalWeb"/>
        <w:shd w:val="clear" w:color="auto" w:fill="FFFFFF"/>
        <w:spacing w:after="0"/>
        <w:ind w:firstLine="708"/>
        <w:jc w:val="both"/>
        <w:rPr>
          <w:rFonts w:ascii="Arial" w:hAnsi="Arial" w:cs="Arial"/>
          <w:sz w:val="19"/>
          <w:szCs w:val="19"/>
          <w:lang w:val="es-MX"/>
        </w:rPr>
      </w:pPr>
      <w:r w:rsidRPr="00205753">
        <w:rPr>
          <w:rFonts w:ascii="Arial" w:hAnsi="Arial" w:cs="Arial"/>
          <w:sz w:val="19"/>
          <w:szCs w:val="19"/>
          <w:lang w:val="es-MX"/>
        </w:rPr>
        <w:t>»La Entidad Estatal debe actualizar el Plan Anual de Adquisiciones cuando: (i) haya ajustes en los cronogramas de adquisición, valores, modalidad de selección, origen de los recursos; (ii) para incluir nuevas obras, bienes y/o servicios; (iii) excluir obras, bienes y/o servicios; o (iv) modificar el presupuesto anual de adquisiciones».</w:t>
      </w:r>
    </w:p>
    <w:p w14:paraId="5FB99E39" w14:textId="77777777" w:rsidR="00205079" w:rsidRPr="000B0E61" w:rsidRDefault="00205079" w:rsidP="00205079">
      <w:pPr>
        <w:pStyle w:val="NormalWeb"/>
        <w:shd w:val="clear" w:color="auto" w:fill="FFFFFF"/>
        <w:spacing w:after="0"/>
        <w:ind w:firstLine="708"/>
        <w:jc w:val="both"/>
        <w:rPr>
          <w:rFonts w:ascii="Arial" w:hAnsi="Arial" w:cs="Arial"/>
          <w:sz w:val="19"/>
          <w:szCs w:val="19"/>
          <w:lang w:val="es-MX"/>
        </w:rPr>
      </w:pPr>
    </w:p>
  </w:footnote>
  <w:footnote w:id="9">
    <w:p w14:paraId="6EF7CB11" w14:textId="77777777" w:rsidR="00205079" w:rsidRPr="009A7EAF" w:rsidRDefault="00205079" w:rsidP="00205079">
      <w:pPr>
        <w:pStyle w:val="Textonotapie"/>
        <w:ind w:firstLine="708"/>
        <w:jc w:val="both"/>
        <w:rPr>
          <w:rFonts w:ascii="Arial" w:hAnsi="Arial" w:cs="Arial"/>
          <w:sz w:val="19"/>
          <w:szCs w:val="19"/>
          <w:lang w:val="es-CO"/>
        </w:rPr>
      </w:pPr>
      <w:r w:rsidRPr="009A7EAF">
        <w:rPr>
          <w:rStyle w:val="Refdenotaalpie"/>
          <w:rFonts w:ascii="Arial" w:hAnsi="Arial" w:cs="Arial"/>
          <w:sz w:val="19"/>
          <w:szCs w:val="19"/>
        </w:rPr>
        <w:footnoteRef/>
      </w:r>
      <w:r w:rsidRPr="009A7EAF">
        <w:rPr>
          <w:rFonts w:ascii="Arial" w:eastAsia="Calibri" w:hAnsi="Arial" w:cs="Arial"/>
          <w:sz w:val="19"/>
          <w:szCs w:val="19"/>
        </w:rPr>
        <w:t xml:space="preserve"> Agencia Nacional de Contratación Pública </w:t>
      </w:r>
      <w:r w:rsidRPr="009A7EAF">
        <w:rPr>
          <w:rFonts w:ascii="Arial" w:eastAsia="Calibri" w:hAnsi="Arial" w:cs="Arial"/>
          <w:b/>
          <w:sz w:val="19"/>
          <w:szCs w:val="19"/>
        </w:rPr>
        <w:t>―</w:t>
      </w:r>
      <w:r w:rsidRPr="009A7EAF">
        <w:rPr>
          <w:rFonts w:ascii="Arial" w:eastAsia="Calibri" w:hAnsi="Arial" w:cs="Arial"/>
          <w:sz w:val="19"/>
          <w:szCs w:val="19"/>
        </w:rPr>
        <w:t>Colombia Compra Eficiente</w:t>
      </w:r>
      <w:r w:rsidRPr="009A7EAF">
        <w:rPr>
          <w:rFonts w:ascii="Arial" w:hAnsi="Arial" w:cs="Arial"/>
          <w:sz w:val="19"/>
          <w:szCs w:val="19"/>
          <w:lang w:val="es-CO"/>
        </w:rPr>
        <w:t xml:space="preserve"> Guía para elaborar el plan anual de adquisiciones. Página 3.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E51F6A5" w14:textId="0DD925F5" w:rsidR="00906B3C" w:rsidRPr="007566FE" w:rsidRDefault="00906B3C" w:rsidP="008614E5">
    <w:pPr>
      <w:spacing w:after="0"/>
      <w:rPr>
        <w:rFonts w:ascii="Geomanist Light" w:hAnsi="Geomanist Light"/>
        <w:color w:val="002060"/>
        <w:sz w:val="16"/>
        <w:szCs w:val="16"/>
      </w:rPr>
    </w:pPr>
    <w:r w:rsidRPr="007566FE">
      <w:rPr>
        <w:rFonts w:ascii="Geomanist Light" w:eastAsia="Arial Nova" w:hAnsi="Geomanist Light" w:cs="Arial Nova"/>
        <w:noProof/>
        <w:sz w:val="16"/>
        <w:szCs w:val="16"/>
        <w:lang w:eastAsia="es-CO"/>
      </w:rPr>
      <w:drawing>
        <wp:anchor distT="0" distB="0" distL="0" distR="0" simplePos="0" relativeHeight="251658240" behindDoc="1" locked="0" layoutInCell="1" hidden="0" allowOverlap="1" wp14:anchorId="30C7B261" wp14:editId="79A0A4A2">
          <wp:simplePos x="0" y="0"/>
          <wp:positionH relativeFrom="margin">
            <wp:align>right</wp:align>
          </wp:positionH>
          <wp:positionV relativeFrom="paragraph">
            <wp:posOffset>-80564</wp:posOffset>
          </wp:positionV>
          <wp:extent cx="1657350" cy="676275"/>
          <wp:effectExtent l="0" t="0" r="0" b="9525"/>
          <wp:wrapNone/>
          <wp:docPr id="25" name="image3.png" descr="Icono&#10;&#10;Descripción generada automáticamente"/>
          <wp:cNvGraphicFramePr/>
          <a:graphic xmlns:a="http://schemas.openxmlformats.org/drawingml/2006/main">
            <a:graphicData uri="http://schemas.openxmlformats.org/drawingml/2006/picture">
              <pic:pic xmlns:pic="http://schemas.openxmlformats.org/drawingml/2006/picture">
                <pic:nvPicPr>
                  <pic:cNvPr id="0" name="image3.png" descr="Icono&#10;&#10;Descripción generada automáticamente"/>
                  <pic:cNvPicPr preferRelativeResize="0"/>
                </pic:nvPicPr>
                <pic:blipFill>
                  <a:blip r:embed="rId1"/>
                  <a:srcRect/>
                  <a:stretch>
                    <a:fillRect/>
                  </a:stretch>
                </pic:blipFill>
                <pic:spPr>
                  <a:xfrm>
                    <a:off x="0" y="0"/>
                    <a:ext cx="1657350" cy="676275"/>
                  </a:xfrm>
                  <a:prstGeom prst="rect">
                    <a:avLst/>
                  </a:prstGeom>
                  <a:ln/>
                </pic:spPr>
              </pic:pic>
            </a:graphicData>
          </a:graphic>
          <wp14:sizeRelH relativeFrom="margin">
            <wp14:pctWidth>0</wp14:pctWidth>
          </wp14:sizeRelH>
          <wp14:sizeRelV relativeFrom="margin">
            <wp14:pctHeight>0</wp14:pctHeight>
          </wp14:sizeRelV>
        </wp:anchor>
      </w:drawing>
    </w:r>
    <w:r w:rsidR="00B01ED6" w:rsidRPr="007566FE">
      <w:rPr>
        <w:rFonts w:ascii="Geomanist Light" w:hAnsi="Geomanist Light"/>
        <w:color w:val="002060"/>
        <w:sz w:val="16"/>
        <w:szCs w:val="16"/>
      </w:rPr>
      <w:t>FORMATO PQRSD</w:t>
    </w:r>
  </w:p>
  <w:p w14:paraId="077278A1" w14:textId="2CAB5B77" w:rsidR="007566FE" w:rsidRPr="007566FE" w:rsidRDefault="007566FE" w:rsidP="00793403">
    <w:pPr>
      <w:pBdr>
        <w:top w:val="nil"/>
        <w:left w:val="nil"/>
        <w:bottom w:val="nil"/>
        <w:right w:val="nil"/>
        <w:between w:val="nil"/>
      </w:pBdr>
      <w:tabs>
        <w:tab w:val="center" w:pos="4419"/>
        <w:tab w:val="right" w:pos="8838"/>
        <w:tab w:val="center" w:pos="5400"/>
      </w:tabs>
      <w:spacing w:after="0"/>
      <w:rPr>
        <w:rFonts w:ascii="Geomanist Light" w:eastAsia="Geo" w:hAnsi="Geomanist Light" w:cs="Geo"/>
        <w:b/>
        <w:color w:val="002060"/>
        <w:sz w:val="16"/>
        <w:szCs w:val="16"/>
        <w:lang w:eastAsia="es-CO"/>
      </w:rPr>
    </w:pPr>
    <w:r w:rsidRPr="007566FE">
      <w:rPr>
        <w:rFonts w:ascii="Geomanist Light" w:eastAsia="Geo" w:hAnsi="Geomanist Light" w:cs="Geo"/>
        <w:b/>
        <w:color w:val="000000"/>
        <w:sz w:val="16"/>
        <w:szCs w:val="16"/>
        <w:lang w:eastAsia="es-CO"/>
      </w:rPr>
      <w:t xml:space="preserve">Código: </w:t>
    </w:r>
    <w:r w:rsidRPr="007566FE">
      <w:rPr>
        <w:rFonts w:ascii="Geomanist Light" w:eastAsia="Geo" w:hAnsi="Geomanist Light" w:cs="Geo"/>
        <w:bCs/>
        <w:color w:val="000000"/>
        <w:sz w:val="16"/>
        <w:szCs w:val="16"/>
        <w:lang w:eastAsia="es-CO"/>
      </w:rPr>
      <w:t>CCE-PQRSD-FM-08</w:t>
    </w:r>
  </w:p>
  <w:p w14:paraId="74FC5262" w14:textId="51A6AFCE" w:rsidR="00793403" w:rsidRDefault="00793403" w:rsidP="008614E5">
    <w:pPr>
      <w:spacing w:after="0"/>
      <w:rPr>
        <w:rFonts w:ascii="Geomanist Light" w:eastAsia="Geo" w:hAnsi="Geomanist Light" w:cs="Geo"/>
        <w:sz w:val="16"/>
        <w:szCs w:val="16"/>
        <w:lang w:eastAsia="es-CO"/>
      </w:rPr>
    </w:pPr>
    <w:r w:rsidRPr="00367110">
      <w:rPr>
        <w:rFonts w:eastAsia="Arial Nova" w:cs="Arial Nova"/>
        <w:noProof/>
        <w:color w:val="000000"/>
        <w:lang w:eastAsia="es-CO"/>
      </w:rPr>
      <w:drawing>
        <wp:anchor distT="0" distB="0" distL="114300" distR="114300" simplePos="0" relativeHeight="251658241" behindDoc="1" locked="0" layoutInCell="1" allowOverlap="1" wp14:anchorId="0E3A0652" wp14:editId="21BFF5E2">
          <wp:simplePos x="0" y="0"/>
          <wp:positionH relativeFrom="margin">
            <wp:align>left</wp:align>
          </wp:positionH>
          <wp:positionV relativeFrom="paragraph">
            <wp:posOffset>141605</wp:posOffset>
          </wp:positionV>
          <wp:extent cx="3238500" cy="76200"/>
          <wp:effectExtent l="0" t="0" r="0" b="0"/>
          <wp:wrapNone/>
          <wp:docPr id="26"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2">
                    <a:extLst>
                      <a:ext uri="{28A0092B-C50C-407E-A947-70E740481C1C}">
                        <a14:useLocalDpi xmlns:a14="http://schemas.microsoft.com/office/drawing/2010/main" val="0"/>
                      </a:ext>
                    </a:extLst>
                  </a:blip>
                  <a:srcRect/>
                  <a:stretch>
                    <a:fillRect/>
                  </a:stretch>
                </pic:blipFill>
                <pic:spPr>
                  <a:xfrm>
                    <a:off x="0" y="0"/>
                    <a:ext cx="3238500" cy="76200"/>
                  </a:xfrm>
                  <a:prstGeom prst="rect">
                    <a:avLst/>
                  </a:prstGeom>
                  <a:ln/>
                </pic:spPr>
              </pic:pic>
            </a:graphicData>
          </a:graphic>
          <wp14:sizeRelH relativeFrom="margin">
            <wp14:pctWidth>0</wp14:pctWidth>
          </wp14:sizeRelH>
          <wp14:sizeRelV relativeFrom="margin">
            <wp14:pctHeight>0</wp14:pctHeight>
          </wp14:sizeRelV>
        </wp:anchor>
      </w:drawing>
    </w:r>
    <w:r w:rsidR="007566FE" w:rsidRPr="007566FE">
      <w:rPr>
        <w:rFonts w:ascii="Geomanist Light" w:eastAsia="Geo" w:hAnsi="Geomanist Light" w:cs="Geo"/>
        <w:b/>
        <w:color w:val="000000"/>
        <w:sz w:val="16"/>
        <w:szCs w:val="16"/>
        <w:lang w:eastAsia="es-CO"/>
      </w:rPr>
      <w:t>Versión</w:t>
    </w:r>
    <w:r w:rsidR="007566FE" w:rsidRPr="007566FE">
      <w:rPr>
        <w:rFonts w:ascii="Geomanist Light" w:eastAsia="Arial Nova" w:hAnsi="Geomanist Light" w:cs="Arial Nova"/>
        <w:b/>
        <w:color w:val="000000"/>
        <w:sz w:val="16"/>
        <w:szCs w:val="16"/>
        <w:lang w:eastAsia="es-CO"/>
      </w:rPr>
      <w:t xml:space="preserve">: </w:t>
    </w:r>
    <w:r w:rsidR="007566FE" w:rsidRPr="007566FE">
      <w:rPr>
        <w:rFonts w:ascii="Geomanist Light" w:eastAsia="Geo" w:hAnsi="Geomanist Light" w:cs="Geo"/>
        <w:sz w:val="16"/>
        <w:szCs w:val="16"/>
        <w:lang w:eastAsia="es-CO"/>
      </w:rPr>
      <w:t>0</w:t>
    </w:r>
    <w:r w:rsidR="00C9405D">
      <w:rPr>
        <w:rFonts w:ascii="Geomanist Light" w:eastAsia="Geo" w:hAnsi="Geomanist Light" w:cs="Geo"/>
        <w:sz w:val="16"/>
        <w:szCs w:val="16"/>
        <w:lang w:eastAsia="es-CO"/>
      </w:rPr>
      <w:t>2</w:t>
    </w:r>
    <w:r w:rsidR="007566FE" w:rsidRPr="007566FE">
      <w:rPr>
        <w:rFonts w:ascii="Geomanist Light" w:eastAsia="Geo" w:hAnsi="Geomanist Light" w:cs="Geo"/>
        <w:sz w:val="16"/>
        <w:szCs w:val="16"/>
        <w:lang w:eastAsia="es-CO"/>
      </w:rPr>
      <w:t xml:space="preserve"> DEL </w:t>
    </w:r>
    <w:r w:rsidR="00C9405D">
      <w:rPr>
        <w:rFonts w:ascii="Geomanist Light" w:eastAsia="Geo" w:hAnsi="Geomanist Light" w:cs="Geo"/>
        <w:sz w:val="16"/>
        <w:szCs w:val="16"/>
        <w:lang w:eastAsia="es-CO"/>
      </w:rPr>
      <w:t>28</w:t>
    </w:r>
    <w:r w:rsidR="007566FE" w:rsidRPr="007566FE">
      <w:rPr>
        <w:rFonts w:ascii="Geomanist Light" w:eastAsia="Geo" w:hAnsi="Geomanist Light" w:cs="Geo"/>
        <w:sz w:val="16"/>
        <w:szCs w:val="16"/>
        <w:lang w:eastAsia="es-CO"/>
      </w:rPr>
      <w:t xml:space="preserve"> DE </w:t>
    </w:r>
    <w:r w:rsidR="00C9405D">
      <w:rPr>
        <w:rFonts w:ascii="Geomanist Light" w:eastAsia="Geo" w:hAnsi="Geomanist Light" w:cs="Geo"/>
        <w:sz w:val="16"/>
        <w:szCs w:val="16"/>
        <w:lang w:eastAsia="es-CO"/>
      </w:rPr>
      <w:t>SEPTIEMBRE</w:t>
    </w:r>
    <w:r w:rsidR="007566FE" w:rsidRPr="007566FE">
      <w:rPr>
        <w:rFonts w:ascii="Geomanist Light" w:eastAsia="Geo" w:hAnsi="Geomanist Light" w:cs="Geo"/>
        <w:sz w:val="16"/>
        <w:szCs w:val="16"/>
        <w:lang w:eastAsia="es-CO"/>
      </w:rPr>
      <w:t xml:space="preserve"> DE 2022</w:t>
    </w:r>
  </w:p>
  <w:p w14:paraId="60144E94" w14:textId="49B57718" w:rsidR="00793403" w:rsidRPr="007566FE" w:rsidRDefault="00793403" w:rsidP="008614E5">
    <w:pPr>
      <w:spacing w:after="0"/>
      <w:rPr>
        <w:rFonts w:ascii="Geomanist Light" w:hAnsi="Geomanist Light"/>
        <w:color w:val="002060"/>
        <w:sz w:val="16"/>
        <w:szCs w:val="16"/>
      </w:rPr>
    </w:pPr>
  </w:p>
  <w:p w14:paraId="1D9AD711" w14:textId="5827BD16" w:rsidR="004A1847" w:rsidRPr="00906B3C" w:rsidRDefault="004A1847" w:rsidP="00906B3C">
    <w:pPr>
      <w:pStyle w:val="Encabezado"/>
      <w:tabs>
        <w:tab w:val="clear" w:pos="4419"/>
        <w:tab w:val="clear" w:pos="8838"/>
      </w:tabs>
      <w:ind w:left="3545" w:firstLine="709"/>
      <w:rPr>
        <w:b/>
        <w:bCs/>
        <w:color w:val="A5A5A5" w:themeColor="accent3"/>
        <w:sz w:val="18"/>
        <w:szCs w:val="18"/>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C06310"/>
    <w:multiLevelType w:val="multilevel"/>
    <w:tmpl w:val="25FEEF8E"/>
    <w:lvl w:ilvl="0">
      <w:start w:val="1"/>
      <w:numFmt w:val="decimal"/>
      <w:lvlText w:val="%1."/>
      <w:lvlJc w:val="left"/>
      <w:pPr>
        <w:ind w:left="6601" w:hanging="360"/>
      </w:pPr>
      <w:rPr>
        <w:b/>
        <w:color w:val="000000" w:themeColor="text1"/>
      </w:rPr>
    </w:lvl>
    <w:lvl w:ilvl="1">
      <w:start w:val="2"/>
      <w:numFmt w:val="decimal"/>
      <w:isLgl/>
      <w:lvlText w:val="%1.%2"/>
      <w:lvlJc w:val="left"/>
      <w:pPr>
        <w:ind w:left="6241" w:hanging="360"/>
      </w:pPr>
    </w:lvl>
    <w:lvl w:ilvl="2">
      <w:start w:val="1"/>
      <w:numFmt w:val="decimal"/>
      <w:isLgl/>
      <w:lvlText w:val="%1.%2.%3"/>
      <w:lvlJc w:val="left"/>
      <w:pPr>
        <w:ind w:left="6961" w:hanging="720"/>
      </w:pPr>
    </w:lvl>
    <w:lvl w:ilvl="3">
      <w:start w:val="1"/>
      <w:numFmt w:val="decimal"/>
      <w:isLgl/>
      <w:lvlText w:val="%1.%2.%3.%4"/>
      <w:lvlJc w:val="left"/>
      <w:pPr>
        <w:ind w:left="6961" w:hanging="720"/>
      </w:pPr>
    </w:lvl>
    <w:lvl w:ilvl="4">
      <w:start w:val="1"/>
      <w:numFmt w:val="decimal"/>
      <w:isLgl/>
      <w:lvlText w:val="%1.%2.%3.%4.%5"/>
      <w:lvlJc w:val="left"/>
      <w:pPr>
        <w:ind w:left="7321" w:hanging="1080"/>
      </w:pPr>
    </w:lvl>
    <w:lvl w:ilvl="5">
      <w:start w:val="1"/>
      <w:numFmt w:val="decimal"/>
      <w:isLgl/>
      <w:lvlText w:val="%1.%2.%3.%4.%5.%6"/>
      <w:lvlJc w:val="left"/>
      <w:pPr>
        <w:ind w:left="7321" w:hanging="1080"/>
      </w:pPr>
    </w:lvl>
    <w:lvl w:ilvl="6">
      <w:start w:val="1"/>
      <w:numFmt w:val="decimal"/>
      <w:isLgl/>
      <w:lvlText w:val="%1.%2.%3.%4.%5.%6.%7"/>
      <w:lvlJc w:val="left"/>
      <w:pPr>
        <w:ind w:left="7681" w:hanging="1440"/>
      </w:pPr>
    </w:lvl>
    <w:lvl w:ilvl="7">
      <w:start w:val="1"/>
      <w:numFmt w:val="decimal"/>
      <w:isLgl/>
      <w:lvlText w:val="%1.%2.%3.%4.%5.%6.%7.%8"/>
      <w:lvlJc w:val="left"/>
      <w:pPr>
        <w:ind w:left="7681" w:hanging="1440"/>
      </w:pPr>
    </w:lvl>
    <w:lvl w:ilvl="8">
      <w:start w:val="1"/>
      <w:numFmt w:val="decimal"/>
      <w:isLgl/>
      <w:lvlText w:val="%1.%2.%3.%4.%5.%6.%7.%8.%9"/>
      <w:lvlJc w:val="left"/>
      <w:pPr>
        <w:ind w:left="8041" w:hanging="1800"/>
      </w:pPr>
    </w:lvl>
  </w:abstractNum>
  <w:abstractNum w:abstractNumId="1" w15:restartNumberingAfterBreak="0">
    <w:nsid w:val="06D30BDC"/>
    <w:multiLevelType w:val="hybridMultilevel"/>
    <w:tmpl w:val="734ED3EC"/>
    <w:lvl w:ilvl="0" w:tplc="834431CA">
      <w:numFmt w:val="bullet"/>
      <w:lvlText w:val="-"/>
      <w:lvlJc w:val="left"/>
      <w:pPr>
        <w:ind w:left="1080" w:hanging="360"/>
      </w:pPr>
      <w:rPr>
        <w:rFonts w:ascii="Arial" w:eastAsia="Times New Roman" w:hAnsi="Arial" w:cs="Arial" w:hint="default"/>
        <w:b/>
      </w:rPr>
    </w:lvl>
    <w:lvl w:ilvl="1" w:tplc="0C0A0003" w:tentative="1">
      <w:start w:val="1"/>
      <w:numFmt w:val="bullet"/>
      <w:lvlText w:val="o"/>
      <w:lvlJc w:val="left"/>
      <w:pPr>
        <w:ind w:left="1800" w:hanging="360"/>
      </w:pPr>
      <w:rPr>
        <w:rFonts w:ascii="Courier New" w:hAnsi="Courier New" w:cs="Courier New" w:hint="default"/>
      </w:rPr>
    </w:lvl>
    <w:lvl w:ilvl="2" w:tplc="0C0A0005" w:tentative="1">
      <w:start w:val="1"/>
      <w:numFmt w:val="bullet"/>
      <w:lvlText w:val=""/>
      <w:lvlJc w:val="left"/>
      <w:pPr>
        <w:ind w:left="2520" w:hanging="360"/>
      </w:pPr>
      <w:rPr>
        <w:rFonts w:ascii="Wingdings" w:hAnsi="Wingdings" w:hint="default"/>
      </w:rPr>
    </w:lvl>
    <w:lvl w:ilvl="3" w:tplc="0C0A0001" w:tentative="1">
      <w:start w:val="1"/>
      <w:numFmt w:val="bullet"/>
      <w:lvlText w:val=""/>
      <w:lvlJc w:val="left"/>
      <w:pPr>
        <w:ind w:left="3240" w:hanging="360"/>
      </w:pPr>
      <w:rPr>
        <w:rFonts w:ascii="Symbol" w:hAnsi="Symbol" w:hint="default"/>
      </w:rPr>
    </w:lvl>
    <w:lvl w:ilvl="4" w:tplc="0C0A0003" w:tentative="1">
      <w:start w:val="1"/>
      <w:numFmt w:val="bullet"/>
      <w:lvlText w:val="o"/>
      <w:lvlJc w:val="left"/>
      <w:pPr>
        <w:ind w:left="3960" w:hanging="360"/>
      </w:pPr>
      <w:rPr>
        <w:rFonts w:ascii="Courier New" w:hAnsi="Courier New" w:cs="Courier New" w:hint="default"/>
      </w:rPr>
    </w:lvl>
    <w:lvl w:ilvl="5" w:tplc="0C0A0005" w:tentative="1">
      <w:start w:val="1"/>
      <w:numFmt w:val="bullet"/>
      <w:lvlText w:val=""/>
      <w:lvlJc w:val="left"/>
      <w:pPr>
        <w:ind w:left="4680" w:hanging="360"/>
      </w:pPr>
      <w:rPr>
        <w:rFonts w:ascii="Wingdings" w:hAnsi="Wingdings" w:hint="default"/>
      </w:rPr>
    </w:lvl>
    <w:lvl w:ilvl="6" w:tplc="0C0A0001" w:tentative="1">
      <w:start w:val="1"/>
      <w:numFmt w:val="bullet"/>
      <w:lvlText w:val=""/>
      <w:lvlJc w:val="left"/>
      <w:pPr>
        <w:ind w:left="5400" w:hanging="360"/>
      </w:pPr>
      <w:rPr>
        <w:rFonts w:ascii="Symbol" w:hAnsi="Symbol" w:hint="default"/>
      </w:rPr>
    </w:lvl>
    <w:lvl w:ilvl="7" w:tplc="0C0A0003" w:tentative="1">
      <w:start w:val="1"/>
      <w:numFmt w:val="bullet"/>
      <w:lvlText w:val="o"/>
      <w:lvlJc w:val="left"/>
      <w:pPr>
        <w:ind w:left="6120" w:hanging="360"/>
      </w:pPr>
      <w:rPr>
        <w:rFonts w:ascii="Courier New" w:hAnsi="Courier New" w:cs="Courier New" w:hint="default"/>
      </w:rPr>
    </w:lvl>
    <w:lvl w:ilvl="8" w:tplc="0C0A0005" w:tentative="1">
      <w:start w:val="1"/>
      <w:numFmt w:val="bullet"/>
      <w:lvlText w:val=""/>
      <w:lvlJc w:val="left"/>
      <w:pPr>
        <w:ind w:left="6840" w:hanging="360"/>
      </w:pPr>
      <w:rPr>
        <w:rFonts w:ascii="Wingdings" w:hAnsi="Wingdings" w:hint="default"/>
      </w:rPr>
    </w:lvl>
  </w:abstractNum>
  <w:abstractNum w:abstractNumId="2" w15:restartNumberingAfterBreak="0">
    <w:nsid w:val="11691187"/>
    <w:multiLevelType w:val="hybridMultilevel"/>
    <w:tmpl w:val="C5B68078"/>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3" w15:restartNumberingAfterBreak="0">
    <w:nsid w:val="33614460"/>
    <w:multiLevelType w:val="hybridMultilevel"/>
    <w:tmpl w:val="7FC88522"/>
    <w:lvl w:ilvl="0" w:tplc="A22AAB2E">
      <w:start w:val="1"/>
      <w:numFmt w:val="decimal"/>
      <w:lvlText w:val="%1)"/>
      <w:lvlJc w:val="left"/>
      <w:pPr>
        <w:ind w:left="720" w:hanging="360"/>
      </w:pPr>
      <w:rPr>
        <w:rFonts w:hint="default"/>
        <w:b/>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num w:numId="1" w16cid:durableId="500395951">
    <w:abstractNumId w:val="3"/>
  </w:num>
  <w:num w:numId="2" w16cid:durableId="1408454564">
    <w:abstractNumId w:val="1"/>
  </w:num>
  <w:num w:numId="3" w16cid:durableId="1897622572">
    <w:abstractNumId w:val="2"/>
  </w:num>
  <w:num w:numId="4" w16cid:durableId="2131125625">
    <w:abstractNumId w:val="0"/>
    <w:lvlOverride w:ilvl="0">
      <w:startOverride w:val="1"/>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A1847"/>
    <w:rsid w:val="00083334"/>
    <w:rsid w:val="000956CF"/>
    <w:rsid w:val="000A3678"/>
    <w:rsid w:val="000A683E"/>
    <w:rsid w:val="000D1560"/>
    <w:rsid w:val="000F2C38"/>
    <w:rsid w:val="0010526E"/>
    <w:rsid w:val="0011595A"/>
    <w:rsid w:val="001220C5"/>
    <w:rsid w:val="001267F7"/>
    <w:rsid w:val="00127233"/>
    <w:rsid w:val="00130999"/>
    <w:rsid w:val="00150FAB"/>
    <w:rsid w:val="00164D81"/>
    <w:rsid w:val="001A1011"/>
    <w:rsid w:val="001A48D0"/>
    <w:rsid w:val="00200FB1"/>
    <w:rsid w:val="002032C5"/>
    <w:rsid w:val="00205079"/>
    <w:rsid w:val="00264A43"/>
    <w:rsid w:val="002653C1"/>
    <w:rsid w:val="0026611D"/>
    <w:rsid w:val="002951A0"/>
    <w:rsid w:val="002A64FD"/>
    <w:rsid w:val="002B1326"/>
    <w:rsid w:val="002F0839"/>
    <w:rsid w:val="00301469"/>
    <w:rsid w:val="00303541"/>
    <w:rsid w:val="00306EE1"/>
    <w:rsid w:val="00310B9B"/>
    <w:rsid w:val="00326EE0"/>
    <w:rsid w:val="00341F19"/>
    <w:rsid w:val="003435B3"/>
    <w:rsid w:val="0036461C"/>
    <w:rsid w:val="00367884"/>
    <w:rsid w:val="0039439C"/>
    <w:rsid w:val="003B69E7"/>
    <w:rsid w:val="003C013B"/>
    <w:rsid w:val="003D0F4D"/>
    <w:rsid w:val="003F58A1"/>
    <w:rsid w:val="00410DD6"/>
    <w:rsid w:val="00413403"/>
    <w:rsid w:val="004134C9"/>
    <w:rsid w:val="0043138C"/>
    <w:rsid w:val="00462A59"/>
    <w:rsid w:val="00466112"/>
    <w:rsid w:val="004A1847"/>
    <w:rsid w:val="004B6B0E"/>
    <w:rsid w:val="004D25B3"/>
    <w:rsid w:val="004D70C5"/>
    <w:rsid w:val="00511405"/>
    <w:rsid w:val="00526E9D"/>
    <w:rsid w:val="00534602"/>
    <w:rsid w:val="00547856"/>
    <w:rsid w:val="00547A74"/>
    <w:rsid w:val="005566E8"/>
    <w:rsid w:val="005746AB"/>
    <w:rsid w:val="0059357F"/>
    <w:rsid w:val="0059570C"/>
    <w:rsid w:val="005A1130"/>
    <w:rsid w:val="005D65C8"/>
    <w:rsid w:val="005E4C93"/>
    <w:rsid w:val="006219F8"/>
    <w:rsid w:val="00650927"/>
    <w:rsid w:val="006627E1"/>
    <w:rsid w:val="00681FDB"/>
    <w:rsid w:val="00685EBF"/>
    <w:rsid w:val="006A719F"/>
    <w:rsid w:val="006A7DAD"/>
    <w:rsid w:val="006D0EB5"/>
    <w:rsid w:val="006D27A2"/>
    <w:rsid w:val="006D70BA"/>
    <w:rsid w:val="00732201"/>
    <w:rsid w:val="007566FE"/>
    <w:rsid w:val="0076726F"/>
    <w:rsid w:val="0077144B"/>
    <w:rsid w:val="00774433"/>
    <w:rsid w:val="007763D7"/>
    <w:rsid w:val="00793403"/>
    <w:rsid w:val="007C0CDF"/>
    <w:rsid w:val="007E2A2F"/>
    <w:rsid w:val="007F2B7C"/>
    <w:rsid w:val="008060BB"/>
    <w:rsid w:val="00811651"/>
    <w:rsid w:val="00820F5B"/>
    <w:rsid w:val="00833452"/>
    <w:rsid w:val="00845CAB"/>
    <w:rsid w:val="008614E5"/>
    <w:rsid w:val="008678EB"/>
    <w:rsid w:val="00875894"/>
    <w:rsid w:val="00881C10"/>
    <w:rsid w:val="00890411"/>
    <w:rsid w:val="008D5C70"/>
    <w:rsid w:val="009025AF"/>
    <w:rsid w:val="00904F23"/>
    <w:rsid w:val="00906B3C"/>
    <w:rsid w:val="00925BDB"/>
    <w:rsid w:val="009332A2"/>
    <w:rsid w:val="0095342C"/>
    <w:rsid w:val="00984840"/>
    <w:rsid w:val="00987869"/>
    <w:rsid w:val="00992409"/>
    <w:rsid w:val="009F33F2"/>
    <w:rsid w:val="009F6C77"/>
    <w:rsid w:val="00A032AF"/>
    <w:rsid w:val="00A07532"/>
    <w:rsid w:val="00A1085C"/>
    <w:rsid w:val="00A309E2"/>
    <w:rsid w:val="00A67727"/>
    <w:rsid w:val="00A8066E"/>
    <w:rsid w:val="00AA1A83"/>
    <w:rsid w:val="00AA4B8A"/>
    <w:rsid w:val="00AA6BF7"/>
    <w:rsid w:val="00AD2445"/>
    <w:rsid w:val="00B01ED6"/>
    <w:rsid w:val="00B06D09"/>
    <w:rsid w:val="00B771A9"/>
    <w:rsid w:val="00B809BB"/>
    <w:rsid w:val="00B8248A"/>
    <w:rsid w:val="00BB7726"/>
    <w:rsid w:val="00BC09F6"/>
    <w:rsid w:val="00C2329E"/>
    <w:rsid w:val="00C30461"/>
    <w:rsid w:val="00C754BE"/>
    <w:rsid w:val="00C87572"/>
    <w:rsid w:val="00C90F04"/>
    <w:rsid w:val="00C9405D"/>
    <w:rsid w:val="00CB50F2"/>
    <w:rsid w:val="00CC1B26"/>
    <w:rsid w:val="00CD284F"/>
    <w:rsid w:val="00CF23AA"/>
    <w:rsid w:val="00D01921"/>
    <w:rsid w:val="00D11946"/>
    <w:rsid w:val="00D752B7"/>
    <w:rsid w:val="00DA1854"/>
    <w:rsid w:val="00DB0887"/>
    <w:rsid w:val="00DF1E43"/>
    <w:rsid w:val="00E20894"/>
    <w:rsid w:val="00E26B7C"/>
    <w:rsid w:val="00E77EDF"/>
    <w:rsid w:val="00EA3003"/>
    <w:rsid w:val="00EB3C91"/>
    <w:rsid w:val="00EB66DA"/>
    <w:rsid w:val="00F10642"/>
    <w:rsid w:val="00F605F2"/>
    <w:rsid w:val="00F76AFC"/>
    <w:rsid w:val="00F8319B"/>
    <w:rsid w:val="00FA5516"/>
    <w:rsid w:val="00FD6F73"/>
    <w:rsid w:val="021514E1"/>
    <w:rsid w:val="1CC63BF5"/>
    <w:rsid w:val="2F9951DC"/>
    <w:rsid w:val="39C339F5"/>
    <w:rsid w:val="3EA2D60F"/>
    <w:rsid w:val="62DCE50C"/>
    <w:rsid w:val="6649D92A"/>
    <w:rsid w:val="67F292D6"/>
    <w:rsid w:val="6B8BD3AC"/>
    <w:rsid w:val="6D55F041"/>
    <w:rsid w:val="777950C3"/>
    <w:rsid w:val="7C03503F"/>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79607BD"/>
  <w15:chartTrackingRefBased/>
  <w15:docId w15:val="{B86F6845-4A3F-4B91-BFF0-E9544203EC8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s-CO"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219F8"/>
  </w:style>
  <w:style w:type="paragraph" w:styleId="Ttulo1">
    <w:name w:val="heading 1"/>
    <w:basedOn w:val="Normal"/>
    <w:link w:val="Ttulo1Car"/>
    <w:uiPriority w:val="9"/>
    <w:qFormat/>
    <w:rsid w:val="00904F23"/>
    <w:pPr>
      <w:widowControl w:val="0"/>
      <w:autoSpaceDE w:val="0"/>
      <w:autoSpaceDN w:val="0"/>
      <w:spacing w:before="1" w:after="0" w:line="240" w:lineRule="auto"/>
      <w:ind w:left="1181" w:hanging="360"/>
      <w:outlineLvl w:val="0"/>
    </w:pPr>
    <w:rPr>
      <w:rFonts w:ascii="Arial" w:eastAsia="Arial" w:hAnsi="Arial" w:cs="Arial"/>
      <w:b/>
      <w:bCs/>
      <w:lang w:val="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4A1847"/>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4A1847"/>
  </w:style>
  <w:style w:type="paragraph" w:styleId="Piedepgina">
    <w:name w:val="footer"/>
    <w:basedOn w:val="Normal"/>
    <w:link w:val="PiedepginaCar"/>
    <w:uiPriority w:val="99"/>
    <w:unhideWhenUsed/>
    <w:rsid w:val="004A1847"/>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4A1847"/>
  </w:style>
  <w:style w:type="paragraph" w:customStyle="1" w:styleId="Default">
    <w:name w:val="Default"/>
    <w:rsid w:val="006219F8"/>
    <w:pPr>
      <w:autoSpaceDE w:val="0"/>
      <w:autoSpaceDN w:val="0"/>
      <w:adjustRightInd w:val="0"/>
      <w:spacing w:after="0" w:line="240" w:lineRule="auto"/>
    </w:pPr>
    <w:rPr>
      <w:rFonts w:ascii="Arial" w:hAnsi="Arial" w:cs="Arial"/>
      <w:color w:val="000000"/>
      <w:sz w:val="24"/>
      <w:szCs w:val="24"/>
    </w:rPr>
  </w:style>
  <w:style w:type="character" w:customStyle="1" w:styleId="TextonotapieCar">
    <w:name w:val="Texto nota pie Car"/>
    <w:aliases w:val="Ref. de nota al pie1 Car,Texto de nota al pie Car,referencia nota al pie Car,Appel note de bas de page Car,Footnotes refss Car,Footnote number Car,BVI fnr Car,Footnote Text Char Char Char Char Char Car,Footnote reference Car,FA Fu Car"/>
    <w:basedOn w:val="Fuentedeprrafopredeter"/>
    <w:link w:val="Textonotapie"/>
    <w:uiPriority w:val="99"/>
    <w:qFormat/>
    <w:locked/>
    <w:rsid w:val="006219F8"/>
    <w:rPr>
      <w:sz w:val="20"/>
      <w:szCs w:val="20"/>
      <w:lang w:val="es-MX"/>
    </w:rPr>
  </w:style>
  <w:style w:type="paragraph" w:styleId="Textonotapie">
    <w:name w:val="footnote text"/>
    <w:aliases w:val="Ref. de nota al pie1,Texto de nota al pie,referencia nota al pie,Appel note de bas de page,Footnotes refss,Footnote number,BVI fnr,Footnote Text Char Char Char Char Char,Footnote Text Char Char Char Char,Footnote reference,FA Fu,ft,fn,Car"/>
    <w:basedOn w:val="Normal"/>
    <w:link w:val="TextonotapieCar"/>
    <w:uiPriority w:val="99"/>
    <w:unhideWhenUsed/>
    <w:qFormat/>
    <w:rsid w:val="006219F8"/>
    <w:pPr>
      <w:spacing w:after="0" w:line="240" w:lineRule="auto"/>
    </w:pPr>
    <w:rPr>
      <w:sz w:val="20"/>
      <w:szCs w:val="20"/>
      <w:lang w:val="es-MX"/>
    </w:rPr>
  </w:style>
  <w:style w:type="character" w:customStyle="1" w:styleId="TextonotapieCar1">
    <w:name w:val="Texto nota pie Car1"/>
    <w:basedOn w:val="Fuentedeprrafopredeter"/>
    <w:uiPriority w:val="99"/>
    <w:semiHidden/>
    <w:rsid w:val="006219F8"/>
    <w:rPr>
      <w:sz w:val="20"/>
      <w:szCs w:val="20"/>
    </w:rPr>
  </w:style>
  <w:style w:type="character" w:styleId="Refdenotaalpie">
    <w:name w:val="footnote reference"/>
    <w:aliases w:val="Ref. de nota al pie 2,Ref,de nota al pie,FC,Appel note de bas de p,f,4_G,16 Point,Superscript 6 Point,Texto nota al pie,Pie de Página,Texto de nota al pi,Nota de pie,Texto de nota al p,Footnote Reference Char3,Texto nota pie Car2,F,R"/>
    <w:basedOn w:val="Fuentedeprrafopredeter"/>
    <w:link w:val="Appelnotedebasde"/>
    <w:unhideWhenUsed/>
    <w:qFormat/>
    <w:rsid w:val="006219F8"/>
    <w:rPr>
      <w:vertAlign w:val="superscript"/>
    </w:rPr>
  </w:style>
  <w:style w:type="character" w:customStyle="1" w:styleId="normaltextrun">
    <w:name w:val="normaltextrun"/>
    <w:basedOn w:val="Fuentedeprrafopredeter"/>
    <w:rsid w:val="006219F8"/>
  </w:style>
  <w:style w:type="table" w:styleId="Tablaconcuadrcula">
    <w:name w:val="Table Grid"/>
    <w:basedOn w:val="Tablanormal"/>
    <w:uiPriority w:val="59"/>
    <w:rsid w:val="006219F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rrafodelista">
    <w:name w:val="List Paragraph"/>
    <w:basedOn w:val="Normal"/>
    <w:uiPriority w:val="34"/>
    <w:qFormat/>
    <w:rsid w:val="005566E8"/>
    <w:pPr>
      <w:ind w:left="720"/>
      <w:contextualSpacing/>
    </w:pPr>
    <w:rPr>
      <w:rFonts w:ascii="Geomanist Light" w:hAnsi="Geomanist Light"/>
      <w:lang w:val="es-ES"/>
    </w:rPr>
  </w:style>
  <w:style w:type="paragraph" w:styleId="Ttulo">
    <w:name w:val="Title"/>
    <w:basedOn w:val="Normal"/>
    <w:next w:val="Normal"/>
    <w:link w:val="TtuloCar"/>
    <w:uiPriority w:val="10"/>
    <w:qFormat/>
    <w:rsid w:val="005566E8"/>
    <w:pPr>
      <w:spacing w:after="0" w:line="240" w:lineRule="auto"/>
      <w:contextualSpacing/>
    </w:pPr>
    <w:rPr>
      <w:rFonts w:ascii="Geomanist" w:eastAsiaTheme="majorEastAsia" w:hAnsi="Geomanist" w:cstheme="majorBidi"/>
      <w:spacing w:val="-10"/>
      <w:kern w:val="28"/>
      <w:szCs w:val="56"/>
      <w:lang w:val="es-ES"/>
    </w:rPr>
  </w:style>
  <w:style w:type="character" w:customStyle="1" w:styleId="TtuloCar">
    <w:name w:val="Título Car"/>
    <w:basedOn w:val="Fuentedeprrafopredeter"/>
    <w:link w:val="Ttulo"/>
    <w:uiPriority w:val="10"/>
    <w:rsid w:val="005566E8"/>
    <w:rPr>
      <w:rFonts w:ascii="Geomanist" w:eastAsiaTheme="majorEastAsia" w:hAnsi="Geomanist" w:cstheme="majorBidi"/>
      <w:spacing w:val="-10"/>
      <w:kern w:val="28"/>
      <w:szCs w:val="56"/>
      <w:lang w:val="es-ES"/>
    </w:rPr>
  </w:style>
  <w:style w:type="character" w:customStyle="1" w:styleId="Ttulo1Car">
    <w:name w:val="Título 1 Car"/>
    <w:basedOn w:val="Fuentedeprrafopredeter"/>
    <w:link w:val="Ttulo1"/>
    <w:uiPriority w:val="9"/>
    <w:rsid w:val="00904F23"/>
    <w:rPr>
      <w:rFonts w:ascii="Arial" w:eastAsia="Arial" w:hAnsi="Arial" w:cs="Arial"/>
      <w:b/>
      <w:bCs/>
      <w:lang w:val="es-ES"/>
    </w:rPr>
  </w:style>
  <w:style w:type="character" w:styleId="Refdecomentario">
    <w:name w:val="annotation reference"/>
    <w:basedOn w:val="Fuentedeprrafopredeter"/>
    <w:uiPriority w:val="99"/>
    <w:semiHidden/>
    <w:unhideWhenUsed/>
    <w:rsid w:val="00511405"/>
    <w:rPr>
      <w:sz w:val="16"/>
      <w:szCs w:val="16"/>
    </w:rPr>
  </w:style>
  <w:style w:type="paragraph" w:styleId="Textocomentario">
    <w:name w:val="annotation text"/>
    <w:basedOn w:val="Normal"/>
    <w:link w:val="TextocomentarioCar"/>
    <w:uiPriority w:val="99"/>
    <w:unhideWhenUsed/>
    <w:rsid w:val="00511405"/>
    <w:pPr>
      <w:spacing w:line="240" w:lineRule="auto"/>
    </w:pPr>
    <w:rPr>
      <w:sz w:val="20"/>
      <w:szCs w:val="20"/>
    </w:rPr>
  </w:style>
  <w:style w:type="character" w:customStyle="1" w:styleId="TextocomentarioCar">
    <w:name w:val="Texto comentario Car"/>
    <w:basedOn w:val="Fuentedeprrafopredeter"/>
    <w:link w:val="Textocomentario"/>
    <w:uiPriority w:val="99"/>
    <w:rsid w:val="00511405"/>
    <w:rPr>
      <w:sz w:val="20"/>
      <w:szCs w:val="20"/>
    </w:rPr>
  </w:style>
  <w:style w:type="paragraph" w:styleId="Revisin">
    <w:name w:val="Revision"/>
    <w:hidden/>
    <w:uiPriority w:val="99"/>
    <w:semiHidden/>
    <w:rsid w:val="00511405"/>
    <w:pPr>
      <w:spacing w:after="0" w:line="240" w:lineRule="auto"/>
    </w:pPr>
  </w:style>
  <w:style w:type="paragraph" w:styleId="Asuntodelcomentario">
    <w:name w:val="annotation subject"/>
    <w:basedOn w:val="Textocomentario"/>
    <w:next w:val="Textocomentario"/>
    <w:link w:val="AsuntodelcomentarioCar"/>
    <w:uiPriority w:val="99"/>
    <w:semiHidden/>
    <w:unhideWhenUsed/>
    <w:rsid w:val="00511405"/>
    <w:rPr>
      <w:b/>
      <w:bCs/>
    </w:rPr>
  </w:style>
  <w:style w:type="character" w:customStyle="1" w:styleId="AsuntodelcomentarioCar">
    <w:name w:val="Asunto del comentario Car"/>
    <w:basedOn w:val="TextocomentarioCar"/>
    <w:link w:val="Asuntodelcomentario"/>
    <w:uiPriority w:val="99"/>
    <w:semiHidden/>
    <w:rsid w:val="00511405"/>
    <w:rPr>
      <w:b/>
      <w:bCs/>
      <w:sz w:val="20"/>
      <w:szCs w:val="20"/>
    </w:rPr>
  </w:style>
  <w:style w:type="paragraph" w:styleId="NormalWeb">
    <w:name w:val="Normal (Web)"/>
    <w:basedOn w:val="Normal"/>
    <w:uiPriority w:val="99"/>
    <w:semiHidden/>
    <w:unhideWhenUsed/>
    <w:rsid w:val="00205079"/>
    <w:rPr>
      <w:rFonts w:ascii="Times New Roman" w:hAnsi="Times New Roman" w:cs="Times New Roman"/>
      <w:sz w:val="24"/>
      <w:szCs w:val="24"/>
    </w:rPr>
  </w:style>
  <w:style w:type="character" w:styleId="Hipervnculo">
    <w:name w:val="Hyperlink"/>
    <w:basedOn w:val="Fuentedeprrafopredeter"/>
    <w:uiPriority w:val="99"/>
    <w:unhideWhenUsed/>
    <w:rsid w:val="00205079"/>
    <w:rPr>
      <w:color w:val="0563C1" w:themeColor="hyperlink"/>
      <w:u w:val="single"/>
    </w:rPr>
  </w:style>
  <w:style w:type="paragraph" w:customStyle="1" w:styleId="Appelnotedebasde">
    <w:name w:val="Appel note de bas de..."/>
    <w:basedOn w:val="Normal"/>
    <w:link w:val="Refdenotaalpie"/>
    <w:rsid w:val="00205079"/>
    <w:pPr>
      <w:spacing w:line="240" w:lineRule="exact"/>
    </w:pPr>
    <w:rPr>
      <w:vertAlign w:val="superscript"/>
    </w:rPr>
  </w:style>
  <w:style w:type="character" w:styleId="Textoennegrita">
    <w:name w:val="Strong"/>
    <w:basedOn w:val="Fuentedeprrafopredeter"/>
    <w:uiPriority w:val="22"/>
    <w:qFormat/>
    <w:rsid w:val="00205079"/>
    <w:rPr>
      <w:b/>
      <w:bCs/>
    </w:rPr>
  </w:style>
  <w:style w:type="character" w:styleId="nfasis">
    <w:name w:val="Emphasis"/>
    <w:basedOn w:val="Fuentedeprrafopredeter"/>
    <w:uiPriority w:val="20"/>
    <w:qFormat/>
    <w:rsid w:val="00205079"/>
    <w:rPr>
      <w:i/>
      <w:iCs/>
    </w:rPr>
  </w:style>
  <w:style w:type="table" w:customStyle="1" w:styleId="Tablaconcuadrcula11">
    <w:name w:val="Tabla con cuadrícula11"/>
    <w:basedOn w:val="Tablanormal"/>
    <w:next w:val="Tablaconcuadrcula"/>
    <w:uiPriority w:val="59"/>
    <w:rsid w:val="00205079"/>
    <w:pPr>
      <w:spacing w:after="0" w:line="240"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2.png"/><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5.jpg"/></Relationships>
</file>

<file path=word/_rels/footnotes.xml.rels><?xml version="1.0" encoding="UTF-8" standalone="yes"?>
<Relationships xmlns="http://schemas.openxmlformats.org/package/2006/relationships"><Relationship Id="rId2" Type="http://schemas.openxmlformats.org/officeDocument/2006/relationships/hyperlink" Target="http://www.alcaldiabogota.gov.co/sisjur/normas/Norma1.jsp?i=43292" TargetMode="External"/><Relationship Id="rId1" Type="http://schemas.openxmlformats.org/officeDocument/2006/relationships/hyperlink" Target="https://relatoria.colombiacompra.gov.co/busqueda/conceptos" TargetMode="External"/></Relationships>
</file>

<file path=word/_rels/header1.xml.rels><?xml version="1.0" encoding="UTF-8" standalone="yes"?>
<Relationships xmlns="http://schemas.openxmlformats.org/package/2006/relationships"><Relationship Id="rId2" Type="http://schemas.openxmlformats.org/officeDocument/2006/relationships/image" Target="media/image4.png"/><Relationship Id="rId1" Type="http://schemas.openxmlformats.org/officeDocument/2006/relationships/image" Target="media/image3.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a6cb9e4b-f1d1-4245-83ec-6cad768d538a" xsi:nil="true"/>
    <lcf76f155ced4ddcb4097134ff3c332f xmlns="9d85dbaf-23eb-4e57-a637-93dcacc8b1a1">
      <Terms xmlns="http://schemas.microsoft.com/office/infopath/2007/PartnerControls"/>
    </lcf76f155ced4ddcb4097134ff3c332f>
    <No xmlns="9d85dbaf-23eb-4e57-a637-93dcacc8b1a1" xsi:nil="true"/>
  </documentManagement>
</p:properties>
</file>

<file path=customXml/item2.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16" ma:contentTypeDescription="Crear nuevo documento." ma:contentTypeScope="" ma:versionID="6fefc81145b88c108162955c226470b5">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23856a95c4658442fdcd06593afacd42"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element ref="ns2:MediaLengthInSeconds" minOccurs="0"/>
                <xsd:element ref="ns2:lcf76f155ced4ddcb4097134ff3c332f" minOccurs="0"/>
                <xsd:element ref="ns3:TaxCatchAll"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Etiquetas de imagen" ma:readOnly="false" ma:fieldId="{5cf76f15-5ced-4ddc-b409-7134ff3c332f}" ma:taxonomyMulti="true" ma:sspId="d11a0eb6-ad86-4071-a759-4f0356bdcc6a" ma:termSetId="09814cd3-568e-fe90-9814-8d621ff8fb84" ma:anchorId="fba54fb3-c3e1-fe81-a776-ca4b69148c4d" ma:open="tru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element name="TaxCatchAll" ma:index="23" nillable="true" ma:displayName="Taxonomy Catch All Column" ma:hidden="true" ma:list="{1105a6f2-09f1-4f7d-bab9-e03f1dc4ac6e}" ma:internalName="TaxCatchAll" ma:showField="CatchAllData" ma:web="a6cb9e4b-f1d1-4245-83ec-6cad768d538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63618BE-28CB-4D69-955E-CDA788483BED}">
  <ds:schemaRefs>
    <ds:schemaRef ds:uri="http://purl.org/dc/elements/1.1/"/>
    <ds:schemaRef ds:uri="http://purl.org/dc/dcmitype/"/>
    <ds:schemaRef ds:uri="http://schemas.microsoft.com/office/infopath/2007/PartnerControls"/>
    <ds:schemaRef ds:uri="http://schemas.microsoft.com/office/2006/documentManagement/types"/>
    <ds:schemaRef ds:uri="http://purl.org/dc/terms/"/>
    <ds:schemaRef ds:uri="http://schemas.microsoft.com/office/2006/metadata/properties"/>
    <ds:schemaRef ds:uri="http://schemas.openxmlformats.org/package/2006/metadata/core-properties"/>
    <ds:schemaRef ds:uri="a6cb9e4b-f1d1-4245-83ec-6cad768d538a"/>
    <ds:schemaRef ds:uri="9d85dbaf-23eb-4e57-a637-93dcacc8b1a1"/>
    <ds:schemaRef ds:uri="http://www.w3.org/XML/1998/namespace"/>
  </ds:schemaRefs>
</ds:datastoreItem>
</file>

<file path=customXml/itemProps2.xml><?xml version="1.0" encoding="utf-8"?>
<ds:datastoreItem xmlns:ds="http://schemas.openxmlformats.org/officeDocument/2006/customXml" ds:itemID="{E39DDB49-330D-4C28-A2A5-E0159B45A68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d85dbaf-23eb-4e57-a637-93dcacc8b1a1"/>
    <ds:schemaRef ds:uri="a6cb9e4b-f1d1-4245-83ec-6cad768d538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19B0637E-D058-473B-8FE7-AA861F69C797}">
  <ds:schemaRefs>
    <ds:schemaRef ds:uri="http://schemas.microsoft.com/sharepoint/v3/contenttype/forms"/>
  </ds:schemaRefs>
</ds:datastoreItem>
</file>

<file path=customXml/itemProps4.xml><?xml version="1.0" encoding="utf-8"?>
<ds:datastoreItem xmlns:ds="http://schemas.openxmlformats.org/officeDocument/2006/customXml" ds:itemID="{B5E10408-6D00-45E5-BB1C-D6466F72693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11</Pages>
  <Words>4196</Words>
  <Characters>23083</Characters>
  <Application>Microsoft Office Word</Application>
  <DocSecurity>0</DocSecurity>
  <Lines>192</Lines>
  <Paragraphs>54</Paragraphs>
  <ScaleCrop>false</ScaleCrop>
  <Company/>
  <LinksUpToDate>false</LinksUpToDate>
  <CharactersWithSpaces>27225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Andrés Felipe Ospina Acosta</dc:creator>
  <cp:keywords/>
  <dc:description/>
  <cp:lastModifiedBy>Diana Lucia Saavedra</cp:lastModifiedBy>
  <cp:revision>2</cp:revision>
  <dcterms:created xsi:type="dcterms:W3CDTF">2023-03-02T18:37:00Z</dcterms:created>
  <dcterms:modified xsi:type="dcterms:W3CDTF">2023-03-02T18:37:00Z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0x010100F2E0F32964D9B84EA054B84E5D4157A0</vt:lpwstr>
  </property>
  <property fmtid="{D5CDD505-2E9C-101B-9397-08002B2CF9AE}" pid="3" name="MediaServiceImageTags">
    <vt:lpwstr/>
  </property>
</Properties>
</file>