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A9230" w14:textId="77777777" w:rsidR="00C14767" w:rsidRPr="00EB4388" w:rsidRDefault="00C14767" w:rsidP="00C14767">
      <w:pPr>
        <w:spacing w:after="0" w:line="240" w:lineRule="auto"/>
        <w:jc w:val="both"/>
        <w:rPr>
          <w:rFonts w:ascii="Arial" w:eastAsia="Times New Roman" w:hAnsi="Arial" w:cs="Arial"/>
          <w:b/>
          <w:bCs/>
          <w:color w:val="000000"/>
          <w:sz w:val="20"/>
          <w:szCs w:val="20"/>
          <w:lang w:val="es-ES_tradnl" w:eastAsia="es-ES_tradnl"/>
        </w:rPr>
      </w:pPr>
      <w:r w:rsidRPr="00C23774">
        <w:rPr>
          <w:rFonts w:ascii="Arial" w:eastAsia="Times New Roman" w:hAnsi="Arial" w:cs="Arial"/>
          <w:b/>
          <w:bCs/>
          <w:color w:val="000000"/>
          <w:sz w:val="20"/>
          <w:szCs w:val="20"/>
          <w:lang w:val="es-ES_tradnl" w:eastAsia="es-ES_tradnl"/>
        </w:rPr>
        <w:t>SECOP II</w:t>
      </w:r>
      <w:r w:rsidRPr="00EB4388">
        <w:rPr>
          <w:rFonts w:ascii="Arial" w:eastAsia="Times New Roman" w:hAnsi="Arial" w:cs="Arial"/>
          <w:b/>
          <w:bCs/>
          <w:color w:val="000000"/>
          <w:sz w:val="20"/>
          <w:szCs w:val="20"/>
          <w:lang w:val="es-ES_tradnl" w:eastAsia="es-ES_tradnl"/>
        </w:rPr>
        <w:t xml:space="preserve"> </w:t>
      </w:r>
      <w:r w:rsidRPr="00EB4388">
        <w:rPr>
          <w:rFonts w:ascii="Arial" w:eastAsia="Calibri" w:hAnsi="Arial" w:cs="Arial"/>
          <w:b/>
          <w:color w:val="000000"/>
          <w:sz w:val="20"/>
          <w:szCs w:val="20"/>
          <w:lang w:val="es-ES_tradnl" w:eastAsia="es-ES_tradnl"/>
        </w:rPr>
        <w:t>–</w:t>
      </w:r>
      <w:r w:rsidRPr="00EB4388">
        <w:rPr>
          <w:rFonts w:ascii="Arial" w:eastAsia="Times New Roman" w:hAnsi="Arial" w:cs="Arial"/>
          <w:b/>
          <w:bCs/>
          <w:color w:val="000000"/>
          <w:sz w:val="20"/>
          <w:szCs w:val="20"/>
          <w:lang w:val="es-ES_tradnl" w:eastAsia="es-ES_tradnl"/>
        </w:rPr>
        <w:t xml:space="preserve"> </w:t>
      </w:r>
      <w:r w:rsidRPr="00487308">
        <w:rPr>
          <w:rFonts w:ascii="Arial" w:eastAsia="Times New Roman" w:hAnsi="Arial" w:cs="Arial"/>
          <w:b/>
          <w:bCs/>
          <w:color w:val="000000"/>
          <w:sz w:val="20"/>
          <w:szCs w:val="20"/>
          <w:lang w:val="es-ES_tradnl" w:eastAsia="es-ES_tradnl"/>
        </w:rPr>
        <w:t>Definición</w:t>
      </w:r>
      <w:r w:rsidRPr="00C23774">
        <w:rPr>
          <w:rFonts w:ascii="Arial" w:eastAsia="Times New Roman" w:hAnsi="Arial" w:cs="Arial"/>
          <w:b/>
          <w:bCs/>
          <w:color w:val="000000"/>
          <w:sz w:val="20"/>
          <w:szCs w:val="20"/>
          <w:lang w:val="es-ES_tradnl" w:eastAsia="es-ES_tradnl"/>
        </w:rPr>
        <w:t xml:space="preserve"> </w:t>
      </w:r>
      <w:r w:rsidRPr="00EB4388">
        <w:rPr>
          <w:rFonts w:ascii="Arial" w:eastAsia="Calibri" w:hAnsi="Arial" w:cs="Arial"/>
          <w:b/>
          <w:color w:val="000000"/>
          <w:sz w:val="20"/>
          <w:szCs w:val="20"/>
          <w:lang w:val="es-ES_tradnl" w:eastAsia="es-ES_tradnl"/>
        </w:rPr>
        <w:t>–</w:t>
      </w:r>
      <w:r w:rsidRPr="00EB4388">
        <w:rPr>
          <w:rFonts w:ascii="Arial" w:eastAsia="Times New Roman" w:hAnsi="Arial" w:cs="Arial"/>
          <w:b/>
          <w:bCs/>
          <w:color w:val="000000"/>
          <w:sz w:val="20"/>
          <w:szCs w:val="20"/>
          <w:lang w:val="es-ES_tradnl" w:eastAsia="es-ES_tradnl"/>
        </w:rPr>
        <w:t xml:space="preserve"> Carácter transaccional </w:t>
      </w:r>
      <w:r w:rsidRPr="00EB4388">
        <w:rPr>
          <w:rFonts w:ascii="Arial" w:eastAsia="Calibri" w:hAnsi="Arial" w:cs="Arial"/>
          <w:b/>
          <w:color w:val="000000"/>
          <w:sz w:val="20"/>
          <w:szCs w:val="20"/>
          <w:lang w:val="es-ES_tradnl" w:eastAsia="es-ES_tradnl"/>
        </w:rPr>
        <w:t>– Gestión en línea – Deber</w:t>
      </w:r>
    </w:p>
    <w:p w14:paraId="3EC6FC53" w14:textId="77777777" w:rsidR="00C14767" w:rsidRPr="00684AD6" w:rsidRDefault="00C14767" w:rsidP="00684AD6">
      <w:pPr>
        <w:spacing w:after="0" w:line="240" w:lineRule="auto"/>
        <w:jc w:val="both"/>
        <w:rPr>
          <w:rFonts w:ascii="Arial" w:eastAsia="Times New Roman" w:hAnsi="Arial" w:cs="Arial"/>
          <w:color w:val="000000"/>
          <w:sz w:val="20"/>
          <w:szCs w:val="20"/>
          <w:lang w:val="es-ES_tradnl" w:eastAsia="es-ES_tradnl"/>
        </w:rPr>
      </w:pPr>
    </w:p>
    <w:p w14:paraId="6C3AEF07" w14:textId="4B4B141C" w:rsidR="00C14767" w:rsidRPr="00684AD6" w:rsidRDefault="00C14767" w:rsidP="00684AD6">
      <w:pPr>
        <w:spacing w:after="0" w:line="240" w:lineRule="auto"/>
        <w:jc w:val="both"/>
        <w:rPr>
          <w:rFonts w:ascii="Arial" w:eastAsia="Calibri" w:hAnsi="Arial" w:cs="Arial"/>
          <w:color w:val="000000"/>
          <w:sz w:val="20"/>
          <w:szCs w:val="20"/>
          <w:lang w:val="es-ES" w:eastAsia="es-ES_tradnl"/>
        </w:rPr>
      </w:pPr>
      <w:r w:rsidRPr="00684AD6">
        <w:rPr>
          <w:rFonts w:ascii="Arial" w:eastAsia="Calibri" w:hAnsi="Arial" w:cs="Arial"/>
          <w:sz w:val="20"/>
          <w:szCs w:val="20"/>
          <w:lang w:val="es-ES" w:eastAsia="es-ES_tradnl"/>
        </w:rPr>
        <w:t xml:space="preserve">El SECOP II, […], es una plataforma </w:t>
      </w:r>
      <w:r w:rsidRPr="00684AD6">
        <w:rPr>
          <w:rFonts w:ascii="Arial" w:eastAsia="Calibri" w:hAnsi="Arial" w:cs="Arial"/>
          <w:i/>
          <w:iCs/>
          <w:sz w:val="20"/>
          <w:szCs w:val="20"/>
          <w:lang w:val="es-ES" w:eastAsia="es-ES_tradnl"/>
        </w:rPr>
        <w:t>transaccional</w:t>
      </w:r>
      <w:r w:rsidRPr="00684AD6">
        <w:rPr>
          <w:rFonts w:ascii="Arial" w:eastAsia="Calibri" w:hAnsi="Arial" w:cs="Arial"/>
          <w:sz w:val="20"/>
          <w:szCs w:val="20"/>
          <w:lang w:val="es-ES" w:eastAsia="es-ES_tradnl"/>
        </w:rPr>
        <w:t xml:space="preserve">, que permite gestionar en línea los procedimientos de contratación, con cuentas y usuarios asociados a estas, para las entidades y los proveedores, y vista pública para cualquier interesado en hacer seguimiento a la contratación pública. </w:t>
      </w:r>
    </w:p>
    <w:p w14:paraId="2BF0CA78" w14:textId="77777777" w:rsidR="00C14767" w:rsidRPr="00684AD6" w:rsidRDefault="00C14767" w:rsidP="00684AD6">
      <w:pPr>
        <w:spacing w:after="0" w:line="240" w:lineRule="auto"/>
        <w:jc w:val="both"/>
        <w:rPr>
          <w:rFonts w:ascii="Arial" w:eastAsia="Calibri" w:hAnsi="Arial" w:cs="Arial"/>
          <w:color w:val="000000"/>
          <w:sz w:val="20"/>
          <w:szCs w:val="20"/>
          <w:lang w:val="es-ES" w:eastAsia="es-ES_tradnl"/>
        </w:rPr>
      </w:pPr>
      <w:r w:rsidRPr="00684AD6">
        <w:rPr>
          <w:rFonts w:ascii="Arial" w:eastAsia="Calibri" w:hAnsi="Arial" w:cs="Arial"/>
          <w:color w:val="000000"/>
          <w:sz w:val="20"/>
          <w:szCs w:val="20"/>
          <w:lang w:val="es-ES" w:eastAsia="es-ES_tradnl"/>
        </w:rPr>
        <w:t>[…]</w:t>
      </w:r>
    </w:p>
    <w:p w14:paraId="04B942A4" w14:textId="27F92CD3" w:rsidR="00C14767" w:rsidRPr="00684AD6" w:rsidRDefault="00C14767" w:rsidP="00684AD6">
      <w:pPr>
        <w:spacing w:after="0" w:line="240" w:lineRule="auto"/>
        <w:jc w:val="both"/>
        <w:rPr>
          <w:rFonts w:ascii="Arial" w:eastAsia="Calibri" w:hAnsi="Arial" w:cs="Arial"/>
          <w:color w:val="000000"/>
          <w:sz w:val="20"/>
          <w:szCs w:val="20"/>
          <w:lang w:val="es-ES_tradnl" w:eastAsia="es-ES_tradnl"/>
        </w:rPr>
      </w:pPr>
      <w:r w:rsidRPr="00684AD6">
        <w:rPr>
          <w:rFonts w:ascii="Arial" w:eastAsia="Calibri" w:hAnsi="Arial" w:cs="Arial"/>
          <w:sz w:val="20"/>
          <w:szCs w:val="20"/>
          <w:lang w:val="es-ES" w:eastAsia="es-ES_tradnl"/>
        </w:rPr>
        <w:t xml:space="preserve">Sobre la utilización de SECOP II, es necesario aclarar, por tanto, que en esta plataforma el procedimiento contractual se debe desarrollar en línea, conformándose un expediente electrónico. Esto denota una diferencia con el SECOP I, donde el procedimiento es físico, o sea que está integrado por documentos escritos y físicos que se publican para cumplir las obligaciones de las entidades antes señaladas conforme al artículo 2.2.1.1.1.7.1 del Decreto 1082 de 2015. </w:t>
      </w:r>
    </w:p>
    <w:p w14:paraId="523E361D" w14:textId="77777777" w:rsidR="00C14767" w:rsidRPr="00684AD6" w:rsidRDefault="00C14767" w:rsidP="00684AD6">
      <w:pPr>
        <w:spacing w:after="0" w:line="240" w:lineRule="auto"/>
        <w:jc w:val="both"/>
        <w:rPr>
          <w:rFonts w:ascii="Arial" w:eastAsia="Calibri" w:hAnsi="Arial" w:cs="Arial"/>
          <w:color w:val="000000"/>
          <w:sz w:val="20"/>
          <w:szCs w:val="20"/>
          <w:lang w:val="es-ES_tradnl" w:eastAsia="es-ES_tradnl"/>
        </w:rPr>
      </w:pPr>
    </w:p>
    <w:p w14:paraId="37AEDAA4" w14:textId="77777777" w:rsidR="00C14767" w:rsidRPr="00684AD6" w:rsidRDefault="00C14767" w:rsidP="00684AD6">
      <w:pPr>
        <w:spacing w:after="0" w:line="240" w:lineRule="auto"/>
        <w:jc w:val="both"/>
        <w:rPr>
          <w:rFonts w:ascii="Arial" w:eastAsia="Times New Roman" w:hAnsi="Arial" w:cs="Arial"/>
          <w:b/>
          <w:bCs/>
          <w:color w:val="000000"/>
          <w:sz w:val="20"/>
          <w:szCs w:val="20"/>
          <w:lang w:val="es-ES_tradnl" w:eastAsia="es-ES_tradnl"/>
        </w:rPr>
      </w:pPr>
      <w:r w:rsidRPr="000918D3">
        <w:rPr>
          <w:rFonts w:ascii="Arial" w:eastAsia="Times New Roman" w:hAnsi="Arial" w:cs="Arial"/>
          <w:b/>
          <w:bCs/>
          <w:color w:val="000000"/>
          <w:sz w:val="20"/>
          <w:szCs w:val="20"/>
          <w:lang w:val="es-ES_tradnl" w:eastAsia="es-ES_tradnl"/>
        </w:rPr>
        <w:t>SUSPENSIÓN</w:t>
      </w:r>
      <w:r w:rsidRPr="00684AD6">
        <w:rPr>
          <w:rFonts w:ascii="Arial" w:eastAsia="Times New Roman" w:hAnsi="Arial" w:cs="Arial"/>
          <w:b/>
          <w:bCs/>
          <w:color w:val="000000"/>
          <w:sz w:val="20"/>
          <w:szCs w:val="20"/>
          <w:lang w:val="es-ES_tradnl" w:eastAsia="es-ES_tradnl"/>
        </w:rPr>
        <w:t xml:space="preserve"> </w:t>
      </w:r>
      <w:r w:rsidRPr="00684AD6">
        <w:rPr>
          <w:rFonts w:ascii="Arial" w:eastAsia="Calibri" w:hAnsi="Arial" w:cs="Arial"/>
          <w:b/>
          <w:color w:val="000000"/>
          <w:sz w:val="20"/>
          <w:szCs w:val="20"/>
          <w:lang w:val="es-ES_tradnl" w:eastAsia="es-ES_tradnl"/>
        </w:rPr>
        <w:t>–</w:t>
      </w:r>
      <w:r w:rsidRPr="00684AD6">
        <w:rPr>
          <w:rFonts w:ascii="Arial" w:eastAsia="Times New Roman" w:hAnsi="Arial" w:cs="Arial"/>
          <w:b/>
          <w:bCs/>
          <w:color w:val="000000"/>
          <w:sz w:val="20"/>
          <w:szCs w:val="20"/>
          <w:lang w:val="es-ES_tradnl" w:eastAsia="es-ES_tradnl"/>
        </w:rPr>
        <w:t xml:space="preserve"> </w:t>
      </w:r>
      <w:r w:rsidRPr="00623C66">
        <w:rPr>
          <w:rFonts w:ascii="Arial" w:eastAsia="Times New Roman" w:hAnsi="Arial" w:cs="Arial"/>
          <w:b/>
          <w:bCs/>
          <w:color w:val="000000"/>
          <w:sz w:val="20"/>
          <w:szCs w:val="20"/>
          <w:lang w:val="es-ES_tradnl" w:eastAsia="es-ES_tradnl"/>
        </w:rPr>
        <w:t>Concepto</w:t>
      </w:r>
      <w:r w:rsidRPr="00684AD6">
        <w:rPr>
          <w:rFonts w:ascii="Arial" w:eastAsia="Times New Roman" w:hAnsi="Arial" w:cs="Arial"/>
          <w:b/>
          <w:bCs/>
          <w:color w:val="000000"/>
          <w:sz w:val="20"/>
          <w:szCs w:val="20"/>
          <w:lang w:val="es-ES_tradnl" w:eastAsia="es-ES_tradnl"/>
        </w:rPr>
        <w:t xml:space="preserve"> </w:t>
      </w:r>
      <w:r w:rsidRPr="00684AD6">
        <w:rPr>
          <w:rFonts w:ascii="Arial" w:eastAsia="Calibri" w:hAnsi="Arial" w:cs="Arial"/>
          <w:b/>
          <w:color w:val="000000"/>
          <w:sz w:val="20"/>
          <w:szCs w:val="20"/>
          <w:lang w:val="es-ES_tradnl" w:eastAsia="es-ES_tradnl"/>
        </w:rPr>
        <w:t>–</w:t>
      </w:r>
      <w:r w:rsidRPr="00684AD6">
        <w:rPr>
          <w:rFonts w:ascii="Arial" w:eastAsia="Times New Roman" w:hAnsi="Arial" w:cs="Arial"/>
          <w:b/>
          <w:bCs/>
          <w:color w:val="000000"/>
          <w:sz w:val="20"/>
          <w:szCs w:val="20"/>
          <w:lang w:val="es-ES_tradnl" w:eastAsia="es-ES_tradnl"/>
        </w:rPr>
        <w:t xml:space="preserve"> Circunstancias </w:t>
      </w:r>
      <w:r w:rsidRPr="00684AD6">
        <w:rPr>
          <w:rFonts w:ascii="Arial" w:eastAsia="Calibri" w:hAnsi="Arial" w:cs="Arial"/>
          <w:b/>
          <w:color w:val="000000"/>
          <w:sz w:val="20"/>
          <w:szCs w:val="20"/>
          <w:lang w:val="es-ES_tradnl" w:eastAsia="es-ES_tradnl"/>
        </w:rPr>
        <w:t xml:space="preserve">– Plazo contractual </w:t>
      </w:r>
    </w:p>
    <w:p w14:paraId="4A0692D4" w14:textId="77777777" w:rsidR="00C14767" w:rsidRPr="00684AD6" w:rsidRDefault="00C14767" w:rsidP="00684AD6">
      <w:pPr>
        <w:spacing w:after="0" w:line="240" w:lineRule="auto"/>
        <w:jc w:val="both"/>
        <w:rPr>
          <w:rFonts w:ascii="Arial" w:eastAsia="Times New Roman" w:hAnsi="Arial" w:cs="Arial"/>
          <w:noProof/>
          <w:color w:val="000000"/>
          <w:sz w:val="20"/>
          <w:szCs w:val="20"/>
          <w:lang w:val="es-ES_tradnl" w:eastAsia="es-ES_tradnl"/>
        </w:rPr>
      </w:pPr>
    </w:p>
    <w:p w14:paraId="793BB344" w14:textId="678F4EDA" w:rsidR="00C14767" w:rsidRPr="00684AD6" w:rsidRDefault="00C14767" w:rsidP="00684AD6">
      <w:pPr>
        <w:spacing w:after="0" w:line="240" w:lineRule="auto"/>
        <w:jc w:val="both"/>
        <w:rPr>
          <w:rFonts w:ascii="Arial" w:eastAsia="Times New Roman" w:hAnsi="Arial" w:cs="Arial"/>
          <w:color w:val="000000"/>
          <w:sz w:val="20"/>
          <w:szCs w:val="20"/>
          <w:lang w:val="es-ES_tradnl" w:eastAsia="es-ES_tradnl"/>
        </w:rPr>
      </w:pPr>
      <w:r w:rsidRPr="00684AD6">
        <w:rPr>
          <w:rFonts w:ascii="Arial" w:eastAsia="Times New Roman" w:hAnsi="Arial" w:cs="Arial"/>
          <w:color w:val="000000"/>
          <w:sz w:val="20"/>
          <w:szCs w:val="20"/>
          <w:lang w:val="es-ES_tradnl" w:eastAsia="es-ES_tradnl"/>
        </w:rPr>
        <w:t xml:space="preserve">La </w:t>
      </w:r>
      <w:r w:rsidRPr="00684AD6">
        <w:rPr>
          <w:rFonts w:ascii="Arial" w:eastAsia="Times New Roman" w:hAnsi="Arial" w:cs="Arial"/>
          <w:i/>
          <w:iCs/>
          <w:color w:val="000000"/>
          <w:sz w:val="20"/>
          <w:szCs w:val="20"/>
          <w:lang w:val="es-ES_tradnl" w:eastAsia="es-ES_tradnl"/>
        </w:rPr>
        <w:t>suspensión</w:t>
      </w:r>
      <w:r w:rsidRPr="00684AD6">
        <w:rPr>
          <w:rFonts w:ascii="Arial" w:eastAsia="Times New Roman" w:hAnsi="Arial" w:cs="Arial"/>
          <w:color w:val="000000"/>
          <w:sz w:val="20"/>
          <w:szCs w:val="20"/>
          <w:lang w:val="es-ES_tradnl" w:eastAsia="es-ES_tradnl"/>
        </w:rPr>
        <w:t xml:space="preserve"> es la medida por la cual se acuerda el cese provisional de la ejecución del contrato, por la ocurrencia de circunstancias que lo impiden o lo dificultan.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684AD6">
        <w:rPr>
          <w:rFonts w:ascii="Arial" w:eastAsia="Times New Roman" w:hAnsi="Arial" w:cs="Arial"/>
          <w:i/>
          <w:iCs/>
          <w:color w:val="000000"/>
          <w:sz w:val="20"/>
          <w:szCs w:val="20"/>
          <w:lang w:val="es-ES_tradnl" w:eastAsia="es-ES_tradnl"/>
        </w:rPr>
        <w:t>de facto</w:t>
      </w:r>
      <w:r w:rsidRPr="00684AD6">
        <w:rPr>
          <w:rFonts w:ascii="Arial" w:eastAsia="Times New Roman" w:hAnsi="Arial" w:cs="Arial"/>
          <w:color w:val="000000"/>
          <w:sz w:val="20"/>
          <w:szCs w:val="20"/>
          <w:lang w:val="es-ES_tradnl" w:eastAsia="es-ES_tradnl"/>
        </w:rPr>
        <w:t xml:space="preserve">, mientras se resuelven las situaciones que están incidiendo negativamente en el desarrollo del negocio o que lo están tornando imposible. </w:t>
      </w:r>
    </w:p>
    <w:p w14:paraId="02593942" w14:textId="77777777" w:rsidR="00C14767" w:rsidRPr="00684AD6" w:rsidRDefault="00C14767" w:rsidP="00684AD6">
      <w:pPr>
        <w:spacing w:after="0" w:line="240" w:lineRule="auto"/>
        <w:jc w:val="both"/>
        <w:rPr>
          <w:rFonts w:ascii="Arial" w:eastAsia="Times New Roman" w:hAnsi="Arial" w:cs="Arial"/>
          <w:noProof/>
          <w:color w:val="000000"/>
          <w:sz w:val="20"/>
          <w:szCs w:val="20"/>
          <w:lang w:val="es-ES_tradnl" w:eastAsia="es-ES_tradnl"/>
        </w:rPr>
      </w:pPr>
    </w:p>
    <w:p w14:paraId="33F64EB4" w14:textId="3437E2EB" w:rsidR="00C14767" w:rsidRPr="00684AD6" w:rsidRDefault="00C14767" w:rsidP="00684AD6">
      <w:pPr>
        <w:spacing w:after="0" w:line="240" w:lineRule="auto"/>
        <w:jc w:val="both"/>
        <w:rPr>
          <w:rFonts w:ascii="Arial" w:eastAsia="Times New Roman" w:hAnsi="Arial" w:cs="Arial"/>
          <w:b/>
          <w:bCs/>
          <w:color w:val="000000"/>
          <w:sz w:val="20"/>
          <w:szCs w:val="20"/>
          <w:lang w:val="es-ES_tradnl" w:eastAsia="es-ES_tradnl"/>
        </w:rPr>
      </w:pPr>
      <w:r w:rsidRPr="00684AD6">
        <w:rPr>
          <w:rFonts w:ascii="Arial" w:eastAsia="Times New Roman" w:hAnsi="Arial" w:cs="Arial"/>
          <w:b/>
          <w:bCs/>
          <w:color w:val="000000"/>
          <w:sz w:val="20"/>
          <w:szCs w:val="20"/>
          <w:lang w:val="es-ES_tradnl" w:eastAsia="es-ES_tradnl"/>
        </w:rPr>
        <w:t xml:space="preserve">SUSPENSIÓN </w:t>
      </w:r>
      <w:r w:rsidRPr="00684AD6">
        <w:rPr>
          <w:rFonts w:ascii="Arial" w:eastAsia="Calibri" w:hAnsi="Arial" w:cs="Arial"/>
          <w:b/>
          <w:color w:val="000000"/>
          <w:sz w:val="20"/>
          <w:szCs w:val="20"/>
          <w:lang w:val="es-ES_tradnl" w:eastAsia="es-ES_tradnl"/>
        </w:rPr>
        <w:t>–</w:t>
      </w:r>
      <w:r w:rsidRPr="00684AD6">
        <w:rPr>
          <w:rFonts w:ascii="Arial" w:eastAsia="Times New Roman" w:hAnsi="Arial" w:cs="Arial"/>
          <w:b/>
          <w:bCs/>
          <w:color w:val="000000"/>
          <w:sz w:val="20"/>
          <w:szCs w:val="20"/>
          <w:lang w:val="es-ES_tradnl" w:eastAsia="es-ES_tradnl"/>
        </w:rPr>
        <w:t xml:space="preserve"> Metodología </w:t>
      </w:r>
      <w:r w:rsidRPr="00684AD6">
        <w:rPr>
          <w:rFonts w:ascii="Arial" w:eastAsia="Calibri" w:hAnsi="Arial" w:cs="Arial"/>
          <w:b/>
          <w:color w:val="000000"/>
          <w:sz w:val="20"/>
          <w:szCs w:val="20"/>
          <w:lang w:val="es-ES_tradnl" w:eastAsia="es-ES_tradnl"/>
        </w:rPr>
        <w:t>–</w:t>
      </w:r>
      <w:r w:rsidRPr="00684AD6">
        <w:rPr>
          <w:rFonts w:ascii="Arial" w:eastAsia="Times New Roman" w:hAnsi="Arial" w:cs="Arial"/>
          <w:b/>
          <w:bCs/>
          <w:color w:val="000000"/>
          <w:sz w:val="20"/>
          <w:szCs w:val="20"/>
          <w:lang w:val="es-ES_tradnl" w:eastAsia="es-ES_tradnl"/>
        </w:rPr>
        <w:t xml:space="preserve"> Condición </w:t>
      </w:r>
      <w:r w:rsidRPr="00684AD6">
        <w:rPr>
          <w:rFonts w:ascii="Arial" w:eastAsia="Calibri" w:hAnsi="Arial" w:cs="Arial"/>
          <w:b/>
          <w:color w:val="000000"/>
          <w:sz w:val="20"/>
          <w:szCs w:val="20"/>
          <w:lang w:val="es-ES_tradnl" w:eastAsia="es-ES_tradnl"/>
        </w:rPr>
        <w:t>– Término – Reinicio automático</w:t>
      </w:r>
    </w:p>
    <w:p w14:paraId="0B360BF0" w14:textId="77777777" w:rsidR="00C14767" w:rsidRPr="00684AD6" w:rsidRDefault="00C14767" w:rsidP="00684AD6">
      <w:pPr>
        <w:spacing w:after="0" w:line="240" w:lineRule="auto"/>
        <w:jc w:val="both"/>
        <w:rPr>
          <w:rFonts w:ascii="Arial" w:eastAsia="Times New Roman" w:hAnsi="Arial" w:cs="Arial"/>
          <w:noProof/>
          <w:color w:val="000000"/>
          <w:sz w:val="20"/>
          <w:szCs w:val="20"/>
          <w:lang w:val="es-ES_tradnl" w:eastAsia="es-ES_tradnl"/>
        </w:rPr>
      </w:pPr>
    </w:p>
    <w:p w14:paraId="3374B7AD" w14:textId="34F64F76" w:rsidR="00C14767" w:rsidRPr="00684AD6" w:rsidRDefault="0077633A" w:rsidP="00684AD6">
      <w:pPr>
        <w:spacing w:after="0" w:line="240" w:lineRule="auto"/>
        <w:jc w:val="both"/>
        <w:rPr>
          <w:rFonts w:ascii="Arial" w:eastAsia="Calibri" w:hAnsi="Arial" w:cs="Arial"/>
          <w:sz w:val="20"/>
          <w:szCs w:val="20"/>
          <w:lang w:val="es-ES" w:eastAsia="es-ES_tradnl"/>
        </w:rPr>
      </w:pPr>
      <w:r w:rsidRPr="00684AD6">
        <w:rPr>
          <w:rFonts w:ascii="Arial" w:eastAsia="Times New Roman" w:hAnsi="Arial" w:cs="Arial"/>
          <w:color w:val="000000"/>
          <w:sz w:val="20"/>
          <w:szCs w:val="20"/>
          <w:lang w:val="es-ES_tradnl" w:eastAsia="es-ES_tradnl"/>
        </w:rPr>
        <w:t xml:space="preserve">Como se observa, en los negocios jurídicos –siendo el acta de suspensión uno de ellos, porque se trata de un acuerdo de voluntades para crear obligaciones– las entidades pueden incorporar las </w:t>
      </w:r>
      <w:r w:rsidRPr="00684AD6">
        <w:rPr>
          <w:rFonts w:ascii="Arial" w:eastAsia="Times New Roman" w:hAnsi="Arial" w:cs="Arial"/>
          <w:i/>
          <w:iCs/>
          <w:color w:val="000000"/>
          <w:sz w:val="20"/>
          <w:szCs w:val="20"/>
          <w:lang w:val="es-ES_tradnl" w:eastAsia="es-ES_tradnl"/>
        </w:rPr>
        <w:t>condiciones</w:t>
      </w:r>
      <w:r w:rsidRPr="00684AD6">
        <w:rPr>
          <w:rFonts w:ascii="Arial" w:eastAsia="Times New Roman" w:hAnsi="Arial" w:cs="Arial"/>
          <w:color w:val="000000"/>
          <w:sz w:val="20"/>
          <w:szCs w:val="20"/>
          <w:lang w:val="es-ES_tradnl" w:eastAsia="es-ES_tradnl"/>
        </w:rPr>
        <w:t xml:space="preserve"> y </w:t>
      </w:r>
      <w:r w:rsidRPr="00684AD6">
        <w:rPr>
          <w:rFonts w:ascii="Arial" w:eastAsia="Times New Roman" w:hAnsi="Arial" w:cs="Arial"/>
          <w:i/>
          <w:iCs/>
          <w:color w:val="000000"/>
          <w:sz w:val="20"/>
          <w:szCs w:val="20"/>
          <w:lang w:val="es-ES_tradnl" w:eastAsia="es-ES_tradnl"/>
        </w:rPr>
        <w:t xml:space="preserve">cláusulas </w:t>
      </w:r>
      <w:r w:rsidRPr="00684AD6">
        <w:rPr>
          <w:rFonts w:ascii="Arial" w:eastAsia="Times New Roman" w:hAnsi="Arial" w:cs="Arial"/>
          <w:color w:val="000000"/>
          <w:sz w:val="20"/>
          <w:szCs w:val="20"/>
          <w:lang w:val="es-ES_tradnl" w:eastAsia="es-ES_tradnl"/>
        </w:rPr>
        <w:t>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comerciales y civiles–, en el acta de suspensión puede estipularse que el plazo de ejecución del contrato se reactivará cuando se cumpla una condición o sobrevenga una fecha específica</w:t>
      </w:r>
      <w:r w:rsidR="00C14767" w:rsidRPr="00684AD6">
        <w:rPr>
          <w:rFonts w:ascii="Arial" w:eastAsia="Calibri" w:hAnsi="Arial" w:cs="Arial"/>
          <w:sz w:val="20"/>
          <w:szCs w:val="20"/>
          <w:lang w:val="es-ES" w:eastAsia="es-ES_tradnl"/>
        </w:rPr>
        <w:t>.</w:t>
      </w:r>
    </w:p>
    <w:p w14:paraId="1FB7383F" w14:textId="77777777" w:rsidR="00C14767" w:rsidRPr="00684AD6" w:rsidRDefault="00C14767" w:rsidP="00684AD6">
      <w:pPr>
        <w:spacing w:after="0" w:line="240" w:lineRule="auto"/>
        <w:jc w:val="both"/>
        <w:rPr>
          <w:rFonts w:ascii="Arial" w:eastAsia="Calibri" w:hAnsi="Arial" w:cs="Arial"/>
          <w:sz w:val="20"/>
          <w:szCs w:val="20"/>
          <w:lang w:val="es-ES" w:eastAsia="es-ES_tradnl"/>
        </w:rPr>
      </w:pPr>
    </w:p>
    <w:p w14:paraId="6A6CE10F" w14:textId="77777777" w:rsidR="00CB7179" w:rsidRPr="00684AD6" w:rsidRDefault="0077633A" w:rsidP="00684AD6">
      <w:pPr>
        <w:spacing w:line="240" w:lineRule="auto"/>
        <w:jc w:val="both"/>
        <w:rPr>
          <w:rFonts w:ascii="Arial" w:eastAsia="Times New Roman" w:hAnsi="Arial" w:cs="Arial"/>
          <w:color w:val="000000"/>
          <w:sz w:val="20"/>
          <w:szCs w:val="20"/>
          <w:lang w:val="es-ES_tradnl" w:eastAsia="es-ES_tradnl"/>
        </w:rPr>
      </w:pPr>
      <w:r w:rsidRPr="00684AD6">
        <w:rPr>
          <w:rFonts w:ascii="Arial" w:eastAsia="Times New Roman" w:hAnsi="Arial" w:cs="Arial"/>
          <w:color w:val="000000"/>
          <w:sz w:val="20"/>
          <w:szCs w:val="20"/>
          <w:lang w:val="es-ES_tradnl" w:eastAsia="es-ES_tradnl"/>
        </w:rPr>
        <w:t xml:space="preserve">Así las cosas, atendiendo a los términos en los que se haya pactado la suspensión es posible que no sea necesario suscribir luego un acta de reinicio para que se reactive la ejecución del contrato, sino que tal reactivación opere </w:t>
      </w:r>
      <w:r w:rsidRPr="00684AD6">
        <w:rPr>
          <w:rFonts w:ascii="Arial" w:eastAsia="Times New Roman" w:hAnsi="Arial" w:cs="Arial"/>
          <w:i/>
          <w:iCs/>
          <w:color w:val="000000"/>
          <w:sz w:val="20"/>
          <w:szCs w:val="20"/>
          <w:lang w:val="es-ES_tradnl" w:eastAsia="es-ES_tradnl"/>
        </w:rPr>
        <w:t>automáticamente</w:t>
      </w:r>
      <w:r w:rsidRPr="00684AD6">
        <w:rPr>
          <w:rFonts w:ascii="Arial" w:eastAsia="Times New Roman" w:hAnsi="Arial" w:cs="Arial"/>
          <w:color w:val="000000"/>
          <w:sz w:val="20"/>
          <w:szCs w:val="20"/>
          <w:lang w:val="es-ES_tradnl" w:eastAsia="es-ES_tradnl"/>
        </w:rPr>
        <w:t>, cuando se cumpla la condición o fecha cierta que las partes hayan pactado.</w:t>
      </w:r>
    </w:p>
    <w:p w14:paraId="4A7A28A6" w14:textId="5F6A3842" w:rsidR="00CB7179" w:rsidRPr="00684AD6" w:rsidRDefault="00CB7179" w:rsidP="00684AD6">
      <w:pPr>
        <w:spacing w:line="240" w:lineRule="auto"/>
        <w:jc w:val="both"/>
        <w:rPr>
          <w:rFonts w:ascii="Arial" w:eastAsia="Times New Roman" w:hAnsi="Arial" w:cs="Arial"/>
          <w:color w:val="000000"/>
          <w:sz w:val="20"/>
          <w:szCs w:val="20"/>
          <w:lang w:val="es-ES_tradnl" w:eastAsia="es-ES_tradnl"/>
        </w:rPr>
      </w:pPr>
      <w:r w:rsidRPr="00684AD6">
        <w:rPr>
          <w:rFonts w:ascii="Arial" w:eastAsia="Calibri" w:hAnsi="Arial" w:cs="Arial"/>
          <w:b/>
          <w:color w:val="000000"/>
          <w:sz w:val="20"/>
          <w:szCs w:val="20"/>
          <w:lang w:val="es-ES_tradnl" w:eastAsia="es-ES_tradnl"/>
        </w:rPr>
        <w:t xml:space="preserve">REINICIO </w:t>
      </w:r>
      <w:r w:rsidR="00684AD6" w:rsidRPr="00684AD6">
        <w:rPr>
          <w:rFonts w:ascii="Arial" w:eastAsia="Calibri" w:hAnsi="Arial" w:cs="Arial"/>
          <w:b/>
          <w:color w:val="000000"/>
          <w:sz w:val="20"/>
          <w:szCs w:val="20"/>
          <w:lang w:val="es-ES_tradnl" w:eastAsia="es-ES_tradnl"/>
        </w:rPr>
        <w:t>– Reinicio</w:t>
      </w:r>
      <w:r w:rsidRPr="00684AD6">
        <w:rPr>
          <w:rFonts w:ascii="Arial" w:eastAsia="Calibri" w:hAnsi="Arial" w:cs="Arial"/>
          <w:b/>
          <w:color w:val="000000"/>
          <w:sz w:val="20"/>
          <w:szCs w:val="20"/>
          <w:lang w:val="es-ES_tradnl" w:eastAsia="es-ES_tradnl"/>
        </w:rPr>
        <w:t xml:space="preserve"> automático - SECOP II</w:t>
      </w:r>
    </w:p>
    <w:p w14:paraId="652F4169" w14:textId="55DD8C96" w:rsidR="00684AD6" w:rsidRDefault="0077633A" w:rsidP="00684AD6">
      <w:pPr>
        <w:spacing w:after="0" w:line="240" w:lineRule="auto"/>
        <w:jc w:val="both"/>
        <w:rPr>
          <w:rFonts w:ascii="Arial" w:eastAsia="Times New Roman" w:hAnsi="Arial" w:cs="Arial"/>
          <w:color w:val="000000"/>
          <w:sz w:val="20"/>
          <w:szCs w:val="20"/>
          <w:lang w:val="es-ES_tradnl" w:eastAsia="es-ES_tradnl"/>
        </w:rPr>
      </w:pPr>
      <w:r w:rsidRPr="00684AD6">
        <w:rPr>
          <w:rFonts w:ascii="Arial" w:eastAsia="Calibri" w:hAnsi="Arial" w:cs="Arial"/>
          <w:color w:val="000000" w:themeColor="text1"/>
          <w:sz w:val="20"/>
          <w:szCs w:val="20"/>
          <w:lang w:val="es-ES"/>
        </w:rPr>
        <w:t>En ese contexto, la Entidad Estatal podrá realizar las modificaciones en el plazo de ejecución del contrato conforme al acuerdo de voluntades expuesto en el acta de suspensión suscrita por las partes en la plataforma SECOP II previamente, para que la misma genere una nueva versión del plazo de ejecución del contrato, para lo cual la entidad podrá ingresar al SECOP II e ir al detalle del contrato y hacer clic en “Modificar” desde cualquiera de las secciones que componen el contrato. SECOP II habilita las opciones de modificación para que la entidad seleccione la que requiera. Una vez seleccione la modificación la plataforma muestra un mensaje con la pregunta “¿Requiere reconocimiento del proveedor?” en la cual la entidad podrá indicar que “no” dado a que dicho acuerdo de reinicio automático del plazo de ejecución fue aprobado previamente por las partes.</w:t>
      </w:r>
    </w:p>
    <w:p w14:paraId="24806B18" w14:textId="60ED48F0" w:rsidR="00684AD6" w:rsidRPr="00684AD6" w:rsidRDefault="00684AD6" w:rsidP="00684AD6">
      <w:pPr>
        <w:spacing w:after="0" w:line="240" w:lineRule="auto"/>
        <w:jc w:val="both"/>
        <w:rPr>
          <w:rFonts w:ascii="Arial" w:eastAsia="Times New Roman" w:hAnsi="Arial" w:cs="Arial"/>
          <w:color w:val="000000"/>
          <w:sz w:val="20"/>
          <w:szCs w:val="20"/>
          <w:lang w:val="es-ES_tradnl" w:eastAsia="es-ES_tradnl"/>
        </w:rPr>
      </w:pPr>
      <w:r w:rsidRPr="00684AD6">
        <w:rPr>
          <w:rFonts w:ascii="Arial" w:eastAsia="Calibri" w:hAnsi="Arial" w:cs="Arial"/>
          <w:color w:val="000000"/>
          <w:sz w:val="20"/>
          <w:szCs w:val="20"/>
          <w:lang w:val="es-ES" w:eastAsia="es-ES_tradnl"/>
        </w:rPr>
        <w:t>[…]</w:t>
      </w:r>
    </w:p>
    <w:p w14:paraId="6F089E69" w14:textId="77777777" w:rsidR="0077633A" w:rsidRDefault="0077633A" w:rsidP="00684AD6">
      <w:pPr>
        <w:spacing w:after="0" w:line="240" w:lineRule="auto"/>
        <w:jc w:val="both"/>
        <w:rPr>
          <w:rFonts w:ascii="Arial" w:eastAsia="Calibri" w:hAnsi="Arial" w:cs="Arial"/>
          <w:sz w:val="20"/>
          <w:szCs w:val="20"/>
          <w:lang w:val="es-ES" w:eastAsia="es-ES_tradnl"/>
        </w:rPr>
      </w:pPr>
      <w:r w:rsidRPr="00684AD6">
        <w:rPr>
          <w:rFonts w:ascii="Arial" w:eastAsia="Calibri" w:hAnsi="Arial" w:cs="Arial"/>
          <w:color w:val="000000" w:themeColor="text1"/>
          <w:sz w:val="20"/>
          <w:szCs w:val="20"/>
          <w:lang w:val="es-ES"/>
        </w:rPr>
        <w:t xml:space="preserve">Finalmente, si la entidad seleccionó que no requiere el reconocimiento del proveedor para publicar la modificación, la entidad podrá publicar la modificación realizada y cambiará a “Publicado”, reflejándose los </w:t>
      </w:r>
      <w:r w:rsidRPr="00684AD6">
        <w:rPr>
          <w:rFonts w:ascii="Arial" w:eastAsia="Calibri" w:hAnsi="Arial" w:cs="Arial"/>
          <w:color w:val="000000" w:themeColor="text1"/>
          <w:sz w:val="20"/>
          <w:szCs w:val="20"/>
          <w:lang w:val="es-ES"/>
        </w:rPr>
        <w:lastRenderedPageBreak/>
        <w:t xml:space="preserve">cambios en el contrato, toda vez que la plataforma </w:t>
      </w:r>
      <w:r w:rsidRPr="00684AD6">
        <w:rPr>
          <w:rFonts w:ascii="Arial" w:eastAsia="Calibri" w:hAnsi="Arial" w:cs="Arial"/>
          <w:sz w:val="20"/>
          <w:szCs w:val="20"/>
          <w:lang w:val="es-ES" w:eastAsia="es-ES_tradnl"/>
        </w:rPr>
        <w:t>contabilizará automáticamente el “Tiempo adiciones en días” con el total de días calendario que quedaban de ejecución del contrato desde la fecha de la suspensión de este.</w:t>
      </w:r>
    </w:p>
    <w:p w14:paraId="3B50D2B3" w14:textId="77777777" w:rsidR="00684AD6" w:rsidRPr="007D1503" w:rsidRDefault="00684AD6" w:rsidP="007D1503">
      <w:pPr>
        <w:spacing w:after="0" w:line="240" w:lineRule="auto"/>
        <w:jc w:val="both"/>
        <w:rPr>
          <w:rFonts w:ascii="Arial" w:eastAsia="Calibri" w:hAnsi="Arial" w:cs="Arial"/>
          <w:sz w:val="20"/>
          <w:szCs w:val="20"/>
          <w:lang w:val="es-ES" w:eastAsia="es-ES_tradnl"/>
        </w:rPr>
      </w:pPr>
    </w:p>
    <w:p w14:paraId="2641E9E4" w14:textId="2A2E7869" w:rsidR="00284BF4" w:rsidRPr="007D1503" w:rsidRDefault="001E4325" w:rsidP="007D1503">
      <w:pPr>
        <w:spacing w:after="0" w:line="240" w:lineRule="auto"/>
        <w:jc w:val="both"/>
        <w:rPr>
          <w:rFonts w:ascii="Arial" w:eastAsia="Calibri" w:hAnsi="Arial" w:cs="Arial"/>
          <w:b/>
          <w:bCs/>
          <w:sz w:val="20"/>
          <w:szCs w:val="20"/>
          <w:lang w:val="es-ES" w:eastAsia="es-ES_tradnl"/>
        </w:rPr>
      </w:pPr>
      <w:r w:rsidRPr="00306FC1">
        <w:rPr>
          <w:rFonts w:ascii="Arial" w:eastAsia="Calibri" w:hAnsi="Arial" w:cs="Arial"/>
          <w:b/>
          <w:bCs/>
          <w:sz w:val="20"/>
          <w:szCs w:val="20"/>
          <w:lang w:val="es-ES" w:eastAsia="es-ES_tradnl"/>
        </w:rPr>
        <w:t>CADUCIDAD</w:t>
      </w:r>
      <w:r w:rsidRPr="007D1503">
        <w:rPr>
          <w:rFonts w:ascii="Arial" w:eastAsia="Calibri" w:hAnsi="Arial" w:cs="Arial"/>
          <w:b/>
          <w:bCs/>
          <w:sz w:val="20"/>
          <w:szCs w:val="20"/>
          <w:lang w:val="es-ES" w:eastAsia="es-ES_tradnl"/>
        </w:rPr>
        <w:t xml:space="preserve"> – Cláusula excepcional</w:t>
      </w:r>
    </w:p>
    <w:p w14:paraId="135333A7" w14:textId="77777777" w:rsidR="00EF0285" w:rsidRPr="007D1503" w:rsidRDefault="00EF0285" w:rsidP="007D1503">
      <w:pPr>
        <w:spacing w:after="0" w:line="240" w:lineRule="auto"/>
        <w:jc w:val="both"/>
        <w:rPr>
          <w:rFonts w:ascii="Arial" w:eastAsia="Calibri" w:hAnsi="Arial" w:cs="Arial"/>
          <w:b/>
          <w:bCs/>
          <w:sz w:val="20"/>
          <w:szCs w:val="20"/>
          <w:lang w:val="es-ES" w:eastAsia="es-ES_tradnl"/>
        </w:rPr>
      </w:pPr>
    </w:p>
    <w:p w14:paraId="101618CA" w14:textId="142A7342" w:rsidR="00BA35BA" w:rsidRPr="007D1503" w:rsidRDefault="00BA35BA" w:rsidP="007D1503">
      <w:pPr>
        <w:spacing w:after="0" w:line="240" w:lineRule="auto"/>
        <w:jc w:val="both"/>
        <w:rPr>
          <w:rFonts w:ascii="Arial" w:eastAsia="Times New Roman" w:hAnsi="Arial" w:cs="Arial"/>
          <w:iCs/>
          <w:color w:val="000000"/>
          <w:sz w:val="20"/>
          <w:szCs w:val="20"/>
          <w:lang w:val="es-ES_tradnl" w:eastAsia="es-ES_tradnl"/>
        </w:rPr>
      </w:pPr>
      <w:r w:rsidRPr="007D1503">
        <w:rPr>
          <w:rFonts w:ascii="Arial" w:eastAsia="Calibri" w:hAnsi="Arial" w:cs="Arial"/>
          <w:color w:val="000000"/>
          <w:sz w:val="20"/>
          <w:szCs w:val="20"/>
          <w:lang w:val="es-ES" w:eastAsia="es-ES_tradnl"/>
        </w:rPr>
        <w:t>[e]</w:t>
      </w:r>
      <w:r w:rsidRPr="007D1503">
        <w:rPr>
          <w:rFonts w:ascii="Arial" w:eastAsia="Times New Roman" w:hAnsi="Arial" w:cs="Arial"/>
          <w:iCs/>
          <w:color w:val="000000"/>
          <w:sz w:val="20"/>
          <w:szCs w:val="20"/>
          <w:lang w:val="es-ES_tradnl" w:eastAsia="es-ES_tradnl"/>
        </w:rPr>
        <w:t>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w:t>
      </w:r>
    </w:p>
    <w:p w14:paraId="69A13965" w14:textId="77777777" w:rsidR="0039501D" w:rsidRPr="007D1503" w:rsidRDefault="0039501D" w:rsidP="007D1503">
      <w:pPr>
        <w:spacing w:after="0" w:line="240" w:lineRule="auto"/>
        <w:jc w:val="both"/>
        <w:rPr>
          <w:rFonts w:ascii="Arial" w:eastAsia="Times New Roman" w:hAnsi="Arial" w:cs="Arial"/>
          <w:color w:val="000000"/>
          <w:sz w:val="20"/>
          <w:szCs w:val="20"/>
          <w:lang w:val="es-ES_tradnl" w:eastAsia="es-ES_tradnl"/>
        </w:rPr>
      </w:pPr>
      <w:r w:rsidRPr="007D1503">
        <w:rPr>
          <w:rFonts w:ascii="Arial" w:eastAsia="Calibri" w:hAnsi="Arial" w:cs="Arial"/>
          <w:color w:val="000000"/>
          <w:sz w:val="20"/>
          <w:szCs w:val="20"/>
          <w:lang w:val="es-ES" w:eastAsia="es-ES_tradnl"/>
        </w:rPr>
        <w:t>[…]</w:t>
      </w:r>
    </w:p>
    <w:p w14:paraId="5584BDBB" w14:textId="606F962F" w:rsidR="0039501D" w:rsidRPr="007D1503" w:rsidRDefault="0039501D" w:rsidP="007D1503">
      <w:pPr>
        <w:spacing w:after="0" w:line="240" w:lineRule="auto"/>
        <w:jc w:val="both"/>
        <w:rPr>
          <w:rFonts w:ascii="Arial" w:eastAsia="Calibri" w:hAnsi="Arial" w:cs="Arial"/>
          <w:b/>
          <w:bCs/>
          <w:sz w:val="20"/>
          <w:szCs w:val="20"/>
          <w:lang w:val="es-ES" w:eastAsia="es-ES_tradnl"/>
        </w:rPr>
      </w:pPr>
      <w:r w:rsidRPr="007D1503">
        <w:rPr>
          <w:rFonts w:ascii="Arial" w:eastAsia="Times New Roman" w:hAnsi="Arial" w:cs="Arial"/>
          <w:iCs/>
          <w:color w:val="000000"/>
          <w:sz w:val="20"/>
          <w:szCs w:val="20"/>
          <w:lang w:val="es-ES_tradnl" w:eastAsia="es-ES_tradnl"/>
        </w:rPr>
        <w:t xml:space="preserve">Las consecuencias jurídicas que se generan con la caducidad son: i) la terminación del contrato, </w:t>
      </w:r>
      <w:proofErr w:type="spellStart"/>
      <w:r w:rsidRPr="007D1503">
        <w:rPr>
          <w:rFonts w:ascii="Arial" w:eastAsia="Times New Roman" w:hAnsi="Arial" w:cs="Arial"/>
          <w:iCs/>
          <w:color w:val="000000"/>
          <w:sz w:val="20"/>
          <w:szCs w:val="20"/>
          <w:lang w:val="es-ES_tradnl" w:eastAsia="es-ES_tradnl"/>
        </w:rPr>
        <w:t>ii</w:t>
      </w:r>
      <w:proofErr w:type="spellEnd"/>
      <w:r w:rsidRPr="007D1503">
        <w:rPr>
          <w:rFonts w:ascii="Arial" w:eastAsia="Times New Roman" w:hAnsi="Arial" w:cs="Arial"/>
          <w:iCs/>
          <w:color w:val="000000"/>
          <w:sz w:val="20"/>
          <w:szCs w:val="20"/>
          <w:lang w:val="es-ES_tradnl" w:eastAsia="es-ES_tradnl"/>
        </w:rPr>
        <w:t xml:space="preserve">) la iniciación del trámite de liquidación bilateral –y unilateral, si fracasa la bilateral–, </w:t>
      </w:r>
      <w:proofErr w:type="spellStart"/>
      <w:r w:rsidRPr="007D1503">
        <w:rPr>
          <w:rFonts w:ascii="Arial" w:eastAsia="Times New Roman" w:hAnsi="Arial" w:cs="Arial"/>
          <w:iCs/>
          <w:color w:val="000000"/>
          <w:sz w:val="20"/>
          <w:szCs w:val="20"/>
          <w:lang w:val="es-ES_tradnl" w:eastAsia="es-ES_tradnl"/>
        </w:rPr>
        <w:t>iii</w:t>
      </w:r>
      <w:proofErr w:type="spellEnd"/>
      <w:r w:rsidRPr="007D1503">
        <w:rPr>
          <w:rFonts w:ascii="Arial" w:eastAsia="Times New Roman" w:hAnsi="Arial" w:cs="Arial"/>
          <w:iCs/>
          <w:color w:val="000000"/>
          <w:sz w:val="20"/>
          <w:szCs w:val="20"/>
          <w:lang w:val="es-ES_tradnl" w:eastAsia="es-ES_tradnl"/>
        </w:rPr>
        <w:t xml:space="preserve">) la inhabilidad sobreviniente por cinco años, </w:t>
      </w:r>
      <w:proofErr w:type="spellStart"/>
      <w:r w:rsidRPr="007D1503">
        <w:rPr>
          <w:rFonts w:ascii="Arial" w:eastAsia="Times New Roman" w:hAnsi="Arial" w:cs="Arial"/>
          <w:iCs/>
          <w:color w:val="000000"/>
          <w:sz w:val="20"/>
          <w:szCs w:val="20"/>
          <w:lang w:val="es-ES_tradnl" w:eastAsia="es-ES_tradnl"/>
        </w:rPr>
        <w:t>iv</w:t>
      </w:r>
      <w:proofErr w:type="spellEnd"/>
      <w:r w:rsidRPr="007D1503">
        <w:rPr>
          <w:rFonts w:ascii="Arial" w:eastAsia="Times New Roman" w:hAnsi="Arial" w:cs="Arial"/>
          <w:iCs/>
          <w:color w:val="000000"/>
          <w:sz w:val="20"/>
          <w:szCs w:val="20"/>
          <w:lang w:val="es-ES_tradnl" w:eastAsia="es-ES_tradnl"/>
        </w:rPr>
        <w:t>)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24AAB20B" w14:textId="77777777" w:rsidR="001E4325" w:rsidRPr="007D1503" w:rsidRDefault="001E4325" w:rsidP="007D1503">
      <w:pPr>
        <w:spacing w:after="0" w:line="240" w:lineRule="auto"/>
        <w:jc w:val="both"/>
        <w:rPr>
          <w:rFonts w:ascii="Arial" w:eastAsia="Calibri" w:hAnsi="Arial" w:cs="Arial"/>
          <w:b/>
          <w:bCs/>
          <w:sz w:val="20"/>
          <w:szCs w:val="20"/>
          <w:lang w:val="es-ES" w:eastAsia="es-ES_tradnl"/>
        </w:rPr>
      </w:pPr>
    </w:p>
    <w:p w14:paraId="3242395B" w14:textId="7872046A" w:rsidR="001E4325" w:rsidRPr="007D1503" w:rsidRDefault="008C6F06" w:rsidP="007D1503">
      <w:pPr>
        <w:spacing w:after="0" w:line="240" w:lineRule="auto"/>
        <w:jc w:val="both"/>
        <w:rPr>
          <w:rFonts w:ascii="Arial" w:eastAsia="Calibri" w:hAnsi="Arial" w:cs="Arial"/>
          <w:b/>
          <w:bCs/>
          <w:sz w:val="20"/>
          <w:szCs w:val="20"/>
          <w:lang w:val="es-ES" w:eastAsia="es-ES_tradnl"/>
        </w:rPr>
      </w:pPr>
      <w:r w:rsidRPr="007D1503">
        <w:rPr>
          <w:rFonts w:ascii="Arial" w:eastAsia="Calibri" w:hAnsi="Arial" w:cs="Arial"/>
          <w:b/>
          <w:bCs/>
          <w:sz w:val="20"/>
          <w:szCs w:val="20"/>
          <w:lang w:val="es-ES" w:eastAsia="es-ES_tradnl"/>
        </w:rPr>
        <w:t>POTESTADES</w:t>
      </w:r>
      <w:r w:rsidR="00F64C85" w:rsidRPr="007D1503">
        <w:rPr>
          <w:rFonts w:ascii="Arial" w:eastAsia="Calibri" w:hAnsi="Arial" w:cs="Arial"/>
          <w:b/>
          <w:bCs/>
          <w:sz w:val="20"/>
          <w:szCs w:val="20"/>
          <w:lang w:val="es-ES" w:eastAsia="es-ES_tradnl"/>
        </w:rPr>
        <w:t xml:space="preserve"> UNILATERAL</w:t>
      </w:r>
      <w:r w:rsidRPr="007D1503">
        <w:rPr>
          <w:rFonts w:ascii="Arial" w:eastAsia="Calibri" w:hAnsi="Arial" w:cs="Arial"/>
          <w:b/>
          <w:bCs/>
          <w:sz w:val="20"/>
          <w:szCs w:val="20"/>
          <w:lang w:val="es-ES" w:eastAsia="es-ES_tradnl"/>
        </w:rPr>
        <w:t>ES</w:t>
      </w:r>
      <w:r w:rsidR="006150B9">
        <w:rPr>
          <w:rFonts w:ascii="Arial" w:eastAsia="Calibri" w:hAnsi="Arial" w:cs="Arial"/>
          <w:b/>
          <w:bCs/>
          <w:sz w:val="20"/>
          <w:szCs w:val="20"/>
          <w:lang w:val="es-ES" w:eastAsia="es-ES_tradnl"/>
        </w:rPr>
        <w:t xml:space="preserve"> </w:t>
      </w:r>
      <w:r w:rsidR="006150B9" w:rsidRPr="007D1503">
        <w:rPr>
          <w:rFonts w:ascii="Arial" w:eastAsia="Calibri" w:hAnsi="Arial" w:cs="Arial"/>
          <w:b/>
          <w:bCs/>
          <w:sz w:val="20"/>
          <w:szCs w:val="20"/>
          <w:lang w:val="es-ES" w:eastAsia="es-ES_tradnl"/>
        </w:rPr>
        <w:t xml:space="preserve">– </w:t>
      </w:r>
      <w:r w:rsidR="00F64C85" w:rsidRPr="007D1503">
        <w:rPr>
          <w:rFonts w:ascii="Arial" w:eastAsia="Calibri" w:hAnsi="Arial" w:cs="Arial"/>
          <w:b/>
          <w:bCs/>
          <w:sz w:val="20"/>
          <w:szCs w:val="20"/>
          <w:lang w:val="es-ES" w:eastAsia="es-ES_tradnl"/>
        </w:rPr>
        <w:t>Imposición unilateral – Multas – Cláusula penal</w:t>
      </w:r>
      <w:r w:rsidR="00EF0285" w:rsidRPr="007D1503">
        <w:rPr>
          <w:rFonts w:ascii="Arial" w:eastAsia="Calibri" w:hAnsi="Arial" w:cs="Arial"/>
          <w:b/>
          <w:bCs/>
          <w:sz w:val="20"/>
          <w:szCs w:val="20"/>
          <w:lang w:val="es-ES" w:eastAsia="es-ES_tradnl"/>
        </w:rPr>
        <w:t xml:space="preserve"> – Incumplimiento parcial o total</w:t>
      </w:r>
    </w:p>
    <w:p w14:paraId="5F2B3193" w14:textId="77777777" w:rsidR="00E710DB" w:rsidRPr="007D1503" w:rsidRDefault="00E710DB" w:rsidP="007D1503">
      <w:pPr>
        <w:spacing w:after="0" w:line="240" w:lineRule="auto"/>
        <w:jc w:val="both"/>
        <w:rPr>
          <w:rFonts w:ascii="Arial" w:eastAsia="Calibri" w:hAnsi="Arial" w:cs="Arial"/>
          <w:b/>
          <w:bCs/>
          <w:sz w:val="20"/>
          <w:szCs w:val="20"/>
          <w:lang w:val="es-ES" w:eastAsia="es-ES_tradnl"/>
        </w:rPr>
      </w:pPr>
    </w:p>
    <w:p w14:paraId="369DB7AA" w14:textId="77777777" w:rsidR="00E710DB" w:rsidRPr="007D1503" w:rsidRDefault="00E710DB" w:rsidP="007D1503">
      <w:pPr>
        <w:spacing w:after="0" w:line="240" w:lineRule="auto"/>
        <w:jc w:val="both"/>
        <w:rPr>
          <w:rFonts w:ascii="Arial" w:eastAsia="Times New Roman" w:hAnsi="Arial" w:cs="Arial"/>
          <w:iCs/>
          <w:color w:val="000000"/>
          <w:sz w:val="20"/>
          <w:szCs w:val="20"/>
          <w:lang w:val="es-ES_tradnl" w:eastAsia="es-ES_tradnl"/>
        </w:rPr>
      </w:pPr>
      <w:r w:rsidRPr="007D1503">
        <w:rPr>
          <w:rFonts w:ascii="Arial" w:eastAsia="Times New Roman" w:hAnsi="Arial" w:cs="Arial"/>
          <w:iCs/>
          <w:color w:val="000000"/>
          <w:sz w:val="20"/>
          <w:szCs w:val="20"/>
          <w:lang w:val="es-ES_tradnl" w:eastAsia="es-ES_tradnl"/>
        </w:rPr>
        <w:t xml:space="preserve">Dentro de las potestades unilaterales también se encuentran la </w:t>
      </w:r>
      <w:r w:rsidRPr="007D1503">
        <w:rPr>
          <w:rFonts w:ascii="Arial" w:eastAsia="Times New Roman" w:hAnsi="Arial" w:cs="Arial"/>
          <w:i/>
          <w:color w:val="000000"/>
          <w:sz w:val="20"/>
          <w:szCs w:val="20"/>
          <w:lang w:val="es-ES_tradnl" w:eastAsia="es-ES_tradnl"/>
        </w:rPr>
        <w:t>imposición unilateral</w:t>
      </w:r>
      <w:r w:rsidRPr="007D1503">
        <w:rPr>
          <w:rFonts w:ascii="Arial" w:eastAsia="Times New Roman" w:hAnsi="Arial" w:cs="Arial"/>
          <w:iCs/>
          <w:color w:val="000000"/>
          <w:sz w:val="20"/>
          <w:szCs w:val="20"/>
          <w:lang w:val="es-ES_tradnl" w:eastAsia="es-ES_tradnl"/>
        </w:rPr>
        <w:t xml:space="preserve"> de las cláusulas penales y de multas –artículo 17 de la Ley 1150 de 2007–, aclarando que su exorbitancia se refiere a su imposición unilateral, no a su pacto, que es posible en virtud de las normas civiles y comerciales.</w:t>
      </w:r>
    </w:p>
    <w:p w14:paraId="5A1E126C" w14:textId="77777777" w:rsidR="007D1503" w:rsidRPr="007D1503" w:rsidRDefault="007D1503" w:rsidP="007D1503">
      <w:pPr>
        <w:spacing w:after="0" w:line="240" w:lineRule="auto"/>
        <w:jc w:val="both"/>
        <w:rPr>
          <w:rFonts w:ascii="Arial" w:eastAsia="Times New Roman" w:hAnsi="Arial" w:cs="Arial"/>
          <w:color w:val="000000"/>
          <w:sz w:val="20"/>
          <w:szCs w:val="20"/>
          <w:lang w:val="es-ES_tradnl" w:eastAsia="es-ES_tradnl"/>
        </w:rPr>
      </w:pPr>
      <w:r w:rsidRPr="007D1503">
        <w:rPr>
          <w:rFonts w:ascii="Arial" w:eastAsia="Calibri" w:hAnsi="Arial" w:cs="Arial"/>
          <w:color w:val="000000"/>
          <w:sz w:val="20"/>
          <w:szCs w:val="20"/>
          <w:lang w:val="es-ES" w:eastAsia="es-ES_tradnl"/>
        </w:rPr>
        <w:t>[…]</w:t>
      </w:r>
    </w:p>
    <w:p w14:paraId="16F6F48E" w14:textId="210237F8" w:rsidR="007D1503" w:rsidRPr="007D1503" w:rsidRDefault="007D1503" w:rsidP="007D1503">
      <w:pPr>
        <w:spacing w:after="0" w:line="240" w:lineRule="auto"/>
        <w:jc w:val="both"/>
        <w:rPr>
          <w:rFonts w:ascii="Arial" w:eastAsia="Times New Roman" w:hAnsi="Arial" w:cs="Arial"/>
          <w:color w:val="000000"/>
          <w:sz w:val="20"/>
          <w:szCs w:val="20"/>
          <w:lang w:val="es-ES" w:eastAsia="es-ES_tradnl"/>
        </w:rPr>
      </w:pPr>
      <w:r w:rsidRPr="007D1503">
        <w:rPr>
          <w:rFonts w:ascii="Arial" w:eastAsia="Calibri" w:hAnsi="Arial" w:cs="Arial"/>
          <w:color w:val="000000"/>
          <w:sz w:val="20"/>
          <w:szCs w:val="20"/>
          <w:lang w:val="es-ES" w:eastAsia="es-ES_tradnl"/>
        </w:rPr>
        <w:t>[c]</w:t>
      </w:r>
      <w:proofErr w:type="spellStart"/>
      <w:r w:rsidRPr="007D1503">
        <w:rPr>
          <w:rFonts w:ascii="Arial" w:eastAsia="Times New Roman" w:hAnsi="Arial" w:cs="Arial"/>
          <w:color w:val="000000"/>
          <w:sz w:val="20"/>
          <w:szCs w:val="20"/>
          <w:lang w:val="es-ES" w:eastAsia="es-ES_tradnl"/>
        </w:rPr>
        <w:t>uentan</w:t>
      </w:r>
      <w:proofErr w:type="spellEnd"/>
      <w:r w:rsidRPr="007D1503">
        <w:rPr>
          <w:rFonts w:ascii="Arial" w:eastAsia="Times New Roman" w:hAnsi="Arial" w:cs="Arial"/>
          <w:color w:val="000000"/>
          <w:sz w:val="20"/>
          <w:szCs w:val="20"/>
          <w:lang w:val="es-ES" w:eastAsia="es-ES_tradnl"/>
        </w:rPr>
        <w:t xml:space="preserve">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w:t>
      </w:r>
    </w:p>
    <w:p w14:paraId="7E8C82D1" w14:textId="77777777" w:rsidR="00284BF4" w:rsidRPr="00684AD6" w:rsidRDefault="00284BF4" w:rsidP="00684AD6">
      <w:pPr>
        <w:spacing w:after="0" w:line="240" w:lineRule="auto"/>
        <w:jc w:val="both"/>
        <w:rPr>
          <w:rFonts w:ascii="Arial" w:eastAsia="Calibri" w:hAnsi="Arial" w:cs="Arial"/>
          <w:sz w:val="20"/>
          <w:szCs w:val="20"/>
          <w:lang w:val="es-ES" w:eastAsia="es-ES"/>
        </w:rPr>
      </w:pPr>
    </w:p>
    <w:p w14:paraId="2F06E5F0" w14:textId="77777777" w:rsidR="006A176E" w:rsidRPr="00A5498D" w:rsidRDefault="006A176E" w:rsidP="006A176E">
      <w:pPr>
        <w:spacing w:after="0" w:line="240" w:lineRule="auto"/>
        <w:jc w:val="both"/>
        <w:rPr>
          <w:rFonts w:ascii="Arial" w:eastAsia="Calibri" w:hAnsi="Arial" w:cs="Arial"/>
          <w:b/>
          <w:sz w:val="20"/>
          <w:szCs w:val="20"/>
          <w:lang w:val="es-ES" w:eastAsia="es-ES"/>
        </w:rPr>
      </w:pPr>
      <w:r w:rsidRPr="00DB7BFB">
        <w:rPr>
          <w:rFonts w:ascii="Arial" w:eastAsia="Calibri" w:hAnsi="Arial" w:cs="Arial"/>
          <w:b/>
          <w:sz w:val="20"/>
          <w:szCs w:val="20"/>
          <w:lang w:val="es-ES" w:eastAsia="es-ES"/>
        </w:rPr>
        <w:t>PROCEDIMIENTO SANCIONATORIO CONTRACTUAL</w:t>
      </w:r>
      <w:r w:rsidRPr="2CC73101">
        <w:rPr>
          <w:rFonts w:ascii="Arial" w:eastAsia="Calibri" w:hAnsi="Arial" w:cs="Arial"/>
          <w:b/>
          <w:sz w:val="20"/>
          <w:szCs w:val="20"/>
          <w:lang w:val="es-ES" w:eastAsia="es-ES"/>
        </w:rPr>
        <w:t xml:space="preserve"> – </w:t>
      </w:r>
      <w:r w:rsidRPr="00306FC1">
        <w:rPr>
          <w:rFonts w:ascii="Arial" w:eastAsia="Calibri" w:hAnsi="Arial" w:cs="Arial"/>
          <w:b/>
          <w:sz w:val="20"/>
          <w:szCs w:val="20"/>
          <w:lang w:val="es-ES" w:eastAsia="es-ES"/>
        </w:rPr>
        <w:t>Citación a audiencia</w:t>
      </w:r>
      <w:r w:rsidRPr="2CC73101">
        <w:rPr>
          <w:rFonts w:ascii="Arial" w:eastAsia="Calibri" w:hAnsi="Arial" w:cs="Arial"/>
          <w:b/>
          <w:sz w:val="20"/>
          <w:szCs w:val="20"/>
          <w:lang w:val="es-ES" w:eastAsia="es-ES"/>
        </w:rPr>
        <w:t xml:space="preserve"> – </w:t>
      </w:r>
      <w:r w:rsidRPr="001A1F5C">
        <w:rPr>
          <w:rFonts w:ascii="Arial" w:eastAsia="Calibri" w:hAnsi="Arial" w:cs="Arial"/>
          <w:b/>
          <w:sz w:val="20"/>
          <w:szCs w:val="20"/>
          <w:lang w:val="es-ES" w:eastAsia="es-ES"/>
        </w:rPr>
        <w:t>Contenido</w:t>
      </w:r>
      <w:r w:rsidRPr="2CC73101">
        <w:rPr>
          <w:rFonts w:ascii="Arial" w:eastAsia="Calibri" w:hAnsi="Arial" w:cs="Arial"/>
          <w:b/>
          <w:sz w:val="20"/>
          <w:szCs w:val="20"/>
          <w:lang w:val="es-ES" w:eastAsia="es-ES"/>
        </w:rPr>
        <w:t xml:space="preserve"> – </w:t>
      </w:r>
      <w:r w:rsidRPr="001A1F5C">
        <w:rPr>
          <w:rFonts w:ascii="Arial" w:eastAsia="Calibri" w:hAnsi="Arial" w:cs="Arial"/>
          <w:b/>
          <w:sz w:val="20"/>
          <w:szCs w:val="20"/>
          <w:lang w:val="es-ES" w:eastAsia="es-ES"/>
        </w:rPr>
        <w:t xml:space="preserve">Ley 1474 de </w:t>
      </w:r>
      <w:r w:rsidRPr="00E60912">
        <w:rPr>
          <w:rFonts w:ascii="Arial" w:eastAsia="Calibri" w:hAnsi="Arial" w:cs="Arial"/>
          <w:b/>
          <w:sz w:val="20"/>
          <w:szCs w:val="20"/>
          <w:lang w:val="es-ES" w:eastAsia="es-ES"/>
        </w:rPr>
        <w:t>2011 – Artículo 86</w:t>
      </w:r>
    </w:p>
    <w:p w14:paraId="36AFEC39" w14:textId="77777777" w:rsidR="006A176E" w:rsidRPr="00A5498D" w:rsidRDefault="006A176E" w:rsidP="006A176E">
      <w:pPr>
        <w:spacing w:after="0" w:line="240" w:lineRule="auto"/>
        <w:jc w:val="both"/>
        <w:rPr>
          <w:rFonts w:ascii="Arial" w:eastAsia="Calibri" w:hAnsi="Arial" w:cs="Arial"/>
          <w:b/>
          <w:color w:val="000000"/>
          <w:sz w:val="20"/>
          <w:szCs w:val="20"/>
          <w:lang w:val="es-ES" w:eastAsia="es-ES"/>
        </w:rPr>
      </w:pPr>
    </w:p>
    <w:p w14:paraId="16061DDA" w14:textId="65DBB708" w:rsidR="006A176E" w:rsidRPr="009663EE" w:rsidRDefault="006A176E" w:rsidP="006A176E">
      <w:pPr>
        <w:spacing w:after="0" w:line="240" w:lineRule="auto"/>
        <w:jc w:val="both"/>
        <w:rPr>
          <w:rFonts w:ascii="Arial" w:eastAsia="Calibri" w:hAnsi="Arial" w:cs="Arial"/>
          <w:color w:val="000000"/>
          <w:sz w:val="20"/>
          <w:szCs w:val="20"/>
          <w:lang w:val="es-ES" w:eastAsia="es-ES"/>
        </w:rPr>
      </w:pPr>
      <w:r w:rsidRPr="2CC73101">
        <w:rPr>
          <w:rFonts w:ascii="Arial" w:eastAsia="Calibri" w:hAnsi="Arial" w:cs="Arial"/>
          <w:color w:val="000000" w:themeColor="text1"/>
          <w:sz w:val="20"/>
          <w:szCs w:val="20"/>
          <w:lang w:val="es-ES" w:eastAsia="es-ES"/>
        </w:rPr>
        <w:t xml:space="preserve">Como se observa, la citación a la audiencia debe cumplir mínimamente los siguientes aspectos: i) señalar los </w:t>
      </w:r>
      <w:r w:rsidRPr="2CC73101">
        <w:rPr>
          <w:rFonts w:ascii="Arial" w:eastAsia="Calibri" w:hAnsi="Arial" w:cs="Arial"/>
          <w:i/>
          <w:color w:val="000000" w:themeColor="text1"/>
          <w:sz w:val="20"/>
          <w:szCs w:val="20"/>
          <w:lang w:val="es-ES" w:eastAsia="es-ES"/>
        </w:rPr>
        <w:t>hechos</w:t>
      </w:r>
      <w:r w:rsidRPr="2CC73101">
        <w:rPr>
          <w:rFonts w:ascii="Arial" w:eastAsia="Calibri" w:hAnsi="Arial" w:cs="Arial"/>
          <w:color w:val="000000" w:themeColor="text1"/>
          <w:sz w:val="20"/>
          <w:szCs w:val="20"/>
          <w:lang w:val="es-ES" w:eastAsia="es-ES"/>
        </w:rPr>
        <w:t xml:space="preserve"> que soportan la actuación, en particular la descripción detallada de cuáles son las actuaciones u omisiones del contratista que materializan el incumplimiento de las obligaciones. Además, se deben </w:t>
      </w:r>
      <w:proofErr w:type="spellStart"/>
      <w:r w:rsidRPr="2CC73101">
        <w:rPr>
          <w:rFonts w:ascii="Arial" w:eastAsia="Calibri" w:hAnsi="Arial" w:cs="Arial"/>
          <w:color w:val="000000" w:themeColor="text1"/>
          <w:sz w:val="20"/>
          <w:szCs w:val="20"/>
          <w:lang w:val="es-ES" w:eastAsia="es-ES"/>
        </w:rPr>
        <w:t>ii</w:t>
      </w:r>
      <w:proofErr w:type="spellEnd"/>
      <w:r w:rsidRPr="2CC73101">
        <w:rPr>
          <w:rFonts w:ascii="Arial" w:eastAsia="Calibri" w:hAnsi="Arial" w:cs="Arial"/>
          <w:color w:val="000000" w:themeColor="text1"/>
          <w:sz w:val="20"/>
          <w:szCs w:val="20"/>
          <w:lang w:val="es-ES" w:eastAsia="es-ES"/>
        </w:rPr>
        <w:t>) adjuntar los informes de supervisión o de interventoría que soportan la actuación, donde la entidad fundamenta su decisión de iniciar el procedimiento sancionatorio. Asimismo,</w:t>
      </w:r>
      <w:r w:rsidR="00A46A0F" w:rsidRPr="2CC73101">
        <w:rPr>
          <w:rFonts w:ascii="Arial" w:eastAsia="Calibri" w:hAnsi="Arial" w:cs="Arial"/>
          <w:color w:val="000000" w:themeColor="text1"/>
          <w:sz w:val="20"/>
          <w:szCs w:val="20"/>
          <w:lang w:val="es-ES" w:eastAsia="es-ES"/>
        </w:rPr>
        <w:t xml:space="preserve"> debe acompañarse de las</w:t>
      </w:r>
      <w:r w:rsidRPr="2CC73101">
        <w:rPr>
          <w:rFonts w:ascii="Arial" w:eastAsia="Calibri" w:hAnsi="Arial" w:cs="Arial"/>
          <w:color w:val="000000" w:themeColor="text1"/>
          <w:sz w:val="20"/>
          <w:szCs w:val="20"/>
          <w:lang w:val="es-ES" w:eastAsia="es-ES"/>
        </w:rPr>
        <w:t xml:space="preserve"> </w:t>
      </w:r>
      <w:proofErr w:type="spellStart"/>
      <w:r w:rsidRPr="2CC73101">
        <w:rPr>
          <w:rFonts w:ascii="Arial" w:eastAsia="Calibri" w:hAnsi="Arial" w:cs="Arial"/>
          <w:color w:val="000000" w:themeColor="text1"/>
          <w:sz w:val="20"/>
          <w:szCs w:val="20"/>
          <w:lang w:val="es-ES" w:eastAsia="es-ES"/>
        </w:rPr>
        <w:t>iii</w:t>
      </w:r>
      <w:proofErr w:type="spellEnd"/>
      <w:r w:rsidRPr="2CC73101">
        <w:rPr>
          <w:rFonts w:ascii="Arial" w:eastAsia="Calibri" w:hAnsi="Arial" w:cs="Arial"/>
          <w:color w:val="000000" w:themeColor="text1"/>
          <w:sz w:val="20"/>
          <w:szCs w:val="20"/>
          <w:lang w:val="es-ES" w:eastAsia="es-ES"/>
        </w:rPr>
        <w:t xml:space="preserve">) pruebas adicionales con que cuente la entidad y que sirven para acreditar el incumplimiento. </w:t>
      </w:r>
      <w:proofErr w:type="spellStart"/>
      <w:r w:rsidRPr="2CC73101">
        <w:rPr>
          <w:rFonts w:ascii="Arial" w:eastAsia="Calibri" w:hAnsi="Arial" w:cs="Arial"/>
          <w:color w:val="000000" w:themeColor="text1"/>
          <w:sz w:val="20"/>
          <w:szCs w:val="20"/>
          <w:lang w:val="es-ES" w:eastAsia="es-ES"/>
        </w:rPr>
        <w:t>iv</w:t>
      </w:r>
      <w:proofErr w:type="spellEnd"/>
      <w:r w:rsidRPr="2CC73101">
        <w:rPr>
          <w:rFonts w:ascii="Arial" w:eastAsia="Calibri" w:hAnsi="Arial" w:cs="Arial"/>
          <w:color w:val="000000" w:themeColor="text1"/>
          <w:sz w:val="20"/>
          <w:szCs w:val="20"/>
          <w:lang w:val="es-ES" w:eastAsia="es-ES"/>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2CC73101">
        <w:rPr>
          <w:rFonts w:ascii="Arial" w:eastAsia="Calibri" w:hAnsi="Arial" w:cs="Arial"/>
          <w:color w:val="000000" w:themeColor="text1"/>
          <w:sz w:val="20"/>
          <w:szCs w:val="20"/>
          <w:lang w:val="es-ES" w:eastAsia="es-ES"/>
        </w:rPr>
        <w:t>vii</w:t>
      </w:r>
      <w:proofErr w:type="spellEnd"/>
      <w:r w:rsidRPr="2CC73101">
        <w:rPr>
          <w:rFonts w:ascii="Arial" w:eastAsia="Calibri" w:hAnsi="Arial" w:cs="Arial"/>
          <w:color w:val="000000" w:themeColor="text1"/>
          <w:sz w:val="20"/>
          <w:szCs w:val="20"/>
          <w:lang w:val="es-ES" w:eastAsia="es-ES"/>
        </w:rPr>
        <w:t xml:space="preserve">) deben indicar el lugar, fecha y hora para la realización de la audiencia, sin perjuicio de que esta se pueda efectuar por medios electrónicos. </w:t>
      </w:r>
    </w:p>
    <w:p w14:paraId="37E6DF07" w14:textId="77777777" w:rsidR="006A176E" w:rsidRPr="006A176E" w:rsidRDefault="006A176E" w:rsidP="6B8BD3AC">
      <w:pPr>
        <w:rPr>
          <w:rFonts w:ascii="Arial" w:eastAsia="Geomanist Light" w:hAnsi="Arial" w:cs="Arial"/>
          <w:color w:val="000000" w:themeColor="text1"/>
          <w:lang w:val="es-ES"/>
        </w:rPr>
      </w:pPr>
    </w:p>
    <w:p w14:paraId="27ACDC69" w14:textId="77777777" w:rsidR="00077909" w:rsidRDefault="00077909" w:rsidP="00077909">
      <w:pPr>
        <w:pStyle w:val="Textoindependiente"/>
        <w:spacing w:before="1"/>
        <w:ind w:left="118"/>
      </w:pPr>
    </w:p>
    <w:p w14:paraId="1F9D1F00" w14:textId="77777777" w:rsidR="00077909" w:rsidRDefault="00077909" w:rsidP="00077909">
      <w:pPr>
        <w:pStyle w:val="Textoindependiente"/>
        <w:spacing w:before="1"/>
        <w:ind w:left="118"/>
      </w:pPr>
    </w:p>
    <w:p w14:paraId="43266D15" w14:textId="5B031082" w:rsidR="00077909" w:rsidRDefault="00077909" w:rsidP="00077909">
      <w:pPr>
        <w:pStyle w:val="Textoindependiente"/>
        <w:spacing w:before="1"/>
        <w:ind w:left="118"/>
      </w:pPr>
      <w:r>
        <w:rPr>
          <w:noProof/>
        </w:rPr>
        <w:drawing>
          <wp:anchor distT="0" distB="0" distL="0" distR="0" simplePos="0" relativeHeight="251659264" behindDoc="0" locked="0" layoutInCell="1" allowOverlap="1" wp14:anchorId="34338463" wp14:editId="376AA7ED">
            <wp:simplePos x="0" y="0"/>
            <wp:positionH relativeFrom="page">
              <wp:posOffset>4471670</wp:posOffset>
            </wp:positionH>
            <wp:positionV relativeFrom="paragraph">
              <wp:posOffset>-269753</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t>Bogotá</w:t>
      </w:r>
      <w:r>
        <w:rPr>
          <w:spacing w:val="-5"/>
        </w:rPr>
        <w:t xml:space="preserve"> </w:t>
      </w:r>
      <w:r>
        <w:t>D.C.,</w:t>
      </w:r>
      <w:r>
        <w:rPr>
          <w:spacing w:val="-1"/>
        </w:rPr>
        <w:t xml:space="preserve"> </w:t>
      </w:r>
      <w:r>
        <w:rPr>
          <w:color w:val="201E1E"/>
        </w:rPr>
        <w:t>13</w:t>
      </w:r>
      <w:r>
        <w:rPr>
          <w:color w:val="201E1E"/>
          <w:spacing w:val="-4"/>
        </w:rPr>
        <w:t xml:space="preserve"> </w:t>
      </w:r>
      <w:r>
        <w:rPr>
          <w:color w:val="201E1E"/>
        </w:rPr>
        <w:t>de</w:t>
      </w:r>
      <w:r>
        <w:rPr>
          <w:color w:val="201E1E"/>
          <w:spacing w:val="-4"/>
        </w:rPr>
        <w:t xml:space="preserve"> </w:t>
      </w:r>
      <w:r>
        <w:rPr>
          <w:color w:val="201E1E"/>
        </w:rPr>
        <w:t>Febrero</w:t>
      </w:r>
      <w:r>
        <w:rPr>
          <w:color w:val="201E1E"/>
          <w:spacing w:val="-2"/>
        </w:rPr>
        <w:t xml:space="preserve"> </w:t>
      </w:r>
      <w:r>
        <w:rPr>
          <w:color w:val="201E1E"/>
        </w:rPr>
        <w:t>de</w:t>
      </w:r>
      <w:r>
        <w:rPr>
          <w:color w:val="201E1E"/>
          <w:spacing w:val="-4"/>
        </w:rPr>
        <w:t xml:space="preserve"> </w:t>
      </w:r>
      <w:r>
        <w:rPr>
          <w:color w:val="201E1E"/>
        </w:rPr>
        <w:t>2023</w:t>
      </w:r>
    </w:p>
    <w:p w14:paraId="36B84E8C" w14:textId="77777777" w:rsidR="000A5CC6" w:rsidRPr="00077909" w:rsidRDefault="000A5CC6" w:rsidP="006219F8">
      <w:pPr>
        <w:spacing w:after="0" w:line="240" w:lineRule="auto"/>
        <w:jc w:val="right"/>
        <w:textAlignment w:val="baseline"/>
        <w:rPr>
          <w:rFonts w:ascii="Arial" w:eastAsia="Times New Roman" w:hAnsi="Arial" w:cs="Arial"/>
          <w:lang w:val="es-ES" w:eastAsia="es-CO"/>
        </w:rPr>
      </w:pPr>
    </w:p>
    <w:p w14:paraId="05091C5D" w14:textId="147A6578" w:rsidR="00077909" w:rsidRDefault="00077909" w:rsidP="005A1130">
      <w:pPr>
        <w:spacing w:after="0" w:line="240" w:lineRule="auto"/>
        <w:rPr>
          <w:rFonts w:ascii="Arial" w:eastAsia="Bookman Old Style" w:hAnsi="Arial" w:cs="Arial"/>
        </w:rPr>
      </w:pPr>
    </w:p>
    <w:p w14:paraId="36937760" w14:textId="77777777" w:rsidR="00520B31" w:rsidRDefault="00520B31" w:rsidP="005A1130">
      <w:pPr>
        <w:spacing w:after="0" w:line="240" w:lineRule="auto"/>
        <w:rPr>
          <w:rFonts w:ascii="Arial" w:eastAsia="Bookman Old Style" w:hAnsi="Arial" w:cs="Arial"/>
        </w:rPr>
      </w:pPr>
    </w:p>
    <w:p w14:paraId="78FFD810" w14:textId="77777777" w:rsidR="00077909" w:rsidRDefault="00077909" w:rsidP="005A1130">
      <w:pPr>
        <w:spacing w:after="0" w:line="240" w:lineRule="auto"/>
        <w:rPr>
          <w:rFonts w:ascii="Arial" w:eastAsia="Bookman Old Style" w:hAnsi="Arial" w:cs="Arial"/>
        </w:rPr>
      </w:pPr>
    </w:p>
    <w:p w14:paraId="10EDED78" w14:textId="4991CA04" w:rsidR="005A1130" w:rsidRPr="002B15DF" w:rsidRDefault="005A1130" w:rsidP="005A1130">
      <w:pPr>
        <w:spacing w:after="0" w:line="240" w:lineRule="auto"/>
        <w:rPr>
          <w:rFonts w:ascii="Arial" w:eastAsia="Bookman Old Style" w:hAnsi="Arial" w:cs="Arial"/>
        </w:rPr>
      </w:pPr>
      <w:r w:rsidRPr="002B15DF">
        <w:rPr>
          <w:rFonts w:ascii="Arial" w:eastAsia="Bookman Old Style" w:hAnsi="Arial" w:cs="Arial"/>
        </w:rPr>
        <w:t>Señor</w:t>
      </w:r>
    </w:p>
    <w:p w14:paraId="12BBCD8B" w14:textId="129363F2" w:rsidR="005A1130" w:rsidRPr="002B15DF" w:rsidRDefault="000A5CC6" w:rsidP="005A1130">
      <w:pPr>
        <w:spacing w:after="0" w:line="240" w:lineRule="auto"/>
        <w:rPr>
          <w:rFonts w:ascii="Arial" w:eastAsia="Bookman Old Style" w:hAnsi="Arial" w:cs="Arial"/>
        </w:rPr>
      </w:pPr>
      <w:proofErr w:type="spellStart"/>
      <w:r w:rsidRPr="002B15DF">
        <w:rPr>
          <w:rFonts w:ascii="Arial" w:eastAsia="Bookman Old Style" w:hAnsi="Arial" w:cs="Arial"/>
          <w:b/>
          <w:bCs/>
        </w:rPr>
        <w:t>Isolier</w:t>
      </w:r>
      <w:proofErr w:type="spellEnd"/>
      <w:r w:rsidRPr="002B15DF">
        <w:rPr>
          <w:rFonts w:ascii="Arial" w:eastAsia="Bookman Old Style" w:hAnsi="Arial" w:cs="Arial"/>
          <w:b/>
          <w:bCs/>
        </w:rPr>
        <w:t xml:space="preserve"> Andrés</w:t>
      </w:r>
      <w:r w:rsidR="0067263F" w:rsidRPr="002B15DF">
        <w:rPr>
          <w:rFonts w:ascii="Arial" w:eastAsia="Bookman Old Style" w:hAnsi="Arial" w:cs="Arial"/>
          <w:b/>
          <w:bCs/>
        </w:rPr>
        <w:t xml:space="preserve"> </w:t>
      </w:r>
      <w:proofErr w:type="spellStart"/>
      <w:r w:rsidR="0067263F" w:rsidRPr="002B15DF">
        <w:rPr>
          <w:rFonts w:ascii="Arial" w:eastAsia="Bookman Old Style" w:hAnsi="Arial" w:cs="Arial"/>
          <w:b/>
          <w:bCs/>
        </w:rPr>
        <w:t>Eguis</w:t>
      </w:r>
      <w:proofErr w:type="spellEnd"/>
      <w:r w:rsidR="0067263F" w:rsidRPr="002B15DF">
        <w:rPr>
          <w:rFonts w:ascii="Arial" w:eastAsia="Bookman Old Style" w:hAnsi="Arial" w:cs="Arial"/>
          <w:b/>
          <w:bCs/>
        </w:rPr>
        <w:t xml:space="preserve"> Benítez</w:t>
      </w:r>
    </w:p>
    <w:p w14:paraId="49C902C5" w14:textId="07F5D6C2" w:rsidR="005A1130" w:rsidRPr="002B15DF" w:rsidRDefault="0067263F" w:rsidP="005A1130">
      <w:pPr>
        <w:spacing w:after="0" w:line="240" w:lineRule="auto"/>
        <w:rPr>
          <w:rFonts w:ascii="Arial" w:eastAsia="Bookman Old Style" w:hAnsi="Arial" w:cs="Arial"/>
        </w:rPr>
      </w:pPr>
      <w:r w:rsidRPr="002B15DF">
        <w:rPr>
          <w:rFonts w:ascii="Arial" w:eastAsia="Bookman Old Style" w:hAnsi="Arial" w:cs="Arial"/>
        </w:rPr>
        <w:t>Gerente Grupo Grandes Proyectos Regionales 1</w:t>
      </w:r>
    </w:p>
    <w:p w14:paraId="3F7C1F07" w14:textId="2B40FE92" w:rsidR="005A1130" w:rsidRPr="002B15DF" w:rsidRDefault="00AB4F2C" w:rsidP="005A1130">
      <w:pPr>
        <w:spacing w:after="0" w:line="240" w:lineRule="auto"/>
        <w:rPr>
          <w:rFonts w:ascii="Arial" w:eastAsia="Bookman Old Style" w:hAnsi="Arial" w:cs="Arial"/>
          <w:lang w:val="es-ES"/>
        </w:rPr>
      </w:pPr>
      <w:r w:rsidRPr="002B15DF">
        <w:rPr>
          <w:rFonts w:ascii="Arial" w:eastAsia="Bookman Old Style" w:hAnsi="Arial" w:cs="Arial"/>
        </w:rPr>
        <w:t>Instituto Nacional de Vías</w:t>
      </w:r>
      <w:r w:rsidR="00DF027D">
        <w:rPr>
          <w:rFonts w:ascii="Arial" w:eastAsia="Bookman Old Style" w:hAnsi="Arial" w:cs="Arial"/>
        </w:rPr>
        <w:t xml:space="preserve"> –INVIAS–</w:t>
      </w:r>
    </w:p>
    <w:p w14:paraId="5493C44C" w14:textId="5CE2647B" w:rsidR="777950C3" w:rsidRPr="002B15DF" w:rsidRDefault="00245779" w:rsidP="005A1130">
      <w:pPr>
        <w:spacing w:after="0" w:line="240" w:lineRule="auto"/>
        <w:rPr>
          <w:rFonts w:ascii="Arial" w:hAnsi="Arial" w:cs="Arial"/>
          <w:color w:val="201F1E"/>
        </w:rPr>
      </w:pPr>
      <w:r w:rsidRPr="002B15DF">
        <w:rPr>
          <w:rFonts w:ascii="Arial" w:eastAsia="Bookman Old Style" w:hAnsi="Arial" w:cs="Arial"/>
        </w:rPr>
        <w:t>Ciudad</w:t>
      </w:r>
    </w:p>
    <w:p w14:paraId="16D8E1A7" w14:textId="0E3DDAE9" w:rsidR="006219F8" w:rsidRPr="002B15DF" w:rsidRDefault="006219F8" w:rsidP="006219F8">
      <w:pPr>
        <w:spacing w:after="0" w:line="240" w:lineRule="auto"/>
        <w:textAlignment w:val="baseline"/>
        <w:rPr>
          <w:rFonts w:ascii="Arial" w:eastAsia="Times New Roman" w:hAnsi="Arial" w:cs="Arial"/>
          <w:lang w:eastAsia="es-CO"/>
        </w:rPr>
      </w:pPr>
    </w:p>
    <w:p w14:paraId="16F2DAE2" w14:textId="77777777" w:rsidR="00BD3A4C" w:rsidRPr="002B15DF" w:rsidRDefault="00BD3A4C" w:rsidP="006219F8">
      <w:pPr>
        <w:spacing w:after="0" w:line="240" w:lineRule="auto"/>
        <w:textAlignment w:val="baseline"/>
        <w:rPr>
          <w:rFonts w:ascii="Arial" w:eastAsia="Times New Roman" w:hAnsi="Arial" w:cs="Arial"/>
          <w:lang w:eastAsia="es-CO"/>
        </w:rPr>
      </w:pPr>
      <w:r w:rsidRPr="002B15DF">
        <w:rPr>
          <w:rFonts w:ascii="Arial" w:eastAsia="Times New Roman" w:hAnsi="Arial" w:cs="Arial"/>
          <w:lang w:eastAsia="es-CO"/>
        </w:rPr>
        <w:tab/>
      </w:r>
      <w:r w:rsidRPr="002B15DF">
        <w:rPr>
          <w:rFonts w:ascii="Arial" w:eastAsia="Times New Roman" w:hAnsi="Arial" w:cs="Arial"/>
          <w:lang w:eastAsia="es-CO"/>
        </w:rPr>
        <w:tab/>
      </w:r>
      <w:r w:rsidRPr="002B15DF">
        <w:rPr>
          <w:rFonts w:ascii="Arial" w:eastAsia="Times New Roman" w:hAnsi="Arial" w:cs="Arial"/>
          <w:lang w:eastAsia="es-CO"/>
        </w:rPr>
        <w:tab/>
      </w:r>
      <w:r w:rsidRPr="002B15DF">
        <w:rPr>
          <w:rFonts w:ascii="Arial" w:eastAsia="Times New Roman" w:hAnsi="Arial" w:cs="Arial"/>
          <w:lang w:eastAsia="es-CO"/>
        </w:rPr>
        <w:tab/>
      </w:r>
    </w:p>
    <w:p w14:paraId="07436117" w14:textId="2027A85F" w:rsidR="00727AC6" w:rsidRPr="002B15DF" w:rsidRDefault="00BD3A4C" w:rsidP="006219F8">
      <w:pPr>
        <w:spacing w:after="0" w:line="240" w:lineRule="auto"/>
        <w:textAlignment w:val="baseline"/>
        <w:rPr>
          <w:rFonts w:ascii="Arial" w:eastAsia="Times New Roman" w:hAnsi="Arial" w:cs="Arial"/>
          <w:b/>
          <w:bCs/>
          <w:lang w:eastAsia="es-CO"/>
        </w:rPr>
      </w:pPr>
      <w:r w:rsidRPr="002B15DF">
        <w:rPr>
          <w:rFonts w:ascii="Arial" w:eastAsia="Times New Roman" w:hAnsi="Arial" w:cs="Arial"/>
          <w:lang w:eastAsia="es-CO"/>
        </w:rPr>
        <w:tab/>
      </w:r>
      <w:r w:rsidRPr="002B15DF">
        <w:rPr>
          <w:rFonts w:ascii="Arial" w:eastAsia="Times New Roman" w:hAnsi="Arial" w:cs="Arial"/>
          <w:lang w:eastAsia="es-CO"/>
        </w:rPr>
        <w:tab/>
      </w:r>
      <w:r w:rsidRPr="002B15DF">
        <w:rPr>
          <w:rFonts w:ascii="Arial" w:eastAsia="Times New Roman" w:hAnsi="Arial" w:cs="Arial"/>
          <w:lang w:eastAsia="es-CO"/>
        </w:rPr>
        <w:tab/>
      </w:r>
      <w:r w:rsidRPr="002B15DF">
        <w:rPr>
          <w:rFonts w:ascii="Arial" w:eastAsia="Times New Roman" w:hAnsi="Arial" w:cs="Arial"/>
          <w:lang w:eastAsia="es-CO"/>
        </w:rPr>
        <w:tab/>
      </w:r>
      <w:r w:rsidRPr="002B15DF">
        <w:rPr>
          <w:rFonts w:ascii="Arial" w:eastAsia="Times New Roman" w:hAnsi="Arial" w:cs="Arial"/>
          <w:lang w:eastAsia="es-CO"/>
        </w:rPr>
        <w:tab/>
      </w:r>
      <w:r w:rsidRPr="002B15DF">
        <w:rPr>
          <w:rFonts w:ascii="Arial" w:eastAsia="Times New Roman" w:hAnsi="Arial" w:cs="Arial"/>
          <w:b/>
          <w:bCs/>
          <w:lang w:eastAsia="es-CO"/>
        </w:rPr>
        <w:t>Concepto C-8</w:t>
      </w:r>
      <w:r w:rsidR="00EB1CE9">
        <w:rPr>
          <w:rFonts w:ascii="Arial" w:eastAsia="Times New Roman" w:hAnsi="Arial" w:cs="Arial"/>
          <w:b/>
          <w:bCs/>
          <w:lang w:eastAsia="es-CO"/>
        </w:rPr>
        <w:t>90</w:t>
      </w:r>
      <w:r w:rsidRPr="002B15DF">
        <w:rPr>
          <w:rFonts w:ascii="Arial" w:eastAsia="Times New Roman" w:hAnsi="Arial" w:cs="Arial"/>
          <w:b/>
          <w:bCs/>
          <w:lang w:eastAsia="es-CO"/>
        </w:rPr>
        <w:t xml:space="preserve"> de 2022</w:t>
      </w:r>
    </w:p>
    <w:p w14:paraId="4BCE5352" w14:textId="77777777" w:rsidR="00DF027D" w:rsidRDefault="00DF027D" w:rsidP="006219F8">
      <w:pPr>
        <w:spacing w:after="0" w:line="240" w:lineRule="auto"/>
        <w:textAlignment w:val="baseline"/>
        <w:rPr>
          <w:rFonts w:ascii="Arial" w:eastAsia="Times New Roman" w:hAnsi="Arial" w:cs="Arial"/>
          <w:b/>
          <w:bCs/>
          <w:lang w:eastAsia="es-CO"/>
        </w:rPr>
      </w:pPr>
    </w:p>
    <w:p w14:paraId="71DBE9E2" w14:textId="77777777" w:rsidR="00DF027D" w:rsidRPr="002B15DF" w:rsidRDefault="00DF027D" w:rsidP="006219F8">
      <w:pPr>
        <w:spacing w:after="0" w:line="240" w:lineRule="auto"/>
        <w:textAlignment w:val="baseline"/>
        <w:rPr>
          <w:rFonts w:ascii="Arial" w:eastAsia="Times New Roman" w:hAnsi="Arial" w:cs="Arial"/>
          <w:b/>
          <w:bCs/>
          <w:lang w:eastAsia="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86BCE" w:rsidRPr="002B15DF" w14:paraId="0EAC9A75" w14:textId="77777777" w:rsidTr="003C376B">
        <w:tc>
          <w:tcPr>
            <w:tcW w:w="2689" w:type="dxa"/>
          </w:tcPr>
          <w:p w14:paraId="7A7334B2" w14:textId="77777777" w:rsidR="00386BCE" w:rsidRPr="00BB6075" w:rsidRDefault="00386BCE" w:rsidP="0065633D">
            <w:pPr>
              <w:rPr>
                <w:rFonts w:ascii="Arial" w:hAnsi="Arial" w:cs="Arial"/>
              </w:rPr>
            </w:pPr>
            <w:r w:rsidRPr="00BB6075">
              <w:rPr>
                <w:rFonts w:ascii="Arial" w:hAnsi="Arial" w:cs="Arial"/>
                <w:b/>
              </w:rPr>
              <w:t>Temas:</w:t>
            </w:r>
            <w:r w:rsidRPr="00BB6075">
              <w:rPr>
                <w:rFonts w:ascii="Arial" w:hAnsi="Arial" w:cs="Arial"/>
              </w:rPr>
              <w:t xml:space="preserve">                                     </w:t>
            </w:r>
          </w:p>
        </w:tc>
        <w:tc>
          <w:tcPr>
            <w:tcW w:w="6237" w:type="dxa"/>
            <w:hideMark/>
          </w:tcPr>
          <w:p w14:paraId="5AE31BCA" w14:textId="5FC9D10B" w:rsidR="00386BCE" w:rsidRPr="00BB6075" w:rsidRDefault="003C376B" w:rsidP="003C376B">
            <w:pPr>
              <w:widowControl w:val="0"/>
              <w:autoSpaceDE w:val="0"/>
              <w:autoSpaceDN w:val="0"/>
              <w:adjustRightInd w:val="0"/>
              <w:jc w:val="both"/>
              <w:rPr>
                <w:rFonts w:ascii="Arial" w:hAnsi="Arial" w:cs="Arial"/>
                <w:color w:val="000000" w:themeColor="text1"/>
                <w:lang w:val="es-ES"/>
              </w:rPr>
            </w:pPr>
            <w:r w:rsidRPr="1EA6226B">
              <w:rPr>
                <w:rFonts w:ascii="Arial" w:eastAsia="Calibri" w:hAnsi="Arial" w:cs="Arial"/>
                <w:color w:val="000000" w:themeColor="text1"/>
                <w:lang w:val="es-ES" w:eastAsia="es-ES"/>
              </w:rPr>
              <w:t xml:space="preserve">SECOP II – Definición – Carácter transaccional – Gestión en línea – Deber / SUSPENSIÓN – Concepto – Circunstancias – Plazo contractual / SUSPENSIÓN – Metodología – Condición – Término – Reinicio automático </w:t>
            </w:r>
            <w:r w:rsidR="0016200A" w:rsidRPr="1EA6226B">
              <w:rPr>
                <w:rFonts w:ascii="Arial" w:eastAsia="Calibri" w:hAnsi="Arial" w:cs="Arial"/>
                <w:color w:val="000000" w:themeColor="text1"/>
                <w:lang w:val="es-ES" w:eastAsia="es-ES"/>
              </w:rPr>
              <w:t xml:space="preserve">/ REINICIO – Reinicio automático – SECOP II </w:t>
            </w:r>
            <w:r w:rsidR="00B61DD3" w:rsidRPr="1EA6226B">
              <w:rPr>
                <w:rFonts w:ascii="Arial" w:eastAsia="Calibri" w:hAnsi="Arial" w:cs="Arial"/>
                <w:color w:val="000000" w:themeColor="text1"/>
                <w:lang w:val="es-ES" w:eastAsia="es-ES"/>
              </w:rPr>
              <w:t xml:space="preserve">/ </w:t>
            </w:r>
            <w:r w:rsidR="003B5653" w:rsidRPr="1EA6226B">
              <w:rPr>
                <w:rFonts w:ascii="Arial" w:eastAsia="Calibri" w:hAnsi="Arial" w:cs="Arial"/>
                <w:color w:val="000000" w:themeColor="text1"/>
                <w:lang w:val="es-ES" w:eastAsia="es-ES"/>
              </w:rPr>
              <w:t>CADUCID</w:t>
            </w:r>
            <w:r w:rsidR="00335EC4" w:rsidRPr="1EA6226B">
              <w:rPr>
                <w:rFonts w:ascii="Arial" w:eastAsia="Calibri" w:hAnsi="Arial" w:cs="Arial"/>
                <w:color w:val="000000" w:themeColor="text1"/>
                <w:lang w:val="es-ES" w:eastAsia="es-ES"/>
              </w:rPr>
              <w:t>AD – Cláusula excepcional /  POTESTADES UNILATERALES- Imposición unilateral – Multas – Cláusula penal – Incumplimiento parcial o total</w:t>
            </w:r>
            <w:r w:rsidR="00BB6075" w:rsidRPr="1EA6226B">
              <w:rPr>
                <w:rFonts w:ascii="Arial" w:eastAsia="Calibri" w:hAnsi="Arial" w:cs="Arial"/>
                <w:color w:val="000000" w:themeColor="text1"/>
                <w:lang w:val="es-ES" w:eastAsia="es-ES"/>
              </w:rPr>
              <w:t xml:space="preserve"> / </w:t>
            </w:r>
            <w:r w:rsidR="00B61DD3" w:rsidRPr="00BB6075">
              <w:rPr>
                <w:rFonts w:ascii="Arial" w:eastAsia="Calibri" w:hAnsi="Arial" w:cs="Arial"/>
                <w:color w:val="000000" w:themeColor="text1"/>
                <w:lang w:val="es-ES"/>
              </w:rPr>
              <w:t>PROCEDIMIENTO SANCIONATORIO CONTRACTUAL – Citación a audiencia – Contenido – Ley 1474 de 2011 – Artículo 86</w:t>
            </w:r>
            <w:r w:rsidR="4F3D7873" w:rsidRPr="1EA6226B">
              <w:rPr>
                <w:rFonts w:ascii="Arial" w:eastAsia="Calibri" w:hAnsi="Arial" w:cs="Arial"/>
                <w:color w:val="000000" w:themeColor="text1"/>
                <w:lang w:val="es-ES"/>
              </w:rPr>
              <w:t>.</w:t>
            </w:r>
          </w:p>
          <w:p w14:paraId="55ADFC15" w14:textId="77777777" w:rsidR="00386BCE" w:rsidRPr="00BB6075" w:rsidRDefault="00386BCE" w:rsidP="0065633D">
            <w:pPr>
              <w:widowControl w:val="0"/>
              <w:autoSpaceDE w:val="0"/>
              <w:autoSpaceDN w:val="0"/>
              <w:adjustRightInd w:val="0"/>
              <w:rPr>
                <w:rFonts w:ascii="Arial" w:hAnsi="Arial" w:cs="Arial"/>
                <w:color w:val="000000" w:themeColor="text1"/>
                <w:lang w:val="es-ES_tradnl"/>
              </w:rPr>
            </w:pPr>
          </w:p>
        </w:tc>
      </w:tr>
      <w:tr w:rsidR="00386BCE" w:rsidRPr="002B15DF" w14:paraId="14085D80" w14:textId="77777777" w:rsidTr="003C376B">
        <w:tc>
          <w:tcPr>
            <w:tcW w:w="2689" w:type="dxa"/>
            <w:hideMark/>
          </w:tcPr>
          <w:p w14:paraId="0FCF0834" w14:textId="77777777" w:rsidR="00520B31" w:rsidRDefault="00520B31" w:rsidP="0065633D">
            <w:pPr>
              <w:rPr>
                <w:rFonts w:ascii="Arial" w:hAnsi="Arial" w:cs="Arial"/>
                <w:b/>
              </w:rPr>
            </w:pPr>
          </w:p>
          <w:p w14:paraId="0EAE3267" w14:textId="7F4832BA" w:rsidR="00386BCE" w:rsidRPr="002B15DF" w:rsidRDefault="00386BCE" w:rsidP="0065633D">
            <w:pPr>
              <w:rPr>
                <w:rFonts w:ascii="Arial" w:hAnsi="Arial" w:cs="Arial"/>
                <w:b/>
              </w:rPr>
            </w:pPr>
            <w:r w:rsidRPr="002B15DF">
              <w:rPr>
                <w:rFonts w:ascii="Arial" w:hAnsi="Arial" w:cs="Arial"/>
                <w:b/>
              </w:rPr>
              <w:t>Radicación:</w:t>
            </w:r>
            <w:r w:rsidRPr="002B15DF">
              <w:rPr>
                <w:rFonts w:ascii="Arial" w:hAnsi="Arial" w:cs="Arial"/>
              </w:rPr>
              <w:t xml:space="preserve">                              </w:t>
            </w:r>
          </w:p>
        </w:tc>
        <w:tc>
          <w:tcPr>
            <w:tcW w:w="6237" w:type="dxa"/>
            <w:hideMark/>
          </w:tcPr>
          <w:p w14:paraId="4B57B85A" w14:textId="77777777" w:rsidR="00520B31" w:rsidRDefault="00520B31" w:rsidP="00C93E71">
            <w:pPr>
              <w:pStyle w:val="Ttulo1"/>
              <w:ind w:left="0" w:firstLine="0"/>
              <w:rPr>
                <w:b w:val="0"/>
                <w:color w:val="000000" w:themeColor="text1"/>
                <w:lang w:val="es-ES_tradnl"/>
              </w:rPr>
            </w:pPr>
          </w:p>
          <w:p w14:paraId="233CEC34" w14:textId="0DE95467" w:rsidR="00C93E71" w:rsidRPr="002B15DF" w:rsidRDefault="00386BCE" w:rsidP="00C93E71">
            <w:pPr>
              <w:pStyle w:val="Ttulo1"/>
              <w:ind w:left="0" w:firstLine="0"/>
              <w:rPr>
                <w:b w:val="0"/>
                <w:bCs w:val="0"/>
              </w:rPr>
            </w:pPr>
            <w:r w:rsidRPr="00DF027D">
              <w:rPr>
                <w:b w:val="0"/>
                <w:color w:val="000000" w:themeColor="text1"/>
                <w:lang w:val="es-ES_tradnl"/>
              </w:rPr>
              <w:t xml:space="preserve">Respuesta </w:t>
            </w:r>
            <w:r w:rsidR="00C93E71" w:rsidRPr="00DF027D">
              <w:rPr>
                <w:b w:val="0"/>
                <w:color w:val="000000" w:themeColor="text1"/>
                <w:lang w:val="es-ES_tradnl"/>
              </w:rPr>
              <w:t xml:space="preserve">a la </w:t>
            </w:r>
            <w:r w:rsidRPr="00DF027D">
              <w:rPr>
                <w:b w:val="0"/>
                <w:color w:val="000000" w:themeColor="text1"/>
                <w:lang w:val="es-ES_tradnl"/>
              </w:rPr>
              <w:t>consulta #</w:t>
            </w:r>
            <w:r w:rsidRPr="002B15DF">
              <w:rPr>
                <w:color w:val="000000" w:themeColor="text1"/>
                <w:lang w:val="es-ES_tradnl"/>
              </w:rPr>
              <w:t xml:space="preserve"> </w:t>
            </w:r>
            <w:r w:rsidR="00C93E71" w:rsidRPr="002B15DF">
              <w:rPr>
                <w:b w:val="0"/>
                <w:bCs w:val="0"/>
              </w:rPr>
              <w:t>P20221117011461</w:t>
            </w:r>
          </w:p>
          <w:p w14:paraId="4BD0603A" w14:textId="733E57F6" w:rsidR="00386BCE" w:rsidRPr="002B15DF" w:rsidRDefault="00386BCE" w:rsidP="0065633D">
            <w:pPr>
              <w:widowControl w:val="0"/>
              <w:autoSpaceDE w:val="0"/>
              <w:autoSpaceDN w:val="0"/>
              <w:adjustRightInd w:val="0"/>
              <w:rPr>
                <w:rFonts w:ascii="Arial" w:hAnsi="Arial" w:cs="Arial"/>
                <w:color w:val="000000" w:themeColor="text1"/>
                <w:lang w:val="es-ES_tradnl"/>
              </w:rPr>
            </w:pPr>
          </w:p>
        </w:tc>
      </w:tr>
    </w:tbl>
    <w:p w14:paraId="7DC303E1" w14:textId="127A0A17" w:rsidR="006219F8" w:rsidRPr="002B15DF" w:rsidRDefault="006219F8" w:rsidP="006219F8">
      <w:pPr>
        <w:spacing w:after="0" w:line="240" w:lineRule="auto"/>
        <w:jc w:val="both"/>
        <w:textAlignment w:val="baseline"/>
        <w:rPr>
          <w:rFonts w:ascii="Arial" w:eastAsia="Times New Roman" w:hAnsi="Arial" w:cs="Arial"/>
          <w:b/>
          <w:bCs/>
          <w:color w:val="002060"/>
          <w:lang w:val="es-ES" w:eastAsia="es-CO"/>
        </w:rPr>
      </w:pPr>
    </w:p>
    <w:p w14:paraId="5ABEEC12" w14:textId="77777777" w:rsidR="00386BCE" w:rsidRPr="002B15DF" w:rsidRDefault="00386BCE" w:rsidP="006219F8">
      <w:pPr>
        <w:spacing w:after="0" w:line="240" w:lineRule="auto"/>
        <w:jc w:val="both"/>
        <w:textAlignment w:val="baseline"/>
        <w:rPr>
          <w:rFonts w:ascii="Arial" w:eastAsia="Times New Roman" w:hAnsi="Arial" w:cs="Arial"/>
          <w:lang w:eastAsia="es-CO"/>
        </w:rPr>
      </w:pPr>
    </w:p>
    <w:p w14:paraId="25AF08BC" w14:textId="77777777" w:rsidR="00083892" w:rsidRPr="002B15DF" w:rsidRDefault="006219F8" w:rsidP="006219F8">
      <w:pPr>
        <w:spacing w:after="0" w:line="240" w:lineRule="auto"/>
        <w:jc w:val="both"/>
        <w:textAlignment w:val="baseline"/>
        <w:rPr>
          <w:rFonts w:ascii="Arial" w:eastAsia="Times New Roman" w:hAnsi="Arial" w:cs="Arial"/>
          <w:lang w:val="es-MX" w:eastAsia="es-CO"/>
        </w:rPr>
      </w:pPr>
      <w:r w:rsidRPr="002B15DF">
        <w:rPr>
          <w:rFonts w:ascii="Arial" w:eastAsia="Times New Roman" w:hAnsi="Arial" w:cs="Arial"/>
          <w:lang w:val="es-MX" w:eastAsia="es-CO"/>
        </w:rPr>
        <w:t xml:space="preserve">Respetado señor </w:t>
      </w:r>
      <w:proofErr w:type="spellStart"/>
      <w:r w:rsidR="00932736" w:rsidRPr="002B15DF">
        <w:rPr>
          <w:rFonts w:ascii="Arial" w:eastAsia="Times New Roman" w:hAnsi="Arial" w:cs="Arial"/>
          <w:lang w:val="es-MX" w:eastAsia="es-CO"/>
        </w:rPr>
        <w:t>Eguis</w:t>
      </w:r>
      <w:proofErr w:type="spellEnd"/>
      <w:r w:rsidR="00932736" w:rsidRPr="002B15DF">
        <w:rPr>
          <w:rFonts w:ascii="Arial" w:eastAsia="Times New Roman" w:hAnsi="Arial" w:cs="Arial"/>
          <w:lang w:val="es-MX" w:eastAsia="es-CO"/>
        </w:rPr>
        <w:t>,</w:t>
      </w:r>
    </w:p>
    <w:p w14:paraId="52729D17" w14:textId="77777777" w:rsidR="00083892" w:rsidRPr="002B15DF" w:rsidRDefault="00083892" w:rsidP="006219F8">
      <w:pPr>
        <w:spacing w:after="0" w:line="240" w:lineRule="auto"/>
        <w:jc w:val="both"/>
        <w:textAlignment w:val="baseline"/>
        <w:rPr>
          <w:rFonts w:ascii="Arial" w:eastAsia="Times New Roman" w:hAnsi="Arial" w:cs="Arial"/>
          <w:lang w:val="es-MX" w:eastAsia="es-CO"/>
        </w:rPr>
      </w:pPr>
    </w:p>
    <w:p w14:paraId="1201659B" w14:textId="4460058C" w:rsidR="00083892" w:rsidRPr="002B15DF" w:rsidRDefault="00083892" w:rsidP="00272A05">
      <w:pPr>
        <w:jc w:val="both"/>
        <w:rPr>
          <w:rFonts w:ascii="Arial" w:hAnsi="Arial" w:cs="Arial"/>
        </w:rPr>
      </w:pPr>
      <w:r w:rsidRPr="002B15DF">
        <w:rPr>
          <w:rFonts w:ascii="Arial"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EC29F3" w:rsidRPr="002B15DF">
        <w:rPr>
          <w:rFonts w:ascii="Arial" w:hAnsi="Arial" w:cs="Arial"/>
        </w:rPr>
        <w:t>radicada</w:t>
      </w:r>
      <w:r w:rsidRPr="002B15DF">
        <w:rPr>
          <w:rFonts w:ascii="Arial" w:hAnsi="Arial" w:cs="Arial"/>
        </w:rPr>
        <w:t xml:space="preserve"> el 1</w:t>
      </w:r>
      <w:r w:rsidR="00B91E1E" w:rsidRPr="002B15DF">
        <w:rPr>
          <w:rFonts w:ascii="Arial" w:hAnsi="Arial" w:cs="Arial"/>
        </w:rPr>
        <w:t>7</w:t>
      </w:r>
      <w:r w:rsidRPr="002B15DF">
        <w:rPr>
          <w:rFonts w:ascii="Arial" w:hAnsi="Arial" w:cs="Arial"/>
        </w:rPr>
        <w:t xml:space="preserve"> de </w:t>
      </w:r>
      <w:r w:rsidR="00B91E1E" w:rsidRPr="002B15DF">
        <w:rPr>
          <w:rFonts w:ascii="Arial" w:hAnsi="Arial" w:cs="Arial"/>
        </w:rPr>
        <w:t>noviem</w:t>
      </w:r>
      <w:r w:rsidRPr="002B15DF">
        <w:rPr>
          <w:rFonts w:ascii="Arial" w:hAnsi="Arial" w:cs="Arial"/>
        </w:rPr>
        <w:t>bre de 2022.</w:t>
      </w:r>
    </w:p>
    <w:p w14:paraId="5AA3B483" w14:textId="77777777" w:rsidR="00083892" w:rsidRPr="008C24FB" w:rsidRDefault="00083892" w:rsidP="00083892">
      <w:pPr>
        <w:pStyle w:val="Prrafodelista"/>
        <w:tabs>
          <w:tab w:val="left" w:pos="0"/>
          <w:tab w:val="left" w:pos="142"/>
          <w:tab w:val="left" w:pos="284"/>
        </w:tabs>
        <w:spacing w:line="276" w:lineRule="auto"/>
        <w:ind w:left="0"/>
        <w:jc w:val="both"/>
        <w:rPr>
          <w:rFonts w:ascii="Arial" w:eastAsia="Calibri" w:hAnsi="Arial" w:cs="Arial"/>
          <w:b/>
        </w:rPr>
      </w:pPr>
      <w:r w:rsidRPr="008C24FB">
        <w:rPr>
          <w:rFonts w:ascii="Arial" w:eastAsia="Times New Roman" w:hAnsi="Arial" w:cs="Arial"/>
          <w:color w:val="1A1A1A" w:themeColor="background1" w:themeShade="1A"/>
          <w:lang w:val="es-ES_tradnl" w:eastAsia="en-GB"/>
        </w:rPr>
        <w:t xml:space="preserve"> </w:t>
      </w:r>
      <w:r w:rsidRPr="008C24FB">
        <w:rPr>
          <w:rFonts w:ascii="Arial" w:eastAsia="Calibri" w:hAnsi="Arial" w:cs="Arial"/>
          <w:b/>
        </w:rPr>
        <w:t>1. Problemas planteados</w:t>
      </w:r>
    </w:p>
    <w:p w14:paraId="01330D99" w14:textId="51ED0B63" w:rsidR="00DB3804" w:rsidRPr="008A1492" w:rsidRDefault="00DB3804" w:rsidP="00DB3804">
      <w:pPr>
        <w:tabs>
          <w:tab w:val="left" w:pos="426"/>
        </w:tabs>
        <w:spacing w:after="0" w:line="276" w:lineRule="auto"/>
        <w:jc w:val="both"/>
        <w:rPr>
          <w:rFonts w:ascii="Arial" w:eastAsia="Calibri" w:hAnsi="Arial" w:cs="Arial"/>
          <w:color w:val="000000"/>
          <w:lang w:val="es-ES_tradnl"/>
        </w:rPr>
      </w:pPr>
      <w:bookmarkStart w:id="0" w:name="_Hlk45491920"/>
      <w:r w:rsidRPr="008A1492">
        <w:rPr>
          <w:rFonts w:ascii="Arial" w:eastAsia="Calibri" w:hAnsi="Arial" w:cs="Arial"/>
          <w:color w:val="000000"/>
          <w:lang w:val="es-ES_tradnl"/>
        </w:rPr>
        <w:t>Usted realiza la</w:t>
      </w:r>
      <w:r w:rsidR="00944C5B">
        <w:rPr>
          <w:rFonts w:ascii="Arial" w:eastAsia="Calibri" w:hAnsi="Arial" w:cs="Arial"/>
          <w:color w:val="000000"/>
          <w:lang w:val="es-ES_tradnl"/>
        </w:rPr>
        <w:t>s</w:t>
      </w:r>
      <w:r w:rsidRPr="008A1492">
        <w:rPr>
          <w:rFonts w:ascii="Arial" w:eastAsia="Calibri" w:hAnsi="Arial" w:cs="Arial"/>
          <w:color w:val="000000"/>
          <w:lang w:val="es-ES_tradnl"/>
        </w:rPr>
        <w:t xml:space="preserve"> siguiente</w:t>
      </w:r>
      <w:r w:rsidR="00944C5B">
        <w:rPr>
          <w:rFonts w:ascii="Arial" w:eastAsia="Calibri" w:hAnsi="Arial" w:cs="Arial"/>
          <w:color w:val="000000"/>
          <w:lang w:val="es-ES_tradnl"/>
        </w:rPr>
        <w:t>s</w:t>
      </w:r>
      <w:r w:rsidRPr="008A1492">
        <w:rPr>
          <w:rFonts w:ascii="Arial" w:eastAsia="Calibri" w:hAnsi="Arial" w:cs="Arial"/>
          <w:color w:val="000000"/>
          <w:lang w:val="es-ES_tradnl"/>
        </w:rPr>
        <w:t xml:space="preserve"> consulta</w:t>
      </w:r>
      <w:r w:rsidR="00944C5B">
        <w:rPr>
          <w:rFonts w:ascii="Arial" w:eastAsia="Calibri" w:hAnsi="Arial" w:cs="Arial"/>
          <w:color w:val="000000"/>
          <w:lang w:val="es-ES_tradnl"/>
        </w:rPr>
        <w:t>s</w:t>
      </w:r>
      <w:r w:rsidRPr="008A1492">
        <w:rPr>
          <w:rFonts w:ascii="Arial" w:eastAsia="Calibri" w:hAnsi="Arial" w:cs="Arial"/>
          <w:color w:val="000000"/>
          <w:lang w:val="es-ES_tradnl"/>
        </w:rPr>
        <w:t xml:space="preserve">: </w:t>
      </w:r>
    </w:p>
    <w:p w14:paraId="4A5D5870" w14:textId="77777777" w:rsidR="00083892" w:rsidRDefault="00083892" w:rsidP="001A3343">
      <w:pPr>
        <w:pStyle w:val="Prrafodelista"/>
        <w:tabs>
          <w:tab w:val="left" w:pos="0"/>
          <w:tab w:val="left" w:pos="284"/>
        </w:tabs>
        <w:spacing w:line="240" w:lineRule="auto"/>
        <w:ind w:left="709" w:right="709"/>
        <w:jc w:val="both"/>
        <w:rPr>
          <w:rFonts w:ascii="Arial" w:eastAsia="Times New Roman" w:hAnsi="Arial" w:cs="Arial"/>
          <w:sz w:val="21"/>
          <w:szCs w:val="21"/>
          <w:lang w:eastAsia="es-ES_tradnl"/>
        </w:rPr>
      </w:pPr>
    </w:p>
    <w:bookmarkEnd w:id="0"/>
    <w:p w14:paraId="345F8951" w14:textId="4F033D8E" w:rsidR="00EE5F37" w:rsidRPr="00F97159" w:rsidRDefault="00083892" w:rsidP="001A3343">
      <w:pPr>
        <w:pStyle w:val="Prrafodelista"/>
        <w:tabs>
          <w:tab w:val="left" w:pos="0"/>
          <w:tab w:val="left" w:pos="284"/>
        </w:tabs>
        <w:spacing w:line="240" w:lineRule="auto"/>
        <w:ind w:left="709" w:right="709"/>
        <w:jc w:val="both"/>
        <w:rPr>
          <w:rFonts w:ascii="Arial" w:hAnsi="Arial" w:cs="Arial"/>
          <w:sz w:val="21"/>
          <w:szCs w:val="21"/>
        </w:rPr>
      </w:pPr>
      <w:r w:rsidRPr="00F97159">
        <w:rPr>
          <w:rFonts w:ascii="Arial" w:eastAsia="Times New Roman" w:hAnsi="Arial" w:cs="Arial"/>
          <w:sz w:val="21"/>
          <w:szCs w:val="21"/>
          <w:lang w:eastAsia="es-ES_tradnl"/>
        </w:rPr>
        <w:t>«</w:t>
      </w:r>
      <w:r w:rsidR="00B435BF" w:rsidRPr="00F97159">
        <w:rPr>
          <w:rFonts w:ascii="Arial" w:eastAsia="Times New Roman" w:hAnsi="Arial" w:cs="Arial"/>
          <w:sz w:val="21"/>
          <w:szCs w:val="21"/>
          <w:lang w:eastAsia="es-ES_tradnl"/>
        </w:rPr>
        <w:t xml:space="preserve">1. </w:t>
      </w:r>
      <w:r w:rsidR="00B435BF" w:rsidRPr="00F97159">
        <w:rPr>
          <w:rFonts w:ascii="Arial" w:hAnsi="Arial" w:cs="Arial"/>
          <w:sz w:val="21"/>
          <w:szCs w:val="21"/>
        </w:rPr>
        <w:t>¿Qué prevalece en el desarrollo post contractual, lo que pactan o acuerdan las partes o lo que queda registrado en la plataforma SECOP 2?</w:t>
      </w:r>
    </w:p>
    <w:p w14:paraId="4EC8CF02" w14:textId="77777777" w:rsidR="00DF027D" w:rsidRPr="00F97159" w:rsidRDefault="00DF027D" w:rsidP="001A3343">
      <w:pPr>
        <w:pStyle w:val="Prrafodelista"/>
        <w:tabs>
          <w:tab w:val="left" w:pos="0"/>
          <w:tab w:val="left" w:pos="284"/>
        </w:tabs>
        <w:spacing w:line="240" w:lineRule="auto"/>
        <w:ind w:left="709" w:right="709"/>
        <w:jc w:val="both"/>
        <w:rPr>
          <w:rFonts w:ascii="Arial" w:hAnsi="Arial" w:cs="Arial"/>
          <w:sz w:val="21"/>
          <w:szCs w:val="21"/>
        </w:rPr>
      </w:pPr>
    </w:p>
    <w:p w14:paraId="6D32AB0F" w14:textId="77777777" w:rsidR="00F97159" w:rsidRPr="00F97159" w:rsidRDefault="00B435BF" w:rsidP="001A3343">
      <w:pPr>
        <w:pStyle w:val="Prrafodelista"/>
        <w:tabs>
          <w:tab w:val="left" w:pos="0"/>
          <w:tab w:val="left" w:pos="284"/>
        </w:tabs>
        <w:spacing w:line="240" w:lineRule="auto"/>
        <w:ind w:left="709" w:right="709"/>
        <w:jc w:val="both"/>
        <w:rPr>
          <w:rFonts w:ascii="Arial" w:hAnsi="Arial" w:cs="Arial"/>
          <w:sz w:val="21"/>
          <w:szCs w:val="21"/>
        </w:rPr>
      </w:pPr>
      <w:r w:rsidRPr="00F97159">
        <w:rPr>
          <w:rFonts w:ascii="Arial" w:hAnsi="Arial" w:cs="Arial"/>
          <w:sz w:val="21"/>
          <w:szCs w:val="21"/>
        </w:rPr>
        <w:lastRenderedPageBreak/>
        <w:t xml:space="preserve"> 2. Aun cuando el plazo de duración del contrato feneció, el hecho de que el contrato esté suspendido en la plataforma SECOP 2 ¿significa que el contrato sigue vigente porque el contratista de obra no ha aceptado la reanudación del contrato? </w:t>
      </w:r>
    </w:p>
    <w:p w14:paraId="2A3139DA" w14:textId="77777777" w:rsidR="00DF027D" w:rsidRDefault="00DF027D" w:rsidP="001A3343">
      <w:pPr>
        <w:pStyle w:val="Prrafodelista"/>
        <w:tabs>
          <w:tab w:val="left" w:pos="0"/>
          <w:tab w:val="left" w:pos="284"/>
        </w:tabs>
        <w:spacing w:line="240" w:lineRule="auto"/>
        <w:ind w:left="709" w:right="709"/>
        <w:jc w:val="both"/>
        <w:rPr>
          <w:rFonts w:ascii="Arial" w:hAnsi="Arial" w:cs="Arial"/>
          <w:sz w:val="21"/>
          <w:szCs w:val="21"/>
        </w:rPr>
      </w:pPr>
    </w:p>
    <w:p w14:paraId="0C9FC8CF" w14:textId="5E2AC76B" w:rsidR="00083892" w:rsidRPr="00F97159" w:rsidRDefault="00B435BF" w:rsidP="001A3343">
      <w:pPr>
        <w:pStyle w:val="Prrafodelista"/>
        <w:tabs>
          <w:tab w:val="left" w:pos="0"/>
          <w:tab w:val="left" w:pos="284"/>
        </w:tabs>
        <w:spacing w:line="240" w:lineRule="auto"/>
        <w:ind w:left="709" w:right="709"/>
        <w:jc w:val="both"/>
        <w:rPr>
          <w:rFonts w:ascii="Arial" w:eastAsia="Calibri" w:hAnsi="Arial" w:cs="Arial"/>
          <w:b/>
          <w:sz w:val="21"/>
          <w:szCs w:val="21"/>
        </w:rPr>
      </w:pPr>
      <w:r w:rsidRPr="00F97159">
        <w:rPr>
          <w:rFonts w:ascii="Arial" w:hAnsi="Arial" w:cs="Arial"/>
          <w:sz w:val="21"/>
          <w:szCs w:val="21"/>
        </w:rPr>
        <w:t>3. Si el contrato está suspendido ¿no es posible iniciar procedimientos sancionatorios por incumplimiento definitivo</w:t>
      </w:r>
      <w:r w:rsidR="00083892" w:rsidRPr="00F97159">
        <w:rPr>
          <w:rFonts w:ascii="Arial" w:hAnsi="Arial" w:cs="Arial"/>
          <w:sz w:val="21"/>
          <w:szCs w:val="21"/>
        </w:rPr>
        <w:t>?»</w:t>
      </w:r>
      <w:r w:rsidR="00272A05">
        <w:rPr>
          <w:rFonts w:ascii="Arial" w:hAnsi="Arial" w:cs="Arial"/>
          <w:sz w:val="21"/>
          <w:szCs w:val="21"/>
        </w:rPr>
        <w:t xml:space="preserve"> </w:t>
      </w:r>
      <w:r w:rsidR="00E91089">
        <w:rPr>
          <w:rFonts w:ascii="Arial" w:hAnsi="Arial" w:cs="Arial"/>
          <w:sz w:val="21"/>
          <w:szCs w:val="21"/>
        </w:rPr>
        <w:t>(</w:t>
      </w:r>
      <w:r w:rsidR="00272A05">
        <w:rPr>
          <w:rFonts w:ascii="Arial" w:hAnsi="Arial" w:cs="Arial"/>
          <w:sz w:val="21"/>
          <w:szCs w:val="21"/>
        </w:rPr>
        <w:t>s</w:t>
      </w:r>
      <w:r w:rsidR="00E91089">
        <w:rPr>
          <w:rFonts w:ascii="Arial" w:hAnsi="Arial" w:cs="Arial"/>
          <w:sz w:val="21"/>
          <w:szCs w:val="21"/>
        </w:rPr>
        <w:t>ic)</w:t>
      </w:r>
      <w:r w:rsidR="00272A05">
        <w:rPr>
          <w:rFonts w:ascii="Arial" w:hAnsi="Arial" w:cs="Arial"/>
          <w:sz w:val="21"/>
          <w:szCs w:val="21"/>
        </w:rPr>
        <w:t>.</w:t>
      </w:r>
    </w:p>
    <w:p w14:paraId="3D78C5E0" w14:textId="46EECE71" w:rsidR="006219F8" w:rsidRPr="0011452B" w:rsidRDefault="006219F8" w:rsidP="006219F8">
      <w:pPr>
        <w:spacing w:after="0" w:line="240" w:lineRule="auto"/>
        <w:jc w:val="both"/>
        <w:textAlignment w:val="baseline"/>
        <w:rPr>
          <w:rFonts w:ascii="Arial" w:eastAsia="Times New Roman" w:hAnsi="Arial" w:cs="Arial"/>
          <w:lang w:val="es-MX" w:eastAsia="es-CO"/>
        </w:rPr>
      </w:pPr>
      <w:r w:rsidRPr="0011452B">
        <w:rPr>
          <w:rFonts w:ascii="Arial" w:eastAsia="Times New Roman" w:hAnsi="Arial" w:cs="Arial"/>
          <w:lang w:val="es-MX" w:eastAsia="es-CO"/>
        </w:rPr>
        <w:t xml:space="preserve"> </w:t>
      </w:r>
    </w:p>
    <w:p w14:paraId="3C7DBCDB" w14:textId="77777777" w:rsidR="00944C5B" w:rsidRDefault="00944C5B" w:rsidP="00944C5B">
      <w:pPr>
        <w:tabs>
          <w:tab w:val="left" w:pos="426"/>
        </w:tabs>
        <w:spacing w:after="0" w:line="276" w:lineRule="auto"/>
        <w:jc w:val="both"/>
        <w:rPr>
          <w:rFonts w:ascii="Arial" w:eastAsia="Calibri" w:hAnsi="Arial" w:cs="Arial"/>
          <w:b/>
          <w:color w:val="000000"/>
          <w:lang w:val="es-ES_tradnl"/>
        </w:rPr>
      </w:pPr>
      <w:bookmarkStart w:id="1" w:name="_Hlk34951122"/>
      <w:r w:rsidRPr="008A1492">
        <w:rPr>
          <w:rFonts w:ascii="Arial" w:eastAsia="Calibri" w:hAnsi="Arial" w:cs="Arial"/>
          <w:b/>
          <w:color w:val="000000"/>
          <w:lang w:val="es-ES_tradnl"/>
        </w:rPr>
        <w:t>2. Consideraciones</w:t>
      </w:r>
    </w:p>
    <w:p w14:paraId="07E48B8F" w14:textId="77777777" w:rsidR="00AC27CF" w:rsidRPr="008A1492" w:rsidRDefault="00AC27CF" w:rsidP="00944C5B">
      <w:pPr>
        <w:tabs>
          <w:tab w:val="left" w:pos="426"/>
        </w:tabs>
        <w:spacing w:after="0" w:line="276" w:lineRule="auto"/>
        <w:jc w:val="both"/>
        <w:rPr>
          <w:rFonts w:ascii="Arial" w:eastAsia="Calibri" w:hAnsi="Arial" w:cs="Arial"/>
          <w:b/>
          <w:color w:val="000000"/>
          <w:lang w:val="es-ES_tradnl"/>
        </w:rPr>
      </w:pPr>
    </w:p>
    <w:p w14:paraId="4CCE12D7" w14:textId="5700B29F" w:rsidR="00AC27CF" w:rsidRPr="00375B1D" w:rsidRDefault="004B415A" w:rsidP="00AC27CF">
      <w:pPr>
        <w:spacing w:after="120" w:line="276" w:lineRule="auto"/>
        <w:jc w:val="both"/>
        <w:rPr>
          <w:rFonts w:ascii="Arial" w:hAnsi="Arial" w:cs="Arial"/>
          <w:lang w:val="es-ES_tradnl"/>
        </w:rPr>
      </w:pPr>
      <w:r>
        <w:rPr>
          <w:rFonts w:ascii="Arial" w:hAnsi="Arial" w:cs="Arial"/>
          <w:lang w:val="es-ES_tradnl"/>
        </w:rPr>
        <w:t>En primer lugar, es importante precisar que l</w:t>
      </w:r>
      <w:r w:rsidR="00AC27CF" w:rsidRPr="00375B1D">
        <w:rPr>
          <w:rFonts w:ascii="Arial" w:hAnsi="Arial" w:cs="Arial"/>
          <w:lang w:val="es-ES_tradnl"/>
        </w:rPr>
        <w:t xml:space="preserve">a Agencia Nacional de Contratación Pública – Colombia Compra Eficiente resuelve las consultas sobre los asuntos de su competencia, esto 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   </w:t>
      </w:r>
    </w:p>
    <w:p w14:paraId="18B5AFBA" w14:textId="77777777" w:rsidR="00AC27CF" w:rsidRPr="00375B1D" w:rsidRDefault="00AC27CF" w:rsidP="00AC27CF">
      <w:pPr>
        <w:spacing w:after="120" w:line="276" w:lineRule="auto"/>
        <w:ind w:firstLine="708"/>
        <w:jc w:val="both"/>
        <w:rPr>
          <w:rFonts w:ascii="Arial" w:hAnsi="Arial" w:cs="Arial"/>
          <w:lang w:val="es-ES_tradnl"/>
        </w:rPr>
      </w:pPr>
      <w:r w:rsidRPr="00375B1D">
        <w:rPr>
          <w:rFonts w:ascii="Arial" w:hAnsi="Arial" w:cs="Arial"/>
          <w:lang w:val="es-ES_tradnl"/>
        </w:rPr>
        <w:t>Por tanto, la competencia de esta Agencia se fija con límites claros, con el objeto de evitar que actúe como una instancia de validación de las actuaciones de las entidades sujetas a la Ley 80 de 1993 o de los demás participantes de la contratación pública.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 </w:t>
      </w:r>
    </w:p>
    <w:p w14:paraId="21A04684" w14:textId="6ECF3521" w:rsidR="00C875F9" w:rsidRPr="00D54EC6" w:rsidRDefault="00076A4D" w:rsidP="00A30934">
      <w:pPr>
        <w:spacing w:after="0" w:line="276" w:lineRule="auto"/>
        <w:ind w:firstLine="708"/>
        <w:jc w:val="both"/>
        <w:rPr>
          <w:rFonts w:ascii="Arial" w:hAnsi="Arial" w:cs="Arial"/>
          <w:lang w:val="es-ES_tradnl"/>
        </w:rPr>
      </w:pPr>
      <w:r w:rsidRPr="00EC7006">
        <w:rPr>
          <w:rFonts w:ascii="Arial" w:eastAsia="Calibri" w:hAnsi="Arial" w:cs="Arial"/>
        </w:rPr>
        <w:t xml:space="preserve">Sin perjuicio de lo anterior, dentro de los límites de las atribuciones de la función consultiva atribuida a esta entidad, esto es, </w:t>
      </w:r>
      <w:r>
        <w:rPr>
          <w:rFonts w:ascii="Arial" w:eastAsia="Calibri" w:hAnsi="Arial" w:cs="Arial"/>
        </w:rPr>
        <w:t xml:space="preserve">haciendo abstracción del caso particular expuesto e </w:t>
      </w:r>
      <w:r w:rsidRPr="00EC7006">
        <w:rPr>
          <w:rFonts w:ascii="Arial" w:eastAsia="Calibri" w:hAnsi="Arial" w:cs="Arial"/>
        </w:rPr>
        <w:t>interpretando de manera general las normas relevantes,</w:t>
      </w:r>
      <w:r>
        <w:rPr>
          <w:rFonts w:ascii="Arial" w:eastAsia="Calibri" w:hAnsi="Arial" w:cs="Arial"/>
        </w:rPr>
        <w:t xml:space="preserve"> </w:t>
      </w:r>
      <w:r>
        <w:rPr>
          <w:rFonts w:ascii="Arial" w:hAnsi="Arial" w:cs="Arial"/>
          <w:bCs/>
          <w:lang w:val="es-MX" w:eastAsia="en-GB"/>
        </w:rPr>
        <w:t>l</w:t>
      </w:r>
      <w:r w:rsidRPr="00EC7006">
        <w:rPr>
          <w:rFonts w:ascii="Arial" w:eastAsia="Calibri" w:hAnsi="Arial" w:cs="Arial"/>
          <w:lang w:val="es-ES_tradnl"/>
        </w:rPr>
        <w:t xml:space="preserve">a Subdirección de Gestión Contractual responderá </w:t>
      </w:r>
      <w:r>
        <w:rPr>
          <w:rFonts w:ascii="Arial" w:eastAsia="Calibri" w:hAnsi="Arial" w:cs="Arial"/>
          <w:lang w:val="es-ES_tradnl"/>
        </w:rPr>
        <w:t>su</w:t>
      </w:r>
      <w:r w:rsidRPr="00EC7006">
        <w:rPr>
          <w:rFonts w:ascii="Arial" w:eastAsia="Calibri" w:hAnsi="Arial" w:cs="Arial"/>
          <w:lang w:val="es-ES_tradnl"/>
        </w:rPr>
        <w:t xml:space="preserve"> consulta </w:t>
      </w:r>
      <w:r>
        <w:rPr>
          <w:rFonts w:ascii="Arial" w:eastAsia="Calibri" w:hAnsi="Arial" w:cs="Arial"/>
          <w:lang w:val="es-ES_tradnl"/>
        </w:rPr>
        <w:t>para lo cual realizará u</w:t>
      </w:r>
      <w:r w:rsidR="00C875F9" w:rsidRPr="0074631F">
        <w:rPr>
          <w:rFonts w:ascii="Arial" w:eastAsia="Calibri" w:hAnsi="Arial" w:cs="Arial"/>
          <w:color w:val="000000"/>
          <w:lang w:val="es-ES_tradnl"/>
        </w:rPr>
        <w:t>n análisis de los siguientes temas: i)</w:t>
      </w:r>
      <w:r w:rsidR="007955EE">
        <w:rPr>
          <w:rFonts w:ascii="Arial" w:eastAsia="Calibri" w:hAnsi="Arial" w:cs="Arial"/>
          <w:color w:val="000000"/>
          <w:lang w:val="es-ES_tradnl"/>
        </w:rPr>
        <w:t xml:space="preserve"> </w:t>
      </w:r>
      <w:r w:rsidR="00C875F9" w:rsidRPr="0074631F">
        <w:rPr>
          <w:rFonts w:ascii="Arial" w:eastAsia="Calibri" w:hAnsi="Arial" w:cs="Arial"/>
          <w:color w:val="000000"/>
          <w:lang w:val="es-ES_tradnl"/>
        </w:rPr>
        <w:t>carácter transaccional del SECOP II</w:t>
      </w:r>
      <w:r w:rsidR="007955EE">
        <w:rPr>
          <w:rFonts w:ascii="Arial" w:eastAsia="Calibri" w:hAnsi="Arial" w:cs="Arial"/>
          <w:color w:val="000000"/>
          <w:lang w:val="es-ES_tradnl"/>
        </w:rPr>
        <w:t>;</w:t>
      </w:r>
      <w:r w:rsidR="00C875F9" w:rsidRPr="0074631F">
        <w:rPr>
          <w:rFonts w:ascii="Arial" w:eastAsia="Calibri" w:hAnsi="Arial" w:cs="Arial"/>
          <w:color w:val="000000"/>
          <w:lang w:val="es-ES_tradnl"/>
        </w:rPr>
        <w:t xml:space="preserve"> </w:t>
      </w:r>
      <w:proofErr w:type="spellStart"/>
      <w:r w:rsidR="00C875F9" w:rsidRPr="0074631F">
        <w:rPr>
          <w:rFonts w:ascii="Arial" w:eastAsia="Calibri" w:hAnsi="Arial" w:cs="Arial"/>
          <w:color w:val="000000"/>
          <w:lang w:val="es-ES_tradnl"/>
        </w:rPr>
        <w:t>ii</w:t>
      </w:r>
      <w:proofErr w:type="spellEnd"/>
      <w:r w:rsidR="00C875F9" w:rsidRPr="0074631F">
        <w:rPr>
          <w:rFonts w:ascii="Arial" w:eastAsia="Calibri" w:hAnsi="Arial" w:cs="Arial"/>
          <w:color w:val="000000"/>
          <w:lang w:val="es-ES_tradnl"/>
        </w:rPr>
        <w:t>) metodología para la suspensión de los contratos estatales</w:t>
      </w:r>
      <w:r w:rsidR="00EA70D8">
        <w:rPr>
          <w:rFonts w:ascii="Arial" w:eastAsia="Calibri" w:hAnsi="Arial" w:cs="Arial"/>
          <w:color w:val="000000"/>
          <w:lang w:val="es-ES_tradnl"/>
        </w:rPr>
        <w:t xml:space="preserve">; </w:t>
      </w:r>
      <w:proofErr w:type="spellStart"/>
      <w:r w:rsidR="00EA70D8">
        <w:rPr>
          <w:rFonts w:ascii="Arial" w:eastAsia="Calibri" w:hAnsi="Arial" w:cs="Arial"/>
          <w:color w:val="000000"/>
          <w:lang w:val="es-ES_tradnl"/>
        </w:rPr>
        <w:t>iii</w:t>
      </w:r>
      <w:proofErr w:type="spellEnd"/>
      <w:r w:rsidR="00EA70D8">
        <w:rPr>
          <w:rFonts w:ascii="Arial" w:eastAsia="Calibri" w:hAnsi="Arial" w:cs="Arial"/>
          <w:color w:val="000000"/>
          <w:lang w:val="es-ES_tradnl"/>
        </w:rPr>
        <w:t xml:space="preserve">) </w:t>
      </w:r>
      <w:r w:rsidR="00255164" w:rsidRPr="00255164">
        <w:rPr>
          <w:rFonts w:ascii="Arial" w:eastAsia="Calibri" w:hAnsi="Arial" w:cs="Arial"/>
          <w:color w:val="000000"/>
          <w:lang w:val="es-ES_tradnl"/>
        </w:rPr>
        <w:t>Régimen sancionatorio en el Estatuto General de Contratación de la Administración Pública</w:t>
      </w:r>
      <w:r w:rsidR="00FE6C7F">
        <w:rPr>
          <w:rFonts w:ascii="Arial" w:eastAsia="Calibri" w:hAnsi="Arial" w:cs="Arial"/>
          <w:color w:val="000000"/>
          <w:lang w:val="es-ES_tradnl"/>
        </w:rPr>
        <w:t xml:space="preserve">; </w:t>
      </w:r>
      <w:proofErr w:type="spellStart"/>
      <w:r w:rsidR="00FE6C7F">
        <w:rPr>
          <w:rFonts w:ascii="Arial" w:eastAsia="Calibri" w:hAnsi="Arial" w:cs="Arial"/>
          <w:color w:val="000000"/>
          <w:lang w:val="es-ES_tradnl"/>
        </w:rPr>
        <w:t>iv</w:t>
      </w:r>
      <w:proofErr w:type="spellEnd"/>
      <w:r w:rsidR="00FE6C7F">
        <w:rPr>
          <w:rFonts w:ascii="Arial" w:eastAsia="Calibri" w:hAnsi="Arial" w:cs="Arial"/>
          <w:color w:val="000000"/>
          <w:lang w:val="es-ES_tradnl"/>
        </w:rPr>
        <w:t xml:space="preserve">) </w:t>
      </w:r>
      <w:r w:rsidR="00A30934" w:rsidRPr="00A30934">
        <w:rPr>
          <w:rFonts w:ascii="Arial" w:eastAsia="Calibri" w:hAnsi="Arial" w:cs="Arial"/>
          <w:color w:val="000000"/>
          <w:lang w:val="es-ES_tradnl"/>
        </w:rPr>
        <w:t>procedimiento administrativo</w:t>
      </w:r>
      <w:r w:rsidR="00A30934">
        <w:rPr>
          <w:rFonts w:ascii="Arial" w:eastAsia="Calibri" w:hAnsi="Arial" w:cs="Arial"/>
          <w:color w:val="000000"/>
          <w:lang w:val="es-ES_tradnl"/>
        </w:rPr>
        <w:t xml:space="preserve"> </w:t>
      </w:r>
      <w:r w:rsidR="00A30934" w:rsidRPr="00A30934">
        <w:rPr>
          <w:rFonts w:ascii="Arial" w:eastAsia="Calibri" w:hAnsi="Arial" w:cs="Arial"/>
          <w:color w:val="000000"/>
          <w:lang w:val="es-ES_tradnl"/>
        </w:rPr>
        <w:t>sancionatorio contractual previsto en el artículo 86 de la Ley 1474 de 2011</w:t>
      </w:r>
      <w:r w:rsidR="008057DC">
        <w:rPr>
          <w:rFonts w:ascii="Arial" w:eastAsia="Calibri" w:hAnsi="Arial" w:cs="Arial"/>
          <w:color w:val="000000"/>
          <w:lang w:val="es-ES_tradnl"/>
        </w:rPr>
        <w:t xml:space="preserve">; y , v) </w:t>
      </w:r>
      <w:r w:rsidR="008057DC" w:rsidRPr="008057DC">
        <w:rPr>
          <w:rFonts w:ascii="Arial" w:eastAsia="Calibri" w:hAnsi="Arial" w:cs="Arial"/>
          <w:color w:val="000000"/>
          <w:lang w:val="es-ES_tradnl"/>
        </w:rPr>
        <w:t>El debido proceso como principio rector de la potestad sancionatoria de la administración en contratación estatal</w:t>
      </w:r>
      <w:r w:rsidR="008057DC">
        <w:rPr>
          <w:rFonts w:ascii="Arial" w:eastAsia="Calibri" w:hAnsi="Arial" w:cs="Arial"/>
          <w:color w:val="000000"/>
          <w:lang w:val="es-ES_tradnl"/>
        </w:rPr>
        <w:t>.</w:t>
      </w:r>
      <w:r w:rsidR="008057DC" w:rsidRPr="008057DC">
        <w:rPr>
          <w:rFonts w:ascii="Arial" w:eastAsia="Calibri" w:hAnsi="Arial" w:cs="Arial"/>
          <w:color w:val="000000"/>
          <w:lang w:val="es-ES_tradnl"/>
        </w:rPr>
        <w:t xml:space="preserve">  </w:t>
      </w:r>
    </w:p>
    <w:p w14:paraId="0F800D14" w14:textId="77777777" w:rsidR="006D4B5D" w:rsidRDefault="00C875F9" w:rsidP="00C875F9">
      <w:pPr>
        <w:spacing w:before="120" w:after="0" w:line="276" w:lineRule="auto"/>
        <w:ind w:firstLine="709"/>
        <w:jc w:val="both"/>
        <w:rPr>
          <w:rFonts w:ascii="Arial" w:eastAsia="Calibri" w:hAnsi="Arial" w:cs="Arial"/>
          <w:color w:val="000000"/>
          <w:lang w:val="es-ES_tradnl"/>
        </w:rPr>
      </w:pPr>
      <w:r w:rsidRPr="0074631F">
        <w:rPr>
          <w:rFonts w:ascii="Arial" w:eastAsia="Calibri" w:hAnsi="Arial" w:cs="Arial"/>
          <w:color w:val="000000"/>
          <w:lang w:val="es-ES_tradnl"/>
        </w:rPr>
        <w:t>La Agencia Nacional de Contratación Pública – Colombia Compra Eficiente analizó la suspensión del contrato estatal en los conceptos C-527 del 12 de agosto de 2020</w:t>
      </w:r>
      <w:r w:rsidR="00F25346">
        <w:rPr>
          <w:rFonts w:ascii="Arial" w:eastAsia="Calibri" w:hAnsi="Arial" w:cs="Arial"/>
          <w:color w:val="000000"/>
          <w:lang w:val="es-ES_tradnl"/>
        </w:rPr>
        <w:t>,</w:t>
      </w:r>
      <w:r w:rsidRPr="0074631F">
        <w:rPr>
          <w:rFonts w:ascii="Arial" w:eastAsia="Calibri" w:hAnsi="Arial" w:cs="Arial"/>
          <w:color w:val="000000"/>
          <w:lang w:val="es-ES_tradnl"/>
        </w:rPr>
        <w:t xml:space="preserve"> C-632 del 30 de septiembre de 2022</w:t>
      </w:r>
      <w:r w:rsidR="00F25346">
        <w:rPr>
          <w:rFonts w:ascii="Arial" w:eastAsia="Calibri" w:hAnsi="Arial" w:cs="Arial"/>
          <w:color w:val="000000"/>
          <w:lang w:val="es-ES_tradnl"/>
        </w:rPr>
        <w:t xml:space="preserve"> y C-766 del 20 de octubre de 2022</w:t>
      </w:r>
      <w:r w:rsidRPr="0074631F">
        <w:rPr>
          <w:rFonts w:ascii="Arial" w:eastAsia="Calibri" w:hAnsi="Arial" w:cs="Arial"/>
          <w:color w:val="000000"/>
          <w:lang w:val="es-ES_tradnl"/>
        </w:rPr>
        <w:t xml:space="preserve">. Adicionalmente, estudió el carácter transaccional del SECOP II, entro otros pronunciamientos, en los conceptos </w:t>
      </w:r>
      <w:r w:rsidRPr="0074631F">
        <w:rPr>
          <w:rFonts w:ascii="Arial" w:hAnsi="Arial" w:cs="Arial"/>
        </w:rPr>
        <w:t xml:space="preserve">C−433 de 24 de julio de 2020, C−468 del 24 de julio de 2020, </w:t>
      </w:r>
      <w:r w:rsidRPr="0074631F">
        <w:rPr>
          <w:rFonts w:ascii="Arial" w:eastAsia="Calibri" w:hAnsi="Arial" w:cs="Arial"/>
          <w:lang w:val="es-ES"/>
        </w:rPr>
        <w:t xml:space="preserve">CU-367 del 23 de julio de 2020, </w:t>
      </w:r>
      <w:r w:rsidRPr="0074631F">
        <w:rPr>
          <w:rFonts w:ascii="Arial" w:hAnsi="Arial" w:cs="Arial"/>
        </w:rPr>
        <w:t xml:space="preserve">C−474 de 24 de julio de </w:t>
      </w:r>
      <w:r w:rsidRPr="0074631F">
        <w:rPr>
          <w:rFonts w:ascii="Arial" w:hAnsi="Arial" w:cs="Arial"/>
        </w:rPr>
        <w:lastRenderedPageBreak/>
        <w:t xml:space="preserve">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C-049 del 07 de marzo de 2022, C-124 del 22 de marzo de 2022, C-132 del 28 de marzo de 2022, C-348 del 13 de junio de 2022, C-480 del 19 de julio de 2022, C-510 del 08 de agosto de 2022, C-497 del 24 de agosto de 2022, C-508 del 30 de agosto de 2022, C-552 del 01 de septiembre de 2022, C- 568 del 19 de septiembre de 2022 y C-596 del 21 de septiembre de 2022. </w:t>
      </w:r>
      <w:r w:rsidRPr="0074631F">
        <w:rPr>
          <w:rFonts w:ascii="Arial" w:eastAsia="Calibri" w:hAnsi="Arial" w:cs="Arial"/>
          <w:color w:val="000000"/>
          <w:lang w:val="es-ES_tradnl"/>
        </w:rPr>
        <w:t xml:space="preserve"> </w:t>
      </w:r>
    </w:p>
    <w:p w14:paraId="1CBDF20C" w14:textId="01C90E2D" w:rsidR="00C875F9" w:rsidRPr="0074631F" w:rsidRDefault="006D4B5D" w:rsidP="00C875F9">
      <w:pPr>
        <w:spacing w:before="120" w:after="0" w:line="276" w:lineRule="auto"/>
        <w:ind w:firstLine="709"/>
        <w:jc w:val="both"/>
        <w:rPr>
          <w:rFonts w:ascii="Arial" w:eastAsia="Calibri" w:hAnsi="Arial" w:cs="Arial"/>
          <w:color w:val="000000"/>
          <w:lang w:val="es-ES_tradnl"/>
        </w:rPr>
      </w:pPr>
      <w:r>
        <w:rPr>
          <w:rFonts w:ascii="Arial" w:eastAsia="Calibri" w:hAnsi="Arial" w:cs="Arial"/>
          <w:color w:val="000000"/>
          <w:lang w:val="es-ES_tradnl"/>
        </w:rPr>
        <w:t xml:space="preserve">Finalmente, </w:t>
      </w:r>
      <w:r w:rsidR="00461939">
        <w:rPr>
          <w:rFonts w:ascii="Arial" w:eastAsia="Calibri" w:hAnsi="Arial" w:cs="Arial"/>
          <w:color w:val="000000"/>
          <w:lang w:val="es-ES_tradnl"/>
        </w:rPr>
        <w:t>e</w:t>
      </w:r>
      <w:r w:rsidR="006E481C">
        <w:rPr>
          <w:rStyle w:val="normaltextrun"/>
          <w:rFonts w:ascii="Arial" w:hAnsi="Arial" w:cs="Arial"/>
          <w:lang w:val="es-ES"/>
        </w:rPr>
        <w:t xml:space="preserve">n los conceptos C-147 del 17 de marzo de 2020, C-219 del 29 de abril de 2020, </w:t>
      </w:r>
      <w:r w:rsidR="006E481C">
        <w:rPr>
          <w:rStyle w:val="normaltextrun"/>
          <w:rFonts w:ascii="Arial" w:hAnsi="Arial" w:cs="Arial"/>
          <w:color w:val="000000"/>
          <w:lang w:val="es-ES"/>
        </w:rPr>
        <w:t>C-434 del 29 de julio de 2020, C-569 del 31 de agosto de 2020, C-641 del 4 de noviembre de 2020, C-060 del 8 de marzo de 2021, C-528 del 5 de abril de 2021</w:t>
      </w:r>
      <w:r w:rsidR="00F42420">
        <w:rPr>
          <w:rStyle w:val="normaltextrun"/>
          <w:rFonts w:ascii="Arial" w:hAnsi="Arial" w:cs="Arial"/>
          <w:color w:val="000000"/>
          <w:lang w:val="es-ES"/>
        </w:rPr>
        <w:t xml:space="preserve">, </w:t>
      </w:r>
      <w:r w:rsidR="006E481C">
        <w:rPr>
          <w:rStyle w:val="normaltextrun"/>
          <w:rFonts w:ascii="Arial" w:hAnsi="Arial" w:cs="Arial"/>
          <w:color w:val="000000"/>
          <w:lang w:val="es-ES"/>
        </w:rPr>
        <w:t xml:space="preserve">C-040 del 2 de marzo de 2022, </w:t>
      </w:r>
      <w:r w:rsidR="00F42420">
        <w:rPr>
          <w:rStyle w:val="normaltextrun"/>
          <w:rFonts w:ascii="Arial" w:hAnsi="Arial" w:cs="Arial"/>
          <w:color w:val="000000"/>
          <w:lang w:val="es-ES"/>
        </w:rPr>
        <w:t xml:space="preserve">y </w:t>
      </w:r>
      <w:r w:rsidR="00BB60AE">
        <w:rPr>
          <w:rStyle w:val="normaltextrun"/>
          <w:rFonts w:ascii="Arial" w:hAnsi="Arial" w:cs="Arial"/>
          <w:color w:val="000000"/>
          <w:lang w:val="es-ES"/>
        </w:rPr>
        <w:t xml:space="preserve">C-866 del 20 de diciembre de 2022, </w:t>
      </w:r>
      <w:r w:rsidR="006E481C">
        <w:rPr>
          <w:rStyle w:val="normaltextrun"/>
          <w:rFonts w:ascii="Arial" w:hAnsi="Arial" w:cs="Arial"/>
          <w:color w:val="000000"/>
          <w:lang w:val="es-ES"/>
        </w:rPr>
        <w:t>entre otros pronunciamientos,</w:t>
      </w:r>
      <w:r w:rsidR="006E481C">
        <w:rPr>
          <w:rStyle w:val="normaltextrun"/>
          <w:rFonts w:ascii="Arial" w:hAnsi="Arial" w:cs="Arial"/>
          <w:lang w:val="es-ES"/>
        </w:rPr>
        <w:t xml:space="preserve"> estudió la potestad sancionatoria de las entidades estatales y el procedimiento administrativo que deben efectuar para declarar el incumplimiento y aplicar las sanciones correspondientes, destacando la necesidad de garantizar el debido proceso. Las ideas expuestas en dichas oportunidades se reiteran a continuación, complementándolas con algunas consideraciones relativas a la consulta bajo </w:t>
      </w:r>
      <w:r w:rsidR="00F129AD">
        <w:rPr>
          <w:rStyle w:val="normaltextrun"/>
          <w:rFonts w:ascii="Arial" w:hAnsi="Arial" w:cs="Arial"/>
          <w:lang w:val="es-ES"/>
        </w:rPr>
        <w:t>análisis</w:t>
      </w:r>
      <w:r w:rsidR="00F129AD">
        <w:rPr>
          <w:rFonts w:ascii="Arial" w:eastAsia="Calibri" w:hAnsi="Arial" w:cs="Arial"/>
          <w:color w:val="000000"/>
          <w:lang w:val="es-ES_tradnl"/>
        </w:rPr>
        <w:t>.</w:t>
      </w:r>
    </w:p>
    <w:p w14:paraId="3DFB83C3" w14:textId="77777777" w:rsidR="00C875F9" w:rsidRPr="0074631F" w:rsidRDefault="00C875F9" w:rsidP="00C875F9">
      <w:pPr>
        <w:spacing w:after="0" w:line="276" w:lineRule="auto"/>
        <w:jc w:val="both"/>
        <w:rPr>
          <w:rFonts w:ascii="Arial" w:eastAsia="Calibri" w:hAnsi="Arial" w:cs="Arial"/>
          <w:color w:val="000000"/>
          <w:lang w:val="es-ES_tradnl"/>
        </w:rPr>
      </w:pPr>
    </w:p>
    <w:p w14:paraId="595DBE46" w14:textId="7F3BB81A" w:rsidR="00C875F9" w:rsidRPr="001A3C63" w:rsidRDefault="00C875F9" w:rsidP="00C875F9">
      <w:pPr>
        <w:spacing w:after="0" w:line="276" w:lineRule="auto"/>
        <w:jc w:val="both"/>
        <w:rPr>
          <w:rFonts w:ascii="Arial" w:eastAsia="Arial" w:hAnsi="Arial" w:cs="Arial"/>
          <w:lang w:val="es-ES"/>
        </w:rPr>
      </w:pPr>
      <w:r w:rsidRPr="0074631F">
        <w:rPr>
          <w:rFonts w:ascii="Arial" w:eastAsia="Calibri" w:hAnsi="Arial" w:cs="Arial"/>
          <w:b/>
          <w:bCs/>
          <w:lang w:val="es-ES"/>
        </w:rPr>
        <w:t xml:space="preserve">2.1. </w:t>
      </w:r>
      <w:r w:rsidRPr="0074631F">
        <w:rPr>
          <w:rFonts w:ascii="Arial" w:eastAsia="Calibri" w:hAnsi="Arial" w:cs="Arial"/>
          <w:b/>
          <w:bCs/>
          <w:color w:val="000000"/>
          <w:lang w:val="es-ES_tradnl"/>
        </w:rPr>
        <w:t>Carácter transaccional del SECOP II</w:t>
      </w:r>
    </w:p>
    <w:p w14:paraId="7C597013" w14:textId="77777777" w:rsidR="00C875F9" w:rsidRPr="0074631F" w:rsidRDefault="00C875F9" w:rsidP="00C875F9">
      <w:pPr>
        <w:spacing w:after="0" w:line="276" w:lineRule="auto"/>
        <w:jc w:val="both"/>
        <w:rPr>
          <w:rFonts w:ascii="Arial" w:eastAsia="Calibri" w:hAnsi="Arial" w:cs="Arial"/>
          <w:color w:val="000000"/>
          <w:lang w:val="es-ES_tradnl"/>
        </w:rPr>
      </w:pPr>
    </w:p>
    <w:p w14:paraId="0E2D7148" w14:textId="4FEF0E3E" w:rsidR="00C875F9" w:rsidRPr="0074631F" w:rsidRDefault="00C875F9" w:rsidP="00C875F9">
      <w:pPr>
        <w:spacing w:after="120" w:line="276" w:lineRule="auto"/>
        <w:jc w:val="both"/>
        <w:rPr>
          <w:rFonts w:ascii="Arial" w:eastAsia="Calibri" w:hAnsi="Arial" w:cs="Arial"/>
          <w:szCs w:val="24"/>
          <w:lang w:val="es-ES" w:eastAsia="es-ES_tradnl"/>
        </w:rPr>
      </w:pPr>
      <w:r w:rsidRPr="0074631F">
        <w:rPr>
          <w:rFonts w:ascii="Arial" w:eastAsia="Calibri" w:hAnsi="Arial" w:cs="Arial"/>
          <w:szCs w:val="24"/>
          <w:lang w:val="es-ES" w:eastAsia="es-ES_tradnl"/>
        </w:rPr>
        <w:t>La Agencia Nacional de Contratación Pública – Colombia Compra Eficiente tiene, dentro de sus competencias, la función de administrar el SECOP</w:t>
      </w:r>
      <w:r w:rsidRPr="0074631F">
        <w:rPr>
          <w:rStyle w:val="Refdenotaalpie"/>
          <w:rFonts w:ascii="Arial" w:hAnsi="Arial" w:cs="Arial"/>
        </w:rPr>
        <w:footnoteReference w:id="2"/>
      </w:r>
      <w:r w:rsidRPr="0074631F">
        <w:rPr>
          <w:rFonts w:ascii="Arial" w:eastAsia="Calibri" w:hAnsi="Arial" w:cs="Arial"/>
          <w:szCs w:val="24"/>
          <w:lang w:val="es-ES" w:eastAsia="es-ES_tradnl"/>
        </w:rPr>
        <w:t>, por lo cual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05F8BAF" w14:textId="64B94928" w:rsidR="00C875F9" w:rsidRPr="0074631F" w:rsidRDefault="00C875F9" w:rsidP="00C875F9">
      <w:pPr>
        <w:spacing w:before="120" w:after="120" w:line="276" w:lineRule="auto"/>
        <w:ind w:firstLine="708"/>
        <w:jc w:val="both"/>
        <w:rPr>
          <w:rFonts w:ascii="Arial" w:eastAsia="Calibri" w:hAnsi="Arial" w:cs="Arial"/>
          <w:szCs w:val="24"/>
          <w:lang w:val="es-ES" w:eastAsia="es-ES_tradnl"/>
        </w:rPr>
      </w:pPr>
      <w:r w:rsidRPr="0074631F">
        <w:rPr>
          <w:rFonts w:ascii="Arial" w:eastAsia="Calibri" w:hAnsi="Arial" w:cs="Arial"/>
          <w:szCs w:val="24"/>
          <w:lang w:val="es-ES" w:eastAsia="es-ES_tradnl"/>
        </w:rPr>
        <w:t xml:space="preserve">El SECOP II, en cambio, es una plataforma </w:t>
      </w:r>
      <w:r w:rsidRPr="0074631F">
        <w:rPr>
          <w:rFonts w:ascii="Arial" w:eastAsia="Calibri" w:hAnsi="Arial" w:cs="Arial"/>
          <w:i/>
          <w:iCs/>
          <w:szCs w:val="24"/>
          <w:lang w:val="es-ES" w:eastAsia="es-ES_tradnl"/>
        </w:rPr>
        <w:t>transaccional</w:t>
      </w:r>
      <w:r w:rsidRPr="0074631F">
        <w:rPr>
          <w:rFonts w:ascii="Arial" w:eastAsia="Calibri" w:hAnsi="Arial" w:cs="Arial"/>
          <w:szCs w:val="24"/>
          <w:lang w:val="es-ES" w:eastAsia="es-ES_tradnl"/>
        </w:rPr>
        <w:t>,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w:t>
      </w:r>
      <w:r w:rsidR="00E50352">
        <w:rPr>
          <w:rFonts w:ascii="Arial" w:eastAsia="Calibri" w:hAnsi="Arial" w:cs="Arial"/>
          <w:szCs w:val="24"/>
          <w:lang w:val="es-ES" w:eastAsia="es-ES_tradnl"/>
        </w:rPr>
        <w:t xml:space="preserve"> </w:t>
      </w:r>
      <w:r w:rsidR="00D02DA7">
        <w:rPr>
          <w:rFonts w:ascii="Arial" w:eastAsia="Calibri" w:hAnsi="Arial" w:cs="Arial"/>
          <w:szCs w:val="24"/>
          <w:lang w:val="es-ES" w:eastAsia="es-ES_tradnl"/>
        </w:rPr>
        <w:t>e incluso post contractual</w:t>
      </w:r>
      <w:r w:rsidRPr="0074631F">
        <w:rPr>
          <w:rFonts w:ascii="Arial" w:eastAsia="Calibri" w:hAnsi="Arial" w:cs="Arial"/>
          <w:szCs w:val="24"/>
          <w:lang w:val="es-ES" w:eastAsia="es-ES_tradnl"/>
        </w:rPr>
        <w:t xml:space="preserve"> del contrato. Los proveedores pueden hacer comentarios a los documentos del procedimiento, </w:t>
      </w:r>
      <w:r w:rsidRPr="0074631F">
        <w:rPr>
          <w:rFonts w:ascii="Arial" w:eastAsia="Calibri" w:hAnsi="Arial" w:cs="Arial"/>
          <w:szCs w:val="24"/>
          <w:lang w:val="es-ES" w:eastAsia="es-ES_tradnl"/>
        </w:rPr>
        <w:lastRenderedPageBreak/>
        <w:t>presentar ofertas</w:t>
      </w:r>
      <w:r w:rsidR="00D02DA7">
        <w:rPr>
          <w:rFonts w:ascii="Arial" w:eastAsia="Calibri" w:hAnsi="Arial" w:cs="Arial"/>
          <w:szCs w:val="24"/>
          <w:lang w:val="es-ES" w:eastAsia="es-ES_tradnl"/>
        </w:rPr>
        <w:t>,</w:t>
      </w:r>
      <w:r w:rsidRPr="0074631F">
        <w:rPr>
          <w:rFonts w:ascii="Arial" w:eastAsia="Calibri" w:hAnsi="Arial" w:cs="Arial"/>
          <w:szCs w:val="24"/>
          <w:lang w:val="es-ES" w:eastAsia="es-ES_tradnl"/>
        </w:rPr>
        <w:t xml:space="preserve"> seguir el procedimiento de selección en línea</w:t>
      </w:r>
      <w:r w:rsidR="00D02DA7">
        <w:rPr>
          <w:rFonts w:ascii="Arial" w:eastAsia="Calibri" w:hAnsi="Arial" w:cs="Arial"/>
          <w:szCs w:val="24"/>
          <w:lang w:val="es-ES" w:eastAsia="es-ES_tradnl"/>
        </w:rPr>
        <w:t>, cargar documentación de la ejecución del contrato, entre otros</w:t>
      </w:r>
      <w:r w:rsidRPr="0074631F">
        <w:rPr>
          <w:rFonts w:ascii="Arial" w:eastAsia="Calibri" w:hAnsi="Arial" w:cs="Arial"/>
          <w:szCs w:val="24"/>
          <w:lang w:val="es-ES" w:eastAsia="es-ES_tradnl"/>
        </w:rPr>
        <w:t>.</w:t>
      </w:r>
    </w:p>
    <w:p w14:paraId="6C7E78B6" w14:textId="368F18E7" w:rsidR="00C875F9" w:rsidRPr="0074631F" w:rsidRDefault="00C875F9" w:rsidP="00C875F9">
      <w:pPr>
        <w:spacing w:before="120" w:after="120" w:line="276" w:lineRule="auto"/>
        <w:ind w:firstLine="708"/>
        <w:jc w:val="both"/>
        <w:rPr>
          <w:rFonts w:ascii="Arial" w:eastAsia="Calibri" w:hAnsi="Arial" w:cs="Arial"/>
          <w:color w:val="000000"/>
          <w:szCs w:val="24"/>
          <w:lang w:val="es-ES" w:eastAsia="es-ES_tradnl"/>
        </w:rPr>
      </w:pPr>
      <w:r w:rsidRPr="0074631F">
        <w:rPr>
          <w:rFonts w:ascii="Arial" w:eastAsia="Calibri" w:hAnsi="Arial" w:cs="Arial"/>
          <w:color w:val="000000"/>
          <w:szCs w:val="24"/>
          <w:lang w:val="es-ES" w:eastAsia="es-ES_tradnl"/>
        </w:rPr>
        <w:t xml:space="preserve">La Agencia Nacional de Contratación Pública – Colombia Compra Eficiente realizó el despliegue de SECOP II a nivel territorial en el 2018 y 2019, por lo cual se expidió la Circular Externa No. 1 de 2019, sobre la obligatoriedad del uso del SECOP II, que dispuso: «A partir del 1 de enero de 2020, todos los procesos de contratación de las entidades relacionadas en el Anexo 1 de esta circular deberán gestionarse, exclusivamente, en el SECOP ll». Esta se modificó parcialmente, mediante la Circular Externa No. 3 de 2020. Posteriormente, esta Agencia expidió la Circular Externa No. 1 de 2021, «[…] </w:t>
      </w:r>
      <w:r w:rsidRPr="0074631F">
        <w:rPr>
          <w:rFonts w:ascii="Arial" w:eastAsia="Times New Roman" w:hAnsi="Arial" w:cs="Arial"/>
          <w:color w:val="000000"/>
          <w:szCs w:val="20"/>
          <w:shd w:val="clear" w:color="auto" w:fill="FFFFFF"/>
          <w:lang w:eastAsia="es-ES_tradnl"/>
        </w:rPr>
        <w:t>con el fin de dar directrices sobre la obligatoriedad del uso del SECOP II en 2021</w:t>
      </w:r>
      <w:r w:rsidRPr="0074631F">
        <w:rPr>
          <w:rFonts w:ascii="Arial" w:eastAsia="Calibri" w:hAnsi="Arial" w:cs="Arial"/>
          <w:color w:val="000000"/>
          <w:szCs w:val="24"/>
          <w:lang w:val="es-ES" w:eastAsia="es-ES_tradnl"/>
        </w:rPr>
        <w:t xml:space="preserve">», modificada posteriormente por la Circular No. 2 de 2021, en relación con la publicación de los procesos de contratación bajo la modalidad de concurso de méritos. Asimismo, profirió la Circular Externa No. 2 de 2022, determinando la obligatoriedad del SECOP II </w:t>
      </w:r>
      <w:r w:rsidR="00254684">
        <w:rPr>
          <w:rFonts w:ascii="Arial" w:eastAsia="Calibri" w:hAnsi="Arial" w:cs="Arial"/>
          <w:color w:val="000000"/>
          <w:szCs w:val="24"/>
          <w:lang w:val="es-ES" w:eastAsia="es-ES_tradnl"/>
        </w:rPr>
        <w:t>a partir de dicho año</w:t>
      </w:r>
      <w:r w:rsidRPr="0074631F">
        <w:rPr>
          <w:rFonts w:ascii="Arial" w:eastAsia="Calibri" w:hAnsi="Arial" w:cs="Arial"/>
          <w:color w:val="000000"/>
          <w:szCs w:val="24"/>
          <w:lang w:val="es-ES" w:eastAsia="es-ES_tradnl"/>
        </w:rPr>
        <w:t>.</w:t>
      </w:r>
    </w:p>
    <w:p w14:paraId="4AE9CA8A" w14:textId="77777777" w:rsidR="00C875F9" w:rsidRPr="0074631F" w:rsidRDefault="00C875F9" w:rsidP="00C875F9">
      <w:pPr>
        <w:spacing w:after="0" w:line="276" w:lineRule="auto"/>
        <w:ind w:firstLine="708"/>
        <w:jc w:val="both"/>
        <w:rPr>
          <w:rFonts w:ascii="Arial" w:eastAsia="Calibri" w:hAnsi="Arial" w:cs="Arial"/>
          <w:szCs w:val="24"/>
          <w:lang w:val="es-ES" w:eastAsia="es-ES_tradnl"/>
        </w:rPr>
      </w:pPr>
      <w:r w:rsidRPr="0074631F">
        <w:rPr>
          <w:rFonts w:ascii="Arial" w:eastAsia="Calibri" w:hAnsi="Arial" w:cs="Arial"/>
          <w:szCs w:val="24"/>
          <w:lang w:val="es-ES" w:eastAsia="es-ES_tradnl"/>
        </w:rPr>
        <w:t xml:space="preserve">Sobre la utilización de SECOP II, es necesario aclarar, por tanto, que en esta plataforma el procedimiento contractual se debe desarrollar en línea, conformándose un expediente electrónico. Esto denota una diferencia con el SECOP I, donde el procedimiento es físico, o sea que está integrado por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como se explica a continuación. </w:t>
      </w:r>
    </w:p>
    <w:p w14:paraId="060BF211" w14:textId="0F56A5ED" w:rsidR="00C875F9" w:rsidRPr="0074631F" w:rsidRDefault="00C875F9" w:rsidP="00C875F9">
      <w:pPr>
        <w:spacing w:before="120" w:after="12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t>Si bien los documentos</w:t>
      </w:r>
      <w:r w:rsidRPr="0074631F">
        <w:rPr>
          <w:rFonts w:ascii="Arial" w:eastAsia="Calibri" w:hAnsi="Arial" w:cs="Arial"/>
          <w:i/>
          <w:iCs/>
          <w:szCs w:val="24"/>
          <w:lang w:val="es-ES" w:eastAsia="es-ES_tradnl"/>
        </w:rPr>
        <w:t xml:space="preserve"> </w:t>
      </w:r>
      <w:r w:rsidRPr="0074631F">
        <w:rPr>
          <w:rFonts w:ascii="Arial" w:eastAsia="Calibri" w:hAnsi="Arial" w:cs="Arial"/>
          <w:szCs w:val="24"/>
          <w:lang w:val="es-ES" w:eastAsia="es-ES_tradnl"/>
        </w:rPr>
        <w:t xml:space="preserve">que deben publicarse en el SECOP II corresponden a los mismos que deben publicarse en el SECOP I, esto es, todos los expedidos con ocasión el </w:t>
      </w:r>
      <w:r w:rsidRPr="0074631F">
        <w:rPr>
          <w:rFonts w:ascii="Arial" w:eastAsia="Calibri" w:hAnsi="Arial" w:cs="Arial"/>
          <w:i/>
          <w:iCs/>
          <w:szCs w:val="24"/>
          <w:lang w:val="es-ES" w:eastAsia="es-ES_tradnl"/>
        </w:rPr>
        <w:t xml:space="preserve">Proceso de Contratación </w:t>
      </w:r>
      <w:r w:rsidRPr="0074631F">
        <w:rPr>
          <w:rFonts w:ascii="Arial" w:eastAsia="Calibri" w:hAnsi="Arial" w:cs="Arial"/>
          <w:szCs w:val="24"/>
          <w:lang w:val="es-ES" w:eastAsia="es-ES_tradnl"/>
        </w:rPr>
        <w:t>con excepción de los expresamente excluidos,</w:t>
      </w:r>
      <w:r w:rsidR="00490691">
        <w:rPr>
          <w:rFonts w:ascii="Arial" w:eastAsia="Calibri" w:hAnsi="Arial" w:cs="Arial"/>
          <w:szCs w:val="24"/>
          <w:lang w:val="es-ES" w:eastAsia="es-ES_tradnl"/>
        </w:rPr>
        <w:t xml:space="preserve"> es decir aquellos que tengan reserva legal,</w:t>
      </w:r>
      <w:r w:rsidRPr="0074631F">
        <w:rPr>
          <w:rFonts w:ascii="Arial" w:eastAsia="Calibri" w:hAnsi="Arial" w:cs="Arial"/>
          <w:szCs w:val="24"/>
          <w:lang w:val="es-ES" w:eastAsia="es-ES_tradnl"/>
        </w:rPr>
        <w:t xml:space="preserve">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Esta es una diferencia respecto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w:t>
      </w:r>
      <w:r w:rsidR="003D7D41">
        <w:rPr>
          <w:rFonts w:ascii="Arial" w:eastAsia="Calibri" w:hAnsi="Arial" w:cs="Arial"/>
          <w:szCs w:val="24"/>
          <w:lang w:val="es-ES" w:eastAsia="es-ES_tradnl"/>
        </w:rPr>
        <w:t>deben ser</w:t>
      </w:r>
      <w:r w:rsidRPr="0074631F">
        <w:rPr>
          <w:rFonts w:ascii="Arial" w:eastAsia="Calibri" w:hAnsi="Arial" w:cs="Arial"/>
          <w:szCs w:val="24"/>
          <w:lang w:val="es-ES" w:eastAsia="es-ES_tradnl"/>
        </w:rPr>
        <w:t xml:space="preserve"> publicados, sin que transcurra el referido término. </w:t>
      </w:r>
    </w:p>
    <w:p w14:paraId="1352392A" w14:textId="77777777" w:rsidR="00C875F9" w:rsidRPr="0074631F" w:rsidRDefault="00C875F9" w:rsidP="00C875F9">
      <w:pPr>
        <w:spacing w:after="0" w:line="276" w:lineRule="auto"/>
        <w:ind w:firstLine="708"/>
        <w:jc w:val="both"/>
        <w:rPr>
          <w:rFonts w:ascii="Arial" w:eastAsia="Calibri" w:hAnsi="Arial" w:cs="Arial"/>
          <w:szCs w:val="24"/>
          <w:lang w:val="es-ES" w:eastAsia="es-ES_tradnl"/>
        </w:rPr>
      </w:pPr>
      <w:bookmarkStart w:id="2" w:name="_Hlk46402307"/>
      <w:r w:rsidRPr="0074631F">
        <w:rPr>
          <w:rFonts w:ascii="Arial" w:eastAsia="Calibri" w:hAnsi="Arial" w:cs="Arial"/>
          <w:szCs w:val="24"/>
          <w:lang w:val="es-ES" w:eastAsia="es-ES_tradnl"/>
        </w:rPr>
        <w:t xml:space="preserve">En ese orden de ideas, el carácter transaccional de SECOP II, como herramienta que permite no solo publicar sino también gestionar y crear </w:t>
      </w:r>
      <w:r w:rsidRPr="0074631F">
        <w:rPr>
          <w:rFonts w:ascii="Arial" w:eastAsia="Calibri" w:hAnsi="Arial" w:cs="Arial"/>
          <w:i/>
          <w:iCs/>
          <w:szCs w:val="24"/>
          <w:lang w:val="es-ES" w:eastAsia="es-ES_tradnl"/>
        </w:rPr>
        <w:t xml:space="preserve">Documentos del Proceso, </w:t>
      </w:r>
      <w:r w:rsidRPr="0074631F">
        <w:rPr>
          <w:rFonts w:ascii="Arial" w:eastAsia="Calibri" w:hAnsi="Arial" w:cs="Arial"/>
          <w:szCs w:val="24"/>
          <w:lang w:val="es-ES" w:eastAsia="es-ES_tradnl"/>
        </w:rPr>
        <w:t xml:space="preserve">de manera </w:t>
      </w:r>
      <w:r w:rsidRPr="0074631F">
        <w:rPr>
          <w:rFonts w:ascii="Arial" w:eastAsia="Calibri" w:hAnsi="Arial" w:cs="Arial"/>
          <w:szCs w:val="24"/>
          <w:lang w:val="es-ES" w:eastAsia="es-ES_tradnl"/>
        </w:rPr>
        <w:lastRenderedPageBreak/>
        <w:t>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p>
    <w:p w14:paraId="5467C292" w14:textId="2964A944" w:rsidR="00C875F9" w:rsidRPr="0074631F" w:rsidRDefault="00C875F9" w:rsidP="00C875F9">
      <w:pPr>
        <w:spacing w:before="120" w:after="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t xml:space="preserve">Con fundamento en estas consideraciones y atendiendo a la consulta formulada, puede decirse </w:t>
      </w:r>
      <w:r w:rsidR="00166F98" w:rsidRPr="0074631F">
        <w:rPr>
          <w:rFonts w:ascii="Arial" w:eastAsia="Calibri" w:hAnsi="Arial" w:cs="Arial"/>
          <w:szCs w:val="24"/>
          <w:lang w:val="es-ES" w:eastAsia="es-ES_tradnl"/>
        </w:rPr>
        <w:t>que,</w:t>
      </w:r>
      <w:r w:rsidRPr="0074631F">
        <w:rPr>
          <w:rFonts w:ascii="Arial" w:eastAsia="Calibri" w:hAnsi="Arial" w:cs="Arial"/>
          <w:szCs w:val="24"/>
          <w:lang w:val="es-ES" w:eastAsia="es-ES_tradnl"/>
        </w:rPr>
        <w:t xml:space="preserve"> si una entidad estatal se encuentra obligada a tramitar su contratación en el SECOP II, en principio todos los </w:t>
      </w:r>
      <w:r w:rsidRPr="0074631F">
        <w:rPr>
          <w:rFonts w:ascii="Arial" w:eastAsia="Calibri" w:hAnsi="Arial" w:cs="Arial"/>
          <w:i/>
          <w:iCs/>
          <w:szCs w:val="24"/>
          <w:lang w:val="es-ES" w:eastAsia="es-ES_tradnl"/>
        </w:rPr>
        <w:t>Documentos del Proceso</w:t>
      </w:r>
      <w:r w:rsidRPr="0074631F">
        <w:rPr>
          <w:rFonts w:ascii="Arial" w:eastAsia="Calibri" w:hAnsi="Arial" w:cs="Arial"/>
          <w:szCs w:val="24"/>
          <w:lang w:val="es-ES" w:eastAsia="es-ES_tradnl"/>
        </w:rPr>
        <w:t xml:space="preserve"> deben gestionarse y crearse en esta plataforma. Esto con fundamento en lo explicado en el numeral 2.1 de este concepto; es decir, de conformidad con </w:t>
      </w:r>
      <w:r w:rsidRPr="0074631F">
        <w:rPr>
          <w:rFonts w:ascii="Arial" w:eastAsia="Calibri" w:hAnsi="Arial" w:cs="Arial"/>
          <w:lang w:val="es-ES"/>
        </w:rPr>
        <w:t xml:space="preserve">el artículo 3 de la Ley 1150 de 2007, el </w:t>
      </w:r>
      <w:r w:rsidRPr="0074631F">
        <w:rPr>
          <w:rFonts w:ascii="Arial" w:eastAsia="Arial" w:hAnsi="Arial" w:cs="Arial"/>
          <w:lang w:val="es-ES"/>
        </w:rPr>
        <w:t xml:space="preserve">artículo 2.2.1.1.1.7.1. del Decreto 1082 de 2015, la Ley 1712 de 2014 y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74631F">
        <w:rPr>
          <w:rFonts w:ascii="Arial" w:eastAsia="Arial" w:hAnsi="Arial" w:cs="Arial"/>
          <w:i/>
          <w:iCs/>
          <w:lang w:val="es-ES"/>
        </w:rPr>
        <w:t xml:space="preserve">Documentos del Proceso </w:t>
      </w:r>
      <w:r w:rsidRPr="0074631F">
        <w:rPr>
          <w:rFonts w:ascii="Arial" w:eastAsia="Arial" w:hAnsi="Arial" w:cs="Arial"/>
          <w:lang w:val="es-ES"/>
        </w:rPr>
        <w:t>expedidos por la «</w:t>
      </w:r>
      <w:r w:rsidR="00FD1E63">
        <w:rPr>
          <w:rFonts w:ascii="Arial" w:eastAsia="Arial" w:hAnsi="Arial" w:cs="Arial"/>
          <w:lang w:val="es-ES"/>
        </w:rPr>
        <w:t>E</w:t>
      </w:r>
      <w:r w:rsidRPr="0074631F">
        <w:rPr>
          <w:rFonts w:ascii="Arial" w:eastAsia="Arial" w:hAnsi="Arial" w:cs="Arial"/>
          <w:lang w:val="es-ES"/>
        </w:rPr>
        <w:t xml:space="preserve">ntidad </w:t>
      </w:r>
      <w:r w:rsidR="00FD1E63">
        <w:rPr>
          <w:rFonts w:ascii="Arial" w:eastAsia="Arial" w:hAnsi="Arial" w:cs="Arial"/>
          <w:lang w:val="es-ES"/>
        </w:rPr>
        <w:t>E</w:t>
      </w:r>
      <w:r w:rsidRPr="0074631F">
        <w:rPr>
          <w:rFonts w:ascii="Arial" w:eastAsia="Arial" w:hAnsi="Arial" w:cs="Arial"/>
          <w:lang w:val="es-ES"/>
        </w:rPr>
        <w:t>statal».</w:t>
      </w:r>
    </w:p>
    <w:p w14:paraId="2BA02B5D" w14:textId="2F99BBAA" w:rsidR="00C875F9" w:rsidRPr="0074631F" w:rsidRDefault="00C875F9" w:rsidP="00C875F9">
      <w:pPr>
        <w:spacing w:before="120" w:after="0" w:line="276" w:lineRule="auto"/>
        <w:ind w:firstLine="709"/>
        <w:jc w:val="both"/>
        <w:rPr>
          <w:rFonts w:ascii="Arial" w:eastAsia="Calibri" w:hAnsi="Arial" w:cs="Arial"/>
          <w:lang w:val="es-ES" w:eastAsia="es-ES"/>
        </w:rPr>
      </w:pPr>
      <w:r w:rsidRPr="1EA6226B">
        <w:rPr>
          <w:rFonts w:ascii="Arial" w:eastAsia="Calibri" w:hAnsi="Arial" w:cs="Arial"/>
          <w:lang w:val="es-ES" w:eastAsia="es-ES"/>
        </w:rPr>
        <w:t xml:space="preserve">No cabe duda, pues, de que dentro de la expresión </w:t>
      </w:r>
      <w:r w:rsidRPr="1EA6226B">
        <w:rPr>
          <w:rFonts w:ascii="Arial" w:eastAsia="Calibri" w:hAnsi="Arial" w:cs="Arial"/>
          <w:i/>
          <w:lang w:val="es-ES" w:eastAsia="es-ES"/>
        </w:rPr>
        <w:t xml:space="preserve">Documentos del Proceso </w:t>
      </w:r>
      <w:r w:rsidRPr="1EA6226B">
        <w:rPr>
          <w:rFonts w:ascii="Arial" w:eastAsia="Calibri" w:hAnsi="Arial" w:cs="Arial"/>
          <w:lang w:val="es-ES" w:eastAsia="es-ES"/>
        </w:rPr>
        <w:t xml:space="preserve">se encuentra </w:t>
      </w:r>
      <w:r w:rsidR="6067A375" w:rsidRPr="1EA6226B">
        <w:rPr>
          <w:rFonts w:ascii="Arial" w:eastAsia="Calibri" w:hAnsi="Arial" w:cs="Arial"/>
          <w:lang w:val="es-ES" w:eastAsia="es-ES"/>
        </w:rPr>
        <w:t>el</w:t>
      </w:r>
      <w:r w:rsidR="0051326A" w:rsidRPr="1EA6226B">
        <w:rPr>
          <w:rFonts w:ascii="Arial" w:eastAsia="Calibri" w:hAnsi="Arial" w:cs="Arial"/>
          <w:lang w:val="es-ES" w:eastAsia="es-ES"/>
        </w:rPr>
        <w:t xml:space="preserve"> </w:t>
      </w:r>
      <w:r w:rsidRPr="1EA6226B">
        <w:rPr>
          <w:rFonts w:ascii="Arial" w:eastAsia="Calibri" w:hAnsi="Arial" w:cs="Arial"/>
          <w:lang w:val="es-ES" w:eastAsia="es-ES"/>
        </w:rPr>
        <w:t xml:space="preserve">acta de suspensión que suscriban las partes, pues también se trata de un documento proferido en la etapa de ejecución del contrato estatal, es decir, con ocasión de este. De igual manera, el acta de reinicio –o de finalización de la suspensión– es un </w:t>
      </w:r>
      <w:r w:rsidRPr="1EA6226B">
        <w:rPr>
          <w:rFonts w:ascii="Arial" w:eastAsia="Calibri" w:hAnsi="Arial" w:cs="Arial"/>
          <w:i/>
          <w:lang w:val="es-ES" w:eastAsia="es-ES"/>
        </w:rPr>
        <w:t>Documento del Proceso</w:t>
      </w:r>
      <w:r w:rsidRPr="1EA6226B">
        <w:rPr>
          <w:rFonts w:ascii="Arial" w:eastAsia="Calibri" w:hAnsi="Arial" w:cs="Arial"/>
          <w:lang w:val="es-ES" w:eastAsia="es-ES"/>
        </w:rPr>
        <w:t xml:space="preserve"> que debe gestionarse transaccionalmente en el SECOP II, cuando exista el deber de emplear esta plataforma. Para brindar una mayor precisión sobre la metodología</w:t>
      </w:r>
      <w:bookmarkEnd w:id="2"/>
      <w:r w:rsidRPr="1EA6226B">
        <w:rPr>
          <w:rFonts w:ascii="Arial" w:eastAsia="Calibri" w:hAnsi="Arial" w:cs="Arial"/>
          <w:lang w:val="es-ES" w:eastAsia="es-ES"/>
        </w:rPr>
        <w:t xml:space="preserve"> de la suspensión de los contratos estatales es importante efectuar algunos comentarios al respecto, que permitan resolver la inquietud acerca de si en el acta de suspensión se puede dejar establecida una fecha o condición que permita que, una vez cumplida, se reactive automáticamente el cómputo del plazo contractual.</w:t>
      </w:r>
    </w:p>
    <w:p w14:paraId="3AAC5DD6" w14:textId="77777777" w:rsidR="00C875F9" w:rsidRPr="0074631F" w:rsidRDefault="00C875F9" w:rsidP="00C875F9">
      <w:pPr>
        <w:spacing w:after="0" w:line="276" w:lineRule="auto"/>
        <w:jc w:val="both"/>
        <w:rPr>
          <w:rFonts w:ascii="Arial" w:eastAsia="Calibri" w:hAnsi="Arial" w:cs="Arial"/>
          <w:color w:val="000000"/>
          <w:lang w:val="es-ES"/>
        </w:rPr>
      </w:pPr>
    </w:p>
    <w:p w14:paraId="0198A66D" w14:textId="4182333E" w:rsidR="00C875F9" w:rsidRPr="0074631F" w:rsidRDefault="00C875F9" w:rsidP="00C875F9">
      <w:pPr>
        <w:spacing w:after="0" w:line="276" w:lineRule="auto"/>
        <w:jc w:val="both"/>
        <w:rPr>
          <w:rFonts w:ascii="Arial" w:eastAsia="Calibri" w:hAnsi="Arial" w:cs="Arial"/>
          <w:b/>
          <w:bCs/>
          <w:color w:val="000000"/>
          <w:lang w:val="es-ES"/>
        </w:rPr>
      </w:pPr>
      <w:r w:rsidRPr="0074631F">
        <w:rPr>
          <w:rFonts w:ascii="Arial" w:eastAsia="Calibri" w:hAnsi="Arial" w:cs="Arial"/>
          <w:b/>
          <w:bCs/>
          <w:color w:val="000000"/>
          <w:lang w:val="es-ES"/>
        </w:rPr>
        <w:t>2.</w:t>
      </w:r>
      <w:r w:rsidR="00E63BD2">
        <w:rPr>
          <w:rFonts w:ascii="Arial" w:eastAsia="Calibri" w:hAnsi="Arial" w:cs="Arial"/>
          <w:b/>
          <w:bCs/>
          <w:color w:val="000000"/>
          <w:lang w:val="es-ES"/>
        </w:rPr>
        <w:t>2</w:t>
      </w:r>
      <w:r w:rsidRPr="0074631F">
        <w:rPr>
          <w:rFonts w:ascii="Arial" w:eastAsia="Calibri" w:hAnsi="Arial" w:cs="Arial"/>
          <w:b/>
          <w:bCs/>
          <w:color w:val="000000"/>
          <w:lang w:val="es-ES"/>
        </w:rPr>
        <w:t xml:space="preserve">. </w:t>
      </w:r>
      <w:r w:rsidRPr="0074631F">
        <w:rPr>
          <w:rFonts w:ascii="Arial" w:eastAsia="Calibri" w:hAnsi="Arial" w:cs="Arial"/>
          <w:b/>
          <w:bCs/>
          <w:color w:val="000000"/>
          <w:lang w:val="es-ES_tradnl"/>
        </w:rPr>
        <w:t>Metodología para la suspensión de los contratos estatales</w:t>
      </w:r>
    </w:p>
    <w:p w14:paraId="5835423E" w14:textId="77777777" w:rsidR="00C875F9" w:rsidRPr="0074631F" w:rsidRDefault="00C875F9" w:rsidP="00C875F9">
      <w:pPr>
        <w:spacing w:after="0" w:line="276" w:lineRule="auto"/>
        <w:jc w:val="both"/>
        <w:rPr>
          <w:rFonts w:ascii="Arial" w:eastAsia="Calibri" w:hAnsi="Arial" w:cs="Arial"/>
          <w:color w:val="000000"/>
          <w:lang w:val="es-ES"/>
        </w:rPr>
      </w:pPr>
    </w:p>
    <w:p w14:paraId="0E3B2988" w14:textId="77777777" w:rsidR="00C875F9" w:rsidRPr="0074631F" w:rsidRDefault="00C875F9" w:rsidP="00C875F9">
      <w:pPr>
        <w:spacing w:after="0" w:line="276" w:lineRule="auto"/>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Con fundamento en las consideraciones efectuadas hasta este momento, debe precisarse qué sucede en cuanto al cumplimiento de las obligaciones y a las consecuencias que pueden generarse por su inobservancia, cuando el contrato se halla </w:t>
      </w:r>
      <w:r w:rsidRPr="0074631F">
        <w:rPr>
          <w:rFonts w:ascii="Arial" w:eastAsia="Times New Roman" w:hAnsi="Arial" w:cs="Arial"/>
          <w:i/>
          <w:iCs/>
          <w:color w:val="000000"/>
          <w:lang w:val="es-ES_tradnl" w:eastAsia="es-ES_tradnl"/>
        </w:rPr>
        <w:t>suspendido</w:t>
      </w:r>
      <w:r w:rsidRPr="0074631F">
        <w:rPr>
          <w:rFonts w:ascii="Arial" w:eastAsia="Times New Roman" w:hAnsi="Arial" w:cs="Arial"/>
          <w:color w:val="000000"/>
          <w:lang w:val="es-ES_tradnl" w:eastAsia="es-ES_tradnl"/>
        </w:rPr>
        <w:t xml:space="preserve">. Al respecto, debe indicarse que la </w:t>
      </w:r>
      <w:r w:rsidRPr="0074631F">
        <w:rPr>
          <w:rFonts w:ascii="Arial" w:eastAsia="Times New Roman" w:hAnsi="Arial" w:cs="Arial"/>
          <w:i/>
          <w:iCs/>
          <w:color w:val="000000"/>
          <w:lang w:val="es-ES_tradnl" w:eastAsia="es-ES_tradnl"/>
        </w:rPr>
        <w:t>suspensión</w:t>
      </w:r>
      <w:r w:rsidRPr="0074631F">
        <w:rPr>
          <w:rFonts w:ascii="Arial" w:eastAsia="Times New Roman" w:hAnsi="Arial" w:cs="Arial"/>
          <w:color w:val="000000"/>
          <w:lang w:val="es-ES_tradnl" w:eastAsia="es-ES_tradnl"/>
        </w:rPr>
        <w:t xml:space="preserve"> no termina el contrato, pues dicho evento no se encuentra consagrado en las causales previstas en el artículo 1.625 del Código Civil</w:t>
      </w:r>
      <w:r w:rsidRPr="0074631F">
        <w:rPr>
          <w:rStyle w:val="Refdenotaalpie"/>
          <w:rFonts w:ascii="Arial" w:hAnsi="Arial" w:cs="Arial"/>
        </w:rPr>
        <w:footnoteReference w:id="3"/>
      </w:r>
      <w:r w:rsidRPr="0074631F">
        <w:rPr>
          <w:rFonts w:ascii="Arial" w:eastAsia="Times New Roman" w:hAnsi="Arial" w:cs="Arial"/>
          <w:color w:val="000000"/>
          <w:lang w:val="es-ES_tradnl" w:eastAsia="es-ES_tradnl"/>
        </w:rPr>
        <w:t>.</w:t>
      </w:r>
    </w:p>
    <w:p w14:paraId="0EB4FFA8" w14:textId="77777777" w:rsidR="00C875F9" w:rsidRPr="0074631F" w:rsidRDefault="00C875F9" w:rsidP="00C875F9">
      <w:pPr>
        <w:spacing w:before="120" w:after="12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lastRenderedPageBreak/>
        <w:t xml:space="preserve">La </w:t>
      </w:r>
      <w:r w:rsidRPr="0074631F">
        <w:rPr>
          <w:rFonts w:ascii="Arial" w:eastAsia="Times New Roman" w:hAnsi="Arial" w:cs="Arial"/>
          <w:i/>
          <w:iCs/>
          <w:color w:val="000000"/>
          <w:lang w:val="es-ES_tradnl" w:eastAsia="es-ES_tradnl"/>
        </w:rPr>
        <w:t>suspensión</w:t>
      </w:r>
      <w:r w:rsidRPr="0074631F">
        <w:rPr>
          <w:rFonts w:ascii="Arial" w:eastAsia="Times New Roman" w:hAnsi="Arial" w:cs="Arial"/>
          <w:color w:val="000000"/>
          <w:lang w:val="es-ES_tradnl" w:eastAsia="es-ES_tradnl"/>
        </w:rPr>
        <w:t xml:space="preserve"> es la medida por la cual se acuerda el cese provisional de la ejecución del contrato, por la ocurrencia de circunstancias que lo impiden o lo dificultan</w:t>
      </w:r>
      <w:r w:rsidRPr="0074631F">
        <w:rPr>
          <w:rStyle w:val="Refdenotaalpie"/>
          <w:rFonts w:ascii="Arial" w:hAnsi="Arial" w:cs="Arial"/>
        </w:rPr>
        <w:footnoteReference w:id="4"/>
      </w:r>
      <w:r w:rsidRPr="0074631F">
        <w:rPr>
          <w:rFonts w:ascii="Arial" w:eastAsia="Times New Roman" w:hAnsi="Arial" w:cs="Arial"/>
          <w:color w:val="000000"/>
          <w:lang w:val="es-ES_tradnl" w:eastAsia="es-ES_tradnl"/>
        </w:rPr>
        <w:t xml:space="preserve">.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74631F">
        <w:rPr>
          <w:rFonts w:ascii="Arial" w:eastAsia="Times New Roman" w:hAnsi="Arial" w:cs="Arial"/>
          <w:i/>
          <w:iCs/>
          <w:color w:val="000000"/>
          <w:lang w:val="es-ES_tradnl" w:eastAsia="es-ES_tradnl"/>
        </w:rPr>
        <w:t>de facto</w:t>
      </w:r>
      <w:r w:rsidRPr="0074631F">
        <w:rPr>
          <w:rFonts w:ascii="Arial" w:eastAsia="Times New Roman" w:hAnsi="Arial" w:cs="Arial"/>
          <w:color w:val="000000"/>
          <w:lang w:val="es-ES_tradnl" w:eastAsia="es-ES_tradnl"/>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Pr="0074631F">
        <w:rPr>
          <w:rStyle w:val="Refdenotaalpie"/>
          <w:rFonts w:ascii="Arial" w:hAnsi="Arial" w:cs="Arial"/>
        </w:rPr>
        <w:footnoteReference w:id="5"/>
      </w:r>
      <w:r w:rsidRPr="0074631F">
        <w:rPr>
          <w:rFonts w:ascii="Arial" w:eastAsia="Times New Roman" w:hAnsi="Arial" w:cs="Arial"/>
          <w:color w:val="000000"/>
          <w:lang w:val="es-ES_tradnl" w:eastAsia="es-ES_tradnl"/>
        </w:rPr>
        <w:t>; es decir, por factores que constituyan razones de fuerza mayor o caso fortuito</w:t>
      </w:r>
      <w:r w:rsidRPr="0074631F">
        <w:rPr>
          <w:rStyle w:val="Refdenotaalpie"/>
          <w:rFonts w:ascii="Arial" w:hAnsi="Arial" w:cs="Arial"/>
        </w:rPr>
        <w:footnoteReference w:id="6"/>
      </w:r>
      <w:r w:rsidRPr="0074631F">
        <w:rPr>
          <w:rFonts w:ascii="Arial" w:eastAsia="Times New Roman" w:hAnsi="Arial" w:cs="Arial"/>
          <w:color w:val="000000"/>
          <w:lang w:val="es-ES_tradnl" w:eastAsia="es-ES_tradnl"/>
        </w:rPr>
        <w:t>.</w:t>
      </w:r>
    </w:p>
    <w:p w14:paraId="50C07AD1" w14:textId="77777777" w:rsidR="00C875F9" w:rsidRPr="0074631F" w:rsidRDefault="00C875F9" w:rsidP="00C875F9">
      <w:pPr>
        <w:spacing w:before="120" w:after="12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Por lo tanto, aun cuando un contrato se suspenda, conserva vigencia, pues su plazo no ha vencido</w:t>
      </w:r>
      <w:r>
        <w:rPr>
          <w:rFonts w:ascii="Arial" w:eastAsia="Times New Roman" w:hAnsi="Arial" w:cs="Arial"/>
          <w:color w:val="000000"/>
          <w:lang w:val="es-ES_tradnl" w:eastAsia="es-ES_tradnl"/>
        </w:rPr>
        <w:t xml:space="preserve">, </w:t>
      </w:r>
      <w:r w:rsidRPr="0074631F">
        <w:rPr>
          <w:rFonts w:ascii="Arial" w:eastAsia="Times New Roman" w:hAnsi="Arial" w:cs="Arial"/>
          <w:color w:val="000000"/>
          <w:lang w:val="es-ES_tradnl" w:eastAsia="es-ES_tradnl"/>
        </w:rPr>
        <w:t>precisamente uno de los efectos de la suspensión es que se detiene provisionalmente el cómputo del plaz</w:t>
      </w:r>
      <w:r>
        <w:rPr>
          <w:rFonts w:ascii="Arial" w:eastAsia="Times New Roman" w:hAnsi="Arial" w:cs="Arial"/>
          <w:color w:val="000000"/>
          <w:lang w:val="es-ES_tradnl" w:eastAsia="es-ES_tradnl"/>
        </w:rPr>
        <w:t>o</w:t>
      </w:r>
      <w:r w:rsidRPr="0074631F">
        <w:rPr>
          <w:rFonts w:ascii="Arial" w:eastAsia="Times New Roman" w:hAnsi="Arial" w:cs="Arial"/>
          <w:color w:val="000000"/>
          <w:lang w:val="es-ES_tradnl" w:eastAsia="es-ES_tradnl"/>
        </w:rPr>
        <w:t xml:space="preserve"> y</w:t>
      </w:r>
      <w:r>
        <w:rPr>
          <w:rFonts w:ascii="Arial" w:eastAsia="Times New Roman" w:hAnsi="Arial" w:cs="Arial"/>
          <w:color w:val="000000"/>
          <w:lang w:val="es-ES_tradnl" w:eastAsia="es-ES_tradnl"/>
        </w:rPr>
        <w:t>,</w:t>
      </w:r>
      <w:r w:rsidRPr="0074631F">
        <w:rPr>
          <w:rFonts w:ascii="Arial" w:eastAsia="Times New Roman" w:hAnsi="Arial" w:cs="Arial"/>
          <w:color w:val="000000"/>
          <w:lang w:val="es-ES_tradnl" w:eastAsia="es-ES_tradnl"/>
        </w:rPr>
        <w:t xml:space="preserve">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74631F">
        <w:rPr>
          <w:rStyle w:val="Refdenotaalpie"/>
          <w:rFonts w:ascii="Arial" w:hAnsi="Arial" w:cs="Arial"/>
        </w:rPr>
        <w:footnoteReference w:id="7"/>
      </w:r>
      <w:r w:rsidRPr="0074631F">
        <w:rPr>
          <w:rFonts w:ascii="Arial" w:eastAsia="Times New Roman" w:hAnsi="Arial" w:cs="Arial"/>
          <w:color w:val="000000"/>
          <w:lang w:val="es-ES_tradnl" w:eastAsia="es-ES_tradnl"/>
        </w:rPr>
        <w:t xml:space="preserve">. Piénsese, por ejemplo, en el caso de un contrato de suministro respecto del cual el contratista le solicite a la entidad estatal la suspensión por la tardanza de uno de sus proveedores, y que luego se compruebe que la demora es atribuible a la falta de pago del </w:t>
      </w:r>
      <w:r w:rsidRPr="0074631F">
        <w:rPr>
          <w:rFonts w:ascii="Arial" w:eastAsia="Times New Roman" w:hAnsi="Arial" w:cs="Arial"/>
          <w:color w:val="000000"/>
          <w:lang w:val="es-ES_tradnl" w:eastAsia="es-ES_tradnl"/>
        </w:rPr>
        <w:lastRenderedPageBreak/>
        <w:t>contratista a dichos comerciantes, quienes por eso se niegan en adelante a seguirle vendiendo. Conductas como esta podrían hacer que la suspensión sea permanente y que la entidad estatal se vea en la obligación de terminar el contrato para no afectar la prestación del servicio a su cargo, ni, en consecuencia, los fines del Estado</w:t>
      </w:r>
      <w:r w:rsidRPr="0074631F">
        <w:rPr>
          <w:rStyle w:val="Refdenotaalpie"/>
          <w:rFonts w:ascii="Arial" w:hAnsi="Arial" w:cs="Arial"/>
        </w:rPr>
        <w:footnoteReference w:id="8"/>
      </w:r>
      <w:r w:rsidRPr="0074631F">
        <w:rPr>
          <w:rFonts w:ascii="Arial" w:eastAsia="Times New Roman" w:hAnsi="Arial" w:cs="Arial"/>
          <w:color w:val="000000"/>
          <w:lang w:val="es-ES_tradnl" w:eastAsia="es-ES_tradnl"/>
        </w:rPr>
        <w:t>.</w:t>
      </w:r>
    </w:p>
    <w:p w14:paraId="033472E7" w14:textId="77777777" w:rsidR="00C875F9" w:rsidRPr="0074631F" w:rsidRDefault="00C875F9" w:rsidP="00C875F9">
      <w:pPr>
        <w:spacing w:before="120" w:after="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Ahora bien, cuando se suscribe un acta de suspensión se puede establecer, en ejercicio de la autonomía de la voluntad, que el plazo del contrato se reactivará una vez se firme el acta de reinicio correspondiente. En tal caso, como se explicó, si la entidad estatal debe gestionar su actividad contractual en el SECOP II, tanto el acta de suspensión, como la de reinicio, deben gestionarse </w:t>
      </w:r>
      <w:r w:rsidRPr="0074631F">
        <w:rPr>
          <w:rFonts w:ascii="Arial" w:eastAsia="Times New Roman" w:hAnsi="Arial" w:cs="Arial"/>
          <w:i/>
          <w:iCs/>
          <w:color w:val="000000"/>
          <w:lang w:val="es-ES_tradnl" w:eastAsia="es-ES_tradnl"/>
        </w:rPr>
        <w:t>transaccionalmente</w:t>
      </w:r>
      <w:r w:rsidRPr="0074631F">
        <w:rPr>
          <w:rFonts w:ascii="Arial" w:eastAsia="Times New Roman" w:hAnsi="Arial" w:cs="Arial"/>
          <w:color w:val="000000"/>
          <w:lang w:val="es-ES_tradnl" w:eastAsia="es-ES_tradnl"/>
        </w:rPr>
        <w:t xml:space="preserve"> en el SECOP II, precisamente porque en esta plataforma la contratación debe tramitarse en línea y en tiempo real. Sin embargo, en ejercicio de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Esto es posible, porque el segundo y tercer inciso del artículo 40 de la Ley 80 de 1993 establecen: </w:t>
      </w:r>
    </w:p>
    <w:p w14:paraId="0E28CCA1" w14:textId="77777777" w:rsidR="00C875F9" w:rsidRPr="0074631F" w:rsidRDefault="00C875F9" w:rsidP="00C875F9">
      <w:pPr>
        <w:spacing w:after="0" w:line="240" w:lineRule="auto"/>
        <w:ind w:left="709" w:right="709"/>
        <w:jc w:val="both"/>
        <w:rPr>
          <w:rFonts w:ascii="Arial" w:eastAsia="Times New Roman" w:hAnsi="Arial" w:cs="Arial"/>
          <w:color w:val="000000"/>
          <w:sz w:val="21"/>
          <w:szCs w:val="21"/>
          <w:lang w:val="es-ES_tradnl" w:eastAsia="es-ES_tradnl"/>
        </w:rPr>
      </w:pPr>
    </w:p>
    <w:p w14:paraId="4E3F059F" w14:textId="136FC725" w:rsidR="00C875F9" w:rsidRPr="001F0D21" w:rsidRDefault="001F0D21" w:rsidP="001F0D21">
      <w:pPr>
        <w:spacing w:after="0" w:line="240" w:lineRule="auto"/>
        <w:ind w:left="709" w:right="709"/>
        <w:jc w:val="both"/>
        <w:rPr>
          <w:rFonts w:ascii="Arial" w:eastAsia="Times New Roman" w:hAnsi="Arial" w:cs="Arial"/>
          <w:color w:val="000000"/>
          <w:sz w:val="21"/>
          <w:szCs w:val="21"/>
          <w:lang w:val="es-ES_tradnl" w:eastAsia="es-ES_tradnl"/>
        </w:rPr>
      </w:pPr>
      <w:r w:rsidRPr="001F0D21">
        <w:rPr>
          <w:rFonts w:ascii="Arial" w:eastAsia="Calibri" w:hAnsi="Arial" w:cs="Arial"/>
          <w:color w:val="000000"/>
          <w:sz w:val="21"/>
          <w:szCs w:val="21"/>
          <w:lang w:val="es-ES" w:eastAsia="es-ES_tradnl"/>
        </w:rPr>
        <w:t>«[</w:t>
      </w:r>
      <w:r w:rsidR="00160EBD">
        <w:rPr>
          <w:rFonts w:ascii="Arial" w:eastAsia="Calibri" w:hAnsi="Arial" w:cs="Arial"/>
          <w:color w:val="000000"/>
          <w:sz w:val="21"/>
          <w:szCs w:val="21"/>
          <w:lang w:val="es-ES" w:eastAsia="es-ES_tradnl"/>
        </w:rPr>
        <w:t>…</w:t>
      </w:r>
      <w:r w:rsidRPr="001F0D21">
        <w:rPr>
          <w:rFonts w:ascii="Arial" w:eastAsia="Calibri" w:hAnsi="Arial" w:cs="Arial"/>
          <w:color w:val="000000"/>
          <w:sz w:val="21"/>
          <w:szCs w:val="21"/>
          <w:lang w:val="es-ES" w:eastAsia="es-ES_tradnl"/>
        </w:rPr>
        <w:t>]</w:t>
      </w:r>
      <w:r w:rsidR="00160EBD">
        <w:rPr>
          <w:rFonts w:ascii="Arial" w:eastAsia="Calibri" w:hAnsi="Arial" w:cs="Arial"/>
          <w:color w:val="000000"/>
          <w:sz w:val="21"/>
          <w:szCs w:val="21"/>
          <w:lang w:val="es-ES" w:eastAsia="es-ES_tradnl"/>
        </w:rPr>
        <w:t>L</w:t>
      </w:r>
      <w:r w:rsidR="00C875F9" w:rsidRPr="001F0D21">
        <w:rPr>
          <w:rFonts w:ascii="Arial" w:eastAsia="Times New Roman" w:hAnsi="Arial" w:cs="Arial"/>
          <w:color w:val="000000"/>
          <w:sz w:val="21"/>
          <w:szCs w:val="21"/>
          <w:lang w:val="es-ES_tradnl" w:eastAsia="es-ES_tradnl"/>
        </w:rPr>
        <w:t>as entidades podrán celebrar los contratos y acuerdos que permitan la autonomía de la voluntad y requieran el cumplimiento de los fines estatales.</w:t>
      </w:r>
    </w:p>
    <w:p w14:paraId="62C77A07" w14:textId="77777777" w:rsidR="00C875F9" w:rsidRPr="001F0D21" w:rsidRDefault="00C875F9" w:rsidP="001F0D21">
      <w:pPr>
        <w:spacing w:after="0" w:line="240" w:lineRule="auto"/>
        <w:ind w:left="709" w:right="709"/>
        <w:jc w:val="both"/>
        <w:rPr>
          <w:rFonts w:ascii="Arial" w:eastAsia="Times New Roman" w:hAnsi="Arial" w:cs="Arial"/>
          <w:color w:val="000000"/>
          <w:sz w:val="21"/>
          <w:szCs w:val="21"/>
          <w:lang w:val="es-ES_tradnl" w:eastAsia="es-ES_tradnl"/>
        </w:rPr>
      </w:pPr>
    </w:p>
    <w:p w14:paraId="19A15382" w14:textId="0043F73B" w:rsidR="00C875F9" w:rsidRPr="001F0D21" w:rsidRDefault="00C875F9" w:rsidP="001F0D21">
      <w:pPr>
        <w:spacing w:after="0" w:line="240" w:lineRule="auto"/>
        <w:ind w:left="709" w:right="709"/>
        <w:jc w:val="both"/>
        <w:rPr>
          <w:rFonts w:ascii="Arial" w:eastAsia="Times New Roman" w:hAnsi="Arial" w:cs="Arial"/>
          <w:color w:val="000000"/>
          <w:sz w:val="21"/>
          <w:szCs w:val="21"/>
          <w:lang w:val="es-ES_tradnl" w:eastAsia="es-ES_tradnl"/>
        </w:rPr>
      </w:pPr>
      <w:r w:rsidRPr="001F0D21">
        <w:rPr>
          <w:rFonts w:ascii="Arial" w:eastAsia="Times New Roman" w:hAnsi="Arial" w:cs="Arial"/>
          <w:i/>
          <w:iCs/>
          <w:color w:val="000000"/>
          <w:sz w:val="21"/>
          <w:szCs w:val="21"/>
          <w:lang w:val="es-ES_tradnl" w:eastAsia="es-ES_tradnl"/>
        </w:rPr>
        <w:t>En los contratos que celebren las entidades estatales podrán incluirse las</w:t>
      </w:r>
      <w:r w:rsidRPr="001F0D21">
        <w:rPr>
          <w:rFonts w:ascii="Arial" w:eastAsia="Times New Roman" w:hAnsi="Arial" w:cs="Arial"/>
          <w:color w:val="000000"/>
          <w:sz w:val="21"/>
          <w:szCs w:val="21"/>
          <w:lang w:val="es-ES_tradnl" w:eastAsia="es-ES_tradnl"/>
        </w:rPr>
        <w:t xml:space="preserve"> modalidades, </w:t>
      </w:r>
      <w:r w:rsidRPr="001F0D21">
        <w:rPr>
          <w:rFonts w:ascii="Arial" w:eastAsia="Times New Roman" w:hAnsi="Arial" w:cs="Arial"/>
          <w:i/>
          <w:iCs/>
          <w:color w:val="000000"/>
          <w:sz w:val="21"/>
          <w:szCs w:val="21"/>
          <w:lang w:val="es-ES_tradnl" w:eastAsia="es-ES_tradnl"/>
        </w:rPr>
        <w:t>condiciones</w:t>
      </w:r>
      <w:r w:rsidRPr="001F0D21">
        <w:rPr>
          <w:rFonts w:ascii="Arial" w:eastAsia="Times New Roman" w:hAnsi="Arial" w:cs="Arial"/>
          <w:color w:val="000000"/>
          <w:sz w:val="21"/>
          <w:szCs w:val="21"/>
          <w:lang w:val="es-ES_tradnl" w:eastAsia="es-ES_tradnl"/>
        </w:rPr>
        <w:t xml:space="preserve"> y, en general, las </w:t>
      </w:r>
      <w:r w:rsidRPr="001F0D21">
        <w:rPr>
          <w:rFonts w:ascii="Arial" w:eastAsia="Times New Roman" w:hAnsi="Arial" w:cs="Arial"/>
          <w:i/>
          <w:iCs/>
          <w:color w:val="000000"/>
          <w:sz w:val="21"/>
          <w:szCs w:val="21"/>
          <w:lang w:val="es-ES_tradnl" w:eastAsia="es-ES_tradnl"/>
        </w:rPr>
        <w:t>cláusulas o estipulaciones</w:t>
      </w:r>
      <w:r w:rsidRPr="001F0D21">
        <w:rPr>
          <w:rFonts w:ascii="Arial" w:eastAsia="Times New Roman" w:hAnsi="Arial" w:cs="Arial"/>
          <w:color w:val="000000"/>
          <w:sz w:val="21"/>
          <w:szCs w:val="21"/>
          <w:lang w:val="es-ES_tradnl" w:eastAsia="es-ES_tradnl"/>
        </w:rPr>
        <w:t xml:space="preserve"> que las partes consideren necesarias y convenientes, siempre que no sean contrarias a la Constitución, la ley, el orden público y a los principios y finalidades de esta ley y a los de la buena administración</w:t>
      </w:r>
      <w:r w:rsidR="001F0D21" w:rsidRPr="001F0D21">
        <w:rPr>
          <w:rFonts w:ascii="Arial" w:eastAsia="Arial" w:hAnsi="Arial" w:cs="Arial"/>
          <w:sz w:val="21"/>
          <w:szCs w:val="21"/>
          <w:lang w:val="es-ES"/>
        </w:rPr>
        <w:t>»</w:t>
      </w:r>
      <w:r w:rsidRPr="001F0D21">
        <w:rPr>
          <w:rFonts w:ascii="Arial" w:eastAsia="Times New Roman" w:hAnsi="Arial" w:cs="Arial"/>
          <w:color w:val="000000"/>
          <w:sz w:val="21"/>
          <w:szCs w:val="21"/>
          <w:lang w:val="es-ES_tradnl" w:eastAsia="es-ES_tradnl"/>
        </w:rPr>
        <w:t xml:space="preserve"> [énfasis fuera de texto].</w:t>
      </w:r>
    </w:p>
    <w:p w14:paraId="5D0D6A75" w14:textId="77777777" w:rsidR="00C875F9" w:rsidRPr="0074631F" w:rsidRDefault="00C875F9" w:rsidP="00C875F9">
      <w:pPr>
        <w:spacing w:after="0" w:line="276" w:lineRule="auto"/>
        <w:ind w:firstLine="709"/>
        <w:jc w:val="both"/>
        <w:rPr>
          <w:rFonts w:ascii="Arial" w:eastAsia="Times New Roman" w:hAnsi="Arial" w:cs="Arial"/>
          <w:color w:val="000000"/>
          <w:lang w:val="es-ES_tradnl" w:eastAsia="es-ES_tradnl"/>
        </w:rPr>
      </w:pPr>
    </w:p>
    <w:p w14:paraId="0ACC8890" w14:textId="6B715303" w:rsidR="00D11572" w:rsidRDefault="00C875F9" w:rsidP="00264DED">
      <w:pPr>
        <w:spacing w:after="0" w:line="276" w:lineRule="auto"/>
        <w:ind w:firstLine="708"/>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Como se observa, en los negocios jurídicos –</w:t>
      </w:r>
      <w:r w:rsidR="00631D51">
        <w:rPr>
          <w:rFonts w:ascii="Arial" w:eastAsia="Times New Roman" w:hAnsi="Arial" w:cs="Arial"/>
          <w:color w:val="000000"/>
          <w:lang w:val="es-ES_tradnl" w:eastAsia="es-ES_tradnl"/>
        </w:rPr>
        <w:t>siendo el</w:t>
      </w:r>
      <w:r w:rsidRPr="0074631F">
        <w:rPr>
          <w:rFonts w:ascii="Arial" w:eastAsia="Times New Roman" w:hAnsi="Arial" w:cs="Arial"/>
          <w:color w:val="000000"/>
          <w:lang w:val="es-ES_tradnl" w:eastAsia="es-ES_tradnl"/>
        </w:rPr>
        <w:t xml:space="preserve"> acta de suspensión </w:t>
      </w:r>
      <w:r w:rsidR="00631D51">
        <w:rPr>
          <w:rFonts w:ascii="Arial" w:eastAsia="Times New Roman" w:hAnsi="Arial" w:cs="Arial"/>
          <w:color w:val="000000"/>
          <w:lang w:val="es-ES_tradnl" w:eastAsia="es-ES_tradnl"/>
        </w:rPr>
        <w:t>uno de ellos</w:t>
      </w:r>
      <w:r w:rsidRPr="0074631F">
        <w:rPr>
          <w:rFonts w:ascii="Arial" w:eastAsia="Times New Roman" w:hAnsi="Arial" w:cs="Arial"/>
          <w:color w:val="000000"/>
          <w:lang w:val="es-ES_tradnl" w:eastAsia="es-ES_tradnl"/>
        </w:rPr>
        <w:t xml:space="preserve">, porque se trata de un acuerdo de voluntades para crear obligaciones– las entidades pueden incorporar las </w:t>
      </w:r>
      <w:r w:rsidRPr="0074631F">
        <w:rPr>
          <w:rFonts w:ascii="Arial" w:eastAsia="Times New Roman" w:hAnsi="Arial" w:cs="Arial"/>
          <w:i/>
          <w:iCs/>
          <w:color w:val="000000"/>
          <w:lang w:val="es-ES_tradnl" w:eastAsia="es-ES_tradnl"/>
        </w:rPr>
        <w:t>condiciones</w:t>
      </w:r>
      <w:r w:rsidRPr="0074631F">
        <w:rPr>
          <w:rFonts w:ascii="Arial" w:eastAsia="Times New Roman" w:hAnsi="Arial" w:cs="Arial"/>
          <w:color w:val="000000"/>
          <w:lang w:val="es-ES_tradnl" w:eastAsia="es-ES_tradnl"/>
        </w:rPr>
        <w:t xml:space="preserve"> y </w:t>
      </w:r>
      <w:r w:rsidRPr="0074631F">
        <w:rPr>
          <w:rFonts w:ascii="Arial" w:eastAsia="Times New Roman" w:hAnsi="Arial" w:cs="Arial"/>
          <w:i/>
          <w:iCs/>
          <w:color w:val="000000"/>
          <w:lang w:val="es-ES_tradnl" w:eastAsia="es-ES_tradnl"/>
        </w:rPr>
        <w:t xml:space="preserve">cláusulas </w:t>
      </w:r>
      <w:r w:rsidRPr="0074631F">
        <w:rPr>
          <w:rFonts w:ascii="Arial" w:eastAsia="Times New Roman" w:hAnsi="Arial" w:cs="Arial"/>
          <w:color w:val="000000"/>
          <w:lang w:val="es-ES_tradnl" w:eastAsia="es-ES_tradnl"/>
        </w:rPr>
        <w:t>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w:t>
      </w:r>
      <w:r w:rsidR="007728F4">
        <w:rPr>
          <w:rFonts w:ascii="Arial" w:eastAsia="Times New Roman" w:hAnsi="Arial" w:cs="Arial"/>
          <w:color w:val="000000"/>
          <w:lang w:val="es-ES_tradnl" w:eastAsia="es-ES_tradnl"/>
        </w:rPr>
        <w:t>omerciales y civiles</w:t>
      </w:r>
      <w:r w:rsidRPr="0074631F">
        <w:rPr>
          <w:rFonts w:ascii="Arial" w:eastAsia="Times New Roman" w:hAnsi="Arial" w:cs="Arial"/>
          <w:color w:val="000000"/>
          <w:lang w:val="es-ES_tradnl" w:eastAsia="es-ES_tradnl"/>
        </w:rPr>
        <w:t>–, en el acta de suspensión puede estipularse que el plazo de ejecución del contrato se reactivará cuando se cumpla una condición o sobrevenga una fecha específica. Así lo ha reconocido el Consejo de Estado</w:t>
      </w:r>
      <w:r w:rsidRPr="0074631F">
        <w:rPr>
          <w:rStyle w:val="Refdenotaalpie"/>
          <w:rFonts w:ascii="Arial" w:hAnsi="Arial" w:cs="Arial"/>
        </w:rPr>
        <w:footnoteReference w:id="9"/>
      </w:r>
      <w:r w:rsidR="00005532">
        <w:rPr>
          <w:rFonts w:ascii="Arial" w:eastAsia="Times New Roman" w:hAnsi="Arial" w:cs="Arial"/>
          <w:color w:val="000000"/>
          <w:lang w:val="es-ES_tradnl" w:eastAsia="es-ES_tradnl"/>
        </w:rPr>
        <w:t xml:space="preserve"> en auto del 10 de mayo de 2019</w:t>
      </w:r>
      <w:r w:rsidR="003D46E8">
        <w:rPr>
          <w:rFonts w:ascii="Arial" w:eastAsia="Times New Roman" w:hAnsi="Arial" w:cs="Arial"/>
          <w:color w:val="000000"/>
          <w:lang w:val="es-ES_tradnl" w:eastAsia="es-ES_tradnl"/>
        </w:rPr>
        <w:t xml:space="preserve">, </w:t>
      </w:r>
      <w:r w:rsidR="000F680B">
        <w:rPr>
          <w:rFonts w:ascii="Arial" w:eastAsia="Times New Roman" w:hAnsi="Arial" w:cs="Arial"/>
          <w:color w:val="000000"/>
          <w:lang w:val="es-ES_tradnl" w:eastAsia="es-ES_tradnl"/>
        </w:rPr>
        <w:t>donde indicó</w:t>
      </w:r>
      <w:r w:rsidR="003D46E8">
        <w:rPr>
          <w:rFonts w:ascii="Arial" w:eastAsia="Times New Roman" w:hAnsi="Arial" w:cs="Arial"/>
          <w:color w:val="000000"/>
          <w:lang w:val="es-ES_tradnl" w:eastAsia="es-ES_tradnl"/>
        </w:rPr>
        <w:t>:</w:t>
      </w:r>
      <w:r w:rsidRPr="0074631F">
        <w:rPr>
          <w:rFonts w:ascii="Arial" w:eastAsia="Times New Roman" w:hAnsi="Arial" w:cs="Arial"/>
          <w:color w:val="000000"/>
          <w:lang w:val="es-ES_tradnl" w:eastAsia="es-ES_tradnl"/>
        </w:rPr>
        <w:t xml:space="preserve"> </w:t>
      </w:r>
    </w:p>
    <w:p w14:paraId="21999227" w14:textId="77777777" w:rsidR="00D11572" w:rsidRDefault="00D11572" w:rsidP="00C875F9">
      <w:pPr>
        <w:spacing w:after="0" w:line="276" w:lineRule="auto"/>
        <w:jc w:val="both"/>
        <w:rPr>
          <w:rFonts w:ascii="Arial" w:eastAsia="Times New Roman" w:hAnsi="Arial" w:cs="Arial"/>
          <w:color w:val="000000"/>
          <w:lang w:val="es-ES_tradnl" w:eastAsia="es-ES_tradnl"/>
        </w:rPr>
      </w:pPr>
    </w:p>
    <w:p w14:paraId="668A96F1" w14:textId="6FA9177E" w:rsidR="00D11572" w:rsidRPr="000F680B" w:rsidRDefault="00D11572" w:rsidP="000F680B">
      <w:pPr>
        <w:spacing w:after="0" w:line="240" w:lineRule="auto"/>
        <w:ind w:left="709" w:right="709"/>
        <w:jc w:val="both"/>
        <w:rPr>
          <w:rFonts w:ascii="Arial" w:eastAsia="Times New Roman" w:hAnsi="Arial" w:cs="Arial"/>
          <w:color w:val="000000"/>
          <w:sz w:val="21"/>
          <w:szCs w:val="21"/>
          <w:lang w:val="es-ES_tradnl" w:eastAsia="es-ES_tradnl"/>
        </w:rPr>
      </w:pPr>
      <w:r w:rsidRPr="000F680B">
        <w:rPr>
          <w:rFonts w:ascii="Arial" w:hAnsi="Arial" w:cs="Arial"/>
          <w:sz w:val="21"/>
          <w:szCs w:val="21"/>
        </w:rPr>
        <w:lastRenderedPageBreak/>
        <w:t>«[…] De modo que, los contratos estatales pueden suspenderse de común acuerdo por la ocurrencia de circunstancias que lo justifiquen. Así, aunque subsiste el vínculo contractual no corre el plazo inicialmente pactado y no se ejecutan las obligaciones. El contrato se reinicia cuando se cumpla la condición o el término dispuesto en el acuerdo de suspensión o anticipadamente por convenio de las partes</w:t>
      </w:r>
      <w:r w:rsidR="00197550">
        <w:rPr>
          <w:rFonts w:ascii="Arial" w:hAnsi="Arial" w:cs="Arial"/>
          <w:sz w:val="21"/>
          <w:szCs w:val="21"/>
        </w:rPr>
        <w:t>.</w:t>
      </w:r>
      <w:r w:rsidRPr="000F680B">
        <w:rPr>
          <w:rFonts w:ascii="Arial" w:hAnsi="Arial" w:cs="Arial"/>
          <w:sz w:val="21"/>
          <w:szCs w:val="21"/>
        </w:rPr>
        <w:t>»</w:t>
      </w:r>
    </w:p>
    <w:p w14:paraId="0166BBB4" w14:textId="77777777" w:rsidR="00D11572" w:rsidRDefault="00D11572" w:rsidP="00C875F9">
      <w:pPr>
        <w:spacing w:after="0" w:line="276" w:lineRule="auto"/>
        <w:jc w:val="both"/>
        <w:rPr>
          <w:rFonts w:ascii="Arial" w:eastAsia="Times New Roman" w:hAnsi="Arial" w:cs="Arial"/>
          <w:color w:val="000000"/>
          <w:lang w:val="es-ES_tradnl" w:eastAsia="es-ES_tradnl"/>
        </w:rPr>
      </w:pPr>
    </w:p>
    <w:p w14:paraId="60183274" w14:textId="77777777" w:rsidR="00D40156" w:rsidRDefault="00264DED" w:rsidP="00D40156">
      <w:pPr>
        <w:spacing w:line="276" w:lineRule="auto"/>
        <w:ind w:firstLine="708"/>
        <w:jc w:val="both"/>
        <w:rPr>
          <w:rFonts w:ascii="Arial" w:eastAsia="Times New Roman" w:hAnsi="Arial" w:cs="Arial"/>
          <w:color w:val="000000"/>
          <w:lang w:val="es-ES_tradnl" w:eastAsia="es-ES_tradnl"/>
        </w:rPr>
      </w:pPr>
      <w:r>
        <w:rPr>
          <w:rFonts w:ascii="Arial" w:eastAsia="Times New Roman" w:hAnsi="Arial" w:cs="Arial"/>
          <w:color w:val="000000"/>
          <w:lang w:val="es-ES_tradnl" w:eastAsia="es-ES_tradnl"/>
        </w:rPr>
        <w:t>Así las cosas</w:t>
      </w:r>
      <w:r w:rsidR="00C875F9" w:rsidRPr="0074631F">
        <w:rPr>
          <w:rFonts w:ascii="Arial" w:eastAsia="Times New Roman" w:hAnsi="Arial" w:cs="Arial"/>
          <w:color w:val="000000"/>
          <w:lang w:val="es-ES_tradnl" w:eastAsia="es-ES_tradnl"/>
        </w:rPr>
        <w:t xml:space="preserve">, atendiendo a los términos en los que se haya pactado la suspensión es posible que no sea necesario suscribir luego un acta de reinicio para que se reactive la ejecución del contrato, sino que tal reactivación opere </w:t>
      </w:r>
      <w:r w:rsidR="00C875F9" w:rsidRPr="0074631F">
        <w:rPr>
          <w:rFonts w:ascii="Arial" w:eastAsia="Times New Roman" w:hAnsi="Arial" w:cs="Arial"/>
          <w:i/>
          <w:iCs/>
          <w:color w:val="000000"/>
          <w:lang w:val="es-ES_tradnl" w:eastAsia="es-ES_tradnl"/>
        </w:rPr>
        <w:t>automáticamente</w:t>
      </w:r>
      <w:r w:rsidR="00C875F9" w:rsidRPr="0074631F">
        <w:rPr>
          <w:rFonts w:ascii="Arial" w:eastAsia="Times New Roman" w:hAnsi="Arial" w:cs="Arial"/>
          <w:color w:val="000000"/>
          <w:lang w:val="es-ES_tradnl" w:eastAsia="es-ES_tradnl"/>
        </w:rPr>
        <w:t>, cuando se cumpla la condición o fecha cierta</w:t>
      </w:r>
      <w:r w:rsidR="00D40156">
        <w:rPr>
          <w:rFonts w:ascii="Arial" w:eastAsia="Times New Roman" w:hAnsi="Arial" w:cs="Arial"/>
          <w:color w:val="000000"/>
          <w:lang w:val="es-ES_tradnl" w:eastAsia="es-ES_tradnl"/>
        </w:rPr>
        <w:t xml:space="preserve"> que las partes hayan pactado</w:t>
      </w:r>
      <w:r w:rsidR="00C875F9" w:rsidRPr="0074631F">
        <w:rPr>
          <w:rFonts w:ascii="Arial" w:eastAsia="Times New Roman" w:hAnsi="Arial" w:cs="Arial"/>
          <w:color w:val="000000"/>
          <w:lang w:val="es-ES_tradnl" w:eastAsia="es-ES_tradnl"/>
        </w:rPr>
        <w:t>.</w:t>
      </w:r>
    </w:p>
    <w:p w14:paraId="0A84075F" w14:textId="1A9B3875" w:rsidR="00436DB0" w:rsidRPr="00D40156" w:rsidRDefault="00C875F9" w:rsidP="00D40156">
      <w:pPr>
        <w:spacing w:line="276" w:lineRule="auto"/>
        <w:ind w:firstLine="708"/>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 </w:t>
      </w:r>
      <w:r w:rsidR="00CC29CF">
        <w:rPr>
          <w:rFonts w:ascii="Arial" w:eastAsia="Calibri" w:hAnsi="Arial" w:cs="Arial"/>
          <w:color w:val="000000" w:themeColor="text1"/>
          <w:lang w:val="es-ES"/>
        </w:rPr>
        <w:t xml:space="preserve">En ese contexto, </w:t>
      </w:r>
      <w:r w:rsidR="00185C72">
        <w:rPr>
          <w:rFonts w:ascii="Arial" w:eastAsia="Calibri" w:hAnsi="Arial" w:cs="Arial"/>
          <w:color w:val="000000" w:themeColor="text1"/>
          <w:lang w:val="es-ES"/>
        </w:rPr>
        <w:t>la Entidad Estatal</w:t>
      </w:r>
      <w:r w:rsidR="0043375C">
        <w:rPr>
          <w:rFonts w:ascii="Arial" w:eastAsia="Calibri" w:hAnsi="Arial" w:cs="Arial"/>
          <w:color w:val="000000" w:themeColor="text1"/>
          <w:lang w:val="es-ES"/>
        </w:rPr>
        <w:t xml:space="preserve"> podrá realizar </w:t>
      </w:r>
      <w:r w:rsidR="00A43E39">
        <w:rPr>
          <w:rFonts w:ascii="Arial" w:eastAsia="Calibri" w:hAnsi="Arial" w:cs="Arial"/>
          <w:color w:val="000000" w:themeColor="text1"/>
          <w:lang w:val="es-ES"/>
        </w:rPr>
        <w:t xml:space="preserve">las </w:t>
      </w:r>
      <w:r w:rsidR="00CC29CF">
        <w:rPr>
          <w:rFonts w:ascii="Arial" w:eastAsia="Calibri" w:hAnsi="Arial" w:cs="Arial"/>
          <w:color w:val="000000" w:themeColor="text1"/>
          <w:lang w:val="es-ES"/>
        </w:rPr>
        <w:t xml:space="preserve">modificaciones </w:t>
      </w:r>
      <w:r w:rsidR="005E42E6">
        <w:rPr>
          <w:rFonts w:ascii="Arial" w:eastAsia="Calibri" w:hAnsi="Arial" w:cs="Arial"/>
          <w:color w:val="000000" w:themeColor="text1"/>
          <w:lang w:val="es-ES"/>
        </w:rPr>
        <w:t xml:space="preserve">en el plazo de ejecución del contrato </w:t>
      </w:r>
      <w:r w:rsidR="005D7991">
        <w:rPr>
          <w:rFonts w:ascii="Arial" w:eastAsia="Calibri" w:hAnsi="Arial" w:cs="Arial"/>
          <w:color w:val="000000" w:themeColor="text1"/>
          <w:lang w:val="es-ES"/>
        </w:rPr>
        <w:t>conforme al</w:t>
      </w:r>
      <w:r w:rsidR="0043375C">
        <w:rPr>
          <w:rFonts w:ascii="Arial" w:eastAsia="Calibri" w:hAnsi="Arial" w:cs="Arial"/>
          <w:color w:val="000000" w:themeColor="text1"/>
          <w:lang w:val="es-ES"/>
        </w:rPr>
        <w:t xml:space="preserve"> acuerdo </w:t>
      </w:r>
      <w:r w:rsidR="009607EC">
        <w:rPr>
          <w:rFonts w:ascii="Arial" w:eastAsia="Calibri" w:hAnsi="Arial" w:cs="Arial"/>
          <w:color w:val="000000" w:themeColor="text1"/>
          <w:lang w:val="es-ES"/>
        </w:rPr>
        <w:t xml:space="preserve">de voluntades </w:t>
      </w:r>
      <w:r w:rsidR="00E15062">
        <w:rPr>
          <w:rFonts w:ascii="Arial" w:eastAsia="Calibri" w:hAnsi="Arial" w:cs="Arial"/>
          <w:color w:val="000000" w:themeColor="text1"/>
          <w:lang w:val="es-ES"/>
        </w:rPr>
        <w:t xml:space="preserve">expuesto en el acta de suspensión suscrita por las partes </w:t>
      </w:r>
      <w:r w:rsidR="00CC29CF">
        <w:rPr>
          <w:rFonts w:ascii="Arial" w:eastAsia="Calibri" w:hAnsi="Arial" w:cs="Arial"/>
          <w:color w:val="000000" w:themeColor="text1"/>
          <w:lang w:val="es-ES"/>
        </w:rPr>
        <w:t>en la plataforma SECOP II</w:t>
      </w:r>
      <w:r w:rsidR="00CE5658">
        <w:rPr>
          <w:rFonts w:ascii="Arial" w:eastAsia="Calibri" w:hAnsi="Arial" w:cs="Arial"/>
          <w:color w:val="000000" w:themeColor="text1"/>
          <w:lang w:val="es-ES"/>
        </w:rPr>
        <w:t xml:space="preserve"> previamente</w:t>
      </w:r>
      <w:r w:rsidR="00CC29CF">
        <w:rPr>
          <w:rFonts w:ascii="Arial" w:eastAsia="Calibri" w:hAnsi="Arial" w:cs="Arial"/>
          <w:color w:val="000000" w:themeColor="text1"/>
          <w:lang w:val="es-ES"/>
        </w:rPr>
        <w:t xml:space="preserve">, para que la misma genere una nueva versión </w:t>
      </w:r>
      <w:r w:rsidR="000D26C3">
        <w:rPr>
          <w:rFonts w:ascii="Arial" w:eastAsia="Calibri" w:hAnsi="Arial" w:cs="Arial"/>
          <w:color w:val="000000" w:themeColor="text1"/>
          <w:lang w:val="es-ES"/>
        </w:rPr>
        <w:t>del plazo de ejecución del contrato</w:t>
      </w:r>
      <w:r w:rsidR="00B20D91">
        <w:rPr>
          <w:rFonts w:ascii="Arial" w:eastAsia="Calibri" w:hAnsi="Arial" w:cs="Arial"/>
          <w:color w:val="000000" w:themeColor="text1"/>
          <w:lang w:val="es-ES"/>
        </w:rPr>
        <w:t xml:space="preserve">, para lo cual la </w:t>
      </w:r>
      <w:r w:rsidR="00CC29CF" w:rsidRPr="002217F4">
        <w:rPr>
          <w:rFonts w:ascii="Arial" w:eastAsia="Calibri" w:hAnsi="Arial" w:cs="Arial"/>
          <w:color w:val="000000" w:themeColor="text1"/>
          <w:lang w:val="es-ES"/>
        </w:rPr>
        <w:t>entidad</w:t>
      </w:r>
      <w:r w:rsidR="00B20D91">
        <w:rPr>
          <w:rFonts w:ascii="Arial" w:eastAsia="Calibri" w:hAnsi="Arial" w:cs="Arial"/>
          <w:color w:val="000000" w:themeColor="text1"/>
          <w:lang w:val="es-ES"/>
        </w:rPr>
        <w:t xml:space="preserve"> podrá</w:t>
      </w:r>
      <w:r w:rsidR="00CC29CF" w:rsidRPr="002217F4">
        <w:rPr>
          <w:rFonts w:ascii="Arial" w:eastAsia="Calibri" w:hAnsi="Arial" w:cs="Arial"/>
          <w:color w:val="000000" w:themeColor="text1"/>
          <w:lang w:val="es-ES"/>
        </w:rPr>
        <w:t xml:space="preserve"> ingresa</w:t>
      </w:r>
      <w:r w:rsidR="00B20D91">
        <w:rPr>
          <w:rFonts w:ascii="Arial" w:eastAsia="Calibri" w:hAnsi="Arial" w:cs="Arial"/>
          <w:color w:val="000000" w:themeColor="text1"/>
          <w:lang w:val="es-ES"/>
        </w:rPr>
        <w:t>r</w:t>
      </w:r>
      <w:r w:rsidR="00CC29CF" w:rsidRPr="002217F4">
        <w:rPr>
          <w:rFonts w:ascii="Arial" w:eastAsia="Calibri" w:hAnsi="Arial" w:cs="Arial"/>
          <w:color w:val="000000" w:themeColor="text1"/>
          <w:lang w:val="es-ES"/>
        </w:rPr>
        <w:t xml:space="preserve"> al </w:t>
      </w:r>
      <w:r w:rsidR="000D26C3">
        <w:rPr>
          <w:rFonts w:ascii="Arial" w:eastAsia="Calibri" w:hAnsi="Arial" w:cs="Arial"/>
          <w:color w:val="000000" w:themeColor="text1"/>
          <w:lang w:val="es-ES"/>
        </w:rPr>
        <w:t xml:space="preserve">SECOP II e ir al </w:t>
      </w:r>
      <w:r w:rsidR="00CC29CF" w:rsidRPr="002217F4">
        <w:rPr>
          <w:rFonts w:ascii="Arial" w:eastAsia="Calibri" w:hAnsi="Arial" w:cs="Arial"/>
          <w:color w:val="000000" w:themeColor="text1"/>
          <w:lang w:val="es-ES"/>
        </w:rPr>
        <w:t>detalle del contrato y hace</w:t>
      </w:r>
      <w:r w:rsidR="000D26C3">
        <w:rPr>
          <w:rFonts w:ascii="Arial" w:eastAsia="Calibri" w:hAnsi="Arial" w:cs="Arial"/>
          <w:color w:val="000000" w:themeColor="text1"/>
          <w:lang w:val="es-ES"/>
        </w:rPr>
        <w:t>r</w:t>
      </w:r>
      <w:r w:rsidR="00CC29CF" w:rsidRPr="002217F4">
        <w:rPr>
          <w:rFonts w:ascii="Arial" w:eastAsia="Calibri" w:hAnsi="Arial" w:cs="Arial"/>
          <w:color w:val="000000" w:themeColor="text1"/>
          <w:lang w:val="es-ES"/>
        </w:rPr>
        <w:t xml:space="preserve"> clic en “Modificar” desde cualquiera de las secciones que componen el contrato. SECOP II habilita las opciones de modificación para que la entidad seleccione la que requiera. Una vez seleccione la modificación la plataforma muestra un mensaje con la pregunta “¿Requiere reconocimiento del</w:t>
      </w:r>
      <w:r w:rsidR="00CC29CF">
        <w:rPr>
          <w:rFonts w:ascii="Arial" w:eastAsia="Calibri" w:hAnsi="Arial" w:cs="Arial"/>
          <w:color w:val="000000" w:themeColor="text1"/>
          <w:lang w:val="es-ES"/>
        </w:rPr>
        <w:t xml:space="preserve"> </w:t>
      </w:r>
      <w:r w:rsidR="00CC29CF" w:rsidRPr="002217F4">
        <w:rPr>
          <w:rFonts w:ascii="Arial" w:eastAsia="Calibri" w:hAnsi="Arial" w:cs="Arial"/>
          <w:color w:val="000000" w:themeColor="text1"/>
          <w:lang w:val="es-ES"/>
        </w:rPr>
        <w:t xml:space="preserve">proveedor?” en la cual la entidad </w:t>
      </w:r>
      <w:r w:rsidR="00F82EC3">
        <w:rPr>
          <w:rFonts w:ascii="Arial" w:eastAsia="Calibri" w:hAnsi="Arial" w:cs="Arial"/>
          <w:color w:val="000000" w:themeColor="text1"/>
          <w:lang w:val="es-ES"/>
        </w:rPr>
        <w:t>podrá</w:t>
      </w:r>
      <w:r w:rsidR="00CC29CF" w:rsidRPr="002217F4">
        <w:rPr>
          <w:rFonts w:ascii="Arial" w:eastAsia="Calibri" w:hAnsi="Arial" w:cs="Arial"/>
          <w:color w:val="000000" w:themeColor="text1"/>
          <w:lang w:val="es-ES"/>
        </w:rPr>
        <w:t xml:space="preserve"> indicar </w:t>
      </w:r>
      <w:r w:rsidR="00F82EC3">
        <w:rPr>
          <w:rFonts w:ascii="Arial" w:eastAsia="Calibri" w:hAnsi="Arial" w:cs="Arial"/>
          <w:color w:val="000000" w:themeColor="text1"/>
          <w:lang w:val="es-ES"/>
        </w:rPr>
        <w:t xml:space="preserve">que </w:t>
      </w:r>
      <w:r w:rsidR="00DB227E">
        <w:rPr>
          <w:rFonts w:ascii="Arial" w:eastAsia="Calibri" w:hAnsi="Arial" w:cs="Arial"/>
          <w:color w:val="000000" w:themeColor="text1"/>
          <w:lang w:val="es-ES"/>
        </w:rPr>
        <w:t>“</w:t>
      </w:r>
      <w:r w:rsidR="00F82EC3">
        <w:rPr>
          <w:rFonts w:ascii="Arial" w:eastAsia="Calibri" w:hAnsi="Arial" w:cs="Arial"/>
          <w:color w:val="000000" w:themeColor="text1"/>
          <w:lang w:val="es-ES"/>
        </w:rPr>
        <w:t>no</w:t>
      </w:r>
      <w:r w:rsidR="00DB227E">
        <w:rPr>
          <w:rFonts w:ascii="Arial" w:eastAsia="Calibri" w:hAnsi="Arial" w:cs="Arial"/>
          <w:color w:val="000000" w:themeColor="text1"/>
          <w:lang w:val="es-ES"/>
        </w:rPr>
        <w:t xml:space="preserve">” dado a que dicho acuerdo de reinicio </w:t>
      </w:r>
      <w:r w:rsidR="00E71725">
        <w:rPr>
          <w:rFonts w:ascii="Arial" w:eastAsia="Calibri" w:hAnsi="Arial" w:cs="Arial"/>
          <w:color w:val="000000" w:themeColor="text1"/>
          <w:lang w:val="es-ES"/>
        </w:rPr>
        <w:t>auto</w:t>
      </w:r>
      <w:r w:rsidR="00C967AB">
        <w:rPr>
          <w:rFonts w:ascii="Arial" w:eastAsia="Calibri" w:hAnsi="Arial" w:cs="Arial"/>
          <w:color w:val="000000" w:themeColor="text1"/>
          <w:lang w:val="es-ES"/>
        </w:rPr>
        <w:t xml:space="preserve">mático </w:t>
      </w:r>
      <w:r w:rsidR="00436DB0">
        <w:rPr>
          <w:rFonts w:ascii="Arial" w:eastAsia="Calibri" w:hAnsi="Arial" w:cs="Arial"/>
          <w:color w:val="000000" w:themeColor="text1"/>
          <w:lang w:val="es-ES"/>
        </w:rPr>
        <w:t xml:space="preserve">del plazo de ejecución </w:t>
      </w:r>
      <w:r w:rsidR="00DB227E">
        <w:rPr>
          <w:rFonts w:ascii="Arial" w:eastAsia="Calibri" w:hAnsi="Arial" w:cs="Arial"/>
          <w:color w:val="000000" w:themeColor="text1"/>
          <w:lang w:val="es-ES"/>
        </w:rPr>
        <w:t>fue aprobado previamente</w:t>
      </w:r>
      <w:r w:rsidR="00436DB0">
        <w:rPr>
          <w:rFonts w:ascii="Arial" w:eastAsia="Calibri" w:hAnsi="Arial" w:cs="Arial"/>
          <w:color w:val="000000" w:themeColor="text1"/>
          <w:lang w:val="es-ES"/>
        </w:rPr>
        <w:t xml:space="preserve"> por las partes.</w:t>
      </w:r>
    </w:p>
    <w:p w14:paraId="2904C0DE" w14:textId="69B6F1A5" w:rsidR="00CC29CF" w:rsidRDefault="00CC29CF" w:rsidP="00CD7672">
      <w:pPr>
        <w:spacing w:line="276" w:lineRule="auto"/>
        <w:ind w:firstLine="708"/>
        <w:jc w:val="both"/>
        <w:rPr>
          <w:rFonts w:ascii="Arial" w:eastAsia="Calibri" w:hAnsi="Arial" w:cs="Arial"/>
          <w:color w:val="000000" w:themeColor="text1"/>
          <w:lang w:val="es-ES"/>
        </w:rPr>
      </w:pPr>
      <w:r w:rsidRPr="002217F4">
        <w:rPr>
          <w:rFonts w:ascii="Arial" w:eastAsia="Calibri" w:hAnsi="Arial" w:cs="Arial"/>
          <w:color w:val="000000" w:themeColor="text1"/>
          <w:lang w:val="es-ES"/>
        </w:rPr>
        <w:t xml:space="preserve"> Posteriormente, la entidad debe realizar en la plataforma los ajustes a los que haya lugar, de acuerdo con la modificación seleccionada, ingresar la justificación y adjuntar los documentos soporte de la modificación, en el caso de que aplique. A continuación, deberá finalizar la modificación y aprobarse por el ordenador del gasto o representante legal de la entidad, para lo cual puede configurarse un flujo de aprobación en la plataforma.</w:t>
      </w:r>
      <w:r>
        <w:rPr>
          <w:rFonts w:ascii="Arial" w:eastAsia="Calibri" w:hAnsi="Arial" w:cs="Arial"/>
          <w:color w:val="000000" w:themeColor="text1"/>
          <w:lang w:val="es-ES"/>
        </w:rPr>
        <w:t xml:space="preserve"> </w:t>
      </w:r>
    </w:p>
    <w:p w14:paraId="620C5AB7" w14:textId="77777777" w:rsidR="00B212B0" w:rsidRDefault="00CC29CF" w:rsidP="002553FF">
      <w:pPr>
        <w:spacing w:line="276" w:lineRule="auto"/>
        <w:ind w:firstLine="708"/>
        <w:jc w:val="both"/>
        <w:rPr>
          <w:rFonts w:ascii="Arial" w:eastAsia="Calibri" w:hAnsi="Arial" w:cs="Arial"/>
          <w:szCs w:val="24"/>
          <w:lang w:val="es-ES" w:eastAsia="es-ES_tradnl"/>
        </w:rPr>
      </w:pPr>
      <w:r w:rsidRPr="002217F4">
        <w:rPr>
          <w:rFonts w:ascii="Arial" w:eastAsia="Calibri" w:hAnsi="Arial" w:cs="Arial"/>
          <w:color w:val="000000" w:themeColor="text1"/>
          <w:lang w:val="es-ES"/>
        </w:rPr>
        <w:t xml:space="preserve">Finalmente, </w:t>
      </w:r>
      <w:r w:rsidR="00D54F7E">
        <w:rPr>
          <w:rFonts w:ascii="Arial" w:eastAsia="Calibri" w:hAnsi="Arial" w:cs="Arial"/>
          <w:color w:val="000000" w:themeColor="text1"/>
          <w:lang w:val="es-ES"/>
        </w:rPr>
        <w:t xml:space="preserve">si la entidad </w:t>
      </w:r>
      <w:r w:rsidR="00C967AB">
        <w:rPr>
          <w:rFonts w:ascii="Arial" w:eastAsia="Calibri" w:hAnsi="Arial" w:cs="Arial"/>
          <w:color w:val="000000" w:themeColor="text1"/>
          <w:lang w:val="es-ES"/>
        </w:rPr>
        <w:t xml:space="preserve">seleccionó que </w:t>
      </w:r>
      <w:r w:rsidR="00D54F7E">
        <w:rPr>
          <w:rFonts w:ascii="Arial" w:eastAsia="Calibri" w:hAnsi="Arial" w:cs="Arial"/>
          <w:color w:val="000000" w:themeColor="text1"/>
          <w:lang w:val="es-ES"/>
        </w:rPr>
        <w:t>no</w:t>
      </w:r>
      <w:r w:rsidR="00CA48A6">
        <w:rPr>
          <w:rFonts w:ascii="Arial" w:eastAsia="Calibri" w:hAnsi="Arial" w:cs="Arial"/>
          <w:color w:val="000000" w:themeColor="text1"/>
          <w:lang w:val="es-ES"/>
        </w:rPr>
        <w:t xml:space="preserve"> requiere el reconocimiento del proveedor par</w:t>
      </w:r>
      <w:r w:rsidR="006E2F41">
        <w:rPr>
          <w:rFonts w:ascii="Arial" w:eastAsia="Calibri" w:hAnsi="Arial" w:cs="Arial"/>
          <w:color w:val="000000" w:themeColor="text1"/>
          <w:lang w:val="es-ES"/>
        </w:rPr>
        <w:t xml:space="preserve">a </w:t>
      </w:r>
      <w:r w:rsidR="006E2F41" w:rsidRPr="002217F4">
        <w:rPr>
          <w:rFonts w:ascii="Arial" w:eastAsia="Calibri" w:hAnsi="Arial" w:cs="Arial"/>
          <w:color w:val="000000" w:themeColor="text1"/>
          <w:lang w:val="es-ES"/>
        </w:rPr>
        <w:t>publicar la modificación</w:t>
      </w:r>
      <w:r w:rsidR="00C967AB">
        <w:rPr>
          <w:rFonts w:ascii="Arial" w:eastAsia="Calibri" w:hAnsi="Arial" w:cs="Arial"/>
          <w:color w:val="000000" w:themeColor="text1"/>
          <w:lang w:val="es-ES"/>
        </w:rPr>
        <w:t xml:space="preserve">, </w:t>
      </w:r>
      <w:r w:rsidRPr="002217F4">
        <w:rPr>
          <w:rFonts w:ascii="Arial" w:eastAsia="Calibri" w:hAnsi="Arial" w:cs="Arial"/>
          <w:color w:val="000000" w:themeColor="text1"/>
          <w:lang w:val="es-ES"/>
        </w:rPr>
        <w:t>la entidad podrá publicar</w:t>
      </w:r>
      <w:r w:rsidR="00C967AB">
        <w:rPr>
          <w:rFonts w:ascii="Arial" w:eastAsia="Calibri" w:hAnsi="Arial" w:cs="Arial"/>
          <w:color w:val="000000" w:themeColor="text1"/>
          <w:lang w:val="es-ES"/>
        </w:rPr>
        <w:t xml:space="preserve"> </w:t>
      </w:r>
      <w:r w:rsidRPr="002217F4">
        <w:rPr>
          <w:rFonts w:ascii="Arial" w:eastAsia="Calibri" w:hAnsi="Arial" w:cs="Arial"/>
          <w:color w:val="000000" w:themeColor="text1"/>
          <w:lang w:val="es-ES"/>
        </w:rPr>
        <w:t>la modificación</w:t>
      </w:r>
      <w:r w:rsidR="00D47754">
        <w:rPr>
          <w:rFonts w:ascii="Arial" w:eastAsia="Calibri" w:hAnsi="Arial" w:cs="Arial"/>
          <w:color w:val="000000" w:themeColor="text1"/>
          <w:lang w:val="es-ES"/>
        </w:rPr>
        <w:t xml:space="preserve"> realizada y</w:t>
      </w:r>
      <w:r w:rsidRPr="002217F4">
        <w:rPr>
          <w:rFonts w:ascii="Arial" w:eastAsia="Calibri" w:hAnsi="Arial" w:cs="Arial"/>
          <w:color w:val="000000" w:themeColor="text1"/>
          <w:lang w:val="es-ES"/>
        </w:rPr>
        <w:t xml:space="preserve"> cambiará a “Publicado”</w:t>
      </w:r>
      <w:r w:rsidR="00D47754">
        <w:rPr>
          <w:rFonts w:ascii="Arial" w:eastAsia="Calibri" w:hAnsi="Arial" w:cs="Arial"/>
          <w:color w:val="000000" w:themeColor="text1"/>
          <w:lang w:val="es-ES"/>
        </w:rPr>
        <w:t>, reflejándose</w:t>
      </w:r>
      <w:r w:rsidRPr="002217F4">
        <w:rPr>
          <w:rFonts w:ascii="Arial" w:eastAsia="Calibri" w:hAnsi="Arial" w:cs="Arial"/>
          <w:color w:val="000000" w:themeColor="text1"/>
          <w:lang w:val="es-ES"/>
        </w:rPr>
        <w:t xml:space="preserve"> los cambios </w:t>
      </w:r>
      <w:r>
        <w:rPr>
          <w:rFonts w:ascii="Arial" w:eastAsia="Calibri" w:hAnsi="Arial" w:cs="Arial"/>
          <w:color w:val="000000" w:themeColor="text1"/>
          <w:lang w:val="es-ES"/>
        </w:rPr>
        <w:t xml:space="preserve">en </w:t>
      </w:r>
      <w:r w:rsidRPr="002217F4">
        <w:rPr>
          <w:rFonts w:ascii="Arial" w:eastAsia="Calibri" w:hAnsi="Arial" w:cs="Arial"/>
          <w:color w:val="000000" w:themeColor="text1"/>
          <w:lang w:val="es-ES"/>
        </w:rPr>
        <w:t>el contrato</w:t>
      </w:r>
      <w:r>
        <w:rPr>
          <w:rFonts w:ascii="Arial" w:eastAsia="Calibri" w:hAnsi="Arial" w:cs="Arial"/>
          <w:color w:val="000000" w:themeColor="text1"/>
          <w:lang w:val="es-ES"/>
        </w:rPr>
        <w:t xml:space="preserve">, toda vez que la plataforma </w:t>
      </w:r>
      <w:r w:rsidRPr="00180DD0">
        <w:rPr>
          <w:rFonts w:ascii="Arial" w:eastAsia="Calibri" w:hAnsi="Arial" w:cs="Arial"/>
          <w:szCs w:val="24"/>
          <w:lang w:val="es-ES" w:eastAsia="es-ES_tradnl"/>
        </w:rPr>
        <w:t>contabilizará automáticamente el “Tiempo adiciones en días” con el total</w:t>
      </w:r>
      <w:r>
        <w:rPr>
          <w:rFonts w:ascii="Arial" w:eastAsia="Calibri" w:hAnsi="Arial" w:cs="Arial"/>
          <w:szCs w:val="24"/>
          <w:lang w:val="es-ES" w:eastAsia="es-ES_tradnl"/>
        </w:rPr>
        <w:t xml:space="preserve"> </w:t>
      </w:r>
      <w:r w:rsidRPr="00180DD0">
        <w:rPr>
          <w:rFonts w:ascii="Arial" w:eastAsia="Calibri" w:hAnsi="Arial" w:cs="Arial"/>
          <w:szCs w:val="24"/>
          <w:lang w:val="es-ES" w:eastAsia="es-ES_tradnl"/>
        </w:rPr>
        <w:t xml:space="preserve">de días calendario </w:t>
      </w:r>
      <w:r w:rsidR="00FB0B82">
        <w:rPr>
          <w:rFonts w:ascii="Arial" w:eastAsia="Calibri" w:hAnsi="Arial" w:cs="Arial"/>
          <w:szCs w:val="24"/>
          <w:lang w:val="es-ES" w:eastAsia="es-ES_tradnl"/>
        </w:rPr>
        <w:t>que quedaban de ejecución del contrato</w:t>
      </w:r>
      <w:r w:rsidRPr="00180DD0">
        <w:rPr>
          <w:rFonts w:ascii="Arial" w:eastAsia="Calibri" w:hAnsi="Arial" w:cs="Arial"/>
          <w:szCs w:val="24"/>
          <w:lang w:val="es-ES" w:eastAsia="es-ES_tradnl"/>
        </w:rPr>
        <w:t xml:space="preserve"> desde la fecha de </w:t>
      </w:r>
      <w:r w:rsidR="00FB0B82">
        <w:rPr>
          <w:rFonts w:ascii="Arial" w:eastAsia="Calibri" w:hAnsi="Arial" w:cs="Arial"/>
          <w:szCs w:val="24"/>
          <w:lang w:val="es-ES" w:eastAsia="es-ES_tradnl"/>
        </w:rPr>
        <w:t xml:space="preserve">la suspensión </w:t>
      </w:r>
      <w:r w:rsidR="002553FF">
        <w:rPr>
          <w:rFonts w:ascii="Arial" w:eastAsia="Calibri" w:hAnsi="Arial" w:cs="Arial"/>
          <w:szCs w:val="24"/>
          <w:lang w:val="es-ES" w:eastAsia="es-ES_tradnl"/>
        </w:rPr>
        <w:t>de este</w:t>
      </w:r>
      <w:r>
        <w:rPr>
          <w:rFonts w:ascii="Arial" w:eastAsia="Calibri" w:hAnsi="Arial" w:cs="Arial"/>
          <w:szCs w:val="24"/>
          <w:lang w:val="es-ES" w:eastAsia="es-ES_tradnl"/>
        </w:rPr>
        <w:t>.</w:t>
      </w:r>
    </w:p>
    <w:p w14:paraId="40775C36" w14:textId="77777777" w:rsidR="00B212B0" w:rsidRDefault="00B212B0" w:rsidP="00B212B0">
      <w:pPr>
        <w:spacing w:line="276" w:lineRule="auto"/>
        <w:jc w:val="both"/>
        <w:rPr>
          <w:rFonts w:ascii="Arial" w:eastAsia="Calibri" w:hAnsi="Arial" w:cs="Arial"/>
          <w:szCs w:val="24"/>
          <w:lang w:val="es-ES" w:eastAsia="es-ES_tradnl"/>
        </w:rPr>
      </w:pPr>
    </w:p>
    <w:p w14:paraId="3F5BAE50" w14:textId="3E8CF3F2" w:rsidR="00B81CD9" w:rsidRPr="00F3404C" w:rsidRDefault="002F6F88" w:rsidP="00B212B0">
      <w:pPr>
        <w:spacing w:line="276" w:lineRule="auto"/>
        <w:jc w:val="both"/>
        <w:rPr>
          <w:rFonts w:ascii="Arial" w:eastAsia="Calibri" w:hAnsi="Arial" w:cs="Arial"/>
          <w:b/>
          <w:bCs/>
          <w:color w:val="000000"/>
          <w:szCs w:val="24"/>
          <w:lang w:val="es-ES_tradnl" w:eastAsia="es-ES_tradnl"/>
        </w:rPr>
      </w:pPr>
      <w:r w:rsidRPr="00F3404C">
        <w:rPr>
          <w:rFonts w:ascii="Arial" w:eastAsia="Times New Roman" w:hAnsi="Arial" w:cs="Arial"/>
          <w:b/>
          <w:bCs/>
          <w:color w:val="000000"/>
          <w:lang w:val="es-ES_tradnl" w:eastAsia="es-ES_tradnl"/>
        </w:rPr>
        <w:t>2.3.</w:t>
      </w:r>
      <w:r w:rsidR="00B81CD9" w:rsidRPr="00F3404C">
        <w:rPr>
          <w:rFonts w:ascii="Arial" w:eastAsia="Calibri" w:hAnsi="Arial" w:cs="Arial"/>
          <w:b/>
          <w:bCs/>
          <w:color w:val="000000"/>
          <w:szCs w:val="24"/>
          <w:lang w:val="es-ES_tradnl" w:eastAsia="es-ES_tradnl"/>
        </w:rPr>
        <w:t xml:space="preserve"> Régimen sancionatorio en el Estatuto General de Contratación de la Administración Pública</w:t>
      </w:r>
    </w:p>
    <w:p w14:paraId="6570344F" w14:textId="68AABA58" w:rsidR="00B81CD9" w:rsidRPr="007B6CA5" w:rsidRDefault="00B81CD9" w:rsidP="00B81CD9">
      <w:pPr>
        <w:spacing w:after="0" w:line="276" w:lineRule="auto"/>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Durante la ejecución de los contratos, las entidades estatales sometidas al Estatuto General de Contratación de la Administración Pública usualmente cuentan con distintas potestades con base en las cuales ejercen la dirección general del contrato y realizan las actividades propias de vigilancia y control. Entre dichas potestades se encuentran: i) las cláusulas excepcionales del </w:t>
      </w:r>
      <w:r w:rsidRPr="007B6CA5">
        <w:rPr>
          <w:rFonts w:ascii="Arial" w:eastAsia="Times New Roman" w:hAnsi="Arial" w:cs="Arial"/>
          <w:iCs/>
          <w:color w:val="000000"/>
          <w:szCs w:val="24"/>
          <w:lang w:val="es-ES_tradnl" w:eastAsia="es-ES_tradnl"/>
        </w:rPr>
        <w:lastRenderedPageBreak/>
        <w:t>artículo 14 de la Ley 80 de 1993, concepto que incluye la terminación unilateral, la interpretación unilateral, la modificación unilateral, la caducidad y la reversión</w:t>
      </w:r>
      <w:r w:rsidR="005F0386">
        <w:rPr>
          <w:rFonts w:ascii="Arial" w:eastAsia="Times New Roman" w:hAnsi="Arial" w:cs="Arial"/>
          <w:iCs/>
          <w:color w:val="000000"/>
          <w:szCs w:val="24"/>
          <w:lang w:val="es-ES_tradnl" w:eastAsia="es-ES_tradnl"/>
        </w:rPr>
        <w:t>, que se desarrollan en l</w:t>
      </w:r>
      <w:r w:rsidRPr="007B6CA5">
        <w:rPr>
          <w:rFonts w:ascii="Arial" w:eastAsia="Times New Roman" w:hAnsi="Arial" w:cs="Arial"/>
          <w:iCs/>
          <w:color w:val="000000"/>
          <w:szCs w:val="24"/>
          <w:lang w:val="es-ES_tradnl" w:eastAsia="es-ES_tradnl"/>
        </w:rPr>
        <w:t xml:space="preserve">os artículos 15 a 19 </w:t>
      </w:r>
      <w:r w:rsidRPr="007B6CA5">
        <w:rPr>
          <w:rFonts w:ascii="Arial" w:eastAsia="Times New Roman" w:hAnsi="Arial" w:cs="Arial"/>
          <w:i/>
          <w:color w:val="000000"/>
          <w:szCs w:val="24"/>
          <w:lang w:val="es-ES_tradnl" w:eastAsia="es-ES_tradnl"/>
        </w:rPr>
        <w:t>ibidem</w:t>
      </w:r>
      <w:r w:rsidR="009F69F1">
        <w:rPr>
          <w:rFonts w:ascii="Arial" w:eastAsia="Times New Roman" w:hAnsi="Arial" w:cs="Arial"/>
          <w:iCs/>
          <w:color w:val="000000"/>
          <w:szCs w:val="24"/>
          <w:lang w:val="es-ES_tradnl" w:eastAsia="es-ES_tradnl"/>
        </w:rPr>
        <w:t>;</w:t>
      </w:r>
      <w:r w:rsidR="00EF0443">
        <w:rPr>
          <w:rFonts w:ascii="Arial" w:eastAsia="Times New Roman" w:hAnsi="Arial" w:cs="Arial"/>
          <w:iCs/>
          <w:color w:val="000000"/>
          <w:szCs w:val="24"/>
          <w:lang w:val="es-ES_tradnl" w:eastAsia="es-ES_tradnl"/>
        </w:rPr>
        <w:t xml:space="preserve"> y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w:t>
      </w:r>
      <w:r w:rsidR="00EF0443">
        <w:rPr>
          <w:rFonts w:ascii="Arial" w:eastAsia="Times New Roman" w:hAnsi="Arial" w:cs="Arial"/>
          <w:iCs/>
          <w:color w:val="000000"/>
          <w:szCs w:val="24"/>
          <w:lang w:val="es-ES_tradnl" w:eastAsia="es-ES_tradnl"/>
        </w:rPr>
        <w:t xml:space="preserve">la facultad de </w:t>
      </w:r>
      <w:r w:rsidR="00110B8C">
        <w:rPr>
          <w:rFonts w:ascii="Arial" w:eastAsia="Times New Roman" w:hAnsi="Arial" w:cs="Arial"/>
          <w:iCs/>
          <w:color w:val="000000"/>
          <w:szCs w:val="24"/>
          <w:lang w:val="es-ES_tradnl" w:eastAsia="es-ES_tradnl"/>
        </w:rPr>
        <w:t>ejercer p</w:t>
      </w:r>
      <w:r w:rsidR="003830DF">
        <w:rPr>
          <w:rFonts w:ascii="Arial" w:eastAsia="Times New Roman" w:hAnsi="Arial" w:cs="Arial"/>
          <w:iCs/>
          <w:color w:val="000000"/>
          <w:szCs w:val="24"/>
          <w:lang w:val="es-ES_tradnl" w:eastAsia="es-ES_tradnl"/>
        </w:rPr>
        <w:t>otestades</w:t>
      </w:r>
      <w:r w:rsidR="00110B8C">
        <w:rPr>
          <w:rFonts w:ascii="Arial" w:eastAsia="Times New Roman" w:hAnsi="Arial" w:cs="Arial"/>
          <w:iCs/>
          <w:color w:val="000000"/>
          <w:szCs w:val="24"/>
          <w:lang w:val="es-ES_tradnl" w:eastAsia="es-ES_tradnl"/>
        </w:rPr>
        <w:t xml:space="preserve"> unilaterales en virtud de </w:t>
      </w:r>
      <w:r w:rsidRPr="007B6CA5">
        <w:rPr>
          <w:rFonts w:ascii="Arial" w:eastAsia="Times New Roman" w:hAnsi="Arial" w:cs="Arial"/>
          <w:iCs/>
          <w:color w:val="000000"/>
          <w:szCs w:val="24"/>
          <w:lang w:val="es-ES_tradnl" w:eastAsia="es-ES_tradnl"/>
        </w:rPr>
        <w:t>disposiciones</w:t>
      </w:r>
      <w:r w:rsidR="003830DF">
        <w:rPr>
          <w:rFonts w:ascii="Arial" w:eastAsia="Times New Roman" w:hAnsi="Arial" w:cs="Arial"/>
          <w:iCs/>
          <w:color w:val="000000"/>
          <w:szCs w:val="24"/>
          <w:lang w:val="es-ES_tradnl" w:eastAsia="es-ES_tradnl"/>
        </w:rPr>
        <w:t xml:space="preserve"> normativas</w:t>
      </w:r>
      <w:r w:rsidRPr="007B6CA5">
        <w:rPr>
          <w:rFonts w:ascii="Arial" w:eastAsia="Times New Roman" w:hAnsi="Arial" w:cs="Arial"/>
          <w:iCs/>
          <w:color w:val="000000"/>
          <w:szCs w:val="24"/>
          <w:lang w:val="es-ES_tradnl" w:eastAsia="es-ES_tradnl"/>
        </w:rPr>
        <w:t xml:space="preserve">, como la liquidación unilateral y la declaratoria unilateral del siniestro –artículos 7 y 11 de la Ley 1150 de 2007–. Dentro de las potestades unilaterales también se encuentran </w:t>
      </w:r>
      <w:r w:rsidR="00901B1F">
        <w:rPr>
          <w:rFonts w:ascii="Arial" w:eastAsia="Times New Roman" w:hAnsi="Arial" w:cs="Arial"/>
          <w:iCs/>
          <w:color w:val="000000"/>
          <w:szCs w:val="24"/>
          <w:lang w:val="es-ES_tradnl" w:eastAsia="es-ES_tradnl"/>
        </w:rPr>
        <w:t>la</w:t>
      </w:r>
      <w:r w:rsidRPr="007B6CA5">
        <w:rPr>
          <w:rFonts w:ascii="Arial" w:eastAsia="Times New Roman" w:hAnsi="Arial" w:cs="Arial"/>
          <w:iCs/>
          <w:color w:val="000000"/>
          <w:szCs w:val="24"/>
          <w:lang w:val="es-ES_tradnl" w:eastAsia="es-ES_tradnl"/>
        </w:rPr>
        <w:t xml:space="preserve"> </w:t>
      </w:r>
      <w:r w:rsidRPr="007B6CA5">
        <w:rPr>
          <w:rFonts w:ascii="Arial" w:eastAsia="Times New Roman" w:hAnsi="Arial" w:cs="Arial"/>
          <w:i/>
          <w:color w:val="000000"/>
          <w:szCs w:val="24"/>
          <w:lang w:val="es-ES_tradnl" w:eastAsia="es-ES_tradnl"/>
        </w:rPr>
        <w:t>imposición unilateral</w:t>
      </w:r>
      <w:r w:rsidRPr="007B6CA5">
        <w:rPr>
          <w:rFonts w:ascii="Arial" w:eastAsia="Times New Roman" w:hAnsi="Arial" w:cs="Arial"/>
          <w:iCs/>
          <w:color w:val="000000"/>
          <w:szCs w:val="24"/>
          <w:lang w:val="es-ES_tradnl" w:eastAsia="es-ES_tradnl"/>
        </w:rPr>
        <w:t xml:space="preserve"> de las cláusulas penales y de multas –artículo 17 de la Ley 1150 de 2007–, aclarando que su exorbitancia se refiere a su imposición unilateral, no a su pacto, que es posible en virtud de las normas civiles y comerciales.</w:t>
      </w:r>
    </w:p>
    <w:p w14:paraId="1C93AD91" w14:textId="77777777" w:rsidR="00B81CD9" w:rsidRPr="007B6CA5" w:rsidRDefault="00B81CD9" w:rsidP="00B81CD9">
      <w:pPr>
        <w:spacing w:before="120" w:after="0" w:line="276" w:lineRule="auto"/>
        <w:ind w:firstLine="708"/>
        <w:jc w:val="both"/>
        <w:rPr>
          <w:rFonts w:ascii="Arial" w:eastAsia="Times New Roman" w:hAnsi="Arial" w:cs="Arial"/>
          <w:color w:val="000000"/>
          <w:lang w:val="es-ES" w:eastAsia="es-ES_tradnl"/>
        </w:rPr>
      </w:pPr>
      <w:r w:rsidRPr="007B6CA5">
        <w:rPr>
          <w:rFonts w:ascii="Arial" w:eastAsia="Times New Roman" w:hAnsi="Arial" w:cs="Arial"/>
          <w:color w:val="000000"/>
          <w:lang w:val="es-ES" w:eastAsia="es-ES_tradnl"/>
        </w:rPr>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7B6CA5">
        <w:rPr>
          <w:rFonts w:ascii="Arial" w:eastAsia="Calibri" w:hAnsi="Arial" w:cs="Arial"/>
          <w:color w:val="000000"/>
          <w:lang w:eastAsia="es-ES_tradnl"/>
        </w:rPr>
        <w:t>y los relacionados con el programa de alimentación escolar –según lo dispuso la modificación realizada por el artículo 52 de la Ley 2195 de 2022–</w:t>
      </w:r>
      <w:r w:rsidRPr="007B6CA5">
        <w:rPr>
          <w:rFonts w:ascii="Arial" w:eastAsia="Times New Roman" w:hAnsi="Arial" w:cs="Arial"/>
          <w:color w:val="000000"/>
          <w:lang w:val="es-ES" w:eastAsia="es-ES_tradnl"/>
        </w:rPr>
        <w:t>. En tales contratos, sin importar si se incorporaron o no dentro de estos, las exorbitancias se entienden incluidas por el ministerio de la ley, como lo dispone el artículo 14 de la Ley 80 de 1993.</w:t>
      </w:r>
    </w:p>
    <w:p w14:paraId="6876589C" w14:textId="77777777" w:rsidR="00B81CD9" w:rsidRPr="007B6CA5" w:rsidRDefault="00B81CD9" w:rsidP="00B81CD9">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1F3236B6" w14:textId="77777777" w:rsidR="00B81CD9" w:rsidRPr="007B6CA5" w:rsidRDefault="00B81CD9" w:rsidP="00B81CD9">
      <w:pPr>
        <w:spacing w:after="0" w:line="276" w:lineRule="auto"/>
        <w:jc w:val="both"/>
        <w:rPr>
          <w:rFonts w:ascii="Arial" w:eastAsia="Times New Roman" w:hAnsi="Arial" w:cs="Arial"/>
          <w:iCs/>
          <w:color w:val="000000"/>
          <w:szCs w:val="24"/>
          <w:lang w:val="es-ES_tradnl" w:eastAsia="es-ES_tradnl"/>
        </w:rPr>
      </w:pPr>
    </w:p>
    <w:p w14:paraId="44F727C5" w14:textId="4855B3D8" w:rsidR="00197550" w:rsidRPr="000F680B" w:rsidRDefault="00197550" w:rsidP="00197550">
      <w:pPr>
        <w:spacing w:after="0" w:line="240" w:lineRule="auto"/>
        <w:ind w:left="709" w:right="709"/>
        <w:jc w:val="both"/>
        <w:rPr>
          <w:rFonts w:ascii="Arial" w:eastAsia="Times New Roman" w:hAnsi="Arial" w:cs="Arial"/>
          <w:color w:val="000000"/>
          <w:sz w:val="21"/>
          <w:szCs w:val="21"/>
          <w:lang w:val="es-ES_tradnl" w:eastAsia="es-ES_tradnl"/>
        </w:rPr>
      </w:pPr>
      <w:r w:rsidRPr="000F680B">
        <w:rPr>
          <w:rFonts w:ascii="Arial" w:hAnsi="Arial" w:cs="Arial"/>
          <w:sz w:val="21"/>
          <w:szCs w:val="21"/>
        </w:rPr>
        <w:t>«</w:t>
      </w:r>
      <w:r w:rsidR="00B81CD9" w:rsidRPr="007B6CA5">
        <w:rPr>
          <w:rFonts w:ascii="Arial" w:eastAsia="Times New Roman" w:hAnsi="Arial" w:cs="Arial"/>
          <w:iCs/>
          <w:color w:val="000000"/>
          <w:sz w:val="21"/>
          <w:szCs w:val="21"/>
          <w:lang w:val="es-ES_tradnl" w:eastAsia="es-ES_tradnl"/>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009D648E">
        <w:rPr>
          <w:rFonts w:ascii="Arial" w:eastAsia="Times New Roman" w:hAnsi="Arial" w:cs="Arial"/>
          <w:iCs/>
          <w:color w:val="000000"/>
          <w:sz w:val="21"/>
          <w:szCs w:val="21"/>
          <w:lang w:val="es-ES_tradnl" w:eastAsia="es-ES_tradnl"/>
        </w:rPr>
        <w:t>»</w:t>
      </w:r>
      <w:r w:rsidR="00B81CD9" w:rsidRPr="007B6CA5">
        <w:rPr>
          <w:rFonts w:ascii="Arial" w:eastAsia="Times New Roman" w:hAnsi="Arial" w:cs="Arial"/>
          <w:sz w:val="24"/>
          <w:szCs w:val="24"/>
          <w:vertAlign w:val="superscript"/>
          <w:lang w:eastAsia="es-ES_tradnl"/>
        </w:rPr>
        <w:footnoteReference w:id="10"/>
      </w:r>
      <w:r w:rsidR="00B81CD9" w:rsidRPr="007B6CA5">
        <w:rPr>
          <w:rFonts w:ascii="Arial" w:eastAsia="Times New Roman" w:hAnsi="Arial" w:cs="Arial"/>
          <w:iCs/>
          <w:color w:val="000000"/>
          <w:sz w:val="21"/>
          <w:szCs w:val="21"/>
          <w:lang w:val="es-ES_tradnl" w:eastAsia="es-ES_tradnl"/>
        </w:rPr>
        <w:t>.</w:t>
      </w:r>
    </w:p>
    <w:p w14:paraId="41AD169B" w14:textId="77777777" w:rsidR="00B81CD9" w:rsidRPr="007B6CA5" w:rsidRDefault="00B81CD9" w:rsidP="00B81CD9">
      <w:pPr>
        <w:spacing w:after="0" w:line="276" w:lineRule="auto"/>
        <w:jc w:val="both"/>
        <w:rPr>
          <w:rFonts w:ascii="Arial" w:eastAsia="Times New Roman" w:hAnsi="Arial" w:cs="Arial"/>
          <w:iCs/>
          <w:color w:val="000000"/>
          <w:szCs w:val="24"/>
          <w:lang w:val="es-ES_tradnl" w:eastAsia="es-ES_tradnl"/>
        </w:rPr>
      </w:pPr>
    </w:p>
    <w:p w14:paraId="28491B84" w14:textId="77777777" w:rsidR="00B81CD9" w:rsidRPr="007B6CA5" w:rsidRDefault="00B81CD9" w:rsidP="00B81CD9">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Las consecuencias jurídicas que se generan con la caducidad son: i) la terminación del contrato,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la iniciación del trámite de liquidación bilateral –y unilateral, si fracasa la bilateral–, </w:t>
      </w:r>
      <w:proofErr w:type="spellStart"/>
      <w:r w:rsidRPr="007B6CA5">
        <w:rPr>
          <w:rFonts w:ascii="Arial" w:eastAsia="Times New Roman" w:hAnsi="Arial" w:cs="Arial"/>
          <w:iCs/>
          <w:color w:val="000000"/>
          <w:szCs w:val="24"/>
          <w:lang w:val="es-ES_tradnl" w:eastAsia="es-ES_tradnl"/>
        </w:rPr>
        <w:t>iii</w:t>
      </w:r>
      <w:proofErr w:type="spellEnd"/>
      <w:r w:rsidRPr="007B6CA5">
        <w:rPr>
          <w:rFonts w:ascii="Arial" w:eastAsia="Times New Roman" w:hAnsi="Arial" w:cs="Arial"/>
          <w:iCs/>
          <w:color w:val="000000"/>
          <w:szCs w:val="24"/>
          <w:lang w:val="es-ES_tradnl" w:eastAsia="es-ES_tradnl"/>
        </w:rPr>
        <w:t xml:space="preserve">) la inhabilidad sobreviniente por cinco años, </w:t>
      </w:r>
      <w:proofErr w:type="spellStart"/>
      <w:r w:rsidRPr="007B6CA5">
        <w:rPr>
          <w:rFonts w:ascii="Arial" w:eastAsia="Times New Roman" w:hAnsi="Arial" w:cs="Arial"/>
          <w:iCs/>
          <w:color w:val="000000"/>
          <w:szCs w:val="24"/>
          <w:lang w:val="es-ES_tradnl" w:eastAsia="es-ES_tradnl"/>
        </w:rPr>
        <w:t>iv</w:t>
      </w:r>
      <w:proofErr w:type="spellEnd"/>
      <w:r w:rsidRPr="007B6CA5">
        <w:rPr>
          <w:rFonts w:ascii="Arial" w:eastAsia="Times New Roman" w:hAnsi="Arial" w:cs="Arial"/>
          <w:iCs/>
          <w:color w:val="000000"/>
          <w:szCs w:val="24"/>
          <w:lang w:val="es-ES_tradnl" w:eastAsia="es-ES_tradnl"/>
        </w:rPr>
        <w:t xml:space="preserve">) la efectividad de la garantía única de cumplimiento </w:t>
      </w:r>
      <w:r w:rsidRPr="007B6CA5">
        <w:rPr>
          <w:rFonts w:ascii="Arial" w:eastAsia="Times New Roman" w:hAnsi="Arial" w:cs="Arial"/>
          <w:iCs/>
          <w:color w:val="000000"/>
          <w:szCs w:val="24"/>
          <w:lang w:val="es-ES_tradnl" w:eastAsia="es-ES_tradnl"/>
        </w:rPr>
        <w:lastRenderedPageBreak/>
        <w:t>y v) el reporte en el SECOP, a la Procuraduría General de la Nación y a la Cámara de Comercio donde el contratista esté inscrito con el propósito de incluir la anotación en el Registro Único de Proponentes.</w:t>
      </w:r>
    </w:p>
    <w:p w14:paraId="17B15D50" w14:textId="77777777" w:rsidR="00B81CD9" w:rsidRPr="007B6CA5" w:rsidRDefault="00B81CD9" w:rsidP="00B81CD9">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Los presupuestos para declarar la caducidad están establecidos en los artículos 14 y 18 de la Ley 80 de 1993. En primer lugar, el artículo 18 establece los siguientes requisitos para su procedencia: i) debe acreditarse el </w:t>
      </w:r>
      <w:r w:rsidRPr="007B6CA5">
        <w:rPr>
          <w:rFonts w:ascii="Arial" w:eastAsia="Times New Roman" w:hAnsi="Arial" w:cs="Arial"/>
          <w:i/>
          <w:color w:val="000000"/>
          <w:szCs w:val="24"/>
          <w:lang w:val="es-ES_tradnl" w:eastAsia="es-ES_tradnl"/>
        </w:rPr>
        <w:t>incumplimiento</w:t>
      </w:r>
      <w:r w:rsidRPr="007B6CA5">
        <w:rPr>
          <w:rFonts w:ascii="Arial" w:eastAsia="Times New Roman" w:hAnsi="Arial" w:cs="Arial"/>
          <w:iCs/>
          <w:color w:val="000000"/>
          <w:szCs w:val="24"/>
          <w:lang w:val="es-ES_tradnl" w:eastAsia="es-ES_tradnl"/>
        </w:rPr>
        <w:t xml:space="preserve"> de alguna o algunas de las obligaciones del contratista, con todos los elementos que configuran el «incumplimiento»,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dicho incumplimiento debe afectar de manera </w:t>
      </w:r>
      <w:r w:rsidRPr="007B6CA5">
        <w:rPr>
          <w:rFonts w:ascii="Arial" w:eastAsia="Times New Roman" w:hAnsi="Arial" w:cs="Arial"/>
          <w:i/>
          <w:color w:val="000000"/>
          <w:szCs w:val="24"/>
          <w:lang w:val="es-ES_tradnl" w:eastAsia="es-ES_tradnl"/>
        </w:rPr>
        <w:t xml:space="preserve">grave </w:t>
      </w:r>
      <w:r w:rsidRPr="007B6CA5">
        <w:rPr>
          <w:rFonts w:ascii="Arial" w:eastAsia="Times New Roman" w:hAnsi="Arial" w:cs="Arial"/>
          <w:iCs/>
          <w:color w:val="000000"/>
          <w:szCs w:val="24"/>
          <w:lang w:val="es-ES_tradnl" w:eastAsia="es-ES_tradnl"/>
        </w:rPr>
        <w:t xml:space="preserve">y </w:t>
      </w:r>
      <w:r w:rsidRPr="007B6CA5">
        <w:rPr>
          <w:rFonts w:ascii="Arial" w:eastAsia="Times New Roman" w:hAnsi="Arial" w:cs="Arial"/>
          <w:i/>
          <w:color w:val="000000"/>
          <w:szCs w:val="24"/>
          <w:lang w:val="es-ES_tradnl" w:eastAsia="es-ES_tradnl"/>
        </w:rPr>
        <w:t xml:space="preserve">directa </w:t>
      </w:r>
      <w:r w:rsidRPr="007B6CA5">
        <w:rPr>
          <w:rFonts w:ascii="Arial" w:eastAsia="Times New Roman" w:hAnsi="Arial" w:cs="Arial"/>
          <w:iCs/>
          <w:color w:val="000000"/>
          <w:szCs w:val="24"/>
          <w:lang w:val="es-ES_tradnl" w:eastAsia="es-ES_tradnl"/>
        </w:rPr>
        <w:t xml:space="preserve">la ejecución del contrato, y </w:t>
      </w:r>
      <w:proofErr w:type="spellStart"/>
      <w:r w:rsidRPr="007B6CA5">
        <w:rPr>
          <w:rFonts w:ascii="Arial" w:eastAsia="Times New Roman" w:hAnsi="Arial" w:cs="Arial"/>
          <w:iCs/>
          <w:color w:val="000000"/>
          <w:szCs w:val="24"/>
          <w:lang w:val="es-ES_tradnl" w:eastAsia="es-ES_tradnl"/>
        </w:rPr>
        <w:t>iii</w:t>
      </w:r>
      <w:proofErr w:type="spellEnd"/>
      <w:r w:rsidRPr="007B6CA5">
        <w:rPr>
          <w:rFonts w:ascii="Arial" w:eastAsia="Times New Roman" w:hAnsi="Arial" w:cs="Arial"/>
          <w:iCs/>
          <w:color w:val="000000"/>
          <w:szCs w:val="24"/>
          <w:lang w:val="es-ES_tradnl" w:eastAsia="es-ES_tradnl"/>
        </w:rPr>
        <w:t>)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0A558F0C" w14:textId="77777777" w:rsidR="00B81CD9" w:rsidRPr="007B6CA5" w:rsidRDefault="00B81CD9" w:rsidP="00B81CD9">
      <w:pPr>
        <w:spacing w:after="0" w:line="276" w:lineRule="auto"/>
        <w:ind w:firstLine="709"/>
        <w:jc w:val="both"/>
        <w:rPr>
          <w:rFonts w:ascii="Arial" w:eastAsia="Times New Roman" w:hAnsi="Arial" w:cs="Arial"/>
          <w:color w:val="000000"/>
          <w:lang w:val="es-ES" w:eastAsia="es-ES_tradnl"/>
        </w:rPr>
      </w:pPr>
      <w:r w:rsidRPr="007B6CA5">
        <w:rPr>
          <w:rFonts w:ascii="Arial" w:eastAsia="Times New Roman" w:hAnsi="Arial" w:cs="Arial"/>
          <w:color w:val="000000"/>
          <w:lang w:val="es-ES" w:eastAsia="es-ES_tradnl"/>
        </w:rPr>
        <w:t xml:space="preserve">Así, dentro de los requisitos de orden legal que deben cumplirse para decretar la caducidad no hay uno que exija a las entidades estatales imponer multas previas al contratista, como condición </w:t>
      </w:r>
      <w:r w:rsidRPr="007B6CA5">
        <w:rPr>
          <w:rFonts w:ascii="Arial" w:eastAsia="Times New Roman" w:hAnsi="Arial" w:cs="Arial"/>
          <w:i/>
          <w:iCs/>
          <w:color w:val="000000"/>
          <w:lang w:val="es-ES" w:eastAsia="es-ES_tradnl"/>
        </w:rPr>
        <w:t>sine qua non</w:t>
      </w:r>
      <w:r w:rsidRPr="007B6CA5">
        <w:rPr>
          <w:rFonts w:ascii="Arial" w:eastAsia="Times New Roman" w:hAnsi="Arial" w:cs="Arial"/>
          <w:color w:val="000000"/>
          <w:lang w:val="es-ES" w:eastAsia="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7B6CA5">
        <w:rPr>
          <w:rFonts w:ascii="Arial" w:eastAsia="Times New Roman" w:hAnsi="Arial" w:cs="Arial"/>
          <w:i/>
          <w:iCs/>
          <w:color w:val="000000"/>
          <w:lang w:val="es-ES" w:eastAsia="es-ES_tradnl"/>
        </w:rPr>
        <w:t>ipso facto</w:t>
      </w:r>
      <w:r w:rsidRPr="007B6CA5">
        <w:rPr>
          <w:rFonts w:ascii="Arial" w:eastAsia="Times New Roman" w:hAnsi="Arial" w:cs="Arial"/>
          <w:color w:val="000000"/>
          <w:lang w:val="es-ES" w:eastAsia="es-ES_tradnl"/>
        </w:rPr>
        <w:t>, es decir, sin que se evidencien antecedentes de incumplimientos parciales, el Estatuto General de Contratación de la Administración Pública permite decretar directamente esta cláusula excepcional, respetando el debido proceso.</w:t>
      </w:r>
    </w:p>
    <w:p w14:paraId="042FD3EA" w14:textId="5028DB1D" w:rsidR="00B81CD9" w:rsidRPr="007B6CA5" w:rsidRDefault="00DD4AD7" w:rsidP="00DD4AD7">
      <w:pPr>
        <w:spacing w:before="120" w:after="120" w:line="276" w:lineRule="auto"/>
        <w:ind w:firstLine="708"/>
        <w:jc w:val="both"/>
        <w:rPr>
          <w:rFonts w:ascii="Arial" w:eastAsia="Times New Roman" w:hAnsi="Arial" w:cs="Arial"/>
          <w:color w:val="000000"/>
          <w:lang w:val="es-ES" w:eastAsia="es-ES_tradnl"/>
        </w:rPr>
      </w:pPr>
      <w:r>
        <w:rPr>
          <w:rFonts w:ascii="Arial" w:eastAsia="Times New Roman" w:hAnsi="Arial" w:cs="Arial"/>
          <w:iCs/>
          <w:color w:val="000000"/>
          <w:lang w:val="es-ES_tradnl" w:eastAsia="es-ES_tradnl"/>
        </w:rPr>
        <w:t>Por su parte,</w:t>
      </w:r>
      <w:r w:rsidR="00553725">
        <w:rPr>
          <w:rFonts w:ascii="Arial" w:eastAsia="Times New Roman" w:hAnsi="Arial" w:cs="Arial"/>
          <w:color w:val="000000"/>
          <w:lang w:val="es-ES" w:eastAsia="es-ES_tradnl"/>
        </w:rPr>
        <w:t xml:space="preserve"> frente a las potestades unilaterales, en relación a su pregunta, encontramos la </w:t>
      </w:r>
      <w:r w:rsidR="00950292" w:rsidRPr="007B6CA5">
        <w:rPr>
          <w:rFonts w:ascii="Arial" w:eastAsia="Times New Roman" w:hAnsi="Arial" w:cs="Arial"/>
          <w:color w:val="000000"/>
          <w:lang w:val="es-ES" w:eastAsia="es-ES_tradnl"/>
        </w:rPr>
        <w:t>imposición</w:t>
      </w:r>
      <w:r w:rsidR="00B81CD9" w:rsidRPr="007B6CA5">
        <w:rPr>
          <w:rFonts w:ascii="Arial" w:eastAsia="Times New Roman" w:hAnsi="Arial" w:cs="Arial"/>
          <w:color w:val="000000"/>
          <w:lang w:val="es-ES" w:eastAsia="es-ES_tradnl"/>
        </w:rPr>
        <w:t xml:space="preserve"> unilateral de la multa o la cláusula penal</w:t>
      </w:r>
      <w:r w:rsidR="00950292">
        <w:rPr>
          <w:rFonts w:ascii="Arial" w:eastAsia="Times New Roman" w:hAnsi="Arial" w:cs="Arial"/>
          <w:color w:val="000000"/>
          <w:lang w:val="es-ES" w:eastAsia="es-ES_tradnl"/>
        </w:rPr>
        <w:t xml:space="preserve"> que </w:t>
      </w:r>
      <w:r w:rsidR="00B81CD9" w:rsidRPr="007B6CA5">
        <w:rPr>
          <w:rFonts w:ascii="Arial" w:eastAsia="Times New Roman" w:hAnsi="Arial" w:cs="Arial"/>
          <w:color w:val="000000"/>
          <w:lang w:val="es-ES" w:eastAsia="es-ES_tradnl"/>
        </w:rPr>
        <w:t>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00B81CD9" w:rsidRPr="007B6CA5">
        <w:rPr>
          <w:rFonts w:ascii="Arial" w:eastAsia="Times New Roman" w:hAnsi="Arial" w:cs="Arial"/>
          <w:sz w:val="24"/>
          <w:szCs w:val="24"/>
          <w:vertAlign w:val="superscript"/>
          <w:lang w:eastAsia="es-ES_tradnl"/>
        </w:rPr>
        <w:footnoteReference w:id="11"/>
      </w:r>
      <w:r w:rsidR="00B81CD9" w:rsidRPr="007B6CA5">
        <w:rPr>
          <w:rFonts w:ascii="Arial" w:eastAsia="Times New Roman" w:hAnsi="Arial" w:cs="Arial"/>
          <w:color w:val="000000"/>
          <w:lang w:val="es-ES" w:eastAsia="es-ES_tradnl"/>
        </w:rPr>
        <w:t xml:space="preserve">. No obstante, cumplido el requisito del pacto en el contrato, las entidades estatales sometidas al Estatuto General de Contratación de la Administración Pública –Leyes 80 de 1993 y 1150 de 2007, y sus modificaciones–, por ministerio </w:t>
      </w:r>
      <w:r w:rsidR="00B81CD9" w:rsidRPr="007B6CA5">
        <w:rPr>
          <w:rFonts w:ascii="Arial" w:eastAsia="Times New Roman" w:hAnsi="Arial" w:cs="Arial"/>
          <w:color w:val="000000"/>
          <w:lang w:val="es-ES" w:eastAsia="es-ES_tradnl"/>
        </w:rPr>
        <w:lastRenderedPageBreak/>
        <w:t xml:space="preserve">de la ley –artículo 17 de la Ley 1150 de 2007–, se entienden investidas de la prerrogativa de imposición unilateral. </w:t>
      </w:r>
    </w:p>
    <w:p w14:paraId="39E1730D" w14:textId="77777777" w:rsidR="00B81CD9" w:rsidRPr="007B6CA5" w:rsidRDefault="00B81CD9" w:rsidP="00B81CD9">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190798A9" w14:textId="77777777" w:rsidR="00B81CD9" w:rsidRPr="007B6CA5" w:rsidRDefault="00B81CD9" w:rsidP="00B81CD9">
      <w:pPr>
        <w:spacing w:after="0" w:line="276" w:lineRule="auto"/>
        <w:ind w:left="720" w:right="-425"/>
        <w:contextualSpacing/>
        <w:jc w:val="both"/>
        <w:rPr>
          <w:rFonts w:ascii="Arial" w:eastAsia="Calibri" w:hAnsi="Arial" w:cs="Arial"/>
          <w:iCs/>
          <w:color w:val="000000"/>
          <w:lang w:val="es-ES_tradnl"/>
        </w:rPr>
      </w:pPr>
    </w:p>
    <w:p w14:paraId="53784430" w14:textId="3993D5AE" w:rsidR="00B81CD9" w:rsidRPr="00197550" w:rsidRDefault="00E46D5C" w:rsidP="00197550">
      <w:pPr>
        <w:spacing w:after="0" w:line="240" w:lineRule="auto"/>
        <w:ind w:left="709" w:right="709"/>
        <w:jc w:val="both"/>
        <w:rPr>
          <w:rFonts w:ascii="Arial" w:eastAsia="Times New Roman" w:hAnsi="Arial" w:cs="Arial"/>
          <w:color w:val="000000"/>
          <w:sz w:val="21"/>
          <w:szCs w:val="21"/>
          <w:lang w:val="es-ES_tradnl" w:eastAsia="es-ES_tradnl"/>
        </w:rPr>
      </w:pPr>
      <w:r w:rsidRPr="000F680B">
        <w:rPr>
          <w:rFonts w:ascii="Arial" w:hAnsi="Arial" w:cs="Arial"/>
          <w:sz w:val="21"/>
          <w:szCs w:val="21"/>
        </w:rPr>
        <w:t>«</w:t>
      </w:r>
      <w:r w:rsidR="00B81CD9" w:rsidRPr="007B6CA5">
        <w:rPr>
          <w:rFonts w:ascii="Arial" w:eastAsia="Calibri" w:hAnsi="Arial" w:cs="Arial"/>
          <w:iCs/>
          <w:color w:val="000000"/>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00B81CD9" w:rsidRPr="007B6CA5">
        <w:rPr>
          <w:rFonts w:ascii="Arial" w:eastAsia="Calibri" w:hAnsi="Arial" w:cs="Arial"/>
          <w:sz w:val="24"/>
          <w:vertAlign w:val="superscript"/>
          <w:lang w:val="es-MX"/>
        </w:rPr>
        <w:footnoteReference w:id="12"/>
      </w:r>
      <w:r w:rsidR="00B81CD9" w:rsidRPr="007B6CA5">
        <w:rPr>
          <w:rFonts w:ascii="Arial" w:eastAsia="Calibri" w:hAnsi="Arial" w:cs="Arial"/>
          <w:iCs/>
          <w:color w:val="000000"/>
          <w:sz w:val="21"/>
          <w:szCs w:val="21"/>
          <w:lang w:val="es-ES_tradnl"/>
        </w:rPr>
        <w:t>.</w:t>
      </w:r>
      <w:r w:rsidR="00197550" w:rsidRPr="000F680B">
        <w:rPr>
          <w:rFonts w:ascii="Arial" w:hAnsi="Arial" w:cs="Arial"/>
          <w:sz w:val="21"/>
          <w:szCs w:val="21"/>
        </w:rPr>
        <w:t>»</w:t>
      </w:r>
      <w:r w:rsidR="00B81CD9" w:rsidRPr="007B6CA5">
        <w:rPr>
          <w:rFonts w:ascii="Arial" w:eastAsia="Calibri" w:hAnsi="Arial" w:cs="Arial"/>
          <w:iCs/>
          <w:color w:val="000000"/>
          <w:sz w:val="21"/>
          <w:szCs w:val="21"/>
          <w:lang w:val="es-ES_tradnl"/>
        </w:rPr>
        <w:t xml:space="preserve"> </w:t>
      </w:r>
    </w:p>
    <w:p w14:paraId="47DCD980" w14:textId="77777777" w:rsidR="00B81CD9" w:rsidRPr="007B6CA5" w:rsidRDefault="00B81CD9" w:rsidP="00B81CD9">
      <w:pPr>
        <w:spacing w:after="0" w:line="240" w:lineRule="auto"/>
        <w:ind w:left="709" w:right="758"/>
        <w:jc w:val="both"/>
        <w:rPr>
          <w:rFonts w:ascii="Arial" w:eastAsia="Times New Roman" w:hAnsi="Arial" w:cs="Arial"/>
          <w:iCs/>
          <w:color w:val="000000"/>
          <w:sz w:val="21"/>
          <w:szCs w:val="21"/>
          <w:lang w:val="es-ES_tradnl" w:eastAsia="es-ES_tradnl"/>
        </w:rPr>
      </w:pPr>
    </w:p>
    <w:p w14:paraId="7E90EB32" w14:textId="77777777" w:rsidR="00B81CD9" w:rsidRPr="007B6CA5" w:rsidRDefault="00B81CD9" w:rsidP="00B81CD9">
      <w:pPr>
        <w:spacing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De igual forma, en otra oportunidad, el Consejo de Estado indicó que «el núcleo mínimo de este derecho exige que una norma –legal o contractual– contemple la falta y la sanción. Si ni siquiera lo hace el contrato, la Administración no puede imponer sanciones, so pena de violar el debido proceso»</w:t>
      </w:r>
      <w:r w:rsidRPr="007B6CA5">
        <w:rPr>
          <w:rFonts w:ascii="Arial" w:eastAsia="Times New Roman" w:hAnsi="Arial" w:cs="Arial"/>
          <w:sz w:val="24"/>
          <w:szCs w:val="24"/>
          <w:vertAlign w:val="superscript"/>
          <w:lang w:eastAsia="es-ES_tradnl"/>
        </w:rPr>
        <w:footnoteReference w:id="13"/>
      </w:r>
      <w:r w:rsidRPr="007B6CA5">
        <w:rPr>
          <w:rFonts w:ascii="Arial" w:eastAsia="Times New Roman" w:hAnsi="Arial" w:cs="Arial"/>
          <w:iCs/>
          <w:color w:val="000000"/>
          <w:szCs w:val="24"/>
          <w:lang w:val="es-ES_tradnl" w:eastAsia="es-ES_tradnl"/>
        </w:rPr>
        <w:t>. De otro lado, la Corte Constitucional</w:t>
      </w:r>
      <w:r w:rsidRPr="007B6CA5">
        <w:rPr>
          <w:rFonts w:ascii="Arial" w:eastAsia="Times New Roman" w:hAnsi="Arial" w:cs="Arial"/>
          <w:sz w:val="24"/>
          <w:szCs w:val="24"/>
          <w:vertAlign w:val="superscript"/>
          <w:lang w:eastAsia="es-ES_tradnl"/>
        </w:rPr>
        <w:footnoteReference w:id="14"/>
      </w:r>
      <w:r w:rsidRPr="007B6CA5">
        <w:rPr>
          <w:rFonts w:ascii="Arial" w:eastAsia="Times New Roman" w:hAnsi="Arial" w:cs="Arial"/>
          <w:iCs/>
          <w:color w:val="000000"/>
          <w:szCs w:val="24"/>
          <w:lang w:val="es-ES_tradnl" w:eastAsia="es-ES_tradnl"/>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622217B8" w14:textId="77777777" w:rsidR="0085189A" w:rsidRDefault="00B81CD9" w:rsidP="00B81CD9">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7B6CA5">
        <w:rPr>
          <w:rFonts w:ascii="Arial" w:eastAsia="Times New Roman" w:hAnsi="Arial" w:cs="Arial"/>
          <w:sz w:val="24"/>
          <w:szCs w:val="24"/>
          <w:vertAlign w:val="superscript"/>
          <w:lang w:eastAsia="es-ES_tradnl"/>
        </w:rPr>
        <w:footnoteReference w:id="15"/>
      </w:r>
      <w:r w:rsidRPr="007B6CA5">
        <w:rPr>
          <w:rFonts w:ascii="Arial" w:eastAsia="Times New Roman" w:hAnsi="Arial" w:cs="Arial"/>
          <w:iCs/>
          <w:color w:val="000000"/>
          <w:szCs w:val="24"/>
          <w:lang w:val="es-ES_tradnl" w:eastAsia="es-ES_tradnl"/>
        </w:rPr>
        <w:t xml:space="preserve">, en relación con las diferencias entre las multas y la cláusula penal, </w:t>
      </w:r>
      <w:r w:rsidR="00294001">
        <w:rPr>
          <w:rFonts w:ascii="Arial" w:eastAsia="Times New Roman" w:hAnsi="Arial" w:cs="Arial"/>
          <w:iCs/>
          <w:color w:val="000000"/>
          <w:szCs w:val="24"/>
          <w:lang w:val="es-ES_tradnl" w:eastAsia="es-ES_tradnl"/>
        </w:rPr>
        <w:t xml:space="preserve">de la siguiente </w:t>
      </w:r>
      <w:r w:rsidR="0085189A">
        <w:rPr>
          <w:rFonts w:ascii="Arial" w:eastAsia="Times New Roman" w:hAnsi="Arial" w:cs="Arial"/>
          <w:iCs/>
          <w:color w:val="000000"/>
          <w:szCs w:val="24"/>
          <w:lang w:val="es-ES_tradnl" w:eastAsia="es-ES_tradnl"/>
        </w:rPr>
        <w:t>forma</w:t>
      </w:r>
      <w:r w:rsidRPr="007B6CA5">
        <w:rPr>
          <w:rFonts w:ascii="Arial" w:eastAsia="Times New Roman" w:hAnsi="Arial" w:cs="Arial"/>
          <w:iCs/>
          <w:color w:val="000000"/>
          <w:szCs w:val="24"/>
          <w:lang w:val="es-ES_tradnl" w:eastAsia="es-ES_tradnl"/>
        </w:rPr>
        <w:t xml:space="preserve">: </w:t>
      </w:r>
    </w:p>
    <w:p w14:paraId="189BEC5B" w14:textId="1E2A91A5" w:rsidR="00B81CD9" w:rsidRPr="0085189A" w:rsidRDefault="00B81CD9" w:rsidP="002B1EDF">
      <w:pPr>
        <w:spacing w:before="120" w:after="0" w:line="240" w:lineRule="auto"/>
        <w:ind w:left="709" w:right="709"/>
        <w:jc w:val="both"/>
        <w:rPr>
          <w:rFonts w:ascii="Arial" w:eastAsia="Times New Roman" w:hAnsi="Arial" w:cs="Arial"/>
          <w:iCs/>
          <w:color w:val="000000"/>
          <w:sz w:val="21"/>
          <w:szCs w:val="21"/>
          <w:lang w:val="es-ES_tradnl" w:eastAsia="es-ES_tradnl"/>
        </w:rPr>
      </w:pPr>
      <w:r w:rsidRPr="0085189A">
        <w:rPr>
          <w:rFonts w:ascii="Arial" w:eastAsia="Times New Roman" w:hAnsi="Arial" w:cs="Arial"/>
          <w:iCs/>
          <w:color w:val="000000"/>
          <w:sz w:val="21"/>
          <w:szCs w:val="21"/>
          <w:lang w:val="es-ES_tradnl" w:eastAsia="es-ES_tradnl"/>
        </w:rPr>
        <w:t>«[a]</w:t>
      </w:r>
      <w:proofErr w:type="spellStart"/>
      <w:r w:rsidRPr="0085189A">
        <w:rPr>
          <w:rFonts w:ascii="Arial" w:eastAsia="Times New Roman" w:hAnsi="Arial" w:cs="Arial"/>
          <w:iCs/>
          <w:color w:val="000000"/>
          <w:sz w:val="21"/>
          <w:szCs w:val="21"/>
          <w:lang w:val="es-ES_tradnl" w:eastAsia="es-ES_tradnl"/>
        </w:rPr>
        <w:t>unque</w:t>
      </w:r>
      <w:proofErr w:type="spellEnd"/>
      <w:r w:rsidRPr="0085189A">
        <w:rPr>
          <w:rFonts w:ascii="Arial" w:eastAsia="Times New Roman" w:hAnsi="Arial" w:cs="Arial"/>
          <w:iCs/>
          <w:color w:val="000000"/>
          <w:sz w:val="21"/>
          <w:szCs w:val="21"/>
          <w:lang w:val="es-ES_tradnl" w:eastAsia="es-ES_tradnl"/>
        </w:rPr>
        <w:t xml:space="preserve"> las multas y la cláusula penal pecuniaria tienen una finalidad común –en lo sustancial–, que se concreta en el logro de los objetivos propuestos en el contrato; se </w:t>
      </w:r>
      <w:r w:rsidRPr="0085189A">
        <w:rPr>
          <w:rFonts w:ascii="Arial" w:eastAsia="Times New Roman" w:hAnsi="Arial" w:cs="Arial"/>
          <w:iCs/>
          <w:color w:val="000000"/>
          <w:sz w:val="21"/>
          <w:szCs w:val="21"/>
          <w:lang w:val="es-ES_tradnl" w:eastAsia="es-ES_tradnl"/>
        </w:rPr>
        <w:lastRenderedPageBreak/>
        <w:t>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85189A">
        <w:rPr>
          <w:rFonts w:ascii="Arial" w:eastAsia="Times New Roman" w:hAnsi="Arial" w:cs="Arial"/>
          <w:sz w:val="21"/>
          <w:szCs w:val="21"/>
          <w:vertAlign w:val="superscript"/>
          <w:lang w:eastAsia="es-ES_tradnl"/>
        </w:rPr>
        <w:footnoteReference w:id="16"/>
      </w:r>
      <w:r w:rsidRPr="0085189A">
        <w:rPr>
          <w:rFonts w:ascii="Arial" w:eastAsia="Times New Roman" w:hAnsi="Arial" w:cs="Arial"/>
          <w:iCs/>
          <w:color w:val="000000"/>
          <w:sz w:val="21"/>
          <w:szCs w:val="21"/>
          <w:lang w:val="es-ES_tradnl" w:eastAsia="es-ES_tradnl"/>
        </w:rPr>
        <w:t>.</w:t>
      </w:r>
    </w:p>
    <w:p w14:paraId="30C71708" w14:textId="707E46D2" w:rsidR="00B81CD9" w:rsidRPr="007B6CA5" w:rsidRDefault="00B81CD9" w:rsidP="00B81CD9">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color w:val="000000"/>
          <w:lang w:val="es-ES" w:eastAsia="es-ES_tradnl"/>
        </w:rPr>
        <w:t xml:space="preserve">Estudiadas las cláusulas excepcionales de caducidad, así como la potestad de </w:t>
      </w:r>
      <w:r w:rsidRPr="007B6CA5">
        <w:rPr>
          <w:rFonts w:ascii="Arial" w:eastAsia="Times New Roman" w:hAnsi="Arial" w:cs="Arial"/>
          <w:i/>
          <w:iCs/>
          <w:color w:val="000000"/>
          <w:lang w:val="es-ES" w:eastAsia="es-ES_tradnl"/>
        </w:rPr>
        <w:t xml:space="preserve">imposición unilateral </w:t>
      </w:r>
      <w:r w:rsidRPr="007B6CA5">
        <w:rPr>
          <w:rFonts w:ascii="Arial" w:eastAsia="Times New Roman" w:hAnsi="Arial" w:cs="Arial"/>
          <w:color w:val="000000"/>
          <w:lang w:val="es-ES" w:eastAsia="es-ES_tradnl"/>
        </w:rPr>
        <w:t>de multas y la cláusula penal, corresponde analizar algunos aspectos del procedimiento administrativo sancionatorio contractual establecido en el artículo 86 de la Ley 1474 de 2011, con la finalidad de resolver la consulta.</w:t>
      </w:r>
    </w:p>
    <w:p w14:paraId="60CB5BAE" w14:textId="77777777" w:rsidR="00B81CD9" w:rsidRPr="007B6CA5" w:rsidRDefault="00B81CD9" w:rsidP="00B81CD9">
      <w:pPr>
        <w:spacing w:after="0" w:line="276" w:lineRule="auto"/>
        <w:jc w:val="both"/>
        <w:rPr>
          <w:rFonts w:ascii="Arial" w:eastAsia="Times New Roman" w:hAnsi="Arial" w:cs="Arial"/>
          <w:b/>
          <w:bCs/>
          <w:color w:val="000000"/>
          <w:lang w:val="es-ES" w:eastAsia="es-ES_tradnl"/>
        </w:rPr>
      </w:pPr>
    </w:p>
    <w:p w14:paraId="748910E1" w14:textId="6B996F39" w:rsidR="00B81CD9" w:rsidRPr="007B6CA5" w:rsidRDefault="00B81CD9" w:rsidP="00B81CD9">
      <w:pPr>
        <w:spacing w:after="0" w:line="276" w:lineRule="auto"/>
        <w:jc w:val="both"/>
        <w:rPr>
          <w:rFonts w:ascii="Arial" w:eastAsia="Times New Roman" w:hAnsi="Arial" w:cs="Arial"/>
          <w:b/>
          <w:bCs/>
          <w:iCs/>
          <w:color w:val="000000"/>
          <w:szCs w:val="24"/>
          <w:lang w:val="es-ES_tradnl" w:eastAsia="es-ES_tradnl"/>
        </w:rPr>
      </w:pPr>
      <w:r w:rsidRPr="007B6CA5">
        <w:rPr>
          <w:rFonts w:ascii="Arial" w:eastAsia="Times New Roman" w:hAnsi="Arial" w:cs="Arial"/>
          <w:b/>
          <w:bCs/>
          <w:iCs/>
          <w:color w:val="000000"/>
          <w:szCs w:val="24"/>
          <w:lang w:val="es-ES_tradnl" w:eastAsia="es-ES_tradnl"/>
        </w:rPr>
        <w:t>2.</w:t>
      </w:r>
      <w:r w:rsidR="00E46D5C">
        <w:rPr>
          <w:rFonts w:ascii="Arial" w:eastAsia="Times New Roman" w:hAnsi="Arial" w:cs="Arial"/>
          <w:b/>
          <w:bCs/>
          <w:iCs/>
          <w:color w:val="000000"/>
          <w:szCs w:val="24"/>
          <w:lang w:val="es-ES_tradnl" w:eastAsia="es-ES_tradnl"/>
        </w:rPr>
        <w:t>4</w:t>
      </w:r>
      <w:r w:rsidRPr="007B6CA5">
        <w:rPr>
          <w:rFonts w:ascii="Arial" w:eastAsia="Times New Roman" w:hAnsi="Arial" w:cs="Arial"/>
          <w:b/>
          <w:bCs/>
          <w:iCs/>
          <w:color w:val="000000"/>
          <w:szCs w:val="24"/>
          <w:lang w:val="es-ES_tradnl" w:eastAsia="es-ES_tradnl"/>
        </w:rPr>
        <w:t>. Procedimiento administrativo sancionatorio contractual</w:t>
      </w:r>
      <w:r w:rsidR="00255164">
        <w:rPr>
          <w:rFonts w:ascii="Arial" w:eastAsia="Times New Roman" w:hAnsi="Arial" w:cs="Arial"/>
          <w:b/>
          <w:bCs/>
          <w:iCs/>
          <w:color w:val="000000"/>
          <w:szCs w:val="24"/>
          <w:lang w:val="es-ES_tradnl" w:eastAsia="es-ES_tradnl"/>
        </w:rPr>
        <w:t xml:space="preserve"> -</w:t>
      </w:r>
      <w:r w:rsidRPr="007B6CA5">
        <w:rPr>
          <w:rFonts w:ascii="Arial" w:eastAsia="Times New Roman" w:hAnsi="Arial" w:cs="Arial"/>
          <w:b/>
          <w:bCs/>
          <w:iCs/>
          <w:color w:val="000000"/>
          <w:szCs w:val="24"/>
          <w:lang w:val="es-ES_tradnl" w:eastAsia="es-ES_tradnl"/>
        </w:rPr>
        <w:t xml:space="preserve"> artículo 86 de la Ley 1474 de 2011</w:t>
      </w:r>
    </w:p>
    <w:p w14:paraId="49596C71" w14:textId="77777777" w:rsidR="00B81CD9" w:rsidRPr="007B6CA5" w:rsidRDefault="00B81CD9" w:rsidP="00B81CD9">
      <w:pPr>
        <w:spacing w:after="0" w:line="276" w:lineRule="auto"/>
        <w:ind w:firstLine="709"/>
        <w:jc w:val="both"/>
        <w:rPr>
          <w:rFonts w:ascii="Arial" w:eastAsia="Times New Roman" w:hAnsi="Arial" w:cs="Arial"/>
          <w:b/>
          <w:bCs/>
          <w:iCs/>
          <w:color w:val="000000"/>
          <w:szCs w:val="24"/>
          <w:lang w:val="es-ES_tradnl" w:eastAsia="es-ES_tradnl"/>
        </w:rPr>
      </w:pPr>
    </w:p>
    <w:p w14:paraId="06A209B0" w14:textId="77777777" w:rsidR="00B81CD9" w:rsidRPr="007B6CA5" w:rsidRDefault="00B81CD9" w:rsidP="00B81CD9">
      <w:pPr>
        <w:spacing w:after="120" w:line="276" w:lineRule="auto"/>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14:paraId="115A683A" w14:textId="77777777" w:rsidR="00B81CD9" w:rsidRPr="007B6CA5" w:rsidRDefault="00B81CD9" w:rsidP="00B81CD9">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7B6CA5">
        <w:rPr>
          <w:rFonts w:ascii="Arial" w:eastAsia="Times New Roman" w:hAnsi="Arial" w:cs="Arial"/>
          <w:sz w:val="24"/>
          <w:szCs w:val="24"/>
          <w:vertAlign w:val="superscript"/>
          <w:lang w:eastAsia="es-ES_tradnl"/>
        </w:rPr>
        <w:footnoteReference w:id="17"/>
      </w:r>
      <w:r w:rsidRPr="007B6CA5">
        <w:rPr>
          <w:rFonts w:ascii="Arial" w:eastAsia="Times New Roman" w:hAnsi="Arial" w:cs="Arial"/>
          <w:iCs/>
          <w:color w:val="000000"/>
          <w:szCs w:val="24"/>
          <w:lang w:val="es-ES_tradnl" w:eastAsia="es-ES_tradnl"/>
        </w:rPr>
        <w:t xml:space="preserve">. A la misma conclusión se llega si se tiene en consideración la necesidad de respetar el debido proceso en «todas las actuaciones administrativas» como lo ordena el artículo 29 superior. </w:t>
      </w:r>
    </w:p>
    <w:p w14:paraId="545D30E4" w14:textId="13E6843B" w:rsidR="00B81CD9" w:rsidRPr="007B6CA5" w:rsidRDefault="00B81CD9" w:rsidP="00B81CD9">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De conformidad con lo anterior, el artículo 86 de la Ley 1474 de 2011 establece las etapas del procedimiento que se deben seguir, las cuales se sintetizan, de forma esquemática, así:  i) c</w:t>
      </w:r>
      <w:r w:rsidRPr="007B6CA5">
        <w:rPr>
          <w:rFonts w:ascii="Arial" w:eastAsia="Times New Roman" w:hAnsi="Arial" w:cs="Arial"/>
          <w:i/>
          <w:iCs/>
          <w:color w:val="000000"/>
          <w:szCs w:val="24"/>
          <w:lang w:val="es-ES_tradnl" w:eastAsia="es-ES_tradnl"/>
        </w:rPr>
        <w:t>itación a audiencia</w:t>
      </w:r>
      <w:r w:rsidRPr="007B6CA5">
        <w:rPr>
          <w:rFonts w:ascii="Arial" w:eastAsia="Times New Roman" w:hAnsi="Arial" w:cs="Arial"/>
          <w:iCs/>
          <w:color w:val="000000"/>
          <w:szCs w:val="24"/>
          <w:lang w:val="es-ES_tradnl" w:eastAsia="es-ES_tradnl"/>
        </w:rPr>
        <w:t>. Es necesario remitir una citación a audiencia al contratista y al garante –cuando proceda–, cuyo contenido de señalará más adelante</w:t>
      </w:r>
      <w:r w:rsidR="00871881">
        <w:rPr>
          <w:rFonts w:ascii="Arial" w:eastAsia="Times New Roman" w:hAnsi="Arial" w:cs="Arial"/>
          <w:iCs/>
          <w:color w:val="000000"/>
          <w:szCs w:val="24"/>
          <w:lang w:val="es-ES_tradnl" w:eastAsia="es-ES_tradnl"/>
        </w:rPr>
        <w:t>.</w:t>
      </w:r>
      <w:r w:rsidRPr="007B6CA5">
        <w:rPr>
          <w:rFonts w:ascii="Arial" w:eastAsia="Times New Roman" w:hAnsi="Arial" w:cs="Arial"/>
          <w:iCs/>
          <w:color w:val="000000"/>
          <w:szCs w:val="24"/>
          <w:lang w:val="es-ES_tradnl" w:eastAsia="es-ES_tradnl"/>
        </w:rPr>
        <w:t xml:space="preserve">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w:t>
      </w:r>
      <w:r w:rsidRPr="007B6CA5">
        <w:rPr>
          <w:rFonts w:ascii="Arial" w:eastAsia="Times New Roman" w:hAnsi="Arial" w:cs="Arial"/>
          <w:i/>
          <w:iCs/>
          <w:color w:val="000000"/>
          <w:szCs w:val="24"/>
          <w:lang w:val="es-ES_tradnl" w:eastAsia="es-ES_tradnl"/>
        </w:rPr>
        <w:t>Audiencia</w:t>
      </w:r>
      <w:r w:rsidRPr="007B6CA5">
        <w:rPr>
          <w:rFonts w:ascii="Arial" w:eastAsia="Times New Roman" w:hAnsi="Arial" w:cs="Arial"/>
          <w:iCs/>
          <w:color w:val="000000"/>
          <w:szCs w:val="24"/>
          <w:lang w:val="es-ES_tradnl" w:eastAsia="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7B6CA5">
        <w:rPr>
          <w:rFonts w:ascii="Arial" w:eastAsia="Times New Roman" w:hAnsi="Arial" w:cs="Arial"/>
          <w:iCs/>
          <w:color w:val="000000"/>
          <w:szCs w:val="24"/>
          <w:lang w:val="es-ES_tradnl" w:eastAsia="es-ES_tradnl"/>
        </w:rPr>
        <w:t>iii</w:t>
      </w:r>
      <w:proofErr w:type="spellEnd"/>
      <w:r w:rsidRPr="007B6CA5">
        <w:rPr>
          <w:rFonts w:ascii="Arial" w:eastAsia="Times New Roman" w:hAnsi="Arial" w:cs="Arial"/>
          <w:iCs/>
          <w:color w:val="000000"/>
          <w:szCs w:val="24"/>
          <w:lang w:val="es-ES_tradnl" w:eastAsia="es-ES_tradnl"/>
        </w:rPr>
        <w:t xml:space="preserve">) </w:t>
      </w:r>
      <w:r w:rsidRPr="007B6CA5">
        <w:rPr>
          <w:rFonts w:ascii="Arial" w:eastAsia="Times New Roman" w:hAnsi="Arial" w:cs="Arial"/>
          <w:i/>
          <w:iCs/>
          <w:color w:val="000000"/>
          <w:szCs w:val="24"/>
          <w:lang w:val="es-ES_tradnl" w:eastAsia="es-ES_tradnl"/>
        </w:rPr>
        <w:t>Decisión</w:t>
      </w:r>
      <w:r w:rsidRPr="007B6CA5">
        <w:rPr>
          <w:rFonts w:ascii="Arial" w:eastAsia="Times New Roman" w:hAnsi="Arial" w:cs="Arial"/>
          <w:iCs/>
          <w:color w:val="000000"/>
          <w:szCs w:val="24"/>
          <w:lang w:val="es-ES_tradnl" w:eastAsia="es-ES_tradnl"/>
        </w:rPr>
        <w:t xml:space="preserve">. Debe estar contenida en resolución motivada donde se consigne, por un lado, lo ocurrido en el desarrollo de la diligencia y, por el otro, lo relativo a la imposición o no de multas y sanciones o la declaratoria de incumplimiento del contrato estatal. </w:t>
      </w:r>
      <w:r w:rsidRPr="007B6CA5">
        <w:rPr>
          <w:rFonts w:ascii="Arial" w:eastAsia="Times New Roman" w:hAnsi="Arial" w:cs="Arial"/>
          <w:iCs/>
          <w:color w:val="000000"/>
          <w:szCs w:val="24"/>
          <w:lang w:val="es-ES_tradnl" w:eastAsia="es-ES_tradnl"/>
        </w:rPr>
        <w:lastRenderedPageBreak/>
        <w:t>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16298108" w14:textId="77777777" w:rsidR="00B81CD9" w:rsidRPr="007B6CA5" w:rsidRDefault="00B81CD9" w:rsidP="00B81CD9">
      <w:pPr>
        <w:spacing w:after="0" w:line="276" w:lineRule="auto"/>
        <w:ind w:firstLine="709"/>
        <w:jc w:val="both"/>
        <w:rPr>
          <w:rFonts w:ascii="Arial" w:eastAsia="Calibri" w:hAnsi="Arial" w:cs="Arial"/>
          <w:color w:val="000000"/>
          <w:szCs w:val="24"/>
          <w:lang w:val="es-ES_tradnl" w:eastAsia="es-ES_tradnl"/>
        </w:rPr>
      </w:pPr>
      <w:r w:rsidRPr="007B6CA5">
        <w:rPr>
          <w:rFonts w:ascii="Arial" w:eastAsia="Times New Roman" w:hAnsi="Arial" w:cs="Arial"/>
          <w:iCs/>
          <w:color w:val="000000"/>
          <w:szCs w:val="24"/>
          <w:lang w:val="es-ES_tradnl" w:eastAsia="es-ES_tradnl"/>
        </w:rPr>
        <w:t>Como precisión previa, vale la pena aclarar que e</w:t>
      </w:r>
      <w:r w:rsidRPr="007B6CA5">
        <w:rPr>
          <w:rFonts w:ascii="Arial" w:eastAsia="Calibri" w:hAnsi="Arial" w:cs="Arial"/>
          <w:color w:val="000000"/>
          <w:szCs w:val="24"/>
          <w:lang w:val="es-ES_tradnl" w:eastAsia="es-ES_tradnl"/>
        </w:rPr>
        <w:t>l artículo 86 de la Ley 1474 de 2011 regula un procedimiento administrativo sancionatorio dirigido a sujetos específicos: las entidades sometidas al Estatuto General de Contratación de la Administración Pública</w:t>
      </w:r>
      <w:r w:rsidRPr="007B6CA5">
        <w:rPr>
          <w:rFonts w:ascii="Arial" w:eastAsia="Calibri" w:hAnsi="Arial" w:cs="Arial"/>
          <w:sz w:val="24"/>
          <w:szCs w:val="24"/>
          <w:vertAlign w:val="superscript"/>
          <w:lang w:eastAsia="es-ES_tradnl"/>
        </w:rPr>
        <w:footnoteReference w:id="18"/>
      </w:r>
      <w:r w:rsidRPr="007B6CA5">
        <w:rPr>
          <w:rFonts w:ascii="Arial" w:eastAsia="Calibri" w:hAnsi="Arial" w:cs="Arial"/>
          <w:color w:val="000000"/>
          <w:szCs w:val="24"/>
          <w:lang w:val="es-ES_tradnl" w:eastAsia="es-ES_tradnl"/>
        </w:rPr>
        <w:t xml:space="preserve">. De ahí que las entidades de </w:t>
      </w:r>
      <w:r w:rsidRPr="007B6CA5">
        <w:rPr>
          <w:rFonts w:ascii="Arial" w:eastAsia="Calibri" w:hAnsi="Arial" w:cs="Arial"/>
          <w:i/>
          <w:iCs/>
          <w:color w:val="000000"/>
          <w:szCs w:val="24"/>
          <w:lang w:val="es-ES_tradnl" w:eastAsia="es-ES_tradnl"/>
        </w:rPr>
        <w:t>régimen especial</w:t>
      </w:r>
      <w:r w:rsidRPr="007B6CA5">
        <w:rPr>
          <w:rFonts w:ascii="Arial" w:eastAsia="Calibri" w:hAnsi="Arial" w:cs="Arial"/>
          <w:sz w:val="24"/>
          <w:szCs w:val="24"/>
          <w:vertAlign w:val="superscript"/>
          <w:lang w:eastAsia="es-ES_tradnl"/>
        </w:rPr>
        <w:footnoteReference w:id="19"/>
      </w:r>
      <w:r w:rsidRPr="007B6CA5">
        <w:rPr>
          <w:rFonts w:ascii="Arial" w:eastAsia="Calibri" w:hAnsi="Arial" w:cs="Arial"/>
          <w:color w:val="000000"/>
          <w:szCs w:val="24"/>
          <w:lang w:val="es-ES_tradnl" w:eastAsia="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7B6CA5">
        <w:rPr>
          <w:rFonts w:ascii="Arial" w:eastAsia="Calibri" w:hAnsi="Arial" w:cs="Arial"/>
          <w:sz w:val="24"/>
          <w:szCs w:val="24"/>
          <w:vertAlign w:val="superscript"/>
          <w:lang w:eastAsia="es-ES_tradnl"/>
        </w:rPr>
        <w:footnoteReference w:id="20"/>
      </w:r>
      <w:r w:rsidRPr="007B6CA5">
        <w:rPr>
          <w:rFonts w:ascii="Arial" w:eastAsia="Calibri" w:hAnsi="Arial" w:cs="Arial"/>
          <w:color w:val="000000"/>
          <w:szCs w:val="24"/>
          <w:lang w:val="es-ES_tradnl" w:eastAsia="es-ES_tradnl"/>
        </w:rPr>
        <w:t>. La norma indicada desarrolla el procedimiento de la siguiente manera:</w:t>
      </w:r>
    </w:p>
    <w:p w14:paraId="5147E074" w14:textId="77777777" w:rsidR="00B81CD9" w:rsidRPr="007B6CA5" w:rsidRDefault="00B81CD9" w:rsidP="00B81CD9">
      <w:pPr>
        <w:spacing w:after="0" w:line="276" w:lineRule="auto"/>
        <w:ind w:right="142" w:firstLine="709"/>
        <w:jc w:val="both"/>
        <w:rPr>
          <w:rFonts w:ascii="Arial" w:eastAsia="Calibri" w:hAnsi="Arial" w:cs="Arial"/>
          <w:color w:val="000000"/>
          <w:szCs w:val="24"/>
          <w:lang w:val="es-ES_tradnl" w:eastAsia="es-ES_tradnl"/>
        </w:rPr>
      </w:pPr>
    </w:p>
    <w:p w14:paraId="4D7AA618" w14:textId="5E711B04" w:rsidR="00B81CD9" w:rsidRPr="007B6CA5" w:rsidRDefault="002B1EDF" w:rsidP="00B81CD9">
      <w:pPr>
        <w:spacing w:after="0" w:line="240" w:lineRule="auto"/>
        <w:ind w:left="709" w:right="709"/>
        <w:contextualSpacing/>
        <w:jc w:val="both"/>
        <w:rPr>
          <w:rFonts w:ascii="Arial" w:eastAsia="Calibri" w:hAnsi="Arial" w:cs="Arial"/>
          <w:iCs/>
          <w:color w:val="000000"/>
          <w:sz w:val="21"/>
          <w:szCs w:val="21"/>
          <w:lang w:val="es-ES_tradnl"/>
        </w:rPr>
      </w:pPr>
      <w:bookmarkStart w:id="3" w:name="86"/>
      <w:r w:rsidRPr="0085189A">
        <w:rPr>
          <w:rFonts w:ascii="Arial" w:eastAsia="Times New Roman" w:hAnsi="Arial" w:cs="Arial"/>
          <w:iCs/>
          <w:color w:val="000000"/>
          <w:sz w:val="21"/>
          <w:szCs w:val="21"/>
          <w:lang w:val="es-ES_tradnl" w:eastAsia="es-ES_tradnl"/>
        </w:rPr>
        <w:t>«</w:t>
      </w:r>
      <w:r w:rsidR="00B81CD9" w:rsidRPr="007B6CA5">
        <w:rPr>
          <w:rFonts w:ascii="Arial" w:eastAsia="Calibri" w:hAnsi="Arial" w:cs="Arial"/>
          <w:iCs/>
          <w:color w:val="000000"/>
          <w:sz w:val="21"/>
          <w:szCs w:val="21"/>
          <w:lang w:val="es-ES_tradnl"/>
        </w:rPr>
        <w:t>Artículo 86. Imposición de multas, sanciones y declaratorias de incumplimiento.</w:t>
      </w:r>
      <w:bookmarkEnd w:id="3"/>
      <w:r w:rsidR="00B81CD9" w:rsidRPr="007B6CA5">
        <w:rPr>
          <w:rFonts w:ascii="Arial" w:eastAsia="Calibri" w:hAnsi="Arial" w:cs="Arial"/>
          <w:iCs/>
          <w:color w:val="000000"/>
          <w:sz w:val="21"/>
          <w:szCs w:val="21"/>
          <w:lang w:val="es-ES_tradnl"/>
        </w:rPr>
        <w:t xml:space="preserve"> Las entidades sometidas al Estatuto General de Contratación de la Administración Pública podrán declarar el incumplimiento, cuantificando los perjuicios </w:t>
      </w:r>
      <w:proofErr w:type="gramStart"/>
      <w:r w:rsidR="00B81CD9" w:rsidRPr="007B6CA5">
        <w:rPr>
          <w:rFonts w:ascii="Arial" w:eastAsia="Calibri" w:hAnsi="Arial" w:cs="Arial"/>
          <w:iCs/>
          <w:color w:val="000000"/>
          <w:sz w:val="21"/>
          <w:szCs w:val="21"/>
          <w:lang w:val="es-ES_tradnl"/>
        </w:rPr>
        <w:t>del mismo</w:t>
      </w:r>
      <w:proofErr w:type="gramEnd"/>
      <w:r w:rsidR="00B81CD9" w:rsidRPr="007B6CA5">
        <w:rPr>
          <w:rFonts w:ascii="Arial" w:eastAsia="Calibri" w:hAnsi="Arial" w:cs="Arial"/>
          <w:iCs/>
          <w:color w:val="000000"/>
          <w:sz w:val="21"/>
          <w:szCs w:val="21"/>
          <w:lang w:val="es-ES_tradnl"/>
        </w:rPr>
        <w:t>, imponer las multas y sanciones pactadas en el contrato, y hacer efectiva la cláusula penal. Para tal efecto observarán el siguiente procedimiento:</w:t>
      </w:r>
    </w:p>
    <w:p w14:paraId="7542CC65" w14:textId="77777777" w:rsidR="00B81CD9" w:rsidRPr="007B6CA5" w:rsidRDefault="00B81CD9" w:rsidP="00B81CD9">
      <w:pPr>
        <w:spacing w:after="0" w:line="240" w:lineRule="auto"/>
        <w:ind w:left="709" w:right="709"/>
        <w:contextualSpacing/>
        <w:jc w:val="both"/>
        <w:rPr>
          <w:rFonts w:ascii="Arial" w:eastAsia="Calibri" w:hAnsi="Arial" w:cs="Arial"/>
          <w:iCs/>
          <w:color w:val="000000"/>
          <w:sz w:val="21"/>
          <w:szCs w:val="21"/>
          <w:lang w:val="es-ES_tradnl"/>
        </w:rPr>
      </w:pPr>
    </w:p>
    <w:p w14:paraId="1EA82B31" w14:textId="77777777" w:rsidR="00B81CD9" w:rsidRPr="007B6CA5" w:rsidRDefault="00B81CD9" w:rsidP="00B81CD9">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348DAAE1" w14:textId="77777777" w:rsidR="00B81CD9" w:rsidRPr="007B6CA5" w:rsidRDefault="00B81CD9" w:rsidP="00B81CD9">
      <w:pPr>
        <w:spacing w:after="0" w:line="240" w:lineRule="auto"/>
        <w:ind w:left="709" w:right="709"/>
        <w:contextualSpacing/>
        <w:jc w:val="both"/>
        <w:rPr>
          <w:rFonts w:ascii="Arial" w:eastAsia="Calibri" w:hAnsi="Arial" w:cs="Arial"/>
          <w:sz w:val="24"/>
          <w:lang w:val="es-ES_tradnl"/>
        </w:rPr>
      </w:pPr>
    </w:p>
    <w:p w14:paraId="39E1366E" w14:textId="77777777" w:rsidR="00B81CD9" w:rsidRPr="007B6CA5" w:rsidRDefault="00B81CD9" w:rsidP="00B81CD9">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0FF1F8C0" w14:textId="77777777" w:rsidR="00B81CD9" w:rsidRPr="007B6CA5" w:rsidRDefault="00B81CD9" w:rsidP="00B81CD9">
      <w:pPr>
        <w:spacing w:after="0" w:line="240" w:lineRule="auto"/>
        <w:ind w:left="709" w:right="709"/>
        <w:contextualSpacing/>
        <w:jc w:val="both"/>
        <w:rPr>
          <w:rFonts w:ascii="Arial" w:eastAsia="Calibri" w:hAnsi="Arial" w:cs="Arial"/>
          <w:iCs/>
          <w:color w:val="000000"/>
          <w:sz w:val="21"/>
          <w:szCs w:val="21"/>
          <w:lang w:val="es-ES_tradnl"/>
        </w:rPr>
      </w:pPr>
    </w:p>
    <w:p w14:paraId="50E0889C" w14:textId="77777777" w:rsidR="00B81CD9" w:rsidRPr="007B6CA5" w:rsidRDefault="00B81CD9" w:rsidP="00B81CD9">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50E59E9D" w14:textId="77777777" w:rsidR="00B81CD9" w:rsidRPr="007B6CA5" w:rsidRDefault="00B81CD9" w:rsidP="00B81CD9">
      <w:pPr>
        <w:spacing w:after="0" w:line="240" w:lineRule="auto"/>
        <w:ind w:left="709" w:right="709"/>
        <w:contextualSpacing/>
        <w:jc w:val="both"/>
        <w:rPr>
          <w:rFonts w:ascii="Arial" w:eastAsia="Calibri" w:hAnsi="Arial" w:cs="Arial"/>
          <w:iCs/>
          <w:color w:val="000000"/>
          <w:sz w:val="21"/>
          <w:szCs w:val="21"/>
          <w:lang w:val="es-ES_tradnl"/>
        </w:rPr>
      </w:pPr>
    </w:p>
    <w:p w14:paraId="1402D3FD" w14:textId="0F1C9AEE" w:rsidR="00B81CD9" w:rsidRPr="007B6CA5" w:rsidRDefault="00B81CD9" w:rsidP="00B81CD9">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r w:rsidR="002B1EDF" w:rsidRPr="0085189A">
        <w:rPr>
          <w:rFonts w:ascii="Arial" w:eastAsia="Times New Roman" w:hAnsi="Arial" w:cs="Arial"/>
          <w:iCs/>
          <w:color w:val="000000"/>
          <w:sz w:val="21"/>
          <w:szCs w:val="21"/>
          <w:lang w:val="es-ES_tradnl" w:eastAsia="es-ES_tradnl"/>
        </w:rPr>
        <w:t>»</w:t>
      </w:r>
    </w:p>
    <w:p w14:paraId="4B8B5A6A" w14:textId="77777777" w:rsidR="00B81CD9" w:rsidRPr="007B6CA5" w:rsidRDefault="00B81CD9" w:rsidP="00B81CD9">
      <w:pPr>
        <w:spacing w:after="0" w:line="276" w:lineRule="auto"/>
        <w:ind w:right="142"/>
        <w:jc w:val="both"/>
        <w:rPr>
          <w:rFonts w:ascii="Arial" w:eastAsia="Calibri" w:hAnsi="Arial" w:cs="Arial"/>
          <w:color w:val="000000"/>
          <w:szCs w:val="24"/>
          <w:lang w:val="es-ES_tradnl" w:eastAsia="es-ES_tradnl"/>
        </w:rPr>
      </w:pPr>
    </w:p>
    <w:p w14:paraId="3C18759E" w14:textId="5154F5A0" w:rsidR="00B81CD9" w:rsidRPr="007B6CA5" w:rsidRDefault="00B81CD9" w:rsidP="00B81CD9">
      <w:pPr>
        <w:spacing w:after="120" w:line="276" w:lineRule="auto"/>
        <w:ind w:firstLine="709"/>
        <w:jc w:val="both"/>
        <w:rPr>
          <w:rFonts w:ascii="Arial" w:eastAsia="Calibri" w:hAnsi="Arial" w:cs="Arial"/>
          <w:color w:val="000000"/>
          <w:szCs w:val="24"/>
          <w:lang w:val="es-ES_tradnl" w:eastAsia="es-ES_tradnl"/>
        </w:rPr>
      </w:pPr>
      <w:r w:rsidRPr="007B6CA5">
        <w:rPr>
          <w:rFonts w:ascii="Arial" w:eastAsia="Calibri" w:hAnsi="Arial" w:cs="Arial"/>
          <w:color w:val="000000"/>
          <w:szCs w:val="24"/>
          <w:lang w:val="es-ES_tradnl" w:eastAsia="es-ES_tradnl"/>
        </w:rPr>
        <w:t xml:space="preserve">Como se observa, la citación a la audiencia debe cumplir mínimamente los siguientes aspectos: i) señalar los </w:t>
      </w:r>
      <w:r w:rsidRPr="007B6CA5">
        <w:rPr>
          <w:rFonts w:ascii="Arial" w:eastAsia="Calibri" w:hAnsi="Arial" w:cs="Arial"/>
          <w:i/>
          <w:iCs/>
          <w:color w:val="000000"/>
          <w:szCs w:val="24"/>
          <w:lang w:val="es-ES_tradnl" w:eastAsia="es-ES_tradnl"/>
        </w:rPr>
        <w:t>hechos</w:t>
      </w:r>
      <w:r w:rsidRPr="007B6CA5">
        <w:rPr>
          <w:rFonts w:ascii="Arial" w:eastAsia="Calibri" w:hAnsi="Arial" w:cs="Arial"/>
          <w:color w:val="000000"/>
          <w:szCs w:val="24"/>
          <w:lang w:val="es-ES_tradnl" w:eastAsia="es-ES_tradnl"/>
        </w:rPr>
        <w:t xml:space="preserve"> que soportan la actuación, en particular la descripción detallada de cuáles son las actuaciones u omisiones del contratista que materializan el incumplimiento de las obligaciones. Además, se deben </w:t>
      </w:r>
      <w:proofErr w:type="spellStart"/>
      <w:r w:rsidRPr="007B6CA5">
        <w:rPr>
          <w:rFonts w:ascii="Arial" w:eastAsia="Calibri" w:hAnsi="Arial" w:cs="Arial"/>
          <w:color w:val="000000"/>
          <w:szCs w:val="24"/>
          <w:lang w:val="es-ES_tradnl" w:eastAsia="es-ES_tradnl"/>
        </w:rPr>
        <w:t>ii</w:t>
      </w:r>
      <w:proofErr w:type="spellEnd"/>
      <w:r w:rsidRPr="007B6CA5">
        <w:rPr>
          <w:rFonts w:ascii="Arial" w:eastAsia="Calibri" w:hAnsi="Arial" w:cs="Arial"/>
          <w:color w:val="000000"/>
          <w:szCs w:val="24"/>
          <w:lang w:val="es-ES_tradnl" w:eastAsia="es-ES_tradnl"/>
        </w:rPr>
        <w:t>) adjuntar los informes de supervisión o de interventoría que soportan la actuación, donde la entidad fundamenta su decisión de iniciar el procedimiento sancionatorio. Asimismo,</w:t>
      </w:r>
      <w:r w:rsidR="00D92679">
        <w:rPr>
          <w:rFonts w:ascii="Arial" w:eastAsia="Calibri" w:hAnsi="Arial" w:cs="Arial"/>
          <w:color w:val="000000"/>
          <w:szCs w:val="24"/>
          <w:lang w:val="es-ES_tradnl" w:eastAsia="es-ES_tradnl"/>
        </w:rPr>
        <w:t xml:space="preserve"> </w:t>
      </w:r>
      <w:r w:rsidR="00D92679" w:rsidRPr="007B6CA5">
        <w:rPr>
          <w:rFonts w:ascii="Arial" w:eastAsia="Calibri" w:hAnsi="Arial" w:cs="Arial"/>
          <w:color w:val="000000"/>
          <w:szCs w:val="24"/>
          <w:lang w:val="es-ES_tradnl" w:eastAsia="es-ES_tradnl"/>
        </w:rPr>
        <w:t>debe acompañarse</w:t>
      </w:r>
      <w:r w:rsidRPr="007B6CA5">
        <w:rPr>
          <w:rFonts w:ascii="Arial" w:eastAsia="Calibri" w:hAnsi="Arial" w:cs="Arial"/>
          <w:color w:val="000000"/>
          <w:szCs w:val="24"/>
          <w:lang w:val="es-ES_tradnl" w:eastAsia="es-ES_tradnl"/>
        </w:rPr>
        <w:t xml:space="preserve"> </w:t>
      </w:r>
      <w:r w:rsidR="00D92679" w:rsidRPr="007B6CA5">
        <w:rPr>
          <w:rFonts w:ascii="Arial" w:eastAsia="Calibri" w:hAnsi="Arial" w:cs="Arial"/>
          <w:color w:val="000000"/>
          <w:szCs w:val="24"/>
          <w:lang w:val="es-ES_tradnl" w:eastAsia="es-ES_tradnl"/>
        </w:rPr>
        <w:t xml:space="preserve">de las </w:t>
      </w:r>
      <w:proofErr w:type="spellStart"/>
      <w:r w:rsidRPr="007B6CA5">
        <w:rPr>
          <w:rFonts w:ascii="Arial" w:eastAsia="Calibri" w:hAnsi="Arial" w:cs="Arial"/>
          <w:color w:val="000000"/>
          <w:szCs w:val="24"/>
          <w:lang w:val="es-ES_tradnl" w:eastAsia="es-ES_tradnl"/>
        </w:rPr>
        <w:t>iii</w:t>
      </w:r>
      <w:proofErr w:type="spellEnd"/>
      <w:r w:rsidRPr="007B6CA5">
        <w:rPr>
          <w:rFonts w:ascii="Arial" w:eastAsia="Calibri" w:hAnsi="Arial" w:cs="Arial"/>
          <w:color w:val="000000"/>
          <w:szCs w:val="24"/>
          <w:lang w:val="es-ES_tradnl" w:eastAsia="es-ES_tradnl"/>
        </w:rPr>
        <w:t xml:space="preserve">) pruebas adicionales con que cuente la entidad y que sirven para acreditar el incumplimiento. </w:t>
      </w:r>
      <w:proofErr w:type="spellStart"/>
      <w:r w:rsidRPr="007B6CA5">
        <w:rPr>
          <w:rFonts w:ascii="Arial" w:eastAsia="Calibri" w:hAnsi="Arial" w:cs="Arial"/>
          <w:color w:val="000000"/>
          <w:szCs w:val="24"/>
          <w:lang w:val="es-ES_tradnl" w:eastAsia="es-ES_tradnl"/>
        </w:rPr>
        <w:t>iv</w:t>
      </w:r>
      <w:proofErr w:type="spellEnd"/>
      <w:r w:rsidRPr="007B6CA5">
        <w:rPr>
          <w:rFonts w:ascii="Arial" w:eastAsia="Calibri" w:hAnsi="Arial" w:cs="Arial"/>
          <w:color w:val="000000"/>
          <w:szCs w:val="24"/>
          <w:lang w:val="es-ES_tradnl" w:eastAsia="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7B6CA5">
        <w:rPr>
          <w:rFonts w:ascii="Arial" w:eastAsia="Calibri" w:hAnsi="Arial" w:cs="Arial"/>
          <w:color w:val="000000"/>
          <w:szCs w:val="24"/>
          <w:lang w:val="es-ES_tradnl" w:eastAsia="es-ES_tradnl"/>
        </w:rPr>
        <w:t>vii</w:t>
      </w:r>
      <w:proofErr w:type="spellEnd"/>
      <w:r w:rsidRPr="007B6CA5">
        <w:rPr>
          <w:rFonts w:ascii="Arial" w:eastAsia="Calibri" w:hAnsi="Arial" w:cs="Arial"/>
          <w:color w:val="000000"/>
          <w:szCs w:val="24"/>
          <w:lang w:val="es-ES_tradnl" w:eastAsia="es-ES_tradnl"/>
        </w:rPr>
        <w:t xml:space="preserve">) </w:t>
      </w:r>
      <w:r w:rsidR="00763EF9">
        <w:rPr>
          <w:rFonts w:ascii="Arial" w:eastAsia="Calibri" w:hAnsi="Arial" w:cs="Arial"/>
          <w:color w:val="000000"/>
          <w:szCs w:val="24"/>
          <w:lang w:val="es-ES_tradnl" w:eastAsia="es-ES_tradnl"/>
        </w:rPr>
        <w:t>d</w:t>
      </w:r>
      <w:r w:rsidRPr="007B6CA5">
        <w:rPr>
          <w:rFonts w:ascii="Arial" w:eastAsia="Calibri" w:hAnsi="Arial" w:cs="Arial"/>
          <w:color w:val="000000"/>
          <w:szCs w:val="24"/>
          <w:lang w:val="es-ES_tradnl" w:eastAsia="es-ES_tradnl"/>
        </w:rPr>
        <w:t>eben indicar el lugar, fecha y hora para la realización de la audiencia, sin perjuicio de que esta se pueda efectuar por medios electrónicos</w:t>
      </w:r>
      <w:r w:rsidRPr="007B6CA5">
        <w:rPr>
          <w:rFonts w:ascii="Arial" w:eastAsia="Calibri" w:hAnsi="Arial" w:cs="Arial"/>
          <w:sz w:val="24"/>
          <w:szCs w:val="24"/>
          <w:vertAlign w:val="superscript"/>
          <w:lang w:eastAsia="es-ES_tradnl"/>
        </w:rPr>
        <w:footnoteReference w:id="21"/>
      </w:r>
      <w:r w:rsidRPr="007B6CA5">
        <w:rPr>
          <w:rFonts w:ascii="Arial" w:eastAsia="Calibri" w:hAnsi="Arial" w:cs="Arial"/>
          <w:color w:val="000000"/>
          <w:szCs w:val="24"/>
          <w:lang w:val="es-ES_tradnl" w:eastAsia="es-ES_tradnl"/>
        </w:rPr>
        <w:t>.</w:t>
      </w:r>
    </w:p>
    <w:p w14:paraId="1164F176" w14:textId="0C60830C" w:rsidR="00B81CD9" w:rsidRDefault="00B81CD9" w:rsidP="00B81CD9">
      <w:pPr>
        <w:spacing w:after="0" w:line="276" w:lineRule="auto"/>
        <w:ind w:firstLine="709"/>
        <w:jc w:val="both"/>
        <w:rPr>
          <w:rFonts w:ascii="Arial" w:eastAsia="Calibri" w:hAnsi="Arial" w:cs="Arial"/>
          <w:color w:val="000000"/>
          <w:szCs w:val="24"/>
          <w:lang w:val="es-ES_tradnl" w:eastAsia="es-ES_tradnl"/>
        </w:rPr>
      </w:pPr>
      <w:r w:rsidRPr="007B6CA5">
        <w:rPr>
          <w:rFonts w:ascii="Arial" w:eastAsia="Calibri" w:hAnsi="Arial" w:cs="Arial"/>
          <w:color w:val="000000"/>
          <w:szCs w:val="24"/>
          <w:lang w:val="es-ES_tradnl" w:eastAsia="es-ES_tradnl"/>
        </w:rPr>
        <w:t xml:space="preserve">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w:t>
      </w:r>
      <w:r w:rsidRPr="007B6CA5">
        <w:rPr>
          <w:rFonts w:ascii="Arial" w:eastAsia="Calibri" w:hAnsi="Arial" w:cs="Arial"/>
          <w:color w:val="000000"/>
          <w:szCs w:val="24"/>
          <w:lang w:val="es-ES_tradnl" w:eastAsia="es-ES_tradnl"/>
        </w:rPr>
        <w:lastRenderedPageBreak/>
        <w:t xml:space="preserve">razonable y suficiente para que el contratista y </w:t>
      </w:r>
      <w:r w:rsidR="006536E3">
        <w:rPr>
          <w:rFonts w:ascii="Arial" w:eastAsia="Calibri" w:hAnsi="Arial" w:cs="Arial"/>
          <w:color w:val="000000"/>
          <w:szCs w:val="24"/>
          <w:lang w:val="es-ES_tradnl" w:eastAsia="es-ES_tradnl"/>
        </w:rPr>
        <w:t>el garante</w:t>
      </w:r>
      <w:r w:rsidRPr="007B6CA5">
        <w:rPr>
          <w:rFonts w:ascii="Arial" w:eastAsia="Calibri" w:hAnsi="Arial" w:cs="Arial"/>
          <w:color w:val="000000"/>
          <w:szCs w:val="24"/>
          <w:lang w:val="es-ES_tradnl" w:eastAsia="es-ES_tradnl"/>
        </w:rPr>
        <w:t xml:space="preserve">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7B6CA5">
        <w:rPr>
          <w:rFonts w:ascii="Arial" w:eastAsia="Calibri" w:hAnsi="Arial" w:cs="Arial"/>
          <w:sz w:val="24"/>
          <w:szCs w:val="24"/>
          <w:vertAlign w:val="superscript"/>
          <w:lang w:eastAsia="es-ES_tradnl"/>
        </w:rPr>
        <w:footnoteReference w:id="22"/>
      </w:r>
      <w:r w:rsidRPr="007B6CA5">
        <w:rPr>
          <w:rFonts w:ascii="Arial" w:eastAsia="Calibri" w:hAnsi="Arial" w:cs="Arial"/>
          <w:color w:val="000000"/>
          <w:szCs w:val="24"/>
          <w:lang w:val="es-ES_tradnl" w:eastAsia="es-ES_tradnl"/>
        </w:rPr>
        <w:t>.</w:t>
      </w:r>
    </w:p>
    <w:p w14:paraId="0E2D5164" w14:textId="77777777" w:rsidR="00FB4240" w:rsidRDefault="00FB4240" w:rsidP="00FB4240">
      <w:pPr>
        <w:spacing w:after="0" w:line="276" w:lineRule="auto"/>
        <w:jc w:val="both"/>
        <w:rPr>
          <w:rFonts w:ascii="Arial" w:eastAsia="Calibri" w:hAnsi="Arial" w:cs="Arial"/>
          <w:color w:val="000000"/>
          <w:szCs w:val="24"/>
          <w:lang w:val="es-ES_tradnl" w:eastAsia="es-ES_tradnl"/>
        </w:rPr>
      </w:pPr>
    </w:p>
    <w:p w14:paraId="150622FA" w14:textId="74747EC6" w:rsidR="00FB4240" w:rsidRPr="008F1480" w:rsidRDefault="00FB4240" w:rsidP="00FB4240">
      <w:pPr>
        <w:spacing w:after="0" w:line="276" w:lineRule="auto"/>
        <w:jc w:val="both"/>
        <w:rPr>
          <w:rFonts w:ascii="Arial" w:eastAsia="Calibri" w:hAnsi="Arial" w:cs="Arial"/>
          <w:b/>
          <w:bCs/>
          <w:color w:val="000000"/>
          <w:szCs w:val="24"/>
          <w:lang w:val="es-ES_tradnl" w:eastAsia="es-ES_tradnl"/>
        </w:rPr>
      </w:pPr>
      <w:r w:rsidRPr="008F1480">
        <w:rPr>
          <w:rFonts w:ascii="Arial" w:eastAsia="Calibri" w:hAnsi="Arial" w:cs="Arial"/>
          <w:b/>
          <w:bCs/>
          <w:color w:val="000000"/>
          <w:szCs w:val="24"/>
          <w:lang w:val="es-ES_tradnl" w:eastAsia="es-ES_tradnl"/>
        </w:rPr>
        <w:t xml:space="preserve">2.5. </w:t>
      </w:r>
      <w:bookmarkStart w:id="4" w:name="_Hlk127199354"/>
      <w:r w:rsidR="003765B4" w:rsidRPr="008F1480">
        <w:rPr>
          <w:rFonts w:ascii="Arial" w:eastAsia="Calibri" w:hAnsi="Arial" w:cs="Arial"/>
          <w:b/>
          <w:bCs/>
          <w:color w:val="000000"/>
          <w:szCs w:val="24"/>
          <w:lang w:val="es-ES_tradnl" w:eastAsia="es-ES_tradnl"/>
        </w:rPr>
        <w:t>El d</w:t>
      </w:r>
      <w:r w:rsidRPr="008F1480">
        <w:rPr>
          <w:rFonts w:ascii="Arial" w:eastAsia="Calibri" w:hAnsi="Arial" w:cs="Arial"/>
          <w:b/>
          <w:bCs/>
          <w:color w:val="000000"/>
          <w:szCs w:val="24"/>
          <w:lang w:val="es-ES_tradnl" w:eastAsia="es-ES_tradnl"/>
        </w:rPr>
        <w:t>ebido proceso</w:t>
      </w:r>
      <w:r w:rsidR="00E00412">
        <w:rPr>
          <w:rFonts w:ascii="Arial" w:eastAsia="Calibri" w:hAnsi="Arial" w:cs="Arial"/>
          <w:b/>
          <w:bCs/>
          <w:color w:val="000000"/>
          <w:szCs w:val="24"/>
          <w:lang w:val="es-ES_tradnl" w:eastAsia="es-ES_tradnl"/>
        </w:rPr>
        <w:t xml:space="preserve"> como principio rector de la potestad sancionatoria de </w:t>
      </w:r>
      <w:r w:rsidR="008057DC">
        <w:rPr>
          <w:rFonts w:ascii="Arial" w:eastAsia="Calibri" w:hAnsi="Arial" w:cs="Arial"/>
          <w:b/>
          <w:bCs/>
          <w:color w:val="000000"/>
          <w:szCs w:val="24"/>
          <w:lang w:val="es-ES_tradnl" w:eastAsia="es-ES_tradnl"/>
        </w:rPr>
        <w:t>l</w:t>
      </w:r>
      <w:r w:rsidR="00E00412">
        <w:rPr>
          <w:rFonts w:ascii="Arial" w:eastAsia="Calibri" w:hAnsi="Arial" w:cs="Arial"/>
          <w:b/>
          <w:bCs/>
          <w:color w:val="000000"/>
          <w:szCs w:val="24"/>
          <w:lang w:val="es-ES_tradnl" w:eastAsia="es-ES_tradnl"/>
        </w:rPr>
        <w:t xml:space="preserve">a administración en </w:t>
      </w:r>
      <w:r w:rsidR="008057DC">
        <w:rPr>
          <w:rFonts w:ascii="Arial" w:eastAsia="Calibri" w:hAnsi="Arial" w:cs="Arial"/>
          <w:b/>
          <w:bCs/>
          <w:color w:val="000000"/>
          <w:szCs w:val="24"/>
          <w:lang w:val="es-ES_tradnl" w:eastAsia="es-ES_tradnl"/>
        </w:rPr>
        <w:t>contratación estatal</w:t>
      </w:r>
      <w:r w:rsidR="00E00412">
        <w:rPr>
          <w:rFonts w:ascii="Arial" w:eastAsia="Calibri" w:hAnsi="Arial" w:cs="Arial"/>
          <w:b/>
          <w:bCs/>
          <w:color w:val="000000"/>
          <w:szCs w:val="24"/>
          <w:lang w:val="es-ES_tradnl" w:eastAsia="es-ES_tradnl"/>
        </w:rPr>
        <w:t xml:space="preserve"> </w:t>
      </w:r>
      <w:r w:rsidRPr="008F1480">
        <w:rPr>
          <w:rFonts w:ascii="Arial" w:eastAsia="Calibri" w:hAnsi="Arial" w:cs="Arial"/>
          <w:b/>
          <w:bCs/>
          <w:color w:val="000000"/>
          <w:szCs w:val="24"/>
          <w:lang w:val="es-ES_tradnl" w:eastAsia="es-ES_tradnl"/>
        </w:rPr>
        <w:t xml:space="preserve"> </w:t>
      </w:r>
    </w:p>
    <w:bookmarkEnd w:id="4"/>
    <w:p w14:paraId="16A20BD6" w14:textId="77777777" w:rsidR="008F1480" w:rsidRPr="007B6CA5" w:rsidRDefault="008F1480" w:rsidP="00FB4240">
      <w:pPr>
        <w:spacing w:after="0" w:line="276" w:lineRule="auto"/>
        <w:jc w:val="both"/>
        <w:rPr>
          <w:rFonts w:ascii="Arial" w:eastAsia="Calibri" w:hAnsi="Arial" w:cs="Arial"/>
          <w:color w:val="000000"/>
          <w:szCs w:val="24"/>
          <w:lang w:val="es-ES_tradnl" w:eastAsia="es-ES_tradnl"/>
        </w:rPr>
      </w:pPr>
    </w:p>
    <w:p w14:paraId="253F47DA" w14:textId="1D8F2358" w:rsidR="00EC4566" w:rsidRDefault="00EC4566" w:rsidP="00B8757D">
      <w:pPr>
        <w:spacing w:after="0" w:line="276" w:lineRule="auto"/>
        <w:jc w:val="both"/>
        <w:rPr>
          <w:rFonts w:ascii="Arial" w:eastAsia="Times New Roman" w:hAnsi="Arial" w:cs="Arial"/>
          <w:color w:val="000000"/>
          <w:lang w:eastAsia="es-ES_tradnl"/>
        </w:rPr>
      </w:pPr>
      <w:r w:rsidRPr="00EC4566">
        <w:rPr>
          <w:rFonts w:ascii="Arial" w:eastAsia="Times New Roman" w:hAnsi="Arial" w:cs="Arial"/>
          <w:color w:val="000000"/>
          <w:lang w:eastAsia="es-ES_tradnl"/>
        </w:rPr>
        <w:t xml:space="preserve">El artículo 17 de la Ley 1150 de 2007 </w:t>
      </w:r>
      <w:r w:rsidR="00850B3B">
        <w:rPr>
          <w:rFonts w:ascii="Arial" w:eastAsia="Times New Roman" w:hAnsi="Arial" w:cs="Arial"/>
          <w:color w:val="000000"/>
          <w:lang w:eastAsia="es-ES_tradnl"/>
        </w:rPr>
        <w:t>dispuso el</w:t>
      </w:r>
      <w:r w:rsidRPr="00EC4566">
        <w:rPr>
          <w:rFonts w:ascii="Arial" w:eastAsia="Times New Roman" w:hAnsi="Arial" w:cs="Arial"/>
          <w:color w:val="000000"/>
          <w:lang w:eastAsia="es-ES_tradnl"/>
        </w:rPr>
        <w:t xml:space="preserve"> debido proceso como principio rector de </w:t>
      </w:r>
      <w:r w:rsidR="00850B3B">
        <w:rPr>
          <w:rFonts w:ascii="Arial" w:eastAsia="Times New Roman" w:hAnsi="Arial" w:cs="Arial"/>
          <w:color w:val="000000"/>
          <w:lang w:eastAsia="es-ES_tradnl"/>
        </w:rPr>
        <w:t>la potestad sancionatoria de la administración en contratación estatal</w:t>
      </w:r>
      <w:r w:rsidRPr="00EC4566">
        <w:rPr>
          <w:rFonts w:ascii="Arial" w:eastAsia="Times New Roman" w:hAnsi="Arial" w:cs="Arial"/>
          <w:color w:val="000000"/>
          <w:lang w:eastAsia="es-ES_tradnl"/>
        </w:rPr>
        <w:t>, y el artículo 86 de la Ley 1474 de 2011</w:t>
      </w:r>
      <w:r w:rsidR="004D0CE8">
        <w:rPr>
          <w:rFonts w:ascii="Arial" w:eastAsia="Times New Roman" w:hAnsi="Arial" w:cs="Arial"/>
          <w:color w:val="000000"/>
          <w:lang w:eastAsia="es-ES_tradnl"/>
        </w:rPr>
        <w:t xml:space="preserve">, como ya lo </w:t>
      </w:r>
      <w:r w:rsidR="00354BC9">
        <w:rPr>
          <w:rFonts w:ascii="Arial" w:eastAsia="Times New Roman" w:hAnsi="Arial" w:cs="Arial"/>
          <w:color w:val="000000"/>
          <w:lang w:eastAsia="es-ES_tradnl"/>
        </w:rPr>
        <w:t xml:space="preserve">vimos, </w:t>
      </w:r>
      <w:r w:rsidR="00354BC9" w:rsidRPr="00EC4566">
        <w:rPr>
          <w:rFonts w:ascii="Arial" w:eastAsia="Times New Roman" w:hAnsi="Arial" w:cs="Arial"/>
          <w:color w:val="000000"/>
          <w:lang w:eastAsia="es-ES_tradnl"/>
        </w:rPr>
        <w:t>reglamentó</w:t>
      </w:r>
      <w:r w:rsidRPr="00EC4566">
        <w:rPr>
          <w:rFonts w:ascii="Arial" w:eastAsia="Times New Roman" w:hAnsi="Arial" w:cs="Arial"/>
          <w:color w:val="000000"/>
          <w:lang w:eastAsia="es-ES_tradnl"/>
        </w:rPr>
        <w:t xml:space="preserve"> el procedimiento que deben cumplir las </w:t>
      </w:r>
      <w:r w:rsidR="004D0CE8">
        <w:rPr>
          <w:rFonts w:ascii="Arial" w:eastAsia="Times New Roman" w:hAnsi="Arial" w:cs="Arial"/>
          <w:color w:val="000000"/>
          <w:lang w:eastAsia="es-ES_tradnl"/>
        </w:rPr>
        <w:t>entidades estatales</w:t>
      </w:r>
      <w:r w:rsidRPr="00EC4566">
        <w:rPr>
          <w:rFonts w:ascii="Arial" w:eastAsia="Times New Roman" w:hAnsi="Arial" w:cs="Arial"/>
          <w:color w:val="000000"/>
          <w:lang w:eastAsia="es-ES_tradnl"/>
        </w:rPr>
        <w:t xml:space="preserve"> para imponer unilateralmente multas, sanciones, declaratorias de incumplimiento, tasación de perjuicios y hacer efectiva la cláusula penal en el marco de un contrato.</w:t>
      </w:r>
      <w:r w:rsidR="00354BC9">
        <w:rPr>
          <w:rFonts w:ascii="Arial" w:eastAsia="Times New Roman" w:hAnsi="Arial" w:cs="Arial"/>
          <w:color w:val="000000"/>
          <w:lang w:eastAsia="es-ES_tradnl"/>
        </w:rPr>
        <w:t xml:space="preserve"> De la lectura de dicho</w:t>
      </w:r>
      <w:r w:rsidR="006F54D2">
        <w:rPr>
          <w:rFonts w:ascii="Arial" w:eastAsia="Times New Roman" w:hAnsi="Arial" w:cs="Arial"/>
          <w:color w:val="000000"/>
          <w:lang w:eastAsia="es-ES_tradnl"/>
        </w:rPr>
        <w:t>s</w:t>
      </w:r>
      <w:r w:rsidR="00354BC9">
        <w:rPr>
          <w:rFonts w:ascii="Arial" w:eastAsia="Times New Roman" w:hAnsi="Arial" w:cs="Arial"/>
          <w:color w:val="000000"/>
          <w:lang w:eastAsia="es-ES_tradnl"/>
        </w:rPr>
        <w:t xml:space="preserve"> artículo</w:t>
      </w:r>
      <w:r w:rsidR="006F54D2">
        <w:rPr>
          <w:rFonts w:ascii="Arial" w:eastAsia="Times New Roman" w:hAnsi="Arial" w:cs="Arial"/>
          <w:color w:val="000000"/>
          <w:lang w:eastAsia="es-ES_tradnl"/>
        </w:rPr>
        <w:t>s</w:t>
      </w:r>
      <w:r w:rsidR="00354BC9">
        <w:rPr>
          <w:rFonts w:ascii="Arial" w:eastAsia="Times New Roman" w:hAnsi="Arial" w:cs="Arial"/>
          <w:color w:val="000000"/>
          <w:lang w:eastAsia="es-ES_tradnl"/>
        </w:rPr>
        <w:t xml:space="preserve"> se </w:t>
      </w:r>
      <w:r w:rsidR="00E132B3">
        <w:rPr>
          <w:rFonts w:ascii="Arial" w:eastAsia="Times New Roman" w:hAnsi="Arial" w:cs="Arial"/>
          <w:color w:val="000000"/>
          <w:lang w:eastAsia="es-ES_tradnl"/>
        </w:rPr>
        <w:t>observa</w:t>
      </w:r>
      <w:r w:rsidR="00354BC9">
        <w:rPr>
          <w:rFonts w:ascii="Arial" w:eastAsia="Times New Roman" w:hAnsi="Arial" w:cs="Arial"/>
          <w:color w:val="000000"/>
          <w:lang w:eastAsia="es-ES_tradnl"/>
        </w:rPr>
        <w:t xml:space="preserve"> </w:t>
      </w:r>
      <w:r w:rsidR="00B8757D">
        <w:rPr>
          <w:rFonts w:ascii="Arial" w:eastAsia="Times New Roman" w:hAnsi="Arial" w:cs="Arial"/>
          <w:color w:val="000000"/>
          <w:lang w:eastAsia="es-ES_tradnl"/>
        </w:rPr>
        <w:t>el querer</w:t>
      </w:r>
      <w:r w:rsidR="00E132B3">
        <w:rPr>
          <w:rFonts w:ascii="Arial" w:eastAsia="Times New Roman" w:hAnsi="Arial" w:cs="Arial"/>
          <w:color w:val="000000"/>
          <w:lang w:eastAsia="es-ES_tradnl"/>
        </w:rPr>
        <w:t>,</w:t>
      </w:r>
      <w:r w:rsidR="00354BC9">
        <w:rPr>
          <w:rFonts w:ascii="Arial" w:eastAsia="Times New Roman" w:hAnsi="Arial" w:cs="Arial"/>
          <w:color w:val="000000"/>
          <w:lang w:eastAsia="es-ES_tradnl"/>
        </w:rPr>
        <w:t xml:space="preserve"> por parte del legislador</w:t>
      </w:r>
      <w:r w:rsidR="00E132B3">
        <w:rPr>
          <w:rFonts w:ascii="Arial" w:eastAsia="Times New Roman" w:hAnsi="Arial" w:cs="Arial"/>
          <w:color w:val="000000"/>
          <w:lang w:eastAsia="es-ES_tradnl"/>
        </w:rPr>
        <w:t>,</w:t>
      </w:r>
      <w:r w:rsidR="00354BC9">
        <w:rPr>
          <w:rFonts w:ascii="Arial" w:eastAsia="Times New Roman" w:hAnsi="Arial" w:cs="Arial"/>
          <w:color w:val="000000"/>
          <w:lang w:eastAsia="es-ES_tradnl"/>
        </w:rPr>
        <w:t xml:space="preserve"> </w:t>
      </w:r>
      <w:r w:rsidR="00B8757D">
        <w:rPr>
          <w:rFonts w:ascii="Arial" w:eastAsia="Times New Roman" w:hAnsi="Arial" w:cs="Arial"/>
          <w:color w:val="000000"/>
          <w:lang w:eastAsia="es-ES_tradnl"/>
        </w:rPr>
        <w:t xml:space="preserve">de que el contratista cuente con un </w:t>
      </w:r>
      <w:r w:rsidRPr="00EC4566">
        <w:rPr>
          <w:rFonts w:ascii="Arial" w:eastAsia="Times New Roman" w:hAnsi="Arial" w:cs="Arial"/>
          <w:color w:val="000000"/>
          <w:lang w:eastAsia="es-ES_tradnl"/>
        </w:rPr>
        <w:t>procedimiento sancionatorio contractual</w:t>
      </w:r>
      <w:r w:rsidR="00B8757D">
        <w:rPr>
          <w:rFonts w:ascii="Arial" w:eastAsia="Times New Roman" w:hAnsi="Arial" w:cs="Arial"/>
          <w:color w:val="000000"/>
          <w:lang w:eastAsia="es-ES_tradnl"/>
        </w:rPr>
        <w:t xml:space="preserve"> que</w:t>
      </w:r>
      <w:r w:rsidRPr="00EC4566">
        <w:rPr>
          <w:rFonts w:ascii="Arial" w:eastAsia="Times New Roman" w:hAnsi="Arial" w:cs="Arial"/>
          <w:color w:val="000000"/>
          <w:lang w:eastAsia="es-ES_tradnl"/>
        </w:rPr>
        <w:t xml:space="preserve"> tenga plena garantía del derecho de defensa, contradicción, y al debido proceso que consagra el artículo 29 de la Constitución Política de 1991.</w:t>
      </w:r>
    </w:p>
    <w:p w14:paraId="1CCBF9C9" w14:textId="77777777" w:rsidR="00564B1F" w:rsidRPr="00EC4566" w:rsidRDefault="00564B1F" w:rsidP="00B8757D">
      <w:pPr>
        <w:spacing w:after="0" w:line="276" w:lineRule="auto"/>
        <w:jc w:val="both"/>
        <w:rPr>
          <w:rFonts w:ascii="Arial" w:eastAsia="Times New Roman" w:hAnsi="Arial" w:cs="Arial"/>
          <w:color w:val="000000"/>
          <w:lang w:eastAsia="es-ES_tradnl"/>
        </w:rPr>
      </w:pPr>
    </w:p>
    <w:p w14:paraId="29D0C07E" w14:textId="75501269" w:rsidR="00564B1F" w:rsidRDefault="00356F4F" w:rsidP="009E02FF">
      <w:pPr>
        <w:spacing w:after="120" w:line="276" w:lineRule="auto"/>
        <w:ind w:firstLine="709"/>
        <w:jc w:val="both"/>
        <w:rPr>
          <w:rFonts w:ascii="Arial" w:eastAsia="Times New Roman" w:hAnsi="Arial" w:cs="Arial"/>
          <w:color w:val="000000"/>
          <w:lang w:eastAsia="es-ES_tradnl"/>
        </w:rPr>
      </w:pPr>
      <w:r>
        <w:rPr>
          <w:rFonts w:ascii="Arial" w:eastAsia="Times New Roman" w:hAnsi="Arial" w:cs="Arial"/>
          <w:color w:val="000000"/>
          <w:lang w:eastAsia="es-ES_tradnl"/>
        </w:rPr>
        <w:t xml:space="preserve">La Corte </w:t>
      </w:r>
      <w:r w:rsidR="004033BD">
        <w:rPr>
          <w:rFonts w:ascii="Arial" w:eastAsia="Times New Roman" w:hAnsi="Arial" w:cs="Arial"/>
          <w:color w:val="000000"/>
          <w:lang w:eastAsia="es-ES_tradnl"/>
        </w:rPr>
        <w:t xml:space="preserve">Constitucional </w:t>
      </w:r>
      <w:r w:rsidR="006864F5">
        <w:rPr>
          <w:rFonts w:ascii="Arial" w:eastAsia="Times New Roman" w:hAnsi="Arial" w:cs="Arial"/>
          <w:color w:val="000000"/>
          <w:lang w:eastAsia="es-ES_tradnl"/>
        </w:rPr>
        <w:t>en sentencia SU 339 del 4 de mayo de 2011</w:t>
      </w:r>
      <w:r w:rsidR="008605C0">
        <w:rPr>
          <w:rStyle w:val="Refdenotaalpie"/>
          <w:rFonts w:ascii="Arial" w:eastAsia="Times New Roman" w:hAnsi="Arial" w:cs="Arial"/>
          <w:color w:val="000000"/>
          <w:lang w:eastAsia="es-ES_tradnl"/>
        </w:rPr>
        <w:footnoteReference w:id="23"/>
      </w:r>
      <w:r w:rsidR="006864F5">
        <w:rPr>
          <w:rFonts w:ascii="Arial" w:eastAsia="Times New Roman" w:hAnsi="Arial" w:cs="Arial"/>
          <w:color w:val="000000"/>
          <w:lang w:eastAsia="es-ES_tradnl"/>
        </w:rPr>
        <w:t xml:space="preserve">, </w:t>
      </w:r>
      <w:r w:rsidR="0062451B">
        <w:rPr>
          <w:rFonts w:ascii="Arial" w:eastAsia="Times New Roman" w:hAnsi="Arial" w:cs="Arial"/>
          <w:color w:val="000000"/>
          <w:lang w:eastAsia="es-ES_tradnl"/>
        </w:rPr>
        <w:t>indicó que el derecho al debido proceso, en cierto</w:t>
      </w:r>
      <w:r w:rsidR="00120778">
        <w:rPr>
          <w:rFonts w:ascii="Arial" w:eastAsia="Times New Roman" w:hAnsi="Arial" w:cs="Arial"/>
          <w:color w:val="000000"/>
          <w:lang w:eastAsia="es-ES_tradnl"/>
        </w:rPr>
        <w:t>s</w:t>
      </w:r>
      <w:r w:rsidR="0062451B">
        <w:rPr>
          <w:rFonts w:ascii="Arial" w:eastAsia="Times New Roman" w:hAnsi="Arial" w:cs="Arial"/>
          <w:color w:val="000000"/>
          <w:lang w:eastAsia="es-ES_tradnl"/>
        </w:rPr>
        <w:t xml:space="preserve"> casos tiene </w:t>
      </w:r>
      <w:r w:rsidR="00120778">
        <w:rPr>
          <w:rFonts w:ascii="Arial" w:eastAsia="Times New Roman" w:hAnsi="Arial" w:cs="Arial"/>
          <w:color w:val="000000"/>
          <w:lang w:eastAsia="es-ES_tradnl"/>
        </w:rPr>
        <w:t xml:space="preserve">un </w:t>
      </w:r>
      <w:r w:rsidR="00501B2F" w:rsidRPr="0085189A">
        <w:rPr>
          <w:rFonts w:ascii="Arial" w:eastAsia="Times New Roman" w:hAnsi="Arial" w:cs="Arial"/>
          <w:iCs/>
          <w:color w:val="000000"/>
          <w:sz w:val="21"/>
          <w:szCs w:val="21"/>
          <w:lang w:val="es-ES_tradnl" w:eastAsia="es-ES_tradnl"/>
        </w:rPr>
        <w:t>«</w:t>
      </w:r>
      <w:r w:rsidR="00CD4085">
        <w:rPr>
          <w:rFonts w:ascii="Arial" w:eastAsia="Times New Roman" w:hAnsi="Arial" w:cs="Arial"/>
          <w:iCs/>
          <w:color w:val="000000"/>
          <w:sz w:val="21"/>
          <w:szCs w:val="21"/>
          <w:lang w:val="es-ES_tradnl" w:eastAsia="es-ES_tradnl"/>
        </w:rPr>
        <w:t>carácter instrumental</w:t>
      </w:r>
      <w:r w:rsidR="00CD4085" w:rsidRPr="0085189A">
        <w:rPr>
          <w:rFonts w:ascii="Arial" w:eastAsia="Times New Roman" w:hAnsi="Arial" w:cs="Arial"/>
          <w:iCs/>
          <w:color w:val="000000"/>
          <w:sz w:val="21"/>
          <w:szCs w:val="21"/>
          <w:lang w:val="es-ES_tradnl" w:eastAsia="es-ES_tradnl"/>
        </w:rPr>
        <w:t>»</w:t>
      </w:r>
      <w:r w:rsidR="00CD4085">
        <w:rPr>
          <w:rFonts w:ascii="Arial" w:eastAsia="Times New Roman" w:hAnsi="Arial" w:cs="Arial"/>
          <w:iCs/>
          <w:color w:val="000000"/>
          <w:sz w:val="21"/>
          <w:szCs w:val="21"/>
          <w:lang w:val="es-ES_tradnl" w:eastAsia="es-ES_tradnl"/>
        </w:rPr>
        <w:t xml:space="preserve"> </w:t>
      </w:r>
      <w:r w:rsidR="0054793C">
        <w:rPr>
          <w:rFonts w:ascii="Arial" w:eastAsia="Times New Roman" w:hAnsi="Arial" w:cs="Arial"/>
          <w:iCs/>
          <w:color w:val="000000"/>
          <w:sz w:val="21"/>
          <w:szCs w:val="21"/>
          <w:lang w:val="es-ES_tradnl" w:eastAsia="es-ES_tradnl"/>
        </w:rPr>
        <w:t xml:space="preserve">pues </w:t>
      </w:r>
      <w:r w:rsidR="00AB7366">
        <w:rPr>
          <w:rFonts w:ascii="Arial" w:eastAsia="Times New Roman" w:hAnsi="Arial" w:cs="Arial"/>
          <w:iCs/>
          <w:color w:val="000000"/>
          <w:sz w:val="21"/>
          <w:szCs w:val="21"/>
          <w:lang w:val="es-ES_tradnl" w:eastAsia="es-ES_tradnl"/>
        </w:rPr>
        <w:t>el</w:t>
      </w:r>
      <w:r w:rsidR="0054793C">
        <w:rPr>
          <w:rFonts w:ascii="Arial" w:eastAsia="Times New Roman" w:hAnsi="Arial" w:cs="Arial"/>
          <w:iCs/>
          <w:color w:val="000000"/>
          <w:sz w:val="21"/>
          <w:szCs w:val="21"/>
          <w:lang w:val="es-ES_tradnl" w:eastAsia="es-ES_tradnl"/>
        </w:rPr>
        <w:t xml:space="preserve"> estricto cumplimiento </w:t>
      </w:r>
      <w:r w:rsidR="00AB7366">
        <w:rPr>
          <w:rFonts w:ascii="Arial" w:eastAsia="Times New Roman" w:hAnsi="Arial" w:cs="Arial"/>
          <w:iCs/>
          <w:color w:val="000000"/>
          <w:sz w:val="21"/>
          <w:szCs w:val="21"/>
          <w:lang w:val="es-ES_tradnl" w:eastAsia="es-ES_tradnl"/>
        </w:rPr>
        <w:t>de</w:t>
      </w:r>
      <w:r w:rsidR="00C331ED">
        <w:rPr>
          <w:rFonts w:ascii="Arial" w:eastAsia="Times New Roman" w:hAnsi="Arial" w:cs="Arial"/>
          <w:iCs/>
          <w:color w:val="000000"/>
          <w:sz w:val="21"/>
          <w:szCs w:val="21"/>
          <w:lang w:val="es-ES_tradnl" w:eastAsia="es-ES_tradnl"/>
        </w:rPr>
        <w:t xml:space="preserve"> </w:t>
      </w:r>
      <w:r w:rsidR="00ED2104" w:rsidRPr="0085189A">
        <w:rPr>
          <w:rFonts w:ascii="Arial" w:eastAsia="Times New Roman" w:hAnsi="Arial" w:cs="Arial"/>
          <w:iCs/>
          <w:color w:val="000000"/>
          <w:sz w:val="21"/>
          <w:szCs w:val="21"/>
          <w:lang w:val="es-ES_tradnl" w:eastAsia="es-ES_tradnl"/>
        </w:rPr>
        <w:t>«</w:t>
      </w:r>
      <w:r w:rsidR="00C331ED">
        <w:rPr>
          <w:rFonts w:ascii="Arial" w:eastAsia="Times New Roman" w:hAnsi="Arial" w:cs="Arial"/>
          <w:iCs/>
          <w:color w:val="000000"/>
          <w:sz w:val="21"/>
          <w:szCs w:val="21"/>
          <w:lang w:val="es-ES_tradnl" w:eastAsia="es-ES_tradnl"/>
        </w:rPr>
        <w:t xml:space="preserve">las garantías constitutivas del debido proceso administrativo y de las regulaciones legales que </w:t>
      </w:r>
      <w:r w:rsidR="00ED2104">
        <w:rPr>
          <w:rFonts w:ascii="Arial" w:eastAsia="Times New Roman" w:hAnsi="Arial" w:cs="Arial"/>
          <w:iCs/>
          <w:color w:val="000000"/>
          <w:sz w:val="21"/>
          <w:szCs w:val="21"/>
          <w:lang w:val="es-ES_tradnl" w:eastAsia="es-ES_tradnl"/>
        </w:rPr>
        <w:t>determinan</w:t>
      </w:r>
      <w:r w:rsidR="00C331ED">
        <w:rPr>
          <w:rFonts w:ascii="Arial" w:eastAsia="Times New Roman" w:hAnsi="Arial" w:cs="Arial"/>
          <w:iCs/>
          <w:color w:val="000000"/>
          <w:sz w:val="21"/>
          <w:szCs w:val="21"/>
          <w:lang w:val="es-ES_tradnl" w:eastAsia="es-ES_tradnl"/>
        </w:rPr>
        <w:t xml:space="preserve"> la </w:t>
      </w:r>
      <w:r w:rsidR="00ED2104">
        <w:rPr>
          <w:rFonts w:ascii="Arial" w:eastAsia="Times New Roman" w:hAnsi="Arial" w:cs="Arial"/>
          <w:iCs/>
          <w:color w:val="000000"/>
          <w:sz w:val="21"/>
          <w:szCs w:val="21"/>
          <w:lang w:val="es-ES_tradnl" w:eastAsia="es-ES_tradnl"/>
        </w:rPr>
        <w:t xml:space="preserve">actuación del poder público, </w:t>
      </w:r>
      <w:r w:rsidR="00ED2104" w:rsidRPr="00C62FE3">
        <w:rPr>
          <w:rFonts w:ascii="Arial" w:eastAsia="Times New Roman" w:hAnsi="Arial" w:cs="Arial"/>
          <w:i/>
          <w:color w:val="000000"/>
          <w:sz w:val="21"/>
          <w:szCs w:val="21"/>
          <w:lang w:val="es-ES_tradnl" w:eastAsia="es-ES_tradnl"/>
        </w:rPr>
        <w:t>se deriva la salvaguarda de otros derechos fundamentales</w:t>
      </w:r>
      <w:r w:rsidR="00ED2104" w:rsidRPr="0085189A">
        <w:rPr>
          <w:rFonts w:ascii="Arial" w:eastAsia="Times New Roman" w:hAnsi="Arial" w:cs="Arial"/>
          <w:iCs/>
          <w:color w:val="000000"/>
          <w:sz w:val="21"/>
          <w:szCs w:val="21"/>
          <w:lang w:val="es-ES_tradnl" w:eastAsia="es-ES_tradnl"/>
        </w:rPr>
        <w:t>»</w:t>
      </w:r>
      <w:r w:rsidR="00AB7366">
        <w:rPr>
          <w:rFonts w:ascii="Arial" w:eastAsia="Times New Roman" w:hAnsi="Arial" w:cs="Arial"/>
          <w:iCs/>
          <w:color w:val="000000"/>
          <w:sz w:val="21"/>
          <w:szCs w:val="21"/>
          <w:lang w:val="es-ES_tradnl" w:eastAsia="es-ES_tradnl"/>
        </w:rPr>
        <w:t>.</w:t>
      </w:r>
      <w:r w:rsidR="00ED2104">
        <w:rPr>
          <w:rFonts w:ascii="Arial" w:eastAsia="Times New Roman" w:hAnsi="Arial" w:cs="Arial"/>
          <w:iCs/>
          <w:color w:val="000000"/>
          <w:sz w:val="21"/>
          <w:szCs w:val="21"/>
          <w:lang w:val="es-ES_tradnl" w:eastAsia="es-ES_tradnl"/>
        </w:rPr>
        <w:t xml:space="preserve"> </w:t>
      </w:r>
      <w:r w:rsidR="00EC4566" w:rsidRPr="00EC4566">
        <w:rPr>
          <w:rFonts w:ascii="Arial" w:eastAsia="Times New Roman" w:hAnsi="Arial" w:cs="Arial"/>
          <w:color w:val="000000"/>
          <w:lang w:eastAsia="es-ES_tradnl"/>
        </w:rPr>
        <w:t>En virtud</w:t>
      </w:r>
      <w:r w:rsidR="00E84113">
        <w:rPr>
          <w:rFonts w:ascii="Arial" w:eastAsia="Times New Roman" w:hAnsi="Arial" w:cs="Arial"/>
          <w:color w:val="000000"/>
          <w:lang w:eastAsia="es-ES_tradnl"/>
        </w:rPr>
        <w:t xml:space="preserve"> a ello</w:t>
      </w:r>
      <w:r w:rsidR="00EC4566" w:rsidRPr="00EC4566">
        <w:rPr>
          <w:rFonts w:ascii="Arial" w:eastAsia="Times New Roman" w:hAnsi="Arial" w:cs="Arial"/>
          <w:color w:val="000000"/>
          <w:lang w:eastAsia="es-ES_tradnl"/>
        </w:rPr>
        <w:t xml:space="preserve">, el contratista contra quien se adelanta esta clase de procedimiento </w:t>
      </w:r>
      <w:r w:rsidR="00C62FE3">
        <w:rPr>
          <w:rFonts w:ascii="Arial" w:eastAsia="Times New Roman" w:hAnsi="Arial" w:cs="Arial"/>
          <w:color w:val="000000"/>
          <w:lang w:eastAsia="es-ES_tradnl"/>
        </w:rPr>
        <w:t xml:space="preserve">administrativo sancionatorio </w:t>
      </w:r>
      <w:r w:rsidR="00EC4566" w:rsidRPr="00EC4566">
        <w:rPr>
          <w:rFonts w:ascii="Arial" w:eastAsia="Times New Roman" w:hAnsi="Arial" w:cs="Arial"/>
          <w:color w:val="000000"/>
          <w:lang w:eastAsia="es-ES_tradnl"/>
        </w:rPr>
        <w:t>cuenta</w:t>
      </w:r>
      <w:r w:rsidR="00CA41E9">
        <w:rPr>
          <w:rFonts w:ascii="Arial" w:eastAsia="Times New Roman" w:hAnsi="Arial" w:cs="Arial"/>
          <w:color w:val="000000"/>
          <w:lang w:eastAsia="es-ES_tradnl"/>
        </w:rPr>
        <w:t>, entre otros,</w:t>
      </w:r>
      <w:r w:rsidR="00EC4566" w:rsidRPr="00EC4566">
        <w:rPr>
          <w:rFonts w:ascii="Arial" w:eastAsia="Times New Roman" w:hAnsi="Arial" w:cs="Arial"/>
          <w:color w:val="000000"/>
          <w:lang w:eastAsia="es-ES_tradnl"/>
        </w:rPr>
        <w:t xml:space="preserve"> con los siguientes derechos:</w:t>
      </w:r>
      <w:r w:rsidR="00CA41E9">
        <w:rPr>
          <w:rFonts w:ascii="Arial" w:eastAsia="Times New Roman" w:hAnsi="Arial" w:cs="Arial"/>
          <w:color w:val="000000"/>
          <w:lang w:eastAsia="es-ES_tradnl"/>
        </w:rPr>
        <w:t xml:space="preserve"> i) </w:t>
      </w:r>
      <w:r w:rsidR="00EC4566" w:rsidRPr="00EC4566">
        <w:rPr>
          <w:rFonts w:ascii="Arial" w:eastAsia="Times New Roman" w:hAnsi="Arial" w:cs="Arial"/>
          <w:color w:val="000000"/>
          <w:lang w:eastAsia="es-ES_tradnl"/>
        </w:rPr>
        <w:t>a un procedimiento público</w:t>
      </w:r>
      <w:r w:rsidR="00CA41E9">
        <w:rPr>
          <w:rFonts w:ascii="Arial" w:eastAsia="Times New Roman" w:hAnsi="Arial" w:cs="Arial"/>
          <w:color w:val="000000"/>
          <w:lang w:eastAsia="es-ES_tradnl"/>
        </w:rPr>
        <w:t xml:space="preserve">; </w:t>
      </w:r>
      <w:proofErr w:type="spellStart"/>
      <w:r w:rsidR="00CA41E9">
        <w:rPr>
          <w:rFonts w:ascii="Arial" w:eastAsia="Times New Roman" w:hAnsi="Arial" w:cs="Arial"/>
          <w:color w:val="000000"/>
          <w:lang w:eastAsia="es-ES_tradnl"/>
        </w:rPr>
        <w:t>ii</w:t>
      </w:r>
      <w:proofErr w:type="spellEnd"/>
      <w:r w:rsidR="00CA41E9">
        <w:rPr>
          <w:rFonts w:ascii="Arial" w:eastAsia="Times New Roman" w:hAnsi="Arial" w:cs="Arial"/>
          <w:color w:val="000000"/>
          <w:lang w:eastAsia="es-ES_tradnl"/>
        </w:rPr>
        <w:t>)</w:t>
      </w:r>
      <w:r w:rsidR="00EC4566" w:rsidRPr="00EC4566">
        <w:rPr>
          <w:rFonts w:ascii="Arial" w:eastAsia="Times New Roman" w:hAnsi="Arial" w:cs="Arial"/>
          <w:color w:val="000000"/>
          <w:lang w:eastAsia="es-ES_tradnl"/>
        </w:rPr>
        <w:t xml:space="preserve"> </w:t>
      </w:r>
      <w:r w:rsidR="00803151">
        <w:rPr>
          <w:rFonts w:ascii="Arial" w:eastAsia="Times New Roman" w:hAnsi="Arial" w:cs="Arial"/>
          <w:color w:val="000000"/>
          <w:lang w:eastAsia="es-ES_tradnl"/>
        </w:rPr>
        <w:t xml:space="preserve">el </w:t>
      </w:r>
      <w:r w:rsidR="00CD5AB9">
        <w:rPr>
          <w:rFonts w:ascii="Arial" w:eastAsia="Times New Roman" w:hAnsi="Arial" w:cs="Arial"/>
          <w:color w:val="000000"/>
          <w:lang w:eastAsia="es-ES_tradnl"/>
        </w:rPr>
        <w:t>ser oído antes de la decisión</w:t>
      </w:r>
      <w:r w:rsidR="00CA41E9">
        <w:rPr>
          <w:rFonts w:ascii="Arial" w:eastAsia="Times New Roman" w:hAnsi="Arial" w:cs="Arial"/>
          <w:color w:val="000000"/>
          <w:lang w:eastAsia="es-ES_tradnl"/>
        </w:rPr>
        <w:t>;</w:t>
      </w:r>
      <w:r w:rsidR="00CD5AB9">
        <w:rPr>
          <w:rFonts w:ascii="Arial" w:eastAsia="Times New Roman" w:hAnsi="Arial" w:cs="Arial"/>
          <w:color w:val="000000"/>
          <w:lang w:eastAsia="es-ES_tradnl"/>
        </w:rPr>
        <w:t xml:space="preserve"> </w:t>
      </w:r>
      <w:proofErr w:type="spellStart"/>
      <w:r w:rsidR="00CA41E9">
        <w:rPr>
          <w:rFonts w:ascii="Arial" w:eastAsia="Times New Roman" w:hAnsi="Arial" w:cs="Arial"/>
          <w:color w:val="000000"/>
          <w:lang w:eastAsia="es-ES_tradnl"/>
        </w:rPr>
        <w:t>iii</w:t>
      </w:r>
      <w:proofErr w:type="spellEnd"/>
      <w:r w:rsidR="00CA41E9">
        <w:rPr>
          <w:rFonts w:ascii="Arial" w:eastAsia="Times New Roman" w:hAnsi="Arial" w:cs="Arial"/>
          <w:color w:val="000000"/>
          <w:lang w:eastAsia="es-ES_tradnl"/>
        </w:rPr>
        <w:t xml:space="preserve">) </w:t>
      </w:r>
      <w:r w:rsidR="00EC4566" w:rsidRPr="00EC4566">
        <w:rPr>
          <w:rFonts w:ascii="Arial" w:eastAsia="Times New Roman" w:hAnsi="Arial" w:cs="Arial"/>
          <w:color w:val="000000"/>
          <w:lang w:eastAsia="es-ES_tradnl"/>
        </w:rPr>
        <w:t>a la defensa y contradicción</w:t>
      </w:r>
      <w:r w:rsidR="00CA41E9">
        <w:rPr>
          <w:rFonts w:ascii="Arial" w:eastAsia="Times New Roman" w:hAnsi="Arial" w:cs="Arial"/>
          <w:color w:val="000000"/>
          <w:lang w:eastAsia="es-ES_tradnl"/>
        </w:rPr>
        <w:t>;</w:t>
      </w:r>
      <w:r w:rsidR="00EC4566" w:rsidRPr="00EC4566">
        <w:rPr>
          <w:rFonts w:ascii="Arial" w:eastAsia="Times New Roman" w:hAnsi="Arial" w:cs="Arial"/>
          <w:color w:val="000000"/>
          <w:lang w:eastAsia="es-ES_tradnl"/>
        </w:rPr>
        <w:t xml:space="preserve"> </w:t>
      </w:r>
      <w:proofErr w:type="spellStart"/>
      <w:r w:rsidR="00CA41E9">
        <w:rPr>
          <w:rFonts w:ascii="Arial" w:eastAsia="Times New Roman" w:hAnsi="Arial" w:cs="Arial"/>
          <w:color w:val="000000"/>
          <w:lang w:eastAsia="es-ES_tradnl"/>
        </w:rPr>
        <w:t>iv</w:t>
      </w:r>
      <w:proofErr w:type="spellEnd"/>
      <w:r w:rsidR="00CA41E9">
        <w:rPr>
          <w:rFonts w:ascii="Arial" w:eastAsia="Times New Roman" w:hAnsi="Arial" w:cs="Arial"/>
          <w:color w:val="000000"/>
          <w:lang w:eastAsia="es-ES_tradnl"/>
        </w:rPr>
        <w:t xml:space="preserve">) </w:t>
      </w:r>
      <w:r w:rsidR="00EC4566" w:rsidRPr="00EC4566">
        <w:rPr>
          <w:rFonts w:ascii="Arial" w:eastAsia="Times New Roman" w:hAnsi="Arial" w:cs="Arial"/>
          <w:color w:val="000000"/>
          <w:lang w:eastAsia="es-ES_tradnl"/>
        </w:rPr>
        <w:t>a aportar pruebas y a contradecir las que se alleguen en su contra</w:t>
      </w:r>
      <w:r w:rsidR="00CA41E9">
        <w:rPr>
          <w:rFonts w:ascii="Arial" w:eastAsia="Times New Roman" w:hAnsi="Arial" w:cs="Arial"/>
          <w:color w:val="000000"/>
          <w:lang w:eastAsia="es-ES_tradnl"/>
        </w:rPr>
        <w:t xml:space="preserve">; </w:t>
      </w:r>
      <w:proofErr w:type="spellStart"/>
      <w:r w:rsidR="00CA41E9">
        <w:rPr>
          <w:rFonts w:ascii="Arial" w:eastAsia="Times New Roman" w:hAnsi="Arial" w:cs="Arial"/>
          <w:color w:val="000000"/>
          <w:lang w:eastAsia="es-ES_tradnl"/>
        </w:rPr>
        <w:t>iv</w:t>
      </w:r>
      <w:proofErr w:type="spellEnd"/>
      <w:r w:rsidR="00CA41E9">
        <w:rPr>
          <w:rFonts w:ascii="Arial" w:eastAsia="Times New Roman" w:hAnsi="Arial" w:cs="Arial"/>
          <w:color w:val="000000"/>
          <w:lang w:eastAsia="es-ES_tradnl"/>
        </w:rPr>
        <w:t xml:space="preserve">) </w:t>
      </w:r>
      <w:r w:rsidR="00EC4566" w:rsidRPr="00EC4566">
        <w:rPr>
          <w:rFonts w:ascii="Arial" w:eastAsia="Times New Roman" w:hAnsi="Arial" w:cs="Arial"/>
          <w:color w:val="000000"/>
          <w:lang w:eastAsia="es-ES_tradnl"/>
        </w:rPr>
        <w:t>que el procedimiento se adelante ante la autoridad competente para conocer del asunto</w:t>
      </w:r>
      <w:r w:rsidR="00CA41E9">
        <w:rPr>
          <w:rFonts w:ascii="Arial" w:eastAsia="Times New Roman" w:hAnsi="Arial" w:cs="Arial"/>
          <w:color w:val="000000"/>
          <w:lang w:eastAsia="es-ES_tradnl"/>
        </w:rPr>
        <w:t>; v)</w:t>
      </w:r>
      <w:r w:rsidR="00EC4566" w:rsidRPr="00EC4566">
        <w:rPr>
          <w:rFonts w:ascii="Arial" w:eastAsia="Times New Roman" w:hAnsi="Arial" w:cs="Arial"/>
          <w:color w:val="000000"/>
          <w:lang w:eastAsia="es-ES_tradnl"/>
        </w:rPr>
        <w:t xml:space="preserve"> a que se le otorgue un tratamiento igual que el dado a otros particulares</w:t>
      </w:r>
      <w:r w:rsidR="00CA41E9">
        <w:rPr>
          <w:rFonts w:ascii="Arial" w:eastAsia="Times New Roman" w:hAnsi="Arial" w:cs="Arial"/>
          <w:color w:val="000000"/>
          <w:lang w:eastAsia="es-ES_tradnl"/>
        </w:rPr>
        <w:t xml:space="preserve">; vi) </w:t>
      </w:r>
      <w:r w:rsidR="00EC4566" w:rsidRPr="00EC4566">
        <w:rPr>
          <w:rFonts w:ascii="Arial" w:eastAsia="Times New Roman" w:hAnsi="Arial" w:cs="Arial"/>
          <w:color w:val="000000"/>
          <w:lang w:eastAsia="es-ES_tradnl"/>
        </w:rPr>
        <w:t xml:space="preserve"> a que el procedimiento se adelante en un término razonable</w:t>
      </w:r>
      <w:r w:rsidR="00447CD5">
        <w:rPr>
          <w:rFonts w:ascii="Arial" w:eastAsia="Times New Roman" w:hAnsi="Arial" w:cs="Arial"/>
          <w:color w:val="000000"/>
          <w:lang w:eastAsia="es-ES_tradnl"/>
        </w:rPr>
        <w:t xml:space="preserve">; y, </w:t>
      </w:r>
      <w:proofErr w:type="spellStart"/>
      <w:r w:rsidR="00447CD5">
        <w:rPr>
          <w:rFonts w:ascii="Arial" w:eastAsia="Times New Roman" w:hAnsi="Arial" w:cs="Arial"/>
          <w:color w:val="000000"/>
          <w:lang w:eastAsia="es-ES_tradnl"/>
        </w:rPr>
        <w:t>vii</w:t>
      </w:r>
      <w:proofErr w:type="spellEnd"/>
      <w:r w:rsidR="00447CD5">
        <w:rPr>
          <w:rFonts w:ascii="Arial" w:eastAsia="Times New Roman" w:hAnsi="Arial" w:cs="Arial"/>
          <w:color w:val="000000"/>
          <w:lang w:eastAsia="es-ES_tradnl"/>
        </w:rPr>
        <w:t>)</w:t>
      </w:r>
      <w:r w:rsidR="00E84113">
        <w:rPr>
          <w:rFonts w:ascii="Arial" w:eastAsia="Times New Roman" w:hAnsi="Arial" w:cs="Arial"/>
          <w:color w:val="000000"/>
          <w:lang w:eastAsia="es-ES_tradnl"/>
        </w:rPr>
        <w:t xml:space="preserve"> </w:t>
      </w:r>
      <w:r w:rsidR="00EC4566" w:rsidRPr="00EC4566">
        <w:rPr>
          <w:rFonts w:ascii="Arial" w:eastAsia="Times New Roman" w:hAnsi="Arial" w:cs="Arial"/>
          <w:color w:val="000000"/>
          <w:lang w:eastAsia="es-ES_tradnl"/>
        </w:rPr>
        <w:t>a que las decisiones sean motivadas</w:t>
      </w:r>
      <w:r w:rsidR="00447CD5">
        <w:rPr>
          <w:rFonts w:ascii="Arial" w:eastAsia="Times New Roman" w:hAnsi="Arial" w:cs="Arial"/>
          <w:color w:val="000000"/>
          <w:lang w:eastAsia="es-ES_tradnl"/>
        </w:rPr>
        <w:t>, debidamente notificadas</w:t>
      </w:r>
      <w:r w:rsidR="00EC4566" w:rsidRPr="00EC4566">
        <w:rPr>
          <w:rFonts w:ascii="Arial" w:eastAsia="Times New Roman" w:hAnsi="Arial" w:cs="Arial"/>
          <w:color w:val="000000"/>
          <w:lang w:eastAsia="es-ES_tradnl"/>
        </w:rPr>
        <w:t xml:space="preserve"> y a impugnar las mismas.</w:t>
      </w:r>
    </w:p>
    <w:p w14:paraId="07B43810" w14:textId="50A5ACDE" w:rsidR="00EC4566" w:rsidRDefault="00EC4566" w:rsidP="00CC4245">
      <w:pPr>
        <w:spacing w:line="276" w:lineRule="auto"/>
        <w:ind w:firstLine="708"/>
        <w:jc w:val="both"/>
        <w:rPr>
          <w:rFonts w:ascii="Arial" w:eastAsia="Times New Roman" w:hAnsi="Arial" w:cs="Arial"/>
          <w:color w:val="000000"/>
          <w:lang w:eastAsia="es-ES_tradnl"/>
        </w:rPr>
      </w:pPr>
      <w:r w:rsidRPr="00EC4566">
        <w:rPr>
          <w:rFonts w:ascii="Arial" w:eastAsia="Times New Roman" w:hAnsi="Arial" w:cs="Arial"/>
          <w:color w:val="000000"/>
          <w:lang w:eastAsia="es-ES_tradnl"/>
        </w:rPr>
        <w:t xml:space="preserve"> </w:t>
      </w:r>
      <w:r w:rsidR="006A4049">
        <w:rPr>
          <w:rFonts w:ascii="Arial" w:eastAsia="Times New Roman" w:hAnsi="Arial" w:cs="Arial"/>
          <w:color w:val="000000"/>
          <w:lang w:eastAsia="es-ES_tradnl"/>
        </w:rPr>
        <w:t xml:space="preserve">En fin, el principio </w:t>
      </w:r>
      <w:r w:rsidR="001F7E13">
        <w:rPr>
          <w:rFonts w:ascii="Arial" w:eastAsia="Times New Roman" w:hAnsi="Arial" w:cs="Arial"/>
          <w:color w:val="000000"/>
          <w:lang w:eastAsia="es-ES_tradnl"/>
        </w:rPr>
        <w:t>al</w:t>
      </w:r>
      <w:r w:rsidR="006A4049">
        <w:rPr>
          <w:rFonts w:ascii="Arial" w:eastAsia="Times New Roman" w:hAnsi="Arial" w:cs="Arial"/>
          <w:color w:val="000000"/>
          <w:lang w:eastAsia="es-ES_tradnl"/>
        </w:rPr>
        <w:t xml:space="preserve"> debido proceso </w:t>
      </w:r>
      <w:r w:rsidR="00502C7F">
        <w:rPr>
          <w:rFonts w:ascii="Arial" w:eastAsia="Times New Roman" w:hAnsi="Arial" w:cs="Arial"/>
          <w:color w:val="000000"/>
          <w:lang w:eastAsia="es-ES_tradnl"/>
        </w:rPr>
        <w:t xml:space="preserve">busca </w:t>
      </w:r>
      <w:r w:rsidR="004C5A8C">
        <w:rPr>
          <w:rFonts w:ascii="Arial" w:eastAsia="Times New Roman" w:hAnsi="Arial" w:cs="Arial"/>
          <w:color w:val="000000"/>
          <w:lang w:eastAsia="es-ES_tradnl"/>
        </w:rPr>
        <w:t xml:space="preserve">en materia de contratación estatal </w:t>
      </w:r>
      <w:r w:rsidR="00FE482D" w:rsidRPr="0085189A">
        <w:rPr>
          <w:rFonts w:ascii="Arial" w:eastAsia="Times New Roman" w:hAnsi="Arial" w:cs="Arial"/>
          <w:iCs/>
          <w:color w:val="000000"/>
          <w:sz w:val="21"/>
          <w:szCs w:val="21"/>
          <w:lang w:val="es-ES_tradnl" w:eastAsia="es-ES_tradnl"/>
        </w:rPr>
        <w:t>«</w:t>
      </w:r>
      <w:r w:rsidR="00502C7F" w:rsidRPr="00502C7F">
        <w:rPr>
          <w:rFonts w:ascii="Arial" w:eastAsia="Times New Roman" w:hAnsi="Arial" w:cs="Arial"/>
          <w:i/>
          <w:iCs/>
          <w:color w:val="000000"/>
          <w:lang w:eastAsia="es-ES_tradnl"/>
        </w:rPr>
        <w:t xml:space="preserve">en su interrelación </w:t>
      </w:r>
      <w:r w:rsidR="00502C7F">
        <w:rPr>
          <w:rFonts w:ascii="Arial" w:eastAsia="Times New Roman" w:hAnsi="Arial" w:cs="Arial"/>
          <w:i/>
          <w:iCs/>
          <w:color w:val="000000"/>
          <w:lang w:eastAsia="es-ES_tradnl"/>
        </w:rPr>
        <w:t xml:space="preserve">obtener una actuación </w:t>
      </w:r>
      <w:r w:rsidR="00FE482D">
        <w:rPr>
          <w:rFonts w:ascii="Arial" w:eastAsia="Times New Roman" w:hAnsi="Arial" w:cs="Arial"/>
          <w:i/>
          <w:iCs/>
          <w:color w:val="000000"/>
          <w:lang w:eastAsia="es-ES_tradnl"/>
        </w:rPr>
        <w:t>administrativa</w:t>
      </w:r>
      <w:r w:rsidR="00502C7F">
        <w:rPr>
          <w:rFonts w:ascii="Arial" w:eastAsia="Times New Roman" w:hAnsi="Arial" w:cs="Arial"/>
          <w:i/>
          <w:iCs/>
          <w:color w:val="000000"/>
          <w:lang w:eastAsia="es-ES_tradnl"/>
        </w:rPr>
        <w:t xml:space="preserve"> coherente a las </w:t>
      </w:r>
      <w:r w:rsidR="00FE482D">
        <w:rPr>
          <w:rFonts w:ascii="Arial" w:eastAsia="Times New Roman" w:hAnsi="Arial" w:cs="Arial"/>
          <w:i/>
          <w:iCs/>
          <w:color w:val="000000"/>
          <w:lang w:eastAsia="es-ES_tradnl"/>
        </w:rPr>
        <w:t>necedades</w:t>
      </w:r>
      <w:r w:rsidR="00502C7F">
        <w:rPr>
          <w:rFonts w:ascii="Arial" w:eastAsia="Times New Roman" w:hAnsi="Arial" w:cs="Arial"/>
          <w:i/>
          <w:iCs/>
          <w:color w:val="000000"/>
          <w:lang w:eastAsia="es-ES_tradnl"/>
        </w:rPr>
        <w:t xml:space="preserve"> públicas sin </w:t>
      </w:r>
      <w:r w:rsidR="00FE482D">
        <w:rPr>
          <w:rFonts w:ascii="Arial" w:eastAsia="Times New Roman" w:hAnsi="Arial" w:cs="Arial"/>
          <w:i/>
          <w:iCs/>
          <w:color w:val="000000"/>
          <w:lang w:eastAsia="es-ES_tradnl"/>
        </w:rPr>
        <w:lastRenderedPageBreak/>
        <w:t>lesionar</w:t>
      </w:r>
      <w:r w:rsidR="00502C7F">
        <w:rPr>
          <w:rFonts w:ascii="Arial" w:eastAsia="Times New Roman" w:hAnsi="Arial" w:cs="Arial"/>
          <w:i/>
          <w:iCs/>
          <w:color w:val="000000"/>
          <w:lang w:eastAsia="es-ES_tradnl"/>
        </w:rPr>
        <w:t xml:space="preserve"> los intereses individuales en juego</w:t>
      </w:r>
      <w:r w:rsidR="00FE482D" w:rsidRPr="0085189A">
        <w:rPr>
          <w:rFonts w:ascii="Arial" w:eastAsia="Times New Roman" w:hAnsi="Arial" w:cs="Arial"/>
          <w:iCs/>
          <w:color w:val="000000"/>
          <w:sz w:val="21"/>
          <w:szCs w:val="21"/>
          <w:lang w:val="es-ES_tradnl" w:eastAsia="es-ES_tradnl"/>
        </w:rPr>
        <w:t>»</w:t>
      </w:r>
      <w:r w:rsidR="005E21F8">
        <w:rPr>
          <w:rStyle w:val="Refdenotaalpie"/>
          <w:rFonts w:ascii="Arial" w:eastAsia="Times New Roman" w:hAnsi="Arial" w:cs="Arial"/>
          <w:iCs/>
          <w:color w:val="000000"/>
          <w:sz w:val="21"/>
          <w:szCs w:val="21"/>
          <w:lang w:val="es-ES_tradnl" w:eastAsia="es-ES_tradnl"/>
        </w:rPr>
        <w:footnoteReference w:id="24"/>
      </w:r>
      <w:r w:rsidR="00E61E05">
        <w:rPr>
          <w:rFonts w:ascii="Arial" w:eastAsia="Times New Roman" w:hAnsi="Arial" w:cs="Arial"/>
          <w:iCs/>
          <w:color w:val="000000"/>
          <w:sz w:val="21"/>
          <w:szCs w:val="21"/>
          <w:lang w:val="es-ES_tradnl" w:eastAsia="es-ES_tradnl"/>
        </w:rPr>
        <w:t>.</w:t>
      </w:r>
      <w:r w:rsidR="00AE57E7">
        <w:rPr>
          <w:rFonts w:ascii="Arial" w:eastAsia="Times New Roman" w:hAnsi="Arial" w:cs="Arial"/>
          <w:i/>
          <w:iCs/>
          <w:color w:val="000000"/>
          <w:lang w:eastAsia="es-ES_tradnl"/>
        </w:rPr>
        <w:t xml:space="preserve"> </w:t>
      </w:r>
      <w:r w:rsidR="00AE57E7">
        <w:rPr>
          <w:rFonts w:ascii="Arial" w:eastAsia="Times New Roman" w:hAnsi="Arial" w:cs="Arial"/>
          <w:color w:val="000000"/>
          <w:lang w:eastAsia="es-ES_tradnl"/>
        </w:rPr>
        <w:t>Al respecto la Corte Constitucional en sentencia T-722 de 2010</w:t>
      </w:r>
      <w:r w:rsidR="00BD052C">
        <w:rPr>
          <w:rStyle w:val="Refdenotaalpie"/>
          <w:rFonts w:ascii="Arial" w:eastAsia="Times New Roman" w:hAnsi="Arial" w:cs="Arial"/>
          <w:color w:val="000000"/>
          <w:lang w:eastAsia="es-ES_tradnl"/>
        </w:rPr>
        <w:footnoteReference w:id="25"/>
      </w:r>
      <w:r w:rsidR="00166B6A">
        <w:rPr>
          <w:rFonts w:ascii="Arial" w:eastAsia="Times New Roman" w:hAnsi="Arial" w:cs="Arial"/>
          <w:color w:val="000000"/>
          <w:lang w:eastAsia="es-ES_tradnl"/>
        </w:rPr>
        <w:t xml:space="preserve"> recordó que el derecho al debido proceso administrativo como la garantía a todas las personas de acceder a un proceso justo y </w:t>
      </w:r>
      <w:r w:rsidR="00144DFD">
        <w:rPr>
          <w:rFonts w:ascii="Arial" w:eastAsia="Times New Roman" w:hAnsi="Arial" w:cs="Arial"/>
          <w:color w:val="000000"/>
          <w:lang w:eastAsia="es-ES_tradnl"/>
        </w:rPr>
        <w:t>adecuado</w:t>
      </w:r>
      <w:r w:rsidR="00F66DD2">
        <w:rPr>
          <w:rFonts w:ascii="Arial" w:eastAsia="Times New Roman" w:hAnsi="Arial" w:cs="Arial"/>
          <w:color w:val="000000"/>
          <w:lang w:eastAsia="es-ES_tradnl"/>
        </w:rPr>
        <w:t xml:space="preserve">, permite que </w:t>
      </w:r>
      <w:r w:rsidR="00331B91" w:rsidRPr="0085189A">
        <w:rPr>
          <w:rFonts w:ascii="Arial" w:eastAsia="Times New Roman" w:hAnsi="Arial" w:cs="Arial"/>
          <w:iCs/>
          <w:color w:val="000000"/>
          <w:sz w:val="21"/>
          <w:szCs w:val="21"/>
          <w:lang w:val="es-ES_tradnl" w:eastAsia="es-ES_tradnl"/>
        </w:rPr>
        <w:t>«</w:t>
      </w:r>
      <w:r w:rsidR="00331B91">
        <w:rPr>
          <w:rFonts w:ascii="Arial" w:eastAsia="Times New Roman" w:hAnsi="Arial" w:cs="Arial"/>
          <w:i/>
          <w:iCs/>
          <w:color w:val="000000"/>
          <w:lang w:eastAsia="es-ES_tradnl"/>
        </w:rPr>
        <w:t>la</w:t>
      </w:r>
      <w:r w:rsidR="00CC7053">
        <w:rPr>
          <w:rFonts w:ascii="Arial" w:eastAsia="Times New Roman" w:hAnsi="Arial" w:cs="Arial"/>
          <w:i/>
          <w:iCs/>
          <w:color w:val="000000"/>
          <w:lang w:eastAsia="es-ES_tradnl"/>
        </w:rPr>
        <w:t xml:space="preserve"> afectación o la privación de ciertos bienes jurídicos por parte del Estado</w:t>
      </w:r>
      <w:r w:rsidR="006F71B6">
        <w:rPr>
          <w:rFonts w:ascii="Arial" w:eastAsia="Times New Roman" w:hAnsi="Arial" w:cs="Arial"/>
          <w:i/>
          <w:iCs/>
          <w:color w:val="000000"/>
          <w:lang w:eastAsia="es-ES_tradnl"/>
        </w:rPr>
        <w:t>, no pueda hacerse con detrimento de sus derechos fundamentales</w:t>
      </w:r>
      <w:r w:rsidR="00144DFD" w:rsidRPr="0085189A">
        <w:rPr>
          <w:rFonts w:ascii="Arial" w:eastAsia="Times New Roman" w:hAnsi="Arial" w:cs="Arial"/>
          <w:iCs/>
          <w:color w:val="000000"/>
          <w:sz w:val="21"/>
          <w:szCs w:val="21"/>
          <w:lang w:val="es-ES_tradnl" w:eastAsia="es-ES_tradnl"/>
        </w:rPr>
        <w:t>»</w:t>
      </w:r>
      <w:r w:rsidR="00144DFD">
        <w:rPr>
          <w:rFonts w:ascii="Arial" w:eastAsia="Times New Roman" w:hAnsi="Arial" w:cs="Arial"/>
          <w:iCs/>
          <w:color w:val="000000"/>
          <w:sz w:val="21"/>
          <w:szCs w:val="21"/>
          <w:lang w:val="es-ES_tradnl" w:eastAsia="es-ES_tradnl"/>
        </w:rPr>
        <w:t>.</w:t>
      </w:r>
    </w:p>
    <w:p w14:paraId="71E5B676" w14:textId="296EC086" w:rsidR="009E451C" w:rsidRPr="009E451C" w:rsidRDefault="00CC4245" w:rsidP="00CC4245">
      <w:pPr>
        <w:spacing w:line="276" w:lineRule="auto"/>
        <w:ind w:firstLine="708"/>
        <w:jc w:val="both"/>
        <w:rPr>
          <w:rFonts w:ascii="Arial" w:eastAsia="Times New Roman" w:hAnsi="Arial" w:cs="Arial"/>
          <w:color w:val="000000"/>
          <w:lang w:eastAsia="es-ES_tradnl"/>
        </w:rPr>
      </w:pPr>
      <w:r>
        <w:rPr>
          <w:rFonts w:ascii="Arial" w:eastAsia="Times New Roman" w:hAnsi="Arial" w:cs="Arial"/>
          <w:color w:val="000000"/>
          <w:lang w:eastAsia="es-ES_tradnl"/>
        </w:rPr>
        <w:t xml:space="preserve">En ese orden de ideas, </w:t>
      </w:r>
      <w:r w:rsidR="009E451C" w:rsidRPr="009E451C">
        <w:rPr>
          <w:rFonts w:ascii="Arial" w:eastAsia="Times New Roman" w:hAnsi="Arial" w:cs="Arial"/>
          <w:color w:val="000000"/>
          <w:lang w:eastAsia="es-ES_tradnl"/>
        </w:rPr>
        <w:t>es posible citar a un</w:t>
      </w:r>
      <w:r>
        <w:rPr>
          <w:rFonts w:ascii="Arial" w:eastAsia="Times New Roman" w:hAnsi="Arial" w:cs="Arial"/>
          <w:color w:val="000000"/>
          <w:lang w:eastAsia="es-ES_tradnl"/>
        </w:rPr>
        <w:t xml:space="preserve"> contratista a la</w:t>
      </w:r>
      <w:r w:rsidR="009E451C" w:rsidRPr="009E451C">
        <w:rPr>
          <w:rFonts w:ascii="Arial" w:eastAsia="Times New Roman" w:hAnsi="Arial" w:cs="Arial"/>
          <w:color w:val="000000"/>
          <w:lang w:eastAsia="es-ES_tradnl"/>
        </w:rPr>
        <w:t xml:space="preserve"> audiencia sancionatoria </w:t>
      </w:r>
      <w:r>
        <w:rPr>
          <w:rFonts w:ascii="Arial" w:eastAsia="Times New Roman" w:hAnsi="Arial" w:cs="Arial"/>
          <w:color w:val="000000"/>
          <w:lang w:eastAsia="es-ES_tradnl"/>
        </w:rPr>
        <w:t xml:space="preserve">prevista en el artículo 86 de la Ley 1474 de 2011 con el fin </w:t>
      </w:r>
      <w:r w:rsidR="00FB2B49">
        <w:rPr>
          <w:rFonts w:ascii="Arial" w:eastAsia="Times New Roman" w:hAnsi="Arial" w:cs="Arial"/>
          <w:color w:val="000000"/>
          <w:lang w:eastAsia="es-ES_tradnl"/>
        </w:rPr>
        <w:t xml:space="preserve">imponer </w:t>
      </w:r>
      <w:r w:rsidRPr="00EC4566">
        <w:rPr>
          <w:rFonts w:ascii="Arial" w:eastAsia="Times New Roman" w:hAnsi="Arial" w:cs="Arial"/>
          <w:color w:val="000000"/>
          <w:lang w:eastAsia="es-ES_tradnl"/>
        </w:rPr>
        <w:t>unilateralmente multas</w:t>
      </w:r>
      <w:r w:rsidR="00FB2B49">
        <w:rPr>
          <w:rFonts w:ascii="Arial" w:eastAsia="Times New Roman" w:hAnsi="Arial" w:cs="Arial"/>
          <w:color w:val="000000"/>
          <w:lang w:eastAsia="es-ES_tradnl"/>
        </w:rPr>
        <w:t xml:space="preserve"> o </w:t>
      </w:r>
      <w:r w:rsidRPr="00EC4566">
        <w:rPr>
          <w:rFonts w:ascii="Arial" w:eastAsia="Times New Roman" w:hAnsi="Arial" w:cs="Arial"/>
          <w:color w:val="000000"/>
          <w:lang w:eastAsia="es-ES_tradnl"/>
        </w:rPr>
        <w:t>sanciones</w:t>
      </w:r>
      <w:r w:rsidR="00FB2B49">
        <w:rPr>
          <w:rFonts w:ascii="Arial" w:eastAsia="Times New Roman" w:hAnsi="Arial" w:cs="Arial"/>
          <w:color w:val="000000"/>
          <w:lang w:eastAsia="es-ES_tradnl"/>
        </w:rPr>
        <w:t>, o</w:t>
      </w:r>
      <w:r w:rsidRPr="00EC4566">
        <w:rPr>
          <w:rFonts w:ascii="Arial" w:eastAsia="Times New Roman" w:hAnsi="Arial" w:cs="Arial"/>
          <w:color w:val="000000"/>
          <w:lang w:eastAsia="es-ES_tradnl"/>
        </w:rPr>
        <w:t xml:space="preserve"> declaratorias de incumplimiento</w:t>
      </w:r>
      <w:r w:rsidR="00FB2B49">
        <w:rPr>
          <w:rFonts w:ascii="Arial" w:eastAsia="Times New Roman" w:hAnsi="Arial" w:cs="Arial"/>
          <w:color w:val="000000"/>
          <w:lang w:eastAsia="es-ES_tradnl"/>
        </w:rPr>
        <w:t>, o</w:t>
      </w:r>
      <w:r w:rsidRPr="00EC4566">
        <w:rPr>
          <w:rFonts w:ascii="Arial" w:eastAsia="Times New Roman" w:hAnsi="Arial" w:cs="Arial"/>
          <w:color w:val="000000"/>
          <w:lang w:eastAsia="es-ES_tradnl"/>
        </w:rPr>
        <w:t xml:space="preserve"> tasación de perjuicios y hacer efectiva la cláusula penal en el marco de un contrat</w:t>
      </w:r>
      <w:r w:rsidR="00FB2B49">
        <w:rPr>
          <w:rFonts w:ascii="Arial" w:eastAsia="Times New Roman" w:hAnsi="Arial" w:cs="Arial"/>
          <w:color w:val="000000"/>
          <w:lang w:eastAsia="es-ES_tradnl"/>
        </w:rPr>
        <w:t>o estatal</w:t>
      </w:r>
      <w:r w:rsidR="00AF2460">
        <w:rPr>
          <w:rFonts w:ascii="Arial" w:eastAsia="Times New Roman" w:hAnsi="Arial" w:cs="Arial"/>
          <w:color w:val="000000"/>
          <w:lang w:eastAsia="es-ES_tradnl"/>
        </w:rPr>
        <w:t xml:space="preserve">, </w:t>
      </w:r>
      <w:r w:rsidR="009E451C" w:rsidRPr="009E451C">
        <w:rPr>
          <w:rFonts w:ascii="Arial" w:eastAsia="Times New Roman" w:hAnsi="Arial" w:cs="Arial"/>
          <w:color w:val="000000"/>
          <w:lang w:eastAsia="es-ES_tradnl"/>
        </w:rPr>
        <w:t>durante el periodo de suspensión de un contrato estatal</w:t>
      </w:r>
      <w:r w:rsidR="00AF2460">
        <w:rPr>
          <w:rFonts w:ascii="Arial" w:eastAsia="Times New Roman" w:hAnsi="Arial" w:cs="Arial"/>
          <w:color w:val="000000"/>
          <w:lang w:eastAsia="es-ES_tradnl"/>
        </w:rPr>
        <w:t>, teniendo en cuenta que l</w:t>
      </w:r>
      <w:r w:rsidR="009E451C" w:rsidRPr="009E451C">
        <w:rPr>
          <w:rFonts w:ascii="Arial" w:eastAsia="Times New Roman" w:hAnsi="Arial" w:cs="Arial"/>
          <w:color w:val="000000"/>
          <w:lang w:eastAsia="es-ES_tradnl"/>
        </w:rPr>
        <w:t xml:space="preserve">a Ley </w:t>
      </w:r>
      <w:r w:rsidR="00AF2460">
        <w:rPr>
          <w:rFonts w:ascii="Arial" w:eastAsia="Times New Roman" w:hAnsi="Arial" w:cs="Arial"/>
          <w:color w:val="000000"/>
          <w:lang w:eastAsia="es-ES_tradnl"/>
        </w:rPr>
        <w:t>1150 de 2007 y la Ley 1474 de 2011</w:t>
      </w:r>
      <w:r w:rsidR="009E451C" w:rsidRPr="009E451C">
        <w:rPr>
          <w:rFonts w:ascii="Arial" w:eastAsia="Times New Roman" w:hAnsi="Arial" w:cs="Arial"/>
          <w:color w:val="000000"/>
          <w:lang w:eastAsia="es-ES_tradnl"/>
        </w:rPr>
        <w:t xml:space="preserve">, </w:t>
      </w:r>
      <w:r w:rsidR="004B614D">
        <w:rPr>
          <w:rFonts w:ascii="Arial" w:eastAsia="Times New Roman" w:hAnsi="Arial" w:cs="Arial"/>
          <w:color w:val="000000"/>
          <w:lang w:eastAsia="es-ES_tradnl"/>
        </w:rPr>
        <w:t xml:space="preserve">no </w:t>
      </w:r>
      <w:r w:rsidR="00AF2460">
        <w:rPr>
          <w:rFonts w:ascii="Arial" w:eastAsia="Times New Roman" w:hAnsi="Arial" w:cs="Arial"/>
          <w:color w:val="000000"/>
          <w:lang w:eastAsia="es-ES_tradnl"/>
        </w:rPr>
        <w:t xml:space="preserve">prevé </w:t>
      </w:r>
      <w:r w:rsidR="004B614D">
        <w:rPr>
          <w:rFonts w:ascii="Arial" w:eastAsia="Times New Roman" w:hAnsi="Arial" w:cs="Arial"/>
          <w:color w:val="000000"/>
          <w:lang w:eastAsia="es-ES_tradnl"/>
        </w:rPr>
        <w:t xml:space="preserve">una limitación para iniciar dichos </w:t>
      </w:r>
      <w:r w:rsidR="009E451C" w:rsidRPr="009E451C">
        <w:rPr>
          <w:rFonts w:ascii="Arial" w:eastAsia="Times New Roman" w:hAnsi="Arial" w:cs="Arial"/>
          <w:color w:val="000000"/>
          <w:lang w:eastAsia="es-ES_tradnl"/>
        </w:rPr>
        <w:t>procesos sancionatorios</w:t>
      </w:r>
      <w:r w:rsidR="004B614D">
        <w:rPr>
          <w:rFonts w:ascii="Arial" w:eastAsia="Times New Roman" w:hAnsi="Arial" w:cs="Arial"/>
          <w:color w:val="000000"/>
          <w:lang w:eastAsia="es-ES_tradnl"/>
        </w:rPr>
        <w:t xml:space="preserve">, siendo permitido que puedan </w:t>
      </w:r>
      <w:r w:rsidR="009E451C" w:rsidRPr="009E451C">
        <w:rPr>
          <w:rFonts w:ascii="Arial" w:eastAsia="Times New Roman" w:hAnsi="Arial" w:cs="Arial"/>
          <w:color w:val="000000"/>
          <w:lang w:eastAsia="es-ES_tradnl"/>
        </w:rPr>
        <w:t xml:space="preserve">iniciarse en cualquier momento durante la vigencia del contrato, </w:t>
      </w:r>
      <w:r w:rsidR="00655EB1">
        <w:rPr>
          <w:rFonts w:ascii="Arial" w:eastAsia="Times New Roman" w:hAnsi="Arial" w:cs="Arial"/>
          <w:color w:val="000000"/>
          <w:lang w:eastAsia="es-ES_tradnl"/>
        </w:rPr>
        <w:t>dado a que</w:t>
      </w:r>
      <w:r w:rsidR="009E451C" w:rsidRPr="009E451C">
        <w:rPr>
          <w:rFonts w:ascii="Arial" w:eastAsia="Times New Roman" w:hAnsi="Arial" w:cs="Arial"/>
          <w:color w:val="000000"/>
          <w:lang w:eastAsia="es-ES_tradnl"/>
        </w:rPr>
        <w:t xml:space="preserve"> la suspensión temporal de la ejecución del contrato no afecta la continuación de los procesos administrativos, incluyendo los sancionatorios</w:t>
      </w:r>
      <w:r w:rsidR="00655EB1">
        <w:rPr>
          <w:rFonts w:ascii="Arial" w:eastAsia="Times New Roman" w:hAnsi="Arial" w:cs="Arial"/>
          <w:color w:val="000000"/>
          <w:lang w:eastAsia="es-ES_tradnl"/>
        </w:rPr>
        <w:t>, pues las entidades aún en ellos pueden exigir el cumplimiento de</w:t>
      </w:r>
      <w:r w:rsidR="00E24C8D">
        <w:rPr>
          <w:rFonts w:ascii="Arial" w:eastAsia="Times New Roman" w:hAnsi="Arial" w:cs="Arial"/>
          <w:color w:val="000000"/>
          <w:lang w:eastAsia="es-ES_tradnl"/>
        </w:rPr>
        <w:t xml:space="preserve"> obligaciones contractuales</w:t>
      </w:r>
      <w:r w:rsidR="009E451C" w:rsidRPr="009E451C">
        <w:rPr>
          <w:rFonts w:ascii="Arial" w:eastAsia="Times New Roman" w:hAnsi="Arial" w:cs="Arial"/>
          <w:color w:val="000000"/>
          <w:lang w:eastAsia="es-ES_tradnl"/>
        </w:rPr>
        <w:t>.</w:t>
      </w:r>
    </w:p>
    <w:p w14:paraId="7C1A41C7" w14:textId="26AC1694" w:rsidR="009E451C" w:rsidRDefault="00E24C8D" w:rsidP="009E451C">
      <w:pPr>
        <w:spacing w:after="0" w:line="276" w:lineRule="auto"/>
        <w:ind w:firstLine="708"/>
        <w:jc w:val="both"/>
        <w:rPr>
          <w:rFonts w:ascii="Arial" w:eastAsia="Times New Roman" w:hAnsi="Arial" w:cs="Arial"/>
          <w:color w:val="000000"/>
          <w:lang w:eastAsia="es-ES_tradnl"/>
        </w:rPr>
      </w:pPr>
      <w:r>
        <w:rPr>
          <w:rFonts w:ascii="Arial" w:eastAsia="Times New Roman" w:hAnsi="Arial" w:cs="Arial"/>
          <w:color w:val="000000"/>
          <w:lang w:eastAsia="es-ES_tradnl"/>
        </w:rPr>
        <w:t>No obstante, e</w:t>
      </w:r>
      <w:r w:rsidR="009E451C" w:rsidRPr="009E451C">
        <w:rPr>
          <w:rFonts w:ascii="Arial" w:eastAsia="Times New Roman" w:hAnsi="Arial" w:cs="Arial"/>
          <w:color w:val="000000"/>
          <w:lang w:eastAsia="es-ES_tradnl"/>
        </w:rPr>
        <w:t xml:space="preserve">s importante destacar que la decisión de suspender la ejecución de un contrato puede tener implicaciones en el proceso sancionatorio, especialmente en lo que respecta </w:t>
      </w:r>
      <w:r w:rsidR="005A781F">
        <w:rPr>
          <w:rFonts w:ascii="Arial" w:eastAsia="Times New Roman" w:hAnsi="Arial" w:cs="Arial"/>
          <w:color w:val="000000"/>
          <w:lang w:eastAsia="es-ES_tradnl"/>
        </w:rPr>
        <w:t xml:space="preserve">a garantizar el debido proceso, el derecho a la defensa y contradicción, </w:t>
      </w:r>
      <w:r w:rsidR="009E451C" w:rsidRPr="009E451C">
        <w:rPr>
          <w:rFonts w:ascii="Arial" w:eastAsia="Times New Roman" w:hAnsi="Arial" w:cs="Arial"/>
          <w:color w:val="000000"/>
          <w:lang w:eastAsia="es-ES_tradnl"/>
        </w:rPr>
        <w:t>a la recopilación de pruebas y la consecución de los objetivos probatorios</w:t>
      </w:r>
      <w:r w:rsidR="005A781F">
        <w:rPr>
          <w:rFonts w:ascii="Arial" w:eastAsia="Times New Roman" w:hAnsi="Arial" w:cs="Arial"/>
          <w:color w:val="000000"/>
          <w:lang w:eastAsia="es-ES_tradnl"/>
        </w:rPr>
        <w:t>, por parte del contratista</w:t>
      </w:r>
      <w:r w:rsidR="009E451C" w:rsidRPr="009E451C">
        <w:rPr>
          <w:rFonts w:ascii="Arial" w:eastAsia="Times New Roman" w:hAnsi="Arial" w:cs="Arial"/>
          <w:color w:val="000000"/>
          <w:lang w:eastAsia="es-ES_tradnl"/>
        </w:rPr>
        <w:t>. Por lo tanto, es necesario tener en cuenta estos aspectos durante el desarrollo de la audiencia</w:t>
      </w:r>
      <w:r w:rsidR="00A8330D">
        <w:rPr>
          <w:rFonts w:ascii="Arial" w:eastAsia="Times New Roman" w:hAnsi="Arial" w:cs="Arial"/>
          <w:color w:val="000000"/>
          <w:lang w:eastAsia="es-ES_tradnl"/>
        </w:rPr>
        <w:t xml:space="preserve"> para no afectar sus derechos fundamentales.</w:t>
      </w:r>
    </w:p>
    <w:p w14:paraId="050F4EEB" w14:textId="77777777" w:rsidR="00C875F9" w:rsidRPr="00502C7F" w:rsidRDefault="00C875F9" w:rsidP="00C875F9">
      <w:pPr>
        <w:spacing w:after="0" w:line="276" w:lineRule="auto"/>
        <w:ind w:firstLine="709"/>
        <w:jc w:val="both"/>
        <w:rPr>
          <w:rFonts w:ascii="Arial" w:eastAsia="Times New Roman" w:hAnsi="Arial" w:cs="Arial"/>
          <w:i/>
          <w:iCs/>
          <w:color w:val="000000"/>
          <w:lang w:val="es-ES_tradnl" w:eastAsia="es-ES_tradnl"/>
        </w:rPr>
      </w:pPr>
      <w:r w:rsidRPr="00502C7F">
        <w:rPr>
          <w:rFonts w:ascii="Arial" w:eastAsia="Times New Roman" w:hAnsi="Arial" w:cs="Arial"/>
          <w:i/>
          <w:iCs/>
          <w:color w:val="000000"/>
          <w:lang w:val="es-ES_tradnl" w:eastAsia="es-ES_tradnl"/>
        </w:rPr>
        <w:t xml:space="preserve">  </w:t>
      </w:r>
    </w:p>
    <w:p w14:paraId="37535048" w14:textId="77777777" w:rsidR="00C875F9" w:rsidRPr="0074631F" w:rsidRDefault="00C875F9" w:rsidP="00C875F9">
      <w:pPr>
        <w:tabs>
          <w:tab w:val="left" w:pos="284"/>
        </w:tabs>
        <w:spacing w:after="0" w:line="276" w:lineRule="auto"/>
        <w:contextualSpacing/>
        <w:jc w:val="both"/>
        <w:rPr>
          <w:rFonts w:ascii="Arial" w:eastAsia="Calibri" w:hAnsi="Arial" w:cs="Arial"/>
          <w:color w:val="000000"/>
          <w:lang w:val="es-ES_tradnl"/>
        </w:rPr>
      </w:pPr>
      <w:r w:rsidRPr="0074631F">
        <w:rPr>
          <w:rFonts w:ascii="Arial" w:eastAsia="Calibri" w:hAnsi="Arial" w:cs="Arial"/>
          <w:b/>
          <w:color w:val="000000"/>
          <w:lang w:val="es-ES_tradnl"/>
        </w:rPr>
        <w:t>3. Respuesta</w:t>
      </w:r>
    </w:p>
    <w:p w14:paraId="123BBBDE" w14:textId="77777777" w:rsidR="00C875F9" w:rsidRPr="0074631F" w:rsidRDefault="00C875F9" w:rsidP="00C875F9">
      <w:pPr>
        <w:spacing w:after="0" w:line="276" w:lineRule="auto"/>
        <w:ind w:left="709" w:right="709"/>
        <w:jc w:val="both"/>
        <w:rPr>
          <w:rFonts w:ascii="Arial" w:eastAsia="Calibri" w:hAnsi="Arial" w:cs="Arial"/>
          <w:i/>
          <w:color w:val="000000"/>
          <w:lang w:val="es-ES_tradnl"/>
        </w:rPr>
      </w:pPr>
    </w:p>
    <w:p w14:paraId="21520E2D" w14:textId="77777777" w:rsidR="00FB4240" w:rsidRPr="00F97159" w:rsidRDefault="00FB4240" w:rsidP="00FB4240">
      <w:pPr>
        <w:pStyle w:val="Prrafodelista"/>
        <w:tabs>
          <w:tab w:val="left" w:pos="0"/>
          <w:tab w:val="left" w:pos="284"/>
        </w:tabs>
        <w:spacing w:line="240" w:lineRule="auto"/>
        <w:ind w:left="709" w:right="709"/>
        <w:jc w:val="both"/>
        <w:rPr>
          <w:rFonts w:ascii="Arial" w:hAnsi="Arial" w:cs="Arial"/>
          <w:sz w:val="21"/>
          <w:szCs w:val="21"/>
        </w:rPr>
      </w:pPr>
      <w:r w:rsidRPr="00F97159">
        <w:rPr>
          <w:rFonts w:ascii="Arial" w:eastAsia="Times New Roman" w:hAnsi="Arial" w:cs="Arial"/>
          <w:sz w:val="21"/>
          <w:szCs w:val="21"/>
          <w:lang w:eastAsia="es-ES_tradnl"/>
        </w:rPr>
        <w:t xml:space="preserve">«1. </w:t>
      </w:r>
      <w:r w:rsidRPr="00F97159">
        <w:rPr>
          <w:rFonts w:ascii="Arial" w:hAnsi="Arial" w:cs="Arial"/>
          <w:sz w:val="21"/>
          <w:szCs w:val="21"/>
        </w:rPr>
        <w:t>¿Qué prevalece en el desarrollo post contractual, lo que pactan o acuerdan las partes o lo que queda registrado en la plataforma SECOP 2?</w:t>
      </w:r>
    </w:p>
    <w:p w14:paraId="63F694D2" w14:textId="77777777" w:rsidR="00FB4240" w:rsidRPr="00F97159" w:rsidRDefault="00FB4240" w:rsidP="00FB4240">
      <w:pPr>
        <w:pStyle w:val="Prrafodelista"/>
        <w:tabs>
          <w:tab w:val="left" w:pos="0"/>
          <w:tab w:val="left" w:pos="284"/>
        </w:tabs>
        <w:spacing w:line="240" w:lineRule="auto"/>
        <w:ind w:left="709" w:right="709"/>
        <w:jc w:val="both"/>
        <w:rPr>
          <w:rFonts w:ascii="Arial" w:hAnsi="Arial" w:cs="Arial"/>
          <w:sz w:val="21"/>
          <w:szCs w:val="21"/>
        </w:rPr>
      </w:pPr>
      <w:r w:rsidRPr="00F97159">
        <w:rPr>
          <w:rFonts w:ascii="Arial" w:hAnsi="Arial" w:cs="Arial"/>
          <w:sz w:val="21"/>
          <w:szCs w:val="21"/>
        </w:rPr>
        <w:t xml:space="preserve"> 2. Aun cuando el plazo de duración del contrato feneció, el hecho de que el contrato esté suspendido en la plataforma SECOP 2 ¿significa que el contrato sigue vigente porque el contratista de obra no ha aceptado la reanudación del contrato? </w:t>
      </w:r>
    </w:p>
    <w:p w14:paraId="3BBA919C" w14:textId="77777777" w:rsidR="00C875F9" w:rsidRPr="0074631F" w:rsidRDefault="00C875F9" w:rsidP="00C875F9">
      <w:pPr>
        <w:tabs>
          <w:tab w:val="left" w:pos="426"/>
        </w:tabs>
        <w:spacing w:after="0" w:line="240" w:lineRule="auto"/>
        <w:ind w:left="709" w:right="709"/>
        <w:jc w:val="both"/>
        <w:rPr>
          <w:rFonts w:ascii="Arial" w:eastAsia="Calibri" w:hAnsi="Arial" w:cs="Arial"/>
          <w:color w:val="000000"/>
          <w:sz w:val="21"/>
          <w:szCs w:val="21"/>
          <w:lang w:val="es-ES_tradnl"/>
        </w:rPr>
      </w:pPr>
      <w:r w:rsidRPr="0074631F">
        <w:rPr>
          <w:rFonts w:ascii="Arial" w:eastAsia="Calibri" w:hAnsi="Arial" w:cs="Arial"/>
          <w:color w:val="000000"/>
          <w:sz w:val="21"/>
          <w:szCs w:val="21"/>
          <w:lang w:val="es-ES_tradnl"/>
        </w:rPr>
        <w:t>[…]» (sic).</w:t>
      </w:r>
    </w:p>
    <w:p w14:paraId="7F70DCDE" w14:textId="77777777" w:rsidR="00C875F9" w:rsidRPr="0074631F" w:rsidRDefault="00C875F9" w:rsidP="00C875F9">
      <w:pPr>
        <w:tabs>
          <w:tab w:val="left" w:pos="426"/>
        </w:tabs>
        <w:spacing w:after="0" w:line="240" w:lineRule="auto"/>
        <w:ind w:left="709" w:right="709"/>
        <w:jc w:val="both"/>
        <w:rPr>
          <w:rFonts w:ascii="Arial" w:eastAsia="Calibri" w:hAnsi="Arial" w:cs="Arial"/>
          <w:color w:val="000000"/>
          <w:sz w:val="21"/>
          <w:szCs w:val="21"/>
          <w:lang w:val="es-ES_tradnl"/>
        </w:rPr>
      </w:pPr>
    </w:p>
    <w:p w14:paraId="27D630A1" w14:textId="067B46F2" w:rsidR="00C875F9" w:rsidRPr="0074631F" w:rsidRDefault="00475968" w:rsidP="00475968">
      <w:pPr>
        <w:spacing w:before="120" w:after="0" w:line="276" w:lineRule="auto"/>
        <w:jc w:val="both"/>
        <w:rPr>
          <w:rFonts w:ascii="Arial" w:eastAsia="Calibri" w:hAnsi="Arial" w:cs="Arial"/>
          <w:szCs w:val="24"/>
          <w:lang w:val="es-ES" w:eastAsia="es-ES_tradnl"/>
        </w:rPr>
      </w:pPr>
      <w:r>
        <w:rPr>
          <w:rFonts w:ascii="Arial" w:eastAsia="Calibri" w:hAnsi="Arial" w:cs="Arial"/>
          <w:szCs w:val="24"/>
          <w:lang w:val="es-ES" w:eastAsia="es-ES_tradnl"/>
        </w:rPr>
        <w:t>Conforme se expuso en el presente concepto, s</w:t>
      </w:r>
      <w:r w:rsidR="00C875F9" w:rsidRPr="0074631F">
        <w:rPr>
          <w:rFonts w:ascii="Arial" w:eastAsia="Calibri" w:hAnsi="Arial" w:cs="Arial"/>
          <w:szCs w:val="24"/>
          <w:lang w:val="es-ES" w:eastAsia="es-ES_tradnl"/>
        </w:rPr>
        <w:t xml:space="preserve">i una </w:t>
      </w:r>
      <w:r>
        <w:rPr>
          <w:rFonts w:ascii="Arial" w:eastAsia="Calibri" w:hAnsi="Arial" w:cs="Arial"/>
          <w:szCs w:val="24"/>
          <w:lang w:val="es-ES" w:eastAsia="es-ES_tradnl"/>
        </w:rPr>
        <w:t xml:space="preserve">entidad </w:t>
      </w:r>
      <w:r w:rsidR="00C875F9" w:rsidRPr="0074631F">
        <w:rPr>
          <w:rFonts w:ascii="Arial" w:eastAsia="Calibri" w:hAnsi="Arial" w:cs="Arial"/>
          <w:szCs w:val="24"/>
          <w:lang w:val="es-ES" w:eastAsia="es-ES_tradnl"/>
        </w:rPr>
        <w:t xml:space="preserve">se encuentra obligada a tramitar su contratación en el SECOP II, en principio, todos los </w:t>
      </w:r>
      <w:r w:rsidR="00C875F9" w:rsidRPr="0074631F">
        <w:rPr>
          <w:rFonts w:ascii="Arial" w:eastAsia="Calibri" w:hAnsi="Arial" w:cs="Arial"/>
          <w:i/>
          <w:iCs/>
          <w:szCs w:val="24"/>
          <w:lang w:val="es-ES" w:eastAsia="es-ES_tradnl"/>
        </w:rPr>
        <w:t>Documentos del Proceso</w:t>
      </w:r>
      <w:r w:rsidR="00C875F9" w:rsidRPr="0074631F">
        <w:rPr>
          <w:rFonts w:ascii="Arial" w:eastAsia="Calibri" w:hAnsi="Arial" w:cs="Arial"/>
          <w:szCs w:val="24"/>
          <w:lang w:val="es-ES" w:eastAsia="es-ES_tradnl"/>
        </w:rPr>
        <w:t xml:space="preserve"> deben gestionarse y crearse en esta plataforma. Esto con fundamento </w:t>
      </w:r>
      <w:r w:rsidR="00C875F9" w:rsidRPr="0074631F">
        <w:rPr>
          <w:rFonts w:ascii="Arial" w:eastAsia="Calibri" w:hAnsi="Arial" w:cs="Arial"/>
          <w:lang w:val="es-ES"/>
        </w:rPr>
        <w:t xml:space="preserve">el artículo 3 de la Ley 1150 de 2007, el </w:t>
      </w:r>
      <w:r w:rsidR="00C875F9" w:rsidRPr="0074631F">
        <w:rPr>
          <w:rFonts w:ascii="Arial" w:eastAsia="Arial" w:hAnsi="Arial" w:cs="Arial"/>
          <w:lang w:val="es-ES"/>
        </w:rPr>
        <w:t xml:space="preserve">artículo 2.2.1.1.1.7.1. del Decreto 1082 de 2015, la Ley 1712 de 2014 y el Decreto 1081 de 2015. Estas </w:t>
      </w:r>
      <w:r w:rsidR="00C875F9" w:rsidRPr="0074631F">
        <w:rPr>
          <w:rFonts w:ascii="Arial" w:eastAsia="Arial" w:hAnsi="Arial" w:cs="Arial"/>
          <w:lang w:val="es-ES"/>
        </w:rPr>
        <w:lastRenderedPageBreak/>
        <w:t xml:space="preserve">normas no solo refuerzan y complementan al régimen de contratación estatal en cuanto a la publicidad, sino que lo amplían, para incluir la publicación de los «procedimientos» y la información relativa a la «gestión contractual», sin el condicionamiento de tratarse exclusivamente de los </w:t>
      </w:r>
      <w:r w:rsidR="00C875F9" w:rsidRPr="0074631F">
        <w:rPr>
          <w:rFonts w:ascii="Arial" w:eastAsia="Arial" w:hAnsi="Arial" w:cs="Arial"/>
          <w:i/>
          <w:iCs/>
          <w:lang w:val="es-ES"/>
        </w:rPr>
        <w:t xml:space="preserve">Documentos del Proceso </w:t>
      </w:r>
      <w:r w:rsidR="00C875F9" w:rsidRPr="0074631F">
        <w:rPr>
          <w:rFonts w:ascii="Arial" w:eastAsia="Arial" w:hAnsi="Arial" w:cs="Arial"/>
          <w:lang w:val="es-ES"/>
        </w:rPr>
        <w:t>expedidos por la «entidad estatal».</w:t>
      </w:r>
    </w:p>
    <w:p w14:paraId="5F144D41" w14:textId="77777777" w:rsidR="00C875F9" w:rsidRPr="0074631F" w:rsidRDefault="00C875F9" w:rsidP="00C875F9">
      <w:pPr>
        <w:spacing w:before="120" w:after="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t xml:space="preserve">Dentro de la expresión </w:t>
      </w:r>
      <w:r w:rsidRPr="0074631F">
        <w:rPr>
          <w:rFonts w:ascii="Arial" w:eastAsia="Calibri" w:hAnsi="Arial" w:cs="Arial"/>
          <w:i/>
          <w:iCs/>
          <w:szCs w:val="24"/>
          <w:lang w:val="es-ES" w:eastAsia="es-ES_tradnl"/>
        </w:rPr>
        <w:t xml:space="preserve">Documentos del Proceso </w:t>
      </w:r>
      <w:r w:rsidRPr="0074631F">
        <w:rPr>
          <w:rFonts w:ascii="Arial" w:eastAsia="Calibri" w:hAnsi="Arial" w:cs="Arial"/>
          <w:szCs w:val="24"/>
          <w:lang w:val="es-ES" w:eastAsia="es-ES_tradnl"/>
        </w:rPr>
        <w:t xml:space="preserve">se encuentra el </w:t>
      </w:r>
      <w:r w:rsidRPr="0074631F">
        <w:rPr>
          <w:rFonts w:ascii="Arial" w:eastAsia="Calibri" w:hAnsi="Arial" w:cs="Arial"/>
          <w:i/>
          <w:iCs/>
          <w:szCs w:val="24"/>
          <w:lang w:val="es-ES" w:eastAsia="es-ES_tradnl"/>
        </w:rPr>
        <w:t>acta de suspensión</w:t>
      </w:r>
      <w:r w:rsidRPr="0074631F">
        <w:rPr>
          <w:rFonts w:ascii="Arial" w:eastAsia="Calibri" w:hAnsi="Arial" w:cs="Arial"/>
          <w:szCs w:val="24"/>
          <w:lang w:val="es-ES" w:eastAsia="es-ES_tradnl"/>
        </w:rPr>
        <w:t xml:space="preserve"> que suscriban las partes, pues también se trata de un documento proferido en la etapa de ejecución del contrato estatal, es decir, con ocasión de este. De igual manera, el </w:t>
      </w:r>
      <w:r w:rsidRPr="0074631F">
        <w:rPr>
          <w:rFonts w:ascii="Arial" w:eastAsia="Calibri" w:hAnsi="Arial" w:cs="Arial"/>
          <w:i/>
          <w:iCs/>
          <w:szCs w:val="24"/>
          <w:lang w:val="es-ES" w:eastAsia="es-ES_tradnl"/>
        </w:rPr>
        <w:t>acta de reinicio</w:t>
      </w:r>
      <w:r w:rsidRPr="0074631F">
        <w:rPr>
          <w:rFonts w:ascii="Arial" w:eastAsia="Calibri" w:hAnsi="Arial" w:cs="Arial"/>
          <w:szCs w:val="24"/>
          <w:lang w:val="es-ES" w:eastAsia="es-ES_tradnl"/>
        </w:rPr>
        <w:t xml:space="preserve"> –o de finalización de la suspensión– es un </w:t>
      </w:r>
      <w:r w:rsidRPr="0074631F">
        <w:rPr>
          <w:rFonts w:ascii="Arial" w:eastAsia="Calibri" w:hAnsi="Arial" w:cs="Arial"/>
          <w:i/>
          <w:iCs/>
          <w:szCs w:val="24"/>
          <w:lang w:val="es-ES" w:eastAsia="es-ES_tradnl"/>
        </w:rPr>
        <w:t>Documento del Proceso</w:t>
      </w:r>
      <w:r w:rsidRPr="0074631F">
        <w:rPr>
          <w:rFonts w:ascii="Arial" w:eastAsia="Calibri" w:hAnsi="Arial" w:cs="Arial"/>
          <w:szCs w:val="24"/>
          <w:lang w:val="es-ES" w:eastAsia="es-ES_tradnl"/>
        </w:rPr>
        <w:t xml:space="preserve"> que debe gestionarse transaccionalmente en el SECOP II, cuando exista el deber de emplear esta plataforma.</w:t>
      </w:r>
    </w:p>
    <w:p w14:paraId="28E49C5E" w14:textId="0CED020C" w:rsidR="00C875F9" w:rsidRPr="0074631F" w:rsidRDefault="00C875F9" w:rsidP="009E02FF">
      <w:pPr>
        <w:spacing w:before="120" w:after="120" w:line="276" w:lineRule="auto"/>
        <w:ind w:firstLine="709"/>
        <w:jc w:val="both"/>
        <w:rPr>
          <w:rFonts w:ascii="Arial" w:eastAsia="Calibri" w:hAnsi="Arial" w:cs="Arial"/>
          <w:szCs w:val="24"/>
          <w:lang w:val="es-ES" w:eastAsia="es-ES_tradnl"/>
        </w:rPr>
      </w:pPr>
      <w:r w:rsidRPr="0074631F">
        <w:rPr>
          <w:rFonts w:ascii="Arial" w:eastAsia="Times New Roman" w:hAnsi="Arial" w:cs="Arial"/>
          <w:color w:val="000000"/>
          <w:lang w:val="es-ES_tradnl" w:eastAsia="es-ES_tradnl"/>
        </w:rPr>
        <w:t xml:space="preserve">Ahora, según el artículo 40 de la Ley 80 de 1993, en los negocios jurídicos –y el acta de suspensión lo es, porque se trata de un acuerdo de voluntades para crear obligaciones– las entidades pueden incorporar las </w:t>
      </w:r>
      <w:r w:rsidRPr="0074631F">
        <w:rPr>
          <w:rFonts w:ascii="Arial" w:eastAsia="Times New Roman" w:hAnsi="Arial" w:cs="Arial"/>
          <w:i/>
          <w:iCs/>
          <w:color w:val="000000"/>
          <w:lang w:val="es-ES_tradnl" w:eastAsia="es-ES_tradnl"/>
        </w:rPr>
        <w:t>condiciones</w:t>
      </w:r>
      <w:r w:rsidRPr="0074631F">
        <w:rPr>
          <w:rFonts w:ascii="Arial" w:eastAsia="Times New Roman" w:hAnsi="Arial" w:cs="Arial"/>
          <w:color w:val="000000"/>
          <w:lang w:val="es-ES_tradnl" w:eastAsia="es-ES_tradnl"/>
        </w:rPr>
        <w:t xml:space="preserve"> y </w:t>
      </w:r>
      <w:r w:rsidRPr="0074631F">
        <w:rPr>
          <w:rFonts w:ascii="Arial" w:eastAsia="Times New Roman" w:hAnsi="Arial" w:cs="Arial"/>
          <w:i/>
          <w:iCs/>
          <w:color w:val="000000"/>
          <w:lang w:val="es-ES_tradnl" w:eastAsia="es-ES_tradnl"/>
        </w:rPr>
        <w:t xml:space="preserve">cláusulas </w:t>
      </w:r>
      <w:r w:rsidRPr="0074631F">
        <w:rPr>
          <w:rFonts w:ascii="Arial" w:eastAsia="Times New Roman" w:hAnsi="Arial" w:cs="Arial"/>
          <w:color w:val="000000"/>
          <w:lang w:val="es-ES_tradnl" w:eastAsia="es-ES_tradnl"/>
        </w:rPr>
        <w:t>que sean necesarias y convenientes. Pues bien, de conformidad con los artículos 1530 y siguientes del Código Civil –que establecen las condiciones o términos a los que pueden sujetarse las obligaciones, y que se aplican por la remisión que hacen los artículos 13, 32</w:t>
      </w:r>
      <w:r w:rsidR="000A5C00">
        <w:rPr>
          <w:rFonts w:ascii="Arial" w:eastAsia="Times New Roman" w:hAnsi="Arial" w:cs="Arial"/>
          <w:color w:val="000000"/>
          <w:lang w:val="es-ES_tradnl" w:eastAsia="es-ES_tradnl"/>
        </w:rPr>
        <w:t xml:space="preserve">, </w:t>
      </w:r>
      <w:r w:rsidRPr="0074631F">
        <w:rPr>
          <w:rFonts w:ascii="Arial" w:eastAsia="Times New Roman" w:hAnsi="Arial" w:cs="Arial"/>
          <w:color w:val="000000"/>
          <w:lang w:val="es-ES_tradnl" w:eastAsia="es-ES_tradnl"/>
        </w:rPr>
        <w:t xml:space="preserve">40 </w:t>
      </w:r>
      <w:r w:rsidR="000A5C00">
        <w:rPr>
          <w:rFonts w:ascii="Arial" w:eastAsia="Times New Roman" w:hAnsi="Arial" w:cs="Arial"/>
          <w:color w:val="000000"/>
          <w:lang w:val="es-ES_tradnl" w:eastAsia="es-ES_tradnl"/>
        </w:rPr>
        <w:t xml:space="preserve">y 41 </w:t>
      </w:r>
      <w:r w:rsidRPr="0074631F">
        <w:rPr>
          <w:rFonts w:ascii="Arial" w:eastAsia="Times New Roman" w:hAnsi="Arial" w:cs="Arial"/>
          <w:color w:val="000000"/>
          <w:lang w:val="es-ES_tradnl" w:eastAsia="es-ES_tradnl"/>
        </w:rPr>
        <w:t>de la Ley 80 de 1993 a las normas c</w:t>
      </w:r>
      <w:r w:rsidR="004B42BC">
        <w:rPr>
          <w:rFonts w:ascii="Arial" w:eastAsia="Times New Roman" w:hAnsi="Arial" w:cs="Arial"/>
          <w:color w:val="000000"/>
          <w:lang w:val="es-ES_tradnl" w:eastAsia="es-ES_tradnl"/>
        </w:rPr>
        <w:t>omerciales</w:t>
      </w:r>
      <w:r w:rsidRPr="0074631F">
        <w:rPr>
          <w:rFonts w:ascii="Arial" w:eastAsia="Times New Roman" w:hAnsi="Arial" w:cs="Arial"/>
          <w:color w:val="000000"/>
          <w:lang w:val="es-ES_tradnl" w:eastAsia="es-ES_tradnl"/>
        </w:rPr>
        <w:t xml:space="preserve"> y c</w:t>
      </w:r>
      <w:r w:rsidR="004B42BC">
        <w:rPr>
          <w:rFonts w:ascii="Arial" w:eastAsia="Times New Roman" w:hAnsi="Arial" w:cs="Arial"/>
          <w:color w:val="000000"/>
          <w:lang w:val="es-ES_tradnl" w:eastAsia="es-ES_tradnl"/>
        </w:rPr>
        <w:t>ivile</w:t>
      </w:r>
      <w:r w:rsidRPr="0074631F">
        <w:rPr>
          <w:rFonts w:ascii="Arial" w:eastAsia="Times New Roman" w:hAnsi="Arial" w:cs="Arial"/>
          <w:color w:val="000000"/>
          <w:lang w:val="es-ES_tradnl" w:eastAsia="es-ES_tradnl"/>
        </w:rPr>
        <w:t xml:space="preserve">s–, en el acta de suspensión puede estipularse que el plazo de ejecución del contrato se reactivará </w:t>
      </w:r>
      <w:r w:rsidR="004B42BC">
        <w:rPr>
          <w:rFonts w:ascii="Arial" w:eastAsia="Times New Roman" w:hAnsi="Arial" w:cs="Arial"/>
          <w:color w:val="000000"/>
          <w:lang w:val="es-ES_tradnl" w:eastAsia="es-ES_tradnl"/>
        </w:rPr>
        <w:t xml:space="preserve">automáticamente </w:t>
      </w:r>
      <w:r w:rsidRPr="0074631F">
        <w:rPr>
          <w:rFonts w:ascii="Arial" w:eastAsia="Times New Roman" w:hAnsi="Arial" w:cs="Arial"/>
          <w:color w:val="000000"/>
          <w:lang w:val="es-ES_tradnl" w:eastAsia="es-ES_tradnl"/>
        </w:rPr>
        <w:t xml:space="preserve">cuando se cumpla una </w:t>
      </w:r>
      <w:r w:rsidRPr="0074631F">
        <w:rPr>
          <w:rFonts w:ascii="Arial" w:eastAsia="Times New Roman" w:hAnsi="Arial" w:cs="Arial"/>
          <w:i/>
          <w:iCs/>
          <w:color w:val="000000"/>
          <w:lang w:val="es-ES_tradnl" w:eastAsia="es-ES_tradnl"/>
        </w:rPr>
        <w:t>condición</w:t>
      </w:r>
      <w:r w:rsidRPr="0074631F">
        <w:rPr>
          <w:rFonts w:ascii="Arial" w:eastAsia="Times New Roman" w:hAnsi="Arial" w:cs="Arial"/>
          <w:color w:val="000000"/>
          <w:lang w:val="es-ES_tradnl" w:eastAsia="es-ES_tradnl"/>
        </w:rPr>
        <w:t xml:space="preserve"> o sobrevenga una </w:t>
      </w:r>
      <w:r w:rsidRPr="0074631F">
        <w:rPr>
          <w:rFonts w:ascii="Arial" w:eastAsia="Times New Roman" w:hAnsi="Arial" w:cs="Arial"/>
          <w:i/>
          <w:iCs/>
          <w:color w:val="000000"/>
          <w:lang w:val="es-ES_tradnl" w:eastAsia="es-ES_tradnl"/>
        </w:rPr>
        <w:t>fecha específica</w:t>
      </w:r>
      <w:r w:rsidRPr="0074631F">
        <w:rPr>
          <w:rFonts w:ascii="Arial" w:eastAsia="Times New Roman" w:hAnsi="Arial" w:cs="Arial"/>
          <w:color w:val="000000"/>
          <w:lang w:val="es-ES_tradnl" w:eastAsia="es-ES_tradnl"/>
        </w:rPr>
        <w:t xml:space="preserve">. </w:t>
      </w:r>
    </w:p>
    <w:p w14:paraId="654F8F3F" w14:textId="73A959C9" w:rsidR="00C875F9" w:rsidRDefault="00C875F9" w:rsidP="009E02FF">
      <w:pPr>
        <w:spacing w:after="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De este modo, atendiendo a los términos en los que se haya pactado la suspensión es posible que no sea necesario suscribir luego un acta de reinicio para que se reactive la ejecución del contrato, sino que tal reactivación opere </w:t>
      </w:r>
      <w:r w:rsidRPr="0074631F">
        <w:rPr>
          <w:rFonts w:ascii="Arial" w:eastAsia="Times New Roman" w:hAnsi="Arial" w:cs="Arial"/>
          <w:i/>
          <w:iCs/>
          <w:color w:val="000000"/>
          <w:lang w:val="es-ES_tradnl" w:eastAsia="es-ES_tradnl"/>
        </w:rPr>
        <w:t>automáticamente</w:t>
      </w:r>
      <w:r w:rsidRPr="0074631F">
        <w:rPr>
          <w:rFonts w:ascii="Arial" w:eastAsia="Times New Roman" w:hAnsi="Arial" w:cs="Arial"/>
          <w:color w:val="000000"/>
          <w:lang w:val="es-ES_tradnl" w:eastAsia="es-ES_tradnl"/>
        </w:rPr>
        <w:t>, cuando se cumpla la condición o fecha cierta. En este caso no podría aducirse válidamente que como no se ha suscrito el acta de reinicio en el SECOP II el contrato aún se encuentra suspendido. Si una vez configurada la condición o cumplido el término el contratista no retoma la ejecución del contrato,</w:t>
      </w:r>
      <w:r w:rsidR="000D4C53">
        <w:rPr>
          <w:rFonts w:ascii="Arial" w:eastAsia="Times New Roman" w:hAnsi="Arial" w:cs="Arial"/>
          <w:color w:val="000000"/>
          <w:lang w:val="es-ES_tradnl" w:eastAsia="es-ES_tradnl"/>
        </w:rPr>
        <w:t xml:space="preserve"> e incluso</w:t>
      </w:r>
      <w:r w:rsidR="00B8314F">
        <w:rPr>
          <w:rFonts w:ascii="Arial" w:eastAsia="Times New Roman" w:hAnsi="Arial" w:cs="Arial"/>
          <w:color w:val="000000"/>
          <w:lang w:val="es-ES_tradnl" w:eastAsia="es-ES_tradnl"/>
        </w:rPr>
        <w:t>, posterior a ella, apara efectos de incumplimientos total o parcial del contrato,</w:t>
      </w:r>
      <w:r w:rsidRPr="0074631F">
        <w:rPr>
          <w:rFonts w:ascii="Arial" w:eastAsia="Times New Roman" w:hAnsi="Arial" w:cs="Arial"/>
          <w:color w:val="000000"/>
          <w:lang w:val="es-ES_tradnl" w:eastAsia="es-ES_tradnl"/>
        </w:rPr>
        <w:t xml:space="preserve"> sin que concurra una causal que lo exonere de responsabilidad, la entidad estatal estaría llamada a exigir el cumplimiento, a través de los mecanismos conminatorios y sancionatorios a los que haya lugar, según el régimen jurídico aplicable.</w:t>
      </w:r>
    </w:p>
    <w:p w14:paraId="69DA1355" w14:textId="63749249" w:rsidR="00146CA8" w:rsidRDefault="00146CA8" w:rsidP="00424847">
      <w:pPr>
        <w:spacing w:before="240" w:after="120" w:line="276" w:lineRule="auto"/>
        <w:ind w:firstLine="708"/>
        <w:jc w:val="both"/>
        <w:rPr>
          <w:rFonts w:ascii="Arial" w:eastAsia="Calibri" w:hAnsi="Arial" w:cs="Arial"/>
          <w:color w:val="000000" w:themeColor="text1"/>
          <w:lang w:val="es-ES"/>
        </w:rPr>
      </w:pPr>
      <w:r w:rsidRPr="000A5C00">
        <w:rPr>
          <w:rFonts w:ascii="Arial" w:eastAsia="Calibri" w:hAnsi="Arial" w:cs="Arial"/>
          <w:color w:val="000000" w:themeColor="text1"/>
          <w:lang w:val="es-ES"/>
        </w:rPr>
        <w:t xml:space="preserve">De cualquier forma, y de acuerdo con lo </w:t>
      </w:r>
      <w:r w:rsidR="004C0041" w:rsidRPr="000A5C00">
        <w:rPr>
          <w:rFonts w:ascii="Arial" w:eastAsia="Calibri" w:hAnsi="Arial" w:cs="Arial"/>
          <w:color w:val="000000" w:themeColor="text1"/>
          <w:lang w:val="es-ES"/>
        </w:rPr>
        <w:t>expuesto en este concepto</w:t>
      </w:r>
      <w:r w:rsidRPr="000A5C00">
        <w:rPr>
          <w:rFonts w:ascii="Arial" w:eastAsia="Calibri" w:hAnsi="Arial" w:cs="Arial"/>
          <w:color w:val="000000" w:themeColor="text1"/>
          <w:lang w:val="es-ES"/>
        </w:rPr>
        <w:t xml:space="preserve">, </w:t>
      </w:r>
      <w:r w:rsidR="004C0041" w:rsidRPr="000A5C00">
        <w:rPr>
          <w:rFonts w:ascii="Arial" w:eastAsia="Calibri" w:hAnsi="Arial" w:cs="Arial"/>
          <w:color w:val="000000" w:themeColor="text1"/>
          <w:lang w:val="es-ES"/>
        </w:rPr>
        <w:t>los reinicios</w:t>
      </w:r>
      <w:r w:rsidR="00263586" w:rsidRPr="000A5C00">
        <w:rPr>
          <w:rFonts w:ascii="Arial" w:eastAsia="Calibri" w:hAnsi="Arial" w:cs="Arial"/>
          <w:color w:val="000000" w:themeColor="text1"/>
          <w:lang w:val="es-ES"/>
        </w:rPr>
        <w:t xml:space="preserve"> automáticos </w:t>
      </w:r>
      <w:r w:rsidR="004C0041" w:rsidRPr="000A5C00">
        <w:rPr>
          <w:rFonts w:ascii="Arial" w:eastAsia="Calibri" w:hAnsi="Arial" w:cs="Arial"/>
          <w:color w:val="000000" w:themeColor="text1"/>
          <w:lang w:val="es-ES"/>
        </w:rPr>
        <w:t xml:space="preserve"> </w:t>
      </w:r>
      <w:r w:rsidR="00263586" w:rsidRPr="000A5C00">
        <w:rPr>
          <w:rFonts w:ascii="Arial" w:eastAsia="Calibri" w:hAnsi="Arial" w:cs="Arial"/>
          <w:color w:val="000000" w:themeColor="text1"/>
          <w:lang w:val="es-ES"/>
        </w:rPr>
        <w:t>pactados en actas de suspensión contractual,</w:t>
      </w:r>
      <w:r w:rsidRPr="000A5C00">
        <w:rPr>
          <w:rFonts w:ascii="Arial" w:eastAsia="Calibri" w:hAnsi="Arial" w:cs="Arial"/>
          <w:color w:val="000000" w:themeColor="text1"/>
          <w:lang w:val="es-ES"/>
        </w:rPr>
        <w:t xml:space="preserve"> nace y se perfecciona con el reconocimiento de las partes, de tal manera que se predica válida y produce los efectos que se buscaron con ella, en torno a </w:t>
      </w:r>
      <w:r w:rsidR="004456F3" w:rsidRPr="000A5C00">
        <w:rPr>
          <w:rFonts w:ascii="Arial" w:eastAsia="Calibri" w:hAnsi="Arial" w:cs="Arial"/>
          <w:color w:val="000000" w:themeColor="text1"/>
          <w:lang w:val="es-ES"/>
        </w:rPr>
        <w:t>reiniciar el contrato al cumplimiento de un plazo o condición</w:t>
      </w:r>
      <w:r w:rsidRPr="000A5C00">
        <w:rPr>
          <w:rFonts w:ascii="Arial" w:eastAsia="Calibri" w:hAnsi="Arial" w:cs="Arial"/>
          <w:color w:val="000000" w:themeColor="text1"/>
          <w:lang w:val="es-ES"/>
        </w:rPr>
        <w:t>, toda vez que, reiterando el argumento esbozado en la parte inicial de esta respuesta, cumple con los requisitos exigidos por la Ley 80 de 1993 en el</w:t>
      </w:r>
      <w:r w:rsidR="00B747D9">
        <w:rPr>
          <w:rFonts w:ascii="Arial" w:eastAsia="Calibri" w:hAnsi="Arial" w:cs="Arial"/>
          <w:color w:val="000000" w:themeColor="text1"/>
          <w:lang w:val="es-ES"/>
        </w:rPr>
        <w:t xml:space="preserve"> </w:t>
      </w:r>
      <w:r w:rsidRPr="000A5C00">
        <w:rPr>
          <w:rFonts w:ascii="Arial" w:eastAsia="Calibri" w:hAnsi="Arial" w:cs="Arial"/>
          <w:color w:val="000000" w:themeColor="text1"/>
          <w:lang w:val="es-ES"/>
        </w:rPr>
        <w:t>artículo</w:t>
      </w:r>
      <w:r w:rsidR="000A5C00">
        <w:rPr>
          <w:rFonts w:ascii="Arial" w:eastAsia="Calibri" w:hAnsi="Arial" w:cs="Arial"/>
          <w:color w:val="000000" w:themeColor="text1"/>
          <w:lang w:val="es-ES"/>
        </w:rPr>
        <w:t xml:space="preserve"> </w:t>
      </w:r>
      <w:r w:rsidRPr="000A5C00">
        <w:rPr>
          <w:rFonts w:ascii="Arial" w:eastAsia="Calibri" w:hAnsi="Arial" w:cs="Arial"/>
          <w:color w:val="000000" w:themeColor="text1"/>
          <w:lang w:val="es-ES"/>
        </w:rPr>
        <w:t>41.</w:t>
      </w:r>
      <w:r>
        <w:rPr>
          <w:rFonts w:ascii="Arial" w:eastAsia="Calibri" w:hAnsi="Arial" w:cs="Arial"/>
          <w:color w:val="000000" w:themeColor="text1"/>
          <w:lang w:val="es-ES"/>
        </w:rPr>
        <w:t xml:space="preserve"> </w:t>
      </w:r>
    </w:p>
    <w:p w14:paraId="384C1023" w14:textId="77777777" w:rsidR="007E49CF" w:rsidRDefault="007E49CF" w:rsidP="009264E6">
      <w:pPr>
        <w:pStyle w:val="Prrafodelista"/>
        <w:tabs>
          <w:tab w:val="left" w:pos="0"/>
          <w:tab w:val="left" w:pos="284"/>
        </w:tabs>
        <w:spacing w:line="240" w:lineRule="auto"/>
        <w:ind w:left="709" w:right="709"/>
        <w:jc w:val="both"/>
        <w:rPr>
          <w:rFonts w:ascii="Arial" w:hAnsi="Arial" w:cs="Arial"/>
          <w:sz w:val="21"/>
          <w:szCs w:val="21"/>
        </w:rPr>
      </w:pPr>
    </w:p>
    <w:p w14:paraId="07F71684" w14:textId="5B4A0C94" w:rsidR="009264E6" w:rsidRDefault="004033CD" w:rsidP="009E02FF">
      <w:pPr>
        <w:pStyle w:val="Prrafodelista"/>
        <w:tabs>
          <w:tab w:val="left" w:pos="0"/>
          <w:tab w:val="left" w:pos="284"/>
        </w:tabs>
        <w:spacing w:line="240" w:lineRule="auto"/>
        <w:ind w:left="709" w:right="709"/>
        <w:jc w:val="both"/>
        <w:rPr>
          <w:rFonts w:ascii="Arial" w:hAnsi="Arial" w:cs="Arial"/>
          <w:sz w:val="21"/>
          <w:szCs w:val="21"/>
        </w:rPr>
      </w:pPr>
      <w:r>
        <w:rPr>
          <w:rFonts w:ascii="Arial" w:hAnsi="Arial" w:cs="Arial"/>
          <w:sz w:val="21"/>
          <w:szCs w:val="21"/>
        </w:rPr>
        <w:t>«</w:t>
      </w:r>
      <w:r w:rsidR="009264E6" w:rsidRPr="00F97159">
        <w:rPr>
          <w:rFonts w:ascii="Arial" w:hAnsi="Arial" w:cs="Arial"/>
          <w:sz w:val="21"/>
          <w:szCs w:val="21"/>
        </w:rPr>
        <w:t>3. Si el contrato está suspendido ¿no es posible iniciar procedimientos sancionatorios por incumplimiento definitivo?»</w:t>
      </w:r>
      <w:r w:rsidR="009264E6">
        <w:rPr>
          <w:rFonts w:ascii="Arial" w:hAnsi="Arial" w:cs="Arial"/>
          <w:sz w:val="21"/>
          <w:szCs w:val="21"/>
        </w:rPr>
        <w:t xml:space="preserve"> (sic).</w:t>
      </w:r>
    </w:p>
    <w:p w14:paraId="61F94619" w14:textId="670954A3" w:rsidR="009264E6" w:rsidRDefault="007E49CF" w:rsidP="009E02FF">
      <w:pPr>
        <w:spacing w:after="120" w:line="276" w:lineRule="auto"/>
        <w:ind w:firstLine="708"/>
        <w:jc w:val="both"/>
        <w:rPr>
          <w:rFonts w:ascii="Arial" w:eastAsia="Calibri" w:hAnsi="Arial" w:cs="Arial"/>
          <w:color w:val="000000"/>
          <w:lang w:val="es-ES" w:eastAsia="es-ES_tradnl"/>
        </w:rPr>
      </w:pPr>
      <w:r w:rsidRPr="00A075A3">
        <w:rPr>
          <w:rFonts w:ascii="Arial" w:eastAsia="Times New Roman" w:hAnsi="Arial" w:cs="Arial"/>
          <w:iCs/>
          <w:color w:val="000000"/>
          <w:lang w:val="es-ES_tradnl" w:eastAsia="es-ES_tradnl"/>
        </w:rPr>
        <w:lastRenderedPageBreak/>
        <w:t xml:space="preserve">Las entidades estatales cuentan </w:t>
      </w:r>
      <w:r w:rsidR="006851E3" w:rsidRPr="00A075A3">
        <w:rPr>
          <w:rFonts w:ascii="Arial" w:eastAsia="Times New Roman" w:hAnsi="Arial" w:cs="Arial"/>
          <w:iCs/>
          <w:color w:val="000000"/>
          <w:lang w:val="es-ES_tradnl" w:eastAsia="es-ES_tradnl"/>
        </w:rPr>
        <w:t xml:space="preserve">potestades exorbitantes </w:t>
      </w:r>
      <w:r w:rsidR="000A52A1" w:rsidRPr="00A075A3">
        <w:rPr>
          <w:rFonts w:ascii="Arial" w:eastAsia="Times New Roman" w:hAnsi="Arial" w:cs="Arial"/>
          <w:iCs/>
          <w:color w:val="000000"/>
          <w:lang w:val="es-ES_tradnl" w:eastAsia="es-ES_tradnl"/>
        </w:rPr>
        <w:t xml:space="preserve">y facultades unilaterales </w:t>
      </w:r>
      <w:r w:rsidR="0096040E" w:rsidRPr="00A075A3">
        <w:rPr>
          <w:rFonts w:ascii="Arial" w:eastAsia="Times New Roman" w:hAnsi="Arial" w:cs="Arial"/>
          <w:iCs/>
          <w:color w:val="000000"/>
          <w:lang w:val="es-ES_tradnl" w:eastAsia="es-ES_tradnl"/>
        </w:rPr>
        <w:t xml:space="preserve">dentro de la contratación estatal, </w:t>
      </w:r>
      <w:r w:rsidR="00A075A3" w:rsidRPr="00A075A3">
        <w:rPr>
          <w:rFonts w:ascii="Arial" w:eastAsia="Times New Roman" w:hAnsi="Arial" w:cs="Arial"/>
          <w:iCs/>
          <w:color w:val="000000"/>
          <w:lang w:val="es-ES_tradnl" w:eastAsia="es-ES_tradnl"/>
        </w:rPr>
        <w:t xml:space="preserve">que permiten </w:t>
      </w:r>
      <w:r w:rsidR="00A075A3" w:rsidRPr="00A075A3">
        <w:rPr>
          <w:rFonts w:ascii="Arial" w:eastAsia="Times New Roman" w:hAnsi="Arial" w:cs="Arial"/>
          <w:color w:val="000000"/>
          <w:lang w:eastAsia="es-ES_tradnl"/>
        </w:rPr>
        <w:t>imponer unilateralmente multas o sanciones de caducidad, o declaratorias de incumplimiento, o tasación de perjuicios y hacer efectiva la cláusula penal en el marco de un contrato estatal</w:t>
      </w:r>
      <w:r w:rsidR="000F1BFD">
        <w:rPr>
          <w:rFonts w:ascii="Arial" w:eastAsia="Times New Roman" w:hAnsi="Arial" w:cs="Arial"/>
          <w:color w:val="000000"/>
          <w:lang w:eastAsia="es-ES_tradnl"/>
        </w:rPr>
        <w:t>, entre otros,</w:t>
      </w:r>
      <w:r w:rsidR="00801A44">
        <w:rPr>
          <w:rFonts w:ascii="Arial" w:eastAsia="Times New Roman" w:hAnsi="Arial" w:cs="Arial"/>
          <w:color w:val="000000"/>
          <w:lang w:eastAsia="es-ES_tradnl"/>
        </w:rPr>
        <w:t xml:space="preserve"> cuando se está al frente de un posible incumplimiento contractual. Para ello las entidades cuentan con el</w:t>
      </w:r>
      <w:r w:rsidR="00A075A3" w:rsidRPr="00A075A3">
        <w:rPr>
          <w:rFonts w:ascii="Arial" w:eastAsia="Times New Roman" w:hAnsi="Arial" w:cs="Arial"/>
          <w:iCs/>
          <w:color w:val="000000"/>
          <w:lang w:val="es-ES_tradnl" w:eastAsia="es-ES_tradnl"/>
        </w:rPr>
        <w:t xml:space="preserve"> procedimiento establecido en el artículo 86 de la Ley 1474 de 20211</w:t>
      </w:r>
      <w:r w:rsidR="005C36EB">
        <w:rPr>
          <w:rFonts w:ascii="Arial" w:eastAsia="Times New Roman" w:hAnsi="Arial" w:cs="Arial"/>
          <w:iCs/>
          <w:color w:val="000000"/>
          <w:lang w:val="es-ES_tradnl" w:eastAsia="es-ES_tradnl"/>
        </w:rPr>
        <w:t xml:space="preserve">, </w:t>
      </w:r>
      <w:r w:rsidR="00F77E8C">
        <w:rPr>
          <w:rFonts w:ascii="Arial" w:eastAsia="Times New Roman" w:hAnsi="Arial" w:cs="Arial"/>
          <w:iCs/>
          <w:color w:val="000000"/>
          <w:lang w:val="es-ES_tradnl" w:eastAsia="es-ES_tradnl"/>
        </w:rPr>
        <w:t xml:space="preserve">el cual inicia con la </w:t>
      </w:r>
      <w:r w:rsidR="009264E6" w:rsidRPr="00A075A3">
        <w:rPr>
          <w:rFonts w:ascii="Arial" w:eastAsia="Calibri" w:hAnsi="Arial" w:cs="Arial"/>
          <w:color w:val="000000"/>
          <w:lang w:val="es-ES" w:eastAsia="es-ES_tradnl"/>
        </w:rPr>
        <w:t>citación a la audiencia</w:t>
      </w:r>
      <w:r w:rsidR="00BA7AE1">
        <w:rPr>
          <w:rFonts w:ascii="Arial" w:eastAsia="Calibri" w:hAnsi="Arial" w:cs="Arial"/>
          <w:color w:val="000000"/>
          <w:lang w:val="es-ES" w:eastAsia="es-ES_tradnl"/>
        </w:rPr>
        <w:t xml:space="preserve"> que</w:t>
      </w:r>
      <w:r w:rsidR="009264E6" w:rsidRPr="00A075A3">
        <w:rPr>
          <w:rFonts w:ascii="Arial" w:eastAsia="Calibri" w:hAnsi="Arial" w:cs="Arial"/>
          <w:color w:val="000000"/>
          <w:lang w:val="es-ES" w:eastAsia="es-ES_tradnl"/>
        </w:rPr>
        <w:t xml:space="preserve"> debe cumplir mínimamente los siguientes aspectos: i) señalar los </w:t>
      </w:r>
      <w:r w:rsidR="009264E6" w:rsidRPr="00A075A3">
        <w:rPr>
          <w:rFonts w:ascii="Arial" w:eastAsia="Calibri" w:hAnsi="Arial" w:cs="Arial"/>
          <w:i/>
          <w:iCs/>
          <w:color w:val="000000"/>
          <w:lang w:val="es-ES" w:eastAsia="es-ES_tradnl"/>
        </w:rPr>
        <w:t>hechos</w:t>
      </w:r>
      <w:r w:rsidR="009264E6" w:rsidRPr="00A075A3">
        <w:rPr>
          <w:rFonts w:ascii="Arial" w:eastAsia="Calibri" w:hAnsi="Arial" w:cs="Arial"/>
          <w:color w:val="000000"/>
          <w:lang w:val="es-ES" w:eastAsia="es-ES_tradnl"/>
        </w:rPr>
        <w:t xml:space="preserve"> que soportan la actuación, en particular la descripción detallada de cuáles son las actuaciones u omisiones del contratista que materializan el incumplimiento de las obligaciones. Además, se deben </w:t>
      </w:r>
      <w:proofErr w:type="spellStart"/>
      <w:r w:rsidR="009264E6" w:rsidRPr="00A075A3">
        <w:rPr>
          <w:rFonts w:ascii="Arial" w:eastAsia="Calibri" w:hAnsi="Arial" w:cs="Arial"/>
          <w:color w:val="000000"/>
          <w:lang w:val="es-ES" w:eastAsia="es-ES_tradnl"/>
        </w:rPr>
        <w:t>ii</w:t>
      </w:r>
      <w:proofErr w:type="spellEnd"/>
      <w:r w:rsidR="009264E6" w:rsidRPr="00A075A3">
        <w:rPr>
          <w:rFonts w:ascii="Arial" w:eastAsia="Calibri" w:hAnsi="Arial" w:cs="Arial"/>
          <w:color w:val="000000"/>
          <w:lang w:val="es-ES" w:eastAsia="es-ES_tradnl"/>
        </w:rPr>
        <w:t xml:space="preserve">) adjuntar los informes de supervisión o de interventoría que soportan la actuación, donde la entidad fundamenta su decisión de iniciar el procedimiento sancionatorio. Asimismo, debe acompañarse de las </w:t>
      </w:r>
      <w:proofErr w:type="spellStart"/>
      <w:r w:rsidR="009264E6" w:rsidRPr="00A075A3">
        <w:rPr>
          <w:rFonts w:ascii="Arial" w:eastAsia="Calibri" w:hAnsi="Arial" w:cs="Arial"/>
          <w:color w:val="000000"/>
          <w:lang w:val="es-ES" w:eastAsia="es-ES_tradnl"/>
        </w:rPr>
        <w:t>iii</w:t>
      </w:r>
      <w:proofErr w:type="spellEnd"/>
      <w:r w:rsidR="009264E6" w:rsidRPr="00A075A3">
        <w:rPr>
          <w:rFonts w:ascii="Arial" w:eastAsia="Calibri" w:hAnsi="Arial" w:cs="Arial"/>
          <w:color w:val="000000"/>
          <w:lang w:val="es-ES" w:eastAsia="es-ES_tradnl"/>
        </w:rPr>
        <w:t xml:space="preserve">) pruebas adicionales con que cuente la entidad y que sirven para acreditar el incumplimiento. </w:t>
      </w:r>
      <w:proofErr w:type="spellStart"/>
      <w:r w:rsidR="009264E6" w:rsidRPr="00A075A3">
        <w:rPr>
          <w:rFonts w:ascii="Arial" w:eastAsia="Calibri" w:hAnsi="Arial" w:cs="Arial"/>
          <w:color w:val="000000"/>
          <w:lang w:val="es-ES" w:eastAsia="es-ES_tradnl"/>
        </w:rPr>
        <w:t>iv</w:t>
      </w:r>
      <w:proofErr w:type="spellEnd"/>
      <w:r w:rsidR="009264E6" w:rsidRPr="00A075A3">
        <w:rPr>
          <w:rFonts w:ascii="Arial" w:eastAsia="Calibri" w:hAnsi="Arial" w:cs="Arial"/>
          <w:color w:val="000000"/>
          <w:lang w:val="es-ES" w:eastAsia="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009264E6" w:rsidRPr="00A075A3">
        <w:rPr>
          <w:rFonts w:ascii="Arial" w:eastAsia="Calibri" w:hAnsi="Arial" w:cs="Arial"/>
          <w:color w:val="000000"/>
          <w:lang w:val="es-ES" w:eastAsia="es-ES_tradnl"/>
        </w:rPr>
        <w:t>vii</w:t>
      </w:r>
      <w:proofErr w:type="spellEnd"/>
      <w:r w:rsidR="009264E6" w:rsidRPr="00A075A3">
        <w:rPr>
          <w:rFonts w:ascii="Arial" w:eastAsia="Calibri" w:hAnsi="Arial" w:cs="Arial"/>
          <w:color w:val="000000"/>
          <w:lang w:val="es-ES" w:eastAsia="es-ES_tradnl"/>
        </w:rPr>
        <w:t xml:space="preserve">) deben indicar el lugar, fecha y hora para la realización de la audiencia, sin perjuicio de que esta se pueda efectuar por medios electrónicos. </w:t>
      </w:r>
    </w:p>
    <w:p w14:paraId="330304D3" w14:textId="31CDF16F" w:rsidR="009264E6" w:rsidRDefault="007E461D" w:rsidP="0067784C">
      <w:pPr>
        <w:spacing w:line="276" w:lineRule="auto"/>
        <w:ind w:firstLine="708"/>
        <w:jc w:val="both"/>
        <w:rPr>
          <w:rFonts w:ascii="Arial" w:eastAsia="Geomanist Light" w:hAnsi="Arial" w:cs="Arial"/>
          <w:color w:val="000000" w:themeColor="text1"/>
        </w:rPr>
      </w:pPr>
      <w:r w:rsidRPr="007E461D">
        <w:rPr>
          <w:rFonts w:ascii="Arial" w:eastAsia="Geomanist Light" w:hAnsi="Arial" w:cs="Arial"/>
          <w:color w:val="000000" w:themeColor="text1"/>
        </w:rPr>
        <w:t>En desarrollo de la audiencia,</w:t>
      </w:r>
      <w:r w:rsidR="00D67CAF">
        <w:rPr>
          <w:rFonts w:ascii="Arial" w:eastAsia="Geomanist Light" w:hAnsi="Arial" w:cs="Arial"/>
          <w:color w:val="000000" w:themeColor="text1"/>
        </w:rPr>
        <w:t xml:space="preserve"> el artículo 86 de la Ley 1474 de 2011, prevé todo un procedimiento garante del derecho al debido proceso, donde</w:t>
      </w:r>
      <w:r w:rsidRPr="007E461D">
        <w:rPr>
          <w:rFonts w:ascii="Arial" w:eastAsia="Geomanist Light" w:hAnsi="Arial" w:cs="Arial"/>
          <w:color w:val="000000" w:themeColor="text1"/>
        </w:rPr>
        <w:t xml:space="preserve"> el jefe de la entidad o su </w:t>
      </w:r>
      <w:r w:rsidR="00213F24" w:rsidRPr="007E461D">
        <w:rPr>
          <w:rFonts w:ascii="Arial" w:eastAsia="Geomanist Light" w:hAnsi="Arial" w:cs="Arial"/>
          <w:color w:val="000000" w:themeColor="text1"/>
        </w:rPr>
        <w:t>delegado</w:t>
      </w:r>
      <w:r w:rsidRPr="007E461D">
        <w:rPr>
          <w:rFonts w:ascii="Arial" w:eastAsia="Geomanist Light" w:hAnsi="Arial" w:cs="Arial"/>
          <w:color w:val="000000" w:themeColor="text1"/>
        </w:rPr>
        <w:t xml:space="preserve"> presentará las circunstancias de hecho que motivan la actuación, </w:t>
      </w:r>
      <w:r w:rsidR="00213F24">
        <w:rPr>
          <w:rFonts w:ascii="Arial" w:eastAsia="Geomanist Light" w:hAnsi="Arial" w:cs="Arial"/>
          <w:color w:val="000000" w:themeColor="text1"/>
        </w:rPr>
        <w:t>m</w:t>
      </w:r>
      <w:r w:rsidR="0067784C">
        <w:rPr>
          <w:rFonts w:ascii="Arial" w:eastAsia="Geomanist Light" w:hAnsi="Arial" w:cs="Arial"/>
          <w:color w:val="000000" w:themeColor="text1"/>
        </w:rPr>
        <w:t>ás los requerimientos previamente enunciados y a</w:t>
      </w:r>
      <w:r w:rsidRPr="007E461D">
        <w:rPr>
          <w:rFonts w:ascii="Arial" w:eastAsia="Geomanist Light" w:hAnsi="Arial" w:cs="Arial"/>
          <w:color w:val="000000" w:themeColor="text1"/>
        </w:rPr>
        <w:t>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r w:rsidR="0067784C">
        <w:rPr>
          <w:rFonts w:ascii="Arial" w:eastAsia="Geomanist Light" w:hAnsi="Arial" w:cs="Arial"/>
          <w:color w:val="000000" w:themeColor="text1"/>
        </w:rPr>
        <w:t xml:space="preserve">. Finalmente, </w:t>
      </w:r>
      <w:r w:rsidRPr="007E461D">
        <w:rPr>
          <w:rFonts w:ascii="Arial" w:eastAsia="Geomanist Light" w:hAnsi="Arial" w:cs="Arial"/>
          <w:color w:val="000000" w:themeColor="text1"/>
        </w:rPr>
        <w:t>mediante resolución motivada</w:t>
      </w:r>
      <w:r w:rsidR="00915C59">
        <w:rPr>
          <w:rFonts w:ascii="Arial" w:eastAsia="Geomanist Light" w:hAnsi="Arial" w:cs="Arial"/>
          <w:color w:val="000000" w:themeColor="text1"/>
        </w:rPr>
        <w:t xml:space="preserve">, </w:t>
      </w:r>
      <w:r w:rsidRPr="007E461D">
        <w:rPr>
          <w:rFonts w:ascii="Arial" w:eastAsia="Geomanist Light" w:hAnsi="Arial" w:cs="Arial"/>
          <w:color w:val="000000" w:themeColor="text1"/>
        </w:rPr>
        <w:t>la entidad procederá a decidir sobre la imposición o no de la multa, sanción o declaratoria de incumplimiento.</w:t>
      </w:r>
    </w:p>
    <w:p w14:paraId="3C026268" w14:textId="356CE6D3" w:rsidR="00D67CAF" w:rsidRPr="00146CA8" w:rsidRDefault="00D67CAF" w:rsidP="009E02FF">
      <w:pPr>
        <w:spacing w:before="120" w:after="120" w:line="276" w:lineRule="auto"/>
        <w:ind w:firstLine="709"/>
        <w:jc w:val="both"/>
        <w:rPr>
          <w:rFonts w:ascii="Arial" w:eastAsia="Times New Roman" w:hAnsi="Arial" w:cs="Arial"/>
          <w:color w:val="000000"/>
          <w:lang w:val="es-ES" w:eastAsia="es-ES_tradnl"/>
        </w:rPr>
      </w:pPr>
      <w:r w:rsidRPr="2CC73101">
        <w:rPr>
          <w:rFonts w:ascii="Arial" w:eastAsia="Times New Roman" w:hAnsi="Arial" w:cs="Arial"/>
          <w:color w:val="000000" w:themeColor="text1"/>
          <w:lang w:eastAsia="es-ES"/>
        </w:rPr>
        <w:t>En ese orden de ideas, es posible citar a un contratista a la audiencia sancionatoria prevista en el artículo 86 de la Ley 1474 de 2011</w:t>
      </w:r>
      <w:r w:rsidR="000D4C53" w:rsidRPr="2CC73101">
        <w:rPr>
          <w:rFonts w:ascii="Arial" w:eastAsia="Times New Roman" w:hAnsi="Arial" w:cs="Arial"/>
          <w:color w:val="000000" w:themeColor="text1"/>
          <w:lang w:eastAsia="es-ES"/>
        </w:rPr>
        <w:t xml:space="preserve">, </w:t>
      </w:r>
      <w:r w:rsidRPr="2CC73101">
        <w:rPr>
          <w:rFonts w:ascii="Arial" w:eastAsia="Times New Roman" w:hAnsi="Arial" w:cs="Arial"/>
          <w:color w:val="000000" w:themeColor="text1"/>
          <w:lang w:eastAsia="es-ES"/>
        </w:rPr>
        <w:t>durante el periodo de suspensión de un contrato estatal, teniendo en cuenta que la Ley 1150 de 2007 y la Ley 1474 de 2011, no prevé una limitación para iniciar dichos procesos sancionatorios</w:t>
      </w:r>
      <w:r w:rsidR="000D4C53" w:rsidRPr="2CC73101">
        <w:rPr>
          <w:rFonts w:ascii="Arial" w:eastAsia="Times New Roman" w:hAnsi="Arial" w:cs="Arial"/>
          <w:color w:val="000000" w:themeColor="text1"/>
          <w:lang w:eastAsia="es-ES"/>
        </w:rPr>
        <w:t xml:space="preserve"> en dichas circunstancias</w:t>
      </w:r>
      <w:r w:rsidRPr="2CC73101">
        <w:rPr>
          <w:rFonts w:ascii="Arial" w:eastAsia="Times New Roman" w:hAnsi="Arial" w:cs="Arial"/>
          <w:color w:val="000000" w:themeColor="text1"/>
          <w:lang w:eastAsia="es-ES"/>
        </w:rPr>
        <w:t>, siendo permitido que puedan iniciarse en cualquier momento durante la vigencia del contrato,</w:t>
      </w:r>
      <w:r w:rsidR="00B8314F" w:rsidRPr="2CC73101">
        <w:rPr>
          <w:rFonts w:ascii="Arial" w:eastAsia="Times New Roman" w:hAnsi="Arial" w:cs="Arial"/>
          <w:color w:val="000000" w:themeColor="text1"/>
          <w:lang w:eastAsia="es-ES"/>
        </w:rPr>
        <w:t xml:space="preserve"> </w:t>
      </w:r>
      <w:r w:rsidR="000B612E" w:rsidRPr="2CC73101">
        <w:rPr>
          <w:rFonts w:ascii="Arial" w:eastAsia="Times New Roman" w:hAnsi="Arial" w:cs="Arial"/>
          <w:color w:val="000000" w:themeColor="text1"/>
          <w:lang w:eastAsia="es-ES"/>
        </w:rPr>
        <w:t>(y posterior a dicho plazo pero sólo para efecto de incumplimiento parcial o total del contrato)</w:t>
      </w:r>
      <w:r w:rsidRPr="2CC73101">
        <w:rPr>
          <w:rFonts w:ascii="Arial" w:eastAsia="Times New Roman" w:hAnsi="Arial" w:cs="Arial"/>
          <w:color w:val="000000" w:themeColor="text1"/>
          <w:lang w:eastAsia="es-ES"/>
        </w:rPr>
        <w:t xml:space="preserve"> dado a que la suspensión temporal de la ejecución del contrato no afecta la continuación de los procesos administrativos, incluyendo los sancionatorios, pues las entidades aún en ellos pueden exigir el cumplimiento de obligaciones contractuales.</w:t>
      </w:r>
    </w:p>
    <w:p w14:paraId="62C1DC53" w14:textId="5D22D701" w:rsidR="00E24C8D" w:rsidRPr="00A075A3" w:rsidRDefault="00E24C8D" w:rsidP="00A075A3">
      <w:pPr>
        <w:spacing w:after="0" w:line="276" w:lineRule="auto"/>
        <w:ind w:firstLine="708"/>
        <w:jc w:val="both"/>
        <w:rPr>
          <w:rFonts w:ascii="Arial" w:eastAsia="Times New Roman" w:hAnsi="Arial" w:cs="Arial"/>
          <w:color w:val="000000"/>
          <w:lang w:eastAsia="es-ES_tradnl"/>
        </w:rPr>
      </w:pPr>
      <w:r w:rsidRPr="00A075A3">
        <w:rPr>
          <w:rFonts w:ascii="Arial" w:eastAsia="Times New Roman" w:hAnsi="Arial" w:cs="Arial"/>
          <w:color w:val="000000"/>
          <w:lang w:eastAsia="es-ES_tradnl"/>
        </w:rPr>
        <w:t xml:space="preserve">Sin embargo, </w:t>
      </w:r>
      <w:r w:rsidR="00B24D3C">
        <w:rPr>
          <w:rFonts w:ascii="Arial" w:eastAsia="Times New Roman" w:hAnsi="Arial" w:cs="Arial"/>
          <w:color w:val="000000"/>
          <w:lang w:eastAsia="es-ES_tradnl"/>
        </w:rPr>
        <w:t>l</w:t>
      </w:r>
      <w:r w:rsidRPr="00A075A3">
        <w:rPr>
          <w:rFonts w:ascii="Arial" w:eastAsia="Times New Roman" w:hAnsi="Arial" w:cs="Arial"/>
          <w:color w:val="000000"/>
          <w:lang w:eastAsia="es-ES_tradnl"/>
        </w:rPr>
        <w:t xml:space="preserve">a citación a una audiencia sancionatoria durante el periodo de suspensión de la ejecución de un contrato estatal en Colombia no es per se una violación del derecho al </w:t>
      </w:r>
      <w:r w:rsidRPr="00A075A3">
        <w:rPr>
          <w:rFonts w:ascii="Arial" w:eastAsia="Times New Roman" w:hAnsi="Arial" w:cs="Arial"/>
          <w:color w:val="000000"/>
          <w:lang w:eastAsia="es-ES_tradnl"/>
        </w:rPr>
        <w:lastRenderedPageBreak/>
        <w:t>debido proceso, siempre y cuando se garantice el derecho al debido proceso de las partes involucradas en el proceso administrativo sancionatorio.</w:t>
      </w:r>
    </w:p>
    <w:p w14:paraId="410800E0" w14:textId="77777777" w:rsidR="00944C5B" w:rsidRPr="008A1492" w:rsidRDefault="00944C5B" w:rsidP="00944C5B">
      <w:pPr>
        <w:spacing w:after="0" w:line="276" w:lineRule="auto"/>
        <w:jc w:val="both"/>
        <w:rPr>
          <w:rFonts w:ascii="Arial" w:eastAsia="Calibri" w:hAnsi="Arial" w:cs="Arial"/>
          <w:color w:val="000000"/>
          <w:lang w:val="es-ES_tradnl"/>
        </w:rPr>
      </w:pPr>
    </w:p>
    <w:p w14:paraId="6B1663DE" w14:textId="77777777" w:rsidR="00944C5B" w:rsidRPr="006F182F" w:rsidRDefault="00944C5B" w:rsidP="004033CD">
      <w:pPr>
        <w:spacing w:after="0" w:line="276" w:lineRule="auto"/>
        <w:jc w:val="both"/>
        <w:rPr>
          <w:rFonts w:ascii="Arial" w:hAnsi="Arial" w:cs="Arial"/>
        </w:rPr>
      </w:pPr>
      <w:r w:rsidRPr="008A1492">
        <w:rPr>
          <w:rFonts w:ascii="Arial" w:eastAsia="Calibri" w:hAnsi="Arial" w:cs="Arial"/>
          <w:color w:val="000000"/>
          <w:lang w:val="es-ES_tradnl"/>
        </w:rPr>
        <w:t xml:space="preserve">Este concepto tiene el alcance previsto en el artículo 28 del Código de Procedimiento Administrativo y de lo Contencioso </w:t>
      </w:r>
      <w:r w:rsidRPr="00272290">
        <w:rPr>
          <w:rFonts w:ascii="Arial" w:eastAsia="Calibri" w:hAnsi="Arial" w:cs="Arial"/>
          <w:color w:val="000000"/>
          <w:lang w:val="es-ES_tradnl"/>
        </w:rPr>
        <w:t>Administrativo</w:t>
      </w:r>
      <w:r>
        <w:rPr>
          <w:rFonts w:ascii="Arial" w:eastAsia="Calibri" w:hAnsi="Arial" w:cs="Arial"/>
          <w:color w:val="000000"/>
          <w:lang w:val="es-ES_tradnl"/>
        </w:rPr>
        <w:t xml:space="preserve"> y </w:t>
      </w:r>
      <w:r>
        <w:rPr>
          <w:rFonts w:ascii="Arial" w:hAnsi="Arial" w:cs="Arial"/>
        </w:rPr>
        <w:t>l</w:t>
      </w:r>
      <w:r w:rsidRPr="00301C53">
        <w:rPr>
          <w:rFonts w:ascii="Arial" w:hAnsi="Arial" w:cs="Arial"/>
        </w:rPr>
        <w:t xml:space="preserve">as expresiones aquí utilizadas con mayúscula inicial deben ser entendidas con el significado que </w:t>
      </w:r>
      <w:r>
        <w:rPr>
          <w:rFonts w:ascii="Arial" w:hAnsi="Arial" w:cs="Arial"/>
        </w:rPr>
        <w:t xml:space="preserve">les otorga el artículo </w:t>
      </w:r>
      <w:r w:rsidRPr="00301C53">
        <w:rPr>
          <w:rFonts w:ascii="Arial" w:hAnsi="Arial" w:cs="Arial"/>
        </w:rPr>
        <w:t>2.2.1.1.1.3.1.</w:t>
      </w:r>
      <w:r>
        <w:rPr>
          <w:rFonts w:ascii="Arial" w:hAnsi="Arial" w:cs="Arial"/>
        </w:rPr>
        <w:t xml:space="preserve"> del Decreto 1082 de 2015.</w:t>
      </w:r>
    </w:p>
    <w:p w14:paraId="20046208" w14:textId="77777777" w:rsidR="004033CD" w:rsidRPr="006F182F" w:rsidRDefault="004033CD" w:rsidP="009E02FF">
      <w:pPr>
        <w:spacing w:after="0" w:line="276" w:lineRule="auto"/>
        <w:jc w:val="both"/>
        <w:rPr>
          <w:rFonts w:ascii="Arial" w:hAnsi="Arial" w:cs="Arial"/>
        </w:rPr>
      </w:pPr>
    </w:p>
    <w:p w14:paraId="55023B53" w14:textId="77777777" w:rsidR="00944C5B" w:rsidRDefault="00944C5B" w:rsidP="00944C5B">
      <w:pPr>
        <w:spacing w:after="0" w:line="276" w:lineRule="auto"/>
        <w:jc w:val="both"/>
        <w:rPr>
          <w:rFonts w:ascii="Arial" w:eastAsia="Times New Roman" w:hAnsi="Arial" w:cs="Arial"/>
          <w:color w:val="000000"/>
          <w:lang w:val="es-ES_tradnl" w:eastAsia="es-CO"/>
        </w:rPr>
      </w:pPr>
      <w:r w:rsidRPr="008A1492">
        <w:rPr>
          <w:rFonts w:ascii="Arial" w:eastAsia="Times New Roman" w:hAnsi="Arial" w:cs="Arial"/>
          <w:color w:val="000000"/>
          <w:lang w:val="es-ES_tradnl" w:eastAsia="es-CO"/>
        </w:rPr>
        <w:t>Atentamente,</w:t>
      </w:r>
    </w:p>
    <w:p w14:paraId="7347C8DE" w14:textId="40E57B2E" w:rsidR="00355292" w:rsidRPr="00CB70D9" w:rsidRDefault="00077909" w:rsidP="00355292">
      <w:pPr>
        <w:jc w:val="center"/>
        <w:rPr>
          <w:rFonts w:ascii="Arial" w:eastAsia="Times New Roman" w:hAnsi="Arial" w:cs="Arial"/>
          <w:lang w:eastAsia="es-CO"/>
        </w:rPr>
      </w:pPr>
      <w:r>
        <w:rPr>
          <w:noProof/>
        </w:rPr>
        <w:drawing>
          <wp:inline distT="0" distB="0" distL="0" distR="0" wp14:anchorId="3EB369A7" wp14:editId="03E912A0">
            <wp:extent cx="3157855" cy="1212215"/>
            <wp:effectExtent l="0" t="0" r="4445" b="698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p>
    <w:p w14:paraId="23F1D5A0" w14:textId="77777777" w:rsidR="00355292" w:rsidRPr="00044133" w:rsidRDefault="00355292" w:rsidP="00355292">
      <w:pPr>
        <w:jc w:val="both"/>
        <w:rPr>
          <w:rFonts w:ascii="Arial" w:hAnsi="Arial" w:cs="Arial"/>
        </w:rPr>
      </w:pPr>
    </w:p>
    <w:tbl>
      <w:tblPr>
        <w:tblW w:w="51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5"/>
        <w:gridCol w:w="4378"/>
      </w:tblGrid>
      <w:tr w:rsidR="00355292" w:rsidRPr="000D7B24" w14:paraId="43E9E67D" w14:textId="77777777" w:rsidTr="0065633D">
        <w:trPr>
          <w:trHeight w:val="345"/>
        </w:trPr>
        <w:tc>
          <w:tcPr>
            <w:tcW w:w="725" w:type="dxa"/>
            <w:tcBorders>
              <w:top w:val="nil"/>
              <w:left w:val="nil"/>
              <w:bottom w:val="nil"/>
              <w:right w:val="nil"/>
            </w:tcBorders>
            <w:vAlign w:val="center"/>
            <w:hideMark/>
          </w:tcPr>
          <w:p w14:paraId="0F9D2109" w14:textId="77777777" w:rsidR="00355292" w:rsidRPr="00044133" w:rsidRDefault="00355292" w:rsidP="0065633D">
            <w:pPr>
              <w:spacing w:after="0" w:line="240" w:lineRule="auto"/>
              <w:jc w:val="both"/>
              <w:rPr>
                <w:rFonts w:ascii="Arial" w:hAnsi="Arial" w:cs="Arial"/>
                <w:sz w:val="14"/>
                <w:szCs w:val="14"/>
              </w:rPr>
            </w:pPr>
            <w:r w:rsidRPr="00044133">
              <w:rPr>
                <w:rFonts w:ascii="Arial" w:hAnsi="Arial" w:cs="Arial"/>
                <w:sz w:val="14"/>
                <w:szCs w:val="14"/>
              </w:rPr>
              <w:t>Elaboró: </w:t>
            </w:r>
          </w:p>
        </w:tc>
        <w:tc>
          <w:tcPr>
            <w:tcW w:w="4378" w:type="dxa"/>
            <w:tcBorders>
              <w:top w:val="nil"/>
              <w:left w:val="nil"/>
              <w:bottom w:val="dotted" w:sz="6" w:space="0" w:color="7F7F7F"/>
              <w:right w:val="nil"/>
            </w:tcBorders>
            <w:vAlign w:val="center"/>
            <w:hideMark/>
          </w:tcPr>
          <w:p w14:paraId="1A091BCE" w14:textId="77777777" w:rsidR="00355292" w:rsidRPr="008024C7" w:rsidRDefault="00355292" w:rsidP="0065633D">
            <w:pPr>
              <w:spacing w:after="0" w:line="240" w:lineRule="auto"/>
              <w:jc w:val="both"/>
              <w:rPr>
                <w:rFonts w:ascii="Arial" w:hAnsi="Arial" w:cs="Arial"/>
                <w:sz w:val="16"/>
                <w:szCs w:val="16"/>
              </w:rPr>
            </w:pPr>
            <w:r w:rsidRPr="008024C7">
              <w:rPr>
                <w:rFonts w:ascii="Arial" w:hAnsi="Arial" w:cs="Arial"/>
                <w:sz w:val="16"/>
                <w:szCs w:val="16"/>
              </w:rPr>
              <w:t>Any Alejandra Tovar Castillo</w:t>
            </w:r>
          </w:p>
          <w:p w14:paraId="6A7C76E4" w14:textId="77777777" w:rsidR="00355292" w:rsidRPr="008024C7" w:rsidRDefault="00355292" w:rsidP="0065633D">
            <w:pPr>
              <w:spacing w:after="0" w:line="240" w:lineRule="auto"/>
              <w:jc w:val="both"/>
              <w:rPr>
                <w:rFonts w:ascii="Arial" w:hAnsi="Arial" w:cs="Arial"/>
                <w:sz w:val="16"/>
                <w:szCs w:val="16"/>
              </w:rPr>
            </w:pPr>
            <w:r w:rsidRPr="008024C7">
              <w:rPr>
                <w:rFonts w:ascii="Arial" w:hAnsi="Arial" w:cs="Arial"/>
                <w:sz w:val="16"/>
                <w:szCs w:val="16"/>
              </w:rPr>
              <w:t>Contratista de la Subdirección de Gestión Contractual</w:t>
            </w:r>
          </w:p>
        </w:tc>
      </w:tr>
      <w:tr w:rsidR="00355292" w:rsidRPr="000D7B24" w14:paraId="31641120" w14:textId="77777777" w:rsidTr="0065633D">
        <w:trPr>
          <w:trHeight w:val="345"/>
        </w:trPr>
        <w:tc>
          <w:tcPr>
            <w:tcW w:w="725" w:type="dxa"/>
            <w:tcBorders>
              <w:top w:val="nil"/>
              <w:left w:val="nil"/>
              <w:bottom w:val="nil"/>
              <w:right w:val="nil"/>
            </w:tcBorders>
            <w:vAlign w:val="center"/>
            <w:hideMark/>
          </w:tcPr>
          <w:p w14:paraId="7F3C2532" w14:textId="77777777" w:rsidR="00355292" w:rsidRPr="00044133" w:rsidRDefault="00355292" w:rsidP="0065633D">
            <w:pPr>
              <w:spacing w:after="0" w:line="240" w:lineRule="auto"/>
              <w:jc w:val="both"/>
              <w:rPr>
                <w:rFonts w:ascii="Arial" w:hAnsi="Arial" w:cs="Arial"/>
                <w:sz w:val="14"/>
                <w:szCs w:val="14"/>
              </w:rPr>
            </w:pPr>
            <w:r w:rsidRPr="00044133">
              <w:rPr>
                <w:rFonts w:ascii="Arial" w:hAnsi="Arial" w:cs="Arial"/>
                <w:sz w:val="14"/>
                <w:szCs w:val="14"/>
              </w:rPr>
              <w:t>Revisó: </w:t>
            </w:r>
          </w:p>
        </w:tc>
        <w:tc>
          <w:tcPr>
            <w:tcW w:w="4378" w:type="dxa"/>
            <w:tcBorders>
              <w:top w:val="dotted" w:sz="6" w:space="0" w:color="7F7F7F"/>
              <w:left w:val="nil"/>
              <w:bottom w:val="dotted" w:sz="6" w:space="0" w:color="7F7F7F"/>
              <w:right w:val="nil"/>
            </w:tcBorders>
            <w:vAlign w:val="center"/>
            <w:hideMark/>
          </w:tcPr>
          <w:p w14:paraId="416BDC8F" w14:textId="77777777" w:rsidR="00355292" w:rsidRPr="008024C7" w:rsidRDefault="00355292" w:rsidP="0065633D">
            <w:pPr>
              <w:spacing w:after="0" w:line="240" w:lineRule="auto"/>
              <w:jc w:val="both"/>
              <w:rPr>
                <w:rFonts w:ascii="Arial" w:hAnsi="Arial" w:cs="Arial"/>
                <w:sz w:val="16"/>
                <w:szCs w:val="16"/>
              </w:rPr>
            </w:pPr>
            <w:r w:rsidRPr="008024C7">
              <w:rPr>
                <w:rFonts w:ascii="Arial" w:hAnsi="Arial" w:cs="Arial"/>
                <w:sz w:val="16"/>
                <w:szCs w:val="16"/>
              </w:rPr>
              <w:t>Alejandro Sarmiento Cantillo</w:t>
            </w:r>
          </w:p>
          <w:p w14:paraId="61F93B48" w14:textId="77777777" w:rsidR="00355292" w:rsidRPr="008024C7" w:rsidRDefault="00355292" w:rsidP="0065633D">
            <w:pPr>
              <w:spacing w:after="0" w:line="240" w:lineRule="auto"/>
              <w:jc w:val="both"/>
              <w:rPr>
                <w:rFonts w:ascii="Arial" w:hAnsi="Arial" w:cs="Arial"/>
                <w:sz w:val="16"/>
                <w:szCs w:val="16"/>
              </w:rPr>
            </w:pPr>
            <w:r w:rsidRPr="008024C7">
              <w:rPr>
                <w:rFonts w:ascii="Arial" w:hAnsi="Arial" w:cs="Arial"/>
                <w:sz w:val="16"/>
                <w:szCs w:val="16"/>
              </w:rPr>
              <w:t>Gestor T1 ‒ 15 de la Subdirección de Gestión Contractual</w:t>
            </w:r>
          </w:p>
        </w:tc>
      </w:tr>
      <w:tr w:rsidR="00355292" w:rsidRPr="000D7B24" w14:paraId="585761A8" w14:textId="77777777" w:rsidTr="0065633D">
        <w:trPr>
          <w:trHeight w:val="328"/>
        </w:trPr>
        <w:tc>
          <w:tcPr>
            <w:tcW w:w="725" w:type="dxa"/>
            <w:tcBorders>
              <w:top w:val="nil"/>
              <w:left w:val="nil"/>
              <w:bottom w:val="nil"/>
              <w:right w:val="nil"/>
            </w:tcBorders>
            <w:vAlign w:val="center"/>
            <w:hideMark/>
          </w:tcPr>
          <w:p w14:paraId="66F1B58A" w14:textId="77777777" w:rsidR="00355292" w:rsidRPr="00044133" w:rsidRDefault="00355292" w:rsidP="0065633D">
            <w:pPr>
              <w:spacing w:after="0" w:line="240" w:lineRule="auto"/>
              <w:jc w:val="both"/>
              <w:rPr>
                <w:rFonts w:ascii="Arial" w:hAnsi="Arial" w:cs="Arial"/>
                <w:sz w:val="14"/>
                <w:szCs w:val="14"/>
              </w:rPr>
            </w:pPr>
            <w:r w:rsidRPr="00044133">
              <w:rPr>
                <w:rFonts w:ascii="Arial" w:hAnsi="Arial" w:cs="Arial"/>
                <w:sz w:val="14"/>
                <w:szCs w:val="14"/>
              </w:rPr>
              <w:t>Aprobó: </w:t>
            </w:r>
          </w:p>
        </w:tc>
        <w:tc>
          <w:tcPr>
            <w:tcW w:w="4378" w:type="dxa"/>
            <w:tcBorders>
              <w:top w:val="dotted" w:sz="6" w:space="0" w:color="7F7F7F"/>
              <w:left w:val="nil"/>
              <w:bottom w:val="dotted" w:sz="6" w:space="0" w:color="7F7F7F"/>
              <w:right w:val="nil"/>
            </w:tcBorders>
            <w:vAlign w:val="center"/>
            <w:hideMark/>
          </w:tcPr>
          <w:p w14:paraId="61CE62D2" w14:textId="77777777" w:rsidR="00355292" w:rsidRPr="008024C7" w:rsidRDefault="00355292" w:rsidP="0065633D">
            <w:pPr>
              <w:spacing w:after="0" w:line="240" w:lineRule="auto"/>
              <w:jc w:val="both"/>
              <w:rPr>
                <w:rFonts w:ascii="Arial" w:hAnsi="Arial" w:cs="Arial"/>
                <w:sz w:val="16"/>
                <w:szCs w:val="16"/>
              </w:rPr>
            </w:pPr>
            <w:r w:rsidRPr="008024C7">
              <w:rPr>
                <w:rFonts w:ascii="Arial" w:hAnsi="Arial" w:cs="Arial"/>
                <w:sz w:val="16"/>
                <w:szCs w:val="16"/>
              </w:rPr>
              <w:t xml:space="preserve">Nohelia del Carmen </w:t>
            </w:r>
            <w:proofErr w:type="spellStart"/>
            <w:r w:rsidRPr="008024C7">
              <w:rPr>
                <w:rFonts w:ascii="Arial" w:hAnsi="Arial" w:cs="Arial"/>
                <w:sz w:val="16"/>
                <w:szCs w:val="16"/>
              </w:rPr>
              <w:t>Zawady</w:t>
            </w:r>
            <w:proofErr w:type="spellEnd"/>
            <w:r w:rsidRPr="008024C7">
              <w:rPr>
                <w:rFonts w:ascii="Arial" w:hAnsi="Arial" w:cs="Arial"/>
                <w:sz w:val="16"/>
                <w:szCs w:val="16"/>
              </w:rPr>
              <w:t xml:space="preserve"> Palacio</w:t>
            </w:r>
          </w:p>
          <w:p w14:paraId="45B1FD83" w14:textId="77777777" w:rsidR="00355292" w:rsidRPr="008024C7" w:rsidRDefault="00355292" w:rsidP="0065633D">
            <w:pPr>
              <w:spacing w:after="0" w:line="240" w:lineRule="auto"/>
              <w:jc w:val="both"/>
              <w:rPr>
                <w:rFonts w:ascii="Arial" w:hAnsi="Arial" w:cs="Arial"/>
                <w:sz w:val="16"/>
                <w:szCs w:val="16"/>
              </w:rPr>
            </w:pPr>
            <w:r w:rsidRPr="008024C7">
              <w:rPr>
                <w:rFonts w:ascii="Arial" w:hAnsi="Arial" w:cs="Arial"/>
                <w:sz w:val="16"/>
                <w:szCs w:val="16"/>
              </w:rPr>
              <w:t>Subdirectora de Gestión Contractual ANCP - CCE</w:t>
            </w:r>
          </w:p>
        </w:tc>
      </w:tr>
    </w:tbl>
    <w:p w14:paraId="445AF486" w14:textId="77777777" w:rsidR="001A48D0" w:rsidRPr="00355292" w:rsidRDefault="001A48D0" w:rsidP="001A48D0">
      <w:pPr>
        <w:spacing w:after="0" w:line="240" w:lineRule="auto"/>
        <w:rPr>
          <w:rFonts w:ascii="Arial" w:hAnsi="Arial" w:cs="Arial"/>
          <w:b/>
          <w:color w:val="404040" w:themeColor="text1" w:themeTint="BF"/>
        </w:rPr>
      </w:pPr>
    </w:p>
    <w:p w14:paraId="70639100" w14:textId="77777777" w:rsidR="001A48D0" w:rsidRPr="0011452B" w:rsidRDefault="001A48D0" w:rsidP="001A48D0">
      <w:pPr>
        <w:spacing w:after="0" w:line="240" w:lineRule="auto"/>
        <w:rPr>
          <w:rFonts w:ascii="Arial" w:hAnsi="Arial" w:cs="Arial"/>
          <w:b/>
          <w:color w:val="404040" w:themeColor="text1" w:themeTint="BF"/>
          <w:lang w:val="es-ES"/>
        </w:rPr>
      </w:pPr>
    </w:p>
    <w:p w14:paraId="31D419DD" w14:textId="30F0F96B" w:rsidR="001A1011" w:rsidRPr="0011452B" w:rsidRDefault="001A1011" w:rsidP="006219F8">
      <w:pPr>
        <w:spacing w:after="0" w:line="240" w:lineRule="auto"/>
        <w:rPr>
          <w:rFonts w:ascii="Arial" w:hAnsi="Arial" w:cs="Arial"/>
          <w:b/>
          <w:color w:val="404040" w:themeColor="text1" w:themeTint="BF"/>
          <w:lang w:val="es-ES"/>
        </w:rPr>
      </w:pPr>
    </w:p>
    <w:p w14:paraId="279D5850" w14:textId="5A51B1C1" w:rsidR="001A1011" w:rsidRPr="0011452B" w:rsidRDefault="001A1011" w:rsidP="006219F8">
      <w:pPr>
        <w:spacing w:after="0" w:line="240" w:lineRule="auto"/>
        <w:rPr>
          <w:rFonts w:ascii="Arial" w:hAnsi="Arial" w:cs="Arial"/>
          <w:b/>
          <w:color w:val="404040" w:themeColor="text1" w:themeTint="BF"/>
          <w:lang w:val="es-ES"/>
        </w:rPr>
      </w:pPr>
    </w:p>
    <w:p w14:paraId="0B1D17E7" w14:textId="762AA3C6" w:rsidR="001A1011" w:rsidRPr="0011452B" w:rsidRDefault="001A1011" w:rsidP="006219F8">
      <w:pPr>
        <w:spacing w:after="0" w:line="240" w:lineRule="auto"/>
        <w:rPr>
          <w:rFonts w:ascii="Arial" w:hAnsi="Arial" w:cs="Arial"/>
          <w:b/>
          <w:color w:val="404040" w:themeColor="text1" w:themeTint="BF"/>
          <w:lang w:val="es-ES"/>
        </w:rPr>
      </w:pPr>
    </w:p>
    <w:p w14:paraId="5CD9DF3C" w14:textId="2D55E7D3" w:rsidR="001A1011" w:rsidRPr="0011452B" w:rsidRDefault="001A1011" w:rsidP="006219F8">
      <w:pPr>
        <w:spacing w:after="0" w:line="240" w:lineRule="auto"/>
        <w:rPr>
          <w:rFonts w:ascii="Arial" w:hAnsi="Arial" w:cs="Arial"/>
          <w:b/>
          <w:color w:val="404040" w:themeColor="text1" w:themeTint="BF"/>
          <w:lang w:val="es-ES"/>
        </w:rPr>
      </w:pPr>
    </w:p>
    <w:p w14:paraId="53AB5A20" w14:textId="6FAD5A9C" w:rsidR="001A1011" w:rsidRPr="0011452B" w:rsidRDefault="001A1011" w:rsidP="006219F8">
      <w:pPr>
        <w:spacing w:after="0" w:line="240" w:lineRule="auto"/>
        <w:rPr>
          <w:rFonts w:ascii="Arial" w:hAnsi="Arial" w:cs="Arial"/>
          <w:b/>
          <w:color w:val="404040" w:themeColor="text1" w:themeTint="BF"/>
          <w:lang w:val="es-ES"/>
        </w:rPr>
      </w:pPr>
    </w:p>
    <w:p w14:paraId="6879FC78" w14:textId="2AD773B8" w:rsidR="001A1011" w:rsidRPr="0011452B" w:rsidRDefault="001A1011" w:rsidP="006219F8">
      <w:pPr>
        <w:spacing w:after="0" w:line="240" w:lineRule="auto"/>
        <w:rPr>
          <w:rFonts w:ascii="Arial" w:hAnsi="Arial" w:cs="Arial"/>
          <w:b/>
          <w:color w:val="404040" w:themeColor="text1" w:themeTint="BF"/>
          <w:lang w:val="es-ES"/>
        </w:rPr>
      </w:pPr>
    </w:p>
    <w:p w14:paraId="267F1171" w14:textId="73CCED58" w:rsidR="001A1011" w:rsidRPr="0011452B" w:rsidRDefault="001A1011" w:rsidP="006219F8">
      <w:pPr>
        <w:spacing w:after="0" w:line="240" w:lineRule="auto"/>
        <w:rPr>
          <w:rFonts w:ascii="Arial" w:hAnsi="Arial" w:cs="Arial"/>
          <w:b/>
          <w:color w:val="404040" w:themeColor="text1" w:themeTint="BF"/>
          <w:lang w:val="es-ES"/>
        </w:rPr>
      </w:pPr>
    </w:p>
    <w:p w14:paraId="17BA4C3F" w14:textId="610BC95A" w:rsidR="001A1011" w:rsidRPr="0011452B" w:rsidRDefault="001A1011" w:rsidP="006219F8">
      <w:pPr>
        <w:spacing w:after="0" w:line="240" w:lineRule="auto"/>
        <w:rPr>
          <w:rFonts w:ascii="Arial" w:hAnsi="Arial" w:cs="Arial"/>
          <w:b/>
          <w:color w:val="404040" w:themeColor="text1" w:themeTint="BF"/>
          <w:lang w:val="es-ES"/>
        </w:rPr>
      </w:pPr>
    </w:p>
    <w:p w14:paraId="1C3871F1" w14:textId="3C77E1C6" w:rsidR="001A1011" w:rsidRPr="0011452B" w:rsidRDefault="001A1011" w:rsidP="006219F8">
      <w:pPr>
        <w:spacing w:after="0" w:line="240" w:lineRule="auto"/>
        <w:rPr>
          <w:rFonts w:ascii="Arial" w:hAnsi="Arial" w:cs="Arial"/>
          <w:b/>
          <w:color w:val="404040" w:themeColor="text1" w:themeTint="BF"/>
          <w:lang w:val="es-ES"/>
        </w:rPr>
      </w:pPr>
    </w:p>
    <w:p w14:paraId="5E1D3DBF" w14:textId="22D6B9E8" w:rsidR="001A1011" w:rsidRPr="0011452B" w:rsidRDefault="001A1011" w:rsidP="006219F8">
      <w:pPr>
        <w:spacing w:after="0" w:line="240" w:lineRule="auto"/>
        <w:rPr>
          <w:rFonts w:ascii="Arial" w:hAnsi="Arial" w:cs="Arial"/>
          <w:b/>
          <w:color w:val="404040" w:themeColor="text1" w:themeTint="BF"/>
          <w:lang w:val="es-ES"/>
        </w:rPr>
      </w:pPr>
    </w:p>
    <w:p w14:paraId="22A6B3E1" w14:textId="704F73DC" w:rsidR="001A1011" w:rsidRPr="0011452B" w:rsidRDefault="001A1011" w:rsidP="006219F8">
      <w:pPr>
        <w:spacing w:after="0" w:line="240" w:lineRule="auto"/>
        <w:rPr>
          <w:rFonts w:ascii="Arial" w:hAnsi="Arial" w:cs="Arial"/>
          <w:b/>
          <w:color w:val="404040" w:themeColor="text1" w:themeTint="BF"/>
          <w:lang w:val="es-ES"/>
        </w:rPr>
      </w:pPr>
    </w:p>
    <w:p w14:paraId="331CB6CF" w14:textId="6F9DEEA6" w:rsidR="001A1011" w:rsidRPr="0011452B" w:rsidRDefault="001A1011" w:rsidP="006219F8">
      <w:pPr>
        <w:spacing w:after="0" w:line="240" w:lineRule="auto"/>
        <w:rPr>
          <w:rFonts w:ascii="Arial" w:hAnsi="Arial" w:cs="Arial"/>
          <w:b/>
          <w:color w:val="404040" w:themeColor="text1" w:themeTint="BF"/>
          <w:lang w:val="es-ES"/>
        </w:rPr>
      </w:pPr>
    </w:p>
    <w:p w14:paraId="18D95323" w14:textId="645730DE" w:rsidR="001A1011" w:rsidRPr="0011452B" w:rsidRDefault="001A1011" w:rsidP="006219F8">
      <w:pPr>
        <w:spacing w:after="0" w:line="240" w:lineRule="auto"/>
        <w:rPr>
          <w:rFonts w:ascii="Arial" w:hAnsi="Arial" w:cs="Arial"/>
          <w:b/>
          <w:color w:val="404040" w:themeColor="text1" w:themeTint="BF"/>
          <w:lang w:val="es-ES"/>
        </w:rPr>
      </w:pPr>
    </w:p>
    <w:p w14:paraId="154D43B2" w14:textId="13A83168" w:rsidR="001A1011" w:rsidRPr="0011452B" w:rsidRDefault="001A1011" w:rsidP="006219F8">
      <w:pPr>
        <w:spacing w:after="0" w:line="240" w:lineRule="auto"/>
        <w:rPr>
          <w:rFonts w:ascii="Arial" w:hAnsi="Arial" w:cs="Arial"/>
          <w:b/>
          <w:color w:val="404040" w:themeColor="text1" w:themeTint="BF"/>
          <w:lang w:val="es-ES"/>
        </w:rPr>
      </w:pPr>
    </w:p>
    <w:p w14:paraId="7B23AD64" w14:textId="22BFE0EC" w:rsidR="00C9405D" w:rsidRPr="0011452B" w:rsidRDefault="00C9405D" w:rsidP="006219F8">
      <w:pPr>
        <w:spacing w:after="0" w:line="240" w:lineRule="auto"/>
        <w:rPr>
          <w:rFonts w:ascii="Arial" w:hAnsi="Arial" w:cs="Arial"/>
          <w:b/>
          <w:color w:val="002060"/>
          <w:lang w:val="es-ES"/>
        </w:rPr>
      </w:pPr>
    </w:p>
    <w:p w14:paraId="3624807F" w14:textId="31625BE8" w:rsidR="00C9405D" w:rsidRPr="0011452B" w:rsidRDefault="00C9405D" w:rsidP="006219F8">
      <w:pPr>
        <w:spacing w:after="0" w:line="240" w:lineRule="auto"/>
        <w:rPr>
          <w:rFonts w:ascii="Arial" w:hAnsi="Arial" w:cs="Arial"/>
          <w:b/>
          <w:color w:val="002060"/>
          <w:lang w:val="es-ES"/>
        </w:rPr>
      </w:pPr>
    </w:p>
    <w:bookmarkEnd w:id="1"/>
    <w:p w14:paraId="0F293BF4" w14:textId="0F6FB6C1" w:rsidR="00127233" w:rsidRPr="0011452B" w:rsidRDefault="00127233">
      <w:pPr>
        <w:rPr>
          <w:rFonts w:ascii="Arial" w:hAnsi="Arial" w:cs="Arial"/>
          <w:lang w:val="es-MX"/>
        </w:rPr>
      </w:pPr>
    </w:p>
    <w:sectPr w:rsidR="00127233" w:rsidRPr="0011452B"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CAFC7" w14:textId="77777777" w:rsidR="00952086" w:rsidRDefault="00952086" w:rsidP="004A1847">
      <w:pPr>
        <w:spacing w:after="0" w:line="240" w:lineRule="auto"/>
      </w:pPr>
      <w:r>
        <w:separator/>
      </w:r>
    </w:p>
  </w:endnote>
  <w:endnote w:type="continuationSeparator" w:id="0">
    <w:p w14:paraId="188A6DBB" w14:textId="77777777" w:rsidR="00952086" w:rsidRDefault="00952086" w:rsidP="004A1847">
      <w:pPr>
        <w:spacing w:after="0" w:line="240" w:lineRule="auto"/>
      </w:pPr>
      <w:r>
        <w:continuationSeparator/>
      </w:r>
    </w:p>
  </w:endnote>
  <w:endnote w:type="continuationNotice" w:id="1">
    <w:p w14:paraId="4E7AE3D6" w14:textId="77777777" w:rsidR="00952086" w:rsidRDefault="009520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89EB" w14:textId="77777777" w:rsidR="00952086" w:rsidRDefault="00952086" w:rsidP="004A1847">
      <w:pPr>
        <w:spacing w:after="0" w:line="240" w:lineRule="auto"/>
      </w:pPr>
      <w:r>
        <w:separator/>
      </w:r>
    </w:p>
  </w:footnote>
  <w:footnote w:type="continuationSeparator" w:id="0">
    <w:p w14:paraId="7418AEA4" w14:textId="77777777" w:rsidR="00952086" w:rsidRDefault="00952086" w:rsidP="004A1847">
      <w:pPr>
        <w:spacing w:after="0" w:line="240" w:lineRule="auto"/>
      </w:pPr>
      <w:r>
        <w:continuationSeparator/>
      </w:r>
    </w:p>
  </w:footnote>
  <w:footnote w:type="continuationNotice" w:id="1">
    <w:p w14:paraId="3D1DD38B" w14:textId="77777777" w:rsidR="00952086" w:rsidRDefault="00952086">
      <w:pPr>
        <w:spacing w:after="0" w:line="240" w:lineRule="auto"/>
      </w:pPr>
    </w:p>
  </w:footnote>
  <w:footnote w:id="2">
    <w:p w14:paraId="5D601A1D" w14:textId="77777777" w:rsidR="00C875F9" w:rsidRPr="00520B31" w:rsidRDefault="00C875F9" w:rsidP="00331B91">
      <w:pPr>
        <w:pStyle w:val="Textonotapie"/>
        <w:ind w:firstLine="709"/>
        <w:jc w:val="both"/>
        <w:rPr>
          <w:rFonts w:ascii="Arial" w:hAnsi="Arial" w:cs="Arial"/>
          <w:color w:val="000000"/>
          <w:sz w:val="16"/>
          <w:szCs w:val="16"/>
        </w:rPr>
      </w:pPr>
      <w:r w:rsidRPr="00520B31">
        <w:rPr>
          <w:rStyle w:val="Refdenotaalpie"/>
          <w:rFonts w:ascii="Arial" w:hAnsi="Arial" w:cs="Arial"/>
          <w:sz w:val="16"/>
          <w:szCs w:val="16"/>
        </w:rPr>
        <w:footnoteRef/>
      </w:r>
      <w:r w:rsidRPr="00520B31">
        <w:rPr>
          <w:rFonts w:ascii="Arial" w:hAnsi="Arial" w:cs="Arial"/>
          <w:color w:val="000000"/>
          <w:sz w:val="16"/>
          <w:szCs w:val="16"/>
        </w:rPr>
        <w:t xml:space="preserve"> Decreto 4170 de 2011: «Artículo 3. Funciones: La Agencia Nacional de Contratación Pública –Colombia Compra Eficiente– ejercerá las siguientes funciones: [...]</w:t>
      </w:r>
    </w:p>
    <w:p w14:paraId="4AD6A14D" w14:textId="44A1D6E5" w:rsidR="00C875F9" w:rsidRPr="00520B31" w:rsidRDefault="00C875F9" w:rsidP="00331B91">
      <w:pPr>
        <w:pStyle w:val="Textonotapie"/>
        <w:ind w:firstLine="709"/>
        <w:jc w:val="both"/>
        <w:rPr>
          <w:rFonts w:ascii="Arial" w:hAnsi="Arial" w:cs="Arial"/>
          <w:color w:val="000000"/>
          <w:sz w:val="16"/>
          <w:szCs w:val="16"/>
        </w:rPr>
      </w:pPr>
      <w:r w:rsidRPr="00520B31">
        <w:rPr>
          <w:rFonts w:ascii="Arial" w:hAnsi="Arial" w:cs="Arial"/>
          <w:color w:val="000000"/>
          <w:sz w:val="16"/>
          <w:szCs w:val="16"/>
        </w:rPr>
        <w:t xml:space="preserve">»8. Desarrollar y administrar el Sistema Electrónico para la Contratación Pública (SECOP) o el que haga sus veces, y gestionar nuevos desarrollos tecnológicos en los asuntos de su competencia, teniendo en cuenta los parámetros fijados por el Consejo </w:t>
      </w:r>
      <w:r w:rsidR="009E39AE" w:rsidRPr="00520B31">
        <w:rPr>
          <w:rFonts w:ascii="Arial" w:hAnsi="Arial" w:cs="Arial"/>
          <w:color w:val="000000"/>
          <w:sz w:val="16"/>
          <w:szCs w:val="16"/>
        </w:rPr>
        <w:t>Directivo. [...]</w:t>
      </w:r>
      <w:r w:rsidRPr="00520B31">
        <w:rPr>
          <w:rFonts w:ascii="Arial" w:hAnsi="Arial" w:cs="Arial"/>
          <w:color w:val="000000"/>
          <w:sz w:val="16"/>
          <w:szCs w:val="16"/>
        </w:rPr>
        <w:t>».</w:t>
      </w:r>
    </w:p>
  </w:footnote>
  <w:footnote w:id="3">
    <w:p w14:paraId="26F6EDDA" w14:textId="77777777" w:rsidR="00C875F9" w:rsidRPr="00520B31" w:rsidRDefault="00C875F9" w:rsidP="00331B91">
      <w:pPr>
        <w:pStyle w:val="Textonotapie"/>
        <w:ind w:firstLine="709"/>
        <w:jc w:val="both"/>
        <w:rPr>
          <w:rFonts w:ascii="Arial" w:hAnsi="Arial" w:cs="Arial"/>
          <w:sz w:val="16"/>
          <w:szCs w:val="16"/>
          <w:lang w:val="es-ES"/>
        </w:rPr>
      </w:pPr>
      <w:r w:rsidRPr="00520B31">
        <w:rPr>
          <w:rStyle w:val="Refdenotaalpie"/>
          <w:rFonts w:ascii="Arial" w:hAnsi="Arial" w:cs="Arial"/>
          <w:sz w:val="16"/>
          <w:szCs w:val="16"/>
        </w:rPr>
        <w:footnoteRef/>
      </w:r>
      <w:r w:rsidRPr="00520B31">
        <w:rPr>
          <w:rFonts w:ascii="Arial" w:hAnsi="Arial" w:cs="Arial"/>
          <w:sz w:val="16"/>
          <w:szCs w:val="16"/>
        </w:rPr>
        <w:t xml:space="preserve"> </w:t>
      </w:r>
      <w:r w:rsidRPr="00520B31">
        <w:rPr>
          <w:rFonts w:ascii="Arial" w:hAnsi="Arial" w:cs="Arial"/>
          <w:sz w:val="16"/>
          <w:szCs w:val="16"/>
          <w:lang w:val="es-ES"/>
        </w:rPr>
        <w:t>Esta norma establece: «Toda obligación puede extinguirse por una convención en que las partes interesadas, siendo capaces de disponer libremente de lo suyo, consientan en darla por nula.</w:t>
      </w:r>
    </w:p>
    <w:p w14:paraId="6A0F86BB"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Las obligaciones se extinguen además en todo o en parte:</w:t>
      </w:r>
    </w:p>
    <w:p w14:paraId="70B09929"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»1o.) Por la solución o pago efectivo.</w:t>
      </w:r>
    </w:p>
    <w:p w14:paraId="41F0A2F2"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»2o.) Por la novación.</w:t>
      </w:r>
    </w:p>
    <w:p w14:paraId="47A7EADE"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»3o.) Por la transacción.</w:t>
      </w:r>
    </w:p>
    <w:p w14:paraId="0FEA0F08"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»4o.) Por la remisión.</w:t>
      </w:r>
    </w:p>
    <w:p w14:paraId="214F6B38"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»5o.) Por la compensación.</w:t>
      </w:r>
    </w:p>
    <w:p w14:paraId="7ED0F77E"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»6o.) Por la confusión.</w:t>
      </w:r>
    </w:p>
    <w:p w14:paraId="31B386CC"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»7o.) Por la pérdida de la cosa que se debe.</w:t>
      </w:r>
    </w:p>
    <w:p w14:paraId="4F471AD9"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»8o.) Por la declaración de nulidad o por la rescisión.</w:t>
      </w:r>
    </w:p>
    <w:p w14:paraId="75DDCF65"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»9o.) Por el evento de la condición resolutoria.</w:t>
      </w:r>
    </w:p>
    <w:p w14:paraId="596A4A5B" w14:textId="77777777"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»10.) Por la prescripción.</w:t>
      </w:r>
    </w:p>
    <w:p w14:paraId="5DB357DA" w14:textId="3CFE6181" w:rsidR="00C875F9" w:rsidRPr="00520B31" w:rsidRDefault="00C875F9" w:rsidP="00331B91">
      <w:pPr>
        <w:pStyle w:val="Textonotapie"/>
        <w:ind w:firstLine="709"/>
        <w:jc w:val="both"/>
        <w:rPr>
          <w:rFonts w:ascii="Arial" w:hAnsi="Arial" w:cs="Arial"/>
          <w:sz w:val="16"/>
          <w:szCs w:val="16"/>
          <w:lang w:val="es-ES"/>
        </w:rPr>
      </w:pPr>
      <w:r w:rsidRPr="00520B31">
        <w:rPr>
          <w:rFonts w:ascii="Arial" w:hAnsi="Arial" w:cs="Arial"/>
          <w:sz w:val="16"/>
          <w:szCs w:val="16"/>
          <w:lang w:val="es-ES"/>
        </w:rPr>
        <w:t>»</w:t>
      </w:r>
      <w:r w:rsidR="00C94CCE" w:rsidRPr="00520B31">
        <w:rPr>
          <w:rFonts w:ascii="Arial" w:hAnsi="Arial" w:cs="Arial"/>
          <w:sz w:val="16"/>
          <w:szCs w:val="16"/>
          <w:lang w:val="es-ES"/>
        </w:rPr>
        <w:t xml:space="preserve"> </w:t>
      </w:r>
      <w:r w:rsidRPr="00520B31">
        <w:rPr>
          <w:rFonts w:ascii="Arial" w:hAnsi="Arial" w:cs="Arial"/>
          <w:sz w:val="16"/>
          <w:szCs w:val="16"/>
          <w:lang w:val="es-ES"/>
        </w:rPr>
        <w:t>De la transacción y la prescripción se tratará al fin de este libro; de la condición resolutoria se ha tratado en el título De las obligaciones condicionales».</w:t>
      </w:r>
    </w:p>
    <w:p w14:paraId="7E022451" w14:textId="77777777" w:rsidR="00C875F9" w:rsidRPr="00520B31" w:rsidRDefault="00C875F9" w:rsidP="00331B91">
      <w:pPr>
        <w:pStyle w:val="Textonotapie"/>
        <w:ind w:firstLine="709"/>
        <w:jc w:val="both"/>
        <w:rPr>
          <w:rFonts w:ascii="Arial" w:hAnsi="Arial" w:cs="Arial"/>
          <w:sz w:val="16"/>
          <w:szCs w:val="16"/>
          <w:lang w:val="es-ES"/>
        </w:rPr>
      </w:pPr>
    </w:p>
  </w:footnote>
  <w:footnote w:id="4">
    <w:p w14:paraId="165E5309" w14:textId="33289DD6" w:rsidR="00C875F9" w:rsidRPr="00520B31" w:rsidRDefault="00C875F9" w:rsidP="00C94CCE">
      <w:pPr>
        <w:pStyle w:val="Textonotapie"/>
        <w:ind w:firstLine="709"/>
        <w:jc w:val="both"/>
        <w:rPr>
          <w:rFonts w:ascii="Arial" w:hAnsi="Arial" w:cs="Arial"/>
          <w:sz w:val="16"/>
          <w:szCs w:val="16"/>
        </w:rPr>
      </w:pPr>
      <w:r w:rsidRPr="00520B31">
        <w:rPr>
          <w:rStyle w:val="Refdenotaalpie"/>
          <w:rFonts w:ascii="Arial" w:hAnsi="Arial" w:cs="Arial"/>
          <w:sz w:val="16"/>
          <w:szCs w:val="16"/>
        </w:rPr>
        <w:footnoteRef/>
      </w:r>
      <w:r w:rsidRPr="00520B31">
        <w:rPr>
          <w:rFonts w:ascii="Arial" w:hAnsi="Arial" w:cs="Arial"/>
          <w:sz w:val="16"/>
          <w:szCs w:val="16"/>
        </w:rPr>
        <w:t xml:space="preserve"> Consejo de Estado. Sección Tercera. Sentencia del 1 de octubre de 2018. Consejera Ponente: Marta Nubia Velásquez Rico. Expediente: 57.897.</w:t>
      </w:r>
    </w:p>
  </w:footnote>
  <w:footnote w:id="5">
    <w:p w14:paraId="26E326BB" w14:textId="023A004B" w:rsidR="00C875F9" w:rsidRPr="00520B31" w:rsidRDefault="00C875F9" w:rsidP="00C94CCE">
      <w:pPr>
        <w:pStyle w:val="Textonotapie"/>
        <w:ind w:firstLine="709"/>
        <w:jc w:val="both"/>
        <w:rPr>
          <w:rFonts w:ascii="Arial" w:hAnsi="Arial" w:cs="Arial"/>
          <w:sz w:val="16"/>
          <w:szCs w:val="16"/>
        </w:rPr>
      </w:pPr>
      <w:r w:rsidRPr="00520B31">
        <w:rPr>
          <w:rStyle w:val="Refdenotaalpie"/>
          <w:rFonts w:ascii="Arial" w:hAnsi="Arial" w:cs="Arial"/>
          <w:sz w:val="16"/>
          <w:szCs w:val="16"/>
        </w:rPr>
        <w:footnoteRef/>
      </w:r>
      <w:r w:rsidRPr="00520B31">
        <w:rPr>
          <w:rFonts w:ascii="Arial" w:hAnsi="Arial" w:cs="Arial"/>
          <w:sz w:val="16"/>
          <w:szCs w:val="16"/>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footnote>
  <w:footnote w:id="6">
    <w:p w14:paraId="18B6A3BF" w14:textId="77777777" w:rsidR="00571C4B" w:rsidRPr="00520B31" w:rsidRDefault="00571C4B" w:rsidP="009E02FF">
      <w:pPr>
        <w:pStyle w:val="Textonotapie"/>
        <w:jc w:val="both"/>
        <w:rPr>
          <w:rFonts w:ascii="Arial" w:hAnsi="Arial" w:cs="Arial"/>
          <w:sz w:val="16"/>
          <w:szCs w:val="16"/>
        </w:rPr>
      </w:pPr>
    </w:p>
    <w:p w14:paraId="1D2E7181" w14:textId="7D03E009" w:rsidR="00C875F9" w:rsidRPr="00520B31" w:rsidRDefault="00C875F9" w:rsidP="00C94CCE">
      <w:pPr>
        <w:pStyle w:val="Textonotapie"/>
        <w:ind w:firstLine="709"/>
        <w:jc w:val="both"/>
        <w:rPr>
          <w:rFonts w:ascii="Arial" w:hAnsi="Arial" w:cs="Arial"/>
          <w:sz w:val="16"/>
          <w:szCs w:val="16"/>
          <w:lang w:val="es-CO"/>
        </w:rPr>
      </w:pPr>
      <w:r w:rsidRPr="00520B31">
        <w:rPr>
          <w:rStyle w:val="Refdenotaalpie"/>
          <w:rFonts w:ascii="Arial" w:hAnsi="Arial" w:cs="Arial"/>
          <w:sz w:val="16"/>
          <w:szCs w:val="16"/>
        </w:rPr>
        <w:footnoteRef/>
      </w:r>
      <w:r w:rsidRPr="00520B31">
        <w:rPr>
          <w:rFonts w:ascii="Arial" w:hAnsi="Arial" w:cs="Arial"/>
          <w:sz w:val="16"/>
          <w:szCs w:val="16"/>
        </w:rPr>
        <w:t xml:space="preserve"> </w:t>
      </w:r>
      <w:r w:rsidRPr="00520B31">
        <w:rPr>
          <w:rFonts w:ascii="Arial" w:hAnsi="Arial" w:cs="Arial"/>
          <w:sz w:val="16"/>
          <w:szCs w:val="16"/>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7">
    <w:p w14:paraId="5848E7FD" w14:textId="77777777" w:rsidR="00571C4B" w:rsidRPr="00520B31" w:rsidRDefault="00571C4B" w:rsidP="00C94CCE">
      <w:pPr>
        <w:pStyle w:val="Textonotapie"/>
        <w:ind w:firstLine="709"/>
        <w:jc w:val="both"/>
        <w:rPr>
          <w:rFonts w:ascii="Arial" w:hAnsi="Arial" w:cs="Arial"/>
          <w:sz w:val="16"/>
          <w:szCs w:val="16"/>
        </w:rPr>
      </w:pPr>
    </w:p>
    <w:p w14:paraId="3ABEE609" w14:textId="1D657512" w:rsidR="00C875F9" w:rsidRPr="00520B31" w:rsidRDefault="00C875F9" w:rsidP="00C94CCE">
      <w:pPr>
        <w:pStyle w:val="Textonotapie"/>
        <w:ind w:firstLine="709"/>
        <w:jc w:val="both"/>
        <w:rPr>
          <w:rFonts w:ascii="Arial" w:hAnsi="Arial" w:cs="Arial"/>
          <w:sz w:val="16"/>
          <w:szCs w:val="16"/>
          <w:lang w:val="es-CO"/>
        </w:rPr>
      </w:pPr>
      <w:r w:rsidRPr="00520B31">
        <w:rPr>
          <w:rStyle w:val="Refdenotaalpie"/>
          <w:rFonts w:ascii="Arial" w:hAnsi="Arial" w:cs="Arial"/>
          <w:sz w:val="16"/>
          <w:szCs w:val="16"/>
        </w:rPr>
        <w:footnoteRef/>
      </w:r>
      <w:r w:rsidRPr="00520B31">
        <w:rPr>
          <w:rFonts w:ascii="Arial" w:hAnsi="Arial" w:cs="Arial"/>
          <w:sz w:val="16"/>
          <w:szCs w:val="16"/>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8">
    <w:p w14:paraId="488BAE60" w14:textId="77777777" w:rsidR="00C875F9" w:rsidRPr="00520B31" w:rsidRDefault="00C875F9" w:rsidP="00331B91">
      <w:pPr>
        <w:pStyle w:val="Textonotapie"/>
        <w:ind w:firstLine="709"/>
        <w:jc w:val="both"/>
        <w:rPr>
          <w:rFonts w:ascii="Arial" w:hAnsi="Arial" w:cs="Arial"/>
          <w:sz w:val="16"/>
          <w:szCs w:val="16"/>
          <w:lang w:val="es-ES"/>
        </w:rPr>
      </w:pPr>
      <w:r w:rsidRPr="00520B31">
        <w:rPr>
          <w:rStyle w:val="Refdenotaalpie"/>
          <w:rFonts w:ascii="Arial" w:hAnsi="Arial" w:cs="Arial"/>
          <w:sz w:val="16"/>
          <w:szCs w:val="16"/>
        </w:rPr>
        <w:footnoteRef/>
      </w:r>
      <w:r w:rsidRPr="00520B31">
        <w:rPr>
          <w:rFonts w:ascii="Arial" w:hAnsi="Arial" w:cs="Arial"/>
          <w:sz w:val="16"/>
          <w:szCs w:val="16"/>
        </w:rPr>
        <w:t xml:space="preserve"> </w:t>
      </w:r>
      <w:r w:rsidRPr="00520B31">
        <w:rPr>
          <w:rFonts w:ascii="Arial" w:hAnsi="Arial" w:cs="Arial"/>
          <w:sz w:val="16"/>
          <w:szCs w:val="16"/>
          <w:lang w:val="es-ES"/>
        </w:rPr>
        <w:t>En circunstancias como la mencionada la entidad podría hacer uso de las cláusulas de caducidad o de terminación unilateral, reguladas en los artículos 17 y 18 de la Ley 80 de 1993, según el caso.</w:t>
      </w:r>
    </w:p>
  </w:footnote>
  <w:footnote w:id="9">
    <w:p w14:paraId="31AD812D" w14:textId="6B6D1D7A" w:rsidR="00C875F9" w:rsidRPr="00520B31" w:rsidRDefault="00C875F9" w:rsidP="00331B91">
      <w:pPr>
        <w:pStyle w:val="Textonotapie"/>
        <w:ind w:firstLine="709"/>
        <w:jc w:val="both"/>
        <w:rPr>
          <w:rFonts w:ascii="Arial" w:hAnsi="Arial" w:cs="Arial"/>
          <w:sz w:val="16"/>
          <w:szCs w:val="16"/>
        </w:rPr>
      </w:pPr>
      <w:r w:rsidRPr="00520B31">
        <w:rPr>
          <w:rStyle w:val="Refdenotaalpie"/>
          <w:rFonts w:ascii="Arial" w:hAnsi="Arial" w:cs="Arial"/>
          <w:sz w:val="16"/>
          <w:szCs w:val="16"/>
        </w:rPr>
        <w:footnoteRef/>
      </w:r>
      <w:r w:rsidRPr="00520B31">
        <w:rPr>
          <w:rFonts w:ascii="Arial" w:hAnsi="Arial" w:cs="Arial"/>
          <w:sz w:val="16"/>
          <w:szCs w:val="16"/>
        </w:rPr>
        <w:t xml:space="preserve"> Consejo de Estado. Sección Tercera. Auto del 10 de mayo de 2019. Consejero Ponente: Guillermo Sánchez Luque. Expediente: 59.532</w:t>
      </w:r>
      <w:r w:rsidR="00D11572" w:rsidRPr="00520B31">
        <w:rPr>
          <w:rFonts w:ascii="Arial" w:hAnsi="Arial" w:cs="Arial"/>
          <w:sz w:val="16"/>
          <w:szCs w:val="16"/>
        </w:rPr>
        <w:t>.</w:t>
      </w:r>
    </w:p>
    <w:p w14:paraId="68416F31" w14:textId="77777777" w:rsidR="00C875F9" w:rsidRPr="00520B31" w:rsidRDefault="00C875F9" w:rsidP="00331B91">
      <w:pPr>
        <w:pStyle w:val="Textonotapie"/>
        <w:ind w:firstLine="709"/>
        <w:jc w:val="both"/>
        <w:rPr>
          <w:rFonts w:ascii="Arial" w:hAnsi="Arial" w:cs="Arial"/>
          <w:sz w:val="16"/>
          <w:szCs w:val="16"/>
          <w:lang w:val="es-CO"/>
        </w:rPr>
      </w:pPr>
    </w:p>
  </w:footnote>
  <w:footnote w:id="10">
    <w:p w14:paraId="78224F01" w14:textId="6154229C"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w:t>
      </w:r>
      <w:r w:rsidR="00CA6466" w:rsidRPr="00520B31">
        <w:rPr>
          <w:rFonts w:ascii="Arial" w:hAnsi="Arial" w:cs="Arial"/>
          <w:color w:val="000000" w:themeColor="text1"/>
          <w:sz w:val="16"/>
          <w:szCs w:val="16"/>
        </w:rPr>
        <w:t>Consejo de Estado</w:t>
      </w:r>
      <w:r w:rsidRPr="00520B31">
        <w:rPr>
          <w:rFonts w:ascii="Arial" w:hAnsi="Arial" w:cs="Arial"/>
          <w:color w:val="000000" w:themeColor="text1"/>
          <w:sz w:val="16"/>
          <w:szCs w:val="16"/>
        </w:rPr>
        <w:t>. Sección Tercera. Sentencia del 12 de julio de 2012.Danilo Rojas Betancourth. Exp.</w:t>
      </w:r>
      <w:r w:rsidR="00456D38" w:rsidRPr="00520B31">
        <w:rPr>
          <w:rFonts w:ascii="Arial" w:hAnsi="Arial" w:cs="Arial"/>
          <w:color w:val="000000" w:themeColor="text1"/>
          <w:sz w:val="16"/>
          <w:szCs w:val="16"/>
        </w:rPr>
        <w:t xml:space="preserve"> </w:t>
      </w:r>
      <w:r w:rsidRPr="00520B31">
        <w:rPr>
          <w:rFonts w:ascii="Arial" w:hAnsi="Arial" w:cs="Arial"/>
          <w:color w:val="000000" w:themeColor="text1"/>
          <w:sz w:val="16"/>
          <w:szCs w:val="16"/>
        </w:rPr>
        <w:t xml:space="preserve">15.024. C.P. </w:t>
      </w:r>
    </w:p>
    <w:p w14:paraId="573DCF26" w14:textId="77777777" w:rsidR="00B81CD9" w:rsidRPr="00520B31" w:rsidRDefault="00B81CD9" w:rsidP="00331B91">
      <w:pPr>
        <w:pStyle w:val="Textonotapie"/>
        <w:ind w:firstLine="709"/>
        <w:jc w:val="both"/>
        <w:rPr>
          <w:rFonts w:ascii="Arial" w:hAnsi="Arial" w:cs="Arial"/>
          <w:color w:val="000000" w:themeColor="text1"/>
          <w:sz w:val="16"/>
          <w:szCs w:val="16"/>
        </w:rPr>
      </w:pPr>
    </w:p>
  </w:footnote>
  <w:footnote w:id="11">
    <w:p w14:paraId="46F7EDEB" w14:textId="1FF0135C" w:rsidR="00B81CD9" w:rsidRPr="00520B31" w:rsidRDefault="00B81CD9" w:rsidP="00331B91">
      <w:pPr>
        <w:pStyle w:val="Textonotapie"/>
        <w:ind w:firstLine="709"/>
        <w:jc w:val="both"/>
        <w:rPr>
          <w:rFonts w:ascii="Arial" w:hAnsi="Arial" w:cs="Arial"/>
          <w:iCs/>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Motivo por el cual son típicas cláusulas accidentales dentro de los contratos estatales, en los términos del artículo 1501 del Código Civil.</w:t>
      </w:r>
    </w:p>
    <w:p w14:paraId="7CECA891" w14:textId="77777777" w:rsidR="00B81CD9" w:rsidRPr="00520B31" w:rsidRDefault="00B81CD9" w:rsidP="00331B91">
      <w:pPr>
        <w:pStyle w:val="Textonotapie"/>
        <w:ind w:firstLine="709"/>
        <w:jc w:val="both"/>
        <w:rPr>
          <w:rFonts w:ascii="Arial" w:hAnsi="Arial" w:cs="Arial"/>
          <w:color w:val="000000" w:themeColor="text1"/>
          <w:sz w:val="16"/>
          <w:szCs w:val="16"/>
        </w:rPr>
      </w:pPr>
    </w:p>
  </w:footnote>
  <w:footnote w:id="12">
    <w:p w14:paraId="35AD1487" w14:textId="6E8F42B6"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C</w:t>
      </w:r>
      <w:r w:rsidR="00CA6466" w:rsidRPr="00520B31">
        <w:rPr>
          <w:rFonts w:ascii="Arial" w:hAnsi="Arial" w:cs="Arial"/>
          <w:color w:val="000000" w:themeColor="text1"/>
          <w:sz w:val="16"/>
          <w:szCs w:val="16"/>
        </w:rPr>
        <w:t>onsejo de Estado</w:t>
      </w:r>
      <w:r w:rsidRPr="00520B31">
        <w:rPr>
          <w:rFonts w:ascii="Arial" w:hAnsi="Arial" w:cs="Arial"/>
          <w:color w:val="000000" w:themeColor="text1"/>
          <w:sz w:val="16"/>
          <w:szCs w:val="16"/>
        </w:rPr>
        <w:t>. Sección Tercera. Sentencia del 15 de noviembre de 2011. Consejera Ponente: Olga Mélida Valle de De La Hoz. Expediente: 20.916.</w:t>
      </w:r>
    </w:p>
    <w:p w14:paraId="0543021C" w14:textId="77777777" w:rsidR="00B81CD9" w:rsidRPr="00520B31" w:rsidRDefault="00B81CD9" w:rsidP="00331B91">
      <w:pPr>
        <w:pStyle w:val="Textonotapie"/>
        <w:ind w:firstLine="709"/>
        <w:jc w:val="both"/>
        <w:rPr>
          <w:rFonts w:ascii="Arial" w:hAnsi="Arial" w:cs="Arial"/>
          <w:color w:val="000000" w:themeColor="text1"/>
          <w:sz w:val="16"/>
          <w:szCs w:val="16"/>
          <w:lang w:val="es-ES"/>
        </w:rPr>
      </w:pPr>
    </w:p>
  </w:footnote>
  <w:footnote w:id="13">
    <w:p w14:paraId="384C6258" w14:textId="271FDECB"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w:t>
      </w:r>
      <w:r w:rsidRPr="00520B31">
        <w:rPr>
          <w:rFonts w:ascii="Arial" w:hAnsi="Arial" w:cs="Arial"/>
          <w:color w:val="000000" w:themeColor="text1"/>
          <w:sz w:val="16"/>
          <w:szCs w:val="16"/>
          <w:lang w:val="es-ES_tradnl"/>
        </w:rPr>
        <w:t>C</w:t>
      </w:r>
      <w:r w:rsidR="00CA6466" w:rsidRPr="00520B31">
        <w:rPr>
          <w:rFonts w:ascii="Arial" w:hAnsi="Arial" w:cs="Arial"/>
          <w:color w:val="000000" w:themeColor="text1"/>
          <w:sz w:val="16"/>
          <w:szCs w:val="16"/>
          <w:lang w:val="es-ES_tradnl"/>
        </w:rPr>
        <w:t>onsejo de Estado</w:t>
      </w:r>
      <w:r w:rsidRPr="00520B31">
        <w:rPr>
          <w:rFonts w:ascii="Arial" w:hAnsi="Arial" w:cs="Arial"/>
          <w:color w:val="000000" w:themeColor="text1"/>
          <w:sz w:val="16"/>
          <w:szCs w:val="16"/>
          <w:lang w:val="es-ES_tradnl"/>
        </w:rPr>
        <w:t xml:space="preserve">. Sección Tercera. Sentencia del 23 de junio de 2010. Consejero Ponente: Enrique Gil Botero. Expediente: 16.367. Véase también: </w:t>
      </w:r>
      <w:r w:rsidRPr="00520B31">
        <w:rPr>
          <w:rFonts w:ascii="Arial" w:hAnsi="Arial" w:cs="Arial"/>
          <w:color w:val="000000" w:themeColor="text1"/>
          <w:sz w:val="16"/>
          <w:szCs w:val="16"/>
        </w:rPr>
        <w:t>CONSEJO DE ESTADO. Sección Tercera. Sentencia del 13 de noviembre de 2008. Consejero Ponente: Enrique Gil Botero.</w:t>
      </w:r>
      <w:r w:rsidR="00CA6466" w:rsidRPr="00520B31">
        <w:rPr>
          <w:rFonts w:ascii="Arial" w:hAnsi="Arial" w:cs="Arial"/>
          <w:color w:val="000000" w:themeColor="text1"/>
          <w:sz w:val="16"/>
          <w:szCs w:val="16"/>
        </w:rPr>
        <w:t xml:space="preserve"> </w:t>
      </w:r>
      <w:r w:rsidRPr="00520B31">
        <w:rPr>
          <w:rFonts w:ascii="Arial" w:hAnsi="Arial" w:cs="Arial"/>
          <w:color w:val="000000" w:themeColor="text1"/>
          <w:sz w:val="16"/>
          <w:szCs w:val="16"/>
        </w:rPr>
        <w:t>Expediente: 17.009.</w:t>
      </w:r>
    </w:p>
    <w:p w14:paraId="5F23258B" w14:textId="77777777" w:rsidR="00B81CD9" w:rsidRPr="00520B31" w:rsidRDefault="00B81CD9" w:rsidP="00331B91">
      <w:pPr>
        <w:pStyle w:val="Textonotapie"/>
        <w:ind w:firstLine="709"/>
        <w:jc w:val="both"/>
        <w:rPr>
          <w:rFonts w:ascii="Arial" w:hAnsi="Arial" w:cs="Arial"/>
          <w:color w:val="000000" w:themeColor="text1"/>
          <w:sz w:val="16"/>
          <w:szCs w:val="16"/>
          <w:lang w:val="es-ES_tradnl"/>
        </w:rPr>
      </w:pPr>
    </w:p>
  </w:footnote>
  <w:footnote w:id="14">
    <w:p w14:paraId="65658FBA" w14:textId="75B7CC27"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w:t>
      </w:r>
      <w:r w:rsidR="00CA6466" w:rsidRPr="00520B31">
        <w:rPr>
          <w:rFonts w:ascii="Arial" w:hAnsi="Arial" w:cs="Arial"/>
          <w:color w:val="000000" w:themeColor="text1"/>
          <w:sz w:val="16"/>
          <w:szCs w:val="16"/>
        </w:rPr>
        <w:t>Corte Constitucional</w:t>
      </w:r>
      <w:r w:rsidRPr="00520B31">
        <w:rPr>
          <w:rFonts w:ascii="Arial" w:hAnsi="Arial" w:cs="Arial"/>
          <w:color w:val="000000" w:themeColor="text1"/>
          <w:sz w:val="16"/>
          <w:szCs w:val="16"/>
        </w:rPr>
        <w:t>. Sentencia C-827 de 2001. M.P. Álvaro Tafur Galvis.</w:t>
      </w:r>
    </w:p>
    <w:p w14:paraId="0447B089" w14:textId="77777777" w:rsidR="00B81CD9" w:rsidRPr="00520B31" w:rsidRDefault="00B81CD9" w:rsidP="00331B91">
      <w:pPr>
        <w:pStyle w:val="Textonotapie"/>
        <w:ind w:firstLine="709"/>
        <w:jc w:val="both"/>
        <w:rPr>
          <w:rFonts w:ascii="Arial" w:hAnsi="Arial" w:cs="Arial"/>
          <w:color w:val="000000" w:themeColor="text1"/>
          <w:sz w:val="16"/>
          <w:szCs w:val="16"/>
        </w:rPr>
      </w:pPr>
    </w:p>
  </w:footnote>
  <w:footnote w:id="15">
    <w:p w14:paraId="7CDC304C" w14:textId="59BEEC54"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vertAlign w:val="superscript"/>
        </w:rPr>
        <w:t xml:space="preserve"> </w:t>
      </w:r>
      <w:r w:rsidR="00CA6466" w:rsidRPr="00520B31">
        <w:rPr>
          <w:rFonts w:ascii="Arial" w:hAnsi="Arial" w:cs="Arial"/>
          <w:color w:val="000000" w:themeColor="text1"/>
          <w:sz w:val="16"/>
          <w:szCs w:val="16"/>
        </w:rPr>
        <w:t>Consejo de Estado</w:t>
      </w:r>
      <w:r w:rsidRPr="00520B31">
        <w:rPr>
          <w:rFonts w:ascii="Arial" w:hAnsi="Arial" w:cs="Arial"/>
          <w:color w:val="000000" w:themeColor="text1"/>
          <w:sz w:val="16"/>
          <w:szCs w:val="16"/>
        </w:rPr>
        <w:t>. Sección Tercera. Sentencia del 13 de noviembre de 2008. Exp. 17.009. C.P. Enrique Gil Botero.</w:t>
      </w:r>
    </w:p>
    <w:p w14:paraId="78DC96DC" w14:textId="77777777" w:rsidR="00B81CD9" w:rsidRPr="00520B31" w:rsidRDefault="00B81CD9" w:rsidP="00331B91">
      <w:pPr>
        <w:pStyle w:val="Textonotapie"/>
        <w:ind w:firstLine="709"/>
        <w:jc w:val="both"/>
        <w:rPr>
          <w:rFonts w:ascii="Arial" w:hAnsi="Arial" w:cs="Arial"/>
          <w:color w:val="000000" w:themeColor="text1"/>
          <w:sz w:val="16"/>
          <w:szCs w:val="16"/>
        </w:rPr>
      </w:pPr>
    </w:p>
  </w:footnote>
  <w:footnote w:id="16">
    <w:p w14:paraId="2635DCCE" w14:textId="15C169D0"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w:t>
      </w:r>
      <w:r w:rsidR="001348BF" w:rsidRPr="00520B31">
        <w:rPr>
          <w:rFonts w:ascii="Arial" w:hAnsi="Arial" w:cs="Arial"/>
          <w:color w:val="000000" w:themeColor="text1"/>
          <w:sz w:val="16"/>
          <w:szCs w:val="16"/>
        </w:rPr>
        <w:t>Ibidem</w:t>
      </w:r>
      <w:r w:rsidRPr="00520B31">
        <w:rPr>
          <w:rFonts w:ascii="Arial" w:hAnsi="Arial" w:cs="Arial"/>
          <w:color w:val="000000" w:themeColor="text1"/>
          <w:sz w:val="16"/>
          <w:szCs w:val="16"/>
        </w:rPr>
        <w:t>.</w:t>
      </w:r>
    </w:p>
    <w:p w14:paraId="0902D622" w14:textId="77777777" w:rsidR="00B81CD9" w:rsidRPr="00520B31" w:rsidRDefault="00B81CD9" w:rsidP="00331B91">
      <w:pPr>
        <w:pStyle w:val="Textonotapie"/>
        <w:ind w:firstLine="709"/>
        <w:jc w:val="both"/>
        <w:rPr>
          <w:rFonts w:ascii="Arial" w:hAnsi="Arial" w:cs="Arial"/>
          <w:color w:val="000000" w:themeColor="text1"/>
          <w:sz w:val="16"/>
          <w:szCs w:val="16"/>
        </w:rPr>
      </w:pPr>
    </w:p>
  </w:footnote>
  <w:footnote w:id="17">
    <w:p w14:paraId="7B6494C9" w14:textId="77777777"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Corte Constitucional. Sentencia C-317 de 2012. M.P. María Victoria Calle Correa. </w:t>
      </w:r>
    </w:p>
    <w:p w14:paraId="5CACEDEF" w14:textId="77777777" w:rsidR="00B81CD9" w:rsidRPr="00520B31" w:rsidRDefault="00B81CD9" w:rsidP="00331B91">
      <w:pPr>
        <w:pStyle w:val="Textonotapie"/>
        <w:ind w:firstLine="709"/>
        <w:jc w:val="both"/>
        <w:rPr>
          <w:rFonts w:ascii="Arial" w:hAnsi="Arial" w:cs="Arial"/>
          <w:color w:val="000000" w:themeColor="text1"/>
          <w:sz w:val="16"/>
          <w:szCs w:val="16"/>
        </w:rPr>
      </w:pPr>
    </w:p>
  </w:footnote>
  <w:footnote w:id="18">
    <w:p w14:paraId="7B35EFBB" w14:textId="1A2155BD"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footnote>
  <w:footnote w:id="19">
    <w:p w14:paraId="6EFC6D38" w14:textId="4023655A" w:rsidR="00B81CD9" w:rsidRPr="00520B31" w:rsidRDefault="00B81CD9" w:rsidP="00331B91">
      <w:pPr>
        <w:pStyle w:val="Textonotapie"/>
        <w:ind w:firstLine="709"/>
        <w:jc w:val="both"/>
        <w:rPr>
          <w:rFonts w:ascii="Arial" w:hAnsi="Arial" w:cs="Arial"/>
          <w:color w:val="000000" w:themeColor="text1"/>
          <w:sz w:val="16"/>
          <w:szCs w:val="16"/>
          <w:lang w:val="es-CO"/>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Se entiende por entidades de </w:t>
      </w:r>
      <w:r w:rsidRPr="00520B31">
        <w:rPr>
          <w:rFonts w:ascii="Arial" w:hAnsi="Arial" w:cs="Arial"/>
          <w:i/>
          <w:color w:val="000000" w:themeColor="text1"/>
          <w:sz w:val="16"/>
          <w:szCs w:val="16"/>
        </w:rPr>
        <w:t xml:space="preserve">régimen especial </w:t>
      </w:r>
      <w:r w:rsidRPr="00520B31">
        <w:rPr>
          <w:rFonts w:ascii="Arial" w:hAnsi="Arial" w:cs="Arial"/>
          <w:color w:val="000000" w:themeColor="text1"/>
          <w:sz w:val="16"/>
          <w:szCs w:val="16"/>
        </w:rPr>
        <w:t>aquellas que tienen un régimen contractual distinto al Estatuto General de Contratación de la Administración Pública, y que por regla general se rigen por el derecho privado.</w:t>
      </w:r>
    </w:p>
  </w:footnote>
  <w:footnote w:id="20">
    <w:p w14:paraId="64F6EEC9" w14:textId="77777777" w:rsidR="00B81CD9" w:rsidRPr="00520B31" w:rsidRDefault="00B81CD9" w:rsidP="00331B91">
      <w:pPr>
        <w:pStyle w:val="Textonotapie"/>
        <w:ind w:firstLine="709"/>
        <w:jc w:val="both"/>
        <w:rPr>
          <w:rFonts w:ascii="Arial" w:hAnsi="Arial" w:cs="Arial"/>
          <w:color w:val="000000" w:themeColor="text1"/>
          <w:sz w:val="16"/>
          <w:szCs w:val="16"/>
          <w:lang w:val="es-CO"/>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Esto se ha señalado en distintos conceptos de esta Subdirección, como el C-219 del 29 de abril de 2020, el C-280 del 6 de julio de 2020 y el C–434 del 29 de julio de 2020.</w:t>
      </w:r>
    </w:p>
  </w:footnote>
  <w:footnote w:id="21">
    <w:p w14:paraId="70336F28" w14:textId="77777777" w:rsidR="00B81CD9" w:rsidRPr="00520B31" w:rsidRDefault="00B81CD9" w:rsidP="00331B91">
      <w:pPr>
        <w:pStyle w:val="Textonotapie"/>
        <w:ind w:firstLine="709"/>
        <w:jc w:val="both"/>
        <w:rPr>
          <w:rFonts w:ascii="Arial" w:hAnsi="Arial" w:cs="Arial"/>
          <w:color w:val="000000" w:themeColor="text1"/>
          <w:sz w:val="16"/>
          <w:szCs w:val="16"/>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003C3F15" w14:textId="3B509BF0" w:rsidR="00B81CD9" w:rsidRPr="00520B31" w:rsidRDefault="008057DC" w:rsidP="00331B91">
      <w:pPr>
        <w:pStyle w:val="Textonotapie"/>
        <w:ind w:firstLine="709"/>
        <w:jc w:val="both"/>
        <w:rPr>
          <w:rFonts w:ascii="Arial" w:hAnsi="Arial" w:cs="Arial"/>
          <w:color w:val="000000" w:themeColor="text1"/>
          <w:sz w:val="16"/>
          <w:szCs w:val="16"/>
        </w:rPr>
      </w:pPr>
      <w:r w:rsidRPr="00520B31">
        <w:rPr>
          <w:rFonts w:ascii="Arial" w:hAnsi="Arial" w:cs="Arial"/>
          <w:color w:val="000000" w:themeColor="text1"/>
          <w:sz w:val="16"/>
          <w:szCs w:val="16"/>
        </w:rPr>
        <w:t>» Procedimientos</w:t>
      </w:r>
      <w:r w:rsidR="00B81CD9" w:rsidRPr="00520B31">
        <w:rPr>
          <w:rFonts w:ascii="Arial" w:hAnsi="Arial" w:cs="Arial"/>
          <w:color w:val="000000" w:themeColor="text1"/>
          <w:sz w:val="16"/>
          <w:szCs w:val="16"/>
        </w:rPr>
        <w:t xml:space="preserve"> sancionatorios. Durante la vigencia de la Emergencia Sanitaria declarada por el Ministerio de Salud y Protección Social, con ocasión de la pandemia derivada del Coronavirus COVID-19, las audiencias programadas de conformidad con el procedimiento establecido en el presente </w:t>
      </w:r>
      <w:r w:rsidRPr="00520B31">
        <w:rPr>
          <w:rFonts w:ascii="Arial" w:hAnsi="Arial" w:cs="Arial"/>
          <w:color w:val="000000" w:themeColor="text1"/>
          <w:sz w:val="16"/>
          <w:szCs w:val="16"/>
        </w:rPr>
        <w:t>artículo</w:t>
      </w:r>
      <w:r w:rsidR="00B81CD9" w:rsidRPr="00520B31">
        <w:rPr>
          <w:rFonts w:ascii="Arial" w:hAnsi="Arial" w:cs="Arial"/>
          <w:color w:val="000000" w:themeColor="text1"/>
          <w:sz w:val="16"/>
          <w:szCs w:val="16"/>
        </w:rPr>
        <w:t xml:space="preserve"> se podrán realizar a través de medios electrónicos, los cuales deberán garantizar el acceso de los contratistas y de quienes hayan expedido la garantía.</w:t>
      </w:r>
    </w:p>
    <w:p w14:paraId="224CAB53" w14:textId="1F36E3DA" w:rsidR="00B81CD9" w:rsidRPr="00520B31" w:rsidRDefault="008057DC" w:rsidP="00331B91">
      <w:pPr>
        <w:pStyle w:val="Textonotapie"/>
        <w:ind w:firstLine="709"/>
        <w:jc w:val="both"/>
        <w:rPr>
          <w:rFonts w:ascii="Arial" w:hAnsi="Arial" w:cs="Arial"/>
          <w:color w:val="000000" w:themeColor="text1"/>
          <w:sz w:val="16"/>
          <w:szCs w:val="16"/>
        </w:rPr>
      </w:pPr>
      <w:r w:rsidRPr="00520B31">
        <w:rPr>
          <w:rFonts w:ascii="Arial" w:hAnsi="Arial" w:cs="Arial"/>
          <w:color w:val="000000" w:themeColor="text1"/>
          <w:sz w:val="16"/>
          <w:szCs w:val="16"/>
        </w:rPr>
        <w:t>» La</w:t>
      </w:r>
      <w:r w:rsidR="00B81CD9" w:rsidRPr="00520B31">
        <w:rPr>
          <w:rFonts w:ascii="Arial" w:hAnsi="Arial" w:cs="Arial"/>
          <w:color w:val="000000" w:themeColor="text1"/>
          <w:sz w:val="16"/>
          <w:szCs w:val="16"/>
        </w:rPr>
        <w:t xml:space="preserve"> entidad estatal debe elegir y garantizar los medios electrónicos y de comunicación que utilizará, así como los mecanismos para el registro de la Información generada.</w:t>
      </w:r>
    </w:p>
    <w:p w14:paraId="4C7C93F3" w14:textId="1924A8EA" w:rsidR="00B81CD9" w:rsidRPr="00520B31" w:rsidRDefault="008057DC" w:rsidP="00331B91">
      <w:pPr>
        <w:pStyle w:val="Textonotapie"/>
        <w:ind w:firstLine="709"/>
        <w:jc w:val="both"/>
        <w:rPr>
          <w:rFonts w:ascii="Arial" w:hAnsi="Arial" w:cs="Arial"/>
          <w:color w:val="000000" w:themeColor="text1"/>
          <w:sz w:val="16"/>
          <w:szCs w:val="16"/>
          <w:lang w:val="es-CO"/>
        </w:rPr>
      </w:pPr>
      <w:r w:rsidRPr="00520B31">
        <w:rPr>
          <w:rFonts w:ascii="Arial" w:hAnsi="Arial" w:cs="Arial"/>
          <w:color w:val="000000" w:themeColor="text1"/>
          <w:sz w:val="16"/>
          <w:szCs w:val="16"/>
        </w:rPr>
        <w:t>» Sin</w:t>
      </w:r>
      <w:r w:rsidR="00B81CD9" w:rsidRPr="00520B31">
        <w:rPr>
          <w:rFonts w:ascii="Arial" w:hAnsi="Arial" w:cs="Arial"/>
          <w:color w:val="000000" w:themeColor="text1"/>
          <w:sz w:val="16"/>
          <w:szCs w:val="16"/>
        </w:rPr>
        <w:t xml:space="preserve"> perjuicio de lo anterior, el ordenador del gasto o funcionario competente podrá decretar la suspensión de términos, inclusive los iniciados con anterioridad a la vigencia de este Decreto». </w:t>
      </w:r>
    </w:p>
  </w:footnote>
  <w:footnote w:id="22">
    <w:p w14:paraId="6244B9F3" w14:textId="77777777" w:rsidR="00B81CD9" w:rsidRPr="00520B31" w:rsidRDefault="00B81CD9" w:rsidP="00331B91">
      <w:pPr>
        <w:pStyle w:val="Textonotapie"/>
        <w:ind w:firstLine="709"/>
        <w:jc w:val="both"/>
        <w:rPr>
          <w:rFonts w:ascii="Arial" w:hAnsi="Arial" w:cs="Arial"/>
          <w:color w:val="000000" w:themeColor="text1"/>
          <w:sz w:val="16"/>
          <w:szCs w:val="16"/>
          <w:lang w:val="es-CO"/>
        </w:rPr>
      </w:pPr>
      <w:r w:rsidRPr="00520B31">
        <w:rPr>
          <w:rStyle w:val="Refdenotaalpie"/>
          <w:rFonts w:ascii="Arial" w:hAnsi="Arial" w:cs="Arial"/>
          <w:color w:val="000000" w:themeColor="text1"/>
          <w:sz w:val="16"/>
          <w:szCs w:val="16"/>
        </w:rPr>
        <w:footnoteRef/>
      </w:r>
      <w:r w:rsidRPr="00520B31">
        <w:rPr>
          <w:rFonts w:ascii="Arial" w:hAnsi="Arial" w:cs="Arial"/>
          <w:color w:val="000000" w:themeColor="text1"/>
          <w:sz w:val="16"/>
          <w:szCs w:val="16"/>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23">
    <w:p w14:paraId="6D94D483" w14:textId="70E6528B" w:rsidR="008605C0" w:rsidRPr="00520B31" w:rsidRDefault="008605C0" w:rsidP="004033CD">
      <w:pPr>
        <w:pStyle w:val="Textonotapie"/>
        <w:ind w:firstLine="708"/>
        <w:jc w:val="both"/>
        <w:rPr>
          <w:rFonts w:ascii="Arial" w:hAnsi="Arial" w:cs="Arial"/>
          <w:sz w:val="16"/>
          <w:szCs w:val="16"/>
          <w:lang w:val="es-CO"/>
        </w:rPr>
      </w:pPr>
      <w:r w:rsidRPr="00520B31">
        <w:rPr>
          <w:rStyle w:val="Refdenotaalpie"/>
          <w:rFonts w:ascii="Arial" w:hAnsi="Arial" w:cs="Arial"/>
          <w:sz w:val="16"/>
          <w:szCs w:val="16"/>
        </w:rPr>
        <w:footnoteRef/>
      </w:r>
      <w:r w:rsidRPr="00520B31">
        <w:rPr>
          <w:rFonts w:ascii="Arial" w:hAnsi="Arial" w:cs="Arial"/>
          <w:sz w:val="16"/>
          <w:szCs w:val="16"/>
        </w:rPr>
        <w:t xml:space="preserve"> </w:t>
      </w:r>
      <w:r w:rsidRPr="00520B31">
        <w:rPr>
          <w:rFonts w:ascii="Arial" w:hAnsi="Arial" w:cs="Arial"/>
          <w:sz w:val="16"/>
          <w:szCs w:val="16"/>
          <w:lang w:val="es-CO"/>
        </w:rPr>
        <w:t xml:space="preserve">Corte Constitucional, sentencia de Unificación Jurisprudencial SU 339 del 4 de mayo de 2011. Magistrado ponente: </w:t>
      </w:r>
      <w:r w:rsidR="00BE3FBE" w:rsidRPr="00520B31">
        <w:rPr>
          <w:rFonts w:ascii="Arial" w:hAnsi="Arial" w:cs="Arial"/>
          <w:sz w:val="16"/>
          <w:szCs w:val="16"/>
          <w:lang w:val="es-CO"/>
        </w:rPr>
        <w:t>Humberto Antonio Sierra Porto. Exp. T-2.735.401</w:t>
      </w:r>
    </w:p>
    <w:p w14:paraId="364AB7AA" w14:textId="77777777" w:rsidR="008605C0" w:rsidRPr="00520B31" w:rsidRDefault="008605C0" w:rsidP="004813F0">
      <w:pPr>
        <w:pStyle w:val="Textonotapie"/>
        <w:ind w:firstLine="708"/>
        <w:jc w:val="both"/>
        <w:rPr>
          <w:rFonts w:ascii="Arial" w:hAnsi="Arial" w:cs="Arial"/>
          <w:sz w:val="16"/>
          <w:szCs w:val="16"/>
          <w:lang w:val="es-CO"/>
        </w:rPr>
      </w:pPr>
    </w:p>
  </w:footnote>
  <w:footnote w:id="24">
    <w:p w14:paraId="52FDE2EB" w14:textId="19E23B9B" w:rsidR="005E21F8" w:rsidRPr="00520B31" w:rsidRDefault="005E21F8" w:rsidP="004033CD">
      <w:pPr>
        <w:pStyle w:val="Textonotapie"/>
        <w:ind w:firstLine="708"/>
        <w:jc w:val="both"/>
        <w:rPr>
          <w:rFonts w:ascii="Arial" w:hAnsi="Arial" w:cs="Arial"/>
          <w:sz w:val="16"/>
          <w:szCs w:val="16"/>
          <w:lang w:val="es-CO"/>
        </w:rPr>
      </w:pPr>
      <w:r w:rsidRPr="00520B31">
        <w:rPr>
          <w:rStyle w:val="Refdenotaalpie"/>
          <w:rFonts w:ascii="Arial" w:hAnsi="Arial" w:cs="Arial"/>
          <w:sz w:val="16"/>
          <w:szCs w:val="16"/>
        </w:rPr>
        <w:footnoteRef/>
      </w:r>
      <w:r w:rsidRPr="00520B31">
        <w:rPr>
          <w:rFonts w:ascii="Arial" w:hAnsi="Arial" w:cs="Arial"/>
          <w:sz w:val="16"/>
          <w:szCs w:val="16"/>
        </w:rPr>
        <w:t xml:space="preserve"> </w:t>
      </w:r>
      <w:r w:rsidRPr="00520B31">
        <w:rPr>
          <w:rFonts w:ascii="Arial" w:hAnsi="Arial" w:cs="Arial"/>
          <w:sz w:val="16"/>
          <w:szCs w:val="16"/>
          <w:lang w:val="es-CO"/>
        </w:rPr>
        <w:t>Santofimio Gamboa</w:t>
      </w:r>
      <w:r w:rsidR="0025530A" w:rsidRPr="00520B31">
        <w:rPr>
          <w:rFonts w:ascii="Arial" w:hAnsi="Arial" w:cs="Arial"/>
          <w:sz w:val="16"/>
          <w:szCs w:val="16"/>
          <w:lang w:val="es-CO"/>
        </w:rPr>
        <w:t>, Jaime Orlando</w:t>
      </w:r>
      <w:r w:rsidR="00586A74" w:rsidRPr="00520B31">
        <w:rPr>
          <w:rFonts w:ascii="Arial" w:hAnsi="Arial" w:cs="Arial"/>
          <w:sz w:val="16"/>
          <w:szCs w:val="16"/>
          <w:lang w:val="es-CO"/>
        </w:rPr>
        <w:t xml:space="preserve"> (</w:t>
      </w:r>
      <w:r w:rsidR="00B33E7A" w:rsidRPr="00520B31">
        <w:rPr>
          <w:rFonts w:ascii="Arial" w:hAnsi="Arial" w:cs="Arial"/>
          <w:sz w:val="16"/>
          <w:szCs w:val="16"/>
          <w:lang w:val="es-CO"/>
        </w:rPr>
        <w:t>2017). “Potestad sancionatoria de la administración en materia de contratación estatal”</w:t>
      </w:r>
      <w:r w:rsidR="002610C6" w:rsidRPr="00520B31">
        <w:rPr>
          <w:rFonts w:ascii="Arial" w:hAnsi="Arial" w:cs="Arial"/>
          <w:sz w:val="16"/>
          <w:szCs w:val="16"/>
          <w:lang w:val="es-CO"/>
        </w:rPr>
        <w:t xml:space="preserve">. Montaña Plata, Alberto y </w:t>
      </w:r>
      <w:r w:rsidR="00630C48" w:rsidRPr="00520B31">
        <w:rPr>
          <w:rFonts w:ascii="Arial" w:hAnsi="Arial" w:cs="Arial"/>
          <w:sz w:val="16"/>
          <w:szCs w:val="16"/>
          <w:lang w:val="es-CO"/>
        </w:rPr>
        <w:t>Rincón</w:t>
      </w:r>
      <w:r w:rsidR="00E65F6E" w:rsidRPr="00520B31">
        <w:rPr>
          <w:rFonts w:ascii="Arial" w:hAnsi="Arial" w:cs="Arial"/>
          <w:sz w:val="16"/>
          <w:szCs w:val="16"/>
          <w:lang w:val="es-CO"/>
        </w:rPr>
        <w:t xml:space="preserve"> </w:t>
      </w:r>
      <w:r w:rsidR="00630C48" w:rsidRPr="00520B31">
        <w:rPr>
          <w:rFonts w:ascii="Arial" w:hAnsi="Arial" w:cs="Arial"/>
          <w:sz w:val="16"/>
          <w:szCs w:val="16"/>
          <w:lang w:val="es-CO"/>
        </w:rPr>
        <w:t>Córdoba</w:t>
      </w:r>
      <w:r w:rsidR="00E65F6E" w:rsidRPr="00520B31">
        <w:rPr>
          <w:rFonts w:ascii="Arial" w:hAnsi="Arial" w:cs="Arial"/>
          <w:sz w:val="16"/>
          <w:szCs w:val="16"/>
          <w:lang w:val="es-CO"/>
        </w:rPr>
        <w:t>, Jorge (Ed.)</w:t>
      </w:r>
      <w:r w:rsidR="00456470" w:rsidRPr="00520B31">
        <w:rPr>
          <w:rFonts w:ascii="Arial" w:hAnsi="Arial" w:cs="Arial"/>
          <w:sz w:val="16"/>
          <w:szCs w:val="16"/>
          <w:lang w:val="es-CO"/>
        </w:rPr>
        <w:t xml:space="preserve"> </w:t>
      </w:r>
      <w:r w:rsidR="00456470" w:rsidRPr="00520B31">
        <w:rPr>
          <w:rFonts w:ascii="Arial" w:hAnsi="Arial" w:cs="Arial"/>
          <w:i/>
          <w:sz w:val="16"/>
          <w:szCs w:val="16"/>
          <w:lang w:val="es-CO"/>
        </w:rPr>
        <w:t>“Contratos Públicos: problemas, perspectiva y prospectivas</w:t>
      </w:r>
      <w:r w:rsidR="00AD6E45" w:rsidRPr="00520B31">
        <w:rPr>
          <w:rFonts w:ascii="Arial" w:hAnsi="Arial" w:cs="Arial"/>
          <w:i/>
          <w:sz w:val="16"/>
          <w:szCs w:val="16"/>
          <w:lang w:val="es-CO"/>
        </w:rPr>
        <w:t>”</w:t>
      </w:r>
      <w:r w:rsidR="00602C6A" w:rsidRPr="00520B31">
        <w:rPr>
          <w:rFonts w:ascii="Arial" w:hAnsi="Arial" w:cs="Arial"/>
          <w:i/>
          <w:sz w:val="16"/>
          <w:szCs w:val="16"/>
          <w:lang w:val="es-CO"/>
        </w:rPr>
        <w:t xml:space="preserve">- </w:t>
      </w:r>
      <w:r w:rsidR="00C90490" w:rsidRPr="00520B31">
        <w:rPr>
          <w:rFonts w:ascii="Arial" w:hAnsi="Arial" w:cs="Arial"/>
          <w:sz w:val="16"/>
          <w:szCs w:val="16"/>
          <w:lang w:val="es-CO"/>
        </w:rPr>
        <w:t>Bogotá: Universidad Externado de Colombia</w:t>
      </w:r>
      <w:r w:rsidR="00630C48" w:rsidRPr="00520B31">
        <w:rPr>
          <w:rFonts w:ascii="Arial" w:hAnsi="Arial" w:cs="Arial"/>
          <w:sz w:val="16"/>
          <w:szCs w:val="16"/>
          <w:lang w:val="es-CO"/>
        </w:rPr>
        <w:t>. 2017</w:t>
      </w:r>
    </w:p>
    <w:p w14:paraId="19F8428F" w14:textId="77777777" w:rsidR="005E21F8" w:rsidRPr="00520B31" w:rsidRDefault="005E21F8" w:rsidP="004813F0">
      <w:pPr>
        <w:pStyle w:val="Textonotapie"/>
        <w:ind w:firstLine="708"/>
        <w:jc w:val="both"/>
        <w:rPr>
          <w:rFonts w:ascii="Arial" w:hAnsi="Arial" w:cs="Arial"/>
          <w:i/>
          <w:sz w:val="16"/>
          <w:szCs w:val="16"/>
          <w:lang w:val="es-CO"/>
        </w:rPr>
      </w:pPr>
    </w:p>
  </w:footnote>
  <w:footnote w:id="25">
    <w:p w14:paraId="63C15D92" w14:textId="42F6ED86" w:rsidR="00BD052C" w:rsidRPr="00520B31" w:rsidRDefault="00BD052C" w:rsidP="009E02FF">
      <w:pPr>
        <w:pStyle w:val="Textonotapie"/>
        <w:ind w:firstLine="708"/>
        <w:jc w:val="both"/>
        <w:rPr>
          <w:rFonts w:ascii="Arial" w:hAnsi="Arial" w:cs="Arial"/>
          <w:sz w:val="16"/>
          <w:szCs w:val="16"/>
          <w:lang w:val="es-CO"/>
        </w:rPr>
      </w:pPr>
      <w:r w:rsidRPr="00520B31">
        <w:rPr>
          <w:rStyle w:val="Refdenotaalpie"/>
          <w:rFonts w:ascii="Arial" w:hAnsi="Arial" w:cs="Arial"/>
          <w:sz w:val="16"/>
          <w:szCs w:val="16"/>
        </w:rPr>
        <w:footnoteRef/>
      </w:r>
      <w:r w:rsidRPr="00520B31">
        <w:rPr>
          <w:rFonts w:ascii="Arial" w:hAnsi="Arial" w:cs="Arial"/>
          <w:sz w:val="16"/>
          <w:szCs w:val="16"/>
        </w:rPr>
        <w:t xml:space="preserve"> </w:t>
      </w:r>
      <w:r w:rsidR="00F66DD2" w:rsidRPr="00520B31">
        <w:rPr>
          <w:rFonts w:ascii="Arial" w:hAnsi="Arial" w:cs="Arial"/>
          <w:sz w:val="16"/>
          <w:szCs w:val="16"/>
        </w:rPr>
        <w:t>Corte Constitucional, sentencia de acción de tutela del 13 de septiembre de 2010. Magistrado Ponente: Jorge Ignacio Pretelt</w:t>
      </w:r>
      <w:r w:rsidR="00331B91" w:rsidRPr="00520B31">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532"/>
    <w:rsid w:val="000219F8"/>
    <w:rsid w:val="0003722F"/>
    <w:rsid w:val="00056C77"/>
    <w:rsid w:val="00076A4D"/>
    <w:rsid w:val="00077909"/>
    <w:rsid w:val="00083334"/>
    <w:rsid w:val="00083892"/>
    <w:rsid w:val="000918D3"/>
    <w:rsid w:val="000956CF"/>
    <w:rsid w:val="00096BC0"/>
    <w:rsid w:val="000A52A1"/>
    <w:rsid w:val="000A5C00"/>
    <w:rsid w:val="000A5CC6"/>
    <w:rsid w:val="000A683E"/>
    <w:rsid w:val="000B612E"/>
    <w:rsid w:val="000C5B4A"/>
    <w:rsid w:val="000D26C3"/>
    <w:rsid w:val="000D4C53"/>
    <w:rsid w:val="000E7A3B"/>
    <w:rsid w:val="000F1BFD"/>
    <w:rsid w:val="000F680B"/>
    <w:rsid w:val="00110B8C"/>
    <w:rsid w:val="0011452B"/>
    <w:rsid w:val="0011595A"/>
    <w:rsid w:val="00120778"/>
    <w:rsid w:val="001220C5"/>
    <w:rsid w:val="001267F7"/>
    <w:rsid w:val="00127233"/>
    <w:rsid w:val="00130999"/>
    <w:rsid w:val="001348BF"/>
    <w:rsid w:val="00144DFD"/>
    <w:rsid w:val="00146CA8"/>
    <w:rsid w:val="00160EBD"/>
    <w:rsid w:val="0016200A"/>
    <w:rsid w:val="00164D81"/>
    <w:rsid w:val="00166B6A"/>
    <w:rsid w:val="00166F98"/>
    <w:rsid w:val="00185C72"/>
    <w:rsid w:val="00197550"/>
    <w:rsid w:val="001A1011"/>
    <w:rsid w:val="001A1F5C"/>
    <w:rsid w:val="001A3343"/>
    <w:rsid w:val="001A3C63"/>
    <w:rsid w:val="001A48D0"/>
    <w:rsid w:val="001A73C9"/>
    <w:rsid w:val="001E027B"/>
    <w:rsid w:val="001E4325"/>
    <w:rsid w:val="001F0D21"/>
    <w:rsid w:val="001F7E13"/>
    <w:rsid w:val="00213F24"/>
    <w:rsid w:val="00227E2C"/>
    <w:rsid w:val="00245779"/>
    <w:rsid w:val="00254684"/>
    <w:rsid w:val="00255164"/>
    <w:rsid w:val="0025530A"/>
    <w:rsid w:val="002553FF"/>
    <w:rsid w:val="002610C6"/>
    <w:rsid w:val="00263586"/>
    <w:rsid w:val="0026365A"/>
    <w:rsid w:val="00264DED"/>
    <w:rsid w:val="002653C1"/>
    <w:rsid w:val="0026611D"/>
    <w:rsid w:val="00270A26"/>
    <w:rsid w:val="00272A05"/>
    <w:rsid w:val="00281D65"/>
    <w:rsid w:val="00284BF4"/>
    <w:rsid w:val="00291A9C"/>
    <w:rsid w:val="00294001"/>
    <w:rsid w:val="002951A0"/>
    <w:rsid w:val="002A64FD"/>
    <w:rsid w:val="002B15DF"/>
    <w:rsid w:val="002B1EDF"/>
    <w:rsid w:val="002D2448"/>
    <w:rsid w:val="002D32C2"/>
    <w:rsid w:val="002E0DC0"/>
    <w:rsid w:val="002F0839"/>
    <w:rsid w:val="002F6F88"/>
    <w:rsid w:val="00301469"/>
    <w:rsid w:val="00306EE1"/>
    <w:rsid w:val="00306FC1"/>
    <w:rsid w:val="00310B9B"/>
    <w:rsid w:val="00312553"/>
    <w:rsid w:val="00331B91"/>
    <w:rsid w:val="00335EC4"/>
    <w:rsid w:val="00354BC9"/>
    <w:rsid w:val="00355292"/>
    <w:rsid w:val="00356F4F"/>
    <w:rsid w:val="0036461C"/>
    <w:rsid w:val="00367884"/>
    <w:rsid w:val="00371FCA"/>
    <w:rsid w:val="003765B4"/>
    <w:rsid w:val="003830DF"/>
    <w:rsid w:val="00386BCE"/>
    <w:rsid w:val="0039439C"/>
    <w:rsid w:val="0039501D"/>
    <w:rsid w:val="003B5653"/>
    <w:rsid w:val="003B69E7"/>
    <w:rsid w:val="003C013B"/>
    <w:rsid w:val="003C0B7E"/>
    <w:rsid w:val="003C376B"/>
    <w:rsid w:val="003D0F4D"/>
    <w:rsid w:val="003D46E8"/>
    <w:rsid w:val="003D7D41"/>
    <w:rsid w:val="003F2FBB"/>
    <w:rsid w:val="003F58A1"/>
    <w:rsid w:val="004033BD"/>
    <w:rsid w:val="004033CD"/>
    <w:rsid w:val="00403BA8"/>
    <w:rsid w:val="00410DD6"/>
    <w:rsid w:val="004134C9"/>
    <w:rsid w:val="00424847"/>
    <w:rsid w:val="0043138C"/>
    <w:rsid w:val="0043375C"/>
    <w:rsid w:val="004350AE"/>
    <w:rsid w:val="00436DB0"/>
    <w:rsid w:val="00442BFA"/>
    <w:rsid w:val="004456F3"/>
    <w:rsid w:val="00446A04"/>
    <w:rsid w:val="00447CD5"/>
    <w:rsid w:val="00456470"/>
    <w:rsid w:val="00456D38"/>
    <w:rsid w:val="00461939"/>
    <w:rsid w:val="00462A59"/>
    <w:rsid w:val="00471DE1"/>
    <w:rsid w:val="00475968"/>
    <w:rsid w:val="004813F0"/>
    <w:rsid w:val="00487308"/>
    <w:rsid w:val="00490691"/>
    <w:rsid w:val="004928C2"/>
    <w:rsid w:val="004A1847"/>
    <w:rsid w:val="004B415A"/>
    <w:rsid w:val="004B42BC"/>
    <w:rsid w:val="004B614D"/>
    <w:rsid w:val="004B6B0E"/>
    <w:rsid w:val="004C0041"/>
    <w:rsid w:val="004C363C"/>
    <w:rsid w:val="004C5A8C"/>
    <w:rsid w:val="004D0CE8"/>
    <w:rsid w:val="004D25B3"/>
    <w:rsid w:val="00501B2F"/>
    <w:rsid w:val="00502C7F"/>
    <w:rsid w:val="0051063D"/>
    <w:rsid w:val="00511405"/>
    <w:rsid w:val="0051326A"/>
    <w:rsid w:val="00520B31"/>
    <w:rsid w:val="00526E9D"/>
    <w:rsid w:val="00526FC3"/>
    <w:rsid w:val="0054398C"/>
    <w:rsid w:val="00547856"/>
    <w:rsid w:val="0054793C"/>
    <w:rsid w:val="00547A74"/>
    <w:rsid w:val="00553725"/>
    <w:rsid w:val="005566E8"/>
    <w:rsid w:val="00564B1F"/>
    <w:rsid w:val="00571C4B"/>
    <w:rsid w:val="005746AB"/>
    <w:rsid w:val="00586A74"/>
    <w:rsid w:val="0059357F"/>
    <w:rsid w:val="005A1130"/>
    <w:rsid w:val="005A781F"/>
    <w:rsid w:val="005C36EB"/>
    <w:rsid w:val="005D65C8"/>
    <w:rsid w:val="005D7991"/>
    <w:rsid w:val="005E21F8"/>
    <w:rsid w:val="005E42E6"/>
    <w:rsid w:val="005F0386"/>
    <w:rsid w:val="005F584B"/>
    <w:rsid w:val="00602C6A"/>
    <w:rsid w:val="006150B9"/>
    <w:rsid w:val="006219F8"/>
    <w:rsid w:val="00623C66"/>
    <w:rsid w:val="0062451B"/>
    <w:rsid w:val="00630C48"/>
    <w:rsid w:val="00631D51"/>
    <w:rsid w:val="006536E3"/>
    <w:rsid w:val="00655EB1"/>
    <w:rsid w:val="0067263F"/>
    <w:rsid w:val="0067784C"/>
    <w:rsid w:val="00681FDB"/>
    <w:rsid w:val="00684AD6"/>
    <w:rsid w:val="006851E3"/>
    <w:rsid w:val="006864F5"/>
    <w:rsid w:val="00687AB0"/>
    <w:rsid w:val="006A176E"/>
    <w:rsid w:val="006A4049"/>
    <w:rsid w:val="006A7DAD"/>
    <w:rsid w:val="006D4B5D"/>
    <w:rsid w:val="006D70BA"/>
    <w:rsid w:val="006E2F41"/>
    <w:rsid w:val="006E481C"/>
    <w:rsid w:val="006F54D2"/>
    <w:rsid w:val="006F5844"/>
    <w:rsid w:val="006F71B6"/>
    <w:rsid w:val="00727AC6"/>
    <w:rsid w:val="0073351A"/>
    <w:rsid w:val="00736018"/>
    <w:rsid w:val="00737F6D"/>
    <w:rsid w:val="00754D37"/>
    <w:rsid w:val="007566FE"/>
    <w:rsid w:val="00763EF9"/>
    <w:rsid w:val="0076726F"/>
    <w:rsid w:val="0077144B"/>
    <w:rsid w:val="007728F4"/>
    <w:rsid w:val="0077633A"/>
    <w:rsid w:val="00793403"/>
    <w:rsid w:val="007955EE"/>
    <w:rsid w:val="007C0CDF"/>
    <w:rsid w:val="007D1503"/>
    <w:rsid w:val="007E2A2F"/>
    <w:rsid w:val="007E461D"/>
    <w:rsid w:val="007E49CF"/>
    <w:rsid w:val="007F2B7C"/>
    <w:rsid w:val="00801A44"/>
    <w:rsid w:val="00803151"/>
    <w:rsid w:val="008057DC"/>
    <w:rsid w:val="00811651"/>
    <w:rsid w:val="00820F5B"/>
    <w:rsid w:val="00833452"/>
    <w:rsid w:val="00850B3B"/>
    <w:rsid w:val="0085189A"/>
    <w:rsid w:val="008605C0"/>
    <w:rsid w:val="008614E5"/>
    <w:rsid w:val="008678EB"/>
    <w:rsid w:val="00871881"/>
    <w:rsid w:val="00875894"/>
    <w:rsid w:val="00881C10"/>
    <w:rsid w:val="00890411"/>
    <w:rsid w:val="00893005"/>
    <w:rsid w:val="008C6F06"/>
    <w:rsid w:val="008D5C70"/>
    <w:rsid w:val="008F1480"/>
    <w:rsid w:val="00901B1F"/>
    <w:rsid w:val="009025AF"/>
    <w:rsid w:val="00904F23"/>
    <w:rsid w:val="00906B3C"/>
    <w:rsid w:val="00915011"/>
    <w:rsid w:val="00915C59"/>
    <w:rsid w:val="009264E6"/>
    <w:rsid w:val="00932736"/>
    <w:rsid w:val="00944C5B"/>
    <w:rsid w:val="00950292"/>
    <w:rsid w:val="00952086"/>
    <w:rsid w:val="0095342C"/>
    <w:rsid w:val="0096040E"/>
    <w:rsid w:val="009607EC"/>
    <w:rsid w:val="00972073"/>
    <w:rsid w:val="009B161B"/>
    <w:rsid w:val="009B210D"/>
    <w:rsid w:val="009D648E"/>
    <w:rsid w:val="009E02FF"/>
    <w:rsid w:val="009E39AE"/>
    <w:rsid w:val="009E451C"/>
    <w:rsid w:val="009F33F2"/>
    <w:rsid w:val="009F69F1"/>
    <w:rsid w:val="009F6C77"/>
    <w:rsid w:val="00A07532"/>
    <w:rsid w:val="00A075A3"/>
    <w:rsid w:val="00A1085C"/>
    <w:rsid w:val="00A30934"/>
    <w:rsid w:val="00A309E2"/>
    <w:rsid w:val="00A41AF3"/>
    <w:rsid w:val="00A43E39"/>
    <w:rsid w:val="00A46A0F"/>
    <w:rsid w:val="00A5498D"/>
    <w:rsid w:val="00A65216"/>
    <w:rsid w:val="00A8066E"/>
    <w:rsid w:val="00A8330D"/>
    <w:rsid w:val="00AA4B8A"/>
    <w:rsid w:val="00AA6BF7"/>
    <w:rsid w:val="00AA7530"/>
    <w:rsid w:val="00AB4F2C"/>
    <w:rsid w:val="00AB7366"/>
    <w:rsid w:val="00AC27CF"/>
    <w:rsid w:val="00AD5555"/>
    <w:rsid w:val="00AD5D5D"/>
    <w:rsid w:val="00AD6E45"/>
    <w:rsid w:val="00AE57E7"/>
    <w:rsid w:val="00AF2460"/>
    <w:rsid w:val="00B01ED6"/>
    <w:rsid w:val="00B04087"/>
    <w:rsid w:val="00B04272"/>
    <w:rsid w:val="00B06D09"/>
    <w:rsid w:val="00B20D91"/>
    <w:rsid w:val="00B212B0"/>
    <w:rsid w:val="00B24D3C"/>
    <w:rsid w:val="00B33E7A"/>
    <w:rsid w:val="00B435BF"/>
    <w:rsid w:val="00B61DD3"/>
    <w:rsid w:val="00B747D9"/>
    <w:rsid w:val="00B771A9"/>
    <w:rsid w:val="00B809BB"/>
    <w:rsid w:val="00B81CD9"/>
    <w:rsid w:val="00B8248A"/>
    <w:rsid w:val="00B8314F"/>
    <w:rsid w:val="00B8757D"/>
    <w:rsid w:val="00B91E1E"/>
    <w:rsid w:val="00BA35BA"/>
    <w:rsid w:val="00BA7AE1"/>
    <w:rsid w:val="00BB6075"/>
    <w:rsid w:val="00BB60AE"/>
    <w:rsid w:val="00BB7726"/>
    <w:rsid w:val="00BC0E83"/>
    <w:rsid w:val="00BD052C"/>
    <w:rsid w:val="00BD3A4C"/>
    <w:rsid w:val="00BE3FBE"/>
    <w:rsid w:val="00C06AD9"/>
    <w:rsid w:val="00C14767"/>
    <w:rsid w:val="00C2329E"/>
    <w:rsid w:val="00C23774"/>
    <w:rsid w:val="00C30461"/>
    <w:rsid w:val="00C331ED"/>
    <w:rsid w:val="00C3776E"/>
    <w:rsid w:val="00C62FE3"/>
    <w:rsid w:val="00C754BE"/>
    <w:rsid w:val="00C87572"/>
    <w:rsid w:val="00C875F9"/>
    <w:rsid w:val="00C90490"/>
    <w:rsid w:val="00C93E71"/>
    <w:rsid w:val="00C9405D"/>
    <w:rsid w:val="00C94CCE"/>
    <w:rsid w:val="00C967AB"/>
    <w:rsid w:val="00CA41E9"/>
    <w:rsid w:val="00CA48A6"/>
    <w:rsid w:val="00CA6466"/>
    <w:rsid w:val="00CB7179"/>
    <w:rsid w:val="00CC1B26"/>
    <w:rsid w:val="00CC29CF"/>
    <w:rsid w:val="00CC4245"/>
    <w:rsid w:val="00CC7053"/>
    <w:rsid w:val="00CD284F"/>
    <w:rsid w:val="00CD4085"/>
    <w:rsid w:val="00CD5AB9"/>
    <w:rsid w:val="00CD7672"/>
    <w:rsid w:val="00CE5658"/>
    <w:rsid w:val="00CF23AA"/>
    <w:rsid w:val="00D0012A"/>
    <w:rsid w:val="00D01921"/>
    <w:rsid w:val="00D02DA7"/>
    <w:rsid w:val="00D11572"/>
    <w:rsid w:val="00D1391B"/>
    <w:rsid w:val="00D25E7B"/>
    <w:rsid w:val="00D40156"/>
    <w:rsid w:val="00D47754"/>
    <w:rsid w:val="00D541C1"/>
    <w:rsid w:val="00D54EC6"/>
    <w:rsid w:val="00D54F7E"/>
    <w:rsid w:val="00D640B2"/>
    <w:rsid w:val="00D67CAF"/>
    <w:rsid w:val="00D752B7"/>
    <w:rsid w:val="00D92679"/>
    <w:rsid w:val="00D929E3"/>
    <w:rsid w:val="00DA1854"/>
    <w:rsid w:val="00DB0887"/>
    <w:rsid w:val="00DB227E"/>
    <w:rsid w:val="00DB3804"/>
    <w:rsid w:val="00DB7BFB"/>
    <w:rsid w:val="00DD4AD7"/>
    <w:rsid w:val="00DE16E6"/>
    <w:rsid w:val="00DF027D"/>
    <w:rsid w:val="00DF1E43"/>
    <w:rsid w:val="00E00412"/>
    <w:rsid w:val="00E132B3"/>
    <w:rsid w:val="00E15062"/>
    <w:rsid w:val="00E16E29"/>
    <w:rsid w:val="00E20894"/>
    <w:rsid w:val="00E24C8D"/>
    <w:rsid w:val="00E26B7C"/>
    <w:rsid w:val="00E46D5C"/>
    <w:rsid w:val="00E50352"/>
    <w:rsid w:val="00E51E17"/>
    <w:rsid w:val="00E57C2C"/>
    <w:rsid w:val="00E60912"/>
    <w:rsid w:val="00E61E05"/>
    <w:rsid w:val="00E63BD2"/>
    <w:rsid w:val="00E65F6E"/>
    <w:rsid w:val="00E710DB"/>
    <w:rsid w:val="00E71725"/>
    <w:rsid w:val="00E8150F"/>
    <w:rsid w:val="00E84113"/>
    <w:rsid w:val="00E908FC"/>
    <w:rsid w:val="00E91089"/>
    <w:rsid w:val="00EA1ADF"/>
    <w:rsid w:val="00EA3003"/>
    <w:rsid w:val="00EA70D8"/>
    <w:rsid w:val="00EA7A10"/>
    <w:rsid w:val="00EB1CE9"/>
    <w:rsid w:val="00EB2F4D"/>
    <w:rsid w:val="00EB3C91"/>
    <w:rsid w:val="00EB4388"/>
    <w:rsid w:val="00EB66DA"/>
    <w:rsid w:val="00EC29F3"/>
    <w:rsid w:val="00EC4566"/>
    <w:rsid w:val="00ED2104"/>
    <w:rsid w:val="00EE038D"/>
    <w:rsid w:val="00EE5F37"/>
    <w:rsid w:val="00EF0285"/>
    <w:rsid w:val="00EF0443"/>
    <w:rsid w:val="00F129AD"/>
    <w:rsid w:val="00F21EE1"/>
    <w:rsid w:val="00F25346"/>
    <w:rsid w:val="00F3404C"/>
    <w:rsid w:val="00F42420"/>
    <w:rsid w:val="00F46E04"/>
    <w:rsid w:val="00F52DEB"/>
    <w:rsid w:val="00F54350"/>
    <w:rsid w:val="00F605F2"/>
    <w:rsid w:val="00F64C85"/>
    <w:rsid w:val="00F65A8A"/>
    <w:rsid w:val="00F66DD2"/>
    <w:rsid w:val="00F76AFC"/>
    <w:rsid w:val="00F77E8C"/>
    <w:rsid w:val="00F82EC3"/>
    <w:rsid w:val="00F8319B"/>
    <w:rsid w:val="00F97159"/>
    <w:rsid w:val="00F97B79"/>
    <w:rsid w:val="00FA5516"/>
    <w:rsid w:val="00FB0B82"/>
    <w:rsid w:val="00FB2B49"/>
    <w:rsid w:val="00FB4240"/>
    <w:rsid w:val="00FD1E63"/>
    <w:rsid w:val="00FD6F73"/>
    <w:rsid w:val="00FE482D"/>
    <w:rsid w:val="00FE6C7F"/>
    <w:rsid w:val="1CC63BF5"/>
    <w:rsid w:val="1EA6226B"/>
    <w:rsid w:val="2CC73101"/>
    <w:rsid w:val="2F9951DC"/>
    <w:rsid w:val="3EA2D60F"/>
    <w:rsid w:val="412FAC99"/>
    <w:rsid w:val="4F3D7873"/>
    <w:rsid w:val="6067A375"/>
    <w:rsid w:val="6B8BD3AC"/>
    <w:rsid w:val="777950C3"/>
    <w:rsid w:val="7C03503F"/>
    <w:rsid w:val="7DD86D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unhideWhenUsed/>
    <w:qFormat/>
    <w:rsid w:val="00501B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355292"/>
    <w:rPr>
      <w:color w:val="0563C1"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892"/>
    <w:rPr>
      <w:rFonts w:ascii="Geomanist Light" w:hAnsi="Geomanist Light"/>
      <w:lang w:val="es-ES"/>
    </w:rPr>
  </w:style>
  <w:style w:type="paragraph" w:customStyle="1" w:styleId="Appelnotedebasde">
    <w:name w:val="Appel note de bas de..."/>
    <w:basedOn w:val="Normal"/>
    <w:link w:val="Refdenotaalpie"/>
    <w:uiPriority w:val="99"/>
    <w:rsid w:val="00944C5B"/>
    <w:pPr>
      <w:spacing w:line="240" w:lineRule="exact"/>
    </w:pPr>
    <w:rPr>
      <w:vertAlign w:val="superscript"/>
    </w:rPr>
  </w:style>
  <w:style w:type="paragraph" w:styleId="NormalWeb">
    <w:name w:val="Normal (Web)"/>
    <w:basedOn w:val="Normal"/>
    <w:uiPriority w:val="99"/>
    <w:semiHidden/>
    <w:unhideWhenUsed/>
    <w:rsid w:val="00C875F9"/>
    <w:rPr>
      <w:rFonts w:ascii="Times New Roman" w:hAnsi="Times New Roman" w:cs="Times New Roman"/>
      <w:sz w:val="24"/>
      <w:szCs w:val="24"/>
    </w:rPr>
  </w:style>
  <w:style w:type="character" w:customStyle="1" w:styleId="Ttulo2Car">
    <w:name w:val="Título 2 Car"/>
    <w:basedOn w:val="Fuentedeprrafopredeter"/>
    <w:link w:val="Ttulo2"/>
    <w:uiPriority w:val="9"/>
    <w:rsid w:val="00501B2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1"/>
    <w:qFormat/>
    <w:rsid w:val="00077909"/>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077909"/>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035841">
      <w:bodyDiv w:val="1"/>
      <w:marLeft w:val="0"/>
      <w:marRight w:val="0"/>
      <w:marTop w:val="0"/>
      <w:marBottom w:val="0"/>
      <w:divBdr>
        <w:top w:val="none" w:sz="0" w:space="0" w:color="auto"/>
        <w:left w:val="none" w:sz="0" w:space="0" w:color="auto"/>
        <w:bottom w:val="none" w:sz="0" w:space="0" w:color="auto"/>
        <w:right w:val="none" w:sz="0" w:space="0" w:color="auto"/>
      </w:divBdr>
    </w:div>
    <w:div w:id="1211187551">
      <w:bodyDiv w:val="1"/>
      <w:marLeft w:val="0"/>
      <w:marRight w:val="0"/>
      <w:marTop w:val="0"/>
      <w:marBottom w:val="0"/>
      <w:divBdr>
        <w:top w:val="none" w:sz="0" w:space="0" w:color="auto"/>
        <w:left w:val="none" w:sz="0" w:space="0" w:color="auto"/>
        <w:bottom w:val="none" w:sz="0" w:space="0" w:color="auto"/>
        <w:right w:val="none" w:sz="0" w:space="0" w:color="auto"/>
      </w:divBdr>
      <w:divsChild>
        <w:div w:id="274218684">
          <w:marLeft w:val="0"/>
          <w:marRight w:val="0"/>
          <w:marTop w:val="0"/>
          <w:marBottom w:val="0"/>
          <w:divBdr>
            <w:top w:val="none" w:sz="0" w:space="0" w:color="auto"/>
            <w:left w:val="none" w:sz="0" w:space="0" w:color="auto"/>
            <w:bottom w:val="none" w:sz="0" w:space="0" w:color="auto"/>
            <w:right w:val="none" w:sz="0" w:space="0" w:color="auto"/>
          </w:divBdr>
          <w:divsChild>
            <w:div w:id="1396390603">
              <w:marLeft w:val="0"/>
              <w:marRight w:val="0"/>
              <w:marTop w:val="0"/>
              <w:marBottom w:val="0"/>
              <w:divBdr>
                <w:top w:val="none" w:sz="0" w:space="0" w:color="auto"/>
                <w:left w:val="none" w:sz="0" w:space="0" w:color="auto"/>
                <w:bottom w:val="none" w:sz="0" w:space="0" w:color="auto"/>
                <w:right w:val="none" w:sz="0" w:space="0" w:color="auto"/>
              </w:divBdr>
              <w:divsChild>
                <w:div w:id="554851824">
                  <w:marLeft w:val="0"/>
                  <w:marRight w:val="0"/>
                  <w:marTop w:val="0"/>
                  <w:marBottom w:val="0"/>
                  <w:divBdr>
                    <w:top w:val="none" w:sz="0" w:space="0" w:color="auto"/>
                    <w:left w:val="none" w:sz="0" w:space="0" w:color="auto"/>
                    <w:bottom w:val="none" w:sz="0" w:space="0" w:color="auto"/>
                    <w:right w:val="none" w:sz="0" w:space="0" w:color="auto"/>
                  </w:divBdr>
                  <w:divsChild>
                    <w:div w:id="9046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2793">
          <w:marLeft w:val="0"/>
          <w:marRight w:val="0"/>
          <w:marTop w:val="0"/>
          <w:marBottom w:val="0"/>
          <w:divBdr>
            <w:top w:val="none" w:sz="0" w:space="0" w:color="auto"/>
            <w:left w:val="none" w:sz="0" w:space="0" w:color="auto"/>
            <w:bottom w:val="none" w:sz="0" w:space="0" w:color="auto"/>
            <w:right w:val="none" w:sz="0" w:space="0" w:color="auto"/>
          </w:divBdr>
          <w:divsChild>
            <w:div w:id="275214736">
              <w:marLeft w:val="0"/>
              <w:marRight w:val="0"/>
              <w:marTop w:val="0"/>
              <w:marBottom w:val="0"/>
              <w:divBdr>
                <w:top w:val="none" w:sz="0" w:space="0" w:color="auto"/>
                <w:left w:val="none" w:sz="0" w:space="0" w:color="auto"/>
                <w:bottom w:val="none" w:sz="0" w:space="0" w:color="auto"/>
                <w:right w:val="none" w:sz="0" w:space="0" w:color="auto"/>
              </w:divBdr>
              <w:divsChild>
                <w:div w:id="153692734">
                  <w:marLeft w:val="0"/>
                  <w:marRight w:val="0"/>
                  <w:marTop w:val="0"/>
                  <w:marBottom w:val="0"/>
                  <w:divBdr>
                    <w:top w:val="none" w:sz="0" w:space="0" w:color="auto"/>
                    <w:left w:val="none" w:sz="0" w:space="0" w:color="auto"/>
                    <w:bottom w:val="none" w:sz="0" w:space="0" w:color="auto"/>
                    <w:right w:val="none" w:sz="0" w:space="0" w:color="auto"/>
                  </w:divBdr>
                  <w:divsChild>
                    <w:div w:id="141662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197730">
          <w:marLeft w:val="0"/>
          <w:marRight w:val="0"/>
          <w:marTop w:val="0"/>
          <w:marBottom w:val="0"/>
          <w:divBdr>
            <w:top w:val="none" w:sz="0" w:space="0" w:color="auto"/>
            <w:left w:val="none" w:sz="0" w:space="0" w:color="auto"/>
            <w:bottom w:val="none" w:sz="0" w:space="0" w:color="auto"/>
            <w:right w:val="none" w:sz="0" w:space="0" w:color="auto"/>
          </w:divBdr>
          <w:divsChild>
            <w:div w:id="1891651944">
              <w:marLeft w:val="0"/>
              <w:marRight w:val="0"/>
              <w:marTop w:val="0"/>
              <w:marBottom w:val="0"/>
              <w:divBdr>
                <w:top w:val="none" w:sz="0" w:space="0" w:color="auto"/>
                <w:left w:val="none" w:sz="0" w:space="0" w:color="auto"/>
                <w:bottom w:val="none" w:sz="0" w:space="0" w:color="auto"/>
                <w:right w:val="none" w:sz="0" w:space="0" w:color="auto"/>
              </w:divBdr>
              <w:divsChild>
                <w:div w:id="187914596">
                  <w:marLeft w:val="0"/>
                  <w:marRight w:val="0"/>
                  <w:marTop w:val="0"/>
                  <w:marBottom w:val="0"/>
                  <w:divBdr>
                    <w:top w:val="none" w:sz="0" w:space="0" w:color="auto"/>
                    <w:left w:val="none" w:sz="0" w:space="0" w:color="auto"/>
                    <w:bottom w:val="none" w:sz="0" w:space="0" w:color="auto"/>
                    <w:right w:val="none" w:sz="0" w:space="0" w:color="auto"/>
                  </w:divBdr>
                  <w:divsChild>
                    <w:div w:id="100809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095176">
          <w:marLeft w:val="0"/>
          <w:marRight w:val="0"/>
          <w:marTop w:val="0"/>
          <w:marBottom w:val="0"/>
          <w:divBdr>
            <w:top w:val="none" w:sz="0" w:space="0" w:color="auto"/>
            <w:left w:val="none" w:sz="0" w:space="0" w:color="auto"/>
            <w:bottom w:val="none" w:sz="0" w:space="0" w:color="auto"/>
            <w:right w:val="none" w:sz="0" w:space="0" w:color="auto"/>
          </w:divBdr>
          <w:divsChild>
            <w:div w:id="921110714">
              <w:marLeft w:val="0"/>
              <w:marRight w:val="0"/>
              <w:marTop w:val="0"/>
              <w:marBottom w:val="0"/>
              <w:divBdr>
                <w:top w:val="none" w:sz="0" w:space="0" w:color="auto"/>
                <w:left w:val="none" w:sz="0" w:space="0" w:color="auto"/>
                <w:bottom w:val="none" w:sz="0" w:space="0" w:color="auto"/>
                <w:right w:val="none" w:sz="0" w:space="0" w:color="auto"/>
              </w:divBdr>
              <w:divsChild>
                <w:div w:id="1100754572">
                  <w:marLeft w:val="0"/>
                  <w:marRight w:val="0"/>
                  <w:marTop w:val="0"/>
                  <w:marBottom w:val="0"/>
                  <w:divBdr>
                    <w:top w:val="none" w:sz="0" w:space="0" w:color="auto"/>
                    <w:left w:val="none" w:sz="0" w:space="0" w:color="auto"/>
                    <w:bottom w:val="none" w:sz="0" w:space="0" w:color="auto"/>
                    <w:right w:val="none" w:sz="0" w:space="0" w:color="auto"/>
                  </w:divBdr>
                  <w:divsChild>
                    <w:div w:id="6985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307883">
      <w:bodyDiv w:val="1"/>
      <w:marLeft w:val="0"/>
      <w:marRight w:val="0"/>
      <w:marTop w:val="0"/>
      <w:marBottom w:val="0"/>
      <w:divBdr>
        <w:top w:val="none" w:sz="0" w:space="0" w:color="auto"/>
        <w:left w:val="none" w:sz="0" w:space="0" w:color="auto"/>
        <w:bottom w:val="none" w:sz="0" w:space="0" w:color="auto"/>
        <w:right w:val="none" w:sz="0" w:space="0" w:color="auto"/>
      </w:divBdr>
    </w:div>
    <w:div w:id="1613241448">
      <w:bodyDiv w:val="1"/>
      <w:marLeft w:val="0"/>
      <w:marRight w:val="0"/>
      <w:marTop w:val="0"/>
      <w:marBottom w:val="0"/>
      <w:divBdr>
        <w:top w:val="none" w:sz="0" w:space="0" w:color="auto"/>
        <w:left w:val="none" w:sz="0" w:space="0" w:color="auto"/>
        <w:bottom w:val="none" w:sz="0" w:space="0" w:color="auto"/>
        <w:right w:val="none" w:sz="0" w:space="0" w:color="auto"/>
      </w:divBdr>
    </w:div>
    <w:div w:id="164038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63C0F74-EBF8-480D-A2DF-E5711AF45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a6cb9e4b-f1d1-4245-83ec-6cad768d538a"/>
    <ds:schemaRef ds:uri="9d85dbaf-23eb-4e57-a637-93dcacc8b1a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8864</Words>
  <Characters>48757</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2023-03-23T14:05:00Z</dcterms:created>
  <dcterms:modified xsi:type="dcterms:W3CDTF">2023-03-23T14:05:00Z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