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060EA" w14:textId="07DE24A7" w:rsidR="00B44AE2" w:rsidRDefault="00B44AE2" w:rsidP="00B44AE2">
      <w:pPr>
        <w:spacing w:after="0"/>
        <w:jc w:val="both"/>
        <w:rPr>
          <w:rFonts w:ascii="Verdana" w:eastAsia="Verdana" w:hAnsi="Verdana" w:cs="Verdana"/>
          <w:b/>
          <w:bCs/>
        </w:rPr>
      </w:pPr>
      <w:bookmarkStart w:id="0" w:name="_Hlk143780582"/>
      <w:r w:rsidRPr="00B44AE2">
        <w:rPr>
          <w:rFonts w:ascii="Verdana" w:eastAsia="Verdana" w:hAnsi="Verdana" w:cs="Verdana"/>
          <w:b/>
          <w:bCs/>
        </w:rPr>
        <w:t xml:space="preserve">LIMITACIÓN A MIPYMES </w:t>
      </w:r>
      <w:r w:rsidR="001E2B8B" w:rsidRPr="001E2B8B">
        <w:rPr>
          <w:rFonts w:ascii="Verdana" w:eastAsia="Verdana" w:hAnsi="Verdana" w:cs="Verdana"/>
          <w:b/>
          <w:bCs/>
          <w:lang w:val="es-ES"/>
        </w:rPr>
        <w:t>–</w:t>
      </w:r>
      <w:r w:rsidRPr="00B44AE2">
        <w:rPr>
          <w:rFonts w:ascii="Verdana" w:eastAsia="Verdana" w:hAnsi="Verdana" w:cs="Verdana"/>
          <w:b/>
          <w:bCs/>
        </w:rPr>
        <w:t xml:space="preserve"> Fundamento normativo</w:t>
      </w:r>
    </w:p>
    <w:p w14:paraId="750CB9A9" w14:textId="77777777" w:rsidR="00B44AE2" w:rsidRPr="00B44AE2" w:rsidRDefault="00B44AE2" w:rsidP="00B44AE2">
      <w:pPr>
        <w:spacing w:after="0"/>
        <w:jc w:val="both"/>
        <w:rPr>
          <w:rFonts w:ascii="Verdana" w:eastAsia="Verdana" w:hAnsi="Verdana" w:cs="Verdana"/>
        </w:rPr>
      </w:pPr>
    </w:p>
    <w:p w14:paraId="6542B27E" w14:textId="77777777" w:rsidR="00B44AE2" w:rsidRP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Las disposiciones contenidas en el capítulo relativo a la promoción de las Mipymes dentro del Decreto 1082 de 2015 tienen como finalidad materializar objetivos de política pública orientados a facilitar la participación de estas empresas en el mercado de compras públicas. Tales medidas responden al reconocimiento de las dificultades estructurales que enfrentan las micro, pequeñas y medianas empresas para competir con actores económicos de mayor capacidad financiera, técnica y operativa. Por esta razón, el ordenamiento jurídico incorpora instrumentos específicos destinados a garantizar una participación efectiva de este sector empresarial en los procedimientos de contratación estatal.</w:t>
      </w:r>
    </w:p>
    <w:p w14:paraId="4AC68289" w14:textId="77777777" w:rsid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 xml:space="preserve">En concordancia con lo anterior, el artículo 12 de la Ley 1150 de 2007, modificado por el artículo 34 de la Ley 2069 de 2020, dispone </w:t>
      </w:r>
      <w:proofErr w:type="gramStart"/>
      <w:r w:rsidRPr="00B44AE2">
        <w:rPr>
          <w:rFonts w:ascii="Verdana" w:eastAsia="Verdana" w:hAnsi="Verdana" w:cs="Verdana"/>
          <w:sz w:val="20"/>
          <w:szCs w:val="20"/>
        </w:rPr>
        <w:t>que</w:t>
      </w:r>
      <w:proofErr w:type="gramEnd"/>
      <w:r w:rsidRPr="00B44AE2">
        <w:rPr>
          <w:rFonts w:ascii="Verdana" w:eastAsia="Verdana" w:hAnsi="Verdana" w:cs="Verdana"/>
          <w:sz w:val="20"/>
          <w:szCs w:val="20"/>
        </w:rPr>
        <w:t xml:space="preserve"> en desarrollo de los Procesos de Contratación, las Entidades Estatales indistintamente de su régimen de contratación, los patrimonios autónomos constituidos por Entidades Estatales y los particulares que ejecuten recursos públicos deberán desarrollar convocatorias limitadas a MiPymes […].</w:t>
      </w:r>
    </w:p>
    <w:p w14:paraId="775690F8" w14:textId="77777777" w:rsidR="00B44AE2" w:rsidRPr="00B44AE2" w:rsidRDefault="00B44AE2" w:rsidP="00B44AE2">
      <w:pPr>
        <w:spacing w:after="0"/>
        <w:jc w:val="both"/>
        <w:rPr>
          <w:rFonts w:ascii="Verdana" w:eastAsia="Verdana" w:hAnsi="Verdana" w:cs="Verdana"/>
          <w:sz w:val="20"/>
          <w:szCs w:val="20"/>
        </w:rPr>
      </w:pPr>
    </w:p>
    <w:p w14:paraId="3C8A97CA" w14:textId="77777777" w:rsidR="00B44AE2" w:rsidRDefault="00B44AE2" w:rsidP="00B44AE2">
      <w:pPr>
        <w:spacing w:after="0"/>
        <w:jc w:val="both"/>
        <w:rPr>
          <w:rFonts w:ascii="Verdana" w:eastAsia="Verdana" w:hAnsi="Verdana" w:cs="Verdana"/>
          <w:b/>
          <w:bCs/>
        </w:rPr>
      </w:pPr>
      <w:r w:rsidRPr="00B44AE2">
        <w:rPr>
          <w:rFonts w:ascii="Verdana" w:eastAsia="Verdana" w:hAnsi="Verdana" w:cs="Verdana"/>
          <w:b/>
          <w:bCs/>
        </w:rPr>
        <w:t>LIMITACIÓN A MIPYMES – Decreto 1082 de 2015 – Art. 2.2.1.2.4.2.2 – Requisitos</w:t>
      </w:r>
    </w:p>
    <w:p w14:paraId="346A1B59" w14:textId="77777777" w:rsidR="00B44AE2" w:rsidRPr="00B44AE2" w:rsidRDefault="00B44AE2" w:rsidP="00B44AE2">
      <w:pPr>
        <w:spacing w:after="0"/>
        <w:jc w:val="both"/>
        <w:rPr>
          <w:rFonts w:ascii="Verdana" w:eastAsia="Verdana" w:hAnsi="Verdana" w:cs="Verdana"/>
        </w:rPr>
      </w:pPr>
    </w:p>
    <w:p w14:paraId="2BEDE7F1" w14:textId="77777777" w:rsidR="00B44AE2" w:rsidRP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 para que una convocatoria se limite a la participación exclusiva de MiPymes deben cumplirse unos presupuestos establecidos por el artículo 2.2.1.2.4.2.2. del Decreto 1082 de 2015. El primero de ellos es que el valor del proceso sea menor a ciento veinticinco mil dólares de los Estados Unidos de América (US$ 125.000), liquidados con la tasa de cambio que para el efecto determina cada dos años el Ministerio de Comercio, Industria y Turismo. En virtud de requisito establecido en el numeral 1 del artículo 2.2.1.2.4.2.2, no resulta posible limitar a MiPymes procesos con un presupuesto oficial que rebasen el umbral indicado.</w:t>
      </w:r>
    </w:p>
    <w:p w14:paraId="60E7CDEF" w14:textId="77777777" w:rsid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Por su parte, el numeral segundo establece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Mipyme,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Mipyme, siempre que estas cumplan con las condiciones señaladas en el artículo.</w:t>
      </w:r>
    </w:p>
    <w:p w14:paraId="7872F72F" w14:textId="77777777" w:rsidR="00B44AE2" w:rsidRPr="00B44AE2" w:rsidRDefault="00B44AE2" w:rsidP="00B44AE2">
      <w:pPr>
        <w:spacing w:after="0"/>
        <w:jc w:val="both"/>
        <w:rPr>
          <w:rFonts w:ascii="Verdana" w:eastAsia="Verdana" w:hAnsi="Verdana" w:cs="Verdana"/>
          <w:sz w:val="20"/>
          <w:szCs w:val="20"/>
        </w:rPr>
      </w:pPr>
    </w:p>
    <w:p w14:paraId="37D42B4F" w14:textId="27C8764C" w:rsidR="00B44AE2" w:rsidRPr="00B44AE2" w:rsidRDefault="00B44AE2" w:rsidP="00B44AE2">
      <w:pPr>
        <w:spacing w:after="0"/>
        <w:jc w:val="both"/>
        <w:rPr>
          <w:rFonts w:ascii="Verdana" w:eastAsia="Verdana" w:hAnsi="Verdana" w:cs="Verdana"/>
        </w:rPr>
      </w:pPr>
      <w:r w:rsidRPr="00B44AE2">
        <w:rPr>
          <w:rFonts w:ascii="Verdana" w:eastAsia="Verdana" w:hAnsi="Verdana" w:cs="Verdana"/>
          <w:b/>
          <w:bCs/>
        </w:rPr>
        <w:t>CONVOCATORIA LIMITADAS A MIPYMES – Obligación de las entidades a limitar procesos</w:t>
      </w:r>
    </w:p>
    <w:p w14:paraId="618E353D" w14:textId="77777777" w:rsidR="00B44AE2" w:rsidRP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lastRenderedPageBreak/>
        <w:t>[…] la disposición del artículo 2.2.1.2.4.2.2 configura una regla de aplicación condicionada, en la medida en que su operancia depende de la acreditación de determinados presupuestos normativos. Una vez verificados estos requisitos, la consecuencia jurídica prevista por la norma consiste en la limitación de la convocatoria a este segmento empresarial, sin que la entidad pueda desconocer dicha consecuencia por razones ajenas a las contempladas en el ordenamiento.</w:t>
      </w:r>
    </w:p>
    <w:p w14:paraId="279D4033" w14:textId="77777777" w:rsid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Debe advertirse que la interpretación según la cual la entidad podría decidir libremente si limita o no una convocatoria a Mipymes aun cuando se encuentren acreditadas las condiciones previstas en la norma reglamentaria resultaría incompatible con el principio de legalidad administrativa. […]</w:t>
      </w:r>
    </w:p>
    <w:p w14:paraId="4D668B86" w14:textId="77777777" w:rsidR="00B44AE2" w:rsidRPr="00B44AE2" w:rsidRDefault="00B44AE2" w:rsidP="00B44AE2">
      <w:pPr>
        <w:spacing w:after="0"/>
        <w:jc w:val="both"/>
        <w:rPr>
          <w:rFonts w:ascii="Verdana" w:eastAsia="Verdana" w:hAnsi="Verdana" w:cs="Verdana"/>
          <w:sz w:val="20"/>
          <w:szCs w:val="20"/>
        </w:rPr>
      </w:pPr>
    </w:p>
    <w:p w14:paraId="56B4B29A" w14:textId="77777777" w:rsidR="00B44AE2" w:rsidRDefault="00B44AE2" w:rsidP="00B44AE2">
      <w:pPr>
        <w:spacing w:after="0"/>
        <w:jc w:val="both"/>
        <w:rPr>
          <w:rFonts w:ascii="Verdana" w:eastAsia="Verdana" w:hAnsi="Verdana" w:cs="Verdana"/>
          <w:b/>
          <w:bCs/>
        </w:rPr>
      </w:pPr>
      <w:r w:rsidRPr="00B44AE2">
        <w:rPr>
          <w:rFonts w:ascii="Verdana" w:eastAsia="Verdana" w:hAnsi="Verdana" w:cs="Verdana"/>
          <w:b/>
          <w:bCs/>
        </w:rPr>
        <w:t>LIMITACIÓN A MIPYMES – Diferenciación – Decreto 1082 de 2015 – Artículo 2.2.1.2.4.2.2 – Artículo 2.2.1.2.4.2.3.</w:t>
      </w:r>
    </w:p>
    <w:p w14:paraId="0911930B" w14:textId="77777777" w:rsidR="00B44AE2" w:rsidRPr="00B44AE2" w:rsidRDefault="00B44AE2" w:rsidP="00B44AE2">
      <w:pPr>
        <w:spacing w:after="0"/>
        <w:jc w:val="both"/>
        <w:rPr>
          <w:rFonts w:ascii="Verdana" w:eastAsia="Verdana" w:hAnsi="Verdana" w:cs="Verdana"/>
        </w:rPr>
      </w:pPr>
    </w:p>
    <w:p w14:paraId="6D34A21F" w14:textId="77777777" w:rsidR="00B44AE2" w:rsidRP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 la regulación distingue claramente entre la limitación de la convocatoria a Mipymes y la limitación territorial de dicha convocatoria. Aunque ambas figuras se encuentran orientadas al fortalecimiento empresarial, poseen naturaleza jurídica, alcance y presupuestos diferentes. La primera busca promover la participación de las micro, pequeñas y medianas empresas en general; la segunda pretende favorecer adicionalmente a aquellas que tienen presencia o domicilio en determinadas regiones del país.</w:t>
      </w:r>
    </w:p>
    <w:p w14:paraId="173C79D9" w14:textId="77777777" w:rsidR="00B44AE2" w:rsidRP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w:t>
      </w:r>
    </w:p>
    <w:p w14:paraId="061B339B" w14:textId="77777777" w:rsidR="00B44AE2" w:rsidRPr="00B44AE2" w:rsidRDefault="00B44AE2" w:rsidP="00B44AE2">
      <w:pPr>
        <w:spacing w:after="0"/>
        <w:jc w:val="both"/>
        <w:rPr>
          <w:rFonts w:ascii="Verdana" w:eastAsia="Verdana" w:hAnsi="Verdana" w:cs="Verdana"/>
          <w:sz w:val="20"/>
          <w:szCs w:val="20"/>
        </w:rPr>
      </w:pPr>
      <w:r w:rsidRPr="00B44AE2">
        <w:rPr>
          <w:rFonts w:ascii="Verdana" w:eastAsia="Verdana" w:hAnsi="Verdana" w:cs="Verdana"/>
          <w:sz w:val="20"/>
          <w:szCs w:val="20"/>
        </w:rPr>
        <w:t>La correcta interpretación sistemática de los artículos 2.2.1.2.4.2.2 y 2.2.1.2.4.2.3 del Decreto 1082 de 2015 exige reconocer que ambos cumplen funciones complementarias pero autónomas. El primero determina cuándo procede limitar una convocatoria a Mipymes; el segundo establece la posibilidad de restringir aún más el universo de participantes mediante un criterio territorial.</w:t>
      </w:r>
    </w:p>
    <w:p w14:paraId="76E64BB0" w14:textId="77777777" w:rsidR="00B44AE2" w:rsidRDefault="00B44AE2" w:rsidP="002B7ECD">
      <w:pPr>
        <w:spacing w:after="0"/>
        <w:rPr>
          <w:rFonts w:ascii="Verdana" w:eastAsia="Verdana" w:hAnsi="Verdana" w:cs="Verdana"/>
        </w:rPr>
      </w:pPr>
    </w:p>
    <w:p w14:paraId="24F583A8" w14:textId="77777777" w:rsidR="00B44AE2" w:rsidRDefault="00B44AE2">
      <w:pPr>
        <w:rPr>
          <w:rFonts w:ascii="Verdana" w:eastAsia="Verdana" w:hAnsi="Verdana" w:cs="Verdana"/>
        </w:rPr>
      </w:pPr>
      <w:r>
        <w:rPr>
          <w:rFonts w:ascii="Verdana" w:eastAsia="Verdana" w:hAnsi="Verdana" w:cs="Verdana"/>
        </w:rPr>
        <w:br w:type="page"/>
      </w:r>
    </w:p>
    <w:p w14:paraId="7C9026E2" w14:textId="538E2D30" w:rsidR="002A0DD0" w:rsidRDefault="00C15139" w:rsidP="002B7ECD">
      <w:pPr>
        <w:spacing w:after="0"/>
        <w:rPr>
          <w:rFonts w:ascii="Verdana" w:eastAsia="Verdana" w:hAnsi="Verdana" w:cs="Verdana"/>
          <w:lang w:val="es-MX"/>
        </w:rPr>
      </w:pPr>
      <w:r w:rsidRPr="30821638">
        <w:rPr>
          <w:rFonts w:ascii="Verdana" w:eastAsia="Verdana" w:hAnsi="Verdana" w:cs="Verdana"/>
        </w:rPr>
        <w:lastRenderedPageBreak/>
        <w:t>Bogotá D.C.,</w:t>
      </w:r>
      <w:r w:rsidR="00942F04">
        <w:rPr>
          <w:rFonts w:ascii="Verdana" w:eastAsia="Verdana" w:hAnsi="Verdana" w:cs="Verdana"/>
        </w:rPr>
        <w:t xml:space="preserve"> </w:t>
      </w:r>
      <w:r w:rsidR="00B44AE2">
        <w:rPr>
          <w:rFonts w:ascii="Verdana" w:eastAsia="Times New Roman" w:hAnsi="Verdana" w:cs="Arial"/>
          <w:lang w:val="es-ES" w:eastAsia="es-ES"/>
        </w:rPr>
        <w:t xml:space="preserve">08 </w:t>
      </w:r>
      <w:r w:rsidR="004B48C8">
        <w:rPr>
          <w:rFonts w:ascii="Verdana" w:eastAsia="Times New Roman" w:hAnsi="Verdana" w:cs="Arial"/>
          <w:lang w:val="es-ES" w:eastAsia="es-ES"/>
        </w:rPr>
        <w:t xml:space="preserve">de </w:t>
      </w:r>
      <w:r w:rsidR="00B44AE2">
        <w:rPr>
          <w:rFonts w:ascii="Verdana" w:eastAsia="Times New Roman" w:hAnsi="Verdana" w:cs="Arial"/>
          <w:lang w:val="es-ES" w:eastAsia="es-ES"/>
        </w:rPr>
        <w:t>Julio</w:t>
      </w:r>
      <w:r w:rsidR="004B48C8">
        <w:rPr>
          <w:rFonts w:ascii="Verdana" w:eastAsia="Times New Roman" w:hAnsi="Verdana" w:cs="Arial"/>
          <w:lang w:val="es-ES" w:eastAsia="es-ES"/>
        </w:rPr>
        <w:t xml:space="preserve"> de</w:t>
      </w:r>
      <w:r w:rsidR="00B44AE2">
        <w:rPr>
          <w:rFonts w:ascii="Verdana" w:eastAsia="Times New Roman" w:hAnsi="Verdana" w:cs="Arial"/>
          <w:lang w:val="es-ES" w:eastAsia="es-ES"/>
        </w:rPr>
        <w:t xml:space="preserve"> 2026</w:t>
      </w:r>
    </w:p>
    <w:p w14:paraId="7F1C988F" w14:textId="7439B382" w:rsidR="00A575B5" w:rsidRDefault="00A575B5" w:rsidP="00A575B5">
      <w:pPr>
        <w:spacing w:after="0" w:line="240" w:lineRule="auto"/>
        <w:jc w:val="right"/>
        <w:rPr>
          <w:rFonts w:ascii="Verdana" w:eastAsia="Calibri" w:hAnsi="Verdana" w:cs="Arial"/>
          <w:b/>
          <w:bCs/>
          <w:lang w:val="es-ES" w:eastAsia="es-ES"/>
        </w:rPr>
      </w:pPr>
    </w:p>
    <w:p w14:paraId="77BBB975" w14:textId="1261122A" w:rsidR="00331CC4" w:rsidRDefault="004B48C8" w:rsidP="00331CC4">
      <w:pPr>
        <w:spacing w:after="0" w:line="240" w:lineRule="auto"/>
        <w:jc w:val="both"/>
        <w:rPr>
          <w:rFonts w:ascii="Verdana" w:eastAsia="Calibri" w:hAnsi="Verdana" w:cs="Arial"/>
          <w:b/>
          <w:bCs/>
          <w:lang w:val="es-ES" w:eastAsia="es-ES"/>
        </w:rPr>
      </w:pPr>
      <w:r w:rsidRPr="004E3116">
        <w:rPr>
          <w:rFonts w:ascii="Verdana" w:eastAsia="Calibri" w:hAnsi="Verdana" w:cs="Arial"/>
          <w:noProof/>
          <w:lang w:val="es-ES" w:eastAsia="es-ES"/>
        </w:rPr>
        <w:drawing>
          <wp:anchor distT="0" distB="0" distL="114300" distR="114300" simplePos="0" relativeHeight="251658240" behindDoc="0" locked="0" layoutInCell="1" allowOverlap="1" wp14:anchorId="482E13F6" wp14:editId="72DA29E4">
            <wp:simplePos x="0" y="0"/>
            <wp:positionH relativeFrom="margin">
              <wp:align>right</wp:align>
            </wp:positionH>
            <wp:positionV relativeFrom="paragraph">
              <wp:posOffset>5715</wp:posOffset>
            </wp:positionV>
            <wp:extent cx="2586990" cy="715010"/>
            <wp:effectExtent l="0" t="0" r="3810" b="8890"/>
            <wp:wrapSquare wrapText="bothSides"/>
            <wp:docPr id="4559679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67922" name=""/>
                    <pic:cNvPicPr/>
                  </pic:nvPicPr>
                  <pic:blipFill>
                    <a:blip r:embed="rId11">
                      <a:extLst>
                        <a:ext uri="{28A0092B-C50C-407E-A947-70E740481C1C}">
                          <a14:useLocalDpi xmlns:a14="http://schemas.microsoft.com/office/drawing/2010/main" val="0"/>
                        </a:ext>
                      </a:extLst>
                    </a:blip>
                    <a:stretch>
                      <a:fillRect/>
                    </a:stretch>
                  </pic:blipFill>
                  <pic:spPr>
                    <a:xfrm>
                      <a:off x="0" y="0"/>
                      <a:ext cx="2586990" cy="715010"/>
                    </a:xfrm>
                    <a:prstGeom prst="rect">
                      <a:avLst/>
                    </a:prstGeom>
                  </pic:spPr>
                </pic:pic>
              </a:graphicData>
            </a:graphic>
            <wp14:sizeRelH relativeFrom="margin">
              <wp14:pctWidth>0</wp14:pctWidth>
            </wp14:sizeRelH>
            <wp14:sizeRelV relativeFrom="margin">
              <wp14:pctHeight>0</wp14:pctHeight>
            </wp14:sizeRelV>
          </wp:anchor>
        </w:drawing>
      </w:r>
      <w:r w:rsidR="00054748">
        <w:rPr>
          <w:rFonts w:ascii="Verdana" w:eastAsia="Calibri" w:hAnsi="Verdana" w:cs="Arial"/>
          <w:b/>
          <w:bCs/>
          <w:lang w:val="es-ES" w:eastAsia="es-ES"/>
        </w:rPr>
        <w:t>Señor</w:t>
      </w:r>
      <w:r w:rsidR="00331CC4">
        <w:rPr>
          <w:rFonts w:ascii="Verdana" w:eastAsia="Calibri" w:hAnsi="Verdana" w:cs="Arial"/>
          <w:b/>
          <w:bCs/>
          <w:lang w:val="es-ES" w:eastAsia="es-ES"/>
        </w:rPr>
        <w:t>(a)</w:t>
      </w:r>
    </w:p>
    <w:p w14:paraId="199C7869" w14:textId="707267FA" w:rsidR="00054748" w:rsidRDefault="00761CC9" w:rsidP="00331CC4">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Sergio Luis Lozano López</w:t>
      </w:r>
    </w:p>
    <w:p w14:paraId="55206751" w14:textId="5680B18A" w:rsidR="00761CC9" w:rsidRDefault="00FC285E" w:rsidP="00331CC4">
      <w:pPr>
        <w:spacing w:after="0" w:line="240" w:lineRule="auto"/>
        <w:jc w:val="both"/>
        <w:rPr>
          <w:rFonts w:ascii="Verdana" w:eastAsia="Calibri" w:hAnsi="Verdana" w:cs="Arial"/>
          <w:b/>
          <w:bCs/>
          <w:lang w:val="es-ES" w:eastAsia="es-ES"/>
        </w:rPr>
      </w:pPr>
      <w:hyperlink r:id="rId12" w:history="1">
        <w:r w:rsidRPr="00E51CF9">
          <w:rPr>
            <w:rStyle w:val="Hipervnculo"/>
            <w:rFonts w:ascii="Verdana" w:eastAsia="Calibri" w:hAnsi="Verdana" w:cs="Arial"/>
            <w:b/>
            <w:bCs/>
            <w:lang w:val="es-ES" w:eastAsia="es-ES"/>
          </w:rPr>
          <w:t>sergiolozano54@gmail.com</w:t>
        </w:r>
      </w:hyperlink>
    </w:p>
    <w:p w14:paraId="73B6B85E" w14:textId="4DDA3E05" w:rsidR="00FC285E" w:rsidRPr="00FC285E" w:rsidRDefault="00FC285E" w:rsidP="00331CC4">
      <w:pPr>
        <w:spacing w:after="0" w:line="240" w:lineRule="auto"/>
        <w:jc w:val="both"/>
        <w:rPr>
          <w:rFonts w:ascii="Verdana" w:eastAsia="Calibri" w:hAnsi="Verdana" w:cs="Arial"/>
          <w:lang w:val="es-ES" w:eastAsia="es-ES"/>
        </w:rPr>
      </w:pPr>
      <w:r>
        <w:rPr>
          <w:rFonts w:ascii="Verdana" w:eastAsia="Calibri" w:hAnsi="Verdana" w:cs="Arial"/>
          <w:lang w:val="es-ES" w:eastAsia="es-ES"/>
        </w:rPr>
        <w:t>Neiva, Huila</w:t>
      </w:r>
    </w:p>
    <w:p w14:paraId="2FF98BAE" w14:textId="2F19F88D" w:rsidR="00761CC9" w:rsidRPr="00486720" w:rsidRDefault="00761CC9" w:rsidP="004E3116">
      <w:pPr>
        <w:spacing w:after="0" w:line="240" w:lineRule="auto"/>
        <w:jc w:val="right"/>
        <w:rPr>
          <w:rFonts w:ascii="Verdana" w:eastAsia="Calibri" w:hAnsi="Verdana" w:cs="Arial"/>
          <w:lang w:val="es-ES" w:eastAsia="es-ES"/>
        </w:rPr>
      </w:pPr>
    </w:p>
    <w:p w14:paraId="22C420A6" w14:textId="77777777" w:rsidR="00054748" w:rsidRPr="005C170B" w:rsidRDefault="00054748" w:rsidP="0005474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54748" w:rsidRPr="005C170B" w14:paraId="33933D6E" w14:textId="77777777" w:rsidTr="00CB1843">
        <w:trPr>
          <w:trHeight w:val="884"/>
        </w:trPr>
        <w:tc>
          <w:tcPr>
            <w:tcW w:w="2689" w:type="dxa"/>
          </w:tcPr>
          <w:p w14:paraId="5925453D" w14:textId="77777777" w:rsidR="00054748" w:rsidRPr="00CB4E73" w:rsidRDefault="00054748" w:rsidP="00CB1843">
            <w:pPr>
              <w:jc w:val="both"/>
              <w:rPr>
                <w:rFonts w:ascii="Verdana" w:eastAsia="Calibri" w:hAnsi="Verdana" w:cs="Arial"/>
                <w:b/>
                <w:bCs/>
                <w:color w:val="7030A0"/>
                <w:lang w:val="es-ES_tradnl" w:eastAsia="es-ES_tradnl"/>
              </w:rPr>
            </w:pPr>
          </w:p>
        </w:tc>
        <w:tc>
          <w:tcPr>
            <w:tcW w:w="6100" w:type="dxa"/>
          </w:tcPr>
          <w:p w14:paraId="05DE1333" w14:textId="54BA1E78" w:rsidR="00054748" w:rsidRPr="00CB4E73" w:rsidRDefault="00054748" w:rsidP="00CB1843">
            <w:pPr>
              <w:jc w:val="both"/>
              <w:rPr>
                <w:rFonts w:ascii="Verdana" w:eastAsia="Calibri" w:hAnsi="Verdana" w:cs="Arial"/>
                <w:b/>
                <w:bCs/>
                <w:lang w:val="es-ES" w:eastAsia="es-ES"/>
              </w:rPr>
            </w:pPr>
            <w:r w:rsidRPr="00CB4E73">
              <w:rPr>
                <w:rFonts w:ascii="Verdana" w:eastAsia="Calibri" w:hAnsi="Verdana" w:cs="Arial"/>
                <w:b/>
                <w:bCs/>
                <w:lang w:val="es-ES" w:eastAsia="es-ES"/>
              </w:rPr>
              <w:t xml:space="preserve"> </w:t>
            </w:r>
            <w:r w:rsidR="004F518D">
              <w:rPr>
                <w:rFonts w:ascii="Verdana" w:eastAsia="Calibri" w:hAnsi="Verdana" w:cs="Arial"/>
                <w:b/>
                <w:bCs/>
                <w:lang w:val="es-ES" w:eastAsia="es-ES"/>
              </w:rPr>
              <w:t xml:space="preserve">Concepto </w:t>
            </w:r>
            <w:r w:rsidRPr="00CB4E73">
              <w:rPr>
                <w:rFonts w:ascii="Verdana" w:eastAsia="Calibri" w:hAnsi="Verdana" w:cs="Arial"/>
                <w:b/>
                <w:bCs/>
                <w:lang w:eastAsia="es-ES"/>
              </w:rPr>
              <w:t>C-</w:t>
            </w:r>
            <w:r w:rsidR="00CB4E73" w:rsidRPr="00CB4E73">
              <w:rPr>
                <w:rFonts w:ascii="Verdana" w:eastAsia="Calibri" w:hAnsi="Verdana" w:cs="Arial"/>
                <w:b/>
                <w:bCs/>
                <w:lang w:eastAsia="es-ES"/>
              </w:rPr>
              <w:t>890</w:t>
            </w:r>
            <w:r w:rsidR="00210F23" w:rsidRPr="00CB4E73">
              <w:rPr>
                <w:rFonts w:ascii="Verdana" w:eastAsia="Calibri" w:hAnsi="Verdana" w:cs="Arial"/>
                <w:b/>
                <w:bCs/>
                <w:lang w:eastAsia="es-ES"/>
              </w:rPr>
              <w:t xml:space="preserve"> </w:t>
            </w:r>
            <w:r w:rsidRPr="00CB4E73">
              <w:rPr>
                <w:rFonts w:ascii="Verdana" w:eastAsia="Calibri" w:hAnsi="Verdana" w:cs="Arial"/>
                <w:b/>
                <w:bCs/>
                <w:lang w:val="es-ES" w:eastAsia="es-ES"/>
              </w:rPr>
              <w:t>de 2026</w:t>
            </w:r>
            <w:r w:rsidR="00DA4941" w:rsidRPr="00CB4E73">
              <w:rPr>
                <w:rFonts w:ascii="Verdana" w:eastAsia="Calibri" w:hAnsi="Verdana" w:cs="Arial"/>
                <w:b/>
                <w:bCs/>
                <w:lang w:val="es-ES" w:eastAsia="es-ES"/>
              </w:rPr>
              <w:t xml:space="preserve"> </w:t>
            </w:r>
          </w:p>
        </w:tc>
      </w:tr>
      <w:tr w:rsidR="00054748" w:rsidRPr="00AD55D9" w14:paraId="67527AC3" w14:textId="77777777" w:rsidTr="00CB1843">
        <w:trPr>
          <w:trHeight w:val="884"/>
        </w:trPr>
        <w:tc>
          <w:tcPr>
            <w:tcW w:w="2689" w:type="dxa"/>
          </w:tcPr>
          <w:p w14:paraId="32A87DC1" w14:textId="77777777" w:rsidR="00054748" w:rsidRPr="00017468" w:rsidRDefault="00054748" w:rsidP="00CB1843">
            <w:pPr>
              <w:jc w:val="both"/>
              <w:rPr>
                <w:rFonts w:ascii="Verdana" w:eastAsia="Calibri" w:hAnsi="Verdana" w:cs="Arial"/>
                <w:color w:val="000000"/>
                <w:lang w:val="es-ES_tradnl" w:eastAsia="es-ES_tradnl"/>
              </w:rPr>
            </w:pPr>
            <w:r w:rsidRPr="00017468">
              <w:rPr>
                <w:rFonts w:ascii="Verdana" w:eastAsia="Calibri" w:hAnsi="Verdana" w:cs="Arial"/>
                <w:b/>
                <w:color w:val="000000"/>
                <w:lang w:val="es-ES_tradnl" w:eastAsia="es-ES_tradnl"/>
              </w:rPr>
              <w:t>Temas:</w:t>
            </w:r>
            <w:r w:rsidRPr="00017468">
              <w:rPr>
                <w:rFonts w:ascii="Verdana" w:eastAsia="Calibri" w:hAnsi="Verdana" w:cs="Arial"/>
                <w:color w:val="000000"/>
                <w:lang w:val="es-ES_tradnl" w:eastAsia="es-ES_tradnl"/>
              </w:rPr>
              <w:t xml:space="preserve">                   </w:t>
            </w:r>
          </w:p>
        </w:tc>
        <w:tc>
          <w:tcPr>
            <w:tcW w:w="6100" w:type="dxa"/>
          </w:tcPr>
          <w:p w14:paraId="4E837FE2" w14:textId="044736B3" w:rsidR="00CC55E8" w:rsidRPr="00017468" w:rsidRDefault="00CC55E8" w:rsidP="00CC55E8">
            <w:pPr>
              <w:spacing w:line="276" w:lineRule="auto"/>
              <w:jc w:val="both"/>
              <w:rPr>
                <w:rFonts w:ascii="Verdana" w:eastAsia="Calibri" w:hAnsi="Verdana" w:cs="Arial"/>
                <w:lang w:eastAsia="es-ES"/>
              </w:rPr>
            </w:pPr>
            <w:r w:rsidRPr="00017468">
              <w:rPr>
                <w:rFonts w:ascii="Verdana" w:eastAsia="Calibri" w:hAnsi="Verdana" w:cs="Arial"/>
                <w:lang w:eastAsia="es-ES"/>
              </w:rPr>
              <w:t xml:space="preserve">LIMITACIÓN A MIPYMES - Fundamento normativo / LIMITACIÓN A MIPYMES –Decreto 1082 de 2015 – Art. 2.2.1.2.4.2.2 </w:t>
            </w:r>
            <w:r w:rsidR="009F6918" w:rsidRPr="00017468">
              <w:rPr>
                <w:rFonts w:ascii="Verdana" w:eastAsia="Calibri" w:hAnsi="Verdana" w:cs="Arial"/>
                <w:lang w:eastAsia="es-ES"/>
              </w:rPr>
              <w:t xml:space="preserve">– Requisitos </w:t>
            </w:r>
            <w:r w:rsidRPr="00017468">
              <w:rPr>
                <w:rFonts w:ascii="Verdana" w:eastAsia="Calibri" w:hAnsi="Verdana" w:cs="Arial"/>
                <w:lang w:eastAsia="es-ES"/>
              </w:rPr>
              <w:t xml:space="preserve">/ CONVOCATORIA LIMITADAS A MIPYMES </w:t>
            </w:r>
            <w:r w:rsidR="00017468" w:rsidRPr="00017468">
              <w:rPr>
                <w:rFonts w:ascii="Verdana" w:eastAsia="Calibri" w:hAnsi="Verdana" w:cs="Arial"/>
                <w:lang w:eastAsia="es-ES"/>
              </w:rPr>
              <w:t>–</w:t>
            </w:r>
            <w:r w:rsidRPr="00017468">
              <w:rPr>
                <w:rFonts w:ascii="Verdana" w:eastAsia="Calibri" w:hAnsi="Verdana" w:cs="Arial"/>
                <w:lang w:eastAsia="es-ES"/>
              </w:rPr>
              <w:t xml:space="preserve"> </w:t>
            </w:r>
            <w:r w:rsidR="00017468" w:rsidRPr="00017468">
              <w:rPr>
                <w:rFonts w:ascii="Verdana" w:eastAsia="Calibri" w:hAnsi="Verdana" w:cs="Arial"/>
                <w:lang w:eastAsia="es-ES"/>
              </w:rPr>
              <w:t xml:space="preserve">Obligación de las entidades a limitar procesos </w:t>
            </w:r>
            <w:r w:rsidR="00017468">
              <w:rPr>
                <w:rFonts w:ascii="Verdana" w:eastAsia="Calibri" w:hAnsi="Verdana" w:cs="Arial"/>
                <w:lang w:eastAsia="es-ES"/>
              </w:rPr>
              <w:t xml:space="preserve">/ LIMITACIÓN A MIPYMES – Diferenciación – Decreto 1082 de 2015 – Artículo </w:t>
            </w:r>
            <w:r w:rsidR="00017468" w:rsidRPr="00017468">
              <w:rPr>
                <w:rFonts w:ascii="Verdana" w:eastAsia="Calibri" w:hAnsi="Verdana" w:cs="Arial"/>
                <w:lang w:eastAsia="es-ES"/>
              </w:rPr>
              <w:t>2.2.1.2.4.2.2</w:t>
            </w:r>
            <w:r w:rsidR="009A6D45">
              <w:rPr>
                <w:rFonts w:ascii="Verdana" w:eastAsia="Calibri" w:hAnsi="Verdana" w:cs="Arial"/>
                <w:lang w:eastAsia="es-ES"/>
              </w:rPr>
              <w:t xml:space="preserve"> – Artículo </w:t>
            </w:r>
            <w:r w:rsidR="009A6D45" w:rsidRPr="009A6D45">
              <w:rPr>
                <w:rFonts w:ascii="Verdana" w:eastAsia="Calibri" w:hAnsi="Verdana" w:cs="Arial"/>
                <w:lang w:eastAsia="es-ES"/>
              </w:rPr>
              <w:t>2.2.1.2.4.2.3.</w:t>
            </w:r>
          </w:p>
          <w:p w14:paraId="15D6AA5D" w14:textId="008856E3" w:rsidR="00054748" w:rsidRPr="00017468" w:rsidRDefault="00054748" w:rsidP="00DF4613">
            <w:pPr>
              <w:spacing w:line="276" w:lineRule="auto"/>
              <w:jc w:val="both"/>
              <w:rPr>
                <w:rFonts w:ascii="Verdana" w:eastAsia="Calibri" w:hAnsi="Verdana" w:cs="Arial"/>
                <w:lang w:val="es-ES" w:eastAsia="es-ES"/>
              </w:rPr>
            </w:pPr>
          </w:p>
        </w:tc>
      </w:tr>
      <w:tr w:rsidR="00054748" w:rsidRPr="00752103" w14:paraId="06AC781B" w14:textId="77777777" w:rsidTr="00CB1843">
        <w:trPr>
          <w:trHeight w:val="242"/>
        </w:trPr>
        <w:tc>
          <w:tcPr>
            <w:tcW w:w="2689" w:type="dxa"/>
          </w:tcPr>
          <w:p w14:paraId="623C87E5" w14:textId="77777777" w:rsidR="00054748" w:rsidRPr="005C170B" w:rsidRDefault="00054748" w:rsidP="00CB1843">
            <w:pPr>
              <w:jc w:val="both"/>
              <w:rPr>
                <w:rFonts w:ascii="Verdana" w:eastAsia="Calibri" w:hAnsi="Verdana" w:cs="Arial"/>
                <w:b/>
                <w:lang w:val="es-ES_tradnl" w:eastAsia="es-ES_tradnl"/>
              </w:rPr>
            </w:pPr>
            <w:r w:rsidRPr="005C170B">
              <w:rPr>
                <w:rFonts w:ascii="Verdana" w:eastAsia="Calibri" w:hAnsi="Verdana" w:cs="Arial"/>
                <w:b/>
                <w:lang w:val="es-ES_tradnl" w:eastAsia="es-ES_tradnl"/>
              </w:rPr>
              <w:t>Radicación:</w:t>
            </w:r>
            <w:r w:rsidRPr="005C170B">
              <w:rPr>
                <w:rFonts w:ascii="Verdana" w:eastAsia="Calibri" w:hAnsi="Verdana" w:cs="Arial"/>
                <w:lang w:val="es-ES_tradnl" w:eastAsia="es-ES_tradnl"/>
              </w:rPr>
              <w:t xml:space="preserve">               </w:t>
            </w:r>
          </w:p>
        </w:tc>
        <w:tc>
          <w:tcPr>
            <w:tcW w:w="6100" w:type="dxa"/>
          </w:tcPr>
          <w:p w14:paraId="47363C19" w14:textId="09A13DBB" w:rsidR="00054748" w:rsidRPr="00752103" w:rsidRDefault="00054748" w:rsidP="00CB1843">
            <w:pPr>
              <w:jc w:val="both"/>
              <w:rPr>
                <w:rFonts w:ascii="Verdana" w:eastAsia="Calibri" w:hAnsi="Verdana" w:cs="Arial"/>
                <w:lang w:val="es-ES_tradnl" w:eastAsia="es-ES_tradnl"/>
              </w:rPr>
            </w:pPr>
            <w:r w:rsidRPr="00752103">
              <w:rPr>
                <w:rFonts w:ascii="Verdana" w:eastAsia="Calibri" w:hAnsi="Verdana" w:cs="Arial"/>
                <w:lang w:val="es-ES_tradnl" w:eastAsia="es-ES_tradnl"/>
              </w:rPr>
              <w:t>Respuesta a consulta con radicado No.</w:t>
            </w:r>
            <w:r w:rsidR="00192F16" w:rsidRPr="00192F16">
              <w:t xml:space="preserve"> </w:t>
            </w:r>
            <w:r w:rsidR="00C5070A" w:rsidRPr="00C5070A">
              <w:rPr>
                <w:rFonts w:ascii="Verdana" w:eastAsia="Calibri" w:hAnsi="Verdana" w:cs="Arial"/>
                <w:lang w:eastAsia="es-ES_tradnl"/>
              </w:rPr>
              <w:t>1_2026_05_27_007163</w:t>
            </w:r>
            <w:r w:rsidR="00C5070A">
              <w:rPr>
                <w:rFonts w:ascii="Verdana" w:eastAsia="Calibri" w:hAnsi="Verdana" w:cs="Arial"/>
                <w:lang w:eastAsia="es-ES_tradnl"/>
              </w:rPr>
              <w:t xml:space="preserve"> </w:t>
            </w:r>
          </w:p>
        </w:tc>
      </w:tr>
    </w:tbl>
    <w:p w14:paraId="2188624D" w14:textId="77777777" w:rsidR="00054748" w:rsidRPr="005C170B" w:rsidRDefault="00054748" w:rsidP="00054748">
      <w:pPr>
        <w:spacing w:after="0" w:line="240" w:lineRule="auto"/>
        <w:jc w:val="both"/>
        <w:rPr>
          <w:rFonts w:ascii="Verdana" w:eastAsia="Calibri" w:hAnsi="Verdana" w:cs="Arial"/>
          <w:lang w:val="es-ES_tradnl" w:eastAsia="es-ES_tradnl"/>
        </w:rPr>
      </w:pPr>
    </w:p>
    <w:p w14:paraId="082FEA2F" w14:textId="77777777" w:rsidR="00054748" w:rsidRPr="005C170B" w:rsidRDefault="00054748" w:rsidP="00054748">
      <w:pPr>
        <w:spacing w:after="0" w:line="240" w:lineRule="auto"/>
        <w:jc w:val="both"/>
        <w:rPr>
          <w:rFonts w:ascii="Verdana" w:eastAsia="Calibri" w:hAnsi="Verdana" w:cs="Arial"/>
          <w:color w:val="000000"/>
          <w:lang w:val="es-ES_tradnl" w:eastAsia="es-ES_tradnl"/>
        </w:rPr>
      </w:pPr>
    </w:p>
    <w:p w14:paraId="3137C81E" w14:textId="62A312D9" w:rsidR="00054748" w:rsidRPr="005C170B" w:rsidRDefault="00054748" w:rsidP="00054748">
      <w:pPr>
        <w:spacing w:after="0" w:line="276" w:lineRule="auto"/>
        <w:jc w:val="both"/>
        <w:rPr>
          <w:rFonts w:ascii="Verdana" w:eastAsia="Calibri" w:hAnsi="Verdana" w:cs="Arial"/>
          <w:color w:val="000000" w:themeColor="text1"/>
          <w:lang w:val="es-ES" w:eastAsia="es-ES"/>
        </w:rPr>
      </w:pPr>
      <w:r w:rsidRPr="005C170B">
        <w:rPr>
          <w:rFonts w:ascii="Verdana" w:eastAsia="Calibri" w:hAnsi="Verdana" w:cs="Arial"/>
          <w:color w:val="000000" w:themeColor="text1"/>
          <w:lang w:val="es-ES" w:eastAsia="es-ES"/>
        </w:rPr>
        <w:t>Estimad</w:t>
      </w:r>
      <w:r w:rsidR="00282862">
        <w:rPr>
          <w:rFonts w:ascii="Verdana" w:eastAsia="Calibri" w:hAnsi="Verdana" w:cs="Arial"/>
          <w:color w:val="000000" w:themeColor="text1"/>
          <w:lang w:val="es-ES" w:eastAsia="es-ES"/>
        </w:rPr>
        <w:t>o</w:t>
      </w:r>
      <w:r w:rsidR="0009582C">
        <w:rPr>
          <w:rFonts w:ascii="Verdana" w:eastAsia="Calibri" w:hAnsi="Verdana" w:cs="Arial"/>
          <w:color w:val="000000" w:themeColor="text1"/>
          <w:lang w:val="es-ES" w:eastAsia="es-ES"/>
        </w:rPr>
        <w:t xml:space="preserve"> señor Lozano López, </w:t>
      </w:r>
      <w:r w:rsidRPr="005C170B">
        <w:rPr>
          <w:rFonts w:ascii="Verdana" w:eastAsia="Calibri" w:hAnsi="Verdana" w:cs="Arial"/>
          <w:color w:val="000000" w:themeColor="text1"/>
          <w:lang w:val="es-ES" w:eastAsia="es-ES"/>
        </w:rPr>
        <w:t xml:space="preserve">cordial saludo, </w:t>
      </w:r>
    </w:p>
    <w:p w14:paraId="440505D5" w14:textId="77777777" w:rsidR="00054748" w:rsidRPr="005C170B" w:rsidRDefault="00054748" w:rsidP="00054748">
      <w:pPr>
        <w:spacing w:after="0" w:line="276" w:lineRule="auto"/>
        <w:jc w:val="both"/>
        <w:rPr>
          <w:rFonts w:ascii="Verdana" w:eastAsia="Calibri" w:hAnsi="Verdana" w:cs="Arial"/>
          <w:color w:val="000000" w:themeColor="text1"/>
          <w:lang w:val="es-ES" w:eastAsia="es-ES"/>
        </w:rPr>
      </w:pPr>
    </w:p>
    <w:p w14:paraId="0FBD9B8B" w14:textId="40EEC52D" w:rsidR="00054748" w:rsidRPr="00484987" w:rsidRDefault="00054748" w:rsidP="00054748">
      <w:pPr>
        <w:spacing w:after="0" w:line="276" w:lineRule="auto"/>
        <w:jc w:val="both"/>
        <w:rPr>
          <w:rFonts w:ascii="Verdana" w:eastAsia="Calibri" w:hAnsi="Verdana" w:cs="Arial"/>
          <w:lang w:val="es-ES" w:eastAsia="es-ES"/>
        </w:rPr>
      </w:pPr>
      <w:r w:rsidRPr="005C170B">
        <w:rPr>
          <w:rFonts w:ascii="Verdana" w:eastAsia="Calibri" w:hAnsi="Verdana" w:cs="Arial"/>
          <w:color w:val="000000" w:themeColor="text1"/>
          <w:lang w:val="es-ES" w:eastAsia="es-ES"/>
        </w:rPr>
        <w:t xml:space="preserve">En ejercicio de la competencia otorgada por los artículos 3, numeral 5º, y 11, </w:t>
      </w:r>
      <w:r w:rsidRPr="00484987">
        <w:rPr>
          <w:rFonts w:ascii="Verdana" w:eastAsia="Calibri" w:hAnsi="Verdana" w:cs="Arial"/>
          <w:color w:val="000000" w:themeColor="text1"/>
          <w:lang w:val="es-ES" w:eastAsia="es-ES"/>
        </w:rPr>
        <w:t>numeral 8º, del Decreto Ley 4170 de 2011,</w:t>
      </w:r>
      <w:r w:rsidRPr="00484987">
        <w:rPr>
          <w:rFonts w:ascii="Verdana" w:eastAsia="Arial MT" w:hAnsi="Verdana" w:cs="Arial MT"/>
          <w:lang w:val="es-ES" w:eastAsia="es-ES"/>
        </w:rPr>
        <w:t xml:space="preserve"> </w:t>
      </w:r>
      <w:r w:rsidRPr="00484987">
        <w:rPr>
          <w:rFonts w:ascii="Verdana" w:hAnsi="Verdana" w:cs="Arial"/>
        </w:rPr>
        <w:t xml:space="preserve">así como lo establecido la </w:t>
      </w:r>
      <w:r w:rsidRPr="00484987">
        <w:rPr>
          <w:rFonts w:ascii="Verdana" w:eastAsia="Verdana" w:hAnsi="Verdana" w:cs="Verdana"/>
          <w:color w:val="000000" w:themeColor="text1"/>
        </w:rPr>
        <w:t>Resolución 469 de 2025</w:t>
      </w:r>
      <w:r w:rsidRPr="00484987">
        <w:rPr>
          <w:rFonts w:ascii="Verdana" w:hAnsi="Verdana" w:cs="Arial"/>
        </w:rPr>
        <w:t xml:space="preserve"> expedida por esta Entidad, </w:t>
      </w:r>
      <w:r w:rsidRPr="00484987">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09582C">
        <w:rPr>
          <w:rFonts w:ascii="Verdana" w:eastAsia="Calibri" w:hAnsi="Verdana" w:cs="Arial"/>
          <w:lang w:val="es-ES" w:eastAsia="es-ES"/>
        </w:rPr>
        <w:t>27</w:t>
      </w:r>
      <w:r w:rsidRPr="00484987">
        <w:rPr>
          <w:rFonts w:ascii="Verdana" w:eastAsia="Calibri" w:hAnsi="Verdana" w:cs="Arial"/>
          <w:lang w:val="es-ES" w:eastAsia="es-ES"/>
        </w:rPr>
        <w:t xml:space="preserve"> de mayo de 2026, en la cual manifiesta lo siguiente: </w:t>
      </w:r>
    </w:p>
    <w:p w14:paraId="7804CAD5" w14:textId="77777777" w:rsidR="00054748" w:rsidRPr="00484987" w:rsidRDefault="00054748" w:rsidP="00054748">
      <w:pPr>
        <w:spacing w:after="0" w:line="276" w:lineRule="auto"/>
        <w:jc w:val="both"/>
        <w:rPr>
          <w:rFonts w:ascii="Verdana" w:eastAsia="Calibri" w:hAnsi="Verdana" w:cs="Arial"/>
          <w:color w:val="7030A0"/>
          <w:lang w:val="es-ES" w:eastAsia="es-ES"/>
        </w:rPr>
      </w:pPr>
    </w:p>
    <w:p w14:paraId="09417271" w14:textId="680F4292" w:rsidR="00A06FFF" w:rsidRDefault="00054748" w:rsidP="001279A7">
      <w:pPr>
        <w:spacing w:after="0" w:line="240" w:lineRule="auto"/>
        <w:ind w:left="709" w:right="709"/>
        <w:jc w:val="both"/>
        <w:rPr>
          <w:rFonts w:ascii="Verdana" w:eastAsia="Calibri" w:hAnsi="Verdana" w:cs="Arial"/>
          <w:i/>
          <w:color w:val="000000"/>
          <w:sz w:val="20"/>
          <w:szCs w:val="20"/>
          <w:lang w:val="es-ES" w:eastAsia="es-ES"/>
        </w:rPr>
      </w:pPr>
      <w:r w:rsidRPr="00CF0A77">
        <w:rPr>
          <w:rFonts w:ascii="Verdana" w:eastAsia="Calibri" w:hAnsi="Verdana" w:cs="Arial"/>
          <w:i/>
          <w:color w:val="000000"/>
          <w:sz w:val="20"/>
          <w:szCs w:val="20"/>
          <w:lang w:val="es-ES" w:eastAsia="es-ES"/>
        </w:rPr>
        <w:t>“</w:t>
      </w:r>
      <w:r w:rsidR="0009582C">
        <w:rPr>
          <w:rFonts w:ascii="Verdana" w:eastAsia="Calibri" w:hAnsi="Verdana" w:cs="Arial"/>
          <w:i/>
          <w:color w:val="000000"/>
          <w:sz w:val="20"/>
          <w:szCs w:val="20"/>
          <w:lang w:val="es-ES" w:eastAsia="es-ES"/>
        </w:rPr>
        <w:t xml:space="preserve">cordial saludo, solicito amablemente aclaración en que caso las entidades estatales están facultadas a NO limitar procesos de selección a </w:t>
      </w:r>
      <w:r w:rsidR="00CC2530">
        <w:rPr>
          <w:rFonts w:ascii="Verdana" w:eastAsia="Calibri" w:hAnsi="Verdana" w:cs="Arial"/>
          <w:i/>
          <w:color w:val="000000"/>
          <w:sz w:val="20"/>
          <w:szCs w:val="20"/>
          <w:lang w:val="es-ES" w:eastAsia="es-ES"/>
        </w:rPr>
        <w:t>NO limitar procesos de selección a Mipymes si se cumplen con los requisitos establecidos en el artículo 2.2.1.2.4.2.2. del decreto nacional 1082 de 2015”</w:t>
      </w:r>
    </w:p>
    <w:p w14:paraId="1AFEB55D" w14:textId="77777777" w:rsidR="00752103" w:rsidRPr="00CF0A77" w:rsidRDefault="00752103" w:rsidP="00856E3E">
      <w:pPr>
        <w:spacing w:after="0" w:line="240" w:lineRule="auto"/>
        <w:ind w:right="709"/>
        <w:jc w:val="both"/>
        <w:rPr>
          <w:rFonts w:ascii="Verdana" w:eastAsia="Calibri" w:hAnsi="Verdana" w:cs="Arial"/>
          <w:i/>
          <w:color w:val="000000"/>
          <w:sz w:val="20"/>
          <w:szCs w:val="20"/>
          <w:lang w:val="es-ES" w:eastAsia="es-ES"/>
        </w:rPr>
      </w:pPr>
    </w:p>
    <w:p w14:paraId="6A8ACAB6" w14:textId="77777777" w:rsidR="00054748" w:rsidRPr="005C170B" w:rsidRDefault="00054748" w:rsidP="00054748">
      <w:pPr>
        <w:spacing w:after="120" w:line="276" w:lineRule="auto"/>
        <w:ind w:firstLine="709"/>
        <w:jc w:val="both"/>
        <w:rPr>
          <w:rFonts w:ascii="Verdana" w:eastAsia="Calibri" w:hAnsi="Verdana" w:cs="Arial"/>
          <w:color w:val="000000"/>
          <w:szCs w:val="24"/>
          <w:lang w:val="es-ES_tradnl" w:eastAsia="es-ES_tradnl"/>
        </w:rPr>
      </w:pPr>
      <w:r w:rsidRPr="005C170B">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C170B">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C170B">
        <w:rPr>
          <w:rFonts w:ascii="Verdana" w:eastAsia="Calibri" w:hAnsi="Verdana" w:cs="Arial"/>
          <w:color w:val="000000"/>
          <w:szCs w:val="24"/>
          <w:lang w:val="es-ES_tradnl" w:eastAsia="es-ES_tradnl"/>
        </w:rPr>
        <w:tab/>
      </w:r>
    </w:p>
    <w:p w14:paraId="698F94B0" w14:textId="77777777" w:rsidR="00054748" w:rsidRPr="005C170B" w:rsidRDefault="00054748" w:rsidP="00054748">
      <w:pPr>
        <w:spacing w:after="0" w:line="276" w:lineRule="auto"/>
        <w:ind w:firstLine="709"/>
        <w:jc w:val="both"/>
        <w:rPr>
          <w:rFonts w:ascii="Verdana" w:eastAsia="Calibri" w:hAnsi="Verdana" w:cs="Arial"/>
          <w:color w:val="000000"/>
          <w:lang w:val="es-ES" w:eastAsia="es-ES"/>
        </w:rPr>
      </w:pPr>
      <w:r w:rsidRPr="005C170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5C170B">
        <w:rPr>
          <w:rFonts w:ascii="Verdana" w:eastAsia="Calibri" w:hAnsi="Verdana" w:cs="Arial"/>
          <w:lang w:val="es-ES" w:eastAsia="es-ES"/>
        </w:rPr>
        <w:t xml:space="preserve">el problema </w:t>
      </w:r>
      <w:r w:rsidRPr="005C170B">
        <w:rPr>
          <w:rFonts w:ascii="Verdana" w:eastAsia="Calibri" w:hAnsi="Verdana" w:cs="Arial"/>
          <w:color w:val="000000"/>
          <w:lang w:val="es-ES" w:eastAsia="es-ES"/>
        </w:rPr>
        <w:t xml:space="preserve">jurídico de su consulta. </w:t>
      </w:r>
    </w:p>
    <w:p w14:paraId="44480558" w14:textId="77777777" w:rsidR="00054748" w:rsidRPr="005C170B" w:rsidRDefault="00054748" w:rsidP="00054748">
      <w:pPr>
        <w:spacing w:after="0" w:line="276" w:lineRule="auto"/>
        <w:ind w:firstLine="709"/>
        <w:jc w:val="both"/>
        <w:rPr>
          <w:rFonts w:ascii="Verdana" w:eastAsia="Calibri" w:hAnsi="Verdana" w:cs="Arial"/>
          <w:color w:val="000000"/>
          <w:lang w:val="es-ES" w:eastAsia="es-ES"/>
        </w:rPr>
      </w:pPr>
    </w:p>
    <w:p w14:paraId="1A01DFE8" w14:textId="77777777" w:rsidR="00054748" w:rsidRPr="00484987" w:rsidRDefault="00054748" w:rsidP="0005474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84987">
        <w:rPr>
          <w:rFonts w:ascii="Verdana" w:eastAsia="Century Gothic" w:hAnsi="Verdana" w:cs="Century Gothic"/>
          <w:b/>
          <w:bCs/>
        </w:rPr>
        <w:t>Problema planteado:</w:t>
      </w:r>
    </w:p>
    <w:p w14:paraId="54F78013" w14:textId="77777777" w:rsidR="00054748" w:rsidRPr="005C170B" w:rsidRDefault="00054748" w:rsidP="00054748">
      <w:pPr>
        <w:spacing w:after="0" w:line="276" w:lineRule="auto"/>
        <w:jc w:val="both"/>
        <w:rPr>
          <w:rFonts w:ascii="Verdana" w:eastAsia="Century Gothic" w:hAnsi="Verdana" w:cs="Century Gothic"/>
        </w:rPr>
      </w:pPr>
    </w:p>
    <w:p w14:paraId="2202E835" w14:textId="7549C691" w:rsidR="003F1BCC" w:rsidRDefault="00054748" w:rsidP="00CF0A77">
      <w:pPr>
        <w:spacing w:after="0" w:line="276" w:lineRule="auto"/>
        <w:jc w:val="both"/>
        <w:rPr>
          <w:rFonts w:ascii="Verdana" w:eastAsia="Century Gothic" w:hAnsi="Verdana" w:cs="Century Gothic"/>
        </w:rPr>
      </w:pPr>
      <w:r w:rsidRPr="005C170B">
        <w:rPr>
          <w:rFonts w:ascii="Verdana" w:eastAsia="Century Gothic" w:hAnsi="Verdana" w:cs="Century Gothic"/>
        </w:rPr>
        <w:t xml:space="preserve">De acuerdo con </w:t>
      </w:r>
      <w:r w:rsidRPr="009A6D45">
        <w:rPr>
          <w:rFonts w:ascii="Verdana" w:eastAsia="Century Gothic" w:hAnsi="Verdana" w:cs="Century Gothic"/>
        </w:rPr>
        <w:t xml:space="preserve">el contenido de su solicitud, esta Agencia abordará </w:t>
      </w:r>
      <w:r w:rsidR="00740F02" w:rsidRPr="009A6D45">
        <w:rPr>
          <w:rFonts w:ascii="Verdana" w:eastAsia="Century Gothic" w:hAnsi="Verdana" w:cs="Century Gothic"/>
        </w:rPr>
        <w:t xml:space="preserve">el siguiente problema jurídico: </w:t>
      </w:r>
      <w:proofErr w:type="gramStart"/>
      <w:r w:rsidR="004B4BBB" w:rsidRPr="009A6D45">
        <w:rPr>
          <w:rFonts w:ascii="Verdana" w:eastAsia="Century Gothic" w:hAnsi="Verdana" w:cs="Century Gothic"/>
        </w:rPr>
        <w:t>¿La acreditación de los requisitos establecidos en el artículo 2.</w:t>
      </w:r>
      <w:proofErr w:type="gramEnd"/>
      <w:r w:rsidR="004B4BBB" w:rsidRPr="009A6D45">
        <w:rPr>
          <w:rFonts w:ascii="Verdana" w:eastAsia="Century Gothic" w:hAnsi="Verdana" w:cs="Century Gothic"/>
        </w:rPr>
        <w:t>2.1.2.4.2.2 del Decreto 1082 de 2015 obliga a las entidades estatales a limitar el proceso de selección a Mipymes o existen circunstancias que les permitan no adoptar dicha limitación?</w:t>
      </w:r>
    </w:p>
    <w:p w14:paraId="64382BDE" w14:textId="77777777" w:rsidR="00C138F9" w:rsidRPr="005C170B" w:rsidRDefault="00C138F9" w:rsidP="00CF0A77">
      <w:pPr>
        <w:spacing w:after="0" w:line="276" w:lineRule="auto"/>
        <w:jc w:val="both"/>
        <w:rPr>
          <w:rFonts w:ascii="Verdana" w:eastAsia="Century Gothic" w:hAnsi="Verdana" w:cs="Century Gothic"/>
        </w:rPr>
      </w:pPr>
    </w:p>
    <w:p w14:paraId="757812DB" w14:textId="77777777" w:rsidR="00054748" w:rsidRPr="00B11F11" w:rsidRDefault="00054748" w:rsidP="000547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11F11">
        <w:rPr>
          <w:rFonts w:ascii="Verdana" w:eastAsia="Century Gothic" w:hAnsi="Verdana" w:cs="Century Gothic"/>
          <w:b/>
          <w:bCs/>
        </w:rPr>
        <w:t>Respuesta:</w:t>
      </w:r>
    </w:p>
    <w:p w14:paraId="1A786415" w14:textId="77777777" w:rsidR="00054748" w:rsidRPr="005C170B" w:rsidRDefault="00054748" w:rsidP="0005474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4748" w:rsidRPr="005C170B" w14:paraId="4B5AFF77" w14:textId="77777777" w:rsidTr="00CB1843">
        <w:tc>
          <w:tcPr>
            <w:tcW w:w="8828" w:type="dxa"/>
          </w:tcPr>
          <w:p w14:paraId="0319C76B" w14:textId="59F52850" w:rsidR="00AF247C" w:rsidRDefault="00AF247C" w:rsidP="00AF247C">
            <w:pPr>
              <w:spacing w:after="120" w:line="276" w:lineRule="auto"/>
              <w:jc w:val="both"/>
              <w:rPr>
                <w:rFonts w:ascii="Verdana" w:eastAsia="Calibri" w:hAnsi="Verdana" w:cs="Arial"/>
                <w:bCs/>
                <w:color w:val="000000" w:themeColor="text1"/>
              </w:rPr>
            </w:pPr>
            <w:r w:rsidRPr="00AF247C">
              <w:rPr>
                <w:rFonts w:ascii="Verdana" w:eastAsia="Calibri" w:hAnsi="Verdana" w:cs="Arial"/>
                <w:bCs/>
                <w:color w:val="000000" w:themeColor="text1"/>
              </w:rPr>
              <w:t xml:space="preserve">Para responder el problema jurídico planteado, es importante precisar que el régimen de compras y contratación pública contempla mecanismos orientados a promover la participación de las micro, pequeñas y medianas empresas en los procesos de contratación estatal, </w:t>
            </w:r>
            <w:r w:rsidR="00B147A4">
              <w:rPr>
                <w:rFonts w:ascii="Verdana" w:eastAsia="Calibri" w:hAnsi="Verdana" w:cs="Arial"/>
                <w:bCs/>
                <w:color w:val="000000" w:themeColor="text1"/>
              </w:rPr>
              <w:t xml:space="preserve">incluye </w:t>
            </w:r>
            <w:r w:rsidRPr="00AF247C">
              <w:rPr>
                <w:rFonts w:ascii="Verdana" w:eastAsia="Calibri" w:hAnsi="Verdana" w:cs="Arial"/>
                <w:bCs/>
                <w:color w:val="000000" w:themeColor="text1"/>
              </w:rPr>
              <w:t xml:space="preserve">entre ellos la posibilidad de limitar determinadas convocatorias a este tipo de unidades productivas cuando se satisfacen las condiciones previstas en la normativa vigente. </w:t>
            </w:r>
          </w:p>
          <w:p w14:paraId="0E151374" w14:textId="409B1BA7" w:rsidR="00E22A31" w:rsidRPr="00E00EC8" w:rsidRDefault="009C5ADB" w:rsidP="00E00EC8">
            <w:pPr>
              <w:spacing w:after="120" w:line="276" w:lineRule="auto"/>
              <w:ind w:firstLine="709"/>
              <w:jc w:val="both"/>
              <w:rPr>
                <w:rFonts w:ascii="Verdana" w:eastAsia="Times New Roman" w:hAnsi="Verdana" w:cs="Arial"/>
                <w:lang w:val="es-MX" w:eastAsia="es-CO"/>
              </w:rPr>
            </w:pPr>
            <w:r w:rsidRPr="00766EA2">
              <w:rPr>
                <w:rFonts w:ascii="Verdana" w:eastAsia="Arial" w:hAnsi="Verdana" w:cs="Arial"/>
                <w:color w:val="000000"/>
              </w:rPr>
              <w:t xml:space="preserve">Dentro del ordenamiento jurídico colombiano se encuentran disposiciones orientadas a regular las limitaciones territoriales en el marco de </w:t>
            </w:r>
            <w:r w:rsidRPr="00766EA2">
              <w:rPr>
                <w:rFonts w:ascii="Verdana" w:eastAsia="Arial" w:hAnsi="Verdana" w:cs="Arial"/>
                <w:color w:val="000000"/>
              </w:rPr>
              <w:lastRenderedPageBreak/>
              <w:t>los procesos de contratación pública.</w:t>
            </w:r>
            <w:r>
              <w:rPr>
                <w:rFonts w:ascii="Verdana" w:eastAsia="Arial" w:hAnsi="Verdana" w:cs="Arial"/>
                <w:color w:val="000000"/>
              </w:rPr>
              <w:t xml:space="preserve"> </w:t>
            </w:r>
            <w:r>
              <w:rPr>
                <w:rFonts w:ascii="Verdana" w:eastAsia="Arial" w:hAnsi="Verdana" w:cs="Arial"/>
                <w:color w:val="000000"/>
                <w:lang w:val="es-ES"/>
              </w:rPr>
              <w:t>Para que proceda</w:t>
            </w:r>
            <w:r w:rsidR="009A6D45">
              <w:rPr>
                <w:rFonts w:ascii="Verdana" w:eastAsia="Arial" w:hAnsi="Verdana" w:cs="Arial"/>
                <w:color w:val="000000"/>
                <w:lang w:val="es-ES"/>
              </w:rPr>
              <w:t xml:space="preserve"> la</w:t>
            </w:r>
            <w:r>
              <w:rPr>
                <w:rFonts w:ascii="Verdana" w:eastAsia="Arial" w:hAnsi="Verdana" w:cs="Arial"/>
                <w:color w:val="000000"/>
                <w:lang w:val="es-ES"/>
              </w:rPr>
              <w:t xml:space="preserve"> limitación de la convocatoria a Mipymes en virtud del </w:t>
            </w:r>
            <w:r w:rsidRPr="00D804ED">
              <w:rPr>
                <w:rFonts w:ascii="Verdana" w:eastAsia="Arial" w:hAnsi="Verdana" w:cs="Arial"/>
                <w:color w:val="000000" w:themeColor="text1"/>
              </w:rPr>
              <w:t>artículo 2.2.1.2.4.2.2</w:t>
            </w:r>
            <w:r>
              <w:rPr>
                <w:rFonts w:ascii="Verdana" w:eastAsia="Arial" w:hAnsi="Verdana" w:cs="Arial"/>
                <w:color w:val="000000" w:themeColor="text1"/>
              </w:rPr>
              <w:t>,</w:t>
            </w:r>
            <w:r w:rsidRPr="00D804ED">
              <w:rPr>
                <w:rFonts w:ascii="Verdana" w:eastAsia="Arial" w:hAnsi="Verdana" w:cs="Arial"/>
                <w:color w:val="000000" w:themeColor="text1"/>
              </w:rPr>
              <w:t xml:space="preserve"> </w:t>
            </w:r>
            <w:r>
              <w:rPr>
                <w:rFonts w:ascii="Verdana" w:eastAsia="Arial" w:hAnsi="Verdana" w:cs="Arial"/>
                <w:color w:val="000000"/>
                <w:lang w:val="es-ES"/>
              </w:rPr>
              <w:t xml:space="preserve">la entidad estatal contratante debe recibir las solicitudes de limitación por lo menos </w:t>
            </w:r>
            <w:r w:rsidRPr="00524CDB">
              <w:rPr>
                <w:rFonts w:ascii="Verdana" w:eastAsia="Arial" w:hAnsi="Verdana" w:cs="Arial"/>
                <w:color w:val="000000"/>
                <w:lang w:val="es-ES"/>
              </w:rPr>
              <w:t xml:space="preserve">dos (2) </w:t>
            </w:r>
            <w:r w:rsidRPr="00524CDB">
              <w:rPr>
                <w:rFonts w:ascii="Verdana" w:hAnsi="Verdana" w:cs="Arial"/>
                <w:color w:val="000000"/>
              </w:rPr>
              <w:t xml:space="preserve">Mipyme colombianas con mínimo un (1) año de existencia, y </w:t>
            </w:r>
            <w:r w:rsidRPr="00524CDB">
              <w:rPr>
                <w:rFonts w:ascii="Verdana" w:eastAsia="Arial" w:hAnsi="Verdana" w:cs="Arial"/>
                <w:color w:val="000000"/>
                <w:lang w:val="es-ES"/>
              </w:rPr>
              <w:t xml:space="preserve">debe verificar los requisitos establecidos en los numerales 1 y 2 del mencionado artículo teniendo en cuenta el </w:t>
            </w:r>
            <w:r w:rsidRPr="00524CDB">
              <w:rPr>
                <w:rFonts w:ascii="Verdana" w:eastAsia="Times New Roman" w:hAnsi="Verdana" w:cs="Arial"/>
                <w:lang w:val="es-MX" w:eastAsia="es-CO"/>
              </w:rPr>
              <w:t>artículo 2.2.1.2.4.2.4. del Decreto</w:t>
            </w:r>
            <w:r w:rsidRPr="004508B5">
              <w:rPr>
                <w:rFonts w:ascii="Verdana" w:eastAsia="Times New Roman" w:hAnsi="Verdana" w:cs="Arial"/>
                <w:lang w:val="es-MX" w:eastAsia="es-CO"/>
              </w:rPr>
              <w:t xml:space="preserve"> 1082 de 2015, modificado por el Decreto 1860 de 2021</w:t>
            </w:r>
            <w:r>
              <w:rPr>
                <w:rFonts w:ascii="Verdana" w:eastAsia="Times New Roman" w:hAnsi="Verdana" w:cs="Arial"/>
                <w:lang w:val="es-MX" w:eastAsia="es-CO"/>
              </w:rPr>
              <w:t>, en el que se dispone cómo acreditar los requisitos para participar en convocatorias limitadas.</w:t>
            </w:r>
            <w:r w:rsidR="00E41A71">
              <w:rPr>
                <w:rFonts w:ascii="Verdana" w:eastAsia="Times New Roman" w:hAnsi="Verdana" w:cs="Arial"/>
                <w:lang w:val="es-MX" w:eastAsia="es-CO"/>
              </w:rPr>
              <w:t xml:space="preserve"> Estos requisitos son:</w:t>
            </w:r>
          </w:p>
          <w:p w14:paraId="776FE728" w14:textId="1AD491F2" w:rsidR="00AF247C" w:rsidRDefault="004373B4" w:rsidP="00EF3663">
            <w:pPr>
              <w:spacing w:after="120" w:line="276" w:lineRule="auto"/>
              <w:ind w:firstLine="709"/>
              <w:jc w:val="both"/>
              <w:rPr>
                <w:rFonts w:ascii="Verdana" w:eastAsia="Calibri" w:hAnsi="Verdana" w:cs="Arial"/>
                <w:bCs/>
                <w:color w:val="000000" w:themeColor="text1"/>
              </w:rPr>
            </w:pPr>
            <w:r w:rsidRPr="004373B4">
              <w:rPr>
                <w:rFonts w:ascii="Verdana" w:eastAsia="Calibri" w:hAnsi="Verdana" w:cs="Arial"/>
                <w:bCs/>
                <w:color w:val="000000" w:themeColor="text1"/>
              </w:rPr>
              <w:t xml:space="preserve">En este sentido, el cumplimiento de los requisitos establecidos </w:t>
            </w:r>
            <w:r w:rsidR="009712CF">
              <w:rPr>
                <w:rFonts w:ascii="Verdana" w:eastAsia="Calibri" w:hAnsi="Verdana" w:cs="Arial"/>
                <w:bCs/>
                <w:color w:val="000000" w:themeColor="text1"/>
              </w:rPr>
              <w:t>en la citada norma</w:t>
            </w:r>
            <w:r w:rsidRPr="004373B4">
              <w:rPr>
                <w:rFonts w:ascii="Verdana" w:eastAsia="Calibri" w:hAnsi="Verdana" w:cs="Arial"/>
                <w:bCs/>
                <w:color w:val="000000" w:themeColor="text1"/>
              </w:rPr>
              <w:t xml:space="preserve"> constituye un presupuesto necesario para la procedencia de la limitación de la convocatoria a Mipymes, </w:t>
            </w:r>
            <w:r>
              <w:rPr>
                <w:rFonts w:ascii="Verdana" w:eastAsia="Calibri" w:hAnsi="Verdana" w:cs="Arial"/>
                <w:bCs/>
                <w:color w:val="000000" w:themeColor="text1"/>
              </w:rPr>
              <w:t>e</w:t>
            </w:r>
            <w:r w:rsidRPr="004373B4">
              <w:rPr>
                <w:rFonts w:ascii="Verdana" w:eastAsia="Calibri" w:hAnsi="Verdana" w:cs="Arial"/>
                <w:bCs/>
                <w:color w:val="000000" w:themeColor="text1"/>
              </w:rPr>
              <w:t xml:space="preserve"> implica, por sí solo, que la entidad estatal deba adoptar dicha medida en todos los casos</w:t>
            </w:r>
            <w:r>
              <w:rPr>
                <w:rFonts w:ascii="Verdana" w:eastAsia="Calibri" w:hAnsi="Verdana" w:cs="Arial"/>
                <w:bCs/>
                <w:color w:val="000000" w:themeColor="text1"/>
              </w:rPr>
              <w:t xml:space="preserve"> en que estos concurran. </w:t>
            </w:r>
            <w:r w:rsidR="0001041A">
              <w:rPr>
                <w:rFonts w:ascii="Verdana" w:eastAsia="Calibri" w:hAnsi="Verdana" w:cs="Arial"/>
                <w:bCs/>
                <w:color w:val="000000" w:themeColor="text1"/>
              </w:rPr>
              <w:t xml:space="preserve">Se entiende entonces que, </w:t>
            </w:r>
            <w:r w:rsidR="009712CF" w:rsidRPr="009712CF">
              <w:rPr>
                <w:rFonts w:ascii="Verdana" w:eastAsia="Calibri" w:hAnsi="Verdana" w:cs="Arial"/>
                <w:bCs/>
                <w:color w:val="000000" w:themeColor="text1"/>
              </w:rPr>
              <w:t>la norma no configura una facultad enteramente discrecional para la entidad estatal, sino una regla jurídica cuya aplicación procede cuando concurren los presupuestos expresamente definidos por el ordenamiento</w:t>
            </w:r>
            <w:r w:rsidR="009712CF">
              <w:rPr>
                <w:rFonts w:ascii="Verdana" w:eastAsia="Calibri" w:hAnsi="Verdana" w:cs="Arial"/>
                <w:bCs/>
                <w:color w:val="000000" w:themeColor="text1"/>
              </w:rPr>
              <w:t xml:space="preserve">. </w:t>
            </w:r>
          </w:p>
          <w:p w14:paraId="73CF5077" w14:textId="28C3C42E" w:rsidR="009712CF" w:rsidRDefault="00C645F4" w:rsidP="00EF3663">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consecuencia, </w:t>
            </w:r>
            <w:r w:rsidRPr="00C645F4">
              <w:rPr>
                <w:rFonts w:ascii="Verdana" w:eastAsia="Calibri" w:hAnsi="Verdana" w:cs="Arial"/>
                <w:bCs/>
                <w:color w:val="000000" w:themeColor="text1"/>
              </w:rPr>
              <w:t>no resulta jurídicamente procedente que la</w:t>
            </w:r>
            <w:r>
              <w:rPr>
                <w:rFonts w:ascii="Verdana" w:eastAsia="Calibri" w:hAnsi="Verdana" w:cs="Arial"/>
                <w:bCs/>
                <w:color w:val="000000" w:themeColor="text1"/>
              </w:rPr>
              <w:t>s</w:t>
            </w:r>
            <w:r w:rsidRPr="00C645F4">
              <w:rPr>
                <w:rFonts w:ascii="Verdana" w:eastAsia="Calibri" w:hAnsi="Verdana" w:cs="Arial"/>
                <w:bCs/>
                <w:color w:val="000000" w:themeColor="text1"/>
              </w:rPr>
              <w:t xml:space="preserve"> entidad</w:t>
            </w:r>
            <w:r>
              <w:rPr>
                <w:rFonts w:ascii="Verdana" w:eastAsia="Calibri" w:hAnsi="Verdana" w:cs="Arial"/>
                <w:bCs/>
                <w:color w:val="000000" w:themeColor="text1"/>
              </w:rPr>
              <w:t>es</w:t>
            </w:r>
            <w:r w:rsidRPr="00C645F4">
              <w:rPr>
                <w:rFonts w:ascii="Verdana" w:eastAsia="Calibri" w:hAnsi="Verdana" w:cs="Arial"/>
                <w:bCs/>
                <w:color w:val="000000" w:themeColor="text1"/>
              </w:rPr>
              <w:t xml:space="preserve"> estatal</w:t>
            </w:r>
            <w:r>
              <w:rPr>
                <w:rFonts w:ascii="Verdana" w:eastAsia="Calibri" w:hAnsi="Verdana" w:cs="Arial"/>
                <w:bCs/>
                <w:color w:val="000000" w:themeColor="text1"/>
              </w:rPr>
              <w:t>es</w:t>
            </w:r>
            <w:r w:rsidRPr="00C645F4">
              <w:rPr>
                <w:rFonts w:ascii="Verdana" w:eastAsia="Calibri" w:hAnsi="Verdana" w:cs="Arial"/>
                <w:bCs/>
                <w:color w:val="000000" w:themeColor="text1"/>
              </w:rPr>
              <w:t xml:space="preserve"> se abstenga</w:t>
            </w:r>
            <w:r>
              <w:rPr>
                <w:rFonts w:ascii="Verdana" w:eastAsia="Calibri" w:hAnsi="Verdana" w:cs="Arial"/>
                <w:bCs/>
                <w:color w:val="000000" w:themeColor="text1"/>
              </w:rPr>
              <w:t>n</w:t>
            </w:r>
            <w:r w:rsidRPr="00C645F4">
              <w:rPr>
                <w:rFonts w:ascii="Verdana" w:eastAsia="Calibri" w:hAnsi="Verdana" w:cs="Arial"/>
                <w:bCs/>
                <w:color w:val="000000" w:themeColor="text1"/>
              </w:rPr>
              <w:t xml:space="preserve"> de limitar la convocatoria a Mipymes bajo consideraciones de conveniencia administrativa, oportunidad o preferencia institucional cuando se encuentren acreditadas las condiciones previstas en el artículo 2.2.1.2.4.2.2 del Decreto 1082 de 2015. Lo anterior obedece a que la actividad contractual se encuentra sometida al principio de legalidad y, por tanto, las entidades públicas deben ejercer sus competencias en la forma prevista por las normas que regulan el respectivo procedimiento de selección.</w:t>
            </w:r>
          </w:p>
          <w:p w14:paraId="0163F4E0" w14:textId="3D400D89" w:rsidR="00AF247C" w:rsidRDefault="00471DAE" w:rsidP="00EF3663">
            <w:pPr>
              <w:spacing w:after="120" w:line="276" w:lineRule="auto"/>
              <w:ind w:firstLine="709"/>
              <w:jc w:val="both"/>
              <w:rPr>
                <w:rFonts w:ascii="Verdana" w:eastAsia="Calibri" w:hAnsi="Verdana" w:cs="Arial"/>
                <w:bCs/>
                <w:color w:val="000000" w:themeColor="text1"/>
              </w:rPr>
            </w:pPr>
            <w:r w:rsidRPr="00471DAE">
              <w:rPr>
                <w:rFonts w:ascii="Verdana" w:eastAsia="Calibri" w:hAnsi="Verdana" w:cs="Arial"/>
                <w:bCs/>
                <w:color w:val="000000" w:themeColor="text1"/>
              </w:rPr>
              <w:t>Sin embargo, la obligación de limitar la convocatoria a Mipymes no debe confundirse con la posibilidad de restringir adicionalmente la participación a aquellas Mipymes que tengan domicilio en determinados departamentos</w:t>
            </w:r>
            <w:r w:rsidR="00D47E0F">
              <w:rPr>
                <w:rFonts w:ascii="Verdana" w:eastAsia="Calibri" w:hAnsi="Verdana" w:cs="Arial"/>
                <w:bCs/>
                <w:color w:val="000000" w:themeColor="text1"/>
              </w:rPr>
              <w:t xml:space="preserve"> </w:t>
            </w:r>
            <w:r w:rsidRPr="00471DAE">
              <w:rPr>
                <w:rFonts w:ascii="Verdana" w:eastAsia="Calibri" w:hAnsi="Verdana" w:cs="Arial"/>
                <w:bCs/>
                <w:color w:val="000000" w:themeColor="text1"/>
              </w:rPr>
              <w:t>o municipios. Esta última medida corresponde a una figura distinta, regulada específicamente en el artículo 2.2.1.2.4.2.3 del Decreto 1082 de 2015, cuya aplicación depende de una valoración efectuada por la entidad estatal en atención a las características del proceso contractual y a las finalidades de fortalecimiento económico regional perseguidas con la contratación.</w:t>
            </w:r>
          </w:p>
          <w:p w14:paraId="494DD260" w14:textId="68FC3C51" w:rsidR="00AF247C" w:rsidRDefault="00A67369" w:rsidP="00EF3663">
            <w:pPr>
              <w:spacing w:after="120" w:line="276" w:lineRule="auto"/>
              <w:ind w:firstLine="709"/>
              <w:jc w:val="both"/>
              <w:rPr>
                <w:rFonts w:ascii="Verdana" w:eastAsia="Calibri" w:hAnsi="Verdana" w:cs="Arial"/>
                <w:bCs/>
                <w:color w:val="000000" w:themeColor="text1"/>
              </w:rPr>
            </w:pPr>
            <w:r w:rsidRPr="00A67369">
              <w:rPr>
                <w:rFonts w:ascii="Verdana" w:eastAsia="Calibri" w:hAnsi="Verdana" w:cs="Arial"/>
                <w:bCs/>
                <w:color w:val="000000" w:themeColor="text1"/>
              </w:rPr>
              <w:t xml:space="preserve">En este sentido, aunque la entidad se encuentre obligada a limitar la convocatoria a Mipymes cuando se satisfagan los requisitos previstos en el artículo 2.2.1.2.4.2.2 del Decreto 1082 de 2015, no existe una obligación </w:t>
            </w:r>
            <w:r w:rsidRPr="00A67369">
              <w:rPr>
                <w:rFonts w:ascii="Verdana" w:eastAsia="Calibri" w:hAnsi="Verdana" w:cs="Arial"/>
                <w:bCs/>
                <w:color w:val="000000" w:themeColor="text1"/>
              </w:rPr>
              <w:lastRenderedPageBreak/>
              <w:t>correlativa de restringir territorialmente la participación a empresas domiciliadas en una determinada jurisdicción</w:t>
            </w:r>
            <w:r w:rsidR="008813A3">
              <w:rPr>
                <w:rStyle w:val="Refdenotaalpie"/>
                <w:rFonts w:ascii="Verdana" w:eastAsia="Calibri" w:hAnsi="Verdana" w:cs="Arial"/>
                <w:bCs/>
                <w:color w:val="000000" w:themeColor="text1"/>
              </w:rPr>
              <w:footnoteReference w:id="1"/>
            </w:r>
            <w:r w:rsidRPr="00A67369">
              <w:rPr>
                <w:rFonts w:ascii="Verdana" w:eastAsia="Calibri" w:hAnsi="Verdana" w:cs="Arial"/>
                <w:bCs/>
                <w:color w:val="000000" w:themeColor="text1"/>
              </w:rPr>
              <w:t>. La adopción de esta medida adicional constituye una potestad que puede ser ejercida por la entidad cuando considere que resulta adecuada y compatible con las necesidades del proceso, siempre dentro de los límites establecidos por la normativa aplicable.</w:t>
            </w:r>
          </w:p>
          <w:p w14:paraId="0063A7CC" w14:textId="40A65159" w:rsidR="00AF247C" w:rsidRDefault="00EA71F6" w:rsidP="00BD0BDC">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conclusión, </w:t>
            </w:r>
            <w:r w:rsidR="008B5A0C">
              <w:rPr>
                <w:rFonts w:ascii="Verdana" w:eastAsia="Calibri" w:hAnsi="Verdana" w:cs="Arial"/>
                <w:bCs/>
                <w:color w:val="000000" w:themeColor="text1"/>
              </w:rPr>
              <w:t>la norma sí impone a las entidades estatales</w:t>
            </w:r>
            <w:r w:rsidR="00BD0BDC">
              <w:rPr>
                <w:rFonts w:ascii="Verdana" w:eastAsia="Calibri" w:hAnsi="Verdana" w:cs="Arial"/>
                <w:bCs/>
                <w:color w:val="000000" w:themeColor="text1"/>
              </w:rPr>
              <w:t xml:space="preserve"> – independientemente de su régim</w:t>
            </w:r>
            <w:r w:rsidR="00085500">
              <w:rPr>
                <w:rFonts w:ascii="Verdana" w:eastAsia="Calibri" w:hAnsi="Verdana" w:cs="Arial"/>
                <w:bCs/>
                <w:color w:val="000000" w:themeColor="text1"/>
              </w:rPr>
              <w:t>en</w:t>
            </w:r>
            <w:r w:rsidR="00616FA1">
              <w:rPr>
                <w:rFonts w:ascii="Verdana" w:eastAsia="Calibri" w:hAnsi="Verdana" w:cs="Arial"/>
                <w:bCs/>
                <w:color w:val="000000" w:themeColor="text1"/>
              </w:rPr>
              <w:t xml:space="preserve"> jurídico</w:t>
            </w:r>
            <w:r w:rsidR="00085500">
              <w:rPr>
                <w:rFonts w:ascii="Verdana" w:eastAsia="Calibri" w:hAnsi="Verdana" w:cs="Arial"/>
                <w:bCs/>
                <w:color w:val="000000" w:themeColor="text1"/>
              </w:rPr>
              <w:t xml:space="preserve"> - </w:t>
            </w:r>
            <w:r w:rsidR="008B5A0C">
              <w:rPr>
                <w:rFonts w:ascii="Verdana" w:eastAsia="Calibri" w:hAnsi="Verdana" w:cs="Arial"/>
                <w:bCs/>
                <w:color w:val="000000" w:themeColor="text1"/>
              </w:rPr>
              <w:t>la obligación de limitar las convocatorias de contratación a Mipymes</w:t>
            </w:r>
            <w:r w:rsidR="00085500">
              <w:rPr>
                <w:rFonts w:ascii="Verdana" w:eastAsia="Calibri" w:hAnsi="Verdana" w:cs="Arial"/>
                <w:bCs/>
                <w:color w:val="000000" w:themeColor="text1"/>
              </w:rPr>
              <w:t>,</w:t>
            </w:r>
            <w:r w:rsidR="008B5A0C">
              <w:rPr>
                <w:rFonts w:ascii="Verdana" w:eastAsia="Calibri" w:hAnsi="Verdana" w:cs="Arial"/>
                <w:bCs/>
                <w:color w:val="000000" w:themeColor="text1"/>
              </w:rPr>
              <w:t xml:space="preserve"> en el caso en que concurran los requisitos previstos en el artículo </w:t>
            </w:r>
            <w:r w:rsidR="003E7CF4" w:rsidRPr="003E7CF4">
              <w:rPr>
                <w:rFonts w:ascii="Verdana" w:eastAsia="Calibri" w:hAnsi="Verdana" w:cs="Arial"/>
                <w:bCs/>
                <w:color w:val="000000" w:themeColor="text1"/>
              </w:rPr>
              <w:t>2.2.1.2.4.2.2</w:t>
            </w:r>
            <w:r w:rsidR="003E7CF4">
              <w:rPr>
                <w:rFonts w:ascii="Verdana" w:eastAsia="Calibri" w:hAnsi="Verdana" w:cs="Arial"/>
                <w:bCs/>
                <w:color w:val="000000" w:themeColor="text1"/>
              </w:rPr>
              <w:t xml:space="preserve"> del Decreto 1082 de 2015. No obstante, la </w:t>
            </w:r>
            <w:r w:rsidR="005B0A81">
              <w:rPr>
                <w:rFonts w:ascii="Verdana" w:eastAsia="Calibri" w:hAnsi="Verdana" w:cs="Arial"/>
                <w:bCs/>
                <w:color w:val="000000" w:themeColor="text1"/>
              </w:rPr>
              <w:t xml:space="preserve">limitación territorial, por </w:t>
            </w:r>
            <w:r w:rsidR="00D47E0F">
              <w:rPr>
                <w:rFonts w:ascii="Verdana" w:eastAsia="Calibri" w:hAnsi="Verdana" w:cs="Arial"/>
                <w:bCs/>
                <w:color w:val="000000" w:themeColor="text1"/>
              </w:rPr>
              <w:t>departamento o municipio</w:t>
            </w:r>
            <w:r w:rsidR="005B0A81">
              <w:rPr>
                <w:rFonts w:ascii="Verdana" w:eastAsia="Calibri" w:hAnsi="Verdana" w:cs="Arial"/>
                <w:bCs/>
                <w:color w:val="000000" w:themeColor="text1"/>
              </w:rPr>
              <w:t xml:space="preserve">, de la convocatoria Mipymes obedece a una figura jurídica </w:t>
            </w:r>
            <w:r w:rsidR="00BD0BDC">
              <w:rPr>
                <w:rFonts w:ascii="Verdana" w:eastAsia="Calibri" w:hAnsi="Verdana" w:cs="Arial"/>
                <w:bCs/>
                <w:color w:val="000000" w:themeColor="text1"/>
              </w:rPr>
              <w:t xml:space="preserve">discrecional, cuya aplicación depende de la valoración que realicen las entidades en cada caso concreto. </w:t>
            </w:r>
          </w:p>
          <w:p w14:paraId="48965C2D" w14:textId="2203A1D2" w:rsidR="00054748" w:rsidRPr="00EF3663" w:rsidRDefault="00054748" w:rsidP="00EF3663">
            <w:pPr>
              <w:spacing w:after="120" w:line="276" w:lineRule="auto"/>
              <w:ind w:firstLine="709"/>
              <w:jc w:val="both"/>
              <w:rPr>
                <w:rFonts w:ascii="Verdana" w:eastAsia="Calibri" w:hAnsi="Verdana" w:cs="Arial"/>
                <w:bCs/>
                <w:color w:val="000000" w:themeColor="text1"/>
              </w:rPr>
            </w:pPr>
            <w:r w:rsidRPr="005C170B">
              <w:rPr>
                <w:rFonts w:ascii="Verdana" w:eastAsia="Calibri" w:hAnsi="Verdana" w:cs="Arial"/>
              </w:rPr>
              <w:t>Al margen de la explicación planteada,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9F05FAC" w14:textId="77777777" w:rsidR="001D5D34" w:rsidRPr="005C170B" w:rsidRDefault="001D5D34" w:rsidP="00054748">
      <w:pPr>
        <w:tabs>
          <w:tab w:val="left" w:pos="142"/>
          <w:tab w:val="left" w:pos="284"/>
        </w:tabs>
        <w:spacing w:after="0" w:line="276" w:lineRule="auto"/>
        <w:jc w:val="both"/>
        <w:rPr>
          <w:rFonts w:ascii="Verdana" w:eastAsia="Century Gothic" w:hAnsi="Verdana" w:cs="Century Gothic"/>
          <w:b/>
          <w:bCs/>
          <w:lang w:val="es-ES"/>
        </w:rPr>
      </w:pPr>
    </w:p>
    <w:p w14:paraId="7B1875EC" w14:textId="77777777" w:rsidR="00054748" w:rsidRPr="008F1106" w:rsidRDefault="00054748" w:rsidP="001005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106">
        <w:rPr>
          <w:rFonts w:ascii="Verdana" w:eastAsia="Century Gothic" w:hAnsi="Verdana" w:cs="Century Gothic"/>
          <w:b/>
          <w:bCs/>
        </w:rPr>
        <w:t>Razones de la respuesta:</w:t>
      </w:r>
    </w:p>
    <w:p w14:paraId="7470DF29" w14:textId="77777777" w:rsidR="00054748" w:rsidRPr="005C170B" w:rsidRDefault="00054748" w:rsidP="00054748">
      <w:pPr>
        <w:spacing w:after="0" w:line="276" w:lineRule="auto"/>
        <w:jc w:val="both"/>
        <w:rPr>
          <w:rFonts w:ascii="Verdana" w:eastAsia="Calibri" w:hAnsi="Verdana" w:cs="Arial"/>
          <w:color w:val="7030A0"/>
          <w:lang w:val="es-ES"/>
        </w:rPr>
      </w:pPr>
    </w:p>
    <w:p w14:paraId="292E0E9F" w14:textId="77777777" w:rsidR="00054748" w:rsidRPr="005C170B" w:rsidRDefault="00054748" w:rsidP="00054748">
      <w:pPr>
        <w:spacing w:after="0" w:line="276" w:lineRule="auto"/>
        <w:jc w:val="both"/>
        <w:rPr>
          <w:rFonts w:ascii="Verdana" w:eastAsia="Calibri" w:hAnsi="Verdana" w:cs="Arial"/>
          <w:lang w:val="es-ES"/>
        </w:rPr>
      </w:pPr>
      <w:r w:rsidRPr="005C170B">
        <w:rPr>
          <w:rFonts w:ascii="Verdana" w:eastAsia="Calibri" w:hAnsi="Verdana" w:cs="Arial"/>
          <w:lang w:val="es-ES"/>
        </w:rPr>
        <w:t xml:space="preserve">Lo anterior se sustenta en las siguientes consideraciones: </w:t>
      </w:r>
    </w:p>
    <w:p w14:paraId="74B006AC" w14:textId="77777777" w:rsidR="003F1BCC" w:rsidRPr="005C170B" w:rsidRDefault="003F1BCC">
      <w:pPr>
        <w:spacing w:after="0" w:line="276" w:lineRule="auto"/>
        <w:jc w:val="both"/>
        <w:rPr>
          <w:rFonts w:ascii="Verdana" w:eastAsia="Calibri" w:hAnsi="Verdana" w:cs="Arial"/>
          <w:lang w:val="es-ES"/>
        </w:rPr>
      </w:pPr>
    </w:p>
    <w:p w14:paraId="0F2C6754" w14:textId="612C9DC5" w:rsidR="007B7B08" w:rsidRDefault="00054748" w:rsidP="00C27470">
      <w:pPr>
        <w:spacing w:after="0" w:line="276" w:lineRule="auto"/>
        <w:ind w:firstLine="709"/>
        <w:jc w:val="both"/>
        <w:rPr>
          <w:rFonts w:ascii="Verdana" w:eastAsia="Arial" w:hAnsi="Verdana" w:cs="Arial"/>
          <w:bCs/>
          <w:color w:val="000000" w:themeColor="text1"/>
        </w:rPr>
      </w:pPr>
      <w:r w:rsidRPr="008D76CC">
        <w:rPr>
          <w:rFonts w:ascii="Verdana" w:eastAsia="Arial" w:hAnsi="Verdana" w:cs="Arial"/>
          <w:b/>
          <w:color w:val="000000" w:themeColor="text1"/>
        </w:rPr>
        <w:t>i.</w:t>
      </w:r>
      <w:r>
        <w:rPr>
          <w:rFonts w:ascii="Verdana" w:eastAsia="Arial" w:hAnsi="Verdana" w:cs="Arial"/>
          <w:bCs/>
          <w:color w:val="000000" w:themeColor="text1"/>
        </w:rPr>
        <w:t xml:space="preserve"> </w:t>
      </w:r>
      <w:r w:rsidR="000675E2" w:rsidRPr="000675E2">
        <w:rPr>
          <w:rFonts w:ascii="Verdana" w:eastAsia="Arial" w:hAnsi="Verdana" w:cs="Arial"/>
          <w:bCs/>
          <w:color w:val="000000" w:themeColor="text1"/>
        </w:rPr>
        <w:t xml:space="preserve">En primer lugar, debe señalarse que el régimen de contratación estatal colombiano se encuentra </w:t>
      </w:r>
      <w:r w:rsidR="00F63CDC">
        <w:rPr>
          <w:rFonts w:ascii="Verdana" w:eastAsia="Arial" w:hAnsi="Verdana" w:cs="Arial"/>
          <w:bCs/>
          <w:color w:val="000000" w:themeColor="text1"/>
        </w:rPr>
        <w:t>direccionado</w:t>
      </w:r>
      <w:r w:rsidR="000675E2" w:rsidRPr="000675E2">
        <w:rPr>
          <w:rFonts w:ascii="Verdana" w:eastAsia="Arial" w:hAnsi="Verdana" w:cs="Arial"/>
          <w:bCs/>
          <w:color w:val="000000" w:themeColor="text1"/>
        </w:rPr>
        <w:t xml:space="preserve"> por el principio de legalidad, conforme al cual todas las actuaciones de las entidades públicas deben desarrollarse dentro del marco de competencias establecido por la Constitución, la ley y el reglamento. Este principio adquiere especial relevancia en materia de selección </w:t>
      </w:r>
      <w:r w:rsidR="000675E2" w:rsidRPr="000675E2">
        <w:rPr>
          <w:rFonts w:ascii="Verdana" w:eastAsia="Arial" w:hAnsi="Verdana" w:cs="Arial"/>
          <w:bCs/>
          <w:color w:val="000000" w:themeColor="text1"/>
        </w:rPr>
        <w:lastRenderedPageBreak/>
        <w:t>de contratistas, puesto que</w:t>
      </w:r>
      <w:r w:rsidR="00F63CDC">
        <w:rPr>
          <w:rFonts w:ascii="Verdana" w:eastAsia="Arial" w:hAnsi="Verdana" w:cs="Arial"/>
          <w:bCs/>
          <w:color w:val="000000" w:themeColor="text1"/>
        </w:rPr>
        <w:t>,</w:t>
      </w:r>
      <w:r w:rsidR="000675E2" w:rsidRPr="000675E2">
        <w:rPr>
          <w:rFonts w:ascii="Verdana" w:eastAsia="Arial" w:hAnsi="Verdana" w:cs="Arial"/>
          <w:bCs/>
          <w:color w:val="000000" w:themeColor="text1"/>
        </w:rPr>
        <w:t xml:space="preserve"> la</w:t>
      </w:r>
      <w:r w:rsidR="006724F0">
        <w:rPr>
          <w:rFonts w:ascii="Verdana" w:eastAsia="Arial" w:hAnsi="Verdana" w:cs="Arial"/>
          <w:bCs/>
          <w:color w:val="000000" w:themeColor="text1"/>
        </w:rPr>
        <w:t xml:space="preserve"> aplicación de</w:t>
      </w:r>
      <w:r w:rsidR="000675E2" w:rsidRPr="000675E2">
        <w:rPr>
          <w:rFonts w:ascii="Verdana" w:eastAsia="Arial" w:hAnsi="Verdana" w:cs="Arial"/>
          <w:bCs/>
          <w:color w:val="000000" w:themeColor="text1"/>
        </w:rPr>
        <w:t xml:space="preserve"> condiciones de participación y los requisitos exigibles a los interesados no pueden quedar sometidos a la libre determinación de cada entidad, sino que deben fundarse en disposiciones normativas que los autoricen o en criterios objetivamente vinculados con la satisfacción de la necesidad contractual. </w:t>
      </w:r>
    </w:p>
    <w:p w14:paraId="77B3F7EC" w14:textId="77777777" w:rsidR="003148E3" w:rsidRDefault="003148E3" w:rsidP="003148E3">
      <w:pPr>
        <w:spacing w:after="0" w:line="276" w:lineRule="auto"/>
        <w:ind w:firstLine="709"/>
        <w:jc w:val="both"/>
        <w:rPr>
          <w:rFonts w:ascii="Verdana" w:eastAsia="Arial" w:hAnsi="Verdana" w:cs="Arial"/>
          <w:bCs/>
          <w:color w:val="000000" w:themeColor="text1"/>
        </w:rPr>
      </w:pPr>
    </w:p>
    <w:p w14:paraId="4E521BF6" w14:textId="77777777" w:rsidR="00B5789D" w:rsidRDefault="0020050D" w:rsidP="00B5789D">
      <w:pPr>
        <w:spacing w:after="120" w:line="276" w:lineRule="auto"/>
        <w:ind w:firstLine="709"/>
        <w:jc w:val="both"/>
        <w:rPr>
          <w:rFonts w:ascii="Verdana" w:eastAsia="Arial" w:hAnsi="Verdana" w:cs="Arial"/>
          <w:bCs/>
          <w:color w:val="000000" w:themeColor="text1"/>
        </w:rPr>
      </w:pPr>
      <w:r w:rsidRPr="0052473B">
        <w:rPr>
          <w:rFonts w:ascii="Verdana" w:eastAsia="Arial" w:hAnsi="Verdana" w:cs="Arial"/>
          <w:b/>
          <w:color w:val="000000" w:themeColor="text1"/>
        </w:rPr>
        <w:t>ii.</w:t>
      </w:r>
      <w:r>
        <w:rPr>
          <w:rFonts w:ascii="Verdana" w:eastAsia="Arial" w:hAnsi="Verdana" w:cs="Arial"/>
          <w:bCs/>
          <w:color w:val="000000" w:themeColor="text1"/>
        </w:rPr>
        <w:t xml:space="preserve"> </w:t>
      </w:r>
      <w:r w:rsidR="00425D4E">
        <w:rPr>
          <w:rFonts w:ascii="Verdana" w:eastAsia="Arial" w:hAnsi="Verdana" w:cs="Arial"/>
          <w:bCs/>
          <w:color w:val="000000" w:themeColor="text1"/>
        </w:rPr>
        <w:t>La</w:t>
      </w:r>
      <w:r w:rsidR="00425D4E" w:rsidRPr="00425D4E">
        <w:rPr>
          <w:rFonts w:ascii="Verdana" w:eastAsia="Arial" w:hAnsi="Verdana" w:cs="Arial"/>
          <w:bCs/>
          <w:color w:val="000000" w:themeColor="text1"/>
        </w:rPr>
        <w:t>s disposiciones contenidas en el capítulo relativo a la promoción de las Mipymes dentro del Decreto 1082 de 2015 tienen como finalidad materializar objetivos de política pública orientados a facilitar la participación de estas empresas en el mercado de compras públicas. Tales medidas responden al reconocimiento de las dificultades estructurales que enfrentan las micro, pequeñas y medianas empresas para competir con actores económicos de mayor capacidad financiera, técnica y operativa. Por esta razón, el ordenamiento jurídico incorpora instrumentos específicos destinados a garantizar una participación efectiva de este sector empresarial en los procedimientos de contratación estatal.</w:t>
      </w:r>
    </w:p>
    <w:p w14:paraId="487D5E61" w14:textId="24D5C4B2" w:rsidR="0001755B" w:rsidRPr="00425D4E" w:rsidRDefault="00B5789D" w:rsidP="00B5789D">
      <w:pPr>
        <w:spacing w:after="12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 xml:space="preserve">En concordancia con lo anterior, </w:t>
      </w:r>
      <w:r>
        <w:rPr>
          <w:rFonts w:ascii="Verdana" w:eastAsia="Calibri" w:hAnsi="Verdana" w:cs="Arial"/>
        </w:rPr>
        <w:t>e</w:t>
      </w:r>
      <w:r w:rsidR="00BA310B" w:rsidRPr="008C2148">
        <w:rPr>
          <w:rFonts w:ascii="Verdana" w:eastAsia="Calibri" w:hAnsi="Verdana" w:cs="Arial"/>
        </w:rPr>
        <w:t>l artículo 12 de la Ley 1150 de 2007, modificado por el artículo 34 de la Ley 2069 de 2020</w:t>
      </w:r>
      <w:r w:rsidR="00BA310B" w:rsidRPr="008C2148">
        <w:rPr>
          <w:rFonts w:ascii="Verdana" w:eastAsia="Calibri" w:hAnsi="Verdana" w:cs="Arial"/>
          <w:vertAlign w:val="superscript"/>
        </w:rPr>
        <w:footnoteReference w:id="2"/>
      </w:r>
      <w:r w:rsidR="00BA310B" w:rsidRPr="008C2148">
        <w:rPr>
          <w:rFonts w:ascii="Verdana" w:eastAsia="Calibri" w:hAnsi="Verdana" w:cs="Arial"/>
        </w:rPr>
        <w:t>, dispone</w:t>
      </w:r>
      <w:r w:rsidR="00BA310B" w:rsidRPr="003555E4">
        <w:rPr>
          <w:rFonts w:ascii="Verdana" w:eastAsia="Calibri" w:hAnsi="Verdana" w:cs="Arial"/>
        </w:rPr>
        <w:t xml:space="preserve"> que en desarrollo </w:t>
      </w:r>
      <w:r w:rsidR="00BA310B" w:rsidRPr="003555E4">
        <w:rPr>
          <w:rFonts w:ascii="Verdana" w:eastAsia="Calibri" w:hAnsi="Verdana" w:cs="Arial"/>
        </w:rPr>
        <w:lastRenderedPageBreak/>
        <w:t>de los Procesos de Contratación, las</w:t>
      </w:r>
      <w:r w:rsidR="0001755B">
        <w:rPr>
          <w:rFonts w:ascii="Verdana" w:eastAsia="Calibri" w:hAnsi="Verdana" w:cs="Arial"/>
        </w:rPr>
        <w:t xml:space="preserve"> </w:t>
      </w:r>
      <w:r w:rsidR="0001755B" w:rsidRPr="003555E4">
        <w:rPr>
          <w:rFonts w:ascii="Verdana" w:eastAsia="Calibri" w:hAnsi="Verdana" w:cs="Arial"/>
        </w:rPr>
        <w:t xml:space="preserve">Entidades Estatales indistintamente de su régimen de contratación, los patrimonios autónomos constituidos por Entidades Estatales y los particulares que ejecuten recursos públicos deberán desarrollar convocatorias limitadas a MiPymes en las que, previo a la expedición del acto de apertura del proceso respectivo, se haya manifestado el interés de por lo menos dos (2) MiPymes. Estas convocatorias fueron reglamentadas por </w:t>
      </w:r>
      <w:r w:rsidR="0001755B" w:rsidRPr="001E0D84">
        <w:rPr>
          <w:rFonts w:ascii="Verdana" w:eastAsia="Calibri" w:hAnsi="Verdana" w:cs="Arial"/>
        </w:rPr>
        <w:t>el artículo 5 del Decreto 1860 de 2021, el cual modificó los artículos 2.2.1.2.4.2.2, 2.2.1.2.4.2.3 y 2.2.1.2.4.2.4 del Decreto 1082 de 2015</w:t>
      </w:r>
      <w:r w:rsidR="0001755B" w:rsidRPr="001E0D84">
        <w:rPr>
          <w:rFonts w:ascii="Verdana" w:eastAsia="Calibri" w:hAnsi="Verdana" w:cs="Arial"/>
          <w:vertAlign w:val="superscript"/>
        </w:rPr>
        <w:footnoteReference w:id="3"/>
      </w:r>
      <w:r w:rsidR="0001755B" w:rsidRPr="001E0D84">
        <w:rPr>
          <w:rFonts w:ascii="Verdana" w:eastAsia="Calibri" w:hAnsi="Verdana" w:cs="Arial"/>
        </w:rPr>
        <w:t>.</w:t>
      </w:r>
      <w:r w:rsidR="0001755B" w:rsidRPr="003555E4">
        <w:rPr>
          <w:rFonts w:ascii="Verdana" w:eastAsia="Calibri" w:hAnsi="Verdana" w:cs="Arial"/>
        </w:rPr>
        <w:t xml:space="preserve"> </w:t>
      </w:r>
    </w:p>
    <w:p w14:paraId="366C1790" w14:textId="77777777" w:rsidR="00175917" w:rsidRPr="003555E4" w:rsidRDefault="0052473B" w:rsidP="00EC3DCF">
      <w:pPr>
        <w:spacing w:after="120" w:line="276" w:lineRule="auto"/>
        <w:ind w:firstLine="709"/>
        <w:jc w:val="both"/>
        <w:rPr>
          <w:rFonts w:ascii="Verdana" w:eastAsia="Calibri" w:hAnsi="Verdana" w:cs="Arial"/>
          <w:lang w:val="es-ES"/>
        </w:rPr>
      </w:pPr>
      <w:r w:rsidRPr="003555E4">
        <w:rPr>
          <w:rFonts w:ascii="Verdana" w:eastAsia="Calibri" w:hAnsi="Verdana" w:cs="Arial"/>
        </w:rPr>
        <w:lastRenderedPageBreak/>
        <w:t>De acuerdo con estas disposiciones, las Entidades Estales están llamadas a limitar los Procesos de Contratación que adelanten en todas las modalidades de selección a la participación exclusiva de MiPymes, de suerte que en este tipo de procesos quedan excluidos los proponentes que no acrediten un tamaño empresarial de micro, pequeña o mediana empresa de acuerdo con el artículo 2.2.1.13.2.2 del Decreto 1074 de 2015</w:t>
      </w:r>
      <w:r w:rsidRPr="003555E4">
        <w:rPr>
          <w:rFonts w:ascii="Verdana" w:eastAsia="Calibri" w:hAnsi="Verdana" w:cs="Arial"/>
          <w:vertAlign w:val="superscript"/>
        </w:rPr>
        <w:footnoteReference w:id="4"/>
      </w:r>
      <w:r w:rsidRPr="003555E4">
        <w:rPr>
          <w:rFonts w:ascii="Verdana" w:eastAsia="Calibri" w:hAnsi="Verdana" w:cs="Arial"/>
        </w:rPr>
        <w:t>.</w:t>
      </w:r>
      <w:r w:rsidR="00AE574C">
        <w:rPr>
          <w:rFonts w:ascii="Verdana" w:eastAsia="Calibri" w:hAnsi="Verdana" w:cs="Arial"/>
        </w:rPr>
        <w:t xml:space="preserve"> </w:t>
      </w:r>
      <w:r w:rsidR="00AE574C" w:rsidRPr="003555E4">
        <w:rPr>
          <w:rFonts w:ascii="Verdana" w:eastAsia="Calibri" w:hAnsi="Verdana" w:cs="Arial"/>
        </w:rPr>
        <w:t>En todo caso, de conformidad con</w:t>
      </w:r>
      <w:r w:rsidR="00AE574C" w:rsidRPr="003555E4">
        <w:rPr>
          <w:rFonts w:ascii="Verdana" w:eastAsia="Calibri" w:hAnsi="Verdana" w:cs="Arial"/>
          <w:lang w:val="es-ES"/>
        </w:rPr>
        <w:t xml:space="preserve"> el</w:t>
      </w:r>
      <w:r w:rsidR="00175917">
        <w:rPr>
          <w:rFonts w:ascii="Verdana" w:eastAsia="Calibri" w:hAnsi="Verdana" w:cs="Arial"/>
          <w:lang w:val="es-ES"/>
        </w:rPr>
        <w:t xml:space="preserve"> </w:t>
      </w:r>
      <w:r w:rsidR="00175917" w:rsidRPr="003555E4">
        <w:rPr>
          <w:rFonts w:ascii="Verdana" w:eastAsia="Calibri" w:hAnsi="Verdana" w:cs="Arial"/>
          <w:lang w:val="es-ES"/>
        </w:rPr>
        <w:t>artículo 2.2.1.2.4.2.2. del Decreto 1082 de 2015 en estos procesos solo podrán participar las MiPymes colombianas con mínimo un (1) año de existencia.</w:t>
      </w:r>
    </w:p>
    <w:p w14:paraId="6F2F27FD" w14:textId="56BE50A5" w:rsidR="00EC3DCF" w:rsidRPr="00FC5438" w:rsidRDefault="00144F0A" w:rsidP="00EC3DCF">
      <w:pPr>
        <w:spacing w:after="0" w:line="276" w:lineRule="auto"/>
        <w:ind w:firstLine="709"/>
        <w:jc w:val="both"/>
        <w:rPr>
          <w:rFonts w:ascii="Verdana" w:eastAsia="Arial" w:hAnsi="Verdana" w:cs="Arial"/>
          <w:color w:val="000000"/>
        </w:rPr>
      </w:pPr>
      <w:r w:rsidRPr="00144F0A">
        <w:rPr>
          <w:rFonts w:ascii="Verdana" w:eastAsia="Calibri" w:hAnsi="Verdana" w:cs="Arial"/>
          <w:b/>
          <w:bCs/>
          <w:lang w:val="es-ES"/>
        </w:rPr>
        <w:t>iii.</w:t>
      </w:r>
      <w:r>
        <w:rPr>
          <w:rFonts w:ascii="Verdana" w:eastAsia="Calibri" w:hAnsi="Verdana" w:cs="Arial"/>
          <w:lang w:val="es-ES"/>
        </w:rPr>
        <w:t xml:space="preserve"> </w:t>
      </w:r>
      <w:r w:rsidR="00EC3DCF" w:rsidRPr="003555E4">
        <w:rPr>
          <w:rFonts w:ascii="Verdana" w:eastAsia="Calibri" w:hAnsi="Verdana" w:cs="Arial"/>
          <w:lang w:val="es-ES"/>
        </w:rPr>
        <w:t xml:space="preserve">Sin perjuicio de lo anterior, para que una convocatoria se limite a la participación exclusiva de MiPymes deben cumplirse unos presupuestos </w:t>
      </w:r>
      <w:r w:rsidR="00EC3DCF" w:rsidRPr="003555E4">
        <w:rPr>
          <w:rFonts w:ascii="Verdana" w:eastAsia="Calibri" w:hAnsi="Verdana" w:cs="Arial"/>
          <w:lang w:val="es-ES"/>
        </w:rPr>
        <w:lastRenderedPageBreak/>
        <w:t>establecidos por el artículo 2.2.1.2.4.2.2. del Decreto 1082 de 2015.</w:t>
      </w:r>
      <w:r w:rsidR="00EC3DCF">
        <w:rPr>
          <w:rFonts w:ascii="Verdana" w:eastAsia="Calibri" w:hAnsi="Verdana" w:cs="Arial"/>
          <w:lang w:val="es-ES"/>
        </w:rPr>
        <w:t xml:space="preserve"> </w:t>
      </w:r>
      <w:r w:rsidR="00EC3DCF" w:rsidRPr="00FC5438">
        <w:rPr>
          <w:rFonts w:ascii="Verdana" w:eastAsia="Arial" w:hAnsi="Verdana" w:cs="Arial"/>
          <w:color w:val="000000"/>
        </w:rPr>
        <w:t xml:space="preserve">Al respecto </w:t>
      </w:r>
      <w:r w:rsidR="00EC3DCF">
        <w:rPr>
          <w:rFonts w:ascii="Verdana" w:eastAsia="Arial" w:hAnsi="Verdana" w:cs="Arial"/>
          <w:color w:val="000000"/>
        </w:rPr>
        <w:t xml:space="preserve">la norma </w:t>
      </w:r>
      <w:r w:rsidR="00EC3DCF" w:rsidRPr="00FC5438">
        <w:rPr>
          <w:rFonts w:ascii="Verdana" w:eastAsia="Arial" w:hAnsi="Verdana" w:cs="Arial"/>
          <w:color w:val="000000"/>
        </w:rPr>
        <w:t xml:space="preserve">indica lo siguiente: </w:t>
      </w:r>
    </w:p>
    <w:p w14:paraId="734C362E" w14:textId="77777777" w:rsidR="00B93F50" w:rsidRDefault="00B93F50" w:rsidP="00B93F50">
      <w:pPr>
        <w:spacing w:after="0" w:line="240" w:lineRule="auto"/>
        <w:ind w:left="709" w:right="709"/>
        <w:jc w:val="both"/>
        <w:rPr>
          <w:rFonts w:ascii="Verdana" w:eastAsia="Calibri" w:hAnsi="Verdana" w:cs="Arial"/>
          <w:sz w:val="21"/>
          <w:szCs w:val="21"/>
          <w:lang w:val="es-ES"/>
        </w:rPr>
      </w:pPr>
    </w:p>
    <w:p w14:paraId="6BDA764E" w14:textId="2375A51E" w:rsidR="00B93F50" w:rsidRPr="009F6918" w:rsidRDefault="00B93F50" w:rsidP="00B93F50">
      <w:pPr>
        <w:spacing w:after="0" w:line="240" w:lineRule="auto"/>
        <w:ind w:left="709" w:right="709"/>
        <w:jc w:val="both"/>
        <w:rPr>
          <w:rFonts w:ascii="Verdana" w:eastAsia="Calibri" w:hAnsi="Verdana" w:cs="Arial"/>
          <w:i/>
          <w:iCs/>
          <w:sz w:val="20"/>
          <w:szCs w:val="20"/>
          <w:lang w:val="es-ES"/>
        </w:rPr>
      </w:pPr>
      <w:r w:rsidRPr="009F6918">
        <w:rPr>
          <w:rFonts w:ascii="Verdana" w:eastAsia="Calibri" w:hAnsi="Verdana" w:cs="Arial"/>
          <w:i/>
          <w:iCs/>
          <w:sz w:val="20"/>
          <w:szCs w:val="20"/>
          <w:lang w:val="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36F97237" w14:textId="77777777" w:rsidR="00B93F50" w:rsidRPr="009F6918" w:rsidRDefault="00B93F50" w:rsidP="00B93F50">
      <w:pPr>
        <w:spacing w:after="0" w:line="240" w:lineRule="auto"/>
        <w:ind w:left="709" w:right="709"/>
        <w:jc w:val="both"/>
        <w:rPr>
          <w:rFonts w:ascii="Verdana" w:eastAsia="Calibri" w:hAnsi="Verdana" w:cs="Arial"/>
          <w:i/>
          <w:iCs/>
          <w:sz w:val="20"/>
          <w:szCs w:val="20"/>
          <w:lang w:val="es-ES_tradnl"/>
        </w:rPr>
      </w:pPr>
    </w:p>
    <w:p w14:paraId="190793B2" w14:textId="77777777" w:rsidR="00AE189B" w:rsidRPr="009F6918" w:rsidRDefault="00B93F50" w:rsidP="00AE189B">
      <w:pPr>
        <w:spacing w:after="120" w:line="240" w:lineRule="auto"/>
        <w:ind w:left="709" w:right="709"/>
        <w:jc w:val="both"/>
        <w:rPr>
          <w:rFonts w:ascii="Verdana" w:eastAsia="Calibri" w:hAnsi="Verdana" w:cs="Arial"/>
          <w:i/>
          <w:iCs/>
          <w:sz w:val="20"/>
          <w:szCs w:val="20"/>
          <w:lang w:val="es-ES_tradnl"/>
        </w:rPr>
      </w:pPr>
      <w:r w:rsidRPr="009F6918">
        <w:rPr>
          <w:rFonts w:ascii="Verdana" w:eastAsia="Calibri" w:hAnsi="Verdana" w:cs="Arial"/>
          <w:i/>
          <w:iCs/>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6B46F8D3" w14:textId="0BC07A2B" w:rsidR="002C376B" w:rsidRPr="009F6918" w:rsidRDefault="00B93F50" w:rsidP="002C376B">
      <w:pPr>
        <w:spacing w:after="0" w:line="240" w:lineRule="auto"/>
        <w:ind w:left="709" w:right="709"/>
        <w:jc w:val="both"/>
        <w:rPr>
          <w:rFonts w:ascii="Verdana" w:eastAsia="Calibri" w:hAnsi="Verdana" w:cs="Arial"/>
          <w:i/>
          <w:iCs/>
          <w:sz w:val="20"/>
          <w:szCs w:val="20"/>
          <w:lang w:val="es-ES"/>
        </w:rPr>
      </w:pPr>
      <w:r w:rsidRPr="009F6918">
        <w:rPr>
          <w:rFonts w:ascii="Verdana" w:eastAsia="Calibri" w:hAnsi="Verdana" w:cs="Arial"/>
          <w:i/>
          <w:iCs/>
          <w:sz w:val="20"/>
          <w:szCs w:val="20"/>
          <w:lang w:val="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w:t>
      </w:r>
      <w:r w:rsidR="002C376B" w:rsidRPr="009F6918">
        <w:rPr>
          <w:rFonts w:ascii="Verdana" w:eastAsia="Calibri" w:hAnsi="Verdana" w:cs="Arial"/>
          <w:i/>
          <w:iCs/>
          <w:sz w:val="20"/>
          <w:szCs w:val="20"/>
          <w:lang w:val="es-ES"/>
        </w:rPr>
        <w:t xml:space="preserve"> realizar Mipyme, cuyo objeto social les permita ejecutar el contrato relacionado con el proceso contractual.</w:t>
      </w:r>
    </w:p>
    <w:p w14:paraId="1CC4A686" w14:textId="77777777" w:rsidR="002C376B" w:rsidRPr="009F6918" w:rsidRDefault="002C376B" w:rsidP="002C376B">
      <w:pPr>
        <w:spacing w:after="0" w:line="240" w:lineRule="auto"/>
        <w:ind w:left="709" w:right="709"/>
        <w:jc w:val="both"/>
        <w:rPr>
          <w:rFonts w:ascii="Verdana" w:eastAsia="Calibri" w:hAnsi="Verdana" w:cs="Arial"/>
          <w:i/>
          <w:iCs/>
          <w:sz w:val="20"/>
          <w:szCs w:val="20"/>
          <w:lang w:val="es-ES"/>
        </w:rPr>
      </w:pPr>
      <w:r w:rsidRPr="009F6918">
        <w:rPr>
          <w:rFonts w:ascii="Verdana" w:eastAsia="Calibri" w:hAnsi="Verdana" w:cs="Arial"/>
          <w:i/>
          <w:iCs/>
          <w:sz w:val="20"/>
          <w:szCs w:val="20"/>
          <w:lang w:val="es-ES"/>
        </w:rPr>
        <w:t>Parágrafo. Las cooperativas y demás entidades de economía solidaria, siempre que tengan la calidad de Mipyme, podrán solicitar y participar en las convocatorias limitadas en las mismas condiciones dispuestas en el presente artículo”.</w:t>
      </w:r>
    </w:p>
    <w:p w14:paraId="4D677F5E" w14:textId="3F351D80" w:rsidR="0052473B" w:rsidRPr="009F6918" w:rsidRDefault="0052473B" w:rsidP="00AE189B">
      <w:pPr>
        <w:spacing w:after="120" w:line="240" w:lineRule="auto"/>
        <w:ind w:left="709" w:right="709"/>
        <w:jc w:val="both"/>
        <w:rPr>
          <w:rFonts w:ascii="Verdana" w:eastAsia="Calibri" w:hAnsi="Verdana" w:cs="Arial"/>
          <w:i/>
          <w:iCs/>
          <w:sz w:val="20"/>
          <w:szCs w:val="20"/>
          <w:lang w:val="es-ES_tradnl"/>
        </w:rPr>
      </w:pPr>
    </w:p>
    <w:p w14:paraId="582022A3" w14:textId="77777777" w:rsidR="008F7DFC" w:rsidRPr="00084CD2" w:rsidRDefault="00441E4A" w:rsidP="008F7DFC">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En consecuencia, </w:t>
      </w:r>
      <w:r w:rsidRPr="003555E4">
        <w:rPr>
          <w:rFonts w:ascii="Verdana" w:eastAsia="Calibri" w:hAnsi="Verdana" w:cs="Arial"/>
          <w:lang w:val="es-ES"/>
        </w:rPr>
        <w:t>para que una convocatoria se limite a la participación exclusiva de MiPymes deben cumplirse unos presupuestos establecidos por el artículo 2.2.1.2.4.2.2. del Decreto 1082 de 2015.</w:t>
      </w:r>
      <w:r w:rsidR="008F7DFC">
        <w:rPr>
          <w:rFonts w:ascii="Verdana" w:eastAsia="Calibri" w:hAnsi="Verdana" w:cs="Arial"/>
          <w:lang w:val="es-ES"/>
        </w:rPr>
        <w:t xml:space="preserve"> </w:t>
      </w:r>
      <w:r w:rsidR="008F7DFC" w:rsidRPr="003555E4">
        <w:rPr>
          <w:rFonts w:ascii="Verdana" w:eastAsia="Calibri" w:hAnsi="Verdana" w:cs="Arial"/>
          <w:lang w:val="es-ES"/>
        </w:rPr>
        <w:t xml:space="preserve">El primero de ellos es que el valor del proceso sea menor a ciento veinticinco mil dólares de los Estados Unidos de América (US$ 125.000), liquidados con la tasa de cambio que para el efecto determina cada dos años el Ministerio de Comercio, Industria y Turismo. En virtud de requisito establecido en el numeral 1 del artículo 2.2.1.2.4.2.2, no resulta </w:t>
      </w:r>
      <w:r w:rsidR="008F7DFC" w:rsidRPr="00084CD2">
        <w:rPr>
          <w:rFonts w:ascii="Verdana" w:eastAsia="Calibri" w:hAnsi="Verdana" w:cs="Arial"/>
          <w:lang w:val="es-ES"/>
        </w:rPr>
        <w:t>posible limitar a MiPymes procesos con un presupuesto oficial que rebasen el umbral indicado.</w:t>
      </w:r>
    </w:p>
    <w:p w14:paraId="4E6327CC" w14:textId="659BC6D5" w:rsidR="00AE595A" w:rsidRPr="00084CD2" w:rsidRDefault="00AE595A" w:rsidP="00AE595A">
      <w:pPr>
        <w:spacing w:after="120" w:line="276" w:lineRule="auto"/>
        <w:ind w:firstLine="709"/>
        <w:jc w:val="both"/>
        <w:rPr>
          <w:rFonts w:ascii="Verdana" w:eastAsia="Calibri" w:hAnsi="Verdana" w:cs="Arial"/>
          <w:lang w:val="es-ES"/>
        </w:rPr>
      </w:pPr>
      <w:r w:rsidRPr="00084CD2">
        <w:rPr>
          <w:rFonts w:ascii="Verdana" w:eastAsia="Arial" w:hAnsi="Verdana" w:cs="Arial"/>
          <w:color w:val="000000"/>
        </w:rPr>
        <w:t xml:space="preserve">Por su parte, el numeral segundo establece que al menos dos (2) </w:t>
      </w:r>
      <w:r w:rsidR="009F6918" w:rsidRPr="00084CD2">
        <w:rPr>
          <w:rFonts w:ascii="Verdana" w:eastAsia="Arial" w:hAnsi="Verdana" w:cs="Arial"/>
          <w:color w:val="000000"/>
        </w:rPr>
        <w:t>MIPYMES</w:t>
      </w:r>
      <w:r w:rsidRPr="00084CD2">
        <w:rPr>
          <w:rFonts w:ascii="Verdana" w:eastAsia="Arial" w:hAnsi="Verdana" w:cs="Arial"/>
          <w:color w:val="000000"/>
        </w:rPr>
        <w:t xml:space="preserve"> colombianas presenten a la entidad la solicitud de limitar el proceso contractual </w:t>
      </w:r>
      <w:r w:rsidRPr="00084CD2">
        <w:rPr>
          <w:rFonts w:ascii="Verdana" w:eastAsia="Arial" w:hAnsi="Verdana" w:cs="Arial"/>
          <w:color w:val="000000"/>
        </w:rPr>
        <w:lastRenderedPageBreak/>
        <w:t xml:space="preserve">y, por el otro, que hagan la solicitud por lo menos un día (1) hábil antes de la expedición del acto administrativo de apertura </w:t>
      </w:r>
      <w:r w:rsidRPr="00084CD2">
        <w:rPr>
          <w:rFonts w:ascii="Verdana" w:eastAsia="Arial" w:hAnsi="Verdana" w:cs="Arial"/>
          <w:color w:val="000000"/>
          <w:lang w:val="es-ES_tradnl"/>
        </w:rPr>
        <w:t>o el que haga sus veces de acuerdo con la normativa aplicable a cada Proceso de Contratación</w:t>
      </w:r>
      <w:r w:rsidRPr="00084CD2">
        <w:rPr>
          <w:rFonts w:ascii="Verdana" w:eastAsia="Arial" w:hAnsi="Verdana" w:cs="Arial"/>
          <w:color w:val="000000"/>
        </w:rPr>
        <w:t xml:space="preserve">. Asimismo, la norma señala que, </w:t>
      </w:r>
      <w:r w:rsidRPr="00084CD2">
        <w:rPr>
          <w:rFonts w:ascii="Verdana" w:eastAsia="Arial" w:hAnsi="Verdana" w:cs="Arial"/>
          <w:color w:val="000000"/>
          <w:lang w:val="es-ES_tradnl"/>
        </w:rPr>
        <w:t xml:space="preserve">tratándose de personas jurídicas, las solicitudes solo las podrán realizar Mipyme,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Mipyme, siempre que estas cumplan con las condiciones señaladas en el artículo. </w:t>
      </w:r>
    </w:p>
    <w:p w14:paraId="0AB791E5" w14:textId="63DD9FEE" w:rsidR="00C27470" w:rsidRDefault="00C27470" w:rsidP="003148E3">
      <w:pPr>
        <w:spacing w:after="0" w:line="276" w:lineRule="auto"/>
        <w:ind w:firstLine="709"/>
        <w:jc w:val="both"/>
        <w:rPr>
          <w:rFonts w:ascii="Verdana" w:eastAsia="Arial" w:hAnsi="Verdana" w:cs="Arial"/>
          <w:bCs/>
          <w:color w:val="000000" w:themeColor="text1"/>
        </w:rPr>
      </w:pPr>
    </w:p>
    <w:p w14:paraId="297BB7D0" w14:textId="3A7B6469" w:rsidR="00301B67" w:rsidRDefault="00495476" w:rsidP="00F52B54">
      <w:pPr>
        <w:spacing w:after="0" w:line="276" w:lineRule="auto"/>
        <w:ind w:firstLine="709"/>
        <w:jc w:val="both"/>
        <w:rPr>
          <w:rFonts w:ascii="Verdana" w:eastAsia="Arial" w:hAnsi="Verdana" w:cs="Arial"/>
          <w:bCs/>
          <w:color w:val="000000" w:themeColor="text1"/>
        </w:rPr>
      </w:pPr>
      <w:r w:rsidRPr="001268C0">
        <w:rPr>
          <w:rFonts w:ascii="Verdana" w:eastAsia="Arial" w:hAnsi="Verdana" w:cs="Arial"/>
          <w:b/>
          <w:color w:val="000000" w:themeColor="text1"/>
        </w:rPr>
        <w:t>iv</w:t>
      </w:r>
      <w:r>
        <w:rPr>
          <w:rFonts w:ascii="Verdana" w:eastAsia="Arial" w:hAnsi="Verdana" w:cs="Arial"/>
          <w:bCs/>
          <w:color w:val="000000" w:themeColor="text1"/>
        </w:rPr>
        <w:t xml:space="preserve">. Con respecto a su pregunta, </w:t>
      </w:r>
      <w:r w:rsidR="00FE1C78" w:rsidRPr="00FE1C78">
        <w:rPr>
          <w:rFonts w:ascii="Verdana" w:eastAsia="Arial" w:hAnsi="Verdana" w:cs="Arial"/>
          <w:bCs/>
          <w:color w:val="000000" w:themeColor="text1"/>
        </w:rPr>
        <w:t>es importante precisar que</w:t>
      </w:r>
      <w:r w:rsidR="00C55450">
        <w:rPr>
          <w:rFonts w:ascii="Verdana" w:eastAsia="Arial" w:hAnsi="Verdana" w:cs="Arial"/>
          <w:bCs/>
          <w:color w:val="000000" w:themeColor="text1"/>
        </w:rPr>
        <w:t>, d</w:t>
      </w:r>
      <w:r w:rsidR="00C55450" w:rsidRPr="00C55450">
        <w:rPr>
          <w:rFonts w:ascii="Verdana" w:eastAsia="Arial" w:hAnsi="Verdana" w:cs="Arial"/>
          <w:bCs/>
          <w:color w:val="000000" w:themeColor="text1"/>
        </w:rPr>
        <w:t>esde una perspectiva jurídica, la disposición</w:t>
      </w:r>
      <w:r w:rsidR="00C55450">
        <w:rPr>
          <w:rFonts w:ascii="Verdana" w:eastAsia="Arial" w:hAnsi="Verdana" w:cs="Arial"/>
          <w:bCs/>
          <w:color w:val="000000" w:themeColor="text1"/>
        </w:rPr>
        <w:t xml:space="preserve"> del </w:t>
      </w:r>
      <w:r w:rsidR="00F151FA">
        <w:rPr>
          <w:rFonts w:ascii="Verdana" w:eastAsia="Arial" w:hAnsi="Verdana" w:cs="Arial"/>
          <w:bCs/>
          <w:color w:val="000000" w:themeColor="text1"/>
        </w:rPr>
        <w:t xml:space="preserve">artículo </w:t>
      </w:r>
      <w:r w:rsidR="00F151FA" w:rsidRPr="00267882">
        <w:rPr>
          <w:rFonts w:ascii="Verdana" w:eastAsia="Arial" w:hAnsi="Verdana" w:cs="Arial"/>
          <w:bCs/>
          <w:color w:val="000000" w:themeColor="text1"/>
        </w:rPr>
        <w:t>2.2.1.2.4.2.2</w:t>
      </w:r>
      <w:r w:rsidR="00C55450" w:rsidRPr="00C55450">
        <w:rPr>
          <w:rFonts w:ascii="Verdana" w:eastAsia="Arial" w:hAnsi="Verdana" w:cs="Arial"/>
          <w:bCs/>
          <w:color w:val="000000" w:themeColor="text1"/>
        </w:rPr>
        <w:t xml:space="preserve"> configura una regla de aplicación condicionada, en la medida en que su operancia depende de la acreditación de determinados presupuestos normativos. Una vez verificados estos requisitos, la consecuencia jurídica prevista por la norma consiste en la limitación de la convocatoria a este segmento empresarial, sin que la entidad pueda desconocer dicha consecuencia por razones ajenas a las contempladas en el ordenamiento.</w:t>
      </w:r>
    </w:p>
    <w:p w14:paraId="0A44AA4A" w14:textId="77777777" w:rsidR="00BD6409" w:rsidRDefault="00BD6409" w:rsidP="00F52B54">
      <w:pPr>
        <w:spacing w:after="0" w:line="276" w:lineRule="auto"/>
        <w:ind w:firstLine="709"/>
        <w:jc w:val="both"/>
        <w:rPr>
          <w:rFonts w:ascii="Verdana" w:eastAsia="Arial" w:hAnsi="Verdana" w:cs="Arial"/>
          <w:bCs/>
          <w:color w:val="000000" w:themeColor="text1"/>
        </w:rPr>
      </w:pPr>
    </w:p>
    <w:p w14:paraId="182B7474" w14:textId="1AEF7664" w:rsidR="00F52B54" w:rsidRDefault="00BD6409" w:rsidP="00F52B54">
      <w:pPr>
        <w:spacing w:after="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D</w:t>
      </w:r>
      <w:r w:rsidRPr="00BD6409">
        <w:rPr>
          <w:rFonts w:ascii="Verdana" w:eastAsia="Arial" w:hAnsi="Verdana" w:cs="Arial"/>
          <w:bCs/>
          <w:color w:val="000000" w:themeColor="text1"/>
        </w:rPr>
        <w:t>ebe advertirse que la interpretación según la cual la entidad podría decidir libremente si limita o no una convocatoria a Mipymes aun cuando se encuentren acreditadas las condiciones previstas en la norma reglamentaria resultaría incompatible con el principio de legalidad administrativa. En efecto, aceptar una discrecionalidad absoluta en esta materia equivaldría a convertir en facultativa una medida que el reglamento estructuró como un mecanismo de promoción sujeto al cumplimiento de requisitos específicos, vaciando de contenido la finalidad perseguida por la disposición.</w:t>
      </w:r>
    </w:p>
    <w:p w14:paraId="0753EFAD" w14:textId="77777777" w:rsidR="00F52B54" w:rsidRDefault="00F52B54" w:rsidP="00F52B54">
      <w:pPr>
        <w:spacing w:after="0" w:line="276" w:lineRule="auto"/>
        <w:ind w:firstLine="709"/>
        <w:jc w:val="both"/>
        <w:rPr>
          <w:rFonts w:ascii="Verdana" w:eastAsia="Arial" w:hAnsi="Verdana" w:cs="Arial"/>
          <w:bCs/>
          <w:color w:val="000000" w:themeColor="text1"/>
        </w:rPr>
      </w:pPr>
    </w:p>
    <w:p w14:paraId="3F297295" w14:textId="0245D47D" w:rsidR="00F52B54" w:rsidRDefault="00BE68E7" w:rsidP="00F52B54">
      <w:pPr>
        <w:spacing w:after="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 xml:space="preserve">Así, </w:t>
      </w:r>
      <w:r w:rsidRPr="00BE68E7">
        <w:rPr>
          <w:rFonts w:ascii="Verdana" w:eastAsia="Arial" w:hAnsi="Verdana" w:cs="Arial"/>
          <w:bCs/>
          <w:color w:val="000000" w:themeColor="text1"/>
        </w:rPr>
        <w:t>la regulación distingue claramente entre la limitación de la convocatoria a Mipymes y la limitación territorial de dicha convocatoria. Aunque ambas figuras se encuentran orientadas al fortalecimiento empresarial, poseen naturaleza jurídica, alcance y presupuestos diferentes. La primera busca promover la participación de las micro, pequeñas y medianas empresas en general; la segunda pretende favorecer adicionalmente a aquellas que tienen presencia o domicilio en determinadas regiones del país.</w:t>
      </w:r>
    </w:p>
    <w:p w14:paraId="6B8D3718" w14:textId="77777777" w:rsidR="00F52B54" w:rsidRDefault="00F52B54" w:rsidP="00F52B54">
      <w:pPr>
        <w:spacing w:after="0" w:line="276" w:lineRule="auto"/>
        <w:ind w:firstLine="709"/>
        <w:jc w:val="both"/>
        <w:rPr>
          <w:rFonts w:ascii="Verdana" w:eastAsia="Arial" w:hAnsi="Verdana" w:cs="Arial"/>
          <w:bCs/>
          <w:color w:val="000000" w:themeColor="text1"/>
        </w:rPr>
      </w:pPr>
    </w:p>
    <w:p w14:paraId="05B333C4" w14:textId="18C6F07F" w:rsidR="001C1E35" w:rsidRDefault="00D93290" w:rsidP="00F52B54">
      <w:pPr>
        <w:spacing w:after="0" w:line="276" w:lineRule="auto"/>
        <w:ind w:firstLine="709"/>
        <w:jc w:val="both"/>
        <w:rPr>
          <w:rFonts w:ascii="Verdana" w:eastAsia="Arial" w:hAnsi="Verdana" w:cs="Arial"/>
          <w:bCs/>
          <w:color w:val="000000" w:themeColor="text1"/>
        </w:rPr>
      </w:pPr>
      <w:r w:rsidRPr="007937B7">
        <w:rPr>
          <w:rFonts w:ascii="Verdana" w:eastAsia="Arial" w:hAnsi="Verdana" w:cs="Arial"/>
          <w:b/>
          <w:color w:val="000000" w:themeColor="text1"/>
        </w:rPr>
        <w:lastRenderedPageBreak/>
        <w:t>vi.</w:t>
      </w:r>
      <w:r w:rsidRPr="007937B7">
        <w:rPr>
          <w:rFonts w:ascii="Verdana" w:eastAsia="Arial" w:hAnsi="Verdana" w:cs="Arial"/>
          <w:bCs/>
          <w:color w:val="000000" w:themeColor="text1"/>
        </w:rPr>
        <w:t xml:space="preserve"> </w:t>
      </w:r>
      <w:r w:rsidR="00282002" w:rsidRPr="007937B7">
        <w:rPr>
          <w:rFonts w:ascii="Verdana" w:eastAsia="Arial" w:hAnsi="Verdana" w:cs="Arial"/>
          <w:bCs/>
          <w:color w:val="000000" w:themeColor="text1"/>
        </w:rPr>
        <w:t>Siguiendo con lo anterior</w:t>
      </w:r>
      <w:r w:rsidRPr="007937B7">
        <w:rPr>
          <w:rFonts w:ascii="Verdana" w:eastAsia="Arial" w:hAnsi="Verdana" w:cs="Arial"/>
          <w:bCs/>
          <w:color w:val="000000" w:themeColor="text1"/>
        </w:rPr>
        <w:t>, el artículo 2.2.1.2.4.2.3 del Decreto 1082 de 2015 establece que la entidad estatal puede limitar la convocatoria a Mipymes domiciliadas en determinados departamentos o municipios. El empleo de esta técnica normativa evidencia que el reglamento reconoce una potestad para la entidad y no una obligación jurídica equivalente a la prevista para la limitación general a Mipymes. Por consiguiente, la procedencia de esta medida depende de una decisión adoptada por la entidad dentro de su proceso de planeación contractual.</w:t>
      </w:r>
      <w:r w:rsidR="00AF3A3E">
        <w:rPr>
          <w:rFonts w:ascii="Verdana" w:eastAsia="Arial" w:hAnsi="Verdana" w:cs="Arial"/>
          <w:bCs/>
          <w:color w:val="000000" w:themeColor="text1"/>
        </w:rPr>
        <w:t xml:space="preserve"> </w:t>
      </w:r>
    </w:p>
    <w:p w14:paraId="225CA0D4" w14:textId="47438E34" w:rsidR="00F52B54" w:rsidRDefault="00AF3A3E" w:rsidP="00F52B54">
      <w:pPr>
        <w:spacing w:after="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En este punto debe tenerse en cuenta que,</w:t>
      </w:r>
      <w:r w:rsidR="00627DD0">
        <w:rPr>
          <w:rFonts w:ascii="Verdana" w:eastAsia="Arial" w:hAnsi="Verdana" w:cs="Arial"/>
          <w:bCs/>
          <w:color w:val="000000" w:themeColor="text1"/>
        </w:rPr>
        <w:t xml:space="preserve"> </w:t>
      </w:r>
      <w:r w:rsidR="001C1E35" w:rsidRPr="001C1E35">
        <w:rPr>
          <w:rFonts w:ascii="Verdana" w:eastAsia="Arial" w:hAnsi="Verdana" w:cs="Arial"/>
          <w:bCs/>
          <w:color w:val="000000" w:themeColor="text1"/>
        </w:rPr>
        <w:t>la finalidad de la limitación territorial consiste en fortalecer economías locales o regionales y favorecer la participación de empresas que desarrollan efectivamente su actividad económica en el lugar donde se ejecutará el contrato. Sin embargo, la consecución de este objetivo puede resultar más o menos relevante dependiendo de las características de cada proceso contractual. Por ello, el reglamento no impone de manera obligatoria esta restricción adicional, sino que deja su adopción al análisis que efectúe la entidad estatal.</w:t>
      </w:r>
    </w:p>
    <w:p w14:paraId="5554D8E1" w14:textId="77777777" w:rsidR="00F52B54" w:rsidRDefault="00F52B54" w:rsidP="00F52B54">
      <w:pPr>
        <w:spacing w:after="0" w:line="276" w:lineRule="auto"/>
        <w:ind w:firstLine="709"/>
        <w:jc w:val="both"/>
        <w:rPr>
          <w:rFonts w:ascii="Verdana" w:eastAsia="Arial" w:hAnsi="Verdana" w:cs="Arial"/>
          <w:bCs/>
          <w:color w:val="000000" w:themeColor="text1"/>
        </w:rPr>
      </w:pPr>
    </w:p>
    <w:p w14:paraId="62E3DA12" w14:textId="278AC2FC" w:rsidR="00F52B54" w:rsidRDefault="00003541" w:rsidP="00F52B54">
      <w:pPr>
        <w:spacing w:after="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 xml:space="preserve">Por lo tanto, </w:t>
      </w:r>
      <w:r w:rsidRPr="00003541">
        <w:rPr>
          <w:rFonts w:ascii="Verdana" w:eastAsia="Arial" w:hAnsi="Verdana" w:cs="Arial"/>
          <w:bCs/>
          <w:color w:val="000000" w:themeColor="text1"/>
        </w:rPr>
        <w:t xml:space="preserve">la existencia de una facultad para limitar territorialmente la convocatoria no puede interpretarse como una facultad para abstenerse de aplicar la limitación general a Mipymes. Ambas medidas operan en planos distintos y responden a presupuestos normativos diferentes. Mientras la primera constituye una consecuencia derivada del cumplimiento de las condiciones previstas en el artículo 2.2.1.2.4.2.2, la segunda </w:t>
      </w:r>
      <w:r w:rsidR="00466A1C">
        <w:rPr>
          <w:rFonts w:ascii="Verdana" w:eastAsia="Arial" w:hAnsi="Verdana" w:cs="Arial"/>
          <w:bCs/>
          <w:color w:val="000000" w:themeColor="text1"/>
        </w:rPr>
        <w:t>(</w:t>
      </w:r>
      <w:r w:rsidR="00952228">
        <w:rPr>
          <w:rFonts w:ascii="Verdana" w:eastAsia="Arial" w:hAnsi="Verdana" w:cs="Arial"/>
          <w:bCs/>
          <w:color w:val="000000" w:themeColor="text1"/>
        </w:rPr>
        <w:t>Artículo</w:t>
      </w:r>
      <w:r w:rsidR="00466A1C" w:rsidRPr="00466A1C">
        <w:rPr>
          <w:rFonts w:ascii="Verdana" w:eastAsia="Arial" w:hAnsi="Verdana" w:cs="Arial"/>
          <w:bCs/>
          <w:color w:val="000000" w:themeColor="text1"/>
        </w:rPr>
        <w:t xml:space="preserve"> 2.2.1.2.4.2.3.</w:t>
      </w:r>
      <w:r w:rsidR="00466A1C">
        <w:rPr>
          <w:rFonts w:ascii="Verdana" w:eastAsia="Arial" w:hAnsi="Verdana" w:cs="Arial"/>
          <w:bCs/>
          <w:color w:val="000000" w:themeColor="text1"/>
        </w:rPr>
        <w:t xml:space="preserve">) </w:t>
      </w:r>
      <w:r w:rsidRPr="00003541">
        <w:rPr>
          <w:rFonts w:ascii="Verdana" w:eastAsia="Arial" w:hAnsi="Verdana" w:cs="Arial"/>
          <w:bCs/>
          <w:color w:val="000000" w:themeColor="text1"/>
        </w:rPr>
        <w:t>corresponde a una decisión adicional que puede o no ser incorporada por la entidad estatal.</w:t>
      </w:r>
    </w:p>
    <w:p w14:paraId="74D0364A" w14:textId="77777777" w:rsidR="00003541" w:rsidRDefault="00003541" w:rsidP="00F52B54">
      <w:pPr>
        <w:spacing w:after="0" w:line="276" w:lineRule="auto"/>
        <w:ind w:firstLine="709"/>
        <w:jc w:val="both"/>
        <w:rPr>
          <w:rFonts w:ascii="Verdana" w:eastAsia="Arial" w:hAnsi="Verdana" w:cs="Arial"/>
          <w:bCs/>
          <w:color w:val="000000" w:themeColor="text1"/>
        </w:rPr>
      </w:pPr>
    </w:p>
    <w:p w14:paraId="3CDCE816" w14:textId="09525D69" w:rsidR="00F52B54" w:rsidRDefault="00003541" w:rsidP="00F52B54">
      <w:pPr>
        <w:spacing w:after="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L</w:t>
      </w:r>
      <w:r w:rsidRPr="00003541">
        <w:rPr>
          <w:rFonts w:ascii="Verdana" w:eastAsia="Arial" w:hAnsi="Verdana" w:cs="Arial"/>
          <w:bCs/>
          <w:color w:val="000000" w:themeColor="text1"/>
        </w:rPr>
        <w:t>a correcta interpretación sistemática de los artículos 2.2.1.2.4.2.2 y 2.2.1.2.4.2.3 del Decreto 1082 de 2015 exige reconocer que ambos cumplen funciones complementarias pero autónomas. El primero determina cuándo procede limitar una convocatoria a Mipymes; el segundo establece la posibilidad de restringir aún más el universo de participantes mediante un criterio territorial. De esta manera, la aplicación del segundo artículo presupone la existencia de una convocatoria previamente limitada a Mipymes, pero no constituye un requisito para la aplicación del primero.</w:t>
      </w:r>
      <w:r w:rsidR="00FD0113">
        <w:rPr>
          <w:rFonts w:ascii="Verdana" w:eastAsia="Arial" w:hAnsi="Verdana" w:cs="Arial"/>
          <w:bCs/>
          <w:color w:val="000000" w:themeColor="text1"/>
        </w:rPr>
        <w:t xml:space="preserve"> Así, </w:t>
      </w:r>
      <w:r w:rsidR="00FD0113" w:rsidRPr="00FD0113">
        <w:rPr>
          <w:rFonts w:ascii="Verdana" w:eastAsia="Arial" w:hAnsi="Verdana" w:cs="Arial"/>
          <w:bCs/>
          <w:color w:val="000000" w:themeColor="text1"/>
        </w:rPr>
        <w:t xml:space="preserve">una interpretación diferente conduciría a confundir dos </w:t>
      </w:r>
      <w:r w:rsidR="002A7D0D">
        <w:rPr>
          <w:rFonts w:ascii="Verdana" w:eastAsia="Arial" w:hAnsi="Verdana" w:cs="Arial"/>
          <w:bCs/>
          <w:color w:val="000000" w:themeColor="text1"/>
        </w:rPr>
        <w:t>disposiciones</w:t>
      </w:r>
      <w:r w:rsidR="00FD0113" w:rsidRPr="00FD0113">
        <w:rPr>
          <w:rFonts w:ascii="Verdana" w:eastAsia="Arial" w:hAnsi="Verdana" w:cs="Arial"/>
          <w:bCs/>
          <w:color w:val="000000" w:themeColor="text1"/>
        </w:rPr>
        <w:t xml:space="preserve"> jurídicas distintas y podría generar restricciones injustificadas a la participación de empresas que, aunque cumplen </w:t>
      </w:r>
      <w:r w:rsidR="00FD0113" w:rsidRPr="00FD0113">
        <w:rPr>
          <w:rFonts w:ascii="Verdana" w:eastAsia="Arial" w:hAnsi="Verdana" w:cs="Arial"/>
          <w:bCs/>
          <w:color w:val="000000" w:themeColor="text1"/>
        </w:rPr>
        <w:lastRenderedPageBreak/>
        <w:t>la condición de Mipyme, no se encuentran domiciliadas en el territorio seleccionado por la entidad. Precisamente por esta razón el reglamento reservó a la entidad la valoración sobre la conveniencia y pertinencia de establecer o no una delimitación geográfica adicional.</w:t>
      </w:r>
    </w:p>
    <w:p w14:paraId="3060DC45" w14:textId="77777777" w:rsidR="002A7D0D" w:rsidRDefault="002A7D0D" w:rsidP="00F52B54">
      <w:pPr>
        <w:spacing w:after="0" w:line="276" w:lineRule="auto"/>
        <w:ind w:firstLine="709"/>
        <w:jc w:val="both"/>
        <w:rPr>
          <w:rFonts w:ascii="Verdana" w:eastAsia="Arial" w:hAnsi="Verdana" w:cs="Arial"/>
          <w:bCs/>
          <w:color w:val="000000" w:themeColor="text1"/>
        </w:rPr>
      </w:pPr>
    </w:p>
    <w:p w14:paraId="06546089" w14:textId="4960CBFA" w:rsidR="002A7D0D" w:rsidRDefault="002A7D0D" w:rsidP="00F52B54">
      <w:pPr>
        <w:spacing w:after="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Finalmente, corresponde a cada entidad estatal</w:t>
      </w:r>
      <w:r w:rsidR="00034FE9">
        <w:rPr>
          <w:rFonts w:ascii="Verdana" w:eastAsia="Arial" w:hAnsi="Verdana" w:cs="Arial"/>
          <w:bCs/>
          <w:color w:val="000000" w:themeColor="text1"/>
        </w:rPr>
        <w:t xml:space="preserve"> durante la etapa de planeación contractual, </w:t>
      </w:r>
      <w:r w:rsidR="00034FE9" w:rsidRPr="00034FE9">
        <w:rPr>
          <w:rFonts w:ascii="Verdana" w:eastAsia="Arial" w:hAnsi="Verdana" w:cs="Arial"/>
          <w:bCs/>
          <w:color w:val="000000" w:themeColor="text1"/>
        </w:rPr>
        <w:t>analizar si concurren los requisitos exigidos para limitar la convocatoria a Mipymes y, de manera independiente, evaluar si existen razones que justifiquen la adopción de una limitación territorial. Estas decisiones responden a análisis jurídicos diferentes y deben quedar debidamente reflejadas en los documentos del proceso, garantizando la transparencia y la adecuada motivación de las actuaciones administrativas.</w:t>
      </w:r>
    </w:p>
    <w:p w14:paraId="3D482766" w14:textId="77777777" w:rsidR="00C27470" w:rsidRDefault="00C27470" w:rsidP="006B0734">
      <w:pPr>
        <w:spacing w:after="0" w:line="276" w:lineRule="auto"/>
        <w:jc w:val="both"/>
        <w:rPr>
          <w:rFonts w:ascii="Verdana" w:hAnsi="Verdana" w:cs="Arial"/>
        </w:rPr>
      </w:pPr>
    </w:p>
    <w:p w14:paraId="7BA3EC3D" w14:textId="5D3C6D1F" w:rsidR="00054748" w:rsidRDefault="006B0734" w:rsidP="003148E3">
      <w:pPr>
        <w:spacing w:after="0" w:line="276" w:lineRule="auto"/>
        <w:ind w:firstLine="709"/>
        <w:jc w:val="both"/>
        <w:rPr>
          <w:rFonts w:ascii="Verdana" w:eastAsia="Calibri" w:hAnsi="Verdana" w:cs="Arial"/>
          <w:bCs/>
          <w:color w:val="000000" w:themeColor="text1"/>
        </w:rPr>
      </w:pPr>
      <w:r w:rsidRPr="007937B7">
        <w:rPr>
          <w:rFonts w:ascii="Verdana" w:eastAsia="Calibri" w:hAnsi="Verdana" w:cs="Arial"/>
          <w:b/>
          <w:color w:val="000000" w:themeColor="text1"/>
        </w:rPr>
        <w:t>vii.</w:t>
      </w:r>
      <w:r w:rsidR="00301B67" w:rsidRPr="007937B7">
        <w:rPr>
          <w:rFonts w:ascii="Verdana" w:eastAsia="Calibri" w:hAnsi="Verdana" w:cs="Arial"/>
          <w:bCs/>
          <w:color w:val="000000" w:themeColor="text1"/>
        </w:rPr>
        <w:t xml:space="preserve"> </w:t>
      </w:r>
      <w:r w:rsidR="00054748" w:rsidRPr="007937B7">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w:t>
      </w:r>
      <w:r w:rsidR="00054748" w:rsidRPr="00CC6EA4">
        <w:rPr>
          <w:rFonts w:ascii="Verdana" w:eastAsia="Calibri" w:hAnsi="Verdana" w:cs="Arial"/>
          <w:bCs/>
          <w:color w:val="000000" w:themeColor="text1"/>
        </w:rPr>
        <w:t xml:space="preserve">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DD8B0EF" w14:textId="77777777" w:rsidR="003148E3" w:rsidRPr="003148E3" w:rsidRDefault="003148E3" w:rsidP="003148E3">
      <w:pPr>
        <w:spacing w:after="0" w:line="276" w:lineRule="auto"/>
        <w:ind w:firstLine="709"/>
        <w:jc w:val="both"/>
        <w:rPr>
          <w:rFonts w:ascii="Verdana" w:hAnsi="Verdana" w:cs="Arial"/>
        </w:rPr>
      </w:pPr>
    </w:p>
    <w:p w14:paraId="5AAAE635" w14:textId="77777777" w:rsidR="00054748" w:rsidRPr="005C170B" w:rsidRDefault="00054748" w:rsidP="00054748">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94E5771" w14:textId="77777777" w:rsidR="00054748" w:rsidRPr="005C170B" w:rsidRDefault="00054748" w:rsidP="00054748">
      <w:pPr>
        <w:widowControl w:val="0"/>
        <w:autoSpaceDE w:val="0"/>
        <w:autoSpaceDN w:val="0"/>
        <w:spacing w:after="0" w:line="276" w:lineRule="auto"/>
        <w:jc w:val="both"/>
        <w:rPr>
          <w:rFonts w:ascii="Verdana" w:hAnsi="Verdana" w:cs="Arial"/>
        </w:rPr>
      </w:pPr>
    </w:p>
    <w:p w14:paraId="52FA1F1F" w14:textId="39337FA1" w:rsidR="00054748" w:rsidRPr="00373DB2" w:rsidRDefault="00054748" w:rsidP="001005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Referencias normativas, jurisprudenciales y otras fuentes:</w:t>
      </w:r>
    </w:p>
    <w:p w14:paraId="07B41696" w14:textId="77777777" w:rsidR="008A08C2" w:rsidRPr="008A08C2" w:rsidRDefault="008A08C2" w:rsidP="00027F9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54748" w:rsidRPr="005C170B" w14:paraId="05CB934C" w14:textId="77777777" w:rsidTr="00CB1843">
        <w:trPr>
          <w:trHeight w:val="870"/>
        </w:trPr>
        <w:tc>
          <w:tcPr>
            <w:tcW w:w="8647" w:type="dxa"/>
          </w:tcPr>
          <w:p w14:paraId="0B784E91" w14:textId="4DBBB029" w:rsidR="00332110" w:rsidRPr="00332110" w:rsidRDefault="00332110" w:rsidP="00332110">
            <w:pPr>
              <w:pStyle w:val="Prrafodelista"/>
              <w:numPr>
                <w:ilvl w:val="0"/>
                <w:numId w:val="18"/>
              </w:numPr>
              <w:rPr>
                <w:rFonts w:ascii="Verdana" w:eastAsia="Times New Roman" w:hAnsi="Verdana" w:cs="Times New Roman"/>
                <w:lang w:val="es-CO" w:eastAsia="es-CO"/>
              </w:rPr>
            </w:pPr>
            <w:r w:rsidRPr="00332110">
              <w:rPr>
                <w:rFonts w:ascii="Verdana" w:eastAsia="Times New Roman" w:hAnsi="Verdana" w:cs="Times New Roman"/>
                <w:lang w:val="es-CO" w:eastAsia="es-CO"/>
              </w:rPr>
              <w:lastRenderedPageBreak/>
              <w:t xml:space="preserve">Decreto 1082 de 2015, artículos 2.2.1.2.4.2.2, 2.2.1.2.4.2.3, </w:t>
            </w:r>
            <w:r w:rsidR="007937B7">
              <w:rPr>
                <w:rFonts w:ascii="Verdana" w:eastAsia="Arial" w:hAnsi="Verdana" w:cs="Arial"/>
                <w:bCs/>
                <w:color w:val="000000" w:themeColor="text1"/>
              </w:rPr>
              <w:t>Artículo</w:t>
            </w:r>
            <w:r w:rsidR="007937B7" w:rsidRPr="00466A1C">
              <w:rPr>
                <w:rFonts w:ascii="Verdana" w:eastAsia="Arial" w:hAnsi="Verdana" w:cs="Arial"/>
                <w:bCs/>
                <w:color w:val="000000" w:themeColor="text1"/>
              </w:rPr>
              <w:t xml:space="preserve"> 2.2.1.2.4.2.3</w:t>
            </w:r>
            <w:r w:rsidR="007937B7">
              <w:rPr>
                <w:rFonts w:ascii="Verdana" w:eastAsia="Arial" w:hAnsi="Verdana" w:cs="Arial"/>
                <w:bCs/>
                <w:color w:val="000000" w:themeColor="text1"/>
              </w:rPr>
              <w:t>.</w:t>
            </w:r>
          </w:p>
          <w:p w14:paraId="5B0D60A6" w14:textId="77777777" w:rsidR="00503E8D" w:rsidRPr="00503E8D" w:rsidRDefault="00503E8D" w:rsidP="00503E8D">
            <w:pPr>
              <w:numPr>
                <w:ilvl w:val="0"/>
                <w:numId w:val="18"/>
              </w:numPr>
              <w:spacing w:before="100" w:beforeAutospacing="1" w:after="100" w:afterAutospacing="1"/>
              <w:rPr>
                <w:rFonts w:ascii="Verdana" w:eastAsia="Times New Roman" w:hAnsi="Verdana" w:cs="Times New Roman"/>
                <w:lang w:eastAsia="es-CO"/>
              </w:rPr>
            </w:pPr>
            <w:r w:rsidRPr="00503E8D">
              <w:rPr>
                <w:rFonts w:ascii="Verdana" w:eastAsia="Times New Roman" w:hAnsi="Verdana" w:cs="Times New Roman"/>
                <w:lang w:eastAsia="es-CO"/>
              </w:rPr>
              <w:t>Ley 1150 de 2007, Artículo 12.</w:t>
            </w:r>
          </w:p>
          <w:p w14:paraId="2B41AAEE" w14:textId="77777777" w:rsidR="00503E8D" w:rsidRPr="00503E8D" w:rsidRDefault="00503E8D" w:rsidP="00503E8D">
            <w:pPr>
              <w:numPr>
                <w:ilvl w:val="0"/>
                <w:numId w:val="18"/>
              </w:numPr>
              <w:spacing w:before="100" w:beforeAutospacing="1" w:after="100" w:afterAutospacing="1"/>
              <w:rPr>
                <w:rFonts w:ascii="Verdana" w:eastAsia="Times New Roman" w:hAnsi="Verdana" w:cs="Times New Roman"/>
                <w:lang w:eastAsia="es-CO"/>
              </w:rPr>
            </w:pPr>
            <w:r w:rsidRPr="00503E8D">
              <w:rPr>
                <w:rFonts w:ascii="Verdana" w:eastAsia="Times New Roman" w:hAnsi="Verdana" w:cs="Times New Roman"/>
                <w:lang w:eastAsia="es-CO"/>
              </w:rPr>
              <w:t>Ley 2069 de 2020, artículo 34.</w:t>
            </w:r>
          </w:p>
          <w:p w14:paraId="4385F9C3" w14:textId="394151CF" w:rsidR="00054748" w:rsidRPr="009F6918" w:rsidRDefault="00503E8D" w:rsidP="009F6918">
            <w:pPr>
              <w:numPr>
                <w:ilvl w:val="0"/>
                <w:numId w:val="18"/>
              </w:numPr>
              <w:spacing w:before="100" w:beforeAutospacing="1" w:after="100" w:afterAutospacing="1"/>
              <w:rPr>
                <w:rFonts w:ascii="Verdana" w:eastAsia="Times New Roman" w:hAnsi="Verdana" w:cs="Times New Roman"/>
                <w:lang w:eastAsia="es-CO"/>
              </w:rPr>
            </w:pPr>
            <w:r w:rsidRPr="00503E8D">
              <w:rPr>
                <w:rFonts w:ascii="Verdana" w:eastAsia="Times New Roman" w:hAnsi="Verdana" w:cs="Times New Roman"/>
                <w:lang w:eastAsia="es-CO"/>
              </w:rPr>
              <w:t>Decreto 1860 de 2021, artículo 5.</w:t>
            </w:r>
          </w:p>
        </w:tc>
      </w:tr>
    </w:tbl>
    <w:p w14:paraId="6DDE7BD6" w14:textId="77777777" w:rsidR="00054748" w:rsidRPr="005C170B" w:rsidRDefault="00054748" w:rsidP="00054748">
      <w:pPr>
        <w:widowControl w:val="0"/>
        <w:autoSpaceDE w:val="0"/>
        <w:autoSpaceDN w:val="0"/>
        <w:spacing w:after="0" w:line="276" w:lineRule="auto"/>
        <w:jc w:val="both"/>
        <w:rPr>
          <w:rFonts w:ascii="Verdana" w:hAnsi="Verdana" w:cs="Arial"/>
        </w:rPr>
      </w:pPr>
    </w:p>
    <w:p w14:paraId="0B41A78C" w14:textId="77777777" w:rsidR="00054748" w:rsidRPr="009F6918" w:rsidRDefault="00054748" w:rsidP="001005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F6918">
        <w:rPr>
          <w:rFonts w:ascii="Verdana" w:eastAsia="Century Gothic" w:hAnsi="Verdana" w:cs="Century Gothic"/>
          <w:b/>
          <w:bCs/>
        </w:rPr>
        <w:t>Doctrina de la Agencia Nacional de Contratación Pública:</w:t>
      </w:r>
    </w:p>
    <w:p w14:paraId="70C5616D" w14:textId="77777777" w:rsidR="00054748" w:rsidRPr="00E372B8" w:rsidRDefault="00054748" w:rsidP="00054748">
      <w:pPr>
        <w:widowControl w:val="0"/>
        <w:autoSpaceDE w:val="0"/>
        <w:autoSpaceDN w:val="0"/>
        <w:spacing w:after="0" w:line="276" w:lineRule="auto"/>
        <w:jc w:val="both"/>
        <w:rPr>
          <w:rFonts w:ascii="Verdana" w:hAnsi="Verdana" w:cs="Arial"/>
        </w:rPr>
      </w:pPr>
    </w:p>
    <w:p w14:paraId="268B87B1" w14:textId="3461F82D" w:rsidR="00054748" w:rsidRPr="00AC5DA8" w:rsidRDefault="00AC5DA8" w:rsidP="00AC5DA8">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cs="Arial"/>
          <w:shd w:val="clear" w:color="auto" w:fill="FFFFFF"/>
          <w:lang w:val="es-ES"/>
        </w:rPr>
        <w:t xml:space="preserve">Sobre </w:t>
      </w:r>
      <w:r w:rsidRPr="00AD7D4E">
        <w:rPr>
          <w:rStyle w:val="normaltextrun"/>
          <w:rFonts w:ascii="Verdana" w:hAnsi="Verdana" w:cs="Arial"/>
          <w:shd w:val="clear" w:color="auto" w:fill="FFFFFF"/>
          <w:lang w:val="es-ES"/>
        </w:rPr>
        <w:t>las limitaciones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Style w:val="normaltextrun"/>
          <w:rFonts w:ascii="Verdana" w:hAnsi="Verdana" w:cs="Arial"/>
          <w:shd w:val="clear" w:color="auto" w:fill="FFFFFF"/>
          <w:lang w:val="es-ES"/>
        </w:rPr>
        <w:t>, C-235 del 12 de agosto de 2024</w:t>
      </w:r>
      <w:r w:rsidRPr="00AD7D4E">
        <w:rPr>
          <w:rStyle w:val="normaltextrun"/>
          <w:rFonts w:ascii="Verdana" w:hAnsi="Verdana" w:cs="Arial"/>
          <w:shd w:val="clear" w:color="auto" w:fill="FFFFFF"/>
          <w:lang w:val="es-ES"/>
        </w:rPr>
        <w:t xml:space="preserve"> C-253 del 15 de agosto del 2024</w:t>
      </w:r>
      <w:r>
        <w:rPr>
          <w:rStyle w:val="normaltextrun"/>
          <w:rFonts w:ascii="Verdana" w:hAnsi="Verdana" w:cs="Arial"/>
          <w:shd w:val="clear" w:color="auto" w:fill="FFFFFF"/>
          <w:lang w:val="es-ES"/>
        </w:rPr>
        <w:t>, C-684 del 18 de noviembre de 2024 y C-100 del 25 de febrero de 2025,</w:t>
      </w:r>
      <w:r>
        <w:rPr>
          <w:rFonts w:ascii="Verdana" w:hAnsi="Verdana"/>
        </w:rPr>
        <w:t xml:space="preserve"> </w:t>
      </w:r>
      <w:r w:rsidRPr="00D46A25">
        <w:rPr>
          <w:rFonts w:ascii="Verdana" w:hAnsi="Verdana"/>
        </w:rPr>
        <w:t>C-1562</w:t>
      </w:r>
      <w:r>
        <w:rPr>
          <w:rFonts w:ascii="Verdana" w:hAnsi="Verdana"/>
        </w:rPr>
        <w:t xml:space="preserve"> del 04 de diciembre</w:t>
      </w:r>
      <w:r w:rsidRPr="00D46A25">
        <w:rPr>
          <w:rFonts w:ascii="Verdana" w:hAnsi="Verdana"/>
        </w:rPr>
        <w:t xml:space="preserve"> de 202</w:t>
      </w:r>
      <w:r>
        <w:rPr>
          <w:rFonts w:ascii="Verdana" w:hAnsi="Verdana"/>
        </w:rPr>
        <w:t>5</w:t>
      </w:r>
      <w:r>
        <w:rPr>
          <w:rStyle w:val="normaltextrun"/>
          <w:rFonts w:ascii="Verdana" w:hAnsi="Verdana" w:cs="Arial"/>
          <w:shd w:val="clear" w:color="auto" w:fill="FFFFFF"/>
          <w:lang w:val="es-ES"/>
        </w:rPr>
        <w:t>.</w:t>
      </w:r>
      <w:r>
        <w:rPr>
          <w:rFonts w:ascii="Verdana" w:eastAsia="Calibri" w:hAnsi="Verdana" w:cs="Arial"/>
          <w:lang w:val="es-MX"/>
        </w:rPr>
        <w:t xml:space="preserve"> </w:t>
      </w:r>
      <w:r>
        <w:rPr>
          <w:rStyle w:val="normaltextrun"/>
          <w:rFonts w:ascii="Verdana" w:hAnsi="Verdana" w:cs="Calibri"/>
          <w:shd w:val="clear" w:color="auto" w:fill="FFFFFF"/>
        </w:rPr>
        <w:t>e</w:t>
      </w:r>
      <w:r w:rsidRPr="00A1554D">
        <w:rPr>
          <w:rStyle w:val="normaltextrun"/>
          <w:rFonts w:ascii="Verdana" w:hAnsi="Verdana" w:cs="Arial"/>
          <w:shd w:val="clear" w:color="auto" w:fill="FFFFFF"/>
          <w:lang w:val="es-ES"/>
        </w:rPr>
        <w:t>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D4732D">
          <w:rPr>
            <w:rStyle w:val="Hipervnculo"/>
            <w:rFonts w:ascii="Verdana" w:hAnsi="Verdana" w:cs="Arial"/>
            <w:shd w:val="clear" w:color="auto" w:fill="FFFFFF"/>
            <w:lang w:val="es-ES"/>
          </w:rPr>
          <w:t>https://relatoria.colombiacompra.gov.co/busqueda/conceptos</w:t>
        </w:r>
      </w:hyperlink>
      <w:r w:rsidRPr="00D4732D">
        <w:rPr>
          <w:rStyle w:val="normaltextrun"/>
          <w:rFonts w:ascii="Verdana" w:hAnsi="Verdana" w:cs="Arial"/>
          <w:color w:val="FF0000"/>
          <w:shd w:val="clear" w:color="auto" w:fill="FFFFFF"/>
          <w:lang w:val="es-ES"/>
        </w:rPr>
        <w:t xml:space="preserve"> </w:t>
      </w:r>
    </w:p>
    <w:p w14:paraId="51E16BAA" w14:textId="77777777" w:rsidR="00054748" w:rsidRPr="005C170B" w:rsidRDefault="00054748" w:rsidP="00027F95">
      <w:pPr>
        <w:spacing w:after="0" w:line="276" w:lineRule="auto"/>
        <w:jc w:val="both"/>
        <w:rPr>
          <w:rFonts w:ascii="Verdana" w:hAnsi="Verdana"/>
        </w:rPr>
      </w:pPr>
      <w:r w:rsidRPr="005C170B">
        <w:rPr>
          <w:rFonts w:ascii="Verdana" w:hAnsi="Verdana"/>
        </w:rPr>
        <w:t xml:space="preserve">Por último, lo invitamos a seguirnos en las redes sociales en las cuales se difunde información institucional: </w:t>
      </w:r>
    </w:p>
    <w:p w14:paraId="4FEC34D8" w14:textId="77777777" w:rsidR="00054748" w:rsidRPr="005C170B" w:rsidRDefault="00054748" w:rsidP="00027F95">
      <w:pPr>
        <w:spacing w:after="0" w:line="276" w:lineRule="auto"/>
        <w:jc w:val="both"/>
        <w:rPr>
          <w:rFonts w:ascii="Verdana" w:hAnsi="Verdana"/>
        </w:rPr>
      </w:pPr>
    </w:p>
    <w:p w14:paraId="33B42560" w14:textId="77777777" w:rsidR="00054748" w:rsidRPr="005C170B" w:rsidRDefault="00054748" w:rsidP="00027F95">
      <w:pPr>
        <w:spacing w:after="0" w:line="276" w:lineRule="auto"/>
        <w:jc w:val="both"/>
        <w:rPr>
          <w:rFonts w:ascii="Verdana" w:hAnsi="Verdana"/>
        </w:rPr>
      </w:pPr>
      <w:r w:rsidRPr="005C170B">
        <w:rPr>
          <w:rFonts w:ascii="Verdana" w:hAnsi="Verdana"/>
        </w:rPr>
        <w:t xml:space="preserve">Twitter: </w:t>
      </w:r>
      <w:r w:rsidRPr="005C170B">
        <w:rPr>
          <w:rStyle w:val="Hipervnculo"/>
          <w:rFonts w:ascii="Verdana" w:hAnsi="Verdana"/>
        </w:rPr>
        <w:t>@colombiacompra</w:t>
      </w:r>
      <w:r w:rsidRPr="005C170B">
        <w:rPr>
          <w:rFonts w:ascii="Verdana" w:hAnsi="Verdana"/>
          <w:color w:val="0000FF"/>
        </w:rPr>
        <w:t xml:space="preserve"> </w:t>
      </w:r>
    </w:p>
    <w:p w14:paraId="210AA4BA" w14:textId="77777777" w:rsidR="00054748" w:rsidRPr="005C170B" w:rsidRDefault="00054748" w:rsidP="00027F95">
      <w:pPr>
        <w:spacing w:after="0" w:line="276" w:lineRule="auto"/>
        <w:jc w:val="both"/>
        <w:rPr>
          <w:rFonts w:ascii="Verdana" w:hAnsi="Verdana"/>
        </w:rPr>
      </w:pPr>
      <w:r w:rsidRPr="005C170B">
        <w:rPr>
          <w:rFonts w:ascii="Verdana" w:hAnsi="Verdana"/>
        </w:rPr>
        <w:t xml:space="preserve">Facebook: </w:t>
      </w:r>
      <w:r w:rsidRPr="005C170B">
        <w:rPr>
          <w:rStyle w:val="Hipervnculo"/>
          <w:rFonts w:ascii="Verdana" w:hAnsi="Verdana"/>
        </w:rPr>
        <w:t>ColombiaCompraEficiente</w:t>
      </w:r>
    </w:p>
    <w:p w14:paraId="305E26AC" w14:textId="77777777" w:rsidR="00054748" w:rsidRPr="005C170B" w:rsidRDefault="00054748" w:rsidP="00027F95">
      <w:pPr>
        <w:spacing w:after="0" w:line="276" w:lineRule="auto"/>
        <w:jc w:val="both"/>
        <w:rPr>
          <w:rFonts w:ascii="Verdana" w:hAnsi="Verdana"/>
        </w:rPr>
      </w:pPr>
      <w:r w:rsidRPr="005C170B">
        <w:rPr>
          <w:rFonts w:ascii="Verdana" w:hAnsi="Verdana"/>
        </w:rPr>
        <w:t xml:space="preserve">LinkedIn: </w:t>
      </w:r>
      <w:r w:rsidRPr="005C170B">
        <w:rPr>
          <w:rStyle w:val="Hipervnculo"/>
          <w:rFonts w:ascii="Verdana" w:hAnsi="Verdana"/>
        </w:rPr>
        <w:t>Agencia Nacional de Contratación Pública - Colombia Compra Eficiente</w:t>
      </w:r>
      <w:r w:rsidRPr="005C170B">
        <w:rPr>
          <w:rFonts w:ascii="Verdana" w:hAnsi="Verdana"/>
          <w:color w:val="0000FF"/>
        </w:rPr>
        <w:t xml:space="preserve"> </w:t>
      </w:r>
      <w:r w:rsidRPr="005C170B">
        <w:rPr>
          <w:rFonts w:ascii="Verdana" w:hAnsi="Verdana"/>
        </w:rPr>
        <w:t xml:space="preserve">Instagram: </w:t>
      </w:r>
      <w:r w:rsidRPr="005C170B">
        <w:rPr>
          <w:rStyle w:val="Hipervnculo"/>
          <w:rFonts w:ascii="Verdana" w:hAnsi="Verdana"/>
        </w:rPr>
        <w:t>@colombiacompraeficiente_cce</w:t>
      </w:r>
    </w:p>
    <w:p w14:paraId="26FE69AE" w14:textId="77777777" w:rsidR="00054748" w:rsidRPr="005C170B" w:rsidRDefault="00054748" w:rsidP="00054748">
      <w:pPr>
        <w:widowControl w:val="0"/>
        <w:autoSpaceDE w:val="0"/>
        <w:autoSpaceDN w:val="0"/>
        <w:spacing w:after="0" w:line="276" w:lineRule="auto"/>
        <w:jc w:val="both"/>
        <w:rPr>
          <w:rFonts w:ascii="Verdana" w:hAnsi="Verdana" w:cs="Arial"/>
        </w:rPr>
      </w:pPr>
    </w:p>
    <w:p w14:paraId="0928FFD9" w14:textId="77777777" w:rsidR="00054748" w:rsidRPr="005C170B" w:rsidRDefault="00054748" w:rsidP="00054748">
      <w:pPr>
        <w:widowControl w:val="0"/>
        <w:autoSpaceDE w:val="0"/>
        <w:autoSpaceDN w:val="0"/>
        <w:spacing w:after="0" w:line="276" w:lineRule="auto"/>
        <w:jc w:val="both"/>
        <w:rPr>
          <w:rFonts w:ascii="Verdana" w:hAnsi="Verdana" w:cs="Arial"/>
          <w:lang w:val="es-ES_tradnl"/>
        </w:rPr>
      </w:pPr>
      <w:r w:rsidRPr="005C170B">
        <w:rPr>
          <w:rFonts w:ascii="Verdana" w:hAnsi="Verdana" w:cs="Arial"/>
        </w:rPr>
        <w:t xml:space="preserve">Este concepto tiene el alcance previsto en el artículo 28 del Código de Procedimiento Administrativo y de lo Contencioso Administrativo </w:t>
      </w:r>
      <w:r w:rsidRPr="005C170B">
        <w:rPr>
          <w:rFonts w:ascii="Verdana" w:hAnsi="Verdana" w:cs="Arial"/>
          <w:lang w:val="es-ES_tradnl"/>
        </w:rPr>
        <w:t>y las expresiones aquí utilizadas con mayúscula inicial deben ser entendidas con el significado que les otorga el artículo 2.2.1.1.1.3.1. del Decreto 1082 de 2015.</w:t>
      </w:r>
    </w:p>
    <w:p w14:paraId="04EBCDD3" w14:textId="77777777" w:rsidR="00054748" w:rsidRPr="005C170B" w:rsidRDefault="00054748" w:rsidP="00054748">
      <w:pPr>
        <w:widowControl w:val="0"/>
        <w:autoSpaceDE w:val="0"/>
        <w:autoSpaceDN w:val="0"/>
        <w:spacing w:after="0" w:line="276" w:lineRule="auto"/>
        <w:jc w:val="both"/>
        <w:rPr>
          <w:rFonts w:ascii="Verdana" w:hAnsi="Verdana" w:cs="Arial"/>
        </w:rPr>
      </w:pPr>
    </w:p>
    <w:p w14:paraId="6543CEA6" w14:textId="77777777" w:rsidR="00054748" w:rsidRPr="005C170B" w:rsidRDefault="00054748" w:rsidP="00027F95">
      <w:pPr>
        <w:spacing w:after="0" w:line="276" w:lineRule="auto"/>
        <w:rPr>
          <w:rFonts w:ascii="Verdana" w:hAnsi="Verdana" w:cs="Arial"/>
          <w:lang w:eastAsia="es-CO"/>
        </w:rPr>
      </w:pPr>
      <w:r w:rsidRPr="005C170B">
        <w:rPr>
          <w:rFonts w:ascii="Verdana" w:eastAsia="Times New Roman" w:hAnsi="Verdana" w:cs="Arial"/>
          <w:lang w:eastAsia="es-CO"/>
        </w:rPr>
        <w:lastRenderedPageBreak/>
        <w:t>Atentamente,</w:t>
      </w:r>
      <w:r w:rsidRPr="005C170B">
        <w:rPr>
          <w:rFonts w:ascii="Verdana" w:hAnsi="Verdana" w:cs="Arial"/>
          <w:lang w:eastAsia="es-CO"/>
        </w:rPr>
        <w:t xml:space="preserve"> </w:t>
      </w:r>
    </w:p>
    <w:p w14:paraId="5692D7A5" w14:textId="7842E1F6" w:rsidR="00054748" w:rsidRPr="005C170B" w:rsidRDefault="00775F40" w:rsidP="00967D67">
      <w:pPr>
        <w:spacing w:line="276" w:lineRule="auto"/>
        <w:jc w:val="center"/>
        <w:rPr>
          <w:rFonts w:ascii="Verdana" w:hAnsi="Verdana" w:cs="Arial"/>
          <w:color w:val="000000"/>
          <w:lang w:eastAsia="es-CO"/>
        </w:rPr>
      </w:pPr>
      <w:r>
        <w:rPr>
          <w:rFonts w:ascii="Verdana" w:hAnsi="Verdana" w:cs="Arial"/>
          <w:noProof/>
          <w:color w:val="000000"/>
          <w:lang w:eastAsia="es-CO"/>
        </w:rPr>
        <w:drawing>
          <wp:inline distT="0" distB="0" distL="0" distR="0" wp14:anchorId="38E38956" wp14:editId="796DABB4">
            <wp:extent cx="3771900" cy="1400175"/>
            <wp:effectExtent l="0" t="0" r="0" b="9525"/>
            <wp:docPr id="5174911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91186" name="Imagen 517491186"/>
                    <pic:cNvPicPr/>
                  </pic:nvPicPr>
                  <pic:blipFill>
                    <a:blip r:embed="rId14">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54748" w:rsidRPr="005C170B" w14:paraId="1170F5BB" w14:textId="77777777" w:rsidTr="00CB1843">
        <w:trPr>
          <w:trHeight w:val="315"/>
        </w:trPr>
        <w:tc>
          <w:tcPr>
            <w:tcW w:w="893" w:type="dxa"/>
            <w:vAlign w:val="center"/>
            <w:hideMark/>
          </w:tcPr>
          <w:p w14:paraId="5A67B4C6" w14:textId="77777777" w:rsidR="00054748" w:rsidRPr="005C170B" w:rsidRDefault="00054748" w:rsidP="00CB1843">
            <w:pPr>
              <w:contextualSpacing/>
              <w:rPr>
                <w:rFonts w:ascii="Verdana" w:hAnsi="Verdana" w:cs="Arial"/>
                <w:sz w:val="16"/>
                <w:szCs w:val="16"/>
                <w:lang w:val="es-ES" w:eastAsia="es-ES"/>
              </w:rPr>
            </w:pPr>
            <w:r w:rsidRPr="005C17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78EF5FB" w14:textId="77777777" w:rsidR="00054748" w:rsidRPr="005C170B" w:rsidRDefault="00054748" w:rsidP="00CB1843">
            <w:pPr>
              <w:contextualSpacing/>
              <w:rPr>
                <w:rFonts w:ascii="Verdana" w:eastAsia="Arial" w:hAnsi="Verdana" w:cs="Arial"/>
                <w:sz w:val="16"/>
                <w:szCs w:val="16"/>
              </w:rPr>
            </w:pPr>
            <w:r w:rsidRPr="005C170B">
              <w:rPr>
                <w:rFonts w:ascii="Verdana" w:eastAsia="Arial" w:hAnsi="Verdana" w:cs="Arial"/>
                <w:sz w:val="16"/>
                <w:szCs w:val="16"/>
              </w:rPr>
              <w:t>Andrea Camila Polo Paz</w:t>
            </w:r>
          </w:p>
          <w:p w14:paraId="227F8729" w14:textId="77777777" w:rsidR="00054748" w:rsidRPr="005C170B" w:rsidRDefault="00054748" w:rsidP="00CB1843">
            <w:pPr>
              <w:contextualSpacing/>
              <w:rPr>
                <w:rFonts w:ascii="Verdana" w:eastAsia="Arial" w:hAnsi="Verdana" w:cs="Arial"/>
                <w:sz w:val="16"/>
                <w:szCs w:val="16"/>
              </w:rPr>
            </w:pPr>
            <w:r w:rsidRPr="005C170B">
              <w:rPr>
                <w:rStyle w:val="normaltextrun"/>
                <w:rFonts w:ascii="Verdana" w:eastAsia="Arial" w:hAnsi="Verdana" w:cs="Arial"/>
                <w:sz w:val="16"/>
                <w:szCs w:val="16"/>
              </w:rPr>
              <w:t>Analista T02-1 de la Subdirección de Gestión Contractual</w:t>
            </w:r>
          </w:p>
        </w:tc>
      </w:tr>
      <w:tr w:rsidR="00054748" w:rsidRPr="005C170B" w14:paraId="244745AA" w14:textId="77777777" w:rsidTr="00CB1843">
        <w:trPr>
          <w:trHeight w:val="330"/>
        </w:trPr>
        <w:tc>
          <w:tcPr>
            <w:tcW w:w="893" w:type="dxa"/>
            <w:vAlign w:val="center"/>
            <w:hideMark/>
          </w:tcPr>
          <w:p w14:paraId="358FC580" w14:textId="77777777" w:rsidR="00054748" w:rsidRPr="005C170B" w:rsidRDefault="00054748" w:rsidP="00CB1843">
            <w:pPr>
              <w:contextualSpacing/>
              <w:rPr>
                <w:rFonts w:ascii="Verdana" w:hAnsi="Verdana" w:cs="Arial"/>
                <w:sz w:val="16"/>
                <w:szCs w:val="16"/>
                <w:lang w:val="es-ES" w:eastAsia="es-ES"/>
              </w:rPr>
            </w:pPr>
            <w:r w:rsidRPr="005C17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7988CAD" w14:textId="0BD9DA9D" w:rsidR="00054748" w:rsidRPr="005C170B" w:rsidRDefault="007937B7" w:rsidP="00CB1843">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 xml:space="preserve">Adriana </w:t>
            </w:r>
            <w:r w:rsidR="005F3F7B">
              <w:rPr>
                <w:rStyle w:val="normaltextrun"/>
                <w:rFonts w:ascii="Verdana" w:hAnsi="Verdana" w:cs="Arial"/>
                <w:sz w:val="16"/>
                <w:szCs w:val="16"/>
                <w:lang w:val="es-ES"/>
              </w:rPr>
              <w:t xml:space="preserve">Katerine </w:t>
            </w:r>
            <w:r>
              <w:rPr>
                <w:rStyle w:val="normaltextrun"/>
                <w:rFonts w:ascii="Verdana" w:hAnsi="Verdana" w:cs="Arial"/>
                <w:sz w:val="16"/>
                <w:szCs w:val="16"/>
                <w:lang w:val="es-ES"/>
              </w:rPr>
              <w:t xml:space="preserve">López </w:t>
            </w:r>
            <w:r w:rsidR="005F3F7B">
              <w:rPr>
                <w:rStyle w:val="normaltextrun"/>
                <w:rFonts w:ascii="Verdana" w:hAnsi="Verdana" w:cs="Arial"/>
                <w:sz w:val="16"/>
                <w:szCs w:val="16"/>
                <w:lang w:val="es-ES"/>
              </w:rPr>
              <w:t xml:space="preserve">Rodríguez  </w:t>
            </w:r>
          </w:p>
          <w:p w14:paraId="6259A622" w14:textId="77777777" w:rsidR="00054748" w:rsidRPr="005C170B" w:rsidRDefault="00054748" w:rsidP="00CB1843">
            <w:pPr>
              <w:pStyle w:val="paragraph"/>
              <w:spacing w:before="0" w:beforeAutospacing="0" w:after="0" w:afterAutospacing="0"/>
              <w:contextualSpacing/>
              <w:textAlignment w:val="baseline"/>
              <w:rPr>
                <w:rFonts w:ascii="Verdana" w:hAnsi="Verdana" w:cs="Arial"/>
                <w:sz w:val="16"/>
                <w:szCs w:val="16"/>
                <w:lang w:val="es-ES"/>
              </w:rPr>
            </w:pPr>
            <w:r w:rsidRPr="005C170B">
              <w:rPr>
                <w:rStyle w:val="normaltextrun"/>
                <w:rFonts w:ascii="Verdana" w:hAnsi="Verdana" w:cs="Arial"/>
                <w:sz w:val="16"/>
                <w:szCs w:val="16"/>
                <w:lang w:val="es-ES"/>
              </w:rPr>
              <w:t>Contratista de la Subdirección de Gestión Contractual</w:t>
            </w:r>
            <w:r w:rsidRPr="005C170B">
              <w:rPr>
                <w:rStyle w:val="eop"/>
                <w:rFonts w:ascii="Verdana" w:hAnsi="Verdana" w:cs="Arial"/>
                <w:sz w:val="16"/>
                <w:szCs w:val="16"/>
              </w:rPr>
              <w:t> </w:t>
            </w:r>
          </w:p>
        </w:tc>
      </w:tr>
      <w:tr w:rsidR="00054748" w:rsidRPr="005C170B" w14:paraId="03D0D7A4" w14:textId="77777777" w:rsidTr="00CB1843">
        <w:trPr>
          <w:trHeight w:val="300"/>
        </w:trPr>
        <w:tc>
          <w:tcPr>
            <w:tcW w:w="893" w:type="dxa"/>
            <w:vAlign w:val="center"/>
          </w:tcPr>
          <w:p w14:paraId="5D484008" w14:textId="77777777" w:rsidR="00054748" w:rsidRPr="005C170B" w:rsidRDefault="00054748" w:rsidP="00CB1843">
            <w:pPr>
              <w:contextualSpacing/>
              <w:rPr>
                <w:rFonts w:ascii="Verdana" w:hAnsi="Verdana" w:cs="Arial"/>
                <w:sz w:val="16"/>
                <w:szCs w:val="16"/>
                <w:lang w:val="es-ES" w:eastAsia="es-ES"/>
              </w:rPr>
            </w:pPr>
            <w:r w:rsidRPr="005C17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CD525E" w14:textId="77777777" w:rsidR="00054748" w:rsidRPr="005C170B" w:rsidRDefault="00054748" w:rsidP="00CB1843">
            <w:pPr>
              <w:contextualSpacing/>
              <w:rPr>
                <w:rFonts w:ascii="Verdana" w:eastAsia="Calibri" w:hAnsi="Verdana" w:cs="Arial"/>
                <w:sz w:val="16"/>
                <w:szCs w:val="16"/>
                <w:lang w:val="pt-BR" w:eastAsia="es-ES"/>
              </w:rPr>
            </w:pPr>
            <w:r w:rsidRPr="005C170B">
              <w:rPr>
                <w:rFonts w:ascii="Verdana" w:eastAsia="Calibri" w:hAnsi="Verdana" w:cs="Arial"/>
                <w:sz w:val="16"/>
                <w:szCs w:val="16"/>
                <w:lang w:val="pt-BR" w:eastAsia="es-ES"/>
              </w:rPr>
              <w:t>Carolina Quintero Gacharná</w:t>
            </w:r>
          </w:p>
          <w:p w14:paraId="5ADDA35C" w14:textId="77777777" w:rsidR="00054748" w:rsidRPr="005C170B" w:rsidRDefault="00054748" w:rsidP="00CB1843">
            <w:pPr>
              <w:contextualSpacing/>
              <w:rPr>
                <w:rFonts w:ascii="Verdana" w:eastAsia="Calibri" w:hAnsi="Verdana" w:cs="Arial"/>
                <w:sz w:val="16"/>
                <w:szCs w:val="16"/>
                <w:lang w:val="pt-BR" w:eastAsia="es-ES"/>
              </w:rPr>
            </w:pPr>
            <w:r w:rsidRPr="005C170B">
              <w:rPr>
                <w:rFonts w:ascii="Verdana" w:eastAsia="Calibri" w:hAnsi="Verdana" w:cs="Arial"/>
                <w:sz w:val="16"/>
                <w:szCs w:val="16"/>
                <w:lang w:eastAsia="es-ES"/>
              </w:rPr>
              <w:t>Subdirectora</w:t>
            </w:r>
            <w:r w:rsidRPr="005C170B">
              <w:rPr>
                <w:rFonts w:ascii="Verdana" w:eastAsia="Calibri" w:hAnsi="Verdana" w:cs="Arial"/>
                <w:sz w:val="16"/>
                <w:szCs w:val="16"/>
                <w:lang w:val="pt-BR" w:eastAsia="es-ES"/>
              </w:rPr>
              <w:t xml:space="preserve"> de Gestión Contractual ANCP – CCE</w:t>
            </w:r>
          </w:p>
        </w:tc>
      </w:tr>
    </w:tbl>
    <w:p w14:paraId="16C1D256" w14:textId="77777777" w:rsidR="002B7ECD" w:rsidRPr="002B7ECD" w:rsidRDefault="002B7ECD" w:rsidP="002B7ECD">
      <w:pPr>
        <w:spacing w:after="0"/>
        <w:rPr>
          <w:rFonts w:ascii="Verdana" w:eastAsia="Verdana" w:hAnsi="Verdana" w:cs="Verdana"/>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0F293BF4" w14:textId="3DC10BAC" w:rsidR="00127233" w:rsidRPr="0015699B" w:rsidRDefault="00C15139" w:rsidP="002B7EC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15699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2D24E" w14:textId="77777777" w:rsidR="00433BEF" w:rsidRDefault="00433BEF" w:rsidP="004A1847">
      <w:pPr>
        <w:spacing w:after="0" w:line="240" w:lineRule="auto"/>
      </w:pPr>
      <w:r>
        <w:separator/>
      </w:r>
    </w:p>
  </w:endnote>
  <w:endnote w:type="continuationSeparator" w:id="0">
    <w:p w14:paraId="53DB0C25" w14:textId="77777777" w:rsidR="00433BEF" w:rsidRDefault="00433BE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3AC16" w14:textId="77777777" w:rsidR="00433BEF" w:rsidRDefault="00433BEF" w:rsidP="004A1847">
      <w:pPr>
        <w:spacing w:after="0" w:line="240" w:lineRule="auto"/>
      </w:pPr>
      <w:r>
        <w:separator/>
      </w:r>
    </w:p>
  </w:footnote>
  <w:footnote w:type="continuationSeparator" w:id="0">
    <w:p w14:paraId="36297FAC" w14:textId="77777777" w:rsidR="00433BEF" w:rsidRDefault="00433BEF" w:rsidP="004A1847">
      <w:pPr>
        <w:spacing w:after="0" w:line="240" w:lineRule="auto"/>
      </w:pPr>
      <w:r>
        <w:continuationSeparator/>
      </w:r>
    </w:p>
  </w:footnote>
  <w:footnote w:id="1">
    <w:p w14:paraId="2FA2D568" w14:textId="43B4F731" w:rsidR="008813A3" w:rsidRDefault="008813A3">
      <w:pPr>
        <w:pStyle w:val="Textonotapie"/>
      </w:pPr>
      <w:r>
        <w:rPr>
          <w:rStyle w:val="Refdenotaalpie"/>
        </w:rPr>
        <w:footnoteRef/>
      </w:r>
      <w:r>
        <w:t xml:space="preserve"> </w:t>
      </w:r>
      <w:r w:rsidR="00EA71F6" w:rsidRPr="00EA71F6">
        <w:rPr>
          <w:rFonts w:ascii="Verdana" w:hAnsi="Verdana"/>
          <w:sz w:val="16"/>
          <w:szCs w:val="16"/>
        </w:rPr>
        <w:t xml:space="preserve">Decreto 1082 de 2015. </w:t>
      </w:r>
      <w:r w:rsidRPr="00EA71F6">
        <w:rPr>
          <w:rFonts w:ascii="Verdana" w:hAnsi="Verdana"/>
          <w:sz w:val="16"/>
          <w:szCs w:val="16"/>
        </w:rPr>
        <w:t>Artículo 2.2.1.2.4.2.3. Limitaciones territoriales.</w:t>
      </w:r>
      <w:r w:rsidRPr="00EA71F6">
        <w:rPr>
          <w:sz w:val="16"/>
          <w:szCs w:val="16"/>
        </w:rPr>
        <w:t xml:space="preserve"> </w:t>
      </w:r>
    </w:p>
  </w:footnote>
  <w:footnote w:id="2">
    <w:p w14:paraId="6A821020" w14:textId="77777777" w:rsidR="00BA310B" w:rsidRPr="00084CD2" w:rsidRDefault="00BA310B" w:rsidP="00BA310B">
      <w:pPr>
        <w:spacing w:after="0" w:line="240" w:lineRule="auto"/>
        <w:ind w:left="870"/>
        <w:contextualSpacing/>
        <w:jc w:val="both"/>
        <w:rPr>
          <w:rFonts w:ascii="Verdana" w:eastAsia="Times New Roman" w:hAnsi="Verdana" w:cs="Arial"/>
          <w:sz w:val="15"/>
          <w:szCs w:val="15"/>
          <w:lang w:val="es-ES"/>
        </w:rPr>
      </w:pPr>
      <w:r w:rsidRPr="00084CD2">
        <w:rPr>
          <w:rStyle w:val="Refdenotaalpie"/>
          <w:rFonts w:ascii="Verdana" w:hAnsi="Verdana" w:cs="Arial"/>
          <w:sz w:val="15"/>
          <w:szCs w:val="15"/>
        </w:rPr>
        <w:footnoteRef/>
      </w:r>
      <w:r w:rsidRPr="00084CD2">
        <w:rPr>
          <w:rFonts w:ascii="Verdana" w:hAnsi="Verdana" w:cs="Arial"/>
          <w:sz w:val="15"/>
          <w:szCs w:val="15"/>
        </w:rPr>
        <w:t xml:space="preserve"> </w:t>
      </w:r>
      <w:r w:rsidRPr="00084CD2">
        <w:rPr>
          <w:rFonts w:ascii="Verdana" w:eastAsia="Times New Roman" w:hAnsi="Verdana" w:cs="Arial"/>
          <w:sz w:val="15"/>
          <w:szCs w:val="15"/>
          <w:lang w:val="es-ES"/>
        </w:rPr>
        <w:t>En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efecto,</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el</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artículo</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34</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Ley</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2069</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2020</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establece: “Modifíquese</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el</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artículo</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12</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Ley</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1150</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2007,</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el</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cual</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quedará</w:t>
      </w:r>
      <w:r w:rsidRPr="00084CD2">
        <w:rPr>
          <w:rFonts w:ascii="Verdana" w:eastAsia="Times New Roman" w:hAnsi="Verdana" w:cs="Arial"/>
          <w:spacing w:val="-3"/>
          <w:sz w:val="15"/>
          <w:szCs w:val="15"/>
          <w:lang w:val="es-ES"/>
        </w:rPr>
        <w:t xml:space="preserve"> </w:t>
      </w:r>
      <w:r w:rsidRPr="00084CD2">
        <w:rPr>
          <w:rFonts w:ascii="Verdana" w:eastAsia="Times New Roman" w:hAnsi="Verdana" w:cs="Arial"/>
          <w:sz w:val="15"/>
          <w:szCs w:val="15"/>
          <w:lang w:val="es-ES"/>
        </w:rPr>
        <w:t>así:</w:t>
      </w:r>
    </w:p>
    <w:p w14:paraId="1AB1789D" w14:textId="77777777" w:rsidR="00BA310B" w:rsidRPr="00084CD2" w:rsidRDefault="00BA310B" w:rsidP="00BA310B">
      <w:pPr>
        <w:widowControl w:val="0"/>
        <w:autoSpaceDE w:val="0"/>
        <w:autoSpaceDN w:val="0"/>
        <w:spacing w:after="0" w:line="240" w:lineRule="auto"/>
        <w:ind w:left="160" w:right="159" w:firstLine="709"/>
        <w:contextualSpacing/>
        <w:jc w:val="both"/>
        <w:rPr>
          <w:rFonts w:ascii="Verdana" w:eastAsia="Times New Roman" w:hAnsi="Verdana" w:cs="Arial"/>
          <w:sz w:val="15"/>
          <w:szCs w:val="15"/>
          <w:lang w:val="es-ES"/>
        </w:rPr>
      </w:pPr>
      <w:r w:rsidRPr="00084CD2">
        <w:rPr>
          <w:rFonts w:ascii="Verdana" w:eastAsia="Times New Roman" w:hAnsi="Verdana" w:cs="Arial"/>
          <w:spacing w:val="-1"/>
          <w:sz w:val="15"/>
          <w:szCs w:val="15"/>
          <w:lang w:val="es-ES"/>
        </w:rPr>
        <w:t>"Artículo</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pacing w:val="-1"/>
          <w:sz w:val="15"/>
          <w:szCs w:val="15"/>
          <w:lang w:val="es-ES"/>
        </w:rPr>
        <w:t>12.</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pacing w:val="-1"/>
          <w:sz w:val="15"/>
          <w:szCs w:val="15"/>
          <w:lang w:val="es-ES"/>
        </w:rPr>
        <w:t>Promoción</w:t>
      </w:r>
      <w:r w:rsidRPr="00084CD2">
        <w:rPr>
          <w:rFonts w:ascii="Verdana" w:eastAsia="Times New Roman" w:hAnsi="Verdana" w:cs="Arial"/>
          <w:spacing w:val="-6"/>
          <w:sz w:val="15"/>
          <w:szCs w:val="15"/>
          <w:lang w:val="es-ES"/>
        </w:rPr>
        <w:t xml:space="preserve"> </w:t>
      </w:r>
      <w:r w:rsidRPr="00084CD2">
        <w:rPr>
          <w:rFonts w:ascii="Verdana" w:eastAsia="Times New Roman" w:hAnsi="Verdana" w:cs="Arial"/>
          <w:spacing w:val="-1"/>
          <w:sz w:val="15"/>
          <w:szCs w:val="15"/>
          <w:lang w:val="es-ES"/>
        </w:rPr>
        <w:t>del</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pacing w:val="-1"/>
          <w:sz w:val="15"/>
          <w:szCs w:val="15"/>
          <w:lang w:val="es-ES"/>
        </w:rPr>
        <w:t>desarrollo</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pacing w:val="-1"/>
          <w:sz w:val="15"/>
          <w:szCs w:val="15"/>
          <w:lang w:val="es-ES"/>
        </w:rPr>
        <w:t>en</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pacing w:val="-1"/>
          <w:sz w:val="15"/>
          <w:szCs w:val="15"/>
          <w:lang w:val="es-ES"/>
        </w:rPr>
        <w:t>la</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pacing w:val="-1"/>
          <w:sz w:val="15"/>
          <w:szCs w:val="15"/>
          <w:lang w:val="es-ES"/>
        </w:rPr>
        <w:t>contratación</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pacing w:val="-1"/>
          <w:sz w:val="15"/>
          <w:szCs w:val="15"/>
          <w:lang w:val="es-ES"/>
        </w:rPr>
        <w:t>pública.</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conformidad</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con</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lo</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dispuesto</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en</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los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artículos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13,</w:t>
      </w:r>
      <w:r w:rsidRPr="00084CD2">
        <w:rPr>
          <w:rFonts w:ascii="Verdana" w:eastAsia="Times New Roman" w:hAnsi="Verdana" w:cs="Arial"/>
          <w:spacing w:val="-8"/>
          <w:sz w:val="15"/>
          <w:szCs w:val="15"/>
          <w:lang w:val="es-ES"/>
        </w:rPr>
        <w:t xml:space="preserve"> </w:t>
      </w:r>
      <w:r w:rsidRPr="00084CD2">
        <w:rPr>
          <w:rFonts w:ascii="Verdana" w:eastAsia="Times New Roman" w:hAnsi="Verdana" w:cs="Arial"/>
          <w:sz w:val="15"/>
          <w:szCs w:val="15"/>
          <w:lang w:val="es-ES"/>
        </w:rPr>
        <w:t>333</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y</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334</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Constitución</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Política,</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el Gobierno Nacional definirá las condiciones y los montos de acuerdo con los compromisos internacionales vigentes, para que, en desarrollo de los Procesos de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Contratación,</w:t>
      </w:r>
      <w:r w:rsidRPr="00084CD2">
        <w:rPr>
          <w:rFonts w:ascii="Verdana" w:eastAsia="Times New Roman" w:hAnsi="Verdana" w:cs="Arial"/>
          <w:spacing w:val="-8"/>
          <w:sz w:val="15"/>
          <w:szCs w:val="15"/>
          <w:lang w:val="es-ES"/>
        </w:rPr>
        <w:t xml:space="preserve"> </w:t>
      </w:r>
      <w:r w:rsidRPr="00084CD2">
        <w:rPr>
          <w:rFonts w:ascii="Verdana" w:eastAsia="Times New Roman" w:hAnsi="Verdana" w:cs="Arial"/>
          <w:sz w:val="15"/>
          <w:szCs w:val="15"/>
          <w:lang w:val="es-ES"/>
        </w:rPr>
        <w:t>las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Entidades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Estatales</w:t>
      </w:r>
      <w:r w:rsidRPr="00084CD2">
        <w:rPr>
          <w:rFonts w:ascii="Verdana" w:eastAsia="Times New Roman" w:hAnsi="Verdana" w:cs="Arial"/>
          <w:spacing w:val="-6"/>
          <w:sz w:val="15"/>
          <w:szCs w:val="15"/>
          <w:lang w:val="es-ES"/>
        </w:rPr>
        <w:t xml:space="preserve"> </w:t>
      </w:r>
      <w:r w:rsidRPr="00084CD2">
        <w:rPr>
          <w:rFonts w:ascii="Verdana" w:eastAsia="Times New Roman" w:hAnsi="Verdana" w:cs="Arial"/>
          <w:sz w:val="15"/>
          <w:szCs w:val="15"/>
          <w:lang w:val="es-ES"/>
        </w:rPr>
        <w:t>indistintamente</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8"/>
          <w:sz w:val="15"/>
          <w:szCs w:val="15"/>
          <w:lang w:val="es-ES"/>
        </w:rPr>
        <w:t xml:space="preserve"> </w:t>
      </w:r>
      <w:r w:rsidRPr="00084CD2">
        <w:rPr>
          <w:rFonts w:ascii="Verdana" w:eastAsia="Times New Roman" w:hAnsi="Verdana" w:cs="Arial"/>
          <w:sz w:val="15"/>
          <w:szCs w:val="15"/>
          <w:lang w:val="es-ES"/>
        </w:rPr>
        <w:t>su</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régimen</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8"/>
          <w:sz w:val="15"/>
          <w:szCs w:val="15"/>
          <w:lang w:val="es-ES"/>
        </w:rPr>
        <w:t xml:space="preserve"> </w:t>
      </w:r>
      <w:r w:rsidRPr="00084CD2">
        <w:rPr>
          <w:rFonts w:ascii="Verdana" w:eastAsia="Times New Roman" w:hAnsi="Verdana" w:cs="Arial"/>
          <w:sz w:val="15"/>
          <w:szCs w:val="15"/>
          <w:lang w:val="es-ES"/>
        </w:rPr>
        <w:t>contratación,</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los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patrimonios</w:t>
      </w:r>
      <w:r w:rsidRPr="00084CD2">
        <w:rPr>
          <w:rFonts w:ascii="Verdana" w:eastAsia="Times New Roman" w:hAnsi="Verdana" w:cs="Arial"/>
          <w:spacing w:val="-8"/>
          <w:sz w:val="15"/>
          <w:szCs w:val="15"/>
          <w:lang w:val="es-ES"/>
        </w:rPr>
        <w:t xml:space="preserve"> </w:t>
      </w:r>
      <w:r w:rsidRPr="00084CD2">
        <w:rPr>
          <w:rFonts w:ascii="Verdana" w:eastAsia="Times New Roman" w:hAnsi="Verdana" w:cs="Arial"/>
          <w:sz w:val="15"/>
          <w:szCs w:val="15"/>
          <w:lang w:val="es-ES"/>
        </w:rPr>
        <w:t>autónomos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constituidos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por</w:t>
      </w:r>
      <w:r w:rsidRPr="00084CD2">
        <w:rPr>
          <w:rFonts w:ascii="Verdana" w:eastAsia="Times New Roman" w:hAnsi="Verdana" w:cs="Arial"/>
          <w:spacing w:val="-8"/>
          <w:sz w:val="15"/>
          <w:szCs w:val="15"/>
          <w:lang w:val="es-ES"/>
        </w:rPr>
        <w:t xml:space="preserve"> </w:t>
      </w:r>
      <w:r w:rsidRPr="00084CD2">
        <w:rPr>
          <w:rFonts w:ascii="Verdana" w:eastAsia="Times New Roman" w:hAnsi="Verdana" w:cs="Arial"/>
          <w:sz w:val="15"/>
          <w:szCs w:val="15"/>
          <w:lang w:val="es-ES"/>
        </w:rPr>
        <w:t>Entidades</w:t>
      </w:r>
      <w:r w:rsidRPr="00084CD2">
        <w:rPr>
          <w:rFonts w:ascii="Verdana" w:eastAsia="Times New Roman" w:hAnsi="Verdana" w:cs="Arial"/>
          <w:spacing w:val="-6"/>
          <w:sz w:val="15"/>
          <w:szCs w:val="15"/>
          <w:lang w:val="es-ES"/>
        </w:rPr>
        <w:t xml:space="preserve"> </w:t>
      </w:r>
      <w:r w:rsidRPr="00084CD2">
        <w:rPr>
          <w:rFonts w:ascii="Verdana" w:eastAsia="Times New Roman" w:hAnsi="Verdana" w:cs="Arial"/>
          <w:sz w:val="15"/>
          <w:szCs w:val="15"/>
          <w:lang w:val="es-ES"/>
        </w:rPr>
        <w:t>Estatales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y</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los</w:t>
      </w:r>
      <w:r w:rsidRPr="00084CD2">
        <w:rPr>
          <w:rFonts w:ascii="Verdana" w:eastAsia="Times New Roman" w:hAnsi="Verdana" w:cs="Arial"/>
          <w:spacing w:val="-7"/>
          <w:sz w:val="15"/>
          <w:szCs w:val="15"/>
          <w:lang w:val="es-ES"/>
        </w:rPr>
        <w:t xml:space="preserve"> </w:t>
      </w:r>
      <w:r w:rsidRPr="00084CD2">
        <w:rPr>
          <w:rFonts w:ascii="Verdana" w:eastAsia="Times New Roman" w:hAnsi="Verdana" w:cs="Arial"/>
          <w:sz w:val="15"/>
          <w:szCs w:val="15"/>
          <w:lang w:val="es-ES"/>
        </w:rPr>
        <w:t>particulares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que ejecuten recursos públicos, adopten en beneficio de las Mipyme, convocatorias limitadas a estas en las que, previo a la Resolución de apertura del proceso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respectivo,</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se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haya</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manifestado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el</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interés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por</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lo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menos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dos</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(2)</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Mipyme.</w:t>
      </w:r>
    </w:p>
    <w:p w14:paraId="256CE279" w14:textId="77777777" w:rsidR="00BA310B" w:rsidRPr="00084CD2" w:rsidRDefault="00BA310B" w:rsidP="00BA310B">
      <w:pPr>
        <w:widowControl w:val="0"/>
        <w:autoSpaceDE w:val="0"/>
        <w:autoSpaceDN w:val="0"/>
        <w:spacing w:after="0" w:line="240" w:lineRule="auto"/>
        <w:ind w:left="160" w:right="159" w:firstLine="709"/>
        <w:contextualSpacing/>
        <w:jc w:val="both"/>
        <w:rPr>
          <w:rFonts w:ascii="Verdana" w:eastAsia="Times New Roman" w:hAnsi="Verdana" w:cs="Arial"/>
          <w:sz w:val="15"/>
          <w:szCs w:val="15"/>
          <w:lang w:val="es-ES"/>
        </w:rPr>
      </w:pPr>
      <w:r w:rsidRPr="00084CD2">
        <w:rPr>
          <w:rFonts w:ascii="Verdana" w:eastAsia="Times New Roman" w:hAnsi="Verdana" w:cs="Arial"/>
          <w:sz w:val="15"/>
          <w:szCs w:val="15"/>
          <w:lang w:val="es-ES"/>
        </w:rPr>
        <w:t>“Asimismo, el reglamento podrá establecer condiciones preferenciales a favor de la oferta de bienes y servicios producidos por las Mipyme respetando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los</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montos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y</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las</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condiciones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contenidas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en</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los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compromisos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internacionales</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vigentes,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cuando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sean</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aplicables.</w:t>
      </w:r>
    </w:p>
    <w:p w14:paraId="5D3901B7" w14:textId="77777777" w:rsidR="00BA310B" w:rsidRPr="00084CD2" w:rsidRDefault="00BA310B" w:rsidP="00BA310B">
      <w:pPr>
        <w:widowControl w:val="0"/>
        <w:autoSpaceDE w:val="0"/>
        <w:autoSpaceDN w:val="0"/>
        <w:spacing w:after="0" w:line="240" w:lineRule="auto"/>
        <w:ind w:left="870"/>
        <w:contextualSpacing/>
        <w:jc w:val="both"/>
        <w:rPr>
          <w:rFonts w:ascii="Verdana" w:eastAsia="Times New Roman" w:hAnsi="Verdana" w:cs="Arial"/>
          <w:sz w:val="15"/>
          <w:szCs w:val="15"/>
          <w:lang w:val="es-ES"/>
        </w:rPr>
      </w:pPr>
      <w:r w:rsidRPr="00084CD2">
        <w:rPr>
          <w:rFonts w:ascii="Verdana" w:eastAsia="Times New Roman" w:hAnsi="Verdana" w:cs="Arial"/>
          <w:sz w:val="15"/>
          <w:szCs w:val="15"/>
          <w:lang w:val="es-ES"/>
        </w:rPr>
        <w:t>“En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todo</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caso,</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se</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deberá</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garantizar</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satisfacción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las</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condiciones</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técnicas</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y</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económicas</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requeridas</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el</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Proceso</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Contratación.</w:t>
      </w:r>
    </w:p>
    <w:p w14:paraId="6F03A770" w14:textId="77777777" w:rsidR="00BA310B" w:rsidRPr="00084CD2" w:rsidRDefault="00BA310B" w:rsidP="00BA310B">
      <w:pPr>
        <w:widowControl w:val="0"/>
        <w:autoSpaceDE w:val="0"/>
        <w:autoSpaceDN w:val="0"/>
        <w:spacing w:after="0" w:line="240" w:lineRule="auto"/>
        <w:ind w:left="160" w:right="159" w:firstLine="709"/>
        <w:contextualSpacing/>
        <w:jc w:val="both"/>
        <w:rPr>
          <w:rFonts w:ascii="Verdana" w:eastAsia="Times New Roman" w:hAnsi="Verdana" w:cs="Arial"/>
          <w:sz w:val="15"/>
          <w:szCs w:val="15"/>
          <w:lang w:val="es-ES"/>
        </w:rPr>
      </w:pPr>
      <w:r w:rsidRPr="00084CD2">
        <w:rPr>
          <w:rFonts w:ascii="Verdana" w:eastAsia="Times New Roman" w:hAnsi="Verdana" w:cs="Arial"/>
          <w:sz w:val="15"/>
          <w:szCs w:val="15"/>
          <w:lang w:val="es-ES"/>
        </w:rPr>
        <w:t>“De</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igual</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forma,</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en</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los</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pliegos</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condiciones</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dispondrán,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mecanismos</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que</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fomenten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en</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ejecución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los</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contratos</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estatales</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provisión</w:t>
      </w:r>
      <w:r w:rsidRPr="00084CD2">
        <w:rPr>
          <w:rFonts w:ascii="Verdana" w:eastAsia="Times New Roman" w:hAnsi="Verdana" w:cs="Arial"/>
          <w:spacing w:val="-4"/>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5"/>
          <w:sz w:val="15"/>
          <w:szCs w:val="15"/>
          <w:lang w:val="es-ES"/>
        </w:rPr>
        <w:t xml:space="preserve"> </w:t>
      </w:r>
      <w:r w:rsidRPr="00084CD2">
        <w:rPr>
          <w:rFonts w:ascii="Verdana" w:eastAsia="Times New Roman" w:hAnsi="Verdana" w:cs="Arial"/>
          <w:sz w:val="15"/>
          <w:szCs w:val="15"/>
          <w:lang w:val="es-ES"/>
        </w:rPr>
        <w:t>bienes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y servicios por población en pobreza extrema, desplazados por la violencia, personas en proceso de reintegración o reincorporación y, sujetos de especial protección</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constitucional</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en</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las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condiciones</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que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señale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el</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reglamento;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siempre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que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se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garanticen</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las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condiciones</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calidad</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y</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cumplimiento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del</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objeto</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contractual.</w:t>
      </w:r>
    </w:p>
    <w:p w14:paraId="7A3B6B58" w14:textId="77777777" w:rsidR="00BA310B" w:rsidRPr="00084CD2" w:rsidRDefault="00BA310B" w:rsidP="00BA310B">
      <w:pPr>
        <w:widowControl w:val="0"/>
        <w:autoSpaceDE w:val="0"/>
        <w:autoSpaceDN w:val="0"/>
        <w:spacing w:after="0" w:line="240" w:lineRule="auto"/>
        <w:ind w:left="160" w:right="160" w:firstLine="709"/>
        <w:contextualSpacing/>
        <w:jc w:val="both"/>
        <w:rPr>
          <w:rFonts w:ascii="Verdana" w:eastAsia="Times New Roman" w:hAnsi="Verdana" w:cs="Arial"/>
          <w:sz w:val="15"/>
          <w:szCs w:val="15"/>
          <w:lang w:val="es-ES"/>
        </w:rPr>
      </w:pPr>
      <w:r w:rsidRPr="00084CD2">
        <w:rPr>
          <w:rFonts w:ascii="Verdana" w:eastAsia="Times New Roman" w:hAnsi="Verdana" w:cs="Arial"/>
          <w:sz w:val="15"/>
          <w:szCs w:val="15"/>
          <w:lang w:val="es-ES"/>
        </w:rPr>
        <w:t>“Parágrafo Primero. En los Procesos de Contratación que se desarrollen con base en el primer inciso, las entidades podrán realizar las convocatorias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limitadas</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que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beneficien</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a</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las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Mipyme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del</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ámbito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municipal</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departamental</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correspondiente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al</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ejecución</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del</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contrato.</w:t>
      </w:r>
    </w:p>
    <w:p w14:paraId="54921251" w14:textId="3FA42993" w:rsidR="00BA310B" w:rsidRPr="00084CD2" w:rsidRDefault="00BA310B" w:rsidP="00BA310B">
      <w:pPr>
        <w:widowControl w:val="0"/>
        <w:autoSpaceDE w:val="0"/>
        <w:autoSpaceDN w:val="0"/>
        <w:spacing w:after="0" w:line="240" w:lineRule="auto"/>
        <w:ind w:left="160" w:right="159" w:firstLine="709"/>
        <w:contextualSpacing/>
        <w:jc w:val="both"/>
        <w:rPr>
          <w:rFonts w:ascii="Verdana" w:eastAsia="Times New Roman" w:hAnsi="Verdana" w:cs="Arial"/>
          <w:sz w:val="15"/>
          <w:szCs w:val="15"/>
          <w:lang w:val="es-ES"/>
        </w:rPr>
      </w:pPr>
      <w:r w:rsidRPr="00084CD2">
        <w:rPr>
          <w:rFonts w:ascii="Verdana" w:eastAsia="Times New Roman" w:hAnsi="Verdana" w:cs="Arial"/>
          <w:sz w:val="15"/>
          <w:szCs w:val="15"/>
          <w:lang w:val="es-ES"/>
        </w:rPr>
        <w:t xml:space="preserve">“Parágrafo Segundo. Sin perjuicio de lo dispuesto en los artículos 5 y 6 de la Ley 1150 de 2007, para que las </w:t>
      </w:r>
      <w:r w:rsidR="009F6918" w:rsidRPr="00084CD2">
        <w:rPr>
          <w:rFonts w:ascii="Verdana" w:eastAsia="Times New Roman" w:hAnsi="Verdana" w:cs="Arial"/>
          <w:sz w:val="15"/>
          <w:szCs w:val="15"/>
          <w:lang w:val="es-ES"/>
        </w:rPr>
        <w:t>MIPYMES</w:t>
      </w:r>
      <w:r w:rsidRPr="00084CD2">
        <w:rPr>
          <w:rFonts w:ascii="Verdana" w:eastAsia="Times New Roman" w:hAnsi="Verdana" w:cs="Arial"/>
          <w:sz w:val="15"/>
          <w:szCs w:val="15"/>
          <w:lang w:val="es-ES"/>
        </w:rPr>
        <w:t xml:space="preserve"> puedan participar en las</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convocatorias a las que se refiere este artículo, deberán acreditar como mínimo un año de existencia, para lo cual deberán presentar el certificado expedido por la</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cámara</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de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comercio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o</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por</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la</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autoridad</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que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sea</w:t>
      </w:r>
      <w:r w:rsidRPr="00084CD2">
        <w:rPr>
          <w:rFonts w:ascii="Verdana" w:eastAsia="Times New Roman" w:hAnsi="Verdana" w:cs="Arial"/>
          <w:spacing w:val="-2"/>
          <w:sz w:val="15"/>
          <w:szCs w:val="15"/>
          <w:lang w:val="es-ES"/>
        </w:rPr>
        <w:t xml:space="preserve"> </w:t>
      </w:r>
      <w:r w:rsidRPr="00084CD2">
        <w:rPr>
          <w:rFonts w:ascii="Verdana" w:eastAsia="Times New Roman" w:hAnsi="Verdana" w:cs="Arial"/>
          <w:sz w:val="15"/>
          <w:szCs w:val="15"/>
          <w:lang w:val="es-ES"/>
        </w:rPr>
        <w:t>competente</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para</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dicha</w:t>
      </w:r>
      <w:r w:rsidRPr="00084CD2">
        <w:rPr>
          <w:rFonts w:ascii="Verdana" w:eastAsia="Times New Roman" w:hAnsi="Verdana" w:cs="Arial"/>
          <w:spacing w:val="-1"/>
          <w:sz w:val="15"/>
          <w:szCs w:val="15"/>
          <w:lang w:val="es-ES"/>
        </w:rPr>
        <w:t xml:space="preserve"> </w:t>
      </w:r>
      <w:r w:rsidRPr="00084CD2">
        <w:rPr>
          <w:rFonts w:ascii="Verdana" w:eastAsia="Times New Roman" w:hAnsi="Verdana" w:cs="Arial"/>
          <w:sz w:val="15"/>
          <w:szCs w:val="15"/>
          <w:lang w:val="es-ES"/>
        </w:rPr>
        <w:t>acreditación.</w:t>
      </w:r>
    </w:p>
    <w:p w14:paraId="02D5974E" w14:textId="77777777" w:rsidR="00BA310B" w:rsidRPr="00084CD2" w:rsidRDefault="00BA310B" w:rsidP="00BA310B">
      <w:pPr>
        <w:spacing w:after="0" w:line="240" w:lineRule="auto"/>
        <w:ind w:left="160" w:right="159" w:firstLine="709"/>
        <w:contextualSpacing/>
        <w:jc w:val="both"/>
        <w:rPr>
          <w:rFonts w:ascii="Verdana" w:hAnsi="Verdana"/>
          <w:sz w:val="15"/>
          <w:szCs w:val="15"/>
          <w:lang w:val="es-ES"/>
        </w:rPr>
      </w:pPr>
      <w:r w:rsidRPr="00084CD2">
        <w:rPr>
          <w:rFonts w:ascii="Verdana" w:hAnsi="Verdana" w:cs="Arial"/>
          <w:sz w:val="15"/>
          <w:szCs w:val="15"/>
        </w:rPr>
        <w:t>“Parágrafo Tercero. En la ejecución de los contratos a que se refiere el presente artículo, las entidades y los contratistas, deberán observar lo dispuesto</w:t>
      </w:r>
      <w:r w:rsidRPr="00084CD2">
        <w:rPr>
          <w:rFonts w:ascii="Verdana" w:hAnsi="Verdana" w:cs="Arial"/>
          <w:spacing w:val="1"/>
          <w:sz w:val="15"/>
          <w:szCs w:val="15"/>
        </w:rPr>
        <w:t xml:space="preserve"> </w:t>
      </w:r>
      <w:r w:rsidRPr="00084CD2">
        <w:rPr>
          <w:rFonts w:ascii="Verdana" w:hAnsi="Verdana" w:cs="Arial"/>
          <w:sz w:val="15"/>
          <w:szCs w:val="15"/>
        </w:rPr>
        <w:t>en</w:t>
      </w:r>
      <w:r w:rsidRPr="00084CD2">
        <w:rPr>
          <w:rFonts w:ascii="Verdana" w:hAnsi="Verdana" w:cs="Arial"/>
          <w:spacing w:val="-2"/>
          <w:sz w:val="15"/>
          <w:szCs w:val="15"/>
        </w:rPr>
        <w:t xml:space="preserve"> </w:t>
      </w:r>
      <w:r w:rsidRPr="00084CD2">
        <w:rPr>
          <w:rFonts w:ascii="Verdana" w:hAnsi="Verdana" w:cs="Arial"/>
          <w:sz w:val="15"/>
          <w:szCs w:val="15"/>
        </w:rPr>
        <w:t>los</w:t>
      </w:r>
      <w:r w:rsidRPr="00084CD2">
        <w:rPr>
          <w:rFonts w:ascii="Verdana" w:hAnsi="Verdana" w:cs="Arial"/>
          <w:spacing w:val="-1"/>
          <w:sz w:val="15"/>
          <w:szCs w:val="15"/>
        </w:rPr>
        <w:t xml:space="preserve"> </w:t>
      </w:r>
      <w:r w:rsidRPr="00084CD2">
        <w:rPr>
          <w:rFonts w:ascii="Verdana" w:hAnsi="Verdana" w:cs="Arial"/>
          <w:sz w:val="15"/>
          <w:szCs w:val="15"/>
        </w:rPr>
        <w:t>artículos</w:t>
      </w:r>
      <w:r w:rsidRPr="00084CD2">
        <w:rPr>
          <w:rFonts w:ascii="Verdana" w:hAnsi="Verdana" w:cs="Arial"/>
          <w:spacing w:val="-1"/>
          <w:sz w:val="15"/>
          <w:szCs w:val="15"/>
        </w:rPr>
        <w:t xml:space="preserve"> </w:t>
      </w:r>
      <w:r w:rsidRPr="00084CD2">
        <w:rPr>
          <w:rFonts w:ascii="Verdana" w:hAnsi="Verdana" w:cs="Arial"/>
          <w:sz w:val="15"/>
          <w:szCs w:val="15"/>
        </w:rPr>
        <w:t>90</w:t>
      </w:r>
      <w:r w:rsidRPr="00084CD2">
        <w:rPr>
          <w:rFonts w:ascii="Verdana" w:hAnsi="Verdana" w:cs="Arial"/>
          <w:spacing w:val="-2"/>
          <w:sz w:val="15"/>
          <w:szCs w:val="15"/>
        </w:rPr>
        <w:t xml:space="preserve"> </w:t>
      </w:r>
      <w:r w:rsidRPr="00084CD2">
        <w:rPr>
          <w:rFonts w:ascii="Verdana" w:hAnsi="Verdana" w:cs="Arial"/>
          <w:sz w:val="15"/>
          <w:szCs w:val="15"/>
        </w:rPr>
        <w:t>a</w:t>
      </w:r>
      <w:r w:rsidRPr="00084CD2">
        <w:rPr>
          <w:rFonts w:ascii="Verdana" w:hAnsi="Verdana" w:cs="Arial"/>
          <w:spacing w:val="-1"/>
          <w:sz w:val="15"/>
          <w:szCs w:val="15"/>
        </w:rPr>
        <w:t xml:space="preserve"> </w:t>
      </w:r>
      <w:r w:rsidRPr="00084CD2">
        <w:rPr>
          <w:rFonts w:ascii="Verdana" w:hAnsi="Verdana" w:cs="Arial"/>
          <w:sz w:val="15"/>
          <w:szCs w:val="15"/>
        </w:rPr>
        <w:t>95</w:t>
      </w:r>
      <w:r w:rsidRPr="00084CD2">
        <w:rPr>
          <w:rFonts w:ascii="Verdana" w:hAnsi="Verdana" w:cs="Arial"/>
          <w:spacing w:val="-1"/>
          <w:sz w:val="15"/>
          <w:szCs w:val="15"/>
        </w:rPr>
        <w:t xml:space="preserve"> </w:t>
      </w:r>
      <w:r w:rsidRPr="00084CD2">
        <w:rPr>
          <w:rFonts w:ascii="Verdana" w:hAnsi="Verdana" w:cs="Arial"/>
          <w:sz w:val="15"/>
          <w:szCs w:val="15"/>
        </w:rPr>
        <w:t>de</w:t>
      </w:r>
      <w:r w:rsidRPr="00084CD2">
        <w:rPr>
          <w:rFonts w:ascii="Verdana" w:hAnsi="Verdana" w:cs="Arial"/>
          <w:spacing w:val="-2"/>
          <w:sz w:val="15"/>
          <w:szCs w:val="15"/>
        </w:rPr>
        <w:t xml:space="preserve"> </w:t>
      </w:r>
      <w:r w:rsidRPr="00084CD2">
        <w:rPr>
          <w:rFonts w:ascii="Verdana" w:hAnsi="Verdana" w:cs="Arial"/>
          <w:sz w:val="15"/>
          <w:szCs w:val="15"/>
        </w:rPr>
        <w:t>la</w:t>
      </w:r>
      <w:r w:rsidRPr="00084CD2">
        <w:rPr>
          <w:rFonts w:ascii="Verdana" w:hAnsi="Verdana" w:cs="Arial"/>
          <w:spacing w:val="-1"/>
          <w:sz w:val="15"/>
          <w:szCs w:val="15"/>
        </w:rPr>
        <w:t xml:space="preserve"> </w:t>
      </w:r>
      <w:r w:rsidRPr="00084CD2">
        <w:rPr>
          <w:rFonts w:ascii="Verdana" w:hAnsi="Verdana" w:cs="Arial"/>
          <w:sz w:val="15"/>
          <w:szCs w:val="15"/>
        </w:rPr>
        <w:t>Ley</w:t>
      </w:r>
      <w:r w:rsidRPr="00084CD2">
        <w:rPr>
          <w:rFonts w:ascii="Verdana" w:hAnsi="Verdana" w:cs="Arial"/>
          <w:spacing w:val="-1"/>
          <w:sz w:val="15"/>
          <w:szCs w:val="15"/>
        </w:rPr>
        <w:t xml:space="preserve"> </w:t>
      </w:r>
      <w:r w:rsidRPr="00084CD2">
        <w:rPr>
          <w:rFonts w:ascii="Verdana" w:hAnsi="Verdana" w:cs="Arial"/>
          <w:sz w:val="15"/>
          <w:szCs w:val="15"/>
        </w:rPr>
        <w:t>418</w:t>
      </w:r>
      <w:r w:rsidRPr="00084CD2">
        <w:rPr>
          <w:rFonts w:ascii="Verdana" w:hAnsi="Verdana" w:cs="Arial"/>
          <w:spacing w:val="-2"/>
          <w:sz w:val="15"/>
          <w:szCs w:val="15"/>
        </w:rPr>
        <w:t xml:space="preserve"> </w:t>
      </w:r>
      <w:r w:rsidRPr="00084CD2">
        <w:rPr>
          <w:rFonts w:ascii="Verdana" w:hAnsi="Verdana" w:cs="Arial"/>
          <w:sz w:val="15"/>
          <w:szCs w:val="15"/>
        </w:rPr>
        <w:t>de</w:t>
      </w:r>
      <w:r w:rsidRPr="00084CD2">
        <w:rPr>
          <w:rFonts w:ascii="Verdana" w:hAnsi="Verdana" w:cs="Arial"/>
          <w:spacing w:val="-1"/>
          <w:sz w:val="15"/>
          <w:szCs w:val="15"/>
        </w:rPr>
        <w:t xml:space="preserve"> </w:t>
      </w:r>
      <w:r w:rsidRPr="00084CD2">
        <w:rPr>
          <w:rFonts w:ascii="Verdana" w:hAnsi="Verdana" w:cs="Arial"/>
          <w:sz w:val="15"/>
          <w:szCs w:val="15"/>
        </w:rPr>
        <w:t>1997</w:t>
      </w:r>
      <w:r w:rsidRPr="00084CD2">
        <w:rPr>
          <w:rFonts w:ascii="Verdana" w:hAnsi="Verdana" w:cs="Arial"/>
          <w:spacing w:val="-1"/>
          <w:sz w:val="15"/>
          <w:szCs w:val="15"/>
        </w:rPr>
        <w:t xml:space="preserve"> </w:t>
      </w:r>
      <w:r w:rsidRPr="00084CD2">
        <w:rPr>
          <w:rFonts w:ascii="Verdana" w:hAnsi="Verdana" w:cs="Arial"/>
          <w:sz w:val="15"/>
          <w:szCs w:val="15"/>
        </w:rPr>
        <w:t>y</w:t>
      </w:r>
      <w:r w:rsidRPr="00084CD2">
        <w:rPr>
          <w:rFonts w:ascii="Verdana" w:hAnsi="Verdana" w:cs="Arial"/>
          <w:spacing w:val="-2"/>
          <w:sz w:val="15"/>
          <w:szCs w:val="15"/>
        </w:rPr>
        <w:t xml:space="preserve"> </w:t>
      </w:r>
      <w:r w:rsidRPr="00084CD2">
        <w:rPr>
          <w:rFonts w:ascii="Verdana" w:hAnsi="Verdana" w:cs="Arial"/>
          <w:sz w:val="15"/>
          <w:szCs w:val="15"/>
        </w:rPr>
        <w:t>las</w:t>
      </w:r>
      <w:r w:rsidRPr="00084CD2">
        <w:rPr>
          <w:rFonts w:ascii="Verdana" w:hAnsi="Verdana" w:cs="Arial"/>
          <w:spacing w:val="-1"/>
          <w:sz w:val="15"/>
          <w:szCs w:val="15"/>
        </w:rPr>
        <w:t xml:space="preserve"> </w:t>
      </w:r>
      <w:r w:rsidRPr="00084CD2">
        <w:rPr>
          <w:rFonts w:ascii="Verdana" w:hAnsi="Verdana" w:cs="Arial"/>
          <w:sz w:val="15"/>
          <w:szCs w:val="15"/>
        </w:rPr>
        <w:t>normas</w:t>
      </w:r>
      <w:r w:rsidRPr="00084CD2">
        <w:rPr>
          <w:rFonts w:ascii="Verdana" w:hAnsi="Verdana" w:cs="Arial"/>
          <w:spacing w:val="-1"/>
          <w:sz w:val="15"/>
          <w:szCs w:val="15"/>
        </w:rPr>
        <w:t xml:space="preserve"> </w:t>
      </w:r>
      <w:r w:rsidRPr="00084CD2">
        <w:rPr>
          <w:rFonts w:ascii="Verdana" w:hAnsi="Verdana" w:cs="Arial"/>
          <w:sz w:val="15"/>
          <w:szCs w:val="15"/>
        </w:rPr>
        <w:t>que</w:t>
      </w:r>
      <w:r w:rsidRPr="00084CD2">
        <w:rPr>
          <w:rFonts w:ascii="Verdana" w:hAnsi="Verdana" w:cs="Arial"/>
          <w:spacing w:val="-2"/>
          <w:sz w:val="15"/>
          <w:szCs w:val="15"/>
        </w:rPr>
        <w:t xml:space="preserve"> </w:t>
      </w:r>
      <w:r w:rsidRPr="00084CD2">
        <w:rPr>
          <w:rFonts w:ascii="Verdana" w:hAnsi="Verdana" w:cs="Arial"/>
          <w:sz w:val="15"/>
          <w:szCs w:val="15"/>
        </w:rPr>
        <w:t>la</w:t>
      </w:r>
      <w:r w:rsidRPr="00084CD2">
        <w:rPr>
          <w:rFonts w:ascii="Verdana" w:hAnsi="Verdana" w:cs="Arial"/>
          <w:spacing w:val="-1"/>
          <w:sz w:val="15"/>
          <w:szCs w:val="15"/>
        </w:rPr>
        <w:t xml:space="preserve"> </w:t>
      </w:r>
      <w:r w:rsidRPr="00084CD2">
        <w:rPr>
          <w:rFonts w:ascii="Verdana" w:hAnsi="Verdana" w:cs="Arial"/>
          <w:sz w:val="15"/>
          <w:szCs w:val="15"/>
        </w:rPr>
        <w:t>modifiquen,</w:t>
      </w:r>
      <w:r w:rsidRPr="00084CD2">
        <w:rPr>
          <w:rFonts w:ascii="Verdana" w:hAnsi="Verdana" w:cs="Arial"/>
          <w:spacing w:val="-1"/>
          <w:sz w:val="15"/>
          <w:szCs w:val="15"/>
        </w:rPr>
        <w:t xml:space="preserve"> </w:t>
      </w:r>
      <w:r w:rsidRPr="00084CD2">
        <w:rPr>
          <w:rFonts w:ascii="Verdana" w:hAnsi="Verdana" w:cs="Arial"/>
          <w:sz w:val="15"/>
          <w:szCs w:val="15"/>
        </w:rPr>
        <w:t>adicionen</w:t>
      </w:r>
      <w:r w:rsidRPr="00084CD2">
        <w:rPr>
          <w:rFonts w:ascii="Verdana" w:hAnsi="Verdana" w:cs="Arial"/>
          <w:spacing w:val="-2"/>
          <w:sz w:val="15"/>
          <w:szCs w:val="15"/>
        </w:rPr>
        <w:t xml:space="preserve"> </w:t>
      </w:r>
      <w:r w:rsidRPr="00084CD2">
        <w:rPr>
          <w:rFonts w:ascii="Verdana" w:hAnsi="Verdana" w:cs="Arial"/>
          <w:sz w:val="15"/>
          <w:szCs w:val="15"/>
        </w:rPr>
        <w:t>o</w:t>
      </w:r>
      <w:r w:rsidRPr="00084CD2">
        <w:rPr>
          <w:rFonts w:ascii="Verdana" w:hAnsi="Verdana" w:cs="Arial"/>
          <w:spacing w:val="-1"/>
          <w:sz w:val="15"/>
          <w:szCs w:val="15"/>
        </w:rPr>
        <w:t xml:space="preserve"> </w:t>
      </w:r>
      <w:r w:rsidRPr="00084CD2">
        <w:rPr>
          <w:rFonts w:ascii="Verdana" w:hAnsi="Verdana" w:cs="Arial"/>
          <w:sz w:val="15"/>
          <w:szCs w:val="15"/>
        </w:rPr>
        <w:t>subroguen."</w:t>
      </w:r>
    </w:p>
  </w:footnote>
  <w:footnote w:id="3">
    <w:p w14:paraId="20B4887D" w14:textId="77777777" w:rsidR="0001755B" w:rsidRPr="00084CD2" w:rsidRDefault="0001755B" w:rsidP="0001755B">
      <w:pPr>
        <w:pStyle w:val="Textonotapie"/>
        <w:ind w:firstLine="708"/>
        <w:contextualSpacing/>
        <w:jc w:val="both"/>
        <w:rPr>
          <w:rFonts w:ascii="Verdana" w:hAnsi="Verdana"/>
          <w:sz w:val="15"/>
          <w:szCs w:val="15"/>
        </w:rPr>
      </w:pPr>
      <w:r w:rsidRPr="00084CD2">
        <w:rPr>
          <w:rStyle w:val="Refdenotaalpie"/>
          <w:rFonts w:ascii="Verdana" w:hAnsi="Verdana"/>
          <w:sz w:val="15"/>
          <w:szCs w:val="15"/>
        </w:rPr>
        <w:footnoteRef/>
      </w:r>
      <w:r w:rsidRPr="00084CD2">
        <w:rPr>
          <w:rFonts w:ascii="Verdana" w:hAnsi="Verdana"/>
          <w:sz w:val="15"/>
          <w:szCs w:val="15"/>
        </w:rPr>
        <w:t xml:space="preserve"> Decreto 1082 de 2015: “Artículo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48E4F635"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12C61E15"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557CC267"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Tratándose de personas jurídicas, las solicitudes solo las podrán realizar Mipyme, cuyo objeto social les permita ejecutar el contrato relacionado con el proceso contractual. </w:t>
      </w:r>
    </w:p>
    <w:p w14:paraId="2E3ABACB"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Parágrafo. Las cooperativas y demás entidades de economía solidaria, siempre que tengan la calidad de Mipyme, podrán solicitar y participar en las convocatorias limitadas en las mismas condiciones dispuestas en el presente artículo. </w:t>
      </w:r>
    </w:p>
    <w:p w14:paraId="1E1CBB44"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 </w:t>
      </w:r>
    </w:p>
    <w:p w14:paraId="4F48D80C"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Artículo 2.2.1.2.4.2.4. Acreditación de requisitos para participar en convocatorias limitadas. La Mipyme colombianas deben acreditar que tiene el tamaño empresarial establecido por la ley de la siguiente manera: </w:t>
      </w:r>
    </w:p>
    <w:p w14:paraId="389534FA"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1. Las personas naturales mediante certificación expedida por ellos y un contador público, adjuntando copia del registro mercantil. </w:t>
      </w:r>
    </w:p>
    <w:p w14:paraId="4F1E34E2"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w:t>
      </w:r>
    </w:p>
    <w:p w14:paraId="54DFA8AD"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Para la acreditación deberán observarse los rangos de clasificación empresarial establecidos de conformidad con la Ley 590 de 2000 y el Decreto 1074 de 2015, o las normas que lo modifiquen, sustituyan o complementen. </w:t>
      </w:r>
    </w:p>
    <w:p w14:paraId="2356E83D"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Parágrafo 1. En todo caso, las Mipyme también podrán acreditar esta condición con la copia del certificado del Registro Único de Proponentes, el cual deberá encontrarse vigente y en firme al momento de su presentación. </w:t>
      </w:r>
    </w:p>
    <w:p w14:paraId="58183B82"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34AFD1C7"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 </w:t>
      </w:r>
    </w:p>
    <w:p w14:paraId="580F9A2E" w14:textId="77777777" w:rsidR="0001755B" w:rsidRPr="00084CD2" w:rsidRDefault="0001755B" w:rsidP="0001755B">
      <w:pPr>
        <w:pStyle w:val="Textonotapie"/>
        <w:ind w:firstLine="708"/>
        <w:contextualSpacing/>
        <w:jc w:val="both"/>
        <w:rPr>
          <w:rFonts w:ascii="Verdana" w:hAnsi="Verdana"/>
          <w:sz w:val="15"/>
          <w:szCs w:val="15"/>
        </w:rPr>
      </w:pPr>
      <w:r w:rsidRPr="00084CD2">
        <w:rPr>
          <w:rFonts w:ascii="Verdana" w:hAnsi="Verdana"/>
          <w:sz w:val="15"/>
          <w:szCs w:val="15"/>
        </w:rPr>
        <w:t>Parágrafo 4. Los incentivos previstos en los artículos 2.2.1.2.4.2.2 y 2.2.1.2.4.2.3 de este Decreto no excluyen la aplicación de los criterios diferenciales para los emprendimientos y empresas de mujeres en el sistema de compras públicas."</w:t>
      </w:r>
    </w:p>
  </w:footnote>
  <w:footnote w:id="4">
    <w:p w14:paraId="62B7CE60"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Style w:val="Refdenotaalpie"/>
          <w:rFonts w:ascii="Verdana" w:hAnsi="Verdana"/>
          <w:sz w:val="15"/>
          <w:szCs w:val="15"/>
        </w:rPr>
        <w:footnoteRef/>
      </w:r>
      <w:r w:rsidRPr="00084CD2">
        <w:rPr>
          <w:rFonts w:ascii="Verdana" w:hAnsi="Verdana"/>
          <w:sz w:val="15"/>
          <w:szCs w:val="15"/>
        </w:rPr>
        <w:t xml:space="preserve"> Decreto 1074 de 2015: “</w:t>
      </w:r>
      <w:r w:rsidRPr="00084CD2">
        <w:rPr>
          <w:rFonts w:ascii="Verdana" w:hAnsi="Verdana"/>
          <w:sz w:val="15"/>
          <w:szCs w:val="15"/>
          <w:lang w:val="es-CO"/>
        </w:rPr>
        <w:t>ARTÍCULO 2.2.1.13.2.2. Rangos para la Definición del Tamaño Empresarial.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40751DF4"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1. Para el sector manufacturero:</w:t>
      </w:r>
    </w:p>
    <w:p w14:paraId="680AF4C0"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Microempresa. Aquella cuyos ingresos por actividades ordinarias anuales sean inferiores o iguales a veintitrés mil quinientos sesenta y tres Unidades de Valor Tributario (23.563 UVT).</w:t>
      </w:r>
    </w:p>
    <w:p w14:paraId="075C6529"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7EA18F96"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170E6874"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2. Para el sector servicios:</w:t>
      </w:r>
    </w:p>
    <w:p w14:paraId="1EC9E077"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Microempresa. Aquella cuyos ingresos por actividades ordinarias anuales sean inferiores o iguales a treinta y dos mil novecientos ochenta y ocho Unidades de Valor Tributario (32.988 UVT).</w:t>
      </w:r>
    </w:p>
    <w:p w14:paraId="41B50328"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5846EBC6"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33CFE764"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3. Para el sector de comercio:</w:t>
      </w:r>
    </w:p>
    <w:p w14:paraId="49ECC6B6"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Microempresa. Aquella cuyos ingresos por actividades ordinarias anuales sean inferiores o iguales a cuarenta y cuatro mil setecientos sesenta y nueve Unidades de Valor Tributario (44.769 UVT).</w:t>
      </w:r>
    </w:p>
    <w:p w14:paraId="1B9016BA"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01C4928C"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14:paraId="6D36C871"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Parágrafo 1. Se considera gran empresa aquella que tiene ingresos por actividades ordinarias anuales mayores al rango superior de las medianas empresas, en cada uno de los sectores económicos descritos anteriormente.</w:t>
      </w:r>
    </w:p>
    <w:p w14:paraId="69B4911C"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Parágrafo 2. Para aquella empresa cuya actividad principal no corresponda exclusivamente a uno de los anteriores sectores, los rangos a aplicar serán aquellos previstos para el sector manufacturero.</w:t>
      </w:r>
    </w:p>
    <w:p w14:paraId="4F2FCBE4" w14:textId="77777777" w:rsidR="0052473B" w:rsidRPr="00084CD2" w:rsidRDefault="0052473B" w:rsidP="0052473B">
      <w:pPr>
        <w:pStyle w:val="Textonotapie"/>
        <w:ind w:firstLine="708"/>
        <w:contextualSpacing/>
        <w:jc w:val="both"/>
        <w:rPr>
          <w:rFonts w:ascii="Verdana" w:hAnsi="Verdana"/>
          <w:sz w:val="15"/>
          <w:szCs w:val="15"/>
          <w:lang w:val="es-CO"/>
        </w:rPr>
      </w:pPr>
      <w:r w:rsidRPr="00084CD2">
        <w:rPr>
          <w:rFonts w:ascii="Verdana" w:hAnsi="Verdana"/>
          <w:sz w:val="15"/>
          <w:szCs w:val="15"/>
          <w:lang w:val="es-CO"/>
        </w:rPr>
        <w:t> Parágrafo 3. Cuando los ingresos de la empresa provengan de más de uno de los sectores contemplados en el presente Capítulo, se considerará la actividad del sector económico cuyos ingresos hayan sido más altos.</w:t>
      </w:r>
    </w:p>
    <w:p w14:paraId="77ADD92B" w14:textId="77777777" w:rsidR="0052473B" w:rsidRPr="00084CD2" w:rsidRDefault="0052473B" w:rsidP="0052473B">
      <w:pPr>
        <w:pStyle w:val="Textonotapie"/>
        <w:ind w:firstLine="708"/>
        <w:contextualSpacing/>
        <w:jc w:val="both"/>
        <w:rPr>
          <w:rFonts w:ascii="Verdana" w:hAnsi="Verdana"/>
          <w:sz w:val="15"/>
          <w:szCs w:val="15"/>
        </w:rPr>
      </w:pPr>
      <w:r w:rsidRPr="00084CD2">
        <w:rPr>
          <w:rFonts w:ascii="Verdana" w:hAnsi="Verdana"/>
          <w:sz w:val="15"/>
          <w:szCs w:val="15"/>
          <w:lang w:val="es-CO"/>
        </w:rPr>
        <w:t> Parágrafo 4. EL Ministerio de Comercio, Industria y Turismo, en conjunto con el Departamento Nacional de Estadística -DANE-, a la fecha de la entrada en vigencia del presente Capitulo establecerá, mediante acto administrativo, el anexo técnico de correspondencia de los tres sectores, manufactura, comercio y servicios con la Clasificación de las Actividades Económicas - CllU Revisión 4”.</w:t>
      </w:r>
      <w:r w:rsidRPr="00084CD2">
        <w:rPr>
          <w:rFonts w:ascii="Verdana" w:hAnsi="Verdana"/>
          <w:sz w:val="15"/>
          <w:szCs w:val="15"/>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165"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5F4281"/>
    <w:multiLevelType w:val="hybridMultilevel"/>
    <w:tmpl w:val="CCF8BE0A"/>
    <w:lvl w:ilvl="0" w:tplc="26BC6B42">
      <w:start w:val="1"/>
      <w:numFmt w:val="lowerLetter"/>
      <w:lvlText w:val="%1)"/>
      <w:lvlJc w:val="left"/>
      <w:pPr>
        <w:ind w:left="1069" w:hanging="360"/>
      </w:pPr>
      <w:rPr>
        <w:rFonts w:hint="default"/>
        <w:i/>
        <w:iCs/>
        <w:sz w:val="18"/>
        <w:szCs w:val="18"/>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0E3A713D"/>
    <w:multiLevelType w:val="hybridMultilevel"/>
    <w:tmpl w:val="25522004"/>
    <w:lvl w:ilvl="0" w:tplc="CF48BA1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273EF8"/>
    <w:multiLevelType w:val="multilevel"/>
    <w:tmpl w:val="CC50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F31B4"/>
    <w:multiLevelType w:val="hybridMultilevel"/>
    <w:tmpl w:val="5E6CC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2F1C37"/>
    <w:multiLevelType w:val="hybridMultilevel"/>
    <w:tmpl w:val="21F624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1071440"/>
    <w:multiLevelType w:val="hybridMultilevel"/>
    <w:tmpl w:val="23E8CFD2"/>
    <w:lvl w:ilvl="0" w:tplc="1C08DDA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9"/>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1"/>
  </w:num>
  <w:num w:numId="13" w16cid:durableId="1512908409">
    <w:abstractNumId w:val="5"/>
  </w:num>
  <w:num w:numId="14" w16cid:durableId="895897244">
    <w:abstractNumId w:val="19"/>
  </w:num>
  <w:num w:numId="15" w16cid:durableId="390349800">
    <w:abstractNumId w:val="15"/>
  </w:num>
  <w:num w:numId="16" w16cid:durableId="1227110730">
    <w:abstractNumId w:val="0"/>
  </w:num>
  <w:num w:numId="17" w16cid:durableId="2068841316">
    <w:abstractNumId w:val="3"/>
  </w:num>
  <w:num w:numId="18" w16cid:durableId="1144280152">
    <w:abstractNumId w:val="20"/>
  </w:num>
  <w:num w:numId="19" w16cid:durableId="1602300139">
    <w:abstractNumId w:val="4"/>
  </w:num>
  <w:num w:numId="20" w16cid:durableId="1397629488">
    <w:abstractNumId w:val="13"/>
  </w:num>
  <w:num w:numId="21" w16cid:durableId="861283267">
    <w:abstractNumId w:val="7"/>
  </w:num>
  <w:num w:numId="22" w16cid:durableId="1235579301">
    <w:abstractNumId w:val="6"/>
  </w:num>
  <w:num w:numId="23" w16cid:durableId="5458022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541"/>
    <w:rsid w:val="0001041A"/>
    <w:rsid w:val="00016F78"/>
    <w:rsid w:val="00017468"/>
    <w:rsid w:val="0001755B"/>
    <w:rsid w:val="00024220"/>
    <w:rsid w:val="00027F95"/>
    <w:rsid w:val="00034FE9"/>
    <w:rsid w:val="00045A4D"/>
    <w:rsid w:val="00046945"/>
    <w:rsid w:val="00054748"/>
    <w:rsid w:val="000612FD"/>
    <w:rsid w:val="00061B2A"/>
    <w:rsid w:val="00063B8B"/>
    <w:rsid w:val="000642C7"/>
    <w:rsid w:val="000675E2"/>
    <w:rsid w:val="00071AD1"/>
    <w:rsid w:val="00082362"/>
    <w:rsid w:val="00083164"/>
    <w:rsid w:val="00085500"/>
    <w:rsid w:val="0009582C"/>
    <w:rsid w:val="000A0B60"/>
    <w:rsid w:val="000A683E"/>
    <w:rsid w:val="000B19B9"/>
    <w:rsid w:val="000D0334"/>
    <w:rsid w:val="000D5DA7"/>
    <w:rsid w:val="000E06D3"/>
    <w:rsid w:val="000F6486"/>
    <w:rsid w:val="0010054E"/>
    <w:rsid w:val="0010594F"/>
    <w:rsid w:val="00116491"/>
    <w:rsid w:val="00116940"/>
    <w:rsid w:val="00116E26"/>
    <w:rsid w:val="00125105"/>
    <w:rsid w:val="001268C0"/>
    <w:rsid w:val="00127233"/>
    <w:rsid w:val="001279A7"/>
    <w:rsid w:val="00132271"/>
    <w:rsid w:val="00144F0A"/>
    <w:rsid w:val="0015699B"/>
    <w:rsid w:val="00165403"/>
    <w:rsid w:val="00175917"/>
    <w:rsid w:val="0018173F"/>
    <w:rsid w:val="00192F16"/>
    <w:rsid w:val="00193637"/>
    <w:rsid w:val="00194792"/>
    <w:rsid w:val="001A05CA"/>
    <w:rsid w:val="001A1C4B"/>
    <w:rsid w:val="001A33BF"/>
    <w:rsid w:val="001B7BFE"/>
    <w:rsid w:val="001C1E35"/>
    <w:rsid w:val="001D5D34"/>
    <w:rsid w:val="001E0D84"/>
    <w:rsid w:val="001E2B8B"/>
    <w:rsid w:val="001E4177"/>
    <w:rsid w:val="001F0B24"/>
    <w:rsid w:val="001F7DC6"/>
    <w:rsid w:val="0020050D"/>
    <w:rsid w:val="00210F23"/>
    <w:rsid w:val="00211AE1"/>
    <w:rsid w:val="002144E5"/>
    <w:rsid w:val="0022400B"/>
    <w:rsid w:val="0023261B"/>
    <w:rsid w:val="002421BB"/>
    <w:rsid w:val="002422E4"/>
    <w:rsid w:val="00254843"/>
    <w:rsid w:val="002576DC"/>
    <w:rsid w:val="0025796E"/>
    <w:rsid w:val="00267882"/>
    <w:rsid w:val="002707A2"/>
    <w:rsid w:val="00275975"/>
    <w:rsid w:val="00282002"/>
    <w:rsid w:val="00282862"/>
    <w:rsid w:val="00282D17"/>
    <w:rsid w:val="002951A0"/>
    <w:rsid w:val="002962BC"/>
    <w:rsid w:val="002A093D"/>
    <w:rsid w:val="002A0DD0"/>
    <w:rsid w:val="002A49AC"/>
    <w:rsid w:val="002A64FD"/>
    <w:rsid w:val="002A7D0D"/>
    <w:rsid w:val="002B1D63"/>
    <w:rsid w:val="002B4237"/>
    <w:rsid w:val="002B7ECD"/>
    <w:rsid w:val="002C1D40"/>
    <w:rsid w:val="002C2DF2"/>
    <w:rsid w:val="002C376B"/>
    <w:rsid w:val="002C7A84"/>
    <w:rsid w:val="002E2BF8"/>
    <w:rsid w:val="002E37B2"/>
    <w:rsid w:val="002E4FD9"/>
    <w:rsid w:val="00301B67"/>
    <w:rsid w:val="0030657A"/>
    <w:rsid w:val="003144F7"/>
    <w:rsid w:val="003148E3"/>
    <w:rsid w:val="00321D63"/>
    <w:rsid w:val="00322A85"/>
    <w:rsid w:val="00324168"/>
    <w:rsid w:val="00327136"/>
    <w:rsid w:val="00330834"/>
    <w:rsid w:val="00331CC4"/>
    <w:rsid w:val="00332110"/>
    <w:rsid w:val="00335850"/>
    <w:rsid w:val="003448F4"/>
    <w:rsid w:val="00344D47"/>
    <w:rsid w:val="003568BE"/>
    <w:rsid w:val="00361D7C"/>
    <w:rsid w:val="003652FF"/>
    <w:rsid w:val="00373C2A"/>
    <w:rsid w:val="00373DB2"/>
    <w:rsid w:val="00374F5E"/>
    <w:rsid w:val="00377E3E"/>
    <w:rsid w:val="003977C2"/>
    <w:rsid w:val="003A779E"/>
    <w:rsid w:val="003C1DE4"/>
    <w:rsid w:val="003C20F3"/>
    <w:rsid w:val="003D0F4D"/>
    <w:rsid w:val="003D2711"/>
    <w:rsid w:val="003D5B0D"/>
    <w:rsid w:val="003E0499"/>
    <w:rsid w:val="003E4F80"/>
    <w:rsid w:val="003E6439"/>
    <w:rsid w:val="003E7CF4"/>
    <w:rsid w:val="003F1BCC"/>
    <w:rsid w:val="003F3941"/>
    <w:rsid w:val="003F47D7"/>
    <w:rsid w:val="00403964"/>
    <w:rsid w:val="00406424"/>
    <w:rsid w:val="00406575"/>
    <w:rsid w:val="00411024"/>
    <w:rsid w:val="00414C74"/>
    <w:rsid w:val="00425D4E"/>
    <w:rsid w:val="0042722E"/>
    <w:rsid w:val="00427DE5"/>
    <w:rsid w:val="00433BEF"/>
    <w:rsid w:val="0043641A"/>
    <w:rsid w:val="004373B4"/>
    <w:rsid w:val="00441E4A"/>
    <w:rsid w:val="0044528D"/>
    <w:rsid w:val="00457A70"/>
    <w:rsid w:val="00461A0A"/>
    <w:rsid w:val="004630E5"/>
    <w:rsid w:val="00466A1C"/>
    <w:rsid w:val="00466E39"/>
    <w:rsid w:val="00471DAE"/>
    <w:rsid w:val="00477A70"/>
    <w:rsid w:val="004819DB"/>
    <w:rsid w:val="00482B87"/>
    <w:rsid w:val="00495476"/>
    <w:rsid w:val="004A1847"/>
    <w:rsid w:val="004A305D"/>
    <w:rsid w:val="004B48C8"/>
    <w:rsid w:val="004B4BBB"/>
    <w:rsid w:val="004C1F3D"/>
    <w:rsid w:val="004E3116"/>
    <w:rsid w:val="004E5211"/>
    <w:rsid w:val="004F21C4"/>
    <w:rsid w:val="004F518D"/>
    <w:rsid w:val="004F685F"/>
    <w:rsid w:val="00503E8D"/>
    <w:rsid w:val="0052473B"/>
    <w:rsid w:val="00527383"/>
    <w:rsid w:val="0054008D"/>
    <w:rsid w:val="005566E8"/>
    <w:rsid w:val="00570B99"/>
    <w:rsid w:val="00574867"/>
    <w:rsid w:val="00591460"/>
    <w:rsid w:val="00593A2E"/>
    <w:rsid w:val="005A65E0"/>
    <w:rsid w:val="005B0A81"/>
    <w:rsid w:val="005B5E1E"/>
    <w:rsid w:val="005C2AE6"/>
    <w:rsid w:val="005C2D83"/>
    <w:rsid w:val="005C3777"/>
    <w:rsid w:val="005C5CDC"/>
    <w:rsid w:val="005C79E1"/>
    <w:rsid w:val="005D0AA9"/>
    <w:rsid w:val="005D476C"/>
    <w:rsid w:val="005E247F"/>
    <w:rsid w:val="005F3F7B"/>
    <w:rsid w:val="00613205"/>
    <w:rsid w:val="00616FA1"/>
    <w:rsid w:val="00617CDD"/>
    <w:rsid w:val="006200BF"/>
    <w:rsid w:val="00621157"/>
    <w:rsid w:val="006219F8"/>
    <w:rsid w:val="00627DD0"/>
    <w:rsid w:val="006302F7"/>
    <w:rsid w:val="00635CDF"/>
    <w:rsid w:val="00640E35"/>
    <w:rsid w:val="006446CE"/>
    <w:rsid w:val="00646B9F"/>
    <w:rsid w:val="00665D70"/>
    <w:rsid w:val="00670E33"/>
    <w:rsid w:val="006724F0"/>
    <w:rsid w:val="006900D9"/>
    <w:rsid w:val="006A193A"/>
    <w:rsid w:val="006B0734"/>
    <w:rsid w:val="006B4AB2"/>
    <w:rsid w:val="006D4CFA"/>
    <w:rsid w:val="006E2FD3"/>
    <w:rsid w:val="006E3A2D"/>
    <w:rsid w:val="006E3CD9"/>
    <w:rsid w:val="006E64D4"/>
    <w:rsid w:val="00706C16"/>
    <w:rsid w:val="00724D03"/>
    <w:rsid w:val="007340C3"/>
    <w:rsid w:val="00740F02"/>
    <w:rsid w:val="00751E4C"/>
    <w:rsid w:val="00752103"/>
    <w:rsid w:val="0075235A"/>
    <w:rsid w:val="00756841"/>
    <w:rsid w:val="00761CC9"/>
    <w:rsid w:val="007622DD"/>
    <w:rsid w:val="007649AB"/>
    <w:rsid w:val="007706DC"/>
    <w:rsid w:val="00771D0C"/>
    <w:rsid w:val="00775C16"/>
    <w:rsid w:val="00775F40"/>
    <w:rsid w:val="007833AC"/>
    <w:rsid w:val="00787E3D"/>
    <w:rsid w:val="007937B7"/>
    <w:rsid w:val="007A059E"/>
    <w:rsid w:val="007B268C"/>
    <w:rsid w:val="007B3388"/>
    <w:rsid w:val="007B5340"/>
    <w:rsid w:val="007B7171"/>
    <w:rsid w:val="007B7B08"/>
    <w:rsid w:val="007C0C0F"/>
    <w:rsid w:val="007C3DC2"/>
    <w:rsid w:val="007D63CC"/>
    <w:rsid w:val="007D6933"/>
    <w:rsid w:val="007E1A66"/>
    <w:rsid w:val="007E5019"/>
    <w:rsid w:val="007E5497"/>
    <w:rsid w:val="008047AC"/>
    <w:rsid w:val="00806F5F"/>
    <w:rsid w:val="00820278"/>
    <w:rsid w:val="0082340A"/>
    <w:rsid w:val="008258C9"/>
    <w:rsid w:val="0083635B"/>
    <w:rsid w:val="00843EB6"/>
    <w:rsid w:val="00844A6B"/>
    <w:rsid w:val="00844AE9"/>
    <w:rsid w:val="00847BC0"/>
    <w:rsid w:val="00856E3E"/>
    <w:rsid w:val="008576E2"/>
    <w:rsid w:val="0086480A"/>
    <w:rsid w:val="00865247"/>
    <w:rsid w:val="00867F95"/>
    <w:rsid w:val="008813A3"/>
    <w:rsid w:val="008843B6"/>
    <w:rsid w:val="00891928"/>
    <w:rsid w:val="008A08C2"/>
    <w:rsid w:val="008A446D"/>
    <w:rsid w:val="008A7784"/>
    <w:rsid w:val="008B25F1"/>
    <w:rsid w:val="008B5A0C"/>
    <w:rsid w:val="008C0348"/>
    <w:rsid w:val="008C2148"/>
    <w:rsid w:val="008D180B"/>
    <w:rsid w:val="008D1C1D"/>
    <w:rsid w:val="008D34F2"/>
    <w:rsid w:val="008E73E1"/>
    <w:rsid w:val="008F0EA7"/>
    <w:rsid w:val="008F297F"/>
    <w:rsid w:val="008F6CB9"/>
    <w:rsid w:val="008F7DFC"/>
    <w:rsid w:val="00904F2B"/>
    <w:rsid w:val="00917D08"/>
    <w:rsid w:val="00923EEF"/>
    <w:rsid w:val="009419F9"/>
    <w:rsid w:val="00942F04"/>
    <w:rsid w:val="00947764"/>
    <w:rsid w:val="00952228"/>
    <w:rsid w:val="0095685E"/>
    <w:rsid w:val="00961B09"/>
    <w:rsid w:val="00965334"/>
    <w:rsid w:val="0096783E"/>
    <w:rsid w:val="00967D67"/>
    <w:rsid w:val="0097093E"/>
    <w:rsid w:val="009712CF"/>
    <w:rsid w:val="00976CEB"/>
    <w:rsid w:val="0098514C"/>
    <w:rsid w:val="009A0DFA"/>
    <w:rsid w:val="009A1C6F"/>
    <w:rsid w:val="009A6D45"/>
    <w:rsid w:val="009B0163"/>
    <w:rsid w:val="009B2D26"/>
    <w:rsid w:val="009C4DE6"/>
    <w:rsid w:val="009C5ADB"/>
    <w:rsid w:val="009C71FA"/>
    <w:rsid w:val="009C72E7"/>
    <w:rsid w:val="009C7F7E"/>
    <w:rsid w:val="009D3058"/>
    <w:rsid w:val="009E28AD"/>
    <w:rsid w:val="009E75C5"/>
    <w:rsid w:val="009F0380"/>
    <w:rsid w:val="009F1284"/>
    <w:rsid w:val="009F3A13"/>
    <w:rsid w:val="009F6918"/>
    <w:rsid w:val="00A06FFF"/>
    <w:rsid w:val="00A122D3"/>
    <w:rsid w:val="00A14468"/>
    <w:rsid w:val="00A17F13"/>
    <w:rsid w:val="00A20739"/>
    <w:rsid w:val="00A23AF9"/>
    <w:rsid w:val="00A27052"/>
    <w:rsid w:val="00A33C78"/>
    <w:rsid w:val="00A54A64"/>
    <w:rsid w:val="00A575B5"/>
    <w:rsid w:val="00A67369"/>
    <w:rsid w:val="00A8192E"/>
    <w:rsid w:val="00A858CF"/>
    <w:rsid w:val="00A859B6"/>
    <w:rsid w:val="00A97A39"/>
    <w:rsid w:val="00AA6777"/>
    <w:rsid w:val="00AB0ADB"/>
    <w:rsid w:val="00AC5DA8"/>
    <w:rsid w:val="00AD2ACC"/>
    <w:rsid w:val="00AD55D9"/>
    <w:rsid w:val="00AE189B"/>
    <w:rsid w:val="00AE329C"/>
    <w:rsid w:val="00AE574C"/>
    <w:rsid w:val="00AE595A"/>
    <w:rsid w:val="00AE6D51"/>
    <w:rsid w:val="00AF247C"/>
    <w:rsid w:val="00AF3A3E"/>
    <w:rsid w:val="00B00C0E"/>
    <w:rsid w:val="00B01B1A"/>
    <w:rsid w:val="00B0381D"/>
    <w:rsid w:val="00B11F11"/>
    <w:rsid w:val="00B121F7"/>
    <w:rsid w:val="00B13E8D"/>
    <w:rsid w:val="00B147A4"/>
    <w:rsid w:val="00B14EED"/>
    <w:rsid w:val="00B36AF7"/>
    <w:rsid w:val="00B37401"/>
    <w:rsid w:val="00B44A47"/>
    <w:rsid w:val="00B44AE2"/>
    <w:rsid w:val="00B44E76"/>
    <w:rsid w:val="00B5789D"/>
    <w:rsid w:val="00B57B01"/>
    <w:rsid w:val="00B66AA8"/>
    <w:rsid w:val="00B66E67"/>
    <w:rsid w:val="00B72CD3"/>
    <w:rsid w:val="00B72FFF"/>
    <w:rsid w:val="00B93F50"/>
    <w:rsid w:val="00BA310B"/>
    <w:rsid w:val="00BC3D36"/>
    <w:rsid w:val="00BC7C12"/>
    <w:rsid w:val="00BD0BDC"/>
    <w:rsid w:val="00BD54A6"/>
    <w:rsid w:val="00BD6409"/>
    <w:rsid w:val="00BD7F72"/>
    <w:rsid w:val="00BE2378"/>
    <w:rsid w:val="00BE68E7"/>
    <w:rsid w:val="00BE6D2E"/>
    <w:rsid w:val="00BF590D"/>
    <w:rsid w:val="00BF7425"/>
    <w:rsid w:val="00C04FB3"/>
    <w:rsid w:val="00C11D8B"/>
    <w:rsid w:val="00C138F9"/>
    <w:rsid w:val="00C15139"/>
    <w:rsid w:val="00C26510"/>
    <w:rsid w:val="00C27470"/>
    <w:rsid w:val="00C330EB"/>
    <w:rsid w:val="00C40E96"/>
    <w:rsid w:val="00C416B1"/>
    <w:rsid w:val="00C5070A"/>
    <w:rsid w:val="00C50D69"/>
    <w:rsid w:val="00C50E70"/>
    <w:rsid w:val="00C5365C"/>
    <w:rsid w:val="00C55450"/>
    <w:rsid w:val="00C645F4"/>
    <w:rsid w:val="00C67E80"/>
    <w:rsid w:val="00C70581"/>
    <w:rsid w:val="00C754BE"/>
    <w:rsid w:val="00C76B1C"/>
    <w:rsid w:val="00C82AEE"/>
    <w:rsid w:val="00C925AC"/>
    <w:rsid w:val="00CA2A60"/>
    <w:rsid w:val="00CB2DFB"/>
    <w:rsid w:val="00CB4E73"/>
    <w:rsid w:val="00CB6357"/>
    <w:rsid w:val="00CC028B"/>
    <w:rsid w:val="00CC0DB5"/>
    <w:rsid w:val="00CC1B26"/>
    <w:rsid w:val="00CC2530"/>
    <w:rsid w:val="00CC424E"/>
    <w:rsid w:val="00CC55E8"/>
    <w:rsid w:val="00CC6EA4"/>
    <w:rsid w:val="00CD09A7"/>
    <w:rsid w:val="00CF0A77"/>
    <w:rsid w:val="00D05962"/>
    <w:rsid w:val="00D34887"/>
    <w:rsid w:val="00D361FD"/>
    <w:rsid w:val="00D375A2"/>
    <w:rsid w:val="00D423A2"/>
    <w:rsid w:val="00D44E26"/>
    <w:rsid w:val="00D47A94"/>
    <w:rsid w:val="00D47E0F"/>
    <w:rsid w:val="00D520D8"/>
    <w:rsid w:val="00D52A6D"/>
    <w:rsid w:val="00D6057E"/>
    <w:rsid w:val="00D63AC2"/>
    <w:rsid w:val="00D7383B"/>
    <w:rsid w:val="00D7788A"/>
    <w:rsid w:val="00D9012C"/>
    <w:rsid w:val="00D93290"/>
    <w:rsid w:val="00DA0544"/>
    <w:rsid w:val="00DA0612"/>
    <w:rsid w:val="00DA231B"/>
    <w:rsid w:val="00DA4941"/>
    <w:rsid w:val="00DB62F2"/>
    <w:rsid w:val="00DC39FC"/>
    <w:rsid w:val="00DF4613"/>
    <w:rsid w:val="00DF51B8"/>
    <w:rsid w:val="00DF5254"/>
    <w:rsid w:val="00E00EC8"/>
    <w:rsid w:val="00E02524"/>
    <w:rsid w:val="00E03BB4"/>
    <w:rsid w:val="00E12F1D"/>
    <w:rsid w:val="00E16408"/>
    <w:rsid w:val="00E20894"/>
    <w:rsid w:val="00E22A31"/>
    <w:rsid w:val="00E245AB"/>
    <w:rsid w:val="00E2764C"/>
    <w:rsid w:val="00E27F2E"/>
    <w:rsid w:val="00E33E17"/>
    <w:rsid w:val="00E372B8"/>
    <w:rsid w:val="00E37D67"/>
    <w:rsid w:val="00E41A71"/>
    <w:rsid w:val="00E50AFE"/>
    <w:rsid w:val="00E56386"/>
    <w:rsid w:val="00E60756"/>
    <w:rsid w:val="00E6428D"/>
    <w:rsid w:val="00E65215"/>
    <w:rsid w:val="00E75C92"/>
    <w:rsid w:val="00E771DC"/>
    <w:rsid w:val="00E863A3"/>
    <w:rsid w:val="00E8772A"/>
    <w:rsid w:val="00E90F6B"/>
    <w:rsid w:val="00E91CA9"/>
    <w:rsid w:val="00E92C27"/>
    <w:rsid w:val="00EA0E3D"/>
    <w:rsid w:val="00EA71F6"/>
    <w:rsid w:val="00EC38A7"/>
    <w:rsid w:val="00EC3DCF"/>
    <w:rsid w:val="00ED2182"/>
    <w:rsid w:val="00EE1AA8"/>
    <w:rsid w:val="00EE2ECC"/>
    <w:rsid w:val="00EE6152"/>
    <w:rsid w:val="00EF0894"/>
    <w:rsid w:val="00EF3663"/>
    <w:rsid w:val="00F072DC"/>
    <w:rsid w:val="00F151FA"/>
    <w:rsid w:val="00F23FEA"/>
    <w:rsid w:val="00F31166"/>
    <w:rsid w:val="00F31EDC"/>
    <w:rsid w:val="00F4564D"/>
    <w:rsid w:val="00F462B3"/>
    <w:rsid w:val="00F52B54"/>
    <w:rsid w:val="00F5664F"/>
    <w:rsid w:val="00F63CDC"/>
    <w:rsid w:val="00F666C4"/>
    <w:rsid w:val="00F76AFC"/>
    <w:rsid w:val="00F82EBA"/>
    <w:rsid w:val="00F8463E"/>
    <w:rsid w:val="00FA47C0"/>
    <w:rsid w:val="00FB44C9"/>
    <w:rsid w:val="00FB5DD1"/>
    <w:rsid w:val="00FB7209"/>
    <w:rsid w:val="00FC021D"/>
    <w:rsid w:val="00FC285E"/>
    <w:rsid w:val="00FC2B5D"/>
    <w:rsid w:val="00FC7F7A"/>
    <w:rsid w:val="00FD0113"/>
    <w:rsid w:val="00FE029B"/>
    <w:rsid w:val="00FE1C78"/>
    <w:rsid w:val="00FF1116"/>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474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rgiolozano54@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B17DF36-FC0D-49E6-8133-27DD2BA77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1126</TotalTime>
  <Pages>15</Pages>
  <Words>4193</Words>
  <Characters>23065</Characters>
  <Application>Microsoft Office Word</Application>
  <DocSecurity>0</DocSecurity>
  <Lines>192</Lines>
  <Paragraphs>54</Paragraphs>
  <ScaleCrop>false</ScaleCrop>
  <Company/>
  <LinksUpToDate>false</LinksUpToDate>
  <CharactersWithSpaces>27204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277</cp:revision>
  <cp:lastPrinted>2023-01-10T21:18:00Z</cp:lastPrinted>
  <dcterms:created xsi:type="dcterms:W3CDTF">2026-05-25T13:41:00Z</dcterms:created>
  <dcterms:modified xsi:type="dcterms:W3CDTF">2026-07-08T23:04:00Z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