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A7BA89" w14:textId="77777777" w:rsidR="00E47B7E" w:rsidRPr="00BB3BE4" w:rsidRDefault="00E47B7E" w:rsidP="00E47B7E">
      <w:pPr>
        <w:tabs>
          <w:tab w:val="left" w:pos="709"/>
        </w:tabs>
        <w:spacing w:after="0" w:line="240" w:lineRule="auto"/>
        <w:jc w:val="both"/>
        <w:rPr>
          <w:rFonts w:ascii="Verdana" w:eastAsia="Calibri" w:hAnsi="Verdana" w:cs="Arial"/>
          <w:bCs/>
          <w:sz w:val="20"/>
          <w:szCs w:val="20"/>
          <w:lang w:val="es-ES_tradnl" w:eastAsia="es-ES_tradnl"/>
        </w:rPr>
      </w:pPr>
    </w:p>
    <w:p w14:paraId="23A7BA8A" w14:textId="77777777" w:rsidR="00E47B7E" w:rsidRPr="00BB3BE4" w:rsidRDefault="00E47B7E" w:rsidP="00E47B7E">
      <w:pPr>
        <w:tabs>
          <w:tab w:val="left" w:pos="709"/>
        </w:tabs>
        <w:spacing w:after="0" w:line="240" w:lineRule="auto"/>
        <w:jc w:val="both"/>
        <w:rPr>
          <w:rFonts w:ascii="Verdana" w:eastAsia="Calibri" w:hAnsi="Verdana" w:cs="Arial"/>
          <w:b/>
          <w:lang w:val="es-ES_tradnl" w:eastAsia="es-ES_tradnl"/>
        </w:rPr>
      </w:pPr>
      <w:r w:rsidRPr="00BB3BE4">
        <w:rPr>
          <w:rFonts w:ascii="Verdana" w:eastAsia="Calibri" w:hAnsi="Verdana" w:cs="Arial"/>
          <w:b/>
          <w:lang w:val="es-ES_tradnl" w:eastAsia="es-ES_tradnl"/>
        </w:rPr>
        <w:t>PROPONENTE PLURAL ‒ Consorcio ‒ Uni</w:t>
      </w:r>
      <w:r w:rsidRPr="00BB3BE4">
        <w:rPr>
          <w:rFonts w:ascii="Verdana" w:eastAsia="Calibri" w:hAnsi="Verdana" w:cs="Century Gothic"/>
          <w:b/>
          <w:lang w:val="es-ES_tradnl" w:eastAsia="es-ES_tradnl"/>
        </w:rPr>
        <w:t>ó</w:t>
      </w:r>
      <w:r w:rsidRPr="00BB3BE4">
        <w:rPr>
          <w:rFonts w:ascii="Verdana" w:eastAsia="Calibri" w:hAnsi="Verdana" w:cs="Arial"/>
          <w:b/>
          <w:lang w:val="es-ES_tradnl" w:eastAsia="es-ES_tradnl"/>
        </w:rPr>
        <w:t xml:space="preserve">n temporal ‒ Concepto </w:t>
      </w:r>
      <w:r w:rsidRPr="00BB3BE4">
        <w:rPr>
          <w:rFonts w:ascii="Verdana" w:eastAsia="Calibri" w:hAnsi="Verdana" w:cs="Century Gothic"/>
          <w:b/>
          <w:lang w:val="es-ES_tradnl" w:eastAsia="es-ES_tradnl"/>
        </w:rPr>
        <w:t>–</w:t>
      </w:r>
      <w:r w:rsidRPr="00BB3BE4">
        <w:rPr>
          <w:rFonts w:ascii="Verdana" w:eastAsia="Calibri" w:hAnsi="Verdana" w:cs="Arial"/>
          <w:b/>
          <w:lang w:val="es-ES_tradnl" w:eastAsia="es-ES_tradnl"/>
        </w:rPr>
        <w:t xml:space="preserve"> Diferencias</w:t>
      </w:r>
    </w:p>
    <w:p w14:paraId="23A7BA8B" w14:textId="77777777" w:rsidR="00E47B7E" w:rsidRPr="00BB3BE4" w:rsidRDefault="00E47B7E" w:rsidP="00E47B7E">
      <w:pPr>
        <w:tabs>
          <w:tab w:val="left" w:pos="709"/>
        </w:tabs>
        <w:spacing w:after="0" w:line="240" w:lineRule="auto"/>
        <w:jc w:val="both"/>
        <w:rPr>
          <w:rFonts w:ascii="Verdana" w:eastAsia="Calibri" w:hAnsi="Verdana" w:cs="Arial"/>
          <w:bCs/>
          <w:sz w:val="20"/>
          <w:szCs w:val="20"/>
          <w:lang w:val="es-ES_tradnl" w:eastAsia="es-ES_tradnl"/>
        </w:rPr>
      </w:pPr>
    </w:p>
    <w:p w14:paraId="23A7BA8C" w14:textId="77777777" w:rsidR="00E47B7E" w:rsidRPr="00BB3BE4" w:rsidRDefault="00E47B7E" w:rsidP="00E47B7E">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w:t>
      </w:r>
      <w:r>
        <w:rPr>
          <w:rFonts w:ascii="Verdana" w:hAnsi="Verdana" w:cs="Arial"/>
          <w:color w:val="000000" w:themeColor="text1"/>
          <w:sz w:val="20"/>
          <w:szCs w:val="20"/>
        </w:rPr>
        <w:t xml:space="preserve">el grado de </w:t>
      </w:r>
      <w:r w:rsidRPr="00BB3BE4">
        <w:rPr>
          <w:rFonts w:ascii="Verdana" w:hAnsi="Verdana" w:cs="Arial"/>
          <w:color w:val="000000" w:themeColor="text1"/>
          <w:sz w:val="20"/>
          <w:szCs w:val="20"/>
        </w:rPr>
        <w:t xml:space="preserve"> participación de sus miembros, mientras que en el consorcio los miembros responden solidariamente</w:t>
      </w:r>
      <w:r>
        <w:rPr>
          <w:rFonts w:ascii="Verdana" w:hAnsi="Verdana" w:cs="Arial"/>
          <w:color w:val="000000" w:themeColor="text1"/>
          <w:sz w:val="20"/>
          <w:szCs w:val="20"/>
        </w:rPr>
        <w:t xml:space="preserve"> independientemente de su grado de participación</w:t>
      </w:r>
      <w:r w:rsidRPr="00BB3BE4">
        <w:rPr>
          <w:rFonts w:ascii="Verdana" w:hAnsi="Verdana" w:cs="Arial"/>
          <w:color w:val="000000" w:themeColor="text1"/>
          <w:sz w:val="20"/>
          <w:szCs w:val="20"/>
        </w:rPr>
        <w:t xml:space="preserve">.  </w:t>
      </w:r>
    </w:p>
    <w:p w14:paraId="23A7BA8D" w14:textId="77777777" w:rsidR="00E47B7E" w:rsidRPr="00BB3BE4" w:rsidRDefault="00E47B7E" w:rsidP="00E47B7E">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w:t>
      </w:r>
    </w:p>
    <w:p w14:paraId="23A7BA8E" w14:textId="77777777" w:rsidR="00E47B7E" w:rsidRPr="00BB3BE4" w:rsidRDefault="00E47B7E" w:rsidP="00E47B7E">
      <w:pPr>
        <w:tabs>
          <w:tab w:val="left" w:pos="709"/>
        </w:tabs>
        <w:spacing w:after="0" w:line="240" w:lineRule="auto"/>
        <w:jc w:val="both"/>
        <w:rPr>
          <w:rFonts w:ascii="Verdana" w:eastAsia="Calibri" w:hAnsi="Verdana" w:cs="Arial"/>
          <w:b/>
          <w:color w:val="000000" w:themeColor="text1"/>
        </w:rPr>
      </w:pPr>
      <w:r w:rsidRPr="00BB3BE4">
        <w:rPr>
          <w:rFonts w:ascii="Verdana" w:eastAsia="Calibri" w:hAnsi="Verdana" w:cs="Arial"/>
          <w:b/>
          <w:lang w:val="es-ES_tradnl" w:eastAsia="es-ES_tradnl"/>
        </w:rPr>
        <w:t>CONSORCIOS Y UNIONES TEMPORALES – Ausencia de personería jurídica – Capacidad jurídica restringida</w:t>
      </w:r>
    </w:p>
    <w:p w14:paraId="23A7BA8F" w14:textId="77777777" w:rsidR="00E47B7E" w:rsidRPr="00BB3BE4" w:rsidRDefault="00E47B7E" w:rsidP="00E47B7E">
      <w:pPr>
        <w:spacing w:after="0" w:line="240" w:lineRule="auto"/>
        <w:jc w:val="both"/>
        <w:rPr>
          <w:rFonts w:ascii="Verdana" w:eastAsia="Calibri" w:hAnsi="Verdana" w:cs="Arial"/>
          <w:bCs/>
          <w:sz w:val="20"/>
          <w:szCs w:val="20"/>
          <w:lang w:val="es-ES_tradnl" w:eastAsia="es-ES_tradnl"/>
        </w:rPr>
      </w:pPr>
    </w:p>
    <w:p w14:paraId="23A7BA90" w14:textId="77777777" w:rsidR="00E47B7E" w:rsidRPr="00BB3BE4" w:rsidRDefault="00E47B7E" w:rsidP="00E47B7E">
      <w:pPr>
        <w:spacing w:after="0" w:line="240" w:lineRule="auto"/>
        <w:jc w:val="both"/>
        <w:rPr>
          <w:rFonts w:ascii="Verdana" w:eastAsia="Calibri" w:hAnsi="Verdana" w:cs="Arial"/>
          <w:bCs/>
          <w:color w:val="000000" w:themeColor="text1"/>
          <w:sz w:val="20"/>
          <w:szCs w:val="20"/>
          <w:lang w:val="es-ES"/>
        </w:rPr>
      </w:pPr>
      <w:r w:rsidRPr="00BB3BE4">
        <w:rPr>
          <w:rFonts w:ascii="Verdana" w:eastAsia="Calibri" w:hAnsi="Verdana" w:cs="Arial"/>
          <w:bCs/>
          <w:color w:val="000000" w:themeColor="text1"/>
          <w:sz w:val="20"/>
          <w:szCs w:val="20"/>
          <w:lang w:val="es-ES"/>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w:t>
      </w:r>
    </w:p>
    <w:p w14:paraId="23A7BA91" w14:textId="77777777" w:rsidR="00E47B7E" w:rsidRPr="00BB3BE4" w:rsidRDefault="00E47B7E" w:rsidP="00E47B7E">
      <w:pPr>
        <w:spacing w:after="0" w:line="240" w:lineRule="auto"/>
        <w:jc w:val="both"/>
        <w:rPr>
          <w:rFonts w:ascii="Verdana" w:eastAsia="Calibri" w:hAnsi="Verdana" w:cs="Arial"/>
          <w:bCs/>
          <w:color w:val="000000" w:themeColor="text1"/>
          <w:sz w:val="20"/>
          <w:szCs w:val="20"/>
          <w:lang w:val="es-ES"/>
        </w:rPr>
      </w:pPr>
    </w:p>
    <w:p w14:paraId="23A7BA92" w14:textId="77777777" w:rsidR="00E47B7E" w:rsidRPr="00BB3BE4" w:rsidRDefault="00E47B7E" w:rsidP="00E47B7E">
      <w:pPr>
        <w:spacing w:after="0" w:line="240" w:lineRule="auto"/>
        <w:jc w:val="both"/>
        <w:rPr>
          <w:rFonts w:ascii="Verdana" w:hAnsi="Verdana" w:cs="Arial"/>
          <w:color w:val="000000" w:themeColor="text1"/>
          <w:sz w:val="20"/>
          <w:szCs w:val="20"/>
        </w:rPr>
      </w:pPr>
      <w:r w:rsidRPr="00BB3BE4">
        <w:rPr>
          <w:rFonts w:ascii="Verdana" w:eastAsia="Calibri" w:hAnsi="Verdana" w:cs="Arial"/>
          <w:bCs/>
          <w:color w:val="000000" w:themeColor="text1"/>
          <w:sz w:val="20"/>
          <w:szCs w:val="20"/>
          <w:lang w:val="es-ES"/>
        </w:rPr>
        <w:t>[…] el consorcio o la unión temporal se da “Cuando dos o más personas en forma conjunta presentan una misma propuesta para la adjudicación, celebración y ejecución de un contrato […]”.</w:t>
      </w:r>
      <w:r w:rsidRPr="00BB3BE4">
        <w:rPr>
          <w:rFonts w:ascii="Verdana" w:hAnsi="Verdana" w:cs="Arial"/>
          <w:color w:val="000000" w:themeColor="text1"/>
          <w:sz w:val="20"/>
          <w:szCs w:val="20"/>
        </w:rPr>
        <w:t xml:space="preserve"> Desde esta perspectiva, su capacidad para participar en la adjudicación, celebración</w:t>
      </w:r>
      <w:r>
        <w:rPr>
          <w:rFonts w:ascii="Verdana" w:hAnsi="Verdana" w:cs="Arial"/>
          <w:color w:val="000000" w:themeColor="text1"/>
          <w:sz w:val="20"/>
          <w:szCs w:val="20"/>
        </w:rPr>
        <w:t>,</w:t>
      </w:r>
      <w:r w:rsidRPr="00BB3BE4">
        <w:rPr>
          <w:rFonts w:ascii="Verdana" w:hAnsi="Verdana" w:cs="Arial"/>
          <w:color w:val="000000" w:themeColor="text1"/>
          <w:sz w:val="20"/>
          <w:szCs w:val="20"/>
        </w:rPr>
        <w:t xml:space="preserve"> ejecución</w:t>
      </w:r>
      <w:r>
        <w:rPr>
          <w:rFonts w:ascii="Verdana" w:hAnsi="Verdana" w:cs="Arial"/>
          <w:color w:val="000000" w:themeColor="text1"/>
          <w:sz w:val="20"/>
          <w:szCs w:val="20"/>
        </w:rPr>
        <w:t xml:space="preserve"> y liquidación</w:t>
      </w:r>
      <w:r w:rsidRPr="00BB3BE4">
        <w:rPr>
          <w:rFonts w:ascii="Verdana" w:hAnsi="Verdana" w:cs="Arial"/>
          <w:color w:val="000000" w:themeColor="text1"/>
          <w:sz w:val="20"/>
          <w:szCs w:val="20"/>
        </w:rPr>
        <w:t xml:space="preserve">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23A7BA93" w14:textId="77777777" w:rsidR="00E47B7E" w:rsidRPr="00BB3BE4" w:rsidRDefault="00E47B7E" w:rsidP="00E47B7E">
      <w:pPr>
        <w:spacing w:after="0" w:line="240" w:lineRule="auto"/>
        <w:jc w:val="both"/>
        <w:rPr>
          <w:rFonts w:ascii="Verdana" w:hAnsi="Verdana" w:cs="Arial"/>
          <w:color w:val="000000" w:themeColor="text1"/>
          <w:sz w:val="20"/>
          <w:szCs w:val="20"/>
        </w:rPr>
      </w:pPr>
    </w:p>
    <w:p w14:paraId="23A7BA94" w14:textId="77777777" w:rsidR="00E47B7E" w:rsidRPr="00420D9C" w:rsidRDefault="00E47B7E" w:rsidP="00E47B7E">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L</w:t>
      </w:r>
      <w:r w:rsidRPr="00420D9C">
        <w:rPr>
          <w:rFonts w:ascii="Verdana" w:hAnsi="Verdana" w:cs="Arial"/>
          <w:color w:val="000000" w:themeColor="text1"/>
          <w:sz w:val="20"/>
          <w:szCs w:val="20"/>
        </w:rPr>
        <w:t xml:space="preserve">a capacidad jurídica de los proponentes plurales se limita al campo de la contratación estatal de las entidades sometidas al EGCAP, es decir, a las relaciones entre los consorcios y las uniones temporales con las entidades estatales del artículo 2 de la Ley 80 de 1993. Las personas que conforman proponentes plurales pueden presentar en forma conjunta una misma propuesta para la adjudicación, </w:t>
      </w:r>
      <w:proofErr w:type="spellStart"/>
      <w:r w:rsidRPr="00420D9C">
        <w:rPr>
          <w:rFonts w:ascii="Verdana" w:hAnsi="Verdana" w:cs="Arial"/>
          <w:color w:val="000000" w:themeColor="text1"/>
          <w:sz w:val="20"/>
          <w:szCs w:val="20"/>
        </w:rPr>
        <w:t>celebración</w:t>
      </w:r>
      <w:r>
        <w:rPr>
          <w:rFonts w:ascii="Verdana" w:hAnsi="Verdana" w:cs="Arial"/>
          <w:color w:val="000000" w:themeColor="text1"/>
          <w:sz w:val="20"/>
          <w:szCs w:val="20"/>
        </w:rPr>
        <w:t>,</w:t>
      </w:r>
      <w:r w:rsidRPr="00420D9C">
        <w:rPr>
          <w:rFonts w:ascii="Verdana" w:hAnsi="Verdana" w:cs="Arial"/>
          <w:color w:val="000000" w:themeColor="text1"/>
          <w:sz w:val="20"/>
          <w:szCs w:val="20"/>
        </w:rPr>
        <w:t>ejecución</w:t>
      </w:r>
      <w:proofErr w:type="spellEnd"/>
      <w:r w:rsidRPr="00420D9C">
        <w:rPr>
          <w:rFonts w:ascii="Verdana" w:hAnsi="Verdana" w:cs="Arial"/>
          <w:color w:val="000000" w:themeColor="text1"/>
          <w:sz w:val="20"/>
          <w:szCs w:val="20"/>
        </w:rPr>
        <w:t xml:space="preserve"> </w:t>
      </w:r>
      <w:r>
        <w:rPr>
          <w:rFonts w:ascii="Verdana" w:hAnsi="Verdana" w:cs="Arial"/>
          <w:color w:val="000000" w:themeColor="text1"/>
          <w:sz w:val="20"/>
          <w:szCs w:val="20"/>
        </w:rPr>
        <w:t xml:space="preserve">y liquidación </w:t>
      </w:r>
      <w:r w:rsidRPr="00420D9C">
        <w:rPr>
          <w:rFonts w:ascii="Verdana" w:hAnsi="Verdana" w:cs="Arial"/>
          <w:color w:val="000000" w:themeColor="text1"/>
          <w:sz w:val="20"/>
          <w:szCs w:val="20"/>
        </w:rPr>
        <w:t xml:space="preserve">de contratos estatales con </w:t>
      </w:r>
      <w:r w:rsidRPr="00420D9C">
        <w:rPr>
          <w:rFonts w:ascii="Verdana" w:hAnsi="Verdana" w:cs="Arial"/>
          <w:i/>
          <w:iCs/>
          <w:color w:val="000000" w:themeColor="text1"/>
          <w:sz w:val="20"/>
          <w:szCs w:val="20"/>
        </w:rPr>
        <w:t>una o varias</w:t>
      </w:r>
      <w:r w:rsidRPr="00420D9C">
        <w:rPr>
          <w:rFonts w:ascii="Verdana" w:hAnsi="Verdana" w:cs="Arial"/>
          <w:color w:val="000000" w:themeColor="text1"/>
          <w:sz w:val="20"/>
          <w:szCs w:val="20"/>
        </w:rPr>
        <w:t xml:space="preserve"> de las entidades descritas en la norma precitada. Dichas ofertas serán analizadas de acuerdo con los criterios habilitantes y factores de evaluación del pliego de condiciones o documento equivalente, en el marco de las reglas previstas en el Estatuto General de Contratación, sus normas complementarias y los reglamentos respectivos.</w:t>
      </w:r>
    </w:p>
    <w:p w14:paraId="23A7BA95" w14:textId="77777777" w:rsidR="00E47B7E" w:rsidRPr="00396DBB" w:rsidRDefault="00E47B7E" w:rsidP="00E47B7E">
      <w:pPr>
        <w:spacing w:after="0" w:line="240" w:lineRule="auto"/>
        <w:jc w:val="both"/>
        <w:rPr>
          <w:rFonts w:ascii="Verdana" w:hAnsi="Verdana" w:cs="Arial"/>
          <w:color w:val="000000" w:themeColor="text1"/>
          <w:sz w:val="20"/>
          <w:szCs w:val="20"/>
          <w:lang w:val="es-ES_tradnl"/>
        </w:rPr>
      </w:pPr>
    </w:p>
    <w:p w14:paraId="23A7BA96" w14:textId="77777777" w:rsidR="00E47B7E" w:rsidRDefault="00E47B7E" w:rsidP="00E47B7E">
      <w:pPr>
        <w:spacing w:after="0" w:line="240" w:lineRule="auto"/>
        <w:rPr>
          <w:rFonts w:ascii="Verdana" w:hAnsi="Verdana" w:cs="Arial"/>
          <w:b/>
          <w:lang w:eastAsia="es-CO"/>
        </w:rPr>
      </w:pPr>
    </w:p>
    <w:p w14:paraId="23A7BA97" w14:textId="77777777" w:rsidR="00E47B7E" w:rsidRDefault="00E47B7E" w:rsidP="00E47B7E">
      <w:pPr>
        <w:spacing w:after="0" w:line="240" w:lineRule="auto"/>
        <w:jc w:val="both"/>
        <w:rPr>
          <w:rFonts w:ascii="Verdana" w:eastAsia="Times New Roman" w:hAnsi="Verdana" w:cs="Arial"/>
          <w:noProof/>
          <w:lang w:eastAsia="es-ES_tradnl"/>
        </w:rPr>
      </w:pPr>
    </w:p>
    <w:p w14:paraId="23A7BA98" w14:textId="77777777" w:rsidR="00E47B7E" w:rsidRDefault="00E47B7E" w:rsidP="00E47B7E">
      <w:pPr>
        <w:spacing w:after="0" w:line="240" w:lineRule="auto"/>
        <w:jc w:val="both"/>
        <w:rPr>
          <w:rFonts w:ascii="Verdana" w:eastAsia="Times New Roman" w:hAnsi="Verdana" w:cs="Arial"/>
          <w:noProof/>
          <w:lang w:eastAsia="es-ES_tradnl"/>
        </w:rPr>
      </w:pPr>
    </w:p>
    <w:p w14:paraId="23A7BA99" w14:textId="77777777" w:rsidR="00E47B7E" w:rsidRPr="00CC5C68" w:rsidRDefault="00E47B7E" w:rsidP="00E47B7E">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Bogotá D.C., [Día] de [Mes.NombreCapitalizado] de [Año]</w:t>
      </w:r>
    </w:p>
    <w:p w14:paraId="23A7BA9A" w14:textId="77777777" w:rsidR="00E47B7E" w:rsidRDefault="00E47B7E" w:rsidP="00E47B7E">
      <w:pPr>
        <w:spacing w:after="0" w:line="240" w:lineRule="auto"/>
        <w:jc w:val="both"/>
        <w:rPr>
          <w:rFonts w:ascii="Verdana" w:eastAsia="Times New Roman" w:hAnsi="Verdana" w:cs="Arial"/>
          <w:noProof/>
          <w:lang w:val="es-ES_tradnl" w:eastAsia="es-ES_tradnl"/>
        </w:rPr>
      </w:pPr>
    </w:p>
    <w:p w14:paraId="23A7BA9B" w14:textId="77777777" w:rsidR="00E47B7E" w:rsidRPr="00CC5C68" w:rsidRDefault="00F33209" w:rsidP="00E47B7E">
      <w:pPr>
        <w:spacing w:after="0" w:line="240" w:lineRule="auto"/>
        <w:jc w:val="right"/>
        <w:rPr>
          <w:rFonts w:ascii="Verdana" w:eastAsia="Times New Roman" w:hAnsi="Verdana" w:cs="Arial"/>
          <w:noProof/>
          <w:lang w:val="es-ES_tradnl" w:eastAsia="es-ES_tradnl"/>
        </w:rPr>
      </w:pPr>
      <w:r w:rsidRPr="00F33209">
        <w:rPr>
          <w:rFonts w:ascii="Verdana" w:eastAsia="Times New Roman" w:hAnsi="Verdana" w:cs="Arial"/>
          <w:noProof/>
          <w:lang w:val="es-ES_tradnl" w:eastAsia="es-ES_tradnl"/>
        </w:rPr>
        <w:drawing>
          <wp:anchor distT="0" distB="0" distL="114300" distR="114300" simplePos="0" relativeHeight="251658240" behindDoc="1" locked="0" layoutInCell="1" allowOverlap="1" wp14:anchorId="23A7BB21" wp14:editId="23A7BB22">
            <wp:simplePos x="0" y="0"/>
            <wp:positionH relativeFrom="column">
              <wp:posOffset>2439670</wp:posOffset>
            </wp:positionH>
            <wp:positionV relativeFrom="paragraph">
              <wp:posOffset>3810</wp:posOffset>
            </wp:positionV>
            <wp:extent cx="3177783" cy="883762"/>
            <wp:effectExtent l="0" t="0" r="0" b="5715"/>
            <wp:wrapNone/>
            <wp:docPr id="2069670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7008" name=""/>
                    <pic:cNvPicPr/>
                  </pic:nvPicPr>
                  <pic:blipFill>
                    <a:blip r:embed="rId10">
                      <a:extLst>
                        <a:ext uri="{28A0092B-C50C-407E-A947-70E740481C1C}">
                          <a14:useLocalDpi xmlns:a14="http://schemas.microsoft.com/office/drawing/2010/main" val="0"/>
                        </a:ext>
                      </a:extLst>
                    </a:blip>
                    <a:stretch>
                      <a:fillRect/>
                    </a:stretch>
                  </pic:blipFill>
                  <pic:spPr>
                    <a:xfrm>
                      <a:off x="0" y="0"/>
                      <a:ext cx="3177783" cy="883762"/>
                    </a:xfrm>
                    <a:prstGeom prst="rect">
                      <a:avLst/>
                    </a:prstGeom>
                  </pic:spPr>
                </pic:pic>
              </a:graphicData>
            </a:graphic>
            <wp14:sizeRelH relativeFrom="page">
              <wp14:pctWidth>0</wp14:pctWidth>
            </wp14:sizeRelH>
            <wp14:sizeRelV relativeFrom="page">
              <wp14:pctHeight>0</wp14:pctHeight>
            </wp14:sizeRelV>
          </wp:anchor>
        </w:drawing>
      </w:r>
    </w:p>
    <w:p w14:paraId="23A7BA9C" w14:textId="77777777" w:rsidR="00E47B7E" w:rsidRPr="00CC5C68" w:rsidRDefault="00E47B7E" w:rsidP="00E47B7E">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r>
        <w:rPr>
          <w:rFonts w:ascii="Verdana" w:eastAsia="Calibri" w:hAnsi="Verdana" w:cs="Arial"/>
          <w:lang w:val="es-ES" w:eastAsia="es-ES_tradnl"/>
        </w:rPr>
        <w:t>a</w:t>
      </w:r>
    </w:p>
    <w:p w14:paraId="23A7BA9D" w14:textId="77777777" w:rsidR="00E47B7E" w:rsidRDefault="00E47B7E" w:rsidP="00E47B7E">
      <w:pPr>
        <w:spacing w:after="0" w:line="240" w:lineRule="auto"/>
        <w:rPr>
          <w:rFonts w:ascii="Verdana" w:eastAsia="Calibri" w:hAnsi="Verdana" w:cs="Arial"/>
          <w:b/>
          <w:bCs/>
          <w:lang w:val="es-ES" w:eastAsia="es-ES_tradnl"/>
        </w:rPr>
      </w:pPr>
      <w:proofErr w:type="spellStart"/>
      <w:r>
        <w:rPr>
          <w:rFonts w:ascii="Verdana" w:eastAsia="Calibri" w:hAnsi="Verdana" w:cs="Arial"/>
          <w:b/>
          <w:bCs/>
          <w:lang w:val="es-ES" w:eastAsia="es-ES_tradnl"/>
        </w:rPr>
        <w:t>Laudy</w:t>
      </w:r>
      <w:proofErr w:type="spellEnd"/>
      <w:r>
        <w:rPr>
          <w:rFonts w:ascii="Verdana" w:eastAsia="Calibri" w:hAnsi="Verdana" w:cs="Arial"/>
          <w:b/>
          <w:bCs/>
          <w:lang w:val="es-ES" w:eastAsia="es-ES_tradnl"/>
        </w:rPr>
        <w:t xml:space="preserve"> Triana</w:t>
      </w:r>
    </w:p>
    <w:p w14:paraId="23A7BA9E" w14:textId="77777777" w:rsidR="00E47B7E" w:rsidRPr="004B6389" w:rsidRDefault="00E47B7E" w:rsidP="00E47B7E">
      <w:pPr>
        <w:spacing w:after="0" w:line="240" w:lineRule="auto"/>
        <w:rPr>
          <w:rFonts w:ascii="Verdana" w:hAnsi="Verdana"/>
        </w:rPr>
      </w:pPr>
      <w:hyperlink r:id="rId11" w:history="1">
        <w:r w:rsidRPr="004B6389">
          <w:rPr>
            <w:rStyle w:val="Hipervnculo"/>
            <w:rFonts w:ascii="Verdana" w:hAnsi="Verdana"/>
          </w:rPr>
          <w:t>laudylorena@gmail.com</w:t>
        </w:r>
      </w:hyperlink>
    </w:p>
    <w:p w14:paraId="23A7BA9F" w14:textId="77777777" w:rsidR="00E47B7E" w:rsidRPr="00CC5C68" w:rsidRDefault="00E47B7E" w:rsidP="00E47B7E">
      <w:pPr>
        <w:spacing w:after="0" w:line="240" w:lineRule="auto"/>
        <w:rPr>
          <w:rFonts w:ascii="Verdana" w:eastAsia="Calibri" w:hAnsi="Verdana" w:cs="Arial"/>
          <w:lang w:val="es-ES_tradnl" w:eastAsia="es-ES_tradnl"/>
        </w:rPr>
      </w:pPr>
      <w:r>
        <w:rPr>
          <w:rFonts w:ascii="Verdana" w:eastAsia="Calibri" w:hAnsi="Verdana" w:cs="Arial"/>
          <w:bCs/>
          <w:lang w:val="es-ES_tradnl" w:eastAsia="es-ES_tradnl"/>
        </w:rPr>
        <w:t>Bogotá D.C.</w:t>
      </w:r>
    </w:p>
    <w:p w14:paraId="23A7BAA0" w14:textId="77777777" w:rsidR="00E47B7E" w:rsidRPr="00CC5C68" w:rsidRDefault="00E47B7E" w:rsidP="00E47B7E">
      <w:pPr>
        <w:spacing w:after="0" w:line="240" w:lineRule="auto"/>
        <w:rPr>
          <w:rFonts w:ascii="Verdana" w:eastAsia="Calibri" w:hAnsi="Verdana" w:cs="Arial"/>
          <w:lang w:val="es-ES_tradnl" w:eastAsia="es-ES_tradnl"/>
        </w:rPr>
      </w:pPr>
    </w:p>
    <w:p w14:paraId="23A7BAA1" w14:textId="77777777" w:rsidR="00E47B7E" w:rsidRPr="00CC5C68" w:rsidRDefault="00E47B7E" w:rsidP="00E47B7E">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 xml:space="preserve">-894 </w:t>
      </w:r>
      <w:r w:rsidRPr="00CC5C68">
        <w:rPr>
          <w:rFonts w:ascii="Verdana" w:eastAsia="Calibri" w:hAnsi="Verdana" w:cs="Arial"/>
          <w:b/>
          <w:bCs/>
          <w:lang w:val="es-ES" w:eastAsia="es-ES_tradnl"/>
        </w:rPr>
        <w:t>de 2024</w:t>
      </w:r>
    </w:p>
    <w:p w14:paraId="23A7BAA2" w14:textId="77777777" w:rsidR="00E47B7E" w:rsidRPr="00CC5C68" w:rsidRDefault="00E47B7E" w:rsidP="00E47B7E">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E47B7E" w:rsidRPr="00CC5C68" w14:paraId="23A7BAA6" w14:textId="77777777" w:rsidTr="00C77973">
        <w:tc>
          <w:tcPr>
            <w:tcW w:w="2694" w:type="dxa"/>
          </w:tcPr>
          <w:p w14:paraId="23A7BAA3" w14:textId="77777777" w:rsidR="00E47B7E" w:rsidRPr="00CC5C68" w:rsidRDefault="00E47B7E" w:rsidP="00C77973">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23A7BAA4" w14:textId="77777777" w:rsidR="00E47B7E" w:rsidRDefault="00E47B7E" w:rsidP="00C77973">
            <w:pPr>
              <w:contextualSpacing/>
              <w:jc w:val="both"/>
              <w:rPr>
                <w:rFonts w:ascii="Verdana" w:eastAsia="Times New Roman" w:hAnsi="Verdana" w:cs="Arial"/>
                <w:lang w:val="es-ES_tradnl" w:eastAsia="es-ES_tradnl"/>
              </w:rPr>
            </w:pPr>
            <w:r w:rsidRPr="00420D9C">
              <w:rPr>
                <w:rFonts w:ascii="Verdana" w:eastAsia="Calibri" w:hAnsi="Verdana" w:cs="Arial"/>
                <w:lang w:val="es-ES" w:eastAsia="es-ES"/>
              </w:rPr>
              <w:t>PROPONENTE PLURAL ‒ Consorcio ‒ Unión temporal ‒ Concepto – Diferencias / CONSORCIOS Y UNIONES TEMPORALES – Ausencia de personería jurídica – Capacidad jurídica restringida</w:t>
            </w:r>
            <w:r w:rsidRPr="00CC5C68">
              <w:rPr>
                <w:rFonts w:ascii="Verdana" w:eastAsia="Times New Roman" w:hAnsi="Verdana" w:cs="Arial"/>
                <w:lang w:val="es-ES_tradnl" w:eastAsia="es-ES_tradnl"/>
              </w:rPr>
              <w:t xml:space="preserve"> </w:t>
            </w:r>
          </w:p>
          <w:p w14:paraId="23A7BAA5" w14:textId="77777777" w:rsidR="00E47B7E" w:rsidRPr="00CC5C68" w:rsidRDefault="00E47B7E" w:rsidP="00C77973">
            <w:pPr>
              <w:contextualSpacing/>
              <w:jc w:val="both"/>
              <w:rPr>
                <w:rFonts w:ascii="Verdana" w:eastAsia="Times New Roman" w:hAnsi="Verdana" w:cs="Arial"/>
                <w:lang w:val="es-ES_tradnl" w:eastAsia="es-ES_tradnl"/>
              </w:rPr>
            </w:pPr>
          </w:p>
        </w:tc>
      </w:tr>
      <w:tr w:rsidR="00E47B7E" w:rsidRPr="00CC5C68" w14:paraId="23A7BAA9" w14:textId="77777777" w:rsidTr="00C77973">
        <w:tc>
          <w:tcPr>
            <w:tcW w:w="2694" w:type="dxa"/>
          </w:tcPr>
          <w:p w14:paraId="23A7BAA7" w14:textId="77777777" w:rsidR="00E47B7E" w:rsidRPr="00CC5C68" w:rsidRDefault="00E47B7E" w:rsidP="00C77973">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23A7BAA8" w14:textId="77777777" w:rsidR="00E47B7E" w:rsidRPr="00CC5C68" w:rsidRDefault="00E47B7E" w:rsidP="00C77973">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Pr="004B6389">
              <w:rPr>
                <w:rFonts w:ascii="Verdana" w:eastAsia="Times New Roman" w:hAnsi="Verdana" w:cs="Arial"/>
                <w:lang w:eastAsia="es-ES_tradnl"/>
              </w:rPr>
              <w:t>P20241123011823</w:t>
            </w:r>
          </w:p>
        </w:tc>
      </w:tr>
    </w:tbl>
    <w:p w14:paraId="23A7BAAA" w14:textId="77777777" w:rsidR="00E47B7E" w:rsidRPr="00CC5C68" w:rsidRDefault="00E47B7E" w:rsidP="00E47B7E">
      <w:pPr>
        <w:spacing w:after="0" w:line="240" w:lineRule="auto"/>
        <w:jc w:val="both"/>
        <w:rPr>
          <w:rFonts w:ascii="Verdana" w:eastAsia="Calibri" w:hAnsi="Verdana" w:cs="Arial"/>
          <w:lang w:val="es-ES_tradnl" w:eastAsia="es-ES_tradnl"/>
        </w:rPr>
      </w:pPr>
    </w:p>
    <w:p w14:paraId="23A7BAAB" w14:textId="77777777" w:rsidR="00E47B7E" w:rsidRPr="00CC5C68" w:rsidRDefault="00E47B7E" w:rsidP="00E47B7E">
      <w:pPr>
        <w:spacing w:after="0" w:line="276" w:lineRule="auto"/>
        <w:contextualSpacing/>
        <w:jc w:val="both"/>
        <w:rPr>
          <w:rFonts w:ascii="Verdana" w:eastAsia="Calibri" w:hAnsi="Verdana" w:cs="Arial"/>
          <w:lang w:val="es-ES" w:eastAsia="es-ES"/>
        </w:rPr>
      </w:pPr>
      <w:r w:rsidRPr="2D01692F">
        <w:rPr>
          <w:rFonts w:ascii="Verdana" w:eastAsia="Calibri" w:hAnsi="Verdana" w:cs="Arial"/>
          <w:lang w:val="es-ES" w:eastAsia="es-ES"/>
        </w:rPr>
        <w:t>Estimad</w:t>
      </w:r>
      <w:r>
        <w:rPr>
          <w:rFonts w:ascii="Verdana" w:eastAsia="Calibri" w:hAnsi="Verdana" w:cs="Arial"/>
          <w:lang w:val="es-ES" w:eastAsia="es-ES"/>
        </w:rPr>
        <w:t>a</w:t>
      </w:r>
      <w:r w:rsidRPr="2D01692F">
        <w:rPr>
          <w:rFonts w:ascii="Verdana" w:eastAsia="Calibri" w:hAnsi="Verdana" w:cs="Arial"/>
          <w:lang w:val="es-ES" w:eastAsia="es-ES"/>
        </w:rPr>
        <w:t xml:space="preserve"> señor</w:t>
      </w:r>
      <w:r>
        <w:rPr>
          <w:rFonts w:ascii="Verdana" w:eastAsia="Calibri" w:hAnsi="Verdana" w:cs="Arial"/>
          <w:lang w:val="es-ES" w:eastAsia="es-ES"/>
        </w:rPr>
        <w:t>a</w:t>
      </w:r>
      <w:r w:rsidRPr="2D01692F">
        <w:rPr>
          <w:rFonts w:ascii="Verdana" w:eastAsia="Calibri" w:hAnsi="Verdana" w:cs="Arial"/>
          <w:lang w:val="es-ES" w:eastAsia="es-ES"/>
        </w:rPr>
        <w:t xml:space="preserve"> </w:t>
      </w:r>
      <w:proofErr w:type="spellStart"/>
      <w:r>
        <w:rPr>
          <w:rFonts w:ascii="Verdana" w:eastAsia="Calibri" w:hAnsi="Verdana" w:cs="Arial"/>
          <w:lang w:val="es-ES" w:eastAsia="es-ES"/>
        </w:rPr>
        <w:t>Laudy</w:t>
      </w:r>
      <w:proofErr w:type="spellEnd"/>
      <w:r w:rsidRPr="2D01692F">
        <w:rPr>
          <w:rFonts w:ascii="Verdana" w:eastAsia="Calibri" w:hAnsi="Verdana" w:cs="Arial"/>
          <w:lang w:val="es-ES" w:eastAsia="es-ES"/>
        </w:rPr>
        <w:t>:</w:t>
      </w:r>
    </w:p>
    <w:p w14:paraId="23A7BAAC" w14:textId="77777777" w:rsidR="00E47B7E" w:rsidRPr="00CC5C68" w:rsidRDefault="00E47B7E" w:rsidP="00E47B7E">
      <w:pPr>
        <w:spacing w:after="0" w:line="276" w:lineRule="auto"/>
        <w:contextualSpacing/>
        <w:jc w:val="both"/>
        <w:rPr>
          <w:rFonts w:ascii="Verdana" w:eastAsia="Calibri" w:hAnsi="Verdana" w:cs="Arial"/>
          <w:lang w:val="es-ES_tradnl" w:eastAsia="es-ES_tradnl"/>
        </w:rPr>
      </w:pPr>
    </w:p>
    <w:p w14:paraId="23A7BAAD" w14:textId="77777777" w:rsidR="00E47B7E" w:rsidRPr="00CC5C68" w:rsidRDefault="00E47B7E" w:rsidP="00E47B7E">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26</w:t>
      </w:r>
      <w:r w:rsidRPr="00CC5C68">
        <w:rPr>
          <w:rFonts w:ascii="Verdana" w:eastAsia="Calibri" w:hAnsi="Verdana" w:cs="Arial"/>
          <w:lang w:val="es-ES" w:eastAsia="es-ES_tradnl"/>
        </w:rPr>
        <w:t xml:space="preserve"> de </w:t>
      </w:r>
      <w:r>
        <w:rPr>
          <w:rFonts w:ascii="Verdana" w:eastAsia="Calibri" w:hAnsi="Verdana" w:cs="Arial"/>
          <w:lang w:val="es-ES" w:eastAsia="es-ES_tradnl"/>
        </w:rPr>
        <w:t>noviembre</w:t>
      </w:r>
      <w:r w:rsidRPr="00CC5C68">
        <w:rPr>
          <w:rFonts w:ascii="Verdana" w:eastAsia="Calibri" w:hAnsi="Verdana" w:cs="Arial"/>
          <w:lang w:val="es-ES" w:eastAsia="es-ES_tradnl"/>
        </w:rPr>
        <w:t xml:space="preserve"> de 2024, en la cual manifiesta lo siguiente:</w:t>
      </w:r>
    </w:p>
    <w:p w14:paraId="23A7BAAE" w14:textId="77777777" w:rsidR="00E47B7E" w:rsidRPr="00CC5C68" w:rsidRDefault="00E47B7E" w:rsidP="00E47B7E">
      <w:pPr>
        <w:spacing w:after="0" w:line="276" w:lineRule="auto"/>
        <w:contextualSpacing/>
        <w:jc w:val="both"/>
        <w:rPr>
          <w:rFonts w:ascii="Verdana" w:eastAsia="Calibri" w:hAnsi="Verdana" w:cs="Arial"/>
          <w:b/>
          <w:szCs w:val="24"/>
          <w:lang w:val="es-ES_tradnl" w:eastAsia="es-ES_tradnl"/>
        </w:rPr>
      </w:pPr>
    </w:p>
    <w:p w14:paraId="23A7BAAF" w14:textId="77777777" w:rsidR="00E47B7E" w:rsidRDefault="00E47B7E" w:rsidP="00E47B7E">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Pr="004B6389">
        <w:rPr>
          <w:rFonts w:ascii="Verdana" w:eastAsia="Times New Roman" w:hAnsi="Verdana" w:cs="Arial"/>
          <w:sz w:val="21"/>
          <w:szCs w:val="21"/>
          <w:lang w:eastAsia="es-ES_tradnl"/>
        </w:rPr>
        <w:t>¿Pueden dos mismos miembros de una figura asociativa constituir dos consorcios denominados de manera diferente para procesos de contratación desarrollados en entidades estatales diferentes? Esto teniendo en cuenta que tendrían el mismo porcentaje de participación en ambos procesos.</w:t>
      </w:r>
      <w:r w:rsidRPr="004A7575">
        <w:rPr>
          <w:rFonts w:ascii="Verdana" w:eastAsia="Times New Roman" w:hAnsi="Verdana" w:cs="Arial"/>
          <w:sz w:val="21"/>
          <w:szCs w:val="21"/>
          <w:lang w:eastAsia="es-ES_tradnl"/>
        </w:rPr>
        <w:t>?</w:t>
      </w:r>
      <w:r w:rsidRPr="00CC5C68">
        <w:rPr>
          <w:rFonts w:ascii="Verdana" w:eastAsia="Times New Roman" w:hAnsi="Verdana" w:cs="Arial"/>
          <w:sz w:val="21"/>
          <w:szCs w:val="21"/>
          <w:lang w:eastAsia="es-ES_tradnl"/>
        </w:rPr>
        <w:t>”</w:t>
      </w:r>
      <w:r>
        <w:rPr>
          <w:rFonts w:ascii="Verdana" w:eastAsia="Times New Roman" w:hAnsi="Verdana" w:cs="Arial"/>
          <w:sz w:val="21"/>
          <w:szCs w:val="21"/>
          <w:lang w:eastAsia="es-ES_tradnl"/>
        </w:rPr>
        <w:t xml:space="preserve"> </w:t>
      </w:r>
    </w:p>
    <w:p w14:paraId="23A7BAB0" w14:textId="77777777" w:rsidR="00E47B7E" w:rsidRDefault="00E47B7E" w:rsidP="00E47B7E">
      <w:pPr>
        <w:spacing w:after="0" w:line="240" w:lineRule="auto"/>
        <w:ind w:right="709"/>
        <w:contextualSpacing/>
        <w:jc w:val="both"/>
        <w:rPr>
          <w:rFonts w:ascii="Verdana" w:eastAsia="Times New Roman" w:hAnsi="Verdana" w:cs="Arial"/>
          <w:sz w:val="21"/>
          <w:szCs w:val="21"/>
          <w:lang w:eastAsia="es-ES_tradnl"/>
        </w:rPr>
      </w:pPr>
    </w:p>
    <w:p w14:paraId="23A7BAB1" w14:textId="77777777" w:rsidR="00E47B7E" w:rsidRPr="00CC5C68" w:rsidRDefault="00E47B7E" w:rsidP="00E47B7E">
      <w:pPr>
        <w:spacing w:after="0" w:line="240" w:lineRule="auto"/>
        <w:ind w:right="709"/>
        <w:contextualSpacing/>
        <w:jc w:val="both"/>
        <w:rPr>
          <w:rFonts w:ascii="Verdana" w:eastAsia="Times New Roman" w:hAnsi="Verdana" w:cs="Arial"/>
          <w:sz w:val="21"/>
          <w:szCs w:val="21"/>
          <w:lang w:eastAsia="es-ES_tradnl"/>
        </w:rPr>
      </w:pPr>
    </w:p>
    <w:p w14:paraId="23A7BAB2" w14:textId="77777777" w:rsidR="00E47B7E" w:rsidRPr="00CC5C68" w:rsidRDefault="00E47B7E" w:rsidP="00E47B7E">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CC5C68">
        <w:rPr>
          <w:rFonts w:ascii="Verdana" w:eastAsia="Calibri" w:hAnsi="Verdana" w:cs="Arial"/>
          <w:color w:val="000000"/>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23A7BAB3" w14:textId="77777777" w:rsidR="00E47B7E" w:rsidRPr="00CC5C68" w:rsidRDefault="00E47B7E" w:rsidP="00E47B7E">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Conforme lo expuesto, en aras de satisfacer el derecho fundamental de petición se resolverá su consulta dentro de los límites de la referida competencia consultiva,</w:t>
      </w:r>
      <w:r>
        <w:rPr>
          <w:rFonts w:ascii="Verdana" w:eastAsia="Calibri" w:hAnsi="Verdana" w:cs="Arial"/>
          <w:lang w:val="es-ES" w:eastAsia="es-ES"/>
        </w:rPr>
        <w:t xml:space="preserve"> </w:t>
      </w:r>
      <w:r w:rsidRPr="00CC5C68">
        <w:rPr>
          <w:rFonts w:ascii="Verdana" w:eastAsia="Calibri" w:hAnsi="Verdana" w:cs="Arial"/>
          <w:lang w:val="es-ES" w:eastAsia="es-ES"/>
        </w:rPr>
        <w:t xml:space="preserve">haciendo unas consideraciones sobre las normas generales relacionadas con los problemas jurídicos de su consulta. </w:t>
      </w:r>
    </w:p>
    <w:p w14:paraId="23A7BAB4" w14:textId="77777777" w:rsidR="00E47B7E" w:rsidRPr="00CC5C68" w:rsidRDefault="00E47B7E" w:rsidP="00E47B7E">
      <w:pPr>
        <w:spacing w:after="0" w:line="276" w:lineRule="auto"/>
        <w:contextualSpacing/>
        <w:jc w:val="both"/>
        <w:rPr>
          <w:rFonts w:ascii="Verdana" w:eastAsia="Times New Roman" w:hAnsi="Verdana" w:cs="Arial"/>
          <w:szCs w:val="24"/>
          <w:lang w:val="es-ES_tradnl" w:eastAsia="es-ES_tradnl"/>
        </w:rPr>
      </w:pPr>
    </w:p>
    <w:p w14:paraId="23A7BAB5" w14:textId="77777777" w:rsidR="00E47B7E" w:rsidRPr="00CC5C68" w:rsidRDefault="00E47B7E" w:rsidP="00E47B7E">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23A7BAB6" w14:textId="77777777" w:rsidR="00E47B7E" w:rsidRPr="00CC5C68" w:rsidRDefault="00E47B7E" w:rsidP="00E47B7E">
      <w:pPr>
        <w:tabs>
          <w:tab w:val="left" w:pos="0"/>
          <w:tab w:val="left" w:pos="284"/>
        </w:tabs>
        <w:spacing w:after="0" w:line="276" w:lineRule="auto"/>
        <w:contextualSpacing/>
        <w:jc w:val="both"/>
        <w:rPr>
          <w:rFonts w:ascii="Verdana" w:eastAsia="Calibri" w:hAnsi="Verdana" w:cs="Arial"/>
          <w:b/>
          <w:lang w:val="es-ES_tradnl"/>
        </w:rPr>
      </w:pPr>
    </w:p>
    <w:p w14:paraId="23A7BAB7" w14:textId="77777777" w:rsidR="00E47B7E" w:rsidRPr="00992D2F" w:rsidRDefault="00E47B7E" w:rsidP="00E47B7E">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w:t>
      </w:r>
      <w:r w:rsidRPr="00CC5C68">
        <w:rPr>
          <w:rFonts w:ascii="Verdana" w:eastAsia="Century Gothic" w:hAnsi="Verdana" w:cs="Century Gothic"/>
        </w:rPr>
        <w:t>siguiente problema jurídico</w:t>
      </w:r>
      <w:r>
        <w:rPr>
          <w:rFonts w:ascii="Verdana" w:eastAsia="Century Gothic" w:hAnsi="Verdana" w:cs="Century Gothic"/>
        </w:rPr>
        <w:t>, en materia de contratación estatal</w:t>
      </w:r>
      <w:r w:rsidRPr="00CC5C68">
        <w:rPr>
          <w:rFonts w:ascii="Verdana" w:eastAsia="Century Gothic" w:hAnsi="Verdana" w:cs="Century Gothic"/>
        </w:rPr>
        <w:t xml:space="preserve">: </w:t>
      </w:r>
      <w:r w:rsidRPr="00992D2F">
        <w:rPr>
          <w:rFonts w:ascii="Verdana" w:eastAsia="Century Gothic" w:hAnsi="Verdana" w:cs="Century Gothic"/>
        </w:rPr>
        <w:t>¿</w:t>
      </w:r>
      <w:r>
        <w:rPr>
          <w:rFonts w:ascii="Verdana" w:eastAsia="Century Gothic" w:hAnsi="Verdana" w:cs="Century Gothic"/>
          <w:lang w:val="es-ES"/>
        </w:rPr>
        <w:t>E</w:t>
      </w:r>
      <w:r w:rsidRPr="00992D2F">
        <w:rPr>
          <w:rFonts w:ascii="Verdana" w:eastAsia="Century Gothic" w:hAnsi="Verdana" w:cs="Century Gothic"/>
          <w:lang w:val="es-ES"/>
        </w:rPr>
        <w:t xml:space="preserve">s viable jurídicamente que </w:t>
      </w:r>
      <w:r w:rsidRPr="004B6389">
        <w:rPr>
          <w:rFonts w:ascii="Verdana" w:eastAsia="Times New Roman" w:hAnsi="Verdana" w:cs="Arial"/>
          <w:sz w:val="21"/>
          <w:szCs w:val="21"/>
          <w:lang w:eastAsia="es-ES_tradnl"/>
        </w:rPr>
        <w:t xml:space="preserve">dos mismos miembros de una figura asociativa </w:t>
      </w:r>
      <w:r>
        <w:rPr>
          <w:rFonts w:ascii="Verdana" w:eastAsia="Times New Roman" w:hAnsi="Verdana" w:cs="Arial"/>
          <w:sz w:val="21"/>
          <w:szCs w:val="21"/>
          <w:lang w:eastAsia="es-ES_tradnl"/>
        </w:rPr>
        <w:t>constituyan</w:t>
      </w:r>
      <w:r w:rsidRPr="004B6389">
        <w:rPr>
          <w:rFonts w:ascii="Verdana" w:eastAsia="Times New Roman" w:hAnsi="Verdana" w:cs="Arial"/>
          <w:sz w:val="21"/>
          <w:szCs w:val="21"/>
          <w:lang w:eastAsia="es-ES_tradnl"/>
        </w:rPr>
        <w:t xml:space="preserve"> dos consorcios denominados de manera diferente para procesos de contratación desarrollados en entidades estatales diferentes?</w:t>
      </w:r>
    </w:p>
    <w:p w14:paraId="23A7BAB8" w14:textId="77777777" w:rsidR="00E47B7E" w:rsidRDefault="00E47B7E" w:rsidP="00E47B7E">
      <w:pPr>
        <w:spacing w:after="0" w:line="276" w:lineRule="auto"/>
        <w:jc w:val="both"/>
        <w:rPr>
          <w:rFonts w:ascii="Verdana" w:eastAsia="Century Gothic" w:hAnsi="Verdana" w:cs="Century Gothic"/>
        </w:rPr>
      </w:pPr>
    </w:p>
    <w:p w14:paraId="23A7BAB9" w14:textId="77777777" w:rsidR="00E47B7E" w:rsidRPr="00CC5C68" w:rsidRDefault="00E47B7E" w:rsidP="00E47B7E">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23A7BABA" w14:textId="77777777" w:rsidR="00E47B7E" w:rsidRPr="00CC5C68" w:rsidRDefault="00E47B7E" w:rsidP="00E47B7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47B7E" w:rsidRPr="00CC5C68" w14:paraId="23A7BACE" w14:textId="77777777" w:rsidTr="00C77973">
        <w:tc>
          <w:tcPr>
            <w:tcW w:w="8828" w:type="dxa"/>
            <w:shd w:val="clear" w:color="auto" w:fill="auto"/>
          </w:tcPr>
          <w:p w14:paraId="23A7BABB" w14:textId="77777777" w:rsidR="00E47B7E" w:rsidRDefault="00E47B7E" w:rsidP="00C77973">
            <w:pPr>
              <w:spacing w:after="120" w:line="276" w:lineRule="auto"/>
              <w:jc w:val="both"/>
              <w:rPr>
                <w:rFonts w:ascii="Verdana" w:eastAsia="Calibri" w:hAnsi="Verdana" w:cs="Arial"/>
              </w:rPr>
            </w:pPr>
            <w:r>
              <w:rPr>
                <w:rFonts w:ascii="Verdana" w:eastAsia="Calibri" w:hAnsi="Verdana" w:cs="Arial"/>
                <w:lang w:val="es-ES"/>
              </w:rPr>
              <w:t xml:space="preserve">Frente al interrogante planteado, es pertinente indicar que es viable jurídicamente que dos mismos miembros constituyan uno o cuantos proponentes plurales consideren y que estos participen en uno o varios procesos de contratación adelantados por diferentes entidades públicas, sin perjuicio </w:t>
            </w:r>
            <w:r>
              <w:rPr>
                <w:rFonts w:ascii="Verdana" w:hAnsi="Verdana" w:cs="Arial"/>
                <w:color w:val="000000" w:themeColor="text1"/>
              </w:rPr>
              <w:t>de cumplir con las condiciones de uso del SECOP II en los procesos que se gestionan de manera transaccional, es decir, es deber de los proponentes realizar la respectiva inscripción del proponente plural de manera individual a cada proceso que pretende postularse</w:t>
            </w:r>
            <w:r>
              <w:rPr>
                <w:rFonts w:ascii="Verdana" w:eastAsia="Calibri" w:hAnsi="Verdana" w:cs="Arial"/>
                <w:lang w:val="es-ES"/>
              </w:rPr>
              <w:t>. Lo anterior fundamentado en que e</w:t>
            </w:r>
            <w:r w:rsidRPr="00065C6D">
              <w:rPr>
                <w:rFonts w:ascii="Verdana" w:eastAsia="Calibri" w:hAnsi="Verdana" w:cs="Arial"/>
                <w:lang w:val="es-ES"/>
              </w:rPr>
              <w:t>l consorcio o la unión temporal surge “Cuando dos o más personas en forma conjunta presentan una misma propuesta para la adjudicación, celebración y ejecución de un contrato […]”.</w:t>
            </w:r>
            <w:r>
              <w:rPr>
                <w:rStyle w:val="Refdenotaalpie"/>
                <w:rFonts w:ascii="Verdana" w:eastAsia="Calibri" w:hAnsi="Verdana" w:cs="Arial"/>
                <w:lang w:val="es-ES"/>
              </w:rPr>
              <w:footnoteReference w:id="1"/>
            </w:r>
            <w:r w:rsidRPr="00065C6D">
              <w:rPr>
                <w:rFonts w:ascii="Verdana" w:eastAsia="Calibri" w:hAnsi="Verdana" w:cs="Arial"/>
                <w:lang w:val="es-ES"/>
              </w:rPr>
              <w:t xml:space="preserve"> </w:t>
            </w:r>
            <w:r w:rsidRPr="00071565">
              <w:rPr>
                <w:rFonts w:ascii="Verdana" w:eastAsia="Calibri" w:hAnsi="Verdana" w:cs="Arial"/>
              </w:rPr>
              <w:t xml:space="preserve">Como </w:t>
            </w:r>
            <w:r>
              <w:rPr>
                <w:rFonts w:ascii="Verdana" w:eastAsia="Calibri" w:hAnsi="Verdana" w:cs="Arial"/>
              </w:rPr>
              <w:t xml:space="preserve">se </w:t>
            </w:r>
            <w:r w:rsidRPr="00071565">
              <w:rPr>
                <w:rFonts w:ascii="Verdana" w:eastAsia="Calibri" w:hAnsi="Verdana" w:cs="Arial"/>
              </w:rPr>
              <w:t>p</w:t>
            </w:r>
            <w:r>
              <w:rPr>
                <w:rFonts w:ascii="Verdana" w:eastAsia="Calibri" w:hAnsi="Verdana" w:cs="Arial"/>
              </w:rPr>
              <w:t>uede</w:t>
            </w:r>
            <w:r w:rsidRPr="00071565">
              <w:rPr>
                <w:rFonts w:ascii="Verdana" w:eastAsia="Calibri" w:hAnsi="Verdana" w:cs="Arial"/>
              </w:rPr>
              <w:t xml:space="preserve"> observar, la definición de estos convenios hace especial precisión en que la creación de estos</w:t>
            </w:r>
            <w:r>
              <w:rPr>
                <w:rFonts w:ascii="Verdana" w:eastAsia="Calibri" w:hAnsi="Verdana" w:cs="Arial"/>
              </w:rPr>
              <w:t xml:space="preserve">, </w:t>
            </w:r>
            <w:r w:rsidRPr="00071565">
              <w:rPr>
                <w:rFonts w:ascii="Verdana" w:eastAsia="Calibri" w:hAnsi="Verdana" w:cs="Arial"/>
              </w:rPr>
              <w:t>tiene un fin claro y es la facultad de ser adjudicatarios de</w:t>
            </w:r>
            <w:r w:rsidRPr="003734FE">
              <w:rPr>
                <w:rFonts w:ascii="Verdana" w:eastAsia="Calibri" w:hAnsi="Verdana" w:cs="Arial"/>
                <w:u w:val="single"/>
              </w:rPr>
              <w:t>l contrato estatal</w:t>
            </w:r>
            <w:r w:rsidRPr="003734FE">
              <w:rPr>
                <w:rFonts w:ascii="Verdana" w:eastAsia="Calibri" w:hAnsi="Verdana" w:cs="Arial"/>
              </w:rPr>
              <w:t xml:space="preserve">. </w:t>
            </w:r>
          </w:p>
          <w:p w14:paraId="23A7BABC" w14:textId="77777777" w:rsidR="00E47B7E" w:rsidRDefault="00E47B7E" w:rsidP="00C77973">
            <w:pPr>
              <w:spacing w:after="120" w:line="276" w:lineRule="auto"/>
              <w:jc w:val="both"/>
              <w:rPr>
                <w:rFonts w:ascii="Verdana" w:eastAsia="Calibri" w:hAnsi="Verdana" w:cs="Arial"/>
              </w:rPr>
            </w:pPr>
          </w:p>
          <w:p w14:paraId="23A7BABD" w14:textId="77777777" w:rsidR="00E47B7E" w:rsidRDefault="00E47B7E" w:rsidP="00C77973">
            <w:pPr>
              <w:spacing w:after="120" w:line="276" w:lineRule="auto"/>
              <w:jc w:val="both"/>
              <w:rPr>
                <w:rFonts w:ascii="Verdana" w:eastAsia="Calibri" w:hAnsi="Verdana" w:cs="Arial"/>
              </w:rPr>
            </w:pPr>
            <w:r>
              <w:rPr>
                <w:rFonts w:ascii="Verdana" w:eastAsia="Calibri" w:hAnsi="Verdana" w:cs="Arial"/>
              </w:rPr>
              <w:lastRenderedPageBreak/>
              <w:t>Ahora bien, la Agencia ha definido unas líneas claras en la que se explica en los conceptos más recientes C-050 del 18 de julio de 2024, C-727 del 28 de octubre de 2024, entre otros, y se aclara que:</w:t>
            </w:r>
          </w:p>
          <w:p w14:paraId="23A7BABE" w14:textId="77777777" w:rsidR="00E47B7E" w:rsidRDefault="00E47B7E" w:rsidP="00C77973">
            <w:pPr>
              <w:spacing w:after="120" w:line="276" w:lineRule="auto"/>
              <w:jc w:val="both"/>
              <w:rPr>
                <w:rFonts w:ascii="Verdana" w:eastAsia="Calibri" w:hAnsi="Verdana" w:cs="Arial"/>
              </w:rPr>
            </w:pPr>
          </w:p>
          <w:p w14:paraId="23A7BABF" w14:textId="77777777" w:rsidR="00E47B7E" w:rsidRPr="003734FE" w:rsidRDefault="00E47B7E" w:rsidP="00C77973">
            <w:pPr>
              <w:spacing w:after="120" w:line="276" w:lineRule="auto"/>
              <w:ind w:left="709" w:right="709"/>
              <w:jc w:val="both"/>
              <w:rPr>
                <w:rFonts w:ascii="Verdana" w:eastAsia="Calibri" w:hAnsi="Verdana" w:cs="Arial"/>
              </w:rPr>
            </w:pPr>
            <w:r>
              <w:rPr>
                <w:rFonts w:ascii="Verdana" w:eastAsia="Calibri" w:hAnsi="Verdana" w:cs="Arial"/>
              </w:rPr>
              <w:t>Lo</w:t>
            </w:r>
            <w:r w:rsidRPr="003734FE">
              <w:rPr>
                <w:rFonts w:ascii="Verdana" w:eastAsia="Calibri" w:hAnsi="Verdana" w:cs="Arial"/>
              </w:rPr>
              <w:t xml:space="preserve">s </w:t>
            </w:r>
            <w:r>
              <w:rPr>
                <w:rFonts w:ascii="Verdana" w:eastAsia="Calibri" w:hAnsi="Verdana" w:cs="Arial"/>
              </w:rPr>
              <w:t>proponentes plurales</w:t>
            </w:r>
            <w:r w:rsidRPr="003734FE">
              <w:rPr>
                <w:rFonts w:ascii="Verdana" w:eastAsia="Calibri" w:hAnsi="Verdana" w:cs="Arial"/>
              </w:rPr>
              <w:t>,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w:t>
            </w:r>
            <w:r>
              <w:rPr>
                <w:rFonts w:ascii="Verdana" w:eastAsia="Calibri" w:hAnsi="Verdana" w:cs="Arial"/>
              </w:rPr>
              <w:t>o</w:t>
            </w:r>
            <w:r w:rsidRPr="003734FE">
              <w:rPr>
                <w:rFonts w:ascii="Verdana" w:eastAsia="Calibri" w:hAnsi="Verdana" w:cs="Arial"/>
              </w:rPr>
              <w:t xml:space="preserve"> o varios contratos estatales, compartiendo recursos, de toda índole, para su ejecución, así como las utilidades y los riesgos.</w:t>
            </w:r>
          </w:p>
          <w:p w14:paraId="23A7BAC0" w14:textId="77777777" w:rsidR="00E47B7E" w:rsidRDefault="00E47B7E" w:rsidP="00C77973">
            <w:pPr>
              <w:spacing w:after="120" w:line="276" w:lineRule="auto"/>
              <w:ind w:left="709" w:right="709"/>
              <w:jc w:val="both"/>
              <w:rPr>
                <w:rFonts w:ascii="Verdana" w:eastAsia="Calibri" w:hAnsi="Verdana" w:cs="Arial"/>
              </w:rPr>
            </w:pPr>
            <w:r w:rsidRPr="003734FE">
              <w:rPr>
                <w:rFonts w:ascii="Verdana" w:eastAsia="Calibri" w:hAnsi="Verdana" w:cs="Arial"/>
              </w:rPr>
              <w:t>Es de tener en cuenta que un proponente plural, aunque por lo general es creado para participar en un proceso de selección en particular, no existe impedimento o prohibición alguna que limite su actividad a un solo contrato, es decir puede participar en más de un proceso de selección y así mismo ejecutar más de un contrato.</w:t>
            </w:r>
            <w:r>
              <w:rPr>
                <w:rFonts w:ascii="Verdana" w:eastAsia="Calibri" w:hAnsi="Verdana" w:cs="Arial"/>
              </w:rPr>
              <w:t xml:space="preserve"> […]</w:t>
            </w:r>
          </w:p>
          <w:p w14:paraId="23A7BAC1" w14:textId="77777777" w:rsidR="00E47B7E" w:rsidRDefault="00E47B7E" w:rsidP="00C77973">
            <w:pPr>
              <w:spacing w:after="120" w:line="276" w:lineRule="auto"/>
              <w:jc w:val="both"/>
              <w:rPr>
                <w:rFonts w:ascii="Verdana" w:eastAsia="Calibri" w:hAnsi="Verdana" w:cs="Arial"/>
              </w:rPr>
            </w:pPr>
          </w:p>
          <w:p w14:paraId="23A7BAC2" w14:textId="77777777" w:rsidR="00E47B7E" w:rsidRDefault="00E47B7E" w:rsidP="00C77973">
            <w:pPr>
              <w:spacing w:after="120" w:line="276" w:lineRule="auto"/>
              <w:jc w:val="both"/>
              <w:rPr>
                <w:rFonts w:ascii="Verdana" w:eastAsia="Calibri" w:hAnsi="Verdana" w:cs="Arial"/>
                <w:lang w:val="es-ES"/>
              </w:rPr>
            </w:pPr>
            <w:r w:rsidRPr="00065C6D">
              <w:rPr>
                <w:rFonts w:ascii="Verdana" w:eastAsia="Calibri" w:hAnsi="Verdana" w:cs="Arial"/>
                <w:lang w:val="es-ES"/>
              </w:rPr>
              <w:t xml:space="preserve">Desde esta perspectiva, </w:t>
            </w:r>
            <w:r>
              <w:rPr>
                <w:rFonts w:ascii="Verdana" w:eastAsia="Calibri" w:hAnsi="Verdana" w:cs="Arial"/>
                <w:lang w:val="es-ES"/>
              </w:rPr>
              <w:t xml:space="preserve">la </w:t>
            </w:r>
            <w:r w:rsidRPr="00065C6D">
              <w:rPr>
                <w:rFonts w:ascii="Verdana" w:eastAsia="Calibri" w:hAnsi="Verdana" w:cs="Arial"/>
                <w:lang w:val="es-ES"/>
              </w:rPr>
              <w:t>capacidad jurídica</w:t>
            </w:r>
            <w:r>
              <w:rPr>
                <w:rFonts w:ascii="Verdana" w:eastAsia="Calibri" w:hAnsi="Verdana" w:cs="Arial"/>
                <w:lang w:val="es-ES"/>
              </w:rPr>
              <w:t xml:space="preserve"> de los proponentes plurales</w:t>
            </w:r>
            <w:r w:rsidRPr="00065C6D">
              <w:rPr>
                <w:rFonts w:ascii="Verdana" w:eastAsia="Calibri" w:hAnsi="Verdana" w:cs="Arial"/>
                <w:lang w:val="es-ES"/>
              </w:rPr>
              <w:t xml:space="preserve"> se limita al campo de la contratación estatal de las entidades sometidas al EGCAP, es decir, a las relaciones en consorcios y las uniones temporales con las entidades estatales del artículo 2 de la Ley 80 de 1993.</w:t>
            </w:r>
            <w:r>
              <w:rPr>
                <w:rFonts w:ascii="Verdana" w:eastAsia="Calibri" w:hAnsi="Verdana" w:cs="Arial"/>
                <w:lang w:val="es-ES"/>
              </w:rPr>
              <w:t xml:space="preserve"> </w:t>
            </w:r>
          </w:p>
          <w:p w14:paraId="23A7BAC3" w14:textId="77777777" w:rsidR="00E47B7E" w:rsidRDefault="00E47B7E" w:rsidP="00C77973">
            <w:pPr>
              <w:spacing w:after="120" w:line="276" w:lineRule="auto"/>
              <w:jc w:val="both"/>
              <w:rPr>
                <w:rFonts w:ascii="Verdana" w:hAnsi="Verdana" w:cs="Arial"/>
                <w:color w:val="000000" w:themeColor="text1"/>
              </w:rPr>
            </w:pPr>
            <w:r>
              <w:rPr>
                <w:rFonts w:ascii="Verdana" w:eastAsia="Calibri" w:hAnsi="Verdana" w:cs="Arial"/>
                <w:lang w:val="es-ES" w:eastAsia="es-ES"/>
              </w:rPr>
              <w:t>Así, l</w:t>
            </w:r>
            <w:r>
              <w:rPr>
                <w:rFonts w:ascii="Verdana" w:hAnsi="Verdana" w:cs="Arial"/>
                <w:color w:val="000000" w:themeColor="text1"/>
              </w:rPr>
              <w:t xml:space="preserve">as personas que conforman proponentes plurales pueden presentar </w:t>
            </w:r>
            <w:r w:rsidRPr="00B33BA7">
              <w:rPr>
                <w:rFonts w:ascii="Verdana" w:hAnsi="Verdana" w:cs="Arial"/>
                <w:color w:val="000000" w:themeColor="text1"/>
              </w:rPr>
              <w:t xml:space="preserve">en forma conjunta </w:t>
            </w:r>
            <w:r>
              <w:rPr>
                <w:rFonts w:ascii="Verdana" w:hAnsi="Verdana" w:cs="Arial"/>
                <w:color w:val="000000" w:themeColor="text1"/>
              </w:rPr>
              <w:t>una</w:t>
            </w:r>
            <w:r w:rsidRPr="00B33BA7">
              <w:rPr>
                <w:rFonts w:ascii="Verdana" w:hAnsi="Verdana" w:cs="Arial"/>
                <w:color w:val="000000" w:themeColor="text1"/>
              </w:rPr>
              <w:t xml:space="preserve"> propuesta para la adjudicación, celebración y ejecución d</w:t>
            </w:r>
            <w:r>
              <w:rPr>
                <w:rFonts w:ascii="Verdana" w:hAnsi="Verdana" w:cs="Arial"/>
                <w:color w:val="000000" w:themeColor="text1"/>
              </w:rPr>
              <w:t xml:space="preserve">e contratos estatales con </w:t>
            </w:r>
            <w:r w:rsidRPr="008706A7">
              <w:rPr>
                <w:rFonts w:ascii="Verdana" w:hAnsi="Verdana" w:cs="Arial"/>
                <w:i/>
                <w:iCs/>
                <w:color w:val="000000" w:themeColor="text1"/>
              </w:rPr>
              <w:t>una o varias</w:t>
            </w:r>
            <w:r>
              <w:rPr>
                <w:rFonts w:ascii="Verdana" w:hAnsi="Verdana" w:cs="Arial"/>
                <w:color w:val="000000" w:themeColor="text1"/>
              </w:rPr>
              <w:t xml:space="preserve"> de las entidades descritas en la norma precitada. Dichas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El proponente plural debe estar debidamente constituido dentro de cada uno de los procesos en que desee presentarse, sin perjuicio de cumplir con las condiciones de uso del SECOP II en los procesos que se gestionan de manera transaccional.</w:t>
            </w:r>
          </w:p>
          <w:p w14:paraId="23A7BAC4" w14:textId="77777777" w:rsidR="00E47B7E" w:rsidRDefault="00E47B7E" w:rsidP="00C77973">
            <w:pPr>
              <w:spacing w:after="120" w:line="276" w:lineRule="auto"/>
              <w:jc w:val="both"/>
              <w:rPr>
                <w:rFonts w:ascii="Verdana" w:hAnsi="Verdana" w:cs="Arial"/>
                <w:color w:val="000000" w:themeColor="text1"/>
              </w:rPr>
            </w:pPr>
            <w:r>
              <w:rPr>
                <w:rFonts w:ascii="Verdana" w:hAnsi="Verdana" w:cs="Arial"/>
                <w:color w:val="000000" w:themeColor="text1"/>
              </w:rPr>
              <w:lastRenderedPageBreak/>
              <w:t xml:space="preserve">Ahora bien, lo que no podría realizarse es que los integrantes del proponente plural presenten ofertas de manera individual en la misma entidad o entidades donde ya han presentado oferta a través de un proponente plural, puesto que al momento de evaluación de ofertas, se evalúan los requisitos habilitantes de oferentes, y para el caso, se evalúan los aportes de manera individual de los integrantes del proponente plural, los cuales serán evaluados doblemente en caso que se presenten la situación, rompiendo con los principios de la contratación. </w:t>
            </w:r>
          </w:p>
          <w:p w14:paraId="23A7BAC5" w14:textId="77777777" w:rsidR="00E47B7E" w:rsidRDefault="00E47B7E" w:rsidP="00C77973">
            <w:pPr>
              <w:spacing w:after="120" w:line="276" w:lineRule="auto"/>
              <w:jc w:val="both"/>
              <w:rPr>
                <w:rFonts w:ascii="Verdana" w:hAnsi="Verdana" w:cs="Arial"/>
                <w:color w:val="000000" w:themeColor="text1"/>
              </w:rPr>
            </w:pPr>
            <w:r>
              <w:rPr>
                <w:rFonts w:ascii="Verdana" w:hAnsi="Verdana" w:cs="Arial"/>
                <w:color w:val="000000" w:themeColor="text1"/>
              </w:rPr>
              <w:t>Por lo anterior es claro que, n</w:t>
            </w:r>
            <w:r w:rsidRPr="003D2BD4">
              <w:rPr>
                <w:rFonts w:ascii="Verdana" w:hAnsi="Verdana" w:cs="Arial"/>
                <w:color w:val="000000" w:themeColor="text1"/>
              </w:rPr>
              <w:t xml:space="preserve">o existe un impedimento jurídico explícito para que los mismos miembros participen en diferentes consorcios con la misma proporción de participación, siempre y cuando cada </w:t>
            </w:r>
            <w:r>
              <w:rPr>
                <w:rFonts w:ascii="Verdana" w:hAnsi="Verdana" w:cs="Arial"/>
                <w:color w:val="000000" w:themeColor="text1"/>
              </w:rPr>
              <w:t>proponente plural</w:t>
            </w:r>
            <w:r w:rsidRPr="003D2BD4">
              <w:rPr>
                <w:rFonts w:ascii="Verdana" w:hAnsi="Verdana" w:cs="Arial"/>
                <w:color w:val="000000" w:themeColor="text1"/>
              </w:rPr>
              <w:t xml:space="preserve"> sea tratado como una entidad independiente en cada proceso contractual. Esto incluye el cumplimiento de las obligaciones derivadas de cada contrato</w:t>
            </w:r>
            <w:r>
              <w:rPr>
                <w:rFonts w:ascii="Verdana" w:hAnsi="Verdana" w:cs="Arial"/>
                <w:color w:val="000000" w:themeColor="text1"/>
              </w:rPr>
              <w:t>, la responsabilidad y obligaciones de orden tributario</w:t>
            </w:r>
            <w:r w:rsidRPr="003D2BD4">
              <w:rPr>
                <w:rFonts w:ascii="Verdana" w:hAnsi="Verdana" w:cs="Arial"/>
                <w:color w:val="000000" w:themeColor="text1"/>
              </w:rPr>
              <w:t xml:space="preserve"> y la gestión de riesgos asociados a la solidaridad que la ley impone sobre los miembros de los </w:t>
            </w:r>
            <w:r>
              <w:rPr>
                <w:rFonts w:ascii="Verdana" w:hAnsi="Verdana" w:cs="Arial"/>
                <w:color w:val="000000" w:themeColor="text1"/>
              </w:rPr>
              <w:t xml:space="preserve">integrantes de los </w:t>
            </w:r>
            <w:proofErr w:type="spellStart"/>
            <w:r>
              <w:rPr>
                <w:rFonts w:ascii="Verdana" w:hAnsi="Verdana" w:cs="Arial"/>
                <w:color w:val="000000" w:themeColor="text1"/>
              </w:rPr>
              <w:t>proponenters</w:t>
            </w:r>
            <w:proofErr w:type="spellEnd"/>
            <w:r>
              <w:rPr>
                <w:rFonts w:ascii="Verdana" w:hAnsi="Verdana" w:cs="Arial"/>
                <w:color w:val="000000" w:themeColor="text1"/>
              </w:rPr>
              <w:t xml:space="preserve"> plurales, todo lo anterior en cumplimiento de lo previsto en el </w:t>
            </w:r>
            <w:r w:rsidRPr="003D2BD4">
              <w:rPr>
                <w:rFonts w:ascii="Verdana" w:hAnsi="Verdana" w:cs="Arial"/>
                <w:color w:val="000000" w:themeColor="text1"/>
              </w:rPr>
              <w:t>artículo 7</w:t>
            </w:r>
            <w:r>
              <w:rPr>
                <w:rFonts w:ascii="Verdana" w:hAnsi="Verdana" w:cs="Arial"/>
                <w:color w:val="000000" w:themeColor="text1"/>
              </w:rPr>
              <w:t xml:space="preserve"> de la </w:t>
            </w:r>
            <w:r w:rsidRPr="003D2BD4">
              <w:rPr>
                <w:rFonts w:ascii="Verdana" w:hAnsi="Verdana" w:cs="Arial"/>
                <w:color w:val="000000" w:themeColor="text1"/>
              </w:rPr>
              <w:t>Ley 80 de 1993</w:t>
            </w:r>
            <w:r>
              <w:rPr>
                <w:rFonts w:ascii="Verdana" w:hAnsi="Verdana" w:cs="Arial"/>
                <w:color w:val="000000" w:themeColor="text1"/>
              </w:rPr>
              <w:t>.</w:t>
            </w:r>
          </w:p>
          <w:p w14:paraId="23A7BAC6" w14:textId="77777777" w:rsidR="00E47B7E" w:rsidRDefault="00E47B7E" w:rsidP="00C77973">
            <w:pPr>
              <w:spacing w:after="120" w:line="276" w:lineRule="auto"/>
              <w:jc w:val="both"/>
              <w:rPr>
                <w:rFonts w:ascii="Verdana" w:hAnsi="Verdana" w:cs="Arial"/>
                <w:color w:val="000000" w:themeColor="text1"/>
              </w:rPr>
            </w:pPr>
          </w:p>
          <w:p w14:paraId="23A7BAC7" w14:textId="77777777" w:rsidR="00E47B7E" w:rsidRDefault="00E47B7E" w:rsidP="00C77973">
            <w:pPr>
              <w:spacing w:after="120" w:line="276" w:lineRule="auto"/>
              <w:jc w:val="both"/>
              <w:rPr>
                <w:rFonts w:ascii="Verdana" w:hAnsi="Verdana" w:cs="Arial"/>
                <w:color w:val="000000" w:themeColor="text1"/>
              </w:rPr>
            </w:pPr>
            <w:r>
              <w:rPr>
                <w:rFonts w:ascii="Verdana" w:hAnsi="Verdana" w:cs="Arial"/>
                <w:color w:val="000000" w:themeColor="text1"/>
              </w:rPr>
              <w:t>Resulta i</w:t>
            </w:r>
            <w:r w:rsidRPr="006B4D4E">
              <w:rPr>
                <w:rFonts w:ascii="Verdana" w:hAnsi="Verdana" w:cs="Arial"/>
                <w:color w:val="000000" w:themeColor="text1"/>
              </w:rPr>
              <w:t>mportante analizar las normas específicas de cada proceso de contratación y las restricciones que puedan aplicar en términos de integridad, conflicto de interés o competencia desleal. Estas disposiciones pueden variar según la entidad contratante y el tipo de proceso</w:t>
            </w:r>
            <w:r>
              <w:rPr>
                <w:rFonts w:ascii="Verdana" w:hAnsi="Verdana" w:cs="Arial"/>
                <w:color w:val="000000" w:themeColor="text1"/>
              </w:rPr>
              <w:t xml:space="preserve"> contractual al cual se presente propuesta como proponente plural.</w:t>
            </w:r>
          </w:p>
          <w:p w14:paraId="23A7BAC8" w14:textId="77777777" w:rsidR="00E47B7E" w:rsidRPr="006B4D4E" w:rsidRDefault="00E47B7E" w:rsidP="00C77973">
            <w:pPr>
              <w:spacing w:after="120" w:line="276" w:lineRule="auto"/>
              <w:jc w:val="both"/>
              <w:rPr>
                <w:rFonts w:ascii="Verdana" w:hAnsi="Verdana" w:cs="Arial"/>
                <w:color w:val="000000" w:themeColor="text1"/>
              </w:rPr>
            </w:pPr>
          </w:p>
          <w:p w14:paraId="23A7BAC9" w14:textId="77777777" w:rsidR="00E47B7E" w:rsidRPr="006B4D4E" w:rsidRDefault="00E47B7E" w:rsidP="00C77973">
            <w:pPr>
              <w:spacing w:after="120" w:line="276" w:lineRule="auto"/>
              <w:jc w:val="both"/>
              <w:rPr>
                <w:rFonts w:ascii="Verdana" w:hAnsi="Verdana" w:cs="Arial"/>
                <w:color w:val="000000" w:themeColor="text1"/>
              </w:rPr>
            </w:pPr>
            <w:r>
              <w:rPr>
                <w:rFonts w:ascii="Verdana" w:hAnsi="Verdana" w:cs="Arial"/>
                <w:color w:val="000000" w:themeColor="text1"/>
              </w:rPr>
              <w:t>Es preciso concluir que b</w:t>
            </w:r>
            <w:r w:rsidRPr="006B4D4E">
              <w:rPr>
                <w:rFonts w:ascii="Verdana" w:hAnsi="Verdana" w:cs="Arial"/>
                <w:color w:val="000000" w:themeColor="text1"/>
              </w:rPr>
              <w:t>ajo el marco general de la Ley 80, sí es posible que dos mismos miembros conformen dos consorcios</w:t>
            </w:r>
            <w:r>
              <w:rPr>
                <w:rFonts w:ascii="Verdana" w:hAnsi="Verdana" w:cs="Arial"/>
                <w:color w:val="000000" w:themeColor="text1"/>
              </w:rPr>
              <w:t xml:space="preserve"> y/o uniones temporales</w:t>
            </w:r>
            <w:r w:rsidRPr="006B4D4E">
              <w:rPr>
                <w:rFonts w:ascii="Verdana" w:hAnsi="Verdana" w:cs="Arial"/>
                <w:color w:val="000000" w:themeColor="text1"/>
              </w:rPr>
              <w:t xml:space="preserve"> diferentes con el mismo porcentaje de participación para procesos de contratación en distintas entidades estatales, salvo que existan restricciones específicas en los pliegos de condiciones o normativa aplicable al proceso.</w:t>
            </w:r>
          </w:p>
          <w:p w14:paraId="23A7BACA" w14:textId="77777777" w:rsidR="00E47B7E" w:rsidRDefault="00E47B7E" w:rsidP="00C77973">
            <w:pPr>
              <w:spacing w:after="120" w:line="276" w:lineRule="auto"/>
              <w:jc w:val="both"/>
              <w:rPr>
                <w:rFonts w:ascii="Verdana" w:hAnsi="Verdana" w:cs="Arial"/>
                <w:color w:val="000000" w:themeColor="text1"/>
              </w:rPr>
            </w:pPr>
          </w:p>
          <w:p w14:paraId="23A7BACB" w14:textId="77777777" w:rsidR="00E47B7E" w:rsidRDefault="00E47B7E" w:rsidP="00C77973">
            <w:pPr>
              <w:spacing w:after="120" w:line="276" w:lineRule="auto"/>
              <w:jc w:val="both"/>
              <w:rPr>
                <w:rFonts w:ascii="Verdana" w:hAnsi="Verdana" w:cs="Arial"/>
                <w:color w:val="000000" w:themeColor="text1"/>
              </w:rPr>
            </w:pPr>
          </w:p>
          <w:p w14:paraId="23A7BACC" w14:textId="77777777" w:rsidR="00E47B7E" w:rsidRDefault="00E47B7E" w:rsidP="00C77973">
            <w:pPr>
              <w:spacing w:after="120" w:line="276" w:lineRule="auto"/>
              <w:jc w:val="both"/>
              <w:rPr>
                <w:rFonts w:ascii="Verdana" w:hAnsi="Verdana" w:cs="Arial"/>
                <w:color w:val="000000" w:themeColor="text1"/>
              </w:rPr>
            </w:pPr>
          </w:p>
          <w:p w14:paraId="23A7BACD" w14:textId="77777777" w:rsidR="00E47B7E" w:rsidRPr="00992D2F" w:rsidRDefault="00E47B7E" w:rsidP="00C77973">
            <w:pPr>
              <w:spacing w:after="120" w:line="276" w:lineRule="auto"/>
              <w:jc w:val="both"/>
              <w:rPr>
                <w:rFonts w:ascii="Verdana" w:hAnsi="Verdana" w:cs="Arial"/>
                <w:color w:val="000000" w:themeColor="text1"/>
              </w:rPr>
            </w:pPr>
          </w:p>
        </w:tc>
      </w:tr>
    </w:tbl>
    <w:p w14:paraId="23A7BACF" w14:textId="77777777" w:rsidR="00E47B7E" w:rsidRPr="00CC5C68" w:rsidRDefault="00E47B7E" w:rsidP="00E47B7E">
      <w:pPr>
        <w:spacing w:after="0" w:line="276" w:lineRule="auto"/>
        <w:contextualSpacing/>
        <w:jc w:val="both"/>
        <w:rPr>
          <w:rFonts w:ascii="Verdana" w:eastAsia="Times New Roman" w:hAnsi="Verdana" w:cs="Arial"/>
          <w:lang w:eastAsia="es-ES_tradnl"/>
        </w:rPr>
      </w:pPr>
    </w:p>
    <w:p w14:paraId="23A7BAD0" w14:textId="77777777" w:rsidR="00E47B7E" w:rsidRPr="00CC5C68" w:rsidRDefault="00E47B7E" w:rsidP="00E47B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lastRenderedPageBreak/>
        <w:t>3. Razones de la respuesta:</w:t>
      </w:r>
    </w:p>
    <w:p w14:paraId="23A7BAD1" w14:textId="77777777" w:rsidR="00E47B7E" w:rsidRPr="00CC5C68" w:rsidRDefault="00E47B7E" w:rsidP="00E47B7E">
      <w:pPr>
        <w:spacing w:after="0" w:line="276" w:lineRule="auto"/>
        <w:jc w:val="both"/>
        <w:rPr>
          <w:rFonts w:ascii="Verdana" w:eastAsia="Calibri" w:hAnsi="Verdana" w:cs="Arial"/>
          <w:color w:val="7030A0"/>
          <w:lang w:val="es-ES"/>
        </w:rPr>
      </w:pPr>
    </w:p>
    <w:p w14:paraId="23A7BAD2" w14:textId="77777777" w:rsidR="00E47B7E" w:rsidRPr="00CC5C68" w:rsidRDefault="00E47B7E" w:rsidP="00E47B7E">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23A7BAD3" w14:textId="77777777" w:rsidR="00E47B7E" w:rsidRPr="00CC5C68" w:rsidRDefault="00E47B7E" w:rsidP="00E47B7E">
      <w:pPr>
        <w:spacing w:after="0" w:line="276" w:lineRule="auto"/>
        <w:jc w:val="both"/>
        <w:rPr>
          <w:rFonts w:ascii="Verdana" w:eastAsia="Calibri" w:hAnsi="Verdana" w:cs="Arial"/>
          <w:lang w:val="es-ES"/>
        </w:rPr>
      </w:pPr>
    </w:p>
    <w:p w14:paraId="23A7BAD4" w14:textId="77777777" w:rsidR="00E47B7E" w:rsidRDefault="00E47B7E" w:rsidP="00E47B7E">
      <w:pPr>
        <w:spacing w:after="120" w:line="276" w:lineRule="auto"/>
        <w:jc w:val="both"/>
        <w:rPr>
          <w:rFonts w:ascii="Verdana" w:eastAsia="Calibri" w:hAnsi="Verdana" w:cs="Arial"/>
          <w:lang w:val="es-MX"/>
        </w:rPr>
      </w:pPr>
      <w:r w:rsidRPr="008A4AEC">
        <w:rPr>
          <w:rFonts w:ascii="Verdana" w:hAnsi="Verdana" w:cs="Arial"/>
          <w:lang w:val="es-ES_tradnl"/>
        </w:rPr>
        <w:t xml:space="preserve">Si bien las personas pueden presentarse individualmente a los procesos de selección, también pueden hacerlo en forma plural a través de consorcios o uniones temporales. En efecto, </w:t>
      </w:r>
      <w:r w:rsidRPr="008A4AEC">
        <w:rPr>
          <w:rFonts w:ascii="Verdana" w:eastAsia="Calibri" w:hAnsi="Verdana" w:cs="Arial"/>
          <w:lang w:val="es-MX"/>
        </w:rPr>
        <w:t xml:space="preserve">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w:t>
      </w:r>
    </w:p>
    <w:p w14:paraId="23A7BAD5" w14:textId="77777777" w:rsidR="00E47B7E" w:rsidRPr="008A4AEC" w:rsidRDefault="00E47B7E" w:rsidP="00E47B7E">
      <w:pPr>
        <w:spacing w:after="120" w:line="276" w:lineRule="auto"/>
        <w:jc w:val="both"/>
        <w:rPr>
          <w:rFonts w:ascii="Verdana" w:eastAsia="Calibri" w:hAnsi="Verdana" w:cs="Arial"/>
          <w:lang w:val="es-MX"/>
        </w:rPr>
      </w:pPr>
      <w:r w:rsidRPr="008A4AEC">
        <w:rPr>
          <w:rFonts w:ascii="Verdana" w:eastAsia="Calibri" w:hAnsi="Verdana" w:cs="Arial"/>
          <w:lang w:val="es-MX"/>
        </w:rPr>
        <w:t>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23A7BAD6" w14:textId="77777777" w:rsidR="00E47B7E" w:rsidRPr="008A4AEC" w:rsidRDefault="00E47B7E" w:rsidP="00E47B7E">
      <w:pPr>
        <w:spacing w:after="0" w:line="276" w:lineRule="auto"/>
        <w:ind w:firstLine="720"/>
        <w:jc w:val="both"/>
        <w:rPr>
          <w:rFonts w:ascii="Verdana" w:eastAsia="Calibri" w:hAnsi="Verdana" w:cs="Arial"/>
          <w:bCs/>
          <w:color w:val="000000" w:themeColor="text1"/>
          <w:lang w:val="es-ES"/>
        </w:rPr>
      </w:pPr>
      <w:r w:rsidRPr="008A4AEC">
        <w:rPr>
          <w:rFonts w:ascii="Verdana" w:eastAsia="Calibri" w:hAnsi="Verdana" w:cs="Arial"/>
          <w:bCs/>
          <w:color w:val="000000" w:themeColor="text1"/>
          <w:lang w:val="es-ES"/>
        </w:rPr>
        <w:t>La capacidad para contratar, e incluso la de realizar actos jurídicamente vinculantes como la presentación de una oferta en un procedimiento de selección de contratistas, se consideró por mucho tiempo</w:t>
      </w:r>
      <w:r>
        <w:rPr>
          <w:rFonts w:ascii="Verdana" w:eastAsia="Calibri" w:hAnsi="Verdana" w:cs="Arial"/>
          <w:bCs/>
          <w:color w:val="000000" w:themeColor="text1"/>
          <w:lang w:val="es-ES"/>
        </w:rPr>
        <w:t xml:space="preserve"> cómo</w:t>
      </w:r>
      <w:r w:rsidRPr="008A4AEC">
        <w:rPr>
          <w:rFonts w:ascii="Verdana" w:eastAsia="Calibri" w:hAnsi="Verdana" w:cs="Arial"/>
          <w:bCs/>
          <w:color w:val="000000" w:themeColor="text1"/>
          <w:lang w:val="es-ES"/>
        </w:rPr>
        <w:t xml:space="preserve"> uno de los atributos de la personalidad reservado, en tanto tal, a las personas jurídicas y 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 y uniones temporales. En este sentido, la Corte Constitucional ha sostenido:</w:t>
      </w:r>
    </w:p>
    <w:p w14:paraId="23A7BAD7" w14:textId="77777777" w:rsidR="00E47B7E" w:rsidRPr="008A4AEC" w:rsidRDefault="00E47B7E" w:rsidP="00E47B7E">
      <w:pPr>
        <w:spacing w:after="0" w:line="276" w:lineRule="auto"/>
        <w:jc w:val="both"/>
        <w:rPr>
          <w:rFonts w:ascii="Verdana" w:eastAsia="Calibri" w:hAnsi="Verdana" w:cs="Arial"/>
          <w:bCs/>
          <w:color w:val="000000" w:themeColor="text1"/>
          <w:lang w:val="es-ES"/>
        </w:rPr>
      </w:pPr>
    </w:p>
    <w:p w14:paraId="23A7BAD8" w14:textId="77777777" w:rsidR="00E47B7E" w:rsidRPr="008A4AEC" w:rsidRDefault="00E47B7E" w:rsidP="00E47B7E">
      <w:pPr>
        <w:spacing w:after="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23A7BAD9" w14:textId="77777777" w:rsidR="00E47B7E" w:rsidRPr="008A4AEC" w:rsidRDefault="00E47B7E" w:rsidP="00E47B7E">
      <w:pPr>
        <w:spacing w:after="12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w:t>
      </w:r>
    </w:p>
    <w:p w14:paraId="23A7BADA" w14:textId="77777777" w:rsidR="00E47B7E" w:rsidRPr="008A4AEC" w:rsidRDefault="00E47B7E" w:rsidP="00E47B7E">
      <w:pPr>
        <w:spacing w:after="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lastRenderedPageBreak/>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8A4AEC">
        <w:rPr>
          <w:rStyle w:val="Refdenotaalpie"/>
          <w:rFonts w:ascii="Verdana" w:eastAsia="Calibri" w:hAnsi="Verdana" w:cs="Arial"/>
          <w:bCs/>
          <w:color w:val="000000" w:themeColor="text1"/>
          <w:sz w:val="21"/>
          <w:szCs w:val="21"/>
        </w:rPr>
        <w:footnoteReference w:id="2"/>
      </w:r>
      <w:r w:rsidRPr="008A4AEC">
        <w:rPr>
          <w:rFonts w:ascii="Verdana" w:eastAsia="Calibri" w:hAnsi="Verdana" w:cs="Arial"/>
          <w:bCs/>
          <w:color w:val="000000" w:themeColor="text1"/>
          <w:sz w:val="21"/>
          <w:szCs w:val="21"/>
        </w:rPr>
        <w:t>.</w:t>
      </w:r>
    </w:p>
    <w:p w14:paraId="23A7BADB" w14:textId="77777777" w:rsidR="00E47B7E" w:rsidRPr="008A4AEC" w:rsidRDefault="00E47B7E" w:rsidP="00E47B7E">
      <w:pPr>
        <w:spacing w:after="0"/>
        <w:ind w:left="720" w:right="730"/>
        <w:jc w:val="both"/>
        <w:rPr>
          <w:rFonts w:ascii="Verdana" w:eastAsia="Calibri" w:hAnsi="Verdana" w:cs="Arial"/>
          <w:bCs/>
          <w:color w:val="000000" w:themeColor="text1"/>
          <w:sz w:val="21"/>
          <w:szCs w:val="21"/>
        </w:rPr>
      </w:pPr>
    </w:p>
    <w:p w14:paraId="23A7BADC" w14:textId="77777777" w:rsidR="00E47B7E" w:rsidRPr="008A4AEC" w:rsidRDefault="00E47B7E" w:rsidP="00E47B7E">
      <w:pPr>
        <w:spacing w:after="120" w:line="276" w:lineRule="auto"/>
        <w:ind w:firstLine="720"/>
        <w:jc w:val="both"/>
        <w:rPr>
          <w:rFonts w:ascii="Verdana" w:eastAsia="Calibri" w:hAnsi="Verdana" w:cs="Arial"/>
          <w:bCs/>
          <w:color w:val="000000" w:themeColor="text1"/>
          <w:lang w:val="es-ES"/>
        </w:rPr>
      </w:pPr>
      <w:bookmarkStart w:id="0" w:name="_Hlk135067740"/>
      <w:r w:rsidRPr="008A4AEC">
        <w:rPr>
          <w:rFonts w:ascii="Verdana" w:eastAsia="Calibri" w:hAnsi="Verdana" w:cs="Arial"/>
          <w:bCs/>
          <w:color w:val="000000" w:themeColor="text1"/>
          <w:lang w:val="es-ES"/>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bookmarkEnd w:id="0"/>
    <w:p w14:paraId="23A7BADD" w14:textId="77777777" w:rsidR="00E47B7E" w:rsidRPr="008A4AEC" w:rsidRDefault="00E47B7E" w:rsidP="00E47B7E">
      <w:pPr>
        <w:spacing w:after="0" w:line="276" w:lineRule="auto"/>
        <w:ind w:firstLine="709"/>
        <w:jc w:val="both"/>
        <w:rPr>
          <w:rFonts w:ascii="Verdana" w:hAnsi="Verdana" w:cs="Arial"/>
        </w:rPr>
      </w:pPr>
      <w:r w:rsidRPr="008A4AEC">
        <w:rPr>
          <w:rFonts w:ascii="Verdana" w:hAnsi="Verdana" w:cs="Arial"/>
        </w:rPr>
        <w:t xml:space="preserve">Debido a que los consorcios y las uniones temporales no son personas jurídicas, su creación depende de un acuerdo en el que concurre la voluntad </w:t>
      </w:r>
      <w:r>
        <w:rPr>
          <w:rFonts w:ascii="Verdana" w:hAnsi="Verdana" w:cs="Arial"/>
        </w:rPr>
        <w:t xml:space="preserve">y capacidad jurídica </w:t>
      </w:r>
      <w:r w:rsidRPr="008A4AEC">
        <w:rPr>
          <w:rFonts w:ascii="Verdana" w:hAnsi="Verdana" w:cs="Arial"/>
        </w:rPr>
        <w:t>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En lo pertinente, la norma precitada dispone que:</w:t>
      </w:r>
    </w:p>
    <w:p w14:paraId="23A7BADE" w14:textId="77777777" w:rsidR="00E47B7E" w:rsidRPr="008A4AEC" w:rsidRDefault="00E47B7E" w:rsidP="00E47B7E">
      <w:pPr>
        <w:spacing w:after="0" w:line="276" w:lineRule="auto"/>
        <w:ind w:firstLine="709"/>
        <w:jc w:val="both"/>
        <w:rPr>
          <w:rFonts w:ascii="Verdana" w:eastAsia="Calibri" w:hAnsi="Verdana" w:cs="Arial"/>
          <w:bCs/>
          <w:color w:val="000000" w:themeColor="text1"/>
          <w:lang w:val="es-ES"/>
        </w:rPr>
      </w:pPr>
    </w:p>
    <w:p w14:paraId="23A7BADF" w14:textId="77777777" w:rsidR="00E47B7E" w:rsidRPr="008A4AEC" w:rsidRDefault="00E47B7E" w:rsidP="00E47B7E">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“Artículo 7º.- ENTIDADES A CONTRATAR. Artículo modificado por el artículo 3 de la Ley 2160 de 2021. Para los efectos de esta Ley se entiende por:</w:t>
      </w:r>
    </w:p>
    <w:p w14:paraId="23A7BAE0" w14:textId="77777777" w:rsidR="00E47B7E" w:rsidRPr="008A4AEC" w:rsidRDefault="00E47B7E" w:rsidP="00E47B7E">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23A7BAE1" w14:textId="77777777" w:rsidR="00E47B7E" w:rsidRPr="008A4AEC" w:rsidRDefault="00E47B7E" w:rsidP="00E47B7E">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 xml:space="preserve">6. Consorcio: Cuando dos o más personas </w:t>
      </w:r>
      <w:bookmarkStart w:id="1" w:name="_Hlk180410264"/>
      <w:r w:rsidRPr="008A4AEC">
        <w:rPr>
          <w:rFonts w:ascii="Verdana" w:eastAsia="Calibri" w:hAnsi="Verdana" w:cs="Arial"/>
          <w:bCs/>
          <w:color w:val="000000" w:themeColor="text1"/>
          <w:sz w:val="21"/>
          <w:lang w:val="es-ES"/>
        </w:rPr>
        <w:t>en forma conjunta presentan una misma propuesta para la adjudicación, celebración y ejecución de un contrato</w:t>
      </w:r>
      <w:bookmarkEnd w:id="1"/>
      <w:r w:rsidRPr="008A4AEC">
        <w:rPr>
          <w:rFonts w:ascii="Verdana" w:eastAsia="Calibri" w:hAnsi="Verdana" w:cs="Arial"/>
          <w:bCs/>
          <w:color w:val="000000" w:themeColor="text1"/>
          <w:sz w:val="21"/>
          <w:lang w:val="es-ES"/>
        </w:rPr>
        <w:t xml:space="preserve">, respondiendo solidariamente de todas y cada una de las obligaciones derivadas de la propuesta y del contrato. En consecuencia, las actuaciones, hechos y omisiones que se presenten </w:t>
      </w:r>
      <w:r w:rsidRPr="008A4AEC">
        <w:rPr>
          <w:rFonts w:ascii="Verdana" w:eastAsia="Calibri" w:hAnsi="Verdana" w:cs="Arial"/>
          <w:bCs/>
          <w:color w:val="000000" w:themeColor="text1"/>
          <w:sz w:val="21"/>
          <w:lang w:val="es-ES"/>
        </w:rPr>
        <w:lastRenderedPageBreak/>
        <w:t>en desarrollo de la propuesta y del contrato, afectarán a todos los miembros que lo conforman.</w:t>
      </w:r>
    </w:p>
    <w:p w14:paraId="23A7BAE2" w14:textId="77777777" w:rsidR="00E47B7E" w:rsidRPr="008A4AEC" w:rsidRDefault="00E47B7E" w:rsidP="00E47B7E">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23A7BAE3" w14:textId="77777777" w:rsidR="00E47B7E" w:rsidRPr="008A4AEC" w:rsidRDefault="00E47B7E" w:rsidP="00E47B7E">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23A7BAE4" w14:textId="77777777" w:rsidR="00E47B7E" w:rsidRPr="008A4AEC" w:rsidRDefault="00E47B7E" w:rsidP="00E47B7E">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23A7BAE5" w14:textId="77777777" w:rsidR="00E47B7E" w:rsidRPr="008A4AEC" w:rsidRDefault="00E47B7E" w:rsidP="00E47B7E">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Los miembros del consorcio y de la unión temporal deberán designar la persona que, para todos los efectos, representará al consorcio o unión temporal y señalarán las reglas básicas que regulen las relaciones entre ellos y su responsabilidad.</w:t>
      </w:r>
    </w:p>
    <w:p w14:paraId="23A7BAE6" w14:textId="77777777" w:rsidR="00E47B7E" w:rsidRPr="008A4AEC" w:rsidRDefault="00E47B7E" w:rsidP="00E47B7E">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23A7BAE7" w14:textId="77777777" w:rsidR="00E47B7E" w:rsidRPr="008A4AEC" w:rsidRDefault="00E47B7E" w:rsidP="00E47B7E">
      <w:pPr>
        <w:spacing w:after="0" w:line="276" w:lineRule="auto"/>
        <w:ind w:left="720" w:right="731"/>
        <w:jc w:val="both"/>
        <w:rPr>
          <w:rFonts w:ascii="Verdana" w:eastAsia="Calibri" w:hAnsi="Verdana" w:cs="Arial"/>
          <w:bCs/>
          <w:color w:val="000000" w:themeColor="text1"/>
          <w:lang w:val="es-ES"/>
        </w:rPr>
      </w:pPr>
    </w:p>
    <w:p w14:paraId="23A7BAE8" w14:textId="77777777" w:rsidR="00E47B7E" w:rsidRPr="008A4AEC" w:rsidRDefault="00E47B7E" w:rsidP="00E47B7E">
      <w:pPr>
        <w:spacing w:after="120" w:line="276" w:lineRule="auto"/>
        <w:jc w:val="both"/>
        <w:rPr>
          <w:rFonts w:ascii="Verdana" w:hAnsi="Verdana" w:cs="Arial"/>
          <w:color w:val="000000" w:themeColor="text1"/>
        </w:rPr>
      </w:pPr>
      <w:r w:rsidRPr="008A4AEC">
        <w:rPr>
          <w:rFonts w:ascii="Verdana" w:eastAsia="Calibri" w:hAnsi="Verdana" w:cs="Arial"/>
          <w:bCs/>
          <w:color w:val="000000" w:themeColor="text1"/>
          <w:lang w:val="es-ES"/>
        </w:rPr>
        <w:tab/>
        <w:t>Como se observa, el artículo citado señala que el consorcio o la unión temporal se da “Cuando dos o más personas en forma conjunta presentan una misma propuesta para la adjudicación, celebración y ejecución de un contrato […]”.</w:t>
      </w:r>
      <w:r w:rsidRPr="008A4AEC">
        <w:rPr>
          <w:rFonts w:ascii="Verdana" w:hAnsi="Verdana" w:cs="Arial"/>
          <w:color w:val="000000" w:themeColor="text1"/>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23A7BAE9" w14:textId="77777777" w:rsidR="00E47B7E" w:rsidRDefault="00E47B7E" w:rsidP="00E47B7E">
      <w:pPr>
        <w:spacing w:after="120" w:line="276" w:lineRule="auto"/>
        <w:jc w:val="both"/>
        <w:rPr>
          <w:rFonts w:ascii="Verdana" w:hAnsi="Verdana" w:cs="Arial"/>
          <w:color w:val="000000" w:themeColor="text1"/>
        </w:rPr>
      </w:pPr>
      <w:r w:rsidRPr="008A4AEC">
        <w:rPr>
          <w:rFonts w:ascii="Verdana" w:hAnsi="Verdana" w:cs="Arial"/>
          <w:color w:val="000000" w:themeColor="text1"/>
        </w:rPr>
        <w:tab/>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w:t>
      </w:r>
      <w:r>
        <w:rPr>
          <w:rFonts w:ascii="Verdana" w:hAnsi="Verdana" w:cs="Arial"/>
          <w:color w:val="000000" w:themeColor="text1"/>
        </w:rPr>
        <w:t>el grado de</w:t>
      </w:r>
      <w:r w:rsidRPr="008A4AEC">
        <w:rPr>
          <w:rFonts w:ascii="Verdana" w:hAnsi="Verdana" w:cs="Arial"/>
          <w:color w:val="000000" w:themeColor="text1"/>
        </w:rPr>
        <w:t xml:space="preserve"> participación de sus miembros, mientras que en el consorcio los miembros responden solidariamente, </w:t>
      </w:r>
      <w:r>
        <w:rPr>
          <w:rFonts w:ascii="Verdana" w:hAnsi="Verdana" w:cs="Arial"/>
          <w:color w:val="000000" w:themeColor="text1"/>
        </w:rPr>
        <w:t>independientemente de su grado de participación</w:t>
      </w:r>
      <w:r w:rsidRPr="008A4AEC">
        <w:rPr>
          <w:rFonts w:ascii="Verdana" w:hAnsi="Verdana" w:cs="Arial"/>
          <w:color w:val="000000" w:themeColor="text1"/>
        </w:rPr>
        <w:t>.</w:t>
      </w:r>
    </w:p>
    <w:p w14:paraId="23A7BAEA" w14:textId="77777777" w:rsidR="00E47B7E" w:rsidRDefault="00E47B7E" w:rsidP="00E47B7E">
      <w:pPr>
        <w:spacing w:after="120" w:line="276" w:lineRule="auto"/>
        <w:ind w:firstLine="708"/>
        <w:jc w:val="both"/>
        <w:rPr>
          <w:rFonts w:ascii="Verdana" w:hAnsi="Verdana" w:cs="Arial"/>
          <w:color w:val="000000" w:themeColor="text1"/>
        </w:rPr>
      </w:pPr>
      <w:r>
        <w:rPr>
          <w:rFonts w:ascii="Verdana" w:hAnsi="Verdana" w:cs="Arial"/>
          <w:color w:val="000000" w:themeColor="text1"/>
        </w:rPr>
        <w:lastRenderedPageBreak/>
        <w:t>En conclusión, l</w:t>
      </w:r>
      <w:r w:rsidRPr="008A4AEC">
        <w:rPr>
          <w:rFonts w:ascii="Verdana" w:hAnsi="Verdana" w:cs="Arial"/>
          <w:color w:val="000000" w:themeColor="text1"/>
        </w:rPr>
        <w:t>a capacidad jurídica de lo</w:t>
      </w:r>
      <w:r>
        <w:rPr>
          <w:rFonts w:ascii="Verdana" w:hAnsi="Verdana" w:cs="Arial"/>
          <w:color w:val="000000" w:themeColor="text1"/>
        </w:rPr>
        <w:t>s</w:t>
      </w:r>
      <w:r w:rsidRPr="008A4AEC">
        <w:rPr>
          <w:rFonts w:ascii="Verdana" w:hAnsi="Verdana" w:cs="Arial"/>
          <w:color w:val="000000" w:themeColor="text1"/>
        </w:rPr>
        <w:t xml:space="preserve"> proponentes plurales se limita al campo de la contratación estatal de las entidades sometidas al EGCAP, es decir, a las relaciones en</w:t>
      </w:r>
      <w:r>
        <w:rPr>
          <w:rFonts w:ascii="Verdana" w:hAnsi="Verdana" w:cs="Arial"/>
          <w:color w:val="000000" w:themeColor="text1"/>
        </w:rPr>
        <w:t>tre los</w:t>
      </w:r>
      <w:r w:rsidRPr="008A4AEC">
        <w:rPr>
          <w:rFonts w:ascii="Verdana" w:hAnsi="Verdana" w:cs="Arial"/>
          <w:color w:val="000000" w:themeColor="text1"/>
        </w:rPr>
        <w:t xml:space="preserve"> consorcios y las uniones temporales con las entidades estatales del artículo 2 de la Ley 80 de 1993.</w:t>
      </w:r>
      <w:r>
        <w:rPr>
          <w:rFonts w:ascii="Verdana" w:hAnsi="Verdana" w:cs="Arial"/>
          <w:color w:val="000000" w:themeColor="text1"/>
        </w:rPr>
        <w:t xml:space="preserve"> Las personas que conforman proponentes plurales pueden presentar </w:t>
      </w:r>
      <w:r w:rsidRPr="00B33BA7">
        <w:rPr>
          <w:rFonts w:ascii="Verdana" w:hAnsi="Verdana" w:cs="Arial"/>
          <w:color w:val="000000" w:themeColor="text1"/>
        </w:rPr>
        <w:t>en forma conjunta una misma propuesta para la adjudicación, celebración ejecución</w:t>
      </w:r>
      <w:r>
        <w:rPr>
          <w:rFonts w:ascii="Verdana" w:hAnsi="Verdana" w:cs="Arial"/>
          <w:color w:val="000000" w:themeColor="text1"/>
        </w:rPr>
        <w:t xml:space="preserve"> y liquidación</w:t>
      </w:r>
      <w:r w:rsidRPr="00B33BA7">
        <w:rPr>
          <w:rFonts w:ascii="Verdana" w:hAnsi="Verdana" w:cs="Arial"/>
          <w:color w:val="000000" w:themeColor="text1"/>
        </w:rPr>
        <w:t xml:space="preserve"> d</w:t>
      </w:r>
      <w:r>
        <w:rPr>
          <w:rFonts w:ascii="Verdana" w:hAnsi="Verdana" w:cs="Arial"/>
          <w:color w:val="000000" w:themeColor="text1"/>
        </w:rPr>
        <w:t xml:space="preserve">e contratos estatales con </w:t>
      </w:r>
      <w:r w:rsidRPr="008706A7">
        <w:rPr>
          <w:rFonts w:ascii="Verdana" w:hAnsi="Verdana" w:cs="Arial"/>
          <w:i/>
          <w:iCs/>
          <w:color w:val="000000" w:themeColor="text1"/>
        </w:rPr>
        <w:t>una o varias</w:t>
      </w:r>
      <w:r>
        <w:rPr>
          <w:rFonts w:ascii="Verdana" w:hAnsi="Verdana" w:cs="Arial"/>
          <w:color w:val="000000" w:themeColor="text1"/>
        </w:rPr>
        <w:t xml:space="preserve"> de las entidades descritas en la norma precitada. Dichas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El proponente plural debe estar debidamente constituido dentro de cada uno de los procesos en que desee presentarse, sin perjuicio de cumplir con las condiciones de uso del SECOP II en los procesos que se gestionan de manera transaccional.</w:t>
      </w:r>
    </w:p>
    <w:p w14:paraId="23A7BAEB" w14:textId="77777777" w:rsidR="00E47B7E" w:rsidRDefault="00E47B7E" w:rsidP="00E47B7E">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Ahora bien, ha sido reiterada y pacifica la línea de la ANCP-CCE, respecto a considerar la viabilidad jurídica de que los proponentes plurales al momento de su constitución, puedan presentar ofertas a una o varias entidades públicas, sin desconocer las obligaciones que les asiste ante la plataforma Secop II de su inscripción individual para cada proceso en el que se pretenda participar.  </w:t>
      </w:r>
    </w:p>
    <w:p w14:paraId="23A7BAEC" w14:textId="77777777" w:rsidR="00E47B7E" w:rsidRDefault="00E47B7E" w:rsidP="00E47B7E">
      <w:pPr>
        <w:spacing w:after="120" w:line="276" w:lineRule="auto"/>
        <w:ind w:firstLine="708"/>
        <w:jc w:val="both"/>
        <w:rPr>
          <w:rFonts w:ascii="Verdana" w:hAnsi="Verdana" w:cs="Arial"/>
          <w:color w:val="000000" w:themeColor="text1"/>
        </w:rPr>
      </w:pPr>
    </w:p>
    <w:p w14:paraId="23A7BAED" w14:textId="77777777" w:rsidR="00E47B7E" w:rsidRPr="00CC5C68" w:rsidRDefault="00E47B7E" w:rsidP="00E47B7E">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23A7BAEE" w14:textId="77777777" w:rsidR="00E47B7E" w:rsidRPr="00CC5C68" w:rsidRDefault="00E47B7E" w:rsidP="00E47B7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47B7E" w:rsidRPr="00CC5C68" w14:paraId="23A7BAF4" w14:textId="77777777" w:rsidTr="00C77973">
        <w:trPr>
          <w:trHeight w:val="331"/>
        </w:trPr>
        <w:tc>
          <w:tcPr>
            <w:tcW w:w="8647" w:type="dxa"/>
          </w:tcPr>
          <w:p w14:paraId="23A7BAEF" w14:textId="77777777" w:rsidR="00E47B7E" w:rsidRPr="002407CE" w:rsidRDefault="00E47B7E" w:rsidP="00E47B7E">
            <w:pPr>
              <w:pStyle w:val="Prrafodelista"/>
              <w:widowControl w:val="0"/>
              <w:numPr>
                <w:ilvl w:val="0"/>
                <w:numId w:val="1"/>
              </w:numPr>
              <w:autoSpaceDE w:val="0"/>
              <w:autoSpaceDN w:val="0"/>
              <w:spacing w:after="120" w:line="276" w:lineRule="auto"/>
              <w:jc w:val="both"/>
              <w:rPr>
                <w:rFonts w:ascii="Verdana" w:hAnsi="Verdana" w:cs="Arial"/>
              </w:rPr>
            </w:pPr>
            <w:r w:rsidRPr="002407CE">
              <w:rPr>
                <w:rFonts w:ascii="Verdana" w:hAnsi="Verdana" w:cs="Arial"/>
              </w:rPr>
              <w:t xml:space="preserve">Código Civil, artículos 1502, 1503 y 1504. </w:t>
            </w:r>
          </w:p>
          <w:p w14:paraId="23A7BAF0" w14:textId="77777777" w:rsidR="00E47B7E" w:rsidRPr="002407CE" w:rsidRDefault="00E47B7E" w:rsidP="00C77973">
            <w:pPr>
              <w:pStyle w:val="Prrafodelista"/>
              <w:widowControl w:val="0"/>
              <w:autoSpaceDE w:val="0"/>
              <w:autoSpaceDN w:val="0"/>
              <w:spacing w:after="120" w:line="276" w:lineRule="auto"/>
              <w:jc w:val="both"/>
              <w:rPr>
                <w:rFonts w:ascii="Verdana" w:hAnsi="Verdana" w:cs="Arial"/>
                <w:sz w:val="12"/>
                <w:szCs w:val="12"/>
              </w:rPr>
            </w:pPr>
          </w:p>
          <w:p w14:paraId="23A7BAF1" w14:textId="77777777" w:rsidR="00E47B7E" w:rsidRPr="002407CE" w:rsidRDefault="00E47B7E" w:rsidP="00E47B7E">
            <w:pPr>
              <w:pStyle w:val="Prrafodelista"/>
              <w:widowControl w:val="0"/>
              <w:numPr>
                <w:ilvl w:val="0"/>
                <w:numId w:val="1"/>
              </w:numPr>
              <w:autoSpaceDE w:val="0"/>
              <w:autoSpaceDN w:val="0"/>
              <w:spacing w:after="120" w:line="276" w:lineRule="auto"/>
              <w:contextualSpacing w:val="0"/>
              <w:jc w:val="both"/>
              <w:rPr>
                <w:rFonts w:ascii="Verdana" w:hAnsi="Verdana" w:cs="Arial"/>
              </w:rPr>
            </w:pPr>
            <w:r w:rsidRPr="002407CE">
              <w:rPr>
                <w:rFonts w:ascii="Verdana" w:hAnsi="Verdana" w:cs="Arial"/>
              </w:rPr>
              <w:t>Código de Comercio, artículo 99.</w:t>
            </w:r>
          </w:p>
          <w:p w14:paraId="23A7BAF2" w14:textId="77777777" w:rsidR="00E47B7E" w:rsidRPr="002407CE" w:rsidRDefault="00E47B7E" w:rsidP="00E47B7E">
            <w:pPr>
              <w:pStyle w:val="Prrafodelista"/>
              <w:widowControl w:val="0"/>
              <w:numPr>
                <w:ilvl w:val="0"/>
                <w:numId w:val="1"/>
              </w:numPr>
              <w:autoSpaceDE w:val="0"/>
              <w:autoSpaceDN w:val="0"/>
              <w:spacing w:after="120" w:line="276" w:lineRule="auto"/>
              <w:contextualSpacing w:val="0"/>
              <w:jc w:val="both"/>
              <w:rPr>
                <w:rFonts w:ascii="Verdana" w:hAnsi="Verdana" w:cs="Arial"/>
              </w:rPr>
            </w:pPr>
            <w:r w:rsidRPr="002407CE">
              <w:rPr>
                <w:rFonts w:ascii="Verdana" w:hAnsi="Verdana" w:cs="Arial"/>
              </w:rPr>
              <w:t>Ley 80 de 1993, artículos 2, 6 y 7.</w:t>
            </w:r>
          </w:p>
          <w:p w14:paraId="23A7BAF3" w14:textId="77777777" w:rsidR="00E47B7E" w:rsidRPr="003D2146" w:rsidRDefault="00E47B7E" w:rsidP="00E47B7E">
            <w:pPr>
              <w:pStyle w:val="Prrafodelista"/>
              <w:widowControl w:val="0"/>
              <w:numPr>
                <w:ilvl w:val="0"/>
                <w:numId w:val="1"/>
              </w:numPr>
              <w:tabs>
                <w:tab w:val="left" w:pos="8419"/>
              </w:tabs>
              <w:autoSpaceDE w:val="0"/>
              <w:autoSpaceDN w:val="0"/>
              <w:spacing w:after="0" w:line="276" w:lineRule="auto"/>
              <w:contextualSpacing w:val="0"/>
              <w:jc w:val="both"/>
              <w:rPr>
                <w:rFonts w:ascii="Verdana" w:hAnsi="Verdana" w:cs="Arial"/>
              </w:rPr>
            </w:pPr>
            <w:r w:rsidRPr="002407CE">
              <w:rPr>
                <w:rFonts w:ascii="Verdana" w:hAnsi="Verdana" w:cs="Arial"/>
              </w:rPr>
              <w:t xml:space="preserve">Jurisprudencia de la Corte Constitucional. Disponible en:  </w:t>
            </w:r>
            <w:hyperlink r:id="rId12" w:history="1">
              <w:r w:rsidRPr="00BB3BE4">
                <w:rPr>
                  <w:rStyle w:val="Hipervnculo"/>
                  <w:rFonts w:ascii="Verdana" w:hAnsi="Verdana" w:cs="Arial"/>
                  <w:color w:val="4472C4" w:themeColor="accent1"/>
                </w:rPr>
                <w:t>https://www.corteconstitucional.gov./relatoria/</w:t>
              </w:r>
            </w:hyperlink>
            <w:r w:rsidRPr="002407CE">
              <w:rPr>
                <w:rFonts w:ascii="Verdana" w:hAnsi="Verdana" w:cs="Arial"/>
              </w:rPr>
              <w:t xml:space="preserve">.  </w:t>
            </w:r>
          </w:p>
        </w:tc>
      </w:tr>
    </w:tbl>
    <w:p w14:paraId="23A7BAF5" w14:textId="77777777" w:rsidR="00E47B7E" w:rsidRDefault="00E47B7E" w:rsidP="00E47B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3A7BAF6" w14:textId="77777777" w:rsidR="00E47B7E" w:rsidRDefault="00E47B7E" w:rsidP="00E47B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3A7BAF7" w14:textId="77777777" w:rsidR="00E47B7E" w:rsidRPr="00CC5C68" w:rsidRDefault="00E47B7E" w:rsidP="00E47B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3A7BAF8" w14:textId="77777777" w:rsidR="00E47B7E" w:rsidRPr="00CC5C68" w:rsidRDefault="00E47B7E" w:rsidP="00E47B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23A7BAF9" w14:textId="77777777" w:rsidR="00E47B7E" w:rsidRPr="00CC5C68" w:rsidRDefault="00E47B7E" w:rsidP="00E47B7E">
      <w:pPr>
        <w:spacing w:after="0" w:line="276" w:lineRule="auto"/>
        <w:ind w:firstLine="709"/>
        <w:jc w:val="both"/>
        <w:rPr>
          <w:rFonts w:ascii="Verdana" w:eastAsia="Times New Roman" w:hAnsi="Verdana" w:cs="Arial"/>
          <w:szCs w:val="24"/>
          <w:lang w:val="es-ES" w:eastAsia="es-ES_tradnl"/>
        </w:rPr>
      </w:pPr>
    </w:p>
    <w:p w14:paraId="23A7BAFA" w14:textId="77777777" w:rsidR="00E47B7E" w:rsidRDefault="00E47B7E" w:rsidP="00E47B7E">
      <w:pPr>
        <w:spacing w:after="120" w:line="276" w:lineRule="auto"/>
        <w:jc w:val="both"/>
        <w:rPr>
          <w:rStyle w:val="normaltextrun"/>
          <w:rFonts w:ascii="Verdana" w:eastAsia="Calibri" w:hAnsi="Verdana" w:cs="Arial"/>
          <w:lang w:val="es-ES" w:eastAsia="es-ES"/>
        </w:rPr>
      </w:pPr>
      <w:r>
        <w:rPr>
          <w:rStyle w:val="normaltextrun"/>
          <w:rFonts w:ascii="Verdana" w:hAnsi="Verdana" w:cs="Arial"/>
          <w:shd w:val="clear" w:color="auto" w:fill="FFFFFF"/>
          <w:lang w:val="es-ES"/>
        </w:rPr>
        <w:t>E</w:t>
      </w:r>
      <w:r w:rsidRPr="00EA761C">
        <w:rPr>
          <w:rStyle w:val="normaltextrun"/>
          <w:rFonts w:ascii="Verdana" w:hAnsi="Verdana" w:cs="Arial"/>
          <w:shd w:val="clear" w:color="auto" w:fill="FFFFFF"/>
          <w:lang w:val="es-ES"/>
        </w:rPr>
        <w:t>sta Subdirección </w:t>
      </w:r>
      <w:r>
        <w:rPr>
          <w:rStyle w:val="normaltextrun"/>
          <w:rFonts w:ascii="Verdana" w:hAnsi="Verdana" w:cs="Arial"/>
          <w:shd w:val="clear" w:color="auto" w:fill="FFFFFF"/>
          <w:lang w:val="es-ES"/>
        </w:rPr>
        <w:t>se ha pronunciado s</w:t>
      </w:r>
      <w:r w:rsidRPr="00EA761C">
        <w:rPr>
          <w:rStyle w:val="normaltextrun"/>
          <w:rFonts w:ascii="Verdana" w:hAnsi="Verdana" w:cs="Arial"/>
          <w:shd w:val="clear" w:color="auto" w:fill="FFFFFF"/>
          <w:lang w:val="es-ES"/>
        </w:rPr>
        <w:t>obre la capacidad jurídica de los consorcios y las uniones temporales en los Conceptos</w:t>
      </w:r>
      <w:r w:rsidRPr="00EA761C">
        <w:rPr>
          <w:rStyle w:val="normaltextrun"/>
          <w:rFonts w:ascii="Verdana" w:hAnsi="Verdana" w:cs="Calibri"/>
          <w:shd w:val="clear" w:color="auto" w:fill="FFFFFF"/>
        </w:rPr>
        <w:t xml:space="preserve"> </w:t>
      </w:r>
      <w:r w:rsidRPr="00EA761C">
        <w:rPr>
          <w:rStyle w:val="normaltextrun"/>
          <w:rFonts w:ascii="Verdana" w:hAnsi="Verdana" w:cs="Arial"/>
          <w:shd w:val="clear" w:color="auto" w:fill="FFFFFF"/>
          <w:lang w:val="es-ES"/>
        </w:rPr>
        <w:t xml:space="preserve">4201913000007643 del 26 de diciembre de 2019, C-343 del 17 de junio de 2020, C-518 del 9 de septiembre de 2020, C-614 del 5 de octubre de 2022, C-882 del 21 de diciembre </w:t>
      </w:r>
      <w:r w:rsidRPr="00EA761C">
        <w:rPr>
          <w:rStyle w:val="normaltextrun"/>
          <w:rFonts w:ascii="Verdana" w:hAnsi="Verdana" w:cs="Arial"/>
          <w:shd w:val="clear" w:color="auto" w:fill="FFFFFF"/>
          <w:lang w:val="es-ES"/>
        </w:rPr>
        <w:lastRenderedPageBreak/>
        <w:t>de 2022, C-172 del 6 de junio de 2023, C-032 del 16 de abril de 2024</w:t>
      </w:r>
      <w:r>
        <w:rPr>
          <w:rStyle w:val="normaltextrun"/>
          <w:rFonts w:ascii="Verdana" w:hAnsi="Verdana" w:cs="Arial"/>
          <w:shd w:val="clear" w:color="auto" w:fill="FFFFFF"/>
          <w:lang w:val="es-ES"/>
        </w:rPr>
        <w:t>,</w:t>
      </w:r>
      <w:r w:rsidRPr="00EA761C">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C-050 del 18 de julio de 2024, </w:t>
      </w:r>
      <w:r w:rsidRPr="00EA761C">
        <w:rPr>
          <w:rStyle w:val="normaltextrun"/>
          <w:rFonts w:ascii="Verdana" w:hAnsi="Verdana" w:cs="Arial"/>
          <w:shd w:val="clear" w:color="auto" w:fill="FFFFFF"/>
          <w:lang w:val="es-ES"/>
        </w:rPr>
        <w:t>C-100 del 12 de junio de 2024</w:t>
      </w:r>
      <w:r>
        <w:rPr>
          <w:rStyle w:val="normaltextrun"/>
          <w:rFonts w:ascii="Verdana" w:hAnsi="Verdana" w:cs="Arial"/>
          <w:shd w:val="clear" w:color="auto" w:fill="FFFFFF"/>
          <w:lang w:val="es-ES"/>
        </w:rPr>
        <w:t xml:space="preserve"> y 727 del 28 de octubre de 2024</w:t>
      </w:r>
      <w:r>
        <w:rPr>
          <w:rFonts w:ascii="Verdana" w:hAnsi="Verdana"/>
        </w:rPr>
        <w:t>.</w:t>
      </w:r>
      <w:r>
        <w:rPr>
          <w:rFonts w:ascii="Verdana" w:eastAsia="Calibri" w:hAnsi="Verdana" w:cs="Arial"/>
          <w:lang w:eastAsia="es-ES"/>
        </w:rPr>
        <w:t xml:space="preserve"> </w:t>
      </w:r>
      <w:r w:rsidRPr="00EE174D">
        <w:rPr>
          <w:rFonts w:ascii="Verdana" w:hAnsi="Verdana" w:cs="Arial"/>
          <w:color w:val="000000" w:themeColor="text1"/>
          <w:shd w:val="clear" w:color="auto" w:fill="FFFFFF"/>
        </w:rPr>
        <w:t>Estos y otros conceptos se encuentran disponibles para consulta en el Sistema d</w:t>
      </w:r>
      <w:r w:rsidRPr="003D2146">
        <w:rPr>
          <w:rFonts w:ascii="Verdana" w:hAnsi="Verdana" w:cs="Arial"/>
          <w:color w:val="000000" w:themeColor="text1"/>
          <w:shd w:val="clear" w:color="auto" w:fill="FFFFFF"/>
        </w:rPr>
        <w:t>e Relatoría de la Agencia, en el cual también podrá</w:t>
      </w:r>
      <w:r>
        <w:rPr>
          <w:rFonts w:ascii="Verdana" w:hAnsi="Verdana" w:cs="Arial"/>
          <w:color w:val="000000" w:themeColor="text1"/>
          <w:shd w:val="clear" w:color="auto" w:fill="FFFFFF"/>
        </w:rPr>
        <w:t>n</w:t>
      </w:r>
      <w:r w:rsidRPr="003D2146">
        <w:rPr>
          <w:rFonts w:ascii="Verdana" w:hAnsi="Verdana" w:cs="Arial"/>
          <w:color w:val="000000" w:themeColor="text1"/>
          <w:shd w:val="clear" w:color="auto" w:fill="FFFFFF"/>
        </w:rPr>
        <w:t xml:space="preserve"> encontrar jurisprudencia del Consejo de Estado, laudos arbitrales y la normativa de la contratación concordada con la doctrina de la Subdirección de Gestión Contractual</w:t>
      </w:r>
      <w:r w:rsidRPr="00CC5C68">
        <w:rPr>
          <w:rFonts w:ascii="Verdana" w:hAnsi="Verdana"/>
        </w:rPr>
        <w:t>, al cual se puede acceder a través del siguiente enlace:</w:t>
      </w:r>
      <w:r>
        <w:rPr>
          <w:rFonts w:ascii="Verdana" w:eastAsia="Calibri" w:hAnsi="Verdana" w:cs="Arial"/>
          <w:lang w:eastAsia="es-ES"/>
        </w:rPr>
        <w:t xml:space="preserve"> </w:t>
      </w:r>
      <w:hyperlink r:id="rId13" w:history="1">
        <w:r w:rsidRPr="00D94C94">
          <w:rPr>
            <w:rStyle w:val="Hipervnculo"/>
            <w:rFonts w:ascii="Verdana" w:hAnsi="Verdana" w:cs="Arial"/>
            <w:shd w:val="clear" w:color="auto" w:fill="FFFFFF"/>
            <w:lang w:val="es-ES"/>
          </w:rPr>
          <w:t>https://relatoria.colombiacompra.gov.co/busqueda/conceptos</w:t>
        </w:r>
      </w:hyperlink>
    </w:p>
    <w:p w14:paraId="23A7BAFB" w14:textId="77777777" w:rsidR="00E47B7E" w:rsidRDefault="00E47B7E" w:rsidP="00E47B7E">
      <w:pPr>
        <w:spacing w:after="120" w:line="276" w:lineRule="auto"/>
        <w:jc w:val="both"/>
        <w:rPr>
          <w:rFonts w:ascii="Verdana" w:hAnsi="Verdana"/>
          <w:color w:val="000000"/>
        </w:rPr>
      </w:pPr>
      <w:r w:rsidRPr="009061E6">
        <w:rPr>
          <w:rFonts w:ascii="Verdana" w:hAnsi="Verdana"/>
          <w:color w:val="000000"/>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9061E6">
          <w:rPr>
            <w:rStyle w:val="Hipervnculo"/>
            <w:rFonts w:ascii="Verdana" w:hAnsi="Verdana"/>
            <w:bdr w:val="none" w:sz="0" w:space="0" w:color="auto" w:frame="1"/>
          </w:rPr>
          <w:t>manual_para_el_manejo_de_acuerdos_comerciales_vf.pdf</w:t>
        </w:r>
      </w:hyperlink>
    </w:p>
    <w:p w14:paraId="23A7BAFC" w14:textId="77777777" w:rsidR="00E47B7E" w:rsidRPr="009061E6" w:rsidRDefault="00E47B7E" w:rsidP="00E47B7E">
      <w:pPr>
        <w:spacing w:after="120" w:line="276" w:lineRule="auto"/>
        <w:jc w:val="both"/>
        <w:rPr>
          <w:rFonts w:ascii="Verdana" w:eastAsia="Calibri" w:hAnsi="Verdana" w:cs="Arial"/>
          <w:lang w:val="es-ES" w:eastAsia="es-ES"/>
        </w:rPr>
      </w:pPr>
      <w:r w:rsidRPr="009061E6">
        <w:rPr>
          <w:rFonts w:ascii="Verdana" w:hAnsi="Verdana"/>
          <w:color w:val="000000"/>
        </w:rPr>
        <w:t>De otra parte, te contamos que ya publicamos el borrador de la nueva Guía para Incentivar la Participación de Mujeres en el Sistema de Compras y Contratación Pública. Conoce el documento y realiza tus comentarios hasta el 2 de diciembre de 2024</w:t>
      </w:r>
      <w:r w:rsidRPr="009061E6">
        <w:rPr>
          <w:rFonts w:ascii="Verdana" w:hAnsi="Verdana"/>
          <w:b/>
          <w:bCs/>
          <w:color w:val="000000"/>
        </w:rPr>
        <w:t> </w:t>
      </w:r>
      <w:r w:rsidRPr="009061E6">
        <w:rPr>
          <w:rFonts w:ascii="Verdana" w:hAnsi="Verdana"/>
          <w:color w:val="000000"/>
        </w:rPr>
        <w:t>a través de estos enlaces:</w:t>
      </w:r>
    </w:p>
    <w:p w14:paraId="23A7BAFD" w14:textId="77777777" w:rsidR="00E47B7E" w:rsidRPr="009061E6" w:rsidRDefault="00E47B7E" w:rsidP="00E47B7E">
      <w:pPr>
        <w:numPr>
          <w:ilvl w:val="0"/>
          <w:numId w:val="2"/>
        </w:numPr>
        <w:spacing w:beforeAutospacing="1" w:after="0" w:afterAutospacing="1" w:line="240" w:lineRule="auto"/>
        <w:jc w:val="both"/>
        <w:rPr>
          <w:rFonts w:ascii="Verdana" w:hAnsi="Verdana"/>
          <w:color w:val="000000"/>
        </w:rPr>
      </w:pPr>
      <w:r w:rsidRPr="009061E6">
        <w:rPr>
          <w:rFonts w:ascii="Verdana" w:hAnsi="Verdana"/>
          <w:color w:val="000000"/>
        </w:rPr>
        <w:t>Enlace página ANCP-CCE: </w:t>
      </w:r>
      <w:hyperlink r:id="rId15" w:tgtFrame="_blank" w:tooltip="Dirección URL original: https://www.colombiacompra.gov.co/content/convocatorias. Haga clic o pulse si confía en este vínculo." w:history="1">
        <w:r w:rsidRPr="009061E6">
          <w:rPr>
            <w:rStyle w:val="Hipervnculo"/>
            <w:rFonts w:ascii="Verdana" w:hAnsi="Verdana"/>
            <w:bdr w:val="none" w:sz="0" w:space="0" w:color="auto" w:frame="1"/>
          </w:rPr>
          <w:t>https://www.colombiacompra.gov.co/content/convocatorias</w:t>
        </w:r>
      </w:hyperlink>
    </w:p>
    <w:p w14:paraId="23A7BAFE" w14:textId="77777777" w:rsidR="00E47B7E" w:rsidRPr="00AC7F30" w:rsidRDefault="00E47B7E" w:rsidP="00E47B7E">
      <w:pPr>
        <w:numPr>
          <w:ilvl w:val="0"/>
          <w:numId w:val="2"/>
        </w:numPr>
        <w:spacing w:beforeAutospacing="1" w:after="0" w:afterAutospacing="1" w:line="240" w:lineRule="auto"/>
        <w:jc w:val="both"/>
        <w:rPr>
          <w:rFonts w:ascii="Verdana" w:hAnsi="Verdana"/>
          <w:color w:val="000000"/>
          <w:lang w:val="en-US"/>
        </w:rPr>
      </w:pPr>
      <w:r w:rsidRPr="00AC7F30">
        <w:rPr>
          <w:rFonts w:ascii="Verdana" w:hAnsi="Verdana"/>
          <w:color w:val="000000"/>
          <w:lang w:val="en-US"/>
        </w:rPr>
        <w:t>Enlace SUCOP:  </w:t>
      </w:r>
      <w:hyperlink r:id="rId16" w:tgtFrame="_blank" w:tooltip="Dirección URL original: https://www.sucop.gov.co/entidades/colombiacompra/Normativa?IDNorma=19201. Haga clic o pulse si confía en este vínculo." w:history="1">
        <w:r w:rsidRPr="00AC7F30">
          <w:rPr>
            <w:rStyle w:val="Hipervnculo"/>
            <w:rFonts w:ascii="Verdana" w:hAnsi="Verdana"/>
            <w:bdr w:val="none" w:sz="0" w:space="0" w:color="auto" w:frame="1"/>
            <w:lang w:val="en-US"/>
          </w:rPr>
          <w:t>https://www.sucop.gov.co/entidades/colombiacompra/Normativa?IDNorma=19201</w:t>
        </w:r>
      </w:hyperlink>
    </w:p>
    <w:p w14:paraId="23A7BAFF" w14:textId="77777777" w:rsidR="00E47B7E" w:rsidRPr="009061E6" w:rsidRDefault="00E47B7E" w:rsidP="00E47B7E">
      <w:pPr>
        <w:spacing w:beforeAutospacing="1" w:after="0" w:afterAutospacing="1" w:line="240" w:lineRule="auto"/>
        <w:jc w:val="both"/>
        <w:rPr>
          <w:rFonts w:ascii="Verdana" w:hAnsi="Verdana"/>
          <w:color w:val="000000"/>
        </w:rPr>
      </w:pPr>
      <w:r w:rsidRPr="009061E6">
        <w:rPr>
          <w:rFonts w:ascii="Verdana" w:hAnsi="Verdana"/>
          <w:color w:val="000000"/>
        </w:rPr>
        <w:t>También le invitamos a consultar la versión VII  de 2024 , del Boletín de Relatoría de la Subdirección de Gestión Contractual relacionado con las ASOCIACIONES PÚBLICO POPULARES , el cual se puede descargar en la página web de la Agencia: </w:t>
      </w:r>
      <w:hyperlink r:id="rId17" w:tgtFrame="_blank" w:tooltip="Dirección URL original: https://www.colombiacompra.gov.co/sala-de-prensa/boletin-digital. Haga clic o pulse si confía en este vínculo." w:history="1">
        <w:r w:rsidRPr="009061E6">
          <w:rPr>
            <w:rStyle w:val="Hipervnculo"/>
            <w:rFonts w:ascii="Verdana" w:hAnsi="Verdana"/>
            <w:bdr w:val="none" w:sz="0" w:space="0" w:color="auto" w:frame="1"/>
          </w:rPr>
          <w:t>https://www.colombiacompra.gov.co/sala-de-prensa/boletin-digital</w:t>
        </w:r>
      </w:hyperlink>
      <w:r w:rsidRPr="009061E6">
        <w:rPr>
          <w:rFonts w:ascii="Verdana" w:hAnsi="Verdana"/>
          <w:color w:val="000000"/>
        </w:rPr>
        <w:t> ".</w:t>
      </w:r>
    </w:p>
    <w:p w14:paraId="23A7BB00" w14:textId="77777777" w:rsidR="00E47B7E" w:rsidRDefault="00E47B7E" w:rsidP="00E47B7E">
      <w:pPr>
        <w:spacing w:after="0" w:line="240" w:lineRule="auto"/>
        <w:jc w:val="both"/>
        <w:rPr>
          <w:rFonts w:ascii="Verdana" w:hAnsi="Verdana"/>
        </w:rPr>
      </w:pPr>
    </w:p>
    <w:p w14:paraId="23A7BB01" w14:textId="77777777" w:rsidR="00E47B7E" w:rsidRPr="00CC5C68" w:rsidRDefault="00E47B7E" w:rsidP="00E47B7E">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23A7BB02" w14:textId="77777777" w:rsidR="00E47B7E" w:rsidRPr="00CC5C68" w:rsidRDefault="00E47B7E" w:rsidP="00E47B7E">
      <w:pPr>
        <w:spacing w:after="0" w:line="240" w:lineRule="auto"/>
        <w:jc w:val="both"/>
        <w:rPr>
          <w:rFonts w:ascii="Verdana" w:hAnsi="Verdana"/>
        </w:rPr>
      </w:pPr>
    </w:p>
    <w:p w14:paraId="23A7BB03" w14:textId="77777777" w:rsidR="00E47B7E" w:rsidRPr="00CC5C68" w:rsidRDefault="00E47B7E" w:rsidP="00E47B7E">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23A7BB04" w14:textId="77777777" w:rsidR="00E47B7E" w:rsidRPr="00CC5C68" w:rsidRDefault="00E47B7E" w:rsidP="00E47B7E">
      <w:pPr>
        <w:spacing w:after="0" w:line="240" w:lineRule="auto"/>
        <w:jc w:val="both"/>
        <w:rPr>
          <w:rFonts w:ascii="Verdana" w:hAnsi="Verdana"/>
        </w:rPr>
      </w:pPr>
      <w:r w:rsidRPr="00CC5C68">
        <w:rPr>
          <w:rFonts w:ascii="Verdana" w:hAnsi="Verdana"/>
        </w:rPr>
        <w:t xml:space="preserve">Facebook: </w:t>
      </w:r>
      <w:r w:rsidRPr="00CC5C68">
        <w:rPr>
          <w:rStyle w:val="Hipervnculo"/>
          <w:rFonts w:ascii="Verdana" w:hAnsi="Verdana"/>
          <w:color w:val="4472C4" w:themeColor="accent1"/>
        </w:rPr>
        <w:t>ColombiaCompraEficiente</w:t>
      </w:r>
    </w:p>
    <w:p w14:paraId="23A7BB05" w14:textId="77777777" w:rsidR="00E47B7E" w:rsidRPr="00CC5C68" w:rsidRDefault="00E47B7E" w:rsidP="00E47B7E">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23A7BB06" w14:textId="77777777" w:rsidR="00E47B7E" w:rsidRPr="0044528D" w:rsidRDefault="00E47B7E" w:rsidP="00E47B7E">
      <w:pPr>
        <w:widowControl w:val="0"/>
        <w:autoSpaceDE w:val="0"/>
        <w:autoSpaceDN w:val="0"/>
        <w:spacing w:after="0" w:line="276" w:lineRule="auto"/>
        <w:jc w:val="both"/>
        <w:rPr>
          <w:rFonts w:ascii="Verdana" w:hAnsi="Verdana"/>
        </w:rPr>
      </w:pPr>
    </w:p>
    <w:p w14:paraId="23A7BB07" w14:textId="77777777" w:rsidR="00E47B7E" w:rsidRPr="00CC5C68" w:rsidRDefault="00E47B7E" w:rsidP="00E47B7E">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w:t>
      </w:r>
      <w:r w:rsidRPr="00CC5C68">
        <w:rPr>
          <w:rFonts w:ascii="Verdana" w:hAnsi="Verdana" w:cs="Arial"/>
        </w:rPr>
        <w:lastRenderedPageBreak/>
        <w:t xml:space="preserve">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23A7BB08" w14:textId="77777777" w:rsidR="00E47B7E" w:rsidRPr="00CC5C68" w:rsidRDefault="00E47B7E" w:rsidP="00E47B7E">
      <w:pPr>
        <w:spacing w:after="0" w:line="276" w:lineRule="auto"/>
        <w:ind w:firstLine="709"/>
        <w:jc w:val="both"/>
        <w:rPr>
          <w:rFonts w:ascii="Verdana" w:eastAsia="Times New Roman" w:hAnsi="Verdana" w:cs="Arial"/>
          <w:szCs w:val="24"/>
          <w:lang w:val="es-ES_tradnl" w:eastAsia="es-ES_tradnl"/>
        </w:rPr>
      </w:pPr>
    </w:p>
    <w:p w14:paraId="23A7BB09" w14:textId="77777777" w:rsidR="00E47B7E" w:rsidRPr="00CC5C68" w:rsidRDefault="00E47B7E" w:rsidP="00E47B7E">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bookmarkEnd w:id="2"/>
    <w:p w14:paraId="23A7BB0A" w14:textId="77777777" w:rsidR="00E47B7E" w:rsidRPr="00CC5C68" w:rsidRDefault="00F33209" w:rsidP="00E47B7E">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23A7BB23" wp14:editId="23A7BB2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E47B7E" w:rsidRPr="00CC5C68" w14:paraId="23A7BB0E" w14:textId="77777777" w:rsidTr="00C77973">
        <w:trPr>
          <w:trHeight w:val="286"/>
        </w:trPr>
        <w:tc>
          <w:tcPr>
            <w:tcW w:w="893" w:type="dxa"/>
            <w:vAlign w:val="center"/>
            <w:hideMark/>
          </w:tcPr>
          <w:p w14:paraId="23A7BB0B" w14:textId="77777777" w:rsidR="00E47B7E" w:rsidRPr="00CC5C68" w:rsidRDefault="00E47B7E" w:rsidP="00E47B7E">
            <w:pPr>
              <w:spacing w:after="0"/>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23A7BB0C" w14:textId="77777777" w:rsidR="00E47B7E" w:rsidRPr="00CC5C68" w:rsidRDefault="00E47B7E" w:rsidP="00E47B7E">
            <w:pPr>
              <w:spacing w:after="0"/>
              <w:rPr>
                <w:rFonts w:ascii="Verdana" w:eastAsia="Times New Roman" w:hAnsi="Verdana" w:cs="Arial"/>
                <w:sz w:val="16"/>
                <w:szCs w:val="16"/>
                <w:lang w:val="es-ES" w:eastAsia="es-ES"/>
              </w:rPr>
            </w:pPr>
            <w:proofErr w:type="spellStart"/>
            <w:r w:rsidRPr="632A2DD4">
              <w:rPr>
                <w:rFonts w:ascii="Verdana" w:eastAsia="Times New Roman" w:hAnsi="Verdana" w:cs="Arial"/>
                <w:sz w:val="16"/>
                <w:szCs w:val="16"/>
                <w:lang w:val="es-ES" w:eastAsia="es-ES"/>
              </w:rPr>
              <w:t>Jhonattan</w:t>
            </w:r>
            <w:proofErr w:type="spellEnd"/>
            <w:r w:rsidRPr="632A2DD4">
              <w:rPr>
                <w:rFonts w:ascii="Verdana" w:eastAsia="Times New Roman" w:hAnsi="Verdana" w:cs="Arial"/>
                <w:sz w:val="16"/>
                <w:szCs w:val="16"/>
                <w:lang w:val="es-ES" w:eastAsia="es-ES"/>
              </w:rPr>
              <w:t xml:space="preserve"> </w:t>
            </w:r>
            <w:proofErr w:type="spellStart"/>
            <w:r w:rsidRPr="632A2DD4">
              <w:rPr>
                <w:rFonts w:ascii="Verdana" w:eastAsia="Times New Roman" w:hAnsi="Verdana" w:cs="Arial"/>
                <w:sz w:val="16"/>
                <w:szCs w:val="16"/>
                <w:lang w:val="es-ES" w:eastAsia="es-ES"/>
              </w:rPr>
              <w:t>Gualdrón</w:t>
            </w:r>
            <w:proofErr w:type="spellEnd"/>
            <w:r w:rsidRPr="632A2DD4">
              <w:rPr>
                <w:rFonts w:ascii="Verdana" w:eastAsia="Times New Roman" w:hAnsi="Verdana" w:cs="Arial"/>
                <w:sz w:val="16"/>
                <w:szCs w:val="16"/>
                <w:lang w:val="es-ES" w:eastAsia="es-ES"/>
              </w:rPr>
              <w:t xml:space="preserve"> Salazar</w:t>
            </w:r>
          </w:p>
          <w:p w14:paraId="23A7BB0D" w14:textId="77777777" w:rsidR="00E47B7E" w:rsidRPr="00CC5C68" w:rsidRDefault="00E47B7E" w:rsidP="00E47B7E">
            <w:pPr>
              <w:spacing w:after="0"/>
              <w:rPr>
                <w:rFonts w:ascii="Verdana" w:eastAsia="Times New Roman" w:hAnsi="Verdana" w:cs="Arial"/>
                <w:sz w:val="14"/>
                <w:szCs w:val="14"/>
                <w:lang w:eastAsia="es-ES"/>
              </w:rPr>
            </w:pPr>
            <w:r>
              <w:rPr>
                <w:rFonts w:ascii="Verdana" w:eastAsia="Times New Roman" w:hAnsi="Verdana" w:cs="Arial"/>
                <w:sz w:val="16"/>
                <w:szCs w:val="16"/>
                <w:lang w:eastAsia="es-ES"/>
              </w:rPr>
              <w:t>Contratista de la</w:t>
            </w:r>
            <w:r w:rsidRPr="00CC5C68">
              <w:rPr>
                <w:rFonts w:ascii="Verdana" w:eastAsia="Times New Roman" w:hAnsi="Verdana" w:cs="Arial"/>
                <w:sz w:val="16"/>
                <w:szCs w:val="16"/>
                <w:lang w:eastAsia="es-ES"/>
              </w:rPr>
              <w:t xml:space="preserve"> Subdirección de Gestión Contractual</w:t>
            </w:r>
          </w:p>
        </w:tc>
      </w:tr>
      <w:tr w:rsidR="00E47B7E" w:rsidRPr="00CC5C68" w14:paraId="23A7BB12" w14:textId="77777777" w:rsidTr="00C77973">
        <w:trPr>
          <w:trHeight w:val="299"/>
        </w:trPr>
        <w:tc>
          <w:tcPr>
            <w:tcW w:w="893" w:type="dxa"/>
            <w:vAlign w:val="center"/>
            <w:hideMark/>
          </w:tcPr>
          <w:p w14:paraId="23A7BB0F" w14:textId="77777777" w:rsidR="00E47B7E" w:rsidRPr="00CC5C68" w:rsidRDefault="00E47B7E" w:rsidP="00E47B7E">
            <w:pPr>
              <w:spacing w:after="0"/>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23A7BB10" w14:textId="77777777" w:rsidR="00E47B7E" w:rsidRPr="00CC5C68" w:rsidRDefault="00E47B7E" w:rsidP="00E47B7E">
            <w:pPr>
              <w:spacing w:after="0"/>
              <w:rPr>
                <w:rFonts w:ascii="Verdana" w:eastAsia="Times New Roman" w:hAnsi="Verdana" w:cs="Arial"/>
                <w:sz w:val="16"/>
                <w:szCs w:val="16"/>
                <w:lang w:val="es-ES" w:eastAsia="es-ES"/>
              </w:rPr>
            </w:pPr>
            <w:r>
              <w:rPr>
                <w:rFonts w:ascii="Verdana" w:eastAsia="Times New Roman" w:hAnsi="Verdana" w:cs="Arial"/>
                <w:sz w:val="16"/>
                <w:szCs w:val="16"/>
                <w:lang w:val="es-ES" w:eastAsia="es-ES"/>
              </w:rPr>
              <w:t xml:space="preserve">Juan Carlos González </w:t>
            </w:r>
            <w:proofErr w:type="spellStart"/>
            <w:r>
              <w:rPr>
                <w:rFonts w:ascii="Verdana" w:eastAsia="Times New Roman" w:hAnsi="Verdana" w:cs="Arial"/>
                <w:sz w:val="16"/>
                <w:szCs w:val="16"/>
                <w:lang w:val="es-ES" w:eastAsia="es-ES"/>
              </w:rPr>
              <w:t>Vasquez</w:t>
            </w:r>
            <w:proofErr w:type="spellEnd"/>
          </w:p>
          <w:p w14:paraId="23A7BB11" w14:textId="77777777" w:rsidR="00E47B7E" w:rsidRPr="00CC5C68" w:rsidRDefault="00E47B7E" w:rsidP="00E47B7E">
            <w:pPr>
              <w:spacing w:after="0"/>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E47B7E" w:rsidRPr="00CC5C68" w14:paraId="23A7BB16" w14:textId="77777777" w:rsidTr="00C77973">
        <w:trPr>
          <w:trHeight w:val="272"/>
        </w:trPr>
        <w:tc>
          <w:tcPr>
            <w:tcW w:w="893" w:type="dxa"/>
            <w:vAlign w:val="center"/>
            <w:hideMark/>
          </w:tcPr>
          <w:p w14:paraId="23A7BB13" w14:textId="77777777" w:rsidR="00E47B7E" w:rsidRPr="00CC5C68" w:rsidRDefault="00E47B7E" w:rsidP="00E47B7E">
            <w:pPr>
              <w:spacing w:after="0"/>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23A7BB14" w14:textId="77777777" w:rsidR="00E47B7E" w:rsidRPr="00CC5C68" w:rsidRDefault="00E47B7E" w:rsidP="00E47B7E">
            <w:pPr>
              <w:spacing w:after="0"/>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23A7BB15" w14:textId="77777777" w:rsidR="00E47B7E" w:rsidRPr="00CC5C68" w:rsidRDefault="00E47B7E" w:rsidP="00E47B7E">
            <w:pPr>
              <w:spacing w:after="0"/>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23A7BB17" w14:textId="77777777" w:rsidR="00E47B7E" w:rsidRPr="00CC5C68" w:rsidRDefault="00E47B7E" w:rsidP="00E47B7E">
      <w:pPr>
        <w:spacing w:after="0" w:line="276" w:lineRule="auto"/>
        <w:jc w:val="both"/>
        <w:rPr>
          <w:rFonts w:ascii="Verdana" w:eastAsia="Times New Roman" w:hAnsi="Verdana" w:cs="Arial"/>
          <w:lang w:val="es-ES_tradnl"/>
        </w:rPr>
      </w:pPr>
    </w:p>
    <w:p w14:paraId="23A7BB18" w14:textId="77777777" w:rsidR="00E47B7E" w:rsidRPr="00CC5C68" w:rsidRDefault="00E47B7E" w:rsidP="00E47B7E">
      <w:pPr>
        <w:spacing w:after="0" w:line="240" w:lineRule="auto"/>
        <w:rPr>
          <w:rFonts w:ascii="Verdana" w:eastAsia="Times New Roman" w:hAnsi="Verdana" w:cs="Arial"/>
          <w:sz w:val="24"/>
          <w:szCs w:val="24"/>
          <w:lang w:eastAsia="es-ES_tradnl"/>
        </w:rPr>
      </w:pPr>
    </w:p>
    <w:p w14:paraId="23A7BB19" w14:textId="77777777" w:rsidR="00E47B7E" w:rsidRPr="00CC5C68" w:rsidRDefault="00E47B7E" w:rsidP="00E47B7E">
      <w:pPr>
        <w:rPr>
          <w:rFonts w:ascii="Verdana" w:hAnsi="Verdana"/>
        </w:rPr>
      </w:pPr>
    </w:p>
    <w:p w14:paraId="23A7BB1A" w14:textId="77777777" w:rsidR="00E47B7E" w:rsidRDefault="00E47B7E" w:rsidP="00E47B7E"/>
    <w:p w14:paraId="23A7BB1B" w14:textId="77777777" w:rsidR="00E47B7E" w:rsidRDefault="00E47B7E" w:rsidP="00E47B7E"/>
    <w:p w14:paraId="23A7BB1C" w14:textId="77777777" w:rsidR="00E47B7E" w:rsidRPr="00252414" w:rsidRDefault="00E47B7E" w:rsidP="00E47B7E"/>
    <w:p w14:paraId="23A7BB1D" w14:textId="77777777" w:rsidR="00E47B7E" w:rsidRPr="00BF0971" w:rsidRDefault="00E47B7E" w:rsidP="00E47B7E"/>
    <w:p w14:paraId="23A7BB1E" w14:textId="77777777" w:rsidR="00E47B7E" w:rsidRDefault="00E47B7E" w:rsidP="00E47B7E"/>
    <w:p w14:paraId="23A7BB1F" w14:textId="77777777" w:rsidR="00E47B7E" w:rsidRPr="00A67466" w:rsidRDefault="00E47B7E" w:rsidP="00E47B7E"/>
    <w:p w14:paraId="23A7BB20" w14:textId="77777777" w:rsidR="00735AF2" w:rsidRPr="00E47B7E" w:rsidRDefault="00735AF2" w:rsidP="00E47B7E"/>
    <w:sectPr w:rsidR="00735AF2" w:rsidRPr="00E47B7E" w:rsidSect="005855EB">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A7BB27" w14:textId="77777777" w:rsidR="00AA1FF1" w:rsidRDefault="00AA1FF1" w:rsidP="004B6389">
      <w:pPr>
        <w:spacing w:after="0" w:line="240" w:lineRule="auto"/>
      </w:pPr>
      <w:r>
        <w:separator/>
      </w:r>
    </w:p>
  </w:endnote>
  <w:endnote w:type="continuationSeparator" w:id="0">
    <w:p w14:paraId="23A7BB28" w14:textId="77777777" w:rsidR="00AA1FF1" w:rsidRDefault="00AA1FF1" w:rsidP="004B6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7BB2E" w14:textId="77777777" w:rsidR="00735AF2" w:rsidRDefault="00735AF2">
    <w:pPr>
      <w:pStyle w:val="Piedepgina"/>
    </w:pPr>
  </w:p>
  <w:p w14:paraId="23A7BB2F" w14:textId="77777777" w:rsidR="00735AF2" w:rsidRPr="00174B77" w:rsidRDefault="005B171A"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3A7BB30" w14:textId="77777777" w:rsidR="00735AF2" w:rsidRDefault="005B171A"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3A7BB31" w14:textId="77777777" w:rsidR="00735AF2" w:rsidRPr="00E41027" w:rsidRDefault="005B171A" w:rsidP="00D520D8">
    <w:pPr>
      <w:spacing w:after="0"/>
      <w:jc w:val="both"/>
      <w:rPr>
        <w:rFonts w:ascii="Verdana" w:hAnsi="Verdana"/>
        <w:sz w:val="18"/>
        <w:szCs w:val="18"/>
      </w:rPr>
    </w:pPr>
    <w:r w:rsidRPr="00E41027">
      <w:rPr>
        <w:rFonts w:ascii="Verdana" w:hAnsi="Verdana"/>
        <w:sz w:val="18"/>
        <w:szCs w:val="18"/>
      </w:rPr>
      <w:t>Mesa de servicio: (+57) 601 7456788</w:t>
    </w:r>
  </w:p>
  <w:p w14:paraId="23A7BB32" w14:textId="77777777" w:rsidR="00735AF2" w:rsidRDefault="005B171A"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7BB25" w14:textId="77777777" w:rsidR="00AA1FF1" w:rsidRDefault="00AA1FF1" w:rsidP="004B6389">
      <w:pPr>
        <w:spacing w:after="0" w:line="240" w:lineRule="auto"/>
      </w:pPr>
      <w:r>
        <w:separator/>
      </w:r>
    </w:p>
  </w:footnote>
  <w:footnote w:type="continuationSeparator" w:id="0">
    <w:p w14:paraId="23A7BB26" w14:textId="77777777" w:rsidR="00AA1FF1" w:rsidRDefault="00AA1FF1" w:rsidP="004B6389">
      <w:pPr>
        <w:spacing w:after="0" w:line="240" w:lineRule="auto"/>
      </w:pPr>
      <w:r>
        <w:continuationSeparator/>
      </w:r>
    </w:p>
  </w:footnote>
  <w:footnote w:id="1">
    <w:p w14:paraId="23A7BB37" w14:textId="77777777" w:rsidR="00E47B7E" w:rsidRPr="003734FE" w:rsidRDefault="00E47B7E" w:rsidP="00E47B7E">
      <w:pPr>
        <w:pStyle w:val="Textonotapie"/>
        <w:rPr>
          <w:lang w:val="es-ES"/>
        </w:rPr>
      </w:pPr>
      <w:r>
        <w:rPr>
          <w:rStyle w:val="Refdenotaalpie"/>
        </w:rPr>
        <w:footnoteRef/>
      </w:r>
      <w:r>
        <w:t xml:space="preserve"> </w:t>
      </w:r>
      <w:r>
        <w:rPr>
          <w:lang w:val="es-ES"/>
        </w:rPr>
        <w:t>Numeral 6 y 7 del artículo 7 de la ley 80 de 1993.</w:t>
      </w:r>
    </w:p>
  </w:footnote>
  <w:footnote w:id="2">
    <w:p w14:paraId="23A7BB38" w14:textId="77777777" w:rsidR="00E47B7E" w:rsidRPr="00003BC7" w:rsidRDefault="00E47B7E" w:rsidP="00E47B7E">
      <w:pPr>
        <w:pStyle w:val="Textonotapie"/>
        <w:ind w:firstLine="720"/>
        <w:jc w:val="both"/>
        <w:rPr>
          <w:rFonts w:ascii="Century Gothic" w:hAnsi="Century Gothic" w:cs="Arial"/>
          <w:sz w:val="16"/>
          <w:szCs w:val="16"/>
        </w:rPr>
      </w:pPr>
      <w:r w:rsidRPr="00003BC7">
        <w:rPr>
          <w:rStyle w:val="Refdenotaalpie"/>
          <w:rFonts w:ascii="Century Gothic" w:hAnsi="Century Gothic" w:cs="Arial"/>
          <w:sz w:val="16"/>
          <w:szCs w:val="16"/>
        </w:rPr>
        <w:footnoteRef/>
      </w:r>
      <w:r w:rsidRPr="00003BC7">
        <w:rPr>
          <w:rFonts w:ascii="Century Gothic" w:hAnsi="Century Gothic" w:cs="Arial"/>
          <w:sz w:val="16"/>
          <w:szCs w:val="16"/>
        </w:rPr>
        <w:t xml:space="preserve"> CORTE CONSTITUCIONAL. Sentencia C-949 del 5 de septiembre de 2001. M.P.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7BB29" w14:textId="77777777" w:rsidR="00735AF2" w:rsidRDefault="005B171A">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3A7BB33" wp14:editId="23A7BB34">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3A7BB35" wp14:editId="23A7BB3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3A7BB2A" w14:textId="77777777" w:rsidR="00735AF2" w:rsidRDefault="00735AF2">
    <w:pPr>
      <w:pStyle w:val="Encabezado"/>
    </w:pPr>
  </w:p>
  <w:p w14:paraId="23A7BB2B" w14:textId="77777777" w:rsidR="00735AF2" w:rsidRDefault="00735AF2" w:rsidP="004A305D">
    <w:pPr>
      <w:spacing w:after="0"/>
      <w:rPr>
        <w:rFonts w:ascii="Verdana" w:hAnsi="Verdana"/>
        <w:b/>
        <w:bCs/>
      </w:rPr>
    </w:pPr>
  </w:p>
  <w:p w14:paraId="23A7BB2C" w14:textId="77777777" w:rsidR="00735AF2" w:rsidRPr="004A305D" w:rsidRDefault="00735AF2" w:rsidP="00B01B1A">
    <w:pPr>
      <w:spacing w:after="0" w:line="120" w:lineRule="auto"/>
      <w:rPr>
        <w:rFonts w:ascii="Century Gothic" w:eastAsia="Geo" w:hAnsi="Century Gothic" w:cs="Geo"/>
        <w:sz w:val="16"/>
        <w:szCs w:val="16"/>
        <w:lang w:eastAsia="es-CO"/>
      </w:rPr>
    </w:pPr>
  </w:p>
  <w:p w14:paraId="23A7BB2D" w14:textId="77777777" w:rsidR="00735AF2" w:rsidRDefault="00735AF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E5638AA"/>
    <w:multiLevelType w:val="multilevel"/>
    <w:tmpl w:val="29A0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9089576">
    <w:abstractNumId w:val="0"/>
  </w:num>
  <w:num w:numId="2" w16cid:durableId="1811940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389"/>
    <w:rsid w:val="0011482D"/>
    <w:rsid w:val="002005BE"/>
    <w:rsid w:val="002870A5"/>
    <w:rsid w:val="0043496D"/>
    <w:rsid w:val="004B6389"/>
    <w:rsid w:val="005B171A"/>
    <w:rsid w:val="006113E1"/>
    <w:rsid w:val="00735AF2"/>
    <w:rsid w:val="008C2760"/>
    <w:rsid w:val="00AA1FF1"/>
    <w:rsid w:val="00B92F35"/>
    <w:rsid w:val="00D66088"/>
    <w:rsid w:val="00E47B7E"/>
    <w:rsid w:val="00F33209"/>
    <w:rsid w:val="00F339DE"/>
    <w:rsid w:val="00F86AD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7BA89"/>
  <w15:chartTrackingRefBased/>
  <w15:docId w15:val="{2CC9918A-15B7-A84C-ABBF-930AF632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389"/>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B6389"/>
    <w:pPr>
      <w:ind w:left="720"/>
      <w:contextualSpacing/>
    </w:pPr>
  </w:style>
  <w:style w:type="paragraph" w:styleId="Encabezado">
    <w:name w:val="header"/>
    <w:basedOn w:val="Normal"/>
    <w:link w:val="EncabezadoCar"/>
    <w:uiPriority w:val="99"/>
    <w:unhideWhenUsed/>
    <w:rsid w:val="004B63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B6389"/>
    <w:rPr>
      <w:kern w:val="0"/>
      <w:sz w:val="22"/>
      <w:szCs w:val="22"/>
      <w14:ligatures w14:val="none"/>
    </w:rPr>
  </w:style>
  <w:style w:type="paragraph" w:styleId="Piedepgina">
    <w:name w:val="footer"/>
    <w:basedOn w:val="Normal"/>
    <w:link w:val="PiedepginaCar"/>
    <w:uiPriority w:val="99"/>
    <w:unhideWhenUsed/>
    <w:rsid w:val="004B63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6389"/>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B638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B638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B638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B6389"/>
    <w:rPr>
      <w:vertAlign w:val="superscript"/>
    </w:rPr>
  </w:style>
  <w:style w:type="character" w:customStyle="1" w:styleId="normaltextrun">
    <w:name w:val="normaltextrun"/>
    <w:basedOn w:val="Fuentedeprrafopredeter"/>
    <w:rsid w:val="004B6389"/>
  </w:style>
  <w:style w:type="table" w:styleId="Tablaconcuadrcula">
    <w:name w:val="Table Grid"/>
    <w:basedOn w:val="Tablanormal"/>
    <w:uiPriority w:val="39"/>
    <w:qFormat/>
    <w:rsid w:val="004B6389"/>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B6389"/>
    <w:rPr>
      <w:color w:val="0000FF"/>
      <w:u w:val="single"/>
    </w:rPr>
  </w:style>
  <w:style w:type="table" w:customStyle="1" w:styleId="Tablaconcuadrcula1">
    <w:name w:val="Tabla con cuadrícula1"/>
    <w:basedOn w:val="Tablanormal"/>
    <w:next w:val="Tablaconcuadrcula"/>
    <w:uiPriority w:val="59"/>
    <w:rsid w:val="004B6389"/>
    <w:pPr>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B6389"/>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B6389"/>
    <w:rPr>
      <w:kern w:val="0"/>
      <w:sz w:val="22"/>
      <w:szCs w:val="22"/>
      <w14:ligatures w14:val="none"/>
    </w:rPr>
  </w:style>
  <w:style w:type="character" w:styleId="Mencinsinresolver">
    <w:name w:val="Unresolved Mention"/>
    <w:basedOn w:val="Fuentedeprrafopredeter"/>
    <w:uiPriority w:val="99"/>
    <w:semiHidden/>
    <w:unhideWhenUsed/>
    <w:rsid w:val="004B6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rteconstitucional.gov./relatoria/" TargetMode="External"/><Relationship Id="rId17" Type="http://schemas.openxmlformats.org/officeDocument/2006/relationships/hyperlink" Target="https://nam02.safelinks.protection.outlook.com/?url=https%3A%2F%2Fwww.colombiacompra.gov.co%2Fsala-de-prensa%2Fboletin-digital&amp;data=05%7C02%7Cjhonattan.gualdron%40colombiacompra.gov.co%7C6192b0470d324981a09708dd0a6c28db%7C7b09041e245149d08cb179d5e3d8c1be%7C0%7C0%7C638678181872336115%7CUnknown%7CTWFpbGZsb3d8eyJFbXB0eU1hcGkiOnRydWUsIlYiOiIwLjAuMDAwMCIsIlAiOiJXaW4zMiIsIkFOIjoiTWFpbCIsIldUIjoyfQ%3D%3D%7C0%7C%7C%7C&amp;sdata=hJEdB1dfLd9%2FoNVOdRsSxfAuHH%2Buq8MfEiQK0eFje00%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sucop.gov.co%2Fentidades%2Fcolombiacompra%2FNormativa%3FIDNorma%3D19201&amp;data=05%7C02%7Cjhonattan.gualdron%40colombiacompra.gov.co%7C6192b0470d324981a09708dd0a6c28db%7C7b09041e245149d08cb179d5e3d8c1be%7C0%7C0%7C638678181872319846%7CUnknown%7CTWFpbGZsb3d8eyJFbXB0eU1hcGkiOnRydWUsIlYiOiIwLjAuMDAwMCIsIlAiOiJXaW4zMiIsIkFOIjoiTWFpbCIsIldUIjoyfQ%3D%3D%7C0%7C%7C%7C&amp;sdata=4tf75HVk8SuChJMA27zYFJ4Jjt3y9uN3ltcBsDBcrMI%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dyloren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convocatorias&amp;data=05%7C02%7Cjhonattan.gualdron%40colombiacompra.gov.co%7C6192b0470d324981a09708dd0a6c28db%7C7b09041e245149d08cb179d5e3d8c1be%7C0%7C0%7C638678181872303954%7CUnknown%7CTWFpbGZsb3d8eyJFbXB0eU1hcGkiOnRydWUsIlYiOiIwLjAuMDAwMCIsIlAiOiJXaW4zMiIsIkFOIjoiTWFpbCIsIldUIjoyfQ%3D%3D%7C0%7C%7C%7C&amp;sdata=VJvwxrXifTJryFSVBljFc2Ikmu4Fn95y0CO6IXPGFy4%3D&amp;reserved=0"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jhonattan.gualdron%40colombiacompra.gov.co%7C6192b0470d324981a09708dd0a6c28db%7C7b09041e245149d08cb179d5e3d8c1be%7C0%7C0%7C638678181872286796%7CUnknown%7CTWFpbGZsb3d8eyJFbXB0eU1hcGkiOnRydWUsIlYiOiIwLjAuMDAwMCIsIlAiOiJXaW4zMiIsIkFOIjoiTWFpbCIsIldUIjoyfQ%3D%3D%7C0%7C%7C%7C&amp;sdata=cKSTkbemh2dgP2gDn4Nkg%2Fb9Xf%2BalSyUt7erPFodKGU%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E82119-CF8C-4667-B5D1-313AC669C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E97213-087C-4F07-AA11-3E057865BED0}">
  <ds:schemaRefs>
    <ds:schemaRef ds:uri="http://schemas.microsoft.com/office/2006/metadata/properties"/>
    <ds:schemaRef ds:uri="http://purl.org/dc/elements/1.1/"/>
    <ds:schemaRef ds:uri="http://schemas.microsoft.com/office/2006/documentManagement/types"/>
    <ds:schemaRef ds:uri="http://purl.org/dc/terms/"/>
    <ds:schemaRef ds:uri="http://schemas.microsoft.com/office/infopath/2007/PartnerControls"/>
    <ds:schemaRef ds:uri="http://purl.org/dc/dcmitype/"/>
    <ds:schemaRef ds:uri="http://www.w3.org/XML/1998/namespace"/>
    <ds:schemaRef ds:uri="a6cb9e4b-f1d1-4245-83ec-6cad768d538a"/>
    <ds:schemaRef ds:uri="http://schemas.openxmlformats.org/package/2006/metadata/core-properties"/>
    <ds:schemaRef ds:uri="9d85dbaf-23eb-4e57-a637-93dcacc8b1a1"/>
  </ds:schemaRefs>
</ds:datastoreItem>
</file>

<file path=customXml/itemProps3.xml><?xml version="1.0" encoding="utf-8"?>
<ds:datastoreItem xmlns:ds="http://schemas.openxmlformats.org/officeDocument/2006/customXml" ds:itemID="{A4C1C042-87F7-4530-896A-C45133324F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3901</Words>
  <Characters>21460</Characters>
  <Application>Microsoft Office Word</Application>
  <DocSecurity>0</DocSecurity>
  <Lines>178</Lines>
  <Paragraphs>50</Paragraphs>
  <ScaleCrop>false</ScaleCrop>
  <Company/>
  <LinksUpToDate>false</LinksUpToDate>
  <CharactersWithSpaces>25311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2024-12-12T14:17:00Z</dcterms:created>
  <dcterms:modified xsi:type="dcterms:W3CDTF">2024-12-12T14:17:00Z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