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08CB9" w14:textId="77777777" w:rsidR="00B53741" w:rsidRDefault="00EB1275" w:rsidP="00B53741">
      <w:pPr>
        <w:contextualSpacing/>
        <w:jc w:val="both"/>
        <w:rPr>
          <w:rFonts w:ascii="Verdana" w:eastAsia="Calibri" w:hAnsi="Verdana" w:cs="Arial"/>
          <w:b/>
          <w:bCs/>
          <w:lang w:val="es-ES" w:eastAsia="es-ES"/>
        </w:rPr>
      </w:pPr>
      <w:r w:rsidRPr="003F4B72">
        <w:rPr>
          <w:rFonts w:ascii="Verdana" w:eastAsia="Calibri" w:hAnsi="Verdana" w:cs="Arial"/>
          <w:b/>
          <w:bCs/>
          <w:lang w:val="es-ES" w:eastAsia="es-ES"/>
        </w:rPr>
        <w:t xml:space="preserve">MODIFICACIÓN DE LOS CONTRATOS ESTATALES – Procedencia – Límites </w:t>
      </w:r>
    </w:p>
    <w:p w14:paraId="28A10D06" w14:textId="77777777" w:rsidR="00B53741" w:rsidRDefault="00B53741" w:rsidP="00B53741">
      <w:pPr>
        <w:contextualSpacing/>
        <w:jc w:val="both"/>
        <w:rPr>
          <w:rFonts w:ascii="Verdana" w:eastAsia="Calibri" w:hAnsi="Verdana" w:cs="Arial"/>
          <w:b/>
          <w:bCs/>
          <w:lang w:val="es-ES" w:eastAsia="es-ES"/>
        </w:rPr>
      </w:pPr>
    </w:p>
    <w:p w14:paraId="427A204C" w14:textId="1783715F" w:rsidR="00EB1275" w:rsidRPr="00B53741" w:rsidRDefault="00EB1275" w:rsidP="00B53741">
      <w:pPr>
        <w:contextualSpacing/>
        <w:jc w:val="both"/>
        <w:rPr>
          <w:rFonts w:ascii="Verdana" w:eastAsia="Calibri" w:hAnsi="Verdana" w:cs="Arial"/>
          <w:b/>
          <w:bCs/>
          <w:lang w:val="es-ES" w:eastAsia="es-ES"/>
        </w:rPr>
      </w:pPr>
      <w:r w:rsidRPr="003F4B72">
        <w:rPr>
          <w:rFonts w:ascii="Verdana" w:eastAsia="Calibri" w:hAnsi="Verdana" w:cs="Arial"/>
          <w:sz w:val="20"/>
          <w:szCs w:val="20"/>
          <w:lang w:val="es-ES" w:eastAsia="es-ES"/>
        </w:rPr>
        <w:t xml:space="preserve">[…] </w:t>
      </w:r>
      <w:r w:rsidRPr="003F4B72">
        <w:rPr>
          <w:rFonts w:ascii="Verdana" w:eastAsia="Arial" w:hAnsi="Verdana" w:cs="Arial"/>
          <w:sz w:val="20"/>
          <w:szCs w:val="20"/>
          <w:lang w:eastAsia="es-ES"/>
        </w:rPr>
        <w:t xml:space="preserve">los contratos estatales pueden modificarse en cumplimiento de los requisitos y los límites legales y jurisprudenciales, siempre atendiendo a los principios que rigen la actuación administrativa y la contratación estatal. No obstante, esta medida tiene carácter excepcional y solo procede cuando con ella se pretenda garantizar el interés público, cuando la entidad haya verificado y así pueda constatarse por cualquier que la causa de la modificación es real y cierta y cuando se deriva de previsiones legales, esto es, cuando la modificación encuentra sustento no solo en circunstancias fácticas propias de la ejecución del contrato, sino, además, cuando tales situaciones ponen de presente la necesidad de dar cumplimiento a previsiones establecidas por el legislador.  </w:t>
      </w:r>
    </w:p>
    <w:p w14:paraId="77A17D1E" w14:textId="77777777" w:rsidR="00B53741" w:rsidRDefault="00B53741" w:rsidP="00EB1275">
      <w:pPr>
        <w:contextualSpacing/>
        <w:jc w:val="both"/>
        <w:rPr>
          <w:rFonts w:ascii="Verdana" w:eastAsia="Calibri" w:hAnsi="Verdana" w:cs="Arial"/>
          <w:b/>
          <w:bCs/>
          <w:lang w:val="es-ES" w:eastAsia="es-ES"/>
        </w:rPr>
      </w:pPr>
    </w:p>
    <w:p w14:paraId="469760CC" w14:textId="457D6BE8" w:rsidR="00EB1275" w:rsidRPr="003F4B72" w:rsidRDefault="00EB1275" w:rsidP="00EB1275">
      <w:pPr>
        <w:contextualSpacing/>
        <w:jc w:val="both"/>
        <w:rPr>
          <w:rFonts w:ascii="Verdana" w:eastAsia="Calibri" w:hAnsi="Verdana" w:cs="Arial"/>
          <w:b/>
          <w:bCs/>
          <w:lang w:val="es-ES" w:eastAsia="es-ES"/>
        </w:rPr>
      </w:pPr>
      <w:r w:rsidRPr="003F4B72">
        <w:rPr>
          <w:rFonts w:ascii="Verdana" w:eastAsia="Calibri" w:hAnsi="Verdana" w:cs="Arial"/>
          <w:b/>
          <w:bCs/>
          <w:lang w:val="es-ES" w:eastAsia="es-ES"/>
        </w:rPr>
        <w:t xml:space="preserve">CORRECCIÓN ERRORES FORMALES– Artículo 45 Ley 1437 de 2011 </w:t>
      </w:r>
    </w:p>
    <w:p w14:paraId="38693BEA" w14:textId="77777777" w:rsidR="00EB1275" w:rsidRPr="003F4B72" w:rsidRDefault="00EB1275" w:rsidP="00EB1275">
      <w:pPr>
        <w:contextualSpacing/>
        <w:jc w:val="both"/>
        <w:rPr>
          <w:rFonts w:ascii="Verdana" w:eastAsia="Calibri" w:hAnsi="Verdana" w:cs="Arial"/>
          <w:sz w:val="20"/>
          <w:szCs w:val="20"/>
          <w:lang w:val="es-ES" w:eastAsia="es-ES"/>
        </w:rPr>
      </w:pPr>
    </w:p>
    <w:p w14:paraId="18041111" w14:textId="238A5ED2" w:rsidR="00EB1275" w:rsidRPr="00B53741" w:rsidRDefault="00EB1275" w:rsidP="00B53741">
      <w:pPr>
        <w:spacing w:after="120" w:line="240" w:lineRule="auto"/>
        <w:jc w:val="both"/>
        <w:rPr>
          <w:rFonts w:ascii="Verdana" w:eastAsia="Calibri" w:hAnsi="Verdana" w:cs="Arial"/>
          <w:b/>
          <w:bCs/>
          <w:sz w:val="20"/>
          <w:szCs w:val="20"/>
          <w:lang w:val="es-ES_tradnl" w:eastAsia="es-ES_tradnl"/>
        </w:rPr>
      </w:pPr>
      <w:r w:rsidRPr="003F4B72">
        <w:rPr>
          <w:rFonts w:ascii="Verdana" w:hAnsi="Verdana" w:cs="Arial"/>
          <w:sz w:val="20"/>
          <w:szCs w:val="20"/>
          <w:lang w:val="es-MX"/>
        </w:rPr>
        <w:t xml:space="preserve">[…] aunque el EGCAP no consagra expresamente esta figura, es posible su aplicación en los actos del proceso de contratación, en virtud de lo establecido en el artículo 77 de la Ley 80 de 1993 y en el artículo 2 de la Ley 1437 de 2011. La primera disposición señala que las normas que rigen los procedimientos y actuaciones en la </w:t>
      </w:r>
      <w:r w:rsidRPr="003F4B72">
        <w:rPr>
          <w:rFonts w:ascii="Verdana" w:hAnsi="Verdana" w:cs="Arial"/>
          <w:i/>
          <w:iCs/>
          <w:sz w:val="20"/>
          <w:szCs w:val="20"/>
          <w:lang w:val="es-MX"/>
        </w:rPr>
        <w:t xml:space="preserve">función administrativa </w:t>
      </w:r>
      <w:r w:rsidRPr="003F4B72">
        <w:rPr>
          <w:rFonts w:ascii="Verdana" w:hAnsi="Verdana" w:cs="Arial"/>
          <w:sz w:val="20"/>
          <w:szCs w:val="20"/>
          <w:lang w:val="es-MX"/>
        </w:rPr>
        <w:t>son aplicables en las actuaciones contractuales, siempre que sean compatibles con la finalidad y los principios de la Ley 80. A su vez, el artículo 2 de la Ley 1437 de 2011, señala que los procedimientos allí establecidos aplican a las actuaciones de todas las autoridades y particulares que desempeñan funciones administrativas, sin perjuicio de los procedimientos regulados en leyes especiales, y agrega que, en lo no previsto en estos, se aplicarán los procedimientos establecidos en dicho código. Tal es el caso de la corrección de errores simplemente formales de los actos administrativos que no está regulada en el EGCAP, sino en el CPACA.</w:t>
      </w:r>
    </w:p>
    <w:p w14:paraId="7220AD5C" w14:textId="77777777" w:rsidR="00B53741" w:rsidRDefault="00B53741" w:rsidP="00EB1275">
      <w:pPr>
        <w:contextualSpacing/>
        <w:jc w:val="both"/>
        <w:rPr>
          <w:rFonts w:ascii="Verdana" w:eastAsia="Calibri" w:hAnsi="Verdana" w:cs="Arial"/>
          <w:b/>
          <w:bCs/>
          <w:lang w:val="es-ES" w:eastAsia="es-ES"/>
        </w:rPr>
      </w:pPr>
    </w:p>
    <w:p w14:paraId="6F0F83F4" w14:textId="0949DFF0" w:rsidR="00EB1275" w:rsidRPr="003F4B72" w:rsidRDefault="00EB1275" w:rsidP="00EB1275">
      <w:pPr>
        <w:contextualSpacing/>
        <w:jc w:val="both"/>
        <w:rPr>
          <w:rFonts w:ascii="Verdana" w:eastAsia="Calibri" w:hAnsi="Verdana" w:cs="Arial"/>
          <w:b/>
          <w:bCs/>
          <w:lang w:val="es-ES" w:eastAsia="es-ES"/>
        </w:rPr>
      </w:pPr>
      <w:r w:rsidRPr="003F4B72">
        <w:rPr>
          <w:rFonts w:ascii="Verdana" w:eastAsia="Calibri" w:hAnsi="Verdana" w:cs="Arial"/>
          <w:b/>
          <w:bCs/>
          <w:lang w:val="es-ES" w:eastAsia="es-ES"/>
        </w:rPr>
        <w:t>INTERPRETACIÓN</w:t>
      </w:r>
      <w:r w:rsidRPr="003F4B72">
        <w:rPr>
          <w:rFonts w:ascii="Verdana" w:eastAsia="Calibri" w:hAnsi="Verdana" w:cs="Arial"/>
          <w:b/>
          <w:bCs/>
        </w:rPr>
        <w:t xml:space="preserve"> – Reglas</w:t>
      </w:r>
      <w:r w:rsidRPr="003F4B72">
        <w:rPr>
          <w:rFonts w:ascii="Verdana" w:eastAsia="Calibri" w:hAnsi="Verdana" w:cs="Arial"/>
          <w:b/>
          <w:bCs/>
          <w:lang w:val="es-ES" w:eastAsia="es-ES"/>
        </w:rPr>
        <w:t xml:space="preserve"> </w:t>
      </w:r>
    </w:p>
    <w:p w14:paraId="41460C1F" w14:textId="77777777" w:rsidR="00EB1275" w:rsidRPr="003F4B72" w:rsidRDefault="00EB1275" w:rsidP="00EB1275">
      <w:pPr>
        <w:spacing w:after="0" w:line="240" w:lineRule="auto"/>
        <w:rPr>
          <w:rFonts w:ascii="Verdana" w:eastAsia="Geomanist Light" w:hAnsi="Verdana" w:cs="Arial"/>
          <w:color w:val="000000" w:themeColor="text1"/>
          <w:sz w:val="20"/>
          <w:szCs w:val="20"/>
          <w:lang w:val="es-MX"/>
        </w:rPr>
      </w:pPr>
    </w:p>
    <w:p w14:paraId="7B7B0876" w14:textId="77777777" w:rsidR="00B53741" w:rsidRDefault="00EB1275" w:rsidP="00B53741">
      <w:pPr>
        <w:spacing w:after="120" w:line="240" w:lineRule="auto"/>
        <w:jc w:val="both"/>
        <w:rPr>
          <w:rFonts w:ascii="Verdana" w:eastAsia="Batang" w:hAnsi="Verdana" w:cs="Arial"/>
          <w:sz w:val="20"/>
          <w:szCs w:val="20"/>
        </w:rPr>
      </w:pPr>
      <w:r w:rsidRPr="003F4B72">
        <w:rPr>
          <w:rFonts w:ascii="Verdana" w:eastAsia="Geomanist Light" w:hAnsi="Verdana" w:cs="Arial"/>
          <w:color w:val="000000" w:themeColor="text1"/>
          <w:sz w:val="20"/>
          <w:szCs w:val="20"/>
          <w:lang w:val="es-MX"/>
        </w:rPr>
        <w:t xml:space="preserve">[…] </w:t>
      </w:r>
      <w:r w:rsidRPr="003F4B72">
        <w:rPr>
          <w:rFonts w:ascii="Verdana" w:eastAsia="Batang" w:hAnsi="Verdana" w:cs="Arial"/>
          <w:sz w:val="20"/>
          <w:szCs w:val="20"/>
        </w:rPr>
        <w:t xml:space="preserve">en los procesos de contratación o en la ejecución de los contratos, la entidad, proponentes o contratista podrán acudir, en lo pertinente, a las reglas de interpretación </w:t>
      </w:r>
      <w:r w:rsidRPr="003F4B72">
        <w:rPr>
          <w:rFonts w:ascii="Verdana" w:eastAsia="Batang" w:hAnsi="Verdana" w:cs="Arial"/>
          <w:sz w:val="20"/>
          <w:szCs w:val="20"/>
          <w:lang w:val="es-MX"/>
        </w:rPr>
        <w:t xml:space="preserve">objetivas y subjetivas conforme a los artículos 1618 a 1624 del Código Civil. Por una parte, las </w:t>
      </w:r>
      <w:r w:rsidRPr="003F4B72">
        <w:rPr>
          <w:rFonts w:ascii="Verdana" w:eastAsia="Batang" w:hAnsi="Verdana" w:cs="Arial"/>
          <w:i/>
          <w:iCs/>
          <w:sz w:val="20"/>
          <w:szCs w:val="20"/>
          <w:lang w:val="es-MX"/>
        </w:rPr>
        <w:t>objetivas</w:t>
      </w:r>
      <w:r w:rsidRPr="003F4B72">
        <w:rPr>
          <w:rFonts w:ascii="Verdana" w:eastAsia="Batang" w:hAnsi="Verdana" w:cs="Arial"/>
          <w:sz w:val="20"/>
          <w:szCs w:val="20"/>
          <w:lang w:val="es-MX"/>
        </w:rPr>
        <w:t xml:space="preserve"> son las siguientes: i) una vez conocida la intención de los contratantes ha de estarse más a ella que a lo literal de las palabras (artículo 1618 del Código Civil); </w:t>
      </w:r>
      <w:proofErr w:type="spellStart"/>
      <w:r w:rsidRPr="003F4B72">
        <w:rPr>
          <w:rFonts w:ascii="Verdana" w:eastAsia="Batang" w:hAnsi="Verdana" w:cs="Arial"/>
          <w:sz w:val="20"/>
          <w:szCs w:val="20"/>
          <w:lang w:val="es-MX"/>
        </w:rPr>
        <w:t>ii</w:t>
      </w:r>
      <w:proofErr w:type="spellEnd"/>
      <w:r w:rsidRPr="003F4B72">
        <w:rPr>
          <w:rFonts w:ascii="Verdana" w:eastAsia="Batang" w:hAnsi="Verdana" w:cs="Arial"/>
          <w:sz w:val="20"/>
          <w:szCs w:val="20"/>
          <w:lang w:val="es-MX"/>
        </w:rPr>
        <w:t xml:space="preserve">) </w:t>
      </w:r>
      <w:r w:rsidRPr="003F4B72">
        <w:rPr>
          <w:rFonts w:ascii="Verdana" w:eastAsia="Batang" w:hAnsi="Verdana" w:cs="Arial"/>
          <w:sz w:val="20"/>
          <w:szCs w:val="20"/>
        </w:rPr>
        <w:t xml:space="preserve">las estipulaciones de un contrato pueden interpretarse por la de otro que las partes hayan celebrado sobre la misma materia o por la aplicación práctica que de ellas hayan hecho (artículo 1622, incisos 2 y 3 </w:t>
      </w:r>
      <w:proofErr w:type="spellStart"/>
      <w:r w:rsidRPr="003F4B72">
        <w:rPr>
          <w:rFonts w:ascii="Verdana" w:eastAsia="Batang" w:hAnsi="Verdana" w:cs="Arial"/>
          <w:i/>
          <w:iCs/>
          <w:sz w:val="20"/>
          <w:szCs w:val="20"/>
        </w:rPr>
        <w:t>ibídem</w:t>
      </w:r>
      <w:proofErr w:type="spellEnd"/>
      <w:r w:rsidRPr="003F4B72">
        <w:rPr>
          <w:rFonts w:ascii="Verdana" w:eastAsia="Batang" w:hAnsi="Verdana" w:cs="Arial"/>
          <w:sz w:val="20"/>
          <w:szCs w:val="20"/>
        </w:rPr>
        <w:t xml:space="preserve">); </w:t>
      </w:r>
      <w:proofErr w:type="spellStart"/>
      <w:r w:rsidRPr="003F4B72">
        <w:rPr>
          <w:rFonts w:ascii="Verdana" w:eastAsia="Batang" w:hAnsi="Verdana" w:cs="Arial"/>
          <w:sz w:val="20"/>
          <w:szCs w:val="20"/>
        </w:rPr>
        <w:t>iii</w:t>
      </w:r>
      <w:proofErr w:type="spellEnd"/>
      <w:r w:rsidRPr="003F4B72">
        <w:rPr>
          <w:rFonts w:ascii="Verdana" w:eastAsia="Batang" w:hAnsi="Verdana" w:cs="Arial"/>
          <w:sz w:val="20"/>
          <w:szCs w:val="20"/>
        </w:rPr>
        <w:t xml:space="preserve">) las cláusulas deben interpretarse unas por otras, dándole a cada una el sentido que más convenga al contrato en su totalidad (artículo 1622, inciso 1 </w:t>
      </w:r>
      <w:proofErr w:type="spellStart"/>
      <w:r w:rsidRPr="003F4B72">
        <w:rPr>
          <w:rFonts w:ascii="Verdana" w:eastAsia="Batang" w:hAnsi="Verdana" w:cs="Arial"/>
          <w:i/>
          <w:iCs/>
          <w:sz w:val="20"/>
          <w:szCs w:val="20"/>
        </w:rPr>
        <w:t>ibídem</w:t>
      </w:r>
      <w:proofErr w:type="spellEnd"/>
      <w:r w:rsidRPr="003F4B72">
        <w:rPr>
          <w:rFonts w:ascii="Verdana" w:eastAsia="Batang" w:hAnsi="Verdana" w:cs="Arial"/>
          <w:sz w:val="20"/>
          <w:szCs w:val="20"/>
        </w:rPr>
        <w:t xml:space="preserve">); </w:t>
      </w:r>
      <w:proofErr w:type="spellStart"/>
      <w:r w:rsidRPr="003F4B72">
        <w:rPr>
          <w:rFonts w:ascii="Verdana" w:eastAsia="Batang" w:hAnsi="Verdana" w:cs="Arial"/>
          <w:sz w:val="20"/>
          <w:szCs w:val="20"/>
        </w:rPr>
        <w:t>iv</w:t>
      </w:r>
      <w:proofErr w:type="spellEnd"/>
      <w:r w:rsidRPr="003F4B72">
        <w:rPr>
          <w:rFonts w:ascii="Verdana" w:eastAsia="Batang" w:hAnsi="Verdana" w:cs="Arial"/>
          <w:sz w:val="20"/>
          <w:szCs w:val="20"/>
        </w:rPr>
        <w:t xml:space="preserve">) si en un contrato se expresa un caso para explicar la obligación se entiende que esa mención no es restrictiva sino ejemplificativa (artículo 1623 </w:t>
      </w:r>
      <w:proofErr w:type="spellStart"/>
      <w:r w:rsidRPr="003F4B72">
        <w:rPr>
          <w:rFonts w:ascii="Verdana" w:eastAsia="Batang" w:hAnsi="Verdana" w:cs="Arial"/>
          <w:i/>
          <w:iCs/>
          <w:sz w:val="20"/>
          <w:szCs w:val="20"/>
        </w:rPr>
        <w:t>ibídem</w:t>
      </w:r>
      <w:proofErr w:type="spellEnd"/>
      <w:r w:rsidRPr="003F4B72">
        <w:rPr>
          <w:rFonts w:ascii="Verdana" w:eastAsia="Batang" w:hAnsi="Verdana" w:cs="Arial"/>
          <w:sz w:val="20"/>
          <w:szCs w:val="20"/>
        </w:rPr>
        <w:t xml:space="preserve">); y v) se entiende que las expresiones generales contenidas en el negocio únicamente se aplican a la materia sobre la que se ha contratado (artículo 1619, inciso 2 </w:t>
      </w:r>
      <w:proofErr w:type="spellStart"/>
      <w:r w:rsidRPr="003F4B72">
        <w:rPr>
          <w:rFonts w:ascii="Verdana" w:eastAsia="Batang" w:hAnsi="Verdana" w:cs="Arial"/>
          <w:i/>
          <w:iCs/>
          <w:sz w:val="20"/>
          <w:szCs w:val="20"/>
        </w:rPr>
        <w:t>ibídem</w:t>
      </w:r>
      <w:proofErr w:type="spellEnd"/>
      <w:r w:rsidRPr="003F4B72">
        <w:rPr>
          <w:rFonts w:ascii="Verdana" w:eastAsia="Batang" w:hAnsi="Verdana" w:cs="Arial"/>
          <w:sz w:val="20"/>
          <w:szCs w:val="20"/>
        </w:rPr>
        <w:t xml:space="preserve">). </w:t>
      </w:r>
    </w:p>
    <w:p w14:paraId="3A2FADDC" w14:textId="7EE39293" w:rsidR="00EB1275" w:rsidRPr="00B53741" w:rsidRDefault="00EB1275" w:rsidP="00B53741">
      <w:pPr>
        <w:spacing w:after="120" w:line="240" w:lineRule="auto"/>
        <w:jc w:val="both"/>
        <w:rPr>
          <w:rFonts w:ascii="Verdana" w:eastAsia="Batang" w:hAnsi="Verdana" w:cs="Arial"/>
          <w:sz w:val="20"/>
          <w:szCs w:val="20"/>
        </w:rPr>
      </w:pPr>
      <w:r w:rsidRPr="00EA7EA8">
        <w:rPr>
          <w:rFonts w:ascii="Verdana" w:eastAsia="Geomanist Light" w:hAnsi="Verdana" w:cs="Arial"/>
          <w:lang w:val="es-MX"/>
        </w:rPr>
        <w:lastRenderedPageBreak/>
        <w:t>Bogotá D.C., [Día] de [</w:t>
      </w:r>
      <w:proofErr w:type="spellStart"/>
      <w:r w:rsidRPr="00EA7EA8">
        <w:rPr>
          <w:rFonts w:ascii="Verdana" w:eastAsia="Geomanist Light" w:hAnsi="Verdana" w:cs="Arial"/>
          <w:lang w:val="es-MX"/>
        </w:rPr>
        <w:t>Mes.NombreCapitalizado</w:t>
      </w:r>
      <w:proofErr w:type="spellEnd"/>
      <w:r w:rsidRPr="00EA7EA8">
        <w:rPr>
          <w:rFonts w:ascii="Verdana" w:eastAsia="Geomanist Light" w:hAnsi="Verdana" w:cs="Arial"/>
          <w:lang w:val="es-MX"/>
        </w:rPr>
        <w:t>] de [Año]</w:t>
      </w:r>
    </w:p>
    <w:p w14:paraId="522DAB6F" w14:textId="306B2370" w:rsidR="00EB1275" w:rsidRPr="00EA7EA8" w:rsidRDefault="00B53741" w:rsidP="0062317C">
      <w:pPr>
        <w:spacing w:after="0" w:line="276" w:lineRule="auto"/>
        <w:jc w:val="both"/>
        <w:rPr>
          <w:rFonts w:ascii="Verdana" w:eastAsia="Calibri" w:hAnsi="Verdana" w:cs="Arial"/>
          <w:lang w:val="es-ES"/>
        </w:rPr>
      </w:pPr>
      <w:r w:rsidRPr="0095403B">
        <w:rPr>
          <w:rFonts w:ascii="Verdana" w:eastAsia="Calibri" w:hAnsi="Verdana" w:cs="Arial"/>
          <w:noProof/>
          <w:u w:val="single"/>
          <w:lang w:val="es-ES" w:eastAsia="es-ES"/>
        </w:rPr>
        <w:drawing>
          <wp:anchor distT="0" distB="0" distL="114300" distR="114300" simplePos="0" relativeHeight="251658752" behindDoc="1" locked="0" layoutInCell="1" allowOverlap="1" wp14:anchorId="25B88546" wp14:editId="0112EC58">
            <wp:simplePos x="0" y="0"/>
            <wp:positionH relativeFrom="margin">
              <wp:align>right</wp:align>
            </wp:positionH>
            <wp:positionV relativeFrom="paragraph">
              <wp:posOffset>197485</wp:posOffset>
            </wp:positionV>
            <wp:extent cx="3105785" cy="839470"/>
            <wp:effectExtent l="0" t="0" r="0" b="0"/>
            <wp:wrapSquare wrapText="bothSides"/>
            <wp:docPr id="19243723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37233"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105785" cy="839470"/>
                    </a:xfrm>
                    <a:prstGeom prst="rect">
                      <a:avLst/>
                    </a:prstGeom>
                  </pic:spPr>
                </pic:pic>
              </a:graphicData>
            </a:graphic>
            <wp14:sizeRelH relativeFrom="page">
              <wp14:pctWidth>0</wp14:pctWidth>
            </wp14:sizeRelH>
            <wp14:sizeRelV relativeFrom="page">
              <wp14:pctHeight>0</wp14:pctHeight>
            </wp14:sizeRelV>
          </wp:anchor>
        </w:drawing>
      </w:r>
    </w:p>
    <w:p w14:paraId="3D16AB59" w14:textId="7240863F" w:rsidR="00EB1275" w:rsidRPr="00EA7EA8" w:rsidRDefault="00EB1275" w:rsidP="0062317C">
      <w:pPr>
        <w:spacing w:after="0" w:line="276" w:lineRule="auto"/>
        <w:jc w:val="both"/>
        <w:rPr>
          <w:rFonts w:ascii="Verdana" w:eastAsia="Calibri" w:hAnsi="Verdana" w:cs="Arial"/>
          <w:lang w:val="es-ES" w:eastAsia="es-ES"/>
        </w:rPr>
      </w:pPr>
      <w:r w:rsidRPr="00EA7EA8">
        <w:rPr>
          <w:rFonts w:ascii="Verdana" w:eastAsia="Calibri" w:hAnsi="Verdana" w:cs="Arial"/>
          <w:lang w:val="es-ES" w:eastAsia="es-ES"/>
        </w:rPr>
        <w:t>Señor</w:t>
      </w:r>
    </w:p>
    <w:p w14:paraId="29B84FFF" w14:textId="0026C8B9" w:rsidR="00EB1275" w:rsidRPr="00EA7EA8" w:rsidRDefault="00EB1275" w:rsidP="0062317C">
      <w:pPr>
        <w:spacing w:after="0" w:line="276" w:lineRule="auto"/>
        <w:rPr>
          <w:rFonts w:ascii="Verdana" w:eastAsia="Calibri" w:hAnsi="Verdana" w:cs="Arial"/>
          <w:b/>
          <w:lang w:val="es-ES_tradnl" w:eastAsia="es-ES_tradnl"/>
        </w:rPr>
      </w:pPr>
      <w:r>
        <w:rPr>
          <w:rFonts w:ascii="Verdana" w:eastAsia="Calibri" w:hAnsi="Verdana" w:cs="Arial"/>
          <w:b/>
          <w:lang w:val="es-ES_tradnl" w:eastAsia="es-ES_tradnl"/>
        </w:rPr>
        <w:t xml:space="preserve">Pablo </w:t>
      </w:r>
      <w:r w:rsidR="00BE609F">
        <w:rPr>
          <w:rFonts w:ascii="Verdana" w:eastAsia="Calibri" w:hAnsi="Verdana" w:cs="Arial"/>
          <w:b/>
          <w:lang w:val="es-ES_tradnl" w:eastAsia="es-ES_tradnl"/>
        </w:rPr>
        <w:t xml:space="preserve">Andrés </w:t>
      </w:r>
      <w:r>
        <w:rPr>
          <w:rFonts w:ascii="Verdana" w:eastAsia="Calibri" w:hAnsi="Verdana" w:cs="Arial"/>
          <w:b/>
          <w:lang w:val="es-ES_tradnl" w:eastAsia="es-ES_tradnl"/>
        </w:rPr>
        <w:t>López</w:t>
      </w:r>
      <w:r w:rsidR="00BE609F">
        <w:rPr>
          <w:rFonts w:ascii="Verdana" w:eastAsia="Calibri" w:hAnsi="Verdana" w:cs="Arial"/>
          <w:b/>
          <w:lang w:val="es-ES_tradnl" w:eastAsia="es-ES_tradnl"/>
        </w:rPr>
        <w:t xml:space="preserve"> Cediel</w:t>
      </w:r>
    </w:p>
    <w:p w14:paraId="1EE1BB3C" w14:textId="04688887" w:rsidR="00EB1275" w:rsidRPr="00EA7EA8" w:rsidRDefault="00EE69C3" w:rsidP="0062317C">
      <w:pPr>
        <w:spacing w:after="0" w:line="276" w:lineRule="auto"/>
        <w:rPr>
          <w:rFonts w:ascii="Verdana" w:eastAsia="Calibri" w:hAnsi="Verdana" w:cs="Arial"/>
          <w:u w:val="single"/>
          <w:lang w:val="es-ES" w:eastAsia="es-ES"/>
        </w:rPr>
      </w:pPr>
      <w:hyperlink r:id="rId11" w:history="1">
        <w:r w:rsidRPr="00045FD4">
          <w:rPr>
            <w:rStyle w:val="Hipervnculo"/>
            <w:rFonts w:ascii="Verdana" w:eastAsia="Calibri" w:hAnsi="Verdana" w:cs="Arial"/>
            <w:lang w:val="es-ES" w:eastAsia="es-ES"/>
          </w:rPr>
          <w:t>Pablocediel04@gmail.com</w:t>
        </w:r>
      </w:hyperlink>
      <w:r>
        <w:rPr>
          <w:rFonts w:ascii="Verdana" w:eastAsia="Calibri" w:hAnsi="Verdana" w:cs="Arial"/>
          <w:u w:val="single"/>
          <w:lang w:val="es-ES" w:eastAsia="es-ES"/>
        </w:rPr>
        <w:t xml:space="preserve"> </w:t>
      </w:r>
    </w:p>
    <w:p w14:paraId="54D8BF38" w14:textId="63EAE78C" w:rsidR="00EB1275" w:rsidRPr="00EA7EA8" w:rsidRDefault="00EB1275" w:rsidP="0062317C">
      <w:pPr>
        <w:spacing w:after="0" w:line="276" w:lineRule="auto"/>
        <w:rPr>
          <w:rFonts w:ascii="Verdana" w:eastAsia="Calibri" w:hAnsi="Verdana" w:cs="Arial"/>
          <w:b/>
          <w:bCs/>
          <w:lang w:val="es-ES" w:eastAsia="es-ES"/>
        </w:rPr>
      </w:pPr>
      <w:r w:rsidRPr="00EA7EA8">
        <w:rPr>
          <w:rFonts w:ascii="Verdana" w:eastAsia="Calibri" w:hAnsi="Verdana" w:cs="Arial"/>
          <w:lang w:val="es-ES" w:eastAsia="es-ES"/>
        </w:rPr>
        <w:t>Bogotá</w:t>
      </w:r>
      <w:r w:rsidR="00C143A7">
        <w:rPr>
          <w:rFonts w:ascii="Verdana" w:eastAsia="Calibri" w:hAnsi="Verdana" w:cs="Arial"/>
          <w:lang w:val="es-ES" w:eastAsia="es-ES"/>
        </w:rPr>
        <w:t xml:space="preserve"> D.C.</w:t>
      </w:r>
      <w:r w:rsidRPr="00780323">
        <w:rPr>
          <w:rFonts w:ascii="Verdana" w:eastAsia="Calibri" w:hAnsi="Verdana" w:cs="Arial"/>
          <w:lang w:val="es-ES" w:eastAsia="es-ES"/>
        </w:rPr>
        <w:t>,</w:t>
      </w:r>
      <w:r w:rsidRPr="00EA7EA8">
        <w:rPr>
          <w:rFonts w:ascii="Verdana" w:eastAsia="Calibri" w:hAnsi="Verdana" w:cs="Arial"/>
          <w:lang w:val="es-ES" w:eastAsia="es-ES"/>
        </w:rPr>
        <w:t xml:space="preserve"> Cundinamarca</w:t>
      </w:r>
    </w:p>
    <w:p w14:paraId="1A2C99B1" w14:textId="77777777" w:rsidR="00EB1275" w:rsidRPr="00EA7EA8" w:rsidRDefault="00EB1275" w:rsidP="0062317C">
      <w:pPr>
        <w:spacing w:after="0" w:line="276" w:lineRule="auto"/>
        <w:rPr>
          <w:rFonts w:ascii="Verdana" w:eastAsia="Calibri" w:hAnsi="Verdana" w:cs="Arial"/>
          <w:b/>
          <w:bCs/>
          <w:lang w:val="es-ES_tradnl" w:eastAsia="es-ES_tradnl"/>
        </w:rPr>
      </w:pPr>
    </w:p>
    <w:p w14:paraId="3C10E6AE" w14:textId="77777777" w:rsidR="00EB1275" w:rsidRPr="00EA7EA8" w:rsidRDefault="00EB1275" w:rsidP="0062317C">
      <w:pPr>
        <w:spacing w:after="0" w:line="276"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B1275" w:rsidRPr="00EA7EA8" w14:paraId="0229AE2C" w14:textId="77777777" w:rsidTr="0062317C">
        <w:trPr>
          <w:trHeight w:val="190"/>
        </w:trPr>
        <w:tc>
          <w:tcPr>
            <w:tcW w:w="2689" w:type="dxa"/>
          </w:tcPr>
          <w:p w14:paraId="6F6E70B5" w14:textId="77777777" w:rsidR="00EB1275" w:rsidRPr="00EA7EA8" w:rsidRDefault="00EB1275" w:rsidP="0062317C">
            <w:pPr>
              <w:spacing w:line="276" w:lineRule="auto"/>
              <w:jc w:val="both"/>
              <w:rPr>
                <w:rFonts w:ascii="Verdana" w:eastAsia="Calibri" w:hAnsi="Verdana" w:cs="Arial"/>
                <w:b/>
                <w:bCs/>
                <w:lang w:val="es-ES_tradnl" w:eastAsia="es-ES_tradnl"/>
              </w:rPr>
            </w:pPr>
          </w:p>
        </w:tc>
        <w:tc>
          <w:tcPr>
            <w:tcW w:w="6100" w:type="dxa"/>
          </w:tcPr>
          <w:p w14:paraId="003E5445" w14:textId="77777777" w:rsidR="00EB1275" w:rsidRPr="00780323" w:rsidRDefault="00EB1275" w:rsidP="0062317C">
            <w:pPr>
              <w:spacing w:line="276" w:lineRule="auto"/>
              <w:jc w:val="both"/>
              <w:rPr>
                <w:rFonts w:ascii="Verdana" w:eastAsia="Calibri" w:hAnsi="Verdana" w:cs="Arial"/>
                <w:b/>
                <w:bCs/>
                <w:lang w:val="es-ES" w:eastAsia="es-ES"/>
              </w:rPr>
            </w:pPr>
            <w:r w:rsidRPr="00EA7EA8">
              <w:rPr>
                <w:rFonts w:ascii="Verdana" w:eastAsia="Calibri" w:hAnsi="Verdana" w:cs="Arial"/>
                <w:b/>
                <w:bCs/>
                <w:lang w:val="es-ES" w:eastAsia="es-ES"/>
              </w:rPr>
              <w:t xml:space="preserve">Concepto C- </w:t>
            </w:r>
            <w:r>
              <w:rPr>
                <w:rFonts w:ascii="Verdana" w:eastAsia="Calibri" w:hAnsi="Verdana" w:cs="Arial"/>
                <w:b/>
                <w:bCs/>
                <w:lang w:val="es-ES" w:eastAsia="es-ES"/>
              </w:rPr>
              <w:t xml:space="preserve">895 </w:t>
            </w:r>
            <w:r w:rsidRPr="00EA7EA8">
              <w:rPr>
                <w:rFonts w:ascii="Verdana" w:eastAsia="Calibri" w:hAnsi="Verdana" w:cs="Arial"/>
                <w:b/>
                <w:bCs/>
                <w:lang w:val="es-ES" w:eastAsia="es-ES"/>
              </w:rPr>
              <w:t>de 202</w:t>
            </w:r>
            <w:r>
              <w:rPr>
                <w:rFonts w:ascii="Verdana" w:eastAsia="Calibri" w:hAnsi="Verdana" w:cs="Arial"/>
                <w:b/>
                <w:bCs/>
                <w:lang w:val="es-ES" w:eastAsia="es-ES"/>
              </w:rPr>
              <w:t>5</w:t>
            </w:r>
          </w:p>
          <w:p w14:paraId="7AE6C53D" w14:textId="77777777" w:rsidR="00EB1275" w:rsidRPr="00EA7EA8" w:rsidRDefault="00EB1275" w:rsidP="0062317C">
            <w:pPr>
              <w:spacing w:line="276" w:lineRule="auto"/>
              <w:jc w:val="both"/>
              <w:rPr>
                <w:rFonts w:ascii="Verdana" w:eastAsia="Calibri" w:hAnsi="Verdana" w:cs="Arial"/>
                <w:b/>
                <w:bCs/>
                <w:lang w:val="es-ES" w:eastAsia="es-ES"/>
              </w:rPr>
            </w:pPr>
          </w:p>
        </w:tc>
      </w:tr>
      <w:tr w:rsidR="00EB1275" w:rsidRPr="00EA7EA8" w14:paraId="48E7CFB3" w14:textId="77777777" w:rsidTr="00951CC0">
        <w:trPr>
          <w:trHeight w:val="884"/>
        </w:trPr>
        <w:tc>
          <w:tcPr>
            <w:tcW w:w="2689" w:type="dxa"/>
          </w:tcPr>
          <w:p w14:paraId="140B8EF3" w14:textId="77777777" w:rsidR="00EB1275" w:rsidRPr="00EA7EA8" w:rsidRDefault="00EB1275" w:rsidP="0062317C">
            <w:pPr>
              <w:spacing w:line="276" w:lineRule="auto"/>
              <w:jc w:val="both"/>
              <w:rPr>
                <w:rFonts w:ascii="Verdana" w:eastAsia="Calibri" w:hAnsi="Verdana" w:cs="Arial"/>
                <w:lang w:val="es-ES_tradnl" w:eastAsia="es-ES_tradnl"/>
              </w:rPr>
            </w:pPr>
            <w:r w:rsidRPr="00EA7EA8">
              <w:rPr>
                <w:rFonts w:ascii="Verdana" w:eastAsia="Calibri" w:hAnsi="Verdana" w:cs="Arial"/>
                <w:b/>
                <w:lang w:val="es-ES_tradnl" w:eastAsia="es-ES_tradnl"/>
              </w:rPr>
              <w:t>Temas:</w:t>
            </w:r>
            <w:r w:rsidRPr="00EA7EA8">
              <w:rPr>
                <w:rFonts w:ascii="Verdana" w:eastAsia="Calibri" w:hAnsi="Verdana" w:cs="Arial"/>
                <w:lang w:val="es-ES_tradnl" w:eastAsia="es-ES_tradnl"/>
              </w:rPr>
              <w:t xml:space="preserve">                   </w:t>
            </w:r>
          </w:p>
        </w:tc>
        <w:tc>
          <w:tcPr>
            <w:tcW w:w="6100" w:type="dxa"/>
          </w:tcPr>
          <w:p w14:paraId="7FFDDBD7" w14:textId="08BFC98B" w:rsidR="00EB1275" w:rsidRPr="00EA7EA8" w:rsidRDefault="00EB1275" w:rsidP="00951CC0">
            <w:pPr>
              <w:spacing w:line="276" w:lineRule="auto"/>
              <w:jc w:val="both"/>
              <w:rPr>
                <w:rFonts w:ascii="Verdana" w:eastAsia="Calibri" w:hAnsi="Verdana" w:cs="Arial"/>
                <w:lang w:val="es-ES" w:eastAsia="es-ES"/>
              </w:rPr>
            </w:pPr>
            <w:r w:rsidRPr="0097676F">
              <w:rPr>
                <w:rFonts w:ascii="Verdana" w:eastAsia="Calibri" w:hAnsi="Verdana" w:cs="Arial"/>
                <w:lang w:val="es-ES" w:eastAsia="es-ES"/>
              </w:rPr>
              <w:t>MODIFICACIÓN DE LOS CONTRATOS ESTATALES – Procedencia – Límites / CORRECCIÓN ERRORES FORMALES</w:t>
            </w:r>
            <w:r w:rsidR="00EE69C3">
              <w:rPr>
                <w:rFonts w:ascii="Verdana" w:eastAsia="Calibri" w:hAnsi="Verdana" w:cs="Arial"/>
                <w:lang w:val="es-ES" w:eastAsia="es-ES"/>
              </w:rPr>
              <w:t xml:space="preserve"> </w:t>
            </w:r>
            <w:r w:rsidRPr="0097676F">
              <w:rPr>
                <w:rFonts w:ascii="Verdana" w:eastAsia="Calibri" w:hAnsi="Verdana" w:cs="Arial"/>
                <w:lang w:val="es-ES" w:eastAsia="es-ES"/>
              </w:rPr>
              <w:t>– Artículo 45 Ley 1437 de 2011</w:t>
            </w:r>
            <w:r w:rsidRPr="004A66F9">
              <w:rPr>
                <w:rFonts w:ascii="Verdana" w:eastAsia="Calibri" w:hAnsi="Verdana" w:cs="Arial"/>
                <w:lang w:val="es-ES" w:eastAsia="es-ES"/>
              </w:rPr>
              <w:t xml:space="preserve"> </w:t>
            </w:r>
            <w:r>
              <w:rPr>
                <w:rFonts w:ascii="Verdana" w:eastAsia="Calibri" w:hAnsi="Verdana" w:cs="Arial"/>
                <w:lang w:val="es-ES" w:eastAsia="es-ES"/>
              </w:rPr>
              <w:t>/ INTERPRETACIÓN</w:t>
            </w:r>
            <w:r w:rsidRPr="00D9607E">
              <w:rPr>
                <w:rFonts w:ascii="Verdana" w:eastAsia="Calibri" w:hAnsi="Verdana" w:cs="Arial"/>
              </w:rPr>
              <w:t xml:space="preserve"> – Reglas</w:t>
            </w:r>
            <w:r w:rsidRPr="00D9607E">
              <w:rPr>
                <w:rFonts w:ascii="Verdana" w:eastAsia="Calibri" w:hAnsi="Verdana" w:cs="Arial"/>
                <w:lang w:val="es-ES" w:eastAsia="es-ES"/>
              </w:rPr>
              <w:t xml:space="preserve"> </w:t>
            </w:r>
          </w:p>
        </w:tc>
      </w:tr>
      <w:tr w:rsidR="00EB1275" w:rsidRPr="00EA7EA8" w14:paraId="303058BF" w14:textId="77777777" w:rsidTr="00951CC0">
        <w:tc>
          <w:tcPr>
            <w:tcW w:w="2689" w:type="dxa"/>
          </w:tcPr>
          <w:p w14:paraId="0017E4F7" w14:textId="77777777" w:rsidR="00EB1275" w:rsidRPr="00EA7EA8" w:rsidRDefault="00EB1275" w:rsidP="0062317C">
            <w:pPr>
              <w:spacing w:line="276" w:lineRule="auto"/>
              <w:jc w:val="both"/>
              <w:rPr>
                <w:rFonts w:ascii="Verdana" w:eastAsia="Calibri" w:hAnsi="Verdana" w:cs="Arial"/>
                <w:b/>
                <w:lang w:val="es-ES_tradnl" w:eastAsia="es-ES_tradnl"/>
              </w:rPr>
            </w:pPr>
            <w:r w:rsidRPr="00EA7EA8">
              <w:rPr>
                <w:rFonts w:ascii="Verdana" w:eastAsia="Calibri" w:hAnsi="Verdana" w:cs="Arial"/>
                <w:b/>
                <w:lang w:val="es-ES_tradnl" w:eastAsia="es-ES_tradnl"/>
              </w:rPr>
              <w:t>Radicación:</w:t>
            </w:r>
            <w:r w:rsidRPr="00EA7EA8">
              <w:rPr>
                <w:rFonts w:ascii="Verdana" w:eastAsia="Calibri" w:hAnsi="Verdana" w:cs="Arial"/>
                <w:lang w:val="es-ES_tradnl" w:eastAsia="es-ES_tradnl"/>
              </w:rPr>
              <w:t xml:space="preserve">               </w:t>
            </w:r>
          </w:p>
        </w:tc>
        <w:tc>
          <w:tcPr>
            <w:tcW w:w="6100" w:type="dxa"/>
          </w:tcPr>
          <w:p w14:paraId="2FB79087" w14:textId="6A86D8BD" w:rsidR="00EB1275" w:rsidRPr="00EA7EA8" w:rsidRDefault="00EB1275" w:rsidP="0062317C">
            <w:pPr>
              <w:spacing w:line="276" w:lineRule="auto"/>
              <w:jc w:val="both"/>
              <w:rPr>
                <w:rFonts w:ascii="Verdana" w:eastAsia="Calibri" w:hAnsi="Verdana" w:cs="Arial"/>
                <w:lang w:val="es-ES_tradnl" w:eastAsia="es-ES_tradnl"/>
              </w:rPr>
            </w:pPr>
            <w:r w:rsidRPr="00EA7EA8">
              <w:rPr>
                <w:rFonts w:ascii="Verdana" w:eastAsia="Calibri" w:hAnsi="Verdana" w:cs="Arial"/>
                <w:lang w:val="es-ES_tradnl" w:eastAsia="es-ES_tradnl"/>
              </w:rPr>
              <w:t xml:space="preserve">Respuesta a consulta con radicado </w:t>
            </w:r>
            <w:r w:rsidR="00841D2D" w:rsidRPr="00780323">
              <w:rPr>
                <w:rFonts w:ascii="Verdana" w:eastAsia="Calibri" w:hAnsi="Verdana" w:cs="Arial"/>
                <w:lang w:val="es-ES_tradnl" w:eastAsia="es-ES_tradnl"/>
              </w:rPr>
              <w:t xml:space="preserve">No. </w:t>
            </w:r>
            <w:r w:rsidRPr="0062317C">
              <w:rPr>
                <w:rFonts w:ascii="Verdana" w:hAnsi="Verdana" w:cs="Segoe UI"/>
                <w:color w:val="2B2B2B"/>
                <w:shd w:val="clear" w:color="auto" w:fill="FFFFFF"/>
              </w:rPr>
              <w:t>1</w:t>
            </w:r>
            <w:r w:rsidRPr="00CB690E">
              <w:rPr>
                <w:rFonts w:ascii="Verdana" w:eastAsia="Calibri" w:hAnsi="Verdana" w:cs="Arial"/>
                <w:lang w:eastAsia="es-ES_tradnl"/>
              </w:rPr>
              <w:t>_2025_07_08_006835</w:t>
            </w:r>
          </w:p>
        </w:tc>
      </w:tr>
    </w:tbl>
    <w:p w14:paraId="5DE08656" w14:textId="77777777" w:rsidR="00841D2D" w:rsidRPr="00EA7EA8" w:rsidRDefault="00841D2D" w:rsidP="00EB1275">
      <w:pPr>
        <w:spacing w:after="0" w:line="240" w:lineRule="auto"/>
        <w:jc w:val="both"/>
        <w:rPr>
          <w:rFonts w:ascii="Verdana" w:eastAsia="Calibri" w:hAnsi="Verdana" w:cs="Arial"/>
          <w:lang w:val="es-ES_tradnl" w:eastAsia="es-ES_tradnl"/>
        </w:rPr>
      </w:pPr>
    </w:p>
    <w:p w14:paraId="4E68C27E" w14:textId="77777777" w:rsidR="00EB1275" w:rsidRPr="00EA7EA8" w:rsidRDefault="00EB1275" w:rsidP="00EB1275">
      <w:pPr>
        <w:spacing w:after="0" w:line="240" w:lineRule="auto"/>
        <w:jc w:val="both"/>
        <w:rPr>
          <w:rFonts w:ascii="Verdana" w:eastAsia="Calibri" w:hAnsi="Verdana" w:cs="Arial"/>
          <w:lang w:val="es-ES_tradnl" w:eastAsia="es-ES_tradnl"/>
        </w:rPr>
      </w:pPr>
    </w:p>
    <w:p w14:paraId="23FA4B45" w14:textId="77777777" w:rsidR="00EB1275" w:rsidRPr="00EA7EA8" w:rsidRDefault="00EB1275" w:rsidP="00EB1275">
      <w:pPr>
        <w:spacing w:after="0" w:line="276" w:lineRule="auto"/>
        <w:jc w:val="both"/>
        <w:rPr>
          <w:rFonts w:ascii="Verdana" w:eastAsia="Calibri" w:hAnsi="Verdana" w:cs="Arial"/>
          <w:lang w:val="es-ES" w:eastAsia="es-ES"/>
        </w:rPr>
      </w:pPr>
      <w:r w:rsidRPr="00EA7EA8">
        <w:rPr>
          <w:rFonts w:ascii="Verdana" w:eastAsia="Calibri" w:hAnsi="Verdana" w:cs="Arial"/>
          <w:lang w:val="es-ES" w:eastAsia="es-ES"/>
        </w:rPr>
        <w:t xml:space="preserve">Estimado señor </w:t>
      </w:r>
      <w:r>
        <w:rPr>
          <w:rFonts w:ascii="Verdana" w:eastAsia="Calibri" w:hAnsi="Verdana" w:cs="Arial"/>
          <w:lang w:val="es-ES" w:eastAsia="es-ES"/>
        </w:rPr>
        <w:t>López</w:t>
      </w:r>
      <w:r w:rsidRPr="00EA7EA8">
        <w:rPr>
          <w:rFonts w:ascii="Verdana" w:eastAsia="Calibri" w:hAnsi="Verdana" w:cs="Arial"/>
          <w:lang w:val="es-ES" w:eastAsia="es-ES"/>
        </w:rPr>
        <w:t xml:space="preserve">: </w:t>
      </w:r>
    </w:p>
    <w:p w14:paraId="54265455" w14:textId="77777777" w:rsidR="00EB1275" w:rsidRPr="00EA7EA8" w:rsidRDefault="00EB1275" w:rsidP="00EB1275">
      <w:pPr>
        <w:tabs>
          <w:tab w:val="left" w:pos="3768"/>
        </w:tabs>
        <w:spacing w:after="0" w:line="276" w:lineRule="auto"/>
        <w:jc w:val="both"/>
        <w:rPr>
          <w:rFonts w:ascii="Verdana" w:eastAsia="Calibri" w:hAnsi="Verdana" w:cs="Arial"/>
          <w:lang w:val="es-ES" w:eastAsia="es-ES"/>
        </w:rPr>
      </w:pPr>
      <w:r w:rsidRPr="00EA7EA8">
        <w:rPr>
          <w:rFonts w:ascii="Verdana" w:eastAsia="Calibri" w:hAnsi="Verdana" w:cs="Arial"/>
          <w:lang w:val="es-ES" w:eastAsia="es-ES"/>
        </w:rPr>
        <w:tab/>
      </w:r>
    </w:p>
    <w:p w14:paraId="33655042" w14:textId="6B756206" w:rsidR="00841D2D" w:rsidRPr="00EA7EA8" w:rsidRDefault="00EB1275" w:rsidP="00841D2D">
      <w:pPr>
        <w:spacing w:after="0" w:line="276" w:lineRule="auto"/>
        <w:jc w:val="both"/>
        <w:rPr>
          <w:rFonts w:ascii="Verdana" w:eastAsia="Calibri" w:hAnsi="Verdana" w:cs="Arial"/>
          <w:lang w:val="es-ES" w:eastAsia="es-ES"/>
        </w:rPr>
      </w:pPr>
      <w:r w:rsidRPr="00EA7EA8">
        <w:rPr>
          <w:rFonts w:ascii="Verdana" w:eastAsia="Calibri" w:hAnsi="Verdana" w:cs="Arial"/>
          <w:lang w:val="es-ES" w:eastAsia="es-ES"/>
        </w:rPr>
        <w:t>En ejercicio de la competencia otorgada por los artículos 3, numeral 5º, y 11, numeral 8º, del Decreto Ley 4170 de 2011,</w:t>
      </w:r>
      <w:r w:rsidRPr="00EA7EA8">
        <w:rPr>
          <w:rFonts w:ascii="Verdana" w:eastAsia="Arial MT" w:hAnsi="Verdana" w:cs="Arial MT"/>
          <w:lang w:val="es-ES" w:eastAsia="es-ES"/>
        </w:rPr>
        <w:t xml:space="preserve"> </w:t>
      </w:r>
      <w:r w:rsidRPr="00EA7EA8">
        <w:rPr>
          <w:rFonts w:ascii="Verdana" w:hAnsi="Verdana" w:cs="Arial"/>
        </w:rPr>
        <w:t xml:space="preserve">así como lo establecido en el artículo 4 de la Resolución 1707 de 2018 expedida por esta Entidad, </w:t>
      </w:r>
      <w:r w:rsidRPr="00EA7EA8">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8</w:t>
      </w:r>
      <w:r w:rsidRPr="00EA7EA8">
        <w:rPr>
          <w:rFonts w:ascii="Verdana" w:eastAsia="Calibri" w:hAnsi="Verdana" w:cs="Arial"/>
          <w:lang w:val="es-ES" w:eastAsia="es-ES"/>
        </w:rPr>
        <w:t xml:space="preserve"> de </w:t>
      </w:r>
      <w:r>
        <w:rPr>
          <w:rFonts w:ascii="Verdana" w:eastAsia="Calibri" w:hAnsi="Verdana" w:cs="Arial"/>
          <w:lang w:val="es-ES" w:eastAsia="es-ES"/>
        </w:rPr>
        <w:t>julio</w:t>
      </w:r>
      <w:r w:rsidRPr="00EA7EA8">
        <w:rPr>
          <w:rFonts w:ascii="Verdana" w:eastAsia="Calibri" w:hAnsi="Verdana" w:cs="Arial"/>
          <w:lang w:val="es-ES" w:eastAsia="es-ES"/>
        </w:rPr>
        <w:t xml:space="preserve"> de 2025, en la cual manifiesta lo siguiente: </w:t>
      </w:r>
    </w:p>
    <w:p w14:paraId="49807A44" w14:textId="77777777" w:rsidR="00EB1275" w:rsidRPr="00EA7EA8" w:rsidRDefault="00EB1275" w:rsidP="0062317C">
      <w:pPr>
        <w:spacing w:after="0" w:line="276" w:lineRule="auto"/>
        <w:jc w:val="both"/>
      </w:pPr>
    </w:p>
    <w:p w14:paraId="60DF6083" w14:textId="77777777" w:rsidR="00EB1275" w:rsidRPr="00CB690E" w:rsidRDefault="00EB1275" w:rsidP="00EB1275">
      <w:pPr>
        <w:spacing w:after="0" w:line="240" w:lineRule="auto"/>
        <w:ind w:left="709" w:right="709"/>
        <w:jc w:val="both"/>
        <w:rPr>
          <w:rFonts w:ascii="Verdana" w:hAnsi="Verdana" w:cs="Arial"/>
          <w:sz w:val="20"/>
          <w:szCs w:val="20"/>
          <w:shd w:val="clear" w:color="auto" w:fill="FFFFFF"/>
        </w:rPr>
      </w:pPr>
      <w:bookmarkStart w:id="0" w:name="_Hlk95313578"/>
      <w:r w:rsidRPr="0062317C">
        <w:rPr>
          <w:rFonts w:ascii="Verdana" w:eastAsia="Century Gothic" w:hAnsi="Verdana" w:cs="Century Gothic"/>
          <w:sz w:val="20"/>
          <w:szCs w:val="20"/>
          <w:lang w:val="es-ES"/>
        </w:rPr>
        <w:t>“</w:t>
      </w:r>
      <w:r w:rsidRPr="00CB690E">
        <w:rPr>
          <w:rFonts w:ascii="Verdana" w:hAnsi="Verdana" w:cs="Arial"/>
          <w:sz w:val="20"/>
          <w:szCs w:val="20"/>
          <w:shd w:val="clear" w:color="auto" w:fill="FFFFFF"/>
        </w:rPr>
        <w:t>Solicito un concepto en que se aclare si puede o no la entidad solicitar que se realice un acta</w:t>
      </w:r>
      <w:r>
        <w:rPr>
          <w:rFonts w:ascii="Verdana" w:hAnsi="Verdana" w:cs="Arial"/>
          <w:sz w:val="20"/>
          <w:szCs w:val="20"/>
          <w:shd w:val="clear" w:color="auto" w:fill="FFFFFF"/>
        </w:rPr>
        <w:t xml:space="preserve"> </w:t>
      </w:r>
      <w:r w:rsidRPr="00CB690E">
        <w:rPr>
          <w:rFonts w:ascii="Verdana" w:hAnsi="Verdana" w:cs="Arial"/>
          <w:sz w:val="20"/>
          <w:szCs w:val="20"/>
          <w:shd w:val="clear" w:color="auto" w:fill="FFFFFF"/>
        </w:rPr>
        <w:t>aclaratoria en los casos en que se presente un error de digitación en documentos del contrato</w:t>
      </w:r>
      <w:r>
        <w:rPr>
          <w:rFonts w:ascii="Verdana" w:hAnsi="Verdana" w:cs="Arial"/>
          <w:sz w:val="20"/>
          <w:szCs w:val="20"/>
          <w:shd w:val="clear" w:color="auto" w:fill="FFFFFF"/>
        </w:rPr>
        <w:t xml:space="preserve"> </w:t>
      </w:r>
      <w:r w:rsidRPr="00CB690E">
        <w:rPr>
          <w:rFonts w:ascii="Verdana" w:hAnsi="Verdana" w:cs="Arial"/>
          <w:sz w:val="20"/>
          <w:szCs w:val="20"/>
          <w:shd w:val="clear" w:color="auto" w:fill="FFFFFF"/>
        </w:rPr>
        <w:t>(actas de inicio, cuentas de cobro y aclaratorias) que, por sentido común o por lógica jurídica</w:t>
      </w:r>
    </w:p>
    <w:p w14:paraId="74866B50" w14:textId="77777777" w:rsidR="00EB1275" w:rsidRPr="0062317C" w:rsidRDefault="00EB1275" w:rsidP="00EB1275">
      <w:pPr>
        <w:spacing w:after="0" w:line="240" w:lineRule="auto"/>
        <w:ind w:left="709" w:right="709"/>
        <w:jc w:val="both"/>
        <w:rPr>
          <w:rFonts w:ascii="Verdana" w:eastAsia="Century Gothic" w:hAnsi="Verdana" w:cs="Century Gothic"/>
          <w:sz w:val="20"/>
          <w:szCs w:val="20"/>
          <w:lang w:val="es-ES"/>
        </w:rPr>
      </w:pPr>
      <w:r w:rsidRPr="00CB690E">
        <w:rPr>
          <w:rFonts w:ascii="Verdana" w:hAnsi="Verdana" w:cs="Arial"/>
          <w:sz w:val="20"/>
          <w:szCs w:val="20"/>
          <w:shd w:val="clear" w:color="auto" w:fill="FFFFFF"/>
        </w:rPr>
        <w:t>no generen dudas ni inquietudes en el desarrollo del contrato.</w:t>
      </w:r>
      <w:r w:rsidRPr="0062317C">
        <w:rPr>
          <w:rFonts w:ascii="Verdana" w:eastAsia="Century Gothic" w:hAnsi="Verdana" w:cs="Century Gothic"/>
          <w:sz w:val="20"/>
          <w:szCs w:val="20"/>
          <w:lang w:val="es-ES"/>
        </w:rPr>
        <w:t>”</w:t>
      </w:r>
      <w:bookmarkEnd w:id="0"/>
      <w:r w:rsidRPr="0062317C">
        <w:rPr>
          <w:rFonts w:ascii="Verdana" w:eastAsia="Century Gothic" w:hAnsi="Verdana" w:cs="Century Gothic"/>
          <w:sz w:val="20"/>
          <w:szCs w:val="20"/>
          <w:lang w:val="es-ES"/>
        </w:rPr>
        <w:t>.</w:t>
      </w:r>
    </w:p>
    <w:p w14:paraId="55D9D786" w14:textId="77777777" w:rsidR="00841D2D" w:rsidRDefault="00841D2D" w:rsidP="0062317C">
      <w:pPr>
        <w:spacing w:after="0" w:line="276" w:lineRule="auto"/>
        <w:ind w:firstLine="709"/>
        <w:jc w:val="both"/>
        <w:rPr>
          <w:rFonts w:ascii="Verdana" w:eastAsia="Calibri" w:hAnsi="Verdana" w:cs="Arial"/>
          <w:lang w:val="es-ES" w:eastAsia="es-ES"/>
        </w:rPr>
      </w:pPr>
    </w:p>
    <w:p w14:paraId="34343D36" w14:textId="3E77E58F" w:rsidR="00EB1275" w:rsidRPr="00EA7EA8" w:rsidRDefault="00EB1275" w:rsidP="00EB1275">
      <w:pPr>
        <w:spacing w:after="120" w:line="276" w:lineRule="auto"/>
        <w:ind w:firstLine="709"/>
        <w:jc w:val="both"/>
        <w:rPr>
          <w:rFonts w:ascii="Verdana" w:eastAsia="Calibri" w:hAnsi="Verdana" w:cs="Arial"/>
          <w:szCs w:val="24"/>
          <w:lang w:val="es-ES_tradnl" w:eastAsia="es-ES_tradnl"/>
        </w:rPr>
      </w:pPr>
      <w:r w:rsidRPr="00EA7EA8">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B67BE8">
        <w:rPr>
          <w:rFonts w:ascii="Verdana" w:eastAsia="Calibri" w:hAnsi="Verdana" w:cs="Arial"/>
          <w:lang w:val="es-ES" w:eastAsia="es-ES"/>
        </w:rPr>
        <w:t xml:space="preserve">la Agencia Nacional de Contratación Pública – </w:t>
      </w:r>
      <w:r w:rsidRPr="00EA7EA8">
        <w:rPr>
          <w:rFonts w:ascii="Verdana" w:eastAsia="Calibri" w:hAnsi="Verdana" w:cs="Arial"/>
          <w:lang w:val="es-ES" w:eastAsia="es-ES"/>
        </w:rPr>
        <w:t>Colombia</w:t>
      </w:r>
      <w:r w:rsidR="00B67BE8">
        <w:rPr>
          <w:rFonts w:ascii="Verdana" w:eastAsia="Calibri" w:hAnsi="Verdana" w:cs="Arial"/>
          <w:lang w:val="es-ES" w:eastAsia="es-ES"/>
        </w:rPr>
        <w:t xml:space="preserve"> </w:t>
      </w:r>
      <w:r w:rsidRPr="00EA7EA8">
        <w:rPr>
          <w:rFonts w:ascii="Verdana" w:eastAsia="Calibri" w:hAnsi="Verdana" w:cs="Arial"/>
          <w:lang w:val="es-ES" w:eastAsia="es-ES"/>
        </w:rPr>
        <w:t xml:space="preserve">Compra Eficiente como una autoridad para solucionar problemas </w:t>
      </w:r>
      <w:r w:rsidRPr="00EA7EA8">
        <w:rPr>
          <w:rFonts w:ascii="Verdana" w:eastAsia="Calibri" w:hAnsi="Verdana" w:cs="Arial"/>
          <w:lang w:val="es-ES" w:eastAsia="es-ES"/>
        </w:rPr>
        <w:lastRenderedPageBreak/>
        <w:t xml:space="preserve">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A7EA8">
        <w:rPr>
          <w:rFonts w:ascii="Verdana" w:eastAsia="Calibri" w:hAnsi="Verdana" w:cs="Arial"/>
          <w:szCs w:val="24"/>
          <w:lang w:val="es-ES_tradnl" w:eastAsia="es-ES_tradnl"/>
        </w:rPr>
        <w:tab/>
      </w:r>
    </w:p>
    <w:p w14:paraId="531D1F7A" w14:textId="77777777" w:rsidR="00EB1275" w:rsidRPr="00EA7EA8" w:rsidRDefault="00EB1275" w:rsidP="00EB1275">
      <w:pPr>
        <w:spacing w:after="0" w:line="276" w:lineRule="auto"/>
        <w:ind w:firstLine="709"/>
        <w:jc w:val="both"/>
        <w:rPr>
          <w:rFonts w:ascii="Verdana" w:eastAsia="Calibri" w:hAnsi="Verdana" w:cs="Arial"/>
          <w:lang w:val="es-ES" w:eastAsia="es-ES"/>
        </w:rPr>
      </w:pPr>
      <w:r w:rsidRPr="00EA7EA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1F4D6383" w14:textId="77777777" w:rsidR="00EB1275" w:rsidRPr="00EA7EA8" w:rsidRDefault="00EB1275" w:rsidP="00EB1275">
      <w:pPr>
        <w:spacing w:after="0" w:line="276" w:lineRule="auto"/>
        <w:ind w:firstLine="709"/>
        <w:jc w:val="both"/>
        <w:rPr>
          <w:rFonts w:ascii="Verdana" w:eastAsia="Calibri" w:hAnsi="Verdana" w:cs="Arial"/>
          <w:lang w:val="es-ES" w:eastAsia="es-ES"/>
        </w:rPr>
      </w:pPr>
    </w:p>
    <w:p w14:paraId="76EF6A69" w14:textId="77777777" w:rsidR="00EB1275" w:rsidRPr="00EA7EA8" w:rsidRDefault="00EB1275" w:rsidP="00EB127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EA7EA8">
        <w:rPr>
          <w:rFonts w:ascii="Verdana" w:eastAsia="Century Gothic" w:hAnsi="Verdana" w:cs="Century Gothic"/>
          <w:b/>
          <w:bCs/>
        </w:rPr>
        <w:t>Problema planteado:</w:t>
      </w:r>
    </w:p>
    <w:p w14:paraId="59D22578" w14:textId="77777777" w:rsidR="00EB1275" w:rsidRPr="00EA7EA8" w:rsidRDefault="00EB1275" w:rsidP="00EB1275">
      <w:pPr>
        <w:tabs>
          <w:tab w:val="left" w:pos="426"/>
        </w:tabs>
        <w:spacing w:after="0" w:line="276" w:lineRule="auto"/>
        <w:jc w:val="both"/>
        <w:rPr>
          <w:rFonts w:ascii="Verdana" w:eastAsia="Century Gothic" w:hAnsi="Verdana" w:cs="Century Gothic"/>
          <w:lang w:val="es-ES"/>
        </w:rPr>
      </w:pPr>
    </w:p>
    <w:p w14:paraId="6DF45903" w14:textId="77777777" w:rsidR="00EB1275" w:rsidRPr="00EA7EA8" w:rsidRDefault="00EB1275" w:rsidP="00EB1275">
      <w:pPr>
        <w:spacing w:after="0" w:line="276" w:lineRule="auto"/>
        <w:jc w:val="both"/>
        <w:rPr>
          <w:rFonts w:ascii="Verdana" w:eastAsia="Century Gothic" w:hAnsi="Verdana" w:cs="Century Gothic"/>
        </w:rPr>
      </w:pPr>
      <w:r w:rsidRPr="00EA7EA8">
        <w:rPr>
          <w:rFonts w:ascii="Verdana" w:eastAsia="Century Gothic" w:hAnsi="Verdana" w:cs="Century Gothic"/>
        </w:rPr>
        <w:t>De acuerdo con el contenido de su solicitud, esta Agencia resolverá el siguiente problema jurídico: ¿</w:t>
      </w:r>
      <w:r w:rsidRPr="00B47FD4">
        <w:rPr>
          <w:rFonts w:ascii="Verdana" w:eastAsia="Century Gothic" w:hAnsi="Verdana" w:cs="Century Gothic"/>
        </w:rPr>
        <w:t>Es jurídicamente procedente que la entidad estatal requiera la suscripción de un acta aclaratoria para la corrección de errores meramente mecanográficos en documentos contractuales, cuando estos no incidan en la interpretación ni en la ejecución del contrato</w:t>
      </w:r>
      <w:r w:rsidRPr="00EA7EA8">
        <w:rPr>
          <w:rFonts w:ascii="Verdana" w:eastAsia="Century Gothic" w:hAnsi="Verdana" w:cs="Century Gothic"/>
        </w:rPr>
        <w:t xml:space="preserve">? </w:t>
      </w:r>
    </w:p>
    <w:p w14:paraId="5207C1EC" w14:textId="77777777" w:rsidR="00EB1275" w:rsidRPr="00EA7EA8" w:rsidRDefault="00EB1275" w:rsidP="00EB1275">
      <w:pPr>
        <w:spacing w:after="0" w:line="276" w:lineRule="auto"/>
        <w:jc w:val="both"/>
        <w:rPr>
          <w:rFonts w:ascii="Verdana" w:eastAsia="Calibri" w:hAnsi="Verdana" w:cs="Arial"/>
          <w:lang w:val="es-ES"/>
        </w:rPr>
      </w:pPr>
    </w:p>
    <w:p w14:paraId="0EA76210" w14:textId="77777777" w:rsidR="00EB1275" w:rsidRPr="00EA7EA8" w:rsidRDefault="00EB1275" w:rsidP="00EB127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A7EA8">
        <w:rPr>
          <w:rFonts w:ascii="Verdana" w:eastAsia="Century Gothic" w:hAnsi="Verdana" w:cs="Century Gothic"/>
          <w:b/>
          <w:bCs/>
        </w:rPr>
        <w:t>Respuesta:</w:t>
      </w:r>
    </w:p>
    <w:p w14:paraId="4669C5CC" w14:textId="77777777" w:rsidR="00EB1275" w:rsidRPr="00EA7EA8" w:rsidRDefault="00EB1275" w:rsidP="00EB1275">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B1275" w:rsidRPr="00EA7EA8" w14:paraId="2A0F907C" w14:textId="77777777" w:rsidTr="00951CC0">
        <w:tc>
          <w:tcPr>
            <w:tcW w:w="8828" w:type="dxa"/>
          </w:tcPr>
          <w:p w14:paraId="62D5EF9C" w14:textId="77777777" w:rsidR="00EB1275" w:rsidRDefault="00EB1275" w:rsidP="00951CC0">
            <w:pPr>
              <w:spacing w:after="120" w:line="276" w:lineRule="auto"/>
              <w:jc w:val="both"/>
              <w:rPr>
                <w:rFonts w:ascii="Verdana" w:eastAsia="Calibri" w:hAnsi="Verdana" w:cs="Arial"/>
                <w:lang w:val="es-ES"/>
              </w:rPr>
            </w:pPr>
            <w:r>
              <w:rPr>
                <w:rFonts w:ascii="Verdana" w:eastAsia="Calibri" w:hAnsi="Verdana" w:cs="Arial"/>
                <w:lang w:val="es-ES"/>
              </w:rPr>
              <w:t xml:space="preserve">Frente al problema jurídico planteado, </w:t>
            </w:r>
            <w:r w:rsidRPr="00672426">
              <w:rPr>
                <w:rFonts w:ascii="Verdana" w:eastAsia="Calibri" w:hAnsi="Verdana" w:cs="Arial"/>
                <w:lang w:val="es-ES"/>
              </w:rPr>
              <w:t xml:space="preserve">ante </w:t>
            </w:r>
            <w:r>
              <w:rPr>
                <w:rFonts w:ascii="Verdana" w:eastAsia="Calibri" w:hAnsi="Verdana" w:cs="Arial"/>
                <w:lang w:val="es-ES"/>
              </w:rPr>
              <w:t xml:space="preserve">los </w:t>
            </w:r>
            <w:r w:rsidRPr="0093479F">
              <w:rPr>
                <w:rFonts w:ascii="Verdana" w:eastAsia="Calibri" w:hAnsi="Verdana" w:cs="Arial"/>
                <w:lang w:val="es-ES"/>
              </w:rPr>
              <w:t xml:space="preserve">errores </w:t>
            </w:r>
            <w:r>
              <w:rPr>
                <w:rFonts w:ascii="Verdana" w:eastAsia="Calibri" w:hAnsi="Verdana" w:cs="Arial"/>
                <w:lang w:val="es-ES"/>
              </w:rPr>
              <w:t>que hayan podido quedar</w:t>
            </w:r>
            <w:r w:rsidRPr="00672426">
              <w:rPr>
                <w:rFonts w:ascii="Verdana" w:eastAsia="Calibri" w:hAnsi="Verdana" w:cs="Arial"/>
                <w:lang w:val="es-ES"/>
              </w:rPr>
              <w:t xml:space="preserve"> </w:t>
            </w:r>
            <w:r w:rsidRPr="0093479F">
              <w:rPr>
                <w:rFonts w:ascii="Verdana" w:eastAsia="Calibri" w:hAnsi="Verdana" w:cs="Arial"/>
                <w:lang w:val="es-ES"/>
              </w:rPr>
              <w:t>en un contrato</w:t>
            </w:r>
            <w:r>
              <w:rPr>
                <w:rFonts w:ascii="Verdana" w:eastAsia="Calibri" w:hAnsi="Verdana" w:cs="Arial"/>
                <w:lang w:val="es-ES"/>
              </w:rPr>
              <w:t xml:space="preserve"> estatal</w:t>
            </w:r>
            <w:r w:rsidRPr="0093479F">
              <w:rPr>
                <w:rFonts w:ascii="Verdana" w:eastAsia="Calibri" w:hAnsi="Verdana" w:cs="Arial"/>
                <w:lang w:val="es-ES"/>
              </w:rPr>
              <w:t xml:space="preserve">, la entidad debe analizar si se encuentra frente a circunstancias que </w:t>
            </w:r>
            <w:r>
              <w:rPr>
                <w:rFonts w:ascii="Verdana" w:eastAsia="Calibri" w:hAnsi="Verdana" w:cs="Arial"/>
                <w:lang w:val="es-ES"/>
              </w:rPr>
              <w:t xml:space="preserve">exigen </w:t>
            </w:r>
            <w:r w:rsidRPr="0093479F">
              <w:rPr>
                <w:rFonts w:ascii="Verdana" w:eastAsia="Calibri" w:hAnsi="Verdana" w:cs="Arial"/>
                <w:lang w:val="es-ES"/>
              </w:rPr>
              <w:t xml:space="preserve">una modificación al contrato o circunstancias que representen un error formal del mismo. </w:t>
            </w:r>
          </w:p>
          <w:p w14:paraId="44561EF8" w14:textId="77777777" w:rsidR="00EB1275" w:rsidRPr="0093479F" w:rsidRDefault="00EB1275" w:rsidP="00951CC0">
            <w:pPr>
              <w:spacing w:after="120" w:line="276" w:lineRule="auto"/>
              <w:ind w:firstLine="709"/>
              <w:jc w:val="both"/>
              <w:rPr>
                <w:rFonts w:ascii="Verdana" w:hAnsi="Verdana" w:cs="Arial"/>
                <w:shd w:val="clear" w:color="auto" w:fill="FFFFFF"/>
              </w:rPr>
            </w:pPr>
            <w:r>
              <w:rPr>
                <w:rFonts w:ascii="Verdana" w:eastAsia="Calibri" w:hAnsi="Verdana" w:cs="Arial"/>
                <w:lang w:val="es-ES"/>
              </w:rPr>
              <w:t>De un lado, e</w:t>
            </w:r>
            <w:r w:rsidRPr="00672426">
              <w:rPr>
                <w:rFonts w:ascii="Verdana" w:eastAsia="Calibri" w:hAnsi="Verdana" w:cs="Arial"/>
                <w:lang w:val="es-ES"/>
              </w:rPr>
              <w:t>n</w:t>
            </w:r>
            <w:r w:rsidRPr="0093479F">
              <w:rPr>
                <w:rFonts w:ascii="Verdana" w:eastAsia="Calibri" w:hAnsi="Verdana" w:cs="Arial"/>
                <w:lang w:val="es-ES"/>
              </w:rPr>
              <w:t xml:space="preserve"> cuanto a la primera opción, </w:t>
            </w:r>
            <w:r w:rsidRPr="0093479F">
              <w:rPr>
                <w:rFonts w:ascii="Verdana" w:eastAsia="Arial" w:hAnsi="Verdana" w:cs="Arial"/>
                <w:lang w:eastAsia="es-ES"/>
              </w:rPr>
              <w:t>los contratos estatales pueden modificarse en cumplimiento de los requisitos y límites legales</w:t>
            </w:r>
            <w:r>
              <w:rPr>
                <w:rFonts w:ascii="Verdana" w:eastAsia="Arial" w:hAnsi="Verdana" w:cs="Arial"/>
                <w:lang w:eastAsia="es-ES"/>
              </w:rPr>
              <w:t xml:space="preserve"> y jurisprudenciales</w:t>
            </w:r>
            <w:r w:rsidRPr="0093479F">
              <w:rPr>
                <w:rFonts w:ascii="Verdana" w:eastAsia="Arial" w:hAnsi="Verdana" w:cs="Arial"/>
                <w:lang w:eastAsia="es-ES"/>
              </w:rPr>
              <w:t>, atendiendo a los principios que rigen la actuación administrativa y la contratación estatal</w:t>
            </w:r>
            <w:r>
              <w:rPr>
                <w:rFonts w:ascii="Verdana" w:eastAsia="Arial" w:hAnsi="Verdana" w:cs="Arial"/>
                <w:lang w:eastAsia="es-ES"/>
              </w:rPr>
              <w:t>. D</w:t>
            </w:r>
            <w:r w:rsidRPr="0093479F">
              <w:rPr>
                <w:rFonts w:ascii="Verdana" w:eastAsia="Arial" w:hAnsi="Verdana" w:cs="Arial"/>
                <w:lang w:eastAsia="es-ES"/>
              </w:rPr>
              <w:t xml:space="preserve">e </w:t>
            </w:r>
            <w:r w:rsidRPr="00672426">
              <w:rPr>
                <w:rFonts w:ascii="Verdana" w:eastAsia="Arial" w:hAnsi="Verdana" w:cs="Arial"/>
                <w:lang w:eastAsia="es-ES"/>
              </w:rPr>
              <w:t>otr</w:t>
            </w:r>
            <w:r>
              <w:rPr>
                <w:rFonts w:ascii="Verdana" w:eastAsia="Arial" w:hAnsi="Verdana" w:cs="Arial"/>
                <w:lang w:eastAsia="es-ES"/>
              </w:rPr>
              <w:t>o</w:t>
            </w:r>
            <w:r w:rsidRPr="00672426">
              <w:rPr>
                <w:rFonts w:ascii="Verdana" w:eastAsia="Arial" w:hAnsi="Verdana" w:cs="Arial"/>
                <w:lang w:eastAsia="es-ES"/>
              </w:rPr>
              <w:t xml:space="preserve"> </w:t>
            </w:r>
            <w:r>
              <w:rPr>
                <w:rFonts w:ascii="Verdana" w:eastAsia="Arial" w:hAnsi="Verdana" w:cs="Arial"/>
                <w:lang w:eastAsia="es-ES"/>
              </w:rPr>
              <w:t>lado</w:t>
            </w:r>
            <w:r w:rsidRPr="0093479F">
              <w:rPr>
                <w:rFonts w:ascii="Verdana" w:eastAsia="Arial" w:hAnsi="Verdana" w:cs="Arial"/>
                <w:lang w:eastAsia="es-ES"/>
              </w:rPr>
              <w:t>, e</w:t>
            </w:r>
            <w:r w:rsidRPr="0093479F">
              <w:rPr>
                <w:rFonts w:ascii="Verdana" w:hAnsi="Verdana" w:cs="Arial"/>
                <w:lang w:val="es-ES"/>
              </w:rPr>
              <w:t xml:space="preserve">l </w:t>
            </w:r>
            <w:r w:rsidRPr="0093479F">
              <w:rPr>
                <w:rFonts w:ascii="Verdana" w:hAnsi="Verdana" w:cs="Arial"/>
                <w:lang w:val="es-MX"/>
              </w:rPr>
              <w:t>CPACA, en el artículo 45, permite la corrección de errores simplemente formales de los actos administrativos relacionados con errores aritméticos, de digitación, de transcripción o de omisión de palabras.</w:t>
            </w:r>
          </w:p>
          <w:p w14:paraId="36EEEE21" w14:textId="77777777" w:rsidR="00EB1275" w:rsidRPr="0093479F" w:rsidRDefault="00EB1275" w:rsidP="0062317C">
            <w:pPr>
              <w:tabs>
                <w:tab w:val="left" w:pos="709"/>
              </w:tabs>
              <w:spacing w:after="120" w:line="276" w:lineRule="auto"/>
              <w:ind w:firstLine="709"/>
              <w:jc w:val="both"/>
              <w:rPr>
                <w:rFonts w:ascii="Verdana" w:eastAsia="Calibri" w:hAnsi="Verdana" w:cs="Arial"/>
                <w:color w:val="000000"/>
              </w:rPr>
            </w:pPr>
            <w:r w:rsidRPr="0093479F">
              <w:rPr>
                <w:rFonts w:ascii="Verdana" w:hAnsi="Verdana" w:cs="Arial"/>
                <w:shd w:val="clear" w:color="auto" w:fill="FFFFFF"/>
              </w:rPr>
              <w:t>En virtud de lo anterior, la</w:t>
            </w:r>
            <w:r>
              <w:rPr>
                <w:rFonts w:ascii="Verdana" w:hAnsi="Verdana" w:cs="Arial"/>
                <w:shd w:val="clear" w:color="auto" w:fill="FFFFFF"/>
              </w:rPr>
              <w:t xml:space="preserve">s partes </w:t>
            </w:r>
            <w:r w:rsidRPr="00672426">
              <w:rPr>
                <w:rFonts w:ascii="Verdana" w:hAnsi="Verdana" w:cs="Arial"/>
                <w:shd w:val="clear" w:color="auto" w:fill="FFFFFF"/>
              </w:rPr>
              <w:t>debe</w:t>
            </w:r>
            <w:r>
              <w:rPr>
                <w:rFonts w:ascii="Verdana" w:hAnsi="Verdana" w:cs="Arial"/>
                <w:shd w:val="clear" w:color="auto" w:fill="FFFFFF"/>
              </w:rPr>
              <w:t>n</w:t>
            </w:r>
            <w:r w:rsidRPr="00672426">
              <w:rPr>
                <w:rFonts w:ascii="Verdana" w:hAnsi="Verdana" w:cs="Arial"/>
                <w:shd w:val="clear" w:color="auto" w:fill="FFFFFF"/>
              </w:rPr>
              <w:t xml:space="preserve"> determinar </w:t>
            </w:r>
            <w:r w:rsidRPr="0093479F">
              <w:rPr>
                <w:rFonts w:ascii="Verdana" w:hAnsi="Verdana" w:cs="Arial"/>
                <w:shd w:val="clear" w:color="auto" w:fill="FFFFFF"/>
              </w:rPr>
              <w:t xml:space="preserve">si </w:t>
            </w:r>
            <w:r>
              <w:rPr>
                <w:rFonts w:ascii="Verdana" w:hAnsi="Verdana" w:cs="Arial"/>
                <w:shd w:val="clear" w:color="auto" w:fill="FFFFFF"/>
              </w:rPr>
              <w:t xml:space="preserve">se </w:t>
            </w:r>
            <w:r w:rsidRPr="0093479F">
              <w:rPr>
                <w:rFonts w:ascii="Verdana" w:hAnsi="Verdana" w:cs="Arial"/>
                <w:shd w:val="clear" w:color="auto" w:fill="FFFFFF"/>
              </w:rPr>
              <w:t xml:space="preserve">está frente a un error formal que puede ser corregido a través de la facultad que establece </w:t>
            </w:r>
            <w:r w:rsidRPr="0093479F">
              <w:rPr>
                <w:rFonts w:ascii="Verdana" w:hAnsi="Verdana" w:cs="Arial"/>
                <w:shd w:val="clear" w:color="auto" w:fill="FFFFFF"/>
              </w:rPr>
              <w:lastRenderedPageBreak/>
              <w:t xml:space="preserve">el artículo 45 del CPACA o si </w:t>
            </w:r>
            <w:r>
              <w:rPr>
                <w:rFonts w:ascii="Verdana" w:hAnsi="Verdana" w:cs="Arial"/>
                <w:shd w:val="clear" w:color="auto" w:fill="FFFFFF"/>
              </w:rPr>
              <w:t xml:space="preserve">se </w:t>
            </w:r>
            <w:r w:rsidRPr="0093479F">
              <w:rPr>
                <w:rFonts w:ascii="Verdana" w:hAnsi="Verdana" w:cs="Arial"/>
                <w:shd w:val="clear" w:color="auto" w:fill="FFFFFF"/>
              </w:rPr>
              <w:t xml:space="preserve">está frente a una circunstancia que </w:t>
            </w:r>
            <w:r>
              <w:rPr>
                <w:rFonts w:ascii="Verdana" w:hAnsi="Verdana" w:cs="Arial"/>
                <w:shd w:val="clear" w:color="auto" w:fill="FFFFFF"/>
              </w:rPr>
              <w:t>amerita</w:t>
            </w:r>
            <w:r w:rsidRPr="00672426">
              <w:rPr>
                <w:rFonts w:ascii="Verdana" w:hAnsi="Verdana" w:cs="Arial"/>
                <w:shd w:val="clear" w:color="auto" w:fill="FFFFFF"/>
              </w:rPr>
              <w:t xml:space="preserve"> </w:t>
            </w:r>
            <w:r w:rsidRPr="0093479F">
              <w:rPr>
                <w:rFonts w:ascii="Verdana" w:hAnsi="Verdana" w:cs="Arial"/>
                <w:shd w:val="clear" w:color="auto" w:fill="FFFFFF"/>
              </w:rPr>
              <w:t>una modificación contractual</w:t>
            </w:r>
            <w:r>
              <w:rPr>
                <w:rFonts w:ascii="Verdana" w:hAnsi="Verdana" w:cs="Arial"/>
                <w:shd w:val="clear" w:color="auto" w:fill="FFFFFF"/>
              </w:rPr>
              <w:t>. E</w:t>
            </w:r>
            <w:r w:rsidRPr="00672426">
              <w:rPr>
                <w:rFonts w:ascii="Verdana" w:hAnsi="Verdana" w:cs="Arial"/>
                <w:shd w:val="clear" w:color="auto" w:fill="FFFFFF"/>
              </w:rPr>
              <w:t>n</w:t>
            </w:r>
            <w:r w:rsidRPr="0093479F">
              <w:rPr>
                <w:rFonts w:ascii="Verdana" w:hAnsi="Verdana" w:cs="Arial"/>
                <w:shd w:val="clear" w:color="auto" w:fill="FFFFFF"/>
              </w:rPr>
              <w:t xml:space="preserve"> caso de ser esta última, </w:t>
            </w:r>
            <w:r w:rsidRPr="0062317C">
              <w:rPr>
                <w:rFonts w:ascii="Verdana" w:hAnsi="Verdana" w:cs="Arial"/>
                <w:shd w:val="clear" w:color="auto" w:fill="FFFFFF"/>
              </w:rPr>
              <w:t>no podría llevarse a cabo una modificación que varíe el objeto contractual</w:t>
            </w:r>
            <w:r w:rsidRPr="0093479F">
              <w:rPr>
                <w:rFonts w:ascii="Verdana" w:hAnsi="Verdana" w:cs="Arial"/>
                <w:shd w:val="clear" w:color="auto" w:fill="FFFFFF"/>
              </w:rPr>
              <w:t xml:space="preserve"> por la prohibición jurisprudencial</w:t>
            </w:r>
            <w:r>
              <w:rPr>
                <w:rFonts w:ascii="Verdana" w:hAnsi="Verdana" w:cs="Arial"/>
                <w:shd w:val="clear" w:color="auto" w:fill="FFFFFF"/>
              </w:rPr>
              <w:t xml:space="preserve"> que se analizara en el presente concepto</w:t>
            </w:r>
            <w:r w:rsidRPr="0093479F">
              <w:rPr>
                <w:rFonts w:ascii="Verdana" w:hAnsi="Verdana" w:cs="Arial"/>
                <w:shd w:val="clear" w:color="auto" w:fill="FFFFFF"/>
              </w:rPr>
              <w:t xml:space="preserve">, </w:t>
            </w:r>
            <w:r w:rsidRPr="0093479F">
              <w:rPr>
                <w:rFonts w:ascii="Verdana" w:eastAsia="Calibri" w:hAnsi="Verdana" w:cs="Arial"/>
                <w:color w:val="000000"/>
              </w:rPr>
              <w:t>pues ello supondría la alteración de su esencia y lo convertiría en otro tipo de negocio jurídico, evento en el cual no se recomienda ni se determina como viable proceder con una modificación al contrato.</w:t>
            </w:r>
          </w:p>
          <w:p w14:paraId="07324042" w14:textId="77777777" w:rsidR="00EB1275" w:rsidRDefault="00EB1275" w:rsidP="0062317C">
            <w:pPr>
              <w:spacing w:after="120" w:line="276" w:lineRule="auto"/>
              <w:ind w:firstLine="709"/>
              <w:jc w:val="both"/>
              <w:rPr>
                <w:rFonts w:ascii="Verdana" w:eastAsia="Batang" w:hAnsi="Verdana" w:cs="Arial"/>
              </w:rPr>
            </w:pPr>
            <w:r w:rsidRPr="00CD76BD">
              <w:rPr>
                <w:rFonts w:ascii="Verdana" w:eastAsia="Batang" w:hAnsi="Verdana" w:cs="Arial"/>
              </w:rPr>
              <w:t xml:space="preserve">Sin perjuicio de lo anterior, es importante resaltar que, en los procesos de contratación o en la ejecución de los contratos, la entidad, proponentes o contratista podrán acudir, en lo pertinente, a las reglas de interpretación </w:t>
            </w:r>
            <w:r w:rsidRPr="00CD76BD">
              <w:rPr>
                <w:rFonts w:ascii="Verdana" w:eastAsia="Batang" w:hAnsi="Verdana" w:cs="Arial"/>
                <w:lang w:val="es-MX"/>
              </w:rPr>
              <w:t>objetivas y subjetivas conforme a los artículos 1618 a 1624 del Código Civil.</w:t>
            </w:r>
            <w:r>
              <w:rPr>
                <w:rFonts w:ascii="Verdana" w:eastAsia="Batang" w:hAnsi="Verdana" w:cs="Arial"/>
                <w:lang w:val="es-MX"/>
              </w:rPr>
              <w:t xml:space="preserve"> </w:t>
            </w:r>
            <w:r w:rsidRPr="00CD76BD">
              <w:rPr>
                <w:rFonts w:ascii="Verdana" w:eastAsia="Batang" w:hAnsi="Verdana" w:cs="Arial"/>
              </w:rPr>
              <w:t xml:space="preserve">La aplicación de estos criterios siempre deberá tener en cuenta las circunstancias concretas de cada caso en particular, de manera que </w:t>
            </w:r>
            <w:r>
              <w:rPr>
                <w:rFonts w:ascii="Verdana" w:eastAsia="Batang" w:hAnsi="Verdana" w:cs="Arial"/>
              </w:rPr>
              <w:t>se</w:t>
            </w:r>
            <w:r w:rsidRPr="00CD76BD">
              <w:rPr>
                <w:rFonts w:ascii="Verdana" w:eastAsia="Batang" w:hAnsi="Verdana" w:cs="Arial"/>
              </w:rPr>
              <w:t xml:space="preserve"> pueda optar por la interpretación que más se adecúe a la finalidad que persigue con el contrato. En ese contexto, </w:t>
            </w:r>
            <w:r>
              <w:rPr>
                <w:rFonts w:ascii="Verdana" w:eastAsia="Batang" w:hAnsi="Verdana" w:cs="Arial"/>
              </w:rPr>
              <w:t xml:space="preserve">se </w:t>
            </w:r>
            <w:r w:rsidRPr="00CD76BD">
              <w:rPr>
                <w:rFonts w:ascii="Verdana" w:eastAsia="Batang" w:hAnsi="Verdana" w:cs="Arial"/>
              </w:rPr>
              <w:t>debe incluso revisar la información contenida en los documentos precontractuales para determinar la intención que se tenía.</w:t>
            </w:r>
          </w:p>
          <w:p w14:paraId="4C49109F" w14:textId="77777777" w:rsidR="00EB1275" w:rsidRPr="008B47F5" w:rsidRDefault="00EB1275" w:rsidP="0062317C">
            <w:pPr>
              <w:spacing w:after="120" w:line="276" w:lineRule="auto"/>
              <w:ind w:firstLine="709"/>
              <w:jc w:val="both"/>
              <w:rPr>
                <w:rFonts w:ascii="Verdana" w:eastAsia="Batang" w:hAnsi="Verdana" w:cs="Arial"/>
              </w:rPr>
            </w:pPr>
            <w:r w:rsidRPr="008B47F5">
              <w:rPr>
                <w:rFonts w:ascii="Verdana" w:eastAsia="Batang" w:hAnsi="Verdana" w:cs="Arial"/>
              </w:rPr>
              <w:t>En conclusión, la suscripción de un acta aclaratoria para corregir errores mecanográficos en documentos contractuales procede únicamente cuando se trate de errores formales que no incidan en la interpretación ni en la ejecución del contrato, los cuales pueden corregirse conforme a lo previsto en el artículo 45 del CPACA. Por el contrario, si el error implica una modificación contractual, esta deberá adelantarse cumpliendo los requisitos y límites legales aplicables, sin que sea posible alterar el objeto del contrato.</w:t>
            </w:r>
          </w:p>
        </w:tc>
      </w:tr>
    </w:tbl>
    <w:p w14:paraId="3FA7F2B5" w14:textId="77777777" w:rsidR="00EB1275" w:rsidRPr="00EA7EA8" w:rsidRDefault="00EB1275" w:rsidP="00EB1275">
      <w:pPr>
        <w:tabs>
          <w:tab w:val="left" w:pos="142"/>
          <w:tab w:val="left" w:pos="284"/>
        </w:tabs>
        <w:spacing w:after="0" w:line="276" w:lineRule="auto"/>
        <w:jc w:val="both"/>
        <w:rPr>
          <w:rFonts w:ascii="Verdana" w:eastAsia="Century Gothic" w:hAnsi="Verdana" w:cs="Century Gothic"/>
          <w:b/>
          <w:bCs/>
          <w:lang w:val="es-ES"/>
        </w:rPr>
      </w:pPr>
    </w:p>
    <w:p w14:paraId="2916D06A" w14:textId="77777777" w:rsidR="00EB1275" w:rsidRPr="00EA7EA8" w:rsidRDefault="00EB1275" w:rsidP="00EB127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A7EA8">
        <w:rPr>
          <w:rFonts w:ascii="Verdana" w:eastAsia="Century Gothic" w:hAnsi="Verdana" w:cs="Century Gothic"/>
          <w:b/>
          <w:bCs/>
        </w:rPr>
        <w:t>Razones de la respuesta:</w:t>
      </w:r>
    </w:p>
    <w:p w14:paraId="6B4630FF" w14:textId="77777777" w:rsidR="00EB1275" w:rsidRPr="00EA7EA8" w:rsidRDefault="00EB1275" w:rsidP="00EB1275">
      <w:pPr>
        <w:spacing w:after="0" w:line="276" w:lineRule="auto"/>
        <w:jc w:val="both"/>
        <w:rPr>
          <w:rFonts w:ascii="Verdana" w:eastAsia="Calibri" w:hAnsi="Verdana" w:cs="Arial"/>
          <w:lang w:val="es-ES"/>
        </w:rPr>
      </w:pPr>
    </w:p>
    <w:p w14:paraId="7ED29334" w14:textId="77777777" w:rsidR="00EB1275" w:rsidRPr="00EA7EA8" w:rsidRDefault="00EB1275" w:rsidP="00EB1275">
      <w:pPr>
        <w:spacing w:after="0" w:line="276" w:lineRule="auto"/>
        <w:jc w:val="both"/>
        <w:rPr>
          <w:rFonts w:ascii="Verdana" w:eastAsia="Calibri" w:hAnsi="Verdana" w:cs="Arial"/>
          <w:lang w:val="es-ES"/>
        </w:rPr>
      </w:pPr>
      <w:r w:rsidRPr="00EA7EA8">
        <w:rPr>
          <w:rFonts w:ascii="Verdana" w:eastAsia="Calibri" w:hAnsi="Verdana" w:cs="Arial"/>
          <w:lang w:val="es-ES"/>
        </w:rPr>
        <w:t xml:space="preserve">Lo anterior se sustenta en las siguientes consideraciones: </w:t>
      </w:r>
    </w:p>
    <w:p w14:paraId="6F6639BC" w14:textId="77777777" w:rsidR="00EB1275" w:rsidRPr="00EA7EA8" w:rsidRDefault="00EB1275" w:rsidP="0062317C">
      <w:pPr>
        <w:spacing w:after="0" w:line="276" w:lineRule="auto"/>
        <w:jc w:val="both"/>
        <w:rPr>
          <w:rFonts w:ascii="Verdana" w:eastAsia="Calibri" w:hAnsi="Verdana" w:cs="Arial"/>
        </w:rPr>
      </w:pPr>
      <w:r w:rsidRPr="00EA7EA8">
        <w:rPr>
          <w:rFonts w:ascii="Verdana" w:eastAsia="Calibri" w:hAnsi="Verdana" w:cs="Arial"/>
        </w:rPr>
        <w:t xml:space="preserve"> </w:t>
      </w:r>
    </w:p>
    <w:p w14:paraId="0806AA84" w14:textId="30E7E4B0" w:rsidR="00EB1275" w:rsidRPr="00751E10" w:rsidRDefault="00EE69C3" w:rsidP="0062317C">
      <w:pPr>
        <w:spacing w:after="120" w:line="276" w:lineRule="auto"/>
        <w:jc w:val="both"/>
        <w:rPr>
          <w:rFonts w:ascii="Verdana" w:eastAsia="Calibri" w:hAnsi="Verdana" w:cs="Arial"/>
          <w:lang w:val="es-MX"/>
        </w:rPr>
      </w:pPr>
      <w:r w:rsidRPr="0062317C">
        <w:rPr>
          <w:rFonts w:ascii="Verdana" w:eastAsia="Calibri" w:hAnsi="Verdana" w:cs="Arial"/>
          <w:lang w:val="es-ES"/>
        </w:rPr>
        <w:t xml:space="preserve">En primer lugar, </w:t>
      </w:r>
      <w:r w:rsidRPr="0062317C">
        <w:rPr>
          <w:rFonts w:ascii="Verdana" w:eastAsia="Calibri" w:hAnsi="Verdana" w:cs="Arial"/>
        </w:rPr>
        <w:t>e</w:t>
      </w:r>
      <w:r w:rsidR="00EB1275" w:rsidRPr="00EE69C3">
        <w:rPr>
          <w:rFonts w:ascii="Verdana" w:eastAsia="Calibri" w:hAnsi="Verdana" w:cs="Arial"/>
        </w:rPr>
        <w:t>l</w:t>
      </w:r>
      <w:r w:rsidR="00EB1275" w:rsidRPr="00A27F96">
        <w:rPr>
          <w:rFonts w:ascii="Verdana" w:eastAsia="Calibri" w:hAnsi="Verdana" w:cs="Arial"/>
        </w:rPr>
        <w:t xml:space="preserve"> Estatuto General de Contratación de la Administración</w:t>
      </w:r>
      <w:r w:rsidR="00EB1275" w:rsidRPr="00F06077">
        <w:rPr>
          <w:rFonts w:ascii="Verdana" w:eastAsia="Calibri" w:hAnsi="Verdana" w:cs="Arial"/>
        </w:rPr>
        <w:t xml:space="preserve"> Pública</w:t>
      </w:r>
      <w:r w:rsidR="00EB1275">
        <w:rPr>
          <w:rFonts w:ascii="Verdana" w:eastAsia="Calibri" w:hAnsi="Verdana" w:cs="Arial"/>
        </w:rPr>
        <w:t xml:space="preserve"> – en adelante EGCAP –</w:t>
      </w:r>
      <w:r w:rsidR="00EB1275" w:rsidRPr="00672426">
        <w:rPr>
          <w:rFonts w:ascii="Verdana" w:eastAsia="Calibri" w:hAnsi="Verdana" w:cs="Arial"/>
        </w:rPr>
        <w:t>,</w:t>
      </w:r>
      <w:r w:rsidR="00EB1275" w:rsidRPr="00F06077">
        <w:rPr>
          <w:rFonts w:ascii="Verdana" w:eastAsia="Calibri" w:hAnsi="Verdana" w:cs="Arial"/>
        </w:rPr>
        <w:t xml:space="preserve"> contenido en las Leyes 80 de 1993 y 1150 de 2007, así como en las normas que las modifican y reglamentan, no consagra una regulación expresa sobre la posibilidad de modificar los contratos celebrados por las </w:t>
      </w:r>
      <w:r w:rsidR="00EB1275" w:rsidRPr="00672426">
        <w:rPr>
          <w:rFonts w:ascii="Verdana" w:eastAsia="Calibri" w:hAnsi="Verdana" w:cs="Arial"/>
        </w:rPr>
        <w:t>entidades estatales.</w:t>
      </w:r>
      <w:r w:rsidR="00EB1275">
        <w:rPr>
          <w:rFonts w:ascii="Verdana" w:eastAsia="Calibri" w:hAnsi="Verdana" w:cs="Arial"/>
        </w:rPr>
        <w:t xml:space="preserve"> Lo anterior, teniendo en cuenta que los contratos</w:t>
      </w:r>
      <w:r w:rsidR="00EB1275" w:rsidRPr="00672426">
        <w:rPr>
          <w:rFonts w:ascii="Verdana" w:eastAsia="Calibri" w:hAnsi="Verdana" w:cs="Arial"/>
        </w:rPr>
        <w:t>,</w:t>
      </w:r>
      <w:r w:rsidR="00EB1275">
        <w:rPr>
          <w:rFonts w:ascii="Verdana" w:eastAsia="Calibri" w:hAnsi="Verdana" w:cs="Arial"/>
        </w:rPr>
        <w:t xml:space="preserve"> en principio</w:t>
      </w:r>
      <w:r w:rsidR="00EB1275" w:rsidRPr="00672426">
        <w:rPr>
          <w:rFonts w:ascii="Verdana" w:eastAsia="Calibri" w:hAnsi="Verdana" w:cs="Arial"/>
        </w:rPr>
        <w:t>,</w:t>
      </w:r>
      <w:r w:rsidR="00EB1275">
        <w:rPr>
          <w:rFonts w:ascii="Verdana" w:eastAsia="Calibri" w:hAnsi="Verdana" w:cs="Arial"/>
        </w:rPr>
        <w:t xml:space="preserve"> deben ejecutarse en las condiciones inicialmente pactadas que fueron convenidas luego de surtir todos los procedimientos previstos para la selección del contratista. </w:t>
      </w:r>
    </w:p>
    <w:p w14:paraId="02C83484" w14:textId="77777777" w:rsidR="00EB1275" w:rsidRDefault="00EB1275" w:rsidP="00EB1275">
      <w:pPr>
        <w:tabs>
          <w:tab w:val="left" w:pos="709"/>
        </w:tabs>
        <w:spacing w:after="0" w:line="276" w:lineRule="auto"/>
        <w:jc w:val="both"/>
        <w:rPr>
          <w:rFonts w:ascii="Verdana" w:eastAsia="Arial" w:hAnsi="Verdana" w:cs="Arial"/>
          <w:lang w:val="es-MX" w:eastAsia="es-ES" w:bidi="es-ES"/>
        </w:rPr>
      </w:pPr>
      <w:r>
        <w:rPr>
          <w:rFonts w:ascii="Verdana" w:eastAsia="Calibri" w:hAnsi="Verdana" w:cs="Arial"/>
          <w:lang w:val="es-ES"/>
        </w:rPr>
        <w:lastRenderedPageBreak/>
        <w:tab/>
        <w:t>Sin embargo, las modificaciones contractuales son permitidas con diferentes límites legales</w:t>
      </w:r>
      <w:r>
        <w:rPr>
          <w:rStyle w:val="Refdenotaalpie"/>
          <w:rFonts w:ascii="Verdana" w:eastAsia="Calibri" w:hAnsi="Verdana" w:cs="Arial"/>
          <w:lang w:val="es-ES"/>
        </w:rPr>
        <w:footnoteReference w:id="2"/>
      </w:r>
      <w:r>
        <w:rPr>
          <w:rFonts w:ascii="Verdana" w:eastAsia="Calibri" w:hAnsi="Verdana" w:cs="Arial"/>
          <w:lang w:val="es-ES"/>
        </w:rPr>
        <w:t xml:space="preserve"> y jurisprudenciales. En el marco de estos últimos, en </w:t>
      </w:r>
      <w:r w:rsidRPr="00DA7C75">
        <w:rPr>
          <w:rFonts w:ascii="Verdana" w:eastAsia="Arial" w:hAnsi="Verdana" w:cs="Arial"/>
          <w:lang w:val="es-ES" w:eastAsia="es-ES" w:bidi="es-ES"/>
        </w:rPr>
        <w:t xml:space="preserve">el </w:t>
      </w:r>
      <w:bookmarkStart w:id="2" w:name="_Hlk193296637"/>
      <w:r w:rsidRPr="00DA7C75">
        <w:rPr>
          <w:rFonts w:ascii="Verdana" w:eastAsia="Arial" w:hAnsi="Verdana" w:cs="Arial"/>
          <w:lang w:val="es-ES" w:eastAsia="es-ES" w:bidi="es-ES"/>
        </w:rPr>
        <w:t xml:space="preserve">concepto 2263 del 17 de marzo del 2016, la Sala de Consulta y Servicio Civil del Consejo de Estado </w:t>
      </w:r>
      <w:bookmarkEnd w:id="2"/>
      <w:r w:rsidRPr="00DA7C75">
        <w:rPr>
          <w:rFonts w:ascii="Verdana" w:eastAsia="Arial" w:hAnsi="Verdana" w:cs="Arial"/>
          <w:lang w:val="es-ES" w:eastAsia="es-ES" w:bidi="es-ES"/>
        </w:rPr>
        <w:t xml:space="preserve">precisó que </w:t>
      </w:r>
      <w:r w:rsidRPr="00DA7C75">
        <w:rPr>
          <w:rFonts w:ascii="Verdana" w:eastAsia="Arial" w:hAnsi="Verdana" w:cs="Arial"/>
          <w:lang w:val="es-MX" w:eastAsia="es-ES" w:bidi="es-ES"/>
        </w:rPr>
        <w:t>la regla general es la no modificación del contrato, y la vía excepcional su modificación, sometida a límites legales; límites que, en los términos definidos en el referido concepto, corresponden a los siguientes:</w:t>
      </w:r>
    </w:p>
    <w:p w14:paraId="55936606" w14:textId="77777777" w:rsidR="00EB1275" w:rsidRPr="00DA7C75" w:rsidRDefault="00EB1275" w:rsidP="0062317C">
      <w:pPr>
        <w:widowControl w:val="0"/>
        <w:autoSpaceDE w:val="0"/>
        <w:autoSpaceDN w:val="0"/>
        <w:spacing w:after="0" w:line="276" w:lineRule="auto"/>
        <w:ind w:right="-57" w:firstLine="709"/>
        <w:jc w:val="both"/>
        <w:rPr>
          <w:rFonts w:ascii="Verdana" w:eastAsia="Arial" w:hAnsi="Verdana" w:cs="Arial"/>
          <w:lang w:val="es-MX" w:eastAsia="es-ES" w:bidi="es-ES"/>
        </w:rPr>
      </w:pPr>
    </w:p>
    <w:p w14:paraId="12BDC542" w14:textId="77777777" w:rsidR="00EB1275" w:rsidRPr="00751E10" w:rsidRDefault="00EB1275" w:rsidP="00EB1275">
      <w:pPr>
        <w:tabs>
          <w:tab w:val="left" w:pos="284"/>
        </w:tabs>
        <w:spacing w:after="0" w:line="240" w:lineRule="auto"/>
        <w:ind w:left="709" w:right="709"/>
        <w:jc w:val="both"/>
        <w:rPr>
          <w:rFonts w:ascii="Verdana" w:hAnsi="Verdana" w:cs="Arial"/>
          <w:sz w:val="20"/>
          <w:szCs w:val="20"/>
        </w:rPr>
      </w:pPr>
      <w:r w:rsidRPr="00751E10">
        <w:rPr>
          <w:rFonts w:ascii="Verdana" w:hAnsi="Verdana" w:cs="Arial"/>
          <w:sz w:val="20"/>
          <w:szCs w:val="20"/>
        </w:rPr>
        <w:t xml:space="preserve">“1. La necesidad de preservar los principios de igualdad, transparencia y libertad de concurrencia, durante la fase de ejecución del contrato. </w:t>
      </w:r>
    </w:p>
    <w:p w14:paraId="15452DA0" w14:textId="77777777" w:rsidR="00EB1275" w:rsidRPr="00751E10" w:rsidRDefault="00EB1275" w:rsidP="00EB1275">
      <w:pPr>
        <w:tabs>
          <w:tab w:val="left" w:pos="284"/>
        </w:tabs>
        <w:spacing w:after="0" w:line="240" w:lineRule="auto"/>
        <w:ind w:left="709" w:right="709"/>
        <w:jc w:val="both"/>
        <w:rPr>
          <w:rFonts w:ascii="Verdana" w:hAnsi="Verdana" w:cs="Arial"/>
          <w:sz w:val="20"/>
          <w:szCs w:val="20"/>
        </w:rPr>
      </w:pPr>
    </w:p>
    <w:p w14:paraId="19F412E4" w14:textId="77777777" w:rsidR="00EB1275" w:rsidRPr="00751E10" w:rsidRDefault="00EB1275" w:rsidP="00EB1275">
      <w:pPr>
        <w:tabs>
          <w:tab w:val="left" w:pos="284"/>
        </w:tabs>
        <w:spacing w:after="0" w:line="240" w:lineRule="auto"/>
        <w:ind w:left="709" w:right="709"/>
        <w:jc w:val="both"/>
        <w:rPr>
          <w:rFonts w:ascii="Verdana" w:hAnsi="Verdana" w:cs="Arial"/>
          <w:sz w:val="20"/>
          <w:szCs w:val="20"/>
        </w:rPr>
      </w:pPr>
      <w:r w:rsidRPr="00751E10">
        <w:rPr>
          <w:rFonts w:ascii="Verdana" w:hAnsi="Verdana" w:cs="Arial"/>
          <w:sz w:val="20"/>
          <w:szCs w:val="20"/>
        </w:rPr>
        <w:t>Este límite encuentra sustento en el hecho de que, para celebrar contratos estatales las entidades públicas eligen, dentro de un “régimen de concurrencia y de igualdad, las mejores condiciones de costo, calidad e idoneidad de la prestación requerida”, lo que supone que la selección objetiva de la oferta más favorable, se dirige a salvaguardar el interés público y, por lo tanto, celebrado el contrato en esas condiciones,  su eventual modificación debe asegurar que lo adjudicado, y posteriormente alterado, consulte la mejor opción para el servicio público.</w:t>
      </w:r>
    </w:p>
    <w:p w14:paraId="43857E68" w14:textId="77777777" w:rsidR="00EB1275" w:rsidRPr="00751E10" w:rsidRDefault="00EB1275" w:rsidP="00EB1275">
      <w:pPr>
        <w:tabs>
          <w:tab w:val="left" w:pos="284"/>
        </w:tabs>
        <w:spacing w:after="0" w:line="240" w:lineRule="auto"/>
        <w:ind w:left="709" w:right="709"/>
        <w:jc w:val="both"/>
        <w:rPr>
          <w:rFonts w:ascii="Verdana" w:hAnsi="Verdana" w:cs="Arial"/>
          <w:sz w:val="20"/>
          <w:szCs w:val="20"/>
        </w:rPr>
      </w:pPr>
    </w:p>
    <w:p w14:paraId="734F43DB" w14:textId="77777777" w:rsidR="00EB1275" w:rsidRPr="00751E10" w:rsidRDefault="00EB1275" w:rsidP="00EB1275">
      <w:pPr>
        <w:tabs>
          <w:tab w:val="left" w:pos="284"/>
        </w:tabs>
        <w:spacing w:after="0" w:line="240" w:lineRule="auto"/>
        <w:ind w:left="709" w:right="709"/>
        <w:jc w:val="both"/>
        <w:rPr>
          <w:rFonts w:ascii="Verdana" w:hAnsi="Verdana" w:cs="Arial"/>
          <w:sz w:val="20"/>
          <w:szCs w:val="20"/>
        </w:rPr>
      </w:pPr>
      <w:r w:rsidRPr="00751E10">
        <w:rPr>
          <w:rFonts w:ascii="Verdana" w:hAnsi="Verdana" w:cs="Arial"/>
          <w:sz w:val="20"/>
          <w:szCs w:val="20"/>
        </w:rPr>
        <w:t>Así, según lo expuesto en el concepto en cuestión “la aplicación de los principios de transparencia, de libertad de concurrencia y de igualdad, consagrados en el Estatuto Contractual, y las reglas sustanciales del pliego de condiciones, que permitieron elegir la mejor oferta, previo cumplimiento de los requisitos habilitantes y de ponderación, deben ser de estricta observancia por la Administración y por el contratista, y sus efectos trascienden y se aplican durante la ejecución del contrato y en su liquidación, como garantía de inalterabilidad de lo pactado y de acatamiento a la legalidad de las reglas aplicadas en la actuación previa.</w:t>
      </w:r>
    </w:p>
    <w:p w14:paraId="42EB0DDD" w14:textId="77777777" w:rsidR="00EB1275" w:rsidRPr="00751E10" w:rsidRDefault="00EB1275" w:rsidP="00EB1275">
      <w:pPr>
        <w:tabs>
          <w:tab w:val="left" w:pos="284"/>
        </w:tabs>
        <w:spacing w:after="0" w:line="240" w:lineRule="auto"/>
        <w:ind w:left="709" w:right="709"/>
        <w:jc w:val="both"/>
        <w:rPr>
          <w:rFonts w:ascii="Verdana" w:hAnsi="Verdana" w:cs="Arial"/>
          <w:sz w:val="20"/>
          <w:szCs w:val="20"/>
        </w:rPr>
      </w:pPr>
    </w:p>
    <w:p w14:paraId="4E7FA0F0" w14:textId="77777777" w:rsidR="00EB1275" w:rsidRPr="00751E10" w:rsidRDefault="00EB1275" w:rsidP="00EB1275">
      <w:pPr>
        <w:tabs>
          <w:tab w:val="left" w:pos="284"/>
        </w:tabs>
        <w:spacing w:after="0" w:line="240" w:lineRule="auto"/>
        <w:ind w:left="709" w:right="709"/>
        <w:jc w:val="both"/>
        <w:rPr>
          <w:rFonts w:ascii="Verdana" w:hAnsi="Verdana" w:cs="Arial"/>
          <w:sz w:val="20"/>
          <w:szCs w:val="20"/>
        </w:rPr>
      </w:pPr>
      <w:r w:rsidRPr="00751E10">
        <w:rPr>
          <w:rFonts w:ascii="Verdana" w:hAnsi="Verdana" w:cs="Arial"/>
          <w:sz w:val="20"/>
          <w:szCs w:val="20"/>
        </w:rPr>
        <w:t xml:space="preserve">2.Límites de orden temporal, entre los que están comprendidos: i) la vigencia del contrato, pues no podría modificarse un contrato cuyo plazo ha culminado y </w:t>
      </w:r>
      <w:proofErr w:type="spellStart"/>
      <w:r w:rsidRPr="00751E10">
        <w:rPr>
          <w:rFonts w:ascii="Verdana" w:hAnsi="Verdana" w:cs="Arial"/>
          <w:sz w:val="20"/>
          <w:szCs w:val="20"/>
        </w:rPr>
        <w:t>ii</w:t>
      </w:r>
      <w:proofErr w:type="spellEnd"/>
      <w:r w:rsidRPr="00751E10">
        <w:rPr>
          <w:rFonts w:ascii="Verdana" w:hAnsi="Verdana" w:cs="Arial"/>
          <w:sz w:val="20"/>
          <w:szCs w:val="20"/>
        </w:rPr>
        <w:t>) la prohibición de consagrar prórrogas automáticas, sucesivas o indefinidas, en tanto resultan contrarias al derecho esencial de la libertad de competencia.</w:t>
      </w:r>
    </w:p>
    <w:p w14:paraId="114E063C" w14:textId="77777777" w:rsidR="00EB1275" w:rsidRPr="00751E10" w:rsidRDefault="00EB1275" w:rsidP="00EB1275">
      <w:pPr>
        <w:tabs>
          <w:tab w:val="left" w:pos="284"/>
        </w:tabs>
        <w:spacing w:after="0" w:line="240" w:lineRule="auto"/>
        <w:ind w:left="709" w:right="709"/>
        <w:jc w:val="both"/>
        <w:rPr>
          <w:rFonts w:ascii="Verdana" w:hAnsi="Verdana" w:cs="Arial"/>
          <w:sz w:val="20"/>
          <w:szCs w:val="20"/>
        </w:rPr>
      </w:pPr>
    </w:p>
    <w:p w14:paraId="7951E69D" w14:textId="77777777" w:rsidR="00EB1275" w:rsidRPr="00751E10" w:rsidRDefault="00EB1275" w:rsidP="00EB1275">
      <w:pPr>
        <w:tabs>
          <w:tab w:val="left" w:pos="284"/>
        </w:tabs>
        <w:spacing w:after="0" w:line="240" w:lineRule="auto"/>
        <w:ind w:left="709" w:right="709"/>
        <w:jc w:val="both"/>
        <w:rPr>
          <w:rFonts w:ascii="Verdana" w:hAnsi="Verdana" w:cs="Arial"/>
          <w:sz w:val="20"/>
          <w:szCs w:val="20"/>
        </w:rPr>
      </w:pPr>
      <w:r w:rsidRPr="00751E10">
        <w:rPr>
          <w:rFonts w:ascii="Verdana" w:hAnsi="Verdana" w:cs="Arial"/>
          <w:sz w:val="20"/>
          <w:szCs w:val="20"/>
        </w:rPr>
        <w:t>3. Límites de orden formal, que comprenden: i) La solemnidad del contrato de modificación, derivada del carácter solemne del contrato estatal, que exige que la modificación de los contratos conste por escrito</w:t>
      </w:r>
      <w:r w:rsidRPr="00751E10">
        <w:rPr>
          <w:rFonts w:ascii="Verdana" w:hAnsi="Verdana" w:cs="Arial"/>
          <w:sz w:val="20"/>
          <w:szCs w:val="20"/>
          <w:vertAlign w:val="superscript"/>
        </w:rPr>
        <w:footnoteReference w:id="3"/>
      </w:r>
      <w:r w:rsidRPr="00751E10">
        <w:rPr>
          <w:rFonts w:ascii="Verdana" w:hAnsi="Verdana" w:cs="Arial"/>
          <w:sz w:val="20"/>
          <w:szCs w:val="20"/>
        </w:rPr>
        <w:t xml:space="preserve">; </w:t>
      </w:r>
      <w:proofErr w:type="spellStart"/>
      <w:r w:rsidRPr="00751E10">
        <w:rPr>
          <w:rFonts w:ascii="Verdana" w:hAnsi="Verdana" w:cs="Arial"/>
          <w:sz w:val="20"/>
          <w:szCs w:val="20"/>
        </w:rPr>
        <w:t>ii</w:t>
      </w:r>
      <w:proofErr w:type="spellEnd"/>
      <w:r w:rsidRPr="00751E10">
        <w:rPr>
          <w:rFonts w:ascii="Verdana" w:hAnsi="Verdana" w:cs="Arial"/>
          <w:sz w:val="20"/>
          <w:szCs w:val="20"/>
        </w:rPr>
        <w:t xml:space="preserve">) la </w:t>
      </w:r>
      <w:r w:rsidRPr="00751E10">
        <w:rPr>
          <w:rFonts w:ascii="Verdana" w:hAnsi="Verdana" w:cs="Arial"/>
          <w:sz w:val="20"/>
          <w:szCs w:val="20"/>
        </w:rPr>
        <w:lastRenderedPageBreak/>
        <w:t>motivación y justificación de la modificación, la cual constituye un elemento esencial que permite determinar la juridicidad y la necesidad de una modificación determinada; así como su racionalidad y la proporcionalidad de su contenido.</w:t>
      </w:r>
    </w:p>
    <w:p w14:paraId="5609056D" w14:textId="77777777" w:rsidR="00EB1275" w:rsidRPr="00751E10" w:rsidRDefault="00EB1275" w:rsidP="00EB1275">
      <w:pPr>
        <w:tabs>
          <w:tab w:val="left" w:pos="284"/>
        </w:tabs>
        <w:spacing w:after="0" w:line="240" w:lineRule="auto"/>
        <w:ind w:left="709" w:right="709"/>
        <w:jc w:val="both"/>
        <w:rPr>
          <w:rFonts w:ascii="Verdana" w:hAnsi="Verdana" w:cs="Arial"/>
          <w:sz w:val="20"/>
          <w:szCs w:val="20"/>
        </w:rPr>
      </w:pPr>
    </w:p>
    <w:p w14:paraId="3322121F" w14:textId="77777777" w:rsidR="00EB1275" w:rsidRPr="00751E10" w:rsidRDefault="00EB1275" w:rsidP="00EB1275">
      <w:pPr>
        <w:tabs>
          <w:tab w:val="left" w:pos="284"/>
        </w:tabs>
        <w:spacing w:after="0" w:line="240" w:lineRule="auto"/>
        <w:ind w:left="709" w:right="709"/>
        <w:jc w:val="both"/>
        <w:rPr>
          <w:rFonts w:ascii="Verdana" w:hAnsi="Verdana" w:cs="Arial"/>
          <w:sz w:val="20"/>
          <w:szCs w:val="20"/>
        </w:rPr>
      </w:pPr>
      <w:r w:rsidRPr="00751E10">
        <w:rPr>
          <w:rFonts w:ascii="Verdana" w:hAnsi="Verdana" w:cs="Arial"/>
          <w:sz w:val="20"/>
          <w:szCs w:val="20"/>
        </w:rPr>
        <w:t>4. Límites de orden material, que corresponden a: i) la prohibición de modificar las condiciones sustanciales del contrato, que se presentará en los casos en que se incluyan elementos que, “habiendo figurado en el procedimiento inicial, hubiera permitido la participación de otros interesados aparte de los inicialmente admitidos, o seleccionar una oferta distinta de la inicialmente seleccionada”.</w:t>
      </w:r>
    </w:p>
    <w:p w14:paraId="3D1DFBD7" w14:textId="77777777" w:rsidR="00EB1275" w:rsidRPr="00751E10" w:rsidRDefault="00EB1275" w:rsidP="00EB1275">
      <w:pPr>
        <w:tabs>
          <w:tab w:val="left" w:pos="284"/>
        </w:tabs>
        <w:spacing w:after="0" w:line="276" w:lineRule="auto"/>
        <w:ind w:left="1049" w:right="709"/>
        <w:jc w:val="both"/>
        <w:rPr>
          <w:rFonts w:ascii="Verdana" w:hAnsi="Verdana" w:cs="Arial"/>
          <w:lang w:val="es-ES_tradnl"/>
        </w:rPr>
      </w:pPr>
    </w:p>
    <w:p w14:paraId="42533302" w14:textId="77777777" w:rsidR="00EB1275" w:rsidRDefault="00EB1275" w:rsidP="00EB1275">
      <w:pPr>
        <w:widowControl w:val="0"/>
        <w:autoSpaceDE w:val="0"/>
        <w:autoSpaceDN w:val="0"/>
        <w:spacing w:after="0" w:line="276" w:lineRule="auto"/>
        <w:ind w:right="104" w:firstLine="708"/>
        <w:jc w:val="both"/>
        <w:rPr>
          <w:rFonts w:ascii="Verdana" w:eastAsia="Arial" w:hAnsi="Verdana" w:cs="Arial"/>
          <w:lang w:val="es-MX" w:eastAsia="es-ES" w:bidi="es-ES"/>
        </w:rPr>
      </w:pPr>
      <w:r w:rsidRPr="00A1034F">
        <w:rPr>
          <w:rFonts w:ascii="Verdana" w:eastAsia="Arial" w:hAnsi="Verdana" w:cs="Arial"/>
          <w:lang w:val="es-MX" w:eastAsia="es-ES" w:bidi="es-ES"/>
        </w:rPr>
        <w:t>Sobre el alcance de dicha prohibición, la Sala de Consulta y Servicio Civil expresó lo siguiente</w:t>
      </w:r>
      <w:r w:rsidRPr="00A1034F">
        <w:rPr>
          <w:rFonts w:ascii="Verdana" w:eastAsia="Arial" w:hAnsi="Verdana" w:cs="Arial"/>
          <w:vertAlign w:val="superscript"/>
          <w:lang w:val="es-MX" w:eastAsia="es-ES" w:bidi="es-ES"/>
        </w:rPr>
        <w:footnoteReference w:id="4"/>
      </w:r>
      <w:r w:rsidRPr="00A1034F">
        <w:rPr>
          <w:rFonts w:ascii="Verdana" w:eastAsia="Arial" w:hAnsi="Verdana" w:cs="Arial"/>
          <w:lang w:val="es-MX" w:eastAsia="es-ES" w:bidi="es-ES"/>
        </w:rPr>
        <w:t>:</w:t>
      </w:r>
    </w:p>
    <w:p w14:paraId="0CD8ADA5" w14:textId="77777777" w:rsidR="00EB1275" w:rsidRDefault="00EB1275" w:rsidP="00EB1275">
      <w:pPr>
        <w:widowControl w:val="0"/>
        <w:autoSpaceDE w:val="0"/>
        <w:autoSpaceDN w:val="0"/>
        <w:spacing w:after="0" w:line="276" w:lineRule="auto"/>
        <w:ind w:right="104" w:firstLine="708"/>
        <w:jc w:val="both"/>
        <w:rPr>
          <w:rFonts w:ascii="Verdana" w:eastAsia="Arial" w:hAnsi="Verdana" w:cs="Arial"/>
          <w:lang w:val="es-MX" w:eastAsia="es-ES" w:bidi="es-ES"/>
        </w:rPr>
      </w:pPr>
    </w:p>
    <w:p w14:paraId="6F8A4537" w14:textId="77777777" w:rsidR="00EB1275" w:rsidRDefault="00EB1275" w:rsidP="00EB1275">
      <w:pPr>
        <w:widowControl w:val="0"/>
        <w:autoSpaceDE w:val="0"/>
        <w:autoSpaceDN w:val="0"/>
        <w:spacing w:after="0" w:line="240" w:lineRule="auto"/>
        <w:ind w:left="709" w:right="709"/>
        <w:jc w:val="both"/>
        <w:rPr>
          <w:rFonts w:ascii="Verdana" w:eastAsia="Arial" w:hAnsi="Verdana" w:cs="Arial"/>
          <w:sz w:val="20"/>
          <w:szCs w:val="20"/>
          <w:lang w:val="es-MX" w:eastAsia="es-ES" w:bidi="es-ES"/>
        </w:rPr>
      </w:pPr>
      <w:r w:rsidRPr="00751E10">
        <w:rPr>
          <w:rFonts w:ascii="Verdana" w:eastAsia="Arial" w:hAnsi="Verdana" w:cs="Arial"/>
          <w:sz w:val="20"/>
          <w:szCs w:val="20"/>
          <w:lang w:val="es-MX" w:eastAsia="es-ES" w:bidi="es-ES"/>
        </w:rPr>
        <w:t>“Así, frente a circunstancias excepcionales la Administración podría usar su poder de modificación unilateral o realizar las modificaciones de mutuo acuerdo, con el cumplimiento de los requisitos de ley. Se trataría de la excepción a la regla general de intangibilidad del contrato. La doctrina y algunos pronunciamientos de la Sección Tercera del Consejo de Estado aportan los elementos necesarios que permiten orientar a la Administración sobre esta vía excepcional y sus requisitos:</w:t>
      </w:r>
    </w:p>
    <w:p w14:paraId="268E4A9D" w14:textId="77777777" w:rsidR="00EB1275" w:rsidRPr="00751E10" w:rsidRDefault="00EB1275" w:rsidP="00EB1275">
      <w:pPr>
        <w:widowControl w:val="0"/>
        <w:autoSpaceDE w:val="0"/>
        <w:autoSpaceDN w:val="0"/>
        <w:spacing w:after="0" w:line="240" w:lineRule="auto"/>
        <w:ind w:left="709" w:right="709"/>
        <w:jc w:val="both"/>
        <w:rPr>
          <w:rFonts w:ascii="Verdana" w:eastAsia="Arial" w:hAnsi="Verdana" w:cs="Arial"/>
          <w:bCs/>
          <w:iCs/>
          <w:sz w:val="20"/>
          <w:szCs w:val="20"/>
          <w:lang w:val="es-MX" w:eastAsia="es-ES" w:bidi="es-ES"/>
        </w:rPr>
      </w:pPr>
    </w:p>
    <w:p w14:paraId="3BD137C9" w14:textId="77777777" w:rsidR="00EB1275" w:rsidRDefault="00EB1275" w:rsidP="00EB1275">
      <w:pPr>
        <w:widowControl w:val="0"/>
        <w:autoSpaceDE w:val="0"/>
        <w:autoSpaceDN w:val="0"/>
        <w:spacing w:after="0" w:line="240" w:lineRule="auto"/>
        <w:ind w:left="709" w:right="709"/>
        <w:jc w:val="both"/>
        <w:rPr>
          <w:rFonts w:ascii="Verdana" w:eastAsia="Arial" w:hAnsi="Verdana" w:cs="Arial"/>
          <w:sz w:val="20"/>
          <w:szCs w:val="20"/>
          <w:lang w:val="es-MX" w:eastAsia="es-ES" w:bidi="es-ES"/>
        </w:rPr>
      </w:pPr>
      <w:r w:rsidRPr="00751E10">
        <w:rPr>
          <w:rFonts w:ascii="Verdana" w:eastAsia="Arial" w:hAnsi="Verdana" w:cs="Arial"/>
          <w:sz w:val="20"/>
          <w:szCs w:val="20"/>
          <w:lang w:val="es-MX" w:eastAsia="es-ES" w:bidi="es-ES"/>
        </w:rPr>
        <w:t>- No podría aceptarse un poder ilimitado o absoluto de modificación, aun frente a circunstancias excepcionales. Por ello la modificación no podrá afectar el núcleo esencial del objeto, o la naturaleza global del contrato. Con independencia de las razones y circunstancias imprevisibles que puedan presentarse, no es posible que el contrato mute o se transforme en un contrato sustancialmente distinto. Si se sustituyen las obras, los suministros o los servicios pactados por otros diferentes, o se modifica el tipo de contratación, o el núcleo esencial del objeto, se presentaría una novación del negocio jurídico y su objeto.</w:t>
      </w:r>
    </w:p>
    <w:p w14:paraId="6455F02F" w14:textId="77777777" w:rsidR="00EB1275" w:rsidRPr="00751E10" w:rsidRDefault="00EB1275" w:rsidP="00EB1275">
      <w:pPr>
        <w:widowControl w:val="0"/>
        <w:autoSpaceDE w:val="0"/>
        <w:autoSpaceDN w:val="0"/>
        <w:spacing w:after="0" w:line="240" w:lineRule="auto"/>
        <w:ind w:left="709" w:right="709"/>
        <w:jc w:val="both"/>
        <w:rPr>
          <w:rFonts w:ascii="Verdana" w:eastAsia="Arial" w:hAnsi="Verdana" w:cs="Arial"/>
          <w:bCs/>
          <w:iCs/>
          <w:sz w:val="20"/>
          <w:szCs w:val="20"/>
          <w:lang w:val="es-MX" w:eastAsia="es-ES" w:bidi="es-ES"/>
        </w:rPr>
      </w:pPr>
    </w:p>
    <w:p w14:paraId="4FEC36EE" w14:textId="77777777" w:rsidR="00EB1275" w:rsidRDefault="00EB1275" w:rsidP="00EB1275">
      <w:pPr>
        <w:widowControl w:val="0"/>
        <w:autoSpaceDE w:val="0"/>
        <w:autoSpaceDN w:val="0"/>
        <w:spacing w:after="0" w:line="240" w:lineRule="auto"/>
        <w:ind w:left="709" w:right="709"/>
        <w:jc w:val="both"/>
        <w:rPr>
          <w:rFonts w:ascii="Verdana" w:eastAsia="Arial" w:hAnsi="Verdana" w:cs="Arial"/>
          <w:sz w:val="20"/>
          <w:szCs w:val="20"/>
          <w:lang w:val="es-MX" w:eastAsia="es-ES" w:bidi="es-ES"/>
        </w:rPr>
      </w:pPr>
      <w:r w:rsidRPr="00751E10">
        <w:rPr>
          <w:rFonts w:ascii="Verdana" w:eastAsia="Arial" w:hAnsi="Verdana" w:cs="Arial"/>
          <w:sz w:val="20"/>
          <w:szCs w:val="20"/>
          <w:lang w:val="es-MX" w:eastAsia="es-ES" w:bidi="es-ES"/>
        </w:rPr>
        <w:t>[…]</w:t>
      </w:r>
    </w:p>
    <w:p w14:paraId="34042BF7" w14:textId="77777777" w:rsidR="00EB1275" w:rsidRPr="00751E10" w:rsidRDefault="00EB1275" w:rsidP="00EB1275">
      <w:pPr>
        <w:widowControl w:val="0"/>
        <w:autoSpaceDE w:val="0"/>
        <w:autoSpaceDN w:val="0"/>
        <w:spacing w:after="0" w:line="240" w:lineRule="auto"/>
        <w:ind w:left="709" w:right="709"/>
        <w:jc w:val="both"/>
        <w:rPr>
          <w:rFonts w:ascii="Verdana" w:eastAsia="Arial" w:hAnsi="Verdana" w:cs="Arial"/>
          <w:bCs/>
          <w:iCs/>
          <w:sz w:val="20"/>
          <w:szCs w:val="20"/>
          <w:lang w:val="es-MX" w:eastAsia="es-ES" w:bidi="es-ES"/>
        </w:rPr>
      </w:pPr>
    </w:p>
    <w:p w14:paraId="1F1784F7" w14:textId="77777777" w:rsidR="00EB1275" w:rsidRDefault="00EB1275" w:rsidP="00EB1275">
      <w:pPr>
        <w:widowControl w:val="0"/>
        <w:autoSpaceDE w:val="0"/>
        <w:autoSpaceDN w:val="0"/>
        <w:spacing w:after="0" w:line="240" w:lineRule="auto"/>
        <w:ind w:left="709" w:right="709"/>
        <w:jc w:val="both"/>
        <w:rPr>
          <w:rFonts w:ascii="Verdana" w:eastAsia="Arial" w:hAnsi="Verdana" w:cs="Arial"/>
          <w:sz w:val="20"/>
          <w:szCs w:val="20"/>
          <w:lang w:val="es-MX" w:eastAsia="es-ES" w:bidi="es-ES"/>
        </w:rPr>
      </w:pPr>
      <w:r w:rsidRPr="00751E10">
        <w:rPr>
          <w:rFonts w:ascii="Verdana" w:eastAsia="Arial" w:hAnsi="Verdana" w:cs="Arial"/>
          <w:sz w:val="20"/>
          <w:szCs w:val="20"/>
          <w:lang w:val="es-MX" w:eastAsia="es-ES" w:bidi="es-ES"/>
        </w:rPr>
        <w:t xml:space="preserve">Las causas que justificarían la modificación del contrato deben obedecer al acaecimiento de situaciones o circunstancias imposibles de prever, con una diligencia debida, que hagan imperiosa o necesaria la modificación de algunas estipulaciones del contrato, como única manera de conjurarlas. Debe tratarse de la existencia de circunstancias surgidas de un riesgo </w:t>
      </w:r>
      <w:r w:rsidRPr="00751E10">
        <w:rPr>
          <w:rFonts w:ascii="Verdana" w:eastAsia="Arial" w:hAnsi="Verdana" w:cs="Arial"/>
          <w:sz w:val="20"/>
          <w:szCs w:val="20"/>
          <w:lang w:val="es-MX" w:eastAsia="es-ES" w:bidi="es-ES"/>
        </w:rPr>
        <w:lastRenderedPageBreak/>
        <w:t>imprevisible, no necesariamente de una situación no prevista, que pueda razonablemente considerarse en un futuro mediato o que debieron ser previstas en la etapa de planeación del contrato. Ello supone la existencia de circunstancias posteriores, externas a las partes y no agravadas por su acción u omisión, puestas de manifiesto o imposibles de advertir en la etapa precontractual, que, además, muestren la imposibilidad de cumplir lo pactado inicialmente, o su falta de idoneidad. Estas circunstancias pueden obedecer a razones de tipo geológico, medioambiental o de otra índole, que no pudieron ser razonablemente previstas. […]</w:t>
      </w:r>
    </w:p>
    <w:p w14:paraId="6454B039" w14:textId="77777777" w:rsidR="00EB1275" w:rsidRPr="00751E10" w:rsidRDefault="00EB1275" w:rsidP="00EB1275">
      <w:pPr>
        <w:widowControl w:val="0"/>
        <w:autoSpaceDE w:val="0"/>
        <w:autoSpaceDN w:val="0"/>
        <w:spacing w:after="0" w:line="240" w:lineRule="auto"/>
        <w:ind w:left="709" w:right="709"/>
        <w:jc w:val="both"/>
        <w:rPr>
          <w:rFonts w:ascii="Verdana" w:eastAsia="Arial" w:hAnsi="Verdana" w:cs="Arial"/>
          <w:bCs/>
          <w:iCs/>
          <w:sz w:val="20"/>
          <w:szCs w:val="20"/>
          <w:lang w:val="es-MX" w:eastAsia="es-ES" w:bidi="es-ES"/>
        </w:rPr>
      </w:pPr>
    </w:p>
    <w:p w14:paraId="1FF97943" w14:textId="77777777" w:rsidR="00EB1275" w:rsidRPr="00751E10" w:rsidRDefault="00EB1275" w:rsidP="00EB1275">
      <w:pPr>
        <w:widowControl w:val="0"/>
        <w:autoSpaceDE w:val="0"/>
        <w:autoSpaceDN w:val="0"/>
        <w:spacing w:after="0" w:line="240" w:lineRule="auto"/>
        <w:ind w:left="709" w:right="709"/>
        <w:jc w:val="both"/>
        <w:rPr>
          <w:rFonts w:ascii="Verdana" w:eastAsia="Arial" w:hAnsi="Verdana" w:cs="Arial"/>
          <w:sz w:val="20"/>
          <w:szCs w:val="20"/>
          <w:lang w:val="es-MX" w:eastAsia="es-ES" w:bidi="es-ES"/>
        </w:rPr>
      </w:pPr>
      <w:r w:rsidRPr="00751E10">
        <w:rPr>
          <w:rFonts w:ascii="Verdana" w:eastAsia="Arial" w:hAnsi="Verdana" w:cs="Arial"/>
          <w:sz w:val="20"/>
          <w:szCs w:val="20"/>
          <w:lang w:val="es-MX" w:eastAsia="es-ES" w:bidi="es-ES"/>
        </w:rPr>
        <w:t>-La existencia de una necesidad de servicio público que justifique la modificación, hasta el punto de conjurar la nueva necesidad. La acreditación de estas circunstancias estará a cargo de la entidad estatal, justificada en los estudios previos y en la debida motivación del contrato modificatorio.</w:t>
      </w:r>
    </w:p>
    <w:p w14:paraId="40ADD129" w14:textId="77777777" w:rsidR="00EB1275" w:rsidRDefault="00EB1275" w:rsidP="00EB1275">
      <w:pPr>
        <w:widowControl w:val="0"/>
        <w:autoSpaceDE w:val="0"/>
        <w:autoSpaceDN w:val="0"/>
        <w:spacing w:after="0" w:line="240" w:lineRule="auto"/>
        <w:ind w:left="709" w:right="709"/>
        <w:jc w:val="both"/>
        <w:rPr>
          <w:rFonts w:ascii="Verdana" w:eastAsia="Arial" w:hAnsi="Verdana" w:cs="Arial"/>
          <w:bCs/>
          <w:iCs/>
          <w:sz w:val="20"/>
          <w:szCs w:val="20"/>
          <w:lang w:val="es-MX" w:eastAsia="es-ES" w:bidi="es-ES"/>
        </w:rPr>
      </w:pPr>
    </w:p>
    <w:p w14:paraId="673DF938" w14:textId="77777777" w:rsidR="00EB1275" w:rsidRPr="00751E10" w:rsidRDefault="00EB1275" w:rsidP="00EB1275">
      <w:pPr>
        <w:widowControl w:val="0"/>
        <w:autoSpaceDE w:val="0"/>
        <w:autoSpaceDN w:val="0"/>
        <w:spacing w:after="0" w:line="240" w:lineRule="auto"/>
        <w:ind w:left="709" w:right="709"/>
        <w:jc w:val="both"/>
        <w:rPr>
          <w:rFonts w:ascii="Verdana" w:eastAsia="Arial" w:hAnsi="Verdana" w:cs="Arial"/>
          <w:sz w:val="20"/>
          <w:szCs w:val="20"/>
          <w:lang w:val="es-MX" w:eastAsia="es-ES" w:bidi="es-ES"/>
        </w:rPr>
      </w:pPr>
      <w:r w:rsidRPr="00751E10">
        <w:rPr>
          <w:rFonts w:ascii="Verdana" w:eastAsia="Arial" w:hAnsi="Verdana" w:cs="Arial"/>
          <w:sz w:val="20"/>
          <w:szCs w:val="20"/>
          <w:lang w:val="es-MX" w:eastAsia="es-ES" w:bidi="es-ES"/>
        </w:rPr>
        <w:t>-El cumplimiento del límite cuantitativo consagrado en la ley para los contratos adicionales. […]</w:t>
      </w:r>
    </w:p>
    <w:p w14:paraId="4F8EC5B0" w14:textId="77777777" w:rsidR="00EB1275" w:rsidRDefault="00EB1275" w:rsidP="00EB1275">
      <w:pPr>
        <w:widowControl w:val="0"/>
        <w:autoSpaceDE w:val="0"/>
        <w:autoSpaceDN w:val="0"/>
        <w:spacing w:after="0" w:line="240" w:lineRule="auto"/>
        <w:ind w:left="709" w:right="709"/>
        <w:jc w:val="both"/>
        <w:rPr>
          <w:rFonts w:ascii="Verdana" w:eastAsia="Arial" w:hAnsi="Verdana" w:cs="Arial"/>
          <w:bCs/>
          <w:iCs/>
          <w:sz w:val="20"/>
          <w:szCs w:val="20"/>
          <w:lang w:val="es-MX" w:eastAsia="es-ES" w:bidi="es-ES"/>
        </w:rPr>
      </w:pPr>
    </w:p>
    <w:p w14:paraId="3342E3CE" w14:textId="77777777" w:rsidR="00EB1275" w:rsidRPr="00751E10" w:rsidRDefault="00EB1275" w:rsidP="00EB1275">
      <w:pPr>
        <w:widowControl w:val="0"/>
        <w:autoSpaceDE w:val="0"/>
        <w:autoSpaceDN w:val="0"/>
        <w:spacing w:after="0" w:line="240" w:lineRule="auto"/>
        <w:ind w:left="709" w:right="709"/>
        <w:jc w:val="both"/>
        <w:rPr>
          <w:rFonts w:ascii="Verdana" w:eastAsia="Arial" w:hAnsi="Verdana" w:cs="Arial"/>
          <w:sz w:val="20"/>
          <w:szCs w:val="20"/>
          <w:lang w:val="es-ES_tradnl" w:eastAsia="es-ES" w:bidi="es-ES"/>
        </w:rPr>
      </w:pPr>
      <w:r w:rsidRPr="00751E10">
        <w:rPr>
          <w:rFonts w:ascii="Verdana" w:eastAsia="Arial" w:hAnsi="Verdana" w:cs="Arial"/>
          <w:sz w:val="20"/>
          <w:szCs w:val="20"/>
          <w:lang w:val="es-MX" w:eastAsia="es-ES" w:bidi="es-ES"/>
        </w:rPr>
        <w:t>-Debe tratarse de prestaciones necesarias e inseparables técnica o económicamente del contrato inicial, que no permitan su uso o aprovechamiento independiente. La modificación de las condiciones de la prestación o del contrato debe presuponer que no pueda ser materia de un nuevo proceso de selección, o de su contratación con un tercero, en razón a que, por su naturaleza, resulte inseparable técnica o económicamente de la prestación pactada en el contrato inicial</w:t>
      </w:r>
      <w:r w:rsidRPr="00751E10">
        <w:rPr>
          <w:rFonts w:ascii="Verdana" w:eastAsia="Arial" w:hAnsi="Verdana" w:cs="Arial"/>
          <w:sz w:val="20"/>
          <w:szCs w:val="20"/>
          <w:lang w:val="es-ES_tradnl" w:eastAsia="es-ES" w:bidi="es-ES"/>
        </w:rPr>
        <w:t>.”</w:t>
      </w:r>
    </w:p>
    <w:p w14:paraId="282A1AC6" w14:textId="77777777" w:rsidR="00EB1275" w:rsidRDefault="00EB1275" w:rsidP="00EB1275">
      <w:pPr>
        <w:spacing w:after="0" w:line="276" w:lineRule="auto"/>
        <w:jc w:val="both"/>
        <w:rPr>
          <w:rFonts w:ascii="Verdana" w:eastAsia="Calibri" w:hAnsi="Verdana" w:cs="Arial"/>
          <w:lang w:val="es-ES"/>
        </w:rPr>
      </w:pPr>
    </w:p>
    <w:p w14:paraId="7251D599" w14:textId="77777777" w:rsidR="00EB1275" w:rsidRPr="00672426" w:rsidRDefault="00EB1275" w:rsidP="00EB1275">
      <w:pPr>
        <w:spacing w:after="120" w:line="276" w:lineRule="auto"/>
        <w:ind w:firstLine="709"/>
        <w:jc w:val="both"/>
        <w:rPr>
          <w:rFonts w:ascii="Verdana" w:eastAsia="Arial" w:hAnsi="Verdana" w:cs="Arial"/>
          <w:lang w:eastAsia="es-ES"/>
        </w:rPr>
      </w:pPr>
      <w:r>
        <w:rPr>
          <w:rFonts w:ascii="Verdana" w:eastAsia="Arial" w:hAnsi="Verdana" w:cs="Arial"/>
          <w:lang w:eastAsia="es-ES"/>
        </w:rPr>
        <w:t xml:space="preserve">Así, los contratos estatales pueden modificarse en cumplimiento de los requisitos y </w:t>
      </w:r>
      <w:r w:rsidRPr="00672426">
        <w:rPr>
          <w:rFonts w:ascii="Verdana" w:eastAsia="Arial" w:hAnsi="Verdana" w:cs="Arial"/>
          <w:lang w:eastAsia="es-ES"/>
        </w:rPr>
        <w:t xml:space="preserve">los </w:t>
      </w:r>
      <w:r>
        <w:rPr>
          <w:rFonts w:ascii="Verdana" w:eastAsia="Arial" w:hAnsi="Verdana" w:cs="Arial"/>
          <w:lang w:eastAsia="es-ES"/>
        </w:rPr>
        <w:t>límites legales</w:t>
      </w:r>
      <w:r w:rsidRPr="00672426">
        <w:rPr>
          <w:rFonts w:ascii="Verdana" w:eastAsia="Arial" w:hAnsi="Verdana" w:cs="Arial"/>
          <w:lang w:eastAsia="es-ES"/>
        </w:rPr>
        <w:t xml:space="preserve"> y jurisprudenciales</w:t>
      </w:r>
      <w:r>
        <w:rPr>
          <w:rFonts w:ascii="Verdana" w:eastAsia="Arial" w:hAnsi="Verdana" w:cs="Arial"/>
          <w:lang w:eastAsia="es-ES"/>
        </w:rPr>
        <w:t>, siempre atendiendo a los principios que rigen la actuación administrativa y la contratación estatal</w:t>
      </w:r>
      <w:r w:rsidRPr="00672426">
        <w:rPr>
          <w:rFonts w:ascii="Verdana" w:eastAsia="Arial" w:hAnsi="Verdana" w:cs="Arial"/>
          <w:lang w:eastAsia="es-ES"/>
        </w:rPr>
        <w:t xml:space="preserve">. No obstante, </w:t>
      </w:r>
      <w:r w:rsidRPr="009C6597">
        <w:rPr>
          <w:rFonts w:ascii="Verdana" w:eastAsia="Arial" w:hAnsi="Verdana" w:cs="Arial"/>
          <w:lang w:eastAsia="es-ES"/>
        </w:rPr>
        <w:t xml:space="preserve">esta medida tiene carácter excepcional y solo procede cuando con ella se pretenda garantizar el interés público, cuando la entidad haya verificado y así pueda constatarse por cualquier que la causa de la modificación es real y cierta y cuando se deriva de previsiones legales, esto es, cuando la modificación encuentra sustento no solo en circunstancias fácticas propias de la ejecución del contrato, sino, además, cuando tales situaciones ponen de presente la necesidad de dar cumplimiento a previsiones establecidas por el legislador. </w:t>
      </w:r>
      <w:r>
        <w:rPr>
          <w:rFonts w:ascii="Verdana" w:eastAsia="Arial" w:hAnsi="Verdana" w:cs="Arial"/>
          <w:lang w:eastAsia="es-ES"/>
        </w:rPr>
        <w:t xml:space="preserve"> </w:t>
      </w:r>
    </w:p>
    <w:p w14:paraId="487C4D36" w14:textId="39C5940D" w:rsidR="00EB1275" w:rsidRPr="0093479F" w:rsidRDefault="00EE69C3" w:rsidP="00EB1275">
      <w:pPr>
        <w:spacing w:after="0" w:line="276" w:lineRule="auto"/>
        <w:ind w:firstLine="709"/>
        <w:jc w:val="both"/>
        <w:rPr>
          <w:rFonts w:ascii="Verdana" w:eastAsia="Arial" w:hAnsi="Verdana" w:cs="Arial"/>
          <w:lang w:eastAsia="es-ES"/>
        </w:rPr>
      </w:pPr>
      <w:r>
        <w:rPr>
          <w:rFonts w:ascii="Verdana" w:eastAsia="Arial" w:hAnsi="Verdana" w:cs="Arial"/>
          <w:lang w:eastAsia="es-ES"/>
        </w:rPr>
        <w:t>En segundo lugar</w:t>
      </w:r>
      <w:r w:rsidR="000A2C88">
        <w:rPr>
          <w:rFonts w:ascii="Verdana" w:eastAsia="Arial" w:hAnsi="Verdana" w:cs="Arial"/>
          <w:lang w:eastAsia="es-ES"/>
        </w:rPr>
        <w:t xml:space="preserve">, </w:t>
      </w:r>
      <w:r w:rsidR="00EB1275">
        <w:rPr>
          <w:rFonts w:ascii="Verdana" w:eastAsia="Arial" w:hAnsi="Verdana" w:cs="Arial"/>
          <w:lang w:eastAsia="es-ES"/>
        </w:rPr>
        <w:t xml:space="preserve">la Ley 1437 de 2011 </w:t>
      </w:r>
      <w:r w:rsidR="0075721A">
        <w:rPr>
          <w:rFonts w:ascii="Verdana" w:eastAsia="Arial" w:hAnsi="Verdana" w:cs="Arial"/>
          <w:lang w:eastAsia="es-ES"/>
        </w:rPr>
        <w:t>“</w:t>
      </w:r>
      <w:r w:rsidR="0075721A" w:rsidRPr="0075721A">
        <w:rPr>
          <w:rFonts w:ascii="Verdana" w:eastAsia="Arial" w:hAnsi="Verdana" w:cs="Arial"/>
          <w:lang w:eastAsia="es-ES"/>
        </w:rPr>
        <w:t>Por la cual se expide el Código de Procedimiento Administrativo y de lo Contencioso Administrativo</w:t>
      </w:r>
      <w:r w:rsidR="0075721A">
        <w:rPr>
          <w:rFonts w:ascii="Verdana" w:eastAsia="Arial" w:hAnsi="Verdana" w:cs="Arial"/>
          <w:lang w:eastAsia="es-ES"/>
        </w:rPr>
        <w:t>”</w:t>
      </w:r>
      <w:r w:rsidR="00EB1275">
        <w:rPr>
          <w:rFonts w:ascii="Verdana" w:eastAsia="Arial" w:hAnsi="Verdana" w:cs="Arial"/>
          <w:lang w:eastAsia="es-ES"/>
        </w:rPr>
        <w:t xml:space="preserve"> – en adelante</w:t>
      </w:r>
      <w:r w:rsidR="00EB1275" w:rsidRPr="00E74439">
        <w:rPr>
          <w:rFonts w:ascii="Verdana" w:hAnsi="Verdana" w:cs="Arial"/>
          <w:lang w:val="es-ES"/>
        </w:rPr>
        <w:t xml:space="preserve"> </w:t>
      </w:r>
      <w:r w:rsidR="00EB1275" w:rsidRPr="00E74439">
        <w:rPr>
          <w:rFonts w:ascii="Verdana" w:hAnsi="Verdana" w:cs="Arial"/>
          <w:lang w:val="es-MX"/>
        </w:rPr>
        <w:t>CPACA</w:t>
      </w:r>
      <w:r w:rsidR="00EB1275">
        <w:rPr>
          <w:rFonts w:ascii="Verdana" w:hAnsi="Verdana" w:cs="Arial"/>
          <w:lang w:val="es-MX"/>
        </w:rPr>
        <w:t xml:space="preserve"> – </w:t>
      </w:r>
      <w:r w:rsidR="00EB1275" w:rsidRPr="00E74439">
        <w:rPr>
          <w:rFonts w:ascii="Verdana" w:hAnsi="Verdana" w:cs="Arial"/>
          <w:lang w:val="es-MX"/>
        </w:rPr>
        <w:t>en</w:t>
      </w:r>
      <w:r w:rsidR="00EB1275">
        <w:rPr>
          <w:rFonts w:ascii="Verdana" w:hAnsi="Verdana" w:cs="Arial"/>
          <w:lang w:val="es-MX"/>
        </w:rPr>
        <w:t xml:space="preserve"> </w:t>
      </w:r>
      <w:r w:rsidR="00EB1275" w:rsidRPr="00E74439">
        <w:rPr>
          <w:rFonts w:ascii="Verdana" w:hAnsi="Verdana" w:cs="Arial"/>
          <w:lang w:val="es-MX"/>
        </w:rPr>
        <w:t>el artículo 45, permite la corrección de errores simplemente formales de los actos administrativos relacionados con errores aritméticos, de digitación, de transcripción o de omisión de palabras, de la siguiente manera:</w:t>
      </w:r>
    </w:p>
    <w:p w14:paraId="63AAE98E" w14:textId="77777777" w:rsidR="00EB1275" w:rsidRPr="00E74439" w:rsidRDefault="00EB1275" w:rsidP="00EB1275">
      <w:pPr>
        <w:spacing w:after="0" w:line="276" w:lineRule="auto"/>
        <w:ind w:left="709" w:right="902"/>
        <w:jc w:val="both"/>
        <w:rPr>
          <w:rFonts w:ascii="Verdana" w:eastAsia="Calibri" w:hAnsi="Verdana" w:cs="Arial"/>
          <w:lang w:val="es-ES_tradnl"/>
        </w:rPr>
      </w:pPr>
    </w:p>
    <w:p w14:paraId="2ECEDDBB" w14:textId="77777777" w:rsidR="00EB1275" w:rsidRPr="007B1160" w:rsidRDefault="00EB1275" w:rsidP="00EB1275">
      <w:pPr>
        <w:spacing w:after="0" w:line="240" w:lineRule="auto"/>
        <w:ind w:left="709" w:right="709"/>
        <w:jc w:val="both"/>
        <w:rPr>
          <w:rFonts w:ascii="Verdana" w:hAnsi="Verdana" w:cs="Arial"/>
          <w:sz w:val="20"/>
          <w:szCs w:val="20"/>
          <w:lang w:val="es-ES" w:eastAsia="es-CO"/>
        </w:rPr>
      </w:pPr>
      <w:r w:rsidRPr="007B1160">
        <w:rPr>
          <w:rFonts w:ascii="Verdana" w:eastAsia="Calibri" w:hAnsi="Verdana" w:cs="Arial"/>
          <w:sz w:val="20"/>
          <w:szCs w:val="20"/>
          <w:lang w:val="es-ES_tradnl"/>
        </w:rPr>
        <w:t>“</w:t>
      </w:r>
      <w:r w:rsidRPr="007B1160">
        <w:rPr>
          <w:rFonts w:ascii="Verdana" w:hAnsi="Verdana" w:cs="Arial"/>
          <w:sz w:val="20"/>
          <w:szCs w:val="20"/>
          <w:lang w:val="es-ES" w:eastAsia="es-CO"/>
        </w:rPr>
        <w:t>Artículo 45. Corrección de errores formales. En cualquier tiempo, de oficio o a petición de parte, se podrán corregir los errores simplemente formales contenidos en los actos administrativos, ya sean aritméticos, de digitación, de transcripción o de omisión de palabras. En ningún caso la corrección dará lugar a cambios en el sentido material de la decisión, ni revivirá los términos legales para demandar el acto. Realizada la corrección, esta deberá ser notificada o comunicada a todos los interesados, según corresponda”.</w:t>
      </w:r>
    </w:p>
    <w:p w14:paraId="511D0D0C" w14:textId="77777777" w:rsidR="00EB1275" w:rsidRPr="00E74439" w:rsidRDefault="00EB1275" w:rsidP="00EB1275">
      <w:pPr>
        <w:spacing w:after="0" w:line="276" w:lineRule="auto"/>
        <w:ind w:firstLine="709"/>
        <w:jc w:val="both"/>
        <w:rPr>
          <w:rFonts w:ascii="Verdana" w:hAnsi="Verdana" w:cs="Arial"/>
          <w:lang w:val="es-MX"/>
        </w:rPr>
      </w:pPr>
    </w:p>
    <w:p w14:paraId="628A7573" w14:textId="77777777" w:rsidR="00EB1275" w:rsidRPr="00E74439" w:rsidRDefault="00EB1275" w:rsidP="00EB1275">
      <w:pPr>
        <w:spacing w:after="120" w:line="276" w:lineRule="auto"/>
        <w:ind w:firstLine="709"/>
        <w:jc w:val="both"/>
        <w:rPr>
          <w:rFonts w:ascii="Verdana" w:hAnsi="Verdana" w:cs="Arial"/>
          <w:lang w:val="es-MX"/>
        </w:rPr>
      </w:pPr>
      <w:r w:rsidRPr="00E74439">
        <w:rPr>
          <w:rFonts w:ascii="Verdana" w:hAnsi="Verdana" w:cs="Arial"/>
          <w:lang w:val="es-MX"/>
        </w:rPr>
        <w:t xml:space="preserve">De esta figura se pueden destacar las siguientes características: i) procede para corregir errores simplemente formales contenidos en los actos administrativos, ya sean aritméticos, de digitación, de transcripción o de omisión de palabras, </w:t>
      </w:r>
      <w:proofErr w:type="spellStart"/>
      <w:r w:rsidRPr="00E74439">
        <w:rPr>
          <w:rFonts w:ascii="Verdana" w:hAnsi="Verdana" w:cs="Arial"/>
          <w:lang w:val="es-MX"/>
        </w:rPr>
        <w:t>ii</w:t>
      </w:r>
      <w:proofErr w:type="spellEnd"/>
      <w:r w:rsidRPr="00E74439">
        <w:rPr>
          <w:rFonts w:ascii="Verdana" w:hAnsi="Verdana" w:cs="Arial"/>
          <w:lang w:val="es-MX"/>
        </w:rPr>
        <w:t xml:space="preserve">) no permite cambios sustanciales o materiales de la decisión, </w:t>
      </w:r>
      <w:proofErr w:type="spellStart"/>
      <w:r w:rsidRPr="00E74439">
        <w:rPr>
          <w:rFonts w:ascii="Verdana" w:hAnsi="Verdana" w:cs="Arial"/>
          <w:lang w:val="es-MX"/>
        </w:rPr>
        <w:t>iii</w:t>
      </w:r>
      <w:proofErr w:type="spellEnd"/>
      <w:r w:rsidRPr="00E74439">
        <w:rPr>
          <w:rFonts w:ascii="Verdana" w:hAnsi="Verdana" w:cs="Arial"/>
          <w:lang w:val="es-MX"/>
        </w:rPr>
        <w:t xml:space="preserve">) puede realizarse en cualquier tiempo, </w:t>
      </w:r>
      <w:proofErr w:type="spellStart"/>
      <w:r w:rsidRPr="00E74439">
        <w:rPr>
          <w:rFonts w:ascii="Verdana" w:hAnsi="Verdana" w:cs="Arial"/>
          <w:lang w:val="es-MX"/>
        </w:rPr>
        <w:t>iv</w:t>
      </w:r>
      <w:proofErr w:type="spellEnd"/>
      <w:r w:rsidRPr="00E74439">
        <w:rPr>
          <w:rFonts w:ascii="Verdana" w:hAnsi="Verdana" w:cs="Arial"/>
          <w:lang w:val="es-MX"/>
        </w:rPr>
        <w:t>) procede de oficio o a petición de parte, v) el acto administrativo de corrección no revive términos para demandar el acto corregido, vi) debe ser notificada o comunicada a los interesados</w:t>
      </w:r>
      <w:r w:rsidRPr="00E74439">
        <w:rPr>
          <w:rFonts w:ascii="Verdana" w:hAnsi="Verdana" w:cs="Arial"/>
          <w:vertAlign w:val="superscript"/>
          <w:lang w:val="es-MX"/>
        </w:rPr>
        <w:footnoteReference w:id="5"/>
      </w:r>
      <w:r w:rsidRPr="00E74439">
        <w:rPr>
          <w:rFonts w:ascii="Verdana" w:hAnsi="Verdana" w:cs="Arial"/>
          <w:lang w:val="es-MX"/>
        </w:rPr>
        <w:t xml:space="preserve">. </w:t>
      </w:r>
    </w:p>
    <w:p w14:paraId="74C8B2C9" w14:textId="6BCD8159" w:rsidR="00EB1275" w:rsidRPr="00E74439" w:rsidRDefault="00EB1275" w:rsidP="00EB1275">
      <w:pPr>
        <w:spacing w:after="120" w:line="276" w:lineRule="auto"/>
        <w:ind w:firstLine="709"/>
        <w:jc w:val="both"/>
        <w:rPr>
          <w:rFonts w:ascii="Verdana" w:eastAsia="Calibri" w:hAnsi="Verdana" w:cs="Arial"/>
          <w:b/>
          <w:bCs/>
          <w:lang w:val="es-ES_tradnl" w:eastAsia="es-ES_tradnl"/>
        </w:rPr>
      </w:pPr>
      <w:r w:rsidRPr="008705EC">
        <w:rPr>
          <w:rFonts w:ascii="Verdana" w:hAnsi="Verdana" w:cs="Arial"/>
          <w:lang w:val="es-MX"/>
        </w:rPr>
        <w:t>Cabe aclarar que, aunque el EGCAP no</w:t>
      </w:r>
      <w:r w:rsidR="0063740F">
        <w:rPr>
          <w:rFonts w:ascii="Verdana" w:hAnsi="Verdana" w:cs="Arial"/>
          <w:lang w:val="es-MX"/>
        </w:rPr>
        <w:t xml:space="preserve"> </w:t>
      </w:r>
      <w:r w:rsidRPr="008705EC">
        <w:rPr>
          <w:rFonts w:ascii="Verdana" w:hAnsi="Verdana" w:cs="Arial"/>
          <w:lang w:val="es-MX"/>
        </w:rPr>
        <w:t xml:space="preserve">consagra expresamente esta figura, es posible su aplicación en los actos del </w:t>
      </w:r>
      <w:r w:rsidRPr="00D8196A">
        <w:rPr>
          <w:rFonts w:ascii="Verdana" w:hAnsi="Verdana" w:cs="Arial"/>
          <w:lang w:val="es-MX"/>
        </w:rPr>
        <w:t>proceso</w:t>
      </w:r>
      <w:r w:rsidRPr="008705EC">
        <w:rPr>
          <w:rFonts w:ascii="Verdana" w:hAnsi="Verdana" w:cs="Arial"/>
          <w:lang w:val="es-MX"/>
        </w:rPr>
        <w:t xml:space="preserve"> de </w:t>
      </w:r>
      <w:r w:rsidRPr="00D8196A">
        <w:rPr>
          <w:rFonts w:ascii="Verdana" w:hAnsi="Verdana" w:cs="Arial"/>
          <w:lang w:val="es-MX"/>
        </w:rPr>
        <w:t>contratación</w:t>
      </w:r>
      <w:r w:rsidRPr="008705EC">
        <w:rPr>
          <w:rFonts w:ascii="Verdana" w:hAnsi="Verdana" w:cs="Arial"/>
          <w:lang w:val="es-MX"/>
        </w:rPr>
        <w:t xml:space="preserve">, en virtud de lo establecido en el artículo 77 de la Ley 80 de 1993 y en el artículo 2 de la Ley 1437 de 2011. La primera disposición señala que las normas que rigen los procedimientos y actuaciones en la </w:t>
      </w:r>
      <w:r w:rsidRPr="008705EC">
        <w:rPr>
          <w:rFonts w:ascii="Verdana" w:hAnsi="Verdana" w:cs="Arial"/>
          <w:i/>
          <w:iCs/>
          <w:lang w:val="es-MX"/>
        </w:rPr>
        <w:t xml:space="preserve">función administrativa </w:t>
      </w:r>
      <w:r w:rsidRPr="008705EC">
        <w:rPr>
          <w:rFonts w:ascii="Verdana" w:hAnsi="Verdana" w:cs="Arial"/>
          <w:lang w:val="es-MX"/>
        </w:rPr>
        <w:t>son aplicables en las actuaciones contractuales, siempre que sean compatibles con la finalidad y los principios de la Ley 80. A su vez, el artículo 2 de la Ley 1437 de 2011, señala que los procedimientos allí establecidos aplican a las actuaciones de todas las autoridades y particulares que desempeñan funciones administrativas, sin perjuicio de los procedimientos regulados en leyes especiales, y agrega que, en lo no previsto en estos, se aplicarán los procedimientos establecidos en dicho código. Tal es el caso de la corrección de errores simplemente formales de los actos administrativos que no está regulada en el EGCAP, sino en el CPACA.</w:t>
      </w:r>
    </w:p>
    <w:p w14:paraId="527FCC71" w14:textId="77777777" w:rsidR="00EB1275" w:rsidRDefault="00EB1275" w:rsidP="00EB1275">
      <w:pPr>
        <w:widowControl w:val="0"/>
        <w:autoSpaceDE w:val="0"/>
        <w:autoSpaceDN w:val="0"/>
        <w:spacing w:after="120" w:line="276" w:lineRule="auto"/>
        <w:jc w:val="both"/>
        <w:rPr>
          <w:rFonts w:ascii="Verdana" w:eastAsia="Arial" w:hAnsi="Verdana" w:cs="Arial"/>
          <w:lang w:val="es-ES"/>
        </w:rPr>
      </w:pPr>
      <w:r>
        <w:rPr>
          <w:rFonts w:ascii="Verdana" w:hAnsi="Verdana" w:cs="Arial"/>
          <w:lang w:val="es-ES"/>
        </w:rPr>
        <w:tab/>
        <w:t>Así, l</w:t>
      </w:r>
      <w:r w:rsidRPr="00E74439">
        <w:rPr>
          <w:rFonts w:ascii="Verdana" w:hAnsi="Verdana" w:cs="Arial"/>
          <w:bCs/>
          <w:lang w:val="es-MX"/>
        </w:rPr>
        <w:t xml:space="preserve">as </w:t>
      </w:r>
      <w:r w:rsidRPr="00D8196A">
        <w:rPr>
          <w:rFonts w:ascii="Verdana" w:hAnsi="Verdana" w:cs="Arial"/>
          <w:bCs/>
          <w:lang w:val="es-MX"/>
        </w:rPr>
        <w:t>entidades estatales</w:t>
      </w:r>
      <w:r w:rsidRPr="00E74439">
        <w:rPr>
          <w:rFonts w:ascii="Verdana" w:hAnsi="Verdana" w:cs="Arial"/>
          <w:bCs/>
          <w:lang w:val="es-MX"/>
        </w:rPr>
        <w:t xml:space="preserve"> tienen facultades de saneamiento, dentro de las que se enmarca la posibilidad de corregir errores simplemente formales </w:t>
      </w:r>
      <w:r w:rsidRPr="00E74439">
        <w:rPr>
          <w:rFonts w:ascii="Verdana" w:eastAsia="Times New Roman" w:hAnsi="Verdana" w:cs="Arial"/>
          <w:lang w:val="es-ES" w:eastAsia="es-ES_tradnl"/>
        </w:rPr>
        <w:t>contenidos en los actos administrativos.</w:t>
      </w:r>
      <w:r w:rsidRPr="00E74439">
        <w:rPr>
          <w:rFonts w:ascii="Verdana" w:eastAsia="Times New Roman" w:hAnsi="Verdana" w:cs="Arial"/>
          <w:bCs/>
          <w:lang w:val="es-ES" w:eastAsia="es-ES_tradnl"/>
        </w:rPr>
        <w:t xml:space="preserve"> Un error simplemente formal es aquel </w:t>
      </w:r>
      <w:r w:rsidRPr="00E74439">
        <w:rPr>
          <w:rFonts w:ascii="Verdana" w:eastAsia="Times New Roman" w:hAnsi="Verdana" w:cs="Arial"/>
          <w:bCs/>
          <w:lang w:val="es-ES" w:eastAsia="es-ES_tradnl"/>
        </w:rPr>
        <w:lastRenderedPageBreak/>
        <w:t xml:space="preserve">que, pese a haberse observado las formas y requisitos del procedimiento administrativo, </w:t>
      </w:r>
      <w:r w:rsidRPr="00E74439">
        <w:rPr>
          <w:rFonts w:ascii="Verdana" w:eastAsia="Arial" w:hAnsi="Verdana" w:cs="Arial"/>
          <w:lang w:val="es-ES"/>
        </w:rPr>
        <w:t xml:space="preserve">presenta equivocaciones derivadas de una operación matemática, o de equivocaciones en la digitación de palabras o cifras – como es el caso </w:t>
      </w:r>
      <w:r w:rsidRPr="00D8196A">
        <w:rPr>
          <w:rFonts w:ascii="Verdana" w:eastAsia="Arial" w:hAnsi="Verdana" w:cs="Arial"/>
          <w:lang w:val="es-ES"/>
        </w:rPr>
        <w:t>de la digitación del valor del contrato</w:t>
      </w:r>
      <w:r w:rsidRPr="00E74439">
        <w:rPr>
          <w:rFonts w:ascii="Verdana" w:eastAsia="Arial" w:hAnsi="Verdana" w:cs="Arial"/>
          <w:lang w:val="es-ES"/>
        </w:rPr>
        <w:t xml:space="preserve"> -, o la omisión de estas, que requieren la correspondiente aclaración o corrección para la adecuada comprensión de sus efectos, sin que se varíe de fondo la decisión.</w:t>
      </w:r>
    </w:p>
    <w:p w14:paraId="0BD2FBF9" w14:textId="77777777" w:rsidR="00EB1275" w:rsidRPr="00D8196A" w:rsidRDefault="00EB1275" w:rsidP="00EB1275">
      <w:pPr>
        <w:tabs>
          <w:tab w:val="left" w:pos="709"/>
        </w:tabs>
        <w:spacing w:after="120" w:line="276" w:lineRule="auto"/>
        <w:ind w:firstLine="709"/>
        <w:jc w:val="both"/>
        <w:rPr>
          <w:rFonts w:ascii="Verdana" w:eastAsia="Calibri" w:hAnsi="Verdana" w:cs="Arial"/>
          <w:color w:val="000000"/>
        </w:rPr>
      </w:pPr>
      <w:r>
        <w:rPr>
          <w:rFonts w:ascii="Verdana" w:hAnsi="Verdana" w:cs="Arial"/>
          <w:shd w:val="clear" w:color="auto" w:fill="FFFFFF"/>
        </w:rPr>
        <w:t xml:space="preserve">En virtud de lo anterior, la entidad que realiza la consulta </w:t>
      </w:r>
      <w:r w:rsidRPr="00D8196A">
        <w:rPr>
          <w:rFonts w:ascii="Verdana" w:hAnsi="Verdana" w:cs="Arial"/>
          <w:shd w:val="clear" w:color="auto" w:fill="FFFFFF"/>
        </w:rPr>
        <w:t xml:space="preserve">debe determinar </w:t>
      </w:r>
      <w:r>
        <w:rPr>
          <w:rFonts w:ascii="Verdana" w:hAnsi="Verdana" w:cs="Arial"/>
          <w:shd w:val="clear" w:color="auto" w:fill="FFFFFF"/>
        </w:rPr>
        <w:t xml:space="preserve">si está frente a un error formal que puede ser corregido a través de la facultad que establece el artículo 45 del CPACA o si está frente a una circunstancia que </w:t>
      </w:r>
      <w:r w:rsidRPr="00D8196A">
        <w:rPr>
          <w:rFonts w:ascii="Verdana" w:hAnsi="Verdana" w:cs="Arial"/>
          <w:shd w:val="clear" w:color="auto" w:fill="FFFFFF"/>
        </w:rPr>
        <w:t>amerita</w:t>
      </w:r>
      <w:r>
        <w:rPr>
          <w:rFonts w:ascii="Verdana" w:hAnsi="Verdana" w:cs="Arial"/>
          <w:shd w:val="clear" w:color="auto" w:fill="FFFFFF"/>
        </w:rPr>
        <w:t xml:space="preserve"> una modificación contractual</w:t>
      </w:r>
      <w:r w:rsidRPr="00D8196A">
        <w:rPr>
          <w:rFonts w:ascii="Verdana" w:hAnsi="Verdana" w:cs="Arial"/>
          <w:shd w:val="clear" w:color="auto" w:fill="FFFFFF"/>
        </w:rPr>
        <w:t>. E</w:t>
      </w:r>
      <w:r>
        <w:rPr>
          <w:rFonts w:ascii="Verdana" w:hAnsi="Verdana" w:cs="Arial"/>
          <w:shd w:val="clear" w:color="auto" w:fill="FFFFFF"/>
        </w:rPr>
        <w:t xml:space="preserve">n caso de ser esta última, </w:t>
      </w:r>
      <w:r w:rsidRPr="0093479F">
        <w:rPr>
          <w:rFonts w:ascii="Verdana" w:hAnsi="Verdana" w:cs="Arial"/>
          <w:shd w:val="clear" w:color="auto" w:fill="FFFFFF"/>
        </w:rPr>
        <w:t xml:space="preserve">no podría llevarse a cabo una modificación que varíe el objeto contractual por la prohibición enunciada jurisprudencialmente, </w:t>
      </w:r>
      <w:r w:rsidRPr="0093479F">
        <w:rPr>
          <w:rFonts w:ascii="Verdana" w:eastAsia="Calibri" w:hAnsi="Verdana" w:cs="Arial"/>
          <w:color w:val="000000"/>
        </w:rPr>
        <w:t>pues ello supondría la alteración de su esencia y lo convertiría en otro tipo de negocio jurídico. Si se presentara esta situación lo indicado no sería modificar el contrato sino celebrar uno nuevo.</w:t>
      </w:r>
    </w:p>
    <w:p w14:paraId="381928AB" w14:textId="77777777" w:rsidR="00EB1275" w:rsidRPr="00751E10" w:rsidRDefault="00EB1275" w:rsidP="00EB1275">
      <w:pPr>
        <w:spacing w:after="120" w:line="276" w:lineRule="auto"/>
        <w:ind w:firstLine="708"/>
        <w:jc w:val="both"/>
        <w:rPr>
          <w:rFonts w:ascii="Verdana" w:eastAsia="Batang" w:hAnsi="Verdana" w:cs="Arial"/>
        </w:rPr>
      </w:pPr>
      <w:r w:rsidRPr="00751E10">
        <w:rPr>
          <w:rFonts w:ascii="Verdana" w:eastAsia="Batang" w:hAnsi="Verdana" w:cs="Arial"/>
        </w:rPr>
        <w:t xml:space="preserve">Sin perjuicio de lo anterior, es importante resaltar que, en los procesos de contratación o en la ejecución de los contratos, la entidad, proponentes o contratista podrán acudir, en lo pertinente, a las reglas de interpretación </w:t>
      </w:r>
      <w:r w:rsidRPr="00751E10">
        <w:rPr>
          <w:rFonts w:ascii="Verdana" w:eastAsia="Batang" w:hAnsi="Verdana" w:cs="Arial"/>
          <w:lang w:val="es-MX"/>
        </w:rPr>
        <w:t>objetivas y subjetivas</w:t>
      </w:r>
      <w:r w:rsidRPr="00751E10">
        <w:rPr>
          <w:rFonts w:ascii="Verdana" w:eastAsia="Batang" w:hAnsi="Verdana" w:cs="Arial"/>
          <w:vertAlign w:val="superscript"/>
          <w:lang w:val="es-MX"/>
        </w:rPr>
        <w:footnoteReference w:id="6"/>
      </w:r>
      <w:r w:rsidRPr="00751E10">
        <w:rPr>
          <w:rFonts w:ascii="Verdana" w:eastAsia="Batang" w:hAnsi="Verdana" w:cs="Arial"/>
          <w:lang w:val="es-MX"/>
        </w:rPr>
        <w:t xml:space="preserve"> conforme a los artículos 1618 a 1624 del Código Civil. Por una parte, las </w:t>
      </w:r>
      <w:r w:rsidRPr="00751E10">
        <w:rPr>
          <w:rFonts w:ascii="Verdana" w:eastAsia="Batang" w:hAnsi="Verdana" w:cs="Arial"/>
          <w:i/>
          <w:iCs/>
          <w:lang w:val="es-MX"/>
        </w:rPr>
        <w:t>objetivas</w:t>
      </w:r>
      <w:r w:rsidRPr="00751E10">
        <w:rPr>
          <w:rFonts w:ascii="Verdana" w:eastAsia="Batang" w:hAnsi="Verdana" w:cs="Arial"/>
          <w:lang w:val="es-MX"/>
        </w:rPr>
        <w:t xml:space="preserve"> son las siguientes: i) una vez conocida la intención de los contratantes ha de estarse más a ella que a lo literal de las palabras (artículo 1618 del Código Civil); </w:t>
      </w:r>
      <w:proofErr w:type="spellStart"/>
      <w:r w:rsidRPr="00751E10">
        <w:rPr>
          <w:rFonts w:ascii="Verdana" w:eastAsia="Batang" w:hAnsi="Verdana" w:cs="Arial"/>
          <w:lang w:val="es-MX"/>
        </w:rPr>
        <w:t>ii</w:t>
      </w:r>
      <w:proofErr w:type="spellEnd"/>
      <w:r w:rsidRPr="00751E10">
        <w:rPr>
          <w:rFonts w:ascii="Verdana" w:eastAsia="Batang" w:hAnsi="Verdana" w:cs="Arial"/>
          <w:lang w:val="es-MX"/>
        </w:rPr>
        <w:t xml:space="preserve">) </w:t>
      </w:r>
      <w:r w:rsidRPr="00751E10">
        <w:rPr>
          <w:rFonts w:ascii="Verdana" w:eastAsia="Batang" w:hAnsi="Verdana" w:cs="Arial"/>
        </w:rPr>
        <w:t xml:space="preserve">las estipulaciones de un contrato pueden interpretarse por la de otro que las partes hayan celebrado sobre la misma materia o por la aplicación práctica que de ellas hayan hecho (artículo 1622, incisos 2 y 3 </w:t>
      </w:r>
      <w:proofErr w:type="spellStart"/>
      <w:r w:rsidRPr="00751E10">
        <w:rPr>
          <w:rFonts w:ascii="Verdana" w:eastAsia="Batang" w:hAnsi="Verdana" w:cs="Arial"/>
          <w:i/>
          <w:iCs/>
        </w:rPr>
        <w:t>ibídem</w:t>
      </w:r>
      <w:proofErr w:type="spellEnd"/>
      <w:r w:rsidRPr="00751E10">
        <w:rPr>
          <w:rFonts w:ascii="Verdana" w:eastAsia="Batang" w:hAnsi="Verdana" w:cs="Arial"/>
        </w:rPr>
        <w:t xml:space="preserve">); </w:t>
      </w:r>
      <w:proofErr w:type="spellStart"/>
      <w:r w:rsidRPr="00751E10">
        <w:rPr>
          <w:rFonts w:ascii="Verdana" w:eastAsia="Batang" w:hAnsi="Verdana" w:cs="Arial"/>
        </w:rPr>
        <w:t>iii</w:t>
      </w:r>
      <w:proofErr w:type="spellEnd"/>
      <w:r w:rsidRPr="00751E10">
        <w:rPr>
          <w:rFonts w:ascii="Verdana" w:eastAsia="Batang" w:hAnsi="Verdana" w:cs="Arial"/>
        </w:rPr>
        <w:t xml:space="preserve">) las cláusulas deben interpretarse unas por otras, dándole a cada una el sentido que más convenga al contrato en su totalidad (artículo 1622, inciso 1 </w:t>
      </w:r>
      <w:proofErr w:type="spellStart"/>
      <w:r w:rsidRPr="00751E10">
        <w:rPr>
          <w:rFonts w:ascii="Verdana" w:eastAsia="Batang" w:hAnsi="Verdana" w:cs="Arial"/>
          <w:i/>
          <w:iCs/>
        </w:rPr>
        <w:t>ibídem</w:t>
      </w:r>
      <w:proofErr w:type="spellEnd"/>
      <w:r w:rsidRPr="00751E10">
        <w:rPr>
          <w:rFonts w:ascii="Verdana" w:eastAsia="Batang" w:hAnsi="Verdana" w:cs="Arial"/>
        </w:rPr>
        <w:t xml:space="preserve">); </w:t>
      </w:r>
      <w:proofErr w:type="spellStart"/>
      <w:r w:rsidRPr="00751E10">
        <w:rPr>
          <w:rFonts w:ascii="Verdana" w:eastAsia="Batang" w:hAnsi="Verdana" w:cs="Arial"/>
        </w:rPr>
        <w:t>iv</w:t>
      </w:r>
      <w:proofErr w:type="spellEnd"/>
      <w:r w:rsidRPr="00751E10">
        <w:rPr>
          <w:rFonts w:ascii="Verdana" w:eastAsia="Batang" w:hAnsi="Verdana" w:cs="Arial"/>
        </w:rPr>
        <w:t xml:space="preserve">) si en un contrato se expresa un caso para explicar la obligación se entiende que esa mención no es restrictiva sino ejemplificativa (artículo 1623 </w:t>
      </w:r>
      <w:proofErr w:type="spellStart"/>
      <w:r w:rsidRPr="00751E10">
        <w:rPr>
          <w:rFonts w:ascii="Verdana" w:eastAsia="Batang" w:hAnsi="Verdana" w:cs="Arial"/>
          <w:i/>
          <w:iCs/>
        </w:rPr>
        <w:t>ibídem</w:t>
      </w:r>
      <w:proofErr w:type="spellEnd"/>
      <w:r w:rsidRPr="00751E10">
        <w:rPr>
          <w:rFonts w:ascii="Verdana" w:eastAsia="Batang" w:hAnsi="Verdana" w:cs="Arial"/>
        </w:rPr>
        <w:t xml:space="preserve">); y v) se entiende que las expresiones generales contenidas en el negocio únicamente se aplican a la materia sobre la que se ha contratado (artículo 1619, inciso 2 </w:t>
      </w:r>
      <w:proofErr w:type="spellStart"/>
      <w:r w:rsidRPr="00751E10">
        <w:rPr>
          <w:rFonts w:ascii="Verdana" w:eastAsia="Batang" w:hAnsi="Verdana" w:cs="Arial"/>
          <w:i/>
          <w:iCs/>
        </w:rPr>
        <w:t>ibídem</w:t>
      </w:r>
      <w:proofErr w:type="spellEnd"/>
      <w:r w:rsidRPr="00751E10">
        <w:rPr>
          <w:rFonts w:ascii="Verdana" w:eastAsia="Batang" w:hAnsi="Verdana" w:cs="Arial"/>
        </w:rPr>
        <w:t xml:space="preserve">). </w:t>
      </w:r>
    </w:p>
    <w:p w14:paraId="3839FE37" w14:textId="77777777" w:rsidR="00EB1275" w:rsidRPr="00751E10" w:rsidRDefault="00EB1275" w:rsidP="00EB1275">
      <w:pPr>
        <w:spacing w:after="120" w:line="276" w:lineRule="auto"/>
        <w:ind w:firstLine="708"/>
        <w:jc w:val="both"/>
        <w:rPr>
          <w:rFonts w:ascii="Verdana" w:eastAsia="Batang" w:hAnsi="Verdana" w:cs="Arial"/>
          <w:lang w:val="es-MX"/>
        </w:rPr>
      </w:pPr>
      <w:r w:rsidRPr="00751E10">
        <w:rPr>
          <w:rFonts w:ascii="Verdana" w:eastAsia="Batang" w:hAnsi="Verdana" w:cs="Arial"/>
        </w:rPr>
        <w:t xml:space="preserve">Por su parte, las reglas </w:t>
      </w:r>
      <w:r w:rsidRPr="00751E10">
        <w:rPr>
          <w:rFonts w:ascii="Verdana" w:eastAsia="Batang" w:hAnsi="Verdana" w:cs="Arial"/>
          <w:i/>
          <w:iCs/>
        </w:rPr>
        <w:t>subjetivas</w:t>
      </w:r>
      <w:r w:rsidRPr="00751E10">
        <w:rPr>
          <w:rFonts w:ascii="Verdana" w:eastAsia="Batang" w:hAnsi="Verdana" w:cs="Arial"/>
        </w:rPr>
        <w:t xml:space="preserve"> de interpretación se refieren a las siguientes: vi) </w:t>
      </w:r>
      <w:r w:rsidRPr="00751E10">
        <w:rPr>
          <w:rFonts w:ascii="Verdana" w:eastAsia="Batang" w:hAnsi="Verdana" w:cs="Arial"/>
          <w:lang w:val="es-MX"/>
        </w:rPr>
        <w:t xml:space="preserve">el sentido en que una cláusula pueda producir algún efecto deberá preferirse a aquel en que no produzca efecto alguno </w:t>
      </w:r>
      <w:r w:rsidRPr="00751E10">
        <w:rPr>
          <w:rFonts w:ascii="Verdana" w:eastAsia="Batang" w:hAnsi="Verdana" w:cs="Arial"/>
        </w:rPr>
        <w:t xml:space="preserve">(artículo 1620 </w:t>
      </w:r>
      <w:proofErr w:type="spellStart"/>
      <w:r w:rsidRPr="00751E10">
        <w:rPr>
          <w:rFonts w:ascii="Verdana" w:eastAsia="Batang" w:hAnsi="Verdana" w:cs="Arial"/>
          <w:i/>
          <w:iCs/>
        </w:rPr>
        <w:t>ibídem</w:t>
      </w:r>
      <w:proofErr w:type="spellEnd"/>
      <w:r w:rsidRPr="00751E10">
        <w:rPr>
          <w:rFonts w:ascii="Verdana" w:eastAsia="Batang" w:hAnsi="Verdana" w:cs="Arial"/>
        </w:rPr>
        <w:t xml:space="preserve">); </w:t>
      </w:r>
      <w:proofErr w:type="spellStart"/>
      <w:r w:rsidRPr="00751E10">
        <w:rPr>
          <w:rFonts w:ascii="Verdana" w:eastAsia="Batang" w:hAnsi="Verdana" w:cs="Arial"/>
        </w:rPr>
        <w:t>vii</w:t>
      </w:r>
      <w:proofErr w:type="spellEnd"/>
      <w:r w:rsidRPr="00751E10">
        <w:rPr>
          <w:rFonts w:ascii="Verdana" w:eastAsia="Batang" w:hAnsi="Verdana" w:cs="Arial"/>
        </w:rPr>
        <w:t>)</w:t>
      </w:r>
      <w:r w:rsidRPr="00751E10">
        <w:rPr>
          <w:rFonts w:ascii="Verdana" w:eastAsia="Batang" w:hAnsi="Verdana" w:cs="Arial"/>
          <w:lang w:val="es-MX"/>
        </w:rPr>
        <w:t xml:space="preserve"> </w:t>
      </w:r>
      <w:r w:rsidRPr="00751E10">
        <w:rPr>
          <w:rFonts w:ascii="Verdana" w:eastAsia="Batang" w:hAnsi="Verdana" w:cs="Arial"/>
          <w:lang w:val="es-MX"/>
        </w:rPr>
        <w:lastRenderedPageBreak/>
        <w:t xml:space="preserve">deberá estarse a la interpretación que mejor cuadre con la naturaleza del contrato </w:t>
      </w:r>
      <w:r w:rsidRPr="00751E10">
        <w:rPr>
          <w:rFonts w:ascii="Verdana" w:eastAsia="Batang" w:hAnsi="Verdana" w:cs="Arial"/>
        </w:rPr>
        <w:t xml:space="preserve">(artículo 1621 </w:t>
      </w:r>
      <w:proofErr w:type="spellStart"/>
      <w:r w:rsidRPr="00751E10">
        <w:rPr>
          <w:rFonts w:ascii="Verdana" w:eastAsia="Batang" w:hAnsi="Verdana" w:cs="Arial"/>
          <w:i/>
          <w:iCs/>
        </w:rPr>
        <w:t>ibídem</w:t>
      </w:r>
      <w:proofErr w:type="spellEnd"/>
      <w:r w:rsidRPr="00751E10">
        <w:rPr>
          <w:rFonts w:ascii="Verdana" w:eastAsia="Batang" w:hAnsi="Verdana" w:cs="Arial"/>
        </w:rPr>
        <w:t>)</w:t>
      </w:r>
      <w:r w:rsidRPr="00751E10">
        <w:rPr>
          <w:rFonts w:ascii="Verdana" w:eastAsia="Batang" w:hAnsi="Verdana" w:cs="Arial"/>
          <w:lang w:val="es-MX"/>
        </w:rPr>
        <w:t xml:space="preserve">; </w:t>
      </w:r>
      <w:proofErr w:type="spellStart"/>
      <w:r w:rsidRPr="00751E10">
        <w:rPr>
          <w:rFonts w:ascii="Verdana" w:eastAsia="Batang" w:hAnsi="Verdana" w:cs="Arial"/>
          <w:lang w:val="es-MX"/>
        </w:rPr>
        <w:t>viii</w:t>
      </w:r>
      <w:proofErr w:type="spellEnd"/>
      <w:r w:rsidRPr="00751E10">
        <w:rPr>
          <w:rFonts w:ascii="Verdana" w:eastAsia="Batang" w:hAnsi="Verdana" w:cs="Arial"/>
          <w:lang w:val="es-MX"/>
        </w:rPr>
        <w:t xml:space="preserve">) las cláusulas ambiguas se interpretan a favor del deudor </w:t>
      </w:r>
      <w:r w:rsidRPr="00751E10">
        <w:rPr>
          <w:rFonts w:ascii="Verdana" w:eastAsia="Batang" w:hAnsi="Verdana" w:cs="Arial"/>
        </w:rPr>
        <w:t xml:space="preserve">(artículo 1624, inciso 1 </w:t>
      </w:r>
      <w:proofErr w:type="spellStart"/>
      <w:r w:rsidRPr="00751E10">
        <w:rPr>
          <w:rFonts w:ascii="Verdana" w:eastAsia="Batang" w:hAnsi="Verdana" w:cs="Arial"/>
        </w:rPr>
        <w:t>ibídem</w:t>
      </w:r>
      <w:proofErr w:type="spellEnd"/>
      <w:r w:rsidRPr="00751E10">
        <w:rPr>
          <w:rFonts w:ascii="Verdana" w:eastAsia="Batang" w:hAnsi="Verdana" w:cs="Arial"/>
        </w:rPr>
        <w:t xml:space="preserve">); y </w:t>
      </w:r>
      <w:proofErr w:type="spellStart"/>
      <w:r w:rsidRPr="00751E10">
        <w:rPr>
          <w:rFonts w:ascii="Verdana" w:eastAsia="Batang" w:hAnsi="Verdana" w:cs="Arial"/>
        </w:rPr>
        <w:t>ix</w:t>
      </w:r>
      <w:proofErr w:type="spellEnd"/>
      <w:r w:rsidRPr="00751E10">
        <w:rPr>
          <w:rFonts w:ascii="Verdana" w:eastAsia="Batang" w:hAnsi="Verdana" w:cs="Arial"/>
          <w:i/>
          <w:iCs/>
        </w:rPr>
        <w:t>)</w:t>
      </w:r>
      <w:r w:rsidRPr="00751E10">
        <w:rPr>
          <w:rFonts w:ascii="Verdana" w:eastAsia="Batang" w:hAnsi="Verdana" w:cs="Arial"/>
          <w:i/>
          <w:iCs/>
          <w:lang w:val="es-MX"/>
        </w:rPr>
        <w:t xml:space="preserve"> las cláusulas oscuras que hayan sido extendidas o dictadas por una parte se interpretarán contra ella si la ambigüedad proviene de una explicación que ésta ha debido dar</w:t>
      </w:r>
      <w:r w:rsidRPr="00751E10">
        <w:rPr>
          <w:rFonts w:ascii="Verdana" w:eastAsia="Batang" w:hAnsi="Verdana" w:cs="Arial"/>
          <w:lang w:val="es-MX"/>
        </w:rPr>
        <w:t xml:space="preserve"> </w:t>
      </w:r>
      <w:r w:rsidRPr="00751E10">
        <w:rPr>
          <w:rFonts w:ascii="Verdana" w:eastAsia="Batang" w:hAnsi="Verdana" w:cs="Arial"/>
        </w:rPr>
        <w:t xml:space="preserve">(artículo 1624, inciso 2 </w:t>
      </w:r>
      <w:proofErr w:type="spellStart"/>
      <w:r w:rsidRPr="00751E10">
        <w:rPr>
          <w:rFonts w:ascii="Verdana" w:eastAsia="Batang" w:hAnsi="Verdana" w:cs="Arial"/>
          <w:i/>
          <w:iCs/>
        </w:rPr>
        <w:t>ibídem</w:t>
      </w:r>
      <w:proofErr w:type="spellEnd"/>
      <w:r w:rsidRPr="00751E10">
        <w:rPr>
          <w:rFonts w:ascii="Verdana" w:eastAsia="Batang" w:hAnsi="Verdana" w:cs="Arial"/>
        </w:rPr>
        <w:t>)</w:t>
      </w:r>
      <w:r w:rsidRPr="00751E10">
        <w:rPr>
          <w:rFonts w:ascii="Verdana" w:eastAsia="Batang" w:hAnsi="Verdana" w:cs="Arial"/>
          <w:lang w:val="es-MX"/>
        </w:rPr>
        <w:t xml:space="preserve">. </w:t>
      </w:r>
    </w:p>
    <w:p w14:paraId="23DA5282" w14:textId="45E8303D" w:rsidR="00EB1275" w:rsidRDefault="00EB1275" w:rsidP="00EB1275">
      <w:pPr>
        <w:spacing w:after="120" w:line="276" w:lineRule="auto"/>
        <w:ind w:firstLine="708"/>
        <w:jc w:val="both"/>
        <w:rPr>
          <w:rFonts w:ascii="Verdana" w:eastAsia="Batang" w:hAnsi="Verdana" w:cs="Arial"/>
        </w:rPr>
      </w:pPr>
      <w:bookmarkStart w:id="4" w:name="_Hlk96265891"/>
      <w:r w:rsidRPr="00751E10">
        <w:rPr>
          <w:rFonts w:ascii="Verdana" w:eastAsia="Batang" w:hAnsi="Verdana" w:cs="Arial"/>
        </w:rPr>
        <w:t xml:space="preserve">La aplicación de estos criterios siempre deberá tener en cuenta las circunstancias concretas de cada caso en particular, de manera que la entidad pueda optar por la interpretación que más se adecúe a la finalidad que persigue con el contrato. </w:t>
      </w:r>
      <w:bookmarkEnd w:id="4"/>
      <w:r w:rsidRPr="00751E10">
        <w:rPr>
          <w:rFonts w:ascii="Verdana" w:eastAsia="Batang" w:hAnsi="Verdana" w:cs="Arial"/>
        </w:rPr>
        <w:t xml:space="preserve">En ese contexto, la entidad </w:t>
      </w:r>
      <w:r>
        <w:rPr>
          <w:rFonts w:ascii="Verdana" w:eastAsia="Batang" w:hAnsi="Verdana" w:cs="Arial"/>
        </w:rPr>
        <w:t xml:space="preserve">tiene el </w:t>
      </w:r>
      <w:r w:rsidRPr="00751E10">
        <w:rPr>
          <w:rFonts w:ascii="Verdana" w:eastAsia="Batang" w:hAnsi="Verdana" w:cs="Arial"/>
        </w:rPr>
        <w:t xml:space="preserve">deber incluso revisar la información contenida en los documentos precontractuales para determinar la intención que se tenía. </w:t>
      </w:r>
    </w:p>
    <w:p w14:paraId="099C067E" w14:textId="778F6634" w:rsidR="00EB1275" w:rsidRPr="00751E10" w:rsidRDefault="00EB1275" w:rsidP="0062317C">
      <w:pPr>
        <w:spacing w:after="0" w:line="276" w:lineRule="auto"/>
        <w:ind w:firstLine="708"/>
        <w:jc w:val="both"/>
        <w:rPr>
          <w:rFonts w:ascii="Verdana" w:eastAsia="Batang" w:hAnsi="Verdana" w:cs="Arial"/>
          <w:lang w:val="es-MX"/>
        </w:rPr>
      </w:pPr>
      <w:r>
        <w:rPr>
          <w:rFonts w:ascii="Verdana" w:eastAsia="Batang" w:hAnsi="Verdana" w:cs="Arial"/>
        </w:rPr>
        <w:t>E</w:t>
      </w:r>
      <w:r w:rsidRPr="008B47F5">
        <w:rPr>
          <w:rFonts w:ascii="Verdana" w:eastAsia="Batang" w:hAnsi="Verdana" w:cs="Arial"/>
        </w:rPr>
        <w:t>n conclusión, la suscripción de un acta aclaratoria para corregir errores mecanográficos en documentos contractuales procede únicamente cuando se trate de errores formales que no incidan en la interpretación ni en la ejecución del contrato, los cuales pueden corregirse conforme a lo previsto en el artículo 45 del CPACA. Por el contrario, si el error implica una modificación contractual, esta deberá adelantarse cumpliendo los requisitos y límites legales aplicables, sin que sea posible alterar el objeto del contrato.</w:t>
      </w:r>
    </w:p>
    <w:p w14:paraId="5CCFD215" w14:textId="77777777" w:rsidR="00EB1275" w:rsidRPr="00593A5F" w:rsidRDefault="00EB1275" w:rsidP="00EB1275">
      <w:pPr>
        <w:widowControl w:val="0"/>
        <w:autoSpaceDE w:val="0"/>
        <w:autoSpaceDN w:val="0"/>
        <w:spacing w:after="0" w:line="276" w:lineRule="auto"/>
        <w:jc w:val="both"/>
        <w:rPr>
          <w:rFonts w:ascii="Verdana" w:hAnsi="Verdana" w:cs="Arial"/>
        </w:rPr>
      </w:pPr>
    </w:p>
    <w:p w14:paraId="2BBB5C6D" w14:textId="77777777" w:rsidR="00EB1275" w:rsidRPr="00593A5F" w:rsidRDefault="00EB1275" w:rsidP="00EB127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4DD5918C" w14:textId="77777777" w:rsidR="00EB1275" w:rsidRPr="00593A5F" w:rsidRDefault="00EB1275" w:rsidP="00EB127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B1275" w:rsidRPr="00593A5F" w14:paraId="0BA89C0C" w14:textId="77777777" w:rsidTr="00951CC0">
        <w:trPr>
          <w:trHeight w:val="870"/>
        </w:trPr>
        <w:tc>
          <w:tcPr>
            <w:tcW w:w="8647" w:type="dxa"/>
          </w:tcPr>
          <w:p w14:paraId="153D7A6F" w14:textId="6C5E3AE1" w:rsidR="00EB1275" w:rsidRPr="00B304B2" w:rsidRDefault="00EB1275" w:rsidP="00EB1275">
            <w:pPr>
              <w:pStyle w:val="Prrafodelista"/>
              <w:numPr>
                <w:ilvl w:val="0"/>
                <w:numId w:val="17"/>
              </w:numPr>
              <w:spacing w:line="276" w:lineRule="auto"/>
              <w:textAlignment w:val="baseline"/>
              <w:rPr>
                <w:rFonts w:ascii="Verdana" w:hAnsi="Verdana"/>
              </w:rPr>
            </w:pPr>
            <w:r w:rsidRPr="00751E10">
              <w:rPr>
                <w:rFonts w:ascii="Verdana" w:eastAsia="Batang" w:hAnsi="Verdana" w:cs="Arial"/>
                <w:lang w:val="es-MX"/>
              </w:rPr>
              <w:t xml:space="preserve">Código Civil, </w:t>
            </w:r>
            <w:r w:rsidR="00EE69C3" w:rsidRPr="0075721A">
              <w:rPr>
                <w:rFonts w:ascii="Verdana" w:eastAsia="Batang" w:hAnsi="Verdana" w:cs="Arial"/>
                <w:lang w:val="es-MX"/>
              </w:rPr>
              <w:t>artículos</w:t>
            </w:r>
            <w:r w:rsidRPr="00751E10">
              <w:rPr>
                <w:rFonts w:ascii="Verdana" w:eastAsia="Batang" w:hAnsi="Verdana" w:cs="Arial"/>
                <w:lang w:val="es-MX"/>
              </w:rPr>
              <w:t xml:space="preserve"> 1618 a 1624</w:t>
            </w:r>
            <w:r w:rsidRPr="00B304B2">
              <w:rPr>
                <w:rFonts w:ascii="Verdana" w:eastAsia="Batang" w:hAnsi="Verdana" w:cs="Arial"/>
                <w:lang w:val="es-MX"/>
              </w:rPr>
              <w:t>.</w:t>
            </w:r>
          </w:p>
          <w:p w14:paraId="728EAE3E" w14:textId="3AA63E8B" w:rsidR="00EB1275" w:rsidRDefault="00EB1275" w:rsidP="00EB1275">
            <w:pPr>
              <w:pStyle w:val="Prrafodelista"/>
              <w:numPr>
                <w:ilvl w:val="0"/>
                <w:numId w:val="17"/>
              </w:numPr>
              <w:spacing w:line="276" w:lineRule="auto"/>
              <w:textAlignment w:val="baseline"/>
              <w:rPr>
                <w:rFonts w:ascii="Verdana" w:hAnsi="Verdana"/>
              </w:rPr>
            </w:pPr>
            <w:r w:rsidRPr="00D6536D">
              <w:rPr>
                <w:rFonts w:ascii="Verdana" w:hAnsi="Verdana"/>
              </w:rPr>
              <w:t xml:space="preserve">Ley 80 de 1993, </w:t>
            </w:r>
            <w:r w:rsidR="00EE69C3" w:rsidRPr="0075721A">
              <w:rPr>
                <w:rFonts w:ascii="Verdana" w:hAnsi="Verdana"/>
              </w:rPr>
              <w:t>artículo</w:t>
            </w:r>
            <w:r w:rsidRPr="00D6536D">
              <w:rPr>
                <w:rFonts w:ascii="Verdana" w:hAnsi="Verdana"/>
              </w:rPr>
              <w:t xml:space="preserve"> 40, parágrafo y Articulo 77</w:t>
            </w:r>
            <w:r w:rsidRPr="00B304B2">
              <w:rPr>
                <w:rFonts w:ascii="Verdana" w:hAnsi="Verdana"/>
              </w:rPr>
              <w:t>.</w:t>
            </w:r>
          </w:p>
          <w:p w14:paraId="66BF6A05" w14:textId="1F79F276" w:rsidR="00EB1275" w:rsidRDefault="00EB1275" w:rsidP="00EB1275">
            <w:pPr>
              <w:pStyle w:val="Prrafodelista"/>
              <w:numPr>
                <w:ilvl w:val="0"/>
                <w:numId w:val="17"/>
              </w:numPr>
              <w:spacing w:line="276" w:lineRule="auto"/>
              <w:textAlignment w:val="baseline"/>
              <w:rPr>
                <w:rFonts w:ascii="Verdana" w:hAnsi="Verdana"/>
              </w:rPr>
            </w:pPr>
            <w:r w:rsidRPr="00D6536D">
              <w:rPr>
                <w:rFonts w:ascii="Verdana" w:hAnsi="Verdana"/>
              </w:rPr>
              <w:t xml:space="preserve">Ley 1437 de 2011, </w:t>
            </w:r>
            <w:r w:rsidR="00EE69C3" w:rsidRPr="0075721A">
              <w:rPr>
                <w:rFonts w:ascii="Verdana" w:hAnsi="Verdana"/>
              </w:rPr>
              <w:t>artículos</w:t>
            </w:r>
            <w:r w:rsidRPr="00D6536D">
              <w:rPr>
                <w:rFonts w:ascii="Verdana" w:hAnsi="Verdana"/>
              </w:rPr>
              <w:t xml:space="preserve"> 2, 41 y 45</w:t>
            </w:r>
            <w:r w:rsidRPr="00B304B2">
              <w:rPr>
                <w:rFonts w:ascii="Verdana" w:hAnsi="Verdana"/>
              </w:rPr>
              <w:t>.</w:t>
            </w:r>
          </w:p>
          <w:p w14:paraId="5853386D" w14:textId="40DD3079" w:rsidR="00EB1275" w:rsidRPr="00AC742F" w:rsidRDefault="00EB1275" w:rsidP="0062317C">
            <w:pPr>
              <w:pStyle w:val="Prrafodelista"/>
              <w:widowControl w:val="0"/>
              <w:numPr>
                <w:ilvl w:val="0"/>
                <w:numId w:val="17"/>
              </w:numPr>
              <w:autoSpaceDE w:val="0"/>
              <w:autoSpaceDN w:val="0"/>
              <w:spacing w:line="276" w:lineRule="auto"/>
              <w:jc w:val="both"/>
              <w:rPr>
                <w:rFonts w:ascii="Verdana" w:hAnsi="Verdana" w:cs="Arial"/>
              </w:rPr>
            </w:pPr>
            <w:r w:rsidRPr="00D6536D">
              <w:rPr>
                <w:rFonts w:ascii="Verdana" w:eastAsia="Arial" w:hAnsi="Verdana" w:cs="Arial"/>
                <w:lang w:eastAsia="es-ES" w:bidi="es-ES"/>
              </w:rPr>
              <w:t xml:space="preserve">Consejo de Estado, Sala de Consulta y Servicio Civil, </w:t>
            </w:r>
            <w:r w:rsidR="00EE69C3" w:rsidRPr="0075721A">
              <w:rPr>
                <w:rFonts w:ascii="Verdana" w:eastAsia="Arial" w:hAnsi="Verdana" w:cs="Arial"/>
                <w:lang w:eastAsia="es-ES" w:bidi="es-ES"/>
              </w:rPr>
              <w:t>Concepto</w:t>
            </w:r>
            <w:r w:rsidRPr="00D6536D">
              <w:rPr>
                <w:rFonts w:ascii="Verdana" w:eastAsia="Arial" w:hAnsi="Verdana" w:cs="Arial"/>
                <w:lang w:eastAsia="es-ES" w:bidi="es-ES"/>
              </w:rPr>
              <w:t xml:space="preserve"> 2263 del 17 de marzo del 2016</w:t>
            </w:r>
            <w:r w:rsidRPr="00B304B2">
              <w:rPr>
                <w:rFonts w:ascii="Verdana" w:eastAsia="Arial" w:hAnsi="Verdana" w:cs="Arial"/>
                <w:lang w:eastAsia="es-ES" w:bidi="es-ES"/>
              </w:rPr>
              <w:t>.</w:t>
            </w:r>
          </w:p>
        </w:tc>
      </w:tr>
    </w:tbl>
    <w:p w14:paraId="5E7721CB" w14:textId="77777777" w:rsidR="00EB1275" w:rsidRPr="00EA7EA8" w:rsidRDefault="00EB1275" w:rsidP="00EB1275">
      <w:pPr>
        <w:widowControl w:val="0"/>
        <w:autoSpaceDE w:val="0"/>
        <w:autoSpaceDN w:val="0"/>
        <w:spacing w:after="0" w:line="276" w:lineRule="auto"/>
        <w:jc w:val="both"/>
        <w:rPr>
          <w:rFonts w:ascii="Verdana" w:hAnsi="Verdana" w:cs="Arial"/>
        </w:rPr>
      </w:pPr>
    </w:p>
    <w:p w14:paraId="1B5853BF" w14:textId="77777777" w:rsidR="00EB1275" w:rsidRPr="00EA7EA8" w:rsidRDefault="00EB1275" w:rsidP="00EB127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A7EA8">
        <w:rPr>
          <w:rFonts w:ascii="Verdana" w:eastAsia="Century Gothic" w:hAnsi="Verdana" w:cs="Century Gothic"/>
          <w:b/>
          <w:bCs/>
        </w:rPr>
        <w:t>Doctrina de la Agencia Nacional de Contratación Pública:</w:t>
      </w:r>
    </w:p>
    <w:p w14:paraId="2691888D" w14:textId="77777777" w:rsidR="00EB1275" w:rsidRPr="00EA7EA8" w:rsidRDefault="00EB1275" w:rsidP="00EB1275">
      <w:pPr>
        <w:widowControl w:val="0"/>
        <w:autoSpaceDE w:val="0"/>
        <w:autoSpaceDN w:val="0"/>
        <w:spacing w:after="0" w:line="276" w:lineRule="auto"/>
        <w:jc w:val="both"/>
        <w:rPr>
          <w:rFonts w:ascii="Verdana" w:hAnsi="Verdana" w:cs="Arial"/>
        </w:rPr>
      </w:pPr>
    </w:p>
    <w:p w14:paraId="38304B9C" w14:textId="77777777" w:rsidR="00EB1275" w:rsidRDefault="00EB1275" w:rsidP="00EB1275">
      <w:pPr>
        <w:widowControl w:val="0"/>
        <w:autoSpaceDE w:val="0"/>
        <w:autoSpaceDN w:val="0"/>
        <w:spacing w:after="0" w:line="276" w:lineRule="auto"/>
        <w:jc w:val="both"/>
        <w:rPr>
          <w:rStyle w:val="normaltextrun"/>
          <w:rFonts w:ascii="Verdana" w:hAnsi="Verdana" w:cs="Arial"/>
          <w:color w:val="FF0000"/>
          <w:shd w:val="clear" w:color="auto" w:fill="FFFFFF"/>
          <w:lang w:val="es-ES"/>
        </w:rPr>
      </w:pPr>
      <w:r>
        <w:rPr>
          <w:rFonts w:ascii="Verdana" w:hAnsi="Verdana" w:cs="Arial"/>
        </w:rPr>
        <w:t>Sobre el ámbito de corrección de errores formales se pronunció esta Subdirección en los conceptos C-052 del 25 de febrero de 2025, C-1024 de 31 de enero de 2025</w:t>
      </w:r>
      <w:r w:rsidRPr="00E84F1D">
        <w:rPr>
          <w:rStyle w:val="normaltextrun"/>
          <w:rFonts w:ascii="Verdana" w:hAnsi="Verdana" w:cs="Arial"/>
          <w:color w:val="000000" w:themeColor="text1"/>
          <w:shd w:val="clear" w:color="auto" w:fill="FFFFFF"/>
          <w:lang w:val="es-ES"/>
        </w:rPr>
        <w:t xml:space="preserve">, </w:t>
      </w:r>
      <w:r>
        <w:rPr>
          <w:rStyle w:val="normaltextrun"/>
          <w:rFonts w:ascii="Verdana" w:hAnsi="Verdana" w:cs="Arial"/>
          <w:color w:val="000000" w:themeColor="text1"/>
          <w:shd w:val="clear" w:color="auto" w:fill="FFFFFF"/>
          <w:lang w:val="es-ES"/>
        </w:rPr>
        <w:t xml:space="preserve">y C-166 del 21 de marzo de 2025, C-272 de 2025, </w:t>
      </w:r>
      <w:r w:rsidRPr="00E84F1D">
        <w:rPr>
          <w:rStyle w:val="normaltextrun"/>
          <w:rFonts w:ascii="Verdana" w:hAnsi="Verdana" w:cs="Arial"/>
          <w:color w:val="000000" w:themeColor="text1"/>
          <w:shd w:val="clear" w:color="auto" w:fill="FFFFFF"/>
          <w:lang w:val="es-ES"/>
        </w:rPr>
        <w:t>entre otros. Es</w:t>
      </w:r>
      <w:r w:rsidRPr="00E84F1D">
        <w:rPr>
          <w:rFonts w:ascii="Verdana" w:hAnsi="Verdana"/>
          <w:color w:val="000000" w:themeColor="text1"/>
        </w:rPr>
        <w:t xml:space="preserve">tos y otros </w:t>
      </w:r>
      <w:r w:rsidRPr="00A1554D">
        <w:rPr>
          <w:rFonts w:ascii="Verdana" w:hAnsi="Verdana"/>
        </w:rPr>
        <w:t xml:space="preserve">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2" w:history="1">
        <w:r w:rsidRPr="00A1554D">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color w:val="FF0000"/>
          <w:shd w:val="clear" w:color="auto" w:fill="FFFFFF"/>
          <w:lang w:val="es-ES"/>
        </w:rPr>
        <w:t xml:space="preserve">. </w:t>
      </w:r>
    </w:p>
    <w:p w14:paraId="2FD176F7" w14:textId="77777777" w:rsidR="00EB1275" w:rsidRDefault="00EB1275" w:rsidP="00EB1275">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11CDACA9" w14:textId="77777777" w:rsidR="00EB1275" w:rsidRPr="001B29FE" w:rsidRDefault="00EB1275" w:rsidP="00EB1275">
      <w:pPr>
        <w:widowControl w:val="0"/>
        <w:autoSpaceDE w:val="0"/>
        <w:autoSpaceDN w:val="0"/>
        <w:spacing w:after="0" w:line="276" w:lineRule="auto"/>
        <w:jc w:val="both"/>
        <w:rPr>
          <w:rFonts w:ascii="Verdana" w:hAnsi="Verdana"/>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3"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rsidRPr="001B29FE">
        <w:rPr>
          <w:rFonts w:ascii="Verdana" w:hAnsi="Verdana"/>
        </w:rPr>
        <w:t>.</w:t>
      </w:r>
    </w:p>
    <w:p w14:paraId="1A659B73" w14:textId="77777777" w:rsidR="00EB1275" w:rsidRPr="001B29FE" w:rsidRDefault="00EB1275" w:rsidP="00EB1275">
      <w:pPr>
        <w:widowControl w:val="0"/>
        <w:autoSpaceDE w:val="0"/>
        <w:autoSpaceDN w:val="0"/>
        <w:spacing w:after="0" w:line="276" w:lineRule="auto"/>
        <w:jc w:val="both"/>
        <w:rPr>
          <w:rFonts w:ascii="Verdana" w:hAnsi="Verdana"/>
        </w:rPr>
      </w:pPr>
    </w:p>
    <w:p w14:paraId="47094C44" w14:textId="77777777" w:rsidR="00EB1275" w:rsidRPr="00505CD6" w:rsidRDefault="00EB1275" w:rsidP="00EB1275">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4ABF9D1A" w14:textId="77777777" w:rsidR="00EB1275" w:rsidRPr="00505CD6" w:rsidRDefault="00EB1275" w:rsidP="00EB1275">
      <w:pPr>
        <w:widowControl w:val="0"/>
        <w:autoSpaceDE w:val="0"/>
        <w:autoSpaceDN w:val="0"/>
        <w:spacing w:after="0" w:line="276" w:lineRule="auto"/>
        <w:jc w:val="both"/>
        <w:rPr>
          <w:rFonts w:ascii="Verdana" w:hAnsi="Verdana" w:cs="Arial"/>
        </w:rPr>
      </w:pPr>
    </w:p>
    <w:p w14:paraId="33FAC477" w14:textId="77777777" w:rsidR="00EB1275" w:rsidRDefault="00EB1275" w:rsidP="00EB1275">
      <w:pPr>
        <w:spacing w:after="0" w:line="276" w:lineRule="auto"/>
        <w:jc w:val="both"/>
        <w:rPr>
          <w:rFonts w:ascii="Verdana" w:hAnsi="Verdana"/>
          <w:noProof/>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364FD0CA" w14:textId="42194D04" w:rsidR="00EB1275" w:rsidRPr="00AC6E46" w:rsidRDefault="0095403B" w:rsidP="00EB1275">
      <w:pPr>
        <w:spacing w:line="276" w:lineRule="auto"/>
        <w:jc w:val="center"/>
        <w:rPr>
          <w:rFonts w:ascii="Verdana" w:hAnsi="Verdana"/>
          <w:noProof/>
        </w:rPr>
      </w:pPr>
      <w:r>
        <w:rPr>
          <w:rFonts w:ascii="Verdana" w:hAnsi="Verdana"/>
          <w:noProof/>
        </w:rPr>
        <w:drawing>
          <wp:inline distT="0" distB="0" distL="0" distR="0" wp14:anchorId="5FAC6BB1" wp14:editId="14946F85">
            <wp:extent cx="3639058" cy="1343212"/>
            <wp:effectExtent l="0" t="0" r="0" b="0"/>
            <wp:docPr id="30247427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474272" name="Imagen 1" descr="Texto&#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B1275" w:rsidRPr="00593A5F" w14:paraId="65DBA85B" w14:textId="77777777" w:rsidTr="00951CC0">
        <w:trPr>
          <w:trHeight w:val="315"/>
        </w:trPr>
        <w:tc>
          <w:tcPr>
            <w:tcW w:w="893" w:type="dxa"/>
            <w:vAlign w:val="center"/>
            <w:hideMark/>
          </w:tcPr>
          <w:p w14:paraId="2F099AC5" w14:textId="77777777" w:rsidR="00EB1275" w:rsidRPr="003751C7" w:rsidRDefault="00EB1275" w:rsidP="00951CC0">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E8332B0" w14:textId="77777777" w:rsidR="00EB1275" w:rsidRPr="007911EE" w:rsidRDefault="00EB1275" w:rsidP="00951CC0">
            <w:pPr>
              <w:contextualSpacing/>
              <w:rPr>
                <w:rFonts w:ascii="Verdana" w:hAnsi="Verdana"/>
                <w:sz w:val="16"/>
                <w:szCs w:val="16"/>
              </w:rPr>
            </w:pPr>
            <w:r>
              <w:rPr>
                <w:rFonts w:ascii="Verdana" w:hAnsi="Verdana"/>
                <w:sz w:val="16"/>
                <w:szCs w:val="16"/>
              </w:rPr>
              <w:t>Gloria Elizabeth Arango Builes</w:t>
            </w:r>
          </w:p>
          <w:p w14:paraId="2A3C497A" w14:textId="77777777" w:rsidR="00EB1275" w:rsidRPr="007911EE" w:rsidRDefault="00EB1275" w:rsidP="00951CC0">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EB1275" w:rsidRPr="00593A5F" w14:paraId="6496BC13" w14:textId="77777777" w:rsidTr="00951CC0">
        <w:trPr>
          <w:trHeight w:val="330"/>
        </w:trPr>
        <w:tc>
          <w:tcPr>
            <w:tcW w:w="893" w:type="dxa"/>
            <w:vAlign w:val="center"/>
            <w:hideMark/>
          </w:tcPr>
          <w:p w14:paraId="36D69F7F" w14:textId="77777777" w:rsidR="00EB1275" w:rsidRPr="003751C7" w:rsidRDefault="00EB1275" w:rsidP="00951CC0">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2B1AF50" w14:textId="77777777" w:rsidR="00EB1275" w:rsidRDefault="00EB1275" w:rsidP="00951CC0">
            <w:pPr>
              <w:spacing w:line="276" w:lineRule="auto"/>
              <w:contextualSpacing/>
              <w:jc w:val="both"/>
              <w:rPr>
                <w:rFonts w:ascii="Verdana" w:hAnsi="Verdana"/>
                <w:sz w:val="16"/>
                <w:szCs w:val="16"/>
              </w:rPr>
            </w:pPr>
            <w:r>
              <w:rPr>
                <w:rFonts w:ascii="Verdana" w:hAnsi="Verdana"/>
                <w:sz w:val="16"/>
                <w:szCs w:val="16"/>
              </w:rPr>
              <w:t>Diana Lucía Saavedra Castañeda</w:t>
            </w:r>
          </w:p>
          <w:p w14:paraId="559F8AA5" w14:textId="77777777" w:rsidR="00EB1275" w:rsidRPr="007911EE" w:rsidRDefault="00EB1275" w:rsidP="00951CC0">
            <w:pPr>
              <w:spacing w:line="276" w:lineRule="auto"/>
              <w:contextualSpacing/>
              <w:jc w:val="both"/>
              <w:rPr>
                <w:rFonts w:ascii="Verdana" w:hAnsi="Verdana" w:cstheme="minorHAnsi"/>
                <w:sz w:val="16"/>
                <w:szCs w:val="16"/>
              </w:rPr>
            </w:pPr>
            <w:r>
              <w:rPr>
                <w:rStyle w:val="normaltextrun"/>
                <w:rFonts w:ascii="Verdana" w:eastAsia="Arial" w:hAnsi="Verdana"/>
                <w:sz w:val="16"/>
                <w:szCs w:val="16"/>
              </w:rPr>
              <w:t xml:space="preserve">Contratita </w:t>
            </w:r>
            <w:r w:rsidRPr="00CD7324">
              <w:rPr>
                <w:rStyle w:val="normaltextrun"/>
                <w:rFonts w:ascii="Verdana" w:eastAsia="Arial" w:hAnsi="Verdana"/>
                <w:sz w:val="16"/>
                <w:szCs w:val="16"/>
              </w:rPr>
              <w:t>de la</w:t>
            </w:r>
            <w:r w:rsidRPr="007911EE">
              <w:rPr>
                <w:rStyle w:val="normaltextrun"/>
                <w:rFonts w:ascii="Verdana" w:eastAsia="Arial" w:hAnsi="Verdana" w:cs="Arial"/>
                <w:sz w:val="16"/>
                <w:szCs w:val="16"/>
              </w:rPr>
              <w:t xml:space="preserve"> Subdirección de Gestión Contractual</w:t>
            </w:r>
          </w:p>
        </w:tc>
      </w:tr>
      <w:tr w:rsidR="00EB1275" w:rsidRPr="00593A5F" w14:paraId="6C48D9F9" w14:textId="77777777" w:rsidTr="00951CC0">
        <w:trPr>
          <w:trHeight w:val="330"/>
        </w:trPr>
        <w:tc>
          <w:tcPr>
            <w:tcW w:w="893" w:type="dxa"/>
            <w:vAlign w:val="center"/>
          </w:tcPr>
          <w:p w14:paraId="05BA0078" w14:textId="77777777" w:rsidR="00EB1275" w:rsidRPr="003751C7" w:rsidRDefault="00EB1275" w:rsidP="00951CC0">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BB0ADB8" w14:textId="77777777" w:rsidR="00EB1275" w:rsidRPr="00EB1CF7" w:rsidRDefault="00EB1275" w:rsidP="00951CC0">
            <w:pPr>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Carolina Quintero </w:t>
            </w:r>
            <w:proofErr w:type="spellStart"/>
            <w:r>
              <w:rPr>
                <w:rFonts w:ascii="Verdana" w:eastAsia="Calibri" w:hAnsi="Verdana" w:cs="Arial"/>
                <w:sz w:val="16"/>
                <w:szCs w:val="16"/>
                <w:lang w:val="pt-BR" w:eastAsia="es-ES"/>
              </w:rPr>
              <w:t>Gacharná</w:t>
            </w:r>
            <w:proofErr w:type="spellEnd"/>
          </w:p>
          <w:p w14:paraId="5405598A" w14:textId="4A8B39A7" w:rsidR="00EB1275" w:rsidRDefault="00EB1275" w:rsidP="00951CC0">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Gestión Contratual</w:t>
            </w:r>
            <w:r>
              <w:rPr>
                <w:rFonts w:ascii="Verdana" w:eastAsia="Calibri" w:hAnsi="Verdana" w:cs="Arial"/>
                <w:sz w:val="16"/>
                <w:szCs w:val="16"/>
                <w:lang w:val="pt-BR" w:eastAsia="es-ES"/>
              </w:rPr>
              <w:t xml:space="preserve"> </w:t>
            </w:r>
            <w:r w:rsidR="0075721A">
              <w:rPr>
                <w:rFonts w:ascii="Verdana" w:eastAsia="Calibri" w:hAnsi="Verdana" w:cs="Arial"/>
                <w:sz w:val="16"/>
                <w:szCs w:val="16"/>
                <w:lang w:val="pt-BR" w:eastAsia="es-ES"/>
              </w:rPr>
              <w:t>-</w:t>
            </w:r>
            <w:r w:rsidRPr="00EB1CF7">
              <w:rPr>
                <w:rFonts w:ascii="Verdana" w:eastAsia="Calibri" w:hAnsi="Verdana" w:cs="Arial"/>
                <w:sz w:val="16"/>
                <w:szCs w:val="16"/>
                <w:lang w:val="pt-BR" w:eastAsia="es-ES"/>
              </w:rPr>
              <w:t xml:space="preserve"> ANCP – CCE</w:t>
            </w:r>
          </w:p>
        </w:tc>
      </w:tr>
    </w:tbl>
    <w:p w14:paraId="41DF134D" w14:textId="77777777" w:rsidR="00EB1275" w:rsidRPr="00EA6F8B" w:rsidRDefault="00EB1275" w:rsidP="00EB1275"/>
    <w:p w14:paraId="25F455E7" w14:textId="77777777" w:rsidR="00EB1275" w:rsidRPr="00EA7EA8" w:rsidRDefault="00EB1275" w:rsidP="00EB1275"/>
    <w:p w14:paraId="3900974D" w14:textId="77777777" w:rsidR="003D5B0D" w:rsidRPr="00A43CCC" w:rsidRDefault="003D5B0D" w:rsidP="00A43CCC"/>
    <w:sectPr w:rsidR="003D5B0D" w:rsidRPr="00A43CCC"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C9DCB" w14:textId="77777777" w:rsidR="004D04B5" w:rsidRDefault="004D04B5" w:rsidP="004A1847">
      <w:pPr>
        <w:spacing w:after="0" w:line="240" w:lineRule="auto"/>
      </w:pPr>
      <w:r>
        <w:separator/>
      </w:r>
    </w:p>
  </w:endnote>
  <w:endnote w:type="continuationSeparator" w:id="0">
    <w:p w14:paraId="154E9F10" w14:textId="77777777" w:rsidR="004D04B5" w:rsidRDefault="004D04B5" w:rsidP="004A1847">
      <w:pPr>
        <w:spacing w:after="0" w:line="240" w:lineRule="auto"/>
      </w:pPr>
      <w:r>
        <w:continuationSeparator/>
      </w:r>
    </w:p>
  </w:endnote>
  <w:endnote w:type="continuationNotice" w:id="1">
    <w:p w14:paraId="16C37966" w14:textId="77777777" w:rsidR="004D04B5" w:rsidRDefault="004D04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11DF7" w14:textId="77777777" w:rsidR="004D04B5" w:rsidRDefault="004D04B5" w:rsidP="004A1847">
      <w:pPr>
        <w:spacing w:after="0" w:line="240" w:lineRule="auto"/>
      </w:pPr>
      <w:r>
        <w:separator/>
      </w:r>
    </w:p>
  </w:footnote>
  <w:footnote w:type="continuationSeparator" w:id="0">
    <w:p w14:paraId="449F963C" w14:textId="77777777" w:rsidR="004D04B5" w:rsidRDefault="004D04B5" w:rsidP="004A1847">
      <w:pPr>
        <w:spacing w:after="0" w:line="240" w:lineRule="auto"/>
      </w:pPr>
      <w:r>
        <w:continuationSeparator/>
      </w:r>
    </w:p>
  </w:footnote>
  <w:footnote w:type="continuationNotice" w:id="1">
    <w:p w14:paraId="4EB28CBF" w14:textId="77777777" w:rsidR="004D04B5" w:rsidRDefault="004D04B5">
      <w:pPr>
        <w:spacing w:after="0" w:line="240" w:lineRule="auto"/>
      </w:pPr>
    </w:p>
  </w:footnote>
  <w:footnote w:id="2">
    <w:p w14:paraId="3FF38FAC" w14:textId="5CE4721A" w:rsidR="00EB1275" w:rsidRDefault="00EB1275" w:rsidP="00EE69C3">
      <w:pPr>
        <w:pStyle w:val="Textonotapie"/>
        <w:ind w:firstLine="709"/>
        <w:contextualSpacing/>
        <w:jc w:val="both"/>
        <w:rPr>
          <w:rFonts w:ascii="Verdana" w:hAnsi="Verdana"/>
          <w:sz w:val="16"/>
          <w:szCs w:val="16"/>
          <w:lang w:val="es-ES"/>
        </w:rPr>
      </w:pPr>
      <w:r w:rsidRPr="00751E10">
        <w:rPr>
          <w:rStyle w:val="Refdenotaalpie"/>
          <w:rFonts w:ascii="Verdana" w:hAnsi="Verdana"/>
          <w:sz w:val="16"/>
          <w:szCs w:val="16"/>
        </w:rPr>
        <w:footnoteRef/>
      </w:r>
      <w:r w:rsidRPr="00751E10">
        <w:rPr>
          <w:rFonts w:ascii="Verdana" w:hAnsi="Verdana"/>
          <w:sz w:val="16"/>
          <w:szCs w:val="16"/>
        </w:rPr>
        <w:t xml:space="preserve"> </w:t>
      </w:r>
      <w:bookmarkStart w:id="1" w:name="_Hlk193296629"/>
      <w:r w:rsidRPr="00751E10">
        <w:rPr>
          <w:rFonts w:ascii="Verdana" w:hAnsi="Verdana"/>
          <w:sz w:val="16"/>
          <w:szCs w:val="16"/>
          <w:lang w:val="es-ES"/>
        </w:rPr>
        <w:t>Ley 80 de 1993, Artículo 40, parágrafo</w:t>
      </w:r>
      <w:bookmarkEnd w:id="1"/>
      <w:r w:rsidRPr="00751E10">
        <w:rPr>
          <w:rFonts w:ascii="Verdana" w:hAnsi="Verdana"/>
          <w:sz w:val="16"/>
          <w:szCs w:val="16"/>
          <w:lang w:val="es-ES"/>
        </w:rPr>
        <w:t>: “[…] Los contratos no podrán adicionarse en más del cincuenta por ciento (50%) de su valor inicial, expresado éste en salarios mínimos legales mensuales”</w:t>
      </w:r>
      <w:r w:rsidR="00EE69C3">
        <w:rPr>
          <w:rFonts w:ascii="Verdana" w:hAnsi="Verdana"/>
          <w:sz w:val="16"/>
          <w:szCs w:val="16"/>
          <w:lang w:val="es-ES"/>
        </w:rPr>
        <w:t xml:space="preserve">. </w:t>
      </w:r>
    </w:p>
    <w:p w14:paraId="0C123C17" w14:textId="7029B420" w:rsidR="00EB1275" w:rsidRPr="00751E10" w:rsidRDefault="00EB1275" w:rsidP="00A3067E">
      <w:pPr>
        <w:pStyle w:val="Textonotapie"/>
        <w:ind w:firstLine="709"/>
        <w:contextualSpacing/>
        <w:jc w:val="both"/>
        <w:rPr>
          <w:rFonts w:ascii="Verdana" w:hAnsi="Verdana"/>
          <w:sz w:val="16"/>
          <w:szCs w:val="16"/>
          <w:lang w:val="es-ES"/>
        </w:rPr>
      </w:pPr>
    </w:p>
  </w:footnote>
  <w:footnote w:id="3">
    <w:p w14:paraId="7DDB951E" w14:textId="77777777" w:rsidR="00EB1275" w:rsidRPr="00751E10" w:rsidRDefault="00EB1275" w:rsidP="0062317C">
      <w:pPr>
        <w:pStyle w:val="Textonotapie"/>
        <w:ind w:firstLine="709"/>
        <w:contextualSpacing/>
        <w:jc w:val="both"/>
        <w:rPr>
          <w:rFonts w:ascii="Verdana" w:hAnsi="Verdana" w:cs="Arial"/>
          <w:sz w:val="16"/>
          <w:szCs w:val="16"/>
          <w:lang w:val="es-ES_tradnl"/>
        </w:rPr>
      </w:pPr>
      <w:r w:rsidRPr="00751E10">
        <w:rPr>
          <w:rStyle w:val="Refdenotaalpie"/>
          <w:rFonts w:ascii="Verdana" w:hAnsi="Verdana" w:cs="Arial"/>
          <w:sz w:val="16"/>
          <w:szCs w:val="16"/>
        </w:rPr>
        <w:footnoteRef/>
      </w:r>
      <w:r w:rsidRPr="00751E10">
        <w:rPr>
          <w:rFonts w:ascii="Verdana" w:hAnsi="Verdana" w:cs="Arial"/>
          <w:sz w:val="16"/>
          <w:szCs w:val="16"/>
        </w:rPr>
        <w:t xml:space="preserve"> Los acuerdos de voluntades que no cumplan con esta formalidad se consideran inexistentes, por lo tanto, tal como lo ha planteado el Consejo de Estado en el </w:t>
      </w:r>
      <w:bookmarkStart w:id="3" w:name="_Hlk193296747"/>
      <w:r w:rsidRPr="00751E10">
        <w:rPr>
          <w:rFonts w:ascii="Verdana" w:hAnsi="Verdana" w:cs="Arial"/>
          <w:sz w:val="16"/>
          <w:szCs w:val="16"/>
        </w:rPr>
        <w:t>Concepto 2263 del 17 de marzo del 2017</w:t>
      </w:r>
      <w:bookmarkEnd w:id="3"/>
      <w:r w:rsidRPr="00751E10">
        <w:rPr>
          <w:rFonts w:ascii="Verdana" w:hAnsi="Verdana" w:cs="Arial"/>
          <w:sz w:val="16"/>
          <w:szCs w:val="16"/>
        </w:rPr>
        <w:t>,  “las eventuales reclamaciones contractuales que pueda presentar un particular sobre prestaciones realizadas, sin la previa modificación del mismo, están llamadas al fracaso, pues la Administración no puede reconocer situaciones de hecho u obligaciones dinerarias con cargo a un contrato que estipula obligaciones distintas</w:t>
      </w:r>
      <w:r w:rsidRPr="00751E10">
        <w:rPr>
          <w:rFonts w:ascii="Verdana" w:hAnsi="Verdana" w:cs="Arial"/>
          <w:sz w:val="16"/>
          <w:szCs w:val="16"/>
          <w:lang w:val="es-ES_tradnl"/>
        </w:rPr>
        <w:t>”.</w:t>
      </w:r>
    </w:p>
    <w:p w14:paraId="6BF4A5B8" w14:textId="77777777" w:rsidR="00EB1275" w:rsidRPr="00751E10" w:rsidRDefault="00EB1275" w:rsidP="0062317C">
      <w:pPr>
        <w:pStyle w:val="Textonotapie"/>
        <w:ind w:firstLine="709"/>
        <w:contextualSpacing/>
        <w:jc w:val="both"/>
        <w:rPr>
          <w:rFonts w:ascii="Verdana" w:hAnsi="Verdana" w:cs="Arial"/>
          <w:sz w:val="16"/>
          <w:szCs w:val="16"/>
          <w:lang w:val="es-CO"/>
        </w:rPr>
      </w:pPr>
    </w:p>
  </w:footnote>
  <w:footnote w:id="4">
    <w:p w14:paraId="23866D92" w14:textId="3EC6CA0D" w:rsidR="00EB1275" w:rsidRDefault="00EB1275" w:rsidP="00EE69C3">
      <w:pPr>
        <w:pStyle w:val="Textonotapie"/>
        <w:ind w:firstLine="709"/>
        <w:contextualSpacing/>
        <w:jc w:val="both"/>
        <w:rPr>
          <w:rFonts w:ascii="Verdana" w:hAnsi="Verdana" w:cs="Arial"/>
          <w:sz w:val="16"/>
          <w:szCs w:val="16"/>
        </w:rPr>
      </w:pPr>
      <w:r w:rsidRPr="00751E10">
        <w:rPr>
          <w:rStyle w:val="Refdenotaalpie"/>
          <w:rFonts w:ascii="Verdana" w:hAnsi="Verdana" w:cs="Arial"/>
          <w:sz w:val="16"/>
          <w:szCs w:val="16"/>
        </w:rPr>
        <w:footnoteRef/>
      </w:r>
      <w:r w:rsidRPr="00751E10">
        <w:rPr>
          <w:rFonts w:ascii="Verdana" w:hAnsi="Verdana" w:cs="Arial"/>
          <w:sz w:val="16"/>
          <w:szCs w:val="16"/>
        </w:rPr>
        <w:t xml:space="preserve"> </w:t>
      </w:r>
      <w:r w:rsidRPr="00751E10">
        <w:rPr>
          <w:rFonts w:ascii="Verdana" w:hAnsi="Verdana" w:cs="Arial"/>
          <w:sz w:val="16"/>
          <w:szCs w:val="16"/>
        </w:rPr>
        <w:t>Ibídem</w:t>
      </w:r>
      <w:r w:rsidR="00EE69C3">
        <w:rPr>
          <w:rFonts w:ascii="Verdana" w:hAnsi="Verdana" w:cs="Arial"/>
          <w:sz w:val="16"/>
          <w:szCs w:val="16"/>
        </w:rPr>
        <w:t xml:space="preserve">. </w:t>
      </w:r>
    </w:p>
    <w:p w14:paraId="087F1DEE" w14:textId="77777777" w:rsidR="00EB1275" w:rsidRPr="00751E10" w:rsidRDefault="00EB1275" w:rsidP="00A3067E">
      <w:pPr>
        <w:pStyle w:val="Textonotapie"/>
        <w:ind w:firstLine="709"/>
        <w:contextualSpacing/>
        <w:jc w:val="both"/>
        <w:rPr>
          <w:rFonts w:ascii="Verdana" w:hAnsi="Verdana" w:cs="Arial"/>
          <w:sz w:val="16"/>
          <w:szCs w:val="16"/>
          <w:lang w:val="es-CO"/>
        </w:rPr>
      </w:pPr>
    </w:p>
  </w:footnote>
  <w:footnote w:id="5">
    <w:p w14:paraId="772638E7" w14:textId="77777777" w:rsidR="00EB1275" w:rsidRPr="00751E10" w:rsidRDefault="00EB1275" w:rsidP="00EB1275">
      <w:pPr>
        <w:pStyle w:val="Textonotapie"/>
        <w:ind w:firstLine="709"/>
        <w:contextualSpacing/>
        <w:jc w:val="both"/>
        <w:rPr>
          <w:rFonts w:ascii="Verdana" w:hAnsi="Verdana" w:cstheme="minorHAnsi"/>
          <w:sz w:val="16"/>
          <w:szCs w:val="16"/>
        </w:rPr>
      </w:pPr>
      <w:r w:rsidRPr="00751E10">
        <w:rPr>
          <w:rStyle w:val="Refdenotaalpie"/>
          <w:rFonts w:ascii="Verdana" w:hAnsi="Verdana" w:cstheme="minorHAnsi"/>
          <w:sz w:val="16"/>
          <w:szCs w:val="16"/>
        </w:rPr>
        <w:footnoteRef/>
      </w:r>
      <w:r w:rsidRPr="00751E10">
        <w:rPr>
          <w:rFonts w:ascii="Verdana" w:hAnsi="Verdana" w:cstheme="minorHAnsi"/>
          <w:sz w:val="16"/>
          <w:szCs w:val="16"/>
        </w:rPr>
        <w:t xml:space="preserve"> Lo anterior, sin perjuicio de la posibilidad que establece el artículo 41 del CPACA frente a la posibilidad de corregir irregularidades en la actuación administrativa, previo a la expedición del acto administrativo respectivo. Dicho artículo prescribe: “Artículo 41. corrección de irregularidades en la actuación administrativa. La autoridad, en cualquier momento anterior a la expedición del acto, de oficio o a petición de parte, corregirá las irregularidades que se hayan presentado en la actuación administrativa para ajustarla a derecho, y adoptará las medidas necesarias para concluirla”.</w:t>
      </w:r>
    </w:p>
    <w:p w14:paraId="1061DEF8" w14:textId="77777777" w:rsidR="00EB1275" w:rsidRPr="00751E10" w:rsidRDefault="00EB1275" w:rsidP="00EB1275">
      <w:pPr>
        <w:pStyle w:val="Textonotapie"/>
        <w:ind w:firstLine="709"/>
        <w:contextualSpacing/>
        <w:jc w:val="both"/>
        <w:rPr>
          <w:rFonts w:ascii="Verdana" w:hAnsi="Verdana" w:cstheme="minorHAnsi"/>
          <w:sz w:val="16"/>
          <w:szCs w:val="16"/>
        </w:rPr>
      </w:pPr>
    </w:p>
  </w:footnote>
  <w:footnote w:id="6">
    <w:p w14:paraId="15B39D0C" w14:textId="77777777" w:rsidR="00EB1275" w:rsidRDefault="00EB1275" w:rsidP="00EE69C3">
      <w:pPr>
        <w:pStyle w:val="Textonotapie"/>
        <w:ind w:firstLine="709"/>
        <w:contextualSpacing/>
        <w:jc w:val="both"/>
        <w:rPr>
          <w:rFonts w:ascii="Verdana" w:hAnsi="Verdana" w:cs="Arial"/>
          <w:sz w:val="16"/>
          <w:szCs w:val="16"/>
        </w:rPr>
      </w:pPr>
      <w:r w:rsidRPr="00751E10">
        <w:rPr>
          <w:rStyle w:val="Refdenotaalpie"/>
          <w:rFonts w:ascii="Verdana" w:hAnsi="Verdana" w:cs="Arial"/>
          <w:sz w:val="16"/>
          <w:szCs w:val="16"/>
        </w:rPr>
        <w:footnoteRef/>
      </w:r>
      <w:r w:rsidRPr="00751E10">
        <w:rPr>
          <w:rFonts w:ascii="Verdana" w:hAnsi="Verdana" w:cs="Arial"/>
          <w:sz w:val="16"/>
          <w:szCs w:val="16"/>
        </w:rPr>
        <w:t xml:space="preserve"> SANTOFIMIO GAMBÓA, Jaime Orlando. Compendio de Derecho Administrativo. Editorial Universidad Externado de Colombia. Págs. 672-673. Bogotá, 2017.</w:t>
      </w:r>
    </w:p>
    <w:p w14:paraId="46162A53" w14:textId="77777777" w:rsidR="00EB1275" w:rsidRPr="00751E10" w:rsidRDefault="00EB1275" w:rsidP="00A3067E">
      <w:pPr>
        <w:pStyle w:val="Textonotapie"/>
        <w:ind w:firstLine="709"/>
        <w:contextualSpacing/>
        <w:jc w:val="both"/>
        <w:rPr>
          <w:rFonts w:ascii="Verdana" w:hAnsi="Verdana"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35D3"/>
    <w:rsid w:val="00046945"/>
    <w:rsid w:val="00061B2A"/>
    <w:rsid w:val="00082362"/>
    <w:rsid w:val="000A2C88"/>
    <w:rsid w:val="000A683E"/>
    <w:rsid w:val="000B19B9"/>
    <w:rsid w:val="000D0334"/>
    <w:rsid w:val="000F6486"/>
    <w:rsid w:val="00125105"/>
    <w:rsid w:val="00127233"/>
    <w:rsid w:val="001511A0"/>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4614F"/>
    <w:rsid w:val="00374F5E"/>
    <w:rsid w:val="00377E3E"/>
    <w:rsid w:val="0038688D"/>
    <w:rsid w:val="003A779E"/>
    <w:rsid w:val="003D0F4D"/>
    <w:rsid w:val="003D5B0D"/>
    <w:rsid w:val="003E0499"/>
    <w:rsid w:val="003F3941"/>
    <w:rsid w:val="00406575"/>
    <w:rsid w:val="00414C74"/>
    <w:rsid w:val="0042722E"/>
    <w:rsid w:val="0044528D"/>
    <w:rsid w:val="004A1847"/>
    <w:rsid w:val="004A305D"/>
    <w:rsid w:val="004D04B5"/>
    <w:rsid w:val="004F21C4"/>
    <w:rsid w:val="004F685F"/>
    <w:rsid w:val="005566E8"/>
    <w:rsid w:val="00574867"/>
    <w:rsid w:val="00591460"/>
    <w:rsid w:val="005B3816"/>
    <w:rsid w:val="005C3777"/>
    <w:rsid w:val="005C5CDC"/>
    <w:rsid w:val="005D476C"/>
    <w:rsid w:val="00614367"/>
    <w:rsid w:val="006219F8"/>
    <w:rsid w:val="0062317C"/>
    <w:rsid w:val="0063740F"/>
    <w:rsid w:val="00665D70"/>
    <w:rsid w:val="006900D9"/>
    <w:rsid w:val="006B566F"/>
    <w:rsid w:val="00706C16"/>
    <w:rsid w:val="0072574D"/>
    <w:rsid w:val="00756841"/>
    <w:rsid w:val="0075721A"/>
    <w:rsid w:val="007649AB"/>
    <w:rsid w:val="00771D0C"/>
    <w:rsid w:val="00780323"/>
    <w:rsid w:val="007833AC"/>
    <w:rsid w:val="007B1F1C"/>
    <w:rsid w:val="007B268C"/>
    <w:rsid w:val="007B7171"/>
    <w:rsid w:val="007C0C0F"/>
    <w:rsid w:val="007C3DC2"/>
    <w:rsid w:val="007E5497"/>
    <w:rsid w:val="00806F5F"/>
    <w:rsid w:val="00820278"/>
    <w:rsid w:val="00841D2D"/>
    <w:rsid w:val="00867F95"/>
    <w:rsid w:val="008843B6"/>
    <w:rsid w:val="00891928"/>
    <w:rsid w:val="008A446D"/>
    <w:rsid w:val="008D180B"/>
    <w:rsid w:val="008F0EA7"/>
    <w:rsid w:val="00923EEF"/>
    <w:rsid w:val="009419F9"/>
    <w:rsid w:val="0095403B"/>
    <w:rsid w:val="0095685E"/>
    <w:rsid w:val="00961B09"/>
    <w:rsid w:val="00965334"/>
    <w:rsid w:val="0097093E"/>
    <w:rsid w:val="00986AC5"/>
    <w:rsid w:val="00994F73"/>
    <w:rsid w:val="009A0DFA"/>
    <w:rsid w:val="009B2D26"/>
    <w:rsid w:val="009C71FA"/>
    <w:rsid w:val="009C72E7"/>
    <w:rsid w:val="009D3058"/>
    <w:rsid w:val="009F3A13"/>
    <w:rsid w:val="00A122D3"/>
    <w:rsid w:val="00A17F13"/>
    <w:rsid w:val="00A20739"/>
    <w:rsid w:val="00A24A49"/>
    <w:rsid w:val="00A3067E"/>
    <w:rsid w:val="00A33C78"/>
    <w:rsid w:val="00A43CCC"/>
    <w:rsid w:val="00AB0ADB"/>
    <w:rsid w:val="00B01B1A"/>
    <w:rsid w:val="00B53741"/>
    <w:rsid w:val="00B66319"/>
    <w:rsid w:val="00B67BE8"/>
    <w:rsid w:val="00B72CD3"/>
    <w:rsid w:val="00B72FFF"/>
    <w:rsid w:val="00BC3D36"/>
    <w:rsid w:val="00BD7F72"/>
    <w:rsid w:val="00BE609F"/>
    <w:rsid w:val="00C04FB3"/>
    <w:rsid w:val="00C143A7"/>
    <w:rsid w:val="00C330EB"/>
    <w:rsid w:val="00C41061"/>
    <w:rsid w:val="00C6396B"/>
    <w:rsid w:val="00C754BE"/>
    <w:rsid w:val="00C76B1C"/>
    <w:rsid w:val="00CA0A5F"/>
    <w:rsid w:val="00CA1FE5"/>
    <w:rsid w:val="00CB6357"/>
    <w:rsid w:val="00CC1B26"/>
    <w:rsid w:val="00D0352A"/>
    <w:rsid w:val="00D423A2"/>
    <w:rsid w:val="00D520D8"/>
    <w:rsid w:val="00D63AC2"/>
    <w:rsid w:val="00D7383B"/>
    <w:rsid w:val="00DA231B"/>
    <w:rsid w:val="00DC39FC"/>
    <w:rsid w:val="00DF5254"/>
    <w:rsid w:val="00E16408"/>
    <w:rsid w:val="00E20894"/>
    <w:rsid w:val="00E245AB"/>
    <w:rsid w:val="00E2764C"/>
    <w:rsid w:val="00E27F2E"/>
    <w:rsid w:val="00E46E4D"/>
    <w:rsid w:val="00E50AFE"/>
    <w:rsid w:val="00E562F4"/>
    <w:rsid w:val="00E75C92"/>
    <w:rsid w:val="00E771DC"/>
    <w:rsid w:val="00E8772A"/>
    <w:rsid w:val="00E90F6B"/>
    <w:rsid w:val="00E92C27"/>
    <w:rsid w:val="00EA0E3D"/>
    <w:rsid w:val="00EB1275"/>
    <w:rsid w:val="00EC38A7"/>
    <w:rsid w:val="00ED7384"/>
    <w:rsid w:val="00EE1AA8"/>
    <w:rsid w:val="00EE69C3"/>
    <w:rsid w:val="00F31EDC"/>
    <w:rsid w:val="00F462B3"/>
    <w:rsid w:val="00F5664F"/>
    <w:rsid w:val="00F666C4"/>
    <w:rsid w:val="00F76AFC"/>
    <w:rsid w:val="00F92637"/>
    <w:rsid w:val="00FA47C0"/>
    <w:rsid w:val="00FB5DD1"/>
    <w:rsid w:val="00FC2B5D"/>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B127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B1275"/>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ablocediel04@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F5763B3-CCAF-46F0-AF4B-C1820415B0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9d85dbaf-23eb-4e57-a637-93dcacc8b1a1"/>
    <ds:schemaRef ds:uri="a6cb9e4b-f1d1-4245-83ec-6cad768d538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3932</Words>
  <Characters>21631</Characters>
  <Application>Microsoft Office Word</Application>
  <DocSecurity>0</DocSecurity>
  <Lines>180</Lines>
  <Paragraphs>51</Paragraphs>
  <ScaleCrop>false</ScaleCrop>
  <Company/>
  <LinksUpToDate>false</LinksUpToDate>
  <CharactersWithSpaces>25512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2025-08-20T17:12:00Z</dcterms:created>
  <dcterms:modified xsi:type="dcterms:W3CDTF">2025-08-20T17:12:00Z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