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372E4" w14:textId="267118DF" w:rsidR="00E1495A" w:rsidRPr="002C0CDC" w:rsidRDefault="00E1495A" w:rsidP="002C0CDC">
      <w:pPr>
        <w:spacing w:after="0" w:line="276" w:lineRule="auto"/>
        <w:jc w:val="both"/>
        <w:rPr>
          <w:rFonts w:ascii="Verdana" w:eastAsia="Geomanist Light" w:hAnsi="Verdana" w:cs="Arial"/>
          <w:b/>
          <w:bCs/>
          <w:lang w:val="es-ES_tradnl"/>
        </w:rPr>
      </w:pPr>
      <w:r w:rsidRPr="002C0CDC">
        <w:rPr>
          <w:rFonts w:ascii="Verdana" w:eastAsia="Calibri" w:hAnsi="Verdana" w:cs="Arial"/>
          <w:b/>
          <w:bCs/>
          <w:lang w:val="es-ES_tradnl"/>
        </w:rPr>
        <w:t>GARANTÍA DE ESTABILIDAD Y CALIDAD DE LA OBRA – Concepto – Características</w:t>
      </w:r>
    </w:p>
    <w:p w14:paraId="417B720A" w14:textId="77777777" w:rsidR="00E1495A" w:rsidRPr="002C0CDC" w:rsidRDefault="00E1495A" w:rsidP="002C0CDC">
      <w:pPr>
        <w:spacing w:after="0" w:line="276" w:lineRule="auto"/>
        <w:jc w:val="both"/>
        <w:rPr>
          <w:rFonts w:ascii="Verdana" w:eastAsia="Geomanist Light" w:hAnsi="Verdana" w:cs="Arial"/>
          <w:lang w:val="es-ES_tradnl"/>
        </w:rPr>
      </w:pPr>
    </w:p>
    <w:p w14:paraId="37D2C1F9" w14:textId="77777777" w:rsidR="00E1495A" w:rsidRPr="002C0CDC" w:rsidRDefault="00E1495A" w:rsidP="002C0CDC">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2C0CDC">
        <w:rPr>
          <w:rFonts w:ascii="Verdana" w:eastAsia="Times New Roman" w:hAnsi="Verdana" w:cs="Arial"/>
          <w:kern w:val="2"/>
          <w:sz w:val="20"/>
          <w:szCs w:val="20"/>
          <w:shd w:val="clear" w:color="auto" w:fill="FFFFFF"/>
          <w:lang w:val="es-ES" w:eastAsia="es-ES"/>
          <w14:ligatures w14:val="standardContextual"/>
        </w:rPr>
        <w:t xml:space="preserve">Ahora bien, tratándose del amparo de estabilidad y calidad de la obra, sin perjuicio de la garantía decenal de que trata el artículo 2060 del Código </w:t>
      </w:r>
      <w:proofErr w:type="gramStart"/>
      <w:r w:rsidRPr="002C0CDC">
        <w:rPr>
          <w:rFonts w:ascii="Verdana" w:eastAsia="Times New Roman" w:hAnsi="Verdana" w:cs="Arial"/>
          <w:kern w:val="2"/>
          <w:sz w:val="20"/>
          <w:szCs w:val="20"/>
          <w:shd w:val="clear" w:color="auto" w:fill="FFFFFF"/>
          <w:lang w:val="es-ES" w:eastAsia="es-ES"/>
          <w14:ligatures w14:val="standardContextual"/>
        </w:rPr>
        <w:t>Civil ,</w:t>
      </w:r>
      <w:proofErr w:type="gramEnd"/>
      <w:r w:rsidRPr="002C0CDC">
        <w:rPr>
          <w:rFonts w:ascii="Verdana" w:eastAsia="Times New Roman" w:hAnsi="Verdana" w:cs="Arial"/>
          <w:kern w:val="2"/>
          <w:sz w:val="20"/>
          <w:szCs w:val="20"/>
          <w:shd w:val="clear" w:color="auto" w:fill="FFFFFF"/>
          <w:lang w:val="es-ES" w:eastAsia="es-ES"/>
          <w14:ligatures w14:val="standardContextual"/>
        </w:rPr>
        <w:t xml:space="preserve"> el numeral 5 del artículo 2.2.1.2.3.1.7 del Decreto 1082 de 2015 dispone que “[…] cubre a la Entidad Estatal de los perjuicios ocasionados por cualquier tipo de daño o deterioro, imputable al contratista, sufrido por la obra entregada a satisfacción”.</w:t>
      </w:r>
    </w:p>
    <w:p w14:paraId="2B684D38" w14:textId="77777777" w:rsidR="00E1495A" w:rsidRPr="002C0CDC" w:rsidRDefault="00E1495A" w:rsidP="002C0CDC">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2C0CDC">
        <w:rPr>
          <w:rFonts w:ascii="Verdana" w:eastAsia="Times New Roman" w:hAnsi="Verdana" w:cs="Arial"/>
          <w:kern w:val="2"/>
          <w:sz w:val="20"/>
          <w:szCs w:val="20"/>
          <w:shd w:val="clear" w:color="auto" w:fill="FFFFFF"/>
          <w:lang w:val="es-ES_tradnl" w:eastAsia="es-ES_tradnl"/>
          <w14:ligatures w14:val="standardContextual"/>
        </w:rPr>
        <w:t>[…]</w:t>
      </w:r>
    </w:p>
    <w:p w14:paraId="5B671610" w14:textId="77777777" w:rsidR="00E1495A" w:rsidRPr="002C0CDC" w:rsidRDefault="00E1495A" w:rsidP="002C0CDC">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2C0CDC">
        <w:rPr>
          <w:rFonts w:ascii="Verdana" w:eastAsia="Times New Roman" w:hAnsi="Verdana" w:cs="Arial"/>
          <w:kern w:val="2"/>
          <w:sz w:val="20"/>
          <w:szCs w:val="20"/>
          <w:shd w:val="clear" w:color="auto" w:fill="FFFFFF"/>
          <w:lang w:val="es-ES" w:eastAsia="es-ES"/>
          <w14:ligatures w14:val="standardContextua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y el contratista está llamado a responder por ello.</w:t>
      </w:r>
    </w:p>
    <w:p w14:paraId="1CC650E9" w14:textId="77777777" w:rsidR="00E1495A" w:rsidRPr="002C0CDC" w:rsidRDefault="00E1495A" w:rsidP="002C0CDC">
      <w:pPr>
        <w:spacing w:after="0" w:line="276" w:lineRule="auto"/>
        <w:jc w:val="both"/>
        <w:rPr>
          <w:rFonts w:ascii="Verdana" w:eastAsia="Geomanist Light" w:hAnsi="Verdana" w:cs="Arial"/>
          <w:lang w:val="es-ES_tradnl"/>
        </w:rPr>
      </w:pPr>
    </w:p>
    <w:p w14:paraId="739F918B" w14:textId="066719C9" w:rsidR="00ED3A3E" w:rsidRPr="002C0CDC" w:rsidRDefault="00ED3A3E" w:rsidP="002C0CDC">
      <w:pPr>
        <w:pStyle w:val="Textoindependiente"/>
        <w:spacing w:before="187"/>
        <w:rPr>
          <w:rFonts w:ascii="Verdana" w:hAnsi="Verdana"/>
          <w:lang w:val="es-CO"/>
        </w:rPr>
      </w:pPr>
      <w:r w:rsidRPr="002C0CDC">
        <w:rPr>
          <w:rFonts w:ascii="Verdana" w:hAnsi="Verdana"/>
          <w:b/>
          <w:bCs/>
        </w:rPr>
        <w:t>MODIFICACIÓN DE LOS CONTRATOS ESTATALES – Procedencia – Principio de planeación</w:t>
      </w:r>
      <w:r w:rsidRPr="002C0CDC">
        <w:rPr>
          <w:rFonts w:ascii="Verdana" w:hAnsi="Verdana"/>
          <w:lang w:val="es-CO"/>
        </w:rPr>
        <w:t> </w:t>
      </w:r>
    </w:p>
    <w:p w14:paraId="4B9F7F9A" w14:textId="77777777" w:rsidR="00ED3A3E" w:rsidRPr="002C0CDC" w:rsidRDefault="00ED3A3E" w:rsidP="002C0CDC">
      <w:pPr>
        <w:pStyle w:val="Textoindependiente"/>
        <w:spacing w:before="187"/>
        <w:jc w:val="both"/>
        <w:rPr>
          <w:rFonts w:ascii="Verdana" w:hAnsi="Verdana"/>
          <w:sz w:val="20"/>
          <w:szCs w:val="20"/>
          <w:lang w:val="es-CO"/>
        </w:rPr>
      </w:pPr>
      <w:r w:rsidRPr="002C0CDC">
        <w:rPr>
          <w:rFonts w:ascii="Verdana" w:hAnsi="Verdana"/>
          <w:sz w:val="20"/>
          <w:szCs w:val="20"/>
          <w:lang w:val="es-CO"/>
        </w:rPr>
        <w:t>Sin perjuicio de lo expuesto, 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05E8A235" w14:textId="77777777" w:rsidR="00E1495A" w:rsidRPr="00ED3A3E" w:rsidRDefault="00E1495A">
      <w:pPr>
        <w:rPr>
          <w:rFonts w:ascii="Verdana" w:eastAsia="Calibri" w:hAnsi="Verdana" w:cs="Times New Roman"/>
          <w:sz w:val="20"/>
          <w:szCs w:val="20"/>
        </w:rPr>
      </w:pPr>
      <w:r w:rsidRPr="00ED3A3E">
        <w:rPr>
          <w:rFonts w:ascii="Verdana" w:eastAsia="Calibri" w:hAnsi="Verdana" w:cs="Times New Roman"/>
          <w:sz w:val="20"/>
          <w:szCs w:val="20"/>
        </w:rPr>
        <w:br w:type="page"/>
      </w:r>
    </w:p>
    <w:p w14:paraId="2F22899F" w14:textId="7570FF48" w:rsidR="00367D34" w:rsidRPr="00885EA6" w:rsidRDefault="00367D34" w:rsidP="00367D34">
      <w:pPr>
        <w:spacing w:after="0"/>
        <w:jc w:val="both"/>
        <w:rPr>
          <w:rFonts w:ascii="Verdana" w:hAnsi="Verdana"/>
          <w:lang w:val="es-MX"/>
        </w:rPr>
      </w:pPr>
      <w:r w:rsidRPr="00885EA6">
        <w:rPr>
          <w:rFonts w:ascii="Verdana" w:eastAsia="Calibri" w:hAnsi="Verdana" w:cs="Times New Roman"/>
        </w:rPr>
        <w:lastRenderedPageBreak/>
        <w:t xml:space="preserve">Bogotá D.C., </w:t>
      </w:r>
      <w:r w:rsidR="00413795">
        <w:rPr>
          <w:rFonts w:ascii="Verdana" w:eastAsia="Calibri" w:hAnsi="Verdana" w:cs="Times New Roman"/>
        </w:rPr>
        <w:t>29 Diciembre 2024</w:t>
      </w:r>
    </w:p>
    <w:p w14:paraId="5B065288" w14:textId="77777777" w:rsidR="00367D34" w:rsidRDefault="00367D34" w:rsidP="00367D34">
      <w:pPr>
        <w:spacing w:after="0"/>
        <w:jc w:val="both"/>
        <w:rPr>
          <w:rFonts w:ascii="Verdana" w:hAnsi="Verdana"/>
          <w:lang w:val="es-MX"/>
        </w:rPr>
      </w:pPr>
    </w:p>
    <w:p w14:paraId="5E824B0F" w14:textId="73EBDBF2" w:rsidR="00413795" w:rsidRPr="00885EA6" w:rsidRDefault="00413795" w:rsidP="00413795">
      <w:pPr>
        <w:spacing w:after="0"/>
        <w:jc w:val="right"/>
        <w:rPr>
          <w:rFonts w:ascii="Verdana" w:hAnsi="Verdana"/>
          <w:lang w:val="es-MX"/>
        </w:rPr>
      </w:pPr>
      <w:r w:rsidRPr="00413795">
        <w:rPr>
          <w:rFonts w:ascii="Verdana" w:hAnsi="Verdana"/>
          <w:lang w:val="es-MX"/>
        </w:rPr>
        <w:drawing>
          <wp:inline distT="0" distB="0" distL="0" distR="0" wp14:anchorId="3A61C1F5" wp14:editId="1861931E">
            <wp:extent cx="3202973" cy="916836"/>
            <wp:effectExtent l="0" t="0" r="0" b="0"/>
            <wp:docPr id="6628543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54333" name=""/>
                    <pic:cNvPicPr/>
                  </pic:nvPicPr>
                  <pic:blipFill>
                    <a:blip r:embed="rId10"/>
                    <a:stretch>
                      <a:fillRect/>
                    </a:stretch>
                  </pic:blipFill>
                  <pic:spPr>
                    <a:xfrm>
                      <a:off x="0" y="0"/>
                      <a:ext cx="3231212" cy="924919"/>
                    </a:xfrm>
                    <a:prstGeom prst="rect">
                      <a:avLst/>
                    </a:prstGeom>
                  </pic:spPr>
                </pic:pic>
              </a:graphicData>
            </a:graphic>
          </wp:inline>
        </w:drawing>
      </w:r>
    </w:p>
    <w:p w14:paraId="1C9906F9" w14:textId="41FFE6D3" w:rsidR="00367D34" w:rsidRPr="006F2001" w:rsidRDefault="00367D34" w:rsidP="00367D34">
      <w:pPr>
        <w:spacing w:after="0"/>
        <w:jc w:val="both"/>
        <w:rPr>
          <w:rFonts w:ascii="Verdana" w:hAnsi="Verdana"/>
          <w:lang w:val="es-MX"/>
        </w:rPr>
      </w:pPr>
      <w:r w:rsidRPr="006F2001">
        <w:rPr>
          <w:rFonts w:ascii="Verdana" w:hAnsi="Verdana"/>
          <w:lang w:val="es-MX"/>
        </w:rPr>
        <w:t>Señor</w:t>
      </w:r>
    </w:p>
    <w:p w14:paraId="35AD3096" w14:textId="2233692A" w:rsidR="00367D34" w:rsidRPr="006F2001" w:rsidRDefault="00F92832" w:rsidP="00367D34">
      <w:pPr>
        <w:spacing w:after="0"/>
        <w:jc w:val="both"/>
        <w:rPr>
          <w:rFonts w:ascii="Verdana" w:hAnsi="Verdana"/>
        </w:rPr>
      </w:pPr>
      <w:r w:rsidRPr="006F2001">
        <w:rPr>
          <w:rFonts w:ascii="Verdana" w:hAnsi="Verdana"/>
          <w:b/>
        </w:rPr>
        <w:t xml:space="preserve">Edgar Alexis </w:t>
      </w:r>
      <w:proofErr w:type="spellStart"/>
      <w:r w:rsidRPr="006F2001">
        <w:rPr>
          <w:rFonts w:ascii="Verdana" w:hAnsi="Verdana"/>
          <w:b/>
        </w:rPr>
        <w:t>Fernandez</w:t>
      </w:r>
      <w:proofErr w:type="spellEnd"/>
      <w:r w:rsidRPr="006F2001">
        <w:rPr>
          <w:rFonts w:ascii="Verdana" w:hAnsi="Verdana"/>
          <w:b/>
        </w:rPr>
        <w:t xml:space="preserve"> Cardona</w:t>
      </w:r>
      <w:r w:rsidRPr="006F2001">
        <w:rPr>
          <w:rFonts w:ascii="Verdana" w:hAnsi="Verdana"/>
          <w:b/>
        </w:rPr>
        <w:tab/>
      </w:r>
      <w:r w:rsidR="00367D34" w:rsidRPr="006F2001">
        <w:rPr>
          <w:rFonts w:ascii="Verdana" w:hAnsi="Verdana"/>
          <w:bCs/>
        </w:rPr>
        <w:br/>
      </w:r>
      <w:hyperlink r:id="rId11" w:history="1">
        <w:proofErr w:type="spellStart"/>
        <w:r w:rsidR="006F2001" w:rsidRPr="006F2001">
          <w:rPr>
            <w:rStyle w:val="Hipervnculo"/>
            <w:rFonts w:ascii="Verdana" w:hAnsi="Verdana"/>
          </w:rPr>
          <w:t>alexis.fernandez.cardona@gmail.com</w:t>
        </w:r>
        <w:proofErr w:type="spellEnd"/>
      </w:hyperlink>
    </w:p>
    <w:p w14:paraId="502DB1D3" w14:textId="77777777" w:rsidR="00367D34" w:rsidRPr="006F2001" w:rsidRDefault="00367D34" w:rsidP="00367D34">
      <w:pPr>
        <w:spacing w:after="0"/>
        <w:jc w:val="both"/>
        <w:rPr>
          <w:rFonts w:ascii="Verdana" w:hAnsi="Verdana"/>
        </w:rPr>
      </w:pPr>
      <w:r w:rsidRPr="006F2001">
        <w:rPr>
          <w:rFonts w:ascii="Verdana" w:hAnsi="Verdana"/>
        </w:rPr>
        <w:t xml:space="preserve">Bogotá </w:t>
      </w:r>
      <w:proofErr w:type="spellStart"/>
      <w:r w:rsidRPr="006F2001">
        <w:rPr>
          <w:rFonts w:ascii="Verdana" w:hAnsi="Verdana"/>
        </w:rPr>
        <w:t>D.C</w:t>
      </w:r>
      <w:proofErr w:type="spellEnd"/>
    </w:p>
    <w:p w14:paraId="040BC280" w14:textId="77777777" w:rsidR="00367D34" w:rsidRPr="00885EA6" w:rsidRDefault="00367D34" w:rsidP="00367D34">
      <w:pPr>
        <w:spacing w:after="0"/>
        <w:jc w:val="both"/>
        <w:rPr>
          <w:rFonts w:ascii="Verdana" w:hAnsi="Verdana"/>
        </w:rPr>
      </w:pPr>
    </w:p>
    <w:p w14:paraId="5231499E" w14:textId="3EEC9F0B" w:rsidR="00367D34" w:rsidRPr="00885EA6" w:rsidRDefault="00367D34" w:rsidP="00367D34">
      <w:pPr>
        <w:spacing w:after="0" w:line="240" w:lineRule="auto"/>
        <w:ind w:left="2694"/>
        <w:jc w:val="both"/>
        <w:rPr>
          <w:rFonts w:ascii="Verdana" w:eastAsia="Calibri" w:hAnsi="Verdana" w:cs="Arial"/>
          <w:b/>
          <w:bCs/>
          <w:lang w:val="es-ES" w:eastAsia="es-ES"/>
        </w:rPr>
      </w:pPr>
      <w:r w:rsidRPr="00885EA6">
        <w:rPr>
          <w:rFonts w:ascii="Verdana" w:eastAsia="Calibri" w:hAnsi="Verdana" w:cs="Arial"/>
          <w:b/>
          <w:bCs/>
          <w:lang w:val="es-ES" w:eastAsia="es-ES"/>
        </w:rPr>
        <w:t>Concepto C–</w:t>
      </w:r>
      <w:r w:rsidR="00532503">
        <w:rPr>
          <w:rFonts w:ascii="Verdana" w:eastAsia="Calibri" w:hAnsi="Verdana" w:cs="Arial"/>
          <w:b/>
          <w:bCs/>
          <w:lang w:val="es-ES" w:eastAsia="es-ES"/>
        </w:rPr>
        <w:t>898</w:t>
      </w:r>
      <w:r w:rsidRPr="00885EA6">
        <w:rPr>
          <w:rFonts w:ascii="Verdana" w:eastAsia="Calibri" w:hAnsi="Verdana" w:cs="Arial"/>
          <w:b/>
          <w:bCs/>
          <w:lang w:val="es-ES" w:eastAsia="es-ES"/>
        </w:rPr>
        <w:t xml:space="preserve"> de 2024</w:t>
      </w:r>
    </w:p>
    <w:p w14:paraId="47E2172D" w14:textId="77777777" w:rsidR="00367D34" w:rsidRPr="00885EA6" w:rsidRDefault="00367D34" w:rsidP="00367D34">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67D34" w:rsidRPr="00885EA6" w14:paraId="03663DD2" w14:textId="77777777" w:rsidTr="00BB0264">
        <w:trPr>
          <w:trHeight w:val="884"/>
        </w:trPr>
        <w:tc>
          <w:tcPr>
            <w:tcW w:w="2685" w:type="dxa"/>
            <w:hideMark/>
          </w:tcPr>
          <w:p w14:paraId="479FFEF3" w14:textId="77777777" w:rsidR="00367D34" w:rsidRPr="00520EAF" w:rsidRDefault="00367D34" w:rsidP="00BB0264">
            <w:pPr>
              <w:jc w:val="both"/>
              <w:rPr>
                <w:rFonts w:ascii="Verdana" w:eastAsia="Calibri" w:hAnsi="Verdana" w:cs="Arial"/>
                <w:b/>
                <w:bCs/>
                <w:szCs w:val="24"/>
                <w:lang w:val="es-ES_tradnl" w:eastAsia="es-ES_tradnl"/>
              </w:rPr>
            </w:pPr>
            <w:r w:rsidRPr="00520EAF">
              <w:rPr>
                <w:rFonts w:ascii="Verdana" w:eastAsia="Calibri" w:hAnsi="Verdana" w:cs="Arial"/>
                <w:b/>
                <w:bCs/>
                <w:szCs w:val="24"/>
                <w:lang w:val="es-ES_tradnl" w:eastAsia="es-ES_tradnl"/>
              </w:rPr>
              <w:t xml:space="preserve">Temas:                   </w:t>
            </w:r>
          </w:p>
        </w:tc>
        <w:tc>
          <w:tcPr>
            <w:tcW w:w="6241" w:type="dxa"/>
            <w:hideMark/>
          </w:tcPr>
          <w:p w14:paraId="2AF3DE66" w14:textId="3A3840BB" w:rsidR="00367D34" w:rsidRPr="00532503" w:rsidRDefault="00163285" w:rsidP="00BB0264">
            <w:pPr>
              <w:spacing w:line="276" w:lineRule="auto"/>
              <w:jc w:val="both"/>
              <w:rPr>
                <w:rFonts w:ascii="Verdana" w:hAnsi="Verdana"/>
                <w:highlight w:val="yellow"/>
              </w:rPr>
            </w:pPr>
            <w:r w:rsidRPr="00163285">
              <w:rPr>
                <w:rFonts w:ascii="Verdana" w:eastAsia="Calibri" w:hAnsi="Verdana" w:cs="Arial"/>
                <w:lang w:val="es-ES" w:eastAsia="es-ES"/>
              </w:rPr>
              <w:t>GARANTÍA DE ESTABILIDAD Y CALIDAD DE LA OBRA – Concepto – Características</w:t>
            </w:r>
            <w:r>
              <w:rPr>
                <w:rFonts w:ascii="Verdana" w:eastAsia="Calibri" w:hAnsi="Verdana" w:cs="Arial"/>
                <w:lang w:val="es-ES" w:eastAsia="es-ES"/>
              </w:rPr>
              <w:t>/</w:t>
            </w:r>
          </w:p>
        </w:tc>
        <w:tc>
          <w:tcPr>
            <w:tcW w:w="6237" w:type="dxa"/>
          </w:tcPr>
          <w:p w14:paraId="68A7AB5F" w14:textId="77777777" w:rsidR="00367D34" w:rsidRPr="00885EA6" w:rsidRDefault="00367D34" w:rsidP="00BB0264">
            <w:pPr>
              <w:jc w:val="both"/>
              <w:rPr>
                <w:rFonts w:ascii="Verdana" w:hAnsi="Verdana" w:cs="Arial"/>
                <w:lang w:val="es-ES"/>
              </w:rPr>
            </w:pPr>
          </w:p>
        </w:tc>
      </w:tr>
      <w:tr w:rsidR="00367D34" w:rsidRPr="00885EA6" w14:paraId="3B7C23DF" w14:textId="77777777" w:rsidTr="00BB0264">
        <w:tc>
          <w:tcPr>
            <w:tcW w:w="2685" w:type="dxa"/>
            <w:hideMark/>
          </w:tcPr>
          <w:p w14:paraId="045E60C2" w14:textId="77777777" w:rsidR="00367D34" w:rsidRPr="00885EA6" w:rsidRDefault="00367D34" w:rsidP="00BB0264">
            <w:pPr>
              <w:spacing w:before="120"/>
              <w:jc w:val="both"/>
              <w:rPr>
                <w:rFonts w:ascii="Verdana" w:eastAsia="Calibri" w:hAnsi="Verdana" w:cs="Arial"/>
                <w:b/>
                <w:bCs/>
                <w:szCs w:val="24"/>
                <w:lang w:val="es-ES_tradnl" w:eastAsia="es-ES_tradnl"/>
              </w:rPr>
            </w:pPr>
            <w:r w:rsidRPr="00885EA6">
              <w:rPr>
                <w:rFonts w:ascii="Verdana" w:eastAsia="Calibri" w:hAnsi="Verdana" w:cs="Arial"/>
                <w:b/>
                <w:bCs/>
                <w:szCs w:val="24"/>
                <w:lang w:val="es-ES_tradnl" w:eastAsia="es-ES_tradnl"/>
              </w:rPr>
              <w:t xml:space="preserve">Radicación:               </w:t>
            </w:r>
          </w:p>
        </w:tc>
        <w:tc>
          <w:tcPr>
            <w:tcW w:w="6241" w:type="dxa"/>
            <w:hideMark/>
          </w:tcPr>
          <w:p w14:paraId="33B2A02F" w14:textId="5B606D99" w:rsidR="00367D34" w:rsidRPr="00885EA6" w:rsidRDefault="00367D34" w:rsidP="00BB0264">
            <w:pPr>
              <w:spacing w:before="120" w:line="276" w:lineRule="auto"/>
              <w:jc w:val="both"/>
              <w:rPr>
                <w:rFonts w:ascii="Verdana" w:eastAsia="Calibri" w:hAnsi="Verdana" w:cs="Arial"/>
                <w:szCs w:val="24"/>
                <w:lang w:val="es-ES_tradnl" w:eastAsia="es-ES_tradnl"/>
              </w:rPr>
            </w:pPr>
            <w:r w:rsidRPr="00885EA6">
              <w:rPr>
                <w:rFonts w:ascii="Verdana" w:eastAsia="Calibri" w:hAnsi="Verdana" w:cs="Arial"/>
                <w:szCs w:val="24"/>
                <w:lang w:val="es-ES_tradnl" w:eastAsia="es-ES_tradnl"/>
              </w:rPr>
              <w:t xml:space="preserve">Respuesta a consulta con radicado No. </w:t>
            </w:r>
            <w:proofErr w:type="spellStart"/>
            <w:r w:rsidR="00532503" w:rsidRPr="00532503">
              <w:rPr>
                <w:rFonts w:ascii="Verdana" w:eastAsia="Calibri" w:hAnsi="Verdana" w:cs="Arial"/>
                <w:szCs w:val="24"/>
                <w:lang w:val="es-ES_tradnl" w:eastAsia="es-ES_tradnl"/>
              </w:rPr>
              <w:t>P20241120011684</w:t>
            </w:r>
            <w:proofErr w:type="spellEnd"/>
          </w:p>
        </w:tc>
        <w:tc>
          <w:tcPr>
            <w:tcW w:w="6237" w:type="dxa"/>
          </w:tcPr>
          <w:p w14:paraId="66B7FD45" w14:textId="77777777" w:rsidR="00367D34" w:rsidRPr="00885EA6" w:rsidRDefault="00367D34" w:rsidP="00BB0264">
            <w:pPr>
              <w:spacing w:before="120"/>
              <w:jc w:val="both"/>
              <w:rPr>
                <w:rFonts w:ascii="Verdana" w:eastAsia="Calibri" w:hAnsi="Verdana" w:cs="Arial"/>
                <w:szCs w:val="24"/>
                <w:lang w:val="es-ES_tradnl" w:eastAsia="es-ES_tradnl"/>
              </w:rPr>
            </w:pPr>
          </w:p>
        </w:tc>
      </w:tr>
    </w:tbl>
    <w:p w14:paraId="2478F9C1" w14:textId="77777777" w:rsidR="00367D34" w:rsidRPr="00885EA6" w:rsidRDefault="00367D34" w:rsidP="00367D34">
      <w:pPr>
        <w:spacing w:after="0" w:line="240" w:lineRule="auto"/>
        <w:jc w:val="both"/>
        <w:rPr>
          <w:rFonts w:ascii="Verdana" w:eastAsia="Calibri" w:hAnsi="Verdana" w:cs="Arial"/>
          <w:szCs w:val="24"/>
          <w:lang w:val="es-ES_tradnl" w:eastAsia="es-ES_tradnl"/>
        </w:rPr>
      </w:pPr>
    </w:p>
    <w:p w14:paraId="50122F7D" w14:textId="01C8C92A" w:rsidR="00367D34" w:rsidRPr="00885EA6" w:rsidRDefault="00532503" w:rsidP="00367D34">
      <w:pPr>
        <w:spacing w:after="0" w:line="240" w:lineRule="auto"/>
        <w:jc w:val="both"/>
        <w:rPr>
          <w:rFonts w:ascii="Verdana" w:eastAsia="Calibri" w:hAnsi="Verdana" w:cs="Arial"/>
          <w:lang w:val="es-ES" w:eastAsia="es-ES"/>
        </w:rPr>
      </w:pPr>
      <w:r>
        <w:rPr>
          <w:rFonts w:ascii="Verdana" w:eastAsia="Calibri" w:hAnsi="Verdana" w:cs="Arial"/>
          <w:lang w:val="es-ES" w:eastAsia="es-ES"/>
        </w:rPr>
        <w:t>Estimado Edgar</w:t>
      </w:r>
      <w:r w:rsidR="00367D34" w:rsidRPr="00885EA6">
        <w:rPr>
          <w:rFonts w:ascii="Verdana" w:eastAsia="Calibri" w:hAnsi="Verdana" w:cs="Arial"/>
          <w:lang w:val="es-ES" w:eastAsia="es-ES"/>
        </w:rPr>
        <w:t xml:space="preserve">: </w:t>
      </w:r>
    </w:p>
    <w:p w14:paraId="64B4A819" w14:textId="77777777" w:rsidR="00367D34" w:rsidRPr="00885EA6" w:rsidRDefault="00367D34" w:rsidP="00367D34">
      <w:pPr>
        <w:spacing w:after="0" w:line="240" w:lineRule="auto"/>
        <w:jc w:val="both"/>
        <w:rPr>
          <w:rFonts w:ascii="Verdana" w:eastAsia="Calibri" w:hAnsi="Verdana" w:cs="Arial"/>
          <w:lang w:val="es-ES" w:eastAsia="es-ES"/>
        </w:rPr>
      </w:pPr>
    </w:p>
    <w:p w14:paraId="01A1B12F" w14:textId="1E88D379" w:rsidR="00367D34" w:rsidRPr="00885EA6" w:rsidRDefault="00367D34" w:rsidP="00367D34">
      <w:pPr>
        <w:spacing w:after="120" w:line="276" w:lineRule="auto"/>
        <w:jc w:val="both"/>
        <w:rPr>
          <w:rFonts w:ascii="Verdana" w:eastAsia="Calibri" w:hAnsi="Verdana" w:cs="Arial"/>
          <w:lang w:val="es-ES" w:eastAsia="es-ES"/>
        </w:rPr>
      </w:pPr>
      <w:r w:rsidRPr="00885EA6">
        <w:rPr>
          <w:rFonts w:ascii="Verdana" w:eastAsia="Calibri" w:hAnsi="Verdana" w:cs="Arial"/>
          <w:lang w:val="es-ES" w:eastAsia="es-ES"/>
        </w:rPr>
        <w:t>En ejercicio de la competencia otorgada por los artículos 3, numeral 5º, y 11, numeral 8º, del Decreto Ley 4170 de 2011,</w:t>
      </w:r>
      <w:r w:rsidRPr="00885EA6">
        <w:rPr>
          <w:rFonts w:ascii="Verdana" w:eastAsia="Arial MT" w:hAnsi="Verdana" w:cs="Arial MT"/>
          <w:lang w:val="es-ES" w:eastAsia="es-ES"/>
        </w:rPr>
        <w:t xml:space="preserve"> </w:t>
      </w:r>
      <w:r w:rsidRPr="00885EA6">
        <w:rPr>
          <w:rFonts w:ascii="Verdana" w:eastAsia="Calibri" w:hAnsi="Verdana" w:cs="Arial"/>
          <w:lang w:val="es-ES" w:eastAsia="es-ES"/>
        </w:rPr>
        <w:t xml:space="preserve">la Agencia Nacional de Contratación Pública – Colombia Compra Eficiente– responde la solicitud </w:t>
      </w:r>
      <w:r w:rsidR="00BC7511">
        <w:rPr>
          <w:rFonts w:ascii="Verdana" w:eastAsia="Calibri" w:hAnsi="Verdana" w:cs="Arial"/>
          <w:lang w:val="es-ES" w:eastAsia="es-ES"/>
        </w:rPr>
        <w:t>remitida</w:t>
      </w:r>
      <w:r w:rsidR="00D83BBC">
        <w:rPr>
          <w:rFonts w:ascii="Verdana" w:eastAsia="Calibri" w:hAnsi="Verdana" w:cs="Arial"/>
          <w:lang w:val="es-ES" w:eastAsia="es-ES"/>
        </w:rPr>
        <w:t xml:space="preserve"> por competencia </w:t>
      </w:r>
      <w:r w:rsidR="00BC7511">
        <w:rPr>
          <w:rFonts w:ascii="Verdana" w:eastAsia="Calibri" w:hAnsi="Verdana" w:cs="Arial"/>
          <w:lang w:val="es-ES" w:eastAsia="es-ES"/>
        </w:rPr>
        <w:t>por parte de</w:t>
      </w:r>
      <w:r w:rsidR="00D83BBC">
        <w:rPr>
          <w:rFonts w:ascii="Verdana" w:eastAsia="Calibri" w:hAnsi="Verdana" w:cs="Arial"/>
          <w:lang w:val="es-ES" w:eastAsia="es-ES"/>
        </w:rPr>
        <w:t xml:space="preserve">l Departamento Administrativo de la Función Pública </w:t>
      </w:r>
      <w:r w:rsidRPr="00885EA6">
        <w:rPr>
          <w:rFonts w:ascii="Verdana" w:eastAsia="Calibri" w:hAnsi="Verdana" w:cs="Arial"/>
          <w:lang w:val="es-ES" w:eastAsia="es-ES"/>
        </w:rPr>
        <w:t xml:space="preserve">el </w:t>
      </w:r>
      <w:r w:rsidR="00F01D83">
        <w:rPr>
          <w:rFonts w:ascii="Verdana" w:eastAsia="Calibri" w:hAnsi="Verdana" w:cs="Arial"/>
          <w:lang w:val="es-ES" w:eastAsia="es-ES"/>
        </w:rPr>
        <w:t>20</w:t>
      </w:r>
      <w:r w:rsidRPr="00885EA6">
        <w:rPr>
          <w:rFonts w:ascii="Verdana" w:eastAsia="Calibri" w:hAnsi="Verdana" w:cs="Arial"/>
          <w:lang w:val="es-ES" w:eastAsia="es-ES"/>
        </w:rPr>
        <w:t xml:space="preserve"> de noviembre de 2024. En la cual manifiesta lo siguiente:</w:t>
      </w:r>
    </w:p>
    <w:p w14:paraId="33171358" w14:textId="77777777" w:rsidR="00367D34" w:rsidRPr="00885EA6" w:rsidRDefault="00367D34" w:rsidP="00367D34">
      <w:pPr>
        <w:spacing w:after="0" w:line="240" w:lineRule="auto"/>
        <w:ind w:left="709" w:right="709"/>
        <w:jc w:val="both"/>
        <w:rPr>
          <w:rFonts w:ascii="Verdana" w:eastAsia="Calibri" w:hAnsi="Verdana" w:cs="Arial"/>
          <w:sz w:val="20"/>
          <w:szCs w:val="20"/>
          <w:lang w:val="es-ES" w:eastAsia="es-ES"/>
        </w:rPr>
      </w:pPr>
    </w:p>
    <w:p w14:paraId="74CCECDA" w14:textId="77777777" w:rsidR="00D83BBC" w:rsidRDefault="00367D34" w:rsidP="00367D34">
      <w:pPr>
        <w:spacing w:after="0" w:line="240" w:lineRule="auto"/>
        <w:ind w:left="709" w:right="709"/>
        <w:jc w:val="both"/>
        <w:rPr>
          <w:rFonts w:ascii="Verdana" w:eastAsia="Calibri" w:hAnsi="Verdana" w:cs="Arial"/>
          <w:sz w:val="20"/>
          <w:szCs w:val="20"/>
          <w:lang w:val="es-ES" w:eastAsia="es-ES"/>
        </w:rPr>
      </w:pPr>
      <w:r w:rsidRPr="00885EA6">
        <w:rPr>
          <w:rFonts w:ascii="Verdana" w:eastAsia="Calibri" w:hAnsi="Verdana" w:cs="Arial"/>
          <w:sz w:val="20"/>
          <w:szCs w:val="20"/>
          <w:lang w:val="es-ES" w:eastAsia="es-ES"/>
        </w:rPr>
        <w:t xml:space="preserve"> “(…) </w:t>
      </w:r>
    </w:p>
    <w:p w14:paraId="55BAD6C8" w14:textId="77777777" w:rsidR="00D83BBC" w:rsidRDefault="00D83BBC" w:rsidP="00367D34">
      <w:pPr>
        <w:spacing w:after="0" w:line="240" w:lineRule="auto"/>
        <w:ind w:left="709" w:right="709"/>
        <w:jc w:val="both"/>
        <w:rPr>
          <w:rFonts w:ascii="Verdana" w:eastAsia="Calibri" w:hAnsi="Verdana" w:cs="Arial"/>
          <w:sz w:val="20"/>
          <w:szCs w:val="20"/>
          <w:lang w:val="es-ES" w:eastAsia="es-ES"/>
        </w:rPr>
      </w:pPr>
    </w:p>
    <w:p w14:paraId="36DA2AC8" w14:textId="5196846D" w:rsidR="001F779C" w:rsidRPr="00E1495A" w:rsidRDefault="001F779C" w:rsidP="00E1495A">
      <w:pPr>
        <w:pStyle w:val="Prrafodelista"/>
        <w:numPr>
          <w:ilvl w:val="0"/>
          <w:numId w:val="20"/>
        </w:numPr>
        <w:spacing w:after="0" w:line="240" w:lineRule="auto"/>
        <w:ind w:right="709"/>
        <w:jc w:val="both"/>
        <w:rPr>
          <w:rFonts w:ascii="Verdana" w:eastAsia="Calibri" w:hAnsi="Verdana" w:cs="Arial"/>
          <w:b/>
          <w:bCs/>
          <w:sz w:val="20"/>
          <w:szCs w:val="20"/>
          <w:lang w:eastAsia="es-ES"/>
        </w:rPr>
      </w:pPr>
      <w:r w:rsidRPr="00E1495A">
        <w:rPr>
          <w:rFonts w:ascii="Verdana" w:eastAsia="Calibri" w:hAnsi="Verdana" w:cs="Arial"/>
          <w:b/>
          <w:bCs/>
          <w:sz w:val="20"/>
          <w:szCs w:val="20"/>
          <w:lang w:eastAsia="es-ES"/>
        </w:rPr>
        <w:t>Alcance de la Póliza de Cumplimiento y Estabilidad de Obra</w:t>
      </w:r>
    </w:p>
    <w:p w14:paraId="31598029" w14:textId="3DEAD5E0" w:rsidR="00E1495A" w:rsidRPr="00E1495A" w:rsidRDefault="00E1495A" w:rsidP="00E1495A">
      <w:pPr>
        <w:spacing w:after="0" w:line="240" w:lineRule="auto"/>
        <w:ind w:left="709" w:right="709"/>
        <w:jc w:val="both"/>
        <w:rPr>
          <w:rFonts w:ascii="Verdana" w:eastAsia="Calibri" w:hAnsi="Verdana" w:cs="Arial"/>
          <w:b/>
          <w:bCs/>
          <w:sz w:val="20"/>
          <w:szCs w:val="20"/>
          <w:lang w:eastAsia="es-ES"/>
        </w:rPr>
      </w:pPr>
    </w:p>
    <w:p w14:paraId="11E85C48" w14:textId="33A4C018" w:rsidR="001F779C" w:rsidRPr="000F7EAD" w:rsidRDefault="001F779C" w:rsidP="001F779C">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La Ley 80 de 1993, junto con la Ley 1150 de 2007, establece que las garantías contractuales buscan</w:t>
      </w:r>
      <w:r w:rsidR="00C06A35"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proteger los intereses del Estado frente al incumplimiento de las obligaciones por parte del contratista.</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 xml:space="preserve">Sin embargo, la cobertura de la </w:t>
      </w:r>
      <w:r w:rsidRPr="000F7EAD">
        <w:rPr>
          <w:rFonts w:ascii="Verdana" w:eastAsia="Calibri" w:hAnsi="Verdana" w:cs="Arial"/>
          <w:b/>
          <w:bCs/>
          <w:sz w:val="20"/>
          <w:szCs w:val="20"/>
          <w:lang w:eastAsia="es-ES"/>
        </w:rPr>
        <w:t xml:space="preserve">Póliza de Cumplimiento y Estabilidad de Obra </w:t>
      </w:r>
      <w:r w:rsidRPr="000F7EAD">
        <w:rPr>
          <w:rFonts w:ascii="Verdana" w:eastAsia="Calibri" w:hAnsi="Verdana" w:cs="Arial"/>
          <w:sz w:val="20"/>
          <w:szCs w:val="20"/>
          <w:lang w:eastAsia="es-ES"/>
        </w:rPr>
        <w:lastRenderedPageBreak/>
        <w:t>generalmente tiene</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un plazo limitado a un año después de la entrega de la obra.</w:t>
      </w:r>
      <w:r w:rsidR="00887CEC" w:rsidRPr="000F7EAD">
        <w:rPr>
          <w:rFonts w:ascii="Verdana" w:eastAsia="Calibri" w:hAnsi="Verdana" w:cs="Arial"/>
          <w:sz w:val="20"/>
          <w:szCs w:val="20"/>
          <w:lang w:eastAsia="es-ES"/>
        </w:rPr>
        <w:t xml:space="preserve"> </w:t>
      </w:r>
    </w:p>
    <w:p w14:paraId="3D5D8806" w14:textId="77777777" w:rsidR="00860C80" w:rsidRPr="000F7EAD" w:rsidRDefault="00860C80" w:rsidP="00860C80">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Dado lo anterior, solicito:</w:t>
      </w:r>
    </w:p>
    <w:p w14:paraId="357A3F68" w14:textId="1EDED9A7" w:rsidR="00860C80" w:rsidRPr="000F7EAD" w:rsidRDefault="00860C80" w:rsidP="00860C80">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1. Interpretación del Departamento Administrativo de la Función Pública sobre los alcances y</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limitaciones de la cobertura de dichas pólizas. En particular, solicito un concepto sobre si es</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jurídicamente procedente imputar responsabilidad al contratista por deterioros ocurridos una</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vez vencido el plazo de cobertura, considerando que el Código Civil Colombiano en su artículo</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1602 establece que los contratos deben cumplirse conforme a lo pactado.</w:t>
      </w:r>
    </w:p>
    <w:p w14:paraId="2FDC8EE9" w14:textId="426619C4" w:rsidR="001F779C" w:rsidRPr="000F7EAD" w:rsidRDefault="00860C80" w:rsidP="00860C80">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 xml:space="preserve">2. Análisis sobre el principio de </w:t>
      </w:r>
      <w:r w:rsidRPr="000F7EAD">
        <w:rPr>
          <w:rFonts w:ascii="Verdana" w:eastAsia="Calibri" w:hAnsi="Verdana" w:cs="Arial"/>
          <w:b/>
          <w:bCs/>
          <w:sz w:val="20"/>
          <w:szCs w:val="20"/>
          <w:lang w:eastAsia="es-ES"/>
        </w:rPr>
        <w:t xml:space="preserve">buena fe contractual </w:t>
      </w:r>
      <w:r w:rsidRPr="000F7EAD">
        <w:rPr>
          <w:rFonts w:ascii="Verdana" w:eastAsia="Calibri" w:hAnsi="Verdana" w:cs="Arial"/>
          <w:sz w:val="20"/>
          <w:szCs w:val="20"/>
          <w:lang w:eastAsia="es-ES"/>
        </w:rPr>
        <w:t>(Artículo 83 de la Constitución), dado que</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en la práctica la interpretación amplia de las responsabilidades podría generar inseguridad</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jurídica, afectando al contratista incluso más allá del tiempo razonable establecido por las</w:t>
      </w:r>
      <w:r w:rsidR="00887CEC"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pólizas.</w:t>
      </w:r>
    </w:p>
    <w:p w14:paraId="65CE27B1" w14:textId="0A2BDEFC" w:rsidR="00860C80" w:rsidRPr="000F7EAD" w:rsidRDefault="00860C80" w:rsidP="00860C80">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Adicionalmente, considero relevante determinar si, en situaciones específicas, el incumplimiento de</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las garantías aseguradas puede ser imputado al contratista incluso cuando el deterioro de las obras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obedezca a factores externos no contemplados al momento de la ejecución contractual.</w:t>
      </w:r>
    </w:p>
    <w:p w14:paraId="7CCE708E" w14:textId="77777777" w:rsidR="00B8585F" w:rsidRPr="000F7EAD" w:rsidRDefault="00B8585F" w:rsidP="00860C80">
      <w:pPr>
        <w:spacing w:after="0" w:line="240" w:lineRule="auto"/>
        <w:ind w:left="709" w:right="709"/>
        <w:jc w:val="both"/>
        <w:rPr>
          <w:rFonts w:ascii="Verdana" w:eastAsia="Calibri" w:hAnsi="Verdana" w:cs="Arial"/>
          <w:sz w:val="20"/>
          <w:szCs w:val="20"/>
          <w:lang w:eastAsia="es-ES"/>
        </w:rPr>
      </w:pPr>
    </w:p>
    <w:p w14:paraId="34B1ADAA" w14:textId="77777777" w:rsidR="00EF1868" w:rsidRPr="000F7EAD" w:rsidRDefault="00EF1868" w:rsidP="00EF1868">
      <w:pPr>
        <w:spacing w:after="0" w:line="240" w:lineRule="auto"/>
        <w:ind w:left="709" w:right="709"/>
        <w:jc w:val="both"/>
        <w:rPr>
          <w:rFonts w:ascii="Verdana" w:eastAsia="Calibri" w:hAnsi="Verdana" w:cs="Arial"/>
          <w:b/>
          <w:bCs/>
          <w:sz w:val="20"/>
          <w:szCs w:val="20"/>
          <w:lang w:eastAsia="es-ES"/>
        </w:rPr>
      </w:pPr>
      <w:r w:rsidRPr="000F7EAD">
        <w:rPr>
          <w:rFonts w:ascii="Verdana" w:eastAsia="Calibri" w:hAnsi="Verdana" w:cs="Arial"/>
          <w:b/>
          <w:bCs/>
          <w:sz w:val="20"/>
          <w:szCs w:val="20"/>
          <w:lang w:eastAsia="es-ES"/>
        </w:rPr>
        <w:t>2. Consideraciones Ambientales y Geográficas en La Guajira</w:t>
      </w:r>
    </w:p>
    <w:p w14:paraId="485CEF31" w14:textId="77777777" w:rsidR="00E1495A" w:rsidRPr="000F7EAD" w:rsidRDefault="00E1495A" w:rsidP="00EF1868">
      <w:pPr>
        <w:spacing w:after="0" w:line="240" w:lineRule="auto"/>
        <w:ind w:left="709" w:right="709"/>
        <w:jc w:val="both"/>
        <w:rPr>
          <w:rFonts w:ascii="Verdana" w:eastAsia="Calibri" w:hAnsi="Verdana" w:cs="Arial"/>
          <w:b/>
          <w:bCs/>
          <w:sz w:val="20"/>
          <w:szCs w:val="20"/>
          <w:lang w:eastAsia="es-ES"/>
        </w:rPr>
      </w:pPr>
    </w:p>
    <w:p w14:paraId="7612C83B" w14:textId="4641007D" w:rsidR="00EF1868" w:rsidRPr="000F7EAD" w:rsidRDefault="00EF1868" w:rsidP="00EF1868">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El Estatuto de Contratación Pública (Ley 80 de 1993) establece que los contratistas deben garantizar</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la estabilidad de las obras en función de las condiciones específicas del territorio. Sin embargo, en</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zonas como La Guajira, donde las características desérticas, la salinidad y la alta exposición a factores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climáticos extremos son predominantes, el cumplimiento de este principio es un desafío técnico y</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financiero considerable.</w:t>
      </w:r>
      <w:r w:rsidR="00B8585F" w:rsidRPr="000F7EAD">
        <w:rPr>
          <w:rFonts w:ascii="Verdana" w:eastAsia="Calibri" w:hAnsi="Verdana" w:cs="Arial"/>
          <w:sz w:val="20"/>
          <w:szCs w:val="20"/>
          <w:lang w:eastAsia="es-ES"/>
        </w:rPr>
        <w:t xml:space="preserve"> </w:t>
      </w:r>
    </w:p>
    <w:p w14:paraId="49986C61" w14:textId="77777777" w:rsidR="00EF1868" w:rsidRPr="000F7EAD" w:rsidRDefault="00EF1868" w:rsidP="00EF1868">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Por lo tanto, solicito al Departamento Administrativo de la Función Pública:</w:t>
      </w:r>
    </w:p>
    <w:p w14:paraId="7E354215" w14:textId="625F9907" w:rsidR="00EF1868" w:rsidRPr="000F7EAD" w:rsidRDefault="00EF1868" w:rsidP="00EF1868">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1. Conceptuar sobre cómo debe interpretarse la responsabilidad del contratista frente al</w:t>
      </w:r>
      <w:r w:rsidR="00B8585F" w:rsidRPr="000F7EAD">
        <w:rPr>
          <w:rFonts w:ascii="Verdana" w:eastAsia="Calibri" w:hAnsi="Verdana" w:cs="Arial"/>
          <w:sz w:val="20"/>
          <w:szCs w:val="20"/>
          <w:lang w:eastAsia="es-ES"/>
        </w:rPr>
        <w:t xml:space="preserve"> </w:t>
      </w:r>
      <w:r w:rsidRPr="000F7EAD">
        <w:rPr>
          <w:rFonts w:ascii="Verdana" w:eastAsia="Calibri" w:hAnsi="Verdana" w:cs="Arial"/>
          <w:b/>
          <w:bCs/>
          <w:sz w:val="20"/>
          <w:szCs w:val="20"/>
          <w:lang w:eastAsia="es-ES"/>
        </w:rPr>
        <w:t xml:space="preserve">deterioro natural de las obras </w:t>
      </w:r>
      <w:r w:rsidRPr="000F7EAD">
        <w:rPr>
          <w:rFonts w:ascii="Verdana" w:eastAsia="Calibri" w:hAnsi="Verdana" w:cs="Arial"/>
          <w:sz w:val="20"/>
          <w:szCs w:val="20"/>
          <w:lang w:eastAsia="es-ES"/>
        </w:rPr>
        <w:t>por condiciones geográficas, particularmente cuando dichos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 xml:space="preserve">factores exceden los riesgos previsibles o se encuadran dentro de los eventos de </w:t>
      </w:r>
      <w:r w:rsidRPr="000F7EAD">
        <w:rPr>
          <w:rFonts w:ascii="Verdana" w:eastAsia="Calibri" w:hAnsi="Verdana" w:cs="Arial"/>
          <w:b/>
          <w:bCs/>
          <w:sz w:val="20"/>
          <w:szCs w:val="20"/>
          <w:lang w:eastAsia="es-ES"/>
        </w:rPr>
        <w:t>fuerza</w:t>
      </w:r>
      <w:r w:rsidR="00B8585F" w:rsidRPr="000F7EAD">
        <w:rPr>
          <w:rFonts w:ascii="Verdana" w:eastAsia="Calibri" w:hAnsi="Verdana" w:cs="Arial"/>
          <w:b/>
          <w:bCs/>
          <w:sz w:val="20"/>
          <w:szCs w:val="20"/>
          <w:lang w:eastAsia="es-ES"/>
        </w:rPr>
        <w:t xml:space="preserve"> </w:t>
      </w:r>
      <w:r w:rsidRPr="000F7EAD">
        <w:rPr>
          <w:rFonts w:ascii="Verdana" w:eastAsia="Calibri" w:hAnsi="Verdana" w:cs="Arial"/>
          <w:b/>
          <w:bCs/>
          <w:sz w:val="20"/>
          <w:szCs w:val="20"/>
          <w:lang w:eastAsia="es-ES"/>
        </w:rPr>
        <w:t xml:space="preserve">mayor </w:t>
      </w:r>
      <w:r w:rsidRPr="000F7EAD">
        <w:rPr>
          <w:rFonts w:ascii="Verdana" w:eastAsia="Calibri" w:hAnsi="Verdana" w:cs="Arial"/>
          <w:sz w:val="20"/>
          <w:szCs w:val="20"/>
          <w:lang w:eastAsia="es-ES"/>
        </w:rPr>
        <w:t xml:space="preserve">y </w:t>
      </w:r>
      <w:r w:rsidRPr="000F7EAD">
        <w:rPr>
          <w:rFonts w:ascii="Verdana" w:eastAsia="Calibri" w:hAnsi="Verdana" w:cs="Arial"/>
          <w:b/>
          <w:bCs/>
          <w:sz w:val="20"/>
          <w:szCs w:val="20"/>
          <w:lang w:eastAsia="es-ES"/>
        </w:rPr>
        <w:t>caso fortuito</w:t>
      </w:r>
      <w:r w:rsidRPr="000F7EAD">
        <w:rPr>
          <w:rFonts w:ascii="Verdana" w:eastAsia="Calibri" w:hAnsi="Verdana" w:cs="Arial"/>
          <w:sz w:val="20"/>
          <w:szCs w:val="20"/>
          <w:lang w:eastAsia="es-ES"/>
        </w:rPr>
        <w:t>, conforme al artículo 64 del Código Civil.</w:t>
      </w:r>
      <w:r w:rsidR="00B8585F" w:rsidRPr="000F7EAD">
        <w:rPr>
          <w:rFonts w:ascii="Verdana" w:eastAsia="Calibri" w:hAnsi="Verdana" w:cs="Arial"/>
          <w:sz w:val="20"/>
          <w:szCs w:val="20"/>
          <w:lang w:eastAsia="es-ES"/>
        </w:rPr>
        <w:t xml:space="preserve"> </w:t>
      </w:r>
    </w:p>
    <w:p w14:paraId="08076876" w14:textId="2D3FD588" w:rsidR="00EF1868" w:rsidRPr="000F7EAD" w:rsidRDefault="00EF1868" w:rsidP="00EF1868">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2. Exponer su posición frente a los temblores frecuentes en La Guajira y otros departamentos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del Caribe, considerando que este fenómeno geológico ha sido clasificado por el Sistema</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Nacional de Gestión del Riesgo de Desastres como un evento recurrente y de alto impacto.</w:t>
      </w:r>
    </w:p>
    <w:p w14:paraId="091B0BDF" w14:textId="7203EED4" w:rsidR="00EF1868" w:rsidRPr="000F7EAD" w:rsidRDefault="00EF1868" w:rsidP="00EF1868">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El análisis solicitado resulta imperativo para garantizar una imputación proporcional y justa de</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 xml:space="preserve">responsabilidades en los procesos fiscales, </w:t>
      </w:r>
      <w:r w:rsidRPr="000F7EAD">
        <w:rPr>
          <w:rFonts w:ascii="Verdana" w:eastAsia="Calibri" w:hAnsi="Verdana" w:cs="Arial"/>
          <w:sz w:val="20"/>
          <w:szCs w:val="20"/>
          <w:lang w:eastAsia="es-ES"/>
        </w:rPr>
        <w:lastRenderedPageBreak/>
        <w:t>evitando que se endilgue al contratista la totalidad de las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 xml:space="preserve">afectaciones, en desmedro del principio de </w:t>
      </w:r>
      <w:r w:rsidRPr="000F7EAD">
        <w:rPr>
          <w:rFonts w:ascii="Verdana" w:eastAsia="Calibri" w:hAnsi="Verdana" w:cs="Arial"/>
          <w:b/>
          <w:bCs/>
          <w:sz w:val="20"/>
          <w:szCs w:val="20"/>
          <w:lang w:eastAsia="es-ES"/>
        </w:rPr>
        <w:t>equidad contractual</w:t>
      </w:r>
      <w:r w:rsidRPr="000F7EAD">
        <w:rPr>
          <w:rFonts w:ascii="Verdana" w:eastAsia="Calibri" w:hAnsi="Verdana" w:cs="Arial"/>
          <w:sz w:val="20"/>
          <w:szCs w:val="20"/>
          <w:lang w:eastAsia="es-ES"/>
        </w:rPr>
        <w:t>.</w:t>
      </w:r>
    </w:p>
    <w:p w14:paraId="2E5F188C" w14:textId="77777777" w:rsidR="00AB6BD0" w:rsidRPr="000F7EAD" w:rsidRDefault="00AB6BD0" w:rsidP="00EF1868">
      <w:pPr>
        <w:spacing w:after="0" w:line="240" w:lineRule="auto"/>
        <w:ind w:left="709" w:right="709"/>
        <w:jc w:val="both"/>
        <w:rPr>
          <w:rFonts w:ascii="Verdana" w:eastAsia="Calibri" w:hAnsi="Verdana" w:cs="Arial"/>
          <w:sz w:val="20"/>
          <w:szCs w:val="20"/>
          <w:lang w:eastAsia="es-ES"/>
        </w:rPr>
      </w:pPr>
    </w:p>
    <w:p w14:paraId="2458903F" w14:textId="77777777" w:rsidR="00D90554" w:rsidRPr="000F7EAD" w:rsidRDefault="00D90554" w:rsidP="00D90554">
      <w:pPr>
        <w:spacing w:after="0" w:line="240" w:lineRule="auto"/>
        <w:ind w:left="709" w:right="709"/>
        <w:jc w:val="both"/>
        <w:rPr>
          <w:rFonts w:ascii="Verdana" w:eastAsia="Calibri" w:hAnsi="Verdana" w:cs="Arial"/>
          <w:b/>
          <w:bCs/>
          <w:sz w:val="20"/>
          <w:szCs w:val="20"/>
          <w:lang w:eastAsia="es-ES"/>
        </w:rPr>
      </w:pPr>
      <w:r w:rsidRPr="000F7EAD">
        <w:rPr>
          <w:rFonts w:ascii="Verdana" w:eastAsia="Calibri" w:hAnsi="Verdana" w:cs="Arial"/>
          <w:b/>
          <w:bCs/>
          <w:sz w:val="20"/>
          <w:szCs w:val="20"/>
          <w:lang w:eastAsia="es-ES"/>
        </w:rPr>
        <w:t>3. Modificaciones a las Obras por Comunidades Indígenas en Ejercicio de su Autonomía</w:t>
      </w:r>
    </w:p>
    <w:p w14:paraId="5038597D" w14:textId="2D7AE85A" w:rsidR="00D90554" w:rsidRPr="000F7EAD" w:rsidRDefault="00D90554" w:rsidP="00D90554">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El Convenio 169 de la OIT, ratificado en Colombia mediante la Ley 21 de 1991, garantiza a las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comunidades indígenas el derecho a la autodeterminación, incluyendo el uso y adaptación de</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infraestructuras dentro de sus territorios en función de sus costumbres. En ese contexto, la autonomía</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otorgada por el artículo 330 de la Constitución implica un desafío adicional para los contratistas.</w:t>
      </w:r>
    </w:p>
    <w:p w14:paraId="1CCDFAE3" w14:textId="77777777" w:rsidR="00D90554" w:rsidRPr="000F7EAD" w:rsidRDefault="00D90554" w:rsidP="00D90554">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Por ello, solicito:</w:t>
      </w:r>
    </w:p>
    <w:p w14:paraId="20428CDA" w14:textId="419A0C13" w:rsidR="00D90554" w:rsidRPr="000F7EAD" w:rsidRDefault="00D90554" w:rsidP="00D90554">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1. Concepto sobre la aplicabilidad del marco normativo que regula las modificaciones realizadas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por comunidades indígenas a obras públicas entregadas a satisfacción.</w:t>
      </w:r>
    </w:p>
    <w:p w14:paraId="353B3AFA" w14:textId="77777777" w:rsidR="00B8585F" w:rsidRPr="000F7EAD" w:rsidRDefault="00D90554" w:rsidP="00386702">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2. Aclaración de si estas modificaciones, realizadas bajo el marco de la autonomía indígena,</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exoneran de responsabilidad fiscal al contratista, quien no tiene control sobre los cambios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efectuados por las comunidades receptoras de las obras.</w:t>
      </w:r>
    </w:p>
    <w:p w14:paraId="1904CB91" w14:textId="3A9692E9" w:rsidR="00D90554" w:rsidRPr="000F7EAD" w:rsidRDefault="00386702" w:rsidP="00386702">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 xml:space="preserve">3. Valoración del principio de </w:t>
      </w:r>
      <w:r w:rsidRPr="000F7EAD">
        <w:rPr>
          <w:rFonts w:ascii="Verdana" w:eastAsia="Calibri" w:hAnsi="Verdana" w:cs="Arial"/>
          <w:b/>
          <w:bCs/>
          <w:sz w:val="20"/>
          <w:szCs w:val="20"/>
          <w:lang w:eastAsia="es-ES"/>
        </w:rPr>
        <w:t xml:space="preserve">equilibrio contractual </w:t>
      </w:r>
      <w:r w:rsidRPr="000F7EAD">
        <w:rPr>
          <w:rFonts w:ascii="Verdana" w:eastAsia="Calibri" w:hAnsi="Verdana" w:cs="Arial"/>
          <w:sz w:val="20"/>
          <w:szCs w:val="20"/>
          <w:lang w:eastAsia="es-ES"/>
        </w:rPr>
        <w:t>en estas situaciones, evitando que las</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alteraciones posteriores realizadas por los beneficiarios sean imputadas al contratista.</w:t>
      </w:r>
    </w:p>
    <w:p w14:paraId="2A635EEB" w14:textId="77777777" w:rsidR="00B8585F" w:rsidRPr="000F7EAD" w:rsidRDefault="00B8585F" w:rsidP="00386702">
      <w:pPr>
        <w:spacing w:after="0" w:line="240" w:lineRule="auto"/>
        <w:ind w:left="709" w:right="709"/>
        <w:jc w:val="both"/>
        <w:rPr>
          <w:rFonts w:ascii="Verdana" w:eastAsia="Calibri" w:hAnsi="Verdana" w:cs="Arial"/>
          <w:sz w:val="20"/>
          <w:szCs w:val="20"/>
          <w:lang w:eastAsia="es-ES"/>
        </w:rPr>
      </w:pPr>
    </w:p>
    <w:p w14:paraId="5DCFF510" w14:textId="77777777" w:rsidR="00386702" w:rsidRPr="000F7EAD" w:rsidRDefault="00386702" w:rsidP="00386702">
      <w:pPr>
        <w:spacing w:after="0" w:line="240" w:lineRule="auto"/>
        <w:ind w:left="709" w:right="709"/>
        <w:jc w:val="both"/>
        <w:rPr>
          <w:rFonts w:ascii="Verdana" w:eastAsia="Calibri" w:hAnsi="Verdana" w:cs="Arial"/>
          <w:b/>
          <w:bCs/>
          <w:sz w:val="20"/>
          <w:szCs w:val="20"/>
          <w:lang w:eastAsia="es-ES"/>
        </w:rPr>
      </w:pPr>
      <w:r w:rsidRPr="000F7EAD">
        <w:rPr>
          <w:rFonts w:ascii="Verdana" w:eastAsia="Calibri" w:hAnsi="Verdana" w:cs="Arial"/>
          <w:b/>
          <w:bCs/>
          <w:sz w:val="20"/>
          <w:szCs w:val="20"/>
          <w:lang w:eastAsia="es-ES"/>
        </w:rPr>
        <w:t>4. Recepción de Obras en Buen Estado y Posterior Modificación por Beneficiarios</w:t>
      </w:r>
    </w:p>
    <w:p w14:paraId="59303D55" w14:textId="164C8305" w:rsidR="00386702" w:rsidRPr="00386702" w:rsidRDefault="00386702" w:rsidP="00386702">
      <w:pPr>
        <w:spacing w:after="0" w:line="240" w:lineRule="auto"/>
        <w:ind w:left="709" w:right="709"/>
        <w:jc w:val="both"/>
        <w:rPr>
          <w:rFonts w:ascii="Verdana" w:eastAsia="Calibri" w:hAnsi="Verdana" w:cs="Arial"/>
          <w:sz w:val="20"/>
          <w:szCs w:val="20"/>
          <w:lang w:eastAsia="es-ES"/>
        </w:rPr>
      </w:pPr>
      <w:r w:rsidRPr="000F7EAD">
        <w:rPr>
          <w:rFonts w:ascii="Verdana" w:eastAsia="Calibri" w:hAnsi="Verdana" w:cs="Arial"/>
          <w:sz w:val="20"/>
          <w:szCs w:val="20"/>
          <w:lang w:eastAsia="es-ES"/>
        </w:rPr>
        <w:t>El artículo 15 de la Ley 1474 de 2011 (Estatuto Anticorrupción) establece que los contratistas tienen</w:t>
      </w:r>
      <w:r w:rsidR="00B8585F" w:rsidRPr="000F7EAD">
        <w:rPr>
          <w:rFonts w:ascii="Verdana" w:eastAsia="Calibri" w:hAnsi="Verdana" w:cs="Arial"/>
          <w:sz w:val="20"/>
          <w:szCs w:val="20"/>
          <w:lang w:eastAsia="es-ES"/>
        </w:rPr>
        <w:t xml:space="preserve"> </w:t>
      </w:r>
      <w:r w:rsidRPr="000F7EAD">
        <w:rPr>
          <w:rFonts w:ascii="Verdana" w:eastAsia="Calibri" w:hAnsi="Verdana" w:cs="Arial"/>
          <w:sz w:val="20"/>
          <w:szCs w:val="20"/>
          <w:lang w:eastAsia="es-ES"/>
        </w:rPr>
        <w:t>derecho a que</w:t>
      </w:r>
      <w:r w:rsidRPr="00386702">
        <w:rPr>
          <w:rFonts w:ascii="Verdana" w:eastAsia="Calibri" w:hAnsi="Verdana" w:cs="Arial"/>
          <w:sz w:val="20"/>
          <w:szCs w:val="20"/>
          <w:lang w:eastAsia="es-ES"/>
        </w:rPr>
        <w:t xml:space="preserve"> las obras entregadas sean utilizadas adecuadamente por los beneficiarios. Sin</w:t>
      </w:r>
      <w:r w:rsidR="00B8585F">
        <w:rPr>
          <w:rFonts w:ascii="Verdana" w:eastAsia="Calibri" w:hAnsi="Verdana" w:cs="Arial"/>
          <w:sz w:val="20"/>
          <w:szCs w:val="20"/>
          <w:lang w:eastAsia="es-ES"/>
        </w:rPr>
        <w:t xml:space="preserve"> </w:t>
      </w:r>
      <w:r w:rsidRPr="00386702">
        <w:rPr>
          <w:rFonts w:ascii="Verdana" w:eastAsia="Calibri" w:hAnsi="Verdana" w:cs="Arial"/>
          <w:sz w:val="20"/>
          <w:szCs w:val="20"/>
          <w:lang w:eastAsia="es-ES"/>
        </w:rPr>
        <w:t>embargo, existen casos donde, tras la entrega formal de las obras y su recepción a satisfacción, los</w:t>
      </w:r>
      <w:r w:rsidR="00B8585F">
        <w:rPr>
          <w:rFonts w:ascii="Verdana" w:eastAsia="Calibri" w:hAnsi="Verdana" w:cs="Arial"/>
          <w:sz w:val="20"/>
          <w:szCs w:val="20"/>
          <w:lang w:eastAsia="es-ES"/>
        </w:rPr>
        <w:t xml:space="preserve"> </w:t>
      </w:r>
      <w:r w:rsidRPr="00386702">
        <w:rPr>
          <w:rFonts w:ascii="Verdana" w:eastAsia="Calibri" w:hAnsi="Verdana" w:cs="Arial"/>
          <w:sz w:val="20"/>
          <w:szCs w:val="20"/>
          <w:lang w:eastAsia="es-ES"/>
        </w:rPr>
        <w:t>beneficiarios proceden a modificar, desmantelar o deteriorar las mismas.</w:t>
      </w:r>
    </w:p>
    <w:p w14:paraId="2AADBDB2" w14:textId="77777777" w:rsidR="00386702" w:rsidRPr="00386702" w:rsidRDefault="00386702" w:rsidP="00386702">
      <w:pPr>
        <w:spacing w:after="0" w:line="240" w:lineRule="auto"/>
        <w:ind w:left="709" w:right="709"/>
        <w:jc w:val="both"/>
        <w:rPr>
          <w:rFonts w:ascii="Verdana" w:eastAsia="Calibri" w:hAnsi="Verdana" w:cs="Arial"/>
          <w:sz w:val="20"/>
          <w:szCs w:val="20"/>
          <w:lang w:eastAsia="es-ES"/>
        </w:rPr>
      </w:pPr>
      <w:r w:rsidRPr="00386702">
        <w:rPr>
          <w:rFonts w:ascii="Verdana" w:eastAsia="Calibri" w:hAnsi="Verdana" w:cs="Arial"/>
          <w:sz w:val="20"/>
          <w:szCs w:val="20"/>
          <w:lang w:eastAsia="es-ES"/>
        </w:rPr>
        <w:t>Ante ello, solicito:</w:t>
      </w:r>
    </w:p>
    <w:p w14:paraId="09805FDA" w14:textId="77777777" w:rsidR="00B8585F" w:rsidRDefault="00386702" w:rsidP="00386702">
      <w:pPr>
        <w:spacing w:after="0" w:line="240" w:lineRule="auto"/>
        <w:ind w:left="709" w:right="709"/>
        <w:jc w:val="both"/>
        <w:rPr>
          <w:rFonts w:ascii="Verdana" w:eastAsia="Calibri" w:hAnsi="Verdana" w:cs="Arial"/>
          <w:sz w:val="20"/>
          <w:szCs w:val="20"/>
          <w:lang w:eastAsia="es-ES"/>
        </w:rPr>
      </w:pPr>
      <w:r w:rsidRPr="00386702">
        <w:rPr>
          <w:rFonts w:ascii="Verdana" w:eastAsia="Calibri" w:hAnsi="Verdana" w:cs="Arial"/>
          <w:sz w:val="20"/>
          <w:szCs w:val="20"/>
          <w:lang w:eastAsia="es-ES"/>
        </w:rPr>
        <w:t>1. Interpretación del Departamento Administrativo de la Función Pública sobre la delimitación de</w:t>
      </w:r>
      <w:r w:rsidR="00B8585F">
        <w:rPr>
          <w:rFonts w:ascii="Verdana" w:eastAsia="Calibri" w:hAnsi="Verdana" w:cs="Arial"/>
          <w:sz w:val="20"/>
          <w:szCs w:val="20"/>
          <w:lang w:eastAsia="es-ES"/>
        </w:rPr>
        <w:t xml:space="preserve"> </w:t>
      </w:r>
      <w:r w:rsidRPr="00386702">
        <w:rPr>
          <w:rFonts w:ascii="Verdana" w:eastAsia="Calibri" w:hAnsi="Verdana" w:cs="Arial"/>
          <w:sz w:val="20"/>
          <w:szCs w:val="20"/>
          <w:lang w:eastAsia="es-ES"/>
        </w:rPr>
        <w:t>responsabilidades fiscales en estos casos, dado que el contratista pierde control sobre la obra</w:t>
      </w:r>
      <w:r w:rsidR="00B8585F">
        <w:rPr>
          <w:rFonts w:ascii="Verdana" w:eastAsia="Calibri" w:hAnsi="Verdana" w:cs="Arial"/>
          <w:sz w:val="20"/>
          <w:szCs w:val="20"/>
          <w:lang w:eastAsia="es-ES"/>
        </w:rPr>
        <w:t xml:space="preserve"> </w:t>
      </w:r>
      <w:r w:rsidRPr="00386702">
        <w:rPr>
          <w:rFonts w:ascii="Verdana" w:eastAsia="Calibri" w:hAnsi="Verdana" w:cs="Arial"/>
          <w:sz w:val="20"/>
          <w:szCs w:val="20"/>
          <w:lang w:eastAsia="es-ES"/>
        </w:rPr>
        <w:t>al momento de su entrega formal.</w:t>
      </w:r>
      <w:r w:rsidR="00B8585F">
        <w:rPr>
          <w:rFonts w:ascii="Verdana" w:eastAsia="Calibri" w:hAnsi="Verdana" w:cs="Arial"/>
          <w:sz w:val="20"/>
          <w:szCs w:val="20"/>
          <w:lang w:eastAsia="es-ES"/>
        </w:rPr>
        <w:t xml:space="preserve"> </w:t>
      </w:r>
    </w:p>
    <w:p w14:paraId="56D07776" w14:textId="30F271D2" w:rsidR="00386702" w:rsidRDefault="00386702" w:rsidP="00386702">
      <w:pPr>
        <w:spacing w:after="0" w:line="240" w:lineRule="auto"/>
        <w:ind w:left="709" w:right="709"/>
        <w:jc w:val="both"/>
        <w:rPr>
          <w:rFonts w:ascii="Verdana" w:eastAsia="Calibri" w:hAnsi="Verdana" w:cs="Arial"/>
          <w:sz w:val="20"/>
          <w:szCs w:val="20"/>
          <w:lang w:eastAsia="es-ES"/>
        </w:rPr>
      </w:pPr>
      <w:r w:rsidRPr="00386702">
        <w:rPr>
          <w:rFonts w:ascii="Verdana" w:eastAsia="Calibri" w:hAnsi="Verdana" w:cs="Arial"/>
          <w:sz w:val="20"/>
          <w:szCs w:val="20"/>
          <w:lang w:eastAsia="es-ES"/>
        </w:rPr>
        <w:t>2. Análisis de precedentes jurisprudenciales y administrativos que esclarezcan los criterios para</w:t>
      </w:r>
      <w:r w:rsidR="00B8585F">
        <w:rPr>
          <w:rFonts w:ascii="Verdana" w:eastAsia="Calibri" w:hAnsi="Verdana" w:cs="Arial"/>
          <w:sz w:val="20"/>
          <w:szCs w:val="20"/>
          <w:lang w:eastAsia="es-ES"/>
        </w:rPr>
        <w:t xml:space="preserve"> </w:t>
      </w:r>
      <w:r w:rsidRPr="00386702">
        <w:rPr>
          <w:rFonts w:ascii="Verdana" w:eastAsia="Calibri" w:hAnsi="Verdana" w:cs="Arial"/>
          <w:sz w:val="20"/>
          <w:szCs w:val="20"/>
          <w:lang w:eastAsia="es-ES"/>
        </w:rPr>
        <w:t>evitar una imputación desproporcionada de responsabilidades al contratista en estas</w:t>
      </w:r>
      <w:r w:rsidR="00B8585F">
        <w:rPr>
          <w:rFonts w:ascii="Verdana" w:eastAsia="Calibri" w:hAnsi="Verdana" w:cs="Arial"/>
          <w:sz w:val="20"/>
          <w:szCs w:val="20"/>
          <w:lang w:eastAsia="es-ES"/>
        </w:rPr>
        <w:t xml:space="preserve"> </w:t>
      </w:r>
      <w:r w:rsidRPr="00386702">
        <w:rPr>
          <w:rFonts w:ascii="Verdana" w:eastAsia="Calibri" w:hAnsi="Verdana" w:cs="Arial"/>
          <w:sz w:val="20"/>
          <w:szCs w:val="20"/>
          <w:lang w:eastAsia="es-ES"/>
        </w:rPr>
        <w:t>circunstancias.</w:t>
      </w:r>
    </w:p>
    <w:p w14:paraId="4913C72D" w14:textId="77777777" w:rsidR="00B8585F" w:rsidRDefault="00B8585F" w:rsidP="00386702">
      <w:pPr>
        <w:spacing w:after="0" w:line="240" w:lineRule="auto"/>
        <w:ind w:left="709" w:right="709"/>
        <w:jc w:val="both"/>
        <w:rPr>
          <w:rFonts w:ascii="Verdana" w:eastAsia="Calibri" w:hAnsi="Verdana" w:cs="Arial"/>
          <w:sz w:val="20"/>
          <w:szCs w:val="20"/>
          <w:lang w:eastAsia="es-ES"/>
        </w:rPr>
      </w:pPr>
    </w:p>
    <w:p w14:paraId="204A9877" w14:textId="77777777" w:rsidR="00BD6BD1" w:rsidRPr="00BD6BD1" w:rsidRDefault="00BD6BD1" w:rsidP="00BD6BD1">
      <w:pPr>
        <w:spacing w:after="0" w:line="240" w:lineRule="auto"/>
        <w:ind w:left="709" w:right="709"/>
        <w:jc w:val="both"/>
        <w:rPr>
          <w:rFonts w:ascii="Verdana" w:eastAsia="Calibri" w:hAnsi="Verdana" w:cs="Arial"/>
          <w:b/>
          <w:bCs/>
          <w:sz w:val="20"/>
          <w:szCs w:val="20"/>
          <w:lang w:eastAsia="es-ES"/>
        </w:rPr>
      </w:pPr>
      <w:r w:rsidRPr="00BD6BD1">
        <w:rPr>
          <w:rFonts w:ascii="Verdana" w:eastAsia="Calibri" w:hAnsi="Verdana" w:cs="Arial"/>
          <w:b/>
          <w:bCs/>
          <w:sz w:val="20"/>
          <w:szCs w:val="20"/>
          <w:lang w:eastAsia="es-ES"/>
        </w:rPr>
        <w:t>5. Amparo de Estabilidad y Calidad de la Obra Inferior a Cinco Años</w:t>
      </w:r>
    </w:p>
    <w:p w14:paraId="672DB294" w14:textId="79F52DE2" w:rsidR="00BD6BD1" w:rsidRPr="00BD6BD1" w:rsidRDefault="00BD6BD1" w:rsidP="00BD6BD1">
      <w:pPr>
        <w:spacing w:after="0" w:line="240" w:lineRule="auto"/>
        <w:ind w:left="709" w:right="709"/>
        <w:jc w:val="both"/>
        <w:rPr>
          <w:rFonts w:ascii="Verdana" w:eastAsia="Calibri" w:hAnsi="Verdana" w:cs="Arial"/>
          <w:sz w:val="20"/>
          <w:szCs w:val="20"/>
          <w:lang w:eastAsia="es-ES"/>
        </w:rPr>
      </w:pPr>
      <w:r w:rsidRPr="00BD6BD1">
        <w:rPr>
          <w:rFonts w:ascii="Verdana" w:eastAsia="Calibri" w:hAnsi="Verdana" w:cs="Arial"/>
          <w:sz w:val="20"/>
          <w:szCs w:val="20"/>
          <w:lang w:eastAsia="es-ES"/>
        </w:rPr>
        <w:t>El Decreto 1082 de 2015 establece que el valor y duración de las garantías deben ser proporcionales</w:t>
      </w:r>
      <w:r w:rsidR="00B8585F">
        <w:rPr>
          <w:rFonts w:ascii="Verdana" w:eastAsia="Calibri" w:hAnsi="Verdana" w:cs="Arial"/>
          <w:sz w:val="20"/>
          <w:szCs w:val="20"/>
          <w:lang w:eastAsia="es-ES"/>
        </w:rPr>
        <w:t xml:space="preserve"> </w:t>
      </w:r>
      <w:r w:rsidRPr="00BD6BD1">
        <w:rPr>
          <w:rFonts w:ascii="Verdana" w:eastAsia="Calibri" w:hAnsi="Verdana" w:cs="Arial"/>
          <w:sz w:val="20"/>
          <w:szCs w:val="20"/>
          <w:lang w:eastAsia="es-ES"/>
        </w:rPr>
        <w:t xml:space="preserve">a las características del contrato. No obstante, </w:t>
      </w:r>
      <w:r w:rsidRPr="00BD6BD1">
        <w:rPr>
          <w:rFonts w:ascii="Verdana" w:eastAsia="Calibri" w:hAnsi="Verdana" w:cs="Arial"/>
          <w:sz w:val="20"/>
          <w:szCs w:val="20"/>
          <w:lang w:eastAsia="es-ES"/>
        </w:rPr>
        <w:lastRenderedPageBreak/>
        <w:t>algunas entidades contratantes exigen amparos de</w:t>
      </w:r>
      <w:r w:rsidR="00B8585F">
        <w:rPr>
          <w:rFonts w:ascii="Verdana" w:eastAsia="Calibri" w:hAnsi="Verdana" w:cs="Arial"/>
          <w:sz w:val="20"/>
          <w:szCs w:val="20"/>
          <w:lang w:eastAsia="es-ES"/>
        </w:rPr>
        <w:t xml:space="preserve"> </w:t>
      </w:r>
      <w:r w:rsidRPr="00BD6BD1">
        <w:rPr>
          <w:rFonts w:ascii="Verdana" w:eastAsia="Calibri" w:hAnsi="Verdana" w:cs="Arial"/>
          <w:sz w:val="20"/>
          <w:szCs w:val="20"/>
          <w:lang w:eastAsia="es-ES"/>
        </w:rPr>
        <w:t>estabilidad por un plazo inferior a cinco años, según el tipo de obra contractar.</w:t>
      </w:r>
    </w:p>
    <w:p w14:paraId="5F28C7A2" w14:textId="77777777" w:rsidR="00BD6BD1" w:rsidRPr="00BD6BD1" w:rsidRDefault="00BD6BD1" w:rsidP="00BD6BD1">
      <w:pPr>
        <w:spacing w:after="0" w:line="240" w:lineRule="auto"/>
        <w:ind w:left="709" w:right="709"/>
        <w:jc w:val="both"/>
        <w:rPr>
          <w:rFonts w:ascii="Verdana" w:eastAsia="Calibri" w:hAnsi="Verdana" w:cs="Arial"/>
          <w:sz w:val="20"/>
          <w:szCs w:val="20"/>
          <w:lang w:eastAsia="es-ES"/>
        </w:rPr>
      </w:pPr>
      <w:r w:rsidRPr="00BD6BD1">
        <w:rPr>
          <w:rFonts w:ascii="Verdana" w:eastAsia="Calibri" w:hAnsi="Verdana" w:cs="Arial"/>
          <w:sz w:val="20"/>
          <w:szCs w:val="20"/>
          <w:lang w:eastAsia="es-ES"/>
        </w:rPr>
        <w:t>Por ello, solicito:</w:t>
      </w:r>
    </w:p>
    <w:p w14:paraId="466A0A6E" w14:textId="589F1D13" w:rsidR="00BD6BD1" w:rsidRPr="00BD6BD1" w:rsidRDefault="00BD6BD1" w:rsidP="00BD6BD1">
      <w:pPr>
        <w:spacing w:after="0" w:line="240" w:lineRule="auto"/>
        <w:ind w:left="709" w:right="709"/>
        <w:jc w:val="both"/>
        <w:rPr>
          <w:rFonts w:ascii="Verdana" w:eastAsia="Calibri" w:hAnsi="Verdana" w:cs="Arial"/>
          <w:sz w:val="20"/>
          <w:szCs w:val="20"/>
          <w:lang w:eastAsia="es-ES"/>
        </w:rPr>
      </w:pPr>
      <w:r w:rsidRPr="00BD6BD1">
        <w:rPr>
          <w:rFonts w:ascii="Verdana" w:eastAsia="Calibri" w:hAnsi="Verdana" w:cs="Arial"/>
          <w:sz w:val="20"/>
          <w:szCs w:val="20"/>
          <w:lang w:eastAsia="es-ES"/>
        </w:rPr>
        <w:t>1. Concepto sobre los casos en que es legalmente procedente que una entidad contratante exija</w:t>
      </w:r>
      <w:r w:rsidR="00B8585F">
        <w:rPr>
          <w:rFonts w:ascii="Verdana" w:eastAsia="Calibri" w:hAnsi="Verdana" w:cs="Arial"/>
          <w:sz w:val="20"/>
          <w:szCs w:val="20"/>
          <w:lang w:eastAsia="es-ES"/>
        </w:rPr>
        <w:t xml:space="preserve"> </w:t>
      </w:r>
      <w:r w:rsidRPr="00BD6BD1">
        <w:rPr>
          <w:rFonts w:ascii="Verdana" w:eastAsia="Calibri" w:hAnsi="Verdana" w:cs="Arial"/>
          <w:sz w:val="20"/>
          <w:szCs w:val="20"/>
          <w:lang w:eastAsia="es-ES"/>
        </w:rPr>
        <w:t>garantías inferiores a cinco años, en que eventos y/o Escenarios.</w:t>
      </w:r>
    </w:p>
    <w:p w14:paraId="2F404BEC" w14:textId="7164E7AC" w:rsidR="00BD6BD1" w:rsidRDefault="00BD6BD1" w:rsidP="00BD6BD1">
      <w:pPr>
        <w:spacing w:after="0" w:line="240" w:lineRule="auto"/>
        <w:ind w:left="709" w:right="709"/>
        <w:jc w:val="both"/>
        <w:rPr>
          <w:rFonts w:ascii="Verdana" w:eastAsia="Calibri" w:hAnsi="Verdana" w:cs="Arial"/>
          <w:sz w:val="20"/>
          <w:szCs w:val="20"/>
          <w:lang w:eastAsia="es-ES"/>
        </w:rPr>
      </w:pPr>
      <w:r w:rsidRPr="00BD6BD1">
        <w:rPr>
          <w:rFonts w:ascii="Verdana" w:eastAsia="Calibri" w:hAnsi="Verdana" w:cs="Arial"/>
          <w:sz w:val="20"/>
          <w:szCs w:val="20"/>
          <w:lang w:eastAsia="es-ES"/>
        </w:rPr>
        <w:t>2. Delimitación de los criterios técnicos y normativos que deben emplearse para justificar dicha</w:t>
      </w:r>
      <w:r w:rsidR="00B8585F">
        <w:rPr>
          <w:rFonts w:ascii="Verdana" w:eastAsia="Calibri" w:hAnsi="Verdana" w:cs="Arial"/>
          <w:sz w:val="20"/>
          <w:szCs w:val="20"/>
          <w:lang w:eastAsia="es-ES"/>
        </w:rPr>
        <w:t xml:space="preserve"> </w:t>
      </w:r>
      <w:r w:rsidRPr="00BD6BD1">
        <w:rPr>
          <w:rFonts w:ascii="Verdana" w:eastAsia="Calibri" w:hAnsi="Verdana" w:cs="Arial"/>
          <w:sz w:val="20"/>
          <w:szCs w:val="20"/>
          <w:lang w:eastAsia="es-ES"/>
        </w:rPr>
        <w:t>decisión, en armonía con el principio de proporcionalidad.</w:t>
      </w:r>
    </w:p>
    <w:p w14:paraId="19C45A58" w14:textId="77777777" w:rsidR="00B8585F" w:rsidRDefault="00B8585F" w:rsidP="00BD6BD1">
      <w:pPr>
        <w:spacing w:after="0" w:line="240" w:lineRule="auto"/>
        <w:ind w:left="709" w:right="709"/>
        <w:jc w:val="both"/>
        <w:rPr>
          <w:rFonts w:ascii="Verdana" w:eastAsia="Calibri" w:hAnsi="Verdana" w:cs="Arial"/>
          <w:sz w:val="20"/>
          <w:szCs w:val="20"/>
          <w:lang w:eastAsia="es-ES"/>
        </w:rPr>
      </w:pPr>
    </w:p>
    <w:p w14:paraId="247A5A57" w14:textId="77777777" w:rsidR="00C06A35" w:rsidRPr="00C06A35" w:rsidRDefault="00C06A35" w:rsidP="00C06A35">
      <w:pPr>
        <w:spacing w:after="0" w:line="240" w:lineRule="auto"/>
        <w:ind w:left="709" w:right="709"/>
        <w:jc w:val="both"/>
        <w:rPr>
          <w:rFonts w:ascii="Verdana" w:eastAsia="Calibri" w:hAnsi="Verdana" w:cs="Arial"/>
          <w:b/>
          <w:bCs/>
          <w:sz w:val="20"/>
          <w:szCs w:val="20"/>
          <w:lang w:eastAsia="es-ES"/>
        </w:rPr>
      </w:pPr>
      <w:r w:rsidRPr="00C06A35">
        <w:rPr>
          <w:rFonts w:ascii="Verdana" w:eastAsia="Calibri" w:hAnsi="Verdana" w:cs="Arial"/>
          <w:b/>
          <w:bCs/>
          <w:sz w:val="20"/>
          <w:szCs w:val="20"/>
          <w:lang w:eastAsia="es-ES"/>
        </w:rPr>
        <w:t>6. Justificación de Procesos Fiscales a Largo Plazo y Caducidad de las Pólizas</w:t>
      </w:r>
    </w:p>
    <w:p w14:paraId="4AB7946F" w14:textId="4492F34E" w:rsidR="00C06A35" w:rsidRPr="00C06A35" w:rsidRDefault="00C06A35" w:rsidP="00C06A35">
      <w:pPr>
        <w:spacing w:after="0" w:line="240" w:lineRule="auto"/>
        <w:ind w:left="709" w:right="709"/>
        <w:jc w:val="both"/>
        <w:rPr>
          <w:rFonts w:ascii="Verdana" w:eastAsia="Calibri" w:hAnsi="Verdana" w:cs="Arial"/>
          <w:sz w:val="20"/>
          <w:szCs w:val="20"/>
          <w:lang w:eastAsia="es-ES"/>
        </w:rPr>
      </w:pPr>
      <w:r w:rsidRPr="00C06A35">
        <w:rPr>
          <w:rFonts w:ascii="Verdana" w:eastAsia="Calibri" w:hAnsi="Verdana" w:cs="Arial"/>
          <w:sz w:val="20"/>
          <w:szCs w:val="20"/>
          <w:lang w:eastAsia="es-ES"/>
        </w:rPr>
        <w:t>La apertura de procesos fiscales y disciplinarios con posterioridad al vencimiento de las pólizas de</w:t>
      </w:r>
      <w:r w:rsidR="00B8585F">
        <w:rPr>
          <w:rFonts w:ascii="Verdana" w:eastAsia="Calibri" w:hAnsi="Verdana" w:cs="Arial"/>
          <w:sz w:val="20"/>
          <w:szCs w:val="20"/>
          <w:lang w:eastAsia="es-ES"/>
        </w:rPr>
        <w:t xml:space="preserve"> </w:t>
      </w:r>
      <w:r w:rsidRPr="00C06A35">
        <w:rPr>
          <w:rFonts w:ascii="Verdana" w:eastAsia="Calibri" w:hAnsi="Verdana" w:cs="Arial"/>
          <w:sz w:val="20"/>
          <w:szCs w:val="20"/>
          <w:lang w:eastAsia="es-ES"/>
        </w:rPr>
        <w:t>cumplimiento y estabilidad de obra genera un estado de indefensión para los contratistas, dado que</w:t>
      </w:r>
      <w:r w:rsidR="00B8585F">
        <w:rPr>
          <w:rFonts w:ascii="Verdana" w:eastAsia="Calibri" w:hAnsi="Verdana" w:cs="Arial"/>
          <w:sz w:val="20"/>
          <w:szCs w:val="20"/>
          <w:lang w:eastAsia="es-ES"/>
        </w:rPr>
        <w:t xml:space="preserve"> </w:t>
      </w:r>
      <w:r w:rsidRPr="00C06A35">
        <w:rPr>
          <w:rFonts w:ascii="Verdana" w:eastAsia="Calibri" w:hAnsi="Verdana" w:cs="Arial"/>
          <w:sz w:val="20"/>
          <w:szCs w:val="20"/>
          <w:lang w:eastAsia="es-ES"/>
        </w:rPr>
        <w:t>pierden las herramientas necesarias para garantizar su protección frente a imputaciones fiscales.</w:t>
      </w:r>
    </w:p>
    <w:p w14:paraId="7EC13944" w14:textId="7FC63D3D" w:rsidR="00C06A35" w:rsidRDefault="00C06A35" w:rsidP="00C06A35">
      <w:pPr>
        <w:spacing w:after="0" w:line="240" w:lineRule="auto"/>
        <w:ind w:left="709" w:right="709"/>
        <w:jc w:val="both"/>
        <w:rPr>
          <w:rFonts w:ascii="Verdana" w:eastAsia="Calibri" w:hAnsi="Verdana" w:cs="Arial"/>
          <w:sz w:val="20"/>
          <w:szCs w:val="20"/>
          <w:lang w:eastAsia="es-ES"/>
        </w:rPr>
      </w:pPr>
      <w:r w:rsidRPr="00C06A35">
        <w:rPr>
          <w:rFonts w:ascii="Verdana" w:eastAsia="Calibri" w:hAnsi="Verdana" w:cs="Arial"/>
          <w:sz w:val="20"/>
          <w:szCs w:val="20"/>
          <w:lang w:eastAsia="es-ES"/>
        </w:rPr>
        <w:t>En este sentido, solicito:</w:t>
      </w:r>
    </w:p>
    <w:p w14:paraId="29AE6522" w14:textId="2F7FA440" w:rsidR="00C06A35" w:rsidRPr="00C06A35" w:rsidRDefault="00C06A35" w:rsidP="00C06A35">
      <w:pPr>
        <w:spacing w:after="0" w:line="240" w:lineRule="auto"/>
        <w:ind w:left="709" w:right="709"/>
        <w:jc w:val="both"/>
        <w:rPr>
          <w:rFonts w:ascii="Verdana" w:eastAsia="Calibri" w:hAnsi="Verdana" w:cs="Arial"/>
          <w:sz w:val="20"/>
          <w:szCs w:val="20"/>
          <w:lang w:eastAsia="es-ES"/>
        </w:rPr>
      </w:pPr>
      <w:r w:rsidRPr="00C06A35">
        <w:rPr>
          <w:rFonts w:ascii="Verdana" w:eastAsia="Calibri" w:hAnsi="Verdana" w:cs="Arial"/>
          <w:sz w:val="20"/>
          <w:szCs w:val="20"/>
          <w:lang w:eastAsia="es-ES"/>
        </w:rPr>
        <w:t>1. Análisis sobre los límites temporales para la apertura de investigaciones fiscales y/o</w:t>
      </w:r>
      <w:r w:rsidR="00B8585F">
        <w:rPr>
          <w:rFonts w:ascii="Verdana" w:eastAsia="Calibri" w:hAnsi="Verdana" w:cs="Arial"/>
          <w:sz w:val="20"/>
          <w:szCs w:val="20"/>
          <w:lang w:eastAsia="es-ES"/>
        </w:rPr>
        <w:t xml:space="preserve"> </w:t>
      </w:r>
      <w:r w:rsidRPr="00C06A35">
        <w:rPr>
          <w:rFonts w:ascii="Verdana" w:eastAsia="Calibri" w:hAnsi="Verdana" w:cs="Arial"/>
          <w:sz w:val="20"/>
          <w:szCs w:val="20"/>
          <w:lang w:eastAsia="es-ES"/>
        </w:rPr>
        <w:t xml:space="preserve">disciplinaria, con base en los principios de </w:t>
      </w:r>
      <w:r w:rsidRPr="00C06A35">
        <w:rPr>
          <w:rFonts w:ascii="Verdana" w:eastAsia="Calibri" w:hAnsi="Verdana" w:cs="Arial"/>
          <w:b/>
          <w:bCs/>
          <w:sz w:val="20"/>
          <w:szCs w:val="20"/>
          <w:lang w:eastAsia="es-ES"/>
        </w:rPr>
        <w:t xml:space="preserve">seguridad jurídica </w:t>
      </w:r>
      <w:r w:rsidRPr="00C06A35">
        <w:rPr>
          <w:rFonts w:ascii="Verdana" w:eastAsia="Calibri" w:hAnsi="Verdana" w:cs="Arial"/>
          <w:sz w:val="20"/>
          <w:szCs w:val="20"/>
          <w:lang w:eastAsia="es-ES"/>
        </w:rPr>
        <w:t xml:space="preserve">y </w:t>
      </w:r>
      <w:r w:rsidRPr="00C06A35">
        <w:rPr>
          <w:rFonts w:ascii="Verdana" w:eastAsia="Calibri" w:hAnsi="Verdana" w:cs="Arial"/>
          <w:b/>
          <w:bCs/>
          <w:sz w:val="20"/>
          <w:szCs w:val="20"/>
          <w:lang w:eastAsia="es-ES"/>
        </w:rPr>
        <w:t xml:space="preserve">debido proceso </w:t>
      </w:r>
      <w:r w:rsidRPr="00C06A35">
        <w:rPr>
          <w:rFonts w:ascii="Verdana" w:eastAsia="Calibri" w:hAnsi="Verdana" w:cs="Arial"/>
          <w:sz w:val="20"/>
          <w:szCs w:val="20"/>
          <w:lang w:eastAsia="es-ES"/>
        </w:rPr>
        <w:t>consagrados</w:t>
      </w:r>
      <w:r w:rsidR="00B8585F">
        <w:rPr>
          <w:rFonts w:ascii="Verdana" w:eastAsia="Calibri" w:hAnsi="Verdana" w:cs="Arial"/>
          <w:sz w:val="20"/>
          <w:szCs w:val="20"/>
          <w:lang w:eastAsia="es-ES"/>
        </w:rPr>
        <w:t xml:space="preserve"> </w:t>
      </w:r>
      <w:r w:rsidRPr="00C06A35">
        <w:rPr>
          <w:rFonts w:ascii="Verdana" w:eastAsia="Calibri" w:hAnsi="Verdana" w:cs="Arial"/>
          <w:sz w:val="20"/>
          <w:szCs w:val="20"/>
          <w:lang w:eastAsia="es-ES"/>
        </w:rPr>
        <w:t>en los artículos 29 y 83 de la Constitución.</w:t>
      </w:r>
    </w:p>
    <w:p w14:paraId="533DBD24" w14:textId="7EC14367" w:rsidR="00C06A35" w:rsidRDefault="00C06A35" w:rsidP="00C06A35">
      <w:pPr>
        <w:spacing w:after="0" w:line="240" w:lineRule="auto"/>
        <w:ind w:left="709" w:right="709"/>
        <w:jc w:val="both"/>
        <w:rPr>
          <w:rFonts w:ascii="Verdana" w:eastAsia="Calibri" w:hAnsi="Verdana" w:cs="Arial"/>
          <w:sz w:val="20"/>
          <w:szCs w:val="20"/>
          <w:lang w:val="es-ES" w:eastAsia="es-ES"/>
        </w:rPr>
      </w:pPr>
      <w:r w:rsidRPr="00C06A35">
        <w:rPr>
          <w:rFonts w:ascii="Verdana" w:eastAsia="Calibri" w:hAnsi="Verdana" w:cs="Arial"/>
          <w:sz w:val="20"/>
          <w:szCs w:val="20"/>
          <w:lang w:eastAsia="es-ES"/>
        </w:rPr>
        <w:t>2. Determinación de si, en ausencia de garantías aseguradoras, es procedente exigir al</w:t>
      </w:r>
      <w:r w:rsidR="00B8585F">
        <w:rPr>
          <w:rFonts w:ascii="Verdana" w:eastAsia="Calibri" w:hAnsi="Verdana" w:cs="Arial"/>
          <w:sz w:val="20"/>
          <w:szCs w:val="20"/>
          <w:lang w:eastAsia="es-ES"/>
        </w:rPr>
        <w:t xml:space="preserve"> </w:t>
      </w:r>
      <w:r w:rsidRPr="00C06A35">
        <w:rPr>
          <w:rFonts w:ascii="Verdana" w:eastAsia="Calibri" w:hAnsi="Verdana" w:cs="Arial"/>
          <w:sz w:val="20"/>
          <w:szCs w:val="20"/>
          <w:lang w:eastAsia="es-ES"/>
        </w:rPr>
        <w:t>contratista responsabilidades adicionales, considerando que ello podría contravenir el</w:t>
      </w:r>
      <w:r w:rsidR="00B8585F">
        <w:rPr>
          <w:rFonts w:ascii="Verdana" w:eastAsia="Calibri" w:hAnsi="Verdana" w:cs="Arial"/>
          <w:sz w:val="20"/>
          <w:szCs w:val="20"/>
          <w:lang w:eastAsia="es-ES"/>
        </w:rPr>
        <w:t xml:space="preserve"> </w:t>
      </w:r>
      <w:r w:rsidRPr="00C06A35">
        <w:rPr>
          <w:rFonts w:ascii="Verdana" w:eastAsia="Calibri" w:hAnsi="Verdana" w:cs="Arial"/>
          <w:sz w:val="20"/>
          <w:szCs w:val="20"/>
          <w:lang w:eastAsia="es-ES"/>
        </w:rPr>
        <w:t>principio de proporcionalidad.</w:t>
      </w:r>
    </w:p>
    <w:p w14:paraId="174DE473" w14:textId="74A76AD8" w:rsidR="00367D34" w:rsidRPr="00885EA6" w:rsidRDefault="00367D34" w:rsidP="00367D34">
      <w:pPr>
        <w:spacing w:after="0" w:line="240" w:lineRule="auto"/>
        <w:ind w:left="709" w:right="709"/>
        <w:jc w:val="both"/>
        <w:rPr>
          <w:rFonts w:ascii="Verdana" w:eastAsia="Calibri" w:hAnsi="Verdana" w:cs="Arial"/>
          <w:sz w:val="20"/>
          <w:szCs w:val="20"/>
          <w:lang w:val="es-ES" w:eastAsia="es-ES"/>
        </w:rPr>
      </w:pPr>
      <w:r w:rsidRPr="00885EA6">
        <w:rPr>
          <w:rFonts w:ascii="Verdana" w:eastAsia="Calibri" w:hAnsi="Verdana" w:cs="Arial"/>
          <w:sz w:val="20"/>
          <w:szCs w:val="20"/>
          <w:lang w:val="es-ES" w:eastAsia="es-ES"/>
        </w:rPr>
        <w:t>(…)</w:t>
      </w:r>
      <w:r>
        <w:rPr>
          <w:rFonts w:ascii="Verdana" w:eastAsia="Calibri" w:hAnsi="Verdana" w:cs="Arial"/>
          <w:sz w:val="20"/>
          <w:szCs w:val="20"/>
          <w:lang w:val="es-ES" w:eastAsia="es-ES"/>
        </w:rPr>
        <w:t xml:space="preserve">”. </w:t>
      </w:r>
    </w:p>
    <w:p w14:paraId="2241C7B7" w14:textId="77777777" w:rsidR="00367D34" w:rsidRPr="00885EA6" w:rsidRDefault="00367D34" w:rsidP="00367D34">
      <w:pPr>
        <w:spacing w:after="0" w:line="240" w:lineRule="auto"/>
        <w:ind w:left="709" w:right="709"/>
        <w:jc w:val="both"/>
        <w:rPr>
          <w:rFonts w:ascii="Verdana" w:eastAsia="Calibri" w:hAnsi="Verdana" w:cs="Arial"/>
          <w:sz w:val="20"/>
          <w:szCs w:val="20"/>
          <w:lang w:val="es-ES" w:eastAsia="es-ES"/>
        </w:rPr>
      </w:pPr>
    </w:p>
    <w:p w14:paraId="5824C9C4" w14:textId="77777777" w:rsidR="00510985" w:rsidRDefault="00367D34" w:rsidP="00367D34">
      <w:pPr>
        <w:spacing w:after="120" w:line="276" w:lineRule="auto"/>
        <w:jc w:val="both"/>
        <w:rPr>
          <w:rFonts w:ascii="Verdana" w:eastAsia="Calibri" w:hAnsi="Verdana" w:cs="Arial"/>
          <w:lang w:val="es-ES" w:eastAsia="es-ES"/>
        </w:rPr>
      </w:pPr>
      <w:r w:rsidRPr="00885EA6">
        <w:rPr>
          <w:rFonts w:ascii="Verdana" w:eastAsia="Calibri" w:hAnsi="Verdana" w:cs="Arial"/>
          <w:lang w:val="es-ES_tradnl" w:eastAsia="es-ES_tradnl"/>
        </w:rPr>
        <w:tab/>
      </w:r>
      <w:r w:rsidRPr="00885EA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w:t>
      </w:r>
    </w:p>
    <w:p w14:paraId="50976E97" w14:textId="213061CD" w:rsidR="00367D34" w:rsidRPr="00885EA6" w:rsidRDefault="00367D34" w:rsidP="00510985">
      <w:pPr>
        <w:spacing w:after="120" w:line="276" w:lineRule="auto"/>
        <w:ind w:firstLine="708"/>
        <w:jc w:val="both"/>
        <w:rPr>
          <w:rFonts w:ascii="Verdana" w:eastAsia="Calibri" w:hAnsi="Verdana" w:cs="Arial"/>
          <w:lang w:val="es-ES" w:eastAsia="es-ES"/>
        </w:rPr>
      </w:pPr>
      <w:r w:rsidRPr="00885EA6">
        <w:rPr>
          <w:rFonts w:ascii="Verdana" w:eastAsia="Calibri" w:hAnsi="Verdana" w:cs="Arial"/>
          <w:lang w:val="es-ES" w:eastAsia="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w:t>
      </w:r>
      <w:r w:rsidRPr="00885EA6">
        <w:rPr>
          <w:rFonts w:ascii="Verdana" w:eastAsia="Calibri" w:hAnsi="Verdana" w:cs="Arial"/>
          <w:lang w:val="es-ES" w:eastAsia="es-ES"/>
        </w:rPr>
        <w:lastRenderedPageBreak/>
        <w:t>las actuaciones de los diferentes participes del sistema de compra pública</w:t>
      </w:r>
      <w:r w:rsidR="00244ADE">
        <w:rPr>
          <w:rFonts w:ascii="Verdana" w:eastAsia="Calibri" w:hAnsi="Verdana" w:cs="Arial"/>
          <w:lang w:val="es-ES" w:eastAsia="es-ES"/>
        </w:rPr>
        <w:t>, ni hacer estudio de escenarios hipotéticos en donde se relacionan en algún momento elementos de contratación que tienen relación con otras actividades</w:t>
      </w:r>
      <w:r w:rsidR="00510985">
        <w:rPr>
          <w:rFonts w:ascii="Verdana" w:eastAsia="Calibri" w:hAnsi="Verdana" w:cs="Arial"/>
          <w:lang w:val="es-ES" w:eastAsia="es-ES"/>
        </w:rPr>
        <w:t xml:space="preserve"> del mundo jurídico. </w:t>
      </w:r>
    </w:p>
    <w:p w14:paraId="5C7A7467" w14:textId="77777777" w:rsidR="00367D34" w:rsidRPr="00885EA6" w:rsidRDefault="00367D34" w:rsidP="00367D34">
      <w:pPr>
        <w:spacing w:after="0" w:line="276" w:lineRule="auto"/>
        <w:jc w:val="both"/>
        <w:rPr>
          <w:rFonts w:ascii="Verdana" w:eastAsia="Calibri" w:hAnsi="Verdana" w:cs="Arial"/>
          <w:lang w:val="es-ES" w:eastAsia="es-ES"/>
        </w:rPr>
      </w:pPr>
      <w:r w:rsidRPr="00885EA6">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0D077F8" w14:textId="77777777" w:rsidR="00367D34" w:rsidRPr="00885EA6" w:rsidRDefault="00367D34" w:rsidP="00367D34">
      <w:pPr>
        <w:spacing w:after="0" w:line="276" w:lineRule="auto"/>
        <w:jc w:val="both"/>
        <w:rPr>
          <w:rFonts w:ascii="Verdana" w:eastAsia="Calibri" w:hAnsi="Verdana" w:cs="Arial"/>
          <w:lang w:val="es-ES" w:eastAsia="es-ES"/>
        </w:rPr>
      </w:pPr>
    </w:p>
    <w:p w14:paraId="38975C28" w14:textId="77777777" w:rsidR="00367D34" w:rsidRPr="00885EA6" w:rsidRDefault="00367D34" w:rsidP="00367D3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5EA6">
        <w:rPr>
          <w:rFonts w:ascii="Verdana" w:eastAsia="Century Gothic" w:hAnsi="Verdana" w:cs="Century Gothic"/>
          <w:b/>
          <w:bCs/>
        </w:rPr>
        <w:t>Problema planteado:</w:t>
      </w:r>
    </w:p>
    <w:p w14:paraId="21B73610" w14:textId="77777777" w:rsidR="00367D34" w:rsidRPr="00885EA6" w:rsidRDefault="00367D34" w:rsidP="00367D34">
      <w:pPr>
        <w:spacing w:after="0" w:line="240" w:lineRule="auto"/>
        <w:jc w:val="both"/>
        <w:rPr>
          <w:rFonts w:ascii="Verdana" w:eastAsia="Century Gothic" w:hAnsi="Verdana" w:cs="Century Gothic"/>
        </w:rPr>
      </w:pPr>
    </w:p>
    <w:p w14:paraId="18582438" w14:textId="6EA1D5C2" w:rsidR="008502FE" w:rsidRDefault="00F919BF" w:rsidP="00BE65BB">
      <w:pPr>
        <w:snapToGrid w:val="0"/>
        <w:spacing w:after="0" w:line="276" w:lineRule="auto"/>
        <w:jc w:val="both"/>
        <w:rPr>
          <w:rFonts w:ascii="Verdana" w:eastAsia="Century Gothic" w:hAnsi="Verdana" w:cs="Century Gothic"/>
        </w:rPr>
      </w:pPr>
      <w:r w:rsidRPr="00246370">
        <w:rPr>
          <w:rFonts w:ascii="Verdana" w:eastAsia="Century Gothic" w:hAnsi="Verdana" w:cs="Century Gothic"/>
          <w:lang w:val="es-ES_tradnl"/>
        </w:rPr>
        <w:t xml:space="preserve">De acuerdo con el contenido de su solicitud, esta Agencia resolverá </w:t>
      </w:r>
      <w:r>
        <w:rPr>
          <w:rFonts w:ascii="Verdana" w:eastAsia="Century Gothic" w:hAnsi="Verdana" w:cs="Century Gothic"/>
          <w:lang w:val="es-ES_tradnl"/>
        </w:rPr>
        <w:t>los siguientes problemas jurídicos</w:t>
      </w:r>
      <w:r w:rsidRPr="00246370">
        <w:rPr>
          <w:rFonts w:ascii="Verdana" w:eastAsia="Century Gothic" w:hAnsi="Verdana" w:cs="Century Gothic"/>
          <w:lang w:val="es-ES_tradnl"/>
        </w:rPr>
        <w:t>:</w:t>
      </w:r>
      <w:r>
        <w:rPr>
          <w:rFonts w:ascii="Verdana" w:eastAsia="Century Gothic" w:hAnsi="Verdana" w:cs="Century Gothic"/>
          <w:lang w:val="es-ES_tradnl"/>
        </w:rPr>
        <w:t xml:space="preserve"> (i)</w:t>
      </w:r>
      <w:r w:rsidRPr="00246370">
        <w:rPr>
          <w:rFonts w:ascii="Verdana" w:eastAsia="Century Gothic" w:hAnsi="Verdana" w:cs="Century Gothic"/>
          <w:lang w:val="es-ES_tradnl"/>
        </w:rPr>
        <w:t xml:space="preserve"> ¿cuál es el alcance del amparo de estabilidad y calidad de la obra?</w:t>
      </w:r>
      <w:r w:rsidR="00510985">
        <w:rPr>
          <w:rFonts w:ascii="Verdana" w:eastAsia="Century Gothic" w:hAnsi="Verdana" w:cs="Century Gothic"/>
          <w:lang w:val="es-ES_tradnl"/>
        </w:rPr>
        <w:t>, y (</w:t>
      </w:r>
      <w:proofErr w:type="spellStart"/>
      <w:r w:rsidR="00510985">
        <w:rPr>
          <w:rFonts w:ascii="Verdana" w:eastAsia="Century Gothic" w:hAnsi="Verdana" w:cs="Century Gothic"/>
          <w:lang w:val="es-ES_tradnl"/>
        </w:rPr>
        <w:t>ii</w:t>
      </w:r>
      <w:proofErr w:type="spellEnd"/>
      <w:r w:rsidR="00510985">
        <w:rPr>
          <w:rFonts w:ascii="Verdana" w:eastAsia="Century Gothic" w:hAnsi="Verdana" w:cs="Century Gothic"/>
          <w:lang w:val="es-ES_tradnl"/>
        </w:rPr>
        <w:t xml:space="preserve">) </w:t>
      </w:r>
      <w:r w:rsidR="00BE65BB">
        <w:rPr>
          <w:rFonts w:ascii="Verdana" w:hAnsi="Verdana" w:cs="Arial"/>
          <w:color w:val="000000" w:themeColor="text1"/>
        </w:rPr>
        <w:t>¿existe</w:t>
      </w:r>
      <w:r w:rsidR="00510985">
        <w:rPr>
          <w:rFonts w:ascii="Verdana" w:hAnsi="Verdana" w:cs="Arial"/>
          <w:color w:val="000000" w:themeColor="text1"/>
        </w:rPr>
        <w:t xml:space="preserve"> un enunciado dentro del EGCAP que permita modificar los contratos por parte de las </w:t>
      </w:r>
      <w:r w:rsidR="00510985" w:rsidRPr="00F30647">
        <w:rPr>
          <w:rFonts w:ascii="Verdana" w:hAnsi="Verdana" w:cs="Arial"/>
          <w:color w:val="000000" w:themeColor="text1"/>
        </w:rPr>
        <w:t>Comunidades Indígenas en Ejercicio de su Autonomía</w:t>
      </w:r>
      <w:r w:rsidR="00510985">
        <w:rPr>
          <w:rFonts w:ascii="Verdana" w:hAnsi="Verdana" w:cs="Arial"/>
          <w:color w:val="000000" w:themeColor="text1"/>
        </w:rPr>
        <w:t xml:space="preserve"> en virtud de lo establecido en e</w:t>
      </w:r>
      <w:r w:rsidR="00510985" w:rsidRPr="00F30647">
        <w:rPr>
          <w:rFonts w:ascii="Verdana" w:hAnsi="Verdana" w:cs="Arial"/>
          <w:color w:val="000000" w:themeColor="text1"/>
        </w:rPr>
        <w:t>l Convenio 169 de la OIT</w:t>
      </w:r>
      <w:r w:rsidR="00BE65BB">
        <w:rPr>
          <w:rFonts w:ascii="Verdana" w:hAnsi="Verdana" w:cs="Arial"/>
          <w:color w:val="000000" w:themeColor="text1"/>
        </w:rPr>
        <w:t>?</w:t>
      </w:r>
    </w:p>
    <w:p w14:paraId="214C8ED7" w14:textId="77777777" w:rsidR="008502FE" w:rsidRPr="00283203" w:rsidRDefault="008502FE" w:rsidP="00367D34">
      <w:pPr>
        <w:spacing w:after="0" w:line="276" w:lineRule="auto"/>
        <w:jc w:val="both"/>
        <w:rPr>
          <w:rFonts w:ascii="Verdana" w:eastAsia="Century Gothic" w:hAnsi="Verdana" w:cs="Century Gothic"/>
        </w:rPr>
      </w:pPr>
    </w:p>
    <w:p w14:paraId="0488F2BB" w14:textId="77777777" w:rsidR="00367D34" w:rsidRPr="00283203" w:rsidRDefault="00367D34" w:rsidP="00367D3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Respuesta:</w:t>
      </w:r>
    </w:p>
    <w:p w14:paraId="14D4A9C8" w14:textId="77777777" w:rsidR="00367D34" w:rsidRPr="00283203" w:rsidRDefault="00367D34" w:rsidP="00367D34">
      <w:pPr>
        <w:pStyle w:val="Prrafodelista"/>
        <w:tabs>
          <w:tab w:val="left" w:pos="142"/>
          <w:tab w:val="left" w:pos="284"/>
        </w:tabs>
        <w:spacing w:after="0" w:line="276" w:lineRule="auto"/>
        <w:ind w:left="0"/>
        <w:jc w:val="both"/>
        <w:rPr>
          <w:rFonts w:ascii="Verdana" w:eastAsia="Century Gothic" w:hAnsi="Verdana" w:cs="Century Gothic"/>
          <w:b/>
          <w:bCs/>
        </w:rPr>
      </w:pPr>
    </w:p>
    <w:p w14:paraId="3DF02C77" w14:textId="346B1253" w:rsidR="0072683F" w:rsidRPr="00246370" w:rsidRDefault="0072683F" w:rsidP="0072683F">
      <w:pPr>
        <w:snapToGrid w:val="0"/>
        <w:spacing w:line="276" w:lineRule="auto"/>
        <w:jc w:val="both"/>
        <w:rPr>
          <w:rFonts w:ascii="Verdana" w:eastAsia="Calibri" w:hAnsi="Verdana" w:cs="Arial"/>
          <w:lang w:val="es-ES_tradnl"/>
        </w:rPr>
      </w:pPr>
      <w:r>
        <w:rPr>
          <w:rFonts w:ascii="Verdana" w:eastAsia="Calibri" w:hAnsi="Verdana" w:cs="Arial"/>
          <w:lang w:val="es-ES_tradnl"/>
        </w:rPr>
        <w:t xml:space="preserve">Respecto al </w:t>
      </w:r>
      <w:r>
        <w:rPr>
          <w:rFonts w:ascii="Verdana" w:eastAsia="Calibri" w:hAnsi="Verdana" w:cs="Arial"/>
          <w:i/>
          <w:iCs/>
          <w:lang w:val="es-ES_tradnl"/>
        </w:rPr>
        <w:t xml:space="preserve">primer </w:t>
      </w:r>
      <w:r w:rsidR="00510985">
        <w:rPr>
          <w:rFonts w:ascii="Verdana" w:eastAsia="Calibri" w:hAnsi="Verdana" w:cs="Arial"/>
          <w:i/>
          <w:iCs/>
          <w:lang w:val="es-ES_tradnl"/>
        </w:rPr>
        <w:t>interrogante</w:t>
      </w:r>
      <w:r>
        <w:rPr>
          <w:rFonts w:ascii="Verdana" w:eastAsia="Calibri" w:hAnsi="Verdana" w:cs="Arial"/>
          <w:i/>
          <w:iCs/>
          <w:lang w:val="es-ES_tradnl"/>
        </w:rPr>
        <w:t xml:space="preserve">, </w:t>
      </w:r>
      <w:r>
        <w:rPr>
          <w:rFonts w:ascii="Verdana" w:eastAsia="Calibri" w:hAnsi="Verdana" w:cs="Arial"/>
          <w:lang w:val="es-ES_tradnl"/>
        </w:rPr>
        <w:t>e</w:t>
      </w:r>
      <w:r w:rsidRPr="00246370">
        <w:rPr>
          <w:rFonts w:ascii="Verdana" w:eastAsia="Calibri" w:hAnsi="Verdana" w:cs="Arial"/>
          <w:lang w:val="es-ES_tradnl"/>
        </w:rPr>
        <w:t>l numeral 5 del artículo 2.2.1.2.3.1.7 del Decreto 1082 de 2015 dispone que el amparo de estabilidad y calidad de la obra “</w:t>
      </w:r>
      <w:r w:rsidRPr="00246370">
        <w:rPr>
          <w:rFonts w:ascii="Verdana" w:eastAsia="Calibri" w:hAnsi="Verdana" w:cs="Arial"/>
          <w:lang w:val="es-MX"/>
        </w:rPr>
        <w:t xml:space="preserve">[…] </w:t>
      </w:r>
      <w:r w:rsidRPr="00246370">
        <w:rPr>
          <w:rFonts w:ascii="Verdana" w:eastAsia="Calibri" w:hAnsi="Verdana" w:cs="Arial"/>
          <w:lang w:val="es-ES_tradnl"/>
        </w:rPr>
        <w:t xml:space="preserve">cubre a la Entidad Estatal de los perjuicios ocasionados por cualquier tipo de daño o deterioro, imputable al contratista, sufrido por la obra entregada a satisfacción”. Por su parte, el artículo 2.2.1.2.3.1.14 </w:t>
      </w:r>
      <w:r w:rsidRPr="00246370">
        <w:rPr>
          <w:rFonts w:ascii="Verdana" w:eastAsia="Calibri" w:hAnsi="Verdana" w:cs="Arial"/>
          <w:i/>
          <w:iCs/>
          <w:lang w:val="es-ES_tradnl"/>
        </w:rPr>
        <w:t>ibidem</w:t>
      </w:r>
      <w:r w:rsidRPr="00246370">
        <w:rPr>
          <w:rFonts w:ascii="Verdana" w:eastAsia="Calibri" w:hAnsi="Verdana" w:cs="Arial"/>
          <w:lang w:val="es-ES_tradnl"/>
        </w:rPr>
        <w:t xml:space="preserve"> se refiere a la suficiencia de la garantía en cometo y establece su vigencia. </w:t>
      </w:r>
    </w:p>
    <w:p w14:paraId="43258806" w14:textId="488B31C4" w:rsidR="00367D34" w:rsidRDefault="00BE65BB" w:rsidP="0072683F">
      <w:pPr>
        <w:pStyle w:val="Prrafodelista"/>
        <w:tabs>
          <w:tab w:val="left" w:pos="142"/>
          <w:tab w:val="left" w:pos="284"/>
        </w:tabs>
        <w:spacing w:after="0" w:line="276" w:lineRule="auto"/>
        <w:ind w:left="0"/>
        <w:jc w:val="both"/>
        <w:rPr>
          <w:rFonts w:ascii="Verdana" w:eastAsia="Arial" w:hAnsi="Verdana" w:cs="Arial"/>
        </w:rPr>
      </w:pPr>
      <w:r>
        <w:rPr>
          <w:rFonts w:ascii="Verdana" w:eastAsia="Arial" w:hAnsi="Verdana" w:cs="Arial"/>
        </w:rPr>
        <w:tab/>
      </w:r>
      <w:r>
        <w:rPr>
          <w:rFonts w:ascii="Verdana" w:eastAsia="Arial" w:hAnsi="Verdana" w:cs="Arial"/>
        </w:rPr>
        <w:tab/>
      </w:r>
      <w:r>
        <w:rPr>
          <w:rFonts w:ascii="Verdana" w:eastAsia="Arial" w:hAnsi="Verdana" w:cs="Arial"/>
        </w:rPr>
        <w:tab/>
      </w:r>
      <w:r w:rsidR="0072683F" w:rsidRPr="00246370">
        <w:rPr>
          <w:rFonts w:ascii="Verdana" w:eastAsia="Arial" w:hAnsi="Verdana" w:cs="Arial"/>
        </w:rPr>
        <w:t>No existe una norma específica para los casos puntuales de la petición, por lo que la constitución de la garantía de estabilidad y calidad de la obra deberá realizarse en atención a las particularidades del proceso de contratación y de conformidad con lo dispuesto por el Decreto 1082 de 2015 y demás normas aplicables.</w:t>
      </w:r>
    </w:p>
    <w:p w14:paraId="74E96AB3" w14:textId="77777777" w:rsidR="00BE65BB" w:rsidRDefault="00BE65BB" w:rsidP="0072683F">
      <w:pPr>
        <w:pStyle w:val="Prrafodelista"/>
        <w:tabs>
          <w:tab w:val="left" w:pos="142"/>
          <w:tab w:val="left" w:pos="284"/>
        </w:tabs>
        <w:spacing w:after="0" w:line="276" w:lineRule="auto"/>
        <w:ind w:left="0"/>
        <w:jc w:val="both"/>
        <w:rPr>
          <w:rFonts w:ascii="Verdana" w:eastAsia="Arial" w:hAnsi="Verdana" w:cs="Arial"/>
        </w:rPr>
      </w:pPr>
      <w:r>
        <w:rPr>
          <w:rFonts w:ascii="Verdana" w:eastAsia="Arial" w:hAnsi="Verdana" w:cs="Arial"/>
        </w:rPr>
        <w:tab/>
      </w:r>
    </w:p>
    <w:p w14:paraId="231E477B" w14:textId="33F45A82" w:rsidR="0072683F" w:rsidRDefault="00BE65BB" w:rsidP="0072683F">
      <w:pPr>
        <w:pStyle w:val="Prrafodelista"/>
        <w:tabs>
          <w:tab w:val="left" w:pos="142"/>
          <w:tab w:val="left" w:pos="284"/>
        </w:tabs>
        <w:spacing w:after="0" w:line="276" w:lineRule="auto"/>
        <w:ind w:left="0"/>
        <w:jc w:val="both"/>
        <w:rPr>
          <w:rFonts w:ascii="Verdana" w:eastAsia="Arial" w:hAnsi="Verdana" w:cs="Arial"/>
        </w:rPr>
      </w:pPr>
      <w:r>
        <w:rPr>
          <w:rFonts w:ascii="Verdana" w:eastAsia="Arial" w:hAnsi="Verdana" w:cs="Arial"/>
        </w:rPr>
        <w:lastRenderedPageBreak/>
        <w:tab/>
      </w:r>
      <w:r>
        <w:rPr>
          <w:rFonts w:ascii="Verdana" w:eastAsia="Arial" w:hAnsi="Verdana" w:cs="Arial"/>
        </w:rPr>
        <w:tab/>
      </w:r>
      <w:r>
        <w:rPr>
          <w:rFonts w:ascii="Verdana" w:eastAsia="Arial" w:hAnsi="Verdana" w:cs="Arial"/>
        </w:rPr>
        <w:tab/>
        <w:t xml:space="preserve">Respecto al </w:t>
      </w:r>
      <w:r>
        <w:rPr>
          <w:rFonts w:ascii="Verdana" w:eastAsia="Arial" w:hAnsi="Verdana" w:cs="Arial"/>
          <w:i/>
          <w:iCs/>
        </w:rPr>
        <w:t xml:space="preserve">segundo interrogante, </w:t>
      </w:r>
      <w:r>
        <w:rPr>
          <w:rFonts w:ascii="Verdana" w:eastAsia="Arial" w:hAnsi="Verdana" w:cs="Arial"/>
        </w:rPr>
        <w:t xml:space="preserve">es </w:t>
      </w:r>
      <w:r>
        <w:rPr>
          <w:rFonts w:ascii="Verdana" w:hAnsi="Verdana" w:cs="Arial"/>
          <w:color w:val="000000" w:themeColor="text1"/>
        </w:rPr>
        <w:t>preciso indicar que los derechos reconocidos a estas comunidades a partir de lo establecido en el Convenio 169 de la OIT que fue ratificado mediante la Ley 21 de 1991 y que trae la figura de consulta previa, el cual es ,</w:t>
      </w:r>
      <w:r w:rsidRPr="00A04CDB">
        <w:rPr>
          <w:rFonts w:ascii="Verdana" w:hAnsi="Verdana" w:cs="Arial"/>
          <w:color w:val="000000" w:themeColor="text1"/>
        </w:rPr>
        <w:t>el derecho fundamental que tienen los grupos étnicos, de poder decidir sobre medidas (legislativas y administrativas) o proyectos, obras o actividades que se vayan a realizar dentro de sus territorios, buscando de esta manera proteger su integridad cultural, social y económica y garantizar el derecho a la participación</w:t>
      </w:r>
      <w:r>
        <w:rPr>
          <w:rFonts w:ascii="Verdana" w:hAnsi="Verdana" w:cs="Arial"/>
          <w:color w:val="000000" w:themeColor="text1"/>
        </w:rPr>
        <w:t>, no establece de manera directa la posibilidad de modificar los contratos celebrados por parte de las entidades sometidas al EGCAP.</w:t>
      </w:r>
    </w:p>
    <w:p w14:paraId="7F8A16EB" w14:textId="77777777" w:rsidR="0072683F" w:rsidRPr="00283203" w:rsidRDefault="0072683F" w:rsidP="0072683F">
      <w:pPr>
        <w:pStyle w:val="Prrafodelista"/>
        <w:tabs>
          <w:tab w:val="left" w:pos="142"/>
          <w:tab w:val="left" w:pos="284"/>
        </w:tabs>
        <w:spacing w:after="0" w:line="276" w:lineRule="auto"/>
        <w:ind w:left="0"/>
        <w:jc w:val="both"/>
        <w:rPr>
          <w:rFonts w:ascii="Verdana" w:eastAsia="Century Gothic" w:hAnsi="Verdana" w:cs="Century Gothic"/>
          <w:b/>
          <w:bCs/>
        </w:rPr>
      </w:pPr>
    </w:p>
    <w:p w14:paraId="11E015E4" w14:textId="77777777" w:rsidR="00367D34" w:rsidRPr="00283203" w:rsidRDefault="00367D34" w:rsidP="00367D3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83203">
        <w:rPr>
          <w:rFonts w:ascii="Verdana" w:eastAsia="Century Gothic" w:hAnsi="Verdana" w:cs="Century Gothic"/>
          <w:b/>
          <w:bCs/>
        </w:rPr>
        <w:t>Razones de la respuesta:</w:t>
      </w:r>
    </w:p>
    <w:p w14:paraId="5CB478C9" w14:textId="77777777" w:rsidR="00367D34" w:rsidRPr="00283203" w:rsidRDefault="00367D34" w:rsidP="00367D34">
      <w:pPr>
        <w:pStyle w:val="Prrafodelista"/>
        <w:tabs>
          <w:tab w:val="left" w:pos="142"/>
          <w:tab w:val="left" w:pos="284"/>
        </w:tabs>
        <w:spacing w:after="0" w:line="276" w:lineRule="auto"/>
        <w:ind w:left="0"/>
        <w:jc w:val="both"/>
        <w:rPr>
          <w:rFonts w:ascii="Verdana" w:eastAsia="Century Gothic" w:hAnsi="Verdana" w:cs="Century Gothic"/>
          <w:b/>
          <w:bCs/>
        </w:rPr>
      </w:pPr>
    </w:p>
    <w:p w14:paraId="28428337" w14:textId="77777777" w:rsidR="004F7BB6" w:rsidRPr="00246370" w:rsidRDefault="004F7BB6" w:rsidP="004F7BB6">
      <w:pPr>
        <w:snapToGrid w:val="0"/>
        <w:spacing w:after="0" w:line="276" w:lineRule="auto"/>
        <w:jc w:val="both"/>
        <w:rPr>
          <w:rFonts w:ascii="Verdana" w:eastAsia="Calibri" w:hAnsi="Verdana" w:cs="Arial"/>
          <w:lang w:val="es-ES_tradnl"/>
        </w:rPr>
      </w:pPr>
      <w:r w:rsidRPr="00246370">
        <w:rPr>
          <w:rFonts w:ascii="Verdana" w:eastAsia="Calibri" w:hAnsi="Verdana" w:cs="Arial"/>
          <w:lang w:val="es-ES_tradnl"/>
        </w:rPr>
        <w:t xml:space="preserve">Lo anterior se sustenta en las siguientes consideraciones: </w:t>
      </w:r>
    </w:p>
    <w:p w14:paraId="1AB09C64" w14:textId="77777777" w:rsidR="004F7BB6" w:rsidRDefault="004F7BB6" w:rsidP="004F7BB6">
      <w:pPr>
        <w:snapToGrid w:val="0"/>
        <w:spacing w:after="0" w:line="276" w:lineRule="auto"/>
        <w:jc w:val="both"/>
        <w:rPr>
          <w:rFonts w:ascii="Verdana" w:eastAsia="Calibri" w:hAnsi="Verdana" w:cs="Arial"/>
          <w:lang w:val="es-ES_tradnl"/>
        </w:rPr>
      </w:pPr>
    </w:p>
    <w:p w14:paraId="5EBD9459" w14:textId="58C43A6F" w:rsidR="004F7BB6" w:rsidRDefault="004F7BB6" w:rsidP="004F7BB6">
      <w:pPr>
        <w:snapToGrid w:val="0"/>
        <w:spacing w:after="0" w:line="276" w:lineRule="auto"/>
        <w:jc w:val="both"/>
        <w:rPr>
          <w:rFonts w:ascii="Verdana" w:eastAsia="Calibri" w:hAnsi="Verdana" w:cs="Arial"/>
          <w:lang w:val="es-ES_tradnl"/>
        </w:rPr>
      </w:pPr>
      <w:r>
        <w:rPr>
          <w:rFonts w:ascii="Verdana" w:eastAsia="Calibri" w:hAnsi="Verdana" w:cs="Arial"/>
          <w:lang w:val="es-ES_tradnl"/>
        </w:rPr>
        <w:t>Teniendo presente la variedad temática del p</w:t>
      </w:r>
      <w:r w:rsidR="00AB6BD0">
        <w:rPr>
          <w:rFonts w:ascii="Verdana" w:eastAsia="Calibri" w:hAnsi="Verdana" w:cs="Arial"/>
          <w:lang w:val="es-ES_tradnl"/>
        </w:rPr>
        <w:t xml:space="preserve">resente concepto, se abordará en primer momento lo referente a la estabilidad y calidad de la obra. </w:t>
      </w:r>
    </w:p>
    <w:p w14:paraId="21BA0BE4" w14:textId="77777777" w:rsidR="00B10D0A" w:rsidRPr="00246370" w:rsidRDefault="00B10D0A" w:rsidP="004F7BB6">
      <w:pPr>
        <w:snapToGrid w:val="0"/>
        <w:spacing w:after="0" w:line="276" w:lineRule="auto"/>
        <w:jc w:val="both"/>
        <w:rPr>
          <w:rFonts w:ascii="Verdana" w:eastAsia="Calibri" w:hAnsi="Verdana" w:cs="Arial"/>
          <w:lang w:val="es-ES_tradnl"/>
        </w:rPr>
      </w:pPr>
    </w:p>
    <w:p w14:paraId="046C5FC7"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bCs/>
          <w:lang w:val="es-ES_tradnl"/>
        </w:rPr>
        <w:t>La Guía de garantías en Procesos de Contratación señala que “Las garantías son instrumentos de cobertura de algunos Riesgos comunes en Procesos de Contratación”</w:t>
      </w:r>
      <w:r w:rsidRPr="00246370">
        <w:rPr>
          <w:rFonts w:ascii="Aptos" w:eastAsia="Aptos" w:hAnsi="Aptos" w:cs="Times New Roman"/>
          <w:kern w:val="2"/>
          <w:sz w:val="24"/>
          <w:szCs w:val="24"/>
          <w:vertAlign w:val="superscript"/>
          <w:lang w:val="es-ES_tradnl"/>
          <w14:ligatures w14:val="standardContextual"/>
        </w:rPr>
        <w:footnoteReference w:id="2"/>
      </w:r>
      <w:r w:rsidRPr="00246370">
        <w:rPr>
          <w:rFonts w:ascii="Verdana" w:eastAsia="Calibri" w:hAnsi="Verdana" w:cs="Arial"/>
          <w:bCs/>
          <w:lang w:val="es-ES_tradnl"/>
        </w:rPr>
        <w:t>.  En relación con la garantía de cumplimiento, la Agencia Nacional de Contratación Pública ha sostenido lo siguiente:</w:t>
      </w:r>
    </w:p>
    <w:p w14:paraId="4CA318A7" w14:textId="77777777" w:rsidR="004F7BB6" w:rsidRPr="00246370" w:rsidRDefault="004F7BB6" w:rsidP="004F7BB6">
      <w:pPr>
        <w:spacing w:after="0" w:line="276" w:lineRule="auto"/>
        <w:ind w:left="720"/>
        <w:contextualSpacing/>
        <w:jc w:val="both"/>
        <w:rPr>
          <w:rFonts w:ascii="Verdana" w:eastAsia="Calibri" w:hAnsi="Verdana" w:cs="Arial"/>
          <w:bCs/>
          <w:lang w:val="es-ES_tradnl"/>
        </w:rPr>
      </w:pPr>
    </w:p>
    <w:p w14:paraId="27F5A3D3" w14:textId="77777777" w:rsidR="004F7BB6" w:rsidRPr="00C438E0" w:rsidRDefault="004F7BB6" w:rsidP="004F7BB6">
      <w:pPr>
        <w:spacing w:after="0" w:line="240" w:lineRule="auto"/>
        <w:ind w:left="709" w:right="758"/>
        <w:jc w:val="both"/>
        <w:rPr>
          <w:rFonts w:ascii="Verdana" w:eastAsia="Calibri" w:hAnsi="Verdana" w:cs="Arial"/>
          <w:bCs/>
          <w:sz w:val="20"/>
          <w:szCs w:val="20"/>
          <w:lang w:val="es-ES_tradnl"/>
        </w:rPr>
      </w:pPr>
      <w:r w:rsidRPr="00246370">
        <w:rPr>
          <w:rFonts w:ascii="Verdana" w:eastAsia="Calibri" w:hAnsi="Verdana" w:cs="Arial"/>
          <w:bCs/>
          <w:sz w:val="21"/>
          <w:szCs w:val="21"/>
          <w:lang w:val="es-ES_tradnl"/>
        </w:rPr>
        <w:t>“</w:t>
      </w:r>
      <w:r w:rsidRPr="00C438E0">
        <w:rPr>
          <w:rFonts w:ascii="Verdana" w:eastAsia="Calibri" w:hAnsi="Verdana" w:cs="Arial"/>
          <w:bCs/>
          <w:sz w:val="20"/>
          <w:szCs w:val="20"/>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159A9160" w14:textId="77777777" w:rsidR="004F7BB6" w:rsidRPr="00C438E0" w:rsidRDefault="004F7BB6" w:rsidP="004F7BB6">
      <w:pPr>
        <w:spacing w:after="0" w:line="240" w:lineRule="auto"/>
        <w:ind w:left="709" w:right="758"/>
        <w:jc w:val="both"/>
        <w:rPr>
          <w:rFonts w:ascii="Verdana" w:eastAsia="Calibri" w:hAnsi="Verdana" w:cs="Arial"/>
          <w:bCs/>
          <w:sz w:val="20"/>
          <w:szCs w:val="20"/>
          <w:lang w:val="es-ES_tradnl"/>
        </w:rPr>
      </w:pPr>
    </w:p>
    <w:p w14:paraId="65C7BA6F" w14:textId="77777777" w:rsidR="004F7BB6" w:rsidRPr="00246370" w:rsidRDefault="004F7BB6" w:rsidP="004F7BB6">
      <w:pPr>
        <w:spacing w:after="0" w:line="240" w:lineRule="auto"/>
        <w:ind w:left="709" w:right="758"/>
        <w:jc w:val="both"/>
        <w:rPr>
          <w:rFonts w:ascii="Verdana" w:eastAsia="Calibri" w:hAnsi="Verdana" w:cs="Arial"/>
          <w:bCs/>
          <w:sz w:val="21"/>
          <w:szCs w:val="21"/>
          <w:lang w:val="es-ES_tradnl"/>
        </w:rPr>
      </w:pPr>
      <w:r w:rsidRPr="00C438E0">
        <w:rPr>
          <w:rFonts w:ascii="Verdana" w:eastAsia="Calibri" w:hAnsi="Verdana" w:cs="Arial"/>
          <w:bCs/>
          <w:sz w:val="20"/>
          <w:szCs w:val="20"/>
          <w:lang w:val="es-ES_tradnl"/>
        </w:rPr>
        <w:t xml:space="preserve">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w:t>
      </w:r>
      <w:r w:rsidRPr="00C438E0">
        <w:rPr>
          <w:rFonts w:ascii="Verdana" w:eastAsia="Calibri" w:hAnsi="Verdana" w:cs="Arial"/>
          <w:bCs/>
          <w:sz w:val="20"/>
          <w:szCs w:val="20"/>
          <w:lang w:val="es-ES_tradnl"/>
        </w:rPr>
        <w:lastRenderedPageBreak/>
        <w:t>establece su obligatoriedad, se presume incorporada en el respectivo contrato y no podrá ser renunciada por la Administración</w:t>
      </w:r>
      <w:r w:rsidRPr="00246370">
        <w:rPr>
          <w:rFonts w:ascii="Verdana" w:eastAsia="Calibri" w:hAnsi="Verdana" w:cs="Arial"/>
          <w:bCs/>
          <w:sz w:val="21"/>
          <w:szCs w:val="21"/>
          <w:lang w:val="es-ES_tradnl"/>
        </w:rPr>
        <w:t>”</w:t>
      </w:r>
      <w:r w:rsidRPr="00246370">
        <w:rPr>
          <w:rFonts w:ascii="Verdana" w:eastAsia="Calibri" w:hAnsi="Verdana" w:cs="Arial"/>
          <w:bCs/>
          <w:sz w:val="21"/>
          <w:szCs w:val="21"/>
          <w:vertAlign w:val="superscript"/>
          <w:lang w:val="es-ES_tradnl"/>
        </w:rPr>
        <w:footnoteReference w:id="3"/>
      </w:r>
      <w:r w:rsidRPr="00246370">
        <w:rPr>
          <w:rFonts w:ascii="Verdana" w:eastAsia="Calibri" w:hAnsi="Verdana" w:cs="Arial"/>
          <w:bCs/>
          <w:sz w:val="21"/>
          <w:szCs w:val="21"/>
          <w:lang w:val="es-ES_tradnl"/>
        </w:rPr>
        <w:t>.</w:t>
      </w:r>
    </w:p>
    <w:p w14:paraId="3A4814C2" w14:textId="77777777" w:rsidR="004F7BB6" w:rsidRPr="00246370" w:rsidRDefault="004F7BB6" w:rsidP="004F7BB6">
      <w:pPr>
        <w:spacing w:after="0" w:line="240" w:lineRule="auto"/>
        <w:ind w:left="709" w:right="758"/>
        <w:jc w:val="both"/>
        <w:rPr>
          <w:rFonts w:ascii="Verdana" w:eastAsia="Calibri" w:hAnsi="Verdana" w:cs="Arial"/>
          <w:bCs/>
          <w:lang w:val="es-ES_tradnl"/>
        </w:rPr>
      </w:pPr>
    </w:p>
    <w:p w14:paraId="7A51278C"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bCs/>
          <w:lang w:val="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1667143B" w14:textId="77777777" w:rsidR="004F7BB6" w:rsidRPr="00246370" w:rsidRDefault="004F7BB6" w:rsidP="004F7BB6">
      <w:pPr>
        <w:spacing w:after="0" w:line="276" w:lineRule="auto"/>
        <w:ind w:left="720"/>
        <w:contextualSpacing/>
        <w:jc w:val="both"/>
        <w:rPr>
          <w:rFonts w:ascii="Verdana" w:eastAsia="Calibri" w:hAnsi="Verdana" w:cs="Arial"/>
          <w:bCs/>
          <w:lang w:val="es-ES_tradnl"/>
        </w:rPr>
      </w:pPr>
    </w:p>
    <w:p w14:paraId="0B7FE458"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bCs/>
          <w:lang w:val="es-ES_tradnl"/>
        </w:rPr>
        <w:t>En efecto, según el artículo 2.2.1.2.3.1.7. del Decreto 1082 de 2015</w:t>
      </w:r>
      <w:r w:rsidRPr="00246370">
        <w:rPr>
          <w:rFonts w:ascii="Aptos" w:eastAsia="Aptos" w:hAnsi="Aptos" w:cs="Times New Roman"/>
          <w:kern w:val="2"/>
          <w:sz w:val="24"/>
          <w:szCs w:val="24"/>
          <w:vertAlign w:val="superscript"/>
          <w:lang w:val="es-ES_tradnl"/>
          <w14:ligatures w14:val="standardContextual"/>
        </w:rPr>
        <w:footnoteReference w:id="4"/>
      </w:r>
      <w:r w:rsidRPr="00246370">
        <w:rPr>
          <w:rFonts w:ascii="Verdana" w:eastAsia="Calibri" w:hAnsi="Verdana" w:cs="Arial"/>
          <w:bCs/>
          <w:lang w:val="es-ES_tradnl"/>
        </w:rPr>
        <w:t xml:space="preserve">, la garantía única de cumplimiento cuenta con varios amparos, que incluyen </w:t>
      </w:r>
      <w:r w:rsidRPr="00246370">
        <w:rPr>
          <w:rFonts w:ascii="Verdana" w:eastAsia="Calibri" w:hAnsi="Verdana" w:cs="Arial"/>
          <w:bCs/>
          <w:lang w:val="es-ES_tradnl"/>
        </w:rPr>
        <w:lastRenderedPageBreak/>
        <w:t>el de buen manejo y correcta inversión del anticipo; la devolución del pago anticipado; el amparo de cumplimiento del contrato; la garantía de pago de salarios, prestaciones sociales legales e indemnizaciones laborales; la estabilidad y calidad de la obra, entre otros.</w:t>
      </w:r>
    </w:p>
    <w:p w14:paraId="4467AD54" w14:textId="77777777" w:rsidR="004F7BB6" w:rsidRPr="00246370" w:rsidRDefault="004F7BB6" w:rsidP="004F7BB6">
      <w:pPr>
        <w:spacing w:line="278" w:lineRule="auto"/>
        <w:ind w:left="720"/>
        <w:contextualSpacing/>
        <w:rPr>
          <w:rFonts w:ascii="Verdana" w:eastAsia="Calibri" w:hAnsi="Verdana" w:cs="Arial"/>
          <w:bCs/>
          <w:lang w:val="es-ES_tradnl"/>
        </w:rPr>
      </w:pPr>
    </w:p>
    <w:p w14:paraId="5871538B" w14:textId="3D740AAE" w:rsidR="004F7BB6" w:rsidRPr="00246370" w:rsidRDefault="004F7BB6" w:rsidP="004F7BB6">
      <w:pPr>
        <w:numPr>
          <w:ilvl w:val="0"/>
          <w:numId w:val="21"/>
        </w:numPr>
        <w:spacing w:after="0" w:line="276" w:lineRule="auto"/>
        <w:contextualSpacing/>
        <w:jc w:val="both"/>
        <w:rPr>
          <w:rFonts w:ascii="Verdana" w:eastAsia="Calibri" w:hAnsi="Verdana" w:cs="Arial"/>
          <w:lang w:val="es-ES"/>
        </w:rPr>
      </w:pPr>
      <w:r w:rsidRPr="58CF6629">
        <w:rPr>
          <w:rFonts w:ascii="Verdana" w:eastAsia="Calibri" w:hAnsi="Verdana" w:cs="Arial"/>
          <w:lang w:val="es-ES"/>
        </w:rPr>
        <w:t xml:space="preserve">Por tanto, el amparo de </w:t>
      </w:r>
      <w:r w:rsidR="00C438E0" w:rsidRPr="58CF6629">
        <w:rPr>
          <w:rFonts w:ascii="Verdana" w:eastAsia="Calibri" w:hAnsi="Verdana" w:cs="Arial"/>
          <w:lang w:val="es-ES"/>
        </w:rPr>
        <w:t>cumplimiento</w:t>
      </w:r>
      <w:r w:rsidRPr="58CF6629">
        <w:rPr>
          <w:rFonts w:ascii="Verdana" w:eastAsia="Calibri" w:hAnsi="Verdana" w:cs="Arial"/>
          <w:lang w:val="es-ES"/>
        </w:rPr>
        <w:t xml:space="preserve"> es uno de los múltiples amparos que conforman la garantía única de cumplimiento. Al tenor de lo preceptuado en el artículo 2.2.1.2.3.1.7. </w:t>
      </w:r>
      <w:r w:rsidRPr="58CF6629">
        <w:rPr>
          <w:rFonts w:ascii="Verdana" w:eastAsia="Calibri" w:hAnsi="Verdana" w:cs="Arial"/>
          <w:i/>
          <w:iCs/>
          <w:lang w:val="es-ES"/>
        </w:rPr>
        <w:t>ibidem,</w:t>
      </w:r>
      <w:r w:rsidRPr="58CF6629">
        <w:rPr>
          <w:rFonts w:ascii="Verdana" w:eastAsia="Calibri" w:hAnsi="Verdana" w:cs="Arial"/>
          <w:lang w:val="es-ES"/>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0E9EE825" w14:textId="77777777" w:rsidR="004F7BB6" w:rsidRPr="00246370" w:rsidRDefault="004F7BB6" w:rsidP="004F7BB6">
      <w:pPr>
        <w:spacing w:line="278" w:lineRule="auto"/>
        <w:ind w:left="720"/>
        <w:contextualSpacing/>
        <w:rPr>
          <w:rFonts w:ascii="Verdana" w:eastAsia="Calibri" w:hAnsi="Verdana" w:cs="Arial"/>
        </w:rPr>
      </w:pPr>
    </w:p>
    <w:p w14:paraId="013C9575"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rPr>
        <w:t>Ahora bien, tratándose del amparo de estabilidad y calidad de la obra, sin perjuicio de la</w:t>
      </w:r>
      <w:r w:rsidRPr="00246370">
        <w:rPr>
          <w:rFonts w:ascii="Verdana" w:eastAsia="Calibri" w:hAnsi="Verdana" w:cs="Arial"/>
          <w:lang w:val="es-ES_tradnl"/>
        </w:rPr>
        <w:t xml:space="preserve"> garantía decenal de que trata el artículo 2060 del Código Civil</w:t>
      </w:r>
      <w:r w:rsidRPr="00246370">
        <w:rPr>
          <w:rFonts w:ascii="Aptos" w:eastAsia="Aptos" w:hAnsi="Aptos" w:cs="Times New Roman"/>
          <w:kern w:val="2"/>
          <w:sz w:val="24"/>
          <w:szCs w:val="24"/>
          <w:vertAlign w:val="superscript"/>
          <w:lang w:val="es-ES_tradnl"/>
          <w14:ligatures w14:val="standardContextual"/>
        </w:rPr>
        <w:footnoteReference w:id="5"/>
      </w:r>
      <w:r w:rsidRPr="00246370">
        <w:rPr>
          <w:rFonts w:ascii="Verdana" w:eastAsia="Calibri" w:hAnsi="Verdana" w:cs="Arial"/>
          <w:lang w:val="es-ES_tradnl"/>
        </w:rPr>
        <w:t>, el numeral 5 del artículo 2.2.1.2.3.1.7 del Decreto 1082 de 2015 dispone que “</w:t>
      </w:r>
      <w:r w:rsidRPr="00246370">
        <w:rPr>
          <w:rFonts w:ascii="Verdana" w:eastAsia="Calibri" w:hAnsi="Verdana" w:cs="Arial"/>
          <w:lang w:val="es-MX"/>
        </w:rPr>
        <w:t xml:space="preserve">[…] </w:t>
      </w:r>
      <w:r w:rsidRPr="00246370">
        <w:rPr>
          <w:rFonts w:ascii="Verdana" w:eastAsia="Calibri" w:hAnsi="Verdana" w:cs="Arial"/>
          <w:lang w:val="es-ES_tradnl"/>
        </w:rPr>
        <w:t xml:space="preserve">cubre a la Entidad Estatal de los perjuicios ocasionados por cualquier tipo de daño o deterioro, imputable al contratista, sufrido por la obra entregada a satisfacción”. </w:t>
      </w:r>
    </w:p>
    <w:p w14:paraId="0C3E5DF5" w14:textId="77777777" w:rsidR="004F7BB6" w:rsidRPr="00246370" w:rsidRDefault="004F7BB6" w:rsidP="004F7BB6">
      <w:pPr>
        <w:spacing w:line="278" w:lineRule="auto"/>
        <w:ind w:left="720"/>
        <w:contextualSpacing/>
        <w:rPr>
          <w:rFonts w:ascii="Verdana" w:eastAsia="Calibri" w:hAnsi="Verdana" w:cs="Arial"/>
          <w:lang w:val="es-ES_tradnl"/>
        </w:rPr>
      </w:pPr>
    </w:p>
    <w:p w14:paraId="5BF6D6CE" w14:textId="77777777" w:rsidR="00AF6695" w:rsidRPr="00AF6695"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 xml:space="preserve">Por otra parte, el artículo 2.2.1.2.3.1.14 prescribe que “Esta garantía debe estar vigente por un </w:t>
      </w:r>
      <w:r w:rsidRPr="00AF6695">
        <w:rPr>
          <w:rFonts w:ascii="Verdana" w:eastAsia="Calibri" w:hAnsi="Verdana" w:cs="Arial"/>
          <w:u w:val="single"/>
          <w:lang w:val="es-ES_tradnl"/>
        </w:rPr>
        <w:t>término no inferior a cinco (5) años</w:t>
      </w:r>
      <w:r w:rsidRPr="00246370">
        <w:rPr>
          <w:rFonts w:ascii="Verdana" w:eastAsia="Calibri" w:hAnsi="Verdana" w:cs="Arial"/>
          <w:lang w:val="es-ES_tradnl"/>
        </w:rPr>
        <w:t xml:space="preserve"> contados a partir </w:t>
      </w:r>
      <w:r w:rsidRPr="00246370">
        <w:rPr>
          <w:rFonts w:ascii="Verdana" w:eastAsia="Calibri" w:hAnsi="Verdana" w:cs="Arial"/>
          <w:lang w:val="es-ES_tradnl"/>
        </w:rPr>
        <w:lastRenderedPageBreak/>
        <w:t xml:space="preserve">de la fecha en </w:t>
      </w:r>
      <w:r w:rsidRPr="00AF6695">
        <w:rPr>
          <w:rFonts w:ascii="Verdana" w:eastAsia="Calibri" w:hAnsi="Verdana" w:cs="Arial"/>
          <w:u w:val="single"/>
          <w:lang w:val="es-ES_tradnl"/>
        </w:rPr>
        <w:t>la cual la Entidad Estatal recibe a satisfacción la obra.</w:t>
      </w:r>
      <w:r w:rsidRPr="00246370">
        <w:rPr>
          <w:rFonts w:ascii="Verdana" w:eastAsia="Calibri" w:hAnsi="Verdana" w:cs="Arial"/>
          <w:lang w:val="es-ES_tradnl"/>
        </w:rPr>
        <w:t xml:space="preserve"> La Entidad Estatal debe determinar el valor asegurado de esta garantía en los documentos del proceso, de acuerdo con el objeto, la cuantía, la naturaleza y las obligaciones contenidas en el contrato a </w:t>
      </w:r>
      <w:proofErr w:type="gramStart"/>
      <w:r w:rsidRPr="00246370">
        <w:rPr>
          <w:rFonts w:ascii="Verdana" w:eastAsia="Calibri" w:hAnsi="Verdana" w:cs="Arial"/>
          <w:lang w:val="es-ES_tradnl"/>
        </w:rPr>
        <w:t>celebrar”</w:t>
      </w:r>
      <w:r w:rsidR="00AF6695">
        <w:rPr>
          <w:rFonts w:ascii="Verdana" w:eastAsia="Calibri" w:hAnsi="Verdana" w:cs="Arial"/>
          <w:lang w:val="es-ES_tradnl"/>
        </w:rPr>
        <w:t>(</w:t>
      </w:r>
      <w:proofErr w:type="gramEnd"/>
      <w:r w:rsidR="00AF6695">
        <w:rPr>
          <w:rFonts w:ascii="Verdana" w:eastAsia="Calibri" w:hAnsi="Verdana" w:cs="Arial"/>
          <w:lang w:val="es-ES_tradnl"/>
        </w:rPr>
        <w:t>Subrayado fuera de texto)</w:t>
      </w:r>
      <w:r w:rsidRPr="00246370">
        <w:rPr>
          <w:rFonts w:ascii="Verdana" w:eastAsia="Calibri" w:hAnsi="Verdana" w:cs="Arial"/>
          <w:lang w:val="es-ES_tradnl"/>
        </w:rPr>
        <w:t xml:space="preserve">, agregando que “La Entidad Estatal puede aceptar que esta garantía tenga una vigencia inferior a cinco (5) años previa justificación técnica de un experto en la materia objeto del contrato, lo cual se debe reflejar en los documentos del proceso”. </w:t>
      </w:r>
    </w:p>
    <w:p w14:paraId="279B82BD" w14:textId="77777777" w:rsidR="00AF6695" w:rsidRDefault="00AF6695" w:rsidP="00AF6695">
      <w:pPr>
        <w:pStyle w:val="Prrafodelista"/>
        <w:rPr>
          <w:rFonts w:ascii="Verdana" w:eastAsia="Calibri" w:hAnsi="Verdana" w:cs="Arial"/>
          <w:lang w:val="es-ES_tradnl"/>
        </w:rPr>
      </w:pPr>
    </w:p>
    <w:p w14:paraId="4FA7392D" w14:textId="1FA36F70"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A tales efectos, la norma establece que “Para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w:t>
      </w:r>
    </w:p>
    <w:p w14:paraId="5D494907" w14:textId="77777777" w:rsidR="004F7BB6" w:rsidRPr="00246370" w:rsidRDefault="004F7BB6" w:rsidP="004F7BB6">
      <w:pPr>
        <w:spacing w:after="0" w:line="276" w:lineRule="auto"/>
        <w:ind w:left="720"/>
        <w:contextualSpacing/>
        <w:jc w:val="both"/>
        <w:rPr>
          <w:rFonts w:ascii="Verdana" w:eastAsia="Calibri" w:hAnsi="Verdana" w:cs="Arial"/>
          <w:bCs/>
          <w:lang w:val="es-ES_tradnl"/>
        </w:rPr>
      </w:pPr>
    </w:p>
    <w:p w14:paraId="5F83733F"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Pr="00246370">
        <w:rPr>
          <w:rFonts w:ascii="Verdana" w:eastAsia="Calibri" w:hAnsi="Verdana" w:cs="Arial"/>
          <w:bCs/>
          <w:lang w:val="es-ES_tradnl" w:eastAsia="es-MX"/>
        </w:rPr>
        <w:t xml:space="preserve">  </w:t>
      </w:r>
      <w:r w:rsidRPr="00246370">
        <w:rPr>
          <w:rFonts w:ascii="Verdana" w:eastAsia="Calibri" w:hAnsi="Verdana" w:cs="Arial"/>
        </w:rPr>
        <w:t>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y el contratista está llamado a responder por ello.</w:t>
      </w:r>
    </w:p>
    <w:p w14:paraId="50E932B2" w14:textId="77777777" w:rsidR="004F7BB6" w:rsidRPr="00246370" w:rsidRDefault="004F7BB6" w:rsidP="004F7BB6">
      <w:pPr>
        <w:spacing w:line="278" w:lineRule="auto"/>
        <w:ind w:left="720"/>
        <w:contextualSpacing/>
        <w:rPr>
          <w:rFonts w:ascii="Verdana" w:eastAsia="Calibri" w:hAnsi="Verdana" w:cs="Arial"/>
          <w:iCs/>
        </w:rPr>
      </w:pPr>
    </w:p>
    <w:p w14:paraId="06B9F98F" w14:textId="77777777" w:rsidR="00162ABE" w:rsidRPr="00162ABE"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iCs/>
        </w:rPr>
        <w:t xml:space="preserve">El Consejo de Estado ha delimitado la finalidad del amparo de estabilidad de la obra para indemnizar los perjuicios causados a la entidad contratante en aquellos eventos en los que la obra ejecutada amenace ruina o deterioro a consecuencia de vicio de construcción, o del suelo, o de los materiales que el contratista ha debido conocer </w:t>
      </w:r>
      <w:proofErr w:type="gramStart"/>
      <w:r w:rsidRPr="00246370">
        <w:rPr>
          <w:rFonts w:ascii="Verdana" w:eastAsia="Calibri" w:hAnsi="Verdana" w:cs="Arial"/>
          <w:iCs/>
        </w:rPr>
        <w:t>en razón de</w:t>
      </w:r>
      <w:proofErr w:type="gramEnd"/>
      <w:r w:rsidRPr="00246370">
        <w:rPr>
          <w:rFonts w:ascii="Verdana" w:eastAsia="Calibri" w:hAnsi="Verdana" w:cs="Arial"/>
          <w:iCs/>
        </w:rPr>
        <w:t xml:space="preserve"> su profesión u oficio. </w:t>
      </w:r>
    </w:p>
    <w:p w14:paraId="27A78531" w14:textId="77777777" w:rsidR="00162ABE" w:rsidRDefault="00162ABE" w:rsidP="00162ABE">
      <w:pPr>
        <w:pStyle w:val="Prrafodelista"/>
        <w:rPr>
          <w:rFonts w:ascii="Verdana" w:eastAsia="Calibri" w:hAnsi="Verdana" w:cs="Arial"/>
          <w:iCs/>
        </w:rPr>
      </w:pPr>
    </w:p>
    <w:p w14:paraId="25ADBCA2" w14:textId="77777777" w:rsidR="00C75F43" w:rsidRPr="00C75F43"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iCs/>
        </w:rPr>
        <w:lastRenderedPageBreak/>
        <w:t xml:space="preserve">Lo anterior se reafirma a partir de las exigencias que el Código Civil ha establecido para que resulte procedente predicar la responsabilidad contractual del constructor, contenidas en el numeral tercero del artículo 2060. </w:t>
      </w:r>
    </w:p>
    <w:p w14:paraId="152A6C18" w14:textId="77777777" w:rsidR="00C75F43" w:rsidRDefault="00C75F43" w:rsidP="00C75F43">
      <w:pPr>
        <w:pStyle w:val="Prrafodelista"/>
        <w:rPr>
          <w:rFonts w:ascii="Verdana" w:eastAsia="Times New Roman" w:hAnsi="Verdana" w:cs="Arial"/>
          <w:iCs/>
          <w:lang w:eastAsia="es-ES"/>
        </w:rPr>
      </w:pPr>
    </w:p>
    <w:p w14:paraId="1D4AA557" w14:textId="718F68A0"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Times New Roman" w:hAnsi="Verdana" w:cs="Arial"/>
          <w:iCs/>
          <w:lang w:eastAsia="es-ES"/>
        </w:rPr>
        <w:t>Así las cosas, si bien la entidad estatal tiene la potestad de declarar el siniestro mediante acto administrativo, no por ello se le exime de demostrar el defecto de construcción y su atribución al contratista, en la medida en que no opera presunción alguna que desplace el deber de acreditar los elementos de la responsabilidad contractual. Patrocinar una presunción sobre este aspecto sería tanto como presumir la imputación por el solo estado de la vía, lo cual no resulta procedente en tanto es preciso demostrar que la afectación de la vía o las fallas presentadas en la misma son consecuencia de un defecto en la construcción, un vicio del suelo que el personal del contratista debiera conocer o vicios en los materiales suministrados, tal como se desprende de la normativa en cita.</w:t>
      </w:r>
      <w:r w:rsidRPr="00246370">
        <w:rPr>
          <w:rFonts w:ascii="Aptos" w:eastAsia="Times New Roman" w:hAnsi="Aptos" w:cs="Times New Roman"/>
          <w:kern w:val="2"/>
          <w:sz w:val="24"/>
          <w:szCs w:val="24"/>
          <w:vertAlign w:val="superscript"/>
          <w:lang w:eastAsia="es-ES"/>
          <w14:ligatures w14:val="standardContextual"/>
        </w:rPr>
        <w:footnoteReference w:id="6"/>
      </w:r>
    </w:p>
    <w:p w14:paraId="53B5C9CE" w14:textId="77777777" w:rsidR="004F7BB6" w:rsidRPr="00246370" w:rsidRDefault="004F7BB6" w:rsidP="004F7BB6">
      <w:pPr>
        <w:spacing w:after="0" w:line="276" w:lineRule="auto"/>
        <w:ind w:left="720"/>
        <w:contextualSpacing/>
        <w:jc w:val="both"/>
        <w:rPr>
          <w:rFonts w:ascii="Verdana" w:eastAsia="Calibri" w:hAnsi="Verdana" w:cs="Arial"/>
          <w:bCs/>
          <w:lang w:val="es-ES_tradnl"/>
        </w:rPr>
      </w:pPr>
    </w:p>
    <w:p w14:paraId="000BBD74"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Times New Roman" w:hAnsi="Verdana" w:cs="Arial"/>
          <w:iCs/>
          <w:lang w:eastAsia="es-ES"/>
        </w:rPr>
        <w:t xml:space="preserve">Entonces, se ha sostenido que el amparo de la estabilidad de la obra tiene por objeto </w:t>
      </w:r>
      <w:r w:rsidRPr="00246370">
        <w:rPr>
          <w:rFonts w:ascii="Verdana" w:eastAsia="Calibri" w:hAnsi="Verdana" w:cs="Arial"/>
          <w:lang w:val="es-ES_tradnl"/>
        </w:rPr>
        <w:t>“</w:t>
      </w:r>
      <w:r w:rsidRPr="00246370">
        <w:rPr>
          <w:rFonts w:ascii="Verdana" w:eastAsia="Calibri" w:hAnsi="Verdana" w:cs="Arial"/>
        </w:rPr>
        <w:t>la cobertura de los riegos que soporta la entidad contratante en aquellos eventos en los que, con posterioridad a la terminación y entrega a satisfacción de la construcción o edificación, se presenten graves deterioros que por causa de un vicio oculto no se podían advertir con anterioridad, e impidan su normal utilización</w:t>
      </w:r>
      <w:r w:rsidRPr="00246370">
        <w:rPr>
          <w:rFonts w:ascii="Verdana" w:eastAsia="Calibri" w:hAnsi="Verdana" w:cs="Arial"/>
          <w:lang w:val="es-ES_tradnl"/>
        </w:rPr>
        <w:t>”</w:t>
      </w:r>
      <w:r w:rsidRPr="00246370">
        <w:rPr>
          <w:rFonts w:ascii="Aptos" w:eastAsia="Aptos" w:hAnsi="Aptos" w:cs="Times New Roman"/>
          <w:kern w:val="2"/>
          <w:sz w:val="24"/>
          <w:szCs w:val="24"/>
          <w:vertAlign w:val="superscript"/>
          <w:lang w:val="es-ES_tradnl"/>
          <w14:ligatures w14:val="standardContextual"/>
        </w:rPr>
        <w:footnoteReference w:id="7"/>
      </w:r>
      <w:r w:rsidRPr="00246370">
        <w:rPr>
          <w:rFonts w:ascii="Verdana" w:eastAsia="Calibri" w:hAnsi="Verdana" w:cs="Arial"/>
          <w:lang w:val="es-ES_tradnl"/>
        </w:rPr>
        <w:t>.</w:t>
      </w:r>
    </w:p>
    <w:p w14:paraId="5D6FC7E8" w14:textId="77777777" w:rsidR="004F7BB6" w:rsidRPr="00246370" w:rsidRDefault="004F7BB6" w:rsidP="004F7BB6">
      <w:pPr>
        <w:spacing w:line="278" w:lineRule="auto"/>
        <w:ind w:left="720"/>
        <w:contextualSpacing/>
        <w:rPr>
          <w:rFonts w:ascii="Verdana" w:eastAsia="Calibri" w:hAnsi="Verdana" w:cs="Arial"/>
          <w:lang w:val="es-ES_tradnl"/>
        </w:rPr>
      </w:pPr>
    </w:p>
    <w:p w14:paraId="2454F50A" w14:textId="77777777" w:rsidR="004F7BB6" w:rsidRPr="00246370" w:rsidRDefault="004F7BB6" w:rsidP="004F7BB6">
      <w:pPr>
        <w:numPr>
          <w:ilvl w:val="0"/>
          <w:numId w:val="21"/>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 xml:space="preserve">Finalmente, es preciso mencionar que la jurisprudencia ha diferenciado la obligación de garantizar el contrato de obra pública mediante garantías, con la responsabilidad exigible al contratista en virtud del artículo 2060 del Código Civil, en tanto que las obligaciones de estabilidad de la obra tienen origen en el contrato y esto no lo libera de las obligaciones </w:t>
      </w:r>
      <w:r w:rsidRPr="00246370">
        <w:rPr>
          <w:rFonts w:ascii="Verdana" w:eastAsia="Calibri" w:hAnsi="Verdana" w:cs="Arial"/>
          <w:lang w:val="es-ES_tradnl"/>
        </w:rPr>
        <w:lastRenderedPageBreak/>
        <w:t xml:space="preserve">garantizadas por el término señalado en el Código Civil para edificaciones, por ello ha dicho: </w:t>
      </w:r>
    </w:p>
    <w:p w14:paraId="6A493501" w14:textId="77777777" w:rsidR="004F7BB6" w:rsidRPr="00246370" w:rsidRDefault="004F7BB6" w:rsidP="004F7BB6">
      <w:pPr>
        <w:spacing w:after="0" w:line="276" w:lineRule="auto"/>
        <w:jc w:val="both"/>
        <w:rPr>
          <w:rFonts w:ascii="Verdana" w:eastAsia="Calibri" w:hAnsi="Verdana" w:cs="Arial"/>
          <w:bCs/>
          <w:lang w:val="es-ES_tradnl"/>
        </w:rPr>
      </w:pPr>
    </w:p>
    <w:p w14:paraId="1583664B" w14:textId="77777777" w:rsidR="004F7BB6" w:rsidRPr="00162ABE" w:rsidRDefault="004F7BB6" w:rsidP="004F7BB6">
      <w:pPr>
        <w:widowControl w:val="0"/>
        <w:autoSpaceDE w:val="0"/>
        <w:autoSpaceDN w:val="0"/>
        <w:spacing w:after="0" w:line="240" w:lineRule="auto"/>
        <w:ind w:left="709" w:right="709"/>
        <w:jc w:val="both"/>
        <w:rPr>
          <w:rFonts w:ascii="Verdana" w:eastAsia="Arial" w:hAnsi="Verdana" w:cs="Arial"/>
          <w:sz w:val="20"/>
          <w:szCs w:val="20"/>
        </w:rPr>
      </w:pPr>
      <w:r w:rsidRPr="00246370">
        <w:rPr>
          <w:rFonts w:ascii="Verdana" w:eastAsia="Arial" w:hAnsi="Verdana" w:cs="Arial"/>
          <w:sz w:val="21"/>
          <w:szCs w:val="21"/>
        </w:rPr>
        <w:t>“</w:t>
      </w:r>
      <w:r w:rsidRPr="00162ABE">
        <w:rPr>
          <w:rFonts w:ascii="Verdana" w:eastAsia="Arial" w:hAnsi="Verdana" w:cs="Arial"/>
          <w:sz w:val="20"/>
          <w:szCs w:val="20"/>
        </w:rPr>
        <w:t xml:space="preserve">Por eso, en principio, el hecho de que el contratista constructor constituya la garantía de estabilidad de la obra por un período menor a los diez años, no implica que por el tiempo faltante cese la obligación que la ley civil le impone de responder si se presentan vicios inherentes a la construcción y a la calidad de los materiales, sino que comporta que la entidad pública dueña de la obra pueda hacerla exigible con fundamento en la garantía de seguro constituida por el contratista constructor, si llegasen a aparecer en el período de garantía. </w:t>
      </w:r>
    </w:p>
    <w:p w14:paraId="6CF8198B" w14:textId="77777777" w:rsidR="004F7BB6" w:rsidRPr="00162ABE" w:rsidRDefault="004F7BB6" w:rsidP="004F7BB6">
      <w:pPr>
        <w:widowControl w:val="0"/>
        <w:autoSpaceDE w:val="0"/>
        <w:autoSpaceDN w:val="0"/>
        <w:spacing w:after="0" w:line="240" w:lineRule="auto"/>
        <w:ind w:right="709"/>
        <w:jc w:val="both"/>
        <w:rPr>
          <w:rFonts w:ascii="Verdana" w:eastAsia="Arial" w:hAnsi="Verdana" w:cs="Arial"/>
          <w:sz w:val="20"/>
          <w:szCs w:val="20"/>
        </w:rPr>
      </w:pPr>
    </w:p>
    <w:p w14:paraId="04F8E296" w14:textId="77777777" w:rsidR="004F7BB6" w:rsidRPr="00162ABE" w:rsidRDefault="004F7BB6" w:rsidP="004F7BB6">
      <w:pPr>
        <w:widowControl w:val="0"/>
        <w:autoSpaceDE w:val="0"/>
        <w:autoSpaceDN w:val="0"/>
        <w:spacing w:after="0" w:line="240" w:lineRule="auto"/>
        <w:ind w:left="709" w:right="709"/>
        <w:jc w:val="both"/>
        <w:rPr>
          <w:rFonts w:ascii="Verdana" w:eastAsia="Arial" w:hAnsi="Verdana" w:cs="Arial"/>
          <w:sz w:val="20"/>
          <w:szCs w:val="20"/>
          <w:lang w:val="es-ES"/>
        </w:rPr>
      </w:pPr>
      <w:r w:rsidRPr="00162ABE">
        <w:rPr>
          <w:rFonts w:ascii="Verdana" w:eastAsia="Arial" w:hAnsi="Verdana" w:cs="Arial"/>
          <w:sz w:val="20"/>
          <w:szCs w:val="20"/>
          <w:lang w:val="es-ES"/>
        </w:rPr>
        <w:t xml:space="preserve">Igualmente, el vencimiento de la garantía no libera al constructor de la responsabilidad que le incumbe por la estabilidad de la obra y la buena calidad de los materiales utilizados, durante el término que reste de la obligación decenal establecida en el artículo 2060 del Código Civil. </w:t>
      </w:r>
    </w:p>
    <w:p w14:paraId="5B1935FC" w14:textId="77777777" w:rsidR="004F7BB6" w:rsidRPr="00162ABE" w:rsidRDefault="004F7BB6" w:rsidP="004F7BB6">
      <w:pPr>
        <w:widowControl w:val="0"/>
        <w:autoSpaceDE w:val="0"/>
        <w:autoSpaceDN w:val="0"/>
        <w:spacing w:after="0" w:line="240" w:lineRule="auto"/>
        <w:ind w:left="709" w:right="709"/>
        <w:jc w:val="both"/>
        <w:rPr>
          <w:rFonts w:ascii="Verdana" w:eastAsia="Arial" w:hAnsi="Verdana" w:cs="Arial"/>
          <w:sz w:val="20"/>
          <w:szCs w:val="20"/>
          <w:lang w:val="es-ES"/>
        </w:rPr>
      </w:pPr>
    </w:p>
    <w:p w14:paraId="7138E5CD" w14:textId="77777777" w:rsidR="004F7BB6" w:rsidRPr="00246370" w:rsidRDefault="004F7BB6" w:rsidP="004F7BB6">
      <w:pPr>
        <w:widowControl w:val="0"/>
        <w:autoSpaceDE w:val="0"/>
        <w:autoSpaceDN w:val="0"/>
        <w:spacing w:after="0" w:line="240" w:lineRule="auto"/>
        <w:ind w:left="709" w:right="709"/>
        <w:jc w:val="both"/>
        <w:rPr>
          <w:rFonts w:ascii="Verdana" w:eastAsia="Arial" w:hAnsi="Verdana" w:cs="Arial"/>
          <w:sz w:val="21"/>
          <w:szCs w:val="21"/>
          <w:lang w:val="es-ES"/>
        </w:rPr>
      </w:pPr>
      <w:r w:rsidRPr="00162ABE">
        <w:rPr>
          <w:rFonts w:ascii="Verdana" w:eastAsia="Arial" w:hAnsi="Verdana" w:cs="Arial"/>
          <w:sz w:val="20"/>
          <w:szCs w:val="20"/>
          <w:lang w:val="es-ES"/>
        </w:rPr>
        <w:t>Por lo tanto, terminado el contrato de obra, debido al interés público, el contratista tiene a su cargo la obligación de dejar indemne a la entidad contratante de los perjuicios relacionados con la destrucción y la amenaza de ruina de la obra por vicio de la construcción, o del suelo, o de los materiales, según el caso, por un término no inferior a diez años posteriores a la entrega, con independencia de que el plazo de vigencia de la garantía del seguro sea menor. Se dice término inferior, pues bien puede suceder que la naturaleza de la obra determine un plazo mayor de extensión de la responsabilidad</w:t>
      </w:r>
      <w:r w:rsidRPr="00246370">
        <w:rPr>
          <w:rFonts w:ascii="Verdana" w:eastAsia="Arial" w:hAnsi="Verdana" w:cs="Arial"/>
          <w:sz w:val="21"/>
          <w:szCs w:val="21"/>
          <w:lang w:val="es-ES"/>
        </w:rPr>
        <w:t>.”</w:t>
      </w:r>
      <w:r w:rsidRPr="00246370">
        <w:rPr>
          <w:rFonts w:ascii="Verdana" w:eastAsia="Arial" w:hAnsi="Verdana" w:cs="Arial"/>
          <w:sz w:val="21"/>
          <w:szCs w:val="21"/>
          <w:vertAlign w:val="superscript"/>
          <w:lang w:val="es-ES"/>
        </w:rPr>
        <w:footnoteReference w:id="8"/>
      </w:r>
      <w:r w:rsidRPr="00246370">
        <w:rPr>
          <w:rFonts w:ascii="Verdana" w:eastAsia="Arial" w:hAnsi="Verdana" w:cs="Arial"/>
          <w:sz w:val="21"/>
          <w:szCs w:val="21"/>
          <w:lang w:val="es-ES"/>
        </w:rPr>
        <w:t xml:space="preserve"> </w:t>
      </w:r>
    </w:p>
    <w:p w14:paraId="2ED4E0D6" w14:textId="77777777" w:rsidR="004F7BB6" w:rsidRPr="00246370" w:rsidRDefault="004F7BB6" w:rsidP="004F7BB6">
      <w:pPr>
        <w:widowControl w:val="0"/>
        <w:autoSpaceDE w:val="0"/>
        <w:autoSpaceDN w:val="0"/>
        <w:spacing w:after="0" w:line="240" w:lineRule="auto"/>
        <w:ind w:right="709"/>
        <w:jc w:val="both"/>
        <w:rPr>
          <w:rFonts w:ascii="Verdana" w:eastAsia="Arial" w:hAnsi="Verdana" w:cs="Arial"/>
          <w:lang w:val="es-ES"/>
        </w:rPr>
      </w:pPr>
    </w:p>
    <w:p w14:paraId="37C232DB" w14:textId="77777777" w:rsidR="004F7BB6" w:rsidRPr="00246370" w:rsidRDefault="004F7BB6" w:rsidP="004F7BB6">
      <w:pPr>
        <w:widowControl w:val="0"/>
        <w:numPr>
          <w:ilvl w:val="0"/>
          <w:numId w:val="22"/>
        </w:numPr>
        <w:autoSpaceDE w:val="0"/>
        <w:autoSpaceDN w:val="0"/>
        <w:spacing w:after="0" w:line="276" w:lineRule="auto"/>
        <w:contextualSpacing/>
        <w:jc w:val="both"/>
        <w:rPr>
          <w:rFonts w:ascii="Verdana" w:eastAsia="Arial" w:hAnsi="Verdana" w:cs="Arial"/>
          <w:lang w:val="es-ES"/>
        </w:rPr>
      </w:pPr>
      <w:r w:rsidRPr="00246370">
        <w:rPr>
          <w:rFonts w:ascii="Verdana" w:eastAsia="Arial" w:hAnsi="Verdana" w:cs="Arial"/>
          <w:lang w:val="es-ES"/>
        </w:rPr>
        <w:t xml:space="preserve">En todo caso, es importante señalar que no existe una norma específica para los casos puntuales de la petición, por lo que la constitución de la garantía de estabilidad y calidad de la obra deberá realizarse en atención a las particularidades del proceso de contratación y de conformidad con lo dispuesto por el Decreto 1082 de 2015 y demás normas aplicables, en los términos expuestos en este concepto. </w:t>
      </w:r>
    </w:p>
    <w:p w14:paraId="489EA563" w14:textId="4D96817A" w:rsidR="00397EC1" w:rsidRDefault="00BA0A27" w:rsidP="00013825">
      <w:pPr>
        <w:spacing w:before="120" w:line="276" w:lineRule="auto"/>
        <w:jc w:val="both"/>
        <w:rPr>
          <w:rFonts w:ascii="Verdana" w:hAnsi="Verdana" w:cs="Arial"/>
          <w:color w:val="000000" w:themeColor="text1"/>
        </w:rPr>
      </w:pPr>
      <w:r>
        <w:rPr>
          <w:rFonts w:ascii="Verdana" w:hAnsi="Verdana" w:cs="Arial"/>
          <w:color w:val="000000" w:themeColor="text1"/>
        </w:rPr>
        <w:t xml:space="preserve">En segunda medida se abordará la temática de modificación de los contratos y en </w:t>
      </w:r>
      <w:r w:rsidR="00D71224">
        <w:rPr>
          <w:rFonts w:ascii="Verdana" w:hAnsi="Verdana" w:cs="Arial"/>
          <w:color w:val="000000" w:themeColor="text1"/>
        </w:rPr>
        <w:t xml:space="preserve">particular, sobre la existencia de un enunciado dentro del EGCAP que permita </w:t>
      </w:r>
      <w:r w:rsidR="00D71224">
        <w:rPr>
          <w:rFonts w:ascii="Verdana" w:hAnsi="Verdana" w:cs="Arial"/>
          <w:color w:val="000000" w:themeColor="text1"/>
        </w:rPr>
        <w:lastRenderedPageBreak/>
        <w:t xml:space="preserve">modificar los contratos por parte de las </w:t>
      </w:r>
      <w:r w:rsidR="00F30647" w:rsidRPr="00F30647">
        <w:rPr>
          <w:rFonts w:ascii="Verdana" w:hAnsi="Verdana" w:cs="Arial"/>
          <w:color w:val="000000" w:themeColor="text1"/>
        </w:rPr>
        <w:t>Comunidades Indígenas en Ejercicio de su Autonomía</w:t>
      </w:r>
      <w:r w:rsidR="00F30647">
        <w:rPr>
          <w:rFonts w:ascii="Verdana" w:hAnsi="Verdana" w:cs="Arial"/>
          <w:color w:val="000000" w:themeColor="text1"/>
        </w:rPr>
        <w:t xml:space="preserve"> en virtud de lo establecido en e</w:t>
      </w:r>
      <w:r w:rsidR="00F30647" w:rsidRPr="00F30647">
        <w:rPr>
          <w:rFonts w:ascii="Verdana" w:hAnsi="Verdana" w:cs="Arial"/>
          <w:color w:val="000000" w:themeColor="text1"/>
        </w:rPr>
        <w:t>l Convenio 169 de la OIT</w:t>
      </w:r>
      <w:r w:rsidR="00176F8E">
        <w:rPr>
          <w:rFonts w:ascii="Verdana" w:hAnsi="Verdana" w:cs="Arial"/>
          <w:color w:val="000000" w:themeColor="text1"/>
        </w:rPr>
        <w:t>.</w:t>
      </w:r>
    </w:p>
    <w:p w14:paraId="5F00A1FE" w14:textId="77777777" w:rsidR="00423815" w:rsidRDefault="00176F8E" w:rsidP="00423815">
      <w:pPr>
        <w:pStyle w:val="Prrafodelista"/>
        <w:numPr>
          <w:ilvl w:val="0"/>
          <w:numId w:val="22"/>
        </w:numPr>
        <w:spacing w:before="120" w:line="276" w:lineRule="auto"/>
        <w:jc w:val="both"/>
        <w:rPr>
          <w:rFonts w:ascii="Verdana" w:hAnsi="Verdana" w:cs="Arial"/>
          <w:color w:val="000000" w:themeColor="text1"/>
        </w:rPr>
      </w:pPr>
      <w:r w:rsidRPr="00423815">
        <w:rPr>
          <w:rFonts w:ascii="Verdana" w:hAnsi="Verdana" w:cs="Arial"/>
          <w:color w:val="000000" w:themeColor="text1"/>
        </w:rPr>
        <w:t xml:space="preserve">Para abordar la temática </w:t>
      </w:r>
      <w:r w:rsidR="00423815" w:rsidRPr="00423815">
        <w:rPr>
          <w:rFonts w:ascii="Verdana" w:hAnsi="Verdana" w:cs="Arial"/>
          <w:color w:val="000000" w:themeColor="text1"/>
        </w:rPr>
        <w:t>es primordial señalar que dentro del</w:t>
      </w:r>
      <w:r w:rsidR="00013825" w:rsidRPr="00423815">
        <w:rPr>
          <w:rFonts w:ascii="Verdana" w:hAnsi="Verdana" w:cs="Arial"/>
          <w:color w:val="000000" w:themeColor="text1"/>
        </w:rPr>
        <w:t xml:space="preserve"> </w:t>
      </w:r>
      <w:r w:rsidR="00423815" w:rsidRPr="00423815">
        <w:rPr>
          <w:rFonts w:ascii="Verdana" w:hAnsi="Verdana" w:cs="Arial"/>
          <w:color w:val="000000" w:themeColor="text1"/>
        </w:rPr>
        <w:t>EGCAP</w:t>
      </w:r>
      <w:r w:rsidR="00013825" w:rsidRPr="00423815">
        <w:rPr>
          <w:rFonts w:ascii="Verdana" w:hAnsi="Verdana" w:cs="Arial"/>
          <w:color w:val="000000" w:themeColor="text1"/>
        </w:rPr>
        <w:t xml:space="preserve"> contenido en las Leyes 80 de 1993 y 1150 de 2007,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w:t>
      </w:r>
    </w:p>
    <w:p w14:paraId="613E41B8" w14:textId="77777777" w:rsidR="00C75F43" w:rsidRDefault="00C75F43" w:rsidP="00C75F43">
      <w:pPr>
        <w:pStyle w:val="Prrafodelista"/>
        <w:spacing w:before="120" w:line="276" w:lineRule="auto"/>
        <w:jc w:val="both"/>
        <w:rPr>
          <w:rFonts w:ascii="Verdana" w:hAnsi="Verdana" w:cs="Arial"/>
          <w:color w:val="000000" w:themeColor="text1"/>
        </w:rPr>
      </w:pPr>
    </w:p>
    <w:p w14:paraId="22D5CD6D" w14:textId="516D090A" w:rsidR="00013825" w:rsidRDefault="00013825" w:rsidP="00423815">
      <w:pPr>
        <w:pStyle w:val="Prrafodelista"/>
        <w:numPr>
          <w:ilvl w:val="0"/>
          <w:numId w:val="22"/>
        </w:numPr>
        <w:spacing w:before="120" w:line="276" w:lineRule="auto"/>
        <w:jc w:val="both"/>
        <w:rPr>
          <w:rFonts w:ascii="Verdana" w:hAnsi="Verdana" w:cs="Arial"/>
          <w:color w:val="000000" w:themeColor="text1"/>
        </w:rPr>
      </w:pPr>
      <w:r w:rsidRPr="00423815">
        <w:rPr>
          <w:rFonts w:ascii="Verdana" w:hAnsi="Verdana" w:cs="Arial"/>
          <w:color w:val="000000" w:themeColor="text1"/>
        </w:rPr>
        <w:t>La regulación expresa contenida en la Ley se limita a fijar los porcentajes límite para adicionar los valores inicialmente pactados, como lo hace el artículo 40 de la Ley 80 de 1993, al cual se hará referencia más adelante.</w:t>
      </w:r>
    </w:p>
    <w:p w14:paraId="6C48589B" w14:textId="77777777" w:rsidR="00423815" w:rsidRPr="00423815" w:rsidRDefault="00423815" w:rsidP="00423815">
      <w:pPr>
        <w:pStyle w:val="Prrafodelista"/>
        <w:spacing w:before="120" w:line="276" w:lineRule="auto"/>
        <w:jc w:val="both"/>
        <w:rPr>
          <w:rFonts w:ascii="Verdana" w:hAnsi="Verdana" w:cs="Arial"/>
          <w:color w:val="000000" w:themeColor="text1"/>
        </w:rPr>
      </w:pPr>
    </w:p>
    <w:p w14:paraId="06F84F8B" w14:textId="77777777" w:rsidR="00C75F43" w:rsidRDefault="00013825" w:rsidP="00423815">
      <w:pPr>
        <w:pStyle w:val="Prrafodelista"/>
        <w:numPr>
          <w:ilvl w:val="0"/>
          <w:numId w:val="22"/>
        </w:numPr>
        <w:spacing w:before="120" w:line="276" w:lineRule="auto"/>
        <w:jc w:val="both"/>
        <w:rPr>
          <w:rFonts w:ascii="Verdana" w:hAnsi="Verdana" w:cs="Arial"/>
          <w:color w:val="000000" w:themeColor="text1"/>
        </w:rPr>
      </w:pPr>
      <w:r w:rsidRPr="00423815">
        <w:rPr>
          <w:rFonts w:ascii="Verdana" w:hAnsi="Verdana" w:cs="Arial"/>
          <w:color w:val="000000" w:themeColor="text1"/>
        </w:rPr>
        <w:t>Ahora bien, no existe ninguna restricción expresa para modificar los contratos estatales y los mismos principios antes referidos ponen en evidencia la necesidad de suscribir documentos de modificación en los cuales se cambie parte de las estipulaciones pactadas en un comienzo.</w:t>
      </w:r>
    </w:p>
    <w:p w14:paraId="7F10495B" w14:textId="77777777" w:rsidR="00C75F43" w:rsidRPr="00C75F43" w:rsidRDefault="00C75F43" w:rsidP="00C75F43">
      <w:pPr>
        <w:pStyle w:val="Prrafodelista"/>
        <w:rPr>
          <w:rFonts w:ascii="Verdana" w:hAnsi="Verdana" w:cs="Arial"/>
          <w:color w:val="000000" w:themeColor="text1"/>
        </w:rPr>
      </w:pPr>
    </w:p>
    <w:p w14:paraId="7F369241" w14:textId="028611E2" w:rsidR="00013825" w:rsidRPr="00423815" w:rsidRDefault="00013825" w:rsidP="00423815">
      <w:pPr>
        <w:pStyle w:val="Prrafodelista"/>
        <w:numPr>
          <w:ilvl w:val="0"/>
          <w:numId w:val="22"/>
        </w:numPr>
        <w:spacing w:before="120" w:line="276" w:lineRule="auto"/>
        <w:jc w:val="both"/>
        <w:rPr>
          <w:rFonts w:ascii="Verdana" w:hAnsi="Verdana" w:cs="Arial"/>
          <w:color w:val="000000" w:themeColor="text1"/>
        </w:rPr>
      </w:pPr>
      <w:r w:rsidRPr="00423815">
        <w:rPr>
          <w:rFonts w:ascii="Verdana" w:hAnsi="Verdana" w:cs="Arial"/>
          <w:color w:val="000000" w:themeColor="text1"/>
        </w:rPr>
        <w:t>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el Consejo de Estado ha expresado lo siguiente sobre el asunto:</w:t>
      </w:r>
    </w:p>
    <w:p w14:paraId="6C3F0D53" w14:textId="77777777" w:rsidR="00013825" w:rsidRPr="002F6F22" w:rsidRDefault="00013825" w:rsidP="00423815">
      <w:pPr>
        <w:spacing w:before="120" w:line="276" w:lineRule="auto"/>
        <w:ind w:left="567" w:right="900"/>
        <w:jc w:val="both"/>
        <w:rPr>
          <w:rFonts w:ascii="Verdana" w:hAnsi="Verdana" w:cs="Arial"/>
          <w:color w:val="000000" w:themeColor="text1"/>
          <w:sz w:val="20"/>
          <w:szCs w:val="20"/>
        </w:rPr>
      </w:pPr>
      <w:r w:rsidRPr="002F6F22">
        <w:rPr>
          <w:rFonts w:ascii="Verdana" w:hAnsi="Verdana" w:cs="Arial"/>
          <w:color w:val="000000" w:themeColor="text1"/>
          <w:sz w:val="20"/>
          <w:szCs w:val="20"/>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2F6F22">
        <w:rPr>
          <w:rFonts w:ascii="Verdana" w:hAnsi="Verdana" w:cs="Arial"/>
          <w:color w:val="000000" w:themeColor="text1"/>
          <w:sz w:val="20"/>
          <w:szCs w:val="20"/>
        </w:rPr>
        <w:t xml:space="preserve">del </w:t>
      </w:r>
      <w:r w:rsidRPr="002F6F22">
        <w:rPr>
          <w:rFonts w:ascii="Verdana" w:hAnsi="Verdana" w:cs="Arial"/>
          <w:color w:val="000000" w:themeColor="text1"/>
          <w:sz w:val="20"/>
          <w:szCs w:val="20"/>
        </w:rPr>
        <w:lastRenderedPageBreak/>
        <w:t>mismo</w:t>
      </w:r>
      <w:proofErr w:type="gramEnd"/>
      <w:r w:rsidRPr="002F6F22">
        <w:rPr>
          <w:rFonts w:ascii="Verdana" w:hAnsi="Verdana" w:cs="Arial"/>
          <w:color w:val="000000" w:themeColor="text1"/>
          <w:sz w:val="20"/>
          <w:szCs w:val="20"/>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724F90A3" w14:textId="77777777" w:rsidR="00013825" w:rsidRPr="00013825" w:rsidRDefault="00013825" w:rsidP="00423815">
      <w:pPr>
        <w:spacing w:before="120" w:line="276" w:lineRule="auto"/>
        <w:ind w:left="567" w:right="900"/>
        <w:jc w:val="both"/>
        <w:rPr>
          <w:rFonts w:ascii="Verdana" w:hAnsi="Verdana" w:cs="Arial"/>
          <w:color w:val="000000" w:themeColor="text1"/>
        </w:rPr>
      </w:pPr>
      <w:r w:rsidRPr="00013825">
        <w:rPr>
          <w:rFonts w:ascii="Verdana" w:hAnsi="Verdana" w:cs="Arial"/>
          <w:color w:val="000000" w:themeColor="text1"/>
        </w:rPr>
        <w:t>[…]</w:t>
      </w:r>
    </w:p>
    <w:p w14:paraId="720AB671" w14:textId="77777777" w:rsidR="00013825" w:rsidRPr="002F6F22" w:rsidRDefault="00013825" w:rsidP="00423815">
      <w:pPr>
        <w:spacing w:before="120" w:line="276" w:lineRule="auto"/>
        <w:ind w:left="567" w:right="900"/>
        <w:jc w:val="both"/>
        <w:rPr>
          <w:rFonts w:ascii="Verdana" w:hAnsi="Verdana" w:cs="Arial"/>
          <w:color w:val="000000" w:themeColor="text1"/>
          <w:sz w:val="20"/>
          <w:szCs w:val="20"/>
        </w:rPr>
      </w:pPr>
      <w:r w:rsidRPr="002F6F22">
        <w:rPr>
          <w:rFonts w:ascii="Verdana" w:hAnsi="Verdana" w:cs="Arial"/>
          <w:color w:val="000000" w:themeColor="text1"/>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2F6F22">
        <w:rPr>
          <w:rFonts w:ascii="Verdana" w:hAnsi="Verdana" w:cs="Arial"/>
          <w:color w:val="000000" w:themeColor="text1"/>
          <w:sz w:val="20"/>
          <w:szCs w:val="20"/>
        </w:rPr>
        <w:t>ibídem</w:t>
      </w:r>
      <w:proofErr w:type="spellEnd"/>
      <w:r w:rsidRPr="002F6F22">
        <w:rPr>
          <w:rFonts w:ascii="Verdana" w:hAnsi="Verdana" w:cs="Arial"/>
          <w:color w:val="000000" w:themeColor="text1"/>
          <w:sz w:val="20"/>
          <w:szCs w:val="20"/>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22CFCD05" w14:textId="74179359" w:rsidR="00013825" w:rsidRPr="00013825" w:rsidRDefault="00423815" w:rsidP="00423815">
      <w:pPr>
        <w:spacing w:before="120" w:line="276" w:lineRule="auto"/>
        <w:ind w:left="567" w:right="900"/>
        <w:jc w:val="both"/>
        <w:rPr>
          <w:rFonts w:ascii="Verdana" w:hAnsi="Verdana" w:cs="Arial"/>
          <w:color w:val="000000" w:themeColor="text1"/>
        </w:rPr>
      </w:pPr>
      <w:r>
        <w:rPr>
          <w:rFonts w:ascii="Verdana" w:hAnsi="Verdana" w:cs="Arial"/>
          <w:color w:val="000000" w:themeColor="text1"/>
        </w:rPr>
        <w:t>(</w:t>
      </w:r>
      <w:r w:rsidR="00013825" w:rsidRPr="00013825">
        <w:rPr>
          <w:rFonts w:ascii="Verdana" w:hAnsi="Verdana" w:cs="Arial"/>
          <w:color w:val="000000" w:themeColor="text1"/>
        </w:rPr>
        <w:t>…</w:t>
      </w:r>
      <w:r>
        <w:rPr>
          <w:rFonts w:ascii="Verdana" w:hAnsi="Verdana" w:cs="Arial"/>
          <w:color w:val="000000" w:themeColor="text1"/>
        </w:rPr>
        <w:t>)</w:t>
      </w:r>
      <w:r w:rsidR="00013825" w:rsidRPr="00013825">
        <w:rPr>
          <w:rFonts w:ascii="Verdana" w:hAnsi="Verdana" w:cs="Arial"/>
          <w:color w:val="000000" w:themeColor="text1"/>
        </w:rPr>
        <w:t>”</w:t>
      </w:r>
    </w:p>
    <w:p w14:paraId="20C46877" w14:textId="77777777" w:rsidR="00013825" w:rsidRPr="00423815" w:rsidRDefault="00013825" w:rsidP="00423815">
      <w:pPr>
        <w:pStyle w:val="Prrafodelista"/>
        <w:numPr>
          <w:ilvl w:val="0"/>
          <w:numId w:val="24"/>
        </w:numPr>
        <w:spacing w:before="120" w:line="276" w:lineRule="auto"/>
        <w:jc w:val="both"/>
        <w:rPr>
          <w:rFonts w:ascii="Verdana" w:hAnsi="Verdana" w:cs="Arial"/>
          <w:color w:val="000000" w:themeColor="text1"/>
        </w:rPr>
      </w:pPr>
      <w:r w:rsidRPr="00423815">
        <w:rPr>
          <w:rFonts w:ascii="Verdana" w:hAnsi="Verdana" w:cs="Arial"/>
          <w:color w:val="000000" w:themeColor="text1"/>
        </w:rPr>
        <w:t>A su turno, la Corte Constitucional, mediante sentencia C-416 de 2012, expresó lo siguiente sobre la posibilidad de modificar los contratos estatales:</w:t>
      </w:r>
    </w:p>
    <w:p w14:paraId="5F6F60F0" w14:textId="74B4B3F1" w:rsidR="00013825" w:rsidRPr="002F6F22" w:rsidRDefault="00013825" w:rsidP="002F6F22">
      <w:pPr>
        <w:spacing w:before="120" w:line="276" w:lineRule="auto"/>
        <w:ind w:left="567" w:right="900"/>
        <w:jc w:val="both"/>
        <w:rPr>
          <w:rFonts w:ascii="Verdana" w:hAnsi="Verdana" w:cs="Arial"/>
          <w:color w:val="000000" w:themeColor="text1"/>
          <w:sz w:val="20"/>
          <w:szCs w:val="20"/>
        </w:rPr>
      </w:pPr>
      <w:r w:rsidRPr="002F6F22">
        <w:rPr>
          <w:rFonts w:ascii="Verdana" w:hAnsi="Verdana" w:cs="Arial"/>
          <w:color w:val="000000" w:themeColor="text1"/>
          <w:sz w:val="20"/>
          <w:szCs w:val="20"/>
        </w:rPr>
        <w:t>“Por regla general, los contratos estatales pueden ser modificados cuando sea necesario para lograr su finalidad y en aras de la realización de los fines del Estado, a los cuales sirve el contrato. Así lo prevén por ejemplo los artículos 14 y 16 de la ley 80, los cuales facultan a las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2016, la Corte Constitucional señaló que las prórrogas de los contratos</w:t>
      </w:r>
      <w:r w:rsidR="002F6F22">
        <w:rPr>
          <w:rFonts w:ascii="Verdana" w:hAnsi="Verdana" w:cs="Arial"/>
          <w:color w:val="000000" w:themeColor="text1"/>
          <w:sz w:val="20"/>
          <w:szCs w:val="20"/>
        </w:rPr>
        <w:t xml:space="preserve"> </w:t>
      </w:r>
      <w:r w:rsidRPr="002F6F22">
        <w:rPr>
          <w:rFonts w:ascii="Verdana" w:hAnsi="Verdana" w:cs="Arial"/>
          <w:color w:val="000000" w:themeColor="text1"/>
          <w:sz w:val="20"/>
          <w:szCs w:val="20"/>
        </w:rPr>
        <w:t>–como especie de modificación- pueden ser un instrumento útil para lograr los fines propios de la contratación estatal.</w:t>
      </w:r>
    </w:p>
    <w:p w14:paraId="05A04E82" w14:textId="77777777" w:rsidR="00013825" w:rsidRPr="002F6F22" w:rsidRDefault="00013825" w:rsidP="002F6F22">
      <w:pPr>
        <w:spacing w:before="120" w:line="276" w:lineRule="auto"/>
        <w:ind w:left="567" w:right="900"/>
        <w:jc w:val="both"/>
        <w:rPr>
          <w:rFonts w:ascii="Verdana" w:hAnsi="Verdana" w:cs="Arial"/>
          <w:color w:val="000000" w:themeColor="text1"/>
          <w:sz w:val="20"/>
          <w:szCs w:val="20"/>
        </w:rPr>
      </w:pPr>
      <w:r w:rsidRPr="002F6F22">
        <w:rPr>
          <w:rFonts w:ascii="Verdana" w:hAnsi="Verdana" w:cs="Arial"/>
          <w:color w:val="000000" w:themeColor="text1"/>
          <w:sz w:val="20"/>
          <w:szCs w:val="20"/>
        </w:rPr>
        <w:lastRenderedPageBreak/>
        <w:t>[…]</w:t>
      </w:r>
    </w:p>
    <w:p w14:paraId="766F8964" w14:textId="77777777" w:rsidR="008D3645" w:rsidRDefault="00013825" w:rsidP="002F6F22">
      <w:pPr>
        <w:pStyle w:val="Prrafodelista"/>
        <w:numPr>
          <w:ilvl w:val="0"/>
          <w:numId w:val="24"/>
        </w:numPr>
        <w:spacing w:before="120" w:line="276" w:lineRule="auto"/>
        <w:jc w:val="both"/>
        <w:rPr>
          <w:rFonts w:ascii="Verdana" w:hAnsi="Verdana" w:cs="Arial"/>
          <w:color w:val="000000" w:themeColor="text1"/>
        </w:rPr>
      </w:pPr>
      <w:r w:rsidRPr="00013825">
        <w:rPr>
          <w:rFonts w:ascii="Verdana" w:hAnsi="Verdana" w:cs="Arial"/>
          <w:color w:val="000000" w:themeColor="text1"/>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013825">
        <w:rPr>
          <w:rFonts w:ascii="Verdana" w:hAnsi="Verdana" w:cs="Arial"/>
          <w:color w:val="000000" w:themeColor="text1"/>
        </w:rPr>
        <w:t>ii</w:t>
      </w:r>
      <w:proofErr w:type="spellEnd"/>
      <w:r w:rsidRPr="00013825">
        <w:rPr>
          <w:rFonts w:ascii="Verdana" w:hAnsi="Verdana" w:cs="Arial"/>
          <w:color w:val="000000" w:themeColor="text1"/>
        </w:rPr>
        <w:t xml:space="preserve">) en el marco de los cuales, por esa misma razón, es difícil prever ex ante los remedios necesarios para afrontar tales contingencias, como ocurre por lo general con los contratos de largo plazo. </w:t>
      </w:r>
    </w:p>
    <w:p w14:paraId="29CA0060" w14:textId="77777777" w:rsidR="008D3645" w:rsidRDefault="008D3645" w:rsidP="008D3645">
      <w:pPr>
        <w:pStyle w:val="Prrafodelista"/>
        <w:spacing w:before="120" w:line="276" w:lineRule="auto"/>
        <w:jc w:val="both"/>
        <w:rPr>
          <w:rFonts w:ascii="Verdana" w:hAnsi="Verdana" w:cs="Arial"/>
          <w:color w:val="000000" w:themeColor="text1"/>
        </w:rPr>
      </w:pPr>
    </w:p>
    <w:p w14:paraId="33EEB5C1" w14:textId="37A6008A" w:rsidR="00013825" w:rsidRDefault="00013825" w:rsidP="002F6F22">
      <w:pPr>
        <w:pStyle w:val="Prrafodelista"/>
        <w:numPr>
          <w:ilvl w:val="0"/>
          <w:numId w:val="24"/>
        </w:numPr>
        <w:spacing w:before="120" w:line="276" w:lineRule="auto"/>
        <w:jc w:val="both"/>
        <w:rPr>
          <w:rFonts w:ascii="Verdana" w:hAnsi="Verdana" w:cs="Arial"/>
          <w:color w:val="000000" w:themeColor="text1"/>
        </w:rPr>
      </w:pPr>
      <w:r w:rsidRPr="00013825">
        <w:rPr>
          <w:rFonts w:ascii="Verdana" w:hAnsi="Verdana" w:cs="Arial"/>
          <w:color w:val="000000" w:themeColor="text1"/>
        </w:rPr>
        <w:t>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4FC8CAFC" w14:textId="77777777" w:rsidR="008D3645" w:rsidRPr="008D3645" w:rsidRDefault="008D3645" w:rsidP="008D3645">
      <w:pPr>
        <w:pStyle w:val="Prrafodelista"/>
        <w:rPr>
          <w:rFonts w:ascii="Verdana" w:hAnsi="Verdana" w:cs="Arial"/>
          <w:color w:val="000000" w:themeColor="text1"/>
        </w:rPr>
      </w:pPr>
    </w:p>
    <w:p w14:paraId="3564C175" w14:textId="77777777" w:rsidR="00013825" w:rsidRDefault="00013825" w:rsidP="008D3645">
      <w:pPr>
        <w:pStyle w:val="Prrafodelista"/>
        <w:numPr>
          <w:ilvl w:val="0"/>
          <w:numId w:val="24"/>
        </w:numPr>
        <w:spacing w:before="120" w:line="276" w:lineRule="auto"/>
        <w:jc w:val="both"/>
        <w:rPr>
          <w:rFonts w:ascii="Verdana" w:hAnsi="Verdana" w:cs="Arial"/>
          <w:color w:val="000000" w:themeColor="text1"/>
        </w:rPr>
      </w:pPr>
      <w:r w:rsidRPr="008D3645">
        <w:rPr>
          <w:rFonts w:ascii="Verdana" w:hAnsi="Verdana" w:cs="Arial"/>
          <w:color w:val="000000" w:themeColor="text1"/>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45291518" w14:textId="77777777" w:rsidR="008D3645" w:rsidRPr="008D3645" w:rsidRDefault="008D3645" w:rsidP="008D3645">
      <w:pPr>
        <w:pStyle w:val="Prrafodelista"/>
        <w:rPr>
          <w:rFonts w:ascii="Verdana" w:hAnsi="Verdana" w:cs="Arial"/>
          <w:color w:val="000000" w:themeColor="text1"/>
        </w:rPr>
      </w:pPr>
    </w:p>
    <w:p w14:paraId="755E77FF" w14:textId="77777777" w:rsidR="00013825" w:rsidRPr="008D3645" w:rsidRDefault="00013825" w:rsidP="008D3645">
      <w:pPr>
        <w:pStyle w:val="Prrafodelista"/>
        <w:numPr>
          <w:ilvl w:val="0"/>
          <w:numId w:val="24"/>
        </w:numPr>
        <w:spacing w:before="120" w:line="276" w:lineRule="auto"/>
        <w:jc w:val="both"/>
        <w:rPr>
          <w:rFonts w:ascii="Verdana" w:hAnsi="Verdana" w:cs="Arial"/>
          <w:color w:val="000000" w:themeColor="text1"/>
        </w:rPr>
      </w:pPr>
      <w:r w:rsidRPr="008D3645">
        <w:rPr>
          <w:rFonts w:ascii="Verdana" w:hAnsi="Verdana" w:cs="Arial"/>
          <w:color w:val="000000" w:themeColor="text1"/>
        </w:rPr>
        <w:t>En el mismo sentido, en el concepto 2263 del 17 de marzo del 2016, la Sala de Consulta y Servicio Civil del Consejo de Estado precisó que la regla general es la no modificación del contrato, y la vía excepcional su modificación, sometida a límites legales; límites que, en los términos definidos en el referido concepto, corresponden a los siguientes:</w:t>
      </w:r>
    </w:p>
    <w:p w14:paraId="442E7151" w14:textId="77777777" w:rsidR="00013825" w:rsidRPr="00013825" w:rsidRDefault="00013825" w:rsidP="00013825">
      <w:pPr>
        <w:spacing w:before="120" w:line="276" w:lineRule="auto"/>
        <w:jc w:val="both"/>
        <w:rPr>
          <w:rFonts w:ascii="Verdana" w:hAnsi="Verdana" w:cs="Arial"/>
          <w:color w:val="000000" w:themeColor="text1"/>
        </w:rPr>
      </w:pPr>
    </w:p>
    <w:p w14:paraId="44BDF7AF" w14:textId="77777777" w:rsidR="00013825" w:rsidRPr="008D3645" w:rsidRDefault="00013825" w:rsidP="008D3645">
      <w:pPr>
        <w:tabs>
          <w:tab w:val="left" w:pos="851"/>
        </w:tabs>
        <w:spacing w:before="120" w:line="240" w:lineRule="auto"/>
        <w:ind w:left="567" w:right="900"/>
        <w:jc w:val="both"/>
        <w:rPr>
          <w:rFonts w:ascii="Verdana" w:hAnsi="Verdana" w:cs="Arial"/>
          <w:color w:val="000000" w:themeColor="text1"/>
          <w:sz w:val="20"/>
          <w:szCs w:val="20"/>
        </w:rPr>
      </w:pPr>
      <w:r w:rsidRPr="00013825">
        <w:rPr>
          <w:rFonts w:ascii="Verdana" w:hAnsi="Verdana" w:cs="Arial"/>
          <w:color w:val="000000" w:themeColor="text1"/>
        </w:rPr>
        <w:t>“</w:t>
      </w:r>
      <w:r w:rsidRPr="008D3645">
        <w:rPr>
          <w:rFonts w:ascii="Verdana" w:hAnsi="Verdana" w:cs="Arial"/>
          <w:color w:val="000000" w:themeColor="text1"/>
          <w:sz w:val="20"/>
          <w:szCs w:val="20"/>
        </w:rPr>
        <w:t>1. La necesidad de preservar los principios de igualdad, transparencia y libertad de concurrencia, durante la fase de ejecución del contrato.</w:t>
      </w:r>
    </w:p>
    <w:p w14:paraId="45243B61" w14:textId="77777777" w:rsidR="00013825" w:rsidRPr="008D3645" w:rsidRDefault="00013825" w:rsidP="008D3645">
      <w:pPr>
        <w:tabs>
          <w:tab w:val="left" w:pos="851"/>
        </w:tabs>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144B68B5" w14:textId="77777777" w:rsidR="00013825" w:rsidRPr="008D3645" w:rsidRDefault="00013825" w:rsidP="008D3645">
      <w:pPr>
        <w:tabs>
          <w:tab w:val="left" w:pos="851"/>
        </w:tabs>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13F32295" w14:textId="77777777" w:rsidR="00013825" w:rsidRPr="008D3645" w:rsidRDefault="00013825" w:rsidP="008D3645">
      <w:pPr>
        <w:tabs>
          <w:tab w:val="left" w:pos="851"/>
        </w:tabs>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2.</w:t>
      </w:r>
      <w:r w:rsidRPr="008D3645">
        <w:rPr>
          <w:rFonts w:ascii="Verdana" w:hAnsi="Verdana" w:cs="Arial"/>
          <w:color w:val="000000" w:themeColor="text1"/>
          <w:sz w:val="20"/>
          <w:szCs w:val="20"/>
        </w:rPr>
        <w:tab/>
        <w:t xml:space="preserve">Límites de orden temporal, entre los que están comprendidos: i) la vigencia del contrato, pues no podría modificarse un contrato cuyo plazo ha culminado y </w:t>
      </w:r>
      <w:proofErr w:type="spellStart"/>
      <w:r w:rsidRPr="008D3645">
        <w:rPr>
          <w:rFonts w:ascii="Verdana" w:hAnsi="Verdana" w:cs="Arial"/>
          <w:color w:val="000000" w:themeColor="text1"/>
          <w:sz w:val="20"/>
          <w:szCs w:val="20"/>
        </w:rPr>
        <w:t>ii</w:t>
      </w:r>
      <w:proofErr w:type="spellEnd"/>
      <w:r w:rsidRPr="008D3645">
        <w:rPr>
          <w:rFonts w:ascii="Verdana" w:hAnsi="Verdana" w:cs="Arial"/>
          <w:color w:val="000000" w:themeColor="text1"/>
          <w:sz w:val="20"/>
          <w:szCs w:val="20"/>
        </w:rPr>
        <w:t>) la prohibición de consagrar prórrogas automáticas, sucesivas o indefinidas, en tanto resultan contrarias al derecho esencial de la libertad de competencia.</w:t>
      </w:r>
    </w:p>
    <w:p w14:paraId="71827C0D" w14:textId="17D426C7" w:rsidR="00013825" w:rsidRPr="008D3645" w:rsidRDefault="00013825" w:rsidP="008D3645">
      <w:pPr>
        <w:tabs>
          <w:tab w:val="left" w:pos="851"/>
        </w:tabs>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3.</w:t>
      </w:r>
      <w:r w:rsidRPr="008D3645">
        <w:rPr>
          <w:rFonts w:ascii="Verdana" w:hAnsi="Verdana" w:cs="Arial"/>
          <w:color w:val="000000" w:themeColor="text1"/>
          <w:sz w:val="20"/>
          <w:szCs w:val="20"/>
        </w:rPr>
        <w:tab/>
        <w:t xml:space="preserve">Límites de orden formal, que comprenden: i) La solemnidad del contrato de modificación, derivada del carácter solemne del contrato estatal, que exige que modificación de los contratos conste por escrito; </w:t>
      </w:r>
      <w:proofErr w:type="spellStart"/>
      <w:r w:rsidRPr="008D3645">
        <w:rPr>
          <w:rFonts w:ascii="Verdana" w:hAnsi="Verdana" w:cs="Arial"/>
          <w:color w:val="000000" w:themeColor="text1"/>
          <w:sz w:val="20"/>
          <w:szCs w:val="20"/>
        </w:rPr>
        <w:t>ii</w:t>
      </w:r>
      <w:proofErr w:type="spellEnd"/>
      <w:r w:rsidRPr="008D3645">
        <w:rPr>
          <w:rFonts w:ascii="Verdana" w:hAnsi="Verdana" w:cs="Arial"/>
          <w:color w:val="000000" w:themeColor="text1"/>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1FFFA20E" w14:textId="77777777" w:rsidR="00013825" w:rsidRPr="008D3645" w:rsidRDefault="00013825" w:rsidP="008D3645">
      <w:pPr>
        <w:tabs>
          <w:tab w:val="left" w:pos="851"/>
        </w:tabs>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4.</w:t>
      </w:r>
      <w:r w:rsidRPr="008D3645">
        <w:rPr>
          <w:rFonts w:ascii="Verdana" w:hAnsi="Verdana" w:cs="Arial"/>
          <w:color w:val="000000" w:themeColor="text1"/>
          <w:sz w:val="20"/>
          <w:szCs w:val="20"/>
        </w:rPr>
        <w:tab/>
        <w:t>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5BFABE63" w14:textId="194792D9" w:rsidR="00013825" w:rsidRPr="008D3645" w:rsidRDefault="00013825" w:rsidP="008D3645">
      <w:pPr>
        <w:pStyle w:val="Prrafodelista"/>
        <w:numPr>
          <w:ilvl w:val="0"/>
          <w:numId w:val="25"/>
        </w:numPr>
        <w:spacing w:before="120" w:line="276" w:lineRule="auto"/>
        <w:jc w:val="both"/>
        <w:rPr>
          <w:rFonts w:ascii="Verdana" w:hAnsi="Verdana" w:cs="Arial"/>
          <w:color w:val="000000" w:themeColor="text1"/>
        </w:rPr>
      </w:pPr>
      <w:r w:rsidRPr="008D3645">
        <w:rPr>
          <w:rFonts w:ascii="Verdana" w:hAnsi="Verdana" w:cs="Arial"/>
          <w:color w:val="000000" w:themeColor="text1"/>
        </w:rPr>
        <w:lastRenderedPageBreak/>
        <w:t xml:space="preserve">Sobre el alcance de dicha prohibición, la Sala de Consulta y Servicio Civil expresó lo </w:t>
      </w:r>
      <w:r w:rsidR="008D3645" w:rsidRPr="008D3645">
        <w:rPr>
          <w:rFonts w:ascii="Verdana" w:hAnsi="Verdana" w:cs="Arial"/>
          <w:color w:val="000000" w:themeColor="text1"/>
        </w:rPr>
        <w:t>siguiente:</w:t>
      </w:r>
    </w:p>
    <w:p w14:paraId="28A14E47" w14:textId="7777777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w:t>
      </w:r>
      <w:proofErr w:type="gramStart"/>
      <w:r w:rsidRPr="008D3645">
        <w:rPr>
          <w:rFonts w:ascii="Verdana" w:hAnsi="Verdana" w:cs="Arial"/>
          <w:color w:val="000000" w:themeColor="text1"/>
          <w:sz w:val="20"/>
          <w:szCs w:val="20"/>
        </w:rPr>
        <w:t>Estado,</w:t>
      </w:r>
      <w:proofErr w:type="gramEnd"/>
      <w:r w:rsidRPr="008D3645">
        <w:rPr>
          <w:rFonts w:ascii="Verdana" w:hAnsi="Verdana" w:cs="Arial"/>
          <w:color w:val="000000" w:themeColor="text1"/>
          <w:sz w:val="20"/>
          <w:szCs w:val="20"/>
        </w:rPr>
        <w:t xml:space="preserve"> aportan los elementos necesarios que permiten orientar a la Administración sobre esta vía excepcional y sus requisitos:</w:t>
      </w:r>
    </w:p>
    <w:p w14:paraId="1A758DB2" w14:textId="7777777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14F61561" w14:textId="7777777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w:t>
      </w:r>
    </w:p>
    <w:p w14:paraId="4EFF8C62" w14:textId="7777777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2E086226" w14:textId="7777777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2253B50F" w14:textId="2ECC80C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lastRenderedPageBreak/>
        <w:t>El cumplimiento del límite cuantitativo consagrado en la ley para los contratos adicionales. […]</w:t>
      </w:r>
    </w:p>
    <w:p w14:paraId="7490A97F" w14:textId="77777777" w:rsidR="00013825" w:rsidRPr="008D3645" w:rsidRDefault="00013825" w:rsidP="008D3645">
      <w:pPr>
        <w:spacing w:before="120" w:line="240" w:lineRule="auto"/>
        <w:ind w:left="567" w:right="900"/>
        <w:jc w:val="both"/>
        <w:rPr>
          <w:rFonts w:ascii="Verdana" w:hAnsi="Verdana" w:cs="Arial"/>
          <w:color w:val="000000" w:themeColor="text1"/>
          <w:sz w:val="20"/>
          <w:szCs w:val="20"/>
        </w:rPr>
      </w:pPr>
      <w:r w:rsidRPr="008D3645">
        <w:rPr>
          <w:rFonts w:ascii="Verdana" w:hAnsi="Verdana" w:cs="Arial"/>
          <w:color w:val="000000" w:themeColor="text1"/>
          <w:sz w:val="20"/>
          <w:szCs w:val="20"/>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3A5C3ED5" w14:textId="77777777" w:rsidR="00C75F43" w:rsidRDefault="00013825" w:rsidP="008D3645">
      <w:pPr>
        <w:pStyle w:val="Prrafodelista"/>
        <w:numPr>
          <w:ilvl w:val="0"/>
          <w:numId w:val="25"/>
        </w:numPr>
        <w:spacing w:before="120" w:line="276" w:lineRule="auto"/>
        <w:jc w:val="both"/>
        <w:rPr>
          <w:rFonts w:ascii="Verdana" w:hAnsi="Verdana" w:cs="Arial"/>
          <w:color w:val="000000" w:themeColor="text1"/>
        </w:rPr>
      </w:pPr>
      <w:r w:rsidRPr="008D3645">
        <w:rPr>
          <w:rFonts w:ascii="Verdana" w:hAnsi="Verdana" w:cs="Arial"/>
          <w:color w:val="000000" w:themeColor="text1"/>
        </w:rPr>
        <w:t xml:space="preserve">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4F22657F" w14:textId="77777777" w:rsidR="00C75F43" w:rsidRDefault="00C75F43" w:rsidP="00C75F43">
      <w:pPr>
        <w:pStyle w:val="Prrafodelista"/>
        <w:spacing w:before="120" w:line="276" w:lineRule="auto"/>
        <w:jc w:val="both"/>
        <w:rPr>
          <w:rFonts w:ascii="Verdana" w:hAnsi="Verdana" w:cs="Arial"/>
          <w:color w:val="000000" w:themeColor="text1"/>
        </w:rPr>
      </w:pPr>
    </w:p>
    <w:p w14:paraId="202CA3D4" w14:textId="7FE35435" w:rsidR="00013825" w:rsidRDefault="00013825" w:rsidP="008D3645">
      <w:pPr>
        <w:pStyle w:val="Prrafodelista"/>
        <w:numPr>
          <w:ilvl w:val="0"/>
          <w:numId w:val="25"/>
        </w:numPr>
        <w:spacing w:before="120" w:line="276" w:lineRule="auto"/>
        <w:jc w:val="both"/>
        <w:rPr>
          <w:rFonts w:ascii="Verdana" w:hAnsi="Verdana" w:cs="Arial"/>
          <w:color w:val="000000" w:themeColor="text1"/>
        </w:rPr>
      </w:pPr>
      <w:r w:rsidRPr="008D3645">
        <w:rPr>
          <w:rFonts w:ascii="Verdana" w:hAnsi="Verdana" w:cs="Arial"/>
          <w:color w:val="000000" w:themeColor="text1"/>
        </w:rPr>
        <w:t xml:space="preserve">Así las cosas, para establecer si un contrato determinado puede ser susceptible de modificación, se hace necesario que la Administración analice, en cada </w:t>
      </w:r>
      <w:r w:rsidR="00F41E62">
        <w:rPr>
          <w:rFonts w:ascii="Verdana" w:hAnsi="Verdana" w:cs="Arial"/>
          <w:color w:val="000000" w:themeColor="text1"/>
        </w:rPr>
        <w:t>c</w:t>
      </w:r>
      <w:r w:rsidRPr="008D3645">
        <w:rPr>
          <w:rFonts w:ascii="Verdana" w:hAnsi="Verdana" w:cs="Arial"/>
          <w:color w:val="000000" w:themeColor="text1"/>
        </w:rPr>
        <w:t>aso, la concurrencia de los aspectos antes referidos.</w:t>
      </w:r>
    </w:p>
    <w:p w14:paraId="680DF199" w14:textId="77777777" w:rsidR="00F41E62" w:rsidRPr="008D3645" w:rsidRDefault="00F41E62" w:rsidP="00F41E62">
      <w:pPr>
        <w:pStyle w:val="Prrafodelista"/>
        <w:spacing w:before="120" w:line="276" w:lineRule="auto"/>
        <w:jc w:val="both"/>
        <w:rPr>
          <w:rFonts w:ascii="Verdana" w:hAnsi="Verdana" w:cs="Arial"/>
          <w:color w:val="000000" w:themeColor="text1"/>
        </w:rPr>
      </w:pPr>
    </w:p>
    <w:p w14:paraId="6B95CF69" w14:textId="77777777" w:rsidR="00013825" w:rsidRDefault="00013825" w:rsidP="008D3645">
      <w:pPr>
        <w:pStyle w:val="Prrafodelista"/>
        <w:numPr>
          <w:ilvl w:val="0"/>
          <w:numId w:val="25"/>
        </w:numPr>
        <w:spacing w:before="120" w:line="276" w:lineRule="auto"/>
        <w:jc w:val="both"/>
        <w:rPr>
          <w:rFonts w:ascii="Verdana" w:hAnsi="Verdana" w:cs="Arial"/>
          <w:color w:val="000000" w:themeColor="text1"/>
        </w:rPr>
      </w:pPr>
      <w:r w:rsidRPr="00013825">
        <w:rPr>
          <w:rFonts w:ascii="Verdana" w:hAnsi="Verdana" w:cs="Arial"/>
          <w:color w:val="000000" w:themeColor="text1"/>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p>
    <w:p w14:paraId="0D125ED8" w14:textId="77777777" w:rsidR="00F41E62" w:rsidRPr="00F41E62" w:rsidRDefault="00F41E62" w:rsidP="00F41E62">
      <w:pPr>
        <w:pStyle w:val="Prrafodelista"/>
        <w:rPr>
          <w:rFonts w:ascii="Verdana" w:hAnsi="Verdana" w:cs="Arial"/>
          <w:color w:val="000000" w:themeColor="text1"/>
        </w:rPr>
      </w:pPr>
    </w:p>
    <w:p w14:paraId="6D42CF5A" w14:textId="1F010AEA" w:rsidR="00013825" w:rsidRDefault="00013825" w:rsidP="008D3645">
      <w:pPr>
        <w:pStyle w:val="Prrafodelista"/>
        <w:numPr>
          <w:ilvl w:val="0"/>
          <w:numId w:val="25"/>
        </w:numPr>
        <w:spacing w:before="120" w:line="276" w:lineRule="auto"/>
        <w:jc w:val="both"/>
        <w:rPr>
          <w:rFonts w:ascii="Verdana" w:hAnsi="Verdana" w:cs="Arial"/>
          <w:color w:val="000000" w:themeColor="text1"/>
        </w:rPr>
      </w:pPr>
      <w:r w:rsidRPr="00013825">
        <w:rPr>
          <w:rFonts w:ascii="Verdana" w:hAnsi="Verdana" w:cs="Arial"/>
          <w:color w:val="000000" w:themeColor="text1"/>
        </w:rPr>
        <w:t xml:space="preserve">Sobre este último punto, la doctrina ha precisado que cuando “se alude a la modificación del contrato se lo hace para referirse a alteraciones, variaciones, sustituciones de calidad, componentes o número de obras, bienes o servicios. No implican la sustitución del género del contrato sino </w:t>
      </w:r>
      <w:r w:rsidRPr="00013825">
        <w:rPr>
          <w:rFonts w:ascii="Verdana" w:hAnsi="Verdana" w:cs="Arial"/>
          <w:color w:val="000000" w:themeColor="text1"/>
        </w:rPr>
        <w:lastRenderedPageBreak/>
        <w:t>modificaciones que responden a necesidades sobrevivientes o a errores en la fase previa” 4. 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w:t>
      </w:r>
    </w:p>
    <w:p w14:paraId="22819515" w14:textId="77777777" w:rsidR="00F41E62" w:rsidRPr="00F41E62" w:rsidRDefault="00F41E62" w:rsidP="00F41E62">
      <w:pPr>
        <w:pStyle w:val="Prrafodelista"/>
        <w:rPr>
          <w:rFonts w:ascii="Verdana" w:hAnsi="Verdana" w:cs="Arial"/>
          <w:color w:val="000000" w:themeColor="text1"/>
        </w:rPr>
      </w:pPr>
    </w:p>
    <w:p w14:paraId="1A2EDDCE" w14:textId="77777777" w:rsidR="002D5537" w:rsidRDefault="00013825" w:rsidP="008D3645">
      <w:pPr>
        <w:pStyle w:val="Prrafodelista"/>
        <w:numPr>
          <w:ilvl w:val="0"/>
          <w:numId w:val="25"/>
        </w:numPr>
        <w:spacing w:before="120" w:line="276" w:lineRule="auto"/>
        <w:jc w:val="both"/>
        <w:rPr>
          <w:rFonts w:ascii="Verdana" w:hAnsi="Verdana" w:cs="Arial"/>
          <w:color w:val="000000" w:themeColor="text1"/>
        </w:rPr>
      </w:pPr>
      <w:r w:rsidRPr="00013825">
        <w:rPr>
          <w:rFonts w:ascii="Verdana" w:hAnsi="Verdana" w:cs="Arial"/>
          <w:color w:val="000000" w:themeColor="text1"/>
        </w:rPr>
        <w:t>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w:t>
      </w:r>
      <w:r w:rsidR="00F41E62">
        <w:rPr>
          <w:rFonts w:ascii="Verdana" w:hAnsi="Verdana" w:cs="Arial"/>
          <w:color w:val="000000" w:themeColor="text1"/>
        </w:rPr>
        <w:t xml:space="preserve">, de lo que es pertinente señalar que dentro del EGCAP no se encuentra establecido una posibilidad o facultad para modificar los contratos por parte de las comunidades </w:t>
      </w:r>
      <w:r w:rsidR="00A91CF3">
        <w:rPr>
          <w:rFonts w:ascii="Verdana" w:hAnsi="Verdana" w:cs="Arial"/>
          <w:color w:val="000000" w:themeColor="text1"/>
        </w:rPr>
        <w:t>indígenas</w:t>
      </w:r>
      <w:r w:rsidR="00B40BEA">
        <w:rPr>
          <w:rFonts w:ascii="Verdana" w:hAnsi="Verdana" w:cs="Arial"/>
          <w:color w:val="000000" w:themeColor="text1"/>
        </w:rPr>
        <w:t xml:space="preserve"> </w:t>
      </w:r>
      <w:r w:rsidR="00A91CF3">
        <w:rPr>
          <w:rFonts w:ascii="Verdana" w:hAnsi="Verdana" w:cs="Arial"/>
          <w:color w:val="000000" w:themeColor="text1"/>
        </w:rPr>
        <w:t>en caso en que los contratos tuviesen relación o alcance</w:t>
      </w:r>
      <w:r w:rsidR="006B4E1F">
        <w:rPr>
          <w:rFonts w:ascii="Verdana" w:hAnsi="Verdana" w:cs="Arial"/>
          <w:color w:val="000000" w:themeColor="text1"/>
        </w:rPr>
        <w:t xml:space="preserve"> o interacción con sus territorios. </w:t>
      </w:r>
    </w:p>
    <w:p w14:paraId="12FFF5EB" w14:textId="77777777" w:rsidR="002D5537" w:rsidRPr="002D5537" w:rsidRDefault="002D5537" w:rsidP="002D5537">
      <w:pPr>
        <w:pStyle w:val="Prrafodelista"/>
        <w:rPr>
          <w:rFonts w:ascii="Verdana" w:hAnsi="Verdana" w:cs="Arial"/>
          <w:color w:val="000000" w:themeColor="text1"/>
        </w:rPr>
      </w:pPr>
    </w:p>
    <w:p w14:paraId="3719923A" w14:textId="0233D995" w:rsidR="00013825" w:rsidRDefault="006B4E1F" w:rsidP="008D3645">
      <w:pPr>
        <w:pStyle w:val="Prrafodelista"/>
        <w:numPr>
          <w:ilvl w:val="0"/>
          <w:numId w:val="25"/>
        </w:numPr>
        <w:spacing w:before="120" w:line="276" w:lineRule="auto"/>
        <w:jc w:val="both"/>
        <w:rPr>
          <w:rFonts w:ascii="Verdana" w:hAnsi="Verdana" w:cs="Arial"/>
          <w:color w:val="000000" w:themeColor="text1"/>
        </w:rPr>
      </w:pPr>
      <w:r>
        <w:rPr>
          <w:rFonts w:ascii="Verdana" w:hAnsi="Verdana" w:cs="Arial"/>
          <w:color w:val="000000" w:themeColor="text1"/>
        </w:rPr>
        <w:t xml:space="preserve">Ahora bien, es preciso indicar que los derechos reconocidos </w:t>
      </w:r>
      <w:r w:rsidR="00D36A6B">
        <w:rPr>
          <w:rFonts w:ascii="Verdana" w:hAnsi="Verdana" w:cs="Arial"/>
          <w:color w:val="000000" w:themeColor="text1"/>
        </w:rPr>
        <w:t xml:space="preserve">a estas comunidades a partir de lo establecido en el Convenio 169 de la OIT que fue ratificado mediante la Ley 21 de 1991 y que trae la </w:t>
      </w:r>
      <w:r w:rsidR="00A04CDB">
        <w:rPr>
          <w:rFonts w:ascii="Verdana" w:hAnsi="Verdana" w:cs="Arial"/>
          <w:color w:val="000000" w:themeColor="text1"/>
        </w:rPr>
        <w:t>figura de consulta previa, el cual es ,</w:t>
      </w:r>
      <w:r w:rsidR="00A04CDB" w:rsidRPr="00A04CDB">
        <w:rPr>
          <w:rFonts w:ascii="Verdana" w:hAnsi="Verdana" w:cs="Arial"/>
          <w:color w:val="000000" w:themeColor="text1"/>
        </w:rPr>
        <w:t>el derecho fundamental que tienen los grupos étnicos, de poder decidir sobre medidas (legislativas y administrativas) o proyectos, obras o actividades que se vayan a realizar dentro de sus territorios, buscando de esta manera proteger su integridad cultural, social y económica y garantizar el derecho a la participación</w:t>
      </w:r>
      <w:r w:rsidR="00A04CDB">
        <w:rPr>
          <w:rFonts w:ascii="Verdana" w:hAnsi="Verdana" w:cs="Arial"/>
          <w:color w:val="000000" w:themeColor="text1"/>
        </w:rPr>
        <w:t xml:space="preserve">, </w:t>
      </w:r>
      <w:r w:rsidR="00442F84">
        <w:rPr>
          <w:rFonts w:ascii="Verdana" w:hAnsi="Verdana" w:cs="Arial"/>
          <w:color w:val="000000" w:themeColor="text1"/>
        </w:rPr>
        <w:t xml:space="preserve">no establece de manera directa la posibilidad de modificar los contratos celebrados por parte de las entidades sometidas al EGCAP. </w:t>
      </w:r>
    </w:p>
    <w:p w14:paraId="69210664" w14:textId="77777777" w:rsidR="00367D34" w:rsidRDefault="00367D34" w:rsidP="00367D34">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885EA6">
        <w:rPr>
          <w:rFonts w:ascii="Verdana" w:eastAsia="Century Gothic" w:hAnsi="Verdana" w:cs="Century Gothic"/>
          <w:b/>
          <w:bCs/>
          <w:lang w:val="es-ES"/>
        </w:rPr>
        <w:t>Referencias normativas, jurisprudenciales y otras fuentes:</w:t>
      </w:r>
    </w:p>
    <w:p w14:paraId="068014E8" w14:textId="77777777" w:rsidR="002C0CDC" w:rsidRPr="00885EA6" w:rsidRDefault="002C0CDC" w:rsidP="002C0CDC">
      <w:pPr>
        <w:tabs>
          <w:tab w:val="left" w:pos="142"/>
          <w:tab w:val="left" w:pos="284"/>
        </w:tabs>
        <w:spacing w:after="0" w:line="276" w:lineRule="auto"/>
        <w:jc w:val="both"/>
        <w:rPr>
          <w:rFonts w:ascii="Verdana" w:eastAsia="Century Gothic" w:hAnsi="Verdana" w:cs="Century Gothic"/>
          <w:b/>
          <w:bCs/>
          <w:lang w:val="es-ES"/>
        </w:rPr>
      </w:pPr>
    </w:p>
    <w:p w14:paraId="1AA85544" w14:textId="3D1B6412" w:rsidR="00C75F43" w:rsidRDefault="00C75F43" w:rsidP="00367D34">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 xml:space="preserve">Código Civil Colombiano, artículo 1501, artículo 2060. Disponible en: </w:t>
      </w:r>
    </w:p>
    <w:p w14:paraId="32FF21C4" w14:textId="25C375C5" w:rsidR="00367D34" w:rsidRPr="00283203" w:rsidRDefault="00367D34" w:rsidP="00367D34">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283203">
        <w:rPr>
          <w:rFonts w:ascii="Verdana" w:hAnsi="Verdana" w:cs="Arial"/>
        </w:rPr>
        <w:lastRenderedPageBreak/>
        <w:t xml:space="preserve">Ley 80 de 1993, artículo </w:t>
      </w:r>
      <w:r w:rsidR="00C75F43">
        <w:rPr>
          <w:rFonts w:ascii="Verdana" w:hAnsi="Verdana" w:cs="Arial"/>
        </w:rPr>
        <w:t>40</w:t>
      </w:r>
      <w:r w:rsidRPr="00283203">
        <w:rPr>
          <w:rFonts w:ascii="Verdana" w:hAnsi="Verdana" w:cs="Arial"/>
        </w:rPr>
        <w:t>. Disponible en:</w:t>
      </w:r>
      <w:r w:rsidR="00C75F43">
        <w:rPr>
          <w:rFonts w:ascii="Verdana" w:hAnsi="Verdana" w:cs="Arial"/>
        </w:rPr>
        <w:tab/>
      </w:r>
      <w:r w:rsidRPr="00283203">
        <w:rPr>
          <w:rFonts w:ascii="Verdana" w:hAnsi="Verdana" w:cs="Arial"/>
        </w:rPr>
        <w:t xml:space="preserve"> </w:t>
      </w:r>
      <w:hyperlink r:id="rId12" w:history="1">
        <w:r w:rsidRPr="00283203">
          <w:rPr>
            <w:rStyle w:val="Hipervnculo"/>
            <w:rFonts w:ascii="Verdana" w:hAnsi="Verdana" w:cs="Arial"/>
          </w:rPr>
          <w:t>https://relatoria.colombiacompra.gov.co/normativa/ley-80-de-1993/</w:t>
        </w:r>
      </w:hyperlink>
    </w:p>
    <w:p w14:paraId="1A9AA889" w14:textId="2A0C24D7" w:rsidR="00367D34" w:rsidRPr="00283203" w:rsidRDefault="00367D34" w:rsidP="00367D34">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283203">
        <w:rPr>
          <w:rFonts w:ascii="Verdana" w:hAnsi="Verdana" w:cs="Arial"/>
        </w:rPr>
        <w:t xml:space="preserve">Decreto 1082 de 2015, </w:t>
      </w:r>
      <w:r w:rsidRPr="00283203">
        <w:rPr>
          <w:rFonts w:ascii="Verdana" w:eastAsia="Calibri" w:hAnsi="Verdana" w:cs="Arial"/>
          <w:lang w:val="es-CO"/>
        </w:rPr>
        <w:t>artículo</w:t>
      </w:r>
      <w:r w:rsidR="00C75F43">
        <w:rPr>
          <w:rFonts w:ascii="Verdana" w:eastAsia="Calibri" w:hAnsi="Verdana" w:cs="Arial"/>
          <w:lang w:val="es-CO"/>
        </w:rPr>
        <w:t xml:space="preserve"> </w:t>
      </w:r>
      <w:r w:rsidR="00C75F43" w:rsidRPr="00246370">
        <w:rPr>
          <w:rFonts w:ascii="Verdana" w:eastAsia="Calibri" w:hAnsi="Verdana" w:cs="Arial"/>
          <w:bCs/>
          <w:lang w:val="es-ES_tradnl"/>
        </w:rPr>
        <w:t>2.2.1.2.3.1.7</w:t>
      </w:r>
      <w:r w:rsidR="00C75F43">
        <w:rPr>
          <w:rFonts w:ascii="Verdana" w:hAnsi="Verdana" w:cs="Arial"/>
          <w:color w:val="000000" w:themeColor="text1"/>
        </w:rPr>
        <w:t xml:space="preserve">. artículo </w:t>
      </w:r>
      <w:r w:rsidR="00C75F43" w:rsidRPr="00246370">
        <w:rPr>
          <w:rFonts w:ascii="Verdana" w:eastAsia="Calibri" w:hAnsi="Verdana" w:cs="Arial"/>
          <w:lang w:val="es-ES_tradnl"/>
        </w:rPr>
        <w:t xml:space="preserve">2.2.1.2.3.1.14 </w:t>
      </w:r>
      <w:r w:rsidRPr="00283203">
        <w:rPr>
          <w:rFonts w:ascii="Verdana" w:hAnsi="Verdana" w:cs="Arial"/>
          <w:color w:val="000000" w:themeColor="text1"/>
        </w:rPr>
        <w:t xml:space="preserve"> </w:t>
      </w:r>
      <w:r w:rsidRPr="00283203">
        <w:rPr>
          <w:rFonts w:ascii="Verdana" w:hAnsi="Verdana"/>
        </w:rPr>
        <w:t xml:space="preserve"> </w:t>
      </w:r>
      <w:r w:rsidRPr="00283203">
        <w:rPr>
          <w:rFonts w:ascii="Verdana" w:hAnsi="Verdana" w:cs="Arial"/>
        </w:rPr>
        <w:t>Disponible en:</w:t>
      </w:r>
      <w:r w:rsidRPr="00283203">
        <w:rPr>
          <w:rFonts w:ascii="Verdana" w:hAnsi="Verdana" w:cs="Arial"/>
        </w:rPr>
        <w:tab/>
        <w:t xml:space="preserve"> </w:t>
      </w:r>
      <w:hyperlink r:id="rId13" w:history="1">
        <w:r w:rsidRPr="00283203">
          <w:rPr>
            <w:rStyle w:val="Hipervnculo"/>
            <w:rFonts w:ascii="Verdana" w:hAnsi="Verdana" w:cs="Arial"/>
          </w:rPr>
          <w:t>https://relatoria.colombiacompra.gov.co/normativa/decreto-1082-de-2015/</w:t>
        </w:r>
      </w:hyperlink>
    </w:p>
    <w:p w14:paraId="3A405D05" w14:textId="77777777" w:rsidR="00367D34" w:rsidRPr="00885EA6" w:rsidRDefault="00367D34" w:rsidP="00367D3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5EA6">
        <w:rPr>
          <w:rFonts w:ascii="Verdana" w:eastAsia="Century Gothic" w:hAnsi="Verdana" w:cs="Century Gothic"/>
          <w:b/>
          <w:bCs/>
        </w:rPr>
        <w:t>Doctrina de la Agencia Nacional de Contratación Pública:</w:t>
      </w:r>
    </w:p>
    <w:p w14:paraId="523D6D12" w14:textId="77777777" w:rsidR="00367D34" w:rsidRPr="00885EA6" w:rsidRDefault="00367D34" w:rsidP="00367D34">
      <w:pPr>
        <w:widowControl w:val="0"/>
        <w:autoSpaceDE w:val="0"/>
        <w:autoSpaceDN w:val="0"/>
        <w:spacing w:after="0" w:line="276" w:lineRule="auto"/>
        <w:jc w:val="both"/>
        <w:rPr>
          <w:rFonts w:ascii="Verdana" w:eastAsia="Calibri" w:hAnsi="Verdana" w:cs="Arial"/>
          <w:lang w:val="es-ES" w:eastAsia="es-ES"/>
        </w:rPr>
      </w:pPr>
    </w:p>
    <w:p w14:paraId="0FC870BC" w14:textId="70EB4297" w:rsidR="002D5537" w:rsidRDefault="00367D34" w:rsidP="002D5537">
      <w:pPr>
        <w:widowControl w:val="0"/>
        <w:autoSpaceDE w:val="0"/>
        <w:autoSpaceDN w:val="0"/>
        <w:spacing w:after="0" w:line="276" w:lineRule="auto"/>
        <w:jc w:val="both"/>
        <w:rPr>
          <w:rFonts w:ascii="Verdana" w:hAnsi="Verdana"/>
        </w:rPr>
      </w:pPr>
      <w:r w:rsidRPr="00885EA6">
        <w:rPr>
          <w:rStyle w:val="normaltextrun"/>
          <w:rFonts w:ascii="Verdana" w:hAnsi="Verdana" w:cs="Arial"/>
          <w:shd w:val="clear" w:color="auto" w:fill="FFFFFF"/>
        </w:rPr>
        <w:t xml:space="preserve"> </w:t>
      </w:r>
      <w:r w:rsidR="00E83915" w:rsidRPr="00E83915">
        <w:rPr>
          <w:rStyle w:val="normaltextrun"/>
          <w:rFonts w:ascii="Verdana" w:hAnsi="Verdana" w:cs="Arial"/>
          <w:shd w:val="clear" w:color="auto" w:fill="FFFFFF"/>
        </w:rPr>
        <w:t>La Agencia Nacional de Contratación Pública ― Colombia Compra Eficiente, en los conceptos C-457 del 3 de septiembre del 2021</w:t>
      </w:r>
      <w:r w:rsidR="00E83915">
        <w:rPr>
          <w:rStyle w:val="normaltextrun"/>
          <w:rFonts w:ascii="Verdana" w:hAnsi="Verdana" w:cs="Arial"/>
          <w:shd w:val="clear" w:color="auto" w:fill="FFFFFF"/>
        </w:rPr>
        <w:t>,</w:t>
      </w:r>
      <w:r w:rsidR="00E83915" w:rsidRPr="00E83915">
        <w:rPr>
          <w:rStyle w:val="normaltextrun"/>
          <w:rFonts w:ascii="Verdana" w:hAnsi="Verdana" w:cs="Arial"/>
          <w:shd w:val="clear" w:color="auto" w:fill="FFFFFF"/>
        </w:rPr>
        <w:t xml:space="preserve"> C-663 del 13 de octubre de 2022</w:t>
      </w:r>
      <w:r w:rsidR="00E83915">
        <w:rPr>
          <w:rStyle w:val="normaltextrun"/>
          <w:rFonts w:ascii="Verdana" w:hAnsi="Verdana" w:cs="Arial"/>
          <w:shd w:val="clear" w:color="auto" w:fill="FFFFFF"/>
        </w:rPr>
        <w:t xml:space="preserve"> y </w:t>
      </w:r>
      <w:r w:rsidR="00E12A72">
        <w:rPr>
          <w:rStyle w:val="normaltextrun"/>
          <w:rFonts w:ascii="Verdana" w:hAnsi="Verdana" w:cs="Arial"/>
          <w:shd w:val="clear" w:color="auto" w:fill="FFFFFF"/>
        </w:rPr>
        <w:t xml:space="preserve">C-581 del </w:t>
      </w:r>
      <w:r w:rsidR="00913A83">
        <w:rPr>
          <w:rStyle w:val="normaltextrun"/>
          <w:rFonts w:ascii="Verdana" w:hAnsi="Verdana" w:cs="Arial"/>
          <w:shd w:val="clear" w:color="auto" w:fill="FFFFFF"/>
        </w:rPr>
        <w:t>23 de octubre de 2024.</w:t>
      </w:r>
      <w:r w:rsidR="00E83915" w:rsidRPr="00E83915">
        <w:rPr>
          <w:rStyle w:val="normaltextrun"/>
          <w:rFonts w:ascii="Verdana" w:hAnsi="Verdana" w:cs="Arial"/>
          <w:shd w:val="clear" w:color="auto" w:fill="FFFFFF"/>
        </w:rPr>
        <w:t xml:space="preserve"> se pronunció sobre la modificación a los contratos estatales.</w:t>
      </w:r>
      <w:r w:rsidR="00235171">
        <w:rPr>
          <w:rStyle w:val="normaltextrun"/>
          <w:rFonts w:ascii="Verdana" w:hAnsi="Verdana" w:cs="Arial"/>
          <w:shd w:val="clear" w:color="auto" w:fill="FFFFFF"/>
        </w:rPr>
        <w:t xml:space="preserve"> </w:t>
      </w:r>
      <w:r w:rsidR="00913A83">
        <w:rPr>
          <w:rFonts w:ascii="Verdana" w:eastAsia="Calibri" w:hAnsi="Verdana" w:cs="Times New Roman"/>
        </w:rPr>
        <w:t xml:space="preserve">A su vez, se </w:t>
      </w:r>
      <w:r w:rsidR="005D4626">
        <w:rPr>
          <w:rFonts w:ascii="Verdana" w:eastAsia="Calibri" w:hAnsi="Verdana" w:cs="Times New Roman"/>
        </w:rPr>
        <w:t>pronunció</w:t>
      </w:r>
      <w:r w:rsidR="00913A83">
        <w:rPr>
          <w:rFonts w:ascii="Verdana" w:eastAsia="Calibri" w:hAnsi="Verdana" w:cs="Times New Roman"/>
        </w:rPr>
        <w:t xml:space="preserve"> </w:t>
      </w:r>
      <w:r w:rsidR="00AA32C5" w:rsidRPr="00246370">
        <w:rPr>
          <w:rFonts w:ascii="Verdana" w:eastAsia="Calibri" w:hAnsi="Verdana" w:cs="Arial"/>
          <w:kern w:val="2"/>
          <w:shd w:val="clear" w:color="auto" w:fill="FFFFFF"/>
          <w:lang w:val="es-ES"/>
          <w14:ligatures w14:val="standardContextual"/>
        </w:rPr>
        <w:t>en términos generales sobre las garantías en la contratación estatal, entre otros, en los conceptos 2201913000009075 del 9 de diciembre de 2019, C-080 del 8 de abril de 2021, C-525 del 27 de septiembre de 2021, C- 567 del 08 de octubre del 2021, C-036 del 28 de febrero del 2022, C-126 de 25 de marzo de 2022, C-845 del 7 de diciembre de 2022</w:t>
      </w:r>
      <w:r w:rsidR="00AA32C5">
        <w:rPr>
          <w:rFonts w:ascii="Verdana" w:eastAsia="Calibri" w:hAnsi="Verdana" w:cs="Arial"/>
          <w:kern w:val="2"/>
          <w:shd w:val="clear" w:color="auto" w:fill="FFFFFF"/>
          <w:lang w:val="es-ES"/>
          <w14:ligatures w14:val="standardContextual"/>
        </w:rPr>
        <w:t xml:space="preserve"> y </w:t>
      </w:r>
      <w:r w:rsidR="00DD22A7">
        <w:rPr>
          <w:rFonts w:ascii="Verdana" w:eastAsia="Calibri" w:hAnsi="Verdana" w:cs="Arial"/>
          <w:kern w:val="2"/>
          <w:shd w:val="clear" w:color="auto" w:fill="FFFFFF"/>
          <w:lang w:val="es-ES"/>
          <w14:ligatures w14:val="standardContextual"/>
        </w:rPr>
        <w:t>C-</w:t>
      </w:r>
      <w:r w:rsidR="00F725E0">
        <w:rPr>
          <w:rFonts w:ascii="Verdana" w:eastAsia="Calibri" w:hAnsi="Verdana" w:cs="Arial"/>
          <w:kern w:val="2"/>
          <w:shd w:val="clear" w:color="auto" w:fill="FFFFFF"/>
          <w:lang w:val="es-ES"/>
          <w14:ligatures w14:val="standardContextual"/>
        </w:rPr>
        <w:t>796 de</w:t>
      </w:r>
      <w:r w:rsidR="005F37F2">
        <w:rPr>
          <w:rFonts w:ascii="Verdana" w:eastAsia="Calibri" w:hAnsi="Verdana" w:cs="Arial"/>
          <w:kern w:val="2"/>
          <w:shd w:val="clear" w:color="auto" w:fill="FFFFFF"/>
          <w:lang w:val="es-ES"/>
          <w14:ligatures w14:val="standardContextual"/>
        </w:rPr>
        <w:t>l 1</w:t>
      </w:r>
      <w:r w:rsidR="002C0CDC">
        <w:rPr>
          <w:rFonts w:ascii="Verdana" w:eastAsia="Calibri" w:hAnsi="Verdana" w:cs="Arial"/>
          <w:kern w:val="2"/>
          <w:shd w:val="clear" w:color="auto" w:fill="FFFFFF"/>
          <w:lang w:val="es-ES"/>
          <w14:ligatures w14:val="standardContextual"/>
        </w:rPr>
        <w:t>7 de diciembre de 2024.</w:t>
      </w:r>
      <w:r w:rsidR="00235171">
        <w:rPr>
          <w:rFonts w:ascii="Verdana" w:eastAsia="Calibri" w:hAnsi="Verdana" w:cs="Arial"/>
          <w:kern w:val="2"/>
          <w:shd w:val="clear" w:color="auto" w:fill="FFFFFF"/>
          <w:lang w:val="es-ES"/>
          <w14:ligatures w14:val="standardContextual"/>
        </w:rPr>
        <w:t xml:space="preserve"> </w:t>
      </w:r>
      <w:r w:rsidR="002D5537" w:rsidRPr="00874A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002D5537" w:rsidRPr="00874A62">
        <w:rPr>
          <w:rFonts w:ascii="Verdana" w:hAnsi="Verdana"/>
        </w:rPr>
        <w:t>, accede a través del siguiente enlace:</w:t>
      </w:r>
    </w:p>
    <w:p w14:paraId="17998B34" w14:textId="77777777" w:rsidR="002D5537" w:rsidRPr="00874A62" w:rsidRDefault="002D5537" w:rsidP="002D5537">
      <w:pPr>
        <w:widowControl w:val="0"/>
        <w:autoSpaceDE w:val="0"/>
        <w:autoSpaceDN w:val="0"/>
        <w:spacing w:after="0" w:line="276" w:lineRule="auto"/>
        <w:jc w:val="both"/>
        <w:rPr>
          <w:rStyle w:val="normaltextrun"/>
          <w:rFonts w:ascii="Verdana" w:hAnsi="Verdana"/>
        </w:rPr>
      </w:pPr>
      <w:hyperlink r:id="rId14" w:history="1">
        <w:r w:rsidRPr="00874A62">
          <w:rPr>
            <w:rStyle w:val="Hipervnculo"/>
            <w:rFonts w:ascii="Verdana" w:hAnsi="Verdana" w:cs="Arial"/>
            <w:shd w:val="clear" w:color="auto" w:fill="FFFFFF"/>
            <w:lang w:val="es-ES"/>
          </w:rPr>
          <w:t>https://</w:t>
        </w:r>
        <w:proofErr w:type="spellStart"/>
        <w:r w:rsidRPr="00874A62">
          <w:rPr>
            <w:rStyle w:val="Hipervnculo"/>
            <w:rFonts w:ascii="Verdana" w:hAnsi="Verdana" w:cs="Arial"/>
            <w:shd w:val="clear" w:color="auto" w:fill="FFFFFF"/>
            <w:lang w:val="es-ES"/>
          </w:rPr>
          <w:t>relatoria.colombiacompra.gov.co</w:t>
        </w:r>
        <w:proofErr w:type="spellEnd"/>
        <w:r w:rsidRPr="00874A62">
          <w:rPr>
            <w:rStyle w:val="Hipervnculo"/>
            <w:rFonts w:ascii="Verdana" w:hAnsi="Verdana" w:cs="Arial"/>
            <w:shd w:val="clear" w:color="auto" w:fill="FFFFFF"/>
            <w:lang w:val="es-ES"/>
          </w:rPr>
          <w:t>/</w:t>
        </w:r>
        <w:proofErr w:type="spellStart"/>
        <w:r w:rsidRPr="00874A62">
          <w:rPr>
            <w:rStyle w:val="Hipervnculo"/>
            <w:rFonts w:ascii="Verdana" w:hAnsi="Verdana" w:cs="Arial"/>
            <w:shd w:val="clear" w:color="auto" w:fill="FFFFFF"/>
            <w:lang w:val="es-ES"/>
          </w:rPr>
          <w:t>busqueda</w:t>
        </w:r>
        <w:proofErr w:type="spellEnd"/>
        <w:r w:rsidRPr="00874A62">
          <w:rPr>
            <w:rStyle w:val="Hipervnculo"/>
            <w:rFonts w:ascii="Verdana" w:hAnsi="Verdana" w:cs="Arial"/>
            <w:shd w:val="clear" w:color="auto" w:fill="FFFFFF"/>
            <w:lang w:val="es-ES"/>
          </w:rPr>
          <w:t>/conceptos</w:t>
        </w:r>
      </w:hyperlink>
      <w:r w:rsidRPr="00874A62">
        <w:rPr>
          <w:rStyle w:val="normaltextrun"/>
          <w:rFonts w:ascii="Verdana" w:hAnsi="Verdana" w:cs="Arial"/>
          <w:shd w:val="clear" w:color="auto" w:fill="FFFFFF"/>
        </w:rPr>
        <w:t xml:space="preserve">. </w:t>
      </w:r>
    </w:p>
    <w:p w14:paraId="787E187D" w14:textId="77777777" w:rsidR="002D5537" w:rsidRDefault="002D5537" w:rsidP="002D5537">
      <w:pPr>
        <w:spacing w:after="0" w:line="254" w:lineRule="auto"/>
        <w:rPr>
          <w:rFonts w:ascii="Verdana" w:eastAsia="Calibri" w:hAnsi="Verdana" w:cs="Times New Roman"/>
        </w:rPr>
      </w:pPr>
    </w:p>
    <w:p w14:paraId="632ADE56" w14:textId="0D9B40EC" w:rsidR="002D5537" w:rsidRDefault="002D5537" w:rsidP="00235171">
      <w:pPr>
        <w:spacing w:after="0" w:line="254" w:lineRule="auto"/>
        <w:jc w:val="both"/>
        <w:rPr>
          <w:rFonts w:ascii="Verdana" w:eastAsia="Calibri" w:hAnsi="Verdana" w:cs="Times New Roman"/>
          <w:b/>
          <w:bCs/>
        </w:rPr>
      </w:pPr>
      <w:r w:rsidRPr="00E46A07">
        <w:rPr>
          <w:rFonts w:ascii="Verdana" w:eastAsia="Calibri" w:hAnsi="Verdana" w:cs="Times New Roman"/>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E6BFFBF" w14:textId="3B30D0EB" w:rsidR="002D5537" w:rsidRPr="00E46A07" w:rsidRDefault="002D5537" w:rsidP="002D5537">
      <w:pPr>
        <w:spacing w:after="0" w:line="254" w:lineRule="auto"/>
        <w:jc w:val="both"/>
        <w:rPr>
          <w:rFonts w:ascii="Verdana" w:eastAsia="Calibri" w:hAnsi="Verdana" w:cs="Times New Roman"/>
        </w:rPr>
      </w:pPr>
      <w:r w:rsidRPr="00E46A07">
        <w:rPr>
          <w:rFonts w:ascii="Verdana" w:eastAsia="Calibri" w:hAnsi="Verdana" w:cs="Times New Roman"/>
          <w:b/>
          <w:bCs/>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E46A07">
          <w:rPr>
            <w:rStyle w:val="Hipervnculo"/>
            <w:rFonts w:ascii="Verdana" w:eastAsia="Calibri" w:hAnsi="Verdana" w:cs="Times New Roman"/>
          </w:rPr>
          <w:t>03. Documentos tipo para los procesos de selección de interventoría de obra pública de infraestructura de transporte – versión 3 | Colombia Compra Eficiente | Agencia Nacional de Contratación Pública</w:t>
        </w:r>
      </w:hyperlink>
    </w:p>
    <w:p w14:paraId="703F2C8F" w14:textId="77777777" w:rsidR="002D5537" w:rsidRDefault="002D5537" w:rsidP="002D5537">
      <w:pPr>
        <w:spacing w:after="0" w:line="254" w:lineRule="auto"/>
        <w:jc w:val="both"/>
        <w:rPr>
          <w:rFonts w:ascii="Verdana" w:eastAsia="Calibri" w:hAnsi="Verdana" w:cs="Times New Roman"/>
          <w:b/>
          <w:bCs/>
        </w:rPr>
      </w:pPr>
    </w:p>
    <w:p w14:paraId="204064F0" w14:textId="51DCA52F" w:rsidR="002D5537" w:rsidRPr="00E46A07" w:rsidRDefault="002D5537" w:rsidP="002D5537">
      <w:pPr>
        <w:spacing w:after="0" w:line="254" w:lineRule="auto"/>
        <w:jc w:val="both"/>
        <w:rPr>
          <w:rFonts w:ascii="Verdana" w:eastAsia="Calibri" w:hAnsi="Verdana" w:cs="Times New Roman"/>
        </w:rPr>
      </w:pPr>
      <w:r w:rsidRPr="00E46A07">
        <w:rPr>
          <w:rFonts w:ascii="Verdana" w:eastAsia="Calibri" w:hAnsi="Verdana" w:cs="Times New Roman"/>
          <w:b/>
          <w:bCs/>
        </w:rPr>
        <w:lastRenderedPageBreak/>
        <w:t>Documentos tipo para los procesos de selección de consultoría de obra pública de infraestructura de transporte – versión 2:</w:t>
      </w:r>
      <w:r w:rsidRPr="00E46A07">
        <w:rPr>
          <w:rFonts w:ascii="Verdana" w:eastAsia="Calibri" w:hAnsi="Verdana" w:cs="Times New Roman"/>
        </w:rPr>
        <w:t> </w:t>
      </w:r>
      <w:hyperlink r:id="rId16" w:tgtFrame="_blank" w:tooltip="Dirección URL original: https://www.colombiacompra.gov.co/content/02-documentos-tipo-para-los-procesos-de-seleccion-de-consultoria-de-obra-publica-de. Haga clic o pulse si confía en este vínculo." w:history="1">
        <w:r w:rsidRPr="00E46A07">
          <w:rPr>
            <w:rStyle w:val="Hipervnculo"/>
            <w:rFonts w:ascii="Verdana" w:eastAsia="Calibri" w:hAnsi="Verdana" w:cs="Times New Roman"/>
          </w:rPr>
          <w:t>02. Documentos tipo para los procesos de selección de consultoría de obra pública de infraestructura de transporte – versión 2. | Colombia Compra Eficiente | Agencia Nacional de Contratación Pública</w:t>
        </w:r>
      </w:hyperlink>
    </w:p>
    <w:p w14:paraId="616D167D" w14:textId="77777777" w:rsidR="002D5537" w:rsidRDefault="002D5537" w:rsidP="002D5537">
      <w:pPr>
        <w:spacing w:after="0" w:line="254" w:lineRule="auto"/>
        <w:rPr>
          <w:rFonts w:ascii="Verdana" w:eastAsia="Calibri" w:hAnsi="Verdana" w:cs="Times New Roman"/>
        </w:rPr>
      </w:pPr>
    </w:p>
    <w:p w14:paraId="5B2CA566" w14:textId="5BA06E23" w:rsidR="002D5537" w:rsidRDefault="002D5537" w:rsidP="002D5537">
      <w:pPr>
        <w:spacing w:after="0" w:line="254" w:lineRule="auto"/>
        <w:jc w:val="both"/>
        <w:rPr>
          <w:rFonts w:ascii="Verdana" w:eastAsia="Calibri" w:hAnsi="Verdana" w:cs="Times New Roman"/>
        </w:rPr>
      </w:pPr>
      <w:r w:rsidRPr="00E46A07">
        <w:rPr>
          <w:rFonts w:ascii="Verdana" w:eastAsia="Calibri" w:hAnsi="Verdana" w:cs="Times New Roman"/>
        </w:rPr>
        <w:t>También, te contamos que ya publicamos </w:t>
      </w:r>
      <w:r w:rsidRPr="00E46A07">
        <w:rPr>
          <w:rFonts w:ascii="Verdana" w:eastAsia="Calibri" w:hAnsi="Verdana" w:cs="Times New Roman"/>
          <w:b/>
          <w:bCs/>
        </w:rPr>
        <w:t>la nueva Guía de Contratación Pública Sostenible y Socialmente Responsable</w:t>
      </w:r>
      <w:r w:rsidRPr="00E46A07">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E46A07">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5AD224D4" w14:textId="77777777" w:rsidR="002D5537" w:rsidRPr="00E46A07" w:rsidRDefault="002D5537" w:rsidP="002D5537">
      <w:pPr>
        <w:spacing w:after="0" w:line="254" w:lineRule="auto"/>
        <w:rPr>
          <w:rFonts w:ascii="Verdana" w:eastAsia="Calibri" w:hAnsi="Verdana" w:cs="Times New Roman"/>
        </w:rPr>
      </w:pPr>
    </w:p>
    <w:p w14:paraId="4ADBACA3" w14:textId="77777777" w:rsidR="002D5537" w:rsidRPr="00186A86" w:rsidRDefault="002D5537" w:rsidP="002D5537">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687AB7F6" w14:textId="77777777" w:rsidR="002D5537" w:rsidRPr="00186A86" w:rsidRDefault="002D5537" w:rsidP="002D5537">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w:t>
      </w:r>
      <w:proofErr w:type="spellStart"/>
      <w:r w:rsidRPr="00186A86">
        <w:rPr>
          <w:rFonts w:ascii="Verdana" w:eastAsia="Calibri" w:hAnsi="Verdana" w:cs="Times New Roman"/>
          <w:u w:val="single"/>
        </w:rPr>
        <w:t>colombiacompra</w:t>
      </w:r>
      <w:proofErr w:type="spellEnd"/>
      <w:r w:rsidRPr="00186A86">
        <w:rPr>
          <w:rFonts w:ascii="Verdana" w:eastAsia="Calibri" w:hAnsi="Verdana" w:cs="Times New Roman"/>
        </w:rPr>
        <w:t xml:space="preserve"> </w:t>
      </w:r>
    </w:p>
    <w:p w14:paraId="46F054E6" w14:textId="77777777" w:rsidR="002D5537" w:rsidRPr="00186A86" w:rsidRDefault="002D5537" w:rsidP="002D5537">
      <w:pPr>
        <w:spacing w:after="0" w:line="254" w:lineRule="auto"/>
        <w:rPr>
          <w:rFonts w:ascii="Verdana" w:eastAsia="Calibri" w:hAnsi="Verdana" w:cs="Times New Roman"/>
        </w:rPr>
      </w:pPr>
      <w:r w:rsidRPr="00186A86">
        <w:rPr>
          <w:rFonts w:ascii="Verdana" w:eastAsia="Calibri" w:hAnsi="Verdana" w:cs="Times New Roman"/>
        </w:rPr>
        <w:t xml:space="preserve">Facebook: </w:t>
      </w:r>
      <w:proofErr w:type="spellStart"/>
      <w:r w:rsidRPr="00186A86">
        <w:rPr>
          <w:rFonts w:ascii="Verdana" w:eastAsia="Calibri" w:hAnsi="Verdana" w:cs="Times New Roman"/>
          <w:u w:val="single"/>
        </w:rPr>
        <w:t>ColombiaCompraEficiente</w:t>
      </w:r>
      <w:proofErr w:type="spellEnd"/>
    </w:p>
    <w:p w14:paraId="0CF5D10D" w14:textId="77777777" w:rsidR="002D5537" w:rsidRPr="00186A86" w:rsidRDefault="002D5537" w:rsidP="002D5537">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w:t>
      </w:r>
      <w:proofErr w:type="spellStart"/>
      <w:r w:rsidRPr="00186A86">
        <w:rPr>
          <w:rFonts w:ascii="Verdana" w:eastAsia="Calibri" w:hAnsi="Verdana" w:cs="Times New Roman"/>
          <w:u w:val="single"/>
        </w:rPr>
        <w:t>colombiacompraeficiente_cce</w:t>
      </w:r>
      <w:proofErr w:type="spellEnd"/>
    </w:p>
    <w:p w14:paraId="4D619CDD" w14:textId="77777777" w:rsidR="002D5537" w:rsidRPr="00186A86" w:rsidRDefault="002D5537" w:rsidP="002D5537">
      <w:pPr>
        <w:spacing w:after="0" w:line="254" w:lineRule="auto"/>
        <w:rPr>
          <w:rFonts w:ascii="Verdana" w:eastAsia="Calibri" w:hAnsi="Verdana" w:cs="Times New Roman"/>
          <w:b/>
          <w:bCs/>
        </w:rPr>
      </w:pPr>
    </w:p>
    <w:p w14:paraId="34CBAC84" w14:textId="77777777" w:rsidR="002D5537" w:rsidRPr="00186A86" w:rsidRDefault="002D5537" w:rsidP="002D5537">
      <w:pPr>
        <w:spacing w:after="0" w:line="254" w:lineRule="auto"/>
        <w:jc w:val="both"/>
        <w:rPr>
          <w:rFonts w:ascii="Verdana" w:eastAsia="Calibri" w:hAnsi="Verdana" w:cs="Times New Roman"/>
          <w:lang w:val="es-ES_tradnl"/>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2087EE" w14:textId="77777777" w:rsidR="002D5537" w:rsidRPr="00885EA6" w:rsidRDefault="002D5537" w:rsidP="00367D34">
      <w:pPr>
        <w:spacing w:after="0" w:line="240" w:lineRule="auto"/>
        <w:jc w:val="both"/>
        <w:rPr>
          <w:rFonts w:ascii="Verdana" w:eastAsia="Calibri" w:hAnsi="Verdana"/>
        </w:rPr>
      </w:pPr>
    </w:p>
    <w:p w14:paraId="4497CB50" w14:textId="4CFEB545" w:rsidR="00367D34" w:rsidRPr="00885EA6" w:rsidRDefault="00367D34" w:rsidP="00367D34">
      <w:pPr>
        <w:spacing w:after="0" w:line="240" w:lineRule="auto"/>
        <w:jc w:val="both"/>
        <w:rPr>
          <w:rFonts w:ascii="Verdana" w:eastAsia="Times New Roman" w:hAnsi="Verdana" w:cs="Arial"/>
          <w:lang w:eastAsia="es-CO"/>
        </w:rPr>
      </w:pPr>
      <w:r w:rsidRPr="00885EA6">
        <w:rPr>
          <w:rFonts w:ascii="Verdana" w:eastAsia="Times New Roman" w:hAnsi="Verdana" w:cs="Arial"/>
          <w:lang w:eastAsia="es-CO"/>
        </w:rPr>
        <w:t>Atentamente,</w:t>
      </w:r>
    </w:p>
    <w:p w14:paraId="0E5F8A4A" w14:textId="77777777" w:rsidR="00367D34" w:rsidRPr="00885EA6" w:rsidRDefault="00367D34" w:rsidP="00367D34">
      <w:pPr>
        <w:spacing w:after="0" w:line="240" w:lineRule="auto"/>
        <w:jc w:val="both"/>
        <w:rPr>
          <w:rFonts w:ascii="Verdana" w:eastAsia="Times New Roman" w:hAnsi="Verdana" w:cs="Arial"/>
          <w:lang w:eastAsia="es-CO"/>
        </w:rPr>
      </w:pPr>
    </w:p>
    <w:p w14:paraId="024904A4" w14:textId="3195AE60" w:rsidR="00367D34" w:rsidRPr="00885EA6" w:rsidRDefault="00607B68" w:rsidP="00367D34">
      <w:pPr>
        <w:spacing w:after="0" w:line="240" w:lineRule="auto"/>
        <w:jc w:val="center"/>
        <w:rPr>
          <w:rFonts w:ascii="Verdana" w:eastAsia="Times New Roman" w:hAnsi="Verdana" w:cs="Arial"/>
          <w:lang w:eastAsia="es-CO"/>
        </w:rPr>
      </w:pPr>
      <w:r>
        <w:rPr>
          <w:noProof/>
        </w:rPr>
        <w:lastRenderedPageBreak/>
        <w:drawing>
          <wp:inline distT="0" distB="0" distL="0" distR="0" wp14:anchorId="564F5C89" wp14:editId="3D9DCE6F">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8"/>
                    <a:stretch>
                      <a:fillRect/>
                    </a:stretch>
                  </pic:blipFill>
                  <pic:spPr>
                    <a:xfrm>
                      <a:off x="0" y="0"/>
                      <a:ext cx="3705225" cy="1590675"/>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67D34" w:rsidRPr="00885EA6" w14:paraId="6AD8004B" w14:textId="77777777" w:rsidTr="00BB0264">
        <w:trPr>
          <w:trHeight w:val="409"/>
        </w:trPr>
        <w:tc>
          <w:tcPr>
            <w:tcW w:w="817" w:type="dxa"/>
            <w:tcBorders>
              <w:top w:val="nil"/>
              <w:left w:val="nil"/>
              <w:bottom w:val="nil"/>
              <w:right w:val="nil"/>
            </w:tcBorders>
            <w:vAlign w:val="center"/>
            <w:hideMark/>
          </w:tcPr>
          <w:p w14:paraId="2D5811B0" w14:textId="77777777" w:rsidR="00367D34" w:rsidRPr="00283203" w:rsidRDefault="00367D34" w:rsidP="00BB0264">
            <w:pPr>
              <w:spacing w:after="0" w:line="240" w:lineRule="auto"/>
              <w:jc w:val="both"/>
              <w:rPr>
                <w:rFonts w:ascii="Verdana" w:hAnsi="Verdana" w:cs="Arial"/>
                <w:sz w:val="16"/>
                <w:szCs w:val="16"/>
              </w:rPr>
            </w:pPr>
            <w:r w:rsidRPr="00283203">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6AB5219" w14:textId="77777777" w:rsidR="00367D34" w:rsidRPr="00283203" w:rsidRDefault="00367D34" w:rsidP="00BB0264">
            <w:pPr>
              <w:spacing w:after="0" w:line="240" w:lineRule="auto"/>
              <w:jc w:val="both"/>
              <w:rPr>
                <w:rFonts w:ascii="Verdana" w:hAnsi="Verdana" w:cs="Arial"/>
                <w:sz w:val="16"/>
                <w:szCs w:val="16"/>
              </w:rPr>
            </w:pPr>
            <w:r w:rsidRPr="00283203">
              <w:rPr>
                <w:rFonts w:ascii="Verdana" w:hAnsi="Verdana" w:cs="Arial"/>
                <w:sz w:val="16"/>
                <w:szCs w:val="16"/>
              </w:rPr>
              <w:t>Gustavo Hinestroza Martínez</w:t>
            </w:r>
          </w:p>
          <w:p w14:paraId="157955A9" w14:textId="77777777" w:rsidR="00367D34" w:rsidRPr="00283203" w:rsidRDefault="00367D34" w:rsidP="00BB0264">
            <w:pPr>
              <w:spacing w:after="0" w:line="240" w:lineRule="auto"/>
              <w:jc w:val="both"/>
              <w:rPr>
                <w:rFonts w:ascii="Verdana" w:hAnsi="Verdana" w:cs="Arial"/>
                <w:sz w:val="16"/>
                <w:szCs w:val="16"/>
              </w:rPr>
            </w:pPr>
            <w:r w:rsidRPr="00283203">
              <w:rPr>
                <w:rFonts w:ascii="Verdana" w:hAnsi="Verdana" w:cs="Arial"/>
                <w:sz w:val="16"/>
                <w:szCs w:val="16"/>
              </w:rPr>
              <w:t>Contratista de la Subdirección de Gestión Contractual</w:t>
            </w:r>
          </w:p>
        </w:tc>
      </w:tr>
      <w:tr w:rsidR="00367D34" w:rsidRPr="00885EA6" w14:paraId="7D1876EB" w14:textId="77777777" w:rsidTr="00BB0264">
        <w:trPr>
          <w:trHeight w:val="409"/>
        </w:trPr>
        <w:tc>
          <w:tcPr>
            <w:tcW w:w="817" w:type="dxa"/>
            <w:tcBorders>
              <w:top w:val="nil"/>
              <w:left w:val="nil"/>
              <w:bottom w:val="nil"/>
              <w:right w:val="nil"/>
            </w:tcBorders>
            <w:vAlign w:val="center"/>
            <w:hideMark/>
          </w:tcPr>
          <w:p w14:paraId="7B903D85" w14:textId="77777777" w:rsidR="00367D34" w:rsidRPr="00283203" w:rsidRDefault="00367D34" w:rsidP="00BB0264">
            <w:pPr>
              <w:spacing w:after="0"/>
              <w:jc w:val="both"/>
              <w:rPr>
                <w:rFonts w:ascii="Verdana" w:hAnsi="Verdana" w:cs="Arial"/>
                <w:sz w:val="16"/>
                <w:szCs w:val="16"/>
              </w:rPr>
            </w:pPr>
            <w:r w:rsidRPr="00283203">
              <w:rPr>
                <w:rFonts w:ascii="Verdana" w:hAnsi="Verdana" w:cs="Arial"/>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206D0AC" w14:textId="4A13D1A1" w:rsidR="005B129C" w:rsidRDefault="005B129C" w:rsidP="00BB0264">
            <w:pPr>
              <w:spacing w:after="0" w:line="240" w:lineRule="auto"/>
              <w:jc w:val="both"/>
              <w:rPr>
                <w:rFonts w:ascii="Verdana" w:hAnsi="Verdana" w:cs="Arial"/>
                <w:sz w:val="16"/>
                <w:szCs w:val="16"/>
              </w:rPr>
            </w:pPr>
            <w:r w:rsidRPr="005B129C">
              <w:rPr>
                <w:rFonts w:ascii="Verdana" w:hAnsi="Verdana" w:cs="Arial"/>
                <w:sz w:val="16"/>
                <w:szCs w:val="16"/>
              </w:rPr>
              <w:t xml:space="preserve">Juan Carlos </w:t>
            </w:r>
            <w:r w:rsidR="00B06073" w:rsidRPr="005B129C">
              <w:rPr>
                <w:rFonts w:ascii="Verdana" w:hAnsi="Verdana" w:cs="Arial"/>
                <w:sz w:val="16"/>
                <w:szCs w:val="16"/>
              </w:rPr>
              <w:t>González</w:t>
            </w:r>
            <w:r w:rsidRPr="005B129C">
              <w:rPr>
                <w:rFonts w:ascii="Verdana" w:hAnsi="Verdana" w:cs="Arial"/>
                <w:sz w:val="16"/>
                <w:szCs w:val="16"/>
              </w:rPr>
              <w:t xml:space="preserve"> </w:t>
            </w:r>
            <w:r w:rsidR="00B06073" w:rsidRPr="005B129C">
              <w:rPr>
                <w:rFonts w:ascii="Verdana" w:hAnsi="Verdana" w:cs="Arial"/>
                <w:sz w:val="16"/>
                <w:szCs w:val="16"/>
              </w:rPr>
              <w:t>Vásquez</w:t>
            </w:r>
          </w:p>
          <w:p w14:paraId="5D861D22" w14:textId="208E5AD8" w:rsidR="00367D34" w:rsidRPr="00283203" w:rsidRDefault="00B06073" w:rsidP="00BB0264">
            <w:pPr>
              <w:spacing w:after="0" w:line="240" w:lineRule="auto"/>
              <w:jc w:val="both"/>
              <w:rPr>
                <w:rFonts w:ascii="Verdana" w:hAnsi="Verdana" w:cs="Arial"/>
                <w:sz w:val="16"/>
                <w:szCs w:val="16"/>
              </w:rPr>
            </w:pPr>
            <w:r w:rsidRPr="00283203">
              <w:rPr>
                <w:rFonts w:ascii="Verdana" w:hAnsi="Verdana" w:cs="Arial"/>
                <w:sz w:val="16"/>
                <w:szCs w:val="16"/>
              </w:rPr>
              <w:t>Contratista de la Subdirección de Gestión Contractual</w:t>
            </w:r>
          </w:p>
        </w:tc>
      </w:tr>
      <w:tr w:rsidR="00367D34" w:rsidRPr="00885EA6" w14:paraId="25F80E90" w14:textId="77777777" w:rsidTr="00BB0264">
        <w:trPr>
          <w:trHeight w:val="389"/>
        </w:trPr>
        <w:tc>
          <w:tcPr>
            <w:tcW w:w="817" w:type="dxa"/>
            <w:tcBorders>
              <w:top w:val="nil"/>
              <w:left w:val="nil"/>
              <w:bottom w:val="nil"/>
              <w:right w:val="nil"/>
            </w:tcBorders>
            <w:vAlign w:val="center"/>
            <w:hideMark/>
          </w:tcPr>
          <w:p w14:paraId="2E96FFD8" w14:textId="77777777" w:rsidR="00367D34" w:rsidRPr="00283203" w:rsidRDefault="00367D34" w:rsidP="00BB0264">
            <w:pPr>
              <w:spacing w:after="0" w:line="240" w:lineRule="auto"/>
              <w:jc w:val="both"/>
              <w:rPr>
                <w:rFonts w:ascii="Verdana" w:hAnsi="Verdana" w:cs="Arial"/>
                <w:sz w:val="16"/>
                <w:szCs w:val="16"/>
              </w:rPr>
            </w:pPr>
            <w:r w:rsidRPr="00283203">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1E1DFA7" w14:textId="77777777" w:rsidR="00367D34" w:rsidRPr="00283203" w:rsidRDefault="00367D34" w:rsidP="00BB0264">
            <w:pPr>
              <w:spacing w:after="0"/>
              <w:jc w:val="both"/>
              <w:rPr>
                <w:rFonts w:ascii="Verdana" w:hAnsi="Verdana" w:cs="Arial"/>
                <w:sz w:val="16"/>
                <w:szCs w:val="16"/>
              </w:rPr>
            </w:pPr>
            <w:r w:rsidRPr="00283203">
              <w:rPr>
                <w:rFonts w:ascii="Verdana" w:hAnsi="Verdana" w:cs="Arial"/>
                <w:sz w:val="16"/>
                <w:szCs w:val="16"/>
              </w:rPr>
              <w:t xml:space="preserve">Carolina Quintero </w:t>
            </w:r>
            <w:proofErr w:type="spellStart"/>
            <w:r w:rsidRPr="00283203">
              <w:rPr>
                <w:rFonts w:ascii="Verdana" w:hAnsi="Verdana" w:cs="Arial"/>
                <w:sz w:val="16"/>
                <w:szCs w:val="16"/>
              </w:rPr>
              <w:t>Gacharná</w:t>
            </w:r>
            <w:proofErr w:type="spellEnd"/>
          </w:p>
          <w:p w14:paraId="014DEFE0" w14:textId="77777777" w:rsidR="00367D34" w:rsidRPr="00283203" w:rsidRDefault="00367D34" w:rsidP="00BB0264">
            <w:pPr>
              <w:spacing w:after="0" w:line="240" w:lineRule="auto"/>
              <w:jc w:val="both"/>
              <w:rPr>
                <w:rFonts w:ascii="Verdana" w:hAnsi="Verdana" w:cs="Arial"/>
                <w:sz w:val="16"/>
                <w:szCs w:val="16"/>
              </w:rPr>
            </w:pPr>
            <w:r w:rsidRPr="00283203">
              <w:rPr>
                <w:rFonts w:ascii="Verdana" w:hAnsi="Verdana" w:cs="Arial"/>
                <w:sz w:val="16"/>
                <w:szCs w:val="16"/>
              </w:rPr>
              <w:t xml:space="preserve">Subdirectora de Gestión Contractual </w:t>
            </w:r>
            <w:proofErr w:type="spellStart"/>
            <w:r w:rsidRPr="00283203">
              <w:rPr>
                <w:rFonts w:ascii="Verdana" w:hAnsi="Verdana" w:cs="Arial"/>
                <w:sz w:val="16"/>
                <w:szCs w:val="16"/>
              </w:rPr>
              <w:t>ANCP</w:t>
            </w:r>
            <w:proofErr w:type="spellEnd"/>
            <w:r w:rsidRPr="00283203">
              <w:rPr>
                <w:rFonts w:ascii="Verdana" w:hAnsi="Verdana" w:cs="Arial"/>
                <w:sz w:val="16"/>
                <w:szCs w:val="16"/>
              </w:rPr>
              <w:t xml:space="preserve"> – CCE</w:t>
            </w:r>
          </w:p>
        </w:tc>
      </w:tr>
    </w:tbl>
    <w:p w14:paraId="3900974D" w14:textId="77777777" w:rsidR="003D5B0D" w:rsidRPr="00367D34" w:rsidRDefault="003D5B0D" w:rsidP="00235171"/>
    <w:sectPr w:rsidR="003D5B0D" w:rsidRPr="00367D34"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8506A" w14:textId="77777777" w:rsidR="00E55411" w:rsidRDefault="00E55411" w:rsidP="004A1847">
      <w:pPr>
        <w:spacing w:after="0" w:line="240" w:lineRule="auto"/>
      </w:pPr>
      <w:r>
        <w:separator/>
      </w:r>
    </w:p>
  </w:endnote>
  <w:endnote w:type="continuationSeparator" w:id="0">
    <w:p w14:paraId="40F5B1D8" w14:textId="77777777" w:rsidR="00E55411" w:rsidRDefault="00E55411" w:rsidP="004A1847">
      <w:pPr>
        <w:spacing w:after="0" w:line="240" w:lineRule="auto"/>
      </w:pPr>
      <w:r>
        <w:continuationSeparator/>
      </w:r>
    </w:p>
  </w:endnote>
  <w:endnote w:type="continuationNotice" w:id="1">
    <w:p w14:paraId="21713BA5" w14:textId="77777777" w:rsidR="00E55411" w:rsidRDefault="00E554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proofErr w:type="spellStart"/>
    <w:r w:rsidR="00FA47C0">
      <w:rPr>
        <w:rFonts w:ascii="Century Gothic" w:eastAsia="Geo" w:hAnsi="Century Gothic" w:cs="Geo"/>
        <w:bCs/>
        <w:color w:val="000000"/>
        <w:sz w:val="16"/>
        <w:szCs w:val="16"/>
        <w:lang w:eastAsia="es-CO"/>
      </w:rPr>
      <w:t>REC</w:t>
    </w:r>
    <w:proofErr w:type="spellEnd"/>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5BEFBDD" w14:textId="77777777" w:rsidR="001423E1" w:rsidRDefault="001423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70108" w14:textId="77777777" w:rsidR="00E55411" w:rsidRDefault="00E55411" w:rsidP="004A1847">
      <w:pPr>
        <w:spacing w:after="0" w:line="240" w:lineRule="auto"/>
      </w:pPr>
      <w:r>
        <w:separator/>
      </w:r>
    </w:p>
  </w:footnote>
  <w:footnote w:type="continuationSeparator" w:id="0">
    <w:p w14:paraId="466BBC65" w14:textId="77777777" w:rsidR="00E55411" w:rsidRDefault="00E55411" w:rsidP="004A1847">
      <w:pPr>
        <w:spacing w:after="0" w:line="240" w:lineRule="auto"/>
      </w:pPr>
      <w:r>
        <w:continuationSeparator/>
      </w:r>
    </w:p>
  </w:footnote>
  <w:footnote w:type="continuationNotice" w:id="1">
    <w:p w14:paraId="35892A65" w14:textId="77777777" w:rsidR="00E55411" w:rsidRDefault="00E55411">
      <w:pPr>
        <w:spacing w:after="0" w:line="240" w:lineRule="auto"/>
      </w:pPr>
    </w:p>
  </w:footnote>
  <w:footnote w:id="2">
    <w:p w14:paraId="3025CF7B" w14:textId="77777777" w:rsidR="004F7BB6" w:rsidRPr="00C438E0" w:rsidRDefault="004F7BB6" w:rsidP="004F7BB6">
      <w:pPr>
        <w:pStyle w:val="Textonotapie"/>
        <w:ind w:firstLine="709"/>
        <w:jc w:val="both"/>
        <w:rPr>
          <w:rFonts w:ascii="Verdana" w:hAnsi="Verdana" w:cs="Arial"/>
          <w:sz w:val="16"/>
          <w:szCs w:val="16"/>
          <w:lang w:val="es-ES"/>
        </w:rPr>
      </w:pPr>
      <w:r w:rsidRPr="00C438E0">
        <w:rPr>
          <w:rStyle w:val="Refdenotaalpie"/>
          <w:rFonts w:ascii="Verdana" w:hAnsi="Verdana" w:cs="Arial"/>
          <w:sz w:val="16"/>
          <w:szCs w:val="16"/>
        </w:rPr>
        <w:footnoteRef/>
      </w:r>
      <w:r w:rsidRPr="00C438E0">
        <w:rPr>
          <w:rFonts w:ascii="Verdana" w:hAnsi="Verdana" w:cs="Arial"/>
          <w:sz w:val="16"/>
          <w:szCs w:val="16"/>
        </w:rPr>
        <w:t xml:space="preserve"> </w:t>
      </w:r>
      <w:r w:rsidRPr="00C438E0">
        <w:rPr>
          <w:rFonts w:ascii="Verdana" w:hAnsi="Verdana" w:cs="Arial"/>
          <w:sz w:val="16"/>
          <w:szCs w:val="16"/>
          <w:lang w:val="es-ES"/>
        </w:rPr>
        <w:t xml:space="preserve">COLOMBIA COMPRA EFICIENTE. Guía de garantías en Procesos de Contratación. Disponible en: </w:t>
      </w:r>
      <w:hyperlink r:id="rId1" w:history="1">
        <w:r w:rsidRPr="00C438E0">
          <w:rPr>
            <w:rStyle w:val="Hipervnculo"/>
            <w:rFonts w:ascii="Verdana" w:hAnsi="Verdana"/>
            <w:sz w:val="16"/>
            <w:szCs w:val="16"/>
          </w:rPr>
          <w:t>https://www.colombiacompra.gov.co/sites/cce_public/files/cce_documents/cce_guia_garantias.pdf</w:t>
        </w:r>
      </w:hyperlink>
      <w:r w:rsidRPr="00C438E0">
        <w:rPr>
          <w:rStyle w:val="Hipervnculo"/>
          <w:rFonts w:ascii="Verdana" w:hAnsi="Verdana"/>
          <w:color w:val="auto"/>
          <w:sz w:val="16"/>
          <w:szCs w:val="16"/>
        </w:rPr>
        <w:t>.</w:t>
      </w:r>
      <w:r w:rsidRPr="00C438E0">
        <w:rPr>
          <w:rFonts w:ascii="Verdana" w:hAnsi="Verdana" w:cs="Arial"/>
          <w:sz w:val="16"/>
          <w:szCs w:val="16"/>
          <w:lang w:val="es-ES"/>
        </w:rPr>
        <w:t xml:space="preserve"> </w:t>
      </w:r>
    </w:p>
    <w:p w14:paraId="359565F2" w14:textId="77777777" w:rsidR="004F7BB6" w:rsidRPr="00C438E0" w:rsidRDefault="004F7BB6" w:rsidP="004F7BB6">
      <w:pPr>
        <w:pStyle w:val="Textonotapie"/>
        <w:ind w:firstLine="709"/>
        <w:jc w:val="both"/>
        <w:rPr>
          <w:rFonts w:ascii="Verdana" w:hAnsi="Verdana" w:cs="Arial"/>
          <w:sz w:val="16"/>
          <w:szCs w:val="16"/>
        </w:rPr>
      </w:pPr>
    </w:p>
  </w:footnote>
  <w:footnote w:id="3">
    <w:p w14:paraId="3F74BA99" w14:textId="77777777" w:rsidR="004F7BB6" w:rsidRPr="00C438E0" w:rsidRDefault="004F7BB6" w:rsidP="004F7BB6">
      <w:pPr>
        <w:pStyle w:val="Textonotapie"/>
        <w:ind w:firstLine="709"/>
        <w:jc w:val="both"/>
        <w:rPr>
          <w:rFonts w:ascii="Verdana" w:hAnsi="Verdana" w:cs="Arial"/>
          <w:sz w:val="16"/>
          <w:szCs w:val="16"/>
          <w:lang w:val="es-ES"/>
        </w:rPr>
      </w:pPr>
      <w:r w:rsidRPr="00C438E0">
        <w:rPr>
          <w:rStyle w:val="Refdenotaalpie"/>
          <w:rFonts w:ascii="Verdana" w:hAnsi="Verdana" w:cs="Arial"/>
          <w:sz w:val="16"/>
          <w:szCs w:val="16"/>
        </w:rPr>
        <w:footnoteRef/>
      </w:r>
      <w:r w:rsidRPr="00C438E0">
        <w:rPr>
          <w:rFonts w:ascii="Verdana" w:hAnsi="Verdana" w:cs="Arial"/>
          <w:sz w:val="16"/>
          <w:szCs w:val="16"/>
        </w:rPr>
        <w:t xml:space="preserve"> </w:t>
      </w:r>
      <w:r w:rsidRPr="00C438E0">
        <w:rPr>
          <w:rFonts w:ascii="Verdana" w:hAnsi="Verdana" w:cs="Arial"/>
          <w:sz w:val="16"/>
          <w:szCs w:val="16"/>
          <w:lang w:val="es-ES"/>
        </w:rPr>
        <w:t xml:space="preserve">COLOMBIA COMPRA EFICIENTE. Síntesis: 8. Etapa precontractual: Garantía de cumplimiento del contrato estatal. </w:t>
      </w:r>
    </w:p>
    <w:p w14:paraId="7C275692" w14:textId="77777777" w:rsidR="004F7BB6" w:rsidRPr="00C438E0" w:rsidRDefault="004F7BB6" w:rsidP="004F7BB6">
      <w:pPr>
        <w:pStyle w:val="Textonotapie"/>
        <w:ind w:firstLine="709"/>
        <w:jc w:val="both"/>
        <w:rPr>
          <w:rFonts w:ascii="Verdana" w:hAnsi="Verdana" w:cs="Arial"/>
          <w:sz w:val="16"/>
          <w:szCs w:val="16"/>
        </w:rPr>
      </w:pPr>
    </w:p>
  </w:footnote>
  <w:footnote w:id="4">
    <w:p w14:paraId="0C311AD3" w14:textId="77777777" w:rsidR="004F7BB6" w:rsidRPr="00C438E0" w:rsidRDefault="004F7BB6" w:rsidP="004F7BB6">
      <w:pPr>
        <w:pStyle w:val="Textonotapie"/>
        <w:ind w:firstLine="709"/>
        <w:jc w:val="both"/>
        <w:rPr>
          <w:rFonts w:ascii="Verdana" w:hAnsi="Verdana" w:cs="Arial"/>
          <w:sz w:val="16"/>
          <w:szCs w:val="16"/>
        </w:rPr>
      </w:pPr>
      <w:r w:rsidRPr="00C438E0">
        <w:rPr>
          <w:rStyle w:val="Refdenotaalpie"/>
          <w:rFonts w:ascii="Verdana" w:hAnsi="Verdana" w:cs="Arial"/>
          <w:sz w:val="16"/>
          <w:szCs w:val="16"/>
        </w:rPr>
        <w:footnoteRef/>
      </w:r>
      <w:r w:rsidRPr="00C438E0">
        <w:rPr>
          <w:rFonts w:ascii="Verdana" w:hAnsi="Verdana" w:cs="Arial"/>
          <w:sz w:val="16"/>
          <w:szCs w:val="16"/>
        </w:rPr>
        <w:t xml:space="preserve"> La norma citada dispone: “Artículo 2.2.1.2.3.1.7. Garantía de cumplimiento. La garantía de cumplimiento del contrato debe cubrir:</w:t>
      </w:r>
    </w:p>
    <w:p w14:paraId="52DEC6D3"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77E7301"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2.    Devolución del pago anticipado. Este amparo cubre los perjuicios sufridos por la Entidad Estatal por la no devolución total o parcial del dinero entregado al contratista a título de pago anticipado, cuando a ello hubiere lugar.</w:t>
      </w:r>
    </w:p>
    <w:p w14:paraId="590ECBD9"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3.    Cumplimiento del contrato. Este amparo cubre a la Entidad Estatal de los perjuicios derivados de:</w:t>
      </w:r>
    </w:p>
    <w:p w14:paraId="27AF1F8C"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3.1.   El incumplimiento total o parcial del contrato, cuando el incumplimiento es imputable al contratista;</w:t>
      </w:r>
    </w:p>
    <w:p w14:paraId="0459FDED"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3.2.   El cumplimiento tardío o defectuoso del contrato, cuando el incumplimiento es imputable al contratista;</w:t>
      </w:r>
    </w:p>
    <w:p w14:paraId="0B6F2C31"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3.3.   Los daños imputables al contratista por entregas parciales de la obra, cuando el contrato no prevé entregas parciales; y</w:t>
      </w:r>
    </w:p>
    <w:p w14:paraId="42FF0507"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3.4.   El pago del valor de las multas y de la cláusula penal pecuniaria.</w:t>
      </w:r>
    </w:p>
    <w:p w14:paraId="4C70C458"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1D2945E7"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La Entidad Estatal no debe exigir una garantía para cubrir este Riesgo en los contratos que se ejecuten fuera del territorio nacional con personal contratado bajo un régimen jurídico distinto al colombiano.</w:t>
      </w:r>
    </w:p>
    <w:p w14:paraId="536B71E7"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5.    Estabilidad y calidad de la obra. Este amparo cubre a la Entidad Estatal de los perjuicios ocasionados por cualquier tipo de daño o deterioro, imputable al contratista, sufrido por la obra entregada a satisfacción.</w:t>
      </w:r>
    </w:p>
    <w:p w14:paraId="5BFD9397"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6.    Calidad del servicio. Este amparo cubre a la Entidad Estatal por los perjuicios deri­vados de la deficiente calidad del servicio prestado.</w:t>
      </w:r>
    </w:p>
    <w:p w14:paraId="2A13FE8B"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7.    Calidad y correcto funcionamiento de los bienes. Este amparo debe cubrir la calidad y el correcto funcionamiento de los bienes que recibe la Entidad Estatal en cumplimiento de un contrato.</w:t>
      </w:r>
    </w:p>
    <w:p w14:paraId="5C18E98B"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hAnsi="Verdana" w:cs="Arial"/>
          <w:sz w:val="16"/>
          <w:szCs w:val="16"/>
        </w:rPr>
        <w:t>8.    Los demás incumplimientos de obligaciones que la Entidad Estatal considere deben ser amparados de manera proporcional y acorde a la naturaleza del contrato”.</w:t>
      </w:r>
    </w:p>
    <w:p w14:paraId="42C46B89" w14:textId="77777777" w:rsidR="004F7BB6" w:rsidRPr="00C438E0" w:rsidRDefault="004F7BB6" w:rsidP="004F7BB6">
      <w:pPr>
        <w:pStyle w:val="Textonotapie"/>
        <w:ind w:firstLine="709"/>
        <w:jc w:val="both"/>
        <w:rPr>
          <w:rFonts w:ascii="Verdana" w:hAnsi="Verdana" w:cs="Arial"/>
          <w:sz w:val="16"/>
          <w:szCs w:val="16"/>
        </w:rPr>
      </w:pPr>
    </w:p>
  </w:footnote>
  <w:footnote w:id="5">
    <w:p w14:paraId="045E5225" w14:textId="77777777" w:rsidR="004F7BB6" w:rsidRPr="00C438E0" w:rsidRDefault="004F7BB6" w:rsidP="004F7BB6">
      <w:pPr>
        <w:pStyle w:val="Textonotapie"/>
        <w:ind w:firstLine="709"/>
        <w:jc w:val="both"/>
        <w:rPr>
          <w:rFonts w:ascii="Verdana" w:eastAsia="Calibri" w:hAnsi="Verdana" w:cs="Arial"/>
          <w:sz w:val="16"/>
          <w:szCs w:val="16"/>
          <w:lang w:val="es-ES_tradnl"/>
        </w:rPr>
      </w:pPr>
      <w:r w:rsidRPr="00C438E0">
        <w:rPr>
          <w:rStyle w:val="Refdenotaalpie"/>
          <w:rFonts w:ascii="Verdana" w:hAnsi="Verdana" w:cs="Arial"/>
          <w:sz w:val="16"/>
          <w:szCs w:val="16"/>
        </w:rPr>
        <w:footnoteRef/>
      </w:r>
      <w:r w:rsidRPr="00C438E0">
        <w:rPr>
          <w:rFonts w:ascii="Verdana" w:hAnsi="Verdana" w:cs="Arial"/>
          <w:sz w:val="16"/>
          <w:szCs w:val="16"/>
        </w:rPr>
        <w:t xml:space="preserve"> </w:t>
      </w:r>
      <w:r w:rsidRPr="00C438E0">
        <w:rPr>
          <w:rFonts w:ascii="Verdana" w:eastAsia="Calibri" w:hAnsi="Verdana" w:cs="Arial"/>
          <w:sz w:val="16"/>
          <w:szCs w:val="16"/>
          <w:lang w:val="es-ES_tradnl"/>
        </w:rPr>
        <w:t xml:space="preserve">Esta norma dispone que “Los contratos para construcción de edificios, celebrados con un empresario que se encarga de toda la obra por un precio único prefijado, se sujetan además a las reglas siguientes: </w:t>
      </w:r>
    </w:p>
    <w:p w14:paraId="31821415" w14:textId="77777777" w:rsidR="004F7BB6" w:rsidRPr="00C438E0" w:rsidRDefault="004F7BB6" w:rsidP="004F7BB6">
      <w:pPr>
        <w:pStyle w:val="Textonotapie"/>
        <w:ind w:firstLine="709"/>
        <w:jc w:val="both"/>
        <w:rPr>
          <w:rFonts w:ascii="Verdana" w:eastAsia="Calibri" w:hAnsi="Verdana" w:cs="Arial"/>
          <w:sz w:val="16"/>
          <w:szCs w:val="16"/>
          <w:lang w:val="es-ES_tradnl"/>
        </w:rPr>
      </w:pPr>
      <w:r w:rsidRPr="00C438E0">
        <w:rPr>
          <w:rFonts w:ascii="Verdana" w:eastAsia="Calibri" w:hAnsi="Verdana" w:cs="Arial"/>
          <w:sz w:val="16"/>
          <w:szCs w:val="16"/>
          <w:lang w:val="es-ES_tradnl"/>
        </w:rPr>
        <w:t xml:space="preserve">[…] </w:t>
      </w:r>
    </w:p>
    <w:p w14:paraId="66493DC5" w14:textId="77777777" w:rsidR="004F7BB6" w:rsidRPr="00C438E0" w:rsidRDefault="004F7BB6" w:rsidP="004F7BB6">
      <w:pPr>
        <w:pStyle w:val="Textonotapie"/>
        <w:ind w:firstLine="709"/>
        <w:jc w:val="both"/>
        <w:rPr>
          <w:rFonts w:ascii="Verdana" w:hAnsi="Verdana" w:cs="Arial"/>
          <w:sz w:val="16"/>
          <w:szCs w:val="16"/>
        </w:rPr>
      </w:pPr>
      <w:r w:rsidRPr="00C438E0">
        <w:rPr>
          <w:rFonts w:ascii="Verdana" w:eastAsia="Calibri" w:hAnsi="Verdana" w:cs="Arial"/>
          <w:sz w:val="16"/>
          <w:szCs w:val="16"/>
          <w:lang w:val="es-ES_tradnl"/>
        </w:rPr>
        <w:t>3. Si el edificio perece o amenaza ruina, en todo o parte, en los diez años subsiguientes a su entrega, por vicio de la construcción, o por vicio del suelo que el empresario o las personas empleadas por él hayan debido conocer en razón de su oficio, o por vicio de los materiales, será responsable el empresario; si los materiales han sido suministrados por el dueño, no habrá lugar a la responsabilidad del empresario sino en conformidad al artículo 2041, &lt;sic 2057&gt; inciso final […]”.</w:t>
      </w:r>
    </w:p>
    <w:p w14:paraId="22D3AE19" w14:textId="77777777" w:rsidR="004F7BB6" w:rsidRPr="00C438E0" w:rsidRDefault="004F7BB6" w:rsidP="004F7BB6">
      <w:pPr>
        <w:pStyle w:val="Textonotapie"/>
        <w:ind w:firstLine="709"/>
        <w:jc w:val="both"/>
        <w:rPr>
          <w:rFonts w:ascii="Verdana" w:hAnsi="Verdana" w:cs="Arial"/>
          <w:sz w:val="16"/>
          <w:szCs w:val="16"/>
          <w:lang w:val="es-ES"/>
        </w:rPr>
      </w:pPr>
    </w:p>
  </w:footnote>
  <w:footnote w:id="6">
    <w:p w14:paraId="2DCAAE67" w14:textId="77777777" w:rsidR="004F7BB6" w:rsidRPr="00C438E0" w:rsidRDefault="004F7BB6" w:rsidP="004F7BB6">
      <w:pPr>
        <w:pStyle w:val="Textonotapie"/>
        <w:ind w:firstLine="709"/>
        <w:jc w:val="both"/>
        <w:rPr>
          <w:rFonts w:ascii="Verdana" w:hAnsi="Verdana" w:cs="Arial"/>
          <w:color w:val="000000"/>
          <w:sz w:val="16"/>
          <w:szCs w:val="16"/>
          <w:lang w:val="es-CO"/>
        </w:rPr>
      </w:pPr>
      <w:r w:rsidRPr="00C438E0">
        <w:rPr>
          <w:rStyle w:val="Refdenotaalpie"/>
          <w:rFonts w:ascii="Verdana" w:hAnsi="Verdana" w:cs="Arial"/>
          <w:sz w:val="16"/>
          <w:szCs w:val="16"/>
        </w:rPr>
        <w:footnoteRef/>
      </w:r>
      <w:r w:rsidRPr="00C438E0">
        <w:rPr>
          <w:rFonts w:ascii="Verdana" w:hAnsi="Verdana" w:cs="Arial"/>
          <w:sz w:val="16"/>
          <w:szCs w:val="16"/>
        </w:rPr>
        <w:t xml:space="preserve"> </w:t>
      </w:r>
      <w:r w:rsidRPr="00C438E0">
        <w:rPr>
          <w:rFonts w:ascii="Verdana" w:hAnsi="Verdana" w:cs="Arial"/>
          <w:color w:val="000000"/>
          <w:sz w:val="16"/>
          <w:szCs w:val="16"/>
          <w:lang w:val="es-CO"/>
        </w:rPr>
        <w:t>Consejo de Estado, Sala de lo Contencioso Administrativo, Sección Tercera, Subsección B, Sentencia de 23 de febrero de 2012, Exp. 20.810.</w:t>
      </w:r>
    </w:p>
    <w:p w14:paraId="53917D88" w14:textId="77777777" w:rsidR="004F7BB6" w:rsidRPr="00C438E0" w:rsidRDefault="004F7BB6" w:rsidP="004F7BB6">
      <w:pPr>
        <w:pStyle w:val="Textonotapie"/>
        <w:ind w:firstLine="709"/>
        <w:jc w:val="both"/>
        <w:rPr>
          <w:rFonts w:ascii="Verdana" w:hAnsi="Verdana" w:cs="Arial"/>
          <w:color w:val="000000"/>
          <w:sz w:val="16"/>
          <w:szCs w:val="16"/>
          <w:lang w:val="es-CO"/>
        </w:rPr>
      </w:pPr>
    </w:p>
  </w:footnote>
  <w:footnote w:id="7">
    <w:p w14:paraId="0F89BBA0" w14:textId="77777777" w:rsidR="004F7BB6" w:rsidRPr="00C438E0" w:rsidRDefault="004F7BB6" w:rsidP="004F7BB6">
      <w:pPr>
        <w:pStyle w:val="Textonotapie"/>
        <w:ind w:firstLine="709"/>
        <w:jc w:val="both"/>
        <w:rPr>
          <w:rFonts w:ascii="Verdana" w:hAnsi="Verdana" w:cs="Arial"/>
          <w:sz w:val="16"/>
          <w:szCs w:val="16"/>
          <w:lang w:val="es-CO"/>
        </w:rPr>
      </w:pPr>
      <w:r w:rsidRPr="00C438E0">
        <w:rPr>
          <w:rStyle w:val="Refdenotaalpie"/>
          <w:rFonts w:ascii="Verdana" w:hAnsi="Verdana" w:cs="Arial"/>
          <w:sz w:val="16"/>
          <w:szCs w:val="16"/>
        </w:rPr>
        <w:footnoteRef/>
      </w:r>
      <w:r w:rsidRPr="00C438E0">
        <w:rPr>
          <w:rFonts w:ascii="Verdana" w:hAnsi="Verdana" w:cs="Arial"/>
          <w:sz w:val="16"/>
          <w:szCs w:val="16"/>
        </w:rPr>
        <w:t xml:space="preserve"> Consejo de Estado, Sala de lo Contencioso Administrativo, Sección Tercera. Subsección C, Sentencia de 28 de febrero de 2020, Exp. 46852.</w:t>
      </w:r>
    </w:p>
  </w:footnote>
  <w:footnote w:id="8">
    <w:p w14:paraId="31EFAE36" w14:textId="77777777" w:rsidR="004F7BB6" w:rsidRPr="00C438E0" w:rsidRDefault="004F7BB6" w:rsidP="004F7BB6">
      <w:pPr>
        <w:pStyle w:val="Textonotapie"/>
        <w:ind w:firstLine="709"/>
        <w:jc w:val="both"/>
        <w:rPr>
          <w:rFonts w:ascii="Verdana" w:hAnsi="Verdana" w:cs="Arial"/>
          <w:sz w:val="16"/>
          <w:szCs w:val="16"/>
          <w:lang w:val="es-CO"/>
        </w:rPr>
      </w:pPr>
      <w:r w:rsidRPr="00C438E0">
        <w:rPr>
          <w:rStyle w:val="Refdenotaalpie"/>
          <w:rFonts w:ascii="Verdana" w:hAnsi="Verdana" w:cs="Arial"/>
          <w:sz w:val="16"/>
          <w:szCs w:val="16"/>
        </w:rPr>
        <w:footnoteRef/>
      </w:r>
      <w:r w:rsidRPr="00C438E0">
        <w:rPr>
          <w:rFonts w:ascii="Verdana" w:hAnsi="Verdana" w:cs="Arial"/>
          <w:sz w:val="16"/>
          <w:szCs w:val="16"/>
        </w:rPr>
        <w:t xml:space="preserve"> Consejo de Estado, </w:t>
      </w:r>
      <w:r w:rsidRPr="00C438E0">
        <w:rPr>
          <w:rFonts w:ascii="Verdana" w:hAnsi="Verdana" w:cs="Arial"/>
          <w:color w:val="000000"/>
          <w:sz w:val="16"/>
          <w:szCs w:val="16"/>
          <w:lang w:val="es-CO"/>
        </w:rPr>
        <w:t xml:space="preserve">Sala de lo Contencioso Administrativo, Sección Tercera, Subsección B, Sentencia del 15 de diciembre de 2011, Exp. 40.586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7216"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6192"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 xml:space="preserve">FORMATO </w:t>
    </w:r>
    <w:proofErr w:type="spellStart"/>
    <w:r w:rsidRPr="00DC39FC">
      <w:rPr>
        <w:rFonts w:ascii="Verdana" w:hAnsi="Verdana"/>
        <w:b/>
        <w:bCs/>
      </w:rPr>
      <w:t>PQRSD</w:t>
    </w:r>
    <w:proofErr w:type="spellEnd"/>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p w14:paraId="7D807DCA" w14:textId="77777777" w:rsidR="001423E1" w:rsidRDefault="001423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pt;height:11.2pt" o:bullet="t">
        <v:imagedata r:id="rId1" o:title="mso1B13"/>
      </v:shape>
    </w:pict>
  </w:numPicBullet>
  <w:abstractNum w:abstractNumId="0" w15:restartNumberingAfterBreak="0">
    <w:nsid w:val="006E3A60"/>
    <w:multiLevelType w:val="hybridMultilevel"/>
    <w:tmpl w:val="5728346C"/>
    <w:lvl w:ilvl="0" w:tplc="B53A291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7F9003D"/>
    <w:multiLevelType w:val="hybridMultilevel"/>
    <w:tmpl w:val="08BEC0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C9C4B3A"/>
    <w:multiLevelType w:val="hybridMultilevel"/>
    <w:tmpl w:val="00B215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4E44A77"/>
    <w:multiLevelType w:val="hybridMultilevel"/>
    <w:tmpl w:val="E0629C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9433CB"/>
    <w:multiLevelType w:val="hybridMultilevel"/>
    <w:tmpl w:val="EC180D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9D55BAF"/>
    <w:multiLevelType w:val="hybridMultilevel"/>
    <w:tmpl w:val="03D41E02"/>
    <w:lvl w:ilvl="0" w:tplc="7A4AF5A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2C0492E">
      <w:numFmt w:val="bullet"/>
      <w:lvlText w:val="•"/>
      <w:lvlJc w:val="left"/>
      <w:pPr>
        <w:ind w:left="1250" w:hanging="143"/>
      </w:pPr>
      <w:rPr>
        <w:rFonts w:hint="default"/>
        <w:lang w:val="es-ES" w:eastAsia="en-US" w:bidi="ar-SA"/>
      </w:rPr>
    </w:lvl>
    <w:lvl w:ilvl="2" w:tplc="CFDE184E">
      <w:numFmt w:val="bullet"/>
      <w:lvlText w:val="•"/>
      <w:lvlJc w:val="left"/>
      <w:pPr>
        <w:ind w:left="2140" w:hanging="143"/>
      </w:pPr>
      <w:rPr>
        <w:rFonts w:hint="default"/>
        <w:lang w:val="es-ES" w:eastAsia="en-US" w:bidi="ar-SA"/>
      </w:rPr>
    </w:lvl>
    <w:lvl w:ilvl="3" w:tplc="B120A284">
      <w:numFmt w:val="bullet"/>
      <w:lvlText w:val="•"/>
      <w:lvlJc w:val="left"/>
      <w:pPr>
        <w:ind w:left="3030" w:hanging="143"/>
      </w:pPr>
      <w:rPr>
        <w:rFonts w:hint="default"/>
        <w:lang w:val="es-ES" w:eastAsia="en-US" w:bidi="ar-SA"/>
      </w:rPr>
    </w:lvl>
    <w:lvl w:ilvl="4" w:tplc="4CD2A566">
      <w:numFmt w:val="bullet"/>
      <w:lvlText w:val="•"/>
      <w:lvlJc w:val="left"/>
      <w:pPr>
        <w:ind w:left="3920" w:hanging="143"/>
      </w:pPr>
      <w:rPr>
        <w:rFonts w:hint="default"/>
        <w:lang w:val="es-ES" w:eastAsia="en-US" w:bidi="ar-SA"/>
      </w:rPr>
    </w:lvl>
    <w:lvl w:ilvl="5" w:tplc="BA26CCAA">
      <w:numFmt w:val="bullet"/>
      <w:lvlText w:val="•"/>
      <w:lvlJc w:val="left"/>
      <w:pPr>
        <w:ind w:left="4810" w:hanging="143"/>
      </w:pPr>
      <w:rPr>
        <w:rFonts w:hint="default"/>
        <w:lang w:val="es-ES" w:eastAsia="en-US" w:bidi="ar-SA"/>
      </w:rPr>
    </w:lvl>
    <w:lvl w:ilvl="6" w:tplc="5026518C">
      <w:numFmt w:val="bullet"/>
      <w:lvlText w:val="•"/>
      <w:lvlJc w:val="left"/>
      <w:pPr>
        <w:ind w:left="5700" w:hanging="143"/>
      </w:pPr>
      <w:rPr>
        <w:rFonts w:hint="default"/>
        <w:lang w:val="es-ES" w:eastAsia="en-US" w:bidi="ar-SA"/>
      </w:rPr>
    </w:lvl>
    <w:lvl w:ilvl="7" w:tplc="E644749C">
      <w:numFmt w:val="bullet"/>
      <w:lvlText w:val="•"/>
      <w:lvlJc w:val="left"/>
      <w:pPr>
        <w:ind w:left="6590" w:hanging="143"/>
      </w:pPr>
      <w:rPr>
        <w:rFonts w:hint="default"/>
        <w:lang w:val="es-ES" w:eastAsia="en-US" w:bidi="ar-SA"/>
      </w:rPr>
    </w:lvl>
    <w:lvl w:ilvl="8" w:tplc="097E9916">
      <w:numFmt w:val="bullet"/>
      <w:lvlText w:val="•"/>
      <w:lvlJc w:val="left"/>
      <w:pPr>
        <w:ind w:left="7480" w:hanging="143"/>
      </w:pPr>
      <w:rPr>
        <w:rFonts w:hint="default"/>
        <w:lang w:val="es-ES" w:eastAsia="en-US" w:bidi="ar-SA"/>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8EF437E"/>
    <w:multiLevelType w:val="hybridMultilevel"/>
    <w:tmpl w:val="DA940B78"/>
    <w:lvl w:ilvl="0" w:tplc="66B0F9AC">
      <w:start w:val="1"/>
      <w:numFmt w:val="decimal"/>
      <w:lvlText w:val="%1."/>
      <w:lvlJc w:val="left"/>
      <w:pPr>
        <w:ind w:left="385" w:hanging="284"/>
      </w:pPr>
      <w:rPr>
        <w:rFonts w:ascii="Verdana" w:eastAsia="Verdana" w:hAnsi="Verdana" w:cs="Verdana" w:hint="default"/>
        <w:b/>
        <w:bCs/>
        <w:i w:val="0"/>
        <w:iCs w:val="0"/>
        <w:spacing w:val="-1"/>
        <w:w w:val="99"/>
        <w:sz w:val="22"/>
        <w:szCs w:val="22"/>
        <w:lang w:val="es-ES" w:eastAsia="en-US" w:bidi="ar-SA"/>
      </w:rPr>
    </w:lvl>
    <w:lvl w:ilvl="1" w:tplc="D7D47A16">
      <w:start w:val="2"/>
      <w:numFmt w:val="decimal"/>
      <w:lvlText w:val="%2."/>
      <w:lvlJc w:val="left"/>
      <w:pPr>
        <w:ind w:left="810" w:hanging="201"/>
      </w:pPr>
      <w:rPr>
        <w:rFonts w:ascii="Verdana" w:eastAsia="Verdana" w:hAnsi="Verdana" w:cs="Verdana" w:hint="default"/>
        <w:b w:val="0"/>
        <w:bCs w:val="0"/>
        <w:i w:val="0"/>
        <w:iCs w:val="0"/>
        <w:spacing w:val="-1"/>
        <w:w w:val="99"/>
        <w:sz w:val="18"/>
        <w:szCs w:val="18"/>
        <w:lang w:val="es-ES" w:eastAsia="en-US" w:bidi="ar-SA"/>
      </w:rPr>
    </w:lvl>
    <w:lvl w:ilvl="2" w:tplc="21DAF39C">
      <w:numFmt w:val="bullet"/>
      <w:lvlText w:val="•"/>
      <w:lvlJc w:val="left"/>
      <w:pPr>
        <w:ind w:left="1822" w:hanging="201"/>
      </w:pPr>
      <w:rPr>
        <w:rFonts w:hint="default"/>
        <w:lang w:val="es-ES" w:eastAsia="en-US" w:bidi="ar-SA"/>
      </w:rPr>
    </w:lvl>
    <w:lvl w:ilvl="3" w:tplc="2E7A66D6">
      <w:numFmt w:val="bullet"/>
      <w:lvlText w:val="•"/>
      <w:lvlJc w:val="left"/>
      <w:pPr>
        <w:ind w:left="2824" w:hanging="201"/>
      </w:pPr>
      <w:rPr>
        <w:rFonts w:hint="default"/>
        <w:lang w:val="es-ES" w:eastAsia="en-US" w:bidi="ar-SA"/>
      </w:rPr>
    </w:lvl>
    <w:lvl w:ilvl="4" w:tplc="782A6588">
      <w:numFmt w:val="bullet"/>
      <w:lvlText w:val="•"/>
      <w:lvlJc w:val="left"/>
      <w:pPr>
        <w:ind w:left="3826" w:hanging="201"/>
      </w:pPr>
      <w:rPr>
        <w:rFonts w:hint="default"/>
        <w:lang w:val="es-ES" w:eastAsia="en-US" w:bidi="ar-SA"/>
      </w:rPr>
    </w:lvl>
    <w:lvl w:ilvl="5" w:tplc="A6A0BAEC">
      <w:numFmt w:val="bullet"/>
      <w:lvlText w:val="•"/>
      <w:lvlJc w:val="left"/>
      <w:pPr>
        <w:ind w:left="4828" w:hanging="201"/>
      </w:pPr>
      <w:rPr>
        <w:rFonts w:hint="default"/>
        <w:lang w:val="es-ES" w:eastAsia="en-US" w:bidi="ar-SA"/>
      </w:rPr>
    </w:lvl>
    <w:lvl w:ilvl="6" w:tplc="9D44C972">
      <w:numFmt w:val="bullet"/>
      <w:lvlText w:val="•"/>
      <w:lvlJc w:val="left"/>
      <w:pPr>
        <w:ind w:left="5831" w:hanging="201"/>
      </w:pPr>
      <w:rPr>
        <w:rFonts w:hint="default"/>
        <w:lang w:val="es-ES" w:eastAsia="en-US" w:bidi="ar-SA"/>
      </w:rPr>
    </w:lvl>
    <w:lvl w:ilvl="7" w:tplc="BE486BC6">
      <w:numFmt w:val="bullet"/>
      <w:lvlText w:val="•"/>
      <w:lvlJc w:val="left"/>
      <w:pPr>
        <w:ind w:left="6833" w:hanging="201"/>
      </w:pPr>
      <w:rPr>
        <w:rFonts w:hint="default"/>
        <w:lang w:val="es-ES" w:eastAsia="en-US" w:bidi="ar-SA"/>
      </w:rPr>
    </w:lvl>
    <w:lvl w:ilvl="8" w:tplc="0B7265CE">
      <w:numFmt w:val="bullet"/>
      <w:lvlText w:val="•"/>
      <w:lvlJc w:val="left"/>
      <w:pPr>
        <w:ind w:left="7835" w:hanging="201"/>
      </w:pPr>
      <w:rPr>
        <w:rFonts w:hint="default"/>
        <w:lang w:val="es-ES" w:eastAsia="en-US" w:bidi="ar-SA"/>
      </w:r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8"/>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2"/>
  </w:num>
  <w:num w:numId="13" w16cid:durableId="1512908409">
    <w:abstractNumId w:val="6"/>
  </w:num>
  <w:num w:numId="14" w16cid:durableId="895897244">
    <w:abstractNumId w:val="19"/>
  </w:num>
  <w:num w:numId="15" w16cid:durableId="390349800">
    <w:abstractNumId w:val="14"/>
  </w:num>
  <w:num w:numId="16" w16cid:durableId="62115200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4311308">
    <w:abstractNumId w:val="1"/>
  </w:num>
  <w:num w:numId="18" w16cid:durableId="951009042">
    <w:abstractNumId w:val="20"/>
  </w:num>
  <w:num w:numId="19" w16cid:durableId="1375736088">
    <w:abstractNumId w:val="15"/>
  </w:num>
  <w:num w:numId="20" w16cid:durableId="1049188393">
    <w:abstractNumId w:val="0"/>
  </w:num>
  <w:num w:numId="21" w16cid:durableId="1504280040">
    <w:abstractNumId w:val="4"/>
  </w:num>
  <w:num w:numId="22" w16cid:durableId="1607736252">
    <w:abstractNumId w:val="10"/>
  </w:num>
  <w:num w:numId="23" w16cid:durableId="2130854354">
    <w:abstractNumId w:val="21"/>
  </w:num>
  <w:num w:numId="24" w16cid:durableId="460000533">
    <w:abstractNumId w:val="5"/>
  </w:num>
  <w:num w:numId="25" w16cid:durableId="18974703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825"/>
    <w:rsid w:val="00016F78"/>
    <w:rsid w:val="00044D1C"/>
    <w:rsid w:val="00046945"/>
    <w:rsid w:val="00061B2A"/>
    <w:rsid w:val="00082362"/>
    <w:rsid w:val="000A683E"/>
    <w:rsid w:val="000B19B9"/>
    <w:rsid w:val="000C1E74"/>
    <w:rsid w:val="000D0334"/>
    <w:rsid w:val="000D2DD7"/>
    <w:rsid w:val="000E14E5"/>
    <w:rsid w:val="000F476B"/>
    <w:rsid w:val="000F6486"/>
    <w:rsid w:val="000F7EAD"/>
    <w:rsid w:val="00125105"/>
    <w:rsid w:val="00127233"/>
    <w:rsid w:val="001423E1"/>
    <w:rsid w:val="001511A0"/>
    <w:rsid w:val="00162ABE"/>
    <w:rsid w:val="00163285"/>
    <w:rsid w:val="00176F8E"/>
    <w:rsid w:val="0018620A"/>
    <w:rsid w:val="00193CAD"/>
    <w:rsid w:val="001E4177"/>
    <w:rsid w:val="001F779C"/>
    <w:rsid w:val="001F7DC6"/>
    <w:rsid w:val="00235171"/>
    <w:rsid w:val="002421BB"/>
    <w:rsid w:val="00244ADE"/>
    <w:rsid w:val="0025796E"/>
    <w:rsid w:val="002707A2"/>
    <w:rsid w:val="002951A0"/>
    <w:rsid w:val="00295CBC"/>
    <w:rsid w:val="002962BC"/>
    <w:rsid w:val="002A093D"/>
    <w:rsid w:val="002A0DD0"/>
    <w:rsid w:val="002A49AC"/>
    <w:rsid w:val="002A64FD"/>
    <w:rsid w:val="002C0CDC"/>
    <w:rsid w:val="002C7A84"/>
    <w:rsid w:val="002D5537"/>
    <w:rsid w:val="002E4FD9"/>
    <w:rsid w:val="002F6F22"/>
    <w:rsid w:val="00316314"/>
    <w:rsid w:val="00322A85"/>
    <w:rsid w:val="00324168"/>
    <w:rsid w:val="003448F4"/>
    <w:rsid w:val="00367D34"/>
    <w:rsid w:val="00374F5E"/>
    <w:rsid w:val="00377E3E"/>
    <w:rsid w:val="00386702"/>
    <w:rsid w:val="00397EC1"/>
    <w:rsid w:val="003A779E"/>
    <w:rsid w:val="003C4DDD"/>
    <w:rsid w:val="003D0F4D"/>
    <w:rsid w:val="003D5B0D"/>
    <w:rsid w:val="003E0499"/>
    <w:rsid w:val="003F3941"/>
    <w:rsid w:val="00403130"/>
    <w:rsid w:val="00406575"/>
    <w:rsid w:val="00413795"/>
    <w:rsid w:val="00414C74"/>
    <w:rsid w:val="00423815"/>
    <w:rsid w:val="0042722E"/>
    <w:rsid w:val="00442F84"/>
    <w:rsid w:val="0044528D"/>
    <w:rsid w:val="004A1847"/>
    <w:rsid w:val="004A305D"/>
    <w:rsid w:val="004F21C4"/>
    <w:rsid w:val="004F685F"/>
    <w:rsid w:val="004F7BB6"/>
    <w:rsid w:val="00510985"/>
    <w:rsid w:val="00532503"/>
    <w:rsid w:val="005566E8"/>
    <w:rsid w:val="00574867"/>
    <w:rsid w:val="00591460"/>
    <w:rsid w:val="005A3ADF"/>
    <w:rsid w:val="005B129C"/>
    <w:rsid w:val="005B3816"/>
    <w:rsid w:val="005C3777"/>
    <w:rsid w:val="005C5CDC"/>
    <w:rsid w:val="005D4626"/>
    <w:rsid w:val="005D476C"/>
    <w:rsid w:val="005F37F2"/>
    <w:rsid w:val="00607B68"/>
    <w:rsid w:val="006219F8"/>
    <w:rsid w:val="00665D70"/>
    <w:rsid w:val="006900D9"/>
    <w:rsid w:val="006A307C"/>
    <w:rsid w:val="006B4E1F"/>
    <w:rsid w:val="006C7CEA"/>
    <w:rsid w:val="006E778F"/>
    <w:rsid w:val="006F2001"/>
    <w:rsid w:val="00706C16"/>
    <w:rsid w:val="0072683F"/>
    <w:rsid w:val="00756841"/>
    <w:rsid w:val="007649AB"/>
    <w:rsid w:val="00771D0C"/>
    <w:rsid w:val="007833AC"/>
    <w:rsid w:val="007B268C"/>
    <w:rsid w:val="007B7171"/>
    <w:rsid w:val="007C0C0F"/>
    <w:rsid w:val="007C3DC2"/>
    <w:rsid w:val="007E5497"/>
    <w:rsid w:val="007F7D44"/>
    <w:rsid w:val="00806F5F"/>
    <w:rsid w:val="00820278"/>
    <w:rsid w:val="008502FE"/>
    <w:rsid w:val="00860C80"/>
    <w:rsid w:val="0086799D"/>
    <w:rsid w:val="00867F95"/>
    <w:rsid w:val="008843B6"/>
    <w:rsid w:val="00887CEC"/>
    <w:rsid w:val="00891928"/>
    <w:rsid w:val="008A446D"/>
    <w:rsid w:val="008D180B"/>
    <w:rsid w:val="008D3645"/>
    <w:rsid w:val="008F0EA7"/>
    <w:rsid w:val="00913A83"/>
    <w:rsid w:val="00923EEF"/>
    <w:rsid w:val="009263AA"/>
    <w:rsid w:val="009419F9"/>
    <w:rsid w:val="0095685E"/>
    <w:rsid w:val="00961B09"/>
    <w:rsid w:val="00965334"/>
    <w:rsid w:val="0097093E"/>
    <w:rsid w:val="009731BA"/>
    <w:rsid w:val="00986AC5"/>
    <w:rsid w:val="009A0DFA"/>
    <w:rsid w:val="009B2D26"/>
    <w:rsid w:val="009C71FA"/>
    <w:rsid w:val="009C72E7"/>
    <w:rsid w:val="009D3058"/>
    <w:rsid w:val="009F3A13"/>
    <w:rsid w:val="00A04CDB"/>
    <w:rsid w:val="00A122D3"/>
    <w:rsid w:val="00A17F13"/>
    <w:rsid w:val="00A20739"/>
    <w:rsid w:val="00A33C78"/>
    <w:rsid w:val="00A662A1"/>
    <w:rsid w:val="00A91CF3"/>
    <w:rsid w:val="00AA32C5"/>
    <w:rsid w:val="00AB0ADB"/>
    <w:rsid w:val="00AB6BD0"/>
    <w:rsid w:val="00AF6695"/>
    <w:rsid w:val="00B01B1A"/>
    <w:rsid w:val="00B06073"/>
    <w:rsid w:val="00B10D0A"/>
    <w:rsid w:val="00B22BD7"/>
    <w:rsid w:val="00B40BEA"/>
    <w:rsid w:val="00B47CEE"/>
    <w:rsid w:val="00B52F4E"/>
    <w:rsid w:val="00B66319"/>
    <w:rsid w:val="00B70061"/>
    <w:rsid w:val="00B72CD3"/>
    <w:rsid w:val="00B72FFF"/>
    <w:rsid w:val="00B8585F"/>
    <w:rsid w:val="00BA0A27"/>
    <w:rsid w:val="00BC3D36"/>
    <w:rsid w:val="00BC7511"/>
    <w:rsid w:val="00BD6BD1"/>
    <w:rsid w:val="00BD7F72"/>
    <w:rsid w:val="00BE65BB"/>
    <w:rsid w:val="00C04FB3"/>
    <w:rsid w:val="00C06A35"/>
    <w:rsid w:val="00C0703F"/>
    <w:rsid w:val="00C105DC"/>
    <w:rsid w:val="00C330EB"/>
    <w:rsid w:val="00C41061"/>
    <w:rsid w:val="00C438E0"/>
    <w:rsid w:val="00C754BE"/>
    <w:rsid w:val="00C75F43"/>
    <w:rsid w:val="00C76B1C"/>
    <w:rsid w:val="00C919F7"/>
    <w:rsid w:val="00CB6357"/>
    <w:rsid w:val="00CC1B26"/>
    <w:rsid w:val="00D36A6B"/>
    <w:rsid w:val="00D423A2"/>
    <w:rsid w:val="00D520D8"/>
    <w:rsid w:val="00D63AC2"/>
    <w:rsid w:val="00D649F2"/>
    <w:rsid w:val="00D71224"/>
    <w:rsid w:val="00D7383B"/>
    <w:rsid w:val="00D83BBC"/>
    <w:rsid w:val="00D865A5"/>
    <w:rsid w:val="00D90554"/>
    <w:rsid w:val="00DA231B"/>
    <w:rsid w:val="00DC2018"/>
    <w:rsid w:val="00DC39FC"/>
    <w:rsid w:val="00DD22A7"/>
    <w:rsid w:val="00DF5254"/>
    <w:rsid w:val="00E12A72"/>
    <w:rsid w:val="00E1495A"/>
    <w:rsid w:val="00E16408"/>
    <w:rsid w:val="00E20894"/>
    <w:rsid w:val="00E245AB"/>
    <w:rsid w:val="00E2764C"/>
    <w:rsid w:val="00E27F2E"/>
    <w:rsid w:val="00E50AFE"/>
    <w:rsid w:val="00E55411"/>
    <w:rsid w:val="00E56AF4"/>
    <w:rsid w:val="00E75C92"/>
    <w:rsid w:val="00E771DC"/>
    <w:rsid w:val="00E83915"/>
    <w:rsid w:val="00E8772A"/>
    <w:rsid w:val="00E90267"/>
    <w:rsid w:val="00E90F6B"/>
    <w:rsid w:val="00E92C27"/>
    <w:rsid w:val="00E97A16"/>
    <w:rsid w:val="00EA0E3D"/>
    <w:rsid w:val="00EC38A7"/>
    <w:rsid w:val="00ED3A3E"/>
    <w:rsid w:val="00ED7384"/>
    <w:rsid w:val="00EE1AA8"/>
    <w:rsid w:val="00EF1868"/>
    <w:rsid w:val="00F01D83"/>
    <w:rsid w:val="00F30647"/>
    <w:rsid w:val="00F31EDC"/>
    <w:rsid w:val="00F35387"/>
    <w:rsid w:val="00F41E62"/>
    <w:rsid w:val="00F462B3"/>
    <w:rsid w:val="00F5664F"/>
    <w:rsid w:val="00F666C4"/>
    <w:rsid w:val="00F725E0"/>
    <w:rsid w:val="00F76AFC"/>
    <w:rsid w:val="00F80DD4"/>
    <w:rsid w:val="00F919BF"/>
    <w:rsid w:val="00F92832"/>
    <w:rsid w:val="00FA47C0"/>
    <w:rsid w:val="00FB5DD1"/>
    <w:rsid w:val="00FC2B5D"/>
    <w:rsid w:val="00FF1449"/>
    <w:rsid w:val="1FE06CE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B10D0A"/>
    <w:pPr>
      <w:widowControl w:val="0"/>
      <w:autoSpaceDE w:val="0"/>
      <w:autoSpaceDN w:val="0"/>
      <w:spacing w:after="0" w:line="240" w:lineRule="auto"/>
      <w:ind w:left="385" w:hanging="285"/>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67D3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67D34"/>
    <w:rPr>
      <w:rFonts w:ascii="Geomanist Light" w:hAnsi="Geomanist Light"/>
      <w:lang w:val="es-ES"/>
    </w:rPr>
  </w:style>
  <w:style w:type="paragraph" w:styleId="Textoindependiente">
    <w:name w:val="Body Text"/>
    <w:basedOn w:val="Normal"/>
    <w:link w:val="TextoindependienteCar"/>
    <w:uiPriority w:val="1"/>
    <w:qFormat/>
    <w:rsid w:val="00367D3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367D34"/>
    <w:rPr>
      <w:rFonts w:ascii="Arial" w:eastAsia="Arial" w:hAnsi="Arial" w:cs="Arial"/>
      <w:lang w:val="es-ES"/>
    </w:rPr>
  </w:style>
  <w:style w:type="character" w:customStyle="1" w:styleId="NormalWebCar">
    <w:name w:val="Normal (Web) Car"/>
    <w:link w:val="NormalWeb"/>
    <w:uiPriority w:val="99"/>
    <w:rsid w:val="00367D34"/>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367D34"/>
    <w:rPr>
      <w:b/>
      <w:bCs/>
    </w:rPr>
  </w:style>
  <w:style w:type="character" w:customStyle="1" w:styleId="Ttulo1Car">
    <w:name w:val="Título 1 Car"/>
    <w:basedOn w:val="Fuentedeprrafopredeter"/>
    <w:link w:val="Ttulo1"/>
    <w:uiPriority w:val="9"/>
    <w:rsid w:val="00B10D0A"/>
    <w:rPr>
      <w:rFonts w:ascii="Verdana" w:eastAsia="Verdana" w:hAnsi="Verdana" w:cs="Verdana"/>
      <w:b/>
      <w:bCs/>
      <w:lang w:val="es-ES"/>
    </w:rPr>
  </w:style>
  <w:style w:type="table" w:customStyle="1" w:styleId="TableNormal">
    <w:name w:val="Table Normal"/>
    <w:uiPriority w:val="2"/>
    <w:semiHidden/>
    <w:unhideWhenUsed/>
    <w:qFormat/>
    <w:rsid w:val="00B10D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0D0A"/>
    <w:pPr>
      <w:widowControl w:val="0"/>
      <w:autoSpaceDE w:val="0"/>
      <w:autoSpaceDN w:val="0"/>
      <w:spacing w:after="0" w:line="240" w:lineRule="auto"/>
    </w:pPr>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298080">
      <w:bodyDiv w:val="1"/>
      <w:marLeft w:val="0"/>
      <w:marRight w:val="0"/>
      <w:marTop w:val="0"/>
      <w:marBottom w:val="0"/>
      <w:divBdr>
        <w:top w:val="none" w:sz="0" w:space="0" w:color="auto"/>
        <w:left w:val="none" w:sz="0" w:space="0" w:color="auto"/>
        <w:bottom w:val="none" w:sz="0" w:space="0" w:color="auto"/>
        <w:right w:val="none" w:sz="0" w:space="0" w:color="auto"/>
      </w:divBdr>
    </w:div>
    <w:div w:id="135226910">
      <w:bodyDiv w:val="1"/>
      <w:marLeft w:val="0"/>
      <w:marRight w:val="0"/>
      <w:marTop w:val="0"/>
      <w:marBottom w:val="0"/>
      <w:divBdr>
        <w:top w:val="none" w:sz="0" w:space="0" w:color="auto"/>
        <w:left w:val="none" w:sz="0" w:space="0" w:color="auto"/>
        <w:bottom w:val="none" w:sz="0" w:space="0" w:color="auto"/>
        <w:right w:val="none" w:sz="0" w:space="0" w:color="auto"/>
      </w:divBdr>
      <w:divsChild>
        <w:div w:id="848521544">
          <w:marLeft w:val="0"/>
          <w:marRight w:val="0"/>
          <w:marTop w:val="0"/>
          <w:marBottom w:val="0"/>
          <w:divBdr>
            <w:top w:val="none" w:sz="0" w:space="0" w:color="auto"/>
            <w:left w:val="none" w:sz="0" w:space="0" w:color="auto"/>
            <w:bottom w:val="none" w:sz="0" w:space="0" w:color="auto"/>
            <w:right w:val="none" w:sz="0" w:space="0" w:color="auto"/>
          </w:divBdr>
          <w:divsChild>
            <w:div w:id="268124269">
              <w:marLeft w:val="60"/>
              <w:marRight w:val="0"/>
              <w:marTop w:val="0"/>
              <w:marBottom w:val="60"/>
              <w:divBdr>
                <w:top w:val="none" w:sz="0" w:space="0" w:color="auto"/>
                <w:left w:val="none" w:sz="0" w:space="0" w:color="auto"/>
                <w:bottom w:val="none" w:sz="0" w:space="0" w:color="auto"/>
                <w:right w:val="none" w:sz="0" w:space="0" w:color="auto"/>
              </w:divBdr>
              <w:divsChild>
                <w:div w:id="1525706190">
                  <w:marLeft w:val="0"/>
                  <w:marRight w:val="0"/>
                  <w:marTop w:val="0"/>
                  <w:marBottom w:val="0"/>
                  <w:divBdr>
                    <w:top w:val="none" w:sz="0" w:space="0" w:color="auto"/>
                    <w:left w:val="none" w:sz="0" w:space="0" w:color="auto"/>
                    <w:bottom w:val="none" w:sz="0" w:space="0" w:color="auto"/>
                    <w:right w:val="none" w:sz="0" w:space="0" w:color="auto"/>
                  </w:divBdr>
                  <w:divsChild>
                    <w:div w:id="132508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26981">
          <w:marLeft w:val="0"/>
          <w:marRight w:val="0"/>
          <w:marTop w:val="0"/>
          <w:marBottom w:val="0"/>
          <w:divBdr>
            <w:top w:val="none" w:sz="0" w:space="0" w:color="auto"/>
            <w:left w:val="none" w:sz="0" w:space="0" w:color="auto"/>
            <w:bottom w:val="none" w:sz="0" w:space="0" w:color="auto"/>
            <w:right w:val="none" w:sz="0" w:space="0" w:color="auto"/>
          </w:divBdr>
          <w:divsChild>
            <w:div w:id="905576632">
              <w:marLeft w:val="0"/>
              <w:marRight w:val="0"/>
              <w:marTop w:val="0"/>
              <w:marBottom w:val="0"/>
              <w:divBdr>
                <w:top w:val="none" w:sz="0" w:space="0" w:color="auto"/>
                <w:left w:val="none" w:sz="0" w:space="0" w:color="auto"/>
                <w:bottom w:val="none" w:sz="0" w:space="0" w:color="auto"/>
                <w:right w:val="none" w:sz="0" w:space="0" w:color="auto"/>
              </w:divBdr>
              <w:divsChild>
                <w:div w:id="1095784055">
                  <w:marLeft w:val="0"/>
                  <w:marRight w:val="0"/>
                  <w:marTop w:val="0"/>
                  <w:marBottom w:val="0"/>
                  <w:divBdr>
                    <w:top w:val="none" w:sz="0" w:space="0" w:color="auto"/>
                    <w:left w:val="none" w:sz="0" w:space="0" w:color="auto"/>
                    <w:bottom w:val="none" w:sz="0" w:space="0" w:color="auto"/>
                    <w:right w:val="none" w:sz="0" w:space="0" w:color="auto"/>
                  </w:divBdr>
                  <w:divsChild>
                    <w:div w:id="794056832">
                      <w:marLeft w:val="0"/>
                      <w:marRight w:val="0"/>
                      <w:marTop w:val="0"/>
                      <w:marBottom w:val="0"/>
                      <w:divBdr>
                        <w:top w:val="none" w:sz="0" w:space="0" w:color="auto"/>
                        <w:left w:val="none" w:sz="0" w:space="0" w:color="auto"/>
                        <w:bottom w:val="none" w:sz="0" w:space="0" w:color="auto"/>
                        <w:right w:val="none" w:sz="0" w:space="0" w:color="auto"/>
                      </w:divBdr>
                      <w:divsChild>
                        <w:div w:id="67006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2407">
                  <w:marLeft w:val="0"/>
                  <w:marRight w:val="0"/>
                  <w:marTop w:val="0"/>
                  <w:marBottom w:val="0"/>
                  <w:divBdr>
                    <w:top w:val="none" w:sz="0" w:space="0" w:color="auto"/>
                    <w:left w:val="none" w:sz="0" w:space="0" w:color="auto"/>
                    <w:bottom w:val="none" w:sz="0" w:space="0" w:color="auto"/>
                    <w:right w:val="none" w:sz="0" w:space="0" w:color="auto"/>
                  </w:divBdr>
                  <w:divsChild>
                    <w:div w:id="791287563">
                      <w:marLeft w:val="0"/>
                      <w:marRight w:val="0"/>
                      <w:marTop w:val="0"/>
                      <w:marBottom w:val="0"/>
                      <w:divBdr>
                        <w:top w:val="none" w:sz="0" w:space="0" w:color="auto"/>
                        <w:left w:val="none" w:sz="0" w:space="0" w:color="auto"/>
                        <w:bottom w:val="none" w:sz="0" w:space="0" w:color="auto"/>
                        <w:right w:val="none" w:sz="0" w:space="0" w:color="auto"/>
                      </w:divBdr>
                    </w:div>
                  </w:divsChild>
                </w:div>
                <w:div w:id="1305046411">
                  <w:marLeft w:val="0"/>
                  <w:marRight w:val="0"/>
                  <w:marTop w:val="0"/>
                  <w:marBottom w:val="0"/>
                  <w:divBdr>
                    <w:top w:val="none" w:sz="0" w:space="0" w:color="auto"/>
                    <w:left w:val="none" w:sz="0" w:space="0" w:color="auto"/>
                    <w:bottom w:val="none" w:sz="0" w:space="0" w:color="auto"/>
                    <w:right w:val="none" w:sz="0" w:space="0" w:color="auto"/>
                  </w:divBdr>
                  <w:divsChild>
                    <w:div w:id="973213872">
                      <w:marLeft w:val="0"/>
                      <w:marRight w:val="0"/>
                      <w:marTop w:val="0"/>
                      <w:marBottom w:val="0"/>
                      <w:divBdr>
                        <w:top w:val="none" w:sz="0" w:space="0" w:color="auto"/>
                        <w:left w:val="none" w:sz="0" w:space="0" w:color="auto"/>
                        <w:bottom w:val="none" w:sz="0" w:space="0" w:color="auto"/>
                        <w:right w:val="none" w:sz="0" w:space="0" w:color="auto"/>
                      </w:divBdr>
                    </w:div>
                  </w:divsChild>
                </w:div>
                <w:div w:id="77138375">
                  <w:marLeft w:val="0"/>
                  <w:marRight w:val="0"/>
                  <w:marTop w:val="0"/>
                  <w:marBottom w:val="0"/>
                  <w:divBdr>
                    <w:top w:val="none" w:sz="0" w:space="0" w:color="auto"/>
                    <w:left w:val="none" w:sz="0" w:space="0" w:color="auto"/>
                    <w:bottom w:val="none" w:sz="0" w:space="0" w:color="auto"/>
                    <w:right w:val="none" w:sz="0" w:space="0" w:color="auto"/>
                  </w:divBdr>
                  <w:divsChild>
                    <w:div w:id="654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888050">
      <w:bodyDiv w:val="1"/>
      <w:marLeft w:val="0"/>
      <w:marRight w:val="0"/>
      <w:marTop w:val="0"/>
      <w:marBottom w:val="0"/>
      <w:divBdr>
        <w:top w:val="none" w:sz="0" w:space="0" w:color="auto"/>
        <w:left w:val="none" w:sz="0" w:space="0" w:color="auto"/>
        <w:bottom w:val="none" w:sz="0" w:space="0" w:color="auto"/>
        <w:right w:val="none" w:sz="0" w:space="0" w:color="auto"/>
      </w:divBdr>
    </w:div>
    <w:div w:id="602955862">
      <w:bodyDiv w:val="1"/>
      <w:marLeft w:val="0"/>
      <w:marRight w:val="0"/>
      <w:marTop w:val="0"/>
      <w:marBottom w:val="0"/>
      <w:divBdr>
        <w:top w:val="none" w:sz="0" w:space="0" w:color="auto"/>
        <w:left w:val="none" w:sz="0" w:space="0" w:color="auto"/>
        <w:bottom w:val="none" w:sz="0" w:space="0" w:color="auto"/>
        <w:right w:val="none" w:sz="0" w:space="0" w:color="auto"/>
      </w:divBdr>
      <w:divsChild>
        <w:div w:id="1007950135">
          <w:marLeft w:val="0"/>
          <w:marRight w:val="0"/>
          <w:marTop w:val="0"/>
          <w:marBottom w:val="0"/>
          <w:divBdr>
            <w:top w:val="none" w:sz="0" w:space="0" w:color="auto"/>
            <w:left w:val="none" w:sz="0" w:space="0" w:color="auto"/>
            <w:bottom w:val="none" w:sz="0" w:space="0" w:color="auto"/>
            <w:right w:val="none" w:sz="0" w:space="0" w:color="auto"/>
          </w:divBdr>
          <w:divsChild>
            <w:div w:id="326445320">
              <w:marLeft w:val="60"/>
              <w:marRight w:val="0"/>
              <w:marTop w:val="0"/>
              <w:marBottom w:val="60"/>
              <w:divBdr>
                <w:top w:val="none" w:sz="0" w:space="0" w:color="auto"/>
                <w:left w:val="none" w:sz="0" w:space="0" w:color="auto"/>
                <w:bottom w:val="none" w:sz="0" w:space="0" w:color="auto"/>
                <w:right w:val="none" w:sz="0" w:space="0" w:color="auto"/>
              </w:divBdr>
              <w:divsChild>
                <w:div w:id="1181549248">
                  <w:marLeft w:val="0"/>
                  <w:marRight w:val="0"/>
                  <w:marTop w:val="0"/>
                  <w:marBottom w:val="0"/>
                  <w:divBdr>
                    <w:top w:val="none" w:sz="0" w:space="0" w:color="auto"/>
                    <w:left w:val="none" w:sz="0" w:space="0" w:color="auto"/>
                    <w:bottom w:val="none" w:sz="0" w:space="0" w:color="auto"/>
                    <w:right w:val="none" w:sz="0" w:space="0" w:color="auto"/>
                  </w:divBdr>
                  <w:divsChild>
                    <w:div w:id="9679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362890">
          <w:marLeft w:val="0"/>
          <w:marRight w:val="0"/>
          <w:marTop w:val="0"/>
          <w:marBottom w:val="0"/>
          <w:divBdr>
            <w:top w:val="none" w:sz="0" w:space="0" w:color="auto"/>
            <w:left w:val="none" w:sz="0" w:space="0" w:color="auto"/>
            <w:bottom w:val="none" w:sz="0" w:space="0" w:color="auto"/>
            <w:right w:val="none" w:sz="0" w:space="0" w:color="auto"/>
          </w:divBdr>
          <w:divsChild>
            <w:div w:id="713848104">
              <w:marLeft w:val="0"/>
              <w:marRight w:val="0"/>
              <w:marTop w:val="0"/>
              <w:marBottom w:val="0"/>
              <w:divBdr>
                <w:top w:val="none" w:sz="0" w:space="0" w:color="auto"/>
                <w:left w:val="none" w:sz="0" w:space="0" w:color="auto"/>
                <w:bottom w:val="none" w:sz="0" w:space="0" w:color="auto"/>
                <w:right w:val="none" w:sz="0" w:space="0" w:color="auto"/>
              </w:divBdr>
              <w:divsChild>
                <w:div w:id="166556562">
                  <w:marLeft w:val="0"/>
                  <w:marRight w:val="0"/>
                  <w:marTop w:val="0"/>
                  <w:marBottom w:val="0"/>
                  <w:divBdr>
                    <w:top w:val="none" w:sz="0" w:space="0" w:color="auto"/>
                    <w:left w:val="none" w:sz="0" w:space="0" w:color="auto"/>
                    <w:bottom w:val="none" w:sz="0" w:space="0" w:color="auto"/>
                    <w:right w:val="none" w:sz="0" w:space="0" w:color="auto"/>
                  </w:divBdr>
                  <w:divsChild>
                    <w:div w:id="1113939801">
                      <w:marLeft w:val="0"/>
                      <w:marRight w:val="0"/>
                      <w:marTop w:val="0"/>
                      <w:marBottom w:val="0"/>
                      <w:divBdr>
                        <w:top w:val="none" w:sz="0" w:space="0" w:color="auto"/>
                        <w:left w:val="none" w:sz="0" w:space="0" w:color="auto"/>
                        <w:bottom w:val="none" w:sz="0" w:space="0" w:color="auto"/>
                        <w:right w:val="none" w:sz="0" w:space="0" w:color="auto"/>
                      </w:divBdr>
                      <w:divsChild>
                        <w:div w:id="160388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6112">
                  <w:marLeft w:val="0"/>
                  <w:marRight w:val="0"/>
                  <w:marTop w:val="0"/>
                  <w:marBottom w:val="0"/>
                  <w:divBdr>
                    <w:top w:val="none" w:sz="0" w:space="0" w:color="auto"/>
                    <w:left w:val="none" w:sz="0" w:space="0" w:color="auto"/>
                    <w:bottom w:val="none" w:sz="0" w:space="0" w:color="auto"/>
                    <w:right w:val="none" w:sz="0" w:space="0" w:color="auto"/>
                  </w:divBdr>
                  <w:divsChild>
                    <w:div w:id="1643463575">
                      <w:marLeft w:val="0"/>
                      <w:marRight w:val="0"/>
                      <w:marTop w:val="0"/>
                      <w:marBottom w:val="0"/>
                      <w:divBdr>
                        <w:top w:val="none" w:sz="0" w:space="0" w:color="auto"/>
                        <w:left w:val="none" w:sz="0" w:space="0" w:color="auto"/>
                        <w:bottom w:val="none" w:sz="0" w:space="0" w:color="auto"/>
                        <w:right w:val="none" w:sz="0" w:space="0" w:color="auto"/>
                      </w:divBdr>
                    </w:div>
                  </w:divsChild>
                </w:div>
                <w:div w:id="63917243">
                  <w:marLeft w:val="0"/>
                  <w:marRight w:val="0"/>
                  <w:marTop w:val="0"/>
                  <w:marBottom w:val="0"/>
                  <w:divBdr>
                    <w:top w:val="none" w:sz="0" w:space="0" w:color="auto"/>
                    <w:left w:val="none" w:sz="0" w:space="0" w:color="auto"/>
                    <w:bottom w:val="none" w:sz="0" w:space="0" w:color="auto"/>
                    <w:right w:val="none" w:sz="0" w:space="0" w:color="auto"/>
                  </w:divBdr>
                  <w:divsChild>
                    <w:div w:id="1719476286">
                      <w:marLeft w:val="0"/>
                      <w:marRight w:val="0"/>
                      <w:marTop w:val="0"/>
                      <w:marBottom w:val="0"/>
                      <w:divBdr>
                        <w:top w:val="none" w:sz="0" w:space="0" w:color="auto"/>
                        <w:left w:val="none" w:sz="0" w:space="0" w:color="auto"/>
                        <w:bottom w:val="none" w:sz="0" w:space="0" w:color="auto"/>
                        <w:right w:val="none" w:sz="0" w:space="0" w:color="auto"/>
                      </w:divBdr>
                    </w:div>
                  </w:divsChild>
                </w:div>
                <w:div w:id="345182230">
                  <w:marLeft w:val="0"/>
                  <w:marRight w:val="0"/>
                  <w:marTop w:val="0"/>
                  <w:marBottom w:val="0"/>
                  <w:divBdr>
                    <w:top w:val="none" w:sz="0" w:space="0" w:color="auto"/>
                    <w:left w:val="none" w:sz="0" w:space="0" w:color="auto"/>
                    <w:bottom w:val="none" w:sz="0" w:space="0" w:color="auto"/>
                    <w:right w:val="none" w:sz="0" w:space="0" w:color="auto"/>
                  </w:divBdr>
                  <w:divsChild>
                    <w:div w:id="97251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082-de-2015/"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gustavo.hinestroza%40colombiacompra.gov.co%7Cb18b651bca3a4eb8eab008dd269b400d%7C7b09041e245149d08cb179d5e3d8c1be%7C0%7C0%7C638709170415366439%7CUnknown%7CTWFpbGZsb3d8eyJFbXB0eU1hcGkiOnRydWUsIlYiOiIwLjAuMDAwMCIsIlAiOiJXaW4zMiIsIkFOIjoiTWFpbCIsIldUIjoyfQ%3D%3D%7C0%7C%7C%7C&amp;sdata=wYVokjYCzH%2F8r3psRdzY%2Fp6mJktONTGKqOSkSxpbih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gustavo.hinestroza%40colombiacompra.gov.co%7Cb18b651bca3a4eb8eab008dd269b400d%7C7b09041e245149d08cb179d5e3d8c1be%7C0%7C0%7C638709170415349526%7CUnknown%7CTWFpbGZsb3d8eyJFbXB0eU1hcGkiOnRydWUsIlYiOiIwLjAuMDAwMCIsIlAiOiJXaW4zMiIsIkFOIjoiTWFpbCIsIldUIjoyfQ%3D%3D%7C0%7C%7C%7C&amp;sdata=Wafva1jUYBs0RExqjLzzsgUNJOfl0o0pW8YRpra9Y3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xis.fernandez.cardon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gustavo.hinestroza%40colombiacompra.gov.co%7Cb18b651bca3a4eb8eab008dd269b400d%7C7b09041e245149d08cb179d5e3d8c1be%7C0%7C0%7C638709170415324798%7CUnknown%7CTWFpbGZsb3d8eyJFbXB0eU1hcGkiOnRydWUsIlYiOiIwLjAuMDAwMCIsIlAiOiJXaW4zMiIsIkFOIjoiTWFpbCIsIldUIjoyfQ%3D%3D%7C0%7C%7C%7C&amp;sdata=WP6Q0MNZveD9jX5eJ4GUi2pGzerfycSBvFEJQLfh%2FBU%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garantia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A2375A5-296C-4B6B-8AA7-8A0BE7FE049C}"/>
</file>

<file path=docProps/app.xml><?xml version="1.0" encoding="utf-8"?>
<Properties xmlns="http://schemas.openxmlformats.org/officeDocument/2006/extended-properties" xmlns:vt="http://schemas.openxmlformats.org/officeDocument/2006/docPropsVTypes">
  <Template>Normal</Template>
  <TotalTime>3</TotalTime>
  <Pages>22</Pages>
  <Words>6785</Words>
  <Characters>37323</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44020</CharactersWithSpaces>
  <SharedDoc>false</SharedDoc>
  <HLinks>
    <vt:vector size="48" baseType="variant">
      <vt:variant>
        <vt:i4>2162742</vt:i4>
      </vt:variant>
      <vt:variant>
        <vt:i4>18</vt:i4>
      </vt:variant>
      <vt:variant>
        <vt:i4>0</vt:i4>
      </vt:variant>
      <vt:variant>
        <vt:i4>5</vt:i4>
      </vt:variant>
      <vt:variant>
        <vt:lpwstr>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vt:lpwstr>
      </vt:variant>
      <vt:variant>
        <vt:lpwstr/>
      </vt:variant>
      <vt:variant>
        <vt:i4>7471218</vt:i4>
      </vt:variant>
      <vt:variant>
        <vt:i4>15</vt:i4>
      </vt:variant>
      <vt:variant>
        <vt:i4>0</vt:i4>
      </vt:variant>
      <vt:variant>
        <vt:i4>5</vt:i4>
      </vt:variant>
      <vt:variant>
        <vt:lpwstr>https://relatoria.colombiacompra.gov.co/busqueda/conceptos</vt:lpwstr>
      </vt:variant>
      <vt:variant>
        <vt:lpwstr/>
      </vt:variant>
      <vt:variant>
        <vt:i4>3276916</vt:i4>
      </vt:variant>
      <vt:variant>
        <vt:i4>12</vt:i4>
      </vt:variant>
      <vt:variant>
        <vt:i4>0</vt:i4>
      </vt:variant>
      <vt:variant>
        <vt:i4>5</vt:i4>
      </vt:variant>
      <vt:variant>
        <vt:lpwstr>https://relatoria.colombiacompra.gov.co/normativa/decreto-1082-de-2015/</vt:lpwstr>
      </vt:variant>
      <vt:variant>
        <vt:lpwstr/>
      </vt:variant>
      <vt:variant>
        <vt:i4>3211372</vt:i4>
      </vt:variant>
      <vt:variant>
        <vt:i4>9</vt:i4>
      </vt:variant>
      <vt:variant>
        <vt:i4>0</vt:i4>
      </vt:variant>
      <vt:variant>
        <vt:i4>5</vt:i4>
      </vt:variant>
      <vt:variant>
        <vt:lpwstr>https://relatoria.colombiacompra.gov.co/normativa/ley-1882-de-2018/</vt:lpwstr>
      </vt:variant>
      <vt:variant>
        <vt:lpwstr/>
      </vt:variant>
      <vt:variant>
        <vt:i4>3473504</vt:i4>
      </vt:variant>
      <vt:variant>
        <vt:i4>6</vt:i4>
      </vt:variant>
      <vt:variant>
        <vt:i4>0</vt:i4>
      </vt:variant>
      <vt:variant>
        <vt:i4>5</vt:i4>
      </vt:variant>
      <vt:variant>
        <vt:lpwstr>https://relatoria.colombiacompra.gov.co/normativa/ley-1150-de-2007/</vt:lpwstr>
      </vt:variant>
      <vt:variant>
        <vt:lpwstr/>
      </vt:variant>
      <vt:variant>
        <vt:i4>589910</vt:i4>
      </vt:variant>
      <vt:variant>
        <vt:i4>3</vt:i4>
      </vt:variant>
      <vt:variant>
        <vt:i4>0</vt:i4>
      </vt:variant>
      <vt:variant>
        <vt:i4>5</vt:i4>
      </vt:variant>
      <vt:variant>
        <vt:lpwstr>https://relatoria.colombiacompra.gov.co/normativa/ley-80-de-1993/</vt:lpwstr>
      </vt:variant>
      <vt:variant>
        <vt:lpwstr/>
      </vt:variant>
      <vt:variant>
        <vt:i4>6357072</vt:i4>
      </vt:variant>
      <vt:variant>
        <vt:i4>0</vt:i4>
      </vt:variant>
      <vt:variant>
        <vt:i4>0</vt:i4>
      </vt:variant>
      <vt:variant>
        <vt:i4>5</vt:i4>
      </vt:variant>
      <vt:variant>
        <vt:lpwstr>mailto:alexis.fernandez.cardona@gmail.com</vt:lpwstr>
      </vt:variant>
      <vt:variant>
        <vt:lpwstr/>
      </vt:variant>
      <vt:variant>
        <vt:i4>851987</vt:i4>
      </vt:variant>
      <vt:variant>
        <vt:i4>0</vt:i4>
      </vt:variant>
      <vt:variant>
        <vt:i4>0</vt:i4>
      </vt:variant>
      <vt:variant>
        <vt:i4>5</vt:i4>
      </vt:variant>
      <vt:variant>
        <vt:lpwstr>https://www.colombiacompra.gov.co/sites/cce_public/files/cce_documents/cce_guia_garantias.pdf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2024-12-27T23:25:00Z</dcterms:created>
  <dcterms:modified xsi:type="dcterms:W3CDTF">2024-12-30T00:18:00Z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