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DC96C" w14:textId="77777777" w:rsidR="008B748F" w:rsidRPr="000F3931" w:rsidRDefault="008B748F" w:rsidP="008B748F">
      <w:pPr>
        <w:spacing w:after="0" w:line="240" w:lineRule="auto"/>
        <w:jc w:val="right"/>
        <w:rPr>
          <w:rFonts w:ascii="Arial" w:eastAsia="Times New Roman" w:hAnsi="Arial" w:cs="Arial"/>
          <w:sz w:val="16"/>
          <w:szCs w:val="16"/>
          <w:lang w:eastAsia="es-ES"/>
        </w:rPr>
      </w:pPr>
      <w:bookmarkStart w:id="0" w:name="_Hlk72942111"/>
      <w:bookmarkStart w:id="1" w:name="_GoBack"/>
      <w:bookmarkEnd w:id="1"/>
      <w:r w:rsidRPr="000F3931">
        <w:rPr>
          <w:rFonts w:ascii="Arial" w:eastAsia="Times New Roman" w:hAnsi="Arial" w:cs="Arial"/>
          <w:sz w:val="16"/>
          <w:szCs w:val="16"/>
          <w:lang w:eastAsia="es-ES"/>
        </w:rPr>
        <w:t>CCE-DES-FM-17</w:t>
      </w:r>
    </w:p>
    <w:p w14:paraId="5AF53B54" w14:textId="77777777" w:rsidR="008B748F" w:rsidRPr="000F3931" w:rsidRDefault="008B748F" w:rsidP="008B748F">
      <w:pPr>
        <w:spacing w:after="0" w:line="240" w:lineRule="auto"/>
        <w:jc w:val="both"/>
        <w:rPr>
          <w:rFonts w:ascii="Arial" w:eastAsia="Calibri" w:hAnsi="Arial" w:cs="Arial"/>
          <w:b/>
          <w:lang w:val="es-ES_tradnl" w:eastAsia="es-ES_tradnl"/>
        </w:rPr>
      </w:pPr>
    </w:p>
    <w:p w14:paraId="0CF1FE14" w14:textId="77777777" w:rsidR="008B748F" w:rsidRPr="000F3931" w:rsidRDefault="008B748F" w:rsidP="008B748F">
      <w:pPr>
        <w:spacing w:after="0" w:line="240" w:lineRule="auto"/>
        <w:jc w:val="both"/>
        <w:rPr>
          <w:rFonts w:ascii="Arial" w:eastAsia="Times New Roman" w:hAnsi="Arial" w:cs="Arial"/>
          <w:b/>
          <w:bCs/>
          <w:lang w:val="es-ES" w:eastAsia="es-ES_tradnl"/>
        </w:rPr>
      </w:pPr>
      <w:r w:rsidRPr="000F3931">
        <w:rPr>
          <w:rFonts w:ascii="Arial" w:eastAsia="Times New Roman" w:hAnsi="Arial" w:cs="Arial"/>
          <w:b/>
          <w:bCs/>
          <w:lang w:val="es-ES" w:eastAsia="es-ES_tradnl"/>
        </w:rPr>
        <w:t>PUEBLOS INDÍGENAS – Convenio No. 169 de la OIT – Compromisos</w:t>
      </w:r>
    </w:p>
    <w:p w14:paraId="3AAD02B5" w14:textId="77777777" w:rsidR="008B748F" w:rsidRPr="000F3931" w:rsidRDefault="008B748F" w:rsidP="008B748F">
      <w:pPr>
        <w:spacing w:after="0" w:line="240" w:lineRule="auto"/>
        <w:jc w:val="both"/>
        <w:rPr>
          <w:rFonts w:ascii="Arial" w:eastAsia="Times New Roman" w:hAnsi="Arial" w:cs="Arial"/>
          <w:sz w:val="20"/>
          <w:szCs w:val="24"/>
          <w:lang w:val="es-ES_tradnl" w:eastAsia="es-ES_tradnl"/>
        </w:rPr>
      </w:pPr>
    </w:p>
    <w:p w14:paraId="1A4DB17F" w14:textId="77777777" w:rsidR="008B748F" w:rsidRPr="000F3931" w:rsidRDefault="008B748F" w:rsidP="008B748F">
      <w:pPr>
        <w:spacing w:after="0" w:line="240" w:lineRule="auto"/>
        <w:jc w:val="both"/>
        <w:rPr>
          <w:rFonts w:ascii="Arial" w:eastAsia="Times New Roman" w:hAnsi="Arial" w:cs="Arial"/>
          <w:bCs/>
          <w:sz w:val="20"/>
          <w:szCs w:val="20"/>
          <w:lang w:val="es-ES_tradnl" w:eastAsia="es-ES"/>
        </w:rPr>
      </w:pPr>
      <w:r w:rsidRPr="000F3931">
        <w:rPr>
          <w:rFonts w:ascii="Arial" w:eastAsia="Times New Roman" w:hAnsi="Arial" w:cs="Arial"/>
          <w:sz w:val="20"/>
          <w:szCs w:val="20"/>
          <w:lang w:val="es-ES_tradnl" w:eastAsia="es-ES_tradnl"/>
        </w:rPr>
        <w:t>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Artículo 2. 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El cumplimiento de este compromiso ha requerido de la creación de un marco jurídico legal y reglamentario que permita desarrollar las acciones que se ameritan. Es esta la principal razón por la que en el ordenamiento jurídico colombiano existen múltiples disposiciones dirigidas a satisfacer en diferentes contextos derechos de los pueblos indígenas. La normativa que al efecto hoy día se encuentra vigente ha repercutido en el ámbito de la contratación pública en gran medida porque las actuaciones orientadas a la satisfacción de derechos en situaciones concretas requieren de la concertación entre las comunidades indígenas y las entidades estatales.</w:t>
      </w:r>
    </w:p>
    <w:p w14:paraId="319F2383" w14:textId="77777777" w:rsidR="008B748F" w:rsidRPr="000F3931" w:rsidRDefault="008B748F" w:rsidP="008B748F">
      <w:pPr>
        <w:spacing w:after="0" w:line="240" w:lineRule="auto"/>
        <w:jc w:val="both"/>
        <w:rPr>
          <w:rFonts w:ascii="Arial" w:eastAsia="Times New Roman" w:hAnsi="Arial" w:cs="Arial"/>
          <w:b/>
          <w:bCs/>
          <w:sz w:val="24"/>
          <w:szCs w:val="24"/>
          <w:lang w:val="es-MX" w:eastAsia="es-ES_tradnl"/>
        </w:rPr>
      </w:pPr>
    </w:p>
    <w:p w14:paraId="41223247" w14:textId="77777777" w:rsidR="008B748F" w:rsidRPr="000F3931" w:rsidRDefault="008B748F" w:rsidP="008B748F">
      <w:pPr>
        <w:spacing w:after="0" w:line="240" w:lineRule="auto"/>
        <w:jc w:val="both"/>
        <w:rPr>
          <w:rFonts w:ascii="Arial" w:eastAsia="Times New Roman" w:hAnsi="Arial" w:cs="Arial"/>
          <w:b/>
          <w:bCs/>
          <w:lang w:val="es-MX" w:eastAsia="es-ES_tradnl"/>
        </w:rPr>
      </w:pPr>
      <w:r w:rsidRPr="000F3931">
        <w:rPr>
          <w:rFonts w:ascii="Arial" w:eastAsia="Times New Roman" w:hAnsi="Arial" w:cs="Arial"/>
          <w:b/>
          <w:bCs/>
          <w:lang w:val="es-MX" w:eastAsia="es-ES_tradnl"/>
        </w:rPr>
        <w:t xml:space="preserve">RESGUARDOS Y AUTORIDADES TRADICIONALES INDIGENAS – Régimen de contratación </w:t>
      </w:r>
    </w:p>
    <w:p w14:paraId="57EFB7E4" w14:textId="77777777" w:rsidR="008B748F" w:rsidRPr="000F3931" w:rsidRDefault="008B748F" w:rsidP="008B748F">
      <w:pPr>
        <w:spacing w:after="0" w:line="240" w:lineRule="auto"/>
        <w:jc w:val="both"/>
        <w:rPr>
          <w:rFonts w:ascii="Arial" w:eastAsia="Times New Roman" w:hAnsi="Arial" w:cs="Arial"/>
          <w:b/>
          <w:bCs/>
          <w:sz w:val="24"/>
          <w:szCs w:val="24"/>
          <w:lang w:val="es-MX" w:eastAsia="es-ES_tradnl"/>
        </w:rPr>
      </w:pPr>
    </w:p>
    <w:p w14:paraId="226E8776"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i) Decreto 1088 de 1993: 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054F8759"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 xml:space="preserve"> </w:t>
      </w:r>
    </w:p>
    <w:p w14:paraId="57080DC3"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ii) Ley 1551 de 2012: Los municipios y distritos pueden celebrar convenios solidarios con cabildos, autoridades y organizaciones indígenas, para el desarrollo conjunto de programas y actividades establecidas por la Ley a los municipios y distritos, acorde con sus planes de desarrollo. Esta norma también autoriza a los municipios a celebrar convenios de uso de bienes públicos y/o de usufructo comunitario con los cabildos, autoridades y organizaciones indígenas.</w:t>
      </w:r>
    </w:p>
    <w:p w14:paraId="6B04E706"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p>
    <w:p w14:paraId="361FD4AE"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iii) Decreto 1953 de 2014: Los resguardos podrán asociarse para administrar y ejecutar los recursos de la asignación especial del SGP, siempre que acrediten los requisitos establecidos en el decreto, y son personas jurídicas de derecho público especial.</w:t>
      </w:r>
    </w:p>
    <w:p w14:paraId="7E2EE8A8"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p>
    <w:p w14:paraId="68A05FE0"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6B8B1579"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 xml:space="preserve"> </w:t>
      </w:r>
    </w:p>
    <w:p w14:paraId="51C3C1E3"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 xml:space="preserve">iv) Decreto 252 de 2020: Las asociaciones de Cabildos y/o Autoridades Tradicionales Indígenas, así como las organizaciones indígenas, pueden celebrar contratos o convenios de manera directa con las entidades </w:t>
      </w:r>
      <w:r w:rsidRPr="000F3931">
        <w:rPr>
          <w:rFonts w:ascii="Arial" w:eastAsia="Times New Roman" w:hAnsi="Arial" w:cs="Arial"/>
          <w:sz w:val="20"/>
          <w:szCs w:val="20"/>
          <w:lang w:val="es-ES" w:eastAsia="es-ES_tradnl"/>
        </w:rPr>
        <w:lastRenderedPageBreak/>
        <w:t>estatales de acuerdo con lo contemplado en el Estatuto General de Contratación de la Administración Pública.  En el caso de las organizaciones, esta posibilidad dependerá de que estén conformadas exclusivamente por Cabildos Indígenas, resguardos indígenas, asociaciones de cabildos, asociación de autoridades u otra forma de autoridad indígena propia</w:t>
      </w:r>
    </w:p>
    <w:p w14:paraId="5DF1EFEA" w14:textId="77777777" w:rsidR="008B748F" w:rsidRPr="000F3931" w:rsidRDefault="008B748F" w:rsidP="008B748F">
      <w:pPr>
        <w:spacing w:after="0" w:line="240" w:lineRule="auto"/>
        <w:jc w:val="both"/>
        <w:rPr>
          <w:rFonts w:ascii="Arial" w:eastAsia="Times New Roman" w:hAnsi="Arial" w:cs="Arial"/>
          <w:sz w:val="20"/>
          <w:szCs w:val="20"/>
          <w:lang w:val="es-MX" w:eastAsia="es-ES_tradnl"/>
        </w:rPr>
      </w:pPr>
    </w:p>
    <w:p w14:paraId="258DC4AB" w14:textId="77777777" w:rsidR="008B748F" w:rsidRPr="000F3931" w:rsidRDefault="008B748F" w:rsidP="008B748F">
      <w:pPr>
        <w:spacing w:after="0" w:line="240" w:lineRule="auto"/>
        <w:jc w:val="both"/>
        <w:rPr>
          <w:rFonts w:ascii="Arial" w:eastAsia="Times New Roman" w:hAnsi="Arial" w:cs="Arial"/>
          <w:b/>
          <w:lang w:val="es-ES_tradnl" w:eastAsia="es-ES"/>
        </w:rPr>
      </w:pPr>
      <w:r w:rsidRPr="000F3931">
        <w:rPr>
          <w:rFonts w:ascii="Arial" w:eastAsia="Times New Roman" w:hAnsi="Arial" w:cs="Arial"/>
          <w:b/>
          <w:lang w:val="es-ES_tradnl" w:eastAsia="es-ES"/>
        </w:rPr>
        <w:t xml:space="preserve">RÉGIMEN DE CONTRATACIÓN – Resguardos indígenas – Decreto 1953 de 2014 </w:t>
      </w:r>
    </w:p>
    <w:p w14:paraId="4ABE93BC" w14:textId="77777777" w:rsidR="008B748F" w:rsidRPr="000F3931" w:rsidRDefault="008B748F" w:rsidP="008B748F">
      <w:pPr>
        <w:shd w:val="clear" w:color="auto" w:fill="FFFFFF"/>
        <w:spacing w:after="0" w:line="240" w:lineRule="auto"/>
        <w:jc w:val="both"/>
        <w:rPr>
          <w:rFonts w:ascii="Arial" w:eastAsia="Times New Roman" w:hAnsi="Arial" w:cs="Arial"/>
          <w:sz w:val="20"/>
          <w:szCs w:val="20"/>
          <w:highlight w:val="yellow"/>
          <w:lang w:val="es-ES" w:eastAsia="es-ES_tradnl"/>
        </w:rPr>
      </w:pPr>
    </w:p>
    <w:p w14:paraId="0C36754E" w14:textId="77777777" w:rsidR="008B748F" w:rsidRPr="000F3931" w:rsidRDefault="008B748F" w:rsidP="008B748F">
      <w:pPr>
        <w:spacing w:after="0" w:line="240" w:lineRule="auto"/>
        <w:jc w:val="both"/>
        <w:rPr>
          <w:rFonts w:ascii="Arial" w:eastAsia="Calibri" w:hAnsi="Arial" w:cs="Arial"/>
          <w:sz w:val="21"/>
          <w:szCs w:val="21"/>
          <w:lang w:val="es-ES"/>
        </w:rPr>
      </w:pPr>
      <w:r w:rsidRPr="000F3931">
        <w:rPr>
          <w:rFonts w:ascii="Arial" w:eastAsia="Calibri" w:hAnsi="Arial" w:cs="Arial"/>
          <w:sz w:val="21"/>
          <w:szCs w:val="21"/>
          <w:lang w:val="es-ES"/>
        </w:rPr>
        <w:t>[...]</w:t>
      </w:r>
      <w:r w:rsidRPr="000F3931">
        <w:rPr>
          <w:rFonts w:ascii="Arial" w:eastAsia="Times New Roman" w:hAnsi="Arial" w:cs="Arial"/>
          <w:sz w:val="20"/>
          <w:szCs w:val="20"/>
          <w:lang w:val="es-ES" w:eastAsia="es-ES_tradnl"/>
        </w:rPr>
        <w:t xml:space="preserve">De las normas anteriormente citadas, y para efectos específicos de la consulta, se concluye que conforme al Decreto 1953 de 2014, los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w:t>
      </w:r>
    </w:p>
    <w:p w14:paraId="203EFB4B"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p>
    <w:p w14:paraId="2B3B2A70"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 xml:space="preserve">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17D7DB63"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p>
    <w:p w14:paraId="4F08307E"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 xml:space="preserve">Ahora, si bien la Ley 80 de 1993 dentro de su propio texto estableció que los territorios indígenas constituyen entidades estatales, lo cierto es que aún no hay desarrollos legislativos sobre la materia, lo que ha impedido que los mismos puedan implementarse y obrar como entidades estatales, al tenor del artículo 2 de la Ley 80 de 1993. </w:t>
      </w:r>
    </w:p>
    <w:p w14:paraId="08392F36" w14:textId="77777777" w:rsidR="008B748F" w:rsidRPr="000F3931" w:rsidRDefault="008B748F" w:rsidP="008B748F">
      <w:pPr>
        <w:shd w:val="clear" w:color="auto" w:fill="FFFFFF"/>
        <w:spacing w:after="0" w:line="240" w:lineRule="auto"/>
        <w:jc w:val="both"/>
        <w:rPr>
          <w:rFonts w:ascii="Arial" w:eastAsia="Times New Roman" w:hAnsi="Arial" w:cs="Arial"/>
          <w:sz w:val="20"/>
          <w:szCs w:val="20"/>
          <w:lang w:val="es-ES" w:eastAsia="es-ES_tradnl"/>
        </w:rPr>
      </w:pPr>
    </w:p>
    <w:p w14:paraId="14D4F181" w14:textId="77777777" w:rsidR="008B748F" w:rsidRPr="000F3931" w:rsidRDefault="008B748F" w:rsidP="008B748F">
      <w:pPr>
        <w:shd w:val="clear" w:color="auto" w:fill="FFFFFF"/>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 xml:space="preserve">Por su parte, el Decreto 1953 de 2014, al implementar de manera transitoria los territorios indígenas, además dio el tratamiento de entidades de derecho público especial a estos, a los resguardos y a las asociaciones de estos, autorizadas para administrar recursos de asignación especial del SGP, asimilándolos a entidades estatales de conformidad con el artículo 2 de la Ley 80 de 1993.    </w:t>
      </w:r>
    </w:p>
    <w:p w14:paraId="48418EE5" w14:textId="77777777" w:rsidR="008B748F" w:rsidRPr="000F3931" w:rsidRDefault="008B748F" w:rsidP="008B748F">
      <w:pPr>
        <w:shd w:val="clear" w:color="auto" w:fill="FFFFFF"/>
        <w:spacing w:after="0" w:line="240" w:lineRule="auto"/>
        <w:jc w:val="both"/>
        <w:rPr>
          <w:rFonts w:ascii="Arial" w:eastAsia="Times New Roman" w:hAnsi="Arial" w:cs="Arial"/>
          <w:sz w:val="20"/>
          <w:szCs w:val="20"/>
          <w:lang w:val="es-ES" w:eastAsia="es-ES_tradnl"/>
        </w:rPr>
      </w:pPr>
    </w:p>
    <w:p w14:paraId="1613C767" w14:textId="77777777" w:rsidR="008B748F" w:rsidRPr="000F3931" w:rsidRDefault="008B748F" w:rsidP="008B748F">
      <w:pPr>
        <w:shd w:val="clear" w:color="auto" w:fill="FFFFFF"/>
        <w:spacing w:after="0" w:line="240" w:lineRule="auto"/>
        <w:jc w:val="both"/>
        <w:rPr>
          <w:rFonts w:ascii="Arial" w:eastAsia="Calibri" w:hAnsi="Arial" w:cs="Arial"/>
          <w:sz w:val="21"/>
          <w:szCs w:val="21"/>
          <w:lang w:val="es-ES"/>
        </w:rPr>
      </w:pPr>
      <w:r w:rsidRPr="000F3931">
        <w:rPr>
          <w:rFonts w:ascii="Arial" w:eastAsia="Calibri" w:hAnsi="Arial" w:cs="Arial"/>
          <w:sz w:val="21"/>
          <w:szCs w:val="21"/>
          <w:lang w:val="es-ES"/>
        </w:rPr>
        <w:t>[...]</w:t>
      </w:r>
    </w:p>
    <w:p w14:paraId="0FD57697" w14:textId="77777777" w:rsidR="008B748F" w:rsidRPr="000F3931" w:rsidRDefault="008B748F" w:rsidP="008B748F">
      <w:pPr>
        <w:shd w:val="clear" w:color="auto" w:fill="FFFFFF"/>
        <w:spacing w:after="0" w:line="240" w:lineRule="auto"/>
        <w:jc w:val="both"/>
        <w:rPr>
          <w:rFonts w:ascii="Arial" w:eastAsia="Times New Roman" w:hAnsi="Arial" w:cs="Arial"/>
          <w:sz w:val="20"/>
          <w:szCs w:val="20"/>
          <w:lang w:val="es-ES" w:eastAsia="es-ES_tradnl"/>
        </w:rPr>
      </w:pPr>
    </w:p>
    <w:p w14:paraId="0B332CDD" w14:textId="77777777" w:rsidR="008B748F" w:rsidRPr="000F3931" w:rsidRDefault="008B748F" w:rsidP="008B748F">
      <w:pPr>
        <w:shd w:val="clear" w:color="auto" w:fill="FFFFFF"/>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 xml:space="preserve">Revisada la exposición de motivos y el articulado de la Ley 2160 de 2021 se advierte que, si bien esta norma introduce en la Ley 80 de 1993 disposiciones relacionadas con los derechos de la población indígena, de su contenido no puede inferirse que se trate de una norma tendiente a implementar las entidades territoriales indígenas haciendo cesar la omisión legislativa identificada por la jurisprudencia constitucional, conclusión que tampoco surge de la exposición de motivos de la norma. En ese sentido, la sola expedición de la Ley 2160 de 2021 no es un hecho que haya afectado la vigencia del Decreto 1953 de 2014. </w:t>
      </w:r>
    </w:p>
    <w:p w14:paraId="454CE1FE"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p>
    <w:p w14:paraId="3186A098"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r w:rsidRPr="000F3931">
        <w:rPr>
          <w:rFonts w:ascii="Arial" w:eastAsia="Times New Roman" w:hAnsi="Arial" w:cs="Arial"/>
          <w:sz w:val="20"/>
          <w:szCs w:val="20"/>
          <w:lang w:val="es-ES" w:eastAsia="es-ES_tradnl"/>
        </w:rPr>
        <w:t>En suma, se evidencia que lo prescrito en el Decreto 1953 de 2014 no fue derogado por la Ley 2160 de 2021. Por tanto, los resguardos podrán asociarse para administrar y ejecutar los recursos del SGP y dichas asociaciones serán consideradas personas jurídicas de derecho público especial. En este contexto, para los fines y la ejecución de los recursos de que trata dicho decreto, los territorios y resguardos indígenas que hayan sido autorizados para administrar este tipo de recursos serán considerados entidades estatales, de acuerdo con lo indicado en el artículo 2 de la Ley 80 de 1993.</w:t>
      </w:r>
    </w:p>
    <w:p w14:paraId="14CBC076" w14:textId="77777777" w:rsidR="008B748F" w:rsidRPr="000F3931" w:rsidRDefault="008B748F" w:rsidP="008B748F">
      <w:pPr>
        <w:spacing w:after="0" w:line="240" w:lineRule="auto"/>
        <w:jc w:val="both"/>
        <w:rPr>
          <w:rFonts w:ascii="Arial" w:eastAsia="Times New Roman" w:hAnsi="Arial" w:cs="Arial"/>
          <w:sz w:val="20"/>
          <w:szCs w:val="20"/>
          <w:lang w:val="es-ES" w:eastAsia="es-ES_tradnl"/>
        </w:rPr>
      </w:pPr>
    </w:p>
    <w:p w14:paraId="67A32F27" w14:textId="77777777" w:rsidR="008B748F" w:rsidRPr="000F3931" w:rsidRDefault="008B748F" w:rsidP="008B748F">
      <w:pPr>
        <w:spacing w:after="0" w:line="240" w:lineRule="auto"/>
        <w:jc w:val="both"/>
        <w:rPr>
          <w:rFonts w:ascii="Arial" w:eastAsia="Times New Roman" w:hAnsi="Arial" w:cs="Arial"/>
          <w:b/>
          <w:lang w:val="es-ES_tradnl" w:eastAsia="es-ES"/>
        </w:rPr>
      </w:pPr>
      <w:r w:rsidRPr="000F3931">
        <w:rPr>
          <w:rFonts w:ascii="Arial" w:eastAsia="Times New Roman" w:hAnsi="Arial" w:cs="Arial"/>
          <w:b/>
          <w:lang w:val="es-ES_tradnl" w:eastAsia="es-ES"/>
        </w:rPr>
        <w:t>PRINCIPIO DE PUBLICIDAD – Democracia – Estado social de Derecho – Fundamento axiológico</w:t>
      </w:r>
    </w:p>
    <w:p w14:paraId="7A54E586" w14:textId="77777777" w:rsidR="008B748F" w:rsidRPr="000F3931" w:rsidRDefault="008B748F" w:rsidP="008B748F">
      <w:pPr>
        <w:spacing w:after="0" w:line="240" w:lineRule="auto"/>
        <w:jc w:val="both"/>
        <w:rPr>
          <w:rFonts w:ascii="Arial" w:eastAsia="Times New Roman" w:hAnsi="Arial" w:cs="Arial"/>
          <w:noProof/>
          <w:szCs w:val="24"/>
          <w:lang w:val="es-ES_tradnl" w:eastAsia="es-ES_tradnl"/>
        </w:rPr>
      </w:pPr>
    </w:p>
    <w:p w14:paraId="25F63746" w14:textId="77777777" w:rsidR="008B748F" w:rsidRPr="000F3931" w:rsidRDefault="008B748F" w:rsidP="008B748F">
      <w:pPr>
        <w:spacing w:after="0" w:line="240" w:lineRule="auto"/>
        <w:jc w:val="both"/>
        <w:rPr>
          <w:rFonts w:ascii="Arial" w:eastAsia="Calibri" w:hAnsi="Arial" w:cs="Arial"/>
          <w:sz w:val="20"/>
          <w:szCs w:val="20"/>
          <w:lang w:val="es-ES_tradnl" w:eastAsia="es-ES_tradnl"/>
        </w:rPr>
      </w:pPr>
      <w:r w:rsidRPr="000F3931">
        <w:rPr>
          <w:rFonts w:ascii="Arial" w:eastAsia="Calibri" w:hAnsi="Arial" w:cs="Arial"/>
          <w:sz w:val="20"/>
          <w:szCs w:val="20"/>
          <w:lang w:val="es-ES_tradnl" w:eastAsia="es-ES_tradnl"/>
        </w:rPr>
        <w:t xml:space="preserve">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71B339FD" w14:textId="77777777" w:rsidR="008B748F" w:rsidRPr="000F3931" w:rsidRDefault="008B748F" w:rsidP="008B748F">
      <w:pPr>
        <w:spacing w:after="0" w:line="240" w:lineRule="auto"/>
        <w:jc w:val="both"/>
        <w:rPr>
          <w:rFonts w:ascii="Arial" w:eastAsia="Calibri" w:hAnsi="Arial" w:cs="Arial"/>
          <w:sz w:val="20"/>
          <w:szCs w:val="20"/>
          <w:lang w:val="es-ES_tradnl" w:eastAsia="es-ES_tradnl"/>
        </w:rPr>
      </w:pPr>
    </w:p>
    <w:p w14:paraId="03C49CA5" w14:textId="77777777" w:rsidR="008B748F" w:rsidRPr="000F3931" w:rsidRDefault="008B748F" w:rsidP="008B748F">
      <w:pPr>
        <w:spacing w:after="0" w:line="240" w:lineRule="auto"/>
        <w:jc w:val="both"/>
        <w:rPr>
          <w:rFonts w:ascii="Arial" w:eastAsia="Calibri" w:hAnsi="Arial" w:cs="Arial"/>
          <w:sz w:val="20"/>
          <w:szCs w:val="20"/>
          <w:lang w:val="es-ES_tradnl" w:eastAsia="es-ES_tradnl"/>
        </w:rPr>
      </w:pPr>
      <w:r w:rsidRPr="000F3931">
        <w:rPr>
          <w:rFonts w:ascii="Arial" w:eastAsia="Calibri" w:hAnsi="Arial" w:cs="Arial"/>
          <w:sz w:val="20"/>
          <w:szCs w:val="20"/>
          <w:lang w:val="es-ES_tradnl" w:eastAsia="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28BA11A0" w14:textId="77777777" w:rsidR="008B748F" w:rsidRPr="000F3931" w:rsidRDefault="008B748F" w:rsidP="008B748F">
      <w:pPr>
        <w:spacing w:after="0" w:line="240" w:lineRule="auto"/>
        <w:jc w:val="both"/>
        <w:rPr>
          <w:rFonts w:ascii="Arial" w:eastAsia="Times New Roman" w:hAnsi="Arial" w:cs="Arial"/>
          <w:sz w:val="20"/>
          <w:szCs w:val="20"/>
          <w:lang w:val="es-ES_tradnl" w:eastAsia="es-ES"/>
        </w:rPr>
      </w:pPr>
    </w:p>
    <w:p w14:paraId="0542FCFF" w14:textId="77777777" w:rsidR="008B748F" w:rsidRPr="000F3931" w:rsidRDefault="008B748F" w:rsidP="008B748F">
      <w:pPr>
        <w:spacing w:after="0" w:line="240" w:lineRule="auto"/>
        <w:jc w:val="both"/>
        <w:rPr>
          <w:rFonts w:ascii="Arial" w:eastAsia="Times New Roman" w:hAnsi="Arial" w:cs="Arial"/>
          <w:b/>
          <w:lang w:val="es-ES_tradnl" w:eastAsia="es-ES"/>
        </w:rPr>
      </w:pPr>
      <w:r w:rsidRPr="000F3931">
        <w:rPr>
          <w:rFonts w:ascii="Arial" w:eastAsia="Times New Roman" w:hAnsi="Arial" w:cs="Arial"/>
          <w:b/>
          <w:lang w:val="es-ES_tradnl" w:eastAsia="es-ES"/>
        </w:rPr>
        <w:t>SECOP – Ejecución de recursos públicos</w:t>
      </w:r>
    </w:p>
    <w:p w14:paraId="75F07C41" w14:textId="77777777" w:rsidR="008B748F" w:rsidRPr="000F3931" w:rsidRDefault="008B748F" w:rsidP="008B748F">
      <w:pPr>
        <w:spacing w:after="0" w:line="240" w:lineRule="auto"/>
        <w:jc w:val="both"/>
        <w:rPr>
          <w:rFonts w:ascii="Arial" w:eastAsia="Times New Roman" w:hAnsi="Arial" w:cs="Arial"/>
          <w:sz w:val="20"/>
          <w:szCs w:val="20"/>
          <w:lang w:val="es-ES_tradnl" w:eastAsia="es-ES"/>
        </w:rPr>
      </w:pPr>
    </w:p>
    <w:p w14:paraId="25DBBD9B" w14:textId="77777777" w:rsidR="008B748F" w:rsidRPr="000F3931" w:rsidRDefault="008B748F" w:rsidP="008B748F">
      <w:pPr>
        <w:spacing w:after="0" w:line="240" w:lineRule="auto"/>
        <w:jc w:val="both"/>
        <w:rPr>
          <w:rFonts w:ascii="Arial" w:eastAsia="Times New Roman" w:hAnsi="Arial" w:cs="Arial"/>
          <w:sz w:val="20"/>
          <w:szCs w:val="20"/>
          <w:lang w:val="es-ES_tradnl" w:eastAsia="es-ES_tradnl"/>
        </w:rPr>
      </w:pPr>
      <w:r w:rsidRPr="000F3931">
        <w:rPr>
          <w:rFonts w:ascii="Arial" w:eastAsia="Times New Roman" w:hAnsi="Arial" w:cs="Arial"/>
          <w:sz w:val="20"/>
          <w:szCs w:val="20"/>
          <w:lang w:val="es-ES_tradnl" w:eastAsia="es-ES_tradnl"/>
        </w:rPr>
        <w:t>[…] el deber de publicar en el SECOP se fundamenta en una idea general, esto es, que se debe publicar toda actividad contractual en la que se ejecuten recursos públicos, con independencia de la naturaleza jurídica de la entidad contratante, de su régimen contractual, incluso, sin importar la tipología del contrato a celebrar. Igualmente, este deber debe hacerse efectivo en el SECOP I o en el SECOP II, dependiendo de cada caso.</w:t>
      </w:r>
    </w:p>
    <w:p w14:paraId="7A059DAD" w14:textId="77777777" w:rsidR="008B748F" w:rsidRPr="000F3931" w:rsidRDefault="008B748F" w:rsidP="008B748F">
      <w:pPr>
        <w:spacing w:after="0" w:line="240" w:lineRule="auto"/>
        <w:ind w:firstLine="709"/>
        <w:jc w:val="both"/>
        <w:rPr>
          <w:rFonts w:ascii="Arial" w:eastAsia="Times New Roman" w:hAnsi="Arial" w:cs="Arial"/>
          <w:sz w:val="20"/>
          <w:szCs w:val="20"/>
          <w:highlight w:val="yellow"/>
          <w:lang w:val="es-ES_tradnl" w:eastAsia="es-ES_tradnl"/>
        </w:rPr>
      </w:pPr>
    </w:p>
    <w:p w14:paraId="447EE2CB" w14:textId="77777777" w:rsidR="008B748F" w:rsidRPr="000F3931" w:rsidRDefault="008B748F" w:rsidP="008B748F">
      <w:pPr>
        <w:spacing w:after="0" w:line="240" w:lineRule="auto"/>
        <w:rPr>
          <w:rFonts w:ascii="Arial" w:eastAsia="Calibri" w:hAnsi="Arial" w:cs="Arial"/>
          <w:b/>
          <w:bCs/>
          <w:color w:val="000000" w:themeColor="text1"/>
          <w:szCs w:val="24"/>
          <w:lang w:val="es-ES" w:eastAsia="es-ES_tradnl"/>
        </w:rPr>
      </w:pPr>
      <w:r w:rsidRPr="000F3931">
        <w:rPr>
          <w:rFonts w:ascii="Arial" w:eastAsia="Calibri" w:hAnsi="Arial" w:cs="Arial"/>
          <w:b/>
          <w:bCs/>
          <w:color w:val="000000" w:themeColor="text1"/>
          <w:szCs w:val="24"/>
          <w:lang w:val="es-ES" w:eastAsia="es-ES_tradnl"/>
        </w:rPr>
        <w:t xml:space="preserve">CONSORCIOS Y UNIONES TEMPORALES – Concepto – Capacidad jurídica – Resguardos Indígenas </w:t>
      </w:r>
    </w:p>
    <w:p w14:paraId="52CF63C8" w14:textId="77777777" w:rsidR="008B748F" w:rsidRPr="000F3931" w:rsidRDefault="008B748F" w:rsidP="008B748F">
      <w:pPr>
        <w:tabs>
          <w:tab w:val="left" w:pos="0"/>
        </w:tabs>
        <w:spacing w:after="0" w:line="240" w:lineRule="auto"/>
        <w:rPr>
          <w:rFonts w:ascii="Arial" w:eastAsia="Calibri" w:hAnsi="Arial" w:cs="Arial"/>
          <w:bCs/>
          <w:color w:val="000000"/>
          <w:szCs w:val="24"/>
          <w:lang w:val="es-ES" w:eastAsia="es-ES_tradnl" w:bidi="es-ES"/>
        </w:rPr>
      </w:pPr>
    </w:p>
    <w:p w14:paraId="7933C7EB" w14:textId="77777777" w:rsidR="008B748F" w:rsidRPr="000F3931" w:rsidRDefault="008B748F" w:rsidP="008B748F">
      <w:pPr>
        <w:tabs>
          <w:tab w:val="left" w:pos="0"/>
        </w:tabs>
        <w:spacing w:after="0" w:line="240" w:lineRule="auto"/>
        <w:jc w:val="both"/>
        <w:rPr>
          <w:rFonts w:ascii="Arial" w:eastAsia="Calibri" w:hAnsi="Arial" w:cs="Arial"/>
          <w:sz w:val="20"/>
          <w:szCs w:val="20"/>
          <w:lang w:eastAsia="es-ES_tradnl"/>
        </w:rPr>
      </w:pPr>
      <w:r w:rsidRPr="000F3931">
        <w:rPr>
          <w:rFonts w:ascii="Arial" w:eastAsia="Calibri" w:hAnsi="Arial" w:cs="Arial"/>
          <w:sz w:val="20"/>
          <w:szCs w:val="20"/>
          <w:lang w:eastAsia="es-ES_tradnl"/>
        </w:rPr>
        <w:t xml:space="preserve">Los consorcios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 </w:t>
      </w:r>
    </w:p>
    <w:p w14:paraId="52898186" w14:textId="77777777" w:rsidR="008B748F" w:rsidRPr="000F3931" w:rsidRDefault="008B748F" w:rsidP="008B748F">
      <w:pPr>
        <w:spacing w:after="0" w:line="240" w:lineRule="auto"/>
        <w:jc w:val="both"/>
        <w:rPr>
          <w:rFonts w:ascii="Arial" w:eastAsia="Calibri" w:hAnsi="Arial" w:cs="Arial"/>
          <w:sz w:val="20"/>
          <w:szCs w:val="20"/>
          <w:lang w:eastAsia="es-ES_tradnl"/>
        </w:rPr>
      </w:pPr>
    </w:p>
    <w:p w14:paraId="003AD4F7" w14:textId="77777777" w:rsidR="008B748F" w:rsidRPr="000F3931" w:rsidRDefault="008B748F" w:rsidP="008B748F">
      <w:pPr>
        <w:spacing w:after="0" w:line="240" w:lineRule="auto"/>
        <w:jc w:val="both"/>
        <w:rPr>
          <w:rFonts w:ascii="Arial" w:eastAsia="Calibri" w:hAnsi="Arial" w:cs="Arial"/>
          <w:sz w:val="20"/>
          <w:szCs w:val="20"/>
          <w:lang w:eastAsia="es-ES_tradnl"/>
        </w:rPr>
      </w:pPr>
      <w:r w:rsidRPr="000F3931">
        <w:rPr>
          <w:rFonts w:ascii="Arial" w:eastAsia="Calibri" w:hAnsi="Arial" w:cs="Arial"/>
          <w:sz w:val="20"/>
          <w:szCs w:val="20"/>
          <w:lang w:eastAsia="es-ES_tradnl"/>
        </w:rPr>
        <w:t>La diferencia entre los consorcios y las uniones temporales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w:t>
      </w:r>
    </w:p>
    <w:p w14:paraId="6C08AEB1" w14:textId="77777777" w:rsidR="008B748F" w:rsidRPr="000F3931" w:rsidRDefault="008B748F" w:rsidP="008B748F">
      <w:pPr>
        <w:spacing w:after="0" w:line="240" w:lineRule="auto"/>
        <w:jc w:val="both"/>
        <w:rPr>
          <w:rFonts w:ascii="Arial" w:eastAsia="Calibri" w:hAnsi="Arial" w:cs="Arial"/>
          <w:sz w:val="20"/>
          <w:szCs w:val="20"/>
          <w:lang w:eastAsia="es-ES_tradnl"/>
        </w:rPr>
      </w:pPr>
    </w:p>
    <w:p w14:paraId="2422A787" w14:textId="77777777" w:rsidR="008B748F" w:rsidRPr="000F3931" w:rsidRDefault="008B748F" w:rsidP="008B748F">
      <w:pPr>
        <w:spacing w:after="0" w:line="240" w:lineRule="auto"/>
        <w:jc w:val="both"/>
        <w:rPr>
          <w:rFonts w:ascii="Arial" w:eastAsia="Calibri" w:hAnsi="Arial" w:cs="Arial"/>
          <w:sz w:val="20"/>
          <w:szCs w:val="20"/>
          <w:lang w:eastAsia="es-ES_tradnl"/>
        </w:rPr>
      </w:pPr>
      <w:r w:rsidRPr="000F3931">
        <w:rPr>
          <w:rFonts w:ascii="Arial" w:eastAsia="Calibri" w:hAnsi="Arial" w:cs="Arial"/>
          <w:sz w:val="20"/>
          <w:szCs w:val="20"/>
          <w:lang w:eastAsia="es-ES_tradnl"/>
        </w:rPr>
        <w:t>[…] cabe recordar que el artículo 7 de la Ley 80 de 1993 exige que se trate de la presentación de una propuesta conjunta por parte de dos o más «personas». En otras palabras, los miembros del consorcio o unión temporal deben tener personalidad jurídica para poder conformar una estructura plural válidamente. Lo anterior, para efectos de la respuesta a la consulta implica que, como quiera que a la luz del Decreto 1953 de 2014 los resguardos indígenas están dotados de capacidad jurídica que será ejercida a través de su representante legal, nada obsta para que hagan parte de uniones temporales o consorcios, a la luz del artículo 7 de la Ley 80 de 1993 que tan solo exige que se trate de la presentación de una propuesta conjunta por parte de dos o más «personas». En otras palabras, los miembros del consorcio o unión temporal deben tener personalidad jurídica para poder conformar una estructura plural válidamente.</w:t>
      </w:r>
    </w:p>
    <w:p w14:paraId="6081A535" w14:textId="5DE0A9A6" w:rsidR="008B748F" w:rsidRDefault="00BE4E55" w:rsidP="008B748F">
      <w:pPr>
        <w:tabs>
          <w:tab w:val="left" w:pos="3374"/>
        </w:tabs>
        <w:spacing w:after="0" w:line="240" w:lineRule="auto"/>
        <w:rPr>
          <w:rFonts w:ascii="Arial" w:eastAsia="Calibri" w:hAnsi="Arial" w:cs="Arial"/>
          <w:lang w:eastAsia="es-ES_tradnl"/>
        </w:rPr>
      </w:pPr>
      <w:r>
        <w:rPr>
          <w:rFonts w:ascii="Arial" w:eastAsia="Calibri" w:hAnsi="Arial" w:cs="Arial"/>
          <w:lang w:eastAsia="es-ES_tradnl"/>
        </w:rPr>
        <w:lastRenderedPageBreak/>
        <w:t>Bogotá</w:t>
      </w:r>
      <w:r w:rsidR="000472A1">
        <w:rPr>
          <w:rFonts w:ascii="Arial" w:eastAsia="Calibri" w:hAnsi="Arial" w:cs="Arial"/>
          <w:lang w:eastAsia="es-ES_tradnl"/>
        </w:rPr>
        <w:t xml:space="preserve"> D.C, </w:t>
      </w:r>
      <w:r w:rsidR="00E13CA5">
        <w:rPr>
          <w:rFonts w:ascii="Arial" w:eastAsia="Calibri" w:hAnsi="Arial" w:cs="Arial"/>
          <w:lang w:eastAsia="es-ES_tradnl"/>
        </w:rPr>
        <w:t>30</w:t>
      </w:r>
      <w:r w:rsidR="000472A1">
        <w:rPr>
          <w:rFonts w:ascii="Arial" w:eastAsia="Calibri" w:hAnsi="Arial" w:cs="Arial"/>
          <w:lang w:eastAsia="es-ES_tradnl"/>
        </w:rPr>
        <w:t xml:space="preserve"> de diciembre de 2022</w:t>
      </w:r>
    </w:p>
    <w:p w14:paraId="240E1452" w14:textId="77777777" w:rsidR="00705B13" w:rsidRPr="000F3931" w:rsidRDefault="00705B13" w:rsidP="008B748F">
      <w:pPr>
        <w:tabs>
          <w:tab w:val="left" w:pos="3374"/>
        </w:tabs>
        <w:spacing w:after="0" w:line="240" w:lineRule="auto"/>
        <w:rPr>
          <w:rFonts w:ascii="Arial" w:eastAsia="Calibri" w:hAnsi="Arial" w:cs="Arial"/>
          <w:lang w:eastAsia="es-ES_tradnl"/>
        </w:rPr>
      </w:pPr>
    </w:p>
    <w:p w14:paraId="3FC502D4" w14:textId="21B84C78" w:rsidR="008B748F" w:rsidRPr="000F3931" w:rsidRDefault="00E13CA5" w:rsidP="00E13CA5">
      <w:pPr>
        <w:tabs>
          <w:tab w:val="left" w:pos="3374"/>
        </w:tabs>
        <w:spacing w:after="0" w:line="240" w:lineRule="auto"/>
        <w:jc w:val="right"/>
        <w:rPr>
          <w:rFonts w:ascii="Arial" w:eastAsia="Calibri" w:hAnsi="Arial" w:cs="Arial"/>
          <w:lang w:eastAsia="es-ES_tradnl"/>
        </w:rPr>
      </w:pPr>
      <w:r>
        <w:rPr>
          <w:noProof/>
          <w:lang w:val="en-US"/>
        </w:rPr>
        <w:drawing>
          <wp:inline distT="0" distB="0" distL="0" distR="0" wp14:anchorId="365A4CCB" wp14:editId="121D34E9">
            <wp:extent cx="2875385" cy="681487"/>
            <wp:effectExtent l="0" t="0" r="127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0851" t="55758" r="13172" b="29075"/>
                    <a:stretch/>
                  </pic:blipFill>
                  <pic:spPr bwMode="auto">
                    <a:xfrm>
                      <a:off x="0" y="0"/>
                      <a:ext cx="2911501" cy="690047"/>
                    </a:xfrm>
                    <a:prstGeom prst="rect">
                      <a:avLst/>
                    </a:prstGeom>
                    <a:ln>
                      <a:noFill/>
                    </a:ln>
                    <a:extLst>
                      <a:ext uri="{53640926-AAD7-44D8-BBD7-CCE9431645EC}">
                        <a14:shadowObscured xmlns:a14="http://schemas.microsoft.com/office/drawing/2010/main"/>
                      </a:ext>
                    </a:extLst>
                  </pic:spPr>
                </pic:pic>
              </a:graphicData>
            </a:graphic>
          </wp:inline>
        </w:drawing>
      </w:r>
    </w:p>
    <w:p w14:paraId="040A64D9" w14:textId="77777777" w:rsidR="008B748F" w:rsidRPr="000F3931" w:rsidRDefault="008B748F" w:rsidP="008B748F">
      <w:pPr>
        <w:tabs>
          <w:tab w:val="left" w:pos="3374"/>
        </w:tabs>
        <w:spacing w:after="0" w:line="240" w:lineRule="auto"/>
        <w:rPr>
          <w:rFonts w:ascii="Arial" w:eastAsia="Calibri" w:hAnsi="Arial" w:cs="Arial"/>
          <w:lang w:eastAsia="es-ES_tradnl"/>
        </w:rPr>
      </w:pPr>
      <w:r w:rsidRPr="000F3931">
        <w:rPr>
          <w:rFonts w:ascii="Arial" w:eastAsia="Calibri" w:hAnsi="Arial" w:cs="Arial"/>
          <w:lang w:eastAsia="es-ES_tradnl"/>
        </w:rPr>
        <w:t>Señor</w:t>
      </w:r>
    </w:p>
    <w:p w14:paraId="1DCB868A" w14:textId="77777777" w:rsidR="008B748F" w:rsidRPr="000F3931" w:rsidRDefault="008B748F" w:rsidP="008B748F">
      <w:pPr>
        <w:spacing w:after="0" w:line="240" w:lineRule="auto"/>
        <w:rPr>
          <w:rFonts w:ascii="Arial" w:eastAsia="Times New Roman" w:hAnsi="Arial" w:cs="Arial"/>
          <w:b/>
          <w:bCs/>
          <w:lang w:val="es-ES" w:eastAsia="es-ES_tradnl"/>
        </w:rPr>
      </w:pPr>
      <w:proofErr w:type="spellStart"/>
      <w:r w:rsidRPr="000F3931">
        <w:rPr>
          <w:rFonts w:ascii="Arial" w:eastAsia="Times New Roman" w:hAnsi="Arial" w:cs="Arial"/>
          <w:b/>
          <w:bCs/>
          <w:lang w:val="es-ES" w:eastAsia="es-ES_tradnl"/>
        </w:rPr>
        <w:t>Henrri</w:t>
      </w:r>
      <w:proofErr w:type="spellEnd"/>
      <w:r w:rsidRPr="000F3931">
        <w:rPr>
          <w:rFonts w:ascii="Arial" w:eastAsia="Times New Roman" w:hAnsi="Arial" w:cs="Arial"/>
          <w:b/>
          <w:bCs/>
          <w:lang w:val="es-ES" w:eastAsia="es-ES_tradnl"/>
        </w:rPr>
        <w:t xml:space="preserve"> Danilo </w:t>
      </w:r>
      <w:proofErr w:type="spellStart"/>
      <w:r w:rsidRPr="000F3931">
        <w:rPr>
          <w:rFonts w:ascii="Arial" w:eastAsia="Times New Roman" w:hAnsi="Arial" w:cs="Arial"/>
          <w:b/>
          <w:bCs/>
          <w:lang w:val="es-ES" w:eastAsia="es-ES_tradnl"/>
        </w:rPr>
        <w:t>Muchavisoy</w:t>
      </w:r>
      <w:proofErr w:type="spellEnd"/>
      <w:r w:rsidRPr="000F3931">
        <w:rPr>
          <w:rFonts w:ascii="Arial" w:eastAsia="Times New Roman" w:hAnsi="Arial" w:cs="Arial"/>
          <w:b/>
          <w:bCs/>
          <w:lang w:val="es-ES" w:eastAsia="es-ES_tradnl"/>
        </w:rPr>
        <w:t xml:space="preserve"> </w:t>
      </w:r>
    </w:p>
    <w:p w14:paraId="23F52E55" w14:textId="77777777" w:rsidR="008B748F" w:rsidRPr="000F3931" w:rsidRDefault="008B748F" w:rsidP="008B748F">
      <w:pPr>
        <w:tabs>
          <w:tab w:val="left" w:pos="3374"/>
        </w:tabs>
        <w:spacing w:after="0" w:line="240" w:lineRule="auto"/>
        <w:rPr>
          <w:rFonts w:ascii="Arial" w:eastAsia="Calibri" w:hAnsi="Arial" w:cs="Arial"/>
          <w:lang w:eastAsia="es-ES_tradnl"/>
        </w:rPr>
      </w:pPr>
      <w:r w:rsidRPr="000F3931">
        <w:rPr>
          <w:rFonts w:ascii="Arial" w:eastAsia="Calibri" w:hAnsi="Arial" w:cs="Arial"/>
          <w:lang w:eastAsia="es-ES_tradnl"/>
        </w:rPr>
        <w:t>Mocoa, Putumayo</w:t>
      </w:r>
    </w:p>
    <w:p w14:paraId="0FFF3053" w14:textId="77777777" w:rsidR="008B748F" w:rsidRPr="000F3931" w:rsidRDefault="008B748F" w:rsidP="008B748F">
      <w:pPr>
        <w:spacing w:after="0" w:line="276" w:lineRule="auto"/>
        <w:ind w:left="2116" w:firstLine="708"/>
        <w:rPr>
          <w:rFonts w:ascii="Arial" w:eastAsia="Calibri" w:hAnsi="Arial" w:cs="Arial"/>
          <w:b/>
          <w:lang w:eastAsia="es-ES_tradnl"/>
        </w:rPr>
      </w:pPr>
    </w:p>
    <w:p w14:paraId="4BED9188" w14:textId="77777777" w:rsidR="008B748F" w:rsidRPr="000F3931" w:rsidRDefault="008B748F" w:rsidP="008B748F">
      <w:pPr>
        <w:spacing w:after="0" w:line="276" w:lineRule="auto"/>
        <w:ind w:left="2116" w:firstLine="708"/>
        <w:rPr>
          <w:rFonts w:ascii="Arial" w:eastAsia="Calibri" w:hAnsi="Arial" w:cs="Arial"/>
          <w:b/>
          <w:lang w:eastAsia="es-ES_tradnl"/>
        </w:rPr>
      </w:pPr>
      <w:r w:rsidRPr="000F3931">
        <w:rPr>
          <w:rFonts w:ascii="Arial" w:eastAsia="Calibri" w:hAnsi="Arial" w:cs="Arial"/>
          <w:b/>
          <w:lang w:eastAsia="es-ES_tradnl"/>
        </w:rPr>
        <w:t>Concepto C – 899 de 2022</w:t>
      </w:r>
    </w:p>
    <w:p w14:paraId="73F4DCC7" w14:textId="77777777" w:rsidR="008B748F" w:rsidRPr="000F3931" w:rsidRDefault="008B748F" w:rsidP="008B748F">
      <w:pPr>
        <w:spacing w:after="0" w:line="240" w:lineRule="auto"/>
        <w:ind w:left="2835" w:hanging="2835"/>
        <w:jc w:val="both"/>
        <w:rPr>
          <w:rFonts w:ascii="Arial" w:eastAsia="Calibri" w:hAnsi="Arial" w:cs="Arial"/>
          <w:b/>
          <w:noProof/>
          <w:lang w:val="es-ES_tradnl" w:eastAsia="es-ES_tradnl"/>
        </w:rPr>
      </w:pPr>
    </w:p>
    <w:p w14:paraId="13C6BE59" w14:textId="77777777" w:rsidR="008B748F" w:rsidRPr="000F3931" w:rsidRDefault="008B748F" w:rsidP="008B748F">
      <w:pPr>
        <w:spacing w:after="0" w:line="240" w:lineRule="auto"/>
        <w:ind w:left="2835" w:hanging="2835"/>
        <w:jc w:val="both"/>
        <w:rPr>
          <w:rFonts w:ascii="Arial" w:eastAsia="Times New Roman" w:hAnsi="Arial" w:cs="Arial"/>
          <w:lang w:val="es-ES_tradnl" w:eastAsia="es-ES"/>
        </w:rPr>
      </w:pPr>
      <w:r w:rsidRPr="000F3931">
        <w:rPr>
          <w:rFonts w:ascii="Arial" w:eastAsia="Calibri" w:hAnsi="Arial" w:cs="Arial"/>
          <w:b/>
          <w:noProof/>
          <w:lang w:val="es-ES_tradnl" w:eastAsia="es-ES_tradnl"/>
        </w:rPr>
        <w:t>Temas</w:t>
      </w:r>
      <w:r w:rsidRPr="000F3931">
        <w:rPr>
          <w:rFonts w:ascii="Arial" w:eastAsia="Calibri" w:hAnsi="Arial" w:cs="Arial"/>
          <w:bCs/>
          <w:noProof/>
          <w:lang w:val="es-ES_tradnl" w:eastAsia="es-ES_tradnl"/>
        </w:rPr>
        <w:t xml:space="preserve">: </w:t>
      </w:r>
      <w:r w:rsidRPr="000F3931">
        <w:rPr>
          <w:rFonts w:ascii="Arial" w:eastAsia="Calibri" w:hAnsi="Arial" w:cs="Arial"/>
          <w:bCs/>
          <w:noProof/>
          <w:lang w:val="es-ES_tradnl" w:eastAsia="es-ES_tradnl"/>
        </w:rPr>
        <w:tab/>
      </w:r>
      <w:r w:rsidRPr="000F3931">
        <w:rPr>
          <w:rFonts w:ascii="Arial" w:eastAsia="Times New Roman" w:hAnsi="Arial" w:cs="Arial"/>
          <w:bCs/>
          <w:lang w:val="es-ES" w:eastAsia="es-ES_tradnl"/>
        </w:rPr>
        <w:t xml:space="preserve">PUEBLOS INDÍGENAS – Convenio No. 169 de la OIT – Compromisos / </w:t>
      </w:r>
      <w:r w:rsidRPr="000F3931">
        <w:rPr>
          <w:rFonts w:ascii="Arial" w:eastAsia="Times New Roman" w:hAnsi="Arial" w:cs="Arial"/>
          <w:bCs/>
          <w:lang w:val="es-MX" w:eastAsia="es-ES_tradnl"/>
        </w:rPr>
        <w:t xml:space="preserve">RESGUARDOS Y AUTORIDADES TRADICIONALES INDIGENAS – Régimen de contratación / </w:t>
      </w:r>
      <w:r w:rsidRPr="000F3931">
        <w:rPr>
          <w:rFonts w:ascii="Arial" w:eastAsia="Times New Roman" w:hAnsi="Arial" w:cs="Arial"/>
          <w:lang w:val="es-ES_tradnl" w:eastAsia="es-ES"/>
        </w:rPr>
        <w:t xml:space="preserve">RÉGIMEN DE CONTRATACIÓN – Resguardos indígenas – Decreto 1953 de 2014 / PRINCIPIO DE PUBLICIDAD – Democracia – Estado social de Derecho – Fundamento axiológico / SECOP – Ejecución de recursos públicos / </w:t>
      </w:r>
      <w:r w:rsidRPr="000F3931">
        <w:rPr>
          <w:rFonts w:ascii="Arial" w:eastAsia="Calibri" w:hAnsi="Arial" w:cs="Arial"/>
          <w:bCs/>
          <w:color w:val="000000" w:themeColor="text1"/>
          <w:szCs w:val="24"/>
          <w:lang w:val="es-ES" w:eastAsia="es-ES_tradnl"/>
        </w:rPr>
        <w:t>CONSORCIOS Y UNIONES TEMPORALES – Concepto – Capacidad jurídica – Resguardos Indígenas</w:t>
      </w:r>
    </w:p>
    <w:p w14:paraId="4A812024" w14:textId="77777777" w:rsidR="008B748F" w:rsidRPr="000F3931" w:rsidRDefault="008B748F" w:rsidP="008B748F">
      <w:pPr>
        <w:spacing w:after="0" w:line="276" w:lineRule="auto"/>
        <w:ind w:left="2835" w:hanging="2835"/>
        <w:jc w:val="both"/>
        <w:rPr>
          <w:rFonts w:ascii="Arial" w:eastAsia="Calibri" w:hAnsi="Arial" w:cs="Arial"/>
          <w:bCs/>
          <w:szCs w:val="24"/>
          <w:lang w:val="es-ES" w:eastAsia="es-ES_tradnl"/>
        </w:rPr>
      </w:pPr>
    </w:p>
    <w:p w14:paraId="56BAEDAD" w14:textId="77777777" w:rsidR="008B748F" w:rsidRPr="000F3931" w:rsidRDefault="008B748F" w:rsidP="008B748F">
      <w:pPr>
        <w:spacing w:after="0" w:line="276" w:lineRule="auto"/>
        <w:ind w:left="2835" w:hanging="2835"/>
        <w:jc w:val="both"/>
        <w:rPr>
          <w:rFonts w:ascii="Arial" w:eastAsia="Calibri" w:hAnsi="Arial" w:cs="Arial"/>
          <w:bCs/>
          <w:noProof/>
          <w:lang w:val="es-ES_tradnl" w:eastAsia="es-ES_tradnl"/>
        </w:rPr>
      </w:pPr>
      <w:r w:rsidRPr="000F3931">
        <w:rPr>
          <w:rFonts w:ascii="Arial" w:eastAsia="Calibri" w:hAnsi="Arial" w:cs="Arial"/>
          <w:b/>
          <w:noProof/>
          <w:lang w:val="es-ES_tradnl" w:eastAsia="es-ES_tradnl"/>
        </w:rPr>
        <w:t>Radicación</w:t>
      </w:r>
      <w:r w:rsidRPr="000F3931">
        <w:rPr>
          <w:rFonts w:ascii="Arial" w:eastAsia="Calibri" w:hAnsi="Arial" w:cs="Arial"/>
          <w:bCs/>
          <w:noProof/>
          <w:lang w:val="es-ES_tradnl" w:eastAsia="es-ES_tradnl"/>
        </w:rPr>
        <w:t>:</w:t>
      </w:r>
      <w:r w:rsidRPr="000F3931">
        <w:rPr>
          <w:rFonts w:ascii="Arial" w:eastAsia="Calibri" w:hAnsi="Arial" w:cs="Arial"/>
          <w:bCs/>
          <w:noProof/>
          <w:lang w:val="es-ES_tradnl" w:eastAsia="es-ES_tradnl"/>
        </w:rPr>
        <w:tab/>
        <w:t>Respuesta a consulta</w:t>
      </w:r>
      <w:r w:rsidRPr="000F3931">
        <w:rPr>
          <w:rFonts w:ascii="Arial" w:eastAsia="Calibri" w:hAnsi="Arial" w:cs="Arial"/>
          <w:b/>
          <w:lang w:val="es-MX" w:eastAsia="es-ES_tradnl"/>
        </w:rPr>
        <w:t xml:space="preserve"> </w:t>
      </w:r>
      <w:r w:rsidRPr="000F3931">
        <w:rPr>
          <w:rFonts w:ascii="Arial" w:eastAsia="Calibri" w:hAnsi="Arial" w:cs="Arial"/>
          <w:bCs/>
          <w:lang w:val="es-MX" w:eastAsia="es-ES_tradnl"/>
        </w:rPr>
        <w:t xml:space="preserve">P20221121011542. </w:t>
      </w:r>
    </w:p>
    <w:p w14:paraId="5C3CF590" w14:textId="77777777" w:rsidR="008B748F" w:rsidRPr="000F3931" w:rsidRDefault="008B748F" w:rsidP="008B748F">
      <w:pPr>
        <w:tabs>
          <w:tab w:val="left" w:pos="3374"/>
        </w:tabs>
        <w:spacing w:after="0" w:line="276" w:lineRule="auto"/>
        <w:rPr>
          <w:rFonts w:ascii="Arial" w:eastAsia="Calibri" w:hAnsi="Arial" w:cs="Arial"/>
          <w:lang w:val="es-ES_tradnl" w:eastAsia="es-ES_tradnl"/>
        </w:rPr>
      </w:pPr>
    </w:p>
    <w:p w14:paraId="29A58ED9" w14:textId="77777777" w:rsidR="008B748F" w:rsidRPr="000F3931" w:rsidRDefault="008B748F" w:rsidP="008B748F">
      <w:pPr>
        <w:tabs>
          <w:tab w:val="left" w:pos="3374"/>
        </w:tabs>
        <w:spacing w:after="240" w:line="276" w:lineRule="auto"/>
        <w:rPr>
          <w:rFonts w:ascii="Arial" w:eastAsia="Calibri" w:hAnsi="Arial" w:cs="Arial"/>
          <w:lang w:eastAsia="es-ES_tradnl"/>
        </w:rPr>
      </w:pPr>
      <w:r w:rsidRPr="000F3931">
        <w:rPr>
          <w:rFonts w:ascii="Arial" w:eastAsia="Calibri" w:hAnsi="Arial" w:cs="Arial"/>
          <w:lang w:eastAsia="es-ES_tradnl"/>
        </w:rPr>
        <w:t xml:space="preserve">Estimado señor </w:t>
      </w:r>
      <w:proofErr w:type="spellStart"/>
      <w:r w:rsidRPr="000F3931">
        <w:rPr>
          <w:rFonts w:ascii="Arial" w:eastAsia="Times New Roman" w:hAnsi="Arial" w:cs="Arial"/>
          <w:bCs/>
          <w:lang w:val="es-ES" w:eastAsia="es-ES_tradnl"/>
        </w:rPr>
        <w:t>Muchavisoy</w:t>
      </w:r>
      <w:proofErr w:type="spellEnd"/>
      <w:r w:rsidRPr="000F3931">
        <w:rPr>
          <w:rFonts w:ascii="Arial" w:eastAsia="Calibri" w:hAnsi="Arial" w:cs="Arial"/>
          <w:lang w:eastAsia="es-ES_tradnl"/>
        </w:rPr>
        <w:t xml:space="preserve">,  </w:t>
      </w:r>
    </w:p>
    <w:p w14:paraId="4F65E622" w14:textId="77777777" w:rsidR="008B748F" w:rsidRPr="000F3931" w:rsidRDefault="008B748F" w:rsidP="008B748F">
      <w:pPr>
        <w:tabs>
          <w:tab w:val="left" w:pos="3374"/>
        </w:tabs>
        <w:spacing w:after="240" w:line="276" w:lineRule="auto"/>
        <w:jc w:val="both"/>
        <w:rPr>
          <w:rFonts w:ascii="Arial" w:eastAsia="Calibri" w:hAnsi="Arial" w:cs="Arial"/>
          <w:lang w:eastAsia="es-ES_tradnl"/>
        </w:rPr>
      </w:pPr>
      <w:r w:rsidRPr="000F3931">
        <w:rPr>
          <w:rFonts w:ascii="Arial" w:eastAsia="Calibri" w:hAnsi="Arial" w:cs="Arial"/>
          <w:lang w:eastAsia="es-ES_tradnl"/>
        </w:rPr>
        <w:t xml:space="preserve">En ejercicio de la competencia otorgada por el numeral 8 del artículo 11 y el numeral 5 del artículo 3 del Decreto Ley 4170 de 2011, la Agencia Nacional de Contratación Pública− Colombia Compra Eficiente responde los numerales 5 y 7 de su consulta de fecha 20 de septiembre de 2022, trasladados por competencia a esta Agencia por el Ministerio del Interior el 17 de noviembre de 2022. </w:t>
      </w:r>
    </w:p>
    <w:p w14:paraId="133A9540" w14:textId="77777777" w:rsidR="008B748F" w:rsidRPr="000F3931" w:rsidRDefault="008B748F" w:rsidP="008B748F">
      <w:pPr>
        <w:tabs>
          <w:tab w:val="left" w:pos="284"/>
        </w:tabs>
        <w:spacing w:after="240" w:line="276" w:lineRule="auto"/>
        <w:jc w:val="both"/>
        <w:rPr>
          <w:rFonts w:ascii="Arial" w:eastAsia="Calibri" w:hAnsi="Arial" w:cs="Arial"/>
          <w:b/>
          <w:lang w:eastAsia="es-ES_tradnl"/>
        </w:rPr>
      </w:pPr>
      <w:r w:rsidRPr="000F3931">
        <w:rPr>
          <w:rFonts w:ascii="Arial" w:eastAsia="Calibri" w:hAnsi="Arial" w:cs="Arial"/>
          <w:b/>
          <w:lang w:eastAsia="es-ES_tradnl"/>
        </w:rPr>
        <w:t xml:space="preserve">1. Problema planteado </w:t>
      </w:r>
    </w:p>
    <w:p w14:paraId="497C6522" w14:textId="77777777" w:rsidR="008B748F" w:rsidRPr="000F3931" w:rsidRDefault="008B748F" w:rsidP="008B748F">
      <w:pPr>
        <w:spacing w:after="240" w:line="276" w:lineRule="auto"/>
        <w:jc w:val="both"/>
        <w:rPr>
          <w:rFonts w:ascii="Arial" w:eastAsia="Times New Roman" w:hAnsi="Arial" w:cs="Arial"/>
          <w:lang w:val="es-ES_tradnl" w:eastAsia="es-ES_tradnl"/>
        </w:rPr>
      </w:pPr>
      <w:r w:rsidRPr="000F3931">
        <w:rPr>
          <w:rFonts w:ascii="Arial" w:eastAsia="Times New Roman" w:hAnsi="Arial" w:cs="Arial"/>
          <w:lang w:val="es-ES_tradnl" w:eastAsia="es-ES_tradnl"/>
        </w:rPr>
        <w:t xml:space="preserve">Usted formula la siguiente consulta: </w:t>
      </w:r>
    </w:p>
    <w:p w14:paraId="44409B9F" w14:textId="77777777" w:rsidR="008B748F" w:rsidRPr="000F3931" w:rsidRDefault="008B748F" w:rsidP="008B748F">
      <w:pPr>
        <w:spacing w:after="240" w:line="240" w:lineRule="auto"/>
        <w:ind w:left="567" w:right="851"/>
        <w:jc w:val="both"/>
        <w:rPr>
          <w:rFonts w:ascii="Arial" w:eastAsia="Times New Roman" w:hAnsi="Arial" w:cs="Arial"/>
          <w:iCs/>
          <w:sz w:val="21"/>
          <w:szCs w:val="21"/>
          <w:lang w:eastAsia="es-ES_tradnl"/>
        </w:rPr>
      </w:pPr>
      <w:bookmarkStart w:id="2" w:name="_Hlk106025682"/>
      <w:r w:rsidRPr="000F3931">
        <w:rPr>
          <w:rFonts w:ascii="Arial" w:eastAsia="Times New Roman" w:hAnsi="Arial" w:cs="Arial"/>
          <w:iCs/>
          <w:sz w:val="21"/>
          <w:szCs w:val="21"/>
          <w:lang w:eastAsia="es-ES_tradnl"/>
        </w:rPr>
        <w:t xml:space="preserve">«5. Se solicita aclaración si es necesario estar inscritos en el </w:t>
      </w:r>
      <w:proofErr w:type="spellStart"/>
      <w:r w:rsidRPr="000F3931">
        <w:rPr>
          <w:rFonts w:ascii="Arial" w:eastAsia="Times New Roman" w:hAnsi="Arial" w:cs="Arial"/>
          <w:iCs/>
          <w:sz w:val="21"/>
          <w:szCs w:val="21"/>
          <w:lang w:eastAsia="es-ES_tradnl"/>
        </w:rPr>
        <w:t>Secop</w:t>
      </w:r>
      <w:proofErr w:type="spellEnd"/>
      <w:r w:rsidRPr="000F3931">
        <w:rPr>
          <w:rFonts w:ascii="Arial" w:eastAsia="Times New Roman" w:hAnsi="Arial" w:cs="Arial"/>
          <w:iCs/>
          <w:sz w:val="21"/>
          <w:szCs w:val="21"/>
          <w:lang w:eastAsia="es-ES_tradnl"/>
        </w:rPr>
        <w:t xml:space="preserve"> II, (Sistema Electrónico de Contratación Pública), para la contratación directa con los resguardos. </w:t>
      </w:r>
    </w:p>
    <w:p w14:paraId="7D9F0D88" w14:textId="77777777" w:rsidR="008B748F" w:rsidRPr="000F3931" w:rsidRDefault="008B748F" w:rsidP="008B748F">
      <w:pPr>
        <w:spacing w:after="240" w:line="240" w:lineRule="auto"/>
        <w:ind w:left="567" w:right="851"/>
        <w:jc w:val="both"/>
        <w:rPr>
          <w:rFonts w:ascii="Arial" w:eastAsia="Times New Roman" w:hAnsi="Arial" w:cs="Arial"/>
          <w:iCs/>
          <w:sz w:val="20"/>
          <w:szCs w:val="20"/>
          <w:lang w:eastAsia="es-ES_tradnl"/>
        </w:rPr>
      </w:pPr>
      <w:r w:rsidRPr="000F3931">
        <w:rPr>
          <w:rFonts w:ascii="Arial" w:eastAsia="Times New Roman" w:hAnsi="Arial" w:cs="Arial"/>
          <w:iCs/>
          <w:sz w:val="21"/>
          <w:szCs w:val="21"/>
          <w:lang w:eastAsia="es-ES_tradnl"/>
        </w:rPr>
        <w:t>7. Solicito, se nos aclare si un Resguardo puede realizar Unión Temporal con una Asociación, fundación o consultoría para participar de las licitaciones del estado.»</w:t>
      </w:r>
      <w:bookmarkEnd w:id="2"/>
    </w:p>
    <w:p w14:paraId="59D71463" w14:textId="77777777" w:rsidR="008B748F" w:rsidRPr="000F3931" w:rsidRDefault="008B748F" w:rsidP="008B748F">
      <w:pPr>
        <w:tabs>
          <w:tab w:val="left" w:pos="426"/>
        </w:tabs>
        <w:spacing w:after="240" w:line="276" w:lineRule="auto"/>
        <w:jc w:val="both"/>
        <w:rPr>
          <w:rFonts w:ascii="Arial" w:eastAsia="Calibri" w:hAnsi="Arial" w:cs="Arial"/>
          <w:b/>
          <w:lang w:eastAsia="es-ES_tradnl"/>
        </w:rPr>
      </w:pPr>
      <w:r w:rsidRPr="000F3931">
        <w:rPr>
          <w:rFonts w:ascii="Arial" w:eastAsia="Calibri" w:hAnsi="Arial" w:cs="Arial"/>
          <w:b/>
          <w:lang w:eastAsia="es-ES_tradnl"/>
        </w:rPr>
        <w:t>2. Consideraciones</w:t>
      </w:r>
    </w:p>
    <w:p w14:paraId="2B360F14" w14:textId="77777777" w:rsidR="008B748F" w:rsidRPr="000F3931" w:rsidRDefault="008B748F" w:rsidP="008B748F">
      <w:pPr>
        <w:tabs>
          <w:tab w:val="left" w:pos="426"/>
        </w:tabs>
        <w:spacing w:after="240" w:line="276" w:lineRule="auto"/>
        <w:jc w:val="both"/>
        <w:rPr>
          <w:rFonts w:ascii="Arial" w:eastAsia="Calibri" w:hAnsi="Arial" w:cs="Arial"/>
          <w:lang w:val="es-ES"/>
        </w:rPr>
      </w:pPr>
      <w:r w:rsidRPr="000F3931">
        <w:rPr>
          <w:rFonts w:ascii="Arial" w:eastAsia="Calibri" w:hAnsi="Arial" w:cs="Arial"/>
          <w:lang w:val="es-ES"/>
        </w:rPr>
        <w:lastRenderedPageBreak/>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p>
    <w:p w14:paraId="53ED486F" w14:textId="77777777" w:rsidR="008B748F" w:rsidRPr="000F3931" w:rsidRDefault="008B748F" w:rsidP="008B748F">
      <w:pPr>
        <w:tabs>
          <w:tab w:val="left" w:pos="426"/>
        </w:tabs>
        <w:spacing w:after="240" w:line="276" w:lineRule="auto"/>
        <w:ind w:firstLine="851"/>
        <w:jc w:val="both"/>
        <w:rPr>
          <w:rFonts w:ascii="Arial" w:eastAsia="Calibri" w:hAnsi="Arial" w:cs="Arial"/>
          <w:lang w:val="es-ES_tradnl"/>
        </w:rPr>
      </w:pPr>
      <w:r w:rsidRPr="000F3931">
        <w:rPr>
          <w:rFonts w:ascii="Arial" w:eastAsia="Calibri" w:hAnsi="Arial" w:cs="Arial"/>
          <w:lang w:val="es-ES"/>
        </w:rPr>
        <w:t xml:space="preserve">Por lo anterior, la Subdirección de Gestión Contractual, dentro de los límites de sus atribuciones, resolverá la consulta conforme a las normas generales en materia de contratación estatal y para ello, </w:t>
      </w:r>
      <w:r w:rsidRPr="000F3931">
        <w:rPr>
          <w:rFonts w:ascii="Arial" w:eastAsia="Times New Roman" w:hAnsi="Arial" w:cs="Arial"/>
          <w:bCs/>
          <w:lang w:val="es-ES" w:eastAsia="es-ES_tradnl"/>
        </w:rPr>
        <w:t>se analizarán los siguientes temas</w:t>
      </w:r>
      <w:r w:rsidRPr="000F3931">
        <w:rPr>
          <w:rFonts w:ascii="Arial" w:eastAsia="Times New Roman" w:hAnsi="Arial" w:cs="Arial"/>
          <w:lang w:val="es-ES_tradnl" w:eastAsia="es-ES_tradnl"/>
        </w:rPr>
        <w:t xml:space="preserve">: i) naturaleza jurídica y capacidad contractual de las diferentes formas de organización de la población indígena; ii) contratación con territorios indígenas y/o autoridades tradicionales, resguardos, asociaciones de resguardos y organizaciones indígenas; iii) aplicación del Decreto 1953 de 2014; iv) concepto de los </w:t>
      </w:r>
      <w:r w:rsidRPr="000F3931">
        <w:rPr>
          <w:rFonts w:ascii="Arial" w:eastAsia="Calibri" w:hAnsi="Arial" w:cs="Arial"/>
          <w:bCs/>
          <w:color w:val="000000" w:themeColor="text1"/>
          <w:szCs w:val="24"/>
          <w:lang w:val="es-ES" w:eastAsia="es-ES_tradnl"/>
        </w:rPr>
        <w:t>consorcios y uniones temporales y su capacidad jurídica</w:t>
      </w:r>
      <w:r w:rsidRPr="000F3931">
        <w:rPr>
          <w:rFonts w:ascii="Arial" w:eastAsia="Times New Roman" w:hAnsi="Arial" w:cs="Arial"/>
          <w:lang w:val="es-ES_tradnl" w:eastAsia="es-ES_tradnl"/>
        </w:rPr>
        <w:t>.</w:t>
      </w:r>
    </w:p>
    <w:p w14:paraId="51009FD1" w14:textId="5B2F5BB9" w:rsidR="008B748F" w:rsidRPr="000F3931" w:rsidRDefault="008B748F" w:rsidP="008B748F">
      <w:pPr>
        <w:widowControl w:val="0"/>
        <w:autoSpaceDE w:val="0"/>
        <w:autoSpaceDN w:val="0"/>
        <w:spacing w:after="240" w:line="276" w:lineRule="auto"/>
        <w:ind w:firstLine="709"/>
        <w:jc w:val="both"/>
        <w:rPr>
          <w:rFonts w:ascii="Arial" w:eastAsia="Times New Roman" w:hAnsi="Arial" w:cs="Arial"/>
          <w:lang w:val="es-MX" w:eastAsia="es-ES_tradnl"/>
        </w:rPr>
      </w:pPr>
      <w:r w:rsidRPr="000F3931">
        <w:rPr>
          <w:rFonts w:ascii="Arial" w:eastAsia="Times New Roman" w:hAnsi="Arial" w:cs="Arial"/>
          <w:lang w:val="es-MX" w:eastAsia="es-ES_tradnl"/>
        </w:rPr>
        <w:t>La Agencia Nacional de Contratación Pública – Colombia Compra Eficiente, en el 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C-213 del 13 de mayo de 2021, C-305 del 20 de mayo de 2021</w:t>
      </w:r>
      <w:r w:rsidR="00535CFA">
        <w:rPr>
          <w:rFonts w:ascii="Arial" w:eastAsia="Times New Roman" w:hAnsi="Arial" w:cs="Arial"/>
          <w:lang w:val="es-MX" w:eastAsia="es-ES_tradnl"/>
        </w:rPr>
        <w:t xml:space="preserve">, </w:t>
      </w:r>
      <w:r w:rsidRPr="000F3931">
        <w:rPr>
          <w:rFonts w:ascii="Arial" w:eastAsia="Times New Roman" w:hAnsi="Arial" w:cs="Arial"/>
          <w:lang w:val="es-MX" w:eastAsia="es-ES_tradnl"/>
        </w:rPr>
        <w:t>C-761 de 12 de octubre de 2022</w:t>
      </w:r>
      <w:r w:rsidR="00535CFA">
        <w:rPr>
          <w:rFonts w:ascii="Arial" w:eastAsia="Times New Roman" w:hAnsi="Arial" w:cs="Arial"/>
          <w:lang w:val="es-MX" w:eastAsia="es-ES_tradnl"/>
        </w:rPr>
        <w:t xml:space="preserve"> y </w:t>
      </w:r>
      <w:r w:rsidR="00326C33">
        <w:rPr>
          <w:rFonts w:ascii="Arial" w:eastAsia="Times New Roman" w:hAnsi="Arial" w:cs="Arial"/>
          <w:lang w:val="es-MX" w:eastAsia="es-ES_tradnl"/>
        </w:rPr>
        <w:t xml:space="preserve">C-806 de </w:t>
      </w:r>
      <w:r w:rsidR="000B48AC">
        <w:rPr>
          <w:rFonts w:ascii="Arial" w:eastAsia="Times New Roman" w:hAnsi="Arial" w:cs="Arial"/>
          <w:lang w:val="es-MX" w:eastAsia="es-ES_tradnl"/>
        </w:rPr>
        <w:t>19 de diciembre de 2022</w:t>
      </w:r>
      <w:r w:rsidRPr="000F3931">
        <w:rPr>
          <w:rFonts w:ascii="Arial" w:eastAsia="Times New Roman" w:hAnsi="Arial" w:cs="Arial"/>
          <w:lang w:val="es-MX" w:eastAsia="es-ES_tradnl"/>
        </w:rPr>
        <w:t>, analizó el marco jurídico relacionado con la contratación por parte de indígenas, y las normas y jurisprudencia sobre la materia</w:t>
      </w:r>
      <w:r w:rsidRPr="000F3931">
        <w:rPr>
          <w:rFonts w:ascii="Arial" w:eastAsia="Times New Roman" w:hAnsi="Arial" w:cs="Arial"/>
          <w:vertAlign w:val="superscript"/>
          <w:lang w:val="es-MX" w:eastAsia="es-ES_tradnl"/>
        </w:rPr>
        <w:footnoteReference w:id="2"/>
      </w:r>
      <w:r w:rsidRPr="000F3931">
        <w:rPr>
          <w:rFonts w:ascii="Arial" w:eastAsia="Times New Roman" w:hAnsi="Arial" w:cs="Arial"/>
          <w:lang w:val="es-MX" w:eastAsia="es-ES_tradnl"/>
        </w:rPr>
        <w:t xml:space="preserve">. </w:t>
      </w:r>
    </w:p>
    <w:p w14:paraId="1FFFF86F" w14:textId="77777777" w:rsidR="008B748F" w:rsidRPr="000F3931" w:rsidRDefault="008B748F" w:rsidP="008B748F">
      <w:pPr>
        <w:widowControl w:val="0"/>
        <w:autoSpaceDE w:val="0"/>
        <w:autoSpaceDN w:val="0"/>
        <w:spacing w:after="240" w:line="276" w:lineRule="auto"/>
        <w:ind w:firstLine="709"/>
        <w:jc w:val="both"/>
        <w:rPr>
          <w:rFonts w:ascii="Arial" w:eastAsia="Times New Roman" w:hAnsi="Arial" w:cs="Arial"/>
          <w:lang w:val="es-MX" w:eastAsia="es-ES_tradnl"/>
        </w:rPr>
      </w:pPr>
      <w:r w:rsidRPr="000F3931">
        <w:rPr>
          <w:rFonts w:ascii="Arial" w:eastAsia="Times New Roman" w:hAnsi="Arial" w:cs="Arial"/>
          <w:lang w:val="es-MX" w:eastAsia="es-ES_tradnl"/>
        </w:rPr>
        <w:t>Particularmente, la Agencia analizó el deber de publicidad de la información contractual en el SECOP en la consulta No. 4201913000005397 del 9 de agosto de 2019 y reiteró la posición en los siguientes conceptos: 4201912000006611 del 25 de septiembre de 2019, 4201913000006847 del 4 de octubre de 2019, 4201912000007762 del 18 de noviembre de 2019 y 4201912000007828 del 13 de noviembre de 2019. Las tesis expuestas en los anteriores conceptos fueron unificadas en el concepto CU-003 del 15 de enero de 2020. 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w:t>
      </w:r>
      <w:r w:rsidRPr="000F3931">
        <w:rPr>
          <w:rFonts w:ascii="Arial" w:eastAsia="Times New Roman" w:hAnsi="Arial" w:cs="Arial"/>
          <w:lang w:val="es-MX" w:eastAsia="es-ES_tradnl"/>
        </w:rPr>
        <w:lastRenderedPageBreak/>
        <w:t>372 del 30 de junio de 2020, C-437 del 6 de julio de 2020,C-468 del 24 de julio de 2020, C-494 del 4 de agosto de 2020, C-449 del 5 de agosto de 2020, C-559 del 25 de agosto de 2020, C-562 del 25 de agosto de 2020, C-574 del 27 de agosto de 2020, C-680 de 18 de noviembre de 2020 y C-780 del 18 de enero de 2021. Finalmente, como consecuencia del Auto del Consejo de Estado del 25 de febrero de 2021 se expidieron los conceptos C-094 del 13 de abril de 2021, C-137 del 13 de abril de 2021, C-185 del 29 de abril de 2021, C-241 del 27 de mayo de 2021, C-083 del 18 de marzo de 2022 y C-337 del 25 de mayo de 2022.</w:t>
      </w:r>
    </w:p>
    <w:p w14:paraId="39EA7631" w14:textId="77777777" w:rsidR="008B748F" w:rsidRPr="000F3931" w:rsidRDefault="008B748F" w:rsidP="008B748F">
      <w:pPr>
        <w:widowControl w:val="0"/>
        <w:autoSpaceDE w:val="0"/>
        <w:autoSpaceDN w:val="0"/>
        <w:spacing w:after="240" w:line="276" w:lineRule="auto"/>
        <w:ind w:firstLine="709"/>
        <w:jc w:val="both"/>
        <w:rPr>
          <w:rFonts w:ascii="Arial" w:eastAsia="Calibri" w:hAnsi="Arial" w:cs="Arial"/>
          <w:color w:val="000000" w:themeColor="text1"/>
          <w:szCs w:val="24"/>
          <w:lang w:eastAsia="es-ES_tradnl"/>
        </w:rPr>
      </w:pPr>
      <w:r w:rsidRPr="000F3931">
        <w:rPr>
          <w:rFonts w:ascii="Arial" w:eastAsia="Arial" w:hAnsi="Arial" w:cs="Arial"/>
          <w:lang w:val="es-MX"/>
        </w:rPr>
        <w:t xml:space="preserve">Finalmente, la Agencia Nacional de Contratación Pública ― Colombia Compra Eficiente en los conceptos </w:t>
      </w:r>
      <w:r w:rsidRPr="000F3931">
        <w:rPr>
          <w:rFonts w:ascii="Arial" w:eastAsia="Calibri" w:hAnsi="Arial" w:cs="Arial"/>
          <w:color w:val="000000" w:themeColor="text1"/>
          <w:szCs w:val="24"/>
          <w:lang w:eastAsia="es-ES_tradnl"/>
        </w:rPr>
        <w:t xml:space="preserve">con radicado No. 4201913000006736 del 15 de noviembre de 2011, reiterado y desarrollado en los conceptos No. 4201912000006798 del 24 de octubre de 2019, C–002 del 12 de febrero de 2020, C–089 del 4 de marzo de 2020 y C-099 del 6 de abril de 2020 estudió la figura asociativa de los consorcios y uniones temporales. </w:t>
      </w:r>
    </w:p>
    <w:p w14:paraId="72C514A8" w14:textId="77777777" w:rsidR="008B748F" w:rsidRPr="000F3931" w:rsidRDefault="008B748F" w:rsidP="008B748F">
      <w:pPr>
        <w:widowControl w:val="0"/>
        <w:autoSpaceDE w:val="0"/>
        <w:autoSpaceDN w:val="0"/>
        <w:spacing w:after="240" w:line="276" w:lineRule="auto"/>
        <w:jc w:val="both"/>
        <w:rPr>
          <w:rFonts w:ascii="Arial" w:eastAsia="Calibri" w:hAnsi="Arial" w:cs="Arial"/>
          <w:lang w:val="es-ES"/>
        </w:rPr>
      </w:pPr>
      <w:r w:rsidRPr="000F3931">
        <w:rPr>
          <w:rFonts w:ascii="Arial" w:hAnsi="Arial" w:cs="Arial"/>
          <w:lang w:val="es-ES" w:eastAsia="es-ES_tradnl"/>
        </w:rPr>
        <w:t>Algunos de los argumentos expuestos en los conceptos enunciados se retoman y se complementan a continuación.</w:t>
      </w:r>
    </w:p>
    <w:p w14:paraId="0DB66F97" w14:textId="77777777" w:rsidR="008B748F" w:rsidRPr="000F3931" w:rsidRDefault="008B748F" w:rsidP="008B748F">
      <w:pPr>
        <w:spacing w:after="240" w:line="276" w:lineRule="auto"/>
        <w:jc w:val="both"/>
        <w:rPr>
          <w:rFonts w:ascii="Arial" w:eastAsia="Calibri" w:hAnsi="Arial" w:cs="Arial"/>
          <w:b/>
          <w:lang w:val="es-ES_tradnl"/>
        </w:rPr>
      </w:pPr>
      <w:r w:rsidRPr="000F3931">
        <w:rPr>
          <w:rFonts w:ascii="Arial" w:eastAsia="Calibri" w:hAnsi="Arial" w:cs="Arial"/>
          <w:b/>
          <w:lang w:val="es-ES_tradnl"/>
        </w:rPr>
        <w:t xml:space="preserve">2.1. Naturaleza jurídica y capacidad contractual de </w:t>
      </w:r>
      <w:r w:rsidRPr="000F3931">
        <w:rPr>
          <w:rFonts w:ascii="Arial" w:eastAsia="Calibri" w:hAnsi="Arial" w:cs="Arial"/>
          <w:b/>
          <w:lang w:val="es-ES"/>
        </w:rPr>
        <w:t>las diferentes formas de organización de la población indígena</w:t>
      </w:r>
      <w:r w:rsidRPr="000F3931">
        <w:rPr>
          <w:rFonts w:ascii="Arial" w:eastAsia="Calibri" w:hAnsi="Arial" w:cs="Arial"/>
          <w:b/>
          <w:lang w:val="es-ES_tradnl"/>
        </w:rPr>
        <w:t xml:space="preserve"> </w:t>
      </w:r>
    </w:p>
    <w:p w14:paraId="2AE39F64" w14:textId="77777777" w:rsidR="008B748F" w:rsidRPr="000F3931" w:rsidRDefault="008B748F" w:rsidP="008B748F">
      <w:pPr>
        <w:spacing w:after="240" w:line="276" w:lineRule="auto"/>
        <w:jc w:val="both"/>
        <w:rPr>
          <w:rFonts w:ascii="Arial" w:eastAsia="Calibri" w:hAnsi="Arial" w:cs="Arial"/>
          <w:lang w:val="es-ES"/>
        </w:rPr>
      </w:pPr>
      <w:r w:rsidRPr="000F3931">
        <w:rPr>
          <w:rFonts w:ascii="Arial" w:eastAsia="Calibri" w:hAnsi="Arial" w:cs="Arial"/>
          <w:lang w:val="es-ES"/>
        </w:rPr>
        <w:t>Con la suscripción del Convenio No. 169 de 1989, «Sobre pueblos indígenas y tribales en países independientes» de la Organización Internacional del Trabajo – OIT, incorporado al bloque de constitucionalidad</w:t>
      </w:r>
      <w:r w:rsidRPr="000F3931">
        <w:rPr>
          <w:rFonts w:ascii="Arial" w:eastAsia="Calibri" w:hAnsi="Arial" w:cs="Arial"/>
          <w:vertAlign w:val="superscript"/>
          <w:lang w:val="es-ES"/>
        </w:rPr>
        <w:footnoteReference w:id="3"/>
      </w:r>
      <w:r w:rsidRPr="000F3931">
        <w:rPr>
          <w:rFonts w:ascii="Arial" w:eastAsia="Calibri" w:hAnsi="Arial" w:cs="Arial"/>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el artículo 2 de la Ley 21 de 1991 prescribe que: </w:t>
      </w:r>
    </w:p>
    <w:p w14:paraId="79668742" w14:textId="764279C8" w:rsidR="008B748F" w:rsidRPr="000F3931" w:rsidRDefault="000B48AC"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lang w:val="es-ES"/>
        </w:rPr>
        <w:t>«</w:t>
      </w:r>
      <w:r w:rsidR="008B748F" w:rsidRPr="000F3931">
        <w:rPr>
          <w:rFonts w:ascii="Arial" w:eastAsia="Calibri" w:hAnsi="Arial"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6D5FD733" w14:textId="77777777" w:rsidR="008B748F" w:rsidRPr="000F3931" w:rsidRDefault="008B748F"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sz w:val="21"/>
          <w:szCs w:val="21"/>
          <w:lang w:val="es-ES"/>
        </w:rPr>
        <w:t>2. Esta acción deberá incluir medidas:</w:t>
      </w:r>
    </w:p>
    <w:p w14:paraId="10CFB2D8" w14:textId="77777777" w:rsidR="008B748F" w:rsidRPr="000F3931" w:rsidRDefault="008B748F"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sz w:val="21"/>
          <w:szCs w:val="21"/>
          <w:lang w:val="es-ES"/>
        </w:rPr>
        <w:lastRenderedPageBreak/>
        <w:t>a). Que aseguren a los miembros de dichos pueblos gozar, en pie de igualdad, de los derechos y oportunidades que la legislación nacional otorga a los demás miembros de la población;</w:t>
      </w:r>
    </w:p>
    <w:p w14:paraId="0B0CD0EE" w14:textId="77777777" w:rsidR="008B748F" w:rsidRPr="000F3931" w:rsidRDefault="008B748F"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sz w:val="21"/>
          <w:szCs w:val="21"/>
          <w:lang w:val="es-ES"/>
        </w:rPr>
        <w:t>b). Que promuevan la plena efectividad de los derechos sociales, económicos y culturales de esos pueblos, respetando su identidad social y cultural, sus costumbres y tradiciones, y sus instituciones;</w:t>
      </w:r>
    </w:p>
    <w:p w14:paraId="05B7E061" w14:textId="0099B612" w:rsidR="008B748F" w:rsidRPr="000F3931" w:rsidRDefault="008B748F"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r w:rsidR="000B48AC" w:rsidRPr="000F3931">
        <w:rPr>
          <w:rFonts w:ascii="Arial" w:eastAsia="Calibri" w:hAnsi="Arial" w:cs="Arial"/>
          <w:lang w:val="es-ES"/>
        </w:rPr>
        <w:t>»</w:t>
      </w:r>
    </w:p>
    <w:p w14:paraId="7A279944" w14:textId="77777777" w:rsidR="008B748F" w:rsidRPr="000F3931" w:rsidRDefault="008B748F" w:rsidP="008B748F">
      <w:pPr>
        <w:spacing w:after="240" w:line="276" w:lineRule="auto"/>
        <w:ind w:firstLine="680"/>
        <w:jc w:val="both"/>
        <w:rPr>
          <w:rFonts w:ascii="Arial" w:eastAsia="Calibri" w:hAnsi="Arial" w:cs="Arial"/>
          <w:lang w:val="es-ES"/>
        </w:rPr>
      </w:pPr>
      <w:r w:rsidRPr="000F3931">
        <w:rPr>
          <w:rFonts w:ascii="Arial" w:eastAsia="Calibri" w:hAnsi="Arial" w:cs="Arial"/>
          <w:lang w:val="es-ES"/>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w:t>
      </w:r>
    </w:p>
    <w:p w14:paraId="5C2FB01A" w14:textId="77777777" w:rsidR="008B748F" w:rsidRPr="000F3931" w:rsidRDefault="008B748F" w:rsidP="008B748F">
      <w:pPr>
        <w:spacing w:after="240" w:line="276" w:lineRule="auto"/>
        <w:ind w:firstLine="680"/>
        <w:jc w:val="both"/>
        <w:rPr>
          <w:rFonts w:ascii="Arial" w:eastAsia="Calibri" w:hAnsi="Arial" w:cs="Arial"/>
          <w:lang w:val="es-ES"/>
        </w:rPr>
      </w:pPr>
      <w:r w:rsidRPr="000F3931">
        <w:rPr>
          <w:rFonts w:ascii="Arial" w:eastAsia="Calibri" w:hAnsi="Arial" w:cs="Arial"/>
          <w:lang w:val="es-ES"/>
        </w:rPr>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las comunidades indígenas y las entidades estatales, lo que ha suscitado la necesidad de un tratamiento jurídico particular para tales acuerdos.  </w:t>
      </w:r>
    </w:p>
    <w:p w14:paraId="2C83AC97" w14:textId="77777777" w:rsidR="008B748F" w:rsidRPr="000F3931" w:rsidRDefault="008B748F" w:rsidP="008B748F">
      <w:pPr>
        <w:spacing w:after="240" w:line="276" w:lineRule="auto"/>
        <w:ind w:firstLine="680"/>
        <w:jc w:val="both"/>
        <w:rPr>
          <w:rFonts w:ascii="Arial" w:eastAsia="Calibri" w:hAnsi="Arial" w:cs="Arial"/>
          <w:lang w:val="es-ES"/>
        </w:rPr>
      </w:pPr>
      <w:r w:rsidRPr="000F3931">
        <w:rPr>
          <w:rFonts w:ascii="Arial" w:eastAsia="Calibri" w:hAnsi="Arial" w:cs="Arial"/>
          <w:lang w:val="es-ES"/>
        </w:rPr>
        <w:t xml:space="preserve">Esto ha generado que diversas disposiciones reconozcan la posibilidad de celebrar convenios o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5280D9D9" w14:textId="77777777" w:rsidR="008B748F" w:rsidRPr="000F3931" w:rsidRDefault="008B748F" w:rsidP="008B748F">
      <w:pPr>
        <w:spacing w:after="240" w:line="276" w:lineRule="auto"/>
        <w:ind w:firstLine="680"/>
        <w:jc w:val="both"/>
        <w:rPr>
          <w:rFonts w:ascii="Arial" w:eastAsia="Calibri" w:hAnsi="Arial" w:cs="Arial"/>
          <w:lang w:val="es-ES"/>
        </w:rPr>
      </w:pPr>
      <w:r w:rsidRPr="000F3931">
        <w:rPr>
          <w:rFonts w:ascii="Arial" w:eastAsia="Calibri" w:hAnsi="Arial" w:cs="Arial"/>
          <w:lang w:val="es-ES"/>
        </w:rPr>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w:t>
      </w:r>
      <w:r w:rsidRPr="000F3931">
        <w:rPr>
          <w:rFonts w:ascii="Arial" w:eastAsia="Calibri" w:hAnsi="Arial" w:cs="Arial"/>
          <w:lang w:val="es-ES"/>
        </w:rPr>
        <w:lastRenderedPageBreak/>
        <w:t xml:space="preserve">naturaleza normativa diferente. Las disposiciones que integran este marco jurídico heterogéneo, si bien contemplan la posibilidad de que las entidades estatales celebren contratos o convenios con las autoridades y mecanismos asociativos de las comunidades indígenas, las supeditan a unas condiciones especiales propias de cada ámbito normativo.  </w:t>
      </w:r>
    </w:p>
    <w:p w14:paraId="34322E21" w14:textId="77777777" w:rsidR="008B748F" w:rsidRPr="000F3931" w:rsidRDefault="008B748F" w:rsidP="008B748F">
      <w:pPr>
        <w:spacing w:after="240" w:line="276" w:lineRule="auto"/>
        <w:ind w:firstLine="680"/>
        <w:jc w:val="both"/>
        <w:rPr>
          <w:rFonts w:ascii="Arial" w:eastAsia="Calibri" w:hAnsi="Arial" w:cs="Arial"/>
          <w:lang w:val="es-ES"/>
        </w:rPr>
      </w:pPr>
      <w:r w:rsidRPr="000F3931">
        <w:rPr>
          <w:rFonts w:ascii="Arial" w:eastAsia="Calibri" w:hAnsi="Arial" w:cs="Arial"/>
          <w:lang w:val="es-ES"/>
        </w:rPr>
        <w:t xml:space="preserve">De este marco jurídico hacen parte normas relevantes como el artículo 329 constitucional, las Leyes 80 de 1993, 136 de 1994– modificada por la Ley 1551 de 2012– los Decretos 1088 de 1993, 1953 de 2014 y 252 de 2020, entre otras disposiciones a las que recientemente se les ha añadido la Ley 2160 de 2021. </w:t>
      </w:r>
    </w:p>
    <w:p w14:paraId="042068BB" w14:textId="77777777" w:rsidR="008B748F" w:rsidRPr="000F3931" w:rsidRDefault="008B748F" w:rsidP="008B748F">
      <w:pPr>
        <w:spacing w:after="240" w:line="276" w:lineRule="auto"/>
        <w:jc w:val="both"/>
        <w:rPr>
          <w:rFonts w:ascii="Arial" w:eastAsia="Calibri" w:hAnsi="Arial" w:cs="Arial"/>
          <w:b/>
          <w:bCs/>
          <w:lang w:val="es-ES"/>
        </w:rPr>
      </w:pPr>
      <w:r w:rsidRPr="000F3931">
        <w:rPr>
          <w:rFonts w:ascii="Arial" w:eastAsia="Calibri" w:hAnsi="Arial" w:cs="Arial"/>
          <w:b/>
          <w:bCs/>
          <w:lang w:val="es-ES"/>
        </w:rPr>
        <w:t>2.2.</w:t>
      </w:r>
      <w:r w:rsidRPr="000F3931">
        <w:rPr>
          <w:rFonts w:ascii="Arial" w:eastAsia="Calibri" w:hAnsi="Arial" w:cs="Arial"/>
          <w:b/>
          <w:bCs/>
          <w:i/>
          <w:iCs/>
          <w:lang w:val="es-ES"/>
        </w:rPr>
        <w:t xml:space="preserve">  </w:t>
      </w:r>
      <w:r w:rsidRPr="000F3931">
        <w:rPr>
          <w:rFonts w:ascii="Arial" w:eastAsia="Calibri" w:hAnsi="Arial" w:cs="Arial"/>
          <w:b/>
          <w:bCs/>
          <w:lang w:val="es-ES"/>
        </w:rPr>
        <w:t xml:space="preserve">Contratación con territorios indígenas, resguardos, asociaciones de resguardos y organizaciones indígenas. </w:t>
      </w:r>
    </w:p>
    <w:p w14:paraId="6A5E7F02" w14:textId="77777777" w:rsidR="008B748F" w:rsidRPr="000F3931" w:rsidRDefault="008B748F" w:rsidP="008B748F">
      <w:pPr>
        <w:spacing w:after="240" w:line="276" w:lineRule="auto"/>
        <w:jc w:val="both"/>
        <w:rPr>
          <w:rFonts w:ascii="Arial" w:eastAsia="Calibri" w:hAnsi="Arial" w:cs="Arial"/>
          <w:lang w:val="es-ES"/>
        </w:rPr>
      </w:pPr>
      <w:r w:rsidRPr="000F3931">
        <w:rPr>
          <w:rFonts w:ascii="Arial" w:eastAsia="Calibri" w:hAnsi="Arial" w:cs="Arial"/>
          <w:lang w:val="es-ES"/>
        </w:rPr>
        <w:t xml:space="preserve">En relación con las formas de organización indígena, la Constitución Política de 1991 dispuso que la conformación de las entidades territoriales indígenas se realizaría conforme a lo dispuesto en la Ley de Ordenamiento Territorial – LOT. AL respecto, el artículo 329 de la Constitución prescribe: </w:t>
      </w:r>
    </w:p>
    <w:p w14:paraId="463B6EF4" w14:textId="6719907E" w:rsidR="008B748F" w:rsidRPr="000F3931" w:rsidRDefault="00F41196"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lang w:val="es-ES"/>
        </w:rPr>
        <w:t>«</w:t>
      </w:r>
      <w:r w:rsidR="008B748F" w:rsidRPr="000F3931">
        <w:rPr>
          <w:rFonts w:ascii="Arial" w:eastAsia="Calibri" w:hAnsi="Arial" w:cs="Arial"/>
          <w:sz w:val="21"/>
          <w:szCs w:val="21"/>
          <w:lang w:val="es-ES"/>
        </w:rPr>
        <w:t xml:space="preserve">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711C70D0" w14:textId="0B2BCB49"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r w:rsidR="00F41196" w:rsidRPr="000F3931">
        <w:rPr>
          <w:rFonts w:ascii="Arial" w:eastAsia="Calibri" w:hAnsi="Arial" w:cs="Arial"/>
          <w:lang w:val="es-ES"/>
        </w:rPr>
        <w:t>»</w:t>
      </w:r>
    </w:p>
    <w:p w14:paraId="6B20C429" w14:textId="77777777" w:rsidR="008B748F" w:rsidRPr="000F3931" w:rsidRDefault="008B748F" w:rsidP="008B748F">
      <w:pPr>
        <w:spacing w:after="240" w:line="276" w:lineRule="auto"/>
        <w:ind w:firstLine="709"/>
        <w:jc w:val="both"/>
        <w:rPr>
          <w:rFonts w:ascii="Arial" w:eastAsia="Calibri" w:hAnsi="Arial" w:cs="Arial"/>
          <w:lang w:val="es-ES"/>
        </w:rPr>
      </w:pPr>
      <w:r w:rsidRPr="000F3931">
        <w:rPr>
          <w:rFonts w:ascii="Arial" w:eastAsia="Calibri" w:hAnsi="Arial" w:cs="Arial"/>
          <w:lang w:val="es-ES"/>
        </w:rPr>
        <w:t>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0F3931">
        <w:rPr>
          <w:rFonts w:ascii="Arial" w:eastAsia="Calibri" w:hAnsi="Arial" w:cs="Arial"/>
          <w:sz w:val="21"/>
          <w:szCs w:val="21"/>
          <w:lang w:val="es-ES"/>
        </w:rPr>
        <w:t>.</w:t>
      </w:r>
    </w:p>
    <w:p w14:paraId="6312489C" w14:textId="77777777" w:rsidR="008B748F" w:rsidRPr="000F3931" w:rsidRDefault="008B748F" w:rsidP="008B748F">
      <w:pPr>
        <w:spacing w:after="240" w:line="276" w:lineRule="auto"/>
        <w:ind w:firstLine="680"/>
        <w:jc w:val="both"/>
        <w:rPr>
          <w:rFonts w:ascii="Arial" w:eastAsia="Calibri" w:hAnsi="Arial" w:cs="Arial"/>
          <w:lang w:val="es-ES"/>
        </w:rPr>
      </w:pPr>
      <w:bookmarkStart w:id="3" w:name="_Hlk34989337"/>
      <w:r w:rsidRPr="000F3931">
        <w:rPr>
          <w:rFonts w:ascii="Arial" w:eastAsia="Calibri" w:hAnsi="Arial" w:cs="Arial"/>
          <w:lang w:val="es-ES"/>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w:t>
      </w:r>
      <w:r w:rsidRPr="000F3931">
        <w:rPr>
          <w:rFonts w:ascii="Arial" w:eastAsia="Calibri" w:hAnsi="Arial" w:cs="Arial"/>
          <w:lang w:val="es-ES"/>
        </w:rPr>
        <w:lastRenderedPageBreak/>
        <w:t xml:space="preserve">de derecho público, de carácter especial, con personería jurídica, patrimonio propio y autonomía administrativa. </w:t>
      </w:r>
      <w:bookmarkEnd w:id="3"/>
      <w:r w:rsidRPr="000F3931">
        <w:rPr>
          <w:rFonts w:ascii="Arial" w:eastAsia="Calibri" w:hAnsi="Arial" w:cs="Arial"/>
          <w:lang w:val="es-ES"/>
        </w:rPr>
        <w:t xml:space="preserve">Al respecto, la disposición prescribe: </w:t>
      </w:r>
    </w:p>
    <w:p w14:paraId="4F788248" w14:textId="7BFDE868" w:rsidR="008B748F" w:rsidRPr="000F3931" w:rsidRDefault="00CD5205"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lang w:val="es-ES"/>
        </w:rPr>
        <w:t>«</w:t>
      </w:r>
      <w:r w:rsidR="008B748F" w:rsidRPr="000F3931">
        <w:rPr>
          <w:rFonts w:ascii="Arial" w:eastAsia="Calibri" w:hAnsi="Arial"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5D2AD66D" w14:textId="5CE392DB"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Artículo 2° Naturaleza Jurídica. Las asociaciones de que trata el presente Decreto, son entidades de Derecho Público de carácter especial, con personería jurídica, patrimonio propio y autonomía administrativa.</w:t>
      </w:r>
      <w:r w:rsidR="00CD5205" w:rsidRPr="000F3931">
        <w:rPr>
          <w:rFonts w:ascii="Arial" w:eastAsia="Calibri" w:hAnsi="Arial" w:cs="Arial"/>
          <w:lang w:val="es-ES"/>
        </w:rPr>
        <w:t>»</w:t>
      </w:r>
    </w:p>
    <w:p w14:paraId="4F70FE5F" w14:textId="77777777" w:rsidR="008B748F" w:rsidRPr="000F3931" w:rsidRDefault="008B748F" w:rsidP="008B748F">
      <w:pPr>
        <w:spacing w:after="240" w:line="276" w:lineRule="auto"/>
        <w:ind w:firstLine="680"/>
        <w:jc w:val="both"/>
        <w:rPr>
          <w:rFonts w:ascii="Arial" w:eastAsia="Calibri" w:hAnsi="Arial" w:cs="Arial"/>
          <w:lang w:val="es-ES"/>
        </w:rPr>
      </w:pPr>
      <w:r w:rsidRPr="000F3931">
        <w:rPr>
          <w:rFonts w:ascii="Arial" w:eastAsia="Calibri" w:hAnsi="Arial" w:cs="Arial"/>
          <w:lang w:val="es-ES"/>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3CDB5622" w14:textId="77777777" w:rsidR="008B748F" w:rsidRPr="000F3931" w:rsidRDefault="008B748F" w:rsidP="008B748F">
      <w:pPr>
        <w:spacing w:after="240" w:line="276" w:lineRule="auto"/>
        <w:ind w:firstLine="680"/>
        <w:jc w:val="both"/>
        <w:rPr>
          <w:rFonts w:ascii="Arial" w:eastAsia="Calibri" w:hAnsi="Arial" w:cs="Arial"/>
          <w:lang w:val="es-ES"/>
        </w:rPr>
      </w:pPr>
      <w:r w:rsidRPr="000F3931">
        <w:rPr>
          <w:rFonts w:ascii="Arial" w:eastAsia="Calibri" w:hAnsi="Arial" w:cs="Arial"/>
          <w:lang w:val="es-ES"/>
        </w:rPr>
        <w:t xml:space="preserve">Posteriormente, se expidió el Decreto 2164 de 1995, «Por el cual se reglamenta parcialmente el Capítulo XIV de la Ley 160 de 1994 en lo relacionado con la dotación y </w:t>
      </w:r>
      <w:bookmarkStart w:id="4" w:name="_Hlk97794511"/>
      <w:r w:rsidRPr="000F3931">
        <w:rPr>
          <w:rFonts w:ascii="Arial" w:eastAsia="Calibri" w:hAnsi="Arial" w:cs="Arial"/>
          <w:lang w:val="es-ES"/>
        </w:rPr>
        <w:t>titulación de tierras a las comunidades indígenas</w:t>
      </w:r>
      <w:bookmarkEnd w:id="4"/>
      <w:r w:rsidRPr="000F3931">
        <w:rPr>
          <w:rFonts w:ascii="Arial" w:eastAsia="Calibri" w:hAnsi="Arial" w:cs="Arial"/>
          <w:lang w:val="es-ES"/>
        </w:rPr>
        <w:t xml:space="preserve">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4584251A" w14:textId="04B62AB0" w:rsidR="008B748F" w:rsidRPr="000F3931" w:rsidRDefault="00CD5205"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lang w:val="es-ES"/>
        </w:rPr>
        <w:t>«</w:t>
      </w:r>
      <w:r w:rsidR="008B748F" w:rsidRPr="000F3931">
        <w:rPr>
          <w:rFonts w:ascii="Arial" w:eastAsia="Calibri" w:hAnsi="Arial" w:cs="Arial"/>
          <w:sz w:val="21"/>
          <w:szCs w:val="21"/>
          <w:lang w:val="es-ES"/>
        </w:rPr>
        <w:t>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w:t>
      </w:r>
    </w:p>
    <w:p w14:paraId="79902C9C" w14:textId="77777777" w:rsidR="008B748F" w:rsidRPr="000F3931" w:rsidRDefault="008B748F"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2B0C5888" w14:textId="77777777" w:rsidR="008B748F" w:rsidRPr="000F3931" w:rsidRDefault="008B748F"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13AD16A0"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7249BAF5"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lastRenderedPageBreak/>
        <w:t>[...]</w:t>
      </w:r>
    </w:p>
    <w:p w14:paraId="11964A1C"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 xml:space="preserve">Artículo 2.14.7.1.2. Definiciones. Para los fines exclusivos del presente título, </w:t>
      </w:r>
      <w:proofErr w:type="spellStart"/>
      <w:r w:rsidRPr="000F3931">
        <w:rPr>
          <w:rFonts w:ascii="Arial" w:eastAsia="Calibri" w:hAnsi="Arial" w:cs="Arial"/>
          <w:sz w:val="21"/>
          <w:szCs w:val="21"/>
          <w:lang w:val="es-ES"/>
        </w:rPr>
        <w:t>establécense</w:t>
      </w:r>
      <w:proofErr w:type="spellEnd"/>
      <w:r w:rsidRPr="000F3931">
        <w:rPr>
          <w:rFonts w:ascii="Arial" w:eastAsia="Calibri" w:hAnsi="Arial" w:cs="Arial"/>
          <w:sz w:val="21"/>
          <w:szCs w:val="21"/>
          <w:lang w:val="es-ES"/>
        </w:rPr>
        <w:t xml:space="preserve"> las siguientes definiciones:</w:t>
      </w:r>
    </w:p>
    <w:p w14:paraId="4DA5C673" w14:textId="77777777" w:rsidR="008B748F" w:rsidRPr="000F3931" w:rsidRDefault="008B748F" w:rsidP="008B748F">
      <w:pPr>
        <w:spacing w:after="240" w:line="240" w:lineRule="auto"/>
        <w:ind w:right="709"/>
        <w:jc w:val="both"/>
        <w:rPr>
          <w:rFonts w:ascii="Arial" w:eastAsia="Calibri" w:hAnsi="Arial" w:cs="Arial"/>
          <w:sz w:val="21"/>
          <w:szCs w:val="21"/>
          <w:lang w:val="es-ES"/>
        </w:rPr>
      </w:pPr>
      <w:r w:rsidRPr="000F3931">
        <w:rPr>
          <w:rFonts w:ascii="Arial" w:eastAsia="Calibri" w:hAnsi="Arial" w:cs="Arial"/>
          <w:sz w:val="21"/>
          <w:szCs w:val="21"/>
          <w:lang w:val="es-ES"/>
        </w:rPr>
        <w:tab/>
        <w:t>[...]</w:t>
      </w:r>
    </w:p>
    <w:p w14:paraId="6BBAFF0B"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7FD73DF5"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 xml:space="preserve">Para los efectos de este título, las autoridades tradicionales de las comunidades indígenas tienen, frente al </w:t>
      </w:r>
      <w:proofErr w:type="spellStart"/>
      <w:r w:rsidRPr="000F3931">
        <w:rPr>
          <w:rFonts w:ascii="Arial" w:eastAsia="Calibri" w:hAnsi="Arial" w:cs="Arial"/>
          <w:sz w:val="21"/>
          <w:szCs w:val="21"/>
          <w:lang w:val="es-ES"/>
        </w:rPr>
        <w:t>Incoder</w:t>
      </w:r>
      <w:proofErr w:type="spellEnd"/>
      <w:r w:rsidRPr="000F3931">
        <w:rPr>
          <w:rFonts w:ascii="Arial" w:eastAsia="Calibri" w:hAnsi="Arial" w:cs="Arial"/>
          <w:sz w:val="21"/>
          <w:szCs w:val="21"/>
          <w:lang w:val="es-ES"/>
        </w:rPr>
        <w:t xml:space="preserve">, la misma representación y atribuciones que corresponde a los cabildos indígenas. </w:t>
      </w:r>
    </w:p>
    <w:p w14:paraId="7F70CEAB" w14:textId="53CE9285" w:rsidR="008B748F" w:rsidRPr="000F3931" w:rsidRDefault="008B748F"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sz w:val="21"/>
          <w:szCs w:val="21"/>
          <w:lang w:val="es-E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w:t>
      </w:r>
      <w:r w:rsidR="00CD5205" w:rsidRPr="000F3931">
        <w:rPr>
          <w:rFonts w:ascii="Arial" w:eastAsia="Calibri" w:hAnsi="Arial" w:cs="Arial"/>
          <w:lang w:val="es-ES"/>
        </w:rPr>
        <w:t>»</w:t>
      </w:r>
      <w:r w:rsidRPr="000F3931">
        <w:rPr>
          <w:rFonts w:ascii="Arial" w:eastAsia="Calibri" w:hAnsi="Arial" w:cs="Arial"/>
          <w:sz w:val="21"/>
          <w:szCs w:val="21"/>
          <w:lang w:val="es-ES"/>
        </w:rPr>
        <w:t xml:space="preserve"> (Cursiva fuera de texto).</w:t>
      </w:r>
    </w:p>
    <w:p w14:paraId="25B58144" w14:textId="77777777" w:rsidR="008B748F" w:rsidRPr="000F3931" w:rsidRDefault="008B748F" w:rsidP="008B748F">
      <w:pPr>
        <w:spacing w:after="240" w:line="276" w:lineRule="auto"/>
        <w:ind w:firstLine="709"/>
        <w:jc w:val="both"/>
        <w:rPr>
          <w:rFonts w:ascii="Arial" w:eastAsia="Calibri" w:hAnsi="Arial" w:cs="Arial"/>
          <w:lang w:val="es-ES"/>
        </w:rPr>
      </w:pPr>
      <w:r w:rsidRPr="000F3931">
        <w:rPr>
          <w:rFonts w:ascii="Arial" w:eastAsia="Calibri" w:hAnsi="Arial" w:cs="Arial"/>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3F2CCD05" w14:textId="7A19A3D1" w:rsidR="008B748F" w:rsidRPr="000F3931" w:rsidRDefault="00FC61C5" w:rsidP="008B748F">
      <w:pPr>
        <w:spacing w:after="240" w:line="256" w:lineRule="auto"/>
        <w:ind w:left="708" w:right="709"/>
        <w:jc w:val="both"/>
        <w:rPr>
          <w:rFonts w:ascii="Arial" w:eastAsia="Calibri" w:hAnsi="Arial" w:cs="Arial"/>
          <w:sz w:val="21"/>
          <w:szCs w:val="21"/>
          <w:lang w:val="es-ES"/>
        </w:rPr>
      </w:pPr>
      <w:r w:rsidRPr="000F3931">
        <w:rPr>
          <w:rFonts w:ascii="Arial" w:eastAsia="Calibri" w:hAnsi="Arial" w:cs="Arial"/>
          <w:lang w:val="es-ES"/>
        </w:rPr>
        <w:t>«</w:t>
      </w:r>
      <w:r w:rsidR="008B748F" w:rsidRPr="000F3931">
        <w:rPr>
          <w:rFonts w:ascii="Arial" w:eastAsia="Calibri" w:hAnsi="Arial" w:cs="Arial"/>
          <w:sz w:val="21"/>
          <w:szCs w:val="21"/>
          <w:lang w:val="es-ES"/>
        </w:rPr>
        <w:t xml:space="preserve">Artículo 2o. De la definición de entidades, servidores y servicios públicos. Para los solos efectos de esta ley: </w:t>
      </w:r>
    </w:p>
    <w:p w14:paraId="34C1FEF3" w14:textId="77777777" w:rsidR="008B748F" w:rsidRPr="000F3931" w:rsidRDefault="008B748F" w:rsidP="008B748F">
      <w:pPr>
        <w:spacing w:after="240" w:line="256"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 xml:space="preserve">1o. Se denominan entidades estatales: </w:t>
      </w:r>
    </w:p>
    <w:p w14:paraId="115E8AB8" w14:textId="138F3BDB"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r w:rsidR="00CD5205" w:rsidRPr="000F3931">
        <w:rPr>
          <w:rFonts w:ascii="Arial" w:eastAsia="Calibri" w:hAnsi="Arial" w:cs="Arial"/>
          <w:lang w:val="es-ES"/>
        </w:rPr>
        <w:t>»</w:t>
      </w:r>
      <w:r w:rsidRPr="000F3931">
        <w:rPr>
          <w:rFonts w:ascii="Arial" w:eastAsia="Calibri" w:hAnsi="Arial" w:cs="Arial"/>
          <w:sz w:val="21"/>
          <w:szCs w:val="21"/>
          <w:lang w:val="es-ES"/>
        </w:rPr>
        <w:t xml:space="preserve"> (énfasis fuera de texto).</w:t>
      </w:r>
    </w:p>
    <w:p w14:paraId="72FC7188" w14:textId="77777777" w:rsidR="008B748F" w:rsidRPr="000F3931" w:rsidRDefault="008B748F" w:rsidP="008B748F">
      <w:pPr>
        <w:spacing w:after="240" w:line="276" w:lineRule="auto"/>
        <w:ind w:firstLine="709"/>
        <w:jc w:val="both"/>
        <w:rPr>
          <w:rFonts w:ascii="Arial" w:eastAsia="Calibri" w:hAnsi="Arial" w:cs="Arial"/>
          <w:lang w:val="es-ES"/>
        </w:rPr>
      </w:pPr>
      <w:r w:rsidRPr="000F3931">
        <w:rPr>
          <w:rFonts w:ascii="Arial" w:eastAsia="Calibri" w:hAnsi="Arial" w:cs="Arial"/>
          <w:lang w:val="es-ES"/>
        </w:rPr>
        <w:t xml:space="preserve">De acuerdo con la Ley 80 de 1993, los territorios indígenas eran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presentaba dificultades. Esto en la medida que no existía una norma que definiera los territorios indígenas a los que hacía referencia el artículo 2 de esta Ley, lo que necesariamente </w:t>
      </w:r>
      <w:r w:rsidRPr="000F3931">
        <w:rPr>
          <w:rFonts w:ascii="Arial" w:eastAsia="Calibri" w:hAnsi="Arial" w:cs="Arial"/>
          <w:lang w:val="es-ES"/>
        </w:rPr>
        <w:lastRenderedPageBreak/>
        <w:t xml:space="preserve">remitía a otras normas a efectos de determinar qué se entendía por estos y cuáles tenían capacidad para adquirir obligaciones. </w:t>
      </w:r>
    </w:p>
    <w:p w14:paraId="599C738D" w14:textId="77777777" w:rsidR="008B748F" w:rsidRPr="000F3931" w:rsidRDefault="008B748F" w:rsidP="008B748F">
      <w:pPr>
        <w:spacing w:after="240" w:line="276" w:lineRule="auto"/>
        <w:ind w:firstLine="680"/>
        <w:jc w:val="both"/>
        <w:rPr>
          <w:rFonts w:ascii="Arial" w:eastAsia="Calibri" w:hAnsi="Arial" w:cs="Arial"/>
          <w:lang w:val="es-ES"/>
        </w:rPr>
      </w:pPr>
      <w:r w:rsidRPr="000F3931">
        <w:rPr>
          <w:rFonts w:ascii="Arial" w:eastAsia="Calibri" w:hAnsi="Arial" w:cs="Arial"/>
          <w:lang w:val="es-ES"/>
        </w:rPr>
        <w:t xml:space="preserve">En este contexto, posteriormente, se expediría la Ley 1454 de 2011, «Por la cual se dictan normas orgánicas sobre ordenamiento territorial y se modifican otras disposiciones», que reguló asuntos relacionados con el ordenamiento territorial. Sin embargo, esta ley no constituyó a los territorios indígenas, como lo demuestra el parágrafo 2° del artículo 37, al disponer que el Gobierno debía presentar al Congreso un proyecto de ley que regulara la materia. Esta norma establece: </w:t>
      </w:r>
    </w:p>
    <w:p w14:paraId="6209DFE2" w14:textId="169A93C2" w:rsidR="008B748F" w:rsidRPr="000F3931" w:rsidRDefault="00FC61C5"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lang w:val="es-ES"/>
        </w:rPr>
        <w:t>«</w:t>
      </w:r>
      <w:r w:rsidR="008B748F" w:rsidRPr="000F3931">
        <w:rPr>
          <w:rFonts w:ascii="Arial" w:eastAsia="Calibri" w:hAnsi="Arial" w:cs="Arial"/>
          <w:sz w:val="21"/>
          <w:szCs w:val="21"/>
          <w:lang w:val="es-ES"/>
        </w:rPr>
        <w:t xml:space="preserve">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2FDEBE04" w14:textId="155210DD" w:rsidR="008B748F" w:rsidRPr="000F3931" w:rsidRDefault="008B748F"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sz w:val="21"/>
          <w:szCs w:val="21"/>
          <w:lang w:val="es-ES"/>
        </w:rPr>
        <w:t>En desarrollo de esta norma y cuando corresponda, el Gobierno Nacional hará la delimitación correspondiente, previo concepto de la comisión de ordenamiento territorial, como instancia consultiva del proceso.</w:t>
      </w:r>
      <w:r w:rsidR="00FC61C5" w:rsidRPr="000F3931">
        <w:rPr>
          <w:rFonts w:ascii="Arial" w:eastAsia="Calibri" w:hAnsi="Arial" w:cs="Arial"/>
          <w:lang w:val="es-ES"/>
        </w:rPr>
        <w:t>»</w:t>
      </w:r>
    </w:p>
    <w:p w14:paraId="0F2C5BEC" w14:textId="77777777" w:rsidR="008B748F" w:rsidRPr="000F3931" w:rsidRDefault="008B748F" w:rsidP="008B748F">
      <w:pPr>
        <w:spacing w:after="240" w:line="276" w:lineRule="auto"/>
        <w:ind w:firstLine="709"/>
        <w:jc w:val="both"/>
        <w:rPr>
          <w:rFonts w:ascii="Arial" w:eastAsia="Calibri" w:hAnsi="Arial" w:cs="Arial"/>
          <w:lang w:val="es-ES"/>
        </w:rPr>
      </w:pPr>
      <w:r w:rsidRPr="000F3931">
        <w:rPr>
          <w:rFonts w:ascii="Arial" w:eastAsia="Calibri" w:hAnsi="Arial" w:cs="Arial"/>
          <w:lang w:val="es-ES"/>
        </w:rPr>
        <w:t>Por su parte, la Corte Constitucional, en Sentencia C-489 de 2012, se pronunció sobre la constitucionalidad de la Ley 1454 de 2011, determinando que existía una omisión legislativa respecto de los territorios indígenas:</w:t>
      </w:r>
    </w:p>
    <w:p w14:paraId="33CF369D" w14:textId="7A8D4E65" w:rsidR="008B748F" w:rsidRPr="000F3931" w:rsidRDefault="00FC61C5"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lang w:val="es-ES"/>
        </w:rPr>
        <w:t>«</w:t>
      </w:r>
      <w:r w:rsidR="008B748F" w:rsidRPr="000F3931">
        <w:rPr>
          <w:rFonts w:ascii="Arial" w:eastAsia="Calibri" w:hAnsi="Arial"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w:t>
      </w:r>
    </w:p>
    <w:p w14:paraId="2F6F029F"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p w14:paraId="50C46294"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w:t>
      </w:r>
    </w:p>
    <w:p w14:paraId="1906B949" w14:textId="2706E733"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 xml:space="preserve">2.8.47. Teniendo en cuenta lo anterior se verifica que en la Ley 1454 de 2011, se omite de manera absoluta un desarrollo directo de las regiones como entidades territoriales </w:t>
      </w:r>
      <w:r w:rsidRPr="000F3931">
        <w:rPr>
          <w:rFonts w:ascii="Arial" w:eastAsia="Calibri" w:hAnsi="Arial" w:cs="Arial"/>
          <w:sz w:val="21"/>
          <w:szCs w:val="21"/>
          <w:lang w:val="es-ES"/>
        </w:rPr>
        <w:lastRenderedPageBreak/>
        <w:t>del artículo 307 de la C.P., así como de las entidades territoriales indígenas previstas en el artículo 329 de la C.P., ya que solo se establecen normas que remiten a una posterior regulación de dichos deberes constitucionales. Por tal motivo, se advierte que en el presente caso lo que se presenta en el caso concreto es una ausencia total de legislación produciéndose de esta manera una omisión legislativa absoluta [...]</w:t>
      </w:r>
      <w:r w:rsidRPr="000F3931">
        <w:rPr>
          <w:rFonts w:ascii="Arial" w:eastAsia="Calibri" w:hAnsi="Arial" w:cs="Arial"/>
          <w:vertAlign w:val="superscript"/>
          <w:lang w:val="es-ES"/>
        </w:rPr>
        <w:footnoteReference w:id="4"/>
      </w:r>
      <w:r w:rsidRPr="000F3931">
        <w:rPr>
          <w:rFonts w:ascii="Arial" w:eastAsia="Calibri" w:hAnsi="Arial" w:cs="Arial"/>
          <w:sz w:val="21"/>
          <w:szCs w:val="21"/>
          <w:lang w:val="es-ES"/>
        </w:rPr>
        <w:t>.</w:t>
      </w:r>
      <w:r w:rsidR="00FC61C5" w:rsidRPr="000F3931">
        <w:rPr>
          <w:rFonts w:ascii="Arial" w:eastAsia="Calibri" w:hAnsi="Arial" w:cs="Arial"/>
          <w:lang w:val="es-ES"/>
        </w:rPr>
        <w:t>»</w:t>
      </w:r>
    </w:p>
    <w:p w14:paraId="31FEE01D" w14:textId="77777777" w:rsidR="008B748F" w:rsidRPr="000F3931" w:rsidRDefault="008B748F" w:rsidP="008B748F">
      <w:pPr>
        <w:spacing w:after="240" w:line="276" w:lineRule="auto"/>
        <w:ind w:firstLine="709"/>
        <w:jc w:val="both"/>
        <w:rPr>
          <w:rFonts w:ascii="Arial" w:eastAsia="Calibri" w:hAnsi="Arial" w:cs="Arial"/>
          <w:lang w:val="es-ES"/>
        </w:rPr>
      </w:pPr>
      <w:r w:rsidRPr="000F3931">
        <w:rPr>
          <w:rFonts w:ascii="Arial" w:eastAsia="Calibri" w:hAnsi="Arial" w:cs="Arial"/>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19E89406"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 xml:space="preserve">Artículo 6°. El artículo 3° de la Ley 136 de 1994 quedará así: </w:t>
      </w:r>
    </w:p>
    <w:p w14:paraId="0A837BB5" w14:textId="30A0AB08" w:rsidR="008B748F" w:rsidRPr="000F3931" w:rsidRDefault="00FC61C5"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lang w:val="es-ES"/>
        </w:rPr>
        <w:t>«</w:t>
      </w:r>
      <w:r w:rsidR="008B748F" w:rsidRPr="000F3931">
        <w:rPr>
          <w:rFonts w:ascii="Arial" w:eastAsia="Calibri" w:hAnsi="Arial" w:cs="Arial"/>
          <w:sz w:val="21"/>
          <w:szCs w:val="21"/>
          <w:lang w:val="es-ES"/>
        </w:rPr>
        <w:t>Artículo 3°. Funciones de los municipios. Corresponde al municipio:</w:t>
      </w:r>
    </w:p>
    <w:p w14:paraId="712D73D7"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w:t>
      </w:r>
    </w:p>
    <w:p w14:paraId="77C1FBEF"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67EAF157"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3B3977A3" w14:textId="06F768FD"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18. Celebrar convenios de uso de bienes públicos y/o de usufructo comunitario con los cabildos, autoridades y organizaciones indígenas y con los organismos de acción comunal y otros organismos comunitarios. […]</w:t>
      </w:r>
      <w:r w:rsidR="00FC61C5" w:rsidRPr="000F3931">
        <w:rPr>
          <w:rFonts w:ascii="Arial" w:eastAsia="Calibri" w:hAnsi="Arial" w:cs="Arial"/>
          <w:lang w:val="es-ES"/>
        </w:rPr>
        <w:t>»</w:t>
      </w:r>
    </w:p>
    <w:p w14:paraId="26AF8AAC" w14:textId="77777777" w:rsidR="008B748F" w:rsidRPr="000F3931" w:rsidRDefault="008B748F" w:rsidP="008B748F">
      <w:pPr>
        <w:spacing w:after="240" w:line="276" w:lineRule="auto"/>
        <w:ind w:firstLine="709"/>
        <w:jc w:val="both"/>
        <w:rPr>
          <w:rFonts w:ascii="Arial" w:eastAsia="Calibri" w:hAnsi="Arial" w:cs="Arial"/>
          <w:lang w:val="es-ES"/>
        </w:rPr>
      </w:pPr>
      <w:r w:rsidRPr="000F3931">
        <w:rPr>
          <w:rFonts w:ascii="Arial" w:eastAsia="Calibri" w:hAnsi="Arial" w:cs="Arial"/>
          <w:lang w:val="es-ES"/>
        </w:rPr>
        <w:t xml:space="preserve">Así,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éstos, la Ley, en el parágrafo 3 del artículo 6, prescribe lo siguiente: </w:t>
      </w:r>
    </w:p>
    <w:p w14:paraId="3767B5E3" w14:textId="17041AC2" w:rsidR="008B748F" w:rsidRPr="000F3931" w:rsidRDefault="00FC61C5"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lang w:val="es-ES"/>
        </w:rPr>
        <w:t>«</w:t>
      </w:r>
      <w:r w:rsidR="008B748F" w:rsidRPr="000F3931">
        <w:rPr>
          <w:rFonts w:ascii="Arial" w:eastAsia="Calibri" w:hAnsi="Arial" w:cs="Arial"/>
          <w:sz w:val="21"/>
          <w:szCs w:val="21"/>
          <w:lang w:val="es-ES"/>
        </w:rPr>
        <w:t xml:space="preserve">Parágrafo 3°. Convenios Solidarios. Entiéndase por convenios solidarios la complementación de esfuerzos institucionales, comunitarios, económicos y sociales </w:t>
      </w:r>
      <w:r w:rsidR="008B748F" w:rsidRPr="000F3931">
        <w:rPr>
          <w:rFonts w:ascii="Arial" w:eastAsia="Calibri" w:hAnsi="Arial" w:cs="Arial"/>
          <w:sz w:val="21"/>
          <w:szCs w:val="21"/>
          <w:lang w:val="es-ES"/>
        </w:rPr>
        <w:lastRenderedPageBreak/>
        <w:t xml:space="preserve">para la construcción de obras y la satisfacción de necesidades y aspiraciones de las comunidades. </w:t>
      </w:r>
    </w:p>
    <w:p w14:paraId="20B9914B" w14:textId="77777777" w:rsidR="008B748F" w:rsidRPr="000F3931" w:rsidRDefault="008B748F"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sz w:val="21"/>
          <w:szCs w:val="21"/>
          <w:lang w:val="es-E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0A07BD32" w14:textId="1EDD31CB" w:rsidR="008B748F" w:rsidRPr="000F3931" w:rsidRDefault="008B748F" w:rsidP="008B748F">
      <w:pPr>
        <w:spacing w:after="240" w:line="240" w:lineRule="auto"/>
        <w:ind w:left="709" w:right="709"/>
        <w:jc w:val="both"/>
        <w:rPr>
          <w:rFonts w:ascii="Arial" w:eastAsia="Calibri" w:hAnsi="Arial" w:cs="Arial"/>
          <w:sz w:val="21"/>
          <w:szCs w:val="21"/>
          <w:lang w:val="es-ES"/>
        </w:rPr>
      </w:pPr>
      <w:r w:rsidRPr="000F3931">
        <w:rPr>
          <w:rFonts w:ascii="Arial" w:eastAsia="Calibri" w:hAnsi="Arial"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r w:rsidR="00FC61C5" w:rsidRPr="000F3931">
        <w:rPr>
          <w:rFonts w:ascii="Arial" w:eastAsia="Calibri" w:hAnsi="Arial" w:cs="Arial"/>
          <w:lang w:val="es-ES"/>
        </w:rPr>
        <w:t>»</w:t>
      </w:r>
    </w:p>
    <w:p w14:paraId="65F1DD8F" w14:textId="77777777" w:rsidR="008B748F" w:rsidRPr="000F3931" w:rsidRDefault="008B748F" w:rsidP="008B748F">
      <w:pPr>
        <w:spacing w:after="240" w:line="276" w:lineRule="auto"/>
        <w:jc w:val="both"/>
        <w:rPr>
          <w:rFonts w:ascii="Arial" w:eastAsia="Calibri" w:hAnsi="Arial" w:cs="Arial"/>
          <w:lang w:val="es-ES"/>
        </w:rPr>
      </w:pPr>
      <w:r w:rsidRPr="000F3931">
        <w:rPr>
          <w:rFonts w:ascii="Arial" w:eastAsia="Calibri" w:hAnsi="Arial" w:cs="Arial"/>
          <w:lang w:val="es-ES"/>
        </w:rPr>
        <w:tab/>
        <w:t>Posteriormente, se expidió el Decreto 1953 de 2014, «Por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0ACDB236" w14:textId="77777777" w:rsidR="008B748F" w:rsidRPr="000F3931" w:rsidRDefault="008B748F" w:rsidP="008B748F">
      <w:pPr>
        <w:spacing w:after="240" w:line="276" w:lineRule="auto"/>
        <w:ind w:firstLine="708"/>
        <w:jc w:val="both"/>
        <w:rPr>
          <w:rFonts w:ascii="Arial" w:eastAsia="Calibri" w:hAnsi="Arial" w:cs="Arial"/>
          <w:lang w:val="es-ES"/>
        </w:rPr>
      </w:pPr>
      <w:r w:rsidRPr="000F3931">
        <w:rPr>
          <w:rFonts w:ascii="Arial" w:eastAsia="Calibri" w:hAnsi="Arial" w:cs="Arial"/>
          <w:lang w:val="es-ES"/>
        </w:rPr>
        <w:t>Los aspectos más relevantes de esta norma son los relacionados con el funcionamiento de los territorios indígenas. Al respecto, dispone que los resguardos podrán asociarse para administrar y ejecutar los recursos del SGP y que dichas asociaciones serán consideradas personas jurídicas de derecho público especial.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Las normas prescriben lo siguiente:</w:t>
      </w:r>
    </w:p>
    <w:p w14:paraId="103A6D61" w14:textId="37174BDA" w:rsidR="008B748F" w:rsidRPr="000F3931" w:rsidRDefault="00FC61C5"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lang w:val="es-ES"/>
        </w:rPr>
        <w:t>«</w:t>
      </w:r>
      <w:r w:rsidR="008B748F" w:rsidRPr="000F3931">
        <w:rPr>
          <w:rFonts w:ascii="Arial" w:eastAsia="Calibri" w:hAnsi="Arial" w:cs="Arial"/>
          <w:sz w:val="21"/>
          <w:szCs w:val="21"/>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2C82D8B6"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w:t>
      </w:r>
    </w:p>
    <w:p w14:paraId="32C099FB" w14:textId="77777777"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lastRenderedPageBreak/>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21E00030" w14:textId="14C429F8"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Artículo 34. Ejecución de recursos de asignación especial no administrados por Resguardos Indígenas. </w:t>
      </w:r>
      <w:r w:rsidR="00FC61C5" w:rsidRPr="000F3931">
        <w:rPr>
          <w:rFonts w:ascii="Arial" w:eastAsia="Calibri" w:hAnsi="Arial" w:cs="Arial"/>
          <w:sz w:val="21"/>
          <w:szCs w:val="21"/>
          <w:lang w:val="es-ES"/>
        </w:rPr>
        <w:t>En caso de que</w:t>
      </w:r>
      <w:r w:rsidRPr="000F3931">
        <w:rPr>
          <w:rFonts w:ascii="Arial" w:eastAsia="Calibri" w:hAnsi="Arial" w:cs="Arial"/>
          <w:sz w:val="21"/>
          <w:szCs w:val="21"/>
          <w:lang w:val="es-ES"/>
        </w:rPr>
        <w:t xml:space="preserv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2973E849" w14:textId="1F72B8FD" w:rsidR="008B748F" w:rsidRPr="000F3931" w:rsidRDefault="008B748F" w:rsidP="008B748F">
      <w:pPr>
        <w:spacing w:after="240" w:line="240" w:lineRule="auto"/>
        <w:ind w:left="708" w:right="709"/>
        <w:jc w:val="both"/>
        <w:rPr>
          <w:rFonts w:ascii="Arial" w:eastAsia="Calibri" w:hAnsi="Arial" w:cs="Arial"/>
          <w:sz w:val="21"/>
          <w:szCs w:val="21"/>
          <w:lang w:val="es-ES"/>
        </w:rPr>
      </w:pPr>
      <w:r w:rsidRPr="000F3931">
        <w:rPr>
          <w:rFonts w:ascii="Arial" w:eastAsia="Calibri" w:hAnsi="Arial" w:cs="Arial"/>
          <w:sz w:val="21"/>
          <w:szCs w:val="21"/>
          <w:lang w:val="es-ES"/>
        </w:rPr>
        <w:t>[…]</w:t>
      </w:r>
      <w:r w:rsidR="00FC61C5" w:rsidRPr="000F3931">
        <w:rPr>
          <w:rFonts w:ascii="Arial" w:eastAsia="Calibri" w:hAnsi="Arial" w:cs="Arial"/>
          <w:lang w:val="es-ES"/>
        </w:rPr>
        <w:t>»</w:t>
      </w:r>
    </w:p>
    <w:p w14:paraId="5EA310DC" w14:textId="77777777" w:rsidR="008B748F" w:rsidRPr="000F3931" w:rsidRDefault="008B748F" w:rsidP="008B748F">
      <w:pPr>
        <w:spacing w:after="240" w:line="276" w:lineRule="auto"/>
        <w:ind w:firstLine="709"/>
        <w:jc w:val="both"/>
        <w:rPr>
          <w:rFonts w:ascii="Arial" w:eastAsia="Calibri" w:hAnsi="Arial" w:cs="Arial"/>
        </w:rPr>
      </w:pPr>
      <w:r w:rsidRPr="000F3931">
        <w:rPr>
          <w:rFonts w:ascii="Arial" w:eastAsia="Calibri" w:hAnsi="Arial" w:cs="Arial"/>
          <w:lang w:val="es-ES"/>
        </w:rPr>
        <w:t xml:space="preserve">En relación con el último artículo citado </w:t>
      </w:r>
      <w:r w:rsidRPr="000F3931">
        <w:rPr>
          <w:rFonts w:ascii="Arial" w:eastAsia="Calibri" w:hAnsi="Arial" w:cs="Arial"/>
          <w:lang w:val="es-MX"/>
        </w:rPr>
        <w:t>debe tenerse en cuenta que la capacidad jurídica en la contratación estatal es la facultad legal que tiene una persona para celebrar contratos con una entidad pública. Es decir, que pueda obligarse a cumplir con el objeto de contrato, siempre que no se encuentre incurso en inhabilidades o incompatibilidades que le impida celebrarlo. En este tipo de regulaciones, como ya se señaló la capacidad del resguardo indígena no autorizado se limita a un contrato de administración y, por tanto, no podrá participar en la ejecución de otros tipos de negocio jurídico. </w:t>
      </w:r>
      <w:r w:rsidRPr="000F3931">
        <w:rPr>
          <w:rFonts w:ascii="Arial" w:eastAsia="Calibri" w:hAnsi="Arial" w:cs="Arial"/>
        </w:rPr>
        <w:t> </w:t>
      </w:r>
    </w:p>
    <w:p w14:paraId="30CAA7AE" w14:textId="77777777" w:rsidR="008B748F" w:rsidRPr="000F3931" w:rsidRDefault="008B748F" w:rsidP="008B748F">
      <w:pPr>
        <w:spacing w:after="240" w:line="276" w:lineRule="auto"/>
        <w:ind w:firstLine="709"/>
        <w:jc w:val="both"/>
        <w:rPr>
          <w:rFonts w:ascii="Arial" w:eastAsia="Calibri" w:hAnsi="Arial" w:cs="Arial"/>
        </w:rPr>
      </w:pPr>
      <w:r w:rsidRPr="000F3931">
        <w:rPr>
          <w:rFonts w:ascii="Arial" w:eastAsia="Calibri" w:hAnsi="Arial" w:cs="Arial"/>
        </w:rPr>
        <w:t xml:space="preserve">Al respecto, es pertinente mencionar que </w:t>
      </w:r>
      <w:r w:rsidRPr="000F3931">
        <w:rPr>
          <w:rFonts w:ascii="Arial" w:eastAsia="Calibri" w:hAnsi="Arial" w:cs="Arial"/>
          <w:lang w:val="es-ES"/>
        </w:rPr>
        <w:t>en el documento «</w:t>
      </w:r>
      <w:r w:rsidRPr="000F3931">
        <w:rPr>
          <w:rFonts w:ascii="Arial" w:eastAsia="Calibri" w:hAnsi="Arial" w:cs="Arial"/>
        </w:rPr>
        <w:t>Orientaciones para la programación, administración y ejecución de los recursos de la Asignación Especial del Sistema General de Participaciones para los Resguardos Indígenas (AESGPRI)</w:t>
      </w:r>
      <w:r w:rsidRPr="000F3931">
        <w:rPr>
          <w:rFonts w:ascii="Arial" w:eastAsia="Calibri" w:hAnsi="Arial" w:cs="Arial"/>
          <w:lang w:val="es-ES"/>
        </w:rPr>
        <w:t>» expedido por el Departamento Nacional de Planeación - DNP, se explica que «</w:t>
      </w:r>
      <w:r w:rsidRPr="000F3931">
        <w:rPr>
          <w:rFonts w:ascii="Arial" w:eastAsia="Calibri" w:hAnsi="Arial" w:cs="Arial"/>
        </w:rPr>
        <w:t>una vez sea firmado el contrato de administración de los recursos de la AESGPRI, el alcalde, o gobernador según el caso, deberá proceder a la ejecución de cada uno de los proyectos incluidos en dicho contrato, con estricta aplicación de las normas que rigen la contratación estatal</w:t>
      </w:r>
      <w:r w:rsidRPr="000F3931">
        <w:rPr>
          <w:rFonts w:ascii="Arial" w:eastAsia="Calibri" w:hAnsi="Arial" w:cs="Arial"/>
          <w:lang w:val="es-ES"/>
        </w:rPr>
        <w:t>»</w:t>
      </w:r>
      <w:r w:rsidRPr="000F3931">
        <w:rPr>
          <w:rFonts w:ascii="Arial" w:eastAsia="Calibri" w:hAnsi="Arial" w:cs="Arial"/>
          <w:vertAlign w:val="superscript"/>
          <w:lang w:val="es-ES"/>
        </w:rPr>
        <w:footnoteReference w:id="5"/>
      </w:r>
      <w:r w:rsidRPr="000F3931">
        <w:rPr>
          <w:rFonts w:ascii="Arial" w:eastAsia="Calibri" w:hAnsi="Arial" w:cs="Arial"/>
        </w:rPr>
        <w:t xml:space="preserve">. De esta manera, en el evento en que los recursos no sean administrados por los resguardos indígenas, estos solo tendrán la facultad para celebrar el contrato de administración con la entidad territorial y no podrán celebrar otros negocios jurídicos. </w:t>
      </w:r>
    </w:p>
    <w:p w14:paraId="698F9D4B" w14:textId="77777777" w:rsidR="008B748F" w:rsidRPr="000F3931" w:rsidRDefault="008B748F" w:rsidP="008B748F">
      <w:pPr>
        <w:spacing w:after="240" w:line="276" w:lineRule="auto"/>
        <w:ind w:firstLine="709"/>
        <w:jc w:val="both"/>
        <w:rPr>
          <w:rFonts w:ascii="Arial" w:eastAsia="Calibri" w:hAnsi="Arial" w:cs="Arial"/>
          <w:lang w:val="es-ES"/>
        </w:rPr>
      </w:pPr>
      <w:r w:rsidRPr="000F3931">
        <w:rPr>
          <w:rFonts w:ascii="Arial" w:eastAsia="Calibri" w:hAnsi="Arial" w:cs="Arial"/>
          <w:lang w:val="es-ES"/>
        </w:rPr>
        <w:t xml:space="preserve">Por otro lado, el artículo 20 del Decreto 1953 de 2014 dispone que los actos o contratos que celebren o expidan los territorios indígenas en virtud de dicho decreto se regirán por el Estatuto Orgánico del Presupuesto y el Estatuto de Contratación Estatal, entre otras normas. </w:t>
      </w:r>
      <w:r w:rsidRPr="000F3931">
        <w:rPr>
          <w:rFonts w:ascii="Arial" w:eastAsia="Calibri" w:hAnsi="Arial" w:cs="Arial"/>
          <w:lang w:val="es-ES"/>
        </w:rPr>
        <w:lastRenderedPageBreak/>
        <w:t>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Pr="000F3931">
        <w:rPr>
          <w:rFonts w:ascii="Arial" w:eastAsia="Calibri" w:hAnsi="Arial" w:cs="Arial"/>
          <w:vertAlign w:val="superscript"/>
          <w:lang w:val="es-ES"/>
        </w:rPr>
        <w:footnoteReference w:id="6"/>
      </w:r>
      <w:r w:rsidRPr="000F3931">
        <w:rPr>
          <w:rFonts w:ascii="Arial" w:eastAsia="Calibri" w:hAnsi="Arial" w:cs="Arial"/>
          <w:lang w:val="es-ES"/>
        </w:rPr>
        <w:t xml:space="preserve">. </w:t>
      </w:r>
    </w:p>
    <w:p w14:paraId="45923357" w14:textId="77777777" w:rsidR="008B748F" w:rsidRPr="000F3931" w:rsidRDefault="008B748F" w:rsidP="008B748F">
      <w:pPr>
        <w:spacing w:after="240" w:line="276" w:lineRule="auto"/>
        <w:ind w:firstLine="709"/>
        <w:jc w:val="both"/>
        <w:rPr>
          <w:rFonts w:ascii="Arial" w:eastAsia="Calibri" w:hAnsi="Arial" w:cs="Arial"/>
          <w:lang w:val="es-ES"/>
        </w:rPr>
      </w:pPr>
      <w:r w:rsidRPr="000F3931">
        <w:rPr>
          <w:rFonts w:ascii="Arial" w:eastAsia="Calibri" w:hAnsi="Arial" w:cs="Arial"/>
          <w:lang w:val="es-ES"/>
        </w:rPr>
        <w:t xml:space="preserve">De las normas anteriormente citadas, y para efectos específicos de la consulta, se concluye que conforme al Decreto 1953 de 2014, los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w:t>
      </w:r>
    </w:p>
    <w:p w14:paraId="14C87C6E" w14:textId="77777777" w:rsidR="008B748F" w:rsidRPr="000F3931" w:rsidRDefault="008B748F" w:rsidP="008B748F">
      <w:pPr>
        <w:spacing w:after="240" w:line="276" w:lineRule="auto"/>
        <w:ind w:firstLine="709"/>
        <w:jc w:val="both"/>
        <w:rPr>
          <w:rFonts w:ascii="Arial" w:eastAsia="Calibri" w:hAnsi="Arial" w:cs="Arial"/>
          <w:lang w:val="es-ES"/>
        </w:rPr>
      </w:pPr>
      <w:r w:rsidRPr="000F3931">
        <w:rPr>
          <w:rFonts w:ascii="Arial" w:eastAsia="Calibri" w:hAnsi="Arial" w:cs="Arial"/>
          <w:lang w:val="es-ES"/>
        </w:rPr>
        <w:t xml:space="preserve">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6A5A4A0C" w14:textId="77777777" w:rsidR="008B748F" w:rsidRPr="000F3931" w:rsidRDefault="008B748F" w:rsidP="008B748F">
      <w:pPr>
        <w:spacing w:after="240" w:line="276" w:lineRule="auto"/>
        <w:jc w:val="both"/>
        <w:rPr>
          <w:rFonts w:ascii="Arial" w:eastAsia="Times New Roman" w:hAnsi="Arial" w:cs="Arial"/>
          <w:lang w:eastAsia="es-CO"/>
        </w:rPr>
      </w:pPr>
      <w:r w:rsidRPr="000F3931">
        <w:rPr>
          <w:rFonts w:ascii="Arial" w:eastAsia="Calibri" w:hAnsi="Arial" w:cs="Arial"/>
          <w:lang w:val="es-ES"/>
        </w:rPr>
        <w:tab/>
      </w:r>
      <w:r w:rsidRPr="000F3931">
        <w:rPr>
          <w:rFonts w:ascii="Arial" w:eastAsia="Calibri" w:hAnsi="Arial" w:cs="Arial"/>
          <w:lang w:val="es-ES" w:eastAsia="es-CO"/>
        </w:rPr>
        <w:t xml:space="preserve">Ahora, si bien la Ley 80 de 1993 dentro de su propio texto estableció que los </w:t>
      </w:r>
      <w:r w:rsidRPr="000F3931">
        <w:rPr>
          <w:rFonts w:ascii="Arial" w:eastAsia="Calibri" w:hAnsi="Arial" w:cs="Arial"/>
          <w:i/>
          <w:iCs/>
          <w:lang w:val="es-ES" w:eastAsia="es-CO"/>
        </w:rPr>
        <w:t>territorios indígenas</w:t>
      </w:r>
      <w:r w:rsidRPr="000F3931">
        <w:rPr>
          <w:rFonts w:ascii="Arial" w:eastAsia="Calibri" w:hAnsi="Arial" w:cs="Arial"/>
          <w:lang w:val="es-ES" w:eastAsia="es-CO"/>
        </w:rPr>
        <w:t xml:space="preserve"> constituyen entidades estatales, lo cierto es que aún no hay desarrollos legislativos sobre la materia, lo que ha impedido que los mismos puedan implementarse y obrar como entidades estatales, al tenor del artículo 2 de la Ley 80 de 1993. </w:t>
      </w:r>
    </w:p>
    <w:p w14:paraId="24D79025" w14:textId="77777777" w:rsidR="008B748F" w:rsidRPr="000F3931" w:rsidRDefault="008B748F" w:rsidP="008B748F">
      <w:pPr>
        <w:spacing w:after="240" w:line="276" w:lineRule="auto"/>
        <w:jc w:val="both"/>
        <w:rPr>
          <w:rFonts w:ascii="Arial" w:eastAsia="Calibri" w:hAnsi="Arial" w:cs="Arial"/>
        </w:rPr>
      </w:pPr>
      <w:r w:rsidRPr="000F3931">
        <w:rPr>
          <w:rFonts w:ascii="Arial" w:eastAsia="Calibri" w:hAnsi="Arial" w:cs="Arial"/>
          <w:lang w:val="es-ES"/>
        </w:rPr>
        <w:tab/>
        <w:t xml:space="preserve">Por su parte, el Decreto 1953 de 2014, al implementar de manera transitoria los territorios indígenas, además dio el tratamiento de entidades de derecho público especial a estos, a los resguardos y a las asociaciones de estos, autorizadas para administrar recursos de </w:t>
      </w:r>
      <w:r w:rsidRPr="000F3931">
        <w:rPr>
          <w:rFonts w:ascii="Arial" w:eastAsia="Calibri" w:hAnsi="Arial" w:cs="Arial"/>
        </w:rPr>
        <w:t xml:space="preserve">asignación especial del SGP, asimilándolos a entidades estatales de conformidad con el artículo 2 de la Ley 80 de 1993.  </w:t>
      </w:r>
    </w:p>
    <w:p w14:paraId="7CC1907D" w14:textId="77777777" w:rsidR="008B748F" w:rsidRPr="000F3931" w:rsidRDefault="008B748F" w:rsidP="008B748F">
      <w:pPr>
        <w:spacing w:after="240" w:line="276" w:lineRule="auto"/>
        <w:ind w:firstLine="708"/>
        <w:jc w:val="both"/>
        <w:rPr>
          <w:rFonts w:ascii="Arial" w:eastAsia="Calibri" w:hAnsi="Arial" w:cs="Arial"/>
        </w:rPr>
      </w:pPr>
      <w:r w:rsidRPr="000F3931">
        <w:rPr>
          <w:rFonts w:ascii="Arial" w:eastAsia="Calibri" w:hAnsi="Arial" w:cs="Arial"/>
        </w:rPr>
        <w:lastRenderedPageBreak/>
        <w:t xml:space="preserve">En todo caso, es importante considerar que estos decretos tienen el carácter de decretos autónomos, pues fueron expedidos conforme a las facultades normativas excepcionales atribuidas al Gobierno Nacional por el artículo 56 transitorio de Constitución Política, en lo que el Congreso de la República implementa los territorios indígenas, cuestión respecto de la que permanece la omisión legislativa –sin perjuicio de la expedición de la Ley 1454 de 2011, tal como lo precisó la Corte Constitucional en las sentencias C-489 de 2012 y C-617 de 2015–. </w:t>
      </w:r>
    </w:p>
    <w:p w14:paraId="28D0FC54" w14:textId="77777777" w:rsidR="008B748F" w:rsidRPr="000F3931" w:rsidRDefault="008B748F" w:rsidP="008B748F">
      <w:pPr>
        <w:shd w:val="clear" w:color="auto" w:fill="FFFFFF"/>
        <w:spacing w:after="240" w:line="276" w:lineRule="auto"/>
        <w:jc w:val="both"/>
        <w:rPr>
          <w:rFonts w:ascii="Arial" w:eastAsia="Calibri" w:hAnsi="Arial" w:cs="Arial"/>
          <w:b/>
          <w:bCs/>
          <w:lang w:val="es-ES"/>
        </w:rPr>
      </w:pPr>
      <w:r w:rsidRPr="000F3931">
        <w:rPr>
          <w:rFonts w:ascii="Arial" w:eastAsia="Calibri" w:hAnsi="Arial" w:cs="Arial"/>
          <w:b/>
          <w:bCs/>
          <w:lang w:val="es-ES"/>
        </w:rPr>
        <w:t>2.3</w:t>
      </w:r>
      <w:r w:rsidRPr="000F3931">
        <w:rPr>
          <w:rFonts w:ascii="Arial" w:eastAsia="Calibri" w:hAnsi="Arial" w:cs="Arial"/>
          <w:b/>
          <w:bCs/>
          <w:i/>
          <w:iCs/>
          <w:lang w:val="es-ES"/>
        </w:rPr>
        <w:t xml:space="preserve">. </w:t>
      </w:r>
      <w:r w:rsidRPr="000F3931">
        <w:rPr>
          <w:rFonts w:ascii="Arial" w:eastAsia="Calibri" w:hAnsi="Arial" w:cs="Arial"/>
          <w:b/>
          <w:bCs/>
          <w:lang w:val="es-ES"/>
        </w:rPr>
        <w:t>Vigencia</w:t>
      </w:r>
      <w:r w:rsidRPr="000F3931">
        <w:rPr>
          <w:rFonts w:ascii="Arial" w:eastAsia="Calibri" w:hAnsi="Arial" w:cs="Arial"/>
          <w:b/>
          <w:bCs/>
          <w:i/>
          <w:iCs/>
          <w:lang w:val="es-ES"/>
        </w:rPr>
        <w:t xml:space="preserve"> </w:t>
      </w:r>
      <w:r w:rsidRPr="000F3931">
        <w:rPr>
          <w:rFonts w:ascii="Arial" w:eastAsia="Calibri" w:hAnsi="Arial" w:cs="Arial"/>
          <w:b/>
          <w:bCs/>
          <w:lang w:val="es-ES"/>
        </w:rPr>
        <w:t>y</w:t>
      </w:r>
      <w:r w:rsidRPr="000F3931">
        <w:rPr>
          <w:rFonts w:ascii="Arial" w:eastAsia="Calibri" w:hAnsi="Arial" w:cs="Arial"/>
          <w:b/>
          <w:bCs/>
          <w:i/>
          <w:iCs/>
          <w:lang w:val="es-ES"/>
        </w:rPr>
        <w:t xml:space="preserve"> </w:t>
      </w:r>
      <w:r w:rsidRPr="000F3931">
        <w:rPr>
          <w:rFonts w:ascii="Arial" w:eastAsia="Calibri" w:hAnsi="Arial" w:cs="Arial"/>
          <w:b/>
          <w:bCs/>
          <w:lang w:val="es-ES"/>
        </w:rPr>
        <w:t xml:space="preserve">ámbito de aplicación del Decreto 1953 de 2014 </w:t>
      </w:r>
    </w:p>
    <w:p w14:paraId="746CF229" w14:textId="77777777" w:rsidR="008B748F" w:rsidRPr="000F3931" w:rsidRDefault="008B748F" w:rsidP="008B748F">
      <w:pPr>
        <w:shd w:val="clear" w:color="auto" w:fill="FFFFFF"/>
        <w:spacing w:after="240" w:line="276" w:lineRule="auto"/>
        <w:jc w:val="both"/>
        <w:rPr>
          <w:rFonts w:ascii="Arial" w:eastAsia="Calibri" w:hAnsi="Arial" w:cs="Arial"/>
          <w:lang w:val="es-ES"/>
        </w:rPr>
      </w:pPr>
      <w:r w:rsidRPr="000F3931">
        <w:rPr>
          <w:rFonts w:ascii="Arial" w:eastAsia="Calibri" w:hAnsi="Arial" w:cs="Arial"/>
          <w:lang w:val="es-ES"/>
        </w:rPr>
        <w:t xml:space="preserve">La respuesta a la inquietud objeto de consulta obliga a analizar la vigencia del Decreto 1953 de 2014, </w:t>
      </w:r>
      <w:r w:rsidRPr="000F3931">
        <w:rPr>
          <w:rFonts w:ascii="Arial" w:eastAsia="Calibri" w:hAnsi="Arial" w:cs="Arial"/>
          <w:b/>
          <w:bCs/>
          <w:lang w:val="es-ES"/>
        </w:rPr>
        <w:t>«</w:t>
      </w:r>
      <w:r w:rsidRPr="000F3931">
        <w:rPr>
          <w:rFonts w:ascii="Arial" w:eastAsia="Calibri" w:hAnsi="Arial" w:cs="Arial"/>
          <w:shd w:val="clear" w:color="auto" w:fill="FFFFFF"/>
        </w:rPr>
        <w:t xml:space="preserve">Por el cual se crea un régimen especial con el fin de poner en funcionamiento los Territorios Indígenas respecto de la administración de los sistemas propios de los pueblos indígenas hasta que el Congreso expida la ley de </w:t>
      </w:r>
      <w:proofErr w:type="spellStart"/>
      <w:r w:rsidRPr="000F3931">
        <w:rPr>
          <w:rFonts w:ascii="Arial" w:eastAsia="Calibri" w:hAnsi="Arial" w:cs="Arial"/>
          <w:shd w:val="clear" w:color="auto" w:fill="FFFFFF"/>
        </w:rPr>
        <w:t>que</w:t>
      </w:r>
      <w:proofErr w:type="spellEnd"/>
      <w:r w:rsidRPr="000F3931">
        <w:rPr>
          <w:rFonts w:ascii="Arial" w:eastAsia="Calibri" w:hAnsi="Arial" w:cs="Arial"/>
          <w:shd w:val="clear" w:color="auto" w:fill="FFFFFF"/>
        </w:rPr>
        <w:t xml:space="preserve"> trata el artículo 329 de la Constitución Política</w:t>
      </w:r>
      <w:r w:rsidRPr="000F3931">
        <w:rPr>
          <w:rFonts w:ascii="Arial" w:eastAsia="Calibri" w:hAnsi="Arial" w:cs="Arial"/>
          <w:b/>
          <w:bCs/>
          <w:lang w:val="es-ES"/>
        </w:rPr>
        <w:t>».</w:t>
      </w:r>
      <w:r w:rsidRPr="000F3931">
        <w:rPr>
          <w:rFonts w:ascii="Arial" w:eastAsia="Calibri" w:hAnsi="Arial" w:cs="Arial"/>
          <w:lang w:val="es-ES"/>
        </w:rPr>
        <w:t xml:space="preserve"> Lo anterior, teniendo en cuenta que lo dispuesto en el artículo 5 de la Ley 2160 de 2021 </w:t>
      </w:r>
      <w:r w:rsidRPr="000F3931">
        <w:rPr>
          <w:rFonts w:ascii="Arial" w:eastAsia="Calibri" w:hAnsi="Arial" w:cs="Arial"/>
          <w:i/>
          <w:lang w:val="es-ES"/>
        </w:rPr>
        <w:t>«P</w:t>
      </w:r>
      <w:r w:rsidRPr="000F3931">
        <w:rPr>
          <w:rFonts w:ascii="Arial" w:eastAsia="Calibri" w:hAnsi="Arial" w:cs="Arial"/>
          <w:bCs/>
          <w:i/>
          <w:lang w:val="es-ES"/>
        </w:rPr>
        <w:t>or medio del cual se modifica la ley 80 de 1993 y la ley 1150 de 2007</w:t>
      </w:r>
      <w:r w:rsidRPr="000F3931">
        <w:rPr>
          <w:rFonts w:ascii="Arial" w:eastAsia="Calibri" w:hAnsi="Arial" w:cs="Arial"/>
          <w:i/>
          <w:lang w:val="es-ES"/>
        </w:rPr>
        <w:t>»</w:t>
      </w:r>
      <w:r w:rsidRPr="000F3931">
        <w:rPr>
          <w:rFonts w:ascii="Arial" w:eastAsia="Calibri" w:hAnsi="Arial" w:cs="Arial"/>
          <w:lang w:val="es-ES"/>
        </w:rPr>
        <w:t xml:space="preserve">, que dispone que «La presente ley rige a partir de la fecha de su promulgación y deroga todas las disposiciones que le sean contrarias». En ese sentido, la cuestión pasa por determinar si entre las disposiciones introducidas por la Ley 2160 de 2021, tendientes a regular la contratación directa con Cabildos Indígenas y Asociaciones de Cabildos Indígenas, y lo dispuesto en el Decreto 1953 de 2014, con respecto a la contratación de los resguardos indígenas por la asignación especial del Sistema General de Participaciones existe una derogatoria, y si ello afecta la capacidad contractual de estas últimas. </w:t>
      </w:r>
    </w:p>
    <w:p w14:paraId="12931252" w14:textId="77777777" w:rsidR="008B748F" w:rsidRPr="000F3931" w:rsidRDefault="008B748F" w:rsidP="008B748F">
      <w:pPr>
        <w:shd w:val="clear" w:color="auto" w:fill="FFFFFF"/>
        <w:spacing w:after="240" w:line="276" w:lineRule="auto"/>
        <w:jc w:val="both"/>
        <w:rPr>
          <w:rFonts w:ascii="Arial" w:eastAsia="Calibri" w:hAnsi="Arial" w:cs="Arial"/>
          <w:lang w:val="es-ES"/>
        </w:rPr>
      </w:pPr>
      <w:r w:rsidRPr="000F3931">
        <w:rPr>
          <w:rFonts w:ascii="Arial" w:eastAsia="Calibri" w:hAnsi="Arial" w:cs="Arial"/>
          <w:lang w:val="es-ES"/>
        </w:rPr>
        <w:tab/>
        <w:t xml:space="preserve">Comparadas ambas disposiciones, en primer lugar, se advierte que estas aplican a sujetos distintos. En efecto, el Decreto 1953 de 2014 prescribe que los resguardos indígenas autorizados para administrar la asignación especial de los recursos del Sistema General de Participaciones se consideran entidades públicas y los resguardos no autorizados pueden suscribir contratos de administración con las entidades territoriales. Por su parte, la Ley 2160 de 2021, al incorporar el literal L) al artículo 2.4 de la Ley 1150 de 2007, únicamente se refirió a Cabildos Indígenas y Asociaciones de Autoridades Tradicionales Indígenas. De esta manera, las asociaciones definidas por la Ley 2160 de 2021 solo estarían facultadas para la ejecución de proyectos en salud, educación y vivienda, requiriendo además de al menos diez (10) organizaciones regionales indígenas para su conformación, como indica el precitado artículo 7.8 de la Ley 80 de 1993, mientras el Decreto 1953 se basa en las contrataciones que se derivan de la asignación especial del SGP.  </w:t>
      </w:r>
    </w:p>
    <w:p w14:paraId="2F329E58" w14:textId="77777777" w:rsidR="008B748F" w:rsidRPr="000F3931" w:rsidRDefault="008B748F" w:rsidP="008B748F">
      <w:pPr>
        <w:spacing w:after="240" w:line="276" w:lineRule="auto"/>
        <w:ind w:firstLine="709"/>
        <w:jc w:val="both"/>
        <w:rPr>
          <w:rFonts w:ascii="Arial" w:eastAsia="Calibri" w:hAnsi="Arial" w:cs="Arial"/>
          <w:szCs w:val="24"/>
          <w:lang w:val="es-ES" w:eastAsia="es-ES_tradnl"/>
        </w:rPr>
      </w:pPr>
      <w:r w:rsidRPr="000F3931">
        <w:rPr>
          <w:rFonts w:ascii="Arial" w:eastAsia="Calibri" w:hAnsi="Arial" w:cs="Arial"/>
          <w:lang w:val="es-ES"/>
        </w:rPr>
        <w:t xml:space="preserve">En segundo lugar, el Decreto 1953 de 2014 dispone que los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w:t>
      </w:r>
      <w:r w:rsidRPr="000F3931">
        <w:rPr>
          <w:rFonts w:ascii="Arial" w:eastAsia="Calibri" w:hAnsi="Arial" w:cs="Arial"/>
          <w:lang w:val="es-ES"/>
        </w:rPr>
        <w:lastRenderedPageBreak/>
        <w:t xml:space="preserve">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Por otro lado, la Ley 2160 de 2020 permite que la contratación directa se realice respecto de objetos contractuales relacionados con el gobierno propio, la identidad cultural y los derechos de los pueblos indígenas, excluyendo la aplicación de la causal para justificar la celebración de contratos no relacionados con estos temas.   </w:t>
      </w:r>
    </w:p>
    <w:p w14:paraId="43F1658B" w14:textId="77777777" w:rsidR="008B748F" w:rsidRPr="000F3931" w:rsidRDefault="008B748F" w:rsidP="008B748F">
      <w:pPr>
        <w:shd w:val="clear" w:color="auto" w:fill="FFFFFF"/>
        <w:spacing w:after="240" w:line="276" w:lineRule="auto"/>
        <w:ind w:firstLine="708"/>
        <w:jc w:val="both"/>
        <w:rPr>
          <w:rFonts w:ascii="Arial" w:eastAsia="Times New Roman" w:hAnsi="Arial" w:cs="Arial"/>
          <w:lang w:val="es-ES"/>
        </w:rPr>
      </w:pPr>
      <w:r w:rsidRPr="000F3931">
        <w:rPr>
          <w:rFonts w:ascii="Arial" w:eastAsia="Calibri" w:hAnsi="Arial" w:cs="Arial"/>
          <w:lang w:val="es-ES"/>
        </w:rPr>
        <w:t xml:space="preserve">En tercer lugar, con respecto a la naturaleza jurídica y potestades normativas a las que obedecen cada una de estas normas, es importante tener en cuenta que la Ley 2160 de 2021 es una ley ordinaria expedida por el Congreso de la República, en atención a la potestad de configuración normativa atribuida por el inciso final del artículo 150 de la Constitución Política. Las disposiciones de esta ley modifican el EGCAP, atribuyendo capacidad jurídica a distintas instancias y entes de representación de las comunidades indígenas y étnicas, entre las que se encuentran los Cabildos Indígenas y las Asociaciones de Autoridades Tradicionales Indígenas, respecto de quienes se incluyen causales de contratación directa que permiten la celebración de contratos con objetos asociados al fortalecimiento del gobierno propio, la identidad cultural y los derechos de los pueblos indígenas. </w:t>
      </w:r>
    </w:p>
    <w:p w14:paraId="1ED15B97" w14:textId="77777777" w:rsidR="008B748F" w:rsidRPr="000F3931" w:rsidRDefault="008B748F" w:rsidP="008B748F">
      <w:pPr>
        <w:shd w:val="clear" w:color="auto" w:fill="FFFFFF"/>
        <w:spacing w:after="240" w:line="276" w:lineRule="auto"/>
        <w:ind w:firstLine="708"/>
        <w:jc w:val="both"/>
        <w:rPr>
          <w:rFonts w:ascii="Arial" w:eastAsia="Calibri" w:hAnsi="Arial" w:cs="Arial"/>
          <w:lang w:val="es-ES"/>
        </w:rPr>
      </w:pPr>
      <w:r w:rsidRPr="000F3931">
        <w:rPr>
          <w:rFonts w:ascii="Arial" w:eastAsia="Calibri" w:hAnsi="Arial" w:cs="Arial"/>
          <w:lang w:val="es-ES"/>
        </w:rPr>
        <w:t>En contraste, el Decreto 1953 de 2014 es un decreto autónomo o reglamento constitucional, que es definido como «[…] aquellos que expiden ciertas autoridades en virtud de una competencia normativa que les ha sido atribuida directamente por la Constitución, sin sujeción a la ley»</w:t>
      </w:r>
      <w:r w:rsidRPr="000F3931">
        <w:rPr>
          <w:rFonts w:ascii="Arial" w:eastAsia="Calibri" w:hAnsi="Arial" w:cs="Arial"/>
          <w:vertAlign w:val="superscript"/>
          <w:lang w:val="es-ES"/>
        </w:rPr>
        <w:footnoteReference w:id="7"/>
      </w:r>
      <w:r w:rsidRPr="000F3931">
        <w:rPr>
          <w:rFonts w:ascii="Arial" w:eastAsia="Calibri" w:hAnsi="Arial" w:cs="Arial"/>
          <w:lang w:val="es-ES"/>
        </w:rPr>
        <w:t xml:space="preserve">. Este decreto fue expedido por el Gobierno Nacional en ejercicio de la competencia prevista en el artículo 56 transitorio de la Constitución Política. Conforme se precisó </w:t>
      </w:r>
      <w:r w:rsidRPr="000F3931">
        <w:rPr>
          <w:rFonts w:ascii="Arial" w:eastAsia="Calibri" w:hAnsi="Arial" w:cs="Arial"/>
          <w:i/>
          <w:iCs/>
          <w:lang w:val="es-ES"/>
        </w:rPr>
        <w:t xml:space="preserve">supra, </w:t>
      </w:r>
      <w:r w:rsidRPr="000F3931">
        <w:rPr>
          <w:rFonts w:ascii="Arial" w:eastAsia="Calibri" w:hAnsi="Arial" w:cs="Arial"/>
          <w:lang w:val="es-ES"/>
        </w:rPr>
        <w:t xml:space="preserve">el ejercicio de esta competencia estuvo motivada en la omisión legislativa identificada por la Corte Constitucional en las sentencias C-489 de 2012 y C-617 de 2015, relacionada con la implementación de las entidades territoriales de acuerdo con el artículo 329 superior. Esto significa que los territorios indígenas a los que hace referencia el artículo 2 de la Ley 80 de 1993 no se les haya dado el tratamiento de entidades estatales para efectos de la contratación. </w:t>
      </w:r>
    </w:p>
    <w:p w14:paraId="60B37E61" w14:textId="77777777" w:rsidR="008B748F" w:rsidRPr="000F3931" w:rsidRDefault="008B748F" w:rsidP="008B748F">
      <w:pPr>
        <w:shd w:val="clear" w:color="auto" w:fill="FFFFFF"/>
        <w:spacing w:after="240" w:line="276" w:lineRule="auto"/>
        <w:jc w:val="both"/>
        <w:rPr>
          <w:rFonts w:ascii="Arial" w:eastAsia="Calibri" w:hAnsi="Arial" w:cs="Arial"/>
          <w:lang w:val="es-ES"/>
        </w:rPr>
      </w:pPr>
      <w:r w:rsidRPr="000F3931">
        <w:rPr>
          <w:rFonts w:ascii="Arial" w:eastAsia="Calibri" w:hAnsi="Arial" w:cs="Arial"/>
          <w:lang w:val="es-ES"/>
        </w:rPr>
        <w:tab/>
        <w:t>Si bien el Decreto 1953 de 2014 es un decreto autónomo de carácter residual, expedido en atención a una competencia normativa transitoria y por lo tanto temporal</w:t>
      </w:r>
      <w:r w:rsidRPr="000F3931">
        <w:rPr>
          <w:rFonts w:ascii="Arial" w:eastAsia="Calibri" w:hAnsi="Arial" w:cs="Arial"/>
          <w:vertAlign w:val="superscript"/>
          <w:lang w:val="es-ES"/>
        </w:rPr>
        <w:footnoteReference w:id="8"/>
      </w:r>
      <w:r w:rsidRPr="000F3931">
        <w:rPr>
          <w:rFonts w:ascii="Arial" w:eastAsia="Calibri" w:hAnsi="Arial" w:cs="Arial"/>
          <w:lang w:val="es-ES"/>
        </w:rPr>
        <w:t xml:space="preserve">, al persistir la omisión </w:t>
      </w:r>
      <w:r w:rsidRPr="000F3931">
        <w:rPr>
          <w:rFonts w:ascii="Arial" w:eastAsia="Calibri" w:hAnsi="Arial" w:cs="Arial"/>
          <w:lang w:val="es-ES"/>
        </w:rPr>
        <w:lastRenderedPageBreak/>
        <w:t>legislativa indicada por la jurisprudencia constitucional, relativa a la implementación de las entidades territoriales indígenas, no solo permanece vigente la competencia del Gobierno Nacional para expedir reglamentos constitucionales conforme al artículo 56 transitorio de la Constitución Política, sino también las normas expedidas en ejercicio de dicha potestad normativa. Así lo ha explicado la Corte Constitucional en relación con la competencia otorgada por el artículo 56 transitorio:</w:t>
      </w:r>
    </w:p>
    <w:p w14:paraId="610436DD" w14:textId="4429DB20" w:rsidR="008B748F" w:rsidRPr="000F3931" w:rsidRDefault="007D73DE" w:rsidP="008B748F">
      <w:pPr>
        <w:shd w:val="clear" w:color="auto" w:fill="FFFFFF"/>
        <w:spacing w:after="240" w:line="240" w:lineRule="auto"/>
        <w:ind w:left="709" w:right="709"/>
        <w:jc w:val="both"/>
        <w:rPr>
          <w:rFonts w:ascii="Arial" w:eastAsia="Calibri" w:hAnsi="Arial" w:cs="Arial"/>
          <w:sz w:val="21"/>
          <w:szCs w:val="21"/>
        </w:rPr>
      </w:pPr>
      <w:r w:rsidRPr="000F3931">
        <w:rPr>
          <w:rFonts w:ascii="Arial" w:eastAsia="Calibri" w:hAnsi="Arial" w:cs="Arial"/>
          <w:lang w:val="es-ES"/>
        </w:rPr>
        <w:t>«</w:t>
      </w:r>
      <w:r w:rsidR="008B748F" w:rsidRPr="000F3931">
        <w:rPr>
          <w:rFonts w:ascii="Arial" w:eastAsia="Calibri" w:hAnsi="Arial" w:cs="Arial"/>
          <w:sz w:val="21"/>
          <w:szCs w:val="21"/>
        </w:rPr>
        <w:t>5.3.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79B99E23" w14:textId="77777777" w:rsidR="008B748F" w:rsidRPr="000F3931" w:rsidRDefault="008B748F" w:rsidP="008B748F">
      <w:pPr>
        <w:shd w:val="clear" w:color="auto" w:fill="FFFFFF"/>
        <w:spacing w:after="240" w:line="240" w:lineRule="auto"/>
        <w:ind w:left="709" w:right="709"/>
        <w:jc w:val="both"/>
        <w:rPr>
          <w:rFonts w:ascii="Arial" w:eastAsia="Calibri" w:hAnsi="Arial" w:cs="Arial"/>
          <w:sz w:val="21"/>
          <w:szCs w:val="21"/>
        </w:rPr>
      </w:pPr>
      <w:r w:rsidRPr="000F3931">
        <w:rPr>
          <w:rFonts w:ascii="Arial" w:eastAsia="Calibri" w:hAnsi="Arial" w:cs="Arial"/>
          <w:sz w:val="21"/>
          <w:szCs w:val="21"/>
        </w:rPr>
        <w:t>5.3.1. Es una </w:t>
      </w:r>
      <w:r w:rsidRPr="000F3931">
        <w:rPr>
          <w:rFonts w:ascii="Arial" w:eastAsia="Calibri" w:hAnsi="Arial" w:cs="Arial"/>
          <w:i/>
          <w:iCs/>
          <w:sz w:val="21"/>
          <w:szCs w:val="21"/>
        </w:rPr>
        <w:t>competencia amplia</w:t>
      </w:r>
      <w:r w:rsidRPr="000F3931">
        <w:rPr>
          <w:rFonts w:ascii="Arial" w:eastAsia="Calibri" w:hAnsi="Arial" w:cs="Arial"/>
          <w:sz w:val="21"/>
          <w:szCs w:val="21"/>
        </w:rPr>
        <w:t> que confiere una atribución para adoptar normas relativas (i) al funcionamiento de los territorios indígenas, incluyendo las de naturaleza fiscal y (ii) a su coordinación con las demás entidades territoriales. Comprende diferentes dimensiones o facetas del régimen territorial indígena.</w:t>
      </w:r>
    </w:p>
    <w:p w14:paraId="60F4AD75" w14:textId="77777777" w:rsidR="008B748F" w:rsidRPr="000F3931" w:rsidRDefault="008B748F" w:rsidP="008B748F">
      <w:pPr>
        <w:shd w:val="clear" w:color="auto" w:fill="FFFFFF"/>
        <w:spacing w:after="240" w:line="240" w:lineRule="auto"/>
        <w:ind w:left="709" w:right="709"/>
        <w:jc w:val="both"/>
        <w:rPr>
          <w:rFonts w:ascii="Arial" w:eastAsia="Calibri" w:hAnsi="Arial" w:cs="Arial"/>
          <w:sz w:val="21"/>
          <w:szCs w:val="21"/>
        </w:rPr>
      </w:pPr>
      <w:r w:rsidRPr="000F3931">
        <w:rPr>
          <w:rFonts w:ascii="Arial" w:eastAsia="Calibri" w:hAnsi="Arial" w:cs="Arial"/>
          <w:sz w:val="21"/>
          <w:szCs w:val="21"/>
        </w:rPr>
        <w:t>5.3.2. Es una </w:t>
      </w:r>
      <w:r w:rsidRPr="000F3931">
        <w:rPr>
          <w:rFonts w:ascii="Arial" w:eastAsia="Calibri" w:hAnsi="Arial" w:cs="Arial"/>
          <w:i/>
          <w:iCs/>
          <w:sz w:val="21"/>
          <w:szCs w:val="21"/>
        </w:rPr>
        <w:t>competencia cualificada</w:t>
      </w:r>
      <w:r w:rsidRPr="000F3931">
        <w:rPr>
          <w:rFonts w:ascii="Arial" w:eastAsia="Calibri" w:hAnsi="Arial" w:cs="Arial"/>
          <w:sz w:val="21"/>
          <w:szCs w:val="21"/>
        </w:rPr>
        <w:t>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w:t>
      </w:r>
      <w:bookmarkStart w:id="5" w:name="_ftnref5"/>
      <w:r w:rsidRPr="000F3931">
        <w:rPr>
          <w:rFonts w:ascii="Arial" w:eastAsia="Calibri" w:hAnsi="Arial" w:cs="Arial"/>
          <w:sz w:val="21"/>
          <w:szCs w:val="21"/>
        </w:rPr>
        <w:fldChar w:fldCharType="begin"/>
      </w:r>
      <w:r w:rsidRPr="000F3931">
        <w:rPr>
          <w:rFonts w:ascii="Arial" w:eastAsia="Calibri" w:hAnsi="Arial" w:cs="Arial"/>
          <w:sz w:val="21"/>
          <w:szCs w:val="21"/>
        </w:rPr>
        <w:instrText xml:space="preserve"> HYPERLINK "https://www.corteconstitucional.gov.co/relatoria/2015/C-617-15.htm" \l "_ftn5" </w:instrText>
      </w:r>
      <w:r w:rsidRPr="000F3931">
        <w:rPr>
          <w:rFonts w:ascii="Arial" w:eastAsia="Calibri" w:hAnsi="Arial" w:cs="Arial"/>
          <w:sz w:val="21"/>
          <w:szCs w:val="21"/>
        </w:rPr>
        <w:fldChar w:fldCharType="separate"/>
      </w:r>
      <w:r w:rsidRPr="000F3931">
        <w:rPr>
          <w:rFonts w:ascii="Arial" w:eastAsia="Calibri" w:hAnsi="Arial" w:cs="Arial"/>
          <w:sz w:val="21"/>
          <w:szCs w:val="21"/>
          <w:u w:val="single"/>
          <w:vertAlign w:val="superscript"/>
        </w:rPr>
        <w:t>[5]</w:t>
      </w:r>
      <w:r w:rsidRPr="000F3931">
        <w:rPr>
          <w:rFonts w:ascii="Arial" w:eastAsia="Calibri" w:hAnsi="Arial" w:cs="Arial"/>
          <w:sz w:val="21"/>
          <w:szCs w:val="21"/>
        </w:rPr>
        <w:fldChar w:fldCharType="end"/>
      </w:r>
      <w:bookmarkEnd w:id="5"/>
      <w:r w:rsidRPr="000F3931">
        <w:rPr>
          <w:rFonts w:ascii="Arial" w:eastAsia="Calibri" w:hAnsi="Arial" w:cs="Arial"/>
          <w:sz w:val="21"/>
          <w:szCs w:val="21"/>
        </w:rPr>
        <w:t> al paso que otras podrían ser reguladas en leyes ordinarias</w:t>
      </w:r>
      <w:bookmarkStart w:id="6" w:name="_ftnref6"/>
      <w:r w:rsidRPr="000F3931">
        <w:rPr>
          <w:rFonts w:ascii="Arial" w:eastAsia="Calibri" w:hAnsi="Arial" w:cs="Arial"/>
          <w:sz w:val="21"/>
          <w:szCs w:val="21"/>
        </w:rPr>
        <w:fldChar w:fldCharType="begin"/>
      </w:r>
      <w:r w:rsidRPr="000F3931">
        <w:rPr>
          <w:rFonts w:ascii="Arial" w:eastAsia="Calibri" w:hAnsi="Arial" w:cs="Arial"/>
          <w:sz w:val="21"/>
          <w:szCs w:val="21"/>
        </w:rPr>
        <w:instrText xml:space="preserve"> HYPERLINK "https://www.corteconstitucional.gov.co/relatoria/2015/C-617-15.htm" \l "_ftn6" </w:instrText>
      </w:r>
      <w:r w:rsidRPr="000F3931">
        <w:rPr>
          <w:rFonts w:ascii="Arial" w:eastAsia="Calibri" w:hAnsi="Arial" w:cs="Arial"/>
          <w:sz w:val="21"/>
          <w:szCs w:val="21"/>
        </w:rPr>
        <w:fldChar w:fldCharType="separate"/>
      </w:r>
      <w:r w:rsidRPr="000F3931">
        <w:rPr>
          <w:rFonts w:ascii="Arial" w:eastAsia="Calibri" w:hAnsi="Arial" w:cs="Arial"/>
          <w:sz w:val="21"/>
          <w:szCs w:val="21"/>
          <w:u w:val="single"/>
          <w:vertAlign w:val="superscript"/>
        </w:rPr>
        <w:t>[6]</w:t>
      </w:r>
      <w:r w:rsidRPr="000F3931">
        <w:rPr>
          <w:rFonts w:ascii="Arial" w:eastAsia="Calibri" w:hAnsi="Arial" w:cs="Arial"/>
          <w:sz w:val="21"/>
          <w:szCs w:val="21"/>
        </w:rPr>
        <w:fldChar w:fldCharType="end"/>
      </w:r>
      <w:bookmarkEnd w:id="6"/>
      <w:r w:rsidRPr="000F3931">
        <w:rPr>
          <w:rFonts w:ascii="Arial" w:eastAsia="Calibri" w:hAnsi="Arial" w:cs="Arial"/>
          <w:sz w:val="21"/>
          <w:szCs w:val="21"/>
        </w:rPr>
        <w:t>.</w:t>
      </w:r>
    </w:p>
    <w:p w14:paraId="25AF4E60" w14:textId="77777777" w:rsidR="008B748F" w:rsidRPr="000F3931" w:rsidRDefault="008B748F" w:rsidP="008B748F">
      <w:pPr>
        <w:shd w:val="clear" w:color="auto" w:fill="FFFFFF"/>
        <w:spacing w:after="240" w:line="240" w:lineRule="auto"/>
        <w:ind w:left="709" w:right="709"/>
        <w:jc w:val="both"/>
        <w:rPr>
          <w:rFonts w:ascii="Arial" w:eastAsia="Calibri" w:hAnsi="Arial" w:cs="Arial"/>
          <w:sz w:val="21"/>
          <w:szCs w:val="21"/>
        </w:rPr>
      </w:pPr>
      <w:r w:rsidRPr="000F3931">
        <w:rPr>
          <w:rFonts w:ascii="Arial" w:eastAsia="Calibri" w:hAnsi="Arial" w:cs="Arial"/>
          <w:sz w:val="21"/>
          <w:szCs w:val="21"/>
        </w:rPr>
        <w:t>5.3.3. Es una </w:t>
      </w:r>
      <w:r w:rsidRPr="000F3931">
        <w:rPr>
          <w:rFonts w:ascii="Arial" w:eastAsia="Calibri" w:hAnsi="Arial" w:cs="Arial"/>
          <w:i/>
          <w:iCs/>
          <w:sz w:val="21"/>
          <w:szCs w:val="21"/>
        </w:rPr>
        <w:t>competencia condicionada</w:t>
      </w:r>
      <w:r w:rsidRPr="000F3931">
        <w:rPr>
          <w:rFonts w:ascii="Arial" w:eastAsia="Calibri" w:hAnsi="Arial" w:cs="Arial"/>
          <w:sz w:val="21"/>
          <w:szCs w:val="21"/>
        </w:rPr>
        <w:t> dado que su ejercicio depende de la inacción legislativa del Congreso de la República. A diferencia de otras de las disposiciones transitorias, en el caso del artículo 56 no se encuentra previsto ni un término para la adopción de la ley por parte del Congreso, ni un plazo para el ejercicio de la facultad por parte del Gobierno. Únicamente cuando el Congreso de la República expida la ley a la que se refiere el artículo 329, se extinguirá o agotará la atribución.</w:t>
      </w:r>
    </w:p>
    <w:p w14:paraId="515E8FCB" w14:textId="77777777" w:rsidR="008B748F" w:rsidRPr="000F3931" w:rsidRDefault="008B748F" w:rsidP="008B748F">
      <w:pPr>
        <w:shd w:val="clear" w:color="auto" w:fill="FFFFFF"/>
        <w:spacing w:after="240" w:line="240" w:lineRule="auto"/>
        <w:ind w:left="709" w:right="709"/>
        <w:jc w:val="both"/>
        <w:rPr>
          <w:rFonts w:ascii="Arial" w:eastAsia="Calibri" w:hAnsi="Arial" w:cs="Arial"/>
          <w:sz w:val="21"/>
          <w:szCs w:val="21"/>
        </w:rPr>
      </w:pPr>
      <w:r w:rsidRPr="000F3931">
        <w:rPr>
          <w:rFonts w:ascii="Arial" w:eastAsia="Calibri" w:hAnsi="Arial" w:cs="Arial"/>
          <w:sz w:val="21"/>
          <w:szCs w:val="21"/>
        </w:rPr>
        <w:t>[…]</w:t>
      </w:r>
    </w:p>
    <w:p w14:paraId="33BF2D32" w14:textId="77777777" w:rsidR="008B748F" w:rsidRPr="000F3931" w:rsidRDefault="008B748F" w:rsidP="008B748F">
      <w:pPr>
        <w:shd w:val="clear" w:color="auto" w:fill="FFFFFF"/>
        <w:spacing w:after="240" w:line="240" w:lineRule="auto"/>
        <w:ind w:left="709" w:right="709"/>
        <w:jc w:val="both"/>
        <w:rPr>
          <w:rFonts w:ascii="Arial" w:eastAsia="Calibri" w:hAnsi="Arial" w:cs="Arial"/>
          <w:sz w:val="21"/>
          <w:szCs w:val="21"/>
        </w:rPr>
      </w:pPr>
      <w:r w:rsidRPr="000F3931">
        <w:rPr>
          <w:rFonts w:ascii="Arial" w:eastAsia="Calibri" w:hAnsi="Arial" w:cs="Arial"/>
          <w:sz w:val="21"/>
          <w:szCs w:val="21"/>
        </w:rPr>
        <w:t xml:space="preserve">Cuando el legislador se ha ocupado solo de algunas de las materias a las que se refiere el artículo 56 transitorio, el Gobierno conserva su competencia para expedir la </w:t>
      </w:r>
      <w:r w:rsidRPr="000F3931">
        <w:rPr>
          <w:rFonts w:ascii="Arial" w:eastAsia="Calibri" w:hAnsi="Arial" w:cs="Arial"/>
          <w:sz w:val="21"/>
          <w:szCs w:val="21"/>
        </w:rPr>
        <w:lastRenderedPageBreak/>
        <w:t>regulación respectiva. En ese sentido podrían coexistir normas aprobadas por el Congreso y normas adoptadas por el Gobierno.</w:t>
      </w:r>
    </w:p>
    <w:p w14:paraId="4835B7D2" w14:textId="5FEF0EAD" w:rsidR="008B748F" w:rsidRPr="000F3931" w:rsidRDefault="008B748F" w:rsidP="008B748F">
      <w:pPr>
        <w:shd w:val="clear" w:color="auto" w:fill="FFFFFF"/>
        <w:spacing w:after="240" w:line="240" w:lineRule="auto"/>
        <w:ind w:left="709" w:right="709"/>
        <w:jc w:val="both"/>
        <w:rPr>
          <w:rFonts w:ascii="Arial" w:eastAsia="Calibri" w:hAnsi="Arial" w:cs="Arial"/>
          <w:sz w:val="21"/>
          <w:szCs w:val="21"/>
        </w:rPr>
      </w:pPr>
      <w:r w:rsidRPr="000F3931">
        <w:rPr>
          <w:rFonts w:ascii="Arial" w:eastAsia="Calibri" w:hAnsi="Arial" w:cs="Arial"/>
          <w:sz w:val="21"/>
          <w:szCs w:val="21"/>
        </w:rPr>
        <w:t>5.3.4. Es una competencia que no se encuentra limitada temporalmente. A ella no le resulta aplicable el artículo 9º transitorio conforme al cual las facultades extraordinarias para cuyo ejercicio no se hubiere establecido plazo especial, expirarían quince días después de que la Comisión Especial creada por el artículo 6º transitorio cese definitivamente en sus funciones. La inaplicabilidad de tal regla obedece a que la competencia del artículo 56 no se encuentra sometida a un plazo sino, como se ha dejado dicho, a una condición</w:t>
      </w:r>
      <w:r w:rsidRPr="000F3931">
        <w:rPr>
          <w:rFonts w:ascii="Arial" w:eastAsia="Calibri" w:hAnsi="Arial" w:cs="Arial"/>
          <w:sz w:val="21"/>
          <w:szCs w:val="21"/>
          <w:vertAlign w:val="superscript"/>
        </w:rPr>
        <w:footnoteReference w:id="9"/>
      </w:r>
      <w:r w:rsidRPr="000F3931">
        <w:rPr>
          <w:rFonts w:ascii="Arial" w:eastAsia="Calibri" w:hAnsi="Arial" w:cs="Arial"/>
          <w:sz w:val="21"/>
          <w:szCs w:val="21"/>
        </w:rPr>
        <w:t>.</w:t>
      </w:r>
      <w:r w:rsidR="007D73DE" w:rsidRPr="000F3931">
        <w:rPr>
          <w:rFonts w:ascii="Arial" w:eastAsia="Calibri" w:hAnsi="Arial" w:cs="Arial"/>
          <w:lang w:val="es-ES"/>
        </w:rPr>
        <w:t>»</w:t>
      </w:r>
    </w:p>
    <w:p w14:paraId="4FD9D944" w14:textId="77777777" w:rsidR="008B748F" w:rsidRPr="000F3931" w:rsidRDefault="008B748F" w:rsidP="008B748F">
      <w:pPr>
        <w:shd w:val="clear" w:color="auto" w:fill="FFFFFF"/>
        <w:spacing w:after="240" w:line="276" w:lineRule="auto"/>
        <w:jc w:val="both"/>
        <w:rPr>
          <w:rFonts w:ascii="Arial" w:eastAsia="Calibri" w:hAnsi="Arial" w:cs="Arial"/>
        </w:rPr>
      </w:pPr>
      <w:r w:rsidRPr="000F3931">
        <w:rPr>
          <w:rFonts w:ascii="Arial" w:eastAsia="Calibri" w:hAnsi="Arial" w:cs="Arial"/>
        </w:rPr>
        <w:tab/>
        <w:t xml:space="preserve">Revisada la exposición de motivos y el articulado de la Ley 2160 de 2021 se advierte que, si bien esta norma introduce en la Ley 80 de 1993 disposiciones relacionadas con los derechos de la población indígena, de su contenido no puede inferirse que se trate de una norma tendiente a implementar las entidades territoriales indígenas haciendo cesar la omisión legislativa identificada por la jurisprudencia constitucional, conclusión que tampoco surge de la exposición de motivos de la norma. En ese sentido, la sola expedición de la Ley 2160 de 2021 no es un hecho que haya afectado la vigencia del Decreto 1953 de 2014. </w:t>
      </w:r>
    </w:p>
    <w:p w14:paraId="7370E7B5" w14:textId="77777777" w:rsidR="008B748F" w:rsidRPr="000F3931" w:rsidRDefault="008B748F" w:rsidP="008B748F">
      <w:pPr>
        <w:spacing w:after="240" w:line="276" w:lineRule="auto"/>
        <w:ind w:firstLine="709"/>
        <w:jc w:val="both"/>
        <w:rPr>
          <w:rFonts w:ascii="Arial" w:eastAsia="Calibri" w:hAnsi="Arial" w:cs="Arial"/>
          <w:lang w:val="es-ES"/>
        </w:rPr>
      </w:pPr>
      <w:r w:rsidRPr="000F3931">
        <w:rPr>
          <w:rFonts w:ascii="Arial" w:eastAsia="Calibri" w:hAnsi="Arial" w:cs="Arial"/>
        </w:rPr>
        <w:t>En suma, se evidencia que lo prescrito en el Decreto 1953 de 2014 no fue derogado por la Ley 2160 de 2021. Por tanto,</w:t>
      </w:r>
      <w:r w:rsidRPr="000F3931">
        <w:rPr>
          <w:rFonts w:ascii="Arial" w:eastAsia="Calibri" w:hAnsi="Arial" w:cs="Arial"/>
          <w:lang w:val="es-ES"/>
        </w:rPr>
        <w:t xml:space="preserve"> los resguardos podrán asociarse para administrar y ejecutar los recursos del SGP y dichas asociaciones serán consideradas personas jurídicas de derecho público especial. En este contexto, para los fines y la ejecución de los recursos de que trata dicho decreto, los territorios y resguardos indígenas que hayan sido autorizados para administrar este tipo de recursos serán considerados entidades estatales, de acuerdo con lo indicado en el artículo 2 de la Ley 80 de 1993.</w:t>
      </w:r>
    </w:p>
    <w:p w14:paraId="4D75FB12" w14:textId="77777777" w:rsidR="008B748F" w:rsidRPr="000F3931" w:rsidRDefault="008B748F" w:rsidP="008B748F">
      <w:pPr>
        <w:widowControl w:val="0"/>
        <w:autoSpaceDE w:val="0"/>
        <w:autoSpaceDN w:val="0"/>
        <w:spacing w:after="240" w:line="276" w:lineRule="auto"/>
        <w:ind w:firstLine="708"/>
        <w:jc w:val="both"/>
        <w:rPr>
          <w:rFonts w:ascii="Arial" w:eastAsia="Calibri" w:hAnsi="Arial" w:cs="Arial"/>
          <w:bCs/>
          <w:lang w:val="es-ES_tradnl"/>
        </w:rPr>
      </w:pPr>
      <w:r w:rsidRPr="000F3931">
        <w:rPr>
          <w:rFonts w:ascii="Arial" w:eastAsia="Calibri" w:hAnsi="Arial" w:cs="Arial"/>
          <w:lang w:val="es-ES"/>
        </w:rPr>
        <w:t xml:space="preserve">Adicionalmente, este Decreto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Como se explicó </w:t>
      </w:r>
      <w:r w:rsidRPr="000F3931">
        <w:rPr>
          <w:rFonts w:ascii="Arial" w:eastAsia="Calibri" w:hAnsi="Arial" w:cs="Arial"/>
          <w:i/>
          <w:iCs/>
          <w:lang w:val="es-ES"/>
        </w:rPr>
        <w:t>ut supra</w:t>
      </w:r>
      <w:r w:rsidRPr="000F3931">
        <w:rPr>
          <w:rFonts w:ascii="Arial" w:eastAsia="Calibri" w:hAnsi="Arial" w:cs="Arial"/>
          <w:lang w:val="es-ES"/>
        </w:rPr>
        <w:t>,</w:t>
      </w:r>
      <w:r w:rsidRPr="000F3931">
        <w:rPr>
          <w:rFonts w:ascii="Arial" w:eastAsia="Calibri" w:hAnsi="Arial" w:cs="Arial"/>
          <w:lang w:val="es-MX"/>
        </w:rPr>
        <w:t xml:space="preserve"> la capacidad del resguardo indígena no autorizado se limita a un contrato de administración y, por tanto, no podrá participar en la ejecución de otros tipos de negocio jurídico. </w:t>
      </w:r>
    </w:p>
    <w:p w14:paraId="422DC62B" w14:textId="77777777" w:rsidR="008B748F" w:rsidRPr="000F3931" w:rsidRDefault="008B748F" w:rsidP="008B748F">
      <w:pPr>
        <w:shd w:val="clear" w:color="auto" w:fill="FFFFFF"/>
        <w:spacing w:after="240" w:line="276" w:lineRule="auto"/>
        <w:ind w:firstLine="705"/>
        <w:jc w:val="both"/>
        <w:textAlignment w:val="baseline"/>
        <w:rPr>
          <w:rFonts w:ascii="Arial" w:eastAsia="Times New Roman" w:hAnsi="Arial" w:cs="Arial"/>
          <w:sz w:val="18"/>
          <w:szCs w:val="18"/>
          <w:lang w:eastAsia="es-CO"/>
        </w:rPr>
      </w:pPr>
      <w:r w:rsidRPr="000F3931">
        <w:rPr>
          <w:rFonts w:ascii="Arial" w:eastAsia="Calibri" w:hAnsi="Arial" w:cs="Arial"/>
          <w:lang w:val="es-ES" w:eastAsia="es-CO"/>
        </w:rPr>
        <w:t xml:space="preserve">Así las cosas, esta Agencia estima que no existe contradicción entre </w:t>
      </w:r>
      <w:r w:rsidRPr="000F3931">
        <w:rPr>
          <w:rFonts w:ascii="Arial" w:eastAsia="Calibri" w:hAnsi="Arial" w:cs="Arial"/>
          <w:lang w:val="es-MX" w:eastAsia="es-CO"/>
        </w:rPr>
        <w:t>los artículos 4, 9 y 34 del Decreto 1953 de 2014</w:t>
      </w:r>
      <w:r w:rsidRPr="000F3931">
        <w:rPr>
          <w:rFonts w:ascii="Arial" w:eastAsia="Calibri" w:hAnsi="Arial" w:cs="Arial"/>
          <w:lang w:val="es-ES" w:eastAsia="es-CO"/>
        </w:rPr>
        <w:t xml:space="preserve"> y el literal L) del artículo 2.4 de la Ley 1150 de 2007, adicionado por la Ley 2160 de 2021, pues son normas que tienen ámbitos de aplicación distintos. En ese sentido, lo dispuesto en el artículo 3 de la Ley 2160 de 2021 –el cual modifica el artículo 7 de la Ley 80 de </w:t>
      </w:r>
      <w:r w:rsidRPr="000F3931">
        <w:rPr>
          <w:rFonts w:ascii="Arial" w:eastAsia="Calibri" w:hAnsi="Arial" w:cs="Arial"/>
          <w:lang w:val="es-ES" w:eastAsia="es-CO"/>
        </w:rPr>
        <w:lastRenderedPageBreak/>
        <w:t>1993– no conduce a la derogatoria del mencionado decreto, dado que, si bien este, al igual que la Ley 2160 de 2021 establece la posibilidad de celebrar contratos con organismos que representan a los pueblos indígenas, aplican en razón de supuestos distintos y respecto de sujetos con naturaleza jurídica disímil.  </w:t>
      </w:r>
      <w:r w:rsidRPr="000F3931">
        <w:rPr>
          <w:rFonts w:ascii="Arial" w:eastAsia="Calibri" w:hAnsi="Arial" w:cs="Arial"/>
          <w:lang w:eastAsia="es-CO"/>
        </w:rPr>
        <w:t> </w:t>
      </w:r>
    </w:p>
    <w:p w14:paraId="71183749" w14:textId="77777777" w:rsidR="008B748F" w:rsidRPr="000F3931" w:rsidRDefault="008B748F" w:rsidP="008B748F">
      <w:pPr>
        <w:shd w:val="clear" w:color="auto" w:fill="FFFFFF"/>
        <w:spacing w:after="240" w:line="276" w:lineRule="auto"/>
        <w:ind w:right="-240" w:firstLine="705"/>
        <w:jc w:val="both"/>
        <w:textAlignment w:val="baseline"/>
        <w:rPr>
          <w:rFonts w:ascii="Arial" w:eastAsia="Calibri" w:hAnsi="Arial" w:cs="Arial"/>
          <w:bCs/>
          <w:lang w:val="es-ES_tradnl"/>
        </w:rPr>
      </w:pPr>
      <w:r w:rsidRPr="000F3931">
        <w:rPr>
          <w:rFonts w:ascii="Arial" w:eastAsia="Calibri" w:hAnsi="Arial" w:cs="Arial"/>
          <w:lang w:val="es-ES" w:eastAsia="es-CO"/>
        </w:rPr>
        <w:t xml:space="preserve"> En conclusión, ante la falta de desarrollo legislativo con relación a la implementación de las entidades territoriales indígenas, el </w:t>
      </w:r>
      <w:r w:rsidRPr="000F3931">
        <w:rPr>
          <w:rFonts w:ascii="Arial" w:eastAsia="Calibri" w:hAnsi="Arial" w:cs="Arial"/>
          <w:lang w:val="es-MX" w:eastAsia="es-CO"/>
        </w:rPr>
        <w:t>Decreto 1953 de 2014</w:t>
      </w:r>
      <w:r w:rsidRPr="000F3931">
        <w:rPr>
          <w:rFonts w:ascii="Arial" w:eastAsia="Calibri" w:hAnsi="Arial" w:cs="Arial"/>
          <w:lang w:val="es-ES" w:eastAsia="es-CO"/>
        </w:rPr>
        <w:t xml:space="preserve"> continúa conservando plena vigencia. De esta manera, coexiste en el ordenamiento jurídico con el literal L) del artículo 2.4 de la Ley 1150 de 2007, adicionado por la Ley 2160 de 2021. Por tanto, ambas mantienen vigencia por lo que tienen plena validez en sus respectivos ámbitos de aplicación. Una vez el Congreso de la República legisle sobre la materia, deberá analizarse nuevamente la vigencia del decreto citado.</w:t>
      </w:r>
    </w:p>
    <w:p w14:paraId="490DD94A" w14:textId="77777777" w:rsidR="008B748F" w:rsidRPr="000F3931" w:rsidRDefault="008B748F" w:rsidP="008B748F">
      <w:pPr>
        <w:tabs>
          <w:tab w:val="left" w:pos="426"/>
        </w:tabs>
        <w:spacing w:after="240" w:line="276" w:lineRule="auto"/>
        <w:jc w:val="both"/>
        <w:rPr>
          <w:rFonts w:ascii="Arial" w:eastAsia="Calibri" w:hAnsi="Arial" w:cs="Arial"/>
          <w:b/>
          <w:szCs w:val="24"/>
          <w:lang w:val="es-ES_tradnl" w:eastAsia="es-ES_tradnl"/>
        </w:rPr>
      </w:pPr>
      <w:r w:rsidRPr="000F3931">
        <w:rPr>
          <w:rFonts w:ascii="Arial" w:eastAsia="Calibri" w:hAnsi="Arial" w:cs="Arial"/>
          <w:b/>
          <w:szCs w:val="24"/>
          <w:lang w:val="es-ES_tradnl" w:eastAsia="es-ES_tradnl"/>
        </w:rPr>
        <w:t>2.4. Fundamento axiológico de la publicidad de la información oficial de la contratación estatal en el Sistema Electrónico para la Contratación Pública –SECOP–</w:t>
      </w:r>
    </w:p>
    <w:p w14:paraId="3355C9C5" w14:textId="77777777" w:rsidR="008B748F" w:rsidRPr="000F3931" w:rsidRDefault="008B748F" w:rsidP="008B748F">
      <w:pPr>
        <w:spacing w:after="240" w:line="276" w:lineRule="auto"/>
        <w:jc w:val="both"/>
        <w:rPr>
          <w:rFonts w:ascii="Arial" w:eastAsia="Times New Roman" w:hAnsi="Arial" w:cs="Arial"/>
          <w:szCs w:val="24"/>
          <w:lang w:eastAsia="es-ES_tradnl"/>
        </w:rPr>
      </w:pPr>
      <w:r w:rsidRPr="000F3931">
        <w:rPr>
          <w:rFonts w:ascii="Arial" w:eastAsia="Calibri" w:hAnsi="Arial" w:cs="Arial"/>
          <w:szCs w:val="24"/>
          <w:lang w:val="es-ES_tradnl" w:eastAsia="es-ES_tradnl"/>
        </w:rPr>
        <w:t xml:space="preserve">La Agencia Nacional de Contratación Pública - Colombia Compra Eficiente, analizó el fundamento axiológico del deber de publicidad de la información oficial de la contratación estatal en el SECOP, así como los </w:t>
      </w:r>
      <w:r w:rsidRPr="000F3931">
        <w:rPr>
          <w:rFonts w:ascii="Arial" w:eastAsia="Calibri" w:hAnsi="Arial" w:cs="Arial"/>
          <w:bCs/>
          <w:szCs w:val="24"/>
          <w:lang w:val="es-ES_tradnl" w:eastAsia="es-ES_tradnl"/>
        </w:rPr>
        <w:t>efectos del auto del Consejo de Estado del 25 de febrero de 2021 sobre la publicación en el SECOP por parte de las entidades estatales con régimen especial de contratación,</w:t>
      </w:r>
      <w:r w:rsidRPr="000F3931">
        <w:rPr>
          <w:rFonts w:ascii="Arial" w:eastAsia="Calibri" w:hAnsi="Arial" w:cs="Arial"/>
          <w:szCs w:val="24"/>
          <w:lang w:val="es-ES_tradnl" w:eastAsia="es-ES_tradnl"/>
        </w:rPr>
        <w:t xml:space="preserve"> en el concepto </w:t>
      </w:r>
      <w:r w:rsidRPr="000F3931">
        <w:rPr>
          <w:rFonts w:ascii="Arial" w:eastAsia="Times New Roman" w:hAnsi="Arial" w:cs="Arial"/>
          <w:szCs w:val="24"/>
          <w:lang w:eastAsia="es-ES_tradnl"/>
        </w:rPr>
        <w:t>C-083 del 18 de marzo de 2022. Para efectos de dar respuesta a la pregunta número uno de la consulta planteada, a continuación se resaltan y se complementan los aspectos más importantes de dicho concepto, el cual podrá ser consultado para mayor profundidad sobre el tema en la relatoría de Colombia Compra Eficiente en su página web.</w:t>
      </w:r>
      <w:r w:rsidRPr="000F3931">
        <w:rPr>
          <w:rFonts w:ascii="Arial" w:eastAsia="Times New Roman" w:hAnsi="Arial" w:cs="Arial"/>
          <w:szCs w:val="24"/>
          <w:vertAlign w:val="superscript"/>
          <w:lang w:eastAsia="es-ES_tradnl"/>
        </w:rPr>
        <w:footnoteReference w:id="10"/>
      </w:r>
    </w:p>
    <w:p w14:paraId="7D2A54E4" w14:textId="77777777" w:rsidR="008B748F" w:rsidRPr="000F3931" w:rsidRDefault="008B748F" w:rsidP="008B748F">
      <w:pPr>
        <w:spacing w:after="240" w:line="276" w:lineRule="auto"/>
        <w:ind w:firstLine="708"/>
        <w:jc w:val="both"/>
        <w:rPr>
          <w:rFonts w:ascii="Arial" w:eastAsia="Calibri" w:hAnsi="Arial" w:cs="Arial"/>
          <w:szCs w:val="24"/>
          <w:lang w:val="es-ES_tradnl" w:eastAsia="es-ES_tradnl"/>
        </w:rPr>
      </w:pPr>
      <w:r w:rsidRPr="000F3931">
        <w:rPr>
          <w:rFonts w:ascii="Arial" w:eastAsia="Calibri" w:hAnsi="Arial" w:cs="Arial"/>
          <w:szCs w:val="24"/>
          <w:lang w:val="es-ES_tradnl" w:eastAsia="es-ES_tradnl"/>
        </w:rPr>
        <w:t xml:space="preserve">Uno de los postulados más importantes de un Estado social y democrático de derecho es el principio de </w:t>
      </w:r>
      <w:r w:rsidRPr="000F3931">
        <w:rPr>
          <w:rFonts w:ascii="Arial" w:eastAsia="Calibri" w:hAnsi="Arial" w:cs="Arial"/>
          <w:i/>
          <w:iCs/>
          <w:szCs w:val="24"/>
          <w:lang w:val="es-ES_tradnl" w:eastAsia="es-ES_tradnl"/>
        </w:rPr>
        <w:t>publicidad</w:t>
      </w:r>
      <w:r w:rsidRPr="000F3931">
        <w:rPr>
          <w:rFonts w:ascii="Arial" w:eastAsia="Calibri" w:hAnsi="Arial" w:cs="Arial"/>
          <w:szCs w:val="24"/>
          <w:lang w:val="es-ES_tradnl" w:eastAsia="es-ES_tradnl"/>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0F3931">
        <w:rPr>
          <w:rFonts w:ascii="Arial" w:eastAsia="Calibri" w:hAnsi="Arial" w:cs="Arial"/>
          <w:szCs w:val="24"/>
          <w:vertAlign w:val="superscript"/>
          <w:lang w:val="es-ES_tradnl" w:eastAsia="es-ES_tradnl"/>
        </w:rPr>
        <w:footnoteReference w:id="11"/>
      </w:r>
      <w:r w:rsidRPr="000F3931">
        <w:rPr>
          <w:rFonts w:ascii="Arial" w:eastAsia="Calibri" w:hAnsi="Arial" w:cs="Arial"/>
          <w:szCs w:val="24"/>
          <w:lang w:val="es-ES_tradnl" w:eastAsia="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5C07B639" w14:textId="77777777" w:rsidR="008B748F" w:rsidRPr="000F3931" w:rsidRDefault="008B748F" w:rsidP="008B748F">
      <w:pPr>
        <w:spacing w:after="240" w:line="276" w:lineRule="auto"/>
        <w:ind w:firstLine="708"/>
        <w:jc w:val="both"/>
        <w:rPr>
          <w:rFonts w:ascii="Arial" w:eastAsia="Calibri" w:hAnsi="Arial" w:cs="Arial"/>
          <w:szCs w:val="24"/>
          <w:lang w:val="es-ES_tradnl" w:eastAsia="es-ES_tradnl"/>
        </w:rPr>
      </w:pPr>
      <w:r w:rsidRPr="000F3931">
        <w:rPr>
          <w:rFonts w:ascii="Arial" w:eastAsia="Calibri" w:hAnsi="Arial" w:cs="Arial"/>
          <w:szCs w:val="24"/>
          <w:lang w:val="es-ES_tradnl" w:eastAsia="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w:t>
      </w:r>
      <w:r w:rsidRPr="000F3931">
        <w:rPr>
          <w:rFonts w:ascii="Arial" w:eastAsia="Calibri" w:hAnsi="Arial" w:cs="Arial"/>
          <w:szCs w:val="24"/>
          <w:lang w:val="es-ES_tradnl" w:eastAsia="es-ES_tradnl"/>
        </w:rPr>
        <w:lastRenderedPageBreak/>
        <w:t>Constitucional ha señalado que el principio de publicidad es la garantía que tienen las personas de conocer las actuaciones judiciales y administrativas. De este modo, explica:</w:t>
      </w:r>
    </w:p>
    <w:p w14:paraId="2EE68B3D" w14:textId="37C7E469" w:rsidR="008B748F" w:rsidRPr="000F3931" w:rsidRDefault="007D73DE" w:rsidP="008B748F">
      <w:pPr>
        <w:tabs>
          <w:tab w:val="left" w:pos="3885"/>
        </w:tabs>
        <w:spacing w:after="240" w:line="240" w:lineRule="auto"/>
        <w:ind w:left="709" w:right="709"/>
        <w:jc w:val="both"/>
        <w:rPr>
          <w:rFonts w:ascii="Arial" w:eastAsia="Times New Roman" w:hAnsi="Arial" w:cs="Arial"/>
          <w:sz w:val="21"/>
          <w:szCs w:val="21"/>
          <w:lang w:val="es-ES_tradnl" w:eastAsia="es-ES_tradnl"/>
        </w:rPr>
      </w:pPr>
      <w:r w:rsidRPr="000F3931">
        <w:rPr>
          <w:rFonts w:ascii="Arial" w:eastAsia="Calibri" w:hAnsi="Arial" w:cs="Arial"/>
          <w:lang w:val="es-ES"/>
        </w:rPr>
        <w:t>«</w:t>
      </w:r>
      <w:r w:rsidR="008B748F" w:rsidRPr="000F3931">
        <w:rPr>
          <w:rFonts w:ascii="Arial" w:eastAsia="Times New Roman" w:hAnsi="Arial" w:cs="Arial"/>
          <w:sz w:val="21"/>
          <w:szCs w:val="21"/>
          <w:lang w:val="es-ES_tradnl" w:eastAsia="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D787787" w14:textId="78A225D2" w:rsidR="008B748F" w:rsidRPr="000F3931" w:rsidRDefault="008B748F" w:rsidP="008B748F">
      <w:pPr>
        <w:tabs>
          <w:tab w:val="left" w:pos="3885"/>
          <w:tab w:val="left" w:pos="8222"/>
        </w:tabs>
        <w:spacing w:after="240" w:line="240" w:lineRule="auto"/>
        <w:ind w:left="709" w:right="709"/>
        <w:jc w:val="both"/>
        <w:rPr>
          <w:rFonts w:ascii="Arial" w:eastAsia="Times New Roman" w:hAnsi="Arial" w:cs="Arial"/>
          <w:szCs w:val="24"/>
          <w:lang w:val="es-ES_tradnl" w:eastAsia="es-ES_tradnl"/>
        </w:rPr>
      </w:pPr>
      <w:r w:rsidRPr="000F3931">
        <w:rPr>
          <w:rFonts w:ascii="Arial" w:eastAsia="Times New Roman" w:hAnsi="Arial" w:cs="Arial"/>
          <w:sz w:val="21"/>
          <w:szCs w:val="21"/>
          <w:lang w:val="es-ES_tradnl" w:eastAsia="es-ES_tradnl"/>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0F3931">
        <w:rPr>
          <w:rFonts w:ascii="Arial" w:eastAsia="Calibri" w:hAnsi="Arial" w:cs="Arial"/>
          <w:sz w:val="21"/>
          <w:szCs w:val="21"/>
          <w:vertAlign w:val="superscript"/>
          <w:lang w:val="es-ES_tradnl" w:eastAsia="es-ES_tradnl"/>
        </w:rPr>
        <w:footnoteReference w:id="12"/>
      </w:r>
      <w:r w:rsidRPr="000F3931">
        <w:rPr>
          <w:rFonts w:ascii="Arial" w:eastAsia="Calibri" w:hAnsi="Arial" w:cs="Arial"/>
          <w:sz w:val="21"/>
          <w:szCs w:val="21"/>
          <w:lang w:val="es-ES_tradnl" w:eastAsia="es-ES_tradnl"/>
        </w:rPr>
        <w:t>.</w:t>
      </w:r>
      <w:r w:rsidR="007D73DE" w:rsidRPr="000F3931">
        <w:rPr>
          <w:rFonts w:ascii="Arial" w:eastAsia="Calibri" w:hAnsi="Arial" w:cs="Arial"/>
          <w:lang w:val="es-ES"/>
        </w:rPr>
        <w:t>»</w:t>
      </w:r>
    </w:p>
    <w:p w14:paraId="718E641C" w14:textId="77777777" w:rsidR="008B748F" w:rsidRPr="000F3931" w:rsidRDefault="008B748F" w:rsidP="008B748F">
      <w:pPr>
        <w:spacing w:after="240" w:line="276" w:lineRule="auto"/>
        <w:ind w:firstLine="709"/>
        <w:jc w:val="both"/>
        <w:rPr>
          <w:rFonts w:ascii="Arial" w:eastAsia="Calibri" w:hAnsi="Arial" w:cs="Arial"/>
          <w:szCs w:val="24"/>
          <w:lang w:val="es-ES_tradnl" w:eastAsia="es-ES_tradnl"/>
        </w:rPr>
      </w:pPr>
      <w:r w:rsidRPr="000F3931">
        <w:rPr>
          <w:rFonts w:ascii="Arial" w:eastAsia="Calibri" w:hAnsi="Arial" w:cs="Arial"/>
          <w:szCs w:val="24"/>
          <w:lang w:val="es-ES_tradnl" w:eastAsia="es-ES_tradnl"/>
        </w:rPr>
        <w:t>El principio de publicidad impone a las autoridades administrativas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0F3931">
        <w:rPr>
          <w:rFonts w:ascii="Arial" w:eastAsia="Calibri" w:hAnsi="Arial" w:cs="Arial"/>
          <w:szCs w:val="24"/>
          <w:vertAlign w:val="superscript"/>
          <w:lang w:val="es-ES_tradnl" w:eastAsia="es-ES_tradnl"/>
        </w:rPr>
        <w:footnoteReference w:id="13"/>
      </w:r>
      <w:r w:rsidRPr="000F3931">
        <w:rPr>
          <w:rFonts w:ascii="Arial" w:eastAsia="Calibri" w:hAnsi="Arial" w:cs="Arial"/>
          <w:szCs w:val="24"/>
          <w:lang w:val="es-ES_tradnl" w:eastAsia="es-ES_tradnl"/>
        </w:rPr>
        <w:t xml:space="preserve">. </w:t>
      </w:r>
    </w:p>
    <w:p w14:paraId="7EA37FDA" w14:textId="77777777" w:rsidR="008B748F" w:rsidRPr="000F3931" w:rsidRDefault="008B748F" w:rsidP="008B748F">
      <w:pPr>
        <w:spacing w:after="240" w:line="276" w:lineRule="auto"/>
        <w:ind w:firstLine="709"/>
        <w:jc w:val="both"/>
        <w:rPr>
          <w:rFonts w:ascii="Arial" w:hAnsi="Arial" w:cs="Arial"/>
          <w:lang w:val="es-ES_tradnl"/>
        </w:rPr>
      </w:pPr>
      <w:r w:rsidRPr="000F3931">
        <w:rPr>
          <w:rFonts w:ascii="Arial" w:eastAsia="Times New Roman" w:hAnsi="Arial" w:cs="Arial"/>
          <w:szCs w:val="24"/>
          <w:lang w:val="es-ES_tradnl" w:eastAsia="es-ES_tradnl"/>
        </w:rPr>
        <w:t xml:space="preserve">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w:t>
      </w:r>
      <w:r w:rsidRPr="000F3931">
        <w:rPr>
          <w:rFonts w:ascii="Arial" w:eastAsia="Times New Roman" w:hAnsi="Arial" w:cs="Arial"/>
          <w:szCs w:val="24"/>
          <w:lang w:val="es-ES_tradnl" w:eastAsia="es-ES_tradnl"/>
        </w:rPr>
        <w:lastRenderedPageBreak/>
        <w:t>limitada sino por disposición constitucional o legal»</w:t>
      </w:r>
      <w:r w:rsidRPr="000F3931">
        <w:rPr>
          <w:rFonts w:ascii="Arial" w:eastAsia="Times New Roman" w:hAnsi="Arial" w:cs="Arial"/>
          <w:szCs w:val="24"/>
          <w:vertAlign w:val="superscript"/>
          <w:lang w:val="es-ES_tradnl" w:eastAsia="es-ES_tradnl"/>
        </w:rPr>
        <w:footnoteReference w:id="14"/>
      </w:r>
      <w:r w:rsidRPr="000F3931">
        <w:rPr>
          <w:rFonts w:ascii="Arial" w:eastAsia="Times New Roman" w:hAnsi="Arial" w:cs="Arial"/>
          <w:szCs w:val="24"/>
          <w:lang w:val="es-ES_tradnl" w:eastAsia="es-ES_tradnl"/>
        </w:rPr>
        <w:t xml:space="preserve">. El principio de transparencia en la información alude al deber de los sujetos de proporcionar y facilitar el acceso a la misma en los términos más amplios posibles, y a través de los medios y procedimientos legales. </w:t>
      </w:r>
      <w:r w:rsidRPr="000F3931">
        <w:rPr>
          <w:rFonts w:ascii="Arial" w:hAnsi="Arial" w:cs="Arial"/>
          <w:lang w:val="es-ES_tradnl"/>
        </w:rPr>
        <w:t xml:space="preserve">En el artículo 5, la ley estatutaria citada incluye dentro de la lista de sujetos obligados a todas las entidades públicas, y, además, en el literal c) a las personas naturales y jurídicas, públicas o privadas, que presten función pública, que presten servicios públicos respecto de la información directamente relacionada con la prestación del servicio público; también incluye en el literal </w:t>
      </w:r>
      <w:r w:rsidRPr="000F3931">
        <w:rPr>
          <w:rFonts w:ascii="Arial" w:eastAsia="Calibri" w:hAnsi="Arial" w:cs="Arial"/>
          <w:szCs w:val="24"/>
          <w:lang w:eastAsia="es-ES_tradnl"/>
        </w:rPr>
        <w:t>g) a las entidades que administren recursos de naturaleza u origen público</w:t>
      </w:r>
      <w:r w:rsidRPr="000F3931">
        <w:rPr>
          <w:rFonts w:ascii="Arial" w:hAnsi="Arial" w:cs="Arial"/>
          <w:vertAlign w:val="superscript"/>
          <w:lang w:val="es-ES_tradnl"/>
        </w:rPr>
        <w:footnoteReference w:id="15"/>
      </w:r>
      <w:r w:rsidRPr="000F3931">
        <w:rPr>
          <w:rFonts w:ascii="Arial" w:eastAsia="Calibri" w:hAnsi="Arial" w:cs="Arial"/>
          <w:szCs w:val="24"/>
          <w:lang w:eastAsia="es-ES_tradnl"/>
        </w:rPr>
        <w:t>.</w:t>
      </w:r>
      <w:r w:rsidRPr="000F3931">
        <w:rPr>
          <w:rFonts w:ascii="Arial" w:hAnsi="Arial" w:cs="Arial"/>
          <w:lang w:val="es-ES_tradnl"/>
        </w:rPr>
        <w:t xml:space="preserve"> </w:t>
      </w:r>
    </w:p>
    <w:p w14:paraId="616CCDCC" w14:textId="77777777" w:rsidR="008B748F" w:rsidRPr="000F3931" w:rsidRDefault="008B748F" w:rsidP="008B748F">
      <w:pPr>
        <w:spacing w:after="240" w:line="276" w:lineRule="auto"/>
        <w:ind w:firstLine="709"/>
        <w:jc w:val="both"/>
        <w:rPr>
          <w:rFonts w:ascii="Arial" w:hAnsi="Arial" w:cs="Arial"/>
        </w:rPr>
      </w:pPr>
      <w:r w:rsidRPr="000F3931">
        <w:rPr>
          <w:rFonts w:ascii="Arial" w:hAnsi="Arial" w:cs="Arial"/>
          <w:lang w:val="es-ES_tradnl"/>
        </w:rPr>
        <w:t>Esto significa que los resguardos indígenas en la medida que administren recursos públicos conforme a lo dispuesto en los acápites anteriores de este concepto</w:t>
      </w:r>
      <w:r w:rsidRPr="000F3931">
        <w:rPr>
          <w:rFonts w:ascii="Arial" w:eastAsia="Times New Roman" w:hAnsi="Arial" w:cs="Arial"/>
          <w:szCs w:val="24"/>
          <w:lang w:eastAsia="es-CO"/>
        </w:rPr>
        <w:t xml:space="preserve">, se ubican dentro de los sujetos obligados que señala el literal g) del artículo 5 de la Ley </w:t>
      </w:r>
      <w:r w:rsidRPr="000F3931">
        <w:rPr>
          <w:rFonts w:ascii="Arial" w:eastAsia="Times New Roman" w:hAnsi="Arial" w:cs="Arial"/>
          <w:szCs w:val="24"/>
          <w:lang w:val="es-ES_tradnl" w:eastAsia="es-ES_tradnl"/>
        </w:rPr>
        <w:t xml:space="preserve">1712 de 2014. En otras palabras, siempre que un resguardo indígena administre recursos públicos </w:t>
      </w:r>
      <w:r w:rsidRPr="000F3931">
        <w:rPr>
          <w:rFonts w:ascii="Arial" w:eastAsia="Times New Roman" w:hAnsi="Arial" w:cs="Arial"/>
          <w:szCs w:val="24"/>
          <w:lang w:eastAsia="es-ES_tradnl"/>
        </w:rPr>
        <w:t>si ingresa dentro de los supuestos definidos en el artículo 5 de la Ley 1712 de 2014 y en tal medida se considerará sujeto obligado y deberá cumplir las disposiciones establecidas en dicho cuerpo normativo, en materia de transparencia.</w:t>
      </w:r>
    </w:p>
    <w:p w14:paraId="261FF1D7" w14:textId="77777777" w:rsidR="008B748F" w:rsidRPr="000F3931" w:rsidRDefault="008B748F" w:rsidP="008B748F">
      <w:pPr>
        <w:spacing w:after="240" w:line="276" w:lineRule="auto"/>
        <w:ind w:firstLine="709"/>
        <w:jc w:val="both"/>
        <w:rPr>
          <w:rFonts w:ascii="Arial" w:eastAsia="Calibri" w:hAnsi="Arial" w:cs="Arial"/>
          <w:szCs w:val="24"/>
          <w:lang w:val="es-ES_tradnl" w:eastAsia="es-ES_tradnl"/>
        </w:rPr>
      </w:pPr>
      <w:r w:rsidRPr="000F3931">
        <w:rPr>
          <w:rFonts w:ascii="Arial" w:hAnsi="Arial" w:cs="Arial"/>
        </w:rPr>
        <w:t>Uno de los deberes definidos en la Ley 1712 de 2014, que deben acatar los sujetos obligados, es publicar la información contractual en el SECOP. En efecto</w:t>
      </w:r>
      <w:r w:rsidRPr="000F3931">
        <w:rPr>
          <w:rFonts w:ascii="Arial" w:hAnsi="Arial" w:cs="Arial"/>
          <w:lang w:val="es-ES_tradnl"/>
        </w:rPr>
        <w:t xml:space="preserve">, el literal el) del artículo </w:t>
      </w:r>
      <w:r w:rsidRPr="000F3931">
        <w:rPr>
          <w:rFonts w:ascii="Arial" w:hAnsi="Arial" w:cs="Arial"/>
          <w:lang w:val="es-ES_tradnl"/>
        </w:rPr>
        <w:lastRenderedPageBreak/>
        <w:t>9 señala que los sujetos obligados deben publicar la información relativa a su contratación. Esta obligación fue desarrollada por el Decreto Único Reglamentario 1081 de 2015</w:t>
      </w:r>
      <w:r w:rsidRPr="000F3931">
        <w:rPr>
          <w:rFonts w:ascii="Arial" w:hAnsi="Arial" w:cs="Arial"/>
          <w:vertAlign w:val="superscript"/>
          <w:lang w:val="es-ES_tradnl"/>
        </w:rPr>
        <w:footnoteReference w:id="16"/>
      </w:r>
      <w:r w:rsidRPr="000F3931">
        <w:rPr>
          <w:rFonts w:ascii="Arial" w:hAnsi="Arial" w:cs="Arial"/>
          <w:lang w:val="es-ES_tradnl"/>
        </w:rPr>
        <w:t>, el cual dispuso que la publicación de la información contractual de los sujetos obligados, que contratan con cargo a recursos públicos, debe hacerse en el Sistema Electrónico para la Contratación Pública ─</w:t>
      </w:r>
      <w:r w:rsidRPr="000F3931">
        <w:rPr>
          <w:rFonts w:ascii="Arial" w:hAnsi="Arial" w:cs="Arial"/>
          <w:lang w:val="es-ES_tradnl"/>
        </w:rPr>
        <w:softHyphen/>
        <w:t xml:space="preserve"> </w:t>
      </w:r>
      <w:r w:rsidRPr="000F3931">
        <w:rPr>
          <w:rFonts w:ascii="Arial" w:hAnsi="Arial" w:cs="Arial"/>
          <w:lang w:val="es-ES_tradnl"/>
        </w:rPr>
        <w:softHyphen/>
        <w:t>SECOP–</w:t>
      </w:r>
    </w:p>
    <w:p w14:paraId="328D79B5" w14:textId="77777777" w:rsidR="008B748F" w:rsidRPr="000F3931" w:rsidRDefault="008B748F" w:rsidP="008B748F">
      <w:pPr>
        <w:spacing w:after="240" w:line="276" w:lineRule="auto"/>
        <w:ind w:firstLine="709"/>
        <w:jc w:val="both"/>
        <w:rPr>
          <w:rFonts w:ascii="Arial" w:eastAsia="Times New Roman" w:hAnsi="Arial" w:cs="Arial"/>
          <w:szCs w:val="24"/>
          <w:lang w:val="es-ES_tradnl" w:eastAsia="es-ES_tradnl"/>
        </w:rPr>
      </w:pPr>
      <w:r w:rsidRPr="000F3931">
        <w:rPr>
          <w:rFonts w:ascii="Arial" w:eastAsia="Times New Roman" w:hAnsi="Arial" w:cs="Arial"/>
          <w:szCs w:val="24"/>
          <w:lang w:val="es-ES_tradnl" w:eastAsia="es-ES_tradnl"/>
        </w:rPr>
        <w:t xml:space="preserve">Así 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0F3931">
        <w:rPr>
          <w:rFonts w:ascii="Arial" w:eastAsia="Calibri" w:hAnsi="Arial" w:cs="Arial"/>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0F3931">
        <w:rPr>
          <w:rFonts w:ascii="Arial" w:eastAsia="Calibri" w:hAnsi="Arial" w:cs="Arial"/>
          <w:szCs w:val="24"/>
          <w:vertAlign w:val="superscript"/>
          <w:lang w:val="es-ES_tradnl" w:eastAsia="es-ES_tradnl"/>
        </w:rPr>
        <w:footnoteReference w:id="17"/>
      </w:r>
      <w:r w:rsidRPr="000F3931">
        <w:rPr>
          <w:rFonts w:ascii="Arial" w:eastAsia="Calibri" w:hAnsi="Arial" w:cs="Arial"/>
          <w:szCs w:val="24"/>
          <w:lang w:val="es-ES_tradnl" w:eastAsia="es-ES_tradnl"/>
        </w:rPr>
        <w:t>.</w:t>
      </w:r>
    </w:p>
    <w:p w14:paraId="7882DBDC" w14:textId="77777777" w:rsidR="008B748F" w:rsidRPr="000F3931" w:rsidRDefault="008B748F" w:rsidP="008B748F">
      <w:pPr>
        <w:spacing w:after="240" w:line="276" w:lineRule="auto"/>
        <w:ind w:firstLine="709"/>
        <w:jc w:val="both"/>
        <w:rPr>
          <w:rFonts w:ascii="Arial" w:eastAsia="Times New Roman" w:hAnsi="Arial" w:cs="Arial"/>
          <w:lang w:val="es-ES_tradnl" w:eastAsia="es-ES_tradnl"/>
        </w:rPr>
      </w:pPr>
      <w:r w:rsidRPr="000F3931">
        <w:rPr>
          <w:rFonts w:ascii="Arial" w:eastAsia="Times New Roman" w:hAnsi="Arial" w:cs="Arial"/>
          <w:szCs w:val="24"/>
          <w:lang w:val="es-ES_tradnl" w:eastAsia="es-ES_tradnl"/>
        </w:rPr>
        <w:t>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0F3931">
        <w:rPr>
          <w:rFonts w:ascii="Arial" w:eastAsia="Times New Roman" w:hAnsi="Arial" w:cs="Arial"/>
          <w:szCs w:val="24"/>
          <w:vertAlign w:val="superscript"/>
          <w:lang w:val="es-ES_tradnl" w:eastAsia="es-ES_tradnl"/>
        </w:rPr>
        <w:footnoteReference w:id="18"/>
      </w:r>
      <w:r w:rsidRPr="000F3931">
        <w:rPr>
          <w:rFonts w:ascii="Arial" w:eastAsia="Times New Roman" w:hAnsi="Arial" w:cs="Arial"/>
          <w:szCs w:val="24"/>
          <w:lang w:val="es-ES_tradnl" w:eastAsia="es-ES_tradnl"/>
        </w:rPr>
        <w:t xml:space="preserve">. Además, esta circular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y </w:t>
      </w:r>
      <w:r w:rsidRPr="000F3931">
        <w:rPr>
          <w:rFonts w:ascii="Arial" w:eastAsia="Times New Roman" w:hAnsi="Arial" w:cs="Arial"/>
          <w:lang w:val="es-ES_tradnl" w:eastAsia="es-ES_tradnl"/>
        </w:rPr>
        <w:t>«</w:t>
      </w:r>
      <w:r w:rsidRPr="000F3931">
        <w:rPr>
          <w:rFonts w:ascii="Arial" w:eastAsia="Times New Roman" w:hAnsi="Arial" w:cs="Arial"/>
          <w:lang w:eastAsia="es-ES_tradnl"/>
        </w:rPr>
        <w:t>4. Los particulares que contraten con cargo a recursos públicos. Estos deberán realizar la publicación a través del módulo “Régimen Especial”».</w:t>
      </w:r>
    </w:p>
    <w:p w14:paraId="4F396F39" w14:textId="77777777" w:rsidR="008B748F" w:rsidRPr="000F3931" w:rsidRDefault="008B748F" w:rsidP="008B748F">
      <w:pPr>
        <w:spacing w:after="240" w:line="276" w:lineRule="auto"/>
        <w:ind w:firstLine="709"/>
        <w:jc w:val="both"/>
        <w:rPr>
          <w:rFonts w:ascii="Arial" w:eastAsia="Times New Roman" w:hAnsi="Arial" w:cs="Arial"/>
          <w:szCs w:val="24"/>
          <w:lang w:val="es-ES_tradnl" w:eastAsia="es-ES_tradnl"/>
        </w:rPr>
      </w:pPr>
      <w:r w:rsidRPr="000F3931">
        <w:rPr>
          <w:rFonts w:ascii="Arial" w:eastAsia="Times New Roman" w:hAnsi="Arial" w:cs="Arial"/>
          <w:szCs w:val="24"/>
          <w:lang w:val="es-ES_tradnl" w:eastAsia="es-ES_tradnl"/>
        </w:rPr>
        <w:t xml:space="preserve">El debate sobre la obligatoriedad o no de publicar en el SECOP, para las entidades con régimen especial de contratación, había sido definido, al menos de manera preliminar, por el </w:t>
      </w:r>
      <w:r w:rsidRPr="000F3931">
        <w:rPr>
          <w:rFonts w:ascii="Arial" w:eastAsia="Times New Roman" w:hAnsi="Arial" w:cs="Arial"/>
          <w:szCs w:val="24"/>
          <w:lang w:val="es-ES_tradnl" w:eastAsia="es-ES_tradnl"/>
        </w:rPr>
        <w:lastRenderedPageBreak/>
        <w:t>Consejo de Estado. En este sentido, la Sección Tercera, Subsección C, en el Auto del 14 de agosto de 2017</w:t>
      </w:r>
      <w:r w:rsidRPr="000F3931">
        <w:rPr>
          <w:rFonts w:ascii="Arial" w:eastAsia="Times New Roman" w:hAnsi="Arial" w:cs="Arial"/>
          <w:szCs w:val="24"/>
          <w:vertAlign w:val="superscript"/>
          <w:lang w:val="es-ES_tradnl" w:eastAsia="es-ES_tradnl"/>
        </w:rPr>
        <w:footnoteReference w:id="19"/>
      </w:r>
      <w:r w:rsidRPr="000F3931">
        <w:rPr>
          <w:rFonts w:ascii="Arial" w:eastAsia="Times New Roman" w:hAnsi="Arial" w:cs="Arial"/>
          <w:szCs w:val="24"/>
          <w:lang w:val="es-ES_tradnl" w:eastAsia="es-ES_tradnl"/>
        </w:rPr>
        <w:t>, expresó que la obligación prevista en la Circular Externa No. 1 se ajusta a la normativa superior, en los siguientes términos:</w:t>
      </w:r>
    </w:p>
    <w:p w14:paraId="696CB18D" w14:textId="42CEA557" w:rsidR="008B748F" w:rsidRPr="000F3931" w:rsidRDefault="007D73DE" w:rsidP="008B748F">
      <w:pPr>
        <w:tabs>
          <w:tab w:val="left" w:pos="3885"/>
        </w:tabs>
        <w:spacing w:after="240" w:line="240" w:lineRule="auto"/>
        <w:ind w:left="709" w:right="709"/>
        <w:jc w:val="both"/>
        <w:rPr>
          <w:rFonts w:ascii="Arial" w:eastAsia="Times New Roman" w:hAnsi="Arial" w:cs="Arial"/>
          <w:sz w:val="21"/>
          <w:szCs w:val="21"/>
          <w:lang w:val="es-ES_tradnl" w:eastAsia="es-ES_tradnl"/>
        </w:rPr>
      </w:pPr>
      <w:r w:rsidRPr="00C31E32">
        <w:rPr>
          <w:rFonts w:ascii="Arial" w:eastAsia="Times New Roman" w:hAnsi="Arial" w:cs="Arial"/>
          <w:color w:val="000000" w:themeColor="text1"/>
          <w:sz w:val="19"/>
          <w:szCs w:val="19"/>
          <w:lang w:val="es-ES" w:eastAsia="es-ES"/>
        </w:rPr>
        <w:t>«</w:t>
      </w:r>
      <w:r w:rsidR="008B748F" w:rsidRPr="000F3931">
        <w:rPr>
          <w:rFonts w:ascii="Arial" w:eastAsia="Times New Roman" w:hAnsi="Arial" w:cs="Arial"/>
          <w:sz w:val="21"/>
          <w:szCs w:val="21"/>
          <w:lang w:val="es-ES_tradnl" w:eastAsia="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09E451E2" w14:textId="77777777" w:rsidR="008B748F" w:rsidRPr="000F3931" w:rsidRDefault="008B748F" w:rsidP="008B748F">
      <w:pPr>
        <w:tabs>
          <w:tab w:val="left" w:pos="3885"/>
        </w:tabs>
        <w:spacing w:after="240" w:line="240" w:lineRule="auto"/>
        <w:ind w:left="709" w:right="709"/>
        <w:jc w:val="both"/>
        <w:rPr>
          <w:rFonts w:ascii="Arial" w:eastAsia="Times New Roman" w:hAnsi="Arial" w:cs="Arial"/>
          <w:sz w:val="21"/>
          <w:szCs w:val="21"/>
          <w:lang w:val="es-ES_tradnl" w:eastAsia="es-ES_tradnl"/>
        </w:rPr>
      </w:pPr>
      <w:r w:rsidRPr="000F3931">
        <w:rPr>
          <w:rFonts w:ascii="Arial" w:eastAsia="Times New Roman" w:hAnsi="Arial" w:cs="Arial"/>
          <w:sz w:val="21"/>
          <w:szCs w:val="21"/>
          <w:lang w:val="es-ES_tradnl" w:eastAsia="es-ES_tradnl"/>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1725EE8C" w14:textId="77777777" w:rsidR="008B748F" w:rsidRPr="000F3931" w:rsidRDefault="008B748F" w:rsidP="008B748F">
      <w:pPr>
        <w:tabs>
          <w:tab w:val="left" w:pos="3885"/>
        </w:tabs>
        <w:spacing w:after="240" w:line="240" w:lineRule="auto"/>
        <w:ind w:left="709" w:right="709"/>
        <w:jc w:val="both"/>
        <w:rPr>
          <w:rFonts w:ascii="Arial" w:eastAsia="Times New Roman" w:hAnsi="Arial" w:cs="Arial"/>
          <w:sz w:val="21"/>
          <w:szCs w:val="21"/>
          <w:lang w:val="es-ES_tradnl" w:eastAsia="es-ES_tradnl"/>
        </w:rPr>
      </w:pPr>
      <w:r w:rsidRPr="000F3931">
        <w:rPr>
          <w:rFonts w:ascii="Arial" w:eastAsia="Times New Roman" w:hAnsi="Arial" w:cs="Arial"/>
          <w:sz w:val="21"/>
          <w:szCs w:val="21"/>
          <w:lang w:val="es-ES_tradnl" w:eastAsia="es-ES_tradnl"/>
        </w:rPr>
        <w:t>[…]</w:t>
      </w:r>
    </w:p>
    <w:p w14:paraId="253D211D" w14:textId="1950693B" w:rsidR="008B748F" w:rsidRPr="000F3931" w:rsidRDefault="008B748F" w:rsidP="008B748F">
      <w:pPr>
        <w:tabs>
          <w:tab w:val="left" w:pos="3885"/>
        </w:tabs>
        <w:spacing w:after="240" w:line="240" w:lineRule="auto"/>
        <w:ind w:left="709" w:right="709"/>
        <w:jc w:val="both"/>
        <w:rPr>
          <w:rFonts w:ascii="Arial" w:eastAsia="Times New Roman" w:hAnsi="Arial" w:cs="Arial"/>
          <w:sz w:val="21"/>
          <w:szCs w:val="21"/>
          <w:lang w:val="es-ES_tradnl" w:eastAsia="es-ES_tradnl"/>
        </w:rPr>
      </w:pPr>
      <w:r w:rsidRPr="000F3931">
        <w:rPr>
          <w:rFonts w:ascii="Arial" w:eastAsia="Times New Roman" w:hAnsi="Arial" w:cs="Arial"/>
          <w:sz w:val="21"/>
          <w:szCs w:val="21"/>
          <w:lang w:val="es-ES_tradnl" w:eastAsia="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0F3931">
        <w:rPr>
          <w:rFonts w:ascii="Arial" w:eastAsia="Times New Roman" w:hAnsi="Arial" w:cs="Arial"/>
          <w:sz w:val="21"/>
          <w:szCs w:val="21"/>
          <w:vertAlign w:val="superscript"/>
          <w:lang w:val="es-ES_tradnl" w:eastAsia="es-ES_tradnl"/>
        </w:rPr>
        <w:footnoteReference w:id="20"/>
      </w:r>
      <w:r w:rsidRPr="000F3931">
        <w:rPr>
          <w:rFonts w:ascii="Arial" w:eastAsia="Times New Roman" w:hAnsi="Arial" w:cs="Arial"/>
          <w:sz w:val="21"/>
          <w:szCs w:val="21"/>
          <w:lang w:val="es-ES_tradnl" w:eastAsia="es-ES_tradnl"/>
        </w:rPr>
        <w:t>.</w:t>
      </w:r>
      <w:r w:rsidR="007D73DE" w:rsidRPr="000F3931">
        <w:rPr>
          <w:rFonts w:ascii="Arial" w:eastAsia="Calibri" w:hAnsi="Arial" w:cs="Arial"/>
          <w:lang w:val="es-ES"/>
        </w:rPr>
        <w:t>»</w:t>
      </w:r>
    </w:p>
    <w:p w14:paraId="352C2E7A" w14:textId="77777777" w:rsidR="008B748F" w:rsidRPr="000F3931" w:rsidRDefault="008B748F" w:rsidP="008B748F">
      <w:pPr>
        <w:spacing w:after="240" w:line="276" w:lineRule="auto"/>
        <w:ind w:firstLine="708"/>
        <w:jc w:val="both"/>
        <w:rPr>
          <w:rFonts w:ascii="Arial" w:eastAsia="Times New Roman" w:hAnsi="Arial" w:cs="Arial"/>
          <w:szCs w:val="24"/>
          <w:lang w:val="es-ES_tradnl" w:eastAsia="es-ES_tradnl"/>
        </w:rPr>
      </w:pPr>
      <w:r w:rsidRPr="000F3931">
        <w:rPr>
          <w:rFonts w:ascii="Arial" w:eastAsia="Times New Roman" w:hAnsi="Arial" w:cs="Arial"/>
          <w:szCs w:val="24"/>
          <w:lang w:val="es-ES_tradnl" w:eastAsia="es-ES_tradnl"/>
        </w:rPr>
        <w:t xml:space="preserve">Adicionalmente, la publicación de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7AFFC918" w14:textId="70310D18" w:rsidR="008B748F" w:rsidRPr="000F3931" w:rsidRDefault="007D73DE" w:rsidP="008B748F">
      <w:pPr>
        <w:spacing w:after="240" w:line="240" w:lineRule="auto"/>
        <w:ind w:left="709" w:right="709"/>
        <w:jc w:val="both"/>
        <w:rPr>
          <w:rFonts w:ascii="Arial" w:eastAsia="Times New Roman" w:hAnsi="Arial" w:cs="Arial"/>
          <w:sz w:val="21"/>
          <w:szCs w:val="21"/>
          <w:lang w:val="es-ES_tradnl" w:eastAsia="es-ES_tradnl"/>
        </w:rPr>
      </w:pPr>
      <w:r w:rsidRPr="00C31E32">
        <w:rPr>
          <w:rFonts w:ascii="Arial" w:eastAsia="Times New Roman" w:hAnsi="Arial" w:cs="Arial"/>
          <w:color w:val="000000" w:themeColor="text1"/>
          <w:sz w:val="19"/>
          <w:szCs w:val="19"/>
          <w:lang w:val="es-ES" w:eastAsia="es-ES"/>
        </w:rPr>
        <w:t>«</w:t>
      </w:r>
      <w:r w:rsidR="008B748F" w:rsidRPr="000F3931">
        <w:rPr>
          <w:rFonts w:ascii="Arial" w:eastAsia="Times New Roman" w:hAnsi="Arial" w:cs="Arial"/>
          <w:sz w:val="21"/>
          <w:szCs w:val="21"/>
          <w:lang w:val="es-ES_tradnl" w:eastAsia="es-ES_tradnl"/>
        </w:rPr>
        <w:t xml:space="preserve">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w:t>
      </w:r>
      <w:r w:rsidR="008B748F" w:rsidRPr="000F3931">
        <w:rPr>
          <w:rFonts w:ascii="Arial" w:eastAsia="Times New Roman" w:hAnsi="Arial" w:cs="Arial"/>
          <w:sz w:val="21"/>
          <w:szCs w:val="21"/>
          <w:lang w:val="es-ES_tradnl" w:eastAsia="es-ES_tradnl"/>
        </w:rPr>
        <w:lastRenderedPageBreak/>
        <w:t>informativo en relación a los negocios que celebren con cargo a recursos de otra índole</w:t>
      </w:r>
      <w:r w:rsidR="008B748F" w:rsidRPr="000F3931">
        <w:rPr>
          <w:rFonts w:ascii="Arial" w:eastAsia="Times New Roman" w:hAnsi="Arial" w:cs="Arial"/>
          <w:sz w:val="21"/>
          <w:szCs w:val="21"/>
          <w:vertAlign w:val="superscript"/>
          <w:lang w:val="es-ES_tradnl" w:eastAsia="es-ES_tradnl"/>
        </w:rPr>
        <w:footnoteReference w:id="21"/>
      </w:r>
      <w:r w:rsidR="008B748F" w:rsidRPr="000F3931">
        <w:rPr>
          <w:rFonts w:ascii="Arial" w:eastAsia="Times New Roman" w:hAnsi="Arial" w:cs="Arial"/>
          <w:sz w:val="21"/>
          <w:szCs w:val="21"/>
          <w:lang w:val="es-ES_tradnl" w:eastAsia="es-ES_tradnl"/>
        </w:rPr>
        <w:t>.</w:t>
      </w:r>
      <w:r w:rsidRPr="000F3931">
        <w:rPr>
          <w:rFonts w:ascii="Arial" w:eastAsia="Calibri" w:hAnsi="Arial" w:cs="Arial"/>
          <w:lang w:val="es-ES"/>
        </w:rPr>
        <w:t>»</w:t>
      </w:r>
    </w:p>
    <w:p w14:paraId="41D2A890" w14:textId="77777777" w:rsidR="008B748F" w:rsidRPr="000F3931" w:rsidRDefault="008B748F" w:rsidP="008B748F">
      <w:pPr>
        <w:spacing w:after="240" w:line="276" w:lineRule="auto"/>
        <w:ind w:firstLine="709"/>
        <w:jc w:val="both"/>
        <w:rPr>
          <w:rFonts w:ascii="Arial" w:eastAsia="Times New Roman" w:hAnsi="Arial" w:cs="Arial"/>
          <w:szCs w:val="24"/>
          <w:lang w:val="es-ES_tradnl" w:eastAsia="es-ES_tradnl"/>
        </w:rPr>
      </w:pPr>
      <w:r w:rsidRPr="000F3931">
        <w:rPr>
          <w:rFonts w:ascii="Arial" w:eastAsia="Times New Roman" w:hAnsi="Arial" w:cs="Arial"/>
          <w:szCs w:val="24"/>
          <w:lang w:val="es-ES_tradnl" w:eastAsia="es-ES_tradnl"/>
        </w:rPr>
        <w:t>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w:t>
      </w:r>
    </w:p>
    <w:p w14:paraId="4999661E" w14:textId="77777777" w:rsidR="008B748F" w:rsidRPr="000F3931" w:rsidRDefault="008B748F" w:rsidP="008B748F">
      <w:pPr>
        <w:spacing w:after="240" w:line="276" w:lineRule="auto"/>
        <w:ind w:firstLine="709"/>
        <w:jc w:val="both"/>
        <w:rPr>
          <w:rFonts w:ascii="Arial" w:eastAsia="Calibri" w:hAnsi="Arial" w:cs="Arial"/>
          <w:lang w:val="es-ES_tradnl" w:eastAsia="es-ES_tradnl"/>
        </w:rPr>
      </w:pPr>
      <w:r w:rsidRPr="000F3931">
        <w:rPr>
          <w:rFonts w:ascii="Arial" w:eastAsia="Times New Roman" w:hAnsi="Arial" w:cs="Arial"/>
          <w:szCs w:val="24"/>
          <w:lang w:val="es-ES_tradnl" w:eastAsia="es-ES_tradnl"/>
        </w:rPr>
        <w:t xml:space="preserve">De otro lado, </w:t>
      </w:r>
      <w:bookmarkStart w:id="7" w:name="_Hlk98517564"/>
      <w:r w:rsidRPr="000F3931">
        <w:rPr>
          <w:rFonts w:ascii="Arial" w:eastAsia="Calibri" w:hAnsi="Arial" w:cs="Arial"/>
          <w:lang w:val="es-ES_tradnl" w:eastAsia="es-ES_tradnl"/>
        </w:rPr>
        <w:t>el 18 de enero del año en curso se promulgó la Ley 2195 de 2022. Según lo establece su artículo 1, esta Ley «</w:t>
      </w:r>
      <w:r w:rsidRPr="000F3931">
        <w:rPr>
          <w:rFonts w:ascii="Arial" w:eastAsia="Times New Roman" w:hAnsi="Arial" w:cs="Arial"/>
          <w:lang w:val="es-ES_tradnl" w:eastAsia="es-ES_tradnl"/>
        </w:rPr>
        <w:t xml:space="preserve">[…] </w:t>
      </w:r>
      <w:r w:rsidRPr="000F3931">
        <w:rPr>
          <w:rFonts w:ascii="Arial" w:eastAsia="Calibri" w:hAnsi="Arial"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0F3931">
        <w:rPr>
          <w:rFonts w:ascii="Arial" w:eastAsia="Calibri" w:hAnsi="Arial" w:cs="Arial"/>
          <w:i/>
          <w:iCs/>
          <w:lang w:val="es-ES_tradnl" w:eastAsia="es-ES_tradnl"/>
        </w:rPr>
        <w:t>no</w:t>
      </w:r>
      <w:r w:rsidRPr="000F3931">
        <w:rPr>
          <w:rFonts w:ascii="Arial" w:eastAsia="Calibri" w:hAnsi="Arial" w:cs="Arial"/>
          <w:lang w:val="es-ES_tradnl" w:eastAsia="es-ES_tradnl"/>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por incumplimiento de contratos –artículo 58–.</w:t>
      </w:r>
    </w:p>
    <w:p w14:paraId="1CEF6385" w14:textId="77777777" w:rsidR="008B748F" w:rsidRPr="000F3931" w:rsidRDefault="008B748F" w:rsidP="008B748F">
      <w:pPr>
        <w:spacing w:after="240" w:line="276" w:lineRule="auto"/>
        <w:ind w:firstLine="709"/>
        <w:jc w:val="both"/>
        <w:rPr>
          <w:rFonts w:ascii="Arial" w:eastAsia="Calibri" w:hAnsi="Arial" w:cs="Arial"/>
          <w:lang w:val="es-ES_tradnl" w:eastAsia="es-ES_tradnl"/>
        </w:rPr>
      </w:pPr>
      <w:r w:rsidRPr="000F3931">
        <w:rPr>
          <w:rFonts w:ascii="Arial" w:eastAsia="Calibri" w:hAnsi="Arial" w:cs="Arial"/>
          <w:lang w:val="es-ES_tradnl" w:eastAsia="es-ES_tradnl"/>
        </w:rPr>
        <w:t>Según se indicó, el artículo 53 de la Ley 2195 de 2022 hace obligatorio el uso del SECOP II para las entidades exceptuadas del Estatuto General de Contratación de la Administración Pública. En efecto, esta norma dispone:</w:t>
      </w:r>
    </w:p>
    <w:p w14:paraId="26C997E5" w14:textId="220AEE6B" w:rsidR="008B748F" w:rsidRPr="000F3931" w:rsidRDefault="007D73DE" w:rsidP="008B748F">
      <w:pPr>
        <w:spacing w:after="240" w:line="240" w:lineRule="auto"/>
        <w:ind w:left="709" w:right="709"/>
        <w:jc w:val="both"/>
        <w:rPr>
          <w:rFonts w:ascii="Arial" w:eastAsia="Calibri" w:hAnsi="Arial" w:cs="Arial"/>
          <w:sz w:val="21"/>
          <w:szCs w:val="21"/>
          <w:lang w:eastAsia="es-ES_tradnl"/>
        </w:rPr>
      </w:pPr>
      <w:r w:rsidRPr="000F3931">
        <w:rPr>
          <w:rFonts w:ascii="Arial" w:eastAsia="Calibri" w:hAnsi="Arial" w:cs="Arial"/>
          <w:lang w:val="es-ES_tradnl" w:eastAsia="es-ES_tradnl"/>
        </w:rPr>
        <w:t>«</w:t>
      </w:r>
      <w:r w:rsidR="008B748F" w:rsidRPr="000F3931">
        <w:rPr>
          <w:rFonts w:ascii="Arial" w:eastAsia="Calibri" w:hAnsi="Arial" w:cs="Arial"/>
          <w:sz w:val="21"/>
          <w:szCs w:val="21"/>
          <w:lang w:eastAsia="es-ES_tradnl"/>
        </w:rPr>
        <w:t>Adiciónese los siguientes incisos al artículo 13 de la Ley 1150 de 2007, el cual quedará así:</w:t>
      </w:r>
    </w:p>
    <w:p w14:paraId="1ED4F6F9" w14:textId="77777777" w:rsidR="008B748F" w:rsidRPr="000F3931" w:rsidRDefault="008B748F" w:rsidP="008B748F">
      <w:pPr>
        <w:spacing w:after="240" w:line="240" w:lineRule="auto"/>
        <w:ind w:left="709" w:right="709"/>
        <w:jc w:val="both"/>
        <w:rPr>
          <w:rFonts w:ascii="Arial" w:eastAsia="Calibri" w:hAnsi="Arial" w:cs="Arial"/>
          <w:sz w:val="21"/>
          <w:szCs w:val="21"/>
          <w:lang w:eastAsia="es-ES_tradnl"/>
        </w:rPr>
      </w:pPr>
      <w:r w:rsidRPr="000F3931">
        <w:rPr>
          <w:rFonts w:ascii="Arial" w:eastAsia="Calibri" w:hAnsi="Arial" w:cs="Arial"/>
          <w:sz w:val="21"/>
          <w:szCs w:val="21"/>
          <w:lang w:eastAsia="es-ES_tradnl"/>
        </w:rPr>
        <w:t xml:space="preserve">Artículo 13. PRINCIPIOS GENERALES DE LA ACTIVIDAD CONTRACTUAL PARA ENTIDADES NO SOMETIDAS AL ESTATUTO GENERAL DE CONTRATACIÓN DE LA ADMINISTRACIÓN PÚBLICA. Las entidades estatales que por disposición legal </w:t>
      </w:r>
      <w:r w:rsidRPr="000F3931">
        <w:rPr>
          <w:rFonts w:ascii="Arial" w:eastAsia="Calibri" w:hAnsi="Arial" w:cs="Arial"/>
          <w:sz w:val="21"/>
          <w:szCs w:val="21"/>
          <w:lang w:eastAsia="es-ES_tradnl"/>
        </w:rPr>
        <w:lastRenderedPageBreak/>
        <w:t>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B136C92" w14:textId="77777777" w:rsidR="008B748F" w:rsidRPr="000F3931" w:rsidRDefault="008B748F" w:rsidP="008B748F">
      <w:pPr>
        <w:spacing w:after="240" w:line="240" w:lineRule="auto"/>
        <w:ind w:left="709" w:right="709"/>
        <w:jc w:val="both"/>
        <w:rPr>
          <w:rFonts w:ascii="Arial" w:eastAsia="Calibri" w:hAnsi="Arial" w:cs="Arial"/>
          <w:sz w:val="21"/>
          <w:szCs w:val="21"/>
          <w:lang w:eastAsia="es-ES_tradnl"/>
        </w:rPr>
      </w:pPr>
      <w:r w:rsidRPr="000F3931">
        <w:rPr>
          <w:rFonts w:ascii="Arial" w:eastAsia="Calibri" w:hAnsi="Arial" w:cs="Arial"/>
          <w:sz w:val="21"/>
          <w:szCs w:val="21"/>
          <w:lang w:eastAsia="es-ES_tradnl"/>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0F3931">
        <w:rPr>
          <w:rFonts w:ascii="Arial" w:eastAsia="Calibri" w:hAnsi="Arial" w:cs="Arial"/>
          <w:sz w:val="21"/>
          <w:szCs w:val="21"/>
          <w:lang w:eastAsia="es-ES_tradnl"/>
        </w:rPr>
        <w:t>postcontractual</w:t>
      </w:r>
      <w:proofErr w:type="spellEnd"/>
      <w:r w:rsidRPr="000F3931">
        <w:rPr>
          <w:rFonts w:ascii="Arial" w:eastAsia="Calibri" w:hAnsi="Arial" w:cs="Arial"/>
          <w:sz w:val="21"/>
          <w:szCs w:val="21"/>
          <w:lang w:eastAsia="es-ES_tradnl"/>
        </w:rPr>
        <w:t>.</w:t>
      </w:r>
    </w:p>
    <w:p w14:paraId="63390D21" w14:textId="20C075D6" w:rsidR="008B748F" w:rsidRPr="000F3931" w:rsidRDefault="008B748F" w:rsidP="008B748F">
      <w:pPr>
        <w:spacing w:after="240" w:line="240" w:lineRule="auto"/>
        <w:ind w:left="709" w:right="709"/>
        <w:jc w:val="both"/>
        <w:rPr>
          <w:rFonts w:ascii="Arial" w:eastAsia="Calibri" w:hAnsi="Arial" w:cs="Arial"/>
          <w:sz w:val="21"/>
          <w:szCs w:val="21"/>
          <w:lang w:eastAsia="es-ES_tradnl"/>
        </w:rPr>
      </w:pPr>
      <w:r w:rsidRPr="000F3931">
        <w:rPr>
          <w:rFonts w:ascii="Arial" w:eastAsia="Calibri" w:hAnsi="Arial" w:cs="Arial"/>
          <w:sz w:val="21"/>
          <w:szCs w:val="21"/>
          <w:lang w:eastAsia="es-ES_tradnl"/>
        </w:rPr>
        <w:t>A partir de la entrada en vigencia de la presente Ley, se establecerá un periodo de transición de seis (6) meses, para que las entidades den cumplimiento efectivo a lo aquí establecido.</w:t>
      </w:r>
      <w:r w:rsidR="007D73DE" w:rsidRPr="000F3931">
        <w:rPr>
          <w:rFonts w:ascii="Arial" w:eastAsia="Calibri" w:hAnsi="Arial" w:cs="Arial"/>
          <w:lang w:val="es-ES"/>
        </w:rPr>
        <w:t>»</w:t>
      </w:r>
    </w:p>
    <w:p w14:paraId="1EB9A101" w14:textId="77777777" w:rsidR="008B748F" w:rsidRPr="000F3931" w:rsidRDefault="008B748F" w:rsidP="008B748F">
      <w:pPr>
        <w:spacing w:after="240" w:line="276" w:lineRule="auto"/>
        <w:ind w:firstLine="709"/>
        <w:jc w:val="both"/>
        <w:rPr>
          <w:rFonts w:ascii="Arial" w:eastAsia="Calibri" w:hAnsi="Arial" w:cs="Arial"/>
          <w:lang w:val="es-ES_tradnl" w:eastAsia="es-ES_tradnl"/>
        </w:rPr>
      </w:pPr>
      <w:r w:rsidRPr="000F3931">
        <w:rPr>
          <w:rFonts w:ascii="Arial" w:eastAsia="Calibri" w:hAnsi="Arial" w:cs="Arial"/>
          <w:lang w:val="es-ES_tradnl" w:eastAsia="es-ES_tradnl"/>
        </w:rPr>
        <w:t xml:space="preserve">Como puede observarse, 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52625A0F" w14:textId="77777777" w:rsidR="008B748F" w:rsidRPr="000F3931" w:rsidRDefault="008B748F" w:rsidP="008B748F">
      <w:pPr>
        <w:spacing w:after="240" w:line="276" w:lineRule="auto"/>
        <w:ind w:firstLine="709"/>
        <w:jc w:val="both"/>
        <w:rPr>
          <w:rFonts w:ascii="Arial" w:eastAsia="Calibri" w:hAnsi="Arial" w:cs="Arial"/>
          <w:lang w:val="es-ES_tradnl" w:eastAsia="es-ES_tradnl"/>
        </w:rPr>
      </w:pPr>
      <w:r w:rsidRPr="000F3931">
        <w:rPr>
          <w:rFonts w:ascii="Arial" w:eastAsia="Calibri" w:hAnsi="Arial" w:cs="Arial"/>
          <w:lang w:val="es-ES_tradnl" w:eastAsia="es-ES_tradnl"/>
        </w:rPr>
        <w:t xml:space="preserve">La Agencia Nacional de Contratación Pública – Colombia Compra Eficiente considera que al establecer el artículo 53 que este deber ha de cumplirse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w:t>
      </w:r>
    </w:p>
    <w:p w14:paraId="2225E238" w14:textId="77777777" w:rsidR="008B748F" w:rsidRPr="000F3931" w:rsidRDefault="008B748F" w:rsidP="008B748F">
      <w:pPr>
        <w:spacing w:after="240" w:line="276" w:lineRule="auto"/>
        <w:ind w:firstLine="709"/>
        <w:jc w:val="both"/>
        <w:rPr>
          <w:rFonts w:ascii="Arial" w:eastAsia="Calibri" w:hAnsi="Arial" w:cs="Arial"/>
          <w:lang w:val="es-ES_tradnl" w:eastAsia="es-ES_tradnl"/>
        </w:rPr>
      </w:pPr>
      <w:r w:rsidRPr="000F3931">
        <w:rPr>
          <w:rFonts w:ascii="Arial" w:eastAsia="Calibri" w:hAnsi="Arial" w:cs="Arial"/>
          <w:lang w:val="es-ES_tradnl" w:eastAsia="es-ES_tradnl"/>
        </w:rPr>
        <w:t xml:space="preserve">Finalmente, el referido artículo dispone, en el inciso final, que «A partir de la entrada en vigencia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w:t>
      </w:r>
      <w:r w:rsidRPr="000F3931">
        <w:rPr>
          <w:rFonts w:ascii="Arial" w:eastAsia="Calibri" w:hAnsi="Arial" w:cs="Arial"/>
          <w:lang w:val="es-ES_tradnl" w:eastAsia="es-ES_tradnl"/>
        </w:rPr>
        <w:lastRenderedPageBreak/>
        <w:t>julio de 2022. La Agencia Nacional de Contratación Pública – Colombia Compra Eficiente también podría impartir directrices sobre este tema a través de sus instrumentos doctrinarios y reglamentarios</w:t>
      </w:r>
      <w:r w:rsidRPr="000F3931">
        <w:rPr>
          <w:rFonts w:ascii="Arial" w:eastAsia="Calibri" w:hAnsi="Arial" w:cs="Arial"/>
          <w:vertAlign w:val="superscript"/>
          <w:lang w:val="es-ES_tradnl" w:eastAsia="es-ES_tradnl"/>
        </w:rPr>
        <w:footnoteReference w:id="22"/>
      </w:r>
      <w:r w:rsidRPr="000F3931">
        <w:rPr>
          <w:rFonts w:ascii="Arial" w:eastAsia="Calibri" w:hAnsi="Arial" w:cs="Arial"/>
          <w:lang w:val="es-ES_tradnl" w:eastAsia="es-ES_tradnl"/>
        </w:rPr>
        <w:t>.</w:t>
      </w:r>
    </w:p>
    <w:bookmarkEnd w:id="7"/>
    <w:p w14:paraId="22643FFC" w14:textId="77777777" w:rsidR="008B748F" w:rsidRPr="000F3931" w:rsidRDefault="008B748F" w:rsidP="008B748F">
      <w:pPr>
        <w:spacing w:after="240" w:line="276" w:lineRule="auto"/>
        <w:ind w:firstLine="709"/>
        <w:jc w:val="both"/>
        <w:rPr>
          <w:rFonts w:ascii="Arial" w:eastAsia="Calibri" w:hAnsi="Arial" w:cs="Arial"/>
          <w:bCs/>
          <w:szCs w:val="24"/>
          <w:lang w:eastAsia="es-ES_tradnl"/>
        </w:rPr>
      </w:pPr>
      <w:r w:rsidRPr="000F3931">
        <w:rPr>
          <w:rFonts w:ascii="Arial" w:eastAsia="Calibri" w:hAnsi="Arial" w:cs="Arial"/>
          <w:bCs/>
          <w:szCs w:val="24"/>
          <w:lang w:val="es-ES_tradnl" w:eastAsia="es-ES_tradnl"/>
        </w:rPr>
        <w:t xml:space="preserve">Para concluir, </w:t>
      </w:r>
      <w:r w:rsidRPr="000F3931">
        <w:rPr>
          <w:rFonts w:ascii="Arial" w:eastAsia="Calibri" w:hAnsi="Arial" w:cs="Arial"/>
          <w:bCs/>
          <w:szCs w:val="24"/>
          <w:lang w:eastAsia="es-ES_tradnl"/>
        </w:rPr>
        <w:t xml:space="preserve">el deber de publicar en el SECOP se fundamenta en una idea general, esto es, que se debe publicar </w:t>
      </w:r>
      <w:r w:rsidRPr="000F3931">
        <w:rPr>
          <w:rFonts w:ascii="Arial" w:eastAsia="Calibri" w:hAnsi="Arial" w:cs="Arial"/>
          <w:bCs/>
          <w:i/>
          <w:szCs w:val="24"/>
          <w:lang w:eastAsia="es-ES_tradnl"/>
        </w:rPr>
        <w:t>toda actividad contractual en la que se ejecuten recursos públicos,</w:t>
      </w:r>
      <w:r w:rsidRPr="000F3931">
        <w:rPr>
          <w:rFonts w:ascii="Arial" w:eastAsia="Calibri" w:hAnsi="Arial" w:cs="Arial"/>
          <w:bCs/>
          <w:szCs w:val="24"/>
          <w:lang w:eastAsia="es-ES_tradnl"/>
        </w:rPr>
        <w:t xml:space="preserve"> con independencia de la naturaleza jurídica de la entidad contratante, de su régimen contractual, incluso, sin importar la tipología del contrato a celebrar. Igualmente, este deber debe hacerse efectivo en el SECOP I o en el SECOP II, dependiendo de cada caso.</w:t>
      </w:r>
    </w:p>
    <w:p w14:paraId="7AF75E84" w14:textId="77777777" w:rsidR="008B748F" w:rsidRPr="000F3931" w:rsidRDefault="008B748F" w:rsidP="008B748F">
      <w:pPr>
        <w:spacing w:after="240" w:line="276" w:lineRule="auto"/>
        <w:ind w:firstLine="708"/>
        <w:jc w:val="both"/>
        <w:rPr>
          <w:rFonts w:ascii="Arial" w:eastAsia="Calibri" w:hAnsi="Arial" w:cs="Arial"/>
          <w:szCs w:val="24"/>
          <w:lang w:val="es-ES_tradnl" w:eastAsia="es-ES_tradnl"/>
        </w:rPr>
      </w:pPr>
      <w:r w:rsidRPr="000F3931">
        <w:rPr>
          <w:rFonts w:ascii="Arial" w:eastAsia="Calibri" w:hAnsi="Arial" w:cs="Arial"/>
          <w:szCs w:val="24"/>
          <w:lang w:val="es-ES_tradnl" w:eastAsia="es-ES_tradnl"/>
        </w:rPr>
        <w:t>Cabe aclarar que debido a que las entidades sometidas al derecho privado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7EF1E217" w14:textId="77777777" w:rsidR="008B748F" w:rsidRPr="000F3931" w:rsidRDefault="008B748F" w:rsidP="008B748F">
      <w:pPr>
        <w:spacing w:after="240" w:line="276" w:lineRule="auto"/>
        <w:ind w:firstLine="709"/>
        <w:jc w:val="both"/>
        <w:rPr>
          <w:rFonts w:ascii="Arial" w:eastAsia="Times New Roman" w:hAnsi="Arial" w:cs="Arial"/>
          <w:szCs w:val="24"/>
          <w:lang w:val="es-ES_tradnl" w:eastAsia="es-CO"/>
        </w:rPr>
      </w:pPr>
      <w:r w:rsidRPr="000F3931">
        <w:rPr>
          <w:rFonts w:ascii="Arial" w:eastAsia="Calibri" w:hAnsi="Arial" w:cs="Arial"/>
          <w:szCs w:val="24"/>
          <w:lang w:val="es-ES_tradnl" w:eastAsia="es-ES_tradnl"/>
        </w:rPr>
        <w:t>Por lo tanto, en estos casos aplica la Ley 1712 de 2014 y el Decreto 103 de 2015, no el Decreto 1082 de 2015, porque esta última norma rige a las entidades sometidas al Estatuto General de Contratación de la Administración Pública, y por lo tanto no aplica a las entidades exceptuadas de dicho Estatuto, que, por regla general, se rigen por el derecho privado. Por su parte, la Ley 1712 de 2014 y el Decreto reglamentario 103 de 2015 –compilado en los artículos 2.1.1.1.1. al 2.1.1.6.1. del Decreto 1081 de 2015– le aplican a cualquier entidad pública, incluyendo</w:t>
      </w:r>
      <w:r w:rsidRPr="000F3931">
        <w:rPr>
          <w:rFonts w:ascii="Arial" w:eastAsia="Times New Roman" w:hAnsi="Arial" w:cs="Arial"/>
          <w:szCs w:val="24"/>
          <w:lang w:val="es-ES_tradnl" w:eastAsia="es-ES_tradnl"/>
        </w:rPr>
        <w:t xml:space="preserve"> </w:t>
      </w:r>
      <w:r w:rsidRPr="000F3931">
        <w:rPr>
          <w:rFonts w:ascii="Arial" w:eastAsia="Times New Roman" w:hAnsi="Arial" w:cs="Arial"/>
          <w:szCs w:val="24"/>
          <w:lang w:val="es-ES_tradnl" w:eastAsia="es-CO"/>
        </w:rPr>
        <w:t xml:space="preserve">las pertenecientes a todas las ramas del poder público, en todos los niveles de la estructura estatal, central o descentralizada por servicios o territorialmente, en los órdenes nacional, departamental, municipal y distrital,  pero, además, también aplica a las personas naturales y jurídicas, públicas o privadas, que presten función pública, que presten servicios públicos, respecto de la información directamente relacionada con la prestación del servicio público, y las entidades que  administren recursos de naturaleza o de origen público. </w:t>
      </w:r>
    </w:p>
    <w:p w14:paraId="207B7B2D" w14:textId="77777777" w:rsidR="008B748F" w:rsidRPr="000F3931" w:rsidRDefault="008B748F" w:rsidP="008B748F">
      <w:pPr>
        <w:widowControl w:val="0"/>
        <w:autoSpaceDE w:val="0"/>
        <w:autoSpaceDN w:val="0"/>
        <w:spacing w:after="240" w:line="276" w:lineRule="auto"/>
        <w:jc w:val="both"/>
        <w:rPr>
          <w:rFonts w:ascii="Arial" w:eastAsia="Arial" w:hAnsi="Arial" w:cs="Arial"/>
          <w:b/>
          <w:lang w:val="es-ES_tradnl"/>
        </w:rPr>
      </w:pPr>
      <w:r w:rsidRPr="000F3931">
        <w:rPr>
          <w:rFonts w:ascii="Arial" w:eastAsia="Arial" w:hAnsi="Arial" w:cs="Arial"/>
          <w:b/>
          <w:lang w:val="es-ES_tradnl"/>
        </w:rPr>
        <w:t xml:space="preserve">2.5. Noción de </w:t>
      </w:r>
      <w:r w:rsidRPr="000F3931">
        <w:rPr>
          <w:rFonts w:ascii="Arial" w:eastAsia="Calibri" w:hAnsi="Arial" w:cs="Arial"/>
          <w:b/>
          <w:bCs/>
          <w:color w:val="000000"/>
          <w:szCs w:val="24"/>
          <w:lang w:val="pt-BR" w:eastAsia="en-GB"/>
        </w:rPr>
        <w:t>Consorcio y Unión Temporal</w:t>
      </w:r>
    </w:p>
    <w:p w14:paraId="3C3139B3" w14:textId="77777777" w:rsidR="008B748F" w:rsidRPr="000F3931" w:rsidRDefault="008B748F" w:rsidP="008B748F">
      <w:pPr>
        <w:tabs>
          <w:tab w:val="left" w:pos="0"/>
        </w:tabs>
        <w:spacing w:after="240" w:line="276" w:lineRule="auto"/>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lastRenderedPageBreak/>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w:t>
      </w:r>
      <w:r w:rsidRPr="000F3931">
        <w:rPr>
          <w:rFonts w:ascii="Arial" w:eastAsia="Calibri" w:hAnsi="Arial" w:cs="Arial"/>
          <w:bCs/>
          <w:color w:val="000000"/>
          <w:szCs w:val="24"/>
          <w:vertAlign w:val="superscript"/>
          <w:lang w:val="es-ES_tradnl" w:eastAsia="es-ES_tradnl" w:bidi="es-ES"/>
        </w:rPr>
        <w:footnoteReference w:id="23"/>
      </w:r>
      <w:r w:rsidRPr="000F3931">
        <w:rPr>
          <w:rFonts w:ascii="Arial" w:eastAsia="Calibri" w:hAnsi="Arial" w:cs="Arial"/>
          <w:bCs/>
          <w:color w:val="000000"/>
          <w:szCs w:val="24"/>
          <w:lang w:val="es-ES_tradnl" w:eastAsia="es-ES_tradnl" w:bidi="es-ES"/>
        </w:rPr>
        <w:t xml:space="preserve">. </w:t>
      </w:r>
    </w:p>
    <w:p w14:paraId="477F6563" w14:textId="77777777" w:rsidR="008B748F" w:rsidRPr="000F3931" w:rsidRDefault="008B748F" w:rsidP="008B748F">
      <w:pPr>
        <w:tabs>
          <w:tab w:val="left" w:pos="0"/>
        </w:tabs>
        <w:spacing w:after="240" w:line="276" w:lineRule="auto"/>
        <w:ind w:firstLine="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t xml:space="preserve">La capacidad jurídica permite crear, modificar o extinguir relaciones jurídicas de forma voluntaria y autónoma. De manera que, de acuerdo con lo establecido en el Código Civil, se refiere a la facultad que la ley le confiere a un sujeto para ejercer derechos y contraer obligaciones, partiendo del supuesto de que todas las personas naturales mayores de edad son capaces, con excepción de aquellas que la ley expresamente excluye de tal presunción </w:t>
      </w:r>
      <w:r w:rsidRPr="000F3931">
        <w:rPr>
          <w:rFonts w:ascii="Arial" w:eastAsia="Calibri" w:hAnsi="Arial" w:cs="Arial"/>
          <w:b/>
          <w:bCs/>
          <w:color w:val="000000" w:themeColor="text1"/>
          <w:lang w:val="es-ES"/>
        </w:rPr>
        <w:t>–</w:t>
      </w:r>
      <w:r w:rsidRPr="000F3931">
        <w:rPr>
          <w:rFonts w:ascii="Arial" w:eastAsia="Calibri" w:hAnsi="Arial" w:cs="Arial"/>
          <w:bCs/>
          <w:color w:val="000000"/>
          <w:szCs w:val="24"/>
          <w:lang w:val="es-ES_tradnl" w:eastAsia="es-ES_tradnl" w:bidi="es-ES"/>
        </w:rPr>
        <w:t>artículos 1502, 1503 y 1504</w:t>
      </w:r>
      <w:r w:rsidRPr="000F3931">
        <w:rPr>
          <w:rFonts w:ascii="Arial" w:eastAsia="Calibri" w:hAnsi="Arial" w:cs="Arial"/>
          <w:b/>
          <w:bCs/>
          <w:color w:val="000000" w:themeColor="text1"/>
          <w:lang w:val="es-ES"/>
        </w:rPr>
        <w:t>–</w:t>
      </w:r>
      <w:r w:rsidRPr="000F3931">
        <w:rPr>
          <w:rFonts w:ascii="Arial" w:eastAsia="Calibri" w:hAnsi="Arial" w:cs="Arial"/>
          <w:bCs/>
          <w:color w:val="000000"/>
          <w:szCs w:val="24"/>
          <w:lang w:val="es-ES_tradnl" w:eastAsia="es-ES_tradnl" w:bidi="es-ES"/>
        </w:rPr>
        <w:t>, y de que la capacidad de las personas jurídicas se circunscribe a lo expresado en su objeto social y su forma de creación</w:t>
      </w:r>
      <w:r w:rsidRPr="000F3931">
        <w:rPr>
          <w:rFonts w:ascii="Arial" w:eastAsia="Calibri" w:hAnsi="Arial" w:cs="Arial"/>
          <w:bCs/>
          <w:color w:val="000000"/>
          <w:szCs w:val="24"/>
          <w:vertAlign w:val="superscript"/>
          <w:lang w:val="es-ES_tradnl" w:eastAsia="es-ES_tradnl" w:bidi="es-ES"/>
        </w:rPr>
        <w:footnoteReference w:id="24"/>
      </w:r>
      <w:r w:rsidRPr="000F3931">
        <w:rPr>
          <w:rFonts w:ascii="Arial" w:eastAsia="Calibri" w:hAnsi="Arial" w:cs="Arial"/>
          <w:bCs/>
          <w:color w:val="000000"/>
          <w:szCs w:val="24"/>
          <w:lang w:val="es-ES_tradnl" w:eastAsia="es-ES_tradnl" w:bidi="es-ES"/>
        </w:rPr>
        <w:t>.</w:t>
      </w:r>
    </w:p>
    <w:p w14:paraId="7D616D3D" w14:textId="77777777" w:rsidR="008B748F" w:rsidRPr="000F3931" w:rsidRDefault="008B748F" w:rsidP="008B748F">
      <w:pPr>
        <w:tabs>
          <w:tab w:val="left" w:pos="0"/>
        </w:tabs>
        <w:spacing w:after="240" w:line="276" w:lineRule="auto"/>
        <w:ind w:firstLine="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t xml:space="preserve">El Estatuto General de Contratación de la Administración Pública </w:t>
      </w:r>
      <w:r w:rsidRPr="000F3931">
        <w:rPr>
          <w:rFonts w:ascii="Arial" w:eastAsia="Calibri" w:hAnsi="Arial" w:cs="Arial"/>
          <w:b/>
          <w:bCs/>
          <w:color w:val="000000" w:themeColor="text1"/>
          <w:lang w:val="es-ES"/>
        </w:rPr>
        <w:t>–</w:t>
      </w:r>
      <w:r w:rsidRPr="000F3931">
        <w:rPr>
          <w:rFonts w:ascii="Arial" w:eastAsia="Calibri" w:hAnsi="Arial" w:cs="Arial"/>
          <w:bCs/>
          <w:color w:val="000000"/>
          <w:szCs w:val="24"/>
          <w:lang w:val="es-ES_tradnl" w:eastAsia="es-ES_tradnl" w:bidi="es-ES"/>
        </w:rPr>
        <w:t>artículo 6 Ley 80 de 1993</w:t>
      </w:r>
      <w:r w:rsidRPr="000F3931">
        <w:rPr>
          <w:rFonts w:ascii="Arial" w:eastAsia="Calibri" w:hAnsi="Arial" w:cs="Arial"/>
          <w:b/>
          <w:bCs/>
          <w:color w:val="000000" w:themeColor="text1"/>
          <w:lang w:val="es-ES"/>
        </w:rPr>
        <w:t>–</w:t>
      </w:r>
      <w:r w:rsidRPr="000F3931">
        <w:rPr>
          <w:rFonts w:ascii="Arial" w:eastAsia="Calibri" w:hAnsi="Arial" w:cs="Arial"/>
          <w:bCs/>
          <w:color w:val="000000"/>
          <w:szCs w:val="24"/>
          <w:lang w:val="es-ES_tradnl" w:eastAsia="es-ES_tradnl" w:bidi="es-ES"/>
        </w:rPr>
        <w:t xml:space="preserve"> define lo siguiente respecto de quienes pueden celebrar contratos con las entidades estatales: </w:t>
      </w:r>
    </w:p>
    <w:p w14:paraId="1DA8BB0B" w14:textId="18FBECBC" w:rsidR="008B748F" w:rsidRPr="000F3931" w:rsidRDefault="00B821B7" w:rsidP="008B748F">
      <w:pPr>
        <w:tabs>
          <w:tab w:val="left" w:pos="0"/>
        </w:tabs>
        <w:spacing w:after="240" w:line="240" w:lineRule="auto"/>
        <w:ind w:left="708" w:right="709"/>
        <w:jc w:val="both"/>
        <w:rPr>
          <w:rFonts w:ascii="Arial" w:eastAsia="Calibri" w:hAnsi="Arial" w:cs="Arial"/>
          <w:bCs/>
          <w:color w:val="000000"/>
          <w:sz w:val="21"/>
          <w:szCs w:val="21"/>
          <w:lang w:val="es-ES_tradnl" w:eastAsia="es-ES_tradnl" w:bidi="es-ES"/>
        </w:rPr>
      </w:pPr>
      <w:r w:rsidRPr="000F3931">
        <w:rPr>
          <w:rFonts w:ascii="Arial" w:eastAsia="Calibri" w:hAnsi="Arial" w:cs="Arial"/>
          <w:lang w:val="es-ES_tradnl" w:eastAsia="es-ES_tradnl"/>
        </w:rPr>
        <w:t>«</w:t>
      </w:r>
      <w:r w:rsidR="008B748F" w:rsidRPr="000F3931">
        <w:rPr>
          <w:rFonts w:ascii="Arial" w:eastAsia="Calibri" w:hAnsi="Arial" w:cs="Arial"/>
          <w:bCs/>
          <w:color w:val="000000"/>
          <w:sz w:val="21"/>
          <w:szCs w:val="21"/>
          <w:lang w:val="es-ES_tradnl" w:eastAsia="es-ES_tradnl" w:bidi="es-ES"/>
        </w:rPr>
        <w:t xml:space="preserve">Artículo 6o.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w:t>
      </w:r>
    </w:p>
    <w:p w14:paraId="6D1C4E77" w14:textId="77777777" w:rsidR="008B748F" w:rsidRPr="000F3931" w:rsidRDefault="008B748F" w:rsidP="008B748F">
      <w:pPr>
        <w:tabs>
          <w:tab w:val="left" w:pos="0"/>
        </w:tabs>
        <w:spacing w:after="240" w:line="240" w:lineRule="auto"/>
        <w:ind w:left="708" w:right="709"/>
        <w:jc w:val="both"/>
        <w:rPr>
          <w:rFonts w:ascii="Arial" w:eastAsia="Calibri" w:hAnsi="Arial" w:cs="Arial"/>
          <w:bCs/>
          <w:color w:val="000000"/>
          <w:sz w:val="21"/>
          <w:szCs w:val="21"/>
          <w:lang w:val="es-ES_tradnl" w:eastAsia="es-ES_tradnl" w:bidi="es-ES"/>
        </w:rPr>
      </w:pPr>
      <w:r w:rsidRPr="000F3931">
        <w:rPr>
          <w:rFonts w:ascii="Arial" w:eastAsia="Calibri" w:hAnsi="Arial" w:cs="Arial"/>
          <w:bCs/>
          <w:color w:val="000000"/>
          <w:sz w:val="21"/>
          <w:szCs w:val="21"/>
          <w:lang w:val="es-ES_tradnl" w:eastAsia="es-ES_tradnl" w:bidi="es-ES"/>
        </w:rPr>
        <w:t xml:space="preserve">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w:t>
      </w:r>
      <w:r w:rsidRPr="000F3931">
        <w:rPr>
          <w:rFonts w:ascii="Arial" w:eastAsia="Calibri" w:hAnsi="Arial" w:cs="Arial"/>
          <w:bCs/>
          <w:i/>
          <w:iCs/>
          <w:color w:val="000000"/>
          <w:sz w:val="21"/>
          <w:szCs w:val="21"/>
          <w:lang w:val="es-ES_tradnl" w:eastAsia="es-ES_tradnl" w:bidi="es-ES"/>
        </w:rPr>
        <w:t>los consorcios y uniones temporales</w:t>
      </w:r>
      <w:r w:rsidRPr="000F3931">
        <w:rPr>
          <w:rFonts w:ascii="Arial" w:eastAsia="Calibri" w:hAnsi="Arial" w:cs="Arial"/>
          <w:bCs/>
          <w:color w:val="000000"/>
          <w:sz w:val="21"/>
          <w:szCs w:val="21"/>
          <w:lang w:val="es-ES_tradnl" w:eastAsia="es-ES_tradnl" w:bidi="es-ES"/>
        </w:rPr>
        <w:t>.</w:t>
      </w:r>
    </w:p>
    <w:p w14:paraId="71FB1148" w14:textId="401563C4" w:rsidR="008B748F" w:rsidRPr="000F3931" w:rsidRDefault="008B748F" w:rsidP="008B748F">
      <w:pPr>
        <w:tabs>
          <w:tab w:val="left" w:pos="0"/>
        </w:tabs>
        <w:spacing w:after="240" w:line="240" w:lineRule="auto"/>
        <w:ind w:left="708" w:right="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 w:val="21"/>
          <w:szCs w:val="21"/>
          <w:lang w:val="es-ES_tradnl" w:eastAsia="es-ES_tradnl" w:bidi="es-ES"/>
        </w:rPr>
        <w:t>Las personas jurídicas nacionales y extranjeras deberán acreditar que su duración no será inferior a la del plazo del contrato y un año más.</w:t>
      </w:r>
      <w:r w:rsidR="00B821B7" w:rsidRPr="000F3931">
        <w:rPr>
          <w:rFonts w:ascii="Arial" w:eastAsia="Calibri" w:hAnsi="Arial" w:cs="Arial"/>
          <w:lang w:val="es-ES_tradnl" w:eastAsia="es-ES_tradnl"/>
        </w:rPr>
        <w:t>»</w:t>
      </w:r>
      <w:r w:rsidRPr="000F3931">
        <w:rPr>
          <w:rFonts w:ascii="Arial" w:eastAsia="Calibri" w:hAnsi="Arial" w:cs="Arial"/>
          <w:bCs/>
          <w:color w:val="000000"/>
          <w:sz w:val="21"/>
          <w:szCs w:val="21"/>
          <w:lang w:val="es-ES_tradnl" w:eastAsia="es-ES_tradnl" w:bidi="es-ES"/>
        </w:rPr>
        <w:t xml:space="preserve"> (Cursiva fuera del original) </w:t>
      </w:r>
    </w:p>
    <w:p w14:paraId="47D2E048" w14:textId="7C05F2A6" w:rsidR="008B748F" w:rsidRPr="000F3931" w:rsidRDefault="008B748F" w:rsidP="008B748F">
      <w:pPr>
        <w:tabs>
          <w:tab w:val="left" w:pos="0"/>
        </w:tabs>
        <w:spacing w:after="240" w:line="276" w:lineRule="auto"/>
        <w:ind w:firstLine="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t xml:space="preserve">En consecuencia, en virtud de la </w:t>
      </w:r>
      <w:r w:rsidR="00B821B7">
        <w:rPr>
          <w:rFonts w:ascii="Arial" w:eastAsia="Calibri" w:hAnsi="Arial" w:cs="Arial"/>
          <w:bCs/>
          <w:color w:val="000000"/>
          <w:szCs w:val="24"/>
          <w:lang w:val="es-ES_tradnl" w:eastAsia="es-ES_tradnl" w:bidi="es-ES"/>
        </w:rPr>
        <w:t>L</w:t>
      </w:r>
      <w:r w:rsidRPr="000F3931">
        <w:rPr>
          <w:rFonts w:ascii="Arial" w:eastAsia="Calibri" w:hAnsi="Arial" w:cs="Arial"/>
          <w:bCs/>
          <w:color w:val="000000"/>
          <w:szCs w:val="24"/>
          <w:lang w:val="es-ES_tradnl" w:eastAsia="es-ES_tradnl" w:bidi="es-ES"/>
        </w:rPr>
        <w:t xml:space="preserve">ey en mención, también pueden celebrar contratos estatales los consorcios y uniones temporales. No obstante, estos sujetos no son personas </w:t>
      </w:r>
      <w:r w:rsidRPr="000F3931">
        <w:rPr>
          <w:rFonts w:ascii="Arial" w:eastAsia="Calibri" w:hAnsi="Arial" w:cs="Arial"/>
          <w:bCs/>
          <w:color w:val="000000"/>
          <w:szCs w:val="24"/>
          <w:lang w:val="es-ES_tradnl" w:eastAsia="es-ES_tradnl" w:bidi="es-ES"/>
        </w:rPr>
        <w:lastRenderedPageBreak/>
        <w:t>jurídicas conforme lo establece el artículo 7 de la Ley 80 de 1993, el cual a su vez los define como un número plural de interesados unidos para la presentación de una oferta en un procedimiento de selección, para la adjudicación, celebración y ejecución de un contrato</w:t>
      </w:r>
      <w:r w:rsidRPr="000F3931" w:rsidDel="00C8511F">
        <w:rPr>
          <w:rFonts w:ascii="Arial" w:eastAsia="Calibri" w:hAnsi="Arial" w:cs="Arial"/>
          <w:bCs/>
          <w:color w:val="000000"/>
          <w:szCs w:val="24"/>
          <w:lang w:val="es-ES_tradnl" w:eastAsia="es-ES_tradnl" w:bidi="es-ES"/>
        </w:rPr>
        <w:t xml:space="preserve"> </w:t>
      </w:r>
      <w:r w:rsidRPr="000F3931">
        <w:rPr>
          <w:rFonts w:ascii="Arial" w:eastAsia="Calibri" w:hAnsi="Arial" w:cs="Arial"/>
          <w:bCs/>
          <w:color w:val="000000"/>
          <w:szCs w:val="24"/>
          <w:lang w:val="es-ES_tradnl" w:eastAsia="es-ES_tradnl" w:bidi="es-ES"/>
        </w:rPr>
        <w:t>estatal:</w:t>
      </w:r>
    </w:p>
    <w:p w14:paraId="7FF2FDFF" w14:textId="4A664433" w:rsidR="008B748F" w:rsidRPr="000F3931" w:rsidRDefault="00F72CCF" w:rsidP="008B748F">
      <w:pPr>
        <w:tabs>
          <w:tab w:val="left" w:pos="0"/>
        </w:tabs>
        <w:spacing w:after="240" w:line="240" w:lineRule="auto"/>
        <w:ind w:left="708" w:right="709"/>
        <w:jc w:val="both"/>
        <w:rPr>
          <w:rFonts w:ascii="Arial" w:eastAsia="Calibri" w:hAnsi="Arial" w:cs="Arial"/>
          <w:bCs/>
          <w:iCs/>
          <w:color w:val="000000"/>
          <w:sz w:val="21"/>
          <w:lang w:val="es-ES_tradnl" w:eastAsia="es-ES_tradnl" w:bidi="es-ES"/>
        </w:rPr>
      </w:pPr>
      <w:r w:rsidRPr="000F3931">
        <w:rPr>
          <w:rFonts w:ascii="Arial" w:eastAsia="Calibri" w:hAnsi="Arial" w:cs="Arial"/>
          <w:lang w:val="es-ES_tradnl" w:eastAsia="es-ES_tradnl"/>
        </w:rPr>
        <w:t>«</w:t>
      </w:r>
      <w:r w:rsidR="008B748F" w:rsidRPr="000F3931">
        <w:rPr>
          <w:rFonts w:ascii="Arial" w:eastAsia="Calibri" w:hAnsi="Arial" w:cs="Arial"/>
          <w:bCs/>
          <w:iCs/>
          <w:color w:val="000000"/>
          <w:sz w:val="21"/>
          <w:lang w:val="es-ES_tradnl" w:eastAsia="es-ES_tradnl" w:bidi="es-ES"/>
        </w:rPr>
        <w:t>Artículo 7o. De los consorcios y uniones temporales. Para los efectos de esta ley se entiende por:</w:t>
      </w:r>
    </w:p>
    <w:p w14:paraId="280729A8" w14:textId="77777777" w:rsidR="008B748F" w:rsidRPr="000F3931" w:rsidRDefault="008B748F" w:rsidP="008B748F">
      <w:pPr>
        <w:tabs>
          <w:tab w:val="left" w:pos="0"/>
        </w:tabs>
        <w:spacing w:after="240" w:line="240" w:lineRule="auto"/>
        <w:ind w:left="708" w:right="709"/>
        <w:jc w:val="both"/>
        <w:rPr>
          <w:rFonts w:ascii="Arial" w:eastAsia="Calibri" w:hAnsi="Arial" w:cs="Arial"/>
          <w:bCs/>
          <w:iCs/>
          <w:color w:val="000000"/>
          <w:sz w:val="21"/>
          <w:lang w:val="es-ES_tradnl" w:eastAsia="es-ES_tradnl" w:bidi="es-ES"/>
        </w:rPr>
      </w:pPr>
      <w:r w:rsidRPr="000F3931">
        <w:rPr>
          <w:rFonts w:ascii="Arial" w:eastAsia="Calibri" w:hAnsi="Arial" w:cs="Arial"/>
          <w:bCs/>
          <w:iCs/>
          <w:color w:val="000000"/>
          <w:sz w:val="21"/>
          <w:lang w:val="es-ES_tradnl" w:eastAsia="es-ES_tradnl" w:bidi="es-ES"/>
        </w:rPr>
        <w:t>1o. Consorcio:</w:t>
      </w:r>
    </w:p>
    <w:p w14:paraId="35D5DBFD" w14:textId="77777777" w:rsidR="008B748F" w:rsidRPr="000F3931" w:rsidRDefault="008B748F" w:rsidP="008B748F">
      <w:pPr>
        <w:tabs>
          <w:tab w:val="left" w:pos="0"/>
        </w:tabs>
        <w:spacing w:after="240" w:line="240" w:lineRule="auto"/>
        <w:ind w:left="708" w:right="709"/>
        <w:jc w:val="both"/>
        <w:rPr>
          <w:rFonts w:ascii="Arial" w:eastAsia="Calibri" w:hAnsi="Arial" w:cs="Arial"/>
          <w:bCs/>
          <w:iCs/>
          <w:color w:val="000000"/>
          <w:sz w:val="21"/>
          <w:lang w:val="es-ES_tradnl" w:eastAsia="es-ES_tradnl" w:bidi="es-ES"/>
        </w:rPr>
      </w:pPr>
      <w:r w:rsidRPr="000F3931">
        <w:rPr>
          <w:rFonts w:ascii="Arial" w:eastAsia="Calibri" w:hAnsi="Arial" w:cs="Arial"/>
          <w:bCs/>
          <w:iCs/>
          <w:color w:val="000000"/>
          <w:sz w:val="21"/>
          <w:lang w:val="es-ES_tradnl" w:eastAsia="es-ES_tradnl" w:bidi="es-ES"/>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68653719" w14:textId="77777777" w:rsidR="008B748F" w:rsidRPr="000F3931" w:rsidRDefault="008B748F" w:rsidP="008B748F">
      <w:pPr>
        <w:tabs>
          <w:tab w:val="left" w:pos="0"/>
        </w:tabs>
        <w:spacing w:after="240" w:line="240" w:lineRule="auto"/>
        <w:ind w:left="708" w:right="709"/>
        <w:jc w:val="both"/>
        <w:rPr>
          <w:rFonts w:ascii="Arial" w:eastAsia="Calibri" w:hAnsi="Arial" w:cs="Arial"/>
          <w:bCs/>
          <w:iCs/>
          <w:color w:val="000000"/>
          <w:sz w:val="21"/>
          <w:lang w:val="es-ES_tradnl" w:eastAsia="es-ES_tradnl" w:bidi="es-ES"/>
        </w:rPr>
      </w:pPr>
      <w:r w:rsidRPr="000F3931">
        <w:rPr>
          <w:rFonts w:ascii="Arial" w:eastAsia="Calibri" w:hAnsi="Arial" w:cs="Arial"/>
          <w:bCs/>
          <w:iCs/>
          <w:color w:val="000000"/>
          <w:sz w:val="21"/>
          <w:lang w:val="es-ES_tradnl" w:eastAsia="es-ES_tradnl" w:bidi="es-ES"/>
        </w:rPr>
        <w:t>2o. Unión Temporal:</w:t>
      </w:r>
    </w:p>
    <w:p w14:paraId="0DFFB125" w14:textId="77777777" w:rsidR="008B748F" w:rsidRPr="000F3931" w:rsidRDefault="008B748F" w:rsidP="008B748F">
      <w:pPr>
        <w:tabs>
          <w:tab w:val="left" w:pos="0"/>
        </w:tabs>
        <w:spacing w:after="240" w:line="240" w:lineRule="auto"/>
        <w:ind w:left="708" w:right="709"/>
        <w:jc w:val="both"/>
        <w:rPr>
          <w:rFonts w:ascii="Arial" w:eastAsia="Calibri" w:hAnsi="Arial" w:cs="Arial"/>
          <w:bCs/>
          <w:iCs/>
          <w:color w:val="000000"/>
          <w:sz w:val="21"/>
          <w:lang w:val="es-ES_tradnl" w:eastAsia="es-ES_tradnl" w:bidi="es-ES"/>
        </w:rPr>
      </w:pPr>
      <w:r w:rsidRPr="000F3931">
        <w:rPr>
          <w:rFonts w:ascii="Arial" w:eastAsia="Calibri" w:hAnsi="Arial" w:cs="Arial"/>
          <w:bCs/>
          <w:iCs/>
          <w:color w:val="000000"/>
          <w:sz w:val="21"/>
          <w:lang w:val="es-ES_tradnl" w:eastAsia="es-ES_tradnl" w:bidi="es-ES"/>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253BA3F9" w14:textId="77777777" w:rsidR="008B748F" w:rsidRPr="000F3931" w:rsidRDefault="008B748F" w:rsidP="008B748F">
      <w:pPr>
        <w:tabs>
          <w:tab w:val="left" w:pos="0"/>
        </w:tabs>
        <w:spacing w:after="240" w:line="240" w:lineRule="auto"/>
        <w:ind w:left="708" w:right="709"/>
        <w:jc w:val="both"/>
        <w:rPr>
          <w:rFonts w:ascii="Arial" w:eastAsia="Calibri" w:hAnsi="Arial" w:cs="Arial"/>
          <w:bCs/>
          <w:iCs/>
          <w:color w:val="000000"/>
          <w:sz w:val="21"/>
          <w:lang w:val="es-ES_tradnl" w:eastAsia="es-ES_tradnl" w:bidi="es-ES"/>
        </w:rPr>
      </w:pPr>
      <w:r w:rsidRPr="000F3931">
        <w:rPr>
          <w:rFonts w:ascii="Arial" w:eastAsia="Calibri" w:hAnsi="Arial" w:cs="Arial"/>
          <w:bCs/>
          <w:iCs/>
          <w:color w:val="000000"/>
          <w:sz w:val="21"/>
          <w:lang w:val="es-ES_tradnl" w:eastAsia="es-ES_tradnl" w:bidi="es-ES"/>
        </w:rPr>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7C0E3E87" w14:textId="722DE6A4" w:rsidR="008B748F" w:rsidRPr="000F3931" w:rsidRDefault="008B748F" w:rsidP="008B748F">
      <w:pPr>
        <w:tabs>
          <w:tab w:val="left" w:pos="0"/>
        </w:tabs>
        <w:spacing w:after="240" w:line="240" w:lineRule="auto"/>
        <w:ind w:left="708" w:right="709"/>
        <w:jc w:val="both"/>
        <w:rPr>
          <w:rFonts w:ascii="Arial" w:eastAsia="Calibri" w:hAnsi="Arial" w:cs="Arial"/>
          <w:bCs/>
          <w:color w:val="000000"/>
          <w:szCs w:val="24"/>
          <w:lang w:val="es-ES_tradnl" w:eastAsia="es-ES_tradnl" w:bidi="es-ES"/>
        </w:rPr>
      </w:pPr>
      <w:r w:rsidRPr="000F3931">
        <w:rPr>
          <w:rFonts w:ascii="Arial" w:eastAsia="Calibri" w:hAnsi="Arial" w:cs="Arial"/>
          <w:bCs/>
          <w:iCs/>
          <w:color w:val="000000"/>
          <w:sz w:val="21"/>
          <w:lang w:val="es-ES_tradnl" w:eastAsia="es-ES_tradnl" w:bidi="es-ES"/>
        </w:rPr>
        <w:t>Los miembros del consorcio y de la unión temporal deberán designar la persona que, para todos los efectos, representará al consorcio o unión temporal y señalarán las reglas básicas que regulen las relaciones entre ellos y su responsabilidad.</w:t>
      </w:r>
      <w:r w:rsidR="00D70326" w:rsidRPr="000F3931">
        <w:rPr>
          <w:rFonts w:ascii="Arial" w:eastAsia="Calibri" w:hAnsi="Arial" w:cs="Arial"/>
          <w:lang w:val="es-ES_tradnl" w:eastAsia="es-ES_tradnl"/>
        </w:rPr>
        <w:t>»</w:t>
      </w:r>
    </w:p>
    <w:p w14:paraId="4981AE4A" w14:textId="77777777" w:rsidR="008B748F" w:rsidRPr="000F3931" w:rsidRDefault="008B748F" w:rsidP="008B748F">
      <w:pPr>
        <w:tabs>
          <w:tab w:val="left" w:pos="0"/>
        </w:tabs>
        <w:spacing w:after="240" w:line="276" w:lineRule="auto"/>
        <w:ind w:firstLine="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t>Los consorcios</w:t>
      </w:r>
      <w:r w:rsidRPr="000F3931">
        <w:rPr>
          <w:rFonts w:ascii="Arial" w:eastAsia="Calibri" w:hAnsi="Arial" w:cs="Arial"/>
          <w:bCs/>
          <w:color w:val="000000"/>
          <w:szCs w:val="24"/>
          <w:vertAlign w:val="superscript"/>
          <w:lang w:val="es-ES_tradnl" w:eastAsia="es-ES_tradnl" w:bidi="es-ES"/>
        </w:rPr>
        <w:footnoteReference w:id="25"/>
      </w:r>
      <w:r w:rsidRPr="000F3931">
        <w:rPr>
          <w:rFonts w:ascii="Arial" w:eastAsia="Calibri" w:hAnsi="Arial" w:cs="Arial"/>
          <w:bCs/>
          <w:color w:val="000000"/>
          <w:szCs w:val="24"/>
          <w:lang w:val="es-ES_tradnl" w:eastAsia="es-ES_tradnl" w:bidi="es-ES"/>
        </w:rPr>
        <w:t xml:space="preserve">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w:t>
      </w:r>
      <w:r w:rsidRPr="000F3931">
        <w:rPr>
          <w:rFonts w:ascii="Arial" w:eastAsia="Calibri" w:hAnsi="Arial" w:cs="Arial"/>
          <w:bCs/>
          <w:color w:val="000000"/>
          <w:szCs w:val="24"/>
          <w:lang w:val="es-ES_tradnl" w:eastAsia="es-ES_tradnl" w:bidi="es-ES"/>
        </w:rPr>
        <w:lastRenderedPageBreak/>
        <w:t xml:space="preserve">sujetos comparten recursos de toda índole con el propósito de lograr la ejecución del contrato y, al mismo tiempo, compartir las utilidades y los riesgos. </w:t>
      </w:r>
    </w:p>
    <w:p w14:paraId="0F08206E" w14:textId="77777777" w:rsidR="008B748F" w:rsidRPr="000F3931" w:rsidRDefault="008B748F" w:rsidP="008B748F">
      <w:pPr>
        <w:tabs>
          <w:tab w:val="left" w:pos="0"/>
        </w:tabs>
        <w:spacing w:after="240" w:line="276" w:lineRule="auto"/>
        <w:ind w:firstLine="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t>La diferencia entre los consorcios y las uniones temporales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 Sobre el particular la Corte Constitucional en sentencia C – 949 de 2001</w:t>
      </w:r>
      <w:r w:rsidRPr="000F3931">
        <w:rPr>
          <w:rFonts w:ascii="Arial" w:eastAsia="Calibri" w:hAnsi="Arial" w:cs="Arial"/>
          <w:bCs/>
          <w:color w:val="000000"/>
          <w:szCs w:val="24"/>
          <w:vertAlign w:val="superscript"/>
          <w:lang w:val="es-ES_tradnl" w:eastAsia="es-ES_tradnl" w:bidi="es-ES"/>
        </w:rPr>
        <w:footnoteReference w:id="26"/>
      </w:r>
      <w:r w:rsidRPr="000F3931">
        <w:rPr>
          <w:rFonts w:ascii="Arial" w:eastAsia="Calibri" w:hAnsi="Arial" w:cs="Arial"/>
          <w:bCs/>
          <w:color w:val="000000"/>
          <w:szCs w:val="24"/>
          <w:lang w:val="es-ES_tradnl" w:eastAsia="es-ES_tradnl" w:bidi="es-ES"/>
        </w:rPr>
        <w:t xml:space="preserve"> consideró lo siguiente:</w:t>
      </w:r>
    </w:p>
    <w:p w14:paraId="45D0E3BE" w14:textId="324D20F7" w:rsidR="008B748F" w:rsidRPr="000F3931" w:rsidRDefault="00900631" w:rsidP="008B748F">
      <w:pPr>
        <w:tabs>
          <w:tab w:val="left" w:pos="0"/>
        </w:tabs>
        <w:spacing w:after="240" w:line="240" w:lineRule="auto"/>
        <w:ind w:left="708" w:right="709"/>
        <w:jc w:val="both"/>
        <w:rPr>
          <w:rFonts w:ascii="Arial" w:eastAsia="Calibri" w:hAnsi="Arial" w:cs="Arial"/>
          <w:b/>
          <w:bCs/>
          <w:color w:val="000000"/>
          <w:sz w:val="21"/>
          <w:lang w:val="es-ES_tradnl" w:eastAsia="es-ES_tradnl" w:bidi="es-ES"/>
        </w:rPr>
      </w:pPr>
      <w:r w:rsidRPr="000F3931">
        <w:rPr>
          <w:rFonts w:ascii="Arial" w:eastAsia="Calibri" w:hAnsi="Arial" w:cs="Arial"/>
          <w:lang w:val="es-ES_tradnl" w:eastAsia="es-ES_tradnl"/>
        </w:rPr>
        <w:t>«</w:t>
      </w:r>
      <w:r w:rsidR="008B748F" w:rsidRPr="000F3931">
        <w:rPr>
          <w:rFonts w:ascii="Arial" w:eastAsia="Calibri" w:hAnsi="Arial" w:cs="Arial"/>
          <w:bCs/>
          <w:color w:val="000000"/>
          <w:sz w:val="21"/>
          <w:lang w:val="es-ES_tradnl" w:eastAsia="es-ES_tradnl" w:bidi="es-ES"/>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008B748F" w:rsidRPr="000F3931">
        <w:rPr>
          <w:rFonts w:ascii="Arial" w:eastAsia="Calibri" w:hAnsi="Arial" w:cs="Arial"/>
          <w:color w:val="000000"/>
          <w:sz w:val="21"/>
          <w:lang w:val="es-ES_tradnl" w:eastAsia="es-ES_tradnl" w:bidi="es-ES"/>
        </w:rPr>
        <w:t xml:space="preserve"> […]</w:t>
      </w:r>
    </w:p>
    <w:p w14:paraId="79BDCA4F" w14:textId="77777777" w:rsidR="008B748F" w:rsidRPr="000F3931" w:rsidRDefault="008B748F" w:rsidP="008B748F">
      <w:pPr>
        <w:tabs>
          <w:tab w:val="left" w:pos="0"/>
        </w:tabs>
        <w:spacing w:after="240" w:line="240" w:lineRule="auto"/>
        <w:ind w:left="708" w:right="709"/>
        <w:jc w:val="both"/>
        <w:rPr>
          <w:rFonts w:ascii="Arial" w:eastAsia="Calibri" w:hAnsi="Arial" w:cs="Arial"/>
          <w:bCs/>
          <w:color w:val="000000"/>
          <w:sz w:val="21"/>
          <w:lang w:val="es-ES_tradnl" w:eastAsia="es-ES_tradnl" w:bidi="es-ES"/>
        </w:rPr>
      </w:pPr>
      <w:r w:rsidRPr="000F3931">
        <w:rPr>
          <w:rFonts w:ascii="Arial" w:eastAsia="Calibri" w:hAnsi="Arial" w:cs="Arial"/>
          <w:bCs/>
          <w:color w:val="000000"/>
          <w:sz w:val="21"/>
          <w:lang w:val="es-ES_tradnl" w:eastAsia="es-ES_tradnl" w:bidi="es-ES"/>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 […]</w:t>
      </w:r>
    </w:p>
    <w:p w14:paraId="0107342F" w14:textId="0132C26D" w:rsidR="008B748F" w:rsidRPr="000F3931" w:rsidRDefault="008B748F" w:rsidP="008B748F">
      <w:pPr>
        <w:tabs>
          <w:tab w:val="left" w:pos="0"/>
        </w:tabs>
        <w:spacing w:after="240" w:line="240" w:lineRule="auto"/>
        <w:ind w:left="708" w:right="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 w:val="21"/>
          <w:lang w:val="es-ES_tradnl" w:eastAsia="es-ES_tradnl" w:bidi="es-ES"/>
        </w:rPr>
        <w:t>La Ley 80 de 1993, al crear las figuras de los consorcios y uniones temporales y constituirlas como sujetos de la contratación administrativa, reconoce una realidad del mundo negocial que son los denominados “contratos de 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 Superiores).</w:t>
      </w:r>
      <w:r w:rsidR="00900631" w:rsidRPr="000F3931">
        <w:rPr>
          <w:rFonts w:ascii="Arial" w:eastAsia="Calibri" w:hAnsi="Arial" w:cs="Arial"/>
          <w:lang w:val="es-ES_tradnl" w:eastAsia="es-ES_tradnl"/>
        </w:rPr>
        <w:t>»</w:t>
      </w:r>
    </w:p>
    <w:p w14:paraId="0C69AFBE" w14:textId="77777777" w:rsidR="008B748F" w:rsidRPr="000F3931" w:rsidRDefault="008B748F" w:rsidP="008B748F">
      <w:pPr>
        <w:tabs>
          <w:tab w:val="left" w:pos="0"/>
        </w:tabs>
        <w:spacing w:after="240" w:line="276" w:lineRule="auto"/>
        <w:ind w:firstLine="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t xml:space="preserve">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w:t>
      </w:r>
      <w:r w:rsidRPr="000F3931">
        <w:rPr>
          <w:rFonts w:ascii="Arial" w:eastAsia="Calibri" w:hAnsi="Arial" w:cs="Arial"/>
          <w:bCs/>
          <w:color w:val="000000"/>
          <w:szCs w:val="24"/>
          <w:lang w:val="es-ES_tradnl" w:eastAsia="es-ES_tradnl" w:bidi="es-ES"/>
        </w:rPr>
        <w:lastRenderedPageBreak/>
        <w:t xml:space="preserve">creado con la constitución del consorcio o unión temporal tenga vocación de resultar el adjudicatario del contrato estatal. </w:t>
      </w:r>
    </w:p>
    <w:p w14:paraId="4D87B622" w14:textId="77777777" w:rsidR="008B748F" w:rsidRPr="000F3931" w:rsidRDefault="008B748F" w:rsidP="008B748F">
      <w:pPr>
        <w:tabs>
          <w:tab w:val="left" w:pos="0"/>
        </w:tabs>
        <w:spacing w:after="240" w:line="276" w:lineRule="auto"/>
        <w:ind w:firstLine="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t>Por lo anterior, cabe mencionar que el contrato de constitución del consorcio o unión temporal debe designar las facultades del «representante</w:t>
      </w:r>
      <w:r w:rsidRPr="000F3931">
        <w:rPr>
          <w:rFonts w:ascii="Arial" w:eastAsia="Calibri" w:hAnsi="Arial" w:cs="Arial"/>
          <w:color w:val="000000"/>
          <w:szCs w:val="24"/>
          <w:lang w:val="es-ES_tradnl" w:eastAsia="es-ES_tradnl" w:bidi="es-ES"/>
        </w:rPr>
        <w:t>»</w:t>
      </w:r>
      <w:r w:rsidRPr="000F3931">
        <w:rPr>
          <w:rFonts w:ascii="Arial" w:eastAsia="Calibri" w:hAnsi="Arial" w:cs="Arial"/>
          <w:bCs/>
          <w:color w:val="000000"/>
          <w:szCs w:val="24"/>
          <w:lang w:val="es-ES_tradnl" w:eastAsia="es-ES_tradnl" w:bidi="es-ES"/>
        </w:rPr>
        <w:t xml:space="preserve"> del ente asociado, designación que tendrá los efectos de la representación previstos en el artículo 1505 del Código Civil</w:t>
      </w:r>
      <w:r w:rsidRPr="000F3931">
        <w:rPr>
          <w:rFonts w:ascii="Arial" w:eastAsia="Calibri" w:hAnsi="Arial" w:cs="Arial"/>
          <w:bCs/>
          <w:color w:val="000000"/>
          <w:szCs w:val="24"/>
          <w:vertAlign w:val="superscript"/>
          <w:lang w:val="es-ES_tradnl" w:eastAsia="es-ES_tradnl" w:bidi="es-ES"/>
        </w:rPr>
        <w:footnoteReference w:id="27"/>
      </w:r>
      <w:r w:rsidRPr="000F3931">
        <w:rPr>
          <w:rFonts w:ascii="Arial" w:eastAsia="Calibri" w:hAnsi="Arial" w:cs="Arial"/>
          <w:bCs/>
          <w:color w:val="000000"/>
          <w:szCs w:val="24"/>
          <w:lang w:val="es-ES_tradnl" w:eastAsia="es-ES_tradnl" w:bidi="es-ES"/>
        </w:rPr>
        <w:t>: «Lo que una persona ejecuta a nombre de otra, estando facultada por ella o por la ley para representarla, produce respecto del representado iguales efectos que si hubiese contratado él mismo».</w:t>
      </w:r>
    </w:p>
    <w:p w14:paraId="6A631ED6" w14:textId="0B3AB4A2" w:rsidR="008B748F" w:rsidRPr="000F3931" w:rsidRDefault="008B748F" w:rsidP="008B748F">
      <w:pPr>
        <w:tabs>
          <w:tab w:val="left" w:pos="0"/>
        </w:tabs>
        <w:spacing w:after="240" w:line="276" w:lineRule="auto"/>
        <w:ind w:firstLine="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t>El acuerdo de voluntades que constituye el consorcio o unión temporal se reconoce doctrinalmente como contrato consorcial o de «</w:t>
      </w:r>
      <w:proofErr w:type="spellStart"/>
      <w:r w:rsidRPr="000F3931">
        <w:rPr>
          <w:rFonts w:ascii="Arial" w:eastAsia="Calibri" w:hAnsi="Arial" w:cs="Arial"/>
          <w:bCs/>
          <w:i/>
          <w:iCs/>
          <w:color w:val="000000"/>
          <w:szCs w:val="24"/>
          <w:lang w:val="es-ES_tradnl" w:eastAsia="es-ES_tradnl" w:bidi="es-ES"/>
        </w:rPr>
        <w:t>joint</w:t>
      </w:r>
      <w:proofErr w:type="spellEnd"/>
      <w:r w:rsidRPr="000F3931">
        <w:rPr>
          <w:rFonts w:ascii="Arial" w:eastAsia="Calibri" w:hAnsi="Arial" w:cs="Arial"/>
          <w:bCs/>
          <w:i/>
          <w:iCs/>
          <w:color w:val="000000"/>
          <w:szCs w:val="24"/>
          <w:lang w:val="es-ES_tradnl" w:eastAsia="es-ES_tradnl" w:bidi="es-ES"/>
        </w:rPr>
        <w:t xml:space="preserve"> </w:t>
      </w:r>
      <w:proofErr w:type="spellStart"/>
      <w:r w:rsidRPr="000F3931">
        <w:rPr>
          <w:rFonts w:ascii="Arial" w:eastAsia="Calibri" w:hAnsi="Arial" w:cs="Arial"/>
          <w:bCs/>
          <w:i/>
          <w:iCs/>
          <w:color w:val="000000"/>
          <w:szCs w:val="24"/>
          <w:lang w:val="es-ES_tradnl" w:eastAsia="es-ES_tradnl" w:bidi="es-ES"/>
        </w:rPr>
        <w:t>venture</w:t>
      </w:r>
      <w:proofErr w:type="spellEnd"/>
      <w:r w:rsidRPr="000F3931">
        <w:rPr>
          <w:rFonts w:ascii="Arial" w:eastAsia="Calibri" w:hAnsi="Arial" w:cs="Arial"/>
          <w:color w:val="000000"/>
          <w:szCs w:val="24"/>
          <w:lang w:val="es-ES_tradnl" w:eastAsia="es-ES_tradnl" w:bidi="es-ES"/>
        </w:rPr>
        <w:t>»</w:t>
      </w:r>
      <w:r w:rsidRPr="000F3931">
        <w:rPr>
          <w:rFonts w:ascii="Arial" w:eastAsia="Calibri" w:hAnsi="Arial" w:cs="Arial"/>
          <w:bCs/>
          <w:color w:val="000000"/>
          <w:szCs w:val="24"/>
          <w:lang w:val="es-ES_tradnl" w:eastAsia="es-ES_tradnl" w:bidi="es-ES"/>
        </w:rPr>
        <w:t>, que se reconoce como un contrato principal, oneroso, conmutativo, bilateral o plurilateral</w:t>
      </w:r>
      <w:r w:rsidRPr="000F3931">
        <w:rPr>
          <w:rFonts w:ascii="Arial" w:eastAsia="Calibri" w:hAnsi="Arial" w:cs="Arial"/>
          <w:bCs/>
          <w:color w:val="000000"/>
          <w:szCs w:val="24"/>
          <w:vertAlign w:val="superscript"/>
          <w:lang w:val="es-ES_tradnl" w:eastAsia="es-ES_tradnl" w:bidi="es-ES"/>
        </w:rPr>
        <w:footnoteReference w:id="28"/>
      </w:r>
      <w:r w:rsidRPr="000F3931">
        <w:rPr>
          <w:rFonts w:ascii="Arial" w:eastAsia="Calibri" w:hAnsi="Arial" w:cs="Arial"/>
          <w:bCs/>
          <w:color w:val="000000"/>
          <w:szCs w:val="24"/>
          <w:lang w:val="es-ES_tradnl" w:eastAsia="es-ES_tradnl" w:bidi="es-ES"/>
        </w:rPr>
        <w:t xml:space="preserve">. El ente debidamente constituido, entonces, será un sujeto contractual con capacidad para contratar, para ejecutar las obligaciones y recibir los derechos que emanan del contrato y para interrelacionarse con la </w:t>
      </w:r>
      <w:r w:rsidR="0082445E">
        <w:rPr>
          <w:rFonts w:ascii="Arial" w:eastAsia="Calibri" w:hAnsi="Arial" w:cs="Arial"/>
          <w:bCs/>
          <w:color w:val="000000"/>
          <w:szCs w:val="24"/>
          <w:lang w:val="es-ES_tradnl" w:eastAsia="es-ES_tradnl" w:bidi="es-ES"/>
        </w:rPr>
        <w:t>Entidad Estatal</w:t>
      </w:r>
      <w:r w:rsidRPr="000F3931">
        <w:rPr>
          <w:rFonts w:ascii="Arial" w:eastAsia="Calibri" w:hAnsi="Arial" w:cs="Arial"/>
          <w:bCs/>
          <w:color w:val="000000"/>
          <w:szCs w:val="24"/>
          <w:lang w:val="es-ES_tradnl" w:eastAsia="es-ES_tradnl" w:bidi="es-ES"/>
        </w:rPr>
        <w:t xml:space="preserve"> contratante en todo lo relacionado con el objeto del contrato y su desarrollo. Inclusive, los consorcios y uniones temporales, por conducto de su representante, tienen capacidad y están legitimados para comparecer al proceso, con el fin de hacer valer sus derechos o responder por el incumplimiento de sus obligaciones, en lo relacionado con el procedimiento de selección y el contrato estatal</w:t>
      </w:r>
      <w:r w:rsidRPr="000F3931">
        <w:rPr>
          <w:rFonts w:ascii="Arial" w:eastAsia="Calibri" w:hAnsi="Arial" w:cs="Arial"/>
          <w:bCs/>
          <w:color w:val="000000"/>
          <w:szCs w:val="24"/>
          <w:vertAlign w:val="superscript"/>
          <w:lang w:val="es-ES_tradnl" w:eastAsia="es-ES_tradnl" w:bidi="es-ES"/>
        </w:rPr>
        <w:footnoteReference w:id="29"/>
      </w:r>
      <w:r w:rsidRPr="000F3931">
        <w:rPr>
          <w:rFonts w:ascii="Arial" w:eastAsia="Calibri" w:hAnsi="Arial" w:cs="Arial"/>
          <w:bCs/>
          <w:color w:val="000000"/>
          <w:szCs w:val="24"/>
          <w:lang w:val="es-ES_tradnl" w:eastAsia="es-ES_tradnl" w:bidi="es-ES"/>
        </w:rPr>
        <w:t>. Así lo ha reconocido la jurisprudencia del Consejo de Estado</w:t>
      </w:r>
      <w:r w:rsidRPr="000F3931">
        <w:rPr>
          <w:rFonts w:ascii="Arial" w:eastAsia="Calibri" w:hAnsi="Arial" w:cs="Arial"/>
          <w:bCs/>
          <w:color w:val="000000"/>
          <w:szCs w:val="24"/>
          <w:vertAlign w:val="superscript"/>
          <w:lang w:val="es-ES_tradnl" w:eastAsia="es-ES_tradnl" w:bidi="es-ES"/>
        </w:rPr>
        <w:footnoteReference w:id="30"/>
      </w:r>
      <w:r w:rsidRPr="000F3931">
        <w:rPr>
          <w:rFonts w:ascii="Arial" w:eastAsia="Calibri" w:hAnsi="Arial" w:cs="Arial"/>
          <w:bCs/>
          <w:color w:val="000000"/>
          <w:szCs w:val="24"/>
          <w:lang w:val="es-ES_tradnl" w:eastAsia="es-ES_tradnl" w:bidi="es-ES"/>
        </w:rPr>
        <w:t>:</w:t>
      </w:r>
    </w:p>
    <w:p w14:paraId="77A2F039" w14:textId="71899742" w:rsidR="008B748F" w:rsidRPr="000F3931" w:rsidRDefault="002F2A2E" w:rsidP="008B748F">
      <w:pPr>
        <w:tabs>
          <w:tab w:val="left" w:pos="0"/>
        </w:tabs>
        <w:spacing w:after="240" w:line="240" w:lineRule="auto"/>
        <w:ind w:left="708" w:right="709"/>
        <w:jc w:val="both"/>
        <w:rPr>
          <w:rFonts w:ascii="Arial" w:eastAsia="Calibri" w:hAnsi="Arial" w:cs="Arial"/>
          <w:bCs/>
          <w:iCs/>
          <w:color w:val="000000"/>
          <w:sz w:val="21"/>
          <w:szCs w:val="21"/>
          <w:lang w:val="es-ES_tradnl" w:eastAsia="es-ES_tradnl" w:bidi="es-ES"/>
        </w:rPr>
      </w:pPr>
      <w:r w:rsidRPr="000F3931">
        <w:rPr>
          <w:rFonts w:ascii="Arial" w:eastAsia="Calibri" w:hAnsi="Arial" w:cs="Arial"/>
          <w:lang w:val="es-ES_tradnl" w:eastAsia="es-ES_tradnl"/>
        </w:rPr>
        <w:t>«</w:t>
      </w:r>
      <w:r w:rsidR="008B748F" w:rsidRPr="000F3931">
        <w:rPr>
          <w:rFonts w:ascii="Arial" w:eastAsia="Calibri" w:hAnsi="Arial" w:cs="Arial"/>
          <w:bCs/>
          <w:iCs/>
          <w:color w:val="000000"/>
          <w:sz w:val="21"/>
          <w:szCs w:val="21"/>
          <w:lang w:val="es-ES_tradnl" w:eastAsia="es-ES_tradnl" w:bidi="es-ES"/>
        </w:rPr>
        <w:t xml:space="preserve">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 también se encuentran facultados para concurrir a los procesos judiciales que pudieren tener origen en controversias surgidas del mencionado procedimiento administrativo de selección de </w:t>
      </w:r>
      <w:r w:rsidR="008B748F" w:rsidRPr="000F3931">
        <w:rPr>
          <w:rFonts w:ascii="Arial" w:eastAsia="Calibri" w:hAnsi="Arial" w:cs="Arial"/>
          <w:bCs/>
          <w:iCs/>
          <w:color w:val="000000"/>
          <w:sz w:val="21"/>
          <w:szCs w:val="21"/>
          <w:lang w:val="es-ES_tradnl" w:eastAsia="es-ES_tradnl" w:bidi="es-ES"/>
        </w:rPr>
        <w:lastRenderedPageBreak/>
        <w:t>contratistas o de la celebración y ejecución del contrato estatal respectivo –</w:t>
      </w:r>
      <w:proofErr w:type="spellStart"/>
      <w:r w:rsidR="008B748F" w:rsidRPr="000F3931">
        <w:rPr>
          <w:rFonts w:ascii="Arial" w:eastAsia="Calibri" w:hAnsi="Arial" w:cs="Arial"/>
          <w:bCs/>
          <w:iCs/>
          <w:color w:val="000000"/>
          <w:sz w:val="21"/>
          <w:szCs w:val="21"/>
          <w:lang w:val="es-ES_tradnl" w:eastAsia="es-ES_tradnl" w:bidi="es-ES"/>
        </w:rPr>
        <w:t>legitimatio</w:t>
      </w:r>
      <w:proofErr w:type="spellEnd"/>
      <w:r w:rsidR="008B748F" w:rsidRPr="000F3931">
        <w:rPr>
          <w:rFonts w:ascii="Arial" w:eastAsia="Calibri" w:hAnsi="Arial" w:cs="Arial"/>
          <w:bCs/>
          <w:iCs/>
          <w:color w:val="000000"/>
          <w:sz w:val="21"/>
          <w:szCs w:val="21"/>
          <w:lang w:val="es-ES_tradnl" w:eastAsia="es-ES_tradnl" w:bidi="es-ES"/>
        </w:rPr>
        <w:t xml:space="preserve"> ad </w:t>
      </w:r>
      <w:proofErr w:type="spellStart"/>
      <w:r w:rsidR="008B748F" w:rsidRPr="000F3931">
        <w:rPr>
          <w:rFonts w:ascii="Arial" w:eastAsia="Calibri" w:hAnsi="Arial" w:cs="Arial"/>
          <w:bCs/>
          <w:iCs/>
          <w:color w:val="000000"/>
          <w:sz w:val="21"/>
          <w:szCs w:val="21"/>
          <w:lang w:val="es-ES_tradnl" w:eastAsia="es-ES_tradnl" w:bidi="es-ES"/>
        </w:rPr>
        <w:t>processum</w:t>
      </w:r>
      <w:proofErr w:type="spellEnd"/>
      <w:r w:rsidR="008B748F" w:rsidRPr="000F3931">
        <w:rPr>
          <w:rFonts w:ascii="Arial" w:eastAsia="Calibri" w:hAnsi="Arial" w:cs="Arial"/>
          <w:bCs/>
          <w:iCs/>
          <w:color w:val="000000"/>
          <w:sz w:val="21"/>
          <w:szCs w:val="21"/>
          <w:lang w:val="es-ES_tradnl" w:eastAsia="es-ES_tradnl" w:bidi="es-ES"/>
        </w:rPr>
        <w:t>-, por intermedio de su representante.</w:t>
      </w:r>
      <w:r w:rsidRPr="000F3931">
        <w:rPr>
          <w:rFonts w:ascii="Arial" w:eastAsia="Calibri" w:hAnsi="Arial" w:cs="Arial"/>
          <w:lang w:val="es-ES_tradnl" w:eastAsia="es-ES_tradnl"/>
        </w:rPr>
        <w:t>»</w:t>
      </w:r>
    </w:p>
    <w:p w14:paraId="40E6BDE8" w14:textId="77777777" w:rsidR="008B748F" w:rsidRPr="000F3931" w:rsidRDefault="008B748F" w:rsidP="008B748F">
      <w:pPr>
        <w:tabs>
          <w:tab w:val="left" w:pos="0"/>
        </w:tabs>
        <w:spacing w:after="240" w:line="276" w:lineRule="auto"/>
        <w:ind w:firstLine="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t>En esa misma línea, la Sala de Casación Laboral de la Corte Suprema de Justicia, en la Sentencia SL 676 del 10 de enero de 2021, radicado 57.957, reconoció la capacidad procesal de los consorcios y uniones temporales en el marco de procesos laborales, como se precisará en el numeral siguiente. A juicio de la Corte, el solo hecho de no contar con personalidad jurídica no es una razón suficiente para concluir que no se pueda configurar una relación jurídico procesal en una contienda litigiosa y, en esa medida, ser sujeto procesal. En atención al principio de primacía de la realidad sobre las formas, parte esencial del ordenamiento jurídico laboral, el alto tribunal concluyó que los consorcios y uniones temporales son sujetos de obligaciones laborales y, en consecuencia, pueden ser parte en procesos judiciales que cursen ante los jueces del trabajo por medio de su representante legal</w:t>
      </w:r>
      <w:r w:rsidRPr="000F3931">
        <w:rPr>
          <w:rFonts w:ascii="Arial" w:eastAsia="Calibri" w:hAnsi="Arial" w:cs="Arial"/>
          <w:bCs/>
          <w:color w:val="000000"/>
          <w:szCs w:val="24"/>
          <w:vertAlign w:val="superscript"/>
          <w:lang w:val="es-ES_tradnl" w:eastAsia="es-ES_tradnl" w:bidi="es-ES"/>
        </w:rPr>
        <w:footnoteReference w:id="31"/>
      </w:r>
      <w:r w:rsidRPr="000F3931">
        <w:rPr>
          <w:rFonts w:ascii="Arial" w:eastAsia="Calibri" w:hAnsi="Arial" w:cs="Arial"/>
          <w:bCs/>
          <w:color w:val="000000"/>
          <w:szCs w:val="24"/>
          <w:lang w:val="es-ES_tradnl" w:eastAsia="es-ES_tradnl" w:bidi="es-ES"/>
        </w:rPr>
        <w:t>.</w:t>
      </w:r>
    </w:p>
    <w:p w14:paraId="6F104937" w14:textId="77777777" w:rsidR="008B748F" w:rsidRPr="000F3931" w:rsidRDefault="008B748F" w:rsidP="008B748F">
      <w:pPr>
        <w:tabs>
          <w:tab w:val="left" w:pos="0"/>
        </w:tabs>
        <w:spacing w:after="240" w:line="276" w:lineRule="auto"/>
        <w:ind w:firstLine="709"/>
        <w:jc w:val="both"/>
        <w:rPr>
          <w:rFonts w:ascii="Arial" w:eastAsia="Calibri" w:hAnsi="Arial" w:cs="Arial"/>
          <w:bCs/>
          <w:color w:val="000000"/>
          <w:szCs w:val="24"/>
          <w:lang w:val="es-ES_tradnl" w:eastAsia="es-ES_tradnl" w:bidi="es-ES"/>
        </w:rPr>
      </w:pPr>
      <w:r w:rsidRPr="000F3931">
        <w:rPr>
          <w:rFonts w:ascii="Arial" w:eastAsia="Calibri" w:hAnsi="Arial" w:cs="Arial"/>
          <w:bCs/>
          <w:color w:val="000000"/>
          <w:szCs w:val="24"/>
          <w:lang w:val="es-ES_tradnl" w:eastAsia="es-ES_tradnl" w:bidi="es-ES"/>
        </w:rPr>
        <w:t>En conclusión, los consorcios y uniones temporales no son personas jurídicas, pero son entes creados por el acuerdo de voluntades de sus miembros, los cuales están facultados, en virtud de la ley y del contrato consorcial, para celebrar y ejecutar contratos con entidades estatales y para ser parte en procesos administrativos y judiciales derivados de la celebración y la ejecución de aquellos, e incluso para ser parte en procesos laborales.</w:t>
      </w:r>
    </w:p>
    <w:p w14:paraId="5ED5BE50" w14:textId="663054BC" w:rsidR="008B748F" w:rsidRPr="000F3931" w:rsidRDefault="008B748F" w:rsidP="008B748F">
      <w:pPr>
        <w:spacing w:after="240" w:line="276" w:lineRule="auto"/>
        <w:ind w:firstLine="709"/>
        <w:jc w:val="both"/>
        <w:rPr>
          <w:rFonts w:ascii="Arial" w:eastAsia="Calibri" w:hAnsi="Arial" w:cs="Arial"/>
          <w:color w:val="000000" w:themeColor="text1"/>
          <w:lang w:val="es-MX"/>
        </w:rPr>
      </w:pPr>
      <w:r w:rsidRPr="000F3931">
        <w:rPr>
          <w:rFonts w:ascii="Arial" w:eastAsia="Calibri" w:hAnsi="Arial" w:cs="Arial"/>
          <w:color w:val="000000" w:themeColor="text1"/>
          <w:lang w:val="es-MX"/>
        </w:rPr>
        <w:t xml:space="preserve">Conforme a lo expuesto, la Ley 80 de 1993 permite que dos o más personas naturales o jurídicas se agrupen para la presentación de una propuesta y la celebración de un contrato con una </w:t>
      </w:r>
      <w:r w:rsidR="0082445E">
        <w:rPr>
          <w:rFonts w:ascii="Arial" w:eastAsia="Calibri" w:hAnsi="Arial" w:cs="Arial"/>
          <w:color w:val="000000" w:themeColor="text1"/>
          <w:lang w:val="es-MX"/>
        </w:rPr>
        <w:t>Entidad Estatal</w:t>
      </w:r>
      <w:r w:rsidRPr="000F3931">
        <w:rPr>
          <w:rFonts w:ascii="Arial" w:eastAsia="Calibri" w:hAnsi="Arial" w:cs="Arial"/>
          <w:color w:val="000000" w:themeColor="text1"/>
          <w:lang w:val="es-MX"/>
        </w:rPr>
        <w:t xml:space="preserve">, conservando su individualidad jurídica, es decir que el proponente plural no es una persona jurídica, y los requisitos habilitantes deben ser evaluados respecto de cada miembro, sin que ello desconozca la finalidad de esta figura, que es unir esfuerzos. </w:t>
      </w:r>
    </w:p>
    <w:p w14:paraId="48F2DC4D" w14:textId="77777777" w:rsidR="008B748F" w:rsidRPr="000F3931" w:rsidRDefault="008B748F" w:rsidP="008B748F">
      <w:pPr>
        <w:spacing w:after="0" w:line="240" w:lineRule="auto"/>
        <w:ind w:firstLine="851"/>
        <w:jc w:val="both"/>
        <w:rPr>
          <w:rFonts w:ascii="Arial" w:eastAsia="Calibri" w:hAnsi="Arial" w:cs="Arial"/>
          <w:color w:val="000000" w:themeColor="text1"/>
          <w:lang w:val="es-MX"/>
        </w:rPr>
      </w:pPr>
      <w:r w:rsidRPr="000F3931">
        <w:rPr>
          <w:rFonts w:ascii="Arial" w:eastAsia="Calibri" w:hAnsi="Arial" w:cs="Arial"/>
          <w:color w:val="000000" w:themeColor="text1"/>
          <w:lang w:val="es-MX"/>
        </w:rPr>
        <w:t>En línea con todo lo expuesto, se precisa que la figura de consorcio o la unión temporal establecida en el artículo 7 de la Ley 80 de 1993 tan solo exige que la propuesta debe ser presentada conjuntamente por dos o más «personas», sin hacer ninguna aclaración ulterior. En ese orden de ideas, como consecuencia del principio de interpretación de las normas jurídicas según el cual donde la ley no distingue no le es dado distinguir al intérprete, las dos o más personas que conforman el consorcio o la unión temporal pueden tener cualquier calidad.</w:t>
      </w:r>
    </w:p>
    <w:p w14:paraId="27FA5CA0" w14:textId="77777777" w:rsidR="008B748F" w:rsidRPr="000F3931" w:rsidRDefault="008B748F" w:rsidP="008B748F">
      <w:pPr>
        <w:spacing w:after="0" w:line="240" w:lineRule="auto"/>
        <w:jc w:val="both"/>
        <w:rPr>
          <w:rFonts w:ascii="Arial" w:eastAsia="Calibri" w:hAnsi="Arial" w:cs="Arial"/>
          <w:color w:val="000000" w:themeColor="text1"/>
          <w:lang w:val="es-MX"/>
        </w:rPr>
      </w:pPr>
      <w:r w:rsidRPr="000F3931">
        <w:rPr>
          <w:rFonts w:ascii="Arial" w:eastAsia="Calibri" w:hAnsi="Arial" w:cs="Arial"/>
          <w:color w:val="000000" w:themeColor="text1"/>
          <w:lang w:val="es-MX"/>
        </w:rPr>
        <w:t xml:space="preserve"> </w:t>
      </w:r>
    </w:p>
    <w:p w14:paraId="4AC03A1F" w14:textId="77777777" w:rsidR="008B748F" w:rsidRPr="000F3931" w:rsidRDefault="008B748F" w:rsidP="008B748F">
      <w:pPr>
        <w:spacing w:after="240" w:line="276" w:lineRule="auto"/>
        <w:ind w:firstLine="709"/>
        <w:jc w:val="both"/>
        <w:rPr>
          <w:rFonts w:ascii="Arial" w:eastAsia="Calibri" w:hAnsi="Arial" w:cs="Arial"/>
          <w:color w:val="000000" w:themeColor="text1"/>
          <w:lang w:val="es-MX"/>
        </w:rPr>
      </w:pPr>
      <w:r w:rsidRPr="000F3931">
        <w:rPr>
          <w:rFonts w:ascii="Arial" w:eastAsia="Calibri" w:hAnsi="Arial" w:cs="Arial"/>
          <w:color w:val="000000" w:themeColor="text1"/>
          <w:lang w:val="es-MX"/>
        </w:rPr>
        <w:t xml:space="preserve">No obstante, cabe recordar que el artículo 7 de la Ley 80 de 1993 exige que se trate de la presentación de una propuesta conjunta por parte de dos o más «personas». En otras palabras, los miembros del consorcio o unión temporal deben tener personalidad jurídica para poder conformar una estructura plural válidamente. Lo anterior, para efectos de la respuesta a la consulta implica que, como quiera que a la luz del Decreto 1953 de 2014 los resguardos indígenas están dotados de capacidad jurídica que será ejercida a través de su representante legal, nada </w:t>
      </w:r>
      <w:r w:rsidRPr="000F3931">
        <w:rPr>
          <w:rFonts w:ascii="Arial" w:eastAsia="Calibri" w:hAnsi="Arial" w:cs="Arial"/>
          <w:color w:val="000000" w:themeColor="text1"/>
          <w:lang w:val="es-MX"/>
        </w:rPr>
        <w:lastRenderedPageBreak/>
        <w:t>obsta para que hagan parte de uniones temporales o consorcios, a la luz del artículo 7 de la Ley 80 de 1993 que tan solo exige que se trate de la presentación de una propuesta conjunta por parte de dos o más «personas». En otras palabras, los miembros del consorcio o unión temporal deben tener personalidad jurídica para poder conformar una estructura plural válidamente.</w:t>
      </w:r>
    </w:p>
    <w:p w14:paraId="4B82827D" w14:textId="77777777" w:rsidR="008B748F" w:rsidRPr="000F3931" w:rsidRDefault="008B748F" w:rsidP="008B748F">
      <w:pPr>
        <w:tabs>
          <w:tab w:val="left" w:pos="284"/>
        </w:tabs>
        <w:spacing w:after="0" w:line="276" w:lineRule="auto"/>
        <w:contextualSpacing/>
        <w:jc w:val="both"/>
        <w:rPr>
          <w:rFonts w:ascii="Arial" w:hAnsi="Arial" w:cs="Arial"/>
          <w:b/>
        </w:rPr>
      </w:pPr>
      <w:r w:rsidRPr="000F3931">
        <w:rPr>
          <w:rFonts w:ascii="Arial" w:hAnsi="Arial" w:cs="Arial"/>
          <w:b/>
        </w:rPr>
        <w:t>3. Respuesta</w:t>
      </w:r>
    </w:p>
    <w:p w14:paraId="68D4DD55" w14:textId="77777777" w:rsidR="008B748F" w:rsidRPr="000F3931" w:rsidRDefault="008B748F" w:rsidP="008B748F">
      <w:pPr>
        <w:tabs>
          <w:tab w:val="left" w:pos="284"/>
        </w:tabs>
        <w:spacing w:after="240" w:line="276" w:lineRule="auto"/>
        <w:contextualSpacing/>
        <w:jc w:val="both"/>
        <w:rPr>
          <w:rFonts w:ascii="Arial" w:eastAsia="Calibri" w:hAnsi="Arial" w:cs="Arial"/>
          <w:b/>
        </w:rPr>
      </w:pPr>
    </w:p>
    <w:p w14:paraId="493C039C" w14:textId="77777777" w:rsidR="008B748F" w:rsidRPr="000F3931" w:rsidRDefault="008B748F" w:rsidP="008B748F">
      <w:pPr>
        <w:spacing w:after="240" w:line="240" w:lineRule="auto"/>
        <w:ind w:left="567" w:right="851"/>
        <w:jc w:val="both"/>
        <w:rPr>
          <w:rFonts w:ascii="Arial" w:eastAsia="Times New Roman" w:hAnsi="Arial" w:cs="Arial"/>
          <w:iCs/>
          <w:sz w:val="21"/>
          <w:szCs w:val="21"/>
          <w:lang w:eastAsia="es-ES_tradnl"/>
        </w:rPr>
      </w:pPr>
      <w:r w:rsidRPr="000F3931">
        <w:rPr>
          <w:rFonts w:ascii="Arial" w:eastAsia="Times New Roman" w:hAnsi="Arial" w:cs="Arial"/>
          <w:iCs/>
          <w:sz w:val="21"/>
          <w:szCs w:val="21"/>
          <w:lang w:eastAsia="es-ES_tradnl"/>
        </w:rPr>
        <w:t xml:space="preserve">«5. Se solicita aclaración si es necesario estar inscritos en el </w:t>
      </w:r>
      <w:proofErr w:type="spellStart"/>
      <w:r w:rsidRPr="000F3931">
        <w:rPr>
          <w:rFonts w:ascii="Arial" w:eastAsia="Times New Roman" w:hAnsi="Arial" w:cs="Arial"/>
          <w:iCs/>
          <w:sz w:val="21"/>
          <w:szCs w:val="21"/>
          <w:lang w:eastAsia="es-ES_tradnl"/>
        </w:rPr>
        <w:t>Secop</w:t>
      </w:r>
      <w:proofErr w:type="spellEnd"/>
      <w:r w:rsidRPr="000F3931">
        <w:rPr>
          <w:rFonts w:ascii="Arial" w:eastAsia="Times New Roman" w:hAnsi="Arial" w:cs="Arial"/>
          <w:iCs/>
          <w:sz w:val="21"/>
          <w:szCs w:val="21"/>
          <w:lang w:eastAsia="es-ES_tradnl"/>
        </w:rPr>
        <w:t xml:space="preserve"> II, (Sistema Electrónico de Contratación Pública), para la contratación directa con los resguardos.» </w:t>
      </w:r>
    </w:p>
    <w:p w14:paraId="1E634992" w14:textId="77777777" w:rsidR="008B748F" w:rsidRPr="000F3931" w:rsidRDefault="008B748F" w:rsidP="008B748F">
      <w:pPr>
        <w:spacing w:after="0" w:line="276" w:lineRule="auto"/>
        <w:jc w:val="both"/>
        <w:rPr>
          <w:rFonts w:ascii="Arial" w:eastAsia="Calibri" w:hAnsi="Arial" w:cs="Arial"/>
          <w:bCs/>
        </w:rPr>
      </w:pPr>
      <w:r w:rsidRPr="000F3931">
        <w:rPr>
          <w:rFonts w:ascii="Arial" w:eastAsia="Calibri" w:hAnsi="Arial" w:cs="Arial"/>
          <w:bCs/>
        </w:rPr>
        <w:t>Conforme se expuso en las consideraciones de este concepto, se evidencia que lo prescrito en el Decreto 1953 de 2014 no fue derogado por la Ley 2160 de 2021.</w:t>
      </w:r>
      <w:r w:rsidRPr="000F3931">
        <w:rPr>
          <w:rFonts w:ascii="Arial" w:eastAsia="Times New Roman" w:hAnsi="Arial" w:cs="Arial"/>
          <w:sz w:val="20"/>
          <w:szCs w:val="20"/>
          <w:lang w:eastAsia="es-ES_tradnl"/>
        </w:rPr>
        <w:t xml:space="preserve"> Así pues, </w:t>
      </w:r>
      <w:r w:rsidRPr="000F3931">
        <w:rPr>
          <w:rFonts w:ascii="Arial" w:eastAsia="Calibri" w:hAnsi="Arial" w:cs="Arial"/>
          <w:bCs/>
        </w:rPr>
        <w:t xml:space="preserve">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w:t>
      </w:r>
    </w:p>
    <w:p w14:paraId="620A2DF8" w14:textId="77777777" w:rsidR="008B748F" w:rsidRPr="000F3931" w:rsidRDefault="008B748F" w:rsidP="008B748F">
      <w:pPr>
        <w:spacing w:after="0" w:line="276" w:lineRule="auto"/>
        <w:jc w:val="both"/>
        <w:rPr>
          <w:rFonts w:ascii="Arial" w:eastAsia="Calibri" w:hAnsi="Arial" w:cs="Arial"/>
          <w:bCs/>
        </w:rPr>
      </w:pPr>
    </w:p>
    <w:p w14:paraId="3B926B52" w14:textId="77777777" w:rsidR="008B748F" w:rsidRPr="000F3931" w:rsidRDefault="008B748F" w:rsidP="008B748F">
      <w:pPr>
        <w:spacing w:after="240" w:line="276" w:lineRule="auto"/>
        <w:ind w:firstLine="567"/>
        <w:jc w:val="both"/>
        <w:rPr>
          <w:rFonts w:ascii="Arial" w:eastAsia="Calibri" w:hAnsi="Arial" w:cs="Arial"/>
          <w:bCs/>
        </w:rPr>
      </w:pPr>
      <w:r w:rsidRPr="000F3931">
        <w:rPr>
          <w:rFonts w:ascii="Arial" w:eastAsia="Calibri" w:hAnsi="Arial" w:cs="Arial"/>
          <w:bCs/>
        </w:rPr>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7B2BF5AA" w14:textId="77777777" w:rsidR="008B748F" w:rsidRPr="000F3931" w:rsidRDefault="008B748F" w:rsidP="008B748F">
      <w:pPr>
        <w:spacing w:after="240" w:line="276" w:lineRule="auto"/>
        <w:ind w:firstLine="567"/>
        <w:jc w:val="both"/>
        <w:rPr>
          <w:rFonts w:ascii="Arial" w:eastAsia="Calibri" w:hAnsi="Arial" w:cs="Arial"/>
          <w:bCs/>
        </w:rPr>
      </w:pPr>
      <w:r w:rsidRPr="000F3931">
        <w:rPr>
          <w:rFonts w:ascii="Arial" w:eastAsia="Calibri" w:hAnsi="Arial" w:cs="Arial"/>
          <w:bCs/>
        </w:rPr>
        <w:t>Bajo este contexto, en la medida en que los resguardos indígenas ejecuten recursos públicos están obligados a estar inscritos y publicar en el SECOP. El deber de publicar en el SECOP se fundamenta en una idea general, esto es, que se debe publicar toda actividad contractual en la que se ejecuten recursos públicos, con independencia de la naturaleza jurídica de la entidad contratante, de su régimen contractual, incluso, sin importar la tipología del contrato a celebrar. Independientemente de la naturaleza jurídica concreta a la que obedezca un resguardo indígena, es claro que estos podrían administrar y ejecutar recursos públicos, lo que los ubica dentro de los sujetos obligados que señala el literal g) del artículo 5 de la Ley 1712 de 2014, es decir, las entidades que administren recursos de naturaleza u origen público.</w:t>
      </w:r>
    </w:p>
    <w:p w14:paraId="607C6288" w14:textId="77777777" w:rsidR="008B748F" w:rsidRPr="000F3931" w:rsidRDefault="008B748F" w:rsidP="008B748F">
      <w:pPr>
        <w:spacing w:after="240" w:line="240" w:lineRule="auto"/>
        <w:ind w:left="567" w:right="851"/>
        <w:jc w:val="both"/>
        <w:rPr>
          <w:rFonts w:ascii="Arial" w:eastAsia="Times New Roman" w:hAnsi="Arial" w:cs="Arial"/>
          <w:iCs/>
          <w:sz w:val="21"/>
          <w:szCs w:val="21"/>
          <w:lang w:eastAsia="es-ES_tradnl"/>
        </w:rPr>
      </w:pPr>
      <w:r w:rsidRPr="000F3931">
        <w:rPr>
          <w:rFonts w:ascii="Arial" w:eastAsia="Times New Roman" w:hAnsi="Arial" w:cs="Arial"/>
          <w:iCs/>
          <w:sz w:val="21"/>
          <w:szCs w:val="21"/>
          <w:lang w:eastAsia="es-ES_tradnl"/>
        </w:rPr>
        <w:t>«7. Solicito, se nos aclare si un Resguardo puede realizar Unión Temporal con una Asociación, fundación o consultoría para participar de las licitaciones del estado.»</w:t>
      </w:r>
    </w:p>
    <w:p w14:paraId="1EDCEB47" w14:textId="672F9EBD" w:rsidR="008B748F" w:rsidRPr="000F3931" w:rsidRDefault="008B748F" w:rsidP="008B748F">
      <w:pPr>
        <w:spacing w:after="240" w:line="276" w:lineRule="auto"/>
        <w:jc w:val="both"/>
        <w:rPr>
          <w:rFonts w:ascii="Arial" w:eastAsia="Calibri" w:hAnsi="Arial" w:cs="Arial"/>
          <w:color w:val="000000" w:themeColor="text1"/>
          <w:lang w:val="es-MX"/>
        </w:rPr>
      </w:pPr>
      <w:r w:rsidRPr="000F3931">
        <w:rPr>
          <w:rFonts w:ascii="Arial" w:eastAsia="Calibri" w:hAnsi="Arial" w:cs="Arial"/>
          <w:color w:val="000000" w:themeColor="text1"/>
          <w:lang w:val="es-MX"/>
        </w:rPr>
        <w:t xml:space="preserve">Conforme a los argumentos expuestos, la Ley 80 de 1993 permite que dos o más personas naturales o jurídicas se agrupen para la presentación de una propuesta y la celebración de un contrato con una </w:t>
      </w:r>
      <w:r w:rsidR="0082445E">
        <w:rPr>
          <w:rFonts w:ascii="Arial" w:eastAsia="Calibri" w:hAnsi="Arial" w:cs="Arial"/>
          <w:color w:val="000000" w:themeColor="text1"/>
          <w:lang w:val="es-MX"/>
        </w:rPr>
        <w:t>Entidad Estatal</w:t>
      </w:r>
      <w:r w:rsidRPr="000F3931">
        <w:rPr>
          <w:rFonts w:ascii="Arial" w:eastAsia="Calibri" w:hAnsi="Arial" w:cs="Arial"/>
          <w:color w:val="000000" w:themeColor="text1"/>
          <w:lang w:val="es-MX"/>
        </w:rPr>
        <w:t xml:space="preserve">, conservando su individualidad jurídica, es decir que el proponente plural no es una persona jurídica, y los requisitos habilitantes deben ser evaluados respecto de cada miembro, sin que ello desconozca la finalidad de esta figura, que es unir esfuerzos. </w:t>
      </w:r>
    </w:p>
    <w:p w14:paraId="1C3ABD8A" w14:textId="77777777" w:rsidR="008B748F" w:rsidRPr="000F3931" w:rsidRDefault="008B748F" w:rsidP="008B748F">
      <w:pPr>
        <w:spacing w:after="0" w:line="276" w:lineRule="auto"/>
        <w:ind w:firstLine="851"/>
        <w:jc w:val="both"/>
        <w:rPr>
          <w:rFonts w:ascii="Arial" w:eastAsia="Calibri" w:hAnsi="Arial" w:cs="Arial"/>
          <w:color w:val="000000" w:themeColor="text1"/>
          <w:lang w:val="es-MX"/>
        </w:rPr>
      </w:pPr>
      <w:r w:rsidRPr="000F3931">
        <w:rPr>
          <w:rFonts w:ascii="Arial" w:eastAsia="Calibri" w:hAnsi="Arial" w:cs="Arial"/>
          <w:color w:val="000000" w:themeColor="text1"/>
          <w:lang w:val="es-MX"/>
        </w:rPr>
        <w:lastRenderedPageBreak/>
        <w:t>En línea con todo lo expuesto, se precisa que la figura de consorcio o la unión temporal establecida en el artículo 7 de la Ley 80 de 1993 tan solo exige que la propuesta debe ser presentada conjuntamente por dos o más «personas», sin hacer ninguna aclaración ulterior. En ese orden de ideas, como consecuencia del principio de interpretación de las normas jurídicas según el cual donde la ley no distingue no le es dado distinguir al intérprete, las dos o más personas que conforman el consorcio o la unión temporal pueden tener cualquier calidad.</w:t>
      </w:r>
    </w:p>
    <w:p w14:paraId="14861A32" w14:textId="77777777" w:rsidR="008B748F" w:rsidRPr="000F3931" w:rsidRDefault="008B748F" w:rsidP="008B748F">
      <w:pPr>
        <w:spacing w:after="0" w:line="276" w:lineRule="auto"/>
        <w:jc w:val="both"/>
        <w:rPr>
          <w:rFonts w:ascii="Arial" w:eastAsia="Calibri" w:hAnsi="Arial" w:cs="Arial"/>
          <w:color w:val="000000" w:themeColor="text1"/>
          <w:lang w:val="es-MX"/>
        </w:rPr>
      </w:pPr>
      <w:r w:rsidRPr="000F3931">
        <w:rPr>
          <w:rFonts w:ascii="Arial" w:eastAsia="Calibri" w:hAnsi="Arial" w:cs="Arial"/>
          <w:color w:val="000000" w:themeColor="text1"/>
          <w:lang w:val="es-MX"/>
        </w:rPr>
        <w:t xml:space="preserve"> </w:t>
      </w:r>
    </w:p>
    <w:p w14:paraId="77A7B971" w14:textId="77777777" w:rsidR="008B748F" w:rsidRPr="000F3931" w:rsidRDefault="008B748F" w:rsidP="008B748F">
      <w:pPr>
        <w:spacing w:after="240" w:line="276" w:lineRule="auto"/>
        <w:ind w:firstLine="851"/>
        <w:jc w:val="both"/>
        <w:rPr>
          <w:rFonts w:ascii="Arial" w:eastAsia="Times New Roman" w:hAnsi="Arial" w:cs="Arial"/>
          <w:iCs/>
          <w:sz w:val="21"/>
          <w:szCs w:val="21"/>
          <w:lang w:eastAsia="es-ES_tradnl"/>
        </w:rPr>
      </w:pPr>
      <w:r w:rsidRPr="000F3931">
        <w:rPr>
          <w:rFonts w:ascii="Arial" w:eastAsia="Calibri" w:hAnsi="Arial" w:cs="Arial"/>
          <w:color w:val="000000" w:themeColor="text1"/>
          <w:lang w:val="es-MX"/>
        </w:rPr>
        <w:t>No obstante, cabe recordar que el artículo 7 de la Ley 80 de 1993 exige que se trate de la presentación de una propuesta conjunta por parte de dos o más «personas». En otras palabras, los miembros del consorcio o unión temporal deben tener personalidad jurídica para poder conformar una estructura plural válidamente. Lo anterior, para efectos de la respuesta a la consulta implica que, como quiera que a la luz del Decreto 1953 de 2014 los resguardos indígenas están dotados de capacidad jurídica que será ejercida a través de su representante legal, nada obsta para que hagan parte de uniones temporales o consorcios, a la luz del artículo 7 de la Ley 80 de 1993 que tan solo exige que se trate de la presentación de una propuesta conjunta por parte de dos o más «personas». En otras palabras, los miembros del consorcio o unión temporal deben tener personalidad jurídica para poder conformar una estructura plural válidamente.</w:t>
      </w:r>
    </w:p>
    <w:p w14:paraId="2C3EABFD" w14:textId="7827D2DC" w:rsidR="0082445E" w:rsidRPr="00EB2940" w:rsidRDefault="008B748F" w:rsidP="005E41F1">
      <w:pPr>
        <w:spacing w:after="0"/>
        <w:jc w:val="both"/>
        <w:rPr>
          <w:rFonts w:ascii="Arial" w:eastAsia="Times New Roman" w:hAnsi="Arial" w:cs="Arial"/>
          <w:color w:val="000000" w:themeColor="text1"/>
        </w:rPr>
      </w:pPr>
      <w:r w:rsidRPr="000F3931">
        <w:rPr>
          <w:rFonts w:ascii="Arial" w:eastAsia="Calibri" w:hAnsi="Arial" w:cs="Arial"/>
          <w:bCs/>
        </w:rPr>
        <w:t>Este concepto tiene el alcance previsto en el artículo 28 del Código de Procedimiento Administrativo y de lo Contencioso Administrativo</w:t>
      </w:r>
      <w:r w:rsidR="0082445E">
        <w:rPr>
          <w:rFonts w:ascii="Arial" w:eastAsia="Calibri" w:hAnsi="Arial" w:cs="Arial"/>
          <w:bCs/>
        </w:rPr>
        <w:t xml:space="preserve"> </w:t>
      </w:r>
      <w:r w:rsidR="0082445E" w:rsidRPr="00EB2940">
        <w:rPr>
          <w:rFonts w:ascii="Arial" w:hAnsi="Arial" w:cs="Arial"/>
          <w:color w:val="000000" w:themeColor="text1"/>
        </w:rPr>
        <w:t>y las expresiones aquí utilizadas con mayúscula inicial deben ser entendidas con el significado que les otorga el artículo 2.2.1.1.1.3.1. del Decreto 1082 de 2015.</w:t>
      </w:r>
    </w:p>
    <w:p w14:paraId="31AA7AE6" w14:textId="77777777" w:rsidR="008B748F" w:rsidRPr="000F3931" w:rsidRDefault="008B748F" w:rsidP="008B748F">
      <w:pPr>
        <w:spacing w:after="0" w:line="276" w:lineRule="auto"/>
        <w:jc w:val="both"/>
        <w:rPr>
          <w:rFonts w:ascii="Arial" w:eastAsia="Calibri" w:hAnsi="Arial" w:cs="Arial"/>
          <w:bCs/>
        </w:rPr>
      </w:pPr>
    </w:p>
    <w:p w14:paraId="743998C0" w14:textId="77777777" w:rsidR="008B748F" w:rsidRPr="000F3931" w:rsidRDefault="008B748F" w:rsidP="008B748F">
      <w:pPr>
        <w:spacing w:after="0" w:line="276" w:lineRule="auto"/>
        <w:jc w:val="both"/>
        <w:rPr>
          <w:rFonts w:ascii="Arial" w:eastAsia="Calibri" w:hAnsi="Arial" w:cs="Arial"/>
          <w:bCs/>
        </w:rPr>
      </w:pPr>
      <w:r w:rsidRPr="000F3931">
        <w:rPr>
          <w:rFonts w:ascii="Arial" w:eastAsia="Calibri" w:hAnsi="Arial" w:cs="Arial"/>
          <w:bCs/>
        </w:rPr>
        <w:t>Atentamente,</w:t>
      </w:r>
    </w:p>
    <w:bookmarkEnd w:id="0"/>
    <w:p w14:paraId="60A5FDBA" w14:textId="2A5098B8" w:rsidR="008B748F" w:rsidRPr="000F3931" w:rsidRDefault="00014355" w:rsidP="008B748F">
      <w:pPr>
        <w:spacing w:after="0" w:line="240" w:lineRule="auto"/>
        <w:jc w:val="center"/>
        <w:rPr>
          <w:rFonts w:ascii="Arial" w:eastAsia="Calibri" w:hAnsi="Arial" w:cs="Arial"/>
          <w:b/>
          <w:bCs/>
          <w:sz w:val="24"/>
          <w:szCs w:val="24"/>
          <w:lang w:val="es-MX" w:eastAsia="es-ES_tradnl"/>
        </w:rPr>
      </w:pPr>
      <w:r>
        <w:rPr>
          <w:noProof/>
          <w:lang w:val="en-US"/>
        </w:rPr>
        <w:drawing>
          <wp:inline distT="0" distB="0" distL="0" distR="0" wp14:anchorId="70FF831D" wp14:editId="1555D93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5B03ABB3" w14:textId="77777777" w:rsidR="008B748F" w:rsidRPr="000F3931" w:rsidRDefault="008B748F" w:rsidP="008B748F">
      <w:pPr>
        <w:spacing w:after="0" w:line="240" w:lineRule="auto"/>
        <w:jc w:val="both"/>
        <w:rPr>
          <w:rFonts w:ascii="Arial" w:eastAsia="Calibri" w:hAnsi="Arial" w:cs="Arial"/>
          <w:b/>
          <w:bCs/>
          <w:sz w:val="24"/>
          <w:szCs w:val="24"/>
          <w:lang w:val="es-MX" w:eastAsia="es-ES_tradnl"/>
        </w:rPr>
      </w:pPr>
    </w:p>
    <w:tbl>
      <w:tblPr>
        <w:tblStyle w:val="Tablaconcuadrcula1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B748F" w:rsidRPr="000F3931" w14:paraId="742C772C" w14:textId="77777777" w:rsidTr="00581EAA">
        <w:trPr>
          <w:trHeight w:val="286"/>
        </w:trPr>
        <w:tc>
          <w:tcPr>
            <w:tcW w:w="817" w:type="dxa"/>
            <w:vAlign w:val="center"/>
          </w:tcPr>
          <w:p w14:paraId="36DED7C8" w14:textId="77777777" w:rsidR="008B748F" w:rsidRPr="000F3931" w:rsidRDefault="008B748F" w:rsidP="008B748F">
            <w:pPr>
              <w:jc w:val="both"/>
              <w:rPr>
                <w:rFonts w:ascii="Arial" w:hAnsi="Arial" w:cs="Arial"/>
                <w:sz w:val="16"/>
                <w:szCs w:val="16"/>
                <w:lang w:val="es-MX"/>
              </w:rPr>
            </w:pPr>
            <w:r w:rsidRPr="000F3931">
              <w:rPr>
                <w:rFonts w:ascii="Arial" w:hAnsi="Arial" w:cs="Arial"/>
                <w:sz w:val="16"/>
                <w:szCs w:val="16"/>
                <w:lang w:val="es-MX"/>
              </w:rPr>
              <w:t>Elaboró:</w:t>
            </w:r>
          </w:p>
        </w:tc>
        <w:tc>
          <w:tcPr>
            <w:tcW w:w="4445" w:type="dxa"/>
            <w:tcBorders>
              <w:bottom w:val="dotted" w:sz="4" w:space="0" w:color="7F7F7F"/>
            </w:tcBorders>
            <w:vAlign w:val="center"/>
          </w:tcPr>
          <w:p w14:paraId="1E08E0C3" w14:textId="77777777" w:rsidR="008B748F" w:rsidRPr="000F3931" w:rsidRDefault="008B748F" w:rsidP="008B748F">
            <w:pPr>
              <w:jc w:val="both"/>
              <w:rPr>
                <w:rFonts w:ascii="Arial" w:hAnsi="Arial" w:cs="Arial"/>
                <w:sz w:val="16"/>
                <w:szCs w:val="16"/>
                <w:lang w:val="es-MX"/>
              </w:rPr>
            </w:pPr>
            <w:r w:rsidRPr="000F3931">
              <w:rPr>
                <w:rFonts w:ascii="Arial" w:hAnsi="Arial" w:cs="Arial"/>
                <w:sz w:val="16"/>
                <w:szCs w:val="16"/>
                <w:lang w:val="es-MX"/>
              </w:rPr>
              <w:t xml:space="preserve">Diana Fabiola Herrera Hernández </w:t>
            </w:r>
          </w:p>
          <w:p w14:paraId="55A348CB" w14:textId="77777777" w:rsidR="008B748F" w:rsidRPr="000F3931" w:rsidRDefault="008B748F" w:rsidP="008B748F">
            <w:pPr>
              <w:jc w:val="both"/>
              <w:rPr>
                <w:rFonts w:ascii="Arial" w:hAnsi="Arial" w:cs="Arial"/>
                <w:sz w:val="16"/>
                <w:szCs w:val="16"/>
                <w:lang w:val="es-MX"/>
              </w:rPr>
            </w:pPr>
            <w:r w:rsidRPr="000F3931">
              <w:rPr>
                <w:rFonts w:ascii="Arial" w:hAnsi="Arial" w:cs="Arial"/>
                <w:sz w:val="16"/>
                <w:szCs w:val="16"/>
                <w:lang w:val="es-MX"/>
              </w:rPr>
              <w:t>Contratista de la Subdirección de Gestión Contractual</w:t>
            </w:r>
          </w:p>
        </w:tc>
      </w:tr>
      <w:tr w:rsidR="008B748F" w:rsidRPr="000F3931" w14:paraId="1369A32D" w14:textId="77777777" w:rsidTr="00581EAA">
        <w:trPr>
          <w:trHeight w:val="286"/>
        </w:trPr>
        <w:tc>
          <w:tcPr>
            <w:tcW w:w="817" w:type="dxa"/>
            <w:vAlign w:val="center"/>
          </w:tcPr>
          <w:p w14:paraId="68E4D49C" w14:textId="77777777" w:rsidR="008B748F" w:rsidRPr="000F3931" w:rsidRDefault="008B748F" w:rsidP="008B748F">
            <w:pPr>
              <w:jc w:val="both"/>
              <w:rPr>
                <w:rFonts w:ascii="Arial" w:hAnsi="Arial" w:cs="Arial"/>
                <w:sz w:val="16"/>
                <w:szCs w:val="16"/>
                <w:lang w:val="es-MX"/>
              </w:rPr>
            </w:pPr>
            <w:r w:rsidRPr="000F3931">
              <w:rPr>
                <w:rFonts w:ascii="Arial" w:hAnsi="Arial" w:cs="Arial"/>
                <w:sz w:val="16"/>
                <w:szCs w:val="16"/>
                <w:lang w:val="es-MX"/>
              </w:rPr>
              <w:t>Revisó:</w:t>
            </w:r>
          </w:p>
        </w:tc>
        <w:tc>
          <w:tcPr>
            <w:tcW w:w="4445" w:type="dxa"/>
            <w:tcBorders>
              <w:bottom w:val="dotted" w:sz="4" w:space="0" w:color="7F7F7F"/>
            </w:tcBorders>
            <w:vAlign w:val="center"/>
          </w:tcPr>
          <w:p w14:paraId="2DBD47CE" w14:textId="77777777" w:rsidR="008B748F" w:rsidRPr="000F3931" w:rsidRDefault="008B748F" w:rsidP="008B748F">
            <w:pPr>
              <w:jc w:val="both"/>
              <w:rPr>
                <w:rFonts w:ascii="Arial" w:hAnsi="Arial" w:cs="Arial"/>
                <w:sz w:val="16"/>
                <w:szCs w:val="16"/>
                <w:lang w:val="es-MX"/>
              </w:rPr>
            </w:pPr>
            <w:r w:rsidRPr="000F3931">
              <w:rPr>
                <w:rFonts w:ascii="Arial" w:hAnsi="Arial" w:cs="Arial"/>
                <w:sz w:val="16"/>
                <w:szCs w:val="16"/>
                <w:lang w:val="es-MX"/>
              </w:rPr>
              <w:t>Any Alejandra Tovar Castillo</w:t>
            </w:r>
          </w:p>
          <w:p w14:paraId="51786939" w14:textId="77777777" w:rsidR="008B748F" w:rsidRPr="000F3931" w:rsidRDefault="008B748F" w:rsidP="008B748F">
            <w:pPr>
              <w:jc w:val="both"/>
              <w:rPr>
                <w:rFonts w:ascii="Arial" w:hAnsi="Arial" w:cs="Arial"/>
                <w:sz w:val="16"/>
                <w:szCs w:val="16"/>
                <w:lang w:val="es-MX"/>
              </w:rPr>
            </w:pPr>
            <w:r w:rsidRPr="000F3931">
              <w:rPr>
                <w:rFonts w:ascii="Arial" w:hAnsi="Arial" w:cs="Arial"/>
                <w:sz w:val="16"/>
                <w:szCs w:val="16"/>
                <w:lang w:val="es-MX"/>
              </w:rPr>
              <w:t>Contratista de la Subdirección de Gestión Contractual</w:t>
            </w:r>
          </w:p>
        </w:tc>
      </w:tr>
      <w:tr w:rsidR="008B748F" w:rsidRPr="000F3931" w14:paraId="6234A630" w14:textId="77777777" w:rsidTr="00581EAA">
        <w:trPr>
          <w:trHeight w:val="299"/>
        </w:trPr>
        <w:tc>
          <w:tcPr>
            <w:tcW w:w="817" w:type="dxa"/>
            <w:vAlign w:val="center"/>
          </w:tcPr>
          <w:p w14:paraId="56A5A54D" w14:textId="77777777" w:rsidR="008B748F" w:rsidRPr="000F3931" w:rsidRDefault="008B748F" w:rsidP="008B748F">
            <w:pPr>
              <w:jc w:val="both"/>
              <w:rPr>
                <w:rFonts w:ascii="Arial" w:hAnsi="Arial" w:cs="Arial"/>
                <w:sz w:val="16"/>
                <w:szCs w:val="16"/>
                <w:lang w:val="es-MX"/>
              </w:rPr>
            </w:pPr>
            <w:r w:rsidRPr="000F3931">
              <w:rPr>
                <w:rFonts w:ascii="Arial" w:hAnsi="Arial" w:cs="Arial"/>
                <w:sz w:val="16"/>
                <w:szCs w:val="16"/>
                <w:lang w:val="es-MX"/>
              </w:rPr>
              <w:t>Aprobó:</w:t>
            </w:r>
          </w:p>
        </w:tc>
        <w:tc>
          <w:tcPr>
            <w:tcW w:w="4445" w:type="dxa"/>
            <w:tcBorders>
              <w:top w:val="dotted" w:sz="4" w:space="0" w:color="7F7F7F"/>
              <w:bottom w:val="dotted" w:sz="4" w:space="0" w:color="7F7F7F"/>
            </w:tcBorders>
            <w:vAlign w:val="center"/>
          </w:tcPr>
          <w:p w14:paraId="2BC35E67" w14:textId="77777777" w:rsidR="008B748F" w:rsidRPr="000F3931" w:rsidRDefault="008B748F" w:rsidP="008B748F">
            <w:pPr>
              <w:jc w:val="both"/>
              <w:rPr>
                <w:rFonts w:ascii="Arial" w:hAnsi="Arial" w:cs="Arial"/>
                <w:sz w:val="16"/>
                <w:szCs w:val="16"/>
                <w:lang w:val="es-MX"/>
              </w:rPr>
            </w:pPr>
            <w:proofErr w:type="spellStart"/>
            <w:r w:rsidRPr="000F3931">
              <w:rPr>
                <w:rFonts w:ascii="Arial" w:hAnsi="Arial" w:cs="Arial"/>
                <w:sz w:val="16"/>
                <w:szCs w:val="16"/>
                <w:lang w:val="es-MX"/>
              </w:rPr>
              <w:t>Nohelia</w:t>
            </w:r>
            <w:proofErr w:type="spellEnd"/>
            <w:r w:rsidRPr="000F3931">
              <w:rPr>
                <w:rFonts w:ascii="Arial" w:hAnsi="Arial" w:cs="Arial"/>
                <w:sz w:val="16"/>
                <w:szCs w:val="16"/>
                <w:lang w:val="es-MX"/>
              </w:rPr>
              <w:t xml:space="preserve"> del Carmen </w:t>
            </w:r>
            <w:proofErr w:type="spellStart"/>
            <w:r w:rsidRPr="000F3931">
              <w:rPr>
                <w:rFonts w:ascii="Arial" w:hAnsi="Arial" w:cs="Arial"/>
                <w:sz w:val="16"/>
                <w:szCs w:val="16"/>
                <w:lang w:val="es-MX"/>
              </w:rPr>
              <w:t>Zawady</w:t>
            </w:r>
            <w:proofErr w:type="spellEnd"/>
            <w:r w:rsidRPr="000F3931">
              <w:rPr>
                <w:rFonts w:ascii="Arial" w:hAnsi="Arial" w:cs="Arial"/>
                <w:sz w:val="16"/>
                <w:szCs w:val="16"/>
                <w:lang w:val="es-MX"/>
              </w:rPr>
              <w:t xml:space="preserve"> Palacio</w:t>
            </w:r>
          </w:p>
          <w:p w14:paraId="010970AF" w14:textId="77777777" w:rsidR="008B748F" w:rsidRPr="000F3931" w:rsidRDefault="008B748F" w:rsidP="008B748F">
            <w:pPr>
              <w:jc w:val="both"/>
              <w:rPr>
                <w:rFonts w:ascii="Arial" w:hAnsi="Arial" w:cs="Arial"/>
                <w:sz w:val="16"/>
                <w:szCs w:val="16"/>
                <w:lang w:val="es-MX"/>
              </w:rPr>
            </w:pPr>
            <w:r w:rsidRPr="000F3931">
              <w:rPr>
                <w:rFonts w:ascii="Arial" w:hAnsi="Arial" w:cs="Arial"/>
                <w:sz w:val="16"/>
                <w:szCs w:val="16"/>
                <w:lang w:val="es-MX"/>
              </w:rPr>
              <w:t xml:space="preserve">Subdirectora de Gestión Contractual ANCP – CCE </w:t>
            </w:r>
          </w:p>
        </w:tc>
      </w:tr>
    </w:tbl>
    <w:p w14:paraId="18D87D9F" w14:textId="77777777" w:rsidR="008B748F" w:rsidRPr="000F3931" w:rsidRDefault="008B748F" w:rsidP="008B748F">
      <w:pPr>
        <w:spacing w:after="0" w:line="240" w:lineRule="auto"/>
        <w:jc w:val="both"/>
        <w:rPr>
          <w:rFonts w:ascii="Arial" w:eastAsia="Calibri" w:hAnsi="Arial" w:cs="Arial"/>
          <w:b/>
          <w:bCs/>
          <w:sz w:val="24"/>
          <w:szCs w:val="24"/>
          <w:lang w:val="es-MX" w:eastAsia="es-ES_tradnl"/>
        </w:rPr>
      </w:pPr>
    </w:p>
    <w:p w14:paraId="4457F735" w14:textId="77777777" w:rsidR="008B748F" w:rsidRPr="000F3931" w:rsidRDefault="008B748F" w:rsidP="008B748F">
      <w:pPr>
        <w:spacing w:after="0" w:line="240" w:lineRule="auto"/>
        <w:rPr>
          <w:rFonts w:ascii="Arial" w:eastAsia="Times New Roman" w:hAnsi="Arial" w:cs="Arial"/>
          <w:b/>
          <w:sz w:val="24"/>
          <w:szCs w:val="24"/>
          <w:lang w:val="es-ES" w:eastAsia="es-ES_tradnl"/>
        </w:rPr>
      </w:pPr>
    </w:p>
    <w:p w14:paraId="7DB379CD" w14:textId="77777777" w:rsidR="008B748F" w:rsidRPr="000F3931" w:rsidRDefault="008B748F" w:rsidP="008B748F">
      <w:pPr>
        <w:spacing w:before="120" w:after="120" w:line="276" w:lineRule="auto"/>
        <w:jc w:val="center"/>
        <w:rPr>
          <w:rFonts w:ascii="Arial" w:eastAsia="Calibri" w:hAnsi="Arial" w:cs="Arial"/>
          <w:lang w:val="es-ES" w:eastAsia="es-ES_tradnl"/>
        </w:rPr>
      </w:pPr>
    </w:p>
    <w:p w14:paraId="6954AD99" w14:textId="77777777" w:rsidR="008B748F" w:rsidRPr="000F3931" w:rsidRDefault="008B748F" w:rsidP="008B748F">
      <w:pPr>
        <w:spacing w:before="120" w:after="120" w:line="276" w:lineRule="auto"/>
        <w:jc w:val="center"/>
        <w:rPr>
          <w:rFonts w:ascii="Arial" w:eastAsia="Calibri" w:hAnsi="Arial" w:cs="Arial"/>
          <w:lang w:eastAsia="es-ES_tradnl"/>
        </w:rPr>
      </w:pPr>
    </w:p>
    <w:p w14:paraId="7094B7CC" w14:textId="77777777" w:rsidR="008B748F" w:rsidRPr="000F3931" w:rsidRDefault="008B748F" w:rsidP="008B748F">
      <w:pPr>
        <w:spacing w:before="120" w:after="120" w:line="276" w:lineRule="auto"/>
        <w:jc w:val="center"/>
        <w:rPr>
          <w:rFonts w:ascii="Arial" w:eastAsia="Calibri" w:hAnsi="Arial" w:cs="Arial"/>
          <w:lang w:eastAsia="es-ES_tradnl"/>
        </w:rPr>
      </w:pPr>
    </w:p>
    <w:p w14:paraId="145BF88F" w14:textId="77777777" w:rsidR="008B748F" w:rsidRPr="000F3931" w:rsidRDefault="008B748F" w:rsidP="008B748F">
      <w:pPr>
        <w:spacing w:before="120" w:after="120" w:line="276" w:lineRule="auto"/>
        <w:jc w:val="center"/>
        <w:rPr>
          <w:rFonts w:ascii="Arial" w:eastAsia="Calibri" w:hAnsi="Arial" w:cs="Arial"/>
          <w:lang w:eastAsia="es-ES_tradnl"/>
        </w:rPr>
      </w:pPr>
    </w:p>
    <w:p w14:paraId="275B4BB6" w14:textId="77777777" w:rsidR="008B748F" w:rsidRPr="000F3931" w:rsidRDefault="008B748F" w:rsidP="008B748F">
      <w:pPr>
        <w:spacing w:before="120" w:after="120" w:line="276" w:lineRule="auto"/>
        <w:jc w:val="center"/>
        <w:rPr>
          <w:rFonts w:ascii="Arial" w:eastAsia="Times New Roman" w:hAnsi="Arial" w:cs="Arial"/>
          <w:lang w:eastAsia="es-ES_tradnl"/>
        </w:rPr>
      </w:pPr>
    </w:p>
    <w:p w14:paraId="0F293BF4" w14:textId="0F6FB6C1" w:rsidR="00127233" w:rsidRPr="000F3931" w:rsidRDefault="00127233" w:rsidP="008B748F">
      <w:pPr>
        <w:rPr>
          <w:rFonts w:ascii="Arial" w:hAnsi="Arial" w:cs="Arial"/>
        </w:rPr>
      </w:pPr>
    </w:p>
    <w:sectPr w:rsidR="00127233" w:rsidRPr="000F3931"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4036E" w14:textId="77777777" w:rsidR="00BE2DE2" w:rsidRDefault="00BE2DE2" w:rsidP="004A1847">
      <w:pPr>
        <w:spacing w:after="0" w:line="240" w:lineRule="auto"/>
      </w:pPr>
      <w:r>
        <w:separator/>
      </w:r>
    </w:p>
  </w:endnote>
  <w:endnote w:type="continuationSeparator" w:id="0">
    <w:p w14:paraId="336D7C85" w14:textId="77777777" w:rsidR="00BE2DE2" w:rsidRDefault="00BE2DE2" w:rsidP="004A1847">
      <w:pPr>
        <w:spacing w:after="0" w:line="240" w:lineRule="auto"/>
      </w:pPr>
      <w:r>
        <w:continuationSeparator/>
      </w:r>
    </w:p>
  </w:endnote>
  <w:endnote w:type="continuationNotice" w:id="1">
    <w:p w14:paraId="0AB85087" w14:textId="77777777" w:rsidR="00BE2DE2" w:rsidRDefault="00BE2D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3BC67E4B"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014355">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014355">
            <w:rPr>
              <w:rFonts w:ascii="Geomanist Light" w:hAnsi="Geomanist Light"/>
              <w:b/>
              <w:bCs/>
              <w:noProof/>
              <w:sz w:val="18"/>
              <w:szCs w:val="18"/>
            </w:rPr>
            <w:t>35</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0E69A" w14:textId="77777777" w:rsidR="00BE2DE2" w:rsidRDefault="00BE2DE2" w:rsidP="004A1847">
      <w:pPr>
        <w:spacing w:after="0" w:line="240" w:lineRule="auto"/>
      </w:pPr>
      <w:r>
        <w:separator/>
      </w:r>
    </w:p>
  </w:footnote>
  <w:footnote w:type="continuationSeparator" w:id="0">
    <w:p w14:paraId="3617D6B2" w14:textId="77777777" w:rsidR="00BE2DE2" w:rsidRDefault="00BE2DE2" w:rsidP="004A1847">
      <w:pPr>
        <w:spacing w:after="0" w:line="240" w:lineRule="auto"/>
      </w:pPr>
      <w:r>
        <w:continuationSeparator/>
      </w:r>
    </w:p>
  </w:footnote>
  <w:footnote w:type="continuationNotice" w:id="1">
    <w:p w14:paraId="11B5FECE" w14:textId="77777777" w:rsidR="00BE2DE2" w:rsidRDefault="00BE2DE2">
      <w:pPr>
        <w:spacing w:after="0" w:line="240" w:lineRule="auto"/>
      </w:pPr>
    </w:p>
  </w:footnote>
  <w:footnote w:id="2">
    <w:p w14:paraId="7565F447" w14:textId="77777777" w:rsidR="008B748F" w:rsidRPr="005E41F1" w:rsidRDefault="008B748F" w:rsidP="008B748F">
      <w:pPr>
        <w:pStyle w:val="Textonotapie"/>
        <w:ind w:firstLine="709"/>
        <w:jc w:val="both"/>
        <w:rPr>
          <w:rFonts w:ascii="Arial" w:hAnsi="Arial" w:cs="Arial"/>
          <w:sz w:val="19"/>
          <w:szCs w:val="19"/>
          <w:lang w:val="es-CO"/>
        </w:rPr>
      </w:pPr>
      <w:r w:rsidRPr="005E41F1">
        <w:rPr>
          <w:rStyle w:val="Refdenotaalpie"/>
          <w:rFonts w:ascii="Arial" w:hAnsi="Arial" w:cs="Arial"/>
          <w:sz w:val="19"/>
          <w:szCs w:val="19"/>
        </w:rPr>
        <w:footnoteRef/>
      </w:r>
      <w:r w:rsidRPr="005E41F1">
        <w:rPr>
          <w:rFonts w:ascii="Arial" w:hAnsi="Arial" w:cs="Arial"/>
          <w:sz w:val="19"/>
          <w:szCs w:val="19"/>
        </w:rPr>
        <w:t xml:space="preserve"> Estos conceptos pueden ser consultados en la Relatoría de esta Agencia en el siguiente Link: https://relatoria.colombiacompra.gov.co/busqueda/conceptos</w:t>
      </w:r>
    </w:p>
  </w:footnote>
  <w:footnote w:id="3">
    <w:p w14:paraId="63593197" w14:textId="77777777" w:rsidR="008B748F" w:rsidRPr="005E41F1" w:rsidRDefault="008B748F" w:rsidP="008B748F">
      <w:pPr>
        <w:pStyle w:val="Textonotapie"/>
        <w:ind w:firstLine="709"/>
        <w:jc w:val="both"/>
        <w:rPr>
          <w:rFonts w:ascii="Arial" w:eastAsia="Calibri"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w:t>
      </w:r>
      <w:r w:rsidRPr="005E41F1">
        <w:rPr>
          <w:rFonts w:ascii="Arial" w:eastAsia="Calibri" w:hAnsi="Arial" w:cs="Arial"/>
          <w:sz w:val="19"/>
          <w:szCs w:val="19"/>
        </w:rPr>
        <w:t>Constitución Política: «Artículo 93. Los tratados y convenios internacionales ratificados por el Congreso, que reconocen los derechos humanos y que prohíben su limitación en los estados de excepción, prevalecen en el orden interno.</w:t>
      </w:r>
    </w:p>
    <w:p w14:paraId="6FD059F9" w14:textId="77777777" w:rsidR="008B748F" w:rsidRPr="005E41F1" w:rsidRDefault="008B748F" w:rsidP="008B748F">
      <w:pPr>
        <w:spacing w:line="240" w:lineRule="auto"/>
        <w:ind w:firstLine="708"/>
        <w:jc w:val="both"/>
        <w:rPr>
          <w:rFonts w:ascii="Arial" w:eastAsia="Times New Roman" w:hAnsi="Arial" w:cs="Arial"/>
          <w:sz w:val="19"/>
          <w:szCs w:val="19"/>
        </w:rPr>
      </w:pPr>
      <w:proofErr w:type="gramStart"/>
      <w:r w:rsidRPr="005E41F1">
        <w:rPr>
          <w:rFonts w:ascii="Arial" w:hAnsi="Arial" w:cs="Arial"/>
          <w:sz w:val="19"/>
          <w:szCs w:val="19"/>
        </w:rPr>
        <w:t>»Los</w:t>
      </w:r>
      <w:proofErr w:type="gramEnd"/>
      <w:r w:rsidRPr="005E41F1">
        <w:rPr>
          <w:rFonts w:ascii="Arial" w:hAnsi="Arial" w:cs="Arial"/>
          <w:sz w:val="19"/>
          <w:szCs w:val="19"/>
        </w:rPr>
        <w:t xml:space="preserve"> derechos y deberes consagrados en esta Carta, se interpretarán de conformidad con los tratados internacionales sobre derechos humanos ratificados por Colombia [...]».</w:t>
      </w:r>
    </w:p>
  </w:footnote>
  <w:footnote w:id="4">
    <w:p w14:paraId="2718A9C8" w14:textId="77777777" w:rsidR="008B748F" w:rsidRPr="005E41F1" w:rsidRDefault="008B748F" w:rsidP="008B748F">
      <w:pPr>
        <w:pStyle w:val="Textonotapie"/>
        <w:ind w:firstLine="708"/>
        <w:jc w:val="both"/>
        <w:rPr>
          <w:rFonts w:ascii="Arial" w:hAnsi="Arial" w:cs="Arial"/>
          <w:sz w:val="19"/>
          <w:szCs w:val="19"/>
          <w:lang w:val="es-CO"/>
        </w:rPr>
      </w:pPr>
      <w:r w:rsidRPr="005E41F1">
        <w:rPr>
          <w:rStyle w:val="Refdenotaalpie"/>
          <w:rFonts w:ascii="Arial" w:hAnsi="Arial" w:cs="Arial"/>
          <w:sz w:val="19"/>
          <w:szCs w:val="19"/>
        </w:rPr>
        <w:footnoteRef/>
      </w:r>
      <w:r w:rsidRPr="005E41F1">
        <w:rPr>
          <w:rFonts w:ascii="Arial" w:hAnsi="Arial" w:cs="Arial"/>
          <w:sz w:val="19"/>
          <w:szCs w:val="19"/>
        </w:rPr>
        <w:t xml:space="preserve"> </w:t>
      </w:r>
      <w:r w:rsidRPr="005E41F1">
        <w:rPr>
          <w:rFonts w:ascii="Arial" w:eastAsia="Calibri" w:hAnsi="Arial" w:cs="Arial"/>
          <w:sz w:val="19"/>
          <w:szCs w:val="19"/>
        </w:rPr>
        <w:t>CORTE CONSTITUCIONAL. Sentencia C-489 de 2012. M.P. Adriana María Guillén Arango.</w:t>
      </w:r>
    </w:p>
  </w:footnote>
  <w:footnote w:id="5">
    <w:p w14:paraId="78362F1A" w14:textId="77777777" w:rsidR="008B748F" w:rsidRPr="005E41F1" w:rsidRDefault="008B748F" w:rsidP="008B748F">
      <w:pPr>
        <w:pStyle w:val="Textonotapie"/>
        <w:ind w:firstLine="709"/>
        <w:jc w:val="both"/>
        <w:rPr>
          <w:rFonts w:ascii="Arial" w:hAnsi="Arial" w:cs="Arial"/>
          <w:sz w:val="19"/>
          <w:szCs w:val="19"/>
          <w:lang w:val="es-CO"/>
        </w:rPr>
      </w:pPr>
      <w:r w:rsidRPr="005E41F1">
        <w:rPr>
          <w:rStyle w:val="Refdenotaalpie"/>
          <w:rFonts w:ascii="Arial" w:hAnsi="Arial" w:cs="Arial"/>
          <w:color w:val="000000"/>
          <w:sz w:val="19"/>
          <w:szCs w:val="19"/>
        </w:rPr>
        <w:footnoteRef/>
      </w:r>
      <w:r w:rsidRPr="005E41F1">
        <w:rPr>
          <w:rFonts w:ascii="Arial" w:hAnsi="Arial" w:cs="Arial"/>
          <w:color w:val="000000"/>
          <w:sz w:val="19"/>
          <w:szCs w:val="19"/>
        </w:rPr>
        <w:t xml:space="preserve"> Disponible en: </w:t>
      </w:r>
      <w:hyperlink r:id="rId1" w:history="1">
        <w:r w:rsidRPr="005E41F1">
          <w:rPr>
            <w:rStyle w:val="Hipervnculo"/>
            <w:rFonts w:ascii="Arial" w:hAnsi="Arial" w:cs="Arial"/>
            <w:color w:val="000000"/>
            <w:sz w:val="19"/>
            <w:szCs w:val="19"/>
          </w:rPr>
          <w:t>https://colaboracion.dnp.gov.co/CDT/Prensa/Publicaciones/4-Orientaciones%20Recursos%20SGP%20Ind%C3%ADgena.pdf</w:t>
        </w:r>
      </w:hyperlink>
      <w:r w:rsidRPr="005E41F1">
        <w:rPr>
          <w:rFonts w:ascii="Arial" w:hAnsi="Arial" w:cs="Arial"/>
          <w:color w:val="000000"/>
          <w:sz w:val="19"/>
          <w:szCs w:val="19"/>
        </w:rPr>
        <w:t xml:space="preserve"> </w:t>
      </w:r>
    </w:p>
  </w:footnote>
  <w:footnote w:id="6">
    <w:p w14:paraId="51B9E34B" w14:textId="77777777" w:rsidR="008B748F" w:rsidRPr="005E41F1" w:rsidRDefault="008B748F" w:rsidP="008B748F">
      <w:pPr>
        <w:spacing w:line="240" w:lineRule="auto"/>
        <w:ind w:firstLine="708"/>
        <w:jc w:val="both"/>
        <w:rPr>
          <w:rFonts w:ascii="Arial" w:hAnsi="Arial" w:cs="Arial"/>
          <w:sz w:val="19"/>
          <w:szCs w:val="19"/>
          <w:lang w:val="es-ES"/>
        </w:rPr>
      </w:pPr>
      <w:r w:rsidRPr="005E41F1">
        <w:rPr>
          <w:rStyle w:val="Refdenotaalpie"/>
          <w:rFonts w:ascii="Arial" w:hAnsi="Arial" w:cs="Arial"/>
          <w:sz w:val="19"/>
          <w:szCs w:val="19"/>
        </w:rPr>
        <w:footnoteRef/>
      </w:r>
      <w:r w:rsidRPr="005E41F1">
        <w:rPr>
          <w:rFonts w:ascii="Arial" w:hAnsi="Arial" w:cs="Arial"/>
          <w:sz w:val="19"/>
          <w:szCs w:val="19"/>
        </w:rPr>
        <w:t xml:space="preserve"> Decreto 1953 de 2014: «</w:t>
      </w:r>
      <w:r w:rsidRPr="005E41F1">
        <w:rPr>
          <w:rFonts w:ascii="Arial" w:hAnsi="Arial" w:cs="Arial"/>
          <w:sz w:val="19"/>
          <w:szCs w:val="19"/>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63518EFC" w14:textId="77777777" w:rsidR="008B748F" w:rsidRPr="005E41F1" w:rsidRDefault="008B748F" w:rsidP="008B748F">
      <w:pPr>
        <w:ind w:firstLine="708"/>
        <w:jc w:val="both"/>
        <w:rPr>
          <w:rFonts w:ascii="Arial" w:hAnsi="Arial" w:cs="Arial"/>
          <w:sz w:val="19"/>
          <w:szCs w:val="19"/>
          <w:lang w:val="es-ES"/>
        </w:rPr>
      </w:pPr>
      <w:proofErr w:type="gramStart"/>
      <w:r w:rsidRPr="005E41F1">
        <w:rPr>
          <w:rFonts w:ascii="Arial" w:hAnsi="Arial" w:cs="Arial"/>
          <w:sz w:val="19"/>
          <w:szCs w:val="19"/>
          <w:lang w:val="es-ES"/>
        </w:rPr>
        <w:t>»Parágrafo</w:t>
      </w:r>
      <w:proofErr w:type="gramEnd"/>
      <w:r w:rsidRPr="005E41F1">
        <w:rPr>
          <w:rFonts w:ascii="Arial" w:hAnsi="Arial" w:cs="Arial"/>
          <w:sz w:val="19"/>
          <w:szCs w:val="19"/>
          <w:lang w:val="es-ES"/>
        </w:rPr>
        <w:t>.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 w:id="7">
    <w:p w14:paraId="4AE7321D" w14:textId="77777777" w:rsidR="008B748F" w:rsidRPr="005E41F1" w:rsidRDefault="008B748F" w:rsidP="008B748F">
      <w:pPr>
        <w:pStyle w:val="Textonotapie"/>
        <w:ind w:firstLine="708"/>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CORTE CONSTITUCIONAL. C-713 del 5 de junio de 2001. M.P. Clara Inés Vargas Hernández.</w:t>
      </w:r>
    </w:p>
  </w:footnote>
  <w:footnote w:id="8">
    <w:p w14:paraId="227A50D6" w14:textId="77777777" w:rsidR="008B748F" w:rsidRPr="005E41F1" w:rsidRDefault="008B748F" w:rsidP="008B748F">
      <w:pPr>
        <w:pStyle w:val="Textonotapie"/>
        <w:ind w:firstLine="709"/>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La CORTE CONSTITUCIONAL se referido a la noción y características de estos reglamentos en los siguientes términos: «[A]parecen los llamados “reglamentos residuales”. Son aquellos en los cuales el gobierno efectúa la regulación de un tema que, en principio, se encuentra dentro de la órbita de competencia propia del Legislador, pero no ha sido desarrollada por este. Es decir, el Gobierno puede efectuar la reglamentación a la que haya lugar, siempre y cuando no exista un régimen legal sobre el tema. Por ejemplo, cuando pone en vigencia el plan de desarrollo, si no lo ha aprobado el Congreso.</w:t>
      </w:r>
    </w:p>
    <w:p w14:paraId="497BF476" w14:textId="77777777" w:rsidR="008B748F" w:rsidRPr="005E41F1" w:rsidRDefault="008B748F" w:rsidP="008B748F">
      <w:pPr>
        <w:pStyle w:val="Textonotapie"/>
        <w:jc w:val="both"/>
        <w:rPr>
          <w:rFonts w:ascii="Arial" w:hAnsi="Arial" w:cs="Arial"/>
          <w:sz w:val="19"/>
          <w:szCs w:val="19"/>
        </w:rPr>
      </w:pPr>
      <w:r w:rsidRPr="005E41F1">
        <w:rPr>
          <w:rFonts w:ascii="Arial" w:hAnsi="Arial" w:cs="Arial"/>
          <w:sz w:val="19"/>
          <w:szCs w:val="19"/>
        </w:rPr>
        <w:t xml:space="preserve"> </w:t>
      </w:r>
      <w:r w:rsidRPr="005E41F1">
        <w:rPr>
          <w:rFonts w:ascii="Arial" w:hAnsi="Arial" w:cs="Arial"/>
          <w:sz w:val="19"/>
          <w:szCs w:val="19"/>
        </w:rPr>
        <w:tab/>
      </w:r>
      <w:proofErr w:type="gramStart"/>
      <w:r w:rsidRPr="005E41F1">
        <w:rPr>
          <w:rFonts w:ascii="Arial" w:hAnsi="Arial" w:cs="Arial"/>
          <w:sz w:val="19"/>
          <w:szCs w:val="19"/>
        </w:rPr>
        <w:t>»Estos</w:t>
      </w:r>
      <w:proofErr w:type="gramEnd"/>
      <w:r w:rsidRPr="005E41F1">
        <w:rPr>
          <w:rFonts w:ascii="Arial" w:hAnsi="Arial" w:cs="Arial"/>
          <w:sz w:val="19"/>
          <w:szCs w:val="19"/>
        </w:rPr>
        <w:t xml:space="preserve"> reglamentos tienen una naturaleza claramente temporal, ya que sólo mantienen su vigencia en ausencia de una reglamentación legal de la materia. En otras palabras, como su nombre lo indica, son reglamentos de aplicación subsidiaria o residual. En ese mismo sentido, mientras no exista una ley que regule la materia, el reglamento podrá trazar las reglas aplicables con total autonomía y con la misma amplitud de la ley». Sentencia C-712 del 5 de julio de 2001. M.P. Clara Inés Vargas Hernández.</w:t>
      </w:r>
    </w:p>
  </w:footnote>
  <w:footnote w:id="9">
    <w:p w14:paraId="335E4116" w14:textId="77777777" w:rsidR="008B748F" w:rsidRPr="005E41F1" w:rsidRDefault="008B748F" w:rsidP="008B748F">
      <w:pPr>
        <w:pStyle w:val="Textonotapie"/>
        <w:ind w:firstLine="708"/>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CORTE CONSTITUCIONAL. Sentencia C-617 del 30 de septiembre de 2015. M.P. Mauricio González Cuervo.</w:t>
      </w:r>
    </w:p>
  </w:footnote>
  <w:footnote w:id="10">
    <w:p w14:paraId="41F3CA40" w14:textId="77777777" w:rsidR="008B748F" w:rsidRPr="005E41F1" w:rsidRDefault="008B748F" w:rsidP="008B748F">
      <w:pPr>
        <w:pStyle w:val="Textonotapie"/>
        <w:ind w:firstLine="708"/>
        <w:jc w:val="both"/>
        <w:rPr>
          <w:rFonts w:ascii="Arial" w:hAnsi="Arial" w:cs="Arial"/>
          <w:sz w:val="19"/>
          <w:szCs w:val="19"/>
          <w:lang w:val="es-ES"/>
        </w:rPr>
      </w:pPr>
      <w:r w:rsidRPr="005E41F1">
        <w:rPr>
          <w:rStyle w:val="Refdenotaalpie"/>
          <w:rFonts w:ascii="Arial" w:hAnsi="Arial" w:cs="Arial"/>
          <w:sz w:val="19"/>
          <w:szCs w:val="19"/>
        </w:rPr>
        <w:footnoteRef/>
      </w:r>
      <w:r w:rsidRPr="005E41F1">
        <w:rPr>
          <w:rFonts w:ascii="Arial" w:hAnsi="Arial" w:cs="Arial"/>
          <w:sz w:val="19"/>
          <w:szCs w:val="19"/>
        </w:rPr>
        <w:t xml:space="preserve"> </w:t>
      </w:r>
      <w:r w:rsidRPr="005E41F1">
        <w:rPr>
          <w:rFonts w:ascii="Arial" w:hAnsi="Arial" w:cs="Arial"/>
          <w:sz w:val="19"/>
          <w:szCs w:val="19"/>
          <w:lang w:val="es-ES"/>
        </w:rPr>
        <w:t>Colombia Compra Eficiente. https://relatoria.colombiacompra.gov.co/busqueda/conceptos</w:t>
      </w:r>
    </w:p>
  </w:footnote>
  <w:footnote w:id="11">
    <w:p w14:paraId="40A2CA3F" w14:textId="77777777" w:rsidR="008B748F" w:rsidRPr="005E41F1" w:rsidRDefault="008B748F" w:rsidP="008B748F">
      <w:pPr>
        <w:pStyle w:val="Textonotapie"/>
        <w:ind w:firstLine="708"/>
        <w:jc w:val="both"/>
        <w:rPr>
          <w:rFonts w:ascii="Arial" w:hAnsi="Arial" w:cs="Arial"/>
          <w:sz w:val="19"/>
          <w:szCs w:val="19"/>
          <w:lang w:val="es-ES"/>
        </w:rPr>
      </w:pPr>
      <w:r w:rsidRPr="005E41F1">
        <w:rPr>
          <w:rStyle w:val="Refdenotaalpie"/>
          <w:rFonts w:ascii="Arial" w:hAnsi="Arial" w:cs="Arial"/>
          <w:sz w:val="19"/>
          <w:szCs w:val="19"/>
        </w:rPr>
        <w:footnoteRef/>
      </w:r>
      <w:r w:rsidRPr="005E41F1">
        <w:rPr>
          <w:rFonts w:ascii="Arial" w:hAnsi="Arial" w:cs="Arial"/>
          <w:sz w:val="19"/>
          <w:szCs w:val="19"/>
        </w:rPr>
        <w:t xml:space="preserve"> </w:t>
      </w:r>
      <w:r w:rsidRPr="005E41F1">
        <w:rPr>
          <w:rFonts w:ascii="Arial" w:hAnsi="Arial" w:cs="Arial"/>
          <w:sz w:val="19"/>
          <w:szCs w:val="19"/>
          <w:lang w:val="es-ES"/>
        </w:rPr>
        <w:t>BOBBIO, Norberto. Democracia y secreto. México: Fondo de Cultura Económica, 2013. p. 27.</w:t>
      </w:r>
    </w:p>
  </w:footnote>
  <w:footnote w:id="12">
    <w:p w14:paraId="4035BA4A"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Style w:val="Refdenotaalpie"/>
          <w:rFonts w:ascii="Arial" w:hAnsi="Arial" w:cs="Arial"/>
          <w:color w:val="000000" w:themeColor="text1"/>
          <w:sz w:val="19"/>
          <w:szCs w:val="19"/>
        </w:rPr>
        <w:footnoteRef/>
      </w:r>
      <w:r w:rsidRPr="005E41F1">
        <w:rPr>
          <w:rFonts w:ascii="Arial" w:hAnsi="Arial" w:cs="Arial"/>
          <w:color w:val="000000" w:themeColor="text1"/>
          <w:sz w:val="19"/>
          <w:szCs w:val="19"/>
        </w:rPr>
        <w:t xml:space="preserve"> Corte Constitucional. Sentencia C- 341 del 4 de junio de 2014. M. P. Mauricio González Cuervo.</w:t>
      </w:r>
    </w:p>
  </w:footnote>
  <w:footnote w:id="13">
    <w:p w14:paraId="683875D5"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Style w:val="Refdenotaalpie"/>
          <w:rFonts w:ascii="Arial" w:hAnsi="Arial" w:cs="Arial"/>
          <w:color w:val="000000" w:themeColor="text1"/>
          <w:sz w:val="19"/>
          <w:szCs w:val="19"/>
        </w:rPr>
        <w:footnoteRef/>
      </w:r>
      <w:r w:rsidRPr="005E41F1">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90D5B1F" w14:textId="77777777" w:rsidR="008B748F" w:rsidRPr="005E41F1" w:rsidRDefault="008B748F" w:rsidP="008B748F">
      <w:pPr>
        <w:pStyle w:val="Textonotapie"/>
        <w:ind w:firstLine="709"/>
        <w:jc w:val="both"/>
        <w:rPr>
          <w:rFonts w:ascii="Arial" w:hAnsi="Arial" w:cs="Arial"/>
          <w:color w:val="000000" w:themeColor="text1"/>
          <w:sz w:val="19"/>
          <w:szCs w:val="19"/>
        </w:rPr>
      </w:pPr>
      <w:proofErr w:type="gramStart"/>
      <w:r w:rsidRPr="005E41F1">
        <w:rPr>
          <w:rFonts w:ascii="Arial" w:hAnsi="Arial" w:cs="Arial"/>
          <w:color w:val="000000" w:themeColor="text1"/>
          <w:sz w:val="19"/>
          <w:szCs w:val="19"/>
        </w:rPr>
        <w:t>»Lo</w:t>
      </w:r>
      <w:proofErr w:type="gramEnd"/>
      <w:r w:rsidRPr="005E41F1">
        <w:rPr>
          <w:rFonts w:ascii="Arial" w:hAnsi="Arial" w:cs="Arial"/>
          <w:color w:val="000000" w:themeColor="text1"/>
          <w:sz w:val="19"/>
          <w:szCs w:val="19"/>
        </w:rPr>
        <w:t xml:space="preserve"> anterior, sin perjuicio de las publicaciones previstas en el numeral 3 del artículo 30 de la Ley 80 de 1993.</w:t>
      </w:r>
    </w:p>
    <w:p w14:paraId="706D9FEE" w14:textId="77777777" w:rsidR="008B748F" w:rsidRPr="005E41F1" w:rsidRDefault="008B748F" w:rsidP="008B748F">
      <w:pPr>
        <w:pStyle w:val="Textonotapie"/>
        <w:ind w:firstLine="709"/>
        <w:jc w:val="both"/>
        <w:rPr>
          <w:rFonts w:ascii="Arial" w:hAnsi="Arial" w:cs="Arial"/>
          <w:color w:val="000000" w:themeColor="text1"/>
          <w:sz w:val="19"/>
          <w:szCs w:val="19"/>
        </w:rPr>
      </w:pPr>
      <w:proofErr w:type="gramStart"/>
      <w:r w:rsidRPr="005E41F1">
        <w:rPr>
          <w:rFonts w:ascii="Arial" w:hAnsi="Arial" w:cs="Arial"/>
          <w:color w:val="000000" w:themeColor="text1"/>
          <w:sz w:val="19"/>
          <w:szCs w:val="19"/>
        </w:rPr>
        <w:t>»Con</w:t>
      </w:r>
      <w:proofErr w:type="gramEnd"/>
      <w:r w:rsidRPr="005E41F1">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5E41F1">
        <w:rPr>
          <w:rFonts w:ascii="Arial" w:hAnsi="Arial" w:cs="Arial"/>
          <w:color w:val="000000" w:themeColor="text1"/>
          <w:sz w:val="19"/>
          <w:szCs w:val="19"/>
        </w:rPr>
        <w:t>Secop</w:t>
      </w:r>
      <w:proofErr w:type="spellEnd"/>
      <w:r w:rsidRPr="005E41F1">
        <w:rPr>
          <w:rFonts w:ascii="Arial" w:hAnsi="Arial" w:cs="Arial"/>
          <w:color w:val="000000" w:themeColor="text1"/>
          <w:sz w:val="19"/>
          <w:szCs w:val="19"/>
        </w:rPr>
        <w:t xml:space="preserve">, el cual: </w:t>
      </w:r>
    </w:p>
    <w:p w14:paraId="389D6E57"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w:t>
      </w:r>
    </w:p>
    <w:p w14:paraId="0A9EC345"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footnote>
  <w:footnote w:id="14">
    <w:p w14:paraId="07B5E25F"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Style w:val="Refdenotaalpie"/>
          <w:rFonts w:ascii="Arial" w:hAnsi="Arial" w:cs="Arial"/>
          <w:color w:val="000000" w:themeColor="text1"/>
          <w:sz w:val="19"/>
          <w:szCs w:val="19"/>
        </w:rPr>
        <w:footnoteRef/>
      </w:r>
      <w:r w:rsidRPr="005E41F1">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15">
    <w:p w14:paraId="67BA01BE"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Style w:val="Refdenotaalpie"/>
          <w:rFonts w:ascii="Arial" w:hAnsi="Arial" w:cs="Arial"/>
          <w:color w:val="000000" w:themeColor="text1"/>
          <w:sz w:val="19"/>
          <w:szCs w:val="19"/>
        </w:rPr>
        <w:footnoteRef/>
      </w:r>
      <w:r w:rsidRPr="005E41F1">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5E1CECE"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 a) Toda entidad pública, incluyendo las pertenecientes a todas las Ramas del Poder Público, en todos los niveles de la estructura estatal, central o descentralizada por servicios o territorialmente, en los órdenes nacional, departamental, municipal y distrital.</w:t>
      </w:r>
    </w:p>
    <w:p w14:paraId="22C7AD8C"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 b) Los órganos, organismos y entidades estatales independientes o autónomos y de control.</w:t>
      </w:r>
    </w:p>
    <w:p w14:paraId="61599F3C"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 c) Las personas naturales y jurídicas, públicas o privadas, que presten función pública, que presten servicios públicos respecto de la información directamente relacionada con la prestación del servicio público.</w:t>
      </w:r>
    </w:p>
    <w:p w14:paraId="463EB6A9"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 d) Cualquier persona natural, jurídica o dependencia de persona jurídica que desempeñe función pública o de autoridad pública, respecto de la información directamente relacionada con el desempeño de su función.</w:t>
      </w:r>
    </w:p>
    <w:p w14:paraId="6EF24084"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 e) &lt;Literal CONDICIONALMENTE exequible&gt; Las empresas públicas creadas por ley, las empresas del Estado y sociedades en que este tenga participación.</w:t>
      </w:r>
    </w:p>
    <w:p w14:paraId="5EA200F6"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 f) Los partidos o movimientos políticos y los grupos significativos de ciudadanos.</w:t>
      </w:r>
    </w:p>
    <w:p w14:paraId="080BC4B2"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 g) Las entidades que administren instituciones parafiscales, fondos o recursos de naturaleza u origen público.</w:t>
      </w:r>
    </w:p>
    <w:p w14:paraId="4685A6A6"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 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1056FACF"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hAnsi="Arial" w:cs="Arial"/>
          <w:color w:val="000000" w:themeColor="text1"/>
          <w:sz w:val="19"/>
          <w:szCs w:val="19"/>
        </w:rPr>
        <w:t>» PARÁGRAFO 1o. No serán sujetos obligados aquellas personas naturales o jurídicas de carácter privado que sean usuarios de información pública.».</w:t>
      </w:r>
    </w:p>
  </w:footnote>
  <w:footnote w:id="16">
    <w:p w14:paraId="73E09C21"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Fonts w:ascii="Arial" w:eastAsia="Times New Roman" w:hAnsi="Arial" w:cs="Arial"/>
          <w:color w:val="000000" w:themeColor="text1"/>
          <w:sz w:val="19"/>
          <w:szCs w:val="19"/>
          <w:vertAlign w:val="superscript"/>
          <w:lang w:val="es-ES" w:eastAsia="es-ES"/>
        </w:rPr>
        <w:footnoteRef/>
      </w:r>
      <w:r w:rsidRPr="005E41F1">
        <w:rPr>
          <w:rFonts w:ascii="Arial" w:eastAsia="Times New Roman" w:hAnsi="Arial" w:cs="Arial"/>
          <w:color w:val="000000" w:themeColor="text1"/>
          <w:sz w:val="19"/>
          <w:szCs w:val="19"/>
          <w:vertAlign w:val="superscript"/>
          <w:lang w:val="es-ES" w:eastAsia="es-ES"/>
        </w:rPr>
        <w:t xml:space="preserve"> </w:t>
      </w:r>
      <w:r w:rsidRPr="005E41F1">
        <w:rPr>
          <w:rFonts w:ascii="Arial" w:eastAsia="Times New Roman" w:hAnsi="Arial" w:cs="Arial"/>
          <w:color w:val="000000" w:themeColor="text1"/>
          <w:sz w:val="19"/>
          <w:szCs w:val="19"/>
          <w:lang w:val="es-ES" w:eastAsia="es-ES"/>
        </w:rPr>
        <w:t>«</w:t>
      </w:r>
      <w:r w:rsidRPr="005E41F1">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AD2A264" w14:textId="77777777" w:rsidR="008B748F" w:rsidRPr="005E41F1" w:rsidRDefault="008B748F" w:rsidP="008B748F">
      <w:pPr>
        <w:pStyle w:val="Textonotapie"/>
        <w:ind w:firstLine="709"/>
        <w:jc w:val="both"/>
        <w:rPr>
          <w:rFonts w:ascii="Arial" w:eastAsia="Times New Roman" w:hAnsi="Arial" w:cs="Arial"/>
          <w:color w:val="000000" w:themeColor="text1"/>
          <w:sz w:val="19"/>
          <w:szCs w:val="19"/>
          <w:lang w:val="es-ES" w:eastAsia="es-ES"/>
        </w:rPr>
      </w:pPr>
      <w:r w:rsidRPr="005E41F1">
        <w:rPr>
          <w:rFonts w:ascii="Arial" w:hAnsi="Arial" w:cs="Arial"/>
          <w:color w:val="000000" w:themeColor="text1"/>
          <w:sz w:val="19"/>
          <w:szCs w:val="19"/>
        </w:rPr>
        <w:t>[…].</w:t>
      </w:r>
    </w:p>
    <w:p w14:paraId="4DAC884E" w14:textId="77777777" w:rsidR="008B748F" w:rsidRPr="005E41F1" w:rsidRDefault="008B748F" w:rsidP="008B748F">
      <w:pPr>
        <w:pStyle w:val="Textonotapie"/>
        <w:ind w:firstLine="709"/>
        <w:jc w:val="both"/>
        <w:rPr>
          <w:rFonts w:ascii="Arial" w:eastAsia="Times New Roman" w:hAnsi="Arial" w:cs="Arial"/>
          <w:color w:val="000000" w:themeColor="text1"/>
          <w:sz w:val="19"/>
          <w:szCs w:val="19"/>
          <w:lang w:val="es-ES" w:eastAsia="es-ES"/>
        </w:rPr>
      </w:pPr>
      <w:r w:rsidRPr="005E41F1">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17">
    <w:p w14:paraId="6EF5F817" w14:textId="77777777" w:rsidR="008B748F" w:rsidRPr="005E41F1" w:rsidRDefault="008B748F" w:rsidP="008B748F">
      <w:pPr>
        <w:pStyle w:val="Textonotapie"/>
        <w:ind w:firstLine="709"/>
        <w:jc w:val="both"/>
        <w:rPr>
          <w:rFonts w:ascii="Arial" w:hAnsi="Arial" w:cs="Arial"/>
          <w:color w:val="000000" w:themeColor="text1"/>
          <w:sz w:val="19"/>
          <w:szCs w:val="19"/>
          <w:lang w:val="es-ES"/>
        </w:rPr>
      </w:pPr>
      <w:r w:rsidRPr="005E41F1">
        <w:rPr>
          <w:rStyle w:val="Refdenotaalpie"/>
          <w:rFonts w:ascii="Arial" w:hAnsi="Arial" w:cs="Arial"/>
          <w:color w:val="000000" w:themeColor="text1"/>
          <w:sz w:val="19"/>
          <w:szCs w:val="19"/>
        </w:rPr>
        <w:footnoteRef/>
      </w:r>
      <w:r w:rsidRPr="005E41F1">
        <w:rPr>
          <w:rFonts w:ascii="Arial" w:hAnsi="Arial" w:cs="Arial"/>
          <w:color w:val="000000" w:themeColor="text1"/>
          <w:sz w:val="19"/>
          <w:szCs w:val="19"/>
        </w:rPr>
        <w:t xml:space="preserve"> C</w:t>
      </w:r>
      <w:proofErr w:type="spellStart"/>
      <w:r w:rsidRPr="005E41F1">
        <w:rPr>
          <w:rFonts w:ascii="Arial" w:eastAsia="Times New Roman" w:hAnsi="Arial" w:cs="Arial"/>
          <w:color w:val="000000" w:themeColor="text1"/>
          <w:sz w:val="19"/>
          <w:szCs w:val="19"/>
          <w:lang w:val="es-ES" w:eastAsia="es-ES"/>
        </w:rPr>
        <w:t>orte</w:t>
      </w:r>
      <w:proofErr w:type="spellEnd"/>
      <w:r w:rsidRPr="005E41F1">
        <w:rPr>
          <w:rFonts w:ascii="Arial" w:eastAsia="Times New Roman" w:hAnsi="Arial" w:cs="Arial"/>
          <w:color w:val="000000" w:themeColor="text1"/>
          <w:sz w:val="19"/>
          <w:szCs w:val="19"/>
          <w:lang w:val="es-ES" w:eastAsia="es-ES"/>
        </w:rPr>
        <w:t xml:space="preserve"> Constitucional. Sentencia C‒274 de 9 de mayo de 2013. M.P. María Victoria Calle Correa. </w:t>
      </w:r>
    </w:p>
  </w:footnote>
  <w:footnote w:id="18">
    <w:p w14:paraId="6D3B8FCD"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Style w:val="Refdenotaalpie"/>
          <w:rFonts w:ascii="Arial" w:hAnsi="Arial" w:cs="Arial"/>
          <w:color w:val="000000" w:themeColor="text1"/>
          <w:sz w:val="19"/>
          <w:szCs w:val="19"/>
        </w:rPr>
        <w:footnoteRef/>
      </w:r>
      <w:r w:rsidRPr="005E41F1">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9">
    <w:p w14:paraId="210898A5" w14:textId="77777777" w:rsidR="008B748F" w:rsidRPr="005E41F1" w:rsidRDefault="008B748F" w:rsidP="008B748F">
      <w:pPr>
        <w:pStyle w:val="Textonotapie"/>
        <w:ind w:firstLine="709"/>
        <w:jc w:val="both"/>
        <w:rPr>
          <w:rFonts w:ascii="Arial" w:hAnsi="Arial" w:cs="Arial"/>
          <w:sz w:val="19"/>
          <w:szCs w:val="19"/>
          <w:lang w:val="es-ES"/>
        </w:rPr>
      </w:pPr>
      <w:r w:rsidRPr="005E41F1">
        <w:rPr>
          <w:rStyle w:val="Refdenotaalpie"/>
          <w:rFonts w:ascii="Arial" w:hAnsi="Arial" w:cs="Arial"/>
          <w:sz w:val="19"/>
          <w:szCs w:val="19"/>
        </w:rPr>
        <w:footnoteRef/>
      </w:r>
      <w:r w:rsidRPr="005E41F1">
        <w:rPr>
          <w:rFonts w:ascii="Arial" w:hAnsi="Arial" w:cs="Arial"/>
          <w:sz w:val="19"/>
          <w:szCs w:val="19"/>
        </w:rPr>
        <w:t xml:space="preserve"> </w:t>
      </w:r>
      <w:r w:rsidRPr="005E41F1">
        <w:rPr>
          <w:rFonts w:ascii="Arial" w:hAnsi="Arial" w:cs="Arial"/>
          <w:color w:val="000000" w:themeColor="text1"/>
          <w:sz w:val="19"/>
          <w:szCs w:val="19"/>
          <w:lang w:val="es-ES"/>
        </w:rPr>
        <w:t>Consejero Ponente: Jaime Orlando Santofimio Gamboa.</w:t>
      </w:r>
    </w:p>
  </w:footnote>
  <w:footnote w:id="20">
    <w:p w14:paraId="61D4BE71" w14:textId="77777777" w:rsidR="008B748F" w:rsidRPr="005E41F1" w:rsidRDefault="008B748F" w:rsidP="008B748F">
      <w:pPr>
        <w:pStyle w:val="Textonotapie"/>
        <w:ind w:firstLine="709"/>
        <w:jc w:val="both"/>
        <w:rPr>
          <w:rFonts w:ascii="Arial" w:hAnsi="Arial" w:cs="Arial"/>
          <w:color w:val="000000" w:themeColor="text1"/>
          <w:sz w:val="19"/>
          <w:szCs w:val="19"/>
        </w:rPr>
      </w:pPr>
      <w:r w:rsidRPr="005E41F1">
        <w:rPr>
          <w:rStyle w:val="Refdenotaalpie"/>
          <w:rFonts w:ascii="Arial" w:hAnsi="Arial" w:cs="Arial"/>
          <w:color w:val="000000" w:themeColor="text1"/>
          <w:sz w:val="19"/>
          <w:szCs w:val="19"/>
        </w:rPr>
        <w:footnoteRef/>
      </w:r>
      <w:r w:rsidRPr="005E41F1">
        <w:rPr>
          <w:rFonts w:ascii="Arial" w:hAnsi="Arial" w:cs="Arial"/>
          <w:color w:val="000000" w:themeColor="text1"/>
          <w:sz w:val="19"/>
          <w:szCs w:val="19"/>
        </w:rPr>
        <w:t xml:space="preserve"> Consejo de Estado. Sección Tercera. Subsección C. Auto del 14 de agosto de 2017. </w:t>
      </w:r>
      <w:proofErr w:type="spellStart"/>
      <w:r w:rsidRPr="005E41F1">
        <w:rPr>
          <w:rFonts w:ascii="Arial" w:hAnsi="Arial" w:cs="Arial"/>
          <w:color w:val="000000" w:themeColor="text1"/>
          <w:sz w:val="19"/>
          <w:szCs w:val="19"/>
        </w:rPr>
        <w:t>Exp</w:t>
      </w:r>
      <w:proofErr w:type="spellEnd"/>
      <w:r w:rsidRPr="005E41F1">
        <w:rPr>
          <w:rFonts w:ascii="Arial" w:hAnsi="Arial" w:cs="Arial"/>
          <w:color w:val="000000" w:themeColor="text1"/>
          <w:sz w:val="19"/>
          <w:szCs w:val="19"/>
        </w:rPr>
        <w:t xml:space="preserve">. 58.820. C.P. Jaime Orlando Santofimio Gamboa. </w:t>
      </w:r>
    </w:p>
  </w:footnote>
  <w:footnote w:id="21">
    <w:p w14:paraId="399AE059" w14:textId="77777777" w:rsidR="008B748F" w:rsidRPr="005E41F1" w:rsidRDefault="008B748F" w:rsidP="008B748F">
      <w:pPr>
        <w:pStyle w:val="Textonotapie"/>
        <w:ind w:firstLine="709"/>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Ibíd. </w:t>
      </w:r>
    </w:p>
  </w:footnote>
  <w:footnote w:id="22">
    <w:p w14:paraId="059D945F" w14:textId="77777777" w:rsidR="008B748F" w:rsidRPr="005E41F1" w:rsidRDefault="008B748F" w:rsidP="008B748F">
      <w:pPr>
        <w:pStyle w:val="Textonotapie"/>
        <w:ind w:firstLine="708"/>
        <w:jc w:val="both"/>
        <w:rPr>
          <w:rFonts w:ascii="Arial" w:hAnsi="Arial" w:cs="Arial"/>
          <w:sz w:val="19"/>
          <w:szCs w:val="19"/>
          <w:lang w:val="es-CO"/>
        </w:rPr>
      </w:pPr>
      <w:r w:rsidRPr="005E41F1">
        <w:rPr>
          <w:rStyle w:val="Refdenotaalpie"/>
          <w:rFonts w:ascii="Arial" w:hAnsi="Arial" w:cs="Arial"/>
          <w:sz w:val="19"/>
          <w:szCs w:val="19"/>
        </w:rPr>
        <w:footnoteRef/>
      </w:r>
      <w:r w:rsidRPr="005E41F1">
        <w:rPr>
          <w:rFonts w:ascii="Arial" w:hAnsi="Arial" w:cs="Arial"/>
          <w:sz w:val="19"/>
          <w:szCs w:val="19"/>
        </w:rPr>
        <w:t xml:space="preserve"> En relación con este aspecto, también resulta relevante la Circular Externa 002 del 17 de marzo de 2022, de la Agencia Nacional de Contratación Pública – Colombia Compra Eficiente, disponible en: </w:t>
      </w:r>
      <w:hyperlink r:id="rId2" w:history="1">
        <w:r w:rsidRPr="005E41F1">
          <w:rPr>
            <w:rStyle w:val="Hipervnculo"/>
            <w:rFonts w:ascii="Arial" w:hAnsi="Arial" w:cs="Arial"/>
            <w:sz w:val="19"/>
            <w:szCs w:val="19"/>
          </w:rPr>
          <w:t>https://www.colombiacompra.gov.co/circulares</w:t>
        </w:r>
      </w:hyperlink>
      <w:r w:rsidRPr="005E41F1">
        <w:rPr>
          <w:rFonts w:ascii="Arial" w:hAnsi="Arial" w:cs="Arial"/>
          <w:sz w:val="19"/>
          <w:szCs w:val="19"/>
        </w:rPr>
        <w:t xml:space="preserve">. </w:t>
      </w:r>
    </w:p>
  </w:footnote>
  <w:footnote w:id="23">
    <w:p w14:paraId="0951B26B" w14:textId="77777777" w:rsidR="008B748F" w:rsidRPr="005E41F1" w:rsidRDefault="008B748F" w:rsidP="008B748F">
      <w:pPr>
        <w:ind w:firstLine="708"/>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5E41F1">
        <w:rPr>
          <w:rFonts w:ascii="Arial" w:hAnsi="Arial" w:cs="Arial"/>
          <w:spacing w:val="-20"/>
          <w:sz w:val="19"/>
          <w:szCs w:val="19"/>
        </w:rPr>
        <w:t xml:space="preserve"> </w:t>
      </w:r>
      <w:r w:rsidRPr="005E41F1">
        <w:rPr>
          <w:rFonts w:ascii="Arial" w:hAnsi="Arial" w:cs="Arial"/>
          <w:sz w:val="19"/>
          <w:szCs w:val="19"/>
        </w:rPr>
        <w:t>Carbonell).</w:t>
      </w:r>
    </w:p>
  </w:footnote>
  <w:footnote w:id="24">
    <w:p w14:paraId="1E36654D" w14:textId="77777777" w:rsidR="008B748F" w:rsidRPr="005E41F1" w:rsidRDefault="008B748F" w:rsidP="008B748F">
      <w:pPr>
        <w:spacing w:line="240" w:lineRule="auto"/>
        <w:ind w:firstLine="708"/>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EXPOSITO VÉLEZ, Juan Carlos. Forma y contenido del contrato estatal. Universidad Externado de Colombia, Bogotá, 2013, 1ra Ed., p.112.</w:t>
      </w:r>
    </w:p>
  </w:footnote>
  <w:footnote w:id="25">
    <w:p w14:paraId="27D8F7D1" w14:textId="77777777" w:rsidR="008B748F" w:rsidRPr="005E41F1" w:rsidRDefault="008B748F" w:rsidP="008B748F">
      <w:pPr>
        <w:pStyle w:val="Textonotapie"/>
        <w:ind w:firstLine="708"/>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5E41F1">
        <w:rPr>
          <w:rFonts w:ascii="Arial" w:hAnsi="Arial" w:cs="Arial"/>
          <w:spacing w:val="-2"/>
          <w:sz w:val="19"/>
          <w:szCs w:val="19"/>
        </w:rPr>
        <w:t xml:space="preserve"> </w:t>
      </w:r>
      <w:r w:rsidRPr="005E41F1">
        <w:rPr>
          <w:rFonts w:ascii="Arial" w:hAnsi="Arial" w:cs="Arial"/>
          <w:sz w:val="19"/>
          <w:szCs w:val="19"/>
        </w:rPr>
        <w:t>Carbonell).</w:t>
      </w:r>
    </w:p>
  </w:footnote>
  <w:footnote w:id="26">
    <w:p w14:paraId="49A7D348" w14:textId="77777777" w:rsidR="008B748F" w:rsidRPr="005E41F1" w:rsidRDefault="008B748F" w:rsidP="008B748F">
      <w:pPr>
        <w:spacing w:line="240" w:lineRule="auto"/>
        <w:ind w:firstLine="708"/>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Sentencia del 5 de septiembre de 2001. M.P. Clara Inés Vargas Hernández. </w:t>
      </w:r>
    </w:p>
  </w:footnote>
  <w:footnote w:id="27">
    <w:p w14:paraId="46616080" w14:textId="77777777" w:rsidR="008B748F" w:rsidRPr="005E41F1" w:rsidRDefault="008B748F" w:rsidP="008B748F">
      <w:pPr>
        <w:pStyle w:val="Textonotapie"/>
        <w:ind w:firstLine="708"/>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Sin perjuicio de lo también dispuesto en el artículo 832 y siguientes del Código de Comercio.</w:t>
      </w:r>
    </w:p>
  </w:footnote>
  <w:footnote w:id="28">
    <w:p w14:paraId="20BFE532" w14:textId="77777777" w:rsidR="008B748F" w:rsidRPr="005E41F1" w:rsidRDefault="008B748F" w:rsidP="008B748F">
      <w:pPr>
        <w:spacing w:line="240" w:lineRule="auto"/>
        <w:ind w:firstLine="708"/>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LAFONT PIANETTA, Pedro. Manual de contratos, Tomo I, Ediciones Librería del Profesional, 1 Ed, 2001, p.508.</w:t>
      </w:r>
    </w:p>
  </w:footnote>
  <w:footnote w:id="29">
    <w:p w14:paraId="7CC868B5" w14:textId="77777777" w:rsidR="008B748F" w:rsidRPr="005E41F1" w:rsidRDefault="008B748F" w:rsidP="008B748F">
      <w:pPr>
        <w:pStyle w:val="Textonotapie"/>
        <w:ind w:firstLine="708"/>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La Corte Constitucional ha reconocido a los consorcios y uniones temporales como titulares de derechos fundamentales, tales como el debido proceso, de forma que están legitimados para ejercer la acción de tutela. En otras palabras, gozan de capacidad jurídica para comparecer en procesos judiciales ya sea como demandantes o como demandados. Sentencia T-150/16 del 31 de marzo de 2016. M.P. Gabriel Eduardo Mendoza Martelo.</w:t>
      </w:r>
    </w:p>
  </w:footnote>
  <w:footnote w:id="30">
    <w:p w14:paraId="2F65D4C7" w14:textId="77777777" w:rsidR="008B748F" w:rsidRPr="005E41F1" w:rsidRDefault="008B748F" w:rsidP="008B748F">
      <w:pPr>
        <w:spacing w:line="240" w:lineRule="auto"/>
        <w:ind w:firstLine="708"/>
        <w:jc w:val="both"/>
        <w:rPr>
          <w:rFonts w:ascii="Arial" w:hAnsi="Arial" w:cs="Arial"/>
          <w:sz w:val="19"/>
          <w:szCs w:val="19"/>
        </w:rPr>
      </w:pPr>
      <w:r w:rsidRPr="005E41F1">
        <w:rPr>
          <w:rStyle w:val="Refdenotaalpie"/>
          <w:rFonts w:ascii="Arial" w:hAnsi="Arial" w:cs="Arial"/>
          <w:sz w:val="19"/>
          <w:szCs w:val="19"/>
        </w:rPr>
        <w:footnoteRef/>
      </w:r>
      <w:r w:rsidRPr="005E41F1">
        <w:rPr>
          <w:rFonts w:ascii="Arial" w:hAnsi="Arial" w:cs="Arial"/>
          <w:sz w:val="19"/>
          <w:szCs w:val="19"/>
        </w:rPr>
        <w:t xml:space="preserve"> Consejo de Estado, Sala Plena Sección 3ª, sentencia de unificación de 25 de septiembre de 2013, M.P. Mauricio Fajardo Gómez, rad. 19.933.</w:t>
      </w:r>
    </w:p>
  </w:footnote>
  <w:footnote w:id="31">
    <w:p w14:paraId="70A094DB" w14:textId="77777777" w:rsidR="008B748F" w:rsidRPr="00682B10" w:rsidRDefault="008B748F" w:rsidP="008B748F">
      <w:pPr>
        <w:pStyle w:val="Textonotapie"/>
        <w:ind w:firstLine="708"/>
        <w:jc w:val="both"/>
        <w:rPr>
          <w:rFonts w:ascii="Arial" w:hAnsi="Arial" w:cs="Arial"/>
          <w:sz w:val="19"/>
          <w:szCs w:val="19"/>
          <w:lang w:val="es-ES"/>
        </w:rPr>
      </w:pPr>
      <w:r w:rsidRPr="005E41F1">
        <w:rPr>
          <w:rStyle w:val="Refdenotaalpie"/>
          <w:rFonts w:ascii="Arial" w:hAnsi="Arial" w:cs="Arial"/>
          <w:sz w:val="19"/>
          <w:szCs w:val="19"/>
        </w:rPr>
        <w:footnoteRef/>
      </w:r>
      <w:r w:rsidRPr="005E41F1">
        <w:rPr>
          <w:rFonts w:ascii="Arial" w:hAnsi="Arial" w:cs="Arial"/>
          <w:sz w:val="19"/>
          <w:szCs w:val="19"/>
        </w:rPr>
        <w:t xml:space="preserve"> </w:t>
      </w:r>
      <w:r w:rsidRPr="005E41F1">
        <w:rPr>
          <w:rFonts w:ascii="Arial" w:hAnsi="Arial" w:cs="Arial"/>
          <w:sz w:val="19"/>
          <w:szCs w:val="19"/>
          <w:lang w:val="es-ES"/>
        </w:rPr>
        <w:t xml:space="preserve">Corte Suprema de Justicia. Sala de Casación Laboral. Sentencia del 10 de febrero de 2021. SL 676-2021, radicado: 57.957. MP: </w:t>
      </w:r>
      <w:proofErr w:type="spellStart"/>
      <w:r w:rsidRPr="005E41F1">
        <w:rPr>
          <w:rFonts w:ascii="Arial" w:hAnsi="Arial" w:cs="Arial"/>
          <w:sz w:val="19"/>
          <w:szCs w:val="19"/>
          <w:lang w:val="es-ES"/>
        </w:rPr>
        <w:t>Ivan</w:t>
      </w:r>
      <w:proofErr w:type="spellEnd"/>
      <w:r w:rsidRPr="005E41F1">
        <w:rPr>
          <w:rFonts w:ascii="Arial" w:hAnsi="Arial" w:cs="Arial"/>
          <w:sz w:val="19"/>
          <w:szCs w:val="19"/>
          <w:lang w:val="es-ES"/>
        </w:rPr>
        <w:t xml:space="preserve"> Mauricio </w:t>
      </w:r>
      <w:proofErr w:type="spellStart"/>
      <w:r w:rsidRPr="005E41F1">
        <w:rPr>
          <w:rFonts w:ascii="Arial" w:hAnsi="Arial" w:cs="Arial"/>
          <w:sz w:val="19"/>
          <w:szCs w:val="19"/>
          <w:lang w:val="es-ES"/>
        </w:rPr>
        <w:t>Lenis</w:t>
      </w:r>
      <w:proofErr w:type="spellEnd"/>
      <w:r w:rsidRPr="005E41F1">
        <w:rPr>
          <w:rFonts w:ascii="Arial" w:hAnsi="Arial" w:cs="Arial"/>
          <w:sz w:val="19"/>
          <w:szCs w:val="19"/>
          <w:lang w:val="es-ES"/>
        </w:rPr>
        <w:t xml:space="preserve"> Gómez.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14355"/>
    <w:rsid w:val="000472A1"/>
    <w:rsid w:val="00083334"/>
    <w:rsid w:val="000956CF"/>
    <w:rsid w:val="000A683E"/>
    <w:rsid w:val="000B48AC"/>
    <w:rsid w:val="000F3931"/>
    <w:rsid w:val="0011595A"/>
    <w:rsid w:val="001220C5"/>
    <w:rsid w:val="001267F7"/>
    <w:rsid w:val="00127233"/>
    <w:rsid w:val="00130999"/>
    <w:rsid w:val="00164D81"/>
    <w:rsid w:val="001A1011"/>
    <w:rsid w:val="001A48D0"/>
    <w:rsid w:val="002653C1"/>
    <w:rsid w:val="0026611D"/>
    <w:rsid w:val="002951A0"/>
    <w:rsid w:val="002A64FD"/>
    <w:rsid w:val="002F0839"/>
    <w:rsid w:val="002F2A2E"/>
    <w:rsid w:val="00301469"/>
    <w:rsid w:val="00306EE1"/>
    <w:rsid w:val="00310B9B"/>
    <w:rsid w:val="00326C33"/>
    <w:rsid w:val="0036461C"/>
    <w:rsid w:val="00367884"/>
    <w:rsid w:val="0039439C"/>
    <w:rsid w:val="003B69E7"/>
    <w:rsid w:val="003C013B"/>
    <w:rsid w:val="003D0F4D"/>
    <w:rsid w:val="003F58A1"/>
    <w:rsid w:val="00410DD6"/>
    <w:rsid w:val="004134C9"/>
    <w:rsid w:val="0043138C"/>
    <w:rsid w:val="00462A59"/>
    <w:rsid w:val="004A1847"/>
    <w:rsid w:val="004B6B0E"/>
    <w:rsid w:val="004D25B3"/>
    <w:rsid w:val="00511405"/>
    <w:rsid w:val="00526E9D"/>
    <w:rsid w:val="00535CFA"/>
    <w:rsid w:val="00547856"/>
    <w:rsid w:val="00547A74"/>
    <w:rsid w:val="005566E8"/>
    <w:rsid w:val="005746AB"/>
    <w:rsid w:val="0059357F"/>
    <w:rsid w:val="005A1130"/>
    <w:rsid w:val="005D65C8"/>
    <w:rsid w:val="005E41F1"/>
    <w:rsid w:val="006219F8"/>
    <w:rsid w:val="00681FDB"/>
    <w:rsid w:val="00682B10"/>
    <w:rsid w:val="006A7DAD"/>
    <w:rsid w:val="006D70BA"/>
    <w:rsid w:val="00705B13"/>
    <w:rsid w:val="007566FE"/>
    <w:rsid w:val="0076726F"/>
    <w:rsid w:val="0077144B"/>
    <w:rsid w:val="00793403"/>
    <w:rsid w:val="007C0CDF"/>
    <w:rsid w:val="007D73DE"/>
    <w:rsid w:val="007E2A2F"/>
    <w:rsid w:val="007F2B7C"/>
    <w:rsid w:val="00811651"/>
    <w:rsid w:val="00820F5B"/>
    <w:rsid w:val="0082445E"/>
    <w:rsid w:val="00833452"/>
    <w:rsid w:val="008614E5"/>
    <w:rsid w:val="008678EB"/>
    <w:rsid w:val="00875894"/>
    <w:rsid w:val="00881C10"/>
    <w:rsid w:val="00890411"/>
    <w:rsid w:val="008B748F"/>
    <w:rsid w:val="008D5C70"/>
    <w:rsid w:val="00900631"/>
    <w:rsid w:val="009025AF"/>
    <w:rsid w:val="00904F23"/>
    <w:rsid w:val="00906B3C"/>
    <w:rsid w:val="0095342C"/>
    <w:rsid w:val="009F33F2"/>
    <w:rsid w:val="009F6C77"/>
    <w:rsid w:val="00A07532"/>
    <w:rsid w:val="00A1085C"/>
    <w:rsid w:val="00A309E2"/>
    <w:rsid w:val="00A8066E"/>
    <w:rsid w:val="00AA4B8A"/>
    <w:rsid w:val="00AA6BF7"/>
    <w:rsid w:val="00B01ED6"/>
    <w:rsid w:val="00B06D09"/>
    <w:rsid w:val="00B771A9"/>
    <w:rsid w:val="00B809BB"/>
    <w:rsid w:val="00B821B7"/>
    <w:rsid w:val="00B8248A"/>
    <w:rsid w:val="00BB7726"/>
    <w:rsid w:val="00BE2DE2"/>
    <w:rsid w:val="00BE4E55"/>
    <w:rsid w:val="00C2329E"/>
    <w:rsid w:val="00C30461"/>
    <w:rsid w:val="00C754BE"/>
    <w:rsid w:val="00C87572"/>
    <w:rsid w:val="00C9405D"/>
    <w:rsid w:val="00CC1B26"/>
    <w:rsid w:val="00CD284F"/>
    <w:rsid w:val="00CD5205"/>
    <w:rsid w:val="00CF23AA"/>
    <w:rsid w:val="00D01921"/>
    <w:rsid w:val="00D70326"/>
    <w:rsid w:val="00D752B7"/>
    <w:rsid w:val="00DA1854"/>
    <w:rsid w:val="00DB0887"/>
    <w:rsid w:val="00DB3ACC"/>
    <w:rsid w:val="00DF1E43"/>
    <w:rsid w:val="00E13CA5"/>
    <w:rsid w:val="00E20894"/>
    <w:rsid w:val="00E26B7C"/>
    <w:rsid w:val="00E94EA1"/>
    <w:rsid w:val="00EA3003"/>
    <w:rsid w:val="00EB3C91"/>
    <w:rsid w:val="00EB66DA"/>
    <w:rsid w:val="00F41196"/>
    <w:rsid w:val="00F605F2"/>
    <w:rsid w:val="00F72CCF"/>
    <w:rsid w:val="00F76AFC"/>
    <w:rsid w:val="00F8319B"/>
    <w:rsid w:val="00FA39BD"/>
    <w:rsid w:val="00FA5516"/>
    <w:rsid w:val="00FC61C5"/>
    <w:rsid w:val="00FD6F73"/>
    <w:rsid w:val="00FF69CB"/>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8B748F"/>
    <w:rPr>
      <w:color w:val="0563C1" w:themeColor="hyperlink"/>
      <w:u w:val="single"/>
    </w:rPr>
  </w:style>
  <w:style w:type="paragraph" w:customStyle="1" w:styleId="Appelnotedebasde">
    <w:name w:val="Appel note de bas de..."/>
    <w:basedOn w:val="Normal"/>
    <w:link w:val="Refdenotaalpie"/>
    <w:uiPriority w:val="99"/>
    <w:rsid w:val="008B748F"/>
    <w:pPr>
      <w:spacing w:line="240" w:lineRule="exact"/>
    </w:pPr>
    <w:rPr>
      <w:vertAlign w:val="superscript"/>
    </w:rPr>
  </w:style>
  <w:style w:type="table" w:customStyle="1" w:styleId="Tablaconcuadrcula11">
    <w:name w:val="Tabla con cuadrícula11"/>
    <w:basedOn w:val="Tablanormal"/>
    <w:next w:val="Tablaconcuadrcula"/>
    <w:uiPriority w:val="59"/>
    <w:rsid w:val="008B7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FF69C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69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irculares" TargetMode="External"/><Relationship Id="rId1" Type="http://schemas.openxmlformats.org/officeDocument/2006/relationships/hyperlink" Target="https://colaboracion.dnp.gov.co/CDT/Prensa/Publicaciones/4-Orientaciones%20Recursos%20SGP%20Ind%C3%ADgen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A92B4-6DAF-4176-AF52-1FB34BD33AFC}"/>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C4D05B91-393C-4F73-8BC5-506775B29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13802</Words>
  <Characters>78672</Characters>
  <Application>Microsoft Office Word</Application>
  <DocSecurity>0</DocSecurity>
  <Lines>655</Lines>
  <Paragraphs>184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Fabiola Herrera Hernandez</cp:lastModifiedBy>
  <cp:revision>4</cp:revision>
  <dcterms:created xsi:type="dcterms:W3CDTF">2022-12-30T23:56:00Z</dcterms:created>
  <dcterms:modified xsi:type="dcterms:W3CDTF">2022-12-31T00:03:00Z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