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3082E" w14:textId="77777777" w:rsidR="00584C69" w:rsidRPr="00584C69" w:rsidRDefault="00584C69" w:rsidP="00584C69">
      <w:pPr>
        <w:spacing w:after="0" w:line="240" w:lineRule="auto"/>
        <w:jc w:val="both"/>
        <w:rPr>
          <w:rFonts w:ascii="Verdana" w:eastAsia="Calibri" w:hAnsi="Verdana" w:cs="Arial"/>
          <w:b/>
          <w:lang w:val="es-ES" w:eastAsia="es-ES"/>
        </w:rPr>
      </w:pPr>
      <w:r w:rsidRPr="00584C69">
        <w:rPr>
          <w:rFonts w:ascii="Verdana" w:eastAsia="Calibri" w:hAnsi="Verdana" w:cs="Arial"/>
          <w:b/>
          <w:lang w:val="es-ES" w:eastAsia="es-ES"/>
        </w:rPr>
        <w:t xml:space="preserve">CONTRATACIÓN PÚBLICA – Principio de publicidad – Principio de transparencia – Uso del SECOP </w:t>
      </w:r>
    </w:p>
    <w:p w14:paraId="503DD634" w14:textId="77777777" w:rsidR="00584C69" w:rsidRPr="00584C69" w:rsidRDefault="00584C69" w:rsidP="00584C69">
      <w:pPr>
        <w:spacing w:after="0" w:line="240" w:lineRule="auto"/>
        <w:jc w:val="both"/>
        <w:rPr>
          <w:rFonts w:ascii="Verdana" w:eastAsia="Calibri" w:hAnsi="Verdana" w:cs="Arial"/>
          <w:b/>
          <w:bCs/>
          <w:sz w:val="20"/>
          <w:szCs w:val="20"/>
          <w:highlight w:val="yellow"/>
          <w:lang w:val="es-ES_tradnl" w:eastAsia="es-ES_tradnl"/>
        </w:rPr>
      </w:pPr>
    </w:p>
    <w:p w14:paraId="6F4F6EB7" w14:textId="77777777" w:rsidR="00584C69" w:rsidRPr="00584C69" w:rsidRDefault="00584C69" w:rsidP="00584C69">
      <w:pPr>
        <w:spacing w:after="0" w:line="240" w:lineRule="auto"/>
        <w:jc w:val="both"/>
        <w:rPr>
          <w:rFonts w:ascii="Verdana" w:eastAsia="Aptos" w:hAnsi="Verdana" w:cs="Times New Roman"/>
          <w:sz w:val="20"/>
          <w:szCs w:val="20"/>
        </w:rPr>
      </w:pPr>
      <w:r w:rsidRPr="00584C69">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55575CEA" w14:textId="77777777" w:rsidR="00584C69" w:rsidRPr="00584C69" w:rsidRDefault="00584C69" w:rsidP="00584C69">
      <w:pPr>
        <w:spacing w:line="240" w:lineRule="auto"/>
        <w:jc w:val="both"/>
        <w:rPr>
          <w:rFonts w:ascii="Verdana" w:eastAsia="Calibri" w:hAnsi="Verdana" w:cs="Arial"/>
          <w:b/>
          <w:color w:val="EE0000"/>
        </w:rPr>
      </w:pPr>
    </w:p>
    <w:p w14:paraId="13944F5B" w14:textId="77777777" w:rsidR="00584C69" w:rsidRPr="00584C69" w:rsidRDefault="00584C69" w:rsidP="00584C69">
      <w:pPr>
        <w:spacing w:after="0" w:line="240" w:lineRule="auto"/>
        <w:jc w:val="both"/>
        <w:rPr>
          <w:rFonts w:ascii="Verdana" w:hAnsi="Verdana"/>
          <w:b/>
          <w:bCs/>
          <w:lang w:val="es-ES"/>
        </w:rPr>
      </w:pPr>
      <w:r w:rsidRPr="00584C69">
        <w:rPr>
          <w:rFonts w:ascii="Verdana" w:hAnsi="Verdana"/>
          <w:b/>
          <w:bCs/>
          <w:lang w:val="es-ES"/>
        </w:rPr>
        <w:t xml:space="preserve">PRINCIPIO DE TRANSPARENCIA – Ley 1712 de 2014 – Documentos públicos </w:t>
      </w:r>
    </w:p>
    <w:p w14:paraId="3BB52170" w14:textId="77777777" w:rsidR="00584C69" w:rsidRPr="00584C69" w:rsidRDefault="00584C69" w:rsidP="00584C69">
      <w:pPr>
        <w:spacing w:after="0" w:line="240" w:lineRule="auto"/>
        <w:rPr>
          <w:rFonts w:ascii="Verdana" w:hAnsi="Verdana"/>
        </w:rPr>
      </w:pPr>
    </w:p>
    <w:p w14:paraId="2ED09530" w14:textId="77777777" w:rsidR="00584C69" w:rsidRPr="00584C69" w:rsidRDefault="00584C69" w:rsidP="00584C69">
      <w:pPr>
        <w:spacing w:after="0" w:line="240" w:lineRule="auto"/>
        <w:jc w:val="both"/>
        <w:rPr>
          <w:rFonts w:ascii="Verdana" w:eastAsia="Times New Roman" w:hAnsi="Verdana" w:cs="Arial"/>
          <w:sz w:val="20"/>
          <w:szCs w:val="20"/>
          <w:lang w:eastAsia="es-CO"/>
        </w:rPr>
      </w:pPr>
      <w:r w:rsidRPr="00584C69">
        <w:rPr>
          <w:rFonts w:ascii="Verdana" w:eastAsia="Arial" w:hAnsi="Verdana" w:cs="Arial"/>
          <w:sz w:val="20"/>
          <w:szCs w:val="20"/>
          <w:lang w:val="es-ES"/>
        </w:rPr>
        <w:t>La Ley 1712 de 2014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r w:rsidRPr="00584C69">
        <w:rPr>
          <w:rFonts w:ascii="Verdana" w:eastAsia="Times New Roman" w:hAnsi="Verdana" w:cs="Arial"/>
          <w:sz w:val="20"/>
          <w:szCs w:val="20"/>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p>
    <w:p w14:paraId="12F82191" w14:textId="77777777" w:rsidR="00584C69" w:rsidRPr="00584C69" w:rsidRDefault="00584C69" w:rsidP="00584C69">
      <w:pPr>
        <w:spacing w:after="0" w:line="240" w:lineRule="auto"/>
        <w:jc w:val="both"/>
        <w:rPr>
          <w:rFonts w:ascii="Verdana" w:eastAsia="Times New Roman" w:hAnsi="Verdana" w:cs="Arial"/>
          <w:sz w:val="20"/>
          <w:szCs w:val="20"/>
          <w:lang w:eastAsia="es-CO"/>
        </w:rPr>
      </w:pPr>
    </w:p>
    <w:p w14:paraId="542C63F5" w14:textId="77777777" w:rsidR="00584C69" w:rsidRPr="00584C69" w:rsidRDefault="00584C69" w:rsidP="00584C69">
      <w:pPr>
        <w:spacing w:after="0" w:line="240" w:lineRule="auto"/>
        <w:jc w:val="both"/>
        <w:rPr>
          <w:rFonts w:ascii="Verdana" w:hAnsi="Verdana"/>
          <w:b/>
          <w:bCs/>
        </w:rPr>
      </w:pPr>
      <w:r w:rsidRPr="00584C69">
        <w:rPr>
          <w:rFonts w:ascii="Verdana" w:hAnsi="Verdana"/>
          <w:b/>
          <w:bCs/>
        </w:rPr>
        <w:t>CIRCULAR ÚNICA EXTERNA – Deber de publicar oportunamente la actividad contractual en SECOP</w:t>
      </w:r>
    </w:p>
    <w:p w14:paraId="46039541" w14:textId="77777777" w:rsidR="00584C69" w:rsidRPr="00584C69" w:rsidRDefault="00584C69" w:rsidP="00584C69">
      <w:pPr>
        <w:spacing w:after="0" w:line="240" w:lineRule="auto"/>
        <w:jc w:val="both"/>
        <w:rPr>
          <w:rFonts w:ascii="Verdana" w:hAnsi="Verdana"/>
        </w:rPr>
      </w:pPr>
    </w:p>
    <w:p w14:paraId="1281C3FF" w14:textId="77777777" w:rsidR="00584C69" w:rsidRPr="00584C69" w:rsidRDefault="00584C69" w:rsidP="00584C69">
      <w:pPr>
        <w:spacing w:after="0" w:line="240" w:lineRule="auto"/>
        <w:jc w:val="both"/>
        <w:rPr>
          <w:rFonts w:ascii="Verdana" w:eastAsia="Times New Roman" w:hAnsi="Verdana" w:cs="Arial"/>
          <w:sz w:val="20"/>
          <w:szCs w:val="20"/>
          <w:lang w:eastAsia="es-CO"/>
        </w:rPr>
      </w:pPr>
      <w:r w:rsidRPr="00584C69">
        <w:rPr>
          <w:rFonts w:ascii="Verdana" w:eastAsia="Times New Roman" w:hAnsi="Verdana" w:cs="Arial"/>
          <w:sz w:val="20"/>
          <w:szCs w:val="20"/>
          <w:lang w:eastAsia="es-CO"/>
        </w:rPr>
        <w:t>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p>
    <w:p w14:paraId="1748B7E6" w14:textId="77777777" w:rsidR="00584C69" w:rsidRPr="00584C69" w:rsidRDefault="00584C69" w:rsidP="00584C69">
      <w:pPr>
        <w:spacing w:after="0" w:line="240" w:lineRule="auto"/>
        <w:jc w:val="both"/>
        <w:rPr>
          <w:rFonts w:ascii="Verdana" w:eastAsia="Times New Roman" w:hAnsi="Verdana" w:cs="Arial"/>
          <w:sz w:val="20"/>
          <w:szCs w:val="20"/>
          <w:lang w:eastAsia="es-CO"/>
        </w:rPr>
      </w:pPr>
    </w:p>
    <w:p w14:paraId="5BC3B71D" w14:textId="77777777" w:rsidR="00584C69" w:rsidRPr="00584C69" w:rsidRDefault="00584C69" w:rsidP="00584C69">
      <w:pPr>
        <w:spacing w:after="0" w:line="240" w:lineRule="auto"/>
        <w:jc w:val="both"/>
        <w:rPr>
          <w:rFonts w:ascii="Verdana" w:eastAsia="Times New Roman" w:hAnsi="Verdana" w:cs="Arial"/>
          <w:sz w:val="20"/>
          <w:szCs w:val="20"/>
          <w:lang w:eastAsia="es-CO"/>
        </w:rPr>
      </w:pPr>
      <w:r w:rsidRPr="00584C69">
        <w:rPr>
          <w:rFonts w:ascii="Verdana" w:eastAsia="Times New Roman" w:hAnsi="Verdana" w:cs="Arial"/>
          <w:sz w:val="20"/>
          <w:szCs w:val="20"/>
          <w:lang w:eastAsia="es-CO"/>
        </w:rPr>
        <w:t>Así mismo, en la Circular única Externa se indicó que “Las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7E54B517" w14:textId="5FF89E91" w:rsidR="00584C69" w:rsidRDefault="00584C69" w:rsidP="00584C69">
      <w:pPr>
        <w:spacing w:after="0" w:line="240" w:lineRule="auto"/>
        <w:jc w:val="both"/>
        <w:rPr>
          <w:rFonts w:ascii="Verdana" w:eastAsia="Times New Roman" w:hAnsi="Verdana" w:cs="Arial"/>
          <w:noProof/>
          <w:lang w:val="es-ES_tradnl" w:eastAsia="es-ES_tradnl"/>
        </w:rPr>
      </w:pPr>
      <w:r w:rsidRPr="00584C69">
        <w:rPr>
          <w:rFonts w:ascii="Verdana" w:eastAsia="Times New Roman" w:hAnsi="Verdana" w:cs="Arial"/>
          <w:noProof/>
          <w:lang w:val="es-ES_tradnl" w:eastAsia="es-ES_tradnl"/>
        </w:rPr>
        <w:lastRenderedPageBreak/>
        <w:t xml:space="preserve">Bogotá D.C., </w:t>
      </w:r>
      <w:r w:rsidR="004809D3">
        <w:rPr>
          <w:rFonts w:ascii="Verdana" w:eastAsia="Times New Roman" w:hAnsi="Verdana" w:cs="Arial"/>
          <w:noProof/>
          <w:lang w:val="es-ES_tradnl" w:eastAsia="es-ES_tradnl"/>
        </w:rPr>
        <w:t>18 de agosto de 2025</w:t>
      </w:r>
    </w:p>
    <w:p w14:paraId="2BF5631E" w14:textId="1E2640F2" w:rsidR="004809D3" w:rsidRDefault="004809D3" w:rsidP="00584C69">
      <w:pPr>
        <w:spacing w:after="0" w:line="240" w:lineRule="auto"/>
        <w:jc w:val="both"/>
        <w:rPr>
          <w:rFonts w:ascii="Verdana" w:eastAsia="Times New Roman" w:hAnsi="Verdana" w:cs="Arial"/>
          <w:noProof/>
          <w:lang w:val="es-ES_tradnl" w:eastAsia="es-ES_tradnl"/>
        </w:rPr>
      </w:pPr>
    </w:p>
    <w:p w14:paraId="0B39FA83" w14:textId="4E982B36" w:rsidR="004809D3" w:rsidRPr="00584C69" w:rsidRDefault="004809D3" w:rsidP="004809D3">
      <w:pPr>
        <w:spacing w:after="0" w:line="240" w:lineRule="auto"/>
        <w:jc w:val="right"/>
        <w:rPr>
          <w:rFonts w:ascii="Verdana" w:eastAsia="Times New Roman" w:hAnsi="Verdana" w:cs="Arial"/>
          <w:noProof/>
          <w:lang w:val="es-ES_tradnl" w:eastAsia="es-ES_tradnl"/>
        </w:rPr>
      </w:pPr>
    </w:p>
    <w:p w14:paraId="12B4203B" w14:textId="3EBE9E8B" w:rsidR="00584C69" w:rsidRPr="00584C69" w:rsidRDefault="00A15C1B" w:rsidP="00584C69">
      <w:pPr>
        <w:spacing w:after="0" w:line="240" w:lineRule="auto"/>
        <w:jc w:val="both"/>
        <w:rPr>
          <w:rFonts w:ascii="Verdana" w:eastAsia="Times New Roman" w:hAnsi="Verdana" w:cs="Arial"/>
          <w:noProof/>
          <w:color w:val="EE0000"/>
          <w:lang w:val="es-ES_tradnl" w:eastAsia="es-ES_tradnl"/>
        </w:rPr>
      </w:pPr>
      <w:r w:rsidRPr="004809D3">
        <w:rPr>
          <w:rFonts w:ascii="Verdana" w:eastAsia="Times New Roman" w:hAnsi="Verdana" w:cs="Arial"/>
          <w:noProof/>
          <w:lang w:val="es-ES_tradnl" w:eastAsia="es-ES_tradnl"/>
        </w:rPr>
        <w:drawing>
          <wp:anchor distT="0" distB="0" distL="114300" distR="114300" simplePos="0" relativeHeight="251659776" behindDoc="0" locked="0" layoutInCell="1" allowOverlap="1" wp14:anchorId="54028027" wp14:editId="72ADC0F5">
            <wp:simplePos x="0" y="0"/>
            <wp:positionH relativeFrom="margin">
              <wp:posOffset>3189163</wp:posOffset>
            </wp:positionH>
            <wp:positionV relativeFrom="paragraph">
              <wp:posOffset>5770</wp:posOffset>
            </wp:positionV>
            <wp:extent cx="2660015" cy="904240"/>
            <wp:effectExtent l="0" t="0" r="6985" b="0"/>
            <wp:wrapSquare wrapText="bothSides"/>
            <wp:docPr id="1578538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38173" name=""/>
                    <pic:cNvPicPr/>
                  </pic:nvPicPr>
                  <pic:blipFill>
                    <a:blip r:embed="rId10">
                      <a:extLst>
                        <a:ext uri="{28A0092B-C50C-407E-A947-70E740481C1C}">
                          <a14:useLocalDpi xmlns:a14="http://schemas.microsoft.com/office/drawing/2010/main" val="0"/>
                        </a:ext>
                      </a:extLst>
                    </a:blip>
                    <a:stretch>
                      <a:fillRect/>
                    </a:stretch>
                  </pic:blipFill>
                  <pic:spPr>
                    <a:xfrm>
                      <a:off x="0" y="0"/>
                      <a:ext cx="2660015" cy="904240"/>
                    </a:xfrm>
                    <a:prstGeom prst="rect">
                      <a:avLst/>
                    </a:prstGeom>
                  </pic:spPr>
                </pic:pic>
              </a:graphicData>
            </a:graphic>
            <wp14:sizeRelH relativeFrom="margin">
              <wp14:pctWidth>0</wp14:pctWidth>
            </wp14:sizeRelH>
            <wp14:sizeRelV relativeFrom="margin">
              <wp14:pctHeight>0</wp14:pctHeight>
            </wp14:sizeRelV>
          </wp:anchor>
        </w:drawing>
      </w:r>
    </w:p>
    <w:p w14:paraId="23452810" w14:textId="77777777" w:rsidR="00584C69" w:rsidRPr="00584C69" w:rsidRDefault="00584C69" w:rsidP="00584C69">
      <w:pPr>
        <w:spacing w:after="0" w:line="240" w:lineRule="auto"/>
        <w:jc w:val="both"/>
        <w:rPr>
          <w:rFonts w:ascii="Verdana" w:eastAsia="Calibri" w:hAnsi="Verdana" w:cs="Arial"/>
          <w:lang w:val="es-ES" w:eastAsia="es-ES_tradnl"/>
        </w:rPr>
      </w:pPr>
      <w:r w:rsidRPr="00584C69">
        <w:rPr>
          <w:rFonts w:ascii="Verdana" w:eastAsia="Calibri" w:hAnsi="Verdana" w:cs="Arial"/>
          <w:lang w:val="es-ES" w:eastAsia="es-ES_tradnl"/>
        </w:rPr>
        <w:t>Señora</w:t>
      </w:r>
    </w:p>
    <w:p w14:paraId="2F1EC33B" w14:textId="77777777" w:rsidR="00584C69" w:rsidRPr="00584C69" w:rsidRDefault="00584C69" w:rsidP="00584C69">
      <w:pPr>
        <w:spacing w:after="0" w:line="240" w:lineRule="auto"/>
        <w:rPr>
          <w:rFonts w:ascii="Verdana" w:eastAsia="Calibri" w:hAnsi="Verdana" w:cs="Arial"/>
          <w:b/>
          <w:bCs/>
          <w:lang w:val="es-ES" w:eastAsia="es-ES_tradnl"/>
        </w:rPr>
      </w:pPr>
      <w:r w:rsidRPr="00584C69">
        <w:rPr>
          <w:rFonts w:ascii="Verdana" w:eastAsia="Calibri" w:hAnsi="Verdana" w:cs="Arial"/>
          <w:b/>
          <w:bCs/>
          <w:lang w:val="es-ES" w:eastAsia="es-ES_tradnl"/>
        </w:rPr>
        <w:t xml:space="preserve">Leidy </w:t>
      </w:r>
      <w:proofErr w:type="spellStart"/>
      <w:r w:rsidRPr="00584C69">
        <w:rPr>
          <w:rFonts w:ascii="Verdana" w:eastAsia="Calibri" w:hAnsi="Verdana" w:cs="Arial"/>
          <w:b/>
          <w:bCs/>
          <w:lang w:val="es-ES" w:eastAsia="es-ES_tradnl"/>
        </w:rPr>
        <w:t>Karol</w:t>
      </w:r>
      <w:proofErr w:type="spellEnd"/>
      <w:r w:rsidRPr="00584C69">
        <w:rPr>
          <w:rFonts w:ascii="Verdana" w:eastAsia="Calibri" w:hAnsi="Verdana" w:cs="Arial"/>
          <w:b/>
          <w:bCs/>
          <w:lang w:val="es-ES" w:eastAsia="es-ES_tradnl"/>
        </w:rPr>
        <w:t xml:space="preserve"> Mendoza</w:t>
      </w:r>
    </w:p>
    <w:p w14:paraId="4A348AF8" w14:textId="77777777" w:rsidR="00584C69" w:rsidRPr="00584C69" w:rsidRDefault="00584C69" w:rsidP="00584C69">
      <w:pPr>
        <w:spacing w:after="0" w:line="240" w:lineRule="auto"/>
        <w:rPr>
          <w:rFonts w:ascii="Verdana" w:hAnsi="Verdana"/>
        </w:rPr>
      </w:pPr>
      <w:hyperlink r:id="rId11" w:history="1">
        <w:r w:rsidRPr="00584C69">
          <w:rPr>
            <w:rFonts w:ascii="Verdana" w:hAnsi="Verdana"/>
            <w:color w:val="0000FF"/>
            <w:u w:val="single"/>
          </w:rPr>
          <w:t>leidykarollmen@gmail.com</w:t>
        </w:r>
      </w:hyperlink>
    </w:p>
    <w:p w14:paraId="5CC43272" w14:textId="77777777" w:rsidR="00584C69" w:rsidRPr="00584C69" w:rsidRDefault="00584C69" w:rsidP="00584C69">
      <w:pPr>
        <w:spacing w:after="0" w:line="240" w:lineRule="auto"/>
        <w:rPr>
          <w:rFonts w:ascii="Verdana" w:eastAsia="Calibri" w:hAnsi="Verdana" w:cs="Arial"/>
          <w:lang w:val="es-ES_tradnl" w:eastAsia="es-ES_tradnl"/>
        </w:rPr>
      </w:pPr>
      <w:r w:rsidRPr="00584C69">
        <w:rPr>
          <w:rFonts w:ascii="Verdana" w:eastAsia="Calibri" w:hAnsi="Verdana" w:cs="Arial"/>
          <w:bCs/>
          <w:lang w:val="es-ES_tradnl" w:eastAsia="es-ES_tradnl"/>
        </w:rPr>
        <w:t>Ciudad</w:t>
      </w:r>
    </w:p>
    <w:p w14:paraId="6DD01DE5" w14:textId="77777777" w:rsidR="00584C69" w:rsidRPr="00584C69" w:rsidRDefault="00584C69" w:rsidP="00584C69">
      <w:pPr>
        <w:spacing w:after="0" w:line="240" w:lineRule="auto"/>
        <w:rPr>
          <w:rFonts w:ascii="Verdana" w:eastAsia="Calibri" w:hAnsi="Verdana" w:cs="Arial"/>
          <w:color w:val="EE0000"/>
          <w:lang w:val="es-ES_tradnl" w:eastAsia="es-ES_tradnl"/>
        </w:rPr>
      </w:pPr>
    </w:p>
    <w:p w14:paraId="6417DC44" w14:textId="77777777" w:rsidR="00584C69" w:rsidRPr="00584C69" w:rsidRDefault="00584C69" w:rsidP="00584C69">
      <w:pPr>
        <w:spacing w:after="0" w:line="240" w:lineRule="auto"/>
        <w:rPr>
          <w:rFonts w:ascii="Verdana" w:eastAsia="Calibri" w:hAnsi="Verdana" w:cs="Arial"/>
          <w:color w:val="EE0000"/>
          <w:lang w:val="es-ES_tradnl" w:eastAsia="es-ES_tradnl"/>
        </w:rPr>
      </w:pPr>
    </w:p>
    <w:p w14:paraId="026A0322" w14:textId="77777777" w:rsidR="00584C69" w:rsidRPr="00584C69" w:rsidRDefault="00584C69" w:rsidP="00584C69">
      <w:pPr>
        <w:spacing w:after="0" w:line="240" w:lineRule="auto"/>
        <w:ind w:left="2694"/>
        <w:rPr>
          <w:rFonts w:ascii="Verdana" w:eastAsia="Calibri" w:hAnsi="Verdana" w:cs="Arial"/>
          <w:b/>
          <w:bCs/>
          <w:lang w:val="es-ES" w:eastAsia="es-ES_tradnl"/>
        </w:rPr>
      </w:pPr>
      <w:r w:rsidRPr="00584C69">
        <w:rPr>
          <w:rFonts w:ascii="Verdana" w:eastAsia="Calibri" w:hAnsi="Verdana" w:cs="Arial"/>
          <w:b/>
          <w:bCs/>
          <w:lang w:val="es-ES" w:eastAsia="es-ES_tradnl"/>
        </w:rPr>
        <w:t>Concepto C-900 de 2025</w:t>
      </w:r>
    </w:p>
    <w:p w14:paraId="3806EE71" w14:textId="77777777" w:rsidR="00584C69" w:rsidRPr="00584C69" w:rsidRDefault="00584C69" w:rsidP="00584C69">
      <w:pPr>
        <w:spacing w:after="0" w:line="240" w:lineRule="auto"/>
        <w:jc w:val="both"/>
        <w:rPr>
          <w:rFonts w:ascii="Verdana" w:eastAsia="Calibri" w:hAnsi="Verdana" w:cs="Arial"/>
          <w:color w:val="EE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584C69" w:rsidRPr="00584C69" w14:paraId="36E8518B" w14:textId="77777777" w:rsidTr="000118AD">
        <w:tc>
          <w:tcPr>
            <w:tcW w:w="2694" w:type="dxa"/>
          </w:tcPr>
          <w:p w14:paraId="7CF63CA4" w14:textId="77777777" w:rsidR="00584C69" w:rsidRPr="00584C69" w:rsidRDefault="00584C69" w:rsidP="00584C69">
            <w:pPr>
              <w:rPr>
                <w:rFonts w:ascii="Verdana" w:eastAsia="Calibri" w:hAnsi="Verdana" w:cs="Arial"/>
                <w:lang w:val="es-ES_tradnl" w:eastAsia="es-ES_tradnl"/>
              </w:rPr>
            </w:pPr>
            <w:r w:rsidRPr="00584C69">
              <w:rPr>
                <w:rFonts w:ascii="Verdana" w:eastAsia="Calibri" w:hAnsi="Verdana" w:cs="Arial"/>
                <w:b/>
                <w:lang w:val="es-ES_tradnl" w:eastAsia="es-ES_tradnl"/>
              </w:rPr>
              <w:t>Temas:</w:t>
            </w:r>
          </w:p>
        </w:tc>
        <w:tc>
          <w:tcPr>
            <w:tcW w:w="6095" w:type="dxa"/>
          </w:tcPr>
          <w:p w14:paraId="1F31C82D" w14:textId="77777777" w:rsidR="00584C69" w:rsidRDefault="00584C69" w:rsidP="00584C69">
            <w:pPr>
              <w:contextualSpacing/>
              <w:jc w:val="both"/>
              <w:rPr>
                <w:rFonts w:ascii="Verdana" w:eastAsia="Calibri" w:hAnsi="Verdana" w:cs="Arial"/>
                <w:bCs/>
                <w:lang w:val="es-ES_tradnl"/>
              </w:rPr>
            </w:pPr>
            <w:r w:rsidRPr="00584C69">
              <w:rPr>
                <w:rFonts w:ascii="Verdana" w:eastAsia="Calibri" w:hAnsi="Verdana" w:cs="Arial"/>
                <w:bCs/>
                <w:lang w:val="es-ES_tradnl"/>
              </w:rPr>
              <w:t xml:space="preserve">CONTRATACIÓN PÚBLICA – Principio de publicidad – Principio de transparencia – Uso del SECOP </w:t>
            </w:r>
            <w:r w:rsidRPr="00584C69">
              <w:rPr>
                <w:rFonts w:ascii="Verdana" w:eastAsia="Times New Roman" w:hAnsi="Verdana" w:cs="Arial"/>
                <w:bCs/>
                <w:lang w:eastAsia="es-ES_tradnl"/>
              </w:rPr>
              <w:t xml:space="preserve">/ </w:t>
            </w:r>
            <w:r w:rsidRPr="00584C69">
              <w:rPr>
                <w:rFonts w:ascii="Verdana" w:eastAsia="Calibri" w:hAnsi="Verdana" w:cs="Arial"/>
                <w:bCs/>
                <w:lang w:val="es-ES_tradnl"/>
              </w:rPr>
              <w:t>PRINCIPIO DE TRANSPARENCIA – Ley 1712 de 2014 – Documentos públicos / CIRCULAR ÚNICA EXTERNA – Deber de publicar oportunamente la actividad contractual en SECOP</w:t>
            </w:r>
          </w:p>
          <w:p w14:paraId="0D815D63" w14:textId="77777777" w:rsidR="00D662A1" w:rsidRPr="00584C69" w:rsidRDefault="00D662A1" w:rsidP="00584C69">
            <w:pPr>
              <w:contextualSpacing/>
              <w:jc w:val="both"/>
              <w:rPr>
                <w:rFonts w:ascii="Verdana" w:eastAsia="Calibri" w:hAnsi="Verdana" w:cs="Arial"/>
                <w:bCs/>
                <w:lang w:val="es-ES_tradnl" w:eastAsia="es-ES"/>
              </w:rPr>
            </w:pPr>
          </w:p>
        </w:tc>
      </w:tr>
      <w:tr w:rsidR="00584C69" w:rsidRPr="00584C69" w14:paraId="00AE5D61" w14:textId="77777777" w:rsidTr="000118AD">
        <w:tc>
          <w:tcPr>
            <w:tcW w:w="2694" w:type="dxa"/>
          </w:tcPr>
          <w:p w14:paraId="098D0C47" w14:textId="77777777" w:rsidR="00584C69" w:rsidRPr="00584C69" w:rsidRDefault="00584C69" w:rsidP="00584C69">
            <w:pPr>
              <w:rPr>
                <w:rFonts w:ascii="Verdana" w:eastAsia="Calibri" w:hAnsi="Verdana" w:cs="Arial"/>
                <w:b/>
                <w:lang w:val="es-ES" w:eastAsia="es-ES_tradnl"/>
              </w:rPr>
            </w:pPr>
            <w:r w:rsidRPr="00584C69">
              <w:rPr>
                <w:rFonts w:ascii="Verdana" w:eastAsia="Calibri" w:hAnsi="Verdana" w:cs="Arial"/>
                <w:b/>
                <w:lang w:val="es-ES" w:eastAsia="es-ES_tradnl"/>
              </w:rPr>
              <w:t>Radicación:</w:t>
            </w:r>
          </w:p>
        </w:tc>
        <w:tc>
          <w:tcPr>
            <w:tcW w:w="6095" w:type="dxa"/>
          </w:tcPr>
          <w:p w14:paraId="031CBDEA" w14:textId="77777777" w:rsidR="00584C69" w:rsidRPr="00584C69" w:rsidRDefault="00584C69" w:rsidP="00584C69">
            <w:pPr>
              <w:jc w:val="both"/>
              <w:rPr>
                <w:rFonts w:ascii="Verdana" w:eastAsia="Calibri" w:hAnsi="Verdana" w:cs="Arial"/>
                <w:lang w:val="es-ES" w:eastAsia="es-ES_tradnl"/>
              </w:rPr>
            </w:pPr>
            <w:r w:rsidRPr="00584C69">
              <w:rPr>
                <w:rFonts w:ascii="Verdana" w:eastAsia="Calibri" w:hAnsi="Verdana" w:cs="Arial"/>
                <w:lang w:val="es-ES" w:eastAsia="es-ES_tradnl"/>
              </w:rPr>
              <w:t xml:space="preserve">Respuesta a consulta radicado No. </w:t>
            </w:r>
            <w:r w:rsidRPr="00584C69">
              <w:rPr>
                <w:rFonts w:ascii="Verdana" w:eastAsia="Times New Roman" w:hAnsi="Verdana" w:cs="Arial"/>
                <w:lang w:eastAsia="es-ES_tradnl"/>
              </w:rPr>
              <w:t>1_2025_07_09_006886</w:t>
            </w:r>
          </w:p>
        </w:tc>
      </w:tr>
    </w:tbl>
    <w:p w14:paraId="3C40FB87" w14:textId="77777777" w:rsidR="00584C69" w:rsidRPr="00584C69" w:rsidRDefault="00584C69" w:rsidP="00584C69">
      <w:pPr>
        <w:spacing w:after="0" w:line="240" w:lineRule="auto"/>
        <w:jc w:val="both"/>
        <w:rPr>
          <w:rFonts w:ascii="Verdana" w:eastAsia="Calibri" w:hAnsi="Verdana" w:cs="Arial"/>
          <w:color w:val="EE0000"/>
          <w:lang w:val="es-ES_tradnl" w:eastAsia="es-ES_tradnl"/>
        </w:rPr>
      </w:pPr>
    </w:p>
    <w:p w14:paraId="23FE37BD" w14:textId="77777777" w:rsidR="00584C69" w:rsidRPr="00584C69" w:rsidRDefault="00584C69" w:rsidP="00584C69">
      <w:pPr>
        <w:spacing w:after="0" w:line="240" w:lineRule="auto"/>
        <w:jc w:val="both"/>
        <w:rPr>
          <w:rFonts w:ascii="Verdana" w:eastAsia="Calibri" w:hAnsi="Verdana" w:cs="Arial"/>
          <w:color w:val="EE0000"/>
          <w:lang w:val="es-ES_tradnl" w:eastAsia="es-ES_tradnl"/>
        </w:rPr>
      </w:pPr>
    </w:p>
    <w:p w14:paraId="6AAD2240" w14:textId="77777777" w:rsidR="00584C69" w:rsidRPr="00584C69" w:rsidRDefault="00584C69" w:rsidP="00584C69">
      <w:pPr>
        <w:spacing w:after="0" w:line="276" w:lineRule="auto"/>
        <w:contextualSpacing/>
        <w:jc w:val="both"/>
        <w:rPr>
          <w:rFonts w:ascii="Verdana" w:eastAsia="Calibri" w:hAnsi="Verdana" w:cs="Arial"/>
          <w:bCs/>
          <w:lang w:val="es-ES_tradnl" w:eastAsia="es-ES_tradnl"/>
        </w:rPr>
      </w:pPr>
      <w:r w:rsidRPr="00584C69">
        <w:rPr>
          <w:rFonts w:ascii="Verdana" w:eastAsia="Calibri" w:hAnsi="Verdana" w:cs="Arial"/>
          <w:lang w:val="es-ES_tradnl" w:eastAsia="es-ES_tradnl"/>
        </w:rPr>
        <w:t>Estimada señora Mendoza:</w:t>
      </w:r>
    </w:p>
    <w:p w14:paraId="0F07F43A" w14:textId="77777777" w:rsidR="00584C69" w:rsidRPr="00584C69" w:rsidRDefault="00584C69" w:rsidP="00584C69">
      <w:pPr>
        <w:spacing w:after="0" w:line="276" w:lineRule="auto"/>
        <w:contextualSpacing/>
        <w:jc w:val="both"/>
        <w:rPr>
          <w:rFonts w:ascii="Verdana" w:eastAsia="Calibri" w:hAnsi="Verdana" w:cs="Arial"/>
          <w:color w:val="EE0000"/>
          <w:lang w:val="es-ES_tradnl" w:eastAsia="es-ES_tradnl"/>
        </w:rPr>
      </w:pPr>
    </w:p>
    <w:p w14:paraId="3F311C07" w14:textId="77777777" w:rsidR="00584C69" w:rsidRPr="00584C69" w:rsidRDefault="00584C69" w:rsidP="00584C69">
      <w:pPr>
        <w:spacing w:after="0" w:line="276" w:lineRule="auto"/>
        <w:contextualSpacing/>
        <w:jc w:val="both"/>
        <w:rPr>
          <w:rFonts w:ascii="Verdana" w:eastAsia="Calibri" w:hAnsi="Verdana" w:cs="Arial"/>
          <w:lang w:val="es-ES" w:eastAsia="es-ES_tradnl"/>
        </w:rPr>
      </w:pPr>
      <w:r w:rsidRPr="00584C69">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9 de julio de 2025, en la cual manifiesta lo siguiente:</w:t>
      </w:r>
    </w:p>
    <w:p w14:paraId="5A0D12E8" w14:textId="77777777" w:rsidR="00584C69" w:rsidRPr="00584C69" w:rsidRDefault="00584C69" w:rsidP="00584C69">
      <w:pPr>
        <w:spacing w:after="0" w:line="276" w:lineRule="auto"/>
        <w:ind w:left="709" w:right="709"/>
        <w:contextualSpacing/>
        <w:jc w:val="both"/>
        <w:rPr>
          <w:rFonts w:ascii="Verdana" w:eastAsia="Calibri" w:hAnsi="Verdana" w:cs="Arial"/>
          <w:b/>
          <w:sz w:val="20"/>
          <w:szCs w:val="20"/>
          <w:lang w:val="es-ES_tradnl" w:eastAsia="es-ES_tradnl"/>
        </w:rPr>
      </w:pPr>
    </w:p>
    <w:p w14:paraId="429B2A5E"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r w:rsidRPr="00584C69">
        <w:rPr>
          <w:rFonts w:ascii="Verdana" w:eastAsia="Times New Roman" w:hAnsi="Verdana" w:cs="Arial"/>
          <w:sz w:val="20"/>
          <w:szCs w:val="20"/>
          <w:lang w:eastAsia="es-ES_tradnl"/>
        </w:rPr>
        <w:t>“1. ¿Cuáles es la Ley y/o Norma que obliga a las alcaldías a publicar sus procesos de contratación en el SECOP II?</w:t>
      </w:r>
    </w:p>
    <w:p w14:paraId="55B53B0E"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p>
    <w:p w14:paraId="24A758F0"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r w:rsidRPr="00584C69">
        <w:rPr>
          <w:rFonts w:ascii="Verdana" w:eastAsia="Times New Roman" w:hAnsi="Verdana" w:cs="Arial"/>
          <w:sz w:val="20"/>
          <w:szCs w:val="20"/>
          <w:lang w:eastAsia="es-ES_tradnl"/>
        </w:rPr>
        <w:t>2. Aportarme copia de la Circular que obliga a las alcaldías a publicar sus procesos de contratación en el SECOP II</w:t>
      </w:r>
    </w:p>
    <w:p w14:paraId="430BA24A"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p>
    <w:p w14:paraId="305DC614"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r w:rsidRPr="00584C69">
        <w:rPr>
          <w:rFonts w:ascii="Verdana" w:eastAsia="Times New Roman" w:hAnsi="Verdana" w:cs="Arial"/>
          <w:sz w:val="20"/>
          <w:szCs w:val="20"/>
          <w:lang w:eastAsia="es-ES_tradnl"/>
        </w:rPr>
        <w:t xml:space="preserve">3. Para los departamentos de Cesar, La Guajira y Magdalena, por favor indicarme qué alcaldías no están aún obligadas a publicar en el </w:t>
      </w:r>
      <w:proofErr w:type="spellStart"/>
      <w:r w:rsidRPr="00584C69">
        <w:rPr>
          <w:rFonts w:ascii="Verdana" w:eastAsia="Times New Roman" w:hAnsi="Verdana" w:cs="Arial"/>
          <w:sz w:val="20"/>
          <w:szCs w:val="20"/>
          <w:lang w:eastAsia="es-ES_tradnl"/>
        </w:rPr>
        <w:t>secop</w:t>
      </w:r>
      <w:proofErr w:type="spellEnd"/>
      <w:r w:rsidRPr="00584C69">
        <w:rPr>
          <w:rFonts w:ascii="Verdana" w:eastAsia="Times New Roman" w:hAnsi="Verdana" w:cs="Arial"/>
          <w:sz w:val="20"/>
          <w:szCs w:val="20"/>
          <w:lang w:eastAsia="es-ES_tradnl"/>
        </w:rPr>
        <w:t xml:space="preserve"> II.</w:t>
      </w:r>
    </w:p>
    <w:p w14:paraId="1884B4E6"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p>
    <w:p w14:paraId="361CA7E8"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r w:rsidRPr="00584C69">
        <w:rPr>
          <w:rFonts w:ascii="Verdana" w:eastAsia="Times New Roman" w:hAnsi="Verdana" w:cs="Arial"/>
          <w:sz w:val="20"/>
          <w:szCs w:val="20"/>
          <w:lang w:eastAsia="es-ES_tradnl"/>
        </w:rPr>
        <w:t>4. Para las alcaldías de El Molino, Villanueva, Fonseca, Urumita y La Jagua del Pilar-La Guajira, ¿A partir de qué fecha están obligadas a dejar publicar sus procesos de Contratación en el SECOP I?</w:t>
      </w:r>
    </w:p>
    <w:p w14:paraId="04624CA5"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p>
    <w:p w14:paraId="4A2315DB" w14:textId="77777777" w:rsidR="00584C69" w:rsidRPr="00584C69" w:rsidRDefault="00584C69" w:rsidP="00584C69">
      <w:pPr>
        <w:spacing w:after="0" w:line="240" w:lineRule="auto"/>
        <w:ind w:left="709" w:right="709"/>
        <w:contextualSpacing/>
        <w:jc w:val="both"/>
        <w:rPr>
          <w:rFonts w:ascii="Verdana" w:eastAsia="Times New Roman" w:hAnsi="Verdana" w:cs="Arial"/>
          <w:sz w:val="20"/>
          <w:szCs w:val="20"/>
          <w:lang w:eastAsia="es-ES_tradnl"/>
        </w:rPr>
      </w:pPr>
      <w:r w:rsidRPr="00584C69">
        <w:rPr>
          <w:rFonts w:ascii="Verdana" w:eastAsia="Times New Roman" w:hAnsi="Verdana" w:cs="Arial"/>
          <w:sz w:val="20"/>
          <w:szCs w:val="20"/>
          <w:lang w:eastAsia="es-ES_tradnl"/>
        </w:rPr>
        <w:t xml:space="preserve">5. Cuáles son las sanciones y presuntos delitos en que se incurren las alcaldías que no cumplan dejar de publicar en el </w:t>
      </w:r>
      <w:proofErr w:type="spellStart"/>
      <w:r w:rsidRPr="00584C69">
        <w:rPr>
          <w:rFonts w:ascii="Verdana" w:eastAsia="Times New Roman" w:hAnsi="Verdana" w:cs="Arial"/>
          <w:sz w:val="20"/>
          <w:szCs w:val="20"/>
          <w:lang w:eastAsia="es-ES_tradnl"/>
        </w:rPr>
        <w:t>secop</w:t>
      </w:r>
      <w:proofErr w:type="spellEnd"/>
      <w:r w:rsidRPr="00584C69">
        <w:rPr>
          <w:rFonts w:ascii="Verdana" w:eastAsia="Times New Roman" w:hAnsi="Verdana" w:cs="Arial"/>
          <w:sz w:val="20"/>
          <w:szCs w:val="20"/>
          <w:lang w:eastAsia="es-ES_tradnl"/>
        </w:rPr>
        <w:t xml:space="preserve"> I”.</w:t>
      </w:r>
    </w:p>
    <w:p w14:paraId="3F0A4A13" w14:textId="77777777" w:rsidR="00584C69" w:rsidRPr="00584C69" w:rsidRDefault="00584C69" w:rsidP="00584C69">
      <w:pPr>
        <w:spacing w:after="0" w:line="240" w:lineRule="auto"/>
        <w:ind w:left="709" w:right="709"/>
        <w:contextualSpacing/>
        <w:jc w:val="both"/>
        <w:rPr>
          <w:rFonts w:ascii="Verdana" w:eastAsia="Times New Roman" w:hAnsi="Verdana" w:cs="Arial"/>
          <w:color w:val="EE0000"/>
          <w:sz w:val="21"/>
          <w:szCs w:val="21"/>
          <w:lang w:eastAsia="es-ES_tradnl"/>
        </w:rPr>
      </w:pPr>
    </w:p>
    <w:p w14:paraId="08C89ABD" w14:textId="77777777" w:rsidR="00584C69" w:rsidRPr="00584C69" w:rsidRDefault="00584C69" w:rsidP="00584C69">
      <w:pPr>
        <w:spacing w:after="120" w:line="276" w:lineRule="auto"/>
        <w:ind w:firstLine="709"/>
        <w:jc w:val="both"/>
        <w:rPr>
          <w:rFonts w:ascii="Verdana" w:eastAsia="Calibri" w:hAnsi="Verdana" w:cs="Arial"/>
          <w:lang w:val="es-ES" w:eastAsia="es-ES"/>
        </w:rPr>
      </w:pPr>
      <w:r w:rsidRPr="00584C6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84C69">
        <w:rPr>
          <w:rFonts w:ascii="Verdana" w:eastAsia="Calibri" w:hAnsi="Verdana" w:cs="Arial"/>
          <w:szCs w:val="24"/>
          <w:lang w:val="es-ES_tradnl" w:eastAsia="es-ES_tradnl"/>
        </w:rPr>
        <w:tab/>
      </w:r>
    </w:p>
    <w:p w14:paraId="12E5045A" w14:textId="77777777" w:rsidR="00584C69" w:rsidRPr="00584C69" w:rsidRDefault="00584C69" w:rsidP="00584C69">
      <w:pPr>
        <w:spacing w:after="0" w:line="276" w:lineRule="auto"/>
        <w:ind w:firstLine="709"/>
        <w:jc w:val="both"/>
        <w:rPr>
          <w:rFonts w:ascii="Verdana" w:eastAsia="Calibri" w:hAnsi="Verdana" w:cs="Arial"/>
          <w:lang w:val="es-ES" w:eastAsia="es-ES"/>
        </w:rPr>
      </w:pPr>
      <w:r w:rsidRPr="00584C6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6E4B34E" w14:textId="77777777" w:rsidR="00584C69" w:rsidRPr="00584C69" w:rsidRDefault="00584C69" w:rsidP="00584C69">
      <w:pPr>
        <w:spacing w:after="0" w:line="276" w:lineRule="auto"/>
        <w:contextualSpacing/>
        <w:jc w:val="both"/>
        <w:rPr>
          <w:rFonts w:ascii="Verdana" w:eastAsia="Times New Roman" w:hAnsi="Verdana" w:cs="Arial"/>
          <w:szCs w:val="24"/>
          <w:lang w:val="es-ES_tradnl" w:eastAsia="es-ES_tradnl"/>
        </w:rPr>
      </w:pPr>
    </w:p>
    <w:p w14:paraId="3EBFA388" w14:textId="77777777" w:rsidR="00584C69" w:rsidRPr="00584C69" w:rsidRDefault="00584C69" w:rsidP="00584C69">
      <w:pPr>
        <w:tabs>
          <w:tab w:val="left" w:pos="0"/>
          <w:tab w:val="left" w:pos="284"/>
        </w:tabs>
        <w:spacing w:after="0" w:line="276" w:lineRule="auto"/>
        <w:contextualSpacing/>
        <w:jc w:val="both"/>
        <w:rPr>
          <w:rFonts w:ascii="Verdana" w:eastAsia="Calibri" w:hAnsi="Verdana" w:cs="Arial"/>
          <w:b/>
          <w:lang w:val="es-ES_tradnl"/>
        </w:rPr>
      </w:pPr>
      <w:r w:rsidRPr="00584C69">
        <w:rPr>
          <w:rFonts w:ascii="Verdana" w:eastAsia="Calibri" w:hAnsi="Verdana" w:cs="Arial"/>
          <w:b/>
          <w:lang w:val="es-ES_tradnl"/>
        </w:rPr>
        <w:t>1. Problema planteado:</w:t>
      </w:r>
    </w:p>
    <w:p w14:paraId="58F17D55" w14:textId="77777777" w:rsidR="00584C69" w:rsidRPr="00584C69" w:rsidRDefault="00584C69" w:rsidP="00584C69">
      <w:pPr>
        <w:tabs>
          <w:tab w:val="left" w:pos="0"/>
          <w:tab w:val="left" w:pos="284"/>
        </w:tabs>
        <w:spacing w:after="0" w:line="276" w:lineRule="auto"/>
        <w:contextualSpacing/>
        <w:jc w:val="both"/>
        <w:rPr>
          <w:rFonts w:ascii="Verdana" w:eastAsia="Calibri" w:hAnsi="Verdana" w:cs="Arial"/>
          <w:b/>
          <w:color w:val="EE0000"/>
          <w:lang w:val="es-ES_tradnl"/>
        </w:rPr>
      </w:pPr>
    </w:p>
    <w:p w14:paraId="4362196B" w14:textId="23E48B8F" w:rsidR="00584C69" w:rsidRPr="00584C69" w:rsidRDefault="00584C69" w:rsidP="00584C69">
      <w:pPr>
        <w:spacing w:after="0" w:line="276" w:lineRule="auto"/>
        <w:jc w:val="both"/>
        <w:rPr>
          <w:rFonts w:ascii="Verdana" w:eastAsia="Century Gothic" w:hAnsi="Verdana" w:cs="Century Gothic"/>
        </w:rPr>
      </w:pPr>
      <w:r w:rsidRPr="00584C69">
        <w:rPr>
          <w:rFonts w:ascii="Verdana" w:eastAsia="Century Gothic" w:hAnsi="Verdana" w:cs="Century Gothic"/>
        </w:rPr>
        <w:t xml:space="preserve">De acuerdo con el contenido de su solicitud, esta Agencia resolverá el siguiente problema jurídico: </w:t>
      </w:r>
      <w:bookmarkStart w:id="0" w:name="_Hlk199424158"/>
      <w:r w:rsidRPr="00584C69">
        <w:rPr>
          <w:rFonts w:ascii="Verdana" w:eastAsia="Century Gothic" w:hAnsi="Verdana" w:cs="Century Gothic"/>
        </w:rPr>
        <w:t xml:space="preserve">¿Qué norma obliga a las alcaldías a publicar en el SECOP </w:t>
      </w:r>
      <w:r w:rsidR="00BE3D71">
        <w:rPr>
          <w:rFonts w:ascii="Verdana" w:eastAsia="Century Gothic" w:hAnsi="Verdana" w:cs="Century Gothic"/>
        </w:rPr>
        <w:t>II</w:t>
      </w:r>
      <w:r w:rsidRPr="00584C69">
        <w:rPr>
          <w:rFonts w:ascii="Verdana" w:eastAsia="Century Gothic" w:hAnsi="Verdana" w:cs="Century Gothic"/>
        </w:rPr>
        <w:t>?</w:t>
      </w:r>
    </w:p>
    <w:bookmarkEnd w:id="0"/>
    <w:p w14:paraId="2575FB29" w14:textId="77777777" w:rsidR="00584C69" w:rsidRPr="00584C69" w:rsidRDefault="00584C69" w:rsidP="00584C69">
      <w:pPr>
        <w:spacing w:after="0" w:line="276" w:lineRule="auto"/>
        <w:ind w:firstLine="709"/>
        <w:jc w:val="both"/>
        <w:rPr>
          <w:rFonts w:ascii="Verdana" w:eastAsia="Calibri" w:hAnsi="Verdana" w:cs="Arial"/>
          <w:color w:val="EE0000"/>
          <w:lang w:val="es-ES" w:eastAsia="es-ES_tradnl"/>
        </w:rPr>
      </w:pPr>
    </w:p>
    <w:p w14:paraId="3A310CD7"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rPr>
      </w:pPr>
      <w:r w:rsidRPr="00584C69">
        <w:rPr>
          <w:rFonts w:ascii="Verdana" w:eastAsia="Century Gothic" w:hAnsi="Verdana" w:cs="Century Gothic"/>
          <w:b/>
          <w:bCs/>
        </w:rPr>
        <w:t>2. Respuesta:</w:t>
      </w:r>
    </w:p>
    <w:p w14:paraId="06C66FBF"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84C69" w:rsidRPr="00584C69" w14:paraId="51DFBBCC" w14:textId="77777777" w:rsidTr="000118AD">
        <w:tc>
          <w:tcPr>
            <w:tcW w:w="8828" w:type="dxa"/>
          </w:tcPr>
          <w:p w14:paraId="51A551BB" w14:textId="77777777" w:rsidR="00AB6DC2" w:rsidRPr="00AB6DC2" w:rsidRDefault="00AB6DC2" w:rsidP="00AB6DC2">
            <w:pPr>
              <w:tabs>
                <w:tab w:val="left" w:pos="597"/>
              </w:tabs>
              <w:spacing w:after="120" w:line="276" w:lineRule="auto"/>
              <w:jc w:val="both"/>
              <w:rPr>
                <w:rFonts w:ascii="Verdana" w:eastAsia="Calibri" w:hAnsi="Verdana" w:cs="Arial"/>
              </w:rPr>
            </w:pPr>
            <w:r w:rsidRPr="00AB6DC2">
              <w:rPr>
                <w:rFonts w:ascii="Verdana" w:eastAsia="Calibri" w:hAnsi="Verdana" w:cs="Arial"/>
              </w:rPr>
              <w:t>La obligación de las alcaldías de publicar en el Sistema Electrónico para la Contratación Pública – SECOP II, encuentra sustento en un conjunto normativo que articula disposiciones constitucionales, legales, reglamentarias y administrativas, todas orientadas a garantizar el principio de publicidad y el derecho de acceso a la información pública en el marco de la contratación estatal.</w:t>
            </w:r>
          </w:p>
          <w:p w14:paraId="216C3175" w14:textId="7F91EC62" w:rsidR="00AB6DC2" w:rsidRPr="00AB6DC2" w:rsidRDefault="00AB6DC2" w:rsidP="006D1C22">
            <w:pPr>
              <w:tabs>
                <w:tab w:val="left" w:pos="597"/>
              </w:tabs>
              <w:spacing w:after="120" w:line="276" w:lineRule="auto"/>
              <w:ind w:firstLine="595"/>
              <w:jc w:val="both"/>
              <w:rPr>
                <w:rFonts w:ascii="Verdana" w:eastAsia="Calibri" w:hAnsi="Verdana" w:cs="Arial"/>
              </w:rPr>
            </w:pPr>
            <w:r w:rsidRPr="00AB6DC2">
              <w:rPr>
                <w:rFonts w:ascii="Verdana" w:eastAsia="Calibri" w:hAnsi="Verdana" w:cs="Arial"/>
              </w:rPr>
              <w:t xml:space="preserve">La Constitución Política de 1991 consagra la publicidad como uno de los principios fundamentales que rigen la función administrativa, conforme lo </w:t>
            </w:r>
            <w:r w:rsidRPr="00AB6DC2">
              <w:rPr>
                <w:rFonts w:ascii="Verdana" w:eastAsia="Calibri" w:hAnsi="Verdana" w:cs="Arial"/>
              </w:rPr>
              <w:lastRenderedPageBreak/>
              <w:t>establece el artículo 209. A su vez, el artículo 74 reconoce el derecho de todas las personas a acceder a los documentos públicos, salvo los casos de reserva previstos expresamente en la ley. En desarrollo de estos principios, el artículo 3 de la Ley 1150 de 2007 establece que el SECOP debe contener la información oficial de la contratación realizada con dineros públicos, y que dicha información debe ser difundida a través de canales electrónicos. Esta norma consagra un deber general de publicidad contractual que recae sobre todas las entidades estatales, sin distinción de su régimen jurídico, naturaleza o pertenencia a una rama del poder público.</w:t>
            </w:r>
          </w:p>
          <w:p w14:paraId="4EB21172" w14:textId="77777777" w:rsidR="00AB6DC2" w:rsidRPr="00AB6DC2" w:rsidRDefault="00AB6DC2" w:rsidP="006D1C22">
            <w:pPr>
              <w:tabs>
                <w:tab w:val="left" w:pos="597"/>
              </w:tabs>
              <w:spacing w:after="120" w:line="276" w:lineRule="auto"/>
              <w:ind w:firstLine="595"/>
              <w:jc w:val="both"/>
              <w:rPr>
                <w:rFonts w:ascii="Verdana" w:eastAsia="Calibri" w:hAnsi="Verdana" w:cs="Arial"/>
              </w:rPr>
            </w:pPr>
            <w:r w:rsidRPr="00AB6DC2">
              <w:rPr>
                <w:rFonts w:ascii="Verdana" w:eastAsia="Calibri" w:hAnsi="Verdana" w:cs="Arial"/>
              </w:rPr>
              <w:t>Complementariamente, la Ley 1712 de 2014, conocida como la Ley de Transparencia y del Derecho de Acceso a la Información Pública, refuerza esta obligación al establecer los principios de máxima publicidad, transparencia y buena fe. En particular, el literal e) del artículo 9 impone a los sujetos obligados —entre los cuales se encuentran todas las entidades públicas y aquellas que administren recursos públicos— el deber de publicar la información relativa a su contratación. El artículo 11, literal g), exige además la divulgación de los procedimientos, lineamientos, políticas de adquisiciones, datos de adjudicación y ejecución de contratos, incluyendo concursos y licitaciones, información que debe estar disponible en el SECOP.</w:t>
            </w:r>
          </w:p>
          <w:p w14:paraId="05B9AB7C" w14:textId="600528D1" w:rsidR="00584C69" w:rsidRPr="00584C69" w:rsidRDefault="00584C69" w:rsidP="006D1C22">
            <w:pPr>
              <w:tabs>
                <w:tab w:val="left" w:pos="597"/>
              </w:tabs>
              <w:spacing w:after="120" w:line="276" w:lineRule="auto"/>
              <w:ind w:firstLine="595"/>
              <w:jc w:val="both"/>
              <w:rPr>
                <w:rFonts w:ascii="Verdana" w:eastAsia="Calibri" w:hAnsi="Verdana" w:cs="Arial"/>
              </w:rPr>
            </w:pPr>
            <w:r w:rsidRPr="00584C69">
              <w:rPr>
                <w:rFonts w:ascii="Verdana" w:eastAsia="Calibri" w:hAnsi="Verdana" w:cs="Arial"/>
                <w:lang w:val="es-ES"/>
              </w:rPr>
              <w:t>La Circular Externa Única emitida por esta Agencia, recordó a todas las entidades del Estado el deber de publicar oportunamente su actividad contractual en el SECOP, sin distinción de su régimen jurídico, naturaleza jurídica o la pertenencia a una u otra rama del poder público</w:t>
            </w:r>
            <w:r w:rsidR="00AB6DC2">
              <w:rPr>
                <w:rFonts w:ascii="Verdana" w:eastAsia="Calibri" w:hAnsi="Verdana" w:cs="Arial"/>
                <w:lang w:val="es-ES"/>
              </w:rPr>
              <w:t>.</w:t>
            </w:r>
          </w:p>
          <w:p w14:paraId="3EF47742" w14:textId="4E406D51" w:rsidR="00584C69" w:rsidRPr="00584C69" w:rsidRDefault="00584C69" w:rsidP="006D1C22">
            <w:pPr>
              <w:spacing w:after="120" w:line="276" w:lineRule="auto"/>
              <w:ind w:firstLine="595"/>
              <w:jc w:val="both"/>
              <w:rPr>
                <w:rFonts w:ascii="Verdana" w:hAnsi="Verdana"/>
                <w:lang w:eastAsia="es-ES_tradnl"/>
              </w:rPr>
            </w:pPr>
            <w:r w:rsidRPr="00584C69">
              <w:rPr>
                <w:rFonts w:ascii="Verdana" w:hAnsi="Verdana"/>
                <w:lang w:eastAsia="es-ES_tradnl"/>
              </w:rPr>
              <w:t xml:space="preserve">Ahora bien, para dar respuesta a su pregunta, la Entidad Estatal está obligada a publicar en el SECOP los Documentos del Proceso y los actos administrativos del Proceso de Contratación, dentro de los tres (3) días siguientes a su expedición. Sin embargo, en virtud de que el SECOP se compone de las plataformas SECOP I y SECOP II, resulta importante señalar que, para cada una de ellas, el procedimiento de publicación podría resultar distinto, habida cuenta que, en el caso de las entidades estatales que aún publiquen su actividad contractual en el SECOP I, esta plataforma funciona como medio de publicidad, sin que exija la publicación inmediata de los documentos precontractuales y contractuales. En ese sentido, </w:t>
            </w:r>
            <w:r w:rsidR="002716FE" w:rsidRPr="00584C69">
              <w:rPr>
                <w:rFonts w:ascii="Verdana" w:hAnsi="Verdana"/>
                <w:lang w:eastAsia="es-ES_tradnl"/>
              </w:rPr>
              <w:t>La Entidad Estatal</w:t>
            </w:r>
            <w:r w:rsidRPr="00584C69">
              <w:rPr>
                <w:rFonts w:ascii="Verdana" w:hAnsi="Verdana"/>
                <w:lang w:eastAsia="es-ES_tradnl"/>
              </w:rPr>
              <w:t xml:space="preserve"> podrá publicar tales documentos dentro del término previsto por el artículo citado. No obstante, la plataforma SECOP II es una plataforma esencialmente transaccional, de contratación en línea, donde se gestionan </w:t>
            </w:r>
            <w:r w:rsidRPr="00584C69">
              <w:rPr>
                <w:rFonts w:ascii="Verdana" w:hAnsi="Verdana"/>
                <w:lang w:eastAsia="es-ES_tradnl"/>
              </w:rPr>
              <w:lastRenderedPageBreak/>
              <w:t>todas las etapas del Proceso de Contratación, lo cual supone que los documentos que se expidan en el marco de cada una de las etapas, deberán publicarse al tiempo en que se realiza la gestión transaccional, lo que ameritaría una publicación inmediata, en la medida en que deben ser puestos en conocimiento de los partícipes del Sistema de Compra Pública, interesados en consultarlos. </w:t>
            </w:r>
          </w:p>
          <w:p w14:paraId="438FF631" w14:textId="3FD1C408" w:rsidR="00584C69" w:rsidRPr="00584C69" w:rsidRDefault="00584C69" w:rsidP="006D1C22">
            <w:pPr>
              <w:spacing w:after="120" w:line="276" w:lineRule="auto"/>
              <w:ind w:firstLine="595"/>
              <w:jc w:val="both"/>
              <w:rPr>
                <w:rFonts w:ascii="Verdana" w:hAnsi="Verdana"/>
                <w:lang w:eastAsia="es-ES_tradnl"/>
              </w:rPr>
            </w:pPr>
            <w:r w:rsidRPr="00584C69">
              <w:rPr>
                <w:rFonts w:ascii="Verdana" w:hAnsi="Verdana"/>
                <w:lang w:val="es-ES" w:eastAsia="es-ES_tradnl"/>
              </w:rPr>
              <w:t>En todo caso, a</w:t>
            </w:r>
            <w:r w:rsidRPr="00584C69">
              <w:rPr>
                <w:rFonts w:ascii="Verdana" w:hAnsi="Verdana"/>
                <w:lang w:eastAsia="es-ES_tradnl"/>
              </w:rPr>
              <w:t>l margen de la explicación precedente debe advertirse que el análisis requerido para resolver problemas específicos en torno a normas diferentes a la contratación estatal debe ser realizado por quienes tengan interés en ello, de acuerdo con lo explicado en el presente concepto.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04E4A021" w14:textId="6E638F75" w:rsidR="00584C69" w:rsidRPr="00584C69" w:rsidRDefault="00584C69" w:rsidP="00584C69">
            <w:pPr>
              <w:spacing w:after="120" w:line="276" w:lineRule="auto"/>
              <w:ind w:firstLine="585"/>
              <w:jc w:val="both"/>
              <w:rPr>
                <w:rFonts w:ascii="Verdana" w:eastAsia="Calibri" w:hAnsi="Verdana" w:cs="Arial"/>
                <w:szCs w:val="24"/>
                <w:lang w:eastAsia="es-ES_tradnl"/>
              </w:rPr>
            </w:pPr>
            <w:r w:rsidRPr="00584C69">
              <w:rPr>
                <w:rFonts w:ascii="Verdana" w:eastAsia="Calibri" w:hAnsi="Verdana" w:cs="Arial"/>
                <w:szCs w:val="24"/>
                <w:lang w:val="es-ES" w:eastAsia="es-ES_tradnl"/>
              </w:rPr>
              <w:t>Finalmente, respecto de sus preguntas 2, 3 y 4 se adjunta la respuesta dada por la Subdirección de Información y Desarrollo Tecnológico</w:t>
            </w:r>
            <w:r w:rsidRPr="00584C69">
              <w:rPr>
                <w:rFonts w:ascii="Verdana" w:eastAsia="Calibri" w:hAnsi="Verdana" w:cs="Arial"/>
                <w:szCs w:val="24"/>
                <w:lang w:eastAsia="es-ES_tradnl"/>
              </w:rPr>
              <w:t>.</w:t>
            </w:r>
          </w:p>
        </w:tc>
      </w:tr>
    </w:tbl>
    <w:p w14:paraId="0F346897" w14:textId="77777777" w:rsidR="00584C69" w:rsidRPr="00584C69" w:rsidRDefault="00584C69" w:rsidP="00584C69">
      <w:pPr>
        <w:spacing w:after="0" w:line="276" w:lineRule="auto"/>
        <w:contextualSpacing/>
        <w:jc w:val="both"/>
        <w:rPr>
          <w:rFonts w:ascii="Verdana" w:eastAsia="Times New Roman" w:hAnsi="Verdana" w:cs="Arial"/>
          <w:color w:val="EE0000"/>
          <w:lang w:eastAsia="es-ES_tradnl"/>
        </w:rPr>
      </w:pPr>
    </w:p>
    <w:p w14:paraId="689D1669" w14:textId="77777777" w:rsidR="00584C69" w:rsidRPr="00584C69" w:rsidRDefault="00584C69" w:rsidP="0012783F">
      <w:pPr>
        <w:tabs>
          <w:tab w:val="left" w:pos="142"/>
          <w:tab w:val="left" w:pos="284"/>
        </w:tabs>
        <w:spacing w:after="0" w:line="276" w:lineRule="auto"/>
        <w:jc w:val="both"/>
        <w:rPr>
          <w:rFonts w:ascii="Verdana" w:eastAsia="Century Gothic" w:hAnsi="Verdana" w:cs="Century Gothic"/>
          <w:b/>
          <w:bCs/>
          <w:lang w:val="es-ES"/>
        </w:rPr>
      </w:pPr>
      <w:r w:rsidRPr="00584C69">
        <w:rPr>
          <w:rFonts w:ascii="Verdana" w:eastAsia="Century Gothic" w:hAnsi="Verdana" w:cs="Century Gothic"/>
          <w:b/>
          <w:bCs/>
          <w:lang w:val="es-ES"/>
        </w:rPr>
        <w:t>3. Razones de la respuesta:</w:t>
      </w:r>
    </w:p>
    <w:p w14:paraId="6D71A4C4" w14:textId="77777777" w:rsidR="00584C69" w:rsidRPr="00584C69" w:rsidRDefault="00584C69" w:rsidP="006D1C22">
      <w:pPr>
        <w:spacing w:after="0" w:line="276" w:lineRule="auto"/>
        <w:jc w:val="both"/>
        <w:rPr>
          <w:rFonts w:ascii="Verdana" w:eastAsia="Calibri" w:hAnsi="Verdana" w:cs="Arial"/>
          <w:lang w:val="es-ES"/>
        </w:rPr>
      </w:pPr>
    </w:p>
    <w:p w14:paraId="3BCADF40" w14:textId="77777777" w:rsidR="00584C69" w:rsidRPr="00584C69" w:rsidRDefault="00584C69" w:rsidP="006D1C22">
      <w:pPr>
        <w:spacing w:after="0" w:line="276" w:lineRule="auto"/>
        <w:jc w:val="both"/>
        <w:rPr>
          <w:rFonts w:ascii="Verdana" w:eastAsia="Calibri" w:hAnsi="Verdana" w:cs="Arial"/>
          <w:lang w:val="es-ES"/>
        </w:rPr>
      </w:pPr>
      <w:r w:rsidRPr="00584C69">
        <w:rPr>
          <w:rFonts w:ascii="Verdana" w:eastAsia="Calibri" w:hAnsi="Verdana" w:cs="Arial"/>
          <w:lang w:val="es-ES"/>
        </w:rPr>
        <w:t xml:space="preserve">Lo anterior se sustenta en las siguientes consideraciones: </w:t>
      </w:r>
    </w:p>
    <w:p w14:paraId="0BF38CF3" w14:textId="77777777" w:rsidR="0012783F" w:rsidRDefault="0012783F" w:rsidP="006D1C22">
      <w:pPr>
        <w:spacing w:after="0" w:line="276" w:lineRule="auto"/>
        <w:jc w:val="both"/>
        <w:rPr>
          <w:rFonts w:ascii="Verdana" w:eastAsia="Calibri" w:hAnsi="Verdana" w:cs="Arial"/>
          <w:lang w:val="es-ES_tradnl"/>
        </w:rPr>
      </w:pPr>
    </w:p>
    <w:p w14:paraId="70E37164" w14:textId="51AD99D6" w:rsidR="00584C69" w:rsidRPr="00584C69" w:rsidRDefault="00584C69" w:rsidP="00584C69">
      <w:pPr>
        <w:spacing w:after="120" w:line="276" w:lineRule="auto"/>
        <w:jc w:val="both"/>
        <w:rPr>
          <w:rFonts w:ascii="Verdana" w:eastAsia="Arial" w:hAnsi="Verdana" w:cs="Arial"/>
          <w:lang w:val="es-ES"/>
        </w:rPr>
      </w:pPr>
      <w:r w:rsidRPr="00584C69">
        <w:rPr>
          <w:rFonts w:ascii="Verdana" w:eastAsia="Calibri" w:hAnsi="Verdana" w:cs="Arial"/>
          <w:lang w:val="es-ES_tradnl"/>
        </w:rPr>
        <w:t xml:space="preserve">La Constitución Política de 1991 consagra en varios artículos la </w:t>
      </w:r>
      <w:r w:rsidRPr="00584C69">
        <w:rPr>
          <w:rFonts w:ascii="Verdana" w:eastAsia="Calibri" w:hAnsi="Verdana" w:cs="Arial"/>
          <w:i/>
          <w:iCs/>
          <w:lang w:val="es-ES_tradnl"/>
        </w:rPr>
        <w:t>publicidad</w:t>
      </w:r>
      <w:r w:rsidRPr="00584C69">
        <w:rPr>
          <w:rFonts w:ascii="Verdana" w:eastAsia="Calibri" w:hAnsi="Verdana" w:cs="Arial"/>
          <w:lang w:val="es-ES_tradnl"/>
        </w:rPr>
        <w:t xml:space="preserve"> como un principio rector del Estado colombiano. Entre los más destacados, puede mencionarse el 209, que afirma que la publicidad es uno de los principios que fundamentan el ejercicio de la función administrativa. Asimismo, </w:t>
      </w:r>
      <w:r w:rsidRPr="00584C69">
        <w:rPr>
          <w:rFonts w:ascii="Verdana" w:eastAsia="Arial" w:hAnsi="Verdana" w:cs="Arial"/>
          <w:lang w:val="es-ES"/>
        </w:rPr>
        <w:t xml:space="preserve">el artículo 74 de la Constitución Política establece que: “Todas las personas tienen derecho a acceder a los documentos públicos salvo los casos que establezca la ley”. Esta disposición constitucional consagra la garantía fundamental de acceso a la información y a la documentación pública, salvo causal de reserva expresamente prevista en la Constitución o en la Ley. </w:t>
      </w:r>
    </w:p>
    <w:p w14:paraId="6081ECAE" w14:textId="77777777" w:rsidR="00584C69" w:rsidRPr="00584C69" w:rsidRDefault="00584C69" w:rsidP="00584C69">
      <w:pPr>
        <w:spacing w:after="120" w:line="276" w:lineRule="auto"/>
        <w:ind w:firstLine="709"/>
        <w:jc w:val="both"/>
        <w:rPr>
          <w:rFonts w:ascii="Verdana" w:eastAsia="Arial" w:hAnsi="Verdana" w:cs="Arial"/>
          <w:lang w:val="es-ES"/>
        </w:rPr>
      </w:pPr>
      <w:r w:rsidRPr="00584C69">
        <w:rPr>
          <w:rFonts w:ascii="Verdana" w:eastAsia="Arial" w:hAnsi="Verdana" w:cs="Arial"/>
          <w:lang w:val="es-ES"/>
        </w:rPr>
        <w:t xml:space="preserve">El principio de publicidad impone a las autoridades administrativas el deber de dar a conocer sus actos, contratos y decisiones, para que se divulguen </w:t>
      </w:r>
      <w:r w:rsidRPr="00584C69">
        <w:rPr>
          <w:rFonts w:ascii="Verdana" w:eastAsia="Arial" w:hAnsi="Verdana" w:cs="Arial"/>
          <w:lang w:val="es-ES"/>
        </w:rPr>
        <w:lastRenderedPageBreak/>
        <w:t>y, eventualmente, se controlen las actuaciones</w:t>
      </w:r>
      <w:r w:rsidRPr="00584C69">
        <w:rPr>
          <w:rFonts w:ascii="Verdana" w:eastAsia="Arial" w:hAnsi="Verdana" w:cs="Arial"/>
          <w:vertAlign w:val="superscript"/>
          <w:lang w:val="es-ES"/>
        </w:rPr>
        <w:footnoteReference w:id="1"/>
      </w:r>
      <w:r w:rsidRPr="00584C69">
        <w:rPr>
          <w:rFonts w:ascii="Verdana" w:eastAsia="Arial" w:hAnsi="Verdana" w:cs="Arial"/>
          <w:lang w:val="es-ES"/>
        </w:rPr>
        <w:t>.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7361CA04" w14:textId="77777777" w:rsidR="00584C69" w:rsidRPr="00584C69" w:rsidRDefault="00584C69" w:rsidP="00584C69">
      <w:pPr>
        <w:spacing w:after="120" w:line="276" w:lineRule="auto"/>
        <w:ind w:firstLine="709"/>
        <w:jc w:val="both"/>
        <w:rPr>
          <w:rFonts w:ascii="Verdana" w:eastAsia="Arial" w:hAnsi="Verdana" w:cs="Arial"/>
          <w:lang w:val="es-ES"/>
        </w:rPr>
      </w:pPr>
      <w:r w:rsidRPr="00584C69">
        <w:rPr>
          <w:rFonts w:ascii="Verdana" w:eastAsia="Arial" w:hAnsi="Verdana" w:cs="Arial"/>
          <w:lang w:val="es-ES"/>
        </w:rPr>
        <w:t>Del artículo 3 de la Ley 1150 de 2007 se desprende un deber de publicar las actuaciones contractuales, el cual implica que todas las entidades estatales, publiquen los documentos en los que se evidencia el desarrollo de sus procesos de contratación. Esto, como quiera que el objetivo del deber de dar publicidad a las actuaciones contractuales es materializar el derecho a conocer e intervenir de las decisiones de la Administración Pública.</w:t>
      </w:r>
    </w:p>
    <w:p w14:paraId="098FF07F" w14:textId="77777777" w:rsidR="00584C69" w:rsidRPr="00584C69" w:rsidRDefault="00584C69" w:rsidP="00584C69">
      <w:pPr>
        <w:spacing w:after="120" w:line="276" w:lineRule="auto"/>
        <w:ind w:firstLine="708"/>
        <w:jc w:val="both"/>
        <w:rPr>
          <w:rFonts w:ascii="Verdana" w:eastAsia="Times New Roman" w:hAnsi="Verdana" w:cs="Arial"/>
          <w:lang w:eastAsia="es-CO"/>
        </w:rPr>
      </w:pPr>
      <w:r w:rsidRPr="00584C69">
        <w:rPr>
          <w:rFonts w:ascii="Verdana" w:eastAsia="Arial" w:hAnsi="Verdana" w:cs="Arial"/>
          <w:lang w:val="es-ES"/>
        </w:rPr>
        <w:t>De otra parte, la Ley 1712 de 2014</w:t>
      </w:r>
      <w:r w:rsidRPr="00584C69">
        <w:rPr>
          <w:rFonts w:ascii="Verdana" w:eastAsia="Arial" w:hAnsi="Verdana" w:cs="Arial"/>
          <w:vertAlign w:val="superscript"/>
          <w:lang w:val="es-ES"/>
        </w:rPr>
        <w:footnoteReference w:id="2"/>
      </w:r>
      <w:r w:rsidRPr="00584C69">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sidRPr="00584C69">
        <w:rPr>
          <w:rFonts w:ascii="Verdana" w:eastAsia="Arial" w:hAnsi="Verdana" w:cs="Arial"/>
          <w:vertAlign w:val="superscript"/>
          <w:lang w:val="es-ES"/>
        </w:rPr>
        <w:footnoteReference w:id="3"/>
      </w:r>
      <w:r w:rsidRPr="00584C69">
        <w:rPr>
          <w:rFonts w:ascii="Verdana" w:eastAsia="Arial" w:hAnsi="Verdana" w:cs="Arial"/>
          <w:lang w:val="es-ES"/>
        </w:rPr>
        <w:t>. El principio de transparencia en la información alude al deber de los sujetos de proporcionar y facilitar el acceso a la misma en los términos más amplios posibles, y a través de los medios y procedimientos que establezca la ley</w:t>
      </w:r>
      <w:r w:rsidRPr="00584C69">
        <w:rPr>
          <w:rFonts w:ascii="Verdana" w:eastAsia="Times New Roman" w:hAnsi="Verdana" w:cs="Arial"/>
          <w:vertAlign w:val="superscript"/>
          <w:lang w:eastAsia="es-CO"/>
        </w:rPr>
        <w:footnoteReference w:id="4"/>
      </w:r>
      <w:r w:rsidRPr="00584C69">
        <w:rPr>
          <w:rFonts w:ascii="Verdana" w:eastAsia="Times New Roman" w:hAnsi="Verdana" w:cs="Arial"/>
          <w:lang w:eastAsia="es-CO"/>
        </w:rPr>
        <w:t xml:space="preserve">. Finalmente, el principio de buena fe hace </w:t>
      </w:r>
      <w:r w:rsidRPr="00584C69">
        <w:rPr>
          <w:rFonts w:ascii="Verdana" w:eastAsia="Times New Roman" w:hAnsi="Verdana" w:cs="Arial"/>
          <w:lang w:eastAsia="es-CO"/>
        </w:rPr>
        <w:lastRenderedPageBreak/>
        <w:t>referencia al deber de todo sujeto obligado de cumplir con las obligaciones derivadas del derecho de acceso a la información pública con motivación honesta, leal y desprovista de cualquier intención dolosa o culposa</w:t>
      </w:r>
      <w:r w:rsidRPr="00584C69">
        <w:rPr>
          <w:rFonts w:ascii="Verdana" w:eastAsia="Times New Roman" w:hAnsi="Verdana" w:cs="Arial"/>
          <w:vertAlign w:val="superscript"/>
          <w:lang w:eastAsia="es-CO"/>
        </w:rPr>
        <w:footnoteReference w:id="5"/>
      </w:r>
      <w:r w:rsidRPr="00584C69">
        <w:rPr>
          <w:rFonts w:ascii="Verdana" w:eastAsia="Times New Roman" w:hAnsi="Verdana" w:cs="Arial"/>
          <w:lang w:eastAsia="es-CO"/>
        </w:rPr>
        <w:t xml:space="preserve">. </w:t>
      </w:r>
    </w:p>
    <w:p w14:paraId="7209E11F" w14:textId="77777777" w:rsidR="00584C69" w:rsidRPr="00584C69" w:rsidRDefault="00584C69" w:rsidP="00584C69">
      <w:pPr>
        <w:spacing w:after="120" w:line="276" w:lineRule="auto"/>
        <w:ind w:firstLine="709"/>
        <w:jc w:val="both"/>
        <w:rPr>
          <w:rFonts w:ascii="Verdana" w:eastAsia="Arial" w:hAnsi="Verdana" w:cs="Arial"/>
          <w:lang w:val="es-ES"/>
        </w:rPr>
      </w:pPr>
      <w:r w:rsidRPr="00584C69">
        <w:rPr>
          <w:rFonts w:ascii="Verdana" w:eastAsia="Arial" w:hAnsi="Verdana" w:cs="Arial"/>
          <w:lang w:val="es-ES"/>
        </w:rPr>
        <w:t>La ley citada establece, en el literal e) del artículo 9, que los sujetos obligados, que son todas las entidades públicas, deben publicar la información relativa a su contratación</w:t>
      </w:r>
      <w:r w:rsidRPr="00584C69">
        <w:rPr>
          <w:rFonts w:ascii="Verdana" w:eastAsia="Times New Roman" w:hAnsi="Verdana" w:cs="Arial"/>
          <w:vertAlign w:val="superscript"/>
          <w:lang w:eastAsia="es-CO"/>
        </w:rPr>
        <w:footnoteReference w:id="6"/>
      </w:r>
      <w:r w:rsidRPr="00584C69">
        <w:rPr>
          <w:rFonts w:ascii="Verdana" w:eastAsia="Arial" w:hAnsi="Verdana" w:cs="Arial"/>
          <w:lang w:val="es-ES"/>
        </w:rPr>
        <w:t xml:space="preserve">. </w:t>
      </w:r>
      <w:r w:rsidRPr="00584C69">
        <w:rPr>
          <w:rFonts w:ascii="Verdana" w:eastAsia="Arial MT" w:hAnsi="Verdana" w:cs="Arial"/>
          <w:lang w:val="es-ES"/>
        </w:rPr>
        <w:t xml:space="preserve">El artículo 5 </w:t>
      </w:r>
      <w:r w:rsidRPr="00584C69">
        <w:rPr>
          <w:rFonts w:ascii="Verdana" w:eastAsia="Arial MT" w:hAnsi="Verdana" w:cs="Arial"/>
          <w:i/>
          <w:iCs/>
          <w:lang w:val="es-ES"/>
        </w:rPr>
        <w:t>ibidem</w:t>
      </w:r>
      <w:r w:rsidRPr="00584C69">
        <w:rPr>
          <w:rFonts w:ascii="Verdana" w:eastAsia="Arial MT" w:hAnsi="Verdana" w:cs="Arial"/>
          <w:lang w:val="es-ES"/>
        </w:rPr>
        <w:t>, al describir qué se entiende por sujetos obligados, consagra una lista cuyo propósito es incluir a cualquier entidad, órgano, organismo, o persona natural que desempeñe funciones públicas o administre recursos públicos</w:t>
      </w:r>
      <w:r w:rsidRPr="00584C69">
        <w:rPr>
          <w:rFonts w:ascii="Verdana" w:eastAsia="Times New Roman" w:hAnsi="Verdana" w:cs="Arial"/>
          <w:vertAlign w:val="superscript"/>
          <w:lang w:eastAsia="es-CO"/>
        </w:rPr>
        <w:footnoteReference w:id="7"/>
      </w:r>
      <w:r w:rsidRPr="00584C69">
        <w:rPr>
          <w:rFonts w:ascii="Verdana" w:eastAsia="Arial MT" w:hAnsi="Verdana" w:cs="Arial"/>
          <w:lang w:val="es-ES"/>
        </w:rPr>
        <w:t>.</w:t>
      </w:r>
      <w:r w:rsidRPr="00584C69">
        <w:rPr>
          <w:rFonts w:ascii="Verdana" w:eastAsia="Times New Roman" w:hAnsi="Verdana" w:cs="Arial"/>
          <w:lang w:eastAsia="es-CO"/>
        </w:rPr>
        <w:t xml:space="preserve"> </w:t>
      </w:r>
      <w:r w:rsidRPr="00584C69">
        <w:rPr>
          <w:rFonts w:ascii="Verdana" w:eastAsia="Arial" w:hAnsi="Verdana" w:cs="Arial"/>
          <w:lang w:val="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000E49D1" w14:textId="77777777" w:rsidR="00584C69" w:rsidRPr="00584C69" w:rsidRDefault="00584C69" w:rsidP="00584C69">
      <w:pPr>
        <w:widowControl w:val="0"/>
        <w:autoSpaceDE w:val="0"/>
        <w:autoSpaceDN w:val="0"/>
        <w:spacing w:line="278" w:lineRule="auto"/>
        <w:ind w:right="130" w:firstLine="709"/>
        <w:jc w:val="both"/>
        <w:rPr>
          <w:rFonts w:ascii="Verdana" w:eastAsia="Calibri" w:hAnsi="Verdana" w:cs="Arial"/>
          <w:lang w:val="es-ES"/>
        </w:rPr>
      </w:pPr>
      <w:r w:rsidRPr="00584C69">
        <w:rPr>
          <w:rFonts w:ascii="Verdana" w:eastAsia="Calibri" w:hAnsi="Verdana" w:cs="Arial"/>
          <w:lang w:val="es-ES"/>
        </w:rPr>
        <w:t>En el año 2013, la Agencia Nacional de Contratación Pública – Colombia Compra Eficiente, mediante la Circular Externa No 1 del 21 de junio de 2013</w:t>
      </w:r>
      <w:r w:rsidRPr="00584C69">
        <w:rPr>
          <w:rFonts w:ascii="Verdana" w:eastAsia="Calibri" w:hAnsi="Verdana" w:cs="Arial"/>
          <w:vertAlign w:val="superscript"/>
          <w:lang w:val="es-ES"/>
        </w:rPr>
        <w:footnoteReference w:id="8"/>
      </w:r>
      <w:r w:rsidRPr="00584C69">
        <w:rPr>
          <w:rFonts w:ascii="Verdana" w:eastAsia="Calibri" w:hAnsi="Verdana" w:cs="Arial"/>
          <w:lang w:val="es-ES"/>
        </w:rPr>
        <w:t>,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584C69">
        <w:rPr>
          <w:rFonts w:ascii="Verdana" w:eastAsia="Calibri" w:hAnsi="Verdana" w:cs="Arial"/>
          <w:vertAlign w:val="superscript"/>
          <w:lang w:val="es-ES"/>
        </w:rPr>
        <w:footnoteReference w:id="9"/>
      </w:r>
      <w:r w:rsidRPr="00584C69">
        <w:rPr>
          <w:rFonts w:ascii="Verdana" w:eastAsia="Calibri" w:hAnsi="Verdana" w:cs="Arial"/>
          <w:lang w:val="es-ES"/>
        </w:rPr>
        <w:t xml:space="preserve">. Además, la Circular Externa Única, en el numeral </w:t>
      </w:r>
      <w:r w:rsidRPr="00584C69">
        <w:rPr>
          <w:rFonts w:ascii="Verdana" w:eastAsia="Calibri" w:hAnsi="Verdana" w:cs="Arial"/>
          <w:lang w:val="es-ES"/>
        </w:rPr>
        <w:lastRenderedPageBreak/>
        <w:t xml:space="preserve">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3F328B9A" w14:textId="77777777" w:rsidR="00584C69" w:rsidRPr="00584C69" w:rsidRDefault="00584C69" w:rsidP="00584C69">
      <w:pPr>
        <w:widowControl w:val="0"/>
        <w:autoSpaceDE w:val="0"/>
        <w:autoSpaceDN w:val="0"/>
        <w:spacing w:line="278" w:lineRule="auto"/>
        <w:ind w:right="130" w:firstLine="709"/>
        <w:jc w:val="both"/>
        <w:rPr>
          <w:rFonts w:ascii="Verdana" w:eastAsia="Calibri" w:hAnsi="Verdana" w:cs="Arial"/>
          <w:lang w:val="es-ES"/>
        </w:rPr>
      </w:pPr>
      <w:r w:rsidRPr="00584C69">
        <w:rPr>
          <w:rFonts w:ascii="Verdana" w:eastAsia="Calibri" w:hAnsi="Verdana" w:cs="Arial"/>
          <w:lang w:val="es-ES"/>
        </w:rPr>
        <w:t>Así mismo, en la Circular única Externa se indicó que “Las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11226106" w14:textId="77777777" w:rsidR="00584C69" w:rsidRPr="00584C69" w:rsidRDefault="00584C69" w:rsidP="00584C69">
      <w:pPr>
        <w:spacing w:after="120" w:line="276" w:lineRule="auto"/>
        <w:ind w:firstLine="708"/>
        <w:jc w:val="both"/>
        <w:textAlignment w:val="baseline"/>
        <w:rPr>
          <w:rFonts w:ascii="Verdana" w:eastAsia="Aptos" w:hAnsi="Verdana" w:cs="Arial"/>
          <w:lang w:val="es-ES_tradnl" w:eastAsia="es-MX"/>
        </w:rPr>
      </w:pPr>
      <w:r w:rsidRPr="00584C69">
        <w:rPr>
          <w:rFonts w:ascii="Verdana" w:eastAsia="Aptos" w:hAnsi="Verdana" w:cs="Arial"/>
          <w:lang w:val="es-ES_tradnl" w:eastAsia="es-MX"/>
        </w:rPr>
        <w:t>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EF0EEA1" w14:textId="77777777" w:rsidR="00584C69" w:rsidRPr="00584C69" w:rsidRDefault="00584C69" w:rsidP="00584C69">
      <w:pPr>
        <w:spacing w:after="120" w:line="276" w:lineRule="auto"/>
        <w:ind w:firstLine="709"/>
        <w:jc w:val="both"/>
        <w:textAlignment w:val="baseline"/>
        <w:rPr>
          <w:rFonts w:ascii="Verdana" w:eastAsia="Aptos" w:hAnsi="Verdana" w:cs="Arial"/>
          <w:lang w:val="es-ES_tradnl" w:eastAsia="es-MX"/>
        </w:rPr>
      </w:pPr>
      <w:r w:rsidRPr="00584C69">
        <w:rPr>
          <w:rFonts w:ascii="Verdana" w:eastAsia="Aptos" w:hAnsi="Verdana" w:cs="Arial"/>
          <w:lang w:val="es-ES_tradnl" w:eastAsia="es-MX"/>
        </w:rPr>
        <w:t xml:space="preserve">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w:t>
      </w:r>
      <w:r w:rsidRPr="00584C69">
        <w:rPr>
          <w:rFonts w:ascii="Verdana" w:eastAsia="Aptos" w:hAnsi="Verdana" w:cs="Arial"/>
          <w:lang w:val="es-ES_tradnl" w:eastAsia="es-MX"/>
        </w:rPr>
        <w:lastRenderedPageBreak/>
        <w:t>recuperación ambiental de las obras o bienes o el vencimiento del plazo, lo que ocurra más tarde”.</w:t>
      </w:r>
    </w:p>
    <w:p w14:paraId="2BFF9352" w14:textId="77777777" w:rsidR="00584C69" w:rsidRPr="00584C69" w:rsidRDefault="00584C69" w:rsidP="006D1C22">
      <w:pPr>
        <w:spacing w:after="0" w:line="276" w:lineRule="auto"/>
        <w:ind w:firstLine="709"/>
        <w:jc w:val="both"/>
        <w:rPr>
          <w:rFonts w:ascii="Verdana" w:eastAsia="Aptos" w:hAnsi="Verdana" w:cs="Arial"/>
          <w:lang w:val="es-ES" w:eastAsia="es-MX"/>
        </w:rPr>
      </w:pPr>
      <w:r w:rsidRPr="00584C69">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2" w:name="_Hlk178832591"/>
      <w:r w:rsidRPr="00584C69">
        <w:rPr>
          <w:rFonts w:ascii="Verdana" w:eastAsia="Aptos" w:hAnsi="Verdana" w:cs="Arial"/>
          <w:lang w:val="es-ES" w:eastAsia="es-MX"/>
        </w:rPr>
        <w:t xml:space="preserve">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584C69">
        <w:rPr>
          <w:rFonts w:ascii="Verdana" w:eastAsia="Aptos" w:hAnsi="Verdana" w:cs="Arial"/>
          <w:lang w:val="es-ES" w:eastAsia="es-MX"/>
        </w:rPr>
        <w:t>postcontractual</w:t>
      </w:r>
      <w:proofErr w:type="spellEnd"/>
      <w:r w:rsidRPr="00584C69">
        <w:rPr>
          <w:rFonts w:ascii="Verdana" w:eastAsia="Aptos" w:hAnsi="Verdana" w:cs="Arial"/>
          <w:lang w:val="es-ES" w:eastAsia="es-MX"/>
        </w:rPr>
        <w:t xml:space="preserve"> deberán ser publicados en SECOP ll.</w:t>
      </w:r>
      <w:bookmarkEnd w:id="2"/>
    </w:p>
    <w:p w14:paraId="06C37BF2" w14:textId="77777777" w:rsidR="00584C69" w:rsidRPr="00584C69" w:rsidRDefault="00584C69" w:rsidP="006D1C22">
      <w:pPr>
        <w:spacing w:after="0" w:line="276" w:lineRule="auto"/>
        <w:jc w:val="both"/>
        <w:rPr>
          <w:rFonts w:ascii="Verdana" w:eastAsia="Aptos" w:hAnsi="Verdana" w:cs="Arial"/>
          <w:lang w:val="es-ES" w:eastAsia="es-MX"/>
        </w:rPr>
      </w:pPr>
    </w:p>
    <w:p w14:paraId="1476AD83"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rPr>
      </w:pPr>
      <w:r w:rsidRPr="00584C69">
        <w:rPr>
          <w:rFonts w:ascii="Verdana" w:eastAsia="Century Gothic" w:hAnsi="Verdana" w:cs="Century Gothic"/>
          <w:b/>
          <w:bCs/>
        </w:rPr>
        <w:t>4. Referencias normativas, jurisprudenciales y otras fuentes:</w:t>
      </w:r>
    </w:p>
    <w:p w14:paraId="27EB2FB7"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color w:val="EE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4C69" w:rsidRPr="00584C69" w14:paraId="6147966D" w14:textId="77777777" w:rsidTr="000118AD">
        <w:trPr>
          <w:trHeight w:val="870"/>
        </w:trPr>
        <w:tc>
          <w:tcPr>
            <w:tcW w:w="8647" w:type="dxa"/>
          </w:tcPr>
          <w:p w14:paraId="04925102"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lang w:val="es-ES"/>
              </w:rPr>
              <w:t>Constitución Política de Colombia, artículo 209.</w:t>
            </w:r>
          </w:p>
          <w:p w14:paraId="7C3A5ED0"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lang w:val="es-ES"/>
              </w:rPr>
              <w:t>Ley 1150 de 2007, artículo 3.</w:t>
            </w:r>
          </w:p>
          <w:p w14:paraId="66544E64"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color w:val="000000" w:themeColor="text1"/>
                <w:lang w:val="es-ES"/>
              </w:rPr>
              <w:t xml:space="preserve">Decreto 1082 de 2015, artículo </w:t>
            </w:r>
            <w:r w:rsidRPr="00584C69">
              <w:rPr>
                <w:rFonts w:ascii="Verdana" w:hAnsi="Verdana"/>
                <w:lang w:val="es-ES" w:eastAsia="es-ES_tradnl"/>
              </w:rPr>
              <w:t>2.2.1.1.1.7.1.</w:t>
            </w:r>
          </w:p>
          <w:p w14:paraId="4B5043D8"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lang w:val="es-ES"/>
              </w:rPr>
              <w:t xml:space="preserve">Agencia Nacional de Contratación Pública - Colombia Compra Eficiente. Circular Externa Única. </w:t>
            </w:r>
            <w:hyperlink r:id="rId12" w:history="1">
              <w:r w:rsidRPr="00584C69">
                <w:rPr>
                  <w:rFonts w:ascii="Verdana" w:hAnsi="Verdana" w:cs="Arial"/>
                  <w:color w:val="0000FF"/>
                  <w:u w:val="single"/>
                  <w:lang w:val="es-ES"/>
                </w:rPr>
                <w:t>https://www.colombiacompra.gov.co/normativa-y-relatoria/circular-unica-externa</w:t>
              </w:r>
            </w:hyperlink>
          </w:p>
        </w:tc>
      </w:tr>
    </w:tbl>
    <w:p w14:paraId="1262AF17"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color w:val="EE0000"/>
          <w:lang w:val="es-ES"/>
        </w:rPr>
      </w:pPr>
    </w:p>
    <w:p w14:paraId="6EE3B083"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lang w:val="es-ES"/>
        </w:rPr>
      </w:pPr>
      <w:r w:rsidRPr="00584C69">
        <w:rPr>
          <w:rFonts w:ascii="Verdana" w:eastAsia="Century Gothic" w:hAnsi="Verdana" w:cs="Century Gothic"/>
          <w:b/>
          <w:bCs/>
          <w:lang w:val="es-ES"/>
        </w:rPr>
        <w:t>5. Doctrina de la Agencia Nacional de Contratación Pública:</w:t>
      </w:r>
    </w:p>
    <w:p w14:paraId="2FF78368" w14:textId="77777777" w:rsidR="00584C69" w:rsidRPr="00584C69" w:rsidRDefault="00584C69" w:rsidP="00584C69">
      <w:pPr>
        <w:spacing w:after="0" w:line="276" w:lineRule="auto"/>
        <w:ind w:firstLine="709"/>
        <w:jc w:val="both"/>
        <w:rPr>
          <w:rFonts w:ascii="Verdana" w:eastAsia="Times New Roman" w:hAnsi="Verdana" w:cs="Arial"/>
          <w:color w:val="EE0000"/>
          <w:szCs w:val="24"/>
          <w:lang w:val="es-ES" w:eastAsia="es-ES_tradnl"/>
        </w:rPr>
      </w:pPr>
    </w:p>
    <w:p w14:paraId="45790353" w14:textId="77777777" w:rsidR="00584C69" w:rsidRPr="00584C69" w:rsidRDefault="00584C69" w:rsidP="00584C69">
      <w:pPr>
        <w:spacing w:after="0" w:line="276" w:lineRule="auto"/>
        <w:jc w:val="both"/>
        <w:rPr>
          <w:rFonts w:ascii="Verdana" w:hAnsi="Verdana" w:cs="Arial"/>
          <w:highlight w:val="yellow"/>
          <w:shd w:val="clear" w:color="auto" w:fill="FFFFFF"/>
          <w:lang w:val="es-ES"/>
        </w:rPr>
      </w:pPr>
      <w:r w:rsidRPr="00584C69">
        <w:rPr>
          <w:rFonts w:ascii="Verdana" w:eastAsia="Calibri" w:hAnsi="Verdana" w:cs="Arial"/>
          <w:bCs/>
          <w:lang w:val="es-ES"/>
        </w:rPr>
        <w:t xml:space="preserve">La Agencia Nacional de Contratación Pública </w:t>
      </w:r>
      <w:r w:rsidRPr="00584C69">
        <w:rPr>
          <w:rFonts w:ascii="Verdana" w:eastAsia="Calibri" w:hAnsi="Verdana" w:cs="Arial"/>
          <w:bCs/>
        </w:rPr>
        <w:t xml:space="preserve">estudió el deber de publicidad de las actuaciones contractuales, en los conceptos con radicado No. 4201913000005397 del 9 de agosto de 2019, 4201912000006611 del 25 de septiembre de 2019, </w:t>
      </w:r>
      <w:r w:rsidRPr="00584C69">
        <w:rPr>
          <w:rFonts w:ascii="Verdana" w:eastAsia="Calibri" w:hAnsi="Verdana" w:cs="Arial"/>
        </w:rPr>
        <w:t xml:space="preserve">4201913000006847 del 4 de octubre de 2019, </w:t>
      </w:r>
      <w:r w:rsidRPr="00584C69">
        <w:rPr>
          <w:rFonts w:ascii="Verdana" w:eastAsia="Calibri" w:hAnsi="Verdana" w:cs="Arial"/>
          <w:bCs/>
        </w:rPr>
        <w:t>4201912000007828 del 13 de noviembre de 2019,</w:t>
      </w:r>
      <w:r w:rsidRPr="00584C69">
        <w:rPr>
          <w:rFonts w:ascii="Verdana" w:eastAsia="Calibri" w:hAnsi="Verdana" w:cs="Arial"/>
        </w:rPr>
        <w:t xml:space="preserve"> </w:t>
      </w:r>
      <w:r w:rsidRPr="00584C69">
        <w:rPr>
          <w:rFonts w:ascii="Verdana" w:eastAsia="Calibri" w:hAnsi="Verdana" w:cs="Arial"/>
          <w:bCs/>
        </w:rPr>
        <w:t xml:space="preserve">4201912000007762 del 18 de noviembre de 2019. Las posturas expuestas por la Subdirección en relación con la materia, </w:t>
      </w:r>
      <w:r w:rsidRPr="00584C69">
        <w:rPr>
          <w:rFonts w:ascii="Verdana" w:eastAsia="Calibri" w:hAnsi="Verdana" w:cs="Arial"/>
        </w:rPr>
        <w:t xml:space="preserve">fueron unificadas en el concepto CU–003 de 3 de enero de 2020, confirmado en los conceptos C–061 de 21 de enero de 2020, C–115 de 11 de febrero de 2020, C–149 de 14 de febrero de 2020, C–312 del 6 de mayo de 2020, C–346 del 26 de mayo de 2020, C-369 del 4 de junio de 2020, C-399 del 23 de junio de 2020, C-372 del 30 de junio de 2020, C-437 del 6 de julio de 2020, C-468 del 24 de julio de 2020, C-494 del 4 de agosto de 2020, C-449 del </w:t>
      </w:r>
      <w:r w:rsidRPr="00584C69">
        <w:rPr>
          <w:rFonts w:ascii="Verdana" w:eastAsia="Calibri" w:hAnsi="Verdana" w:cs="Arial"/>
        </w:rPr>
        <w:lastRenderedPageBreak/>
        <w:t xml:space="preserve">5 de agosto de 2020, C-559  del 25 de agosto de 2020, C-562 del 25 de agosto de 2020, C-574 del 27 de agosto de 2020, C-146 del 4 de marzo de 2025, C-468 del 19 de mayo de 2025 y C-707 del 14 de julio de 2025. </w:t>
      </w:r>
      <w:r w:rsidRPr="00584C69">
        <w:rPr>
          <w:rFonts w:ascii="Verdana" w:eastAsia="Calibri" w:hAnsi="Verdana" w:cs="Arial"/>
          <w:lang w:val="es-ES_tradnl" w:eastAsia="es-ES_tradnl"/>
        </w:rPr>
        <w:t xml:space="preserve">Estos y otros conceptos se encuentran disponibles para consulta en el Sistema de relatoría de la Agencia, al cual se puede acceder a través del siguiente enlace: </w:t>
      </w:r>
      <w:hyperlink r:id="rId13" w:history="1">
        <w:r w:rsidRPr="00584C69">
          <w:rPr>
            <w:rFonts w:ascii="Verdana" w:eastAsia="Calibri" w:hAnsi="Verdana" w:cs="Arial"/>
            <w:color w:val="0000FF"/>
            <w:u w:val="single"/>
            <w:lang w:val="es-ES_tradnl" w:eastAsia="es-ES_tradnl"/>
          </w:rPr>
          <w:t>https://relatoria.colombiacompra.gov.co</w:t>
        </w:r>
      </w:hyperlink>
    </w:p>
    <w:p w14:paraId="7CC25A51" w14:textId="77777777" w:rsidR="00584C69" w:rsidRPr="00584C69" w:rsidRDefault="00584C69" w:rsidP="00584C69">
      <w:pPr>
        <w:spacing w:after="0" w:line="276" w:lineRule="auto"/>
        <w:jc w:val="both"/>
        <w:rPr>
          <w:rFonts w:ascii="Verdana" w:hAnsi="Verdana"/>
          <w:color w:val="EE0000"/>
        </w:rPr>
      </w:pPr>
    </w:p>
    <w:p w14:paraId="470FD720" w14:textId="77777777" w:rsidR="00584C69" w:rsidRPr="00584C69" w:rsidRDefault="00584C69" w:rsidP="00584C69">
      <w:pPr>
        <w:spacing w:after="0" w:line="276" w:lineRule="auto"/>
        <w:jc w:val="both"/>
        <w:rPr>
          <w:rFonts w:ascii="Verdana" w:hAnsi="Verdana"/>
          <w:color w:val="4472C4" w:themeColor="accent1"/>
        </w:rPr>
      </w:pPr>
      <w:r w:rsidRPr="00584C69">
        <w:rPr>
          <w:rFonts w:ascii="Verdana" w:hAnsi="Verdana"/>
        </w:rPr>
        <w:t>También le contamos que ya se encuentra disponible la </w:t>
      </w:r>
      <w:r w:rsidRPr="00584C69">
        <w:rPr>
          <w:rFonts w:ascii="Verdana" w:hAnsi="Verdana"/>
          <w:b/>
          <w:bCs/>
        </w:rPr>
        <w:t>Guía de lineamientos de transparencia y selección objetiva para el departamento de La Guajira – Objetivo sexto constitucional de la Sentencia T-302 del 2017. </w:t>
      </w:r>
      <w:r w:rsidRPr="00584C69">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84C69">
        <w:rPr>
          <w:rFonts w:ascii="Verdana" w:hAnsi="Verdana"/>
        </w:rPr>
        <w:t>Wayúu</w:t>
      </w:r>
      <w:proofErr w:type="spellEnd"/>
      <w:r w:rsidRPr="00584C69">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584C69">
          <w:rPr>
            <w:rFonts w:ascii="Verdana" w:eastAsia="Calibri" w:hAnsi="Verdana" w:cs="Arial"/>
            <w:color w:val="0000FF"/>
            <w:u w:val="single"/>
            <w:lang w:val="es-ES_tradnl" w:eastAsia="es-ES_tradnl"/>
          </w:rPr>
          <w:t>Guía de lineamientos de transparencia y selección objetiva para el departamento de La Guajira – Objetivo sexto constitucional de la Sentencia T-302 del 2017</w:t>
        </w:r>
      </w:hyperlink>
      <w:r w:rsidRPr="00584C69">
        <w:rPr>
          <w:rFonts w:ascii="Verdana" w:eastAsia="Calibri" w:hAnsi="Verdana" w:cs="Arial"/>
          <w:color w:val="0000FF"/>
          <w:u w:val="single"/>
          <w:lang w:val="es-ES_tradnl" w:eastAsia="es-ES_tradnl"/>
        </w:rPr>
        <w:t>.</w:t>
      </w:r>
    </w:p>
    <w:p w14:paraId="45BCD0A6" w14:textId="77777777" w:rsidR="00584C69" w:rsidRPr="00584C69" w:rsidRDefault="00584C69" w:rsidP="00584C69">
      <w:pPr>
        <w:spacing w:after="0" w:line="240" w:lineRule="auto"/>
        <w:jc w:val="both"/>
        <w:rPr>
          <w:rFonts w:ascii="Verdana" w:hAnsi="Verdana"/>
        </w:rPr>
      </w:pPr>
    </w:p>
    <w:p w14:paraId="779D4AF7"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Por último, lo invitamos a seguirnos en las redes sociales en las cuales se difunde información institucional: </w:t>
      </w:r>
    </w:p>
    <w:p w14:paraId="6851DDB0" w14:textId="77777777" w:rsidR="00584C69" w:rsidRPr="00584C69" w:rsidRDefault="00584C69" w:rsidP="00584C69">
      <w:pPr>
        <w:spacing w:after="0" w:line="240" w:lineRule="auto"/>
        <w:jc w:val="both"/>
        <w:rPr>
          <w:rFonts w:ascii="Verdana" w:hAnsi="Verdana"/>
        </w:rPr>
      </w:pPr>
    </w:p>
    <w:p w14:paraId="27B2A1CC"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Twitter: </w:t>
      </w:r>
      <w:r w:rsidRPr="00584C69">
        <w:rPr>
          <w:rFonts w:ascii="Verdana" w:eastAsia="Calibri" w:hAnsi="Verdana" w:cs="Arial"/>
          <w:color w:val="0000FF"/>
          <w:u w:val="single"/>
          <w:lang w:val="es-ES_tradnl" w:eastAsia="es-ES_tradnl"/>
        </w:rPr>
        <w:t>@colombiacompra</w:t>
      </w:r>
      <w:r w:rsidRPr="00584C69">
        <w:rPr>
          <w:rFonts w:ascii="Verdana" w:hAnsi="Verdana"/>
          <w:color w:val="4472C4" w:themeColor="accent1"/>
        </w:rPr>
        <w:t xml:space="preserve"> </w:t>
      </w:r>
    </w:p>
    <w:p w14:paraId="0AF5E86D"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Facebook: </w:t>
      </w:r>
      <w:proofErr w:type="spellStart"/>
      <w:r w:rsidRPr="00584C69">
        <w:rPr>
          <w:rFonts w:ascii="Verdana" w:eastAsia="Calibri" w:hAnsi="Verdana" w:cs="Arial"/>
          <w:color w:val="0000FF"/>
          <w:u w:val="single"/>
          <w:lang w:val="es-ES_tradnl" w:eastAsia="es-ES_tradnl"/>
        </w:rPr>
        <w:t>ColombiaCompraEficiente</w:t>
      </w:r>
      <w:proofErr w:type="spellEnd"/>
    </w:p>
    <w:p w14:paraId="16E264DB"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LinkedIn: </w:t>
      </w:r>
      <w:r w:rsidRPr="00584C69">
        <w:rPr>
          <w:rFonts w:ascii="Verdana" w:eastAsia="Calibri" w:hAnsi="Verdana" w:cs="Arial"/>
          <w:color w:val="0000FF"/>
          <w:u w:val="single"/>
          <w:lang w:val="es-ES_tradnl" w:eastAsia="es-ES_tradnl"/>
        </w:rPr>
        <w:t>Agencia Nacional de Contratación Pública - Colombia Compra Eficiente</w:t>
      </w:r>
      <w:r w:rsidRPr="00584C69">
        <w:rPr>
          <w:rFonts w:ascii="Verdana" w:hAnsi="Verdana"/>
          <w:color w:val="4472C4" w:themeColor="accent1"/>
        </w:rPr>
        <w:t xml:space="preserve"> </w:t>
      </w:r>
      <w:r w:rsidRPr="00584C69">
        <w:rPr>
          <w:rFonts w:ascii="Verdana" w:hAnsi="Verdana"/>
        </w:rPr>
        <w:t xml:space="preserve">Instagram: </w:t>
      </w:r>
      <w:r w:rsidRPr="00584C69">
        <w:rPr>
          <w:rFonts w:ascii="Verdana" w:eastAsia="Calibri" w:hAnsi="Verdana" w:cs="Arial"/>
          <w:color w:val="0000FF"/>
          <w:u w:val="single"/>
          <w:lang w:val="es-ES_tradnl" w:eastAsia="es-ES_tradnl"/>
        </w:rPr>
        <w:t>@colombiacompraeficiente_cce</w:t>
      </w:r>
    </w:p>
    <w:p w14:paraId="0643F570" w14:textId="77777777" w:rsidR="00584C69" w:rsidRPr="00584C69" w:rsidRDefault="00584C69" w:rsidP="00584C69">
      <w:pPr>
        <w:widowControl w:val="0"/>
        <w:autoSpaceDE w:val="0"/>
        <w:autoSpaceDN w:val="0"/>
        <w:spacing w:after="0" w:line="276" w:lineRule="auto"/>
        <w:jc w:val="both"/>
        <w:rPr>
          <w:rFonts w:ascii="Verdana" w:hAnsi="Verdana"/>
        </w:rPr>
      </w:pPr>
    </w:p>
    <w:p w14:paraId="782B6EEC" w14:textId="77777777" w:rsidR="00584C69" w:rsidRPr="00584C69" w:rsidRDefault="00584C69" w:rsidP="00584C69">
      <w:pPr>
        <w:widowControl w:val="0"/>
        <w:autoSpaceDE w:val="0"/>
        <w:autoSpaceDN w:val="0"/>
        <w:spacing w:after="0" w:line="276" w:lineRule="auto"/>
        <w:jc w:val="both"/>
        <w:rPr>
          <w:rFonts w:ascii="Verdana" w:hAnsi="Verdana" w:cs="Arial"/>
          <w:lang w:val="es-ES_tradnl"/>
        </w:rPr>
      </w:pPr>
      <w:r w:rsidRPr="00584C69">
        <w:rPr>
          <w:rFonts w:ascii="Verdana" w:hAnsi="Verdana" w:cs="Arial"/>
        </w:rPr>
        <w:t xml:space="preserve">Este concepto tiene el alcance previsto en el artículo 28 del Código de Procedimiento Administrativo y de lo Contencioso Administrativo </w:t>
      </w:r>
      <w:r w:rsidRPr="00584C69">
        <w:rPr>
          <w:rFonts w:ascii="Verdana" w:hAnsi="Verdana" w:cs="Arial"/>
          <w:lang w:val="es-ES_tradnl"/>
        </w:rPr>
        <w:t>y las expresiones aquí utilizadas con mayúscula inicial deben ser entendidas con el significado que les otorga el artículo 2.2.1.1.1.3.1. del Decreto 1082 de 2015.</w:t>
      </w:r>
    </w:p>
    <w:p w14:paraId="354B5E81" w14:textId="77777777" w:rsidR="00584C69" w:rsidRPr="00584C69" w:rsidRDefault="00584C69" w:rsidP="00584C69">
      <w:pPr>
        <w:spacing w:after="0" w:line="276" w:lineRule="auto"/>
        <w:ind w:firstLine="709"/>
        <w:jc w:val="both"/>
        <w:rPr>
          <w:rFonts w:ascii="Verdana" w:eastAsia="Times New Roman" w:hAnsi="Verdana" w:cs="Arial"/>
          <w:szCs w:val="24"/>
          <w:lang w:val="es-ES_tradnl" w:eastAsia="es-ES_tradnl"/>
        </w:rPr>
      </w:pPr>
    </w:p>
    <w:p w14:paraId="27753DA0" w14:textId="77777777" w:rsidR="00584C69" w:rsidRPr="00584C69" w:rsidRDefault="00584C69" w:rsidP="00584C69">
      <w:pPr>
        <w:spacing w:after="0" w:line="276" w:lineRule="auto"/>
        <w:jc w:val="both"/>
        <w:rPr>
          <w:rFonts w:ascii="Verdana" w:eastAsia="Times New Roman" w:hAnsi="Verdana" w:cs="Arial"/>
          <w:lang w:val="es-ES_tradnl" w:eastAsia="es-CO"/>
        </w:rPr>
      </w:pPr>
      <w:bookmarkStart w:id="3" w:name="_Hlk117695077"/>
      <w:r w:rsidRPr="00584C69">
        <w:rPr>
          <w:rFonts w:ascii="Verdana" w:eastAsia="Times New Roman" w:hAnsi="Verdana" w:cs="Arial"/>
          <w:lang w:val="es-ES_tradnl" w:eastAsia="es-CO"/>
        </w:rPr>
        <w:t>Atentamente,</w:t>
      </w:r>
    </w:p>
    <w:p w14:paraId="57C9F6E5" w14:textId="77777777" w:rsidR="00584C69" w:rsidRPr="00584C69" w:rsidRDefault="00584C69" w:rsidP="00584C69">
      <w:pPr>
        <w:spacing w:after="0" w:line="276" w:lineRule="auto"/>
        <w:jc w:val="both"/>
        <w:rPr>
          <w:rFonts w:ascii="Verdana" w:eastAsia="Times New Roman" w:hAnsi="Verdana" w:cs="Arial"/>
          <w:color w:val="EE0000"/>
          <w:lang w:val="es-ES_tradnl" w:eastAsia="es-CO"/>
        </w:rPr>
      </w:pPr>
    </w:p>
    <w:bookmarkEnd w:id="3"/>
    <w:p w14:paraId="7A118BE0" w14:textId="057805C1" w:rsidR="00584C69" w:rsidRPr="00584C69" w:rsidRDefault="004106A1" w:rsidP="00584C69">
      <w:pPr>
        <w:spacing w:after="18" w:line="240" w:lineRule="auto"/>
        <w:jc w:val="center"/>
        <w:rPr>
          <w:rFonts w:ascii="Verdana" w:eastAsia="Times New Roman" w:hAnsi="Verdana" w:cs="Arial"/>
          <w:color w:val="EE0000"/>
          <w:sz w:val="24"/>
          <w:szCs w:val="24"/>
          <w:lang w:eastAsia="es-CO"/>
        </w:rPr>
      </w:pPr>
      <w:r>
        <w:rPr>
          <w:noProof/>
        </w:rPr>
        <w:lastRenderedPageBreak/>
        <w:drawing>
          <wp:inline distT="0" distB="0" distL="0" distR="0" wp14:anchorId="688180FF" wp14:editId="4B3EA63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84C69" w:rsidRPr="00584C69" w14:paraId="2AD79FDB" w14:textId="77777777" w:rsidTr="000118AD">
        <w:trPr>
          <w:trHeight w:val="286"/>
        </w:trPr>
        <w:tc>
          <w:tcPr>
            <w:tcW w:w="893" w:type="dxa"/>
            <w:vAlign w:val="center"/>
            <w:hideMark/>
          </w:tcPr>
          <w:p w14:paraId="0E3004AB"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Elaboró:</w:t>
            </w:r>
          </w:p>
        </w:tc>
        <w:tc>
          <w:tcPr>
            <w:tcW w:w="4777" w:type="dxa"/>
            <w:vAlign w:val="center"/>
            <w:hideMark/>
          </w:tcPr>
          <w:p w14:paraId="632FC400" w14:textId="77777777" w:rsidR="00584C69" w:rsidRPr="00584C69" w:rsidRDefault="00584C69" w:rsidP="00584C69">
            <w:pPr>
              <w:rPr>
                <w:rFonts w:ascii="Verdana" w:eastAsia="Times New Roman" w:hAnsi="Verdana" w:cs="Arial"/>
                <w:sz w:val="16"/>
                <w:szCs w:val="16"/>
                <w:lang w:val="es-ES_tradnl" w:eastAsia="es-ES"/>
              </w:rPr>
            </w:pPr>
          </w:p>
          <w:p w14:paraId="3A7F1076" w14:textId="77777777" w:rsidR="00584C69" w:rsidRPr="00584C69" w:rsidRDefault="00584C69" w:rsidP="00584C69">
            <w:pPr>
              <w:rPr>
                <w:rFonts w:ascii="Verdana" w:eastAsia="Times New Roman" w:hAnsi="Verdana" w:cs="Arial"/>
                <w:sz w:val="16"/>
                <w:szCs w:val="16"/>
                <w:lang w:val="es-ES_tradnl" w:eastAsia="es-ES"/>
              </w:rPr>
            </w:pPr>
            <w:r w:rsidRPr="00584C69">
              <w:rPr>
                <w:rFonts w:ascii="Verdana" w:eastAsia="Times New Roman" w:hAnsi="Verdana" w:cs="Arial"/>
                <w:sz w:val="16"/>
                <w:szCs w:val="16"/>
                <w:lang w:val="es-ES_tradnl" w:eastAsia="es-ES"/>
              </w:rPr>
              <w:t>Ximena Ríos López</w:t>
            </w:r>
          </w:p>
          <w:p w14:paraId="37A75E40"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Gestor T1-11 de la Subdirección de Gestión Contractual</w:t>
            </w:r>
          </w:p>
        </w:tc>
      </w:tr>
      <w:tr w:rsidR="00584C69" w:rsidRPr="00584C69" w14:paraId="760357A5" w14:textId="77777777" w:rsidTr="000118AD">
        <w:trPr>
          <w:trHeight w:val="299"/>
        </w:trPr>
        <w:tc>
          <w:tcPr>
            <w:tcW w:w="893" w:type="dxa"/>
            <w:vAlign w:val="center"/>
            <w:hideMark/>
          </w:tcPr>
          <w:p w14:paraId="2D1C6FE6"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Revisó:</w:t>
            </w:r>
          </w:p>
        </w:tc>
        <w:tc>
          <w:tcPr>
            <w:tcW w:w="4777" w:type="dxa"/>
            <w:vAlign w:val="center"/>
            <w:hideMark/>
          </w:tcPr>
          <w:p w14:paraId="36FD8E24" w14:textId="28755111" w:rsidR="00584C69" w:rsidRPr="00584C69" w:rsidRDefault="00584C69" w:rsidP="00584C69">
            <w:pPr>
              <w:rPr>
                <w:rFonts w:ascii="Verdana" w:eastAsia="Times New Roman" w:hAnsi="Verdana" w:cs="Arial"/>
                <w:sz w:val="16"/>
                <w:szCs w:val="16"/>
                <w:lang w:val="es-ES_tradnl" w:eastAsia="es-ES"/>
              </w:rPr>
            </w:pPr>
            <w:r w:rsidRPr="00584C69">
              <w:rPr>
                <w:rFonts w:ascii="Verdana" w:eastAsia="Times New Roman" w:hAnsi="Verdana" w:cs="Arial"/>
                <w:sz w:val="16"/>
                <w:szCs w:val="16"/>
                <w:lang w:val="es-ES_tradnl" w:eastAsia="es-ES"/>
              </w:rPr>
              <w:t xml:space="preserve">Diana </w:t>
            </w:r>
            <w:r w:rsidR="00AB722D">
              <w:rPr>
                <w:rFonts w:ascii="Verdana" w:eastAsia="Times New Roman" w:hAnsi="Verdana" w:cs="Arial"/>
                <w:sz w:val="16"/>
                <w:szCs w:val="16"/>
                <w:lang w:val="es-ES_tradnl" w:eastAsia="es-ES"/>
              </w:rPr>
              <w:t xml:space="preserve">Lucia </w:t>
            </w:r>
            <w:r w:rsidRPr="00584C69">
              <w:rPr>
                <w:rFonts w:ascii="Verdana" w:eastAsia="Times New Roman" w:hAnsi="Verdana" w:cs="Arial"/>
                <w:sz w:val="16"/>
                <w:szCs w:val="16"/>
                <w:lang w:val="es-ES_tradnl" w:eastAsia="es-ES"/>
              </w:rPr>
              <w:t>Saavedra</w:t>
            </w:r>
            <w:r w:rsidR="00AB722D">
              <w:rPr>
                <w:rFonts w:ascii="Verdana" w:eastAsia="Times New Roman" w:hAnsi="Verdana" w:cs="Arial"/>
                <w:sz w:val="16"/>
                <w:szCs w:val="16"/>
                <w:lang w:val="es-ES_tradnl" w:eastAsia="es-ES"/>
              </w:rPr>
              <w:t xml:space="preserve"> Castañeda</w:t>
            </w:r>
          </w:p>
          <w:p w14:paraId="3842CEC6"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Contratista de la Subdirección de Gestión Contractual</w:t>
            </w:r>
          </w:p>
        </w:tc>
      </w:tr>
      <w:tr w:rsidR="00584C69" w:rsidRPr="00584C69" w14:paraId="27D98200" w14:textId="77777777" w:rsidTr="000118AD">
        <w:trPr>
          <w:trHeight w:val="87"/>
        </w:trPr>
        <w:tc>
          <w:tcPr>
            <w:tcW w:w="893" w:type="dxa"/>
            <w:vAlign w:val="center"/>
            <w:hideMark/>
          </w:tcPr>
          <w:p w14:paraId="79464D59"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Aprobó:</w:t>
            </w:r>
          </w:p>
        </w:tc>
        <w:tc>
          <w:tcPr>
            <w:tcW w:w="4777" w:type="dxa"/>
            <w:vAlign w:val="center"/>
            <w:hideMark/>
          </w:tcPr>
          <w:p w14:paraId="19124BA4" w14:textId="77777777" w:rsidR="00584C69" w:rsidRPr="00584C69" w:rsidRDefault="00584C69" w:rsidP="00584C69">
            <w:pPr>
              <w:rPr>
                <w:rFonts w:ascii="Verdana" w:eastAsia="Times New Roman" w:hAnsi="Verdana" w:cs="Arial"/>
                <w:sz w:val="16"/>
                <w:szCs w:val="16"/>
                <w:lang w:eastAsia="es-ES"/>
              </w:rPr>
            </w:pPr>
            <w:r w:rsidRPr="00584C69">
              <w:rPr>
                <w:rFonts w:ascii="Verdana" w:eastAsia="Times New Roman" w:hAnsi="Verdana" w:cs="Arial"/>
                <w:sz w:val="16"/>
                <w:szCs w:val="16"/>
                <w:lang w:eastAsia="es-ES"/>
              </w:rPr>
              <w:t xml:space="preserve">Carolina Quintero </w:t>
            </w:r>
            <w:proofErr w:type="spellStart"/>
            <w:r w:rsidRPr="00584C69">
              <w:rPr>
                <w:rFonts w:ascii="Verdana" w:eastAsia="Times New Roman" w:hAnsi="Verdana" w:cs="Arial"/>
                <w:sz w:val="16"/>
                <w:szCs w:val="16"/>
                <w:lang w:eastAsia="es-ES"/>
              </w:rPr>
              <w:t>Gacharná</w:t>
            </w:r>
            <w:proofErr w:type="spellEnd"/>
          </w:p>
          <w:p w14:paraId="6DEC933D"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Subdirectora de Gestión Contractual ANCP – CCE</w:t>
            </w:r>
          </w:p>
        </w:tc>
      </w:tr>
      <w:tr w:rsidR="00584C69" w:rsidRPr="00584C69" w14:paraId="0C3E46DB" w14:textId="77777777" w:rsidTr="000118AD">
        <w:trPr>
          <w:trHeight w:val="87"/>
        </w:trPr>
        <w:tc>
          <w:tcPr>
            <w:tcW w:w="893" w:type="dxa"/>
            <w:vAlign w:val="center"/>
          </w:tcPr>
          <w:p w14:paraId="5E5CF0C5" w14:textId="77777777" w:rsidR="00584C69" w:rsidRPr="00584C69" w:rsidRDefault="00584C69" w:rsidP="00584C69">
            <w:pPr>
              <w:rPr>
                <w:rFonts w:ascii="Verdana" w:eastAsia="Times New Roman" w:hAnsi="Verdana" w:cs="Arial"/>
                <w:sz w:val="16"/>
                <w:szCs w:val="16"/>
                <w:lang w:eastAsia="es-ES"/>
              </w:rPr>
            </w:pPr>
            <w:r w:rsidRPr="00584C69">
              <w:rPr>
                <w:rFonts w:ascii="Verdana" w:eastAsia="Times New Roman" w:hAnsi="Verdana" w:cs="Arial"/>
                <w:sz w:val="16"/>
                <w:szCs w:val="16"/>
                <w:lang w:eastAsia="es-ES"/>
              </w:rPr>
              <w:t>Anexo:</w:t>
            </w:r>
          </w:p>
        </w:tc>
        <w:tc>
          <w:tcPr>
            <w:tcW w:w="4777" w:type="dxa"/>
            <w:vAlign w:val="center"/>
          </w:tcPr>
          <w:p w14:paraId="2E8DAD4E" w14:textId="77777777" w:rsidR="00584C69" w:rsidRPr="00584C69" w:rsidRDefault="00584C69" w:rsidP="00584C69">
            <w:pPr>
              <w:rPr>
                <w:rFonts w:ascii="Verdana" w:eastAsia="Times New Roman" w:hAnsi="Verdana" w:cs="Arial"/>
                <w:sz w:val="16"/>
                <w:szCs w:val="16"/>
                <w:lang w:eastAsia="es-ES"/>
              </w:rPr>
            </w:pPr>
            <w:r w:rsidRPr="00584C69">
              <w:rPr>
                <w:rFonts w:ascii="Verdana" w:eastAsia="Times New Roman" w:hAnsi="Verdana" w:cs="Arial"/>
                <w:sz w:val="16"/>
                <w:szCs w:val="16"/>
                <w:lang w:eastAsia="es-ES"/>
              </w:rPr>
              <w:t>Respuesta IDT</w:t>
            </w:r>
          </w:p>
        </w:tc>
      </w:tr>
      <w:tr w:rsidR="00584C69" w:rsidRPr="00584C69" w14:paraId="4C48E6D5" w14:textId="77777777" w:rsidTr="000118AD">
        <w:trPr>
          <w:trHeight w:val="272"/>
        </w:trPr>
        <w:tc>
          <w:tcPr>
            <w:tcW w:w="893" w:type="dxa"/>
            <w:vAlign w:val="center"/>
          </w:tcPr>
          <w:p w14:paraId="4C30F7E7" w14:textId="77777777" w:rsidR="00584C69" w:rsidRPr="00584C69" w:rsidRDefault="00584C69" w:rsidP="00584C69">
            <w:pPr>
              <w:rPr>
                <w:rFonts w:ascii="Verdana" w:eastAsia="Times New Roman" w:hAnsi="Verdana" w:cs="Arial"/>
                <w:color w:val="EE0000"/>
                <w:sz w:val="16"/>
                <w:szCs w:val="16"/>
                <w:lang w:eastAsia="es-ES"/>
              </w:rPr>
            </w:pPr>
          </w:p>
        </w:tc>
        <w:tc>
          <w:tcPr>
            <w:tcW w:w="4777" w:type="dxa"/>
            <w:vAlign w:val="center"/>
          </w:tcPr>
          <w:p w14:paraId="0DA3498A" w14:textId="77777777" w:rsidR="00584C69" w:rsidRPr="00584C69" w:rsidRDefault="00584C69" w:rsidP="00584C69">
            <w:pPr>
              <w:rPr>
                <w:rFonts w:ascii="Verdana" w:eastAsia="Times New Roman" w:hAnsi="Verdana" w:cs="Arial"/>
                <w:color w:val="EE0000"/>
                <w:sz w:val="16"/>
                <w:szCs w:val="16"/>
                <w:lang w:eastAsia="es-ES"/>
              </w:rPr>
            </w:pPr>
          </w:p>
        </w:tc>
      </w:tr>
    </w:tbl>
    <w:p w14:paraId="23CC5FF5" w14:textId="77777777" w:rsidR="00584C69" w:rsidRPr="00584C69" w:rsidRDefault="00584C69" w:rsidP="00584C69">
      <w:pPr>
        <w:spacing w:after="0" w:line="276" w:lineRule="auto"/>
        <w:jc w:val="both"/>
        <w:rPr>
          <w:rFonts w:ascii="Verdana" w:eastAsia="Times New Roman" w:hAnsi="Verdana" w:cs="Arial"/>
          <w:color w:val="EE0000"/>
          <w:lang w:val="es-ES_tradnl"/>
        </w:rPr>
      </w:pPr>
    </w:p>
    <w:p w14:paraId="728A0707" w14:textId="77777777" w:rsidR="00584C69" w:rsidRPr="00584C69" w:rsidRDefault="00584C69" w:rsidP="00584C69">
      <w:pPr>
        <w:spacing w:after="0" w:line="240" w:lineRule="auto"/>
        <w:rPr>
          <w:rFonts w:ascii="Verdana" w:eastAsia="Times New Roman" w:hAnsi="Verdana" w:cs="Arial"/>
          <w:color w:val="EE0000"/>
          <w:sz w:val="24"/>
          <w:szCs w:val="24"/>
          <w:lang w:eastAsia="es-ES_tradnl"/>
        </w:rPr>
      </w:pPr>
    </w:p>
    <w:p w14:paraId="343C8D42" w14:textId="77777777" w:rsidR="00584C69" w:rsidRPr="00584C69" w:rsidRDefault="00584C69" w:rsidP="00584C69">
      <w:pPr>
        <w:rPr>
          <w:rFonts w:ascii="Verdana" w:hAnsi="Verdana"/>
          <w:color w:val="EE0000"/>
        </w:rPr>
      </w:pPr>
    </w:p>
    <w:p w14:paraId="1203DE3E" w14:textId="77777777" w:rsidR="00584C69" w:rsidRPr="00584C69" w:rsidRDefault="00584C69" w:rsidP="00584C69"/>
    <w:p w14:paraId="3900974D" w14:textId="77777777" w:rsidR="003D5B0D" w:rsidRPr="00584C69" w:rsidRDefault="003D5B0D" w:rsidP="00584C69"/>
    <w:sectPr w:rsidR="003D5B0D" w:rsidRPr="00584C6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9BB12" w14:textId="77777777" w:rsidR="00830D62" w:rsidRDefault="00830D62" w:rsidP="004A1847">
      <w:pPr>
        <w:spacing w:after="0" w:line="240" w:lineRule="auto"/>
      </w:pPr>
      <w:r>
        <w:separator/>
      </w:r>
    </w:p>
  </w:endnote>
  <w:endnote w:type="continuationSeparator" w:id="0">
    <w:p w14:paraId="0007AEC2" w14:textId="77777777" w:rsidR="00830D62" w:rsidRDefault="00830D6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8DC53" w14:textId="77777777" w:rsidR="00830D62" w:rsidRDefault="00830D62" w:rsidP="004A1847">
      <w:pPr>
        <w:spacing w:after="0" w:line="240" w:lineRule="auto"/>
      </w:pPr>
      <w:r>
        <w:separator/>
      </w:r>
    </w:p>
  </w:footnote>
  <w:footnote w:type="continuationSeparator" w:id="0">
    <w:p w14:paraId="672D9F36" w14:textId="77777777" w:rsidR="00830D62" w:rsidRDefault="00830D62" w:rsidP="004A1847">
      <w:pPr>
        <w:spacing w:after="0" w:line="240" w:lineRule="auto"/>
      </w:pPr>
      <w:r>
        <w:continuationSeparator/>
      </w:r>
    </w:p>
  </w:footnote>
  <w:footnote w:id="1">
    <w:p w14:paraId="4990932D" w14:textId="77777777" w:rsidR="00584C69" w:rsidRPr="00ED4C26" w:rsidRDefault="00584C69" w:rsidP="00584C69">
      <w:pPr>
        <w:pStyle w:val="Textonotapie"/>
        <w:ind w:firstLine="709"/>
        <w:jc w:val="both"/>
        <w:rPr>
          <w:rFonts w:ascii="Verdana" w:hAnsi="Verdana" w:cs="Arial"/>
          <w:sz w:val="16"/>
          <w:szCs w:val="16"/>
          <w:lang w:val="es-CO"/>
        </w:rPr>
      </w:pPr>
      <w:r w:rsidRPr="00ED4C26">
        <w:rPr>
          <w:rStyle w:val="Refdenotaalpie"/>
          <w:rFonts w:ascii="Verdana" w:hAnsi="Verdana"/>
          <w:sz w:val="16"/>
          <w:szCs w:val="16"/>
        </w:rPr>
        <w:footnoteRef/>
      </w:r>
      <w:r w:rsidRPr="00ED4C26">
        <w:rPr>
          <w:rFonts w:ascii="Verdana" w:hAnsi="Verdana"/>
          <w:sz w:val="16"/>
          <w:szCs w:val="16"/>
        </w:rPr>
        <w:t xml:space="preserve"> </w:t>
      </w:r>
      <w:r w:rsidRPr="00ED4C26">
        <w:rPr>
          <w:rFonts w:ascii="Verdana" w:hAnsi="Verdana" w:cs="Arial"/>
          <w:sz w:val="16"/>
          <w:szCs w:val="16"/>
        </w:rPr>
        <w:t>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y, a través de ese conocimiento, a exigir que ellas se surtan conforme a la ley». Corte Constitucional. Sentencia C- 341 del 4 de junio de 2014. M. P. Mauricio González Cuervo.</w:t>
      </w:r>
    </w:p>
    <w:p w14:paraId="4A6AF54C" w14:textId="77777777" w:rsidR="00584C69" w:rsidRPr="00ED4C26" w:rsidRDefault="00584C69" w:rsidP="00584C69">
      <w:pPr>
        <w:pStyle w:val="Textonotapie"/>
        <w:rPr>
          <w:rFonts w:ascii="Verdana" w:hAnsi="Verdana"/>
          <w:sz w:val="16"/>
          <w:szCs w:val="16"/>
          <w:lang w:val="es-CO"/>
        </w:rPr>
      </w:pPr>
    </w:p>
  </w:footnote>
  <w:footnote w:id="2">
    <w:p w14:paraId="0451372F" w14:textId="77777777" w:rsidR="00584C69" w:rsidRPr="00ED4C26" w:rsidRDefault="00584C69" w:rsidP="00584C69">
      <w:pPr>
        <w:pStyle w:val="Textonotapie"/>
        <w:ind w:firstLine="709"/>
        <w:jc w:val="both"/>
        <w:rPr>
          <w:rFonts w:ascii="Verdana" w:hAnsi="Verdana"/>
          <w:sz w:val="16"/>
          <w:szCs w:val="16"/>
        </w:rPr>
      </w:pPr>
      <w:r w:rsidRPr="00ED4C26">
        <w:rPr>
          <w:rStyle w:val="Refdenotaalpie"/>
          <w:rFonts w:ascii="Verdana" w:hAnsi="Verdana"/>
          <w:sz w:val="16"/>
          <w:szCs w:val="16"/>
        </w:rPr>
        <w:footnoteRef/>
      </w:r>
      <w:r w:rsidRPr="00ED4C26">
        <w:rPr>
          <w:rFonts w:ascii="Verdana" w:hAnsi="Verdana"/>
          <w:sz w:val="16"/>
          <w:szCs w:val="16"/>
        </w:rPr>
        <w:t xml:space="preserve"> Por medio de la cual se crea la Ley de Transparencia y del Derecho de Acceso a la Información Pública Nacional y se dictan otras disposiciones.</w:t>
      </w:r>
    </w:p>
    <w:p w14:paraId="3ABEBFFF" w14:textId="77777777" w:rsidR="00584C69" w:rsidRPr="00ED4C26" w:rsidRDefault="00584C69" w:rsidP="00584C69">
      <w:pPr>
        <w:pStyle w:val="Textonotapie"/>
        <w:ind w:firstLine="709"/>
        <w:jc w:val="both"/>
        <w:rPr>
          <w:rFonts w:ascii="Verdana" w:hAnsi="Verdana"/>
          <w:sz w:val="16"/>
          <w:szCs w:val="16"/>
          <w:lang w:val="es-ES"/>
        </w:rPr>
      </w:pPr>
    </w:p>
  </w:footnote>
  <w:footnote w:id="3">
    <w:p w14:paraId="42D85CC6" w14:textId="77777777" w:rsidR="00584C69" w:rsidRPr="00ED4C26" w:rsidRDefault="00584C69" w:rsidP="00584C69">
      <w:pPr>
        <w:pStyle w:val="Textonotapie"/>
        <w:ind w:firstLine="709"/>
        <w:jc w:val="both"/>
        <w:rPr>
          <w:rFonts w:ascii="Verdana" w:hAnsi="Verdana" w:cs="Arial"/>
          <w:color w:val="000000" w:themeColor="text1"/>
          <w:sz w:val="16"/>
          <w:szCs w:val="16"/>
        </w:rPr>
      </w:pPr>
      <w:r w:rsidRPr="00ED4C26">
        <w:rPr>
          <w:rStyle w:val="Refdenotaalpie"/>
          <w:rFonts w:ascii="Verdana" w:hAnsi="Verdana"/>
          <w:sz w:val="16"/>
          <w:szCs w:val="16"/>
        </w:rPr>
        <w:footnoteRef/>
      </w:r>
      <w:r w:rsidRPr="00ED4C26">
        <w:rPr>
          <w:rFonts w:ascii="Verdana" w:hAnsi="Verdana"/>
          <w:sz w:val="16"/>
          <w:szCs w:val="16"/>
        </w:rPr>
        <w:t xml:space="preserve"> </w:t>
      </w:r>
      <w:r w:rsidRPr="00ED4C26">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016BE82F" w14:textId="77777777" w:rsidR="00584C69" w:rsidRPr="00ED4C26" w:rsidRDefault="00584C69" w:rsidP="00584C69">
      <w:pPr>
        <w:pStyle w:val="Textonotapie"/>
        <w:ind w:firstLine="709"/>
        <w:rPr>
          <w:rFonts w:ascii="Verdana" w:hAnsi="Verdana"/>
          <w:sz w:val="16"/>
          <w:szCs w:val="16"/>
        </w:rPr>
      </w:pPr>
    </w:p>
  </w:footnote>
  <w:footnote w:id="4">
    <w:p w14:paraId="23B6F4CB" w14:textId="77777777" w:rsidR="00584C69" w:rsidRPr="006515D6" w:rsidRDefault="00584C69" w:rsidP="00584C69">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bookmarkStart w:id="1" w:name="3"/>
      <w:r w:rsidRPr="006515D6">
        <w:rPr>
          <w:rFonts w:ascii="Verdana" w:hAnsi="Verdana" w:cs="Arial"/>
          <w:sz w:val="16"/>
          <w:szCs w:val="16"/>
          <w:lang w:val="es-CO"/>
        </w:rPr>
        <w:t>Otros principios de la transparencia y acceso a la información pública.</w:t>
      </w:r>
      <w:bookmarkEnd w:id="1"/>
      <w:r w:rsidRPr="006515D6">
        <w:rPr>
          <w:rFonts w:ascii="Verdana" w:hAnsi="Verdana" w:cs="Arial"/>
          <w:sz w:val="16"/>
          <w:szCs w:val="16"/>
          <w:lang w:val="es-CO"/>
        </w:rPr>
        <w:t> </w:t>
      </w:r>
    </w:p>
    <w:p w14:paraId="3CD9DF8C" w14:textId="77777777" w:rsidR="00584C69" w:rsidRPr="00F0611A" w:rsidRDefault="00584C69" w:rsidP="00584C69">
      <w:pPr>
        <w:pStyle w:val="Textonotapie"/>
        <w:ind w:firstLine="707"/>
        <w:contextualSpacing/>
        <w:jc w:val="both"/>
        <w:rPr>
          <w:rFonts w:ascii="Verdana" w:hAnsi="Verdana" w:cs="Arial"/>
          <w:sz w:val="16"/>
          <w:szCs w:val="16"/>
          <w:lang w:val="es-CO"/>
        </w:rPr>
      </w:pPr>
      <w:r w:rsidRPr="006515D6">
        <w:rPr>
          <w:rFonts w:ascii="Verdana" w:hAnsi="Verdana" w:cs="Arial"/>
          <w:sz w:val="16"/>
          <w:szCs w:val="16"/>
          <w:lang w:val="es-CO"/>
        </w:rPr>
        <w:t>[…]</w:t>
      </w:r>
      <w:r>
        <w:rPr>
          <w:rFonts w:ascii="Verdana" w:hAnsi="Verdana" w:cs="Arial"/>
          <w:sz w:val="16"/>
          <w:szCs w:val="16"/>
          <w:lang w:val="es-CO"/>
        </w:rPr>
        <w:t xml:space="preserve"> </w:t>
      </w:r>
      <w:r w:rsidRPr="006515D6">
        <w:rPr>
          <w:rStyle w:val="baj"/>
          <w:rFonts w:ascii="Verdana" w:hAnsi="Verdana" w:cs="Arial"/>
          <w:sz w:val="16"/>
          <w:szCs w:val="16"/>
        </w:rPr>
        <w:t>Principio de transparencia</w:t>
      </w:r>
      <w:r w:rsidRPr="006515D6">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0D61CE00" w14:textId="77777777" w:rsidR="00584C69" w:rsidRPr="006515D6" w:rsidRDefault="00584C69" w:rsidP="00584C69">
      <w:pPr>
        <w:pStyle w:val="Textonotapie"/>
        <w:contextualSpacing/>
        <w:jc w:val="both"/>
        <w:rPr>
          <w:rFonts w:ascii="Verdana" w:hAnsi="Verdana" w:cs="Arial"/>
          <w:sz w:val="16"/>
          <w:szCs w:val="16"/>
          <w:lang w:val="es-CO"/>
        </w:rPr>
      </w:pPr>
    </w:p>
  </w:footnote>
  <w:footnote w:id="5">
    <w:p w14:paraId="7C288068" w14:textId="77777777" w:rsidR="00584C69" w:rsidRPr="006515D6" w:rsidRDefault="00584C69" w:rsidP="00584C69">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r w:rsidRPr="006515D6">
        <w:rPr>
          <w:rFonts w:ascii="Verdana" w:hAnsi="Verdana" w:cs="Arial"/>
          <w:sz w:val="16"/>
          <w:szCs w:val="16"/>
          <w:lang w:val="es-CO"/>
        </w:rPr>
        <w:t>Otros principios de la transparencia y acceso a la información pública. </w:t>
      </w:r>
    </w:p>
    <w:p w14:paraId="38D30EA4" w14:textId="77777777" w:rsidR="00584C69" w:rsidRPr="006515D6" w:rsidRDefault="00584C69" w:rsidP="00584C69">
      <w:pPr>
        <w:pStyle w:val="Textonotapie"/>
        <w:ind w:firstLine="707"/>
        <w:contextualSpacing/>
        <w:jc w:val="both"/>
        <w:rPr>
          <w:rFonts w:ascii="Verdana" w:hAnsi="Verdana" w:cs="Arial"/>
          <w:sz w:val="16"/>
          <w:szCs w:val="16"/>
          <w:lang w:val="es-ES"/>
        </w:rPr>
      </w:pPr>
      <w:r w:rsidRPr="006515D6">
        <w:rPr>
          <w:rFonts w:ascii="Verdana" w:hAnsi="Verdana" w:cs="Arial"/>
          <w:sz w:val="16"/>
          <w:szCs w:val="16"/>
          <w:lang w:val="es-ES"/>
        </w:rPr>
        <w:t>[…]</w:t>
      </w:r>
      <w:r>
        <w:rPr>
          <w:rFonts w:ascii="Verdana" w:hAnsi="Verdana" w:cs="Arial"/>
          <w:sz w:val="16"/>
          <w:szCs w:val="16"/>
          <w:lang w:val="es-ES"/>
        </w:rPr>
        <w:t xml:space="preserve"> </w:t>
      </w:r>
      <w:r w:rsidRPr="006515D6">
        <w:rPr>
          <w:rStyle w:val="baj"/>
          <w:rFonts w:ascii="Verdana" w:hAnsi="Verdana" w:cs="Arial"/>
          <w:sz w:val="16"/>
          <w:szCs w:val="16"/>
        </w:rPr>
        <w:t>Principio de buena fe</w:t>
      </w:r>
      <w:r w:rsidRPr="006515D6">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6">
    <w:p w14:paraId="13E582F8" w14:textId="77777777" w:rsidR="00584C69" w:rsidRPr="006515D6" w:rsidRDefault="00584C69" w:rsidP="00584C69">
      <w:pPr>
        <w:pStyle w:val="Textonotapie"/>
        <w:ind w:firstLine="707"/>
        <w:contextualSpacing/>
        <w:jc w:val="both"/>
        <w:rPr>
          <w:rFonts w:ascii="Verdana" w:hAnsi="Verdana" w:cs="Arial"/>
          <w:sz w:val="16"/>
          <w:szCs w:val="16"/>
        </w:rPr>
      </w:pPr>
    </w:p>
    <w:p w14:paraId="66DE3251" w14:textId="77777777" w:rsidR="00584C69" w:rsidRPr="00522572" w:rsidRDefault="00584C69" w:rsidP="00584C69">
      <w:pPr>
        <w:pStyle w:val="Textonotapie"/>
        <w:ind w:firstLine="707"/>
        <w:contextualSpacing/>
        <w:jc w:val="both"/>
        <w:rPr>
          <w:rFonts w:ascii="Verdana" w:hAnsi="Verdana" w:cs="Arial"/>
          <w:sz w:val="16"/>
          <w:szCs w:val="16"/>
          <w:shd w:val="clear" w:color="auto" w:fill="FFFFFF"/>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9. </w:t>
      </w:r>
      <w:r w:rsidRPr="006515D6">
        <w:rPr>
          <w:rFonts w:ascii="Verdana" w:hAnsi="Verdana" w:cs="Arial"/>
          <w:sz w:val="16"/>
          <w:szCs w:val="16"/>
          <w:shd w:val="clear" w:color="auto" w:fill="FFFFFF"/>
        </w:rPr>
        <w:t> </w:t>
      </w:r>
      <w:r w:rsidRPr="006515D6">
        <w:rPr>
          <w:rStyle w:val="nfasis"/>
          <w:rFonts w:ascii="Verdana" w:hAnsi="Verdana" w:cs="Arial"/>
          <w:sz w:val="16"/>
          <w:szCs w:val="16"/>
          <w:shd w:val="clear" w:color="auto" w:fill="FFFFFF"/>
        </w:rPr>
        <w:t>Información mínima obligatoria respecto a la estructura del sujeto obligado. </w:t>
      </w:r>
      <w:r w:rsidRPr="006515D6">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6515D6">
        <w:rPr>
          <w:rFonts w:ascii="Verdana" w:hAnsi="Verdana" w:cs="Arial"/>
          <w:sz w:val="16"/>
          <w:szCs w:val="16"/>
        </w:rPr>
        <w:t xml:space="preserve"> </w:t>
      </w:r>
      <w:r w:rsidRPr="006515D6">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6515D6">
        <w:rPr>
          <w:rFonts w:ascii="Verdana" w:hAnsi="Verdana" w:cs="Arial"/>
          <w:sz w:val="16"/>
          <w:szCs w:val="16"/>
        </w:rPr>
        <w:t>”.</w:t>
      </w:r>
    </w:p>
  </w:footnote>
  <w:footnote w:id="7">
    <w:p w14:paraId="753D3F8A" w14:textId="77777777" w:rsidR="00584C69" w:rsidRPr="006515D6" w:rsidRDefault="00584C69" w:rsidP="00584C69">
      <w:pPr>
        <w:spacing w:after="0" w:line="240" w:lineRule="auto"/>
        <w:ind w:firstLine="707"/>
        <w:contextualSpacing/>
        <w:jc w:val="both"/>
        <w:rPr>
          <w:rFonts w:ascii="Verdana" w:hAnsi="Verdana" w:cs="Arial"/>
          <w:sz w:val="16"/>
          <w:szCs w:val="16"/>
        </w:rPr>
      </w:pPr>
    </w:p>
    <w:p w14:paraId="49BB8379" w14:textId="77777777" w:rsidR="00584C69" w:rsidRPr="006515D6" w:rsidRDefault="00584C69" w:rsidP="00584C69">
      <w:pPr>
        <w:spacing w:after="0" w:line="240" w:lineRule="auto"/>
        <w:ind w:firstLine="707"/>
        <w:contextualSpacing/>
        <w:jc w:val="both"/>
        <w:rPr>
          <w:rFonts w:ascii="Verdana" w:hAnsi="Verdana" w:cs="Arial"/>
          <w:sz w:val="16"/>
          <w:szCs w:val="16"/>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5. Ámbito de aplicación. Las disposiciones de esta ley serán aplicables a las siguientes personas en calidad de sujetos obligados:</w:t>
      </w:r>
      <w:r>
        <w:rPr>
          <w:rFonts w:ascii="Verdana" w:hAnsi="Verdana" w:cs="Arial"/>
          <w:sz w:val="16"/>
          <w:szCs w:val="16"/>
        </w:rPr>
        <w:t xml:space="preserve"> </w:t>
      </w:r>
      <w:r w:rsidRPr="006515D6">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9AF99FD" w14:textId="77777777" w:rsidR="00584C69" w:rsidRPr="006515D6" w:rsidRDefault="00584C69" w:rsidP="00584C69">
      <w:pPr>
        <w:pStyle w:val="Textonotapie"/>
        <w:contextualSpacing/>
        <w:jc w:val="both"/>
        <w:rPr>
          <w:rFonts w:ascii="Verdana" w:hAnsi="Verdana" w:cs="Arial"/>
          <w:sz w:val="16"/>
          <w:szCs w:val="16"/>
        </w:rPr>
      </w:pPr>
    </w:p>
  </w:footnote>
  <w:footnote w:id="8">
    <w:p w14:paraId="20B3615E" w14:textId="77777777" w:rsidR="00584C69" w:rsidRDefault="00584C69" w:rsidP="00584C69">
      <w:pPr>
        <w:pStyle w:val="Textonotapie"/>
        <w:ind w:firstLine="709"/>
        <w:jc w:val="both"/>
      </w:pPr>
      <w:r w:rsidRPr="006515D6">
        <w:rPr>
          <w:rStyle w:val="Refdenotaalpie"/>
          <w:rFonts w:ascii="Verdana" w:hAnsi="Verdana"/>
          <w:sz w:val="16"/>
          <w:szCs w:val="16"/>
        </w:rPr>
        <w:footnoteRef/>
      </w:r>
      <w:r w:rsidRPr="006515D6">
        <w:rPr>
          <w:rFonts w:ascii="Verdana" w:hAnsi="Verdana"/>
          <w:sz w:val="16"/>
          <w:szCs w:val="16"/>
        </w:rPr>
        <w:t xml:space="preserve"> </w:t>
      </w:r>
      <w:r w:rsidRPr="006515D6">
        <w:rPr>
          <w:rFonts w:ascii="Verdana" w:hAnsi="Verdana"/>
          <w:sz w:val="16"/>
          <w:szCs w:val="16"/>
          <w:lang w:val="es-ES"/>
        </w:rPr>
        <w:t xml:space="preserve">Actualizada por la Circular Externa Única del 27 de diciembre de 2023. En </w:t>
      </w:r>
      <w:hyperlink r:id="rId1" w:history="1">
        <w:r w:rsidRPr="0054318D">
          <w:rPr>
            <w:rStyle w:val="Hipervnculo"/>
            <w:rFonts w:ascii="Verdana" w:hAnsi="Verdana" w:cs="Arial"/>
            <w:sz w:val="16"/>
            <w:szCs w:val="16"/>
          </w:rPr>
          <w:t>https://www.colombiacompra.gov.co/normativa-y-relatoria/circular-unica-externa</w:t>
        </w:r>
      </w:hyperlink>
    </w:p>
    <w:p w14:paraId="2B15B345" w14:textId="77777777" w:rsidR="00596981" w:rsidRPr="006515D6" w:rsidRDefault="00596981" w:rsidP="00584C69">
      <w:pPr>
        <w:pStyle w:val="Textonotapie"/>
        <w:ind w:firstLine="709"/>
        <w:jc w:val="both"/>
        <w:rPr>
          <w:rFonts w:ascii="Verdana" w:hAnsi="Verdana"/>
          <w:sz w:val="16"/>
          <w:szCs w:val="16"/>
          <w:lang w:val="es-ES"/>
        </w:rPr>
      </w:pPr>
    </w:p>
  </w:footnote>
  <w:footnote w:id="9">
    <w:p w14:paraId="1CAB208D" w14:textId="77777777" w:rsidR="00584C69" w:rsidRPr="006515D6" w:rsidRDefault="00584C69" w:rsidP="00584C69">
      <w:pPr>
        <w:pStyle w:val="Textonotapie"/>
        <w:ind w:firstLine="709"/>
        <w:jc w:val="both"/>
        <w:rPr>
          <w:rFonts w:ascii="Verdana" w:hAnsi="Verdana" w:cs="Arial"/>
          <w:color w:val="000000" w:themeColor="text1"/>
          <w:sz w:val="16"/>
          <w:szCs w:val="16"/>
          <w:lang w:val="es-CO"/>
        </w:rPr>
      </w:pPr>
      <w:r w:rsidRPr="006515D6">
        <w:rPr>
          <w:rStyle w:val="Refdenotaalpie"/>
          <w:rFonts w:ascii="Verdana" w:hAnsi="Verdana" w:cs="Arial"/>
          <w:color w:val="000000" w:themeColor="text1"/>
          <w:sz w:val="16"/>
          <w:szCs w:val="16"/>
        </w:rPr>
        <w:footnoteRef/>
      </w:r>
      <w:r w:rsidRPr="006515D6">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C2E"/>
    <w:rsid w:val="00016D78"/>
    <w:rsid w:val="00016F78"/>
    <w:rsid w:val="00046945"/>
    <w:rsid w:val="00057658"/>
    <w:rsid w:val="00061B2A"/>
    <w:rsid w:val="00082362"/>
    <w:rsid w:val="0009269C"/>
    <w:rsid w:val="000A683E"/>
    <w:rsid w:val="000B19B9"/>
    <w:rsid w:val="000D0334"/>
    <w:rsid w:val="000F6486"/>
    <w:rsid w:val="00125105"/>
    <w:rsid w:val="00127233"/>
    <w:rsid w:val="0012783F"/>
    <w:rsid w:val="001428E1"/>
    <w:rsid w:val="001511A0"/>
    <w:rsid w:val="00171970"/>
    <w:rsid w:val="0019388B"/>
    <w:rsid w:val="001E3D98"/>
    <w:rsid w:val="001E4177"/>
    <w:rsid w:val="001F7DC6"/>
    <w:rsid w:val="002421BB"/>
    <w:rsid w:val="0025796E"/>
    <w:rsid w:val="002707A2"/>
    <w:rsid w:val="002716FE"/>
    <w:rsid w:val="002951A0"/>
    <w:rsid w:val="002962BC"/>
    <w:rsid w:val="002A093D"/>
    <w:rsid w:val="002A0DD0"/>
    <w:rsid w:val="002A49AC"/>
    <w:rsid w:val="002A64FD"/>
    <w:rsid w:val="002B6209"/>
    <w:rsid w:val="002C7A84"/>
    <w:rsid w:val="002E4FD9"/>
    <w:rsid w:val="00322A85"/>
    <w:rsid w:val="00324168"/>
    <w:rsid w:val="003448F4"/>
    <w:rsid w:val="00374F5E"/>
    <w:rsid w:val="00377E3E"/>
    <w:rsid w:val="003A779E"/>
    <w:rsid w:val="003D0F4D"/>
    <w:rsid w:val="003D5B0D"/>
    <w:rsid w:val="003E0499"/>
    <w:rsid w:val="003F3941"/>
    <w:rsid w:val="00406575"/>
    <w:rsid w:val="004106A1"/>
    <w:rsid w:val="00414C74"/>
    <w:rsid w:val="0042722E"/>
    <w:rsid w:val="00433DEC"/>
    <w:rsid w:val="0044528D"/>
    <w:rsid w:val="00473251"/>
    <w:rsid w:val="004809D3"/>
    <w:rsid w:val="00490760"/>
    <w:rsid w:val="004A1847"/>
    <w:rsid w:val="004A305D"/>
    <w:rsid w:val="004F21C4"/>
    <w:rsid w:val="004F685F"/>
    <w:rsid w:val="00521E9C"/>
    <w:rsid w:val="00555EC4"/>
    <w:rsid w:val="005566E8"/>
    <w:rsid w:val="005712C9"/>
    <w:rsid w:val="00574867"/>
    <w:rsid w:val="00584C69"/>
    <w:rsid w:val="00591460"/>
    <w:rsid w:val="00596981"/>
    <w:rsid w:val="005B3816"/>
    <w:rsid w:val="005C3777"/>
    <w:rsid w:val="005C5CDC"/>
    <w:rsid w:val="005D476C"/>
    <w:rsid w:val="006219F8"/>
    <w:rsid w:val="006479A9"/>
    <w:rsid w:val="00665D70"/>
    <w:rsid w:val="006900D9"/>
    <w:rsid w:val="006B7212"/>
    <w:rsid w:val="006D1C22"/>
    <w:rsid w:val="00706C16"/>
    <w:rsid w:val="00756841"/>
    <w:rsid w:val="007649AB"/>
    <w:rsid w:val="007662E5"/>
    <w:rsid w:val="00771D0C"/>
    <w:rsid w:val="00774DD8"/>
    <w:rsid w:val="007833AC"/>
    <w:rsid w:val="007838AD"/>
    <w:rsid w:val="007B268C"/>
    <w:rsid w:val="007B7171"/>
    <w:rsid w:val="007C0C0F"/>
    <w:rsid w:val="007C3DC2"/>
    <w:rsid w:val="007E5497"/>
    <w:rsid w:val="00806F5F"/>
    <w:rsid w:val="00820278"/>
    <w:rsid w:val="00830D62"/>
    <w:rsid w:val="008408EE"/>
    <w:rsid w:val="00860E88"/>
    <w:rsid w:val="00867F95"/>
    <w:rsid w:val="008843B6"/>
    <w:rsid w:val="00891928"/>
    <w:rsid w:val="008A2F94"/>
    <w:rsid w:val="008A446D"/>
    <w:rsid w:val="008D180B"/>
    <w:rsid w:val="008E3AED"/>
    <w:rsid w:val="008F0EA7"/>
    <w:rsid w:val="00923EEF"/>
    <w:rsid w:val="009419F9"/>
    <w:rsid w:val="0095685E"/>
    <w:rsid w:val="00961B09"/>
    <w:rsid w:val="00965334"/>
    <w:rsid w:val="0097093E"/>
    <w:rsid w:val="00986AC5"/>
    <w:rsid w:val="009A0DFA"/>
    <w:rsid w:val="009B2D26"/>
    <w:rsid w:val="009C434A"/>
    <w:rsid w:val="009C71FA"/>
    <w:rsid w:val="009C72E7"/>
    <w:rsid w:val="009D3058"/>
    <w:rsid w:val="009F3A13"/>
    <w:rsid w:val="00A122D3"/>
    <w:rsid w:val="00A15C1B"/>
    <w:rsid w:val="00A17F13"/>
    <w:rsid w:val="00A20739"/>
    <w:rsid w:val="00A33C78"/>
    <w:rsid w:val="00AB0ADB"/>
    <w:rsid w:val="00AB6DC2"/>
    <w:rsid w:val="00AB722D"/>
    <w:rsid w:val="00B01B1A"/>
    <w:rsid w:val="00B05D7C"/>
    <w:rsid w:val="00B406E2"/>
    <w:rsid w:val="00B66319"/>
    <w:rsid w:val="00B72CD3"/>
    <w:rsid w:val="00B72FFF"/>
    <w:rsid w:val="00BC3D36"/>
    <w:rsid w:val="00BD7F72"/>
    <w:rsid w:val="00BE3D71"/>
    <w:rsid w:val="00C04FB3"/>
    <w:rsid w:val="00C1059A"/>
    <w:rsid w:val="00C1260F"/>
    <w:rsid w:val="00C14B6F"/>
    <w:rsid w:val="00C330EB"/>
    <w:rsid w:val="00C41061"/>
    <w:rsid w:val="00C754BE"/>
    <w:rsid w:val="00C76B1C"/>
    <w:rsid w:val="00CB4972"/>
    <w:rsid w:val="00CB6357"/>
    <w:rsid w:val="00CC1B26"/>
    <w:rsid w:val="00D423A2"/>
    <w:rsid w:val="00D520D8"/>
    <w:rsid w:val="00D63AC2"/>
    <w:rsid w:val="00D662A1"/>
    <w:rsid w:val="00D7383B"/>
    <w:rsid w:val="00D7615B"/>
    <w:rsid w:val="00D91A3D"/>
    <w:rsid w:val="00DA231B"/>
    <w:rsid w:val="00DC39FC"/>
    <w:rsid w:val="00DF5254"/>
    <w:rsid w:val="00E16408"/>
    <w:rsid w:val="00E20894"/>
    <w:rsid w:val="00E245AB"/>
    <w:rsid w:val="00E2764C"/>
    <w:rsid w:val="00E27F2E"/>
    <w:rsid w:val="00E50AFE"/>
    <w:rsid w:val="00E75C92"/>
    <w:rsid w:val="00E771DC"/>
    <w:rsid w:val="00E8772A"/>
    <w:rsid w:val="00E87F13"/>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584C6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84C69"/>
    <w:pPr>
      <w:spacing w:line="240" w:lineRule="exact"/>
    </w:pPr>
    <w:rPr>
      <w:vertAlign w:val="superscript"/>
    </w:rPr>
  </w:style>
  <w:style w:type="character" w:styleId="nfasis">
    <w:name w:val="Emphasis"/>
    <w:basedOn w:val="Fuentedeprrafopredeter"/>
    <w:uiPriority w:val="20"/>
    <w:qFormat/>
    <w:rsid w:val="00584C69"/>
    <w:rPr>
      <w:i/>
      <w:iCs/>
    </w:rPr>
  </w:style>
  <w:style w:type="character" w:customStyle="1" w:styleId="baj">
    <w:name w:val="b_aj"/>
    <w:basedOn w:val="Fuentedeprrafopredeter"/>
    <w:rsid w:val="00584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circular-unica-extern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idykarollmen@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9d85dbaf-23eb-4e57-a637-93dcacc8b1a1"/>
    <ds:schemaRef ds:uri="http://schemas.openxmlformats.org/package/2006/metadata/core-properties"/>
    <ds:schemaRef ds:uri="http://purl.org/dc/dcmitype/"/>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C83A033-CA88-4A8B-80F3-744994478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3373</Words>
  <Characters>18557</Characters>
  <Application>Microsoft Office Word</Application>
  <DocSecurity>0</DocSecurity>
  <Lines>154</Lines>
  <Paragraphs>43</Paragraphs>
  <ScaleCrop>false</ScaleCrop>
  <Company/>
  <LinksUpToDate>false</LinksUpToDate>
  <CharactersWithSpaces>21887</CharactersWithSpaces>
  <SharedDoc>false</SharedDoc>
  <HLinks>
    <vt:vector size="30"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3014713</vt:i4>
      </vt:variant>
      <vt:variant>
        <vt:i4>3</vt:i4>
      </vt:variant>
      <vt:variant>
        <vt:i4>0</vt:i4>
      </vt:variant>
      <vt:variant>
        <vt:i4>5</vt:i4>
      </vt:variant>
      <vt:variant>
        <vt:lpwstr>https://www.colombiacompra.gov.co/normativa-y-relatoria/circular-unica-externa</vt:lpwstr>
      </vt:variant>
      <vt:variant>
        <vt:lpwstr/>
      </vt:variant>
      <vt:variant>
        <vt:i4>1835060</vt:i4>
      </vt:variant>
      <vt:variant>
        <vt:i4>0</vt:i4>
      </vt:variant>
      <vt:variant>
        <vt:i4>0</vt:i4>
      </vt:variant>
      <vt:variant>
        <vt:i4>5</vt:i4>
      </vt:variant>
      <vt:variant>
        <vt:lpwstr>mailto:leidykarollmen@gmail.com</vt:lpwstr>
      </vt:variant>
      <vt:variant>
        <vt:lpwstr/>
      </vt:variant>
      <vt:variant>
        <vt:i4>3014713</vt:i4>
      </vt:variant>
      <vt:variant>
        <vt:i4>0</vt:i4>
      </vt:variant>
      <vt:variant>
        <vt:i4>0</vt:i4>
      </vt:variant>
      <vt:variant>
        <vt:i4>5</vt:i4>
      </vt:variant>
      <vt:variant>
        <vt:lpwstr>https://www.colombiacompra.gov.co/normativa-y-relatoria/circular-unica-externa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2025-08-19T16:55:00Z</dcterms:created>
  <dcterms:modified xsi:type="dcterms:W3CDTF">2025-08-19T16:55:00Z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