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C115AA" w14:textId="65DEC51C" w:rsidR="009B6BDE" w:rsidRDefault="009B6BDE" w:rsidP="00E245AB">
      <w:pPr>
        <w:spacing w:after="0"/>
        <w:rPr>
          <w:rFonts w:ascii="Verdana" w:hAnsi="Verdana"/>
          <w:sz w:val="20"/>
          <w:szCs w:val="20"/>
        </w:rPr>
      </w:pPr>
      <w:bookmarkStart w:id="0" w:name="_Hlk143780582"/>
    </w:p>
    <w:p w14:paraId="69572B9E" w14:textId="77777777" w:rsidR="009B6BDE" w:rsidRPr="006D62E9" w:rsidRDefault="009B6BDE" w:rsidP="009B6BDE">
      <w:pPr>
        <w:jc w:val="both"/>
        <w:rPr>
          <w:rFonts w:ascii="Verdana" w:hAnsi="Verdana" w:cs="Arial"/>
          <w:b/>
          <w:bCs/>
        </w:rPr>
      </w:pPr>
      <w:r w:rsidRPr="006D62E9">
        <w:rPr>
          <w:rFonts w:ascii="Verdana" w:hAnsi="Verdana" w:cs="Arial"/>
          <w:b/>
          <w:bCs/>
        </w:rPr>
        <w:t xml:space="preserve">CONTRATO DE PRESTACIÓN DE SERVICIOS </w:t>
      </w:r>
      <w:r w:rsidRPr="006D62E9">
        <w:rPr>
          <w:rFonts w:ascii="Verdana" w:eastAsia="Calibri" w:hAnsi="Verdana" w:cs="Arial"/>
          <w:b/>
          <w:bCs/>
        </w:rPr>
        <w:t>–</w:t>
      </w:r>
      <w:r w:rsidRPr="006D62E9">
        <w:rPr>
          <w:rFonts w:ascii="Verdana" w:hAnsi="Verdana" w:cs="Arial"/>
          <w:b/>
          <w:bCs/>
        </w:rPr>
        <w:t xml:space="preserve"> Concepto </w:t>
      </w:r>
      <w:r w:rsidRPr="006D62E9">
        <w:rPr>
          <w:rFonts w:ascii="Verdana" w:eastAsia="Calibri" w:hAnsi="Verdana" w:cs="Arial"/>
          <w:b/>
          <w:bCs/>
        </w:rPr>
        <w:t xml:space="preserve">– </w:t>
      </w:r>
      <w:r w:rsidRPr="006D62E9">
        <w:rPr>
          <w:rFonts w:ascii="Verdana" w:hAnsi="Verdana" w:cs="Arial"/>
          <w:b/>
          <w:bCs/>
        </w:rPr>
        <w:t xml:space="preserve">Requisitos </w:t>
      </w:r>
      <w:r w:rsidRPr="006D62E9">
        <w:rPr>
          <w:rFonts w:ascii="Verdana" w:eastAsia="Calibri" w:hAnsi="Verdana" w:cs="Arial"/>
          <w:b/>
          <w:bCs/>
        </w:rPr>
        <w:t>– L</w:t>
      </w:r>
      <w:r w:rsidRPr="006D62E9">
        <w:rPr>
          <w:rFonts w:ascii="Verdana" w:hAnsi="Verdana" w:cs="Arial"/>
          <w:b/>
          <w:bCs/>
        </w:rPr>
        <w:t xml:space="preserve">ímites </w:t>
      </w:r>
      <w:r w:rsidRPr="006D62E9">
        <w:rPr>
          <w:rFonts w:ascii="Verdana" w:eastAsia="Arial" w:hAnsi="Verdana" w:cs="Arial"/>
          <w:b/>
          <w:bCs/>
          <w:lang w:val="es-MX"/>
        </w:rPr>
        <w:t>–</w:t>
      </w:r>
      <w:r w:rsidRPr="006D62E9">
        <w:rPr>
          <w:rFonts w:ascii="Verdana" w:hAnsi="Verdana" w:cs="Arial"/>
          <w:b/>
          <w:bCs/>
        </w:rPr>
        <w:t xml:space="preserve"> Celebración</w:t>
      </w:r>
    </w:p>
    <w:p w14:paraId="50313E5D" w14:textId="77777777" w:rsidR="009B6BDE" w:rsidRPr="006D62E9" w:rsidRDefault="009B6BDE" w:rsidP="009B6BDE">
      <w:pPr>
        <w:jc w:val="both"/>
        <w:rPr>
          <w:rFonts w:ascii="Verdana" w:hAnsi="Verdana" w:cs="Arial"/>
          <w:sz w:val="20"/>
          <w:szCs w:val="20"/>
        </w:rPr>
      </w:pPr>
    </w:p>
    <w:p w14:paraId="0C325A31" w14:textId="77777777" w:rsidR="009B6BDE" w:rsidRDefault="009B6BDE" w:rsidP="009B6BDE">
      <w:pPr>
        <w:jc w:val="both"/>
        <w:rPr>
          <w:rFonts w:ascii="Verdana" w:hAnsi="Verdana" w:cs="Arial"/>
          <w:sz w:val="20"/>
          <w:szCs w:val="20"/>
        </w:rPr>
      </w:pPr>
      <w:r w:rsidRPr="006D62E9">
        <w:rPr>
          <w:rFonts w:ascii="Verdana" w:hAnsi="Verdana" w:cs="Arial"/>
          <w:sz w:val="20"/>
          <w:szCs w:val="20"/>
        </w:rPr>
        <w:t xml:space="preserve">El contrato de prestación de servicios profesionales es uno de los tipos contractuales consagrados en el Estatuto General de Contratación de la Administración Pública, que pueden celebrar las entidades estatales. En tal sentido, se trata de un contrato típico, ya que se encuentra definido en la ley. Sus principales características son: i) Solo puede celebrarse para realizar </w:t>
      </w:r>
      <w:r>
        <w:rPr>
          <w:rFonts w:ascii="Verdana" w:hAnsi="Verdana" w:cs="Arial"/>
          <w:sz w:val="20"/>
          <w:szCs w:val="20"/>
        </w:rPr>
        <w:t>“</w:t>
      </w:r>
      <w:r w:rsidRPr="006D62E9">
        <w:rPr>
          <w:rFonts w:ascii="Verdana" w:hAnsi="Verdana" w:cs="Arial"/>
          <w:sz w:val="20"/>
          <w:szCs w:val="20"/>
        </w:rPr>
        <w:t>actividades relacionadas con la administración o funcionamiento de la entidad</w:t>
      </w:r>
      <w:r>
        <w:rPr>
          <w:rFonts w:ascii="Verdana" w:hAnsi="Verdana" w:cs="Arial"/>
          <w:sz w:val="20"/>
          <w:szCs w:val="20"/>
        </w:rPr>
        <w:t>”</w:t>
      </w:r>
      <w:r w:rsidRPr="006D62E9">
        <w:rPr>
          <w:rFonts w:ascii="Verdana" w:hAnsi="Verdana" w:cs="Arial"/>
          <w:sz w:val="20"/>
          <w:szCs w:val="20"/>
        </w:rPr>
        <w:t xml:space="preserve">, es decir, que hagan parte de su giro ordinario o quehacer cotidiano; ii) admite que se suscriba tanto con personas naturales, como con personas jurídicas. Sin embargo, cuando pretenda celebrarse con una persona natural, la entidad estatal debe justificar en los estudios previos que las actividades que buscan encomendarse a aquella </w:t>
      </w:r>
      <w:r>
        <w:rPr>
          <w:rFonts w:ascii="Verdana" w:hAnsi="Verdana" w:cs="Arial"/>
          <w:sz w:val="20"/>
          <w:szCs w:val="20"/>
        </w:rPr>
        <w:t>“</w:t>
      </w:r>
      <w:r w:rsidRPr="006D62E9">
        <w:rPr>
          <w:rFonts w:ascii="Verdana" w:hAnsi="Verdana" w:cs="Arial"/>
          <w:sz w:val="20"/>
          <w:szCs w:val="20"/>
        </w:rPr>
        <w:t>no puedan realizarse con personal de planta o requieran conocimientos especializados</w:t>
      </w:r>
      <w:r>
        <w:rPr>
          <w:rFonts w:ascii="Verdana" w:hAnsi="Verdana" w:cs="Arial"/>
          <w:sz w:val="20"/>
          <w:szCs w:val="20"/>
        </w:rPr>
        <w:t>”</w:t>
      </w:r>
      <w:r w:rsidRPr="006D62E9">
        <w:rPr>
          <w:rFonts w:ascii="Verdana" w:hAnsi="Verdana" w:cs="Arial"/>
          <w:sz w:val="20"/>
          <w:szCs w:val="20"/>
        </w:rPr>
        <w:t xml:space="preserve">; iii)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6D62E9">
        <w:rPr>
          <w:rFonts w:ascii="Verdana" w:hAnsi="Verdana" w:cs="Arial"/>
          <w:i/>
          <w:sz w:val="20"/>
          <w:szCs w:val="20"/>
        </w:rPr>
        <w:t>subordinación y dependencia</w:t>
      </w:r>
      <w:r w:rsidRPr="006D62E9">
        <w:rPr>
          <w:rFonts w:ascii="Verdana" w:hAnsi="Verdana" w:cs="Arial"/>
          <w:sz w:val="20"/>
          <w:szCs w:val="20"/>
        </w:rPr>
        <w:t xml:space="preserve"> que es uno de los elementos constitutivos del vínculo laboral; </w:t>
      </w:r>
      <w:proofErr w:type="spellStart"/>
      <w:r w:rsidRPr="006D62E9">
        <w:rPr>
          <w:rFonts w:ascii="Verdana" w:hAnsi="Verdana" w:cs="Arial"/>
          <w:sz w:val="20"/>
          <w:szCs w:val="20"/>
        </w:rPr>
        <w:t>iv</w:t>
      </w:r>
      <w:proofErr w:type="spellEnd"/>
      <w:r w:rsidRPr="006D62E9">
        <w:rPr>
          <w:rFonts w:ascii="Verdana" w:hAnsi="Verdana" w:cs="Arial"/>
          <w:sz w:val="20"/>
          <w:szCs w:val="20"/>
        </w:rPr>
        <w:t xml:space="preserve">) debe ser temporal; v) hacen parte del género denominado </w:t>
      </w:r>
      <w:r w:rsidRPr="006D62E9">
        <w:rPr>
          <w:rFonts w:ascii="Verdana" w:hAnsi="Verdana" w:cs="Arial"/>
          <w:i/>
          <w:sz w:val="20"/>
          <w:szCs w:val="20"/>
        </w:rPr>
        <w:t>contratos de prestación de servicios</w:t>
      </w:r>
      <w:r w:rsidRPr="006D62E9">
        <w:rPr>
          <w:rFonts w:ascii="Verdana" w:hAnsi="Verdana" w:cs="Arial"/>
          <w:sz w:val="20"/>
          <w:szCs w:val="20"/>
        </w:rPr>
        <w:t xml:space="preserve">, dentro del cual también se ubican, como especies, los contratos de prestación de servicios de apoyo a la gestión y los contratos de prestación de servicios artísticos; vi) su celebración debe realizarse a través de la modalidad de contratación directa; vii) para su celebración no se requiere la expedición del acto administrativo de justificación de la contratación directa; viii) admite el pacto de cláusulas excepcionales; </w:t>
      </w:r>
      <w:proofErr w:type="spellStart"/>
      <w:r w:rsidRPr="006D62E9">
        <w:rPr>
          <w:rFonts w:ascii="Verdana" w:hAnsi="Verdana" w:cs="Arial"/>
          <w:sz w:val="20"/>
          <w:szCs w:val="20"/>
        </w:rPr>
        <w:t>ix</w:t>
      </w:r>
      <w:proofErr w:type="spellEnd"/>
      <w:r w:rsidRPr="006D62E9">
        <w:rPr>
          <w:rFonts w:ascii="Verdana" w:hAnsi="Verdana" w:cs="Arial"/>
          <w:sz w:val="20"/>
          <w:szCs w:val="20"/>
        </w:rPr>
        <w:t>) en él no es obligatoria la liquidación; x) para su celebración no se requiere inscripción en el Registro Único de Proponentes (RUP); xi) en él no son necesarias las garantías.</w:t>
      </w:r>
    </w:p>
    <w:p w14:paraId="02BACC91" w14:textId="77777777" w:rsidR="009B6BDE" w:rsidRPr="006D62E9" w:rsidRDefault="009B6BDE" w:rsidP="009B6BDE">
      <w:pPr>
        <w:jc w:val="both"/>
        <w:rPr>
          <w:rFonts w:ascii="Verdana" w:hAnsi="Verdana" w:cs="Arial"/>
          <w:sz w:val="20"/>
          <w:szCs w:val="20"/>
        </w:rPr>
      </w:pPr>
    </w:p>
    <w:p w14:paraId="53468415" w14:textId="77777777" w:rsidR="009B6BDE" w:rsidRPr="006D62E9" w:rsidRDefault="009B6BDE" w:rsidP="009B6BDE">
      <w:pPr>
        <w:spacing w:before="120"/>
        <w:jc w:val="both"/>
        <w:rPr>
          <w:rFonts w:ascii="Verdana" w:eastAsia="Calibri" w:hAnsi="Verdana" w:cs="Arial"/>
          <w:b/>
        </w:rPr>
      </w:pPr>
      <w:r w:rsidRPr="006D62E9">
        <w:rPr>
          <w:rFonts w:ascii="Verdana" w:hAnsi="Verdana" w:cs="Arial"/>
          <w:b/>
          <w:bCs/>
        </w:rPr>
        <w:t xml:space="preserve">CONTRATO DE PRESTACIÓN DE SERVICIOS </w:t>
      </w:r>
      <w:r w:rsidRPr="006D62E9">
        <w:rPr>
          <w:rFonts w:ascii="Verdana" w:eastAsia="Calibri" w:hAnsi="Verdana" w:cs="Arial"/>
          <w:b/>
        </w:rPr>
        <w:t xml:space="preserve">– Límites – Honorarios – Entidades Territoriales </w:t>
      </w:r>
    </w:p>
    <w:p w14:paraId="5345F651" w14:textId="77777777" w:rsidR="009B6BDE" w:rsidRPr="006D62E9" w:rsidRDefault="009B6BDE" w:rsidP="009B6BDE">
      <w:pPr>
        <w:jc w:val="both"/>
        <w:rPr>
          <w:rFonts w:ascii="Verdana" w:hAnsi="Verdana" w:cs="Arial"/>
          <w:sz w:val="20"/>
          <w:szCs w:val="20"/>
        </w:rPr>
      </w:pPr>
    </w:p>
    <w:p w14:paraId="3E07665B" w14:textId="77777777" w:rsidR="009B6BDE" w:rsidRPr="006D62E9" w:rsidRDefault="009B6BDE" w:rsidP="009B6BDE">
      <w:pPr>
        <w:jc w:val="both"/>
        <w:rPr>
          <w:rFonts w:ascii="Verdana" w:hAnsi="Verdana" w:cs="Arial"/>
          <w:sz w:val="20"/>
          <w:szCs w:val="20"/>
        </w:rPr>
      </w:pPr>
      <w:r w:rsidRPr="006D62E9">
        <w:rPr>
          <w:rFonts w:ascii="Verdana" w:hAnsi="Verdana" w:cs="Arial"/>
          <w:sz w:val="20"/>
          <w:szCs w:val="20"/>
        </w:rPr>
        <w:t xml:space="preserve">[…] en principio, la determinación de los honorarios en los contratos de prestación de servicios se decide autónomamente por parte de las entidades estatales, siempre respetándolos principios de economía, y planeación. Ahora bien, por su parte, la remuneración de los servicios técnicos debe atender los límites establecidos en el artículo 2.8.4.4.6 Decreto 1068 de 2015, en el entendido de que las entidades territoriales adoptaran las medidas equivalentes a las allí dispuestas en sus organizaciones administrativas. </w:t>
      </w:r>
    </w:p>
    <w:p w14:paraId="3CEE7E3C" w14:textId="77777777" w:rsidR="009B6BDE" w:rsidRPr="006D62E9" w:rsidRDefault="009B6BDE" w:rsidP="009B6BDE">
      <w:pPr>
        <w:jc w:val="both"/>
        <w:rPr>
          <w:rFonts w:ascii="Verdana" w:hAnsi="Verdana" w:cs="Arial"/>
          <w:sz w:val="20"/>
          <w:szCs w:val="20"/>
        </w:rPr>
      </w:pPr>
    </w:p>
    <w:p w14:paraId="246DA116" w14:textId="77777777" w:rsidR="009B6BDE" w:rsidRPr="006D62E9" w:rsidRDefault="009B6BDE" w:rsidP="009B6BDE">
      <w:pPr>
        <w:jc w:val="both"/>
        <w:rPr>
          <w:rFonts w:ascii="Verdana" w:hAnsi="Verdana" w:cs="Arial"/>
          <w:b/>
          <w:bCs/>
        </w:rPr>
      </w:pPr>
      <w:r w:rsidRPr="006D62E9">
        <w:rPr>
          <w:rFonts w:ascii="Verdana" w:hAnsi="Verdana" w:cs="Arial"/>
          <w:b/>
          <w:bCs/>
        </w:rPr>
        <w:lastRenderedPageBreak/>
        <w:t xml:space="preserve">AUSTERIDAD DEL GASTO – Régimen reglamentario – Ámbito aplicación </w:t>
      </w:r>
      <w:r>
        <w:rPr>
          <w:rFonts w:ascii="Verdana" w:hAnsi="Verdana" w:cs="Arial"/>
          <w:b/>
          <w:bCs/>
        </w:rPr>
        <w:t>-</w:t>
      </w:r>
      <w:r w:rsidRPr="006D62E9">
        <w:rPr>
          <w:rFonts w:ascii="Verdana" w:hAnsi="Verdana" w:cs="Arial"/>
          <w:b/>
          <w:bCs/>
        </w:rPr>
        <w:t xml:space="preserve"> Entidades territoriales </w:t>
      </w:r>
    </w:p>
    <w:p w14:paraId="1CC981F1" w14:textId="77777777" w:rsidR="009B6BDE" w:rsidRPr="006D62E9" w:rsidRDefault="009B6BDE" w:rsidP="009B6BDE">
      <w:pPr>
        <w:pStyle w:val="Textoindependiente"/>
        <w:jc w:val="both"/>
        <w:rPr>
          <w:rFonts w:ascii="Verdana" w:hAnsi="Verdana"/>
          <w:i w:val="0"/>
          <w:lang w:val="es-CO"/>
        </w:rPr>
      </w:pPr>
    </w:p>
    <w:p w14:paraId="798AAFD2" w14:textId="77777777" w:rsidR="009B6BDE" w:rsidRPr="006D62E9" w:rsidRDefault="009B6BDE" w:rsidP="009B6BDE">
      <w:pPr>
        <w:jc w:val="both"/>
        <w:rPr>
          <w:rFonts w:ascii="Verdana" w:hAnsi="Verdana" w:cs="Arial"/>
          <w:sz w:val="20"/>
          <w:szCs w:val="20"/>
        </w:rPr>
      </w:pPr>
      <w:r w:rsidRPr="006D62E9">
        <w:rPr>
          <w:rFonts w:ascii="Verdana" w:hAnsi="Verdana"/>
          <w:sz w:val="20"/>
          <w:szCs w:val="20"/>
        </w:rPr>
        <w:t>Luego, el Decreto 1068 de 2015, por medio del cual se expidió el Decreto Único Reglamentario del Sector Hacienda y Crédito Público, en su Título 4, de las “Medidas de Austeridad del Gasto Público”, compiló los desarrollos normativos implementados por el Decreto 1737 de 1998, incluidas las modificaciones realizadas por el artículo 2 del Decreto 2209 de 1998, modificado por el artículo 1 del Decreto 2785 de 2011. Este Decreto, en el artículo 2.8.4.1.1. indicó que: “Se sujetan a la regulación de este título, salvo en lo expresamente aquí exceptuando, los organismos, entidades, entes públicos, y personas jurídicas que financien sus gastos con recursos del Tesoro Público. (Art. 1 Decreto 1737 de 1998)”. En</w:t>
      </w:r>
      <w:r w:rsidRPr="006D62E9">
        <w:rPr>
          <w:rFonts w:ascii="Verdana" w:hAnsi="Verdana"/>
          <w:spacing w:val="30"/>
          <w:sz w:val="20"/>
          <w:szCs w:val="20"/>
        </w:rPr>
        <w:t xml:space="preserve"> </w:t>
      </w:r>
      <w:r w:rsidRPr="006D62E9">
        <w:rPr>
          <w:rFonts w:ascii="Verdana" w:hAnsi="Verdana"/>
          <w:sz w:val="20"/>
          <w:szCs w:val="20"/>
        </w:rPr>
        <w:t>cuanto</w:t>
      </w:r>
      <w:r w:rsidRPr="006D62E9">
        <w:rPr>
          <w:rFonts w:ascii="Verdana" w:hAnsi="Verdana"/>
          <w:spacing w:val="31"/>
          <w:sz w:val="20"/>
          <w:szCs w:val="20"/>
        </w:rPr>
        <w:t xml:space="preserve"> </w:t>
      </w:r>
      <w:r w:rsidRPr="006D62E9">
        <w:rPr>
          <w:rFonts w:ascii="Verdana" w:hAnsi="Verdana"/>
          <w:sz w:val="20"/>
          <w:szCs w:val="20"/>
        </w:rPr>
        <w:t>al</w:t>
      </w:r>
      <w:r w:rsidRPr="006D62E9">
        <w:rPr>
          <w:rFonts w:ascii="Verdana" w:hAnsi="Verdana"/>
          <w:spacing w:val="32"/>
          <w:sz w:val="20"/>
          <w:szCs w:val="20"/>
        </w:rPr>
        <w:t xml:space="preserve"> </w:t>
      </w:r>
      <w:r w:rsidRPr="006D62E9">
        <w:rPr>
          <w:rFonts w:ascii="Verdana" w:hAnsi="Verdana"/>
          <w:sz w:val="20"/>
          <w:szCs w:val="20"/>
        </w:rPr>
        <w:t>ámbito</w:t>
      </w:r>
      <w:r w:rsidRPr="006D62E9">
        <w:rPr>
          <w:rFonts w:ascii="Verdana" w:hAnsi="Verdana"/>
          <w:spacing w:val="33"/>
          <w:sz w:val="20"/>
          <w:szCs w:val="20"/>
        </w:rPr>
        <w:t xml:space="preserve"> </w:t>
      </w:r>
      <w:r w:rsidRPr="006D62E9">
        <w:rPr>
          <w:rFonts w:ascii="Verdana" w:hAnsi="Verdana"/>
          <w:sz w:val="20"/>
          <w:szCs w:val="20"/>
        </w:rPr>
        <w:t>de</w:t>
      </w:r>
      <w:r w:rsidRPr="006D62E9">
        <w:rPr>
          <w:rFonts w:ascii="Verdana" w:hAnsi="Verdana"/>
          <w:spacing w:val="33"/>
          <w:sz w:val="20"/>
          <w:szCs w:val="20"/>
        </w:rPr>
        <w:t xml:space="preserve"> </w:t>
      </w:r>
      <w:r w:rsidRPr="006D62E9">
        <w:rPr>
          <w:rFonts w:ascii="Verdana" w:hAnsi="Verdana"/>
          <w:sz w:val="20"/>
          <w:szCs w:val="20"/>
        </w:rPr>
        <w:t>aplicación en</w:t>
      </w:r>
      <w:r w:rsidRPr="006D62E9">
        <w:rPr>
          <w:rFonts w:ascii="Verdana" w:hAnsi="Verdana"/>
          <w:spacing w:val="33"/>
          <w:sz w:val="20"/>
          <w:szCs w:val="20"/>
        </w:rPr>
        <w:t xml:space="preserve"> </w:t>
      </w:r>
      <w:r w:rsidRPr="006D62E9">
        <w:rPr>
          <w:rFonts w:ascii="Verdana" w:hAnsi="Verdana"/>
          <w:sz w:val="20"/>
          <w:szCs w:val="20"/>
        </w:rPr>
        <w:t>el</w:t>
      </w:r>
      <w:r w:rsidRPr="006D62E9">
        <w:rPr>
          <w:rFonts w:ascii="Verdana" w:hAnsi="Verdana"/>
          <w:spacing w:val="32"/>
          <w:sz w:val="20"/>
          <w:szCs w:val="20"/>
        </w:rPr>
        <w:t xml:space="preserve"> </w:t>
      </w:r>
      <w:r w:rsidRPr="006D62E9">
        <w:rPr>
          <w:rFonts w:ascii="Verdana" w:hAnsi="Verdana"/>
          <w:sz w:val="20"/>
          <w:szCs w:val="20"/>
        </w:rPr>
        <w:t>nivel</w:t>
      </w:r>
      <w:r w:rsidRPr="006D62E9">
        <w:rPr>
          <w:rFonts w:ascii="Verdana" w:hAnsi="Verdana"/>
          <w:spacing w:val="32"/>
          <w:sz w:val="20"/>
          <w:szCs w:val="20"/>
        </w:rPr>
        <w:t xml:space="preserve"> </w:t>
      </w:r>
      <w:r w:rsidRPr="006D62E9">
        <w:rPr>
          <w:rFonts w:ascii="Verdana" w:hAnsi="Verdana"/>
          <w:sz w:val="20"/>
          <w:szCs w:val="20"/>
        </w:rPr>
        <w:t>territorial,</w:t>
      </w:r>
      <w:r w:rsidRPr="006D62E9">
        <w:rPr>
          <w:rFonts w:ascii="Verdana" w:hAnsi="Verdana"/>
          <w:spacing w:val="31"/>
          <w:sz w:val="20"/>
          <w:szCs w:val="20"/>
        </w:rPr>
        <w:t xml:space="preserve"> </w:t>
      </w:r>
      <w:r w:rsidRPr="006D62E9">
        <w:rPr>
          <w:rFonts w:ascii="Verdana" w:hAnsi="Verdana"/>
          <w:sz w:val="20"/>
          <w:szCs w:val="20"/>
        </w:rPr>
        <w:t>el</w:t>
      </w:r>
      <w:r w:rsidRPr="006D62E9">
        <w:rPr>
          <w:rFonts w:ascii="Verdana" w:hAnsi="Verdana"/>
          <w:spacing w:val="32"/>
          <w:sz w:val="20"/>
          <w:szCs w:val="20"/>
        </w:rPr>
        <w:t xml:space="preserve"> </w:t>
      </w:r>
      <w:r w:rsidRPr="006D62E9">
        <w:rPr>
          <w:rFonts w:ascii="Verdana" w:hAnsi="Verdana"/>
          <w:sz w:val="20"/>
          <w:szCs w:val="20"/>
        </w:rPr>
        <w:t>Decreto</w:t>
      </w:r>
      <w:r w:rsidRPr="006D62E9">
        <w:rPr>
          <w:rFonts w:ascii="Verdana" w:hAnsi="Verdana"/>
          <w:spacing w:val="33"/>
          <w:sz w:val="20"/>
          <w:szCs w:val="20"/>
        </w:rPr>
        <w:t xml:space="preserve"> </w:t>
      </w:r>
      <w:r w:rsidRPr="006D62E9">
        <w:rPr>
          <w:rFonts w:ascii="Verdana" w:hAnsi="Verdana"/>
          <w:sz w:val="20"/>
          <w:szCs w:val="20"/>
        </w:rPr>
        <w:t>1068</w:t>
      </w:r>
      <w:r w:rsidRPr="006D62E9">
        <w:rPr>
          <w:rFonts w:ascii="Verdana" w:hAnsi="Verdana"/>
          <w:spacing w:val="33"/>
          <w:sz w:val="20"/>
          <w:szCs w:val="20"/>
        </w:rPr>
        <w:t xml:space="preserve"> </w:t>
      </w:r>
      <w:r w:rsidRPr="006D62E9">
        <w:rPr>
          <w:rFonts w:ascii="Verdana" w:hAnsi="Verdana"/>
          <w:sz w:val="20"/>
          <w:szCs w:val="20"/>
        </w:rPr>
        <w:t>de</w:t>
      </w:r>
      <w:r w:rsidRPr="006D62E9">
        <w:rPr>
          <w:rFonts w:ascii="Verdana" w:hAnsi="Verdana"/>
          <w:spacing w:val="32"/>
          <w:sz w:val="20"/>
          <w:szCs w:val="20"/>
        </w:rPr>
        <w:t xml:space="preserve"> </w:t>
      </w:r>
      <w:r w:rsidRPr="006D62E9">
        <w:rPr>
          <w:rFonts w:ascii="Verdana" w:hAnsi="Verdana"/>
          <w:sz w:val="20"/>
          <w:szCs w:val="20"/>
        </w:rPr>
        <w:t>2015,</w:t>
      </w:r>
      <w:r w:rsidRPr="006D62E9">
        <w:rPr>
          <w:rFonts w:ascii="Verdana" w:hAnsi="Verdana"/>
          <w:spacing w:val="35"/>
          <w:sz w:val="20"/>
          <w:szCs w:val="20"/>
        </w:rPr>
        <w:t xml:space="preserve"> </w:t>
      </w:r>
      <w:r w:rsidRPr="006D62E9">
        <w:rPr>
          <w:rFonts w:ascii="Verdana" w:hAnsi="Verdana"/>
          <w:sz w:val="20"/>
          <w:szCs w:val="20"/>
        </w:rPr>
        <w:t>en</w:t>
      </w:r>
      <w:r w:rsidRPr="006D62E9">
        <w:rPr>
          <w:rFonts w:ascii="Verdana" w:hAnsi="Verdana"/>
          <w:spacing w:val="33"/>
          <w:sz w:val="20"/>
          <w:szCs w:val="20"/>
        </w:rPr>
        <w:t xml:space="preserve"> </w:t>
      </w:r>
      <w:r w:rsidRPr="006D62E9">
        <w:rPr>
          <w:rFonts w:ascii="Verdana" w:hAnsi="Verdana"/>
          <w:sz w:val="20"/>
          <w:szCs w:val="20"/>
        </w:rPr>
        <w:t>el</w:t>
      </w:r>
      <w:r w:rsidRPr="006D62E9">
        <w:rPr>
          <w:rFonts w:ascii="Verdana" w:hAnsi="Verdana"/>
          <w:spacing w:val="32"/>
          <w:sz w:val="20"/>
          <w:szCs w:val="20"/>
        </w:rPr>
        <w:t xml:space="preserve"> </w:t>
      </w:r>
      <w:r w:rsidRPr="006D62E9">
        <w:rPr>
          <w:rFonts w:ascii="Verdana" w:hAnsi="Verdana"/>
          <w:sz w:val="20"/>
          <w:szCs w:val="20"/>
        </w:rPr>
        <w:t>artículo 2.8.4.1.2. indicó lo siguiente: “Medidas para las entidades territoriales. Las entidades territoriales adoptarán medidas equivalentes a las aquí dispuestas en sus organizaciones administrativas. (Art. 2 Decreto</w:t>
      </w:r>
      <w:r w:rsidRPr="006D62E9">
        <w:rPr>
          <w:rFonts w:ascii="Verdana" w:hAnsi="Verdana"/>
          <w:spacing w:val="4"/>
          <w:sz w:val="20"/>
          <w:szCs w:val="20"/>
        </w:rPr>
        <w:t xml:space="preserve"> </w:t>
      </w:r>
      <w:r w:rsidRPr="006D62E9">
        <w:rPr>
          <w:rFonts w:ascii="Verdana" w:hAnsi="Verdana"/>
          <w:sz w:val="20"/>
          <w:szCs w:val="20"/>
        </w:rPr>
        <w:t>1737</w:t>
      </w:r>
      <w:r w:rsidRPr="006D62E9">
        <w:rPr>
          <w:rFonts w:ascii="Verdana" w:hAnsi="Verdana"/>
          <w:spacing w:val="6"/>
          <w:sz w:val="20"/>
          <w:szCs w:val="20"/>
        </w:rPr>
        <w:t xml:space="preserve"> </w:t>
      </w:r>
      <w:r w:rsidRPr="006D62E9">
        <w:rPr>
          <w:rFonts w:ascii="Verdana" w:hAnsi="Verdana"/>
          <w:sz w:val="20"/>
          <w:szCs w:val="20"/>
        </w:rPr>
        <w:t>de</w:t>
      </w:r>
      <w:r w:rsidRPr="006D62E9">
        <w:rPr>
          <w:rFonts w:ascii="Verdana" w:hAnsi="Verdana"/>
          <w:spacing w:val="7"/>
          <w:sz w:val="20"/>
          <w:szCs w:val="20"/>
        </w:rPr>
        <w:t xml:space="preserve"> </w:t>
      </w:r>
      <w:r w:rsidRPr="006D62E9">
        <w:rPr>
          <w:rFonts w:ascii="Verdana" w:hAnsi="Verdana"/>
          <w:sz w:val="20"/>
          <w:szCs w:val="20"/>
        </w:rPr>
        <w:t>1998)”.</w:t>
      </w:r>
      <w:r w:rsidRPr="006D62E9">
        <w:rPr>
          <w:rFonts w:ascii="Verdana" w:hAnsi="Verdana"/>
          <w:spacing w:val="6"/>
          <w:sz w:val="20"/>
          <w:szCs w:val="20"/>
        </w:rPr>
        <w:t xml:space="preserve"> </w:t>
      </w:r>
      <w:r w:rsidRPr="006D62E9">
        <w:rPr>
          <w:rFonts w:ascii="Verdana" w:hAnsi="Verdana"/>
          <w:sz w:val="20"/>
          <w:szCs w:val="20"/>
        </w:rPr>
        <w:t>Esto</w:t>
      </w:r>
      <w:r w:rsidRPr="006D62E9">
        <w:rPr>
          <w:rFonts w:ascii="Verdana" w:hAnsi="Verdana"/>
          <w:spacing w:val="5"/>
          <w:sz w:val="20"/>
          <w:szCs w:val="20"/>
        </w:rPr>
        <w:t xml:space="preserve"> </w:t>
      </w:r>
      <w:r w:rsidRPr="006D62E9">
        <w:rPr>
          <w:rFonts w:ascii="Verdana" w:hAnsi="Verdana"/>
          <w:sz w:val="20"/>
          <w:szCs w:val="20"/>
        </w:rPr>
        <w:t>implica</w:t>
      </w:r>
      <w:r w:rsidRPr="006D62E9">
        <w:rPr>
          <w:rFonts w:ascii="Verdana" w:hAnsi="Verdana"/>
          <w:spacing w:val="6"/>
          <w:sz w:val="20"/>
          <w:szCs w:val="20"/>
        </w:rPr>
        <w:t xml:space="preserve"> </w:t>
      </w:r>
      <w:r w:rsidRPr="006D62E9">
        <w:rPr>
          <w:rFonts w:ascii="Verdana" w:hAnsi="Verdana"/>
          <w:sz w:val="20"/>
          <w:szCs w:val="20"/>
        </w:rPr>
        <w:t>que</w:t>
      </w:r>
      <w:r w:rsidRPr="006D62E9">
        <w:rPr>
          <w:rFonts w:ascii="Verdana" w:hAnsi="Verdana"/>
          <w:spacing w:val="5"/>
          <w:sz w:val="20"/>
          <w:szCs w:val="20"/>
        </w:rPr>
        <w:t xml:space="preserve"> </w:t>
      </w:r>
      <w:r w:rsidRPr="006D62E9">
        <w:rPr>
          <w:rFonts w:ascii="Verdana" w:hAnsi="Verdana"/>
          <w:sz w:val="20"/>
          <w:szCs w:val="20"/>
        </w:rPr>
        <w:t>el</w:t>
      </w:r>
      <w:r w:rsidRPr="006D62E9">
        <w:rPr>
          <w:rFonts w:ascii="Verdana" w:hAnsi="Verdana"/>
          <w:spacing w:val="8"/>
          <w:sz w:val="20"/>
          <w:szCs w:val="20"/>
        </w:rPr>
        <w:t xml:space="preserve"> </w:t>
      </w:r>
      <w:r w:rsidRPr="006D62E9">
        <w:rPr>
          <w:rFonts w:ascii="Verdana" w:hAnsi="Verdana"/>
          <w:sz w:val="20"/>
          <w:szCs w:val="20"/>
        </w:rPr>
        <w:t>Decreto</w:t>
      </w:r>
      <w:r w:rsidRPr="006D62E9">
        <w:rPr>
          <w:rFonts w:ascii="Verdana" w:hAnsi="Verdana"/>
          <w:spacing w:val="5"/>
          <w:sz w:val="20"/>
          <w:szCs w:val="20"/>
        </w:rPr>
        <w:t xml:space="preserve"> </w:t>
      </w:r>
      <w:r w:rsidRPr="006D62E9">
        <w:rPr>
          <w:rFonts w:ascii="Verdana" w:hAnsi="Verdana"/>
          <w:sz w:val="20"/>
          <w:szCs w:val="20"/>
        </w:rPr>
        <w:t>1068</w:t>
      </w:r>
      <w:r w:rsidRPr="006D62E9">
        <w:rPr>
          <w:rFonts w:ascii="Verdana" w:hAnsi="Verdana"/>
          <w:spacing w:val="6"/>
          <w:sz w:val="20"/>
          <w:szCs w:val="20"/>
        </w:rPr>
        <w:t xml:space="preserve"> </w:t>
      </w:r>
      <w:r w:rsidRPr="006D62E9">
        <w:rPr>
          <w:rFonts w:ascii="Verdana" w:hAnsi="Verdana"/>
          <w:sz w:val="20"/>
          <w:szCs w:val="20"/>
        </w:rPr>
        <w:t>de</w:t>
      </w:r>
      <w:r w:rsidRPr="006D62E9">
        <w:rPr>
          <w:rFonts w:ascii="Verdana" w:hAnsi="Verdana"/>
          <w:spacing w:val="5"/>
          <w:sz w:val="20"/>
          <w:szCs w:val="20"/>
        </w:rPr>
        <w:t xml:space="preserve"> </w:t>
      </w:r>
      <w:r w:rsidRPr="006D62E9">
        <w:rPr>
          <w:rFonts w:ascii="Verdana" w:hAnsi="Verdana"/>
          <w:sz w:val="20"/>
          <w:szCs w:val="20"/>
        </w:rPr>
        <w:t>2015</w:t>
      </w:r>
      <w:r w:rsidRPr="006D62E9">
        <w:rPr>
          <w:rFonts w:ascii="Verdana" w:hAnsi="Verdana"/>
          <w:spacing w:val="9"/>
          <w:sz w:val="20"/>
          <w:szCs w:val="20"/>
        </w:rPr>
        <w:t xml:space="preserve"> </w:t>
      </w:r>
      <w:r w:rsidRPr="006D62E9">
        <w:rPr>
          <w:rFonts w:ascii="Verdana" w:hAnsi="Verdana"/>
          <w:sz w:val="20"/>
          <w:szCs w:val="20"/>
        </w:rPr>
        <w:t>es</w:t>
      </w:r>
      <w:r w:rsidRPr="006D62E9">
        <w:rPr>
          <w:rFonts w:ascii="Verdana" w:hAnsi="Verdana"/>
          <w:spacing w:val="6"/>
          <w:sz w:val="20"/>
          <w:szCs w:val="20"/>
        </w:rPr>
        <w:t xml:space="preserve"> </w:t>
      </w:r>
      <w:r w:rsidRPr="006D62E9">
        <w:rPr>
          <w:rFonts w:ascii="Verdana" w:hAnsi="Verdana"/>
          <w:sz w:val="20"/>
          <w:szCs w:val="20"/>
        </w:rPr>
        <w:t>aplicable</w:t>
      </w:r>
      <w:r w:rsidRPr="006D62E9">
        <w:rPr>
          <w:rFonts w:ascii="Verdana" w:hAnsi="Verdana"/>
          <w:spacing w:val="9"/>
          <w:sz w:val="20"/>
          <w:szCs w:val="20"/>
        </w:rPr>
        <w:t xml:space="preserve"> </w:t>
      </w:r>
      <w:r w:rsidRPr="006D62E9">
        <w:rPr>
          <w:rFonts w:ascii="Verdana" w:hAnsi="Verdana"/>
          <w:sz w:val="20"/>
          <w:szCs w:val="20"/>
        </w:rPr>
        <w:t>directamente</w:t>
      </w:r>
      <w:r w:rsidRPr="006D62E9">
        <w:rPr>
          <w:rFonts w:ascii="Verdana" w:hAnsi="Verdana"/>
          <w:spacing w:val="7"/>
          <w:sz w:val="20"/>
          <w:szCs w:val="20"/>
        </w:rPr>
        <w:t xml:space="preserve"> </w:t>
      </w:r>
      <w:r w:rsidRPr="006D62E9">
        <w:rPr>
          <w:rFonts w:ascii="Verdana" w:hAnsi="Verdana"/>
          <w:sz w:val="20"/>
          <w:szCs w:val="20"/>
        </w:rPr>
        <w:t>a</w:t>
      </w:r>
      <w:r w:rsidRPr="006D62E9">
        <w:rPr>
          <w:rFonts w:ascii="Verdana" w:hAnsi="Verdana"/>
          <w:spacing w:val="6"/>
          <w:sz w:val="20"/>
          <w:szCs w:val="20"/>
        </w:rPr>
        <w:t xml:space="preserve"> </w:t>
      </w:r>
      <w:r w:rsidRPr="006D62E9">
        <w:rPr>
          <w:rFonts w:ascii="Verdana" w:hAnsi="Verdana"/>
          <w:sz w:val="20"/>
          <w:szCs w:val="20"/>
        </w:rPr>
        <w:t>los organismos, entidades, entes públicos y personas jurídicas que financien sus gastos con recursos del Tesoro Público, diferentes de las entidades territoriales.</w:t>
      </w:r>
    </w:p>
    <w:p w14:paraId="5888111C" w14:textId="77777777" w:rsidR="009B6BDE" w:rsidRPr="006D62E9" w:rsidRDefault="009B6BDE" w:rsidP="009B6BDE">
      <w:pPr>
        <w:jc w:val="both"/>
        <w:rPr>
          <w:rFonts w:ascii="Verdana" w:hAnsi="Verdana" w:cs="Arial"/>
          <w:sz w:val="20"/>
          <w:szCs w:val="20"/>
        </w:rPr>
      </w:pPr>
    </w:p>
    <w:p w14:paraId="770548E5" w14:textId="77777777" w:rsidR="009B6BDE" w:rsidRDefault="009B6BDE" w:rsidP="009B6BDE"/>
    <w:p w14:paraId="2E3CB0CB" w14:textId="77777777" w:rsidR="009B6BDE" w:rsidRDefault="009B6BDE">
      <w:pPr>
        <w:rPr>
          <w:rFonts w:ascii="Verdana" w:hAnsi="Verdana"/>
          <w:sz w:val="20"/>
          <w:szCs w:val="20"/>
        </w:rPr>
      </w:pPr>
      <w:r>
        <w:rPr>
          <w:rFonts w:ascii="Verdana" w:hAnsi="Verdana"/>
          <w:sz w:val="20"/>
          <w:szCs w:val="20"/>
        </w:rPr>
        <w:br w:type="page"/>
      </w:r>
    </w:p>
    <w:p w14:paraId="6B5CE58A" w14:textId="77777777" w:rsidR="006D62E9" w:rsidRPr="006D62E9" w:rsidRDefault="006D62E9" w:rsidP="00E245AB">
      <w:pPr>
        <w:spacing w:after="0"/>
        <w:rPr>
          <w:rFonts w:ascii="Verdana" w:hAnsi="Verdana"/>
          <w:sz w:val="20"/>
          <w:szCs w:val="20"/>
        </w:rPr>
      </w:pPr>
    </w:p>
    <w:p w14:paraId="3FE2184B" w14:textId="635E2B1F" w:rsidR="00E245AB" w:rsidRPr="0044528D" w:rsidRDefault="00E245AB" w:rsidP="00FC5902">
      <w:pPr>
        <w:rPr>
          <w:rFonts w:ascii="Verdana" w:hAnsi="Verdana"/>
        </w:rPr>
      </w:pPr>
      <w:r w:rsidRPr="0044528D">
        <w:rPr>
          <w:rFonts w:ascii="Verdana" w:hAnsi="Verdana"/>
        </w:rPr>
        <w:t xml:space="preserve">Bogotá D.C., </w:t>
      </w:r>
      <w:r w:rsidR="00891928" w:rsidRPr="0044528D">
        <w:rPr>
          <w:rFonts w:ascii="Verdana" w:hAnsi="Verdana"/>
        </w:rPr>
        <w:t xml:space="preserve">[Día] </w:t>
      </w:r>
      <w:r w:rsidR="001511A0" w:rsidRPr="001511A0">
        <w:rPr>
          <w:rFonts w:ascii="Verdana" w:hAnsi="Verdana"/>
        </w:rPr>
        <w:t>[</w:t>
      </w:r>
      <w:proofErr w:type="spellStart"/>
      <w:r w:rsidR="001511A0" w:rsidRPr="001511A0">
        <w:rPr>
          <w:rFonts w:ascii="Verdana" w:hAnsi="Verdana"/>
        </w:rPr>
        <w:t>Mes.NombreCapitalizado</w:t>
      </w:r>
      <w:proofErr w:type="spellEnd"/>
      <w:r w:rsidR="001511A0" w:rsidRPr="001511A0">
        <w:rPr>
          <w:rFonts w:ascii="Verdana" w:hAnsi="Verdana"/>
        </w:rPr>
        <w:t xml:space="preserve">] </w:t>
      </w:r>
      <w:r w:rsidR="00891928" w:rsidRPr="0044528D">
        <w:rPr>
          <w:rFonts w:ascii="Verdana" w:hAnsi="Verdana"/>
        </w:rPr>
        <w:t>[Año]</w:t>
      </w:r>
      <w:r w:rsidR="00891928" w:rsidRPr="0044528D">
        <w:rPr>
          <w:rFonts w:ascii="Verdana" w:hAnsi="Verdana"/>
        </w:rPr>
        <w:tab/>
      </w:r>
    </w:p>
    <w:p w14:paraId="5FCADBF9" w14:textId="77777777" w:rsidR="00E245AB" w:rsidRPr="0044528D" w:rsidRDefault="00E245AB" w:rsidP="00E245AB">
      <w:pPr>
        <w:spacing w:after="0"/>
        <w:rPr>
          <w:rFonts w:ascii="Verdana" w:hAnsi="Verdana"/>
        </w:rPr>
      </w:pPr>
    </w:p>
    <w:p w14:paraId="382A3B1D" w14:textId="6191F082" w:rsidR="006C45B6" w:rsidRPr="009B6BDE" w:rsidRDefault="009B6BDE" w:rsidP="006C45B6">
      <w:pPr>
        <w:spacing w:after="0"/>
      </w:pPr>
      <w:r w:rsidRPr="009B6BDE">
        <w:rPr>
          <w:rFonts w:ascii="Verdana" w:hAnsi="Verdana"/>
          <w:noProof/>
        </w:rPr>
        <w:drawing>
          <wp:anchor distT="0" distB="0" distL="114300" distR="114300" simplePos="0" relativeHeight="251659264" behindDoc="1" locked="0" layoutInCell="1" allowOverlap="1" wp14:anchorId="61E541BA" wp14:editId="1EE5265F">
            <wp:simplePos x="0" y="0"/>
            <wp:positionH relativeFrom="margin">
              <wp:align>right</wp:align>
            </wp:positionH>
            <wp:positionV relativeFrom="paragraph">
              <wp:posOffset>81915</wp:posOffset>
            </wp:positionV>
            <wp:extent cx="2344420" cy="883920"/>
            <wp:effectExtent l="0" t="0" r="0" b="0"/>
            <wp:wrapTight wrapText="bothSides">
              <wp:wrapPolygon edited="0">
                <wp:start x="0" y="0"/>
                <wp:lineTo x="0" y="20948"/>
                <wp:lineTo x="21413" y="20948"/>
                <wp:lineTo x="21413" y="0"/>
                <wp:lineTo x="0" y="0"/>
              </wp:wrapPolygon>
            </wp:wrapTight>
            <wp:docPr id="8455898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53120" cy="8875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C45B6">
        <w:rPr>
          <w:rFonts w:ascii="Verdana" w:hAnsi="Verdana"/>
        </w:rPr>
        <w:t xml:space="preserve">Señora </w:t>
      </w:r>
      <w:r>
        <w:rPr>
          <w:rFonts w:ascii="Verdana" w:hAnsi="Verdana"/>
        </w:rPr>
        <w:t xml:space="preserve">                                                      </w:t>
      </w:r>
    </w:p>
    <w:p w14:paraId="33D4BF33" w14:textId="77777777" w:rsidR="005603B2" w:rsidRDefault="005603B2" w:rsidP="006C45B6">
      <w:pPr>
        <w:spacing w:after="0"/>
        <w:rPr>
          <w:rFonts w:ascii="Verdana" w:hAnsi="Verdana"/>
        </w:rPr>
      </w:pPr>
      <w:r>
        <w:rPr>
          <w:rFonts w:ascii="Verdana" w:hAnsi="Verdana"/>
        </w:rPr>
        <w:t>Lyda Milena Garzón Pinzón</w:t>
      </w:r>
    </w:p>
    <w:p w14:paraId="3B534FB9" w14:textId="77777777" w:rsidR="00F35718" w:rsidRDefault="00F35718" w:rsidP="006C45B6">
      <w:pPr>
        <w:spacing w:after="0"/>
        <w:rPr>
          <w:rFonts w:ascii="Verdana" w:hAnsi="Verdana"/>
        </w:rPr>
      </w:pPr>
      <w:hyperlink r:id="rId11" w:history="1">
        <w:r w:rsidRPr="00050DA1">
          <w:rPr>
            <w:rStyle w:val="Hipervnculo"/>
            <w:rFonts w:ascii="Verdana" w:hAnsi="Verdana"/>
          </w:rPr>
          <w:t>Lyda2505@gmail.com</w:t>
        </w:r>
      </w:hyperlink>
      <w:r>
        <w:rPr>
          <w:rFonts w:ascii="Verdana" w:hAnsi="Verdana"/>
        </w:rPr>
        <w:t xml:space="preserve"> </w:t>
      </w:r>
    </w:p>
    <w:p w14:paraId="3967EBC6" w14:textId="672A86D8" w:rsidR="006C45B6" w:rsidRDefault="00763F64" w:rsidP="006C45B6">
      <w:pPr>
        <w:spacing w:after="0"/>
        <w:rPr>
          <w:rFonts w:ascii="Verdana" w:hAnsi="Verdana"/>
        </w:rPr>
      </w:pPr>
      <w:r>
        <w:rPr>
          <w:rFonts w:ascii="Verdana" w:hAnsi="Verdana"/>
        </w:rPr>
        <w:t>Ciudad</w:t>
      </w:r>
    </w:p>
    <w:p w14:paraId="62CCD8B4" w14:textId="77777777" w:rsidR="006C45B6" w:rsidRDefault="006C45B6" w:rsidP="006C45B6">
      <w:pPr>
        <w:spacing w:after="0"/>
        <w:rPr>
          <w:rFonts w:ascii="Verdana" w:hAnsi="Verdana"/>
        </w:rPr>
      </w:pPr>
    </w:p>
    <w:tbl>
      <w:tblPr>
        <w:tblStyle w:val="Tablaconcuadrcula"/>
        <w:tblW w:w="8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789"/>
        <w:gridCol w:w="49"/>
      </w:tblGrid>
      <w:tr w:rsidR="006C45B6" w:rsidRPr="000802A6" w14:paraId="4F912EC3" w14:textId="77777777" w:rsidTr="00263C39">
        <w:trPr>
          <w:trHeight w:val="902"/>
        </w:trPr>
        <w:tc>
          <w:tcPr>
            <w:tcW w:w="8478" w:type="dxa"/>
          </w:tcPr>
          <w:p w14:paraId="6CF56ACB" w14:textId="77777777" w:rsidR="002562C6" w:rsidRDefault="006C45B6" w:rsidP="006D2BBB">
            <w:pPr>
              <w:jc w:val="both"/>
              <w:rPr>
                <w:rFonts w:ascii="Verdana" w:eastAsia="Calibri" w:hAnsi="Verdana" w:cs="Arial"/>
                <w:b/>
                <w:lang w:val="es-ES" w:eastAsia="es-ES_tradnl"/>
              </w:rPr>
            </w:pPr>
            <w:r w:rsidRPr="00FD28DB">
              <w:rPr>
                <w:rFonts w:ascii="Verdana" w:eastAsia="Calibri" w:hAnsi="Verdana" w:cs="Arial"/>
                <w:b/>
                <w:lang w:val="es-ES" w:eastAsia="es-ES_tradnl"/>
              </w:rPr>
              <w:t xml:space="preserve">                        </w:t>
            </w:r>
          </w:p>
          <w:p w14:paraId="3B58B138" w14:textId="77777777" w:rsidR="002562C6" w:rsidRDefault="002562C6" w:rsidP="006D2BBB">
            <w:pPr>
              <w:jc w:val="both"/>
              <w:rPr>
                <w:rFonts w:ascii="Verdana" w:eastAsia="Calibri" w:hAnsi="Verdana" w:cs="Arial"/>
                <w:b/>
                <w:lang w:val="es-ES" w:eastAsia="es-ES_tradnl"/>
              </w:rPr>
            </w:pPr>
          </w:p>
          <w:p w14:paraId="67A2600F" w14:textId="1E0EDD9E" w:rsidR="006C45B6" w:rsidRPr="00FD28DB" w:rsidRDefault="006C45B6" w:rsidP="006D2BBB">
            <w:pPr>
              <w:jc w:val="both"/>
              <w:rPr>
                <w:rFonts w:ascii="Verdana" w:eastAsia="Calibri" w:hAnsi="Verdana" w:cs="Arial"/>
                <w:lang w:val="es-ES" w:eastAsia="es-ES_tradnl"/>
              </w:rPr>
            </w:pPr>
            <w:r w:rsidRPr="00FD28DB">
              <w:rPr>
                <w:rFonts w:ascii="Verdana" w:eastAsia="Calibri" w:hAnsi="Verdana" w:cs="Arial"/>
                <w:b/>
                <w:lang w:val="es-ES" w:eastAsia="es-ES_tradnl"/>
              </w:rPr>
              <w:t xml:space="preserve"> </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430"/>
              <w:gridCol w:w="5670"/>
            </w:tblGrid>
            <w:tr w:rsidR="006C45B6" w:rsidRPr="00FD28DB" w14:paraId="019EE420" w14:textId="77777777" w:rsidTr="005122DA">
              <w:trPr>
                <w:trHeight w:val="300"/>
              </w:trPr>
              <w:tc>
                <w:tcPr>
                  <w:tcW w:w="3119" w:type="dxa"/>
                  <w:gridSpan w:val="2"/>
                </w:tcPr>
                <w:p w14:paraId="5B4C0427" w14:textId="77777777" w:rsidR="006C45B6" w:rsidRPr="00FD28DB" w:rsidRDefault="006C45B6" w:rsidP="006D2BBB">
                  <w:pPr>
                    <w:jc w:val="both"/>
                    <w:rPr>
                      <w:rFonts w:ascii="Verdana" w:eastAsia="Calibri" w:hAnsi="Verdana" w:cs="Arial"/>
                      <w:b/>
                      <w:bCs/>
                      <w:lang w:val="es-ES" w:eastAsia="es-ES_tradnl"/>
                    </w:rPr>
                  </w:pPr>
                </w:p>
              </w:tc>
              <w:tc>
                <w:tcPr>
                  <w:tcW w:w="5670" w:type="dxa"/>
                </w:tcPr>
                <w:p w14:paraId="26A2264F" w14:textId="77777777" w:rsidR="006C45B6" w:rsidRDefault="006C45B6" w:rsidP="006D2BBB">
                  <w:pPr>
                    <w:jc w:val="both"/>
                    <w:rPr>
                      <w:rFonts w:ascii="Verdana" w:eastAsia="Calibri" w:hAnsi="Verdana" w:cs="Arial"/>
                      <w:b/>
                      <w:bCs/>
                      <w:lang w:val="es-ES" w:eastAsia="es-ES"/>
                    </w:rPr>
                  </w:pPr>
                  <w:r w:rsidRPr="00FD28DB">
                    <w:rPr>
                      <w:rFonts w:ascii="Verdana" w:eastAsia="Calibri" w:hAnsi="Verdana" w:cs="Arial"/>
                      <w:b/>
                      <w:bCs/>
                      <w:lang w:val="es-ES" w:eastAsia="es-ES"/>
                    </w:rPr>
                    <w:t xml:space="preserve">Concepto C- </w:t>
                  </w:r>
                  <w:r>
                    <w:rPr>
                      <w:rFonts w:ascii="Verdana" w:eastAsia="Calibri" w:hAnsi="Verdana" w:cs="Arial"/>
                      <w:b/>
                      <w:bCs/>
                      <w:lang w:val="es-ES" w:eastAsia="es-ES"/>
                    </w:rPr>
                    <w:t>90</w:t>
                  </w:r>
                  <w:r w:rsidR="00763F64">
                    <w:rPr>
                      <w:rFonts w:ascii="Verdana" w:eastAsia="Calibri" w:hAnsi="Verdana" w:cs="Arial"/>
                      <w:b/>
                      <w:bCs/>
                      <w:lang w:val="es-ES" w:eastAsia="es-ES"/>
                    </w:rPr>
                    <w:t>1</w:t>
                  </w:r>
                  <w:r w:rsidRPr="00FD28DB">
                    <w:rPr>
                      <w:rFonts w:ascii="Verdana" w:eastAsia="Calibri" w:hAnsi="Verdana" w:cs="Arial"/>
                      <w:b/>
                      <w:bCs/>
                      <w:lang w:val="es-ES" w:eastAsia="es-ES"/>
                    </w:rPr>
                    <w:t xml:space="preserve"> de 2024</w:t>
                  </w:r>
                </w:p>
                <w:p w14:paraId="0E482ACE" w14:textId="1349324B" w:rsidR="009901FB" w:rsidRPr="00FD28DB" w:rsidRDefault="009901FB" w:rsidP="006D2BBB">
                  <w:pPr>
                    <w:jc w:val="both"/>
                    <w:rPr>
                      <w:rFonts w:ascii="Verdana" w:eastAsia="Calibri" w:hAnsi="Verdana" w:cs="Arial"/>
                      <w:b/>
                      <w:bCs/>
                      <w:lang w:val="es-ES" w:eastAsia="es-ES"/>
                    </w:rPr>
                  </w:pPr>
                </w:p>
              </w:tc>
            </w:tr>
            <w:tr w:rsidR="002174CB" w:rsidRPr="00676A8B" w14:paraId="49209BD7" w14:textId="77777777" w:rsidTr="00C500EC">
              <w:trPr>
                <w:trHeight w:val="884"/>
              </w:trPr>
              <w:tc>
                <w:tcPr>
                  <w:tcW w:w="2689" w:type="dxa"/>
                </w:tcPr>
                <w:p w14:paraId="615E7491" w14:textId="77777777" w:rsidR="002174CB" w:rsidRPr="00676A8B" w:rsidRDefault="002174CB" w:rsidP="002174CB">
                  <w:pPr>
                    <w:jc w:val="both"/>
                    <w:rPr>
                      <w:rFonts w:ascii="Verdana" w:hAnsi="Verdana" w:cs="Arial"/>
                      <w:lang w:val="es-ES_tradnl" w:eastAsia="es-ES_tradnl"/>
                    </w:rPr>
                  </w:pPr>
                  <w:r w:rsidRPr="00676A8B">
                    <w:rPr>
                      <w:rFonts w:ascii="Verdana" w:hAnsi="Verdana" w:cs="Arial"/>
                      <w:b/>
                      <w:lang w:val="es-ES_tradnl" w:eastAsia="es-ES_tradnl"/>
                    </w:rPr>
                    <w:t>Temas:</w:t>
                  </w:r>
                  <w:r w:rsidRPr="00676A8B">
                    <w:rPr>
                      <w:rFonts w:ascii="Verdana" w:hAnsi="Verdana" w:cs="Arial"/>
                      <w:lang w:val="es-ES_tradnl" w:eastAsia="es-ES_tradnl"/>
                    </w:rPr>
                    <w:t xml:space="preserve">                   </w:t>
                  </w:r>
                </w:p>
              </w:tc>
              <w:tc>
                <w:tcPr>
                  <w:tcW w:w="6100" w:type="dxa"/>
                  <w:gridSpan w:val="2"/>
                </w:tcPr>
                <w:p w14:paraId="7FAAD5CF" w14:textId="121928EF" w:rsidR="002174CB" w:rsidRDefault="001443A8" w:rsidP="002174CB">
                  <w:pPr>
                    <w:tabs>
                      <w:tab w:val="left" w:pos="150"/>
                    </w:tabs>
                    <w:spacing w:line="276" w:lineRule="auto"/>
                    <w:jc w:val="both"/>
                    <w:rPr>
                      <w:rFonts w:ascii="Verdana" w:hAnsi="Verdana" w:cs="Arial"/>
                    </w:rPr>
                  </w:pPr>
                  <w:r>
                    <w:rPr>
                      <w:rFonts w:ascii="Verdana" w:hAnsi="Verdana" w:cs="Arial"/>
                    </w:rPr>
                    <w:t>CONTRATO PRESTACIÓN DE SERVICIOS</w:t>
                  </w:r>
                  <w:r w:rsidR="002174CB" w:rsidRPr="00676A8B">
                    <w:rPr>
                      <w:rFonts w:ascii="Verdana" w:hAnsi="Verdana" w:cs="Arial"/>
                    </w:rPr>
                    <w:t xml:space="preserve"> – </w:t>
                  </w:r>
                  <w:r>
                    <w:rPr>
                      <w:rFonts w:ascii="Verdana" w:hAnsi="Verdana" w:cs="Arial"/>
                    </w:rPr>
                    <w:t>Concepto</w:t>
                  </w:r>
                  <w:r w:rsidR="002174CB">
                    <w:rPr>
                      <w:rFonts w:ascii="Verdana" w:hAnsi="Verdana" w:cs="Arial"/>
                    </w:rPr>
                    <w:t xml:space="preserve"> – </w:t>
                  </w:r>
                  <w:r>
                    <w:rPr>
                      <w:rFonts w:ascii="Verdana" w:hAnsi="Verdana" w:cs="Arial"/>
                    </w:rPr>
                    <w:t>Requisitos</w:t>
                  </w:r>
                  <w:r w:rsidR="00914406">
                    <w:rPr>
                      <w:rFonts w:ascii="Verdana" w:hAnsi="Verdana" w:cs="Arial"/>
                    </w:rPr>
                    <w:t xml:space="preserve"> - Límites</w:t>
                  </w:r>
                  <w:r w:rsidR="002174CB">
                    <w:rPr>
                      <w:rFonts w:ascii="Verdana" w:hAnsi="Verdana" w:cs="Arial"/>
                    </w:rPr>
                    <w:t xml:space="preserve"> / </w:t>
                  </w:r>
                  <w:r w:rsidR="00914406">
                    <w:rPr>
                      <w:rFonts w:ascii="Verdana" w:hAnsi="Verdana" w:cs="Arial"/>
                    </w:rPr>
                    <w:t>CONTRATOS DE PRESTACIÓN DE SE</w:t>
                  </w:r>
                  <w:r w:rsidR="00712477">
                    <w:rPr>
                      <w:rFonts w:ascii="Verdana" w:hAnsi="Verdana" w:cs="Arial"/>
                    </w:rPr>
                    <w:t>RVICIOS</w:t>
                  </w:r>
                  <w:r w:rsidR="002174CB">
                    <w:rPr>
                      <w:rFonts w:ascii="Verdana" w:hAnsi="Verdana" w:cs="Arial"/>
                    </w:rPr>
                    <w:t xml:space="preserve"> –</w:t>
                  </w:r>
                  <w:r w:rsidR="000321B5">
                    <w:rPr>
                      <w:rFonts w:ascii="Verdana" w:hAnsi="Verdana" w:cs="Arial"/>
                    </w:rPr>
                    <w:t xml:space="preserve"> Límites</w:t>
                  </w:r>
                  <w:r w:rsidR="002174CB">
                    <w:rPr>
                      <w:rFonts w:ascii="Verdana" w:hAnsi="Verdana" w:cs="Arial"/>
                    </w:rPr>
                    <w:t xml:space="preserve"> – </w:t>
                  </w:r>
                  <w:r w:rsidR="009477B2">
                    <w:rPr>
                      <w:rFonts w:ascii="Verdana" w:hAnsi="Verdana" w:cs="Arial"/>
                    </w:rPr>
                    <w:t xml:space="preserve">Honorarios </w:t>
                  </w:r>
                  <w:r w:rsidR="001905F0">
                    <w:rPr>
                      <w:rFonts w:ascii="Verdana" w:hAnsi="Verdana" w:cs="Arial"/>
                    </w:rPr>
                    <w:t>–</w:t>
                  </w:r>
                  <w:r w:rsidR="009477B2">
                    <w:rPr>
                      <w:rFonts w:ascii="Verdana" w:hAnsi="Verdana" w:cs="Arial"/>
                    </w:rPr>
                    <w:t xml:space="preserve"> Entidades</w:t>
                  </w:r>
                  <w:r w:rsidR="001905F0">
                    <w:rPr>
                      <w:rFonts w:ascii="Verdana" w:hAnsi="Verdana" w:cs="Arial"/>
                    </w:rPr>
                    <w:t xml:space="preserve"> territoriales / AUSTERIDAD DEL GASTO -Régimen reglamentario – Ámbito de aplicación – Entidades </w:t>
                  </w:r>
                  <w:r w:rsidR="00F3052D">
                    <w:rPr>
                      <w:rFonts w:ascii="Verdana" w:hAnsi="Verdana" w:cs="Arial"/>
                    </w:rPr>
                    <w:t>territoriales</w:t>
                  </w:r>
                </w:p>
                <w:p w14:paraId="57D95F0F" w14:textId="77777777" w:rsidR="002174CB" w:rsidRPr="00676A8B" w:rsidRDefault="002174CB" w:rsidP="002174CB">
                  <w:pPr>
                    <w:tabs>
                      <w:tab w:val="left" w:pos="150"/>
                    </w:tabs>
                    <w:spacing w:line="276" w:lineRule="auto"/>
                    <w:jc w:val="both"/>
                    <w:rPr>
                      <w:rFonts w:ascii="Verdana" w:hAnsi="Verdana" w:cs="Arial"/>
                    </w:rPr>
                  </w:pPr>
                </w:p>
              </w:tc>
            </w:tr>
          </w:tbl>
          <w:p w14:paraId="494F294C" w14:textId="77777777" w:rsidR="004043AD" w:rsidRDefault="004043AD" w:rsidP="006D2BBB">
            <w:pPr>
              <w:tabs>
                <w:tab w:val="left" w:pos="3768"/>
              </w:tabs>
              <w:jc w:val="both"/>
              <w:rPr>
                <w:rFonts w:ascii="Verdana" w:eastAsia="Calibri" w:hAnsi="Verdana" w:cs="Arial"/>
                <w:lang w:eastAsia="es-ES"/>
              </w:rPr>
            </w:pPr>
          </w:p>
          <w:p w14:paraId="340FB199" w14:textId="1928A364" w:rsidR="006C45B6" w:rsidRPr="000802A6" w:rsidRDefault="006C45B6" w:rsidP="00596413">
            <w:pPr>
              <w:tabs>
                <w:tab w:val="left" w:pos="3768"/>
              </w:tabs>
              <w:jc w:val="both"/>
              <w:rPr>
                <w:rFonts w:ascii="Verdana" w:eastAsia="Calibri" w:hAnsi="Verdana" w:cs="Arial"/>
                <w:lang w:eastAsia="es-ES"/>
              </w:rPr>
            </w:pPr>
            <w:r w:rsidRPr="000802A6">
              <w:rPr>
                <w:rFonts w:ascii="Verdana" w:eastAsia="Calibri" w:hAnsi="Verdana" w:cs="Arial"/>
                <w:lang w:eastAsia="es-ES"/>
              </w:rPr>
              <w:tab/>
            </w:r>
            <w:r w:rsidRPr="000802A6">
              <w:rPr>
                <w:rFonts w:ascii="Verdana" w:eastAsia="Calibri" w:hAnsi="Verdana" w:cs="Arial"/>
                <w:lang w:eastAsia="es-ES_tradnl"/>
              </w:rPr>
              <w:t xml:space="preserve">                               </w:t>
            </w:r>
          </w:p>
        </w:tc>
        <w:tc>
          <w:tcPr>
            <w:tcW w:w="360" w:type="dxa"/>
          </w:tcPr>
          <w:p w14:paraId="591D13AC" w14:textId="77777777" w:rsidR="006C45B6" w:rsidRPr="000802A6" w:rsidRDefault="006C45B6" w:rsidP="006D2BBB">
            <w:pPr>
              <w:jc w:val="both"/>
              <w:rPr>
                <w:rFonts w:ascii="Verdana" w:eastAsia="Calibri" w:hAnsi="Verdana" w:cs="Arial"/>
                <w:lang w:eastAsia="es-ES"/>
              </w:rPr>
            </w:pPr>
            <w:r w:rsidRPr="000802A6">
              <w:rPr>
                <w:rFonts w:ascii="Verdana" w:eastAsia="Calibri" w:hAnsi="Verdana" w:cs="Arial"/>
                <w:lang w:eastAsia="es-ES"/>
              </w:rPr>
              <w:t xml:space="preserve">  </w:t>
            </w:r>
          </w:p>
          <w:p w14:paraId="4B888633" w14:textId="77777777" w:rsidR="006C45B6" w:rsidRPr="000802A6" w:rsidRDefault="006C45B6" w:rsidP="006D2BBB">
            <w:pPr>
              <w:jc w:val="both"/>
              <w:rPr>
                <w:rFonts w:ascii="Verdana" w:eastAsia="Calibri" w:hAnsi="Verdana" w:cs="Arial"/>
                <w:highlight w:val="cyan"/>
                <w:lang w:eastAsia="es-ES"/>
              </w:rPr>
            </w:pPr>
          </w:p>
        </w:tc>
      </w:tr>
      <w:tr w:rsidR="006C45B6" w:rsidRPr="00FD28DB" w14:paraId="31B08FED" w14:textId="77777777" w:rsidTr="00263C39">
        <w:trPr>
          <w:trHeight w:val="260"/>
        </w:trPr>
        <w:tc>
          <w:tcPr>
            <w:tcW w:w="8478" w:type="dxa"/>
          </w:tcPr>
          <w:p w14:paraId="0FBBDFAF" w14:textId="70EF6C34" w:rsidR="006C45B6" w:rsidRPr="00FD28DB" w:rsidRDefault="006C45B6" w:rsidP="006D2BBB">
            <w:pPr>
              <w:jc w:val="both"/>
              <w:rPr>
                <w:rFonts w:ascii="Verdana" w:eastAsia="Calibri" w:hAnsi="Verdana" w:cs="Arial"/>
                <w:b/>
                <w:bCs/>
                <w:lang w:val="es-ES" w:eastAsia="es-ES"/>
              </w:rPr>
            </w:pPr>
            <w:r w:rsidRPr="789E5C4F">
              <w:rPr>
                <w:rFonts w:ascii="Verdana" w:eastAsia="Calibri" w:hAnsi="Verdana" w:cs="Arial"/>
                <w:b/>
                <w:bCs/>
                <w:lang w:val="es-ES" w:eastAsia="es-ES"/>
              </w:rPr>
              <w:t>Radicación:</w:t>
            </w:r>
            <w:r w:rsidRPr="789E5C4F">
              <w:rPr>
                <w:rFonts w:ascii="Verdana" w:eastAsia="Calibri" w:hAnsi="Verdana" w:cs="Arial"/>
                <w:lang w:val="es-ES" w:eastAsia="es-ES"/>
              </w:rPr>
              <w:t xml:space="preserve">               Respuesta a consulta con radicado No. P202411</w:t>
            </w:r>
            <w:r w:rsidR="005603B2" w:rsidRPr="789E5C4F">
              <w:rPr>
                <w:rFonts w:ascii="Verdana" w:eastAsia="Calibri" w:hAnsi="Verdana" w:cs="Arial"/>
                <w:lang w:val="es-ES" w:eastAsia="es-ES"/>
              </w:rPr>
              <w:t>20011692</w:t>
            </w:r>
          </w:p>
        </w:tc>
        <w:tc>
          <w:tcPr>
            <w:tcW w:w="360" w:type="dxa"/>
          </w:tcPr>
          <w:p w14:paraId="3581052E" w14:textId="77777777" w:rsidR="006C45B6" w:rsidRPr="00FD28DB" w:rsidRDefault="006C45B6" w:rsidP="006D2BBB">
            <w:pPr>
              <w:jc w:val="both"/>
              <w:rPr>
                <w:rFonts w:ascii="Verdana" w:eastAsia="Calibri" w:hAnsi="Verdana" w:cs="Arial"/>
                <w:lang w:val="es-ES" w:eastAsia="es-ES_tradnl"/>
              </w:rPr>
            </w:pPr>
          </w:p>
        </w:tc>
      </w:tr>
      <w:tr w:rsidR="789E5C4F" w14:paraId="2C6758C9" w14:textId="77777777" w:rsidTr="00263C39">
        <w:trPr>
          <w:trHeight w:val="300"/>
        </w:trPr>
        <w:tc>
          <w:tcPr>
            <w:tcW w:w="8478" w:type="dxa"/>
          </w:tcPr>
          <w:p w14:paraId="763CD0C7" w14:textId="3D8199D0" w:rsidR="789E5C4F" w:rsidRDefault="789E5C4F" w:rsidP="006D2BBB">
            <w:pPr>
              <w:jc w:val="both"/>
              <w:rPr>
                <w:rFonts w:ascii="Verdana" w:eastAsia="Calibri" w:hAnsi="Verdana" w:cs="Arial"/>
                <w:b/>
                <w:bCs/>
                <w:lang w:val="es-ES" w:eastAsia="es-ES"/>
              </w:rPr>
            </w:pPr>
          </w:p>
        </w:tc>
        <w:tc>
          <w:tcPr>
            <w:tcW w:w="360" w:type="dxa"/>
          </w:tcPr>
          <w:p w14:paraId="18441871" w14:textId="2D8BCB51" w:rsidR="789E5C4F" w:rsidRDefault="789E5C4F" w:rsidP="006D2BBB">
            <w:pPr>
              <w:jc w:val="both"/>
              <w:rPr>
                <w:rFonts w:ascii="Verdana" w:eastAsia="Calibri" w:hAnsi="Verdana" w:cs="Arial"/>
                <w:lang w:val="es-ES" w:eastAsia="es-ES"/>
              </w:rPr>
            </w:pPr>
          </w:p>
        </w:tc>
      </w:tr>
    </w:tbl>
    <w:p w14:paraId="5D8E453F" w14:textId="77777777" w:rsidR="006C45B6" w:rsidRPr="00FD28DB" w:rsidRDefault="006C45B6" w:rsidP="006C45B6">
      <w:pPr>
        <w:spacing w:after="0" w:line="240" w:lineRule="auto"/>
        <w:jc w:val="both"/>
        <w:rPr>
          <w:rFonts w:ascii="Verdana" w:eastAsia="Calibri" w:hAnsi="Verdana" w:cs="Arial"/>
          <w:highlight w:val="cyan"/>
          <w:lang w:val="es-ES" w:eastAsia="es-ES_tradnl"/>
        </w:rPr>
      </w:pPr>
    </w:p>
    <w:p w14:paraId="36036D09" w14:textId="77777777" w:rsidR="006C45B6" w:rsidRPr="00FD28DB" w:rsidRDefault="006C45B6" w:rsidP="006C45B6">
      <w:pPr>
        <w:spacing w:after="0" w:line="240" w:lineRule="auto"/>
        <w:jc w:val="both"/>
        <w:rPr>
          <w:rFonts w:ascii="Verdana" w:eastAsia="Calibri" w:hAnsi="Verdana" w:cs="Arial"/>
          <w:highlight w:val="cyan"/>
          <w:lang w:val="es-ES" w:eastAsia="es-ES_tradnl"/>
        </w:rPr>
      </w:pPr>
    </w:p>
    <w:p w14:paraId="3C7AC25E" w14:textId="47275E52" w:rsidR="006C45B6" w:rsidRDefault="006C45B6" w:rsidP="006C45B6">
      <w:pPr>
        <w:spacing w:after="0" w:line="276" w:lineRule="auto"/>
        <w:jc w:val="both"/>
        <w:rPr>
          <w:rFonts w:ascii="Verdana" w:eastAsia="Calibri" w:hAnsi="Verdana" w:cs="Arial"/>
          <w:lang w:val="es-ES" w:eastAsia="es-ES"/>
        </w:rPr>
      </w:pPr>
      <w:r>
        <w:rPr>
          <w:rFonts w:ascii="Verdana" w:eastAsia="Calibri" w:hAnsi="Verdana" w:cs="Arial"/>
          <w:lang w:val="es-ES" w:eastAsia="es-ES"/>
        </w:rPr>
        <w:t>Estimada señora</w:t>
      </w:r>
      <w:r w:rsidR="00AB3EA2">
        <w:rPr>
          <w:rFonts w:ascii="Verdana" w:eastAsia="Calibri" w:hAnsi="Verdana" w:cs="Arial"/>
          <w:lang w:val="es-ES" w:eastAsia="es-ES"/>
        </w:rPr>
        <w:t xml:space="preserve"> Garzón;</w:t>
      </w:r>
    </w:p>
    <w:p w14:paraId="4C7F70A8" w14:textId="77777777" w:rsidR="006C45B6" w:rsidRDefault="006C45B6" w:rsidP="006C45B6">
      <w:pPr>
        <w:spacing w:after="0" w:line="276" w:lineRule="auto"/>
        <w:jc w:val="both"/>
        <w:rPr>
          <w:rFonts w:ascii="Verdana" w:eastAsia="Calibri" w:hAnsi="Verdana" w:cs="Arial"/>
          <w:lang w:val="es-ES" w:eastAsia="es-ES"/>
        </w:rPr>
      </w:pPr>
    </w:p>
    <w:p w14:paraId="5011B512" w14:textId="77777777" w:rsidR="006C45B6" w:rsidRPr="00FD28DB" w:rsidRDefault="006C45B6" w:rsidP="006C45B6">
      <w:pPr>
        <w:spacing w:after="0" w:line="276" w:lineRule="auto"/>
        <w:jc w:val="both"/>
        <w:rPr>
          <w:rFonts w:ascii="Verdana" w:eastAsia="Calibri" w:hAnsi="Verdana" w:cs="Arial"/>
          <w:lang w:val="es-ES" w:eastAsia="es-ES"/>
        </w:rPr>
      </w:pPr>
      <w:r w:rsidRPr="00FD28DB">
        <w:rPr>
          <w:rFonts w:ascii="Verdana" w:eastAsia="Calibri" w:hAnsi="Verdana" w:cs="Arial"/>
          <w:lang w:val="es-ES" w:eastAsia="es-ES"/>
        </w:rPr>
        <w:t>En ejercicio de la competencia otorgada por los artículos 3, numeral 5º, y 11, numeral 8º, del Decreto Ley 4170 de 2011,</w:t>
      </w:r>
      <w:r w:rsidRPr="00FD28DB">
        <w:rPr>
          <w:rFonts w:ascii="Verdana" w:eastAsia="Arial MT" w:hAnsi="Verdana" w:cs="Arial MT"/>
          <w:lang w:val="es-ES" w:eastAsia="es-ES"/>
        </w:rPr>
        <w:t xml:space="preserve"> </w:t>
      </w:r>
      <w:r w:rsidRPr="00FD28DB">
        <w:rPr>
          <w:rFonts w:ascii="Verdana" w:hAnsi="Verdana" w:cs="Arial"/>
          <w:lang w:val="es-ES"/>
        </w:rPr>
        <w:t xml:space="preserve">así como lo establecido en el artículo 4 de la Resolución 1707 de 2018 expedida por esta Entidad, </w:t>
      </w:r>
      <w:r w:rsidRPr="00FD28DB">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20 de noviembre</w:t>
      </w:r>
      <w:r w:rsidRPr="00FD28DB">
        <w:rPr>
          <w:rFonts w:ascii="Verdana" w:eastAsia="Calibri" w:hAnsi="Verdana" w:cs="Arial"/>
          <w:lang w:val="es-ES" w:eastAsia="es-ES"/>
        </w:rPr>
        <w:t xml:space="preserve"> de 2024, en la cual usted manifiesta lo siguiente:</w:t>
      </w:r>
    </w:p>
    <w:p w14:paraId="525C5DC9" w14:textId="77777777" w:rsidR="006C45B6" w:rsidRPr="00FD28DB" w:rsidRDefault="006C45B6" w:rsidP="006C45B6">
      <w:pPr>
        <w:tabs>
          <w:tab w:val="left" w:pos="3768"/>
        </w:tabs>
        <w:spacing w:after="0" w:line="276" w:lineRule="auto"/>
        <w:jc w:val="both"/>
        <w:rPr>
          <w:rFonts w:ascii="Verdana" w:eastAsia="Calibri" w:hAnsi="Verdana" w:cs="Arial"/>
          <w:lang w:val="es-ES" w:eastAsia="es-ES"/>
        </w:rPr>
      </w:pPr>
    </w:p>
    <w:p w14:paraId="3C86D797" w14:textId="18A71435" w:rsidR="006C45B6" w:rsidRDefault="006C45B6" w:rsidP="006C45B6">
      <w:pPr>
        <w:tabs>
          <w:tab w:val="left" w:pos="3768"/>
        </w:tabs>
        <w:spacing w:after="0" w:line="276" w:lineRule="auto"/>
        <w:ind w:left="709" w:right="709"/>
        <w:jc w:val="both"/>
        <w:rPr>
          <w:rFonts w:ascii="Verdana" w:eastAsia="Calibri" w:hAnsi="Verdana" w:cs="Arial"/>
          <w:i/>
          <w:iCs/>
          <w:sz w:val="21"/>
          <w:szCs w:val="21"/>
          <w:lang w:eastAsia="es-ES"/>
        </w:rPr>
      </w:pPr>
      <w:r>
        <w:rPr>
          <w:rFonts w:ascii="Verdana" w:eastAsia="Calibri" w:hAnsi="Verdana" w:cs="Arial"/>
          <w:i/>
          <w:iCs/>
          <w:lang w:eastAsia="es-ES"/>
        </w:rPr>
        <w:t>“</w:t>
      </w:r>
      <w:r w:rsidR="00C247F0">
        <w:rPr>
          <w:rFonts w:ascii="Verdana" w:eastAsia="Calibri" w:hAnsi="Verdana" w:cs="Arial"/>
          <w:i/>
          <w:iCs/>
          <w:sz w:val="21"/>
          <w:szCs w:val="21"/>
          <w:lang w:eastAsia="es-ES"/>
        </w:rPr>
        <w:t>1. ¿Pueden las alcaldías de los municipios de secta categoría realizar</w:t>
      </w:r>
      <w:r w:rsidR="00B14116">
        <w:rPr>
          <w:rFonts w:ascii="Verdana" w:eastAsia="Calibri" w:hAnsi="Verdana" w:cs="Arial"/>
          <w:i/>
          <w:iCs/>
          <w:sz w:val="21"/>
          <w:szCs w:val="21"/>
          <w:lang w:eastAsia="es-ES"/>
        </w:rPr>
        <w:t xml:space="preserve"> contratos de prestación de servicios profesionales y/o </w:t>
      </w:r>
      <w:r w:rsidR="00D0341A">
        <w:rPr>
          <w:rFonts w:ascii="Verdana" w:eastAsia="Calibri" w:hAnsi="Verdana" w:cs="Arial"/>
          <w:i/>
          <w:iCs/>
          <w:sz w:val="21"/>
          <w:szCs w:val="21"/>
          <w:lang w:eastAsia="es-ES"/>
        </w:rPr>
        <w:t>de apoyo a la gestión en</w:t>
      </w:r>
      <w:r w:rsidR="005B1E3D">
        <w:rPr>
          <w:rFonts w:ascii="Verdana" w:eastAsia="Calibri" w:hAnsi="Verdana" w:cs="Arial"/>
          <w:i/>
          <w:iCs/>
          <w:sz w:val="21"/>
          <w:szCs w:val="21"/>
          <w:lang w:eastAsia="es-ES"/>
        </w:rPr>
        <w:t xml:space="preserve"> forma continua</w:t>
      </w:r>
      <w:r w:rsidR="005906D4">
        <w:rPr>
          <w:rFonts w:ascii="Verdana" w:eastAsia="Calibri" w:hAnsi="Verdana" w:cs="Arial"/>
          <w:i/>
          <w:iCs/>
          <w:sz w:val="21"/>
          <w:szCs w:val="21"/>
          <w:lang w:eastAsia="es-ES"/>
        </w:rPr>
        <w:t xml:space="preserve"> por un valor mayor al del jefe de la entidad en este cao al de un empleo de libre nombramiento y remoción (secretaria de gobierno)</w:t>
      </w:r>
    </w:p>
    <w:p w14:paraId="269395D6" w14:textId="64AF5659" w:rsidR="005906D4" w:rsidRDefault="005906D4" w:rsidP="006C45B6">
      <w:pPr>
        <w:tabs>
          <w:tab w:val="left" w:pos="3768"/>
        </w:tabs>
        <w:spacing w:after="0" w:line="276" w:lineRule="auto"/>
        <w:ind w:left="709" w:right="709"/>
        <w:jc w:val="both"/>
        <w:rPr>
          <w:rFonts w:ascii="Verdana" w:eastAsia="Calibri" w:hAnsi="Verdana" w:cs="Arial"/>
          <w:i/>
          <w:iCs/>
          <w:lang w:eastAsia="es-ES"/>
        </w:rPr>
      </w:pPr>
      <w:r>
        <w:rPr>
          <w:rFonts w:ascii="Verdana" w:eastAsia="Calibri" w:hAnsi="Verdana" w:cs="Arial"/>
          <w:i/>
          <w:iCs/>
          <w:lang w:eastAsia="es-ES"/>
        </w:rPr>
        <w:t xml:space="preserve">2. </w:t>
      </w:r>
      <w:r w:rsidR="000877CE">
        <w:rPr>
          <w:rFonts w:ascii="Verdana" w:eastAsia="Calibri" w:hAnsi="Verdana" w:cs="Arial"/>
          <w:i/>
          <w:iCs/>
          <w:lang w:eastAsia="es-ES"/>
        </w:rPr>
        <w:t xml:space="preserve">¿Existe un </w:t>
      </w:r>
      <w:r w:rsidR="0033594F">
        <w:rPr>
          <w:rFonts w:ascii="Verdana" w:eastAsia="Calibri" w:hAnsi="Verdana" w:cs="Arial"/>
          <w:i/>
          <w:iCs/>
          <w:lang w:eastAsia="es-ES"/>
        </w:rPr>
        <w:t>límite</w:t>
      </w:r>
      <w:r w:rsidR="000877CE">
        <w:rPr>
          <w:rFonts w:ascii="Verdana" w:eastAsia="Calibri" w:hAnsi="Verdana" w:cs="Arial"/>
          <w:i/>
          <w:iCs/>
          <w:lang w:eastAsia="es-ES"/>
        </w:rPr>
        <w:t xml:space="preserve"> para la celebración de contratos de prestación de servicios de apoyo a la </w:t>
      </w:r>
      <w:r w:rsidR="00174222">
        <w:rPr>
          <w:rFonts w:ascii="Verdana" w:eastAsia="Calibri" w:hAnsi="Verdana" w:cs="Arial"/>
          <w:i/>
          <w:iCs/>
          <w:lang w:eastAsia="es-ES"/>
        </w:rPr>
        <w:t>gestión y de prestación de servicios profesionales en un municipio de sex</w:t>
      </w:r>
      <w:r w:rsidR="00CB699E">
        <w:rPr>
          <w:rFonts w:ascii="Verdana" w:eastAsia="Calibri" w:hAnsi="Verdana" w:cs="Arial"/>
          <w:i/>
          <w:iCs/>
          <w:lang w:eastAsia="es-ES"/>
        </w:rPr>
        <w:t>ta categoría?</w:t>
      </w:r>
    </w:p>
    <w:p w14:paraId="05828A40" w14:textId="32D52C29" w:rsidR="0033594F" w:rsidRDefault="0033594F" w:rsidP="006C45B6">
      <w:pPr>
        <w:tabs>
          <w:tab w:val="left" w:pos="3768"/>
        </w:tabs>
        <w:spacing w:after="0" w:line="276" w:lineRule="auto"/>
        <w:ind w:left="709" w:right="709"/>
        <w:jc w:val="both"/>
        <w:rPr>
          <w:rFonts w:ascii="Verdana" w:eastAsia="Calibri" w:hAnsi="Verdana" w:cs="Arial"/>
          <w:i/>
          <w:iCs/>
          <w:lang w:eastAsia="es-ES"/>
        </w:rPr>
      </w:pPr>
      <w:r>
        <w:rPr>
          <w:rFonts w:ascii="Verdana" w:eastAsia="Calibri" w:hAnsi="Verdana" w:cs="Arial"/>
          <w:i/>
          <w:iCs/>
          <w:lang w:eastAsia="es-ES"/>
        </w:rPr>
        <w:t>3. ¿Cuál es la tabla de honorarios para los contratos de prestación de servicios profesionales que se debe aplicar en un municipio de sexta categoría?</w:t>
      </w:r>
    </w:p>
    <w:p w14:paraId="077CEF8A" w14:textId="5F0B1AA5" w:rsidR="00BA54C1" w:rsidRDefault="00BA54C1" w:rsidP="006C45B6">
      <w:pPr>
        <w:tabs>
          <w:tab w:val="left" w:pos="3768"/>
        </w:tabs>
        <w:spacing w:after="0" w:line="276" w:lineRule="auto"/>
        <w:ind w:left="709" w:right="709"/>
        <w:jc w:val="both"/>
        <w:rPr>
          <w:rFonts w:ascii="Verdana" w:eastAsia="Calibri" w:hAnsi="Verdana" w:cs="Arial"/>
          <w:i/>
          <w:iCs/>
          <w:lang w:eastAsia="es-ES"/>
        </w:rPr>
      </w:pPr>
      <w:r>
        <w:rPr>
          <w:rFonts w:ascii="Verdana" w:eastAsia="Calibri" w:hAnsi="Verdana" w:cs="Arial"/>
          <w:i/>
          <w:iCs/>
          <w:lang w:eastAsia="es-ES"/>
        </w:rPr>
        <w:t>4. ¿Los alcaldes de los municipios deben expedir un acto</w:t>
      </w:r>
      <w:r w:rsidR="008936A2">
        <w:rPr>
          <w:rFonts w:ascii="Verdana" w:eastAsia="Calibri" w:hAnsi="Verdana" w:cs="Arial"/>
          <w:i/>
          <w:iCs/>
          <w:lang w:eastAsia="es-ES"/>
        </w:rPr>
        <w:t xml:space="preserve"> administrativo por el cual se adopte la tabla de honorarios para el pago de prestación de servicios profesionales?</w:t>
      </w:r>
      <w:r w:rsidR="00261D93">
        <w:rPr>
          <w:rFonts w:ascii="Verdana" w:eastAsia="Calibri" w:hAnsi="Verdana" w:cs="Arial"/>
          <w:i/>
          <w:iCs/>
          <w:lang w:eastAsia="es-ES"/>
        </w:rPr>
        <w:t>” (sic).</w:t>
      </w:r>
    </w:p>
    <w:p w14:paraId="02E316B1" w14:textId="77777777" w:rsidR="0033594F" w:rsidRPr="00FD28DB" w:rsidRDefault="0033594F" w:rsidP="006C45B6">
      <w:pPr>
        <w:tabs>
          <w:tab w:val="left" w:pos="3768"/>
        </w:tabs>
        <w:spacing w:after="0" w:line="276" w:lineRule="auto"/>
        <w:ind w:left="709" w:right="709"/>
        <w:jc w:val="both"/>
        <w:rPr>
          <w:rFonts w:ascii="Verdana" w:eastAsia="Calibri" w:hAnsi="Verdana" w:cs="Arial"/>
          <w:i/>
          <w:iCs/>
          <w:sz w:val="21"/>
          <w:szCs w:val="21"/>
          <w:lang w:val="es-ES" w:eastAsia="es-ES"/>
        </w:rPr>
      </w:pPr>
    </w:p>
    <w:p w14:paraId="1C098117" w14:textId="77777777" w:rsidR="006C45B6" w:rsidRPr="00FD28DB" w:rsidRDefault="006C45B6" w:rsidP="006C45B6">
      <w:pPr>
        <w:tabs>
          <w:tab w:val="left" w:pos="3768"/>
        </w:tabs>
        <w:spacing w:after="0" w:line="276" w:lineRule="auto"/>
        <w:ind w:left="709" w:right="709"/>
        <w:jc w:val="both"/>
        <w:rPr>
          <w:rFonts w:ascii="Verdana" w:eastAsia="Calibri" w:hAnsi="Verdana" w:cs="Arial"/>
          <w:i/>
          <w:iCs/>
          <w:lang w:val="es-ES" w:eastAsia="es-ES"/>
        </w:rPr>
      </w:pPr>
    </w:p>
    <w:p w14:paraId="33AA22E7" w14:textId="77777777" w:rsidR="006C45B6" w:rsidRPr="00FD28DB" w:rsidRDefault="006C45B6" w:rsidP="006C45B6">
      <w:pPr>
        <w:spacing w:after="120" w:line="276" w:lineRule="auto"/>
        <w:jc w:val="both"/>
        <w:rPr>
          <w:rFonts w:ascii="Verdana" w:eastAsia="Calibri" w:hAnsi="Verdana" w:cs="Arial"/>
          <w:lang w:val="es-ES" w:eastAsia="es-ES"/>
        </w:rPr>
      </w:pPr>
      <w:r w:rsidRPr="00FD28DB">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2109BFB4" w14:textId="77777777" w:rsidR="006C45B6" w:rsidRPr="00FD28DB" w:rsidRDefault="006C45B6" w:rsidP="006C45B6">
      <w:pPr>
        <w:spacing w:after="0" w:line="276" w:lineRule="auto"/>
        <w:ind w:firstLine="709"/>
        <w:jc w:val="both"/>
        <w:rPr>
          <w:rFonts w:ascii="Verdana" w:eastAsia="Calibri" w:hAnsi="Verdana" w:cs="Arial"/>
          <w:lang w:val="es-ES" w:eastAsia="es-ES"/>
        </w:rPr>
      </w:pPr>
      <w:r w:rsidRPr="00FD28DB">
        <w:rPr>
          <w:rFonts w:ascii="Verdana" w:eastAsia="Calibri" w:hAnsi="Verdana" w:cs="Arial"/>
          <w:lang w:val="es-ES" w:eastAsia="es-ES"/>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0E0C1052" w14:textId="77777777" w:rsidR="006C45B6" w:rsidRPr="00FD28DB" w:rsidRDefault="006C45B6" w:rsidP="006C45B6">
      <w:pPr>
        <w:spacing w:after="0" w:line="276" w:lineRule="auto"/>
        <w:ind w:firstLine="708"/>
        <w:jc w:val="both"/>
        <w:rPr>
          <w:rFonts w:ascii="Verdana" w:eastAsia="Calibri" w:hAnsi="Verdana" w:cs="Arial"/>
          <w:lang w:val="es-ES" w:eastAsia="es-ES"/>
        </w:rPr>
      </w:pPr>
    </w:p>
    <w:p w14:paraId="7FDAC88A" w14:textId="77777777" w:rsidR="006C45B6" w:rsidRPr="00FD28DB" w:rsidRDefault="006C45B6" w:rsidP="006C45B6">
      <w:pPr>
        <w:spacing w:after="0" w:line="276" w:lineRule="auto"/>
        <w:jc w:val="both"/>
        <w:rPr>
          <w:rFonts w:ascii="Verdana" w:eastAsia="Calibri" w:hAnsi="Verdana" w:cs="Arial"/>
          <w:b/>
          <w:bCs/>
          <w:lang w:val="es-ES" w:eastAsia="es-ES"/>
        </w:rPr>
      </w:pPr>
      <w:r w:rsidRPr="00FD28DB">
        <w:rPr>
          <w:rFonts w:ascii="Verdana" w:eastAsia="Calibri" w:hAnsi="Verdana" w:cs="Arial"/>
          <w:b/>
          <w:bCs/>
          <w:lang w:val="es-ES" w:eastAsia="es-ES"/>
        </w:rPr>
        <w:t>1. Problemas planteados:</w:t>
      </w:r>
    </w:p>
    <w:p w14:paraId="074C6387" w14:textId="77777777" w:rsidR="006C45B6" w:rsidRPr="00FD28DB" w:rsidRDefault="006C45B6" w:rsidP="006C45B6">
      <w:pPr>
        <w:spacing w:after="0" w:line="276" w:lineRule="auto"/>
        <w:jc w:val="both"/>
        <w:rPr>
          <w:rFonts w:ascii="Verdana" w:eastAsia="Calibri" w:hAnsi="Verdana" w:cs="Arial"/>
          <w:lang w:val="es-ES" w:eastAsia="es-ES"/>
        </w:rPr>
      </w:pPr>
    </w:p>
    <w:p w14:paraId="0465BA6D" w14:textId="605D9C63" w:rsidR="00E245AB" w:rsidRDefault="006C45B6" w:rsidP="00E735FA">
      <w:pPr>
        <w:spacing w:after="0" w:line="276" w:lineRule="auto"/>
        <w:jc w:val="both"/>
        <w:textAlignment w:val="baseline"/>
        <w:rPr>
          <w:rFonts w:ascii="Verdana" w:eastAsia="Calibri" w:hAnsi="Verdana" w:cs="Arial"/>
          <w:lang w:val="es-ES" w:eastAsia="es-ES"/>
        </w:rPr>
      </w:pPr>
      <w:r w:rsidRPr="00FD28DB">
        <w:rPr>
          <w:rFonts w:ascii="Verdana" w:eastAsia="Calibri" w:hAnsi="Verdana" w:cs="Arial"/>
          <w:lang w:val="es-ES" w:eastAsia="es-ES"/>
        </w:rPr>
        <w:t xml:space="preserve">De acuerdo con el contenido de su solicitud, esta Agencia resolverá los siguientes problemas jurídicos: </w:t>
      </w:r>
      <w:bookmarkStart w:id="1" w:name="_Hlk182581156"/>
      <w:r w:rsidRPr="00FD28DB">
        <w:rPr>
          <w:rFonts w:ascii="Verdana" w:eastAsia="Calibri" w:hAnsi="Verdana" w:cs="Arial"/>
          <w:lang w:val="es-ES" w:eastAsia="es-ES"/>
        </w:rPr>
        <w:t xml:space="preserve">i) </w:t>
      </w:r>
      <w:bookmarkEnd w:id="1"/>
      <w:r w:rsidR="00014196">
        <w:rPr>
          <w:rFonts w:ascii="Verdana" w:eastAsia="Calibri" w:hAnsi="Verdana" w:cs="Arial"/>
          <w:lang w:val="es-ES" w:eastAsia="es-ES"/>
        </w:rPr>
        <w:t>¿</w:t>
      </w:r>
      <w:r w:rsidR="003758CD">
        <w:rPr>
          <w:rFonts w:ascii="Verdana" w:eastAsia="Calibri" w:hAnsi="Verdana" w:cs="Arial"/>
          <w:lang w:val="es-ES" w:eastAsia="es-ES"/>
        </w:rPr>
        <w:t xml:space="preserve">Pueden las entidades estatales celebrar contratos de prestación de servicios de forma continua por </w:t>
      </w:r>
      <w:r w:rsidR="00776AF3">
        <w:rPr>
          <w:rFonts w:ascii="Verdana" w:eastAsia="Calibri" w:hAnsi="Verdana" w:cs="Arial"/>
          <w:lang w:val="es-ES" w:eastAsia="es-ES"/>
        </w:rPr>
        <w:t>honorarios superiores al del jefe de la entidad o representante legal</w:t>
      </w:r>
      <w:r w:rsidR="00103C28">
        <w:rPr>
          <w:rFonts w:ascii="Verdana" w:eastAsia="Calibri" w:hAnsi="Verdana" w:cs="Arial"/>
          <w:lang w:val="es-ES" w:eastAsia="es-ES"/>
        </w:rPr>
        <w:t>?</w:t>
      </w:r>
      <w:r w:rsidR="00305F73">
        <w:rPr>
          <w:rFonts w:ascii="Verdana" w:eastAsia="Calibri" w:hAnsi="Verdana" w:cs="Arial"/>
          <w:lang w:val="es-ES" w:eastAsia="es-ES"/>
        </w:rPr>
        <w:t xml:space="preserve"> y ii) </w:t>
      </w:r>
      <w:r w:rsidR="007D41A0">
        <w:rPr>
          <w:rFonts w:ascii="Verdana" w:eastAsia="Calibri" w:hAnsi="Verdana" w:cs="Arial"/>
          <w:lang w:val="es-ES" w:eastAsia="es-ES"/>
        </w:rPr>
        <w:t>¿</w:t>
      </w:r>
      <w:r w:rsidR="002E17B0">
        <w:rPr>
          <w:rFonts w:ascii="Verdana" w:eastAsia="Calibri" w:hAnsi="Verdana" w:cs="Arial"/>
          <w:lang w:val="es-ES" w:eastAsia="es-ES"/>
        </w:rPr>
        <w:t xml:space="preserve">Deben las Entidades Estatales expedir un acto administrativo para </w:t>
      </w:r>
      <w:r w:rsidR="00AD68FA">
        <w:rPr>
          <w:rFonts w:ascii="Verdana" w:eastAsia="Calibri" w:hAnsi="Verdana" w:cs="Arial"/>
          <w:lang w:val="es-ES" w:eastAsia="es-ES"/>
        </w:rPr>
        <w:t xml:space="preserve">fijar </w:t>
      </w:r>
      <w:r w:rsidR="00C96D74">
        <w:rPr>
          <w:rFonts w:ascii="Verdana" w:eastAsia="Calibri" w:hAnsi="Verdana" w:cs="Arial"/>
          <w:lang w:val="es-ES" w:eastAsia="es-ES"/>
        </w:rPr>
        <w:t>los honorarios en un contrato de prestación de servicios?</w:t>
      </w:r>
    </w:p>
    <w:p w14:paraId="2B340B79" w14:textId="77777777" w:rsidR="00454C28" w:rsidRDefault="00454C28" w:rsidP="00E735FA">
      <w:pPr>
        <w:spacing w:after="0" w:line="276" w:lineRule="auto"/>
        <w:jc w:val="both"/>
        <w:textAlignment w:val="baseline"/>
        <w:rPr>
          <w:rFonts w:ascii="Verdana" w:eastAsia="Calibri" w:hAnsi="Verdana" w:cs="Arial"/>
          <w:lang w:val="es-ES" w:eastAsia="es-ES"/>
        </w:rPr>
      </w:pPr>
    </w:p>
    <w:p w14:paraId="652EB512" w14:textId="67AB6FDB" w:rsidR="00454C28" w:rsidRDefault="00454C28" w:rsidP="00E735FA">
      <w:pPr>
        <w:spacing w:after="0" w:line="276" w:lineRule="auto"/>
        <w:jc w:val="both"/>
        <w:textAlignment w:val="baseline"/>
        <w:rPr>
          <w:rFonts w:ascii="Verdana" w:eastAsia="Calibri" w:hAnsi="Verdana" w:cs="Arial"/>
          <w:b/>
          <w:bCs/>
          <w:lang w:val="es-ES" w:eastAsia="es-ES"/>
        </w:rPr>
      </w:pPr>
      <w:r>
        <w:rPr>
          <w:rFonts w:ascii="Verdana" w:eastAsia="Calibri" w:hAnsi="Verdana" w:cs="Arial"/>
          <w:b/>
          <w:bCs/>
          <w:lang w:val="es-ES" w:eastAsia="es-ES"/>
        </w:rPr>
        <w:t>2. Respuesta:</w:t>
      </w:r>
    </w:p>
    <w:p w14:paraId="0B8DEA9E" w14:textId="77777777" w:rsidR="00454C28" w:rsidRDefault="00454C28" w:rsidP="00E735FA">
      <w:pPr>
        <w:spacing w:after="0" w:line="276" w:lineRule="auto"/>
        <w:jc w:val="both"/>
        <w:textAlignment w:val="baseline"/>
        <w:rPr>
          <w:rFonts w:ascii="Verdana" w:eastAsia="Calibri" w:hAnsi="Verdana" w:cs="Arial"/>
          <w:b/>
          <w:bCs/>
          <w:lang w:val="es-ES" w:eastAsia="es-ES"/>
        </w:rPr>
      </w:pPr>
    </w:p>
    <w:p w14:paraId="15459698" w14:textId="6E806970" w:rsidR="00B93CEF" w:rsidRDefault="00BB2EE9" w:rsidP="007709AA">
      <w:pPr>
        <w:pBdr>
          <w:top w:val="single" w:sz="4" w:space="1" w:color="auto"/>
          <w:left w:val="single" w:sz="4" w:space="4" w:color="auto"/>
          <w:bottom w:val="single" w:sz="4" w:space="1" w:color="auto"/>
          <w:right w:val="single" w:sz="4" w:space="4" w:color="auto"/>
        </w:pBdr>
        <w:spacing w:after="120" w:line="276" w:lineRule="auto"/>
        <w:jc w:val="both"/>
        <w:textAlignment w:val="baseline"/>
        <w:rPr>
          <w:rFonts w:ascii="Verdana" w:eastAsia="Calibri" w:hAnsi="Verdana" w:cs="Arial"/>
          <w:lang w:val="es-ES" w:eastAsia="es-ES"/>
        </w:rPr>
      </w:pPr>
      <w:r>
        <w:rPr>
          <w:rFonts w:ascii="Verdana" w:eastAsia="Calibri" w:hAnsi="Verdana" w:cs="Arial"/>
          <w:lang w:val="es-ES" w:eastAsia="es-ES"/>
        </w:rPr>
        <w:t>En relación con el problema planteado</w:t>
      </w:r>
      <w:r w:rsidR="00DD60B6">
        <w:rPr>
          <w:rFonts w:ascii="Verdana" w:eastAsia="Calibri" w:hAnsi="Verdana" w:cs="Arial"/>
          <w:lang w:val="es-ES" w:eastAsia="es-ES"/>
        </w:rPr>
        <w:t>, es menester precisa</w:t>
      </w:r>
      <w:r w:rsidR="0062368D">
        <w:rPr>
          <w:rFonts w:ascii="Verdana" w:eastAsia="Calibri" w:hAnsi="Verdana" w:cs="Arial"/>
          <w:lang w:val="es-ES" w:eastAsia="es-ES"/>
        </w:rPr>
        <w:t>r</w:t>
      </w:r>
      <w:r w:rsidR="005D602C">
        <w:rPr>
          <w:rFonts w:ascii="Verdana" w:eastAsia="Calibri" w:hAnsi="Verdana" w:cs="Arial"/>
          <w:lang w:val="es-ES" w:eastAsia="es-ES"/>
        </w:rPr>
        <w:t xml:space="preserve"> </w:t>
      </w:r>
      <w:r w:rsidR="008767A5">
        <w:rPr>
          <w:rFonts w:ascii="Verdana" w:eastAsia="Calibri" w:hAnsi="Verdana" w:cs="Arial"/>
          <w:lang w:val="es-ES" w:eastAsia="es-ES"/>
        </w:rPr>
        <w:t xml:space="preserve">que el Decreto 1068 de 2015 en el artículo 2.8.4.4.6., estableció unas reglas particulares para </w:t>
      </w:r>
      <w:r w:rsidR="003E6D68">
        <w:rPr>
          <w:rFonts w:ascii="Verdana" w:eastAsia="Calibri" w:hAnsi="Verdana" w:cs="Arial"/>
          <w:lang w:val="es-ES" w:eastAsia="es-ES"/>
        </w:rPr>
        <w:t xml:space="preserve">que las entidades estatales puedan suscribir contratos de prestación de servicios personales con personas “calificadas” y “altamente calificadas”, en la que expuso lo siguiente: “prohibición para contratar prestación de servicios de forma continua. </w:t>
      </w:r>
      <w:r w:rsidR="00EF6BA8">
        <w:rPr>
          <w:rFonts w:ascii="Verdana" w:eastAsia="Calibri" w:hAnsi="Verdana" w:cs="Arial"/>
          <w:lang w:val="es-ES" w:eastAsia="es-ES"/>
        </w:rPr>
        <w:t>Está</w:t>
      </w:r>
      <w:r w:rsidR="003E6D68">
        <w:rPr>
          <w:rFonts w:ascii="Verdana" w:eastAsia="Calibri" w:hAnsi="Verdana" w:cs="Arial"/>
          <w:lang w:val="es-ES" w:eastAsia="es-ES"/>
        </w:rPr>
        <w:t xml:space="preserve"> prohibido el pacto de remuneración para pago de servicios personales calificados con personas naturales o jurídicas, encaminados a la prestación de servicios de forma continua para atender asuntos propios de la respectiva entidad, por valor mensual a la remuneración total mensual establecida para el jefe de la entidad”. Ahora bien, a lo que hace referencia este artículo corresponde a lo comprendidos en el concepto de “remuneración servicios técnicos” el cual fue desarrollado en el </w:t>
      </w:r>
      <w:r w:rsidR="00776AF3">
        <w:rPr>
          <w:rFonts w:ascii="Verdana" w:eastAsia="Calibri" w:hAnsi="Verdana" w:cs="Arial"/>
          <w:lang w:val="es-ES" w:eastAsia="es-ES"/>
        </w:rPr>
        <w:t>D</w:t>
      </w:r>
      <w:r w:rsidR="003E6D68">
        <w:rPr>
          <w:rFonts w:ascii="Verdana" w:eastAsia="Calibri" w:hAnsi="Verdana" w:cs="Arial"/>
          <w:lang w:val="es-ES" w:eastAsia="es-ES"/>
        </w:rPr>
        <w:t xml:space="preserve">ecreto de </w:t>
      </w:r>
      <w:r w:rsidR="00776AF3">
        <w:rPr>
          <w:rFonts w:ascii="Verdana" w:eastAsia="Calibri" w:hAnsi="Verdana" w:cs="Arial"/>
          <w:lang w:val="es-ES" w:eastAsia="es-ES"/>
        </w:rPr>
        <w:t>L</w:t>
      </w:r>
      <w:r w:rsidR="003E6D68">
        <w:rPr>
          <w:rFonts w:ascii="Verdana" w:eastAsia="Calibri" w:hAnsi="Verdana" w:cs="Arial"/>
          <w:lang w:val="es-ES" w:eastAsia="es-ES"/>
        </w:rPr>
        <w:t xml:space="preserve">iquidación del </w:t>
      </w:r>
      <w:r w:rsidR="00776AF3">
        <w:rPr>
          <w:rFonts w:ascii="Verdana" w:eastAsia="Calibri" w:hAnsi="Verdana" w:cs="Arial"/>
          <w:lang w:val="es-ES" w:eastAsia="es-ES"/>
        </w:rPr>
        <w:t>P</w:t>
      </w:r>
      <w:r w:rsidR="003E6D68">
        <w:rPr>
          <w:rFonts w:ascii="Verdana" w:eastAsia="Calibri" w:hAnsi="Verdana" w:cs="Arial"/>
          <w:lang w:val="es-ES" w:eastAsia="es-ES"/>
        </w:rPr>
        <w:t xml:space="preserve">resupuesto </w:t>
      </w:r>
      <w:r w:rsidR="00776AF3">
        <w:rPr>
          <w:rFonts w:ascii="Verdana" w:eastAsia="Calibri" w:hAnsi="Verdana" w:cs="Arial"/>
          <w:lang w:val="es-ES" w:eastAsia="es-ES"/>
        </w:rPr>
        <w:t>G</w:t>
      </w:r>
      <w:r w:rsidR="003E6D68">
        <w:rPr>
          <w:rFonts w:ascii="Verdana" w:eastAsia="Calibri" w:hAnsi="Verdana" w:cs="Arial"/>
          <w:lang w:val="es-ES" w:eastAsia="es-ES"/>
        </w:rPr>
        <w:t>eneral de la Nación con independencia del presupuesto con cargo al cual se realice su pago</w:t>
      </w:r>
      <w:r w:rsidR="00776AF3">
        <w:rPr>
          <w:rFonts w:ascii="Verdana" w:eastAsia="Calibri" w:hAnsi="Verdana" w:cs="Arial"/>
          <w:lang w:val="es-ES" w:eastAsia="es-ES"/>
        </w:rPr>
        <w:t xml:space="preserve">. </w:t>
      </w:r>
    </w:p>
    <w:p w14:paraId="3049BE11" w14:textId="2C20ACFD" w:rsidR="00B93CEF" w:rsidRDefault="00B93CEF" w:rsidP="007709AA">
      <w:pPr>
        <w:pBdr>
          <w:top w:val="single" w:sz="4" w:space="1" w:color="auto"/>
          <w:left w:val="single" w:sz="4" w:space="4" w:color="auto"/>
          <w:bottom w:val="single" w:sz="4" w:space="1" w:color="auto"/>
          <w:right w:val="single" w:sz="4" w:space="4" w:color="auto"/>
        </w:pBdr>
        <w:spacing w:after="120" w:line="276" w:lineRule="auto"/>
        <w:jc w:val="both"/>
        <w:textAlignment w:val="baseline"/>
        <w:rPr>
          <w:rFonts w:ascii="Verdana" w:eastAsia="Calibri" w:hAnsi="Verdana" w:cs="Arial"/>
          <w:lang w:val="es-ES" w:eastAsia="es-ES"/>
        </w:rPr>
      </w:pPr>
      <w:r>
        <w:rPr>
          <w:rFonts w:ascii="Verdana" w:eastAsia="Calibri" w:hAnsi="Verdana" w:cs="Arial"/>
          <w:lang w:val="es-ES" w:eastAsia="es-ES"/>
        </w:rPr>
        <w:t xml:space="preserve">Sin embargo, en aquellos casos que excepcionalmente se requiera de contratar servicios altamente calificados, se podrán pactar honorarios mayores a la remuneración del jefe de la entidad, pero estos no pueden superar el valor total mensual de la remuneración del jefe de la entidad incluyendo los factores prestacionales y contribuciones inherentes a la </w:t>
      </w:r>
      <w:r w:rsidR="006C7662">
        <w:rPr>
          <w:rFonts w:ascii="Verdana" w:eastAsia="Calibri" w:hAnsi="Verdana" w:cs="Arial"/>
          <w:lang w:val="es-ES" w:eastAsia="es-ES"/>
        </w:rPr>
        <w:t>nómina</w:t>
      </w:r>
      <w:r>
        <w:rPr>
          <w:rFonts w:ascii="Verdana" w:eastAsia="Calibri" w:hAnsi="Verdana" w:cs="Arial"/>
          <w:lang w:val="es-ES" w:eastAsia="es-ES"/>
        </w:rPr>
        <w:t xml:space="preserve"> relacionadas con seguridad social y parafiscales a cargo del empleador. </w:t>
      </w:r>
    </w:p>
    <w:p w14:paraId="42B83AC0" w14:textId="747E7AB4" w:rsidR="00B93CEF" w:rsidRDefault="00B93CEF" w:rsidP="007709AA">
      <w:pPr>
        <w:pBdr>
          <w:top w:val="single" w:sz="4" w:space="1" w:color="auto"/>
          <w:left w:val="single" w:sz="4" w:space="4" w:color="auto"/>
          <w:bottom w:val="single" w:sz="4" w:space="1" w:color="auto"/>
          <w:right w:val="single" w:sz="4" w:space="4" w:color="auto"/>
        </w:pBdr>
        <w:spacing w:after="120" w:line="276" w:lineRule="auto"/>
        <w:jc w:val="both"/>
        <w:textAlignment w:val="baseline"/>
        <w:rPr>
          <w:rFonts w:ascii="Verdana" w:eastAsia="Calibri" w:hAnsi="Verdana" w:cs="Arial"/>
          <w:lang w:val="es-ES" w:eastAsia="es-ES"/>
        </w:rPr>
      </w:pPr>
      <w:r>
        <w:rPr>
          <w:rFonts w:ascii="Verdana" w:eastAsia="Calibri" w:hAnsi="Verdana" w:cs="Arial"/>
          <w:lang w:val="es-ES" w:eastAsia="es-ES"/>
        </w:rPr>
        <w:t xml:space="preserve">Conforme a lo anterior, la determinación de los honorarios en los contratos de prestación de servicios se decide automáticamente por parte de las entidades territoriales, siempre respetando los principios de economía y </w:t>
      </w:r>
      <w:r w:rsidR="00D14C12">
        <w:rPr>
          <w:rFonts w:ascii="Verdana" w:eastAsia="Calibri" w:hAnsi="Verdana" w:cs="Arial"/>
          <w:lang w:val="es-ES" w:eastAsia="es-ES"/>
        </w:rPr>
        <w:t>planeación y de acuerdo con lo que está señalado en el artículo 2.8.4.4.6 del Decreto 1068 de 2015, se exhorta a las entidades territoriales a adoptar medidas equivalentes a las allí dispuesta en sus organizaciones administrativas.</w:t>
      </w:r>
    </w:p>
    <w:p w14:paraId="71192519" w14:textId="0F63AF8D" w:rsidR="00D14C12" w:rsidRDefault="00D14C12" w:rsidP="144903E5">
      <w:pPr>
        <w:pBdr>
          <w:top w:val="single" w:sz="4" w:space="1" w:color="auto"/>
          <w:left w:val="single" w:sz="4" w:space="4" w:color="auto"/>
          <w:bottom w:val="single" w:sz="4" w:space="1" w:color="auto"/>
          <w:right w:val="single" w:sz="4" w:space="4" w:color="auto"/>
        </w:pBdr>
        <w:spacing w:after="120" w:line="276" w:lineRule="auto"/>
        <w:jc w:val="both"/>
        <w:textAlignment w:val="baseline"/>
        <w:rPr>
          <w:rFonts w:ascii="Verdana" w:eastAsia="Calibri" w:hAnsi="Verdana" w:cs="Arial"/>
          <w:lang w:val="es-ES" w:eastAsia="es-ES"/>
        </w:rPr>
      </w:pPr>
      <w:r w:rsidRPr="144903E5">
        <w:rPr>
          <w:rFonts w:ascii="Verdana" w:eastAsia="Calibri" w:hAnsi="Verdana" w:cs="Arial"/>
          <w:lang w:val="es-ES" w:eastAsia="es-ES"/>
        </w:rPr>
        <w:t>En cuanto a la fijación de honorarios,</w:t>
      </w:r>
      <w:r w:rsidR="007709AA" w:rsidRPr="144903E5">
        <w:rPr>
          <w:rFonts w:ascii="Verdana" w:eastAsia="Calibri" w:hAnsi="Verdana" w:cs="Arial"/>
          <w:lang w:val="es-ES" w:eastAsia="es-ES"/>
        </w:rPr>
        <w:t xml:space="preserve"> las entidades estatales son las que determinan el monto de los honorarios de los contratos de prestación de servicios, esto de conformidad con lo con establecido en el análisis del sector y en los documentos previos. Así pues, cabe resaltar que en la Ley 80 de 1993, Ley 1150 de 2007 y en el Decreto 1082 de 2015, no se encuentra disposiciones que establezcan la obligatoriedad de implementar tablas de honorarios o estandarizar perfiles para los contratos de prestación de servicios, </w:t>
      </w:r>
      <w:r w:rsidR="0DD50BAC" w:rsidRPr="144903E5">
        <w:rPr>
          <w:rFonts w:ascii="Verdana" w:eastAsia="Calibri" w:hAnsi="Verdana" w:cs="Arial"/>
          <w:lang w:val="es-ES" w:eastAsia="es-ES"/>
        </w:rPr>
        <w:t xml:space="preserve">sin embargo sí establecen los </w:t>
      </w:r>
      <w:r w:rsidR="784E1C9D" w:rsidRPr="144903E5">
        <w:rPr>
          <w:rFonts w:ascii="Verdana" w:eastAsia="Calibri" w:hAnsi="Verdana" w:cs="Arial"/>
          <w:lang w:val="es-ES" w:eastAsia="es-ES"/>
        </w:rPr>
        <w:t>requisitos</w:t>
      </w:r>
      <w:r w:rsidR="0DD50BAC" w:rsidRPr="144903E5">
        <w:rPr>
          <w:rFonts w:ascii="Verdana" w:eastAsia="Calibri" w:hAnsi="Verdana" w:cs="Arial"/>
          <w:lang w:val="es-ES" w:eastAsia="es-ES"/>
        </w:rPr>
        <w:t xml:space="preserve"> para proceder con dicha contratación, </w:t>
      </w:r>
      <w:r w:rsidR="7C6501C7" w:rsidRPr="144903E5">
        <w:rPr>
          <w:rFonts w:ascii="Verdana" w:eastAsia="Calibri" w:hAnsi="Verdana" w:cs="Arial"/>
          <w:lang w:val="es-ES" w:eastAsia="es-ES"/>
        </w:rPr>
        <w:t xml:space="preserve">determinando </w:t>
      </w:r>
      <w:r w:rsidR="0DD50BAC" w:rsidRPr="144903E5">
        <w:rPr>
          <w:rFonts w:ascii="Verdana" w:eastAsia="Calibri" w:hAnsi="Verdana" w:cs="Arial"/>
          <w:lang w:val="es-ES" w:eastAsia="es-ES"/>
        </w:rPr>
        <w:t>entre otros</w:t>
      </w:r>
      <w:r w:rsidR="6614BA2F" w:rsidRPr="144903E5">
        <w:rPr>
          <w:rFonts w:ascii="Verdana" w:eastAsia="Calibri" w:hAnsi="Verdana" w:cs="Arial"/>
          <w:lang w:val="es-ES" w:eastAsia="es-ES"/>
        </w:rPr>
        <w:t xml:space="preserve">, </w:t>
      </w:r>
      <w:r w:rsidR="2F8EB919" w:rsidRPr="144903E5">
        <w:rPr>
          <w:rFonts w:ascii="Verdana" w:eastAsia="Calibri" w:hAnsi="Verdana" w:cs="Arial"/>
          <w:lang w:val="es-ES" w:eastAsia="es-ES"/>
        </w:rPr>
        <w:t xml:space="preserve">los relacionados con </w:t>
      </w:r>
      <w:r w:rsidR="0DD50BAC" w:rsidRPr="144903E5">
        <w:rPr>
          <w:rFonts w:ascii="Verdana" w:eastAsia="Calibri" w:hAnsi="Verdana" w:cs="Arial"/>
          <w:lang w:val="es-ES" w:eastAsia="es-ES"/>
        </w:rPr>
        <w:t xml:space="preserve">la verificación de la capacidad del </w:t>
      </w:r>
      <w:r w:rsidR="1C3718A9" w:rsidRPr="144903E5">
        <w:rPr>
          <w:rFonts w:ascii="Verdana" w:eastAsia="Calibri" w:hAnsi="Verdana" w:cs="Arial"/>
          <w:lang w:val="es-ES" w:eastAsia="es-ES"/>
        </w:rPr>
        <w:t>contratista</w:t>
      </w:r>
      <w:r w:rsidR="0DD50BAC" w:rsidRPr="144903E5">
        <w:rPr>
          <w:rFonts w:ascii="Verdana" w:eastAsia="Calibri" w:hAnsi="Verdana" w:cs="Arial"/>
          <w:lang w:val="es-ES" w:eastAsia="es-ES"/>
        </w:rPr>
        <w:t xml:space="preserve"> para ejecutar el objeto y </w:t>
      </w:r>
      <w:r w:rsidR="345FC5D8" w:rsidRPr="144903E5">
        <w:rPr>
          <w:rFonts w:ascii="Verdana" w:eastAsia="Calibri" w:hAnsi="Verdana" w:cs="Arial"/>
          <w:lang w:val="es-ES" w:eastAsia="es-ES"/>
        </w:rPr>
        <w:t>obligaciones</w:t>
      </w:r>
      <w:r w:rsidR="409B1A57" w:rsidRPr="144903E5">
        <w:rPr>
          <w:rFonts w:ascii="Verdana" w:eastAsia="Calibri" w:hAnsi="Verdana" w:cs="Arial"/>
          <w:lang w:val="es-ES" w:eastAsia="es-ES"/>
        </w:rPr>
        <w:t xml:space="preserve"> del </w:t>
      </w:r>
      <w:r w:rsidR="0DD50BAC" w:rsidRPr="144903E5">
        <w:rPr>
          <w:rFonts w:ascii="Verdana" w:eastAsia="Calibri" w:hAnsi="Verdana" w:cs="Arial"/>
          <w:lang w:val="es-ES" w:eastAsia="es-ES"/>
        </w:rPr>
        <w:t xml:space="preserve">contrato </w:t>
      </w:r>
      <w:r w:rsidR="1B4757AF" w:rsidRPr="144903E5">
        <w:rPr>
          <w:rFonts w:ascii="Verdana" w:eastAsia="Calibri" w:hAnsi="Verdana" w:cs="Arial"/>
          <w:lang w:val="es-ES" w:eastAsia="es-ES"/>
        </w:rPr>
        <w:t>previa</w:t>
      </w:r>
      <w:r w:rsidR="0DD50BAC" w:rsidRPr="144903E5">
        <w:rPr>
          <w:rFonts w:ascii="Verdana" w:eastAsia="Calibri" w:hAnsi="Verdana" w:cs="Arial"/>
          <w:lang w:val="es-ES" w:eastAsia="es-ES"/>
        </w:rPr>
        <w:t xml:space="preserve"> acreditación de</w:t>
      </w:r>
      <w:r w:rsidR="6BA808DF" w:rsidRPr="144903E5">
        <w:rPr>
          <w:rFonts w:ascii="Verdana" w:eastAsia="Calibri" w:hAnsi="Verdana" w:cs="Arial"/>
          <w:lang w:val="es-ES" w:eastAsia="es-ES"/>
        </w:rPr>
        <w:t xml:space="preserve"> </w:t>
      </w:r>
      <w:r w:rsidR="0DD50BAC" w:rsidRPr="144903E5">
        <w:rPr>
          <w:rFonts w:ascii="Verdana" w:eastAsia="Calibri" w:hAnsi="Verdana" w:cs="Arial"/>
          <w:lang w:val="es-ES" w:eastAsia="es-ES"/>
        </w:rPr>
        <w:t xml:space="preserve">los </w:t>
      </w:r>
      <w:r w:rsidR="1BCA3366" w:rsidRPr="144903E5">
        <w:rPr>
          <w:rFonts w:ascii="Verdana" w:eastAsia="Calibri" w:hAnsi="Verdana" w:cs="Arial"/>
          <w:lang w:val="es-ES" w:eastAsia="es-ES"/>
        </w:rPr>
        <w:t>requisitos</w:t>
      </w:r>
      <w:r w:rsidR="0DD50BAC" w:rsidRPr="144903E5">
        <w:rPr>
          <w:rFonts w:ascii="Verdana" w:eastAsia="Calibri" w:hAnsi="Verdana" w:cs="Arial"/>
          <w:lang w:val="es-ES" w:eastAsia="es-ES"/>
        </w:rPr>
        <w:t xml:space="preserve"> de idoneidad, </w:t>
      </w:r>
      <w:r w:rsidR="0314C565" w:rsidRPr="144903E5">
        <w:rPr>
          <w:rFonts w:ascii="Verdana" w:eastAsia="Calibri" w:hAnsi="Verdana" w:cs="Arial"/>
          <w:lang w:val="es-ES" w:eastAsia="es-ES"/>
        </w:rPr>
        <w:t>experiencia</w:t>
      </w:r>
      <w:r w:rsidR="0DD50BAC" w:rsidRPr="144903E5">
        <w:rPr>
          <w:rFonts w:ascii="Verdana" w:eastAsia="Calibri" w:hAnsi="Verdana" w:cs="Arial"/>
          <w:lang w:val="es-ES" w:eastAsia="es-ES"/>
        </w:rPr>
        <w:t xml:space="preserve"> del fututo contratista, </w:t>
      </w:r>
      <w:r w:rsidR="007709AA" w:rsidRPr="144903E5">
        <w:rPr>
          <w:rFonts w:ascii="Verdana" w:eastAsia="Calibri" w:hAnsi="Verdana" w:cs="Arial"/>
          <w:lang w:val="es-ES" w:eastAsia="es-ES"/>
        </w:rPr>
        <w:t>y por ende, las entidades no están obligadas a expedir un acto administrativo, ahora bien, eso no implica que las entidades estatales no puedan hacerlo</w:t>
      </w:r>
      <w:r w:rsidR="13A89E70" w:rsidRPr="144903E5">
        <w:rPr>
          <w:rFonts w:ascii="Verdana" w:eastAsia="Calibri" w:hAnsi="Verdana" w:cs="Arial"/>
          <w:lang w:val="es-ES" w:eastAsia="es-ES"/>
        </w:rPr>
        <w:t xml:space="preserve"> como una buena práctica de la actividad contractual</w:t>
      </w:r>
      <w:r w:rsidR="007709AA" w:rsidRPr="144903E5">
        <w:rPr>
          <w:rFonts w:ascii="Verdana" w:eastAsia="Calibri" w:hAnsi="Verdana" w:cs="Arial"/>
          <w:lang w:val="es-ES" w:eastAsia="es-ES"/>
        </w:rPr>
        <w:t>.</w:t>
      </w:r>
    </w:p>
    <w:p w14:paraId="67540A80" w14:textId="77777777" w:rsidR="007709AA" w:rsidRDefault="007709AA" w:rsidP="005D602C">
      <w:pPr>
        <w:spacing w:after="120" w:line="276" w:lineRule="auto"/>
        <w:jc w:val="both"/>
        <w:textAlignment w:val="baseline"/>
        <w:rPr>
          <w:rFonts w:ascii="Verdana" w:eastAsia="Calibri" w:hAnsi="Verdana" w:cs="Arial"/>
          <w:lang w:val="es-ES" w:eastAsia="es-ES"/>
        </w:rPr>
      </w:pPr>
    </w:p>
    <w:p w14:paraId="5CD6F469" w14:textId="32297801" w:rsidR="007709AA" w:rsidRDefault="007709AA" w:rsidP="005D602C">
      <w:pPr>
        <w:spacing w:after="120" w:line="276" w:lineRule="auto"/>
        <w:jc w:val="both"/>
        <w:textAlignment w:val="baseline"/>
        <w:rPr>
          <w:rFonts w:ascii="Verdana" w:eastAsia="Calibri" w:hAnsi="Verdana" w:cs="Arial"/>
          <w:b/>
          <w:bCs/>
          <w:lang w:val="es-ES" w:eastAsia="es-ES"/>
        </w:rPr>
      </w:pPr>
      <w:r>
        <w:rPr>
          <w:rFonts w:ascii="Verdana" w:eastAsia="Calibri" w:hAnsi="Verdana" w:cs="Arial"/>
          <w:b/>
          <w:bCs/>
          <w:lang w:val="es-ES" w:eastAsia="es-ES"/>
        </w:rPr>
        <w:t>3. Razones de la Respuesta:</w:t>
      </w:r>
    </w:p>
    <w:p w14:paraId="632BC920" w14:textId="77777777" w:rsidR="007709AA" w:rsidRDefault="007709AA" w:rsidP="005D602C">
      <w:pPr>
        <w:spacing w:after="120" w:line="276" w:lineRule="auto"/>
        <w:jc w:val="both"/>
        <w:textAlignment w:val="baseline"/>
        <w:rPr>
          <w:rFonts w:ascii="Verdana" w:eastAsia="Calibri" w:hAnsi="Verdana" w:cs="Arial"/>
          <w:b/>
          <w:bCs/>
          <w:lang w:val="es-ES" w:eastAsia="es-ES"/>
        </w:rPr>
      </w:pPr>
    </w:p>
    <w:p w14:paraId="3732E43F" w14:textId="207756A8" w:rsidR="007709AA" w:rsidRDefault="007709AA" w:rsidP="005D602C">
      <w:pPr>
        <w:spacing w:after="120" w:line="276" w:lineRule="auto"/>
        <w:jc w:val="both"/>
        <w:textAlignment w:val="baseline"/>
        <w:rPr>
          <w:rFonts w:ascii="Verdana" w:eastAsia="Calibri" w:hAnsi="Verdana" w:cs="Arial"/>
          <w:lang w:val="es-ES" w:eastAsia="es-ES"/>
        </w:rPr>
      </w:pPr>
      <w:r>
        <w:rPr>
          <w:rFonts w:ascii="Verdana" w:eastAsia="Calibri" w:hAnsi="Verdana" w:cs="Arial"/>
          <w:lang w:val="es-ES" w:eastAsia="es-ES"/>
        </w:rPr>
        <w:t>Lo anterior se sustenta en las siguientes consideraciones:</w:t>
      </w:r>
    </w:p>
    <w:p w14:paraId="5E2FDAE6" w14:textId="77777777" w:rsidR="007709AA" w:rsidRDefault="007709AA" w:rsidP="005D602C">
      <w:pPr>
        <w:spacing w:after="120" w:line="276" w:lineRule="auto"/>
        <w:jc w:val="both"/>
        <w:textAlignment w:val="baseline"/>
        <w:rPr>
          <w:rFonts w:ascii="Verdana" w:eastAsia="Calibri" w:hAnsi="Verdana" w:cs="Arial"/>
          <w:lang w:val="es-ES" w:eastAsia="es-ES"/>
        </w:rPr>
      </w:pPr>
    </w:p>
    <w:p w14:paraId="71910BEF" w14:textId="6AE06C73" w:rsidR="007709AA" w:rsidRDefault="003907AE" w:rsidP="003907AE">
      <w:pPr>
        <w:spacing w:after="120" w:line="276" w:lineRule="auto"/>
        <w:ind w:firstLine="709"/>
        <w:jc w:val="both"/>
        <w:textAlignment w:val="baseline"/>
        <w:rPr>
          <w:rFonts w:ascii="Verdana" w:eastAsia="Calibri" w:hAnsi="Verdana" w:cs="Arial"/>
          <w:lang w:val="es-ES" w:eastAsia="es-ES"/>
        </w:rPr>
      </w:pPr>
      <w:r>
        <w:rPr>
          <w:rFonts w:ascii="Verdana" w:eastAsia="Calibri" w:hAnsi="Verdana" w:cs="Arial"/>
          <w:lang w:val="es-ES" w:eastAsia="es-ES"/>
        </w:rPr>
        <w:t xml:space="preserve">El contrato de prestación de servicios profesionales es unos de los tipos contractuales en el Estatuto General de Contratación de la Administración Pública, que pueden celebrar las entidades estatales. Se trata de un contrato típico, ya que se encuentra definido en la le. Concretamente, el artículo 32, numeral 3°, de la Ley 80 de 1993, establece: </w:t>
      </w:r>
    </w:p>
    <w:p w14:paraId="1EFAB447" w14:textId="77777777" w:rsidR="003907AE" w:rsidRDefault="003907AE" w:rsidP="003907AE">
      <w:pPr>
        <w:spacing w:after="120" w:line="276" w:lineRule="auto"/>
        <w:ind w:firstLine="709"/>
        <w:jc w:val="both"/>
        <w:textAlignment w:val="baseline"/>
        <w:rPr>
          <w:rFonts w:ascii="Verdana" w:eastAsia="Calibri" w:hAnsi="Verdana" w:cs="Arial"/>
          <w:lang w:val="es-ES" w:eastAsia="es-ES"/>
        </w:rPr>
      </w:pPr>
    </w:p>
    <w:p w14:paraId="239B052D" w14:textId="146FCEBA" w:rsidR="003907AE" w:rsidRDefault="003907AE" w:rsidP="003907AE">
      <w:pPr>
        <w:spacing w:after="0" w:line="276" w:lineRule="auto"/>
        <w:ind w:left="709" w:right="709"/>
        <w:jc w:val="both"/>
        <w:textAlignment w:val="baseline"/>
        <w:rPr>
          <w:rFonts w:ascii="Verdana" w:eastAsia="Calibri" w:hAnsi="Verdana" w:cs="Arial"/>
          <w:sz w:val="21"/>
          <w:szCs w:val="21"/>
          <w:lang w:val="es-ES" w:eastAsia="es-ES"/>
        </w:rPr>
      </w:pPr>
      <w:r>
        <w:rPr>
          <w:rFonts w:ascii="Verdana" w:eastAsia="Calibri" w:hAnsi="Verdana" w:cs="Arial"/>
          <w:sz w:val="21"/>
          <w:szCs w:val="21"/>
          <w:lang w:val="es-ES" w:eastAsia="es-ES"/>
        </w:rPr>
        <w:t>Son contratos de prestación de servicios los que celebren las entidades estatales para desarrollar actividades relacionadas con la administración o funcionamiento de la entidad</w:t>
      </w:r>
      <w:r w:rsidR="0005386B">
        <w:rPr>
          <w:rFonts w:ascii="Verdana" w:eastAsia="Calibri" w:hAnsi="Verdana" w:cs="Arial"/>
          <w:sz w:val="21"/>
          <w:szCs w:val="21"/>
          <w:lang w:val="es-ES" w:eastAsia="es-ES"/>
        </w:rPr>
        <w:t>. Estos contratos solo podrán celebrarse con personas naturales cuando dichas actividades no puedan realizarse con personal de planta o requieran conocimientos especializados.</w:t>
      </w:r>
    </w:p>
    <w:p w14:paraId="3C242A19" w14:textId="77777777" w:rsidR="0005386B" w:rsidRDefault="0005386B" w:rsidP="003907AE">
      <w:pPr>
        <w:spacing w:after="0" w:line="276" w:lineRule="auto"/>
        <w:ind w:left="709" w:right="709"/>
        <w:jc w:val="both"/>
        <w:textAlignment w:val="baseline"/>
        <w:rPr>
          <w:rFonts w:ascii="Verdana" w:eastAsia="Calibri" w:hAnsi="Verdana" w:cs="Arial"/>
          <w:sz w:val="21"/>
          <w:szCs w:val="21"/>
          <w:lang w:val="es-ES" w:eastAsia="es-ES"/>
        </w:rPr>
      </w:pPr>
    </w:p>
    <w:p w14:paraId="261A9955" w14:textId="7505C31D" w:rsidR="0005386B" w:rsidRDefault="0005386B" w:rsidP="003907AE">
      <w:pPr>
        <w:spacing w:after="0" w:line="276" w:lineRule="auto"/>
        <w:ind w:left="709" w:right="709"/>
        <w:jc w:val="both"/>
        <w:textAlignment w:val="baseline"/>
        <w:rPr>
          <w:rFonts w:ascii="Verdana" w:eastAsia="Calibri" w:hAnsi="Verdana" w:cs="Arial"/>
          <w:sz w:val="21"/>
          <w:szCs w:val="21"/>
          <w:lang w:val="es-ES" w:eastAsia="es-ES"/>
        </w:rPr>
      </w:pPr>
      <w:r>
        <w:rPr>
          <w:rFonts w:ascii="Verdana" w:eastAsia="Calibri" w:hAnsi="Verdana" w:cs="Arial"/>
          <w:sz w:val="21"/>
          <w:szCs w:val="21"/>
          <w:lang w:val="es-ES" w:eastAsia="es-ES"/>
        </w:rPr>
        <w:t>En ningún caso estos contratos generan relación laboral ni prestaciones sociales y se celebran por el termino estrictamente indispensable.</w:t>
      </w:r>
    </w:p>
    <w:p w14:paraId="23B84F56" w14:textId="77777777" w:rsidR="0005386B" w:rsidRDefault="0005386B" w:rsidP="003907AE">
      <w:pPr>
        <w:spacing w:after="0" w:line="276" w:lineRule="auto"/>
        <w:ind w:left="709" w:right="709"/>
        <w:jc w:val="both"/>
        <w:textAlignment w:val="baseline"/>
        <w:rPr>
          <w:rFonts w:ascii="Verdana" w:eastAsia="Calibri" w:hAnsi="Verdana" w:cs="Arial"/>
          <w:sz w:val="21"/>
          <w:szCs w:val="21"/>
          <w:lang w:val="es-ES" w:eastAsia="es-ES"/>
        </w:rPr>
      </w:pPr>
    </w:p>
    <w:p w14:paraId="521F42B8" w14:textId="73C03F36" w:rsidR="0005386B" w:rsidRDefault="0005386B" w:rsidP="0005386B">
      <w:pPr>
        <w:spacing w:after="120" w:line="276" w:lineRule="auto"/>
        <w:ind w:firstLine="709"/>
        <w:jc w:val="both"/>
        <w:textAlignment w:val="baseline"/>
        <w:rPr>
          <w:rFonts w:ascii="Verdana" w:eastAsia="Calibri" w:hAnsi="Verdana" w:cs="Arial"/>
          <w:lang w:val="es-ES" w:eastAsia="es-ES"/>
        </w:rPr>
      </w:pPr>
      <w:r>
        <w:rPr>
          <w:rFonts w:ascii="Verdana" w:eastAsia="Calibri" w:hAnsi="Verdana" w:cs="Arial"/>
          <w:lang w:val="es-ES" w:eastAsia="es-ES"/>
        </w:rPr>
        <w:t>De otro lado, la celebración de dicho contrato se debe efectuar a través de la modalidad de la contratación directa. Así lo prevé el artículo 2, numeral 4°, literal h) de la Ley 1150 de 2007, dispone que:</w:t>
      </w:r>
    </w:p>
    <w:p w14:paraId="607B4CA9" w14:textId="77777777" w:rsidR="0005386B" w:rsidRDefault="0005386B" w:rsidP="0005386B">
      <w:pPr>
        <w:spacing w:after="120" w:line="276" w:lineRule="auto"/>
        <w:ind w:firstLine="709"/>
        <w:jc w:val="both"/>
        <w:textAlignment w:val="baseline"/>
        <w:rPr>
          <w:rFonts w:ascii="Verdana" w:eastAsia="Calibri" w:hAnsi="Verdana" w:cs="Arial"/>
          <w:lang w:val="es-ES" w:eastAsia="es-ES"/>
        </w:rPr>
      </w:pPr>
    </w:p>
    <w:p w14:paraId="21C5CF5B" w14:textId="42621D24" w:rsidR="0005386B" w:rsidRDefault="0005386B" w:rsidP="0005386B">
      <w:pPr>
        <w:spacing w:after="0" w:line="276" w:lineRule="auto"/>
        <w:ind w:left="709" w:right="709"/>
        <w:jc w:val="both"/>
        <w:textAlignment w:val="baseline"/>
        <w:rPr>
          <w:rFonts w:ascii="Verdana" w:eastAsia="Calibri" w:hAnsi="Verdana" w:cs="Arial"/>
          <w:sz w:val="21"/>
          <w:szCs w:val="21"/>
          <w:lang w:val="es-ES" w:eastAsia="es-ES"/>
        </w:rPr>
      </w:pPr>
      <w:r>
        <w:rPr>
          <w:rFonts w:ascii="Verdana" w:eastAsia="Calibri" w:hAnsi="Verdana" w:cs="Arial"/>
          <w:sz w:val="21"/>
          <w:szCs w:val="21"/>
          <w:lang w:val="es-ES" w:eastAsia="es-ES"/>
        </w:rPr>
        <w:t>[…]</w:t>
      </w:r>
    </w:p>
    <w:p w14:paraId="5770944D" w14:textId="528856B7" w:rsidR="0005386B" w:rsidRDefault="0005386B" w:rsidP="0005386B">
      <w:pPr>
        <w:spacing w:after="0" w:line="276" w:lineRule="auto"/>
        <w:ind w:left="709" w:right="709"/>
        <w:jc w:val="both"/>
        <w:textAlignment w:val="baseline"/>
        <w:rPr>
          <w:rFonts w:ascii="Verdana" w:eastAsia="Calibri" w:hAnsi="Verdana" w:cs="Arial"/>
          <w:sz w:val="21"/>
          <w:szCs w:val="21"/>
          <w:lang w:val="es-ES" w:eastAsia="es-ES"/>
        </w:rPr>
      </w:pPr>
      <w:r>
        <w:rPr>
          <w:rFonts w:ascii="Verdana" w:eastAsia="Calibri" w:hAnsi="Verdana" w:cs="Arial"/>
          <w:sz w:val="21"/>
          <w:szCs w:val="21"/>
          <w:lang w:val="es-ES" w:eastAsia="es-ES"/>
        </w:rPr>
        <w:t>Contratación directa. La modalidad de selección de contratación directa solamente procederá en los siguientes casos:</w:t>
      </w:r>
    </w:p>
    <w:p w14:paraId="14E6CA17" w14:textId="77777777" w:rsidR="0005386B" w:rsidRDefault="0005386B" w:rsidP="0005386B">
      <w:pPr>
        <w:spacing w:after="0" w:line="276" w:lineRule="auto"/>
        <w:ind w:left="709" w:right="709"/>
        <w:jc w:val="both"/>
        <w:textAlignment w:val="baseline"/>
        <w:rPr>
          <w:rFonts w:ascii="Verdana" w:eastAsia="Calibri" w:hAnsi="Verdana" w:cs="Arial"/>
          <w:sz w:val="21"/>
          <w:szCs w:val="21"/>
          <w:lang w:val="es-ES" w:eastAsia="es-ES"/>
        </w:rPr>
      </w:pPr>
    </w:p>
    <w:p w14:paraId="578B6BCD" w14:textId="3E8F7A2F" w:rsidR="0005386B" w:rsidRDefault="0005386B" w:rsidP="0005386B">
      <w:pPr>
        <w:spacing w:after="0" w:line="276" w:lineRule="auto"/>
        <w:ind w:left="709" w:right="709"/>
        <w:jc w:val="both"/>
        <w:textAlignment w:val="baseline"/>
        <w:rPr>
          <w:rFonts w:ascii="Verdana" w:eastAsia="Calibri" w:hAnsi="Verdana" w:cs="Arial"/>
          <w:sz w:val="21"/>
          <w:szCs w:val="21"/>
          <w:lang w:val="es-ES" w:eastAsia="es-ES"/>
        </w:rPr>
      </w:pPr>
      <w:r>
        <w:rPr>
          <w:rFonts w:ascii="Verdana" w:eastAsia="Calibri" w:hAnsi="Verdana" w:cs="Arial"/>
          <w:sz w:val="21"/>
          <w:szCs w:val="21"/>
          <w:lang w:val="es-ES" w:eastAsia="es-ES"/>
        </w:rPr>
        <w:t xml:space="preserve">[…] </w:t>
      </w:r>
    </w:p>
    <w:p w14:paraId="78E60A90" w14:textId="09CDB7BF" w:rsidR="0005386B" w:rsidRDefault="0005386B" w:rsidP="0005386B">
      <w:pPr>
        <w:spacing w:after="0" w:line="276" w:lineRule="auto"/>
        <w:ind w:left="709" w:right="709"/>
        <w:jc w:val="both"/>
        <w:textAlignment w:val="baseline"/>
        <w:rPr>
          <w:rFonts w:ascii="Verdana" w:eastAsia="Calibri" w:hAnsi="Verdana" w:cs="Arial"/>
          <w:sz w:val="21"/>
          <w:szCs w:val="21"/>
          <w:lang w:val="es-ES" w:eastAsia="es-ES"/>
        </w:rPr>
      </w:pPr>
      <w:r>
        <w:rPr>
          <w:rFonts w:ascii="Verdana" w:eastAsia="Calibri" w:hAnsi="Verdana" w:cs="Arial"/>
          <w:sz w:val="21"/>
          <w:szCs w:val="21"/>
          <w:lang w:val="es-ES" w:eastAsia="es-ES"/>
        </w:rPr>
        <w:t xml:space="preserve">h) Para la prestación de servicios profesionales y de apoyo a la gestión, o para la ejecución de trabajos artísticos que solo puedan encomendarse a determinadas personas naturales; </w:t>
      </w:r>
    </w:p>
    <w:p w14:paraId="11D68300" w14:textId="77777777" w:rsidR="0005386B" w:rsidRDefault="0005386B" w:rsidP="003907AE">
      <w:pPr>
        <w:spacing w:after="0" w:line="276" w:lineRule="auto"/>
        <w:ind w:left="709" w:right="709"/>
        <w:jc w:val="both"/>
        <w:textAlignment w:val="baseline"/>
        <w:rPr>
          <w:rFonts w:ascii="Verdana" w:eastAsia="Calibri" w:hAnsi="Verdana" w:cs="Arial"/>
          <w:sz w:val="21"/>
          <w:szCs w:val="21"/>
          <w:lang w:val="es-ES" w:eastAsia="es-ES"/>
        </w:rPr>
      </w:pPr>
    </w:p>
    <w:p w14:paraId="6C509CB4" w14:textId="5BC21690" w:rsidR="0005386B" w:rsidRDefault="0005386B" w:rsidP="0005386B">
      <w:pPr>
        <w:spacing w:after="120" w:line="276" w:lineRule="auto"/>
        <w:ind w:firstLine="709"/>
        <w:jc w:val="both"/>
        <w:textAlignment w:val="baseline"/>
        <w:rPr>
          <w:rFonts w:ascii="Verdana" w:eastAsia="Calibri" w:hAnsi="Verdana" w:cs="Arial"/>
          <w:lang w:val="es-ES" w:eastAsia="es-ES"/>
        </w:rPr>
      </w:pPr>
      <w:r w:rsidRPr="144903E5">
        <w:rPr>
          <w:rFonts w:ascii="Verdana" w:eastAsia="Calibri" w:hAnsi="Verdana" w:cs="Arial"/>
          <w:lang w:val="es-ES" w:eastAsia="es-ES"/>
        </w:rPr>
        <w:t xml:space="preserve">A partir de estos enunciados normativos, así como de otros, de carácter legal reglamentario, que complementan su regulación, y de los pronunciamientos judiciales </w:t>
      </w:r>
      <w:r w:rsidR="00F51D21" w:rsidRPr="144903E5">
        <w:rPr>
          <w:rFonts w:ascii="Verdana" w:eastAsia="Calibri" w:hAnsi="Verdana" w:cs="Arial"/>
          <w:lang w:val="es-ES" w:eastAsia="es-ES"/>
        </w:rPr>
        <w:t>más</w:t>
      </w:r>
      <w:r w:rsidRPr="144903E5">
        <w:rPr>
          <w:rFonts w:ascii="Verdana" w:eastAsia="Calibri" w:hAnsi="Verdana" w:cs="Arial"/>
          <w:lang w:val="es-ES" w:eastAsia="es-ES"/>
        </w:rPr>
        <w:t xml:space="preserve"> destacados sobre el tema, es posible señalar las siguientes características del contrato de prestación de servicios profesionales:</w:t>
      </w:r>
    </w:p>
    <w:p w14:paraId="7DB97E73" w14:textId="01E130E3" w:rsidR="004A503E" w:rsidRPr="004A503E" w:rsidRDefault="004A503E" w:rsidP="004A503E">
      <w:pPr>
        <w:spacing w:before="120" w:after="120" w:line="276" w:lineRule="auto"/>
        <w:ind w:firstLine="709"/>
        <w:jc w:val="both"/>
        <w:rPr>
          <w:rFonts w:ascii="Verdana" w:hAnsi="Verdana" w:cs="Arial"/>
        </w:rPr>
      </w:pPr>
      <w:r w:rsidRPr="004A503E">
        <w:rPr>
          <w:rFonts w:ascii="Verdana" w:hAnsi="Verdana" w:cs="Arial"/>
        </w:rPr>
        <w:t xml:space="preserve">i) Solo puede celebrarse para realizar </w:t>
      </w:r>
      <w:r>
        <w:rPr>
          <w:rFonts w:ascii="Verdana" w:hAnsi="Verdana" w:cs="Arial"/>
        </w:rPr>
        <w:t>“</w:t>
      </w:r>
      <w:r w:rsidRPr="004A503E">
        <w:rPr>
          <w:rFonts w:ascii="Verdana" w:hAnsi="Verdana" w:cs="Arial"/>
        </w:rPr>
        <w:t>actividades relacionadas con la administración o funcionamiento de la entidad</w:t>
      </w:r>
      <w:r>
        <w:rPr>
          <w:rFonts w:ascii="Verdana" w:hAnsi="Verdana" w:cs="Arial"/>
        </w:rPr>
        <w:t>”</w:t>
      </w:r>
      <w:r w:rsidRPr="004A503E">
        <w:rPr>
          <w:rFonts w:ascii="Verdana" w:hAnsi="Verdana" w:cs="Arial"/>
        </w:rPr>
        <w:t>, es decir, que hagan parte de su giro ordinario o quehacer cotidiano.</w:t>
      </w:r>
    </w:p>
    <w:p w14:paraId="50350FB1" w14:textId="6FD96188" w:rsidR="004A503E" w:rsidRDefault="004A503E" w:rsidP="004A503E">
      <w:pPr>
        <w:spacing w:before="120" w:after="120" w:line="276" w:lineRule="auto"/>
        <w:ind w:firstLine="709"/>
        <w:jc w:val="both"/>
        <w:rPr>
          <w:rFonts w:ascii="Verdana" w:hAnsi="Verdana" w:cs="Arial"/>
        </w:rPr>
      </w:pPr>
      <w:r w:rsidRPr="004A503E">
        <w:rPr>
          <w:rFonts w:ascii="Verdana" w:hAnsi="Verdana" w:cs="Arial"/>
        </w:rPr>
        <w:t xml:space="preserve">ii) Admite que se suscriba tanto con personas naturales, como con personas jurídicas. Sin embargo, cuando pretenda celebrarse con una persona natural, la entidad estatal debe justificar en los estudios previos que las actividades que buscan encomendarse a aquella </w:t>
      </w:r>
      <w:r>
        <w:rPr>
          <w:rFonts w:ascii="Verdana" w:hAnsi="Verdana" w:cs="Arial"/>
        </w:rPr>
        <w:t>“</w:t>
      </w:r>
      <w:r w:rsidRPr="004A503E">
        <w:rPr>
          <w:rFonts w:ascii="Verdana" w:hAnsi="Verdana" w:cs="Arial"/>
        </w:rPr>
        <w:t>no puedan realizarse con personal de planta o requieran conocimientos especializados</w:t>
      </w:r>
      <w:r>
        <w:rPr>
          <w:rFonts w:ascii="Verdana" w:hAnsi="Verdana" w:cs="Arial"/>
        </w:rPr>
        <w:t>”</w:t>
      </w:r>
      <w:r w:rsidRPr="004A503E">
        <w:rPr>
          <w:rFonts w:ascii="Verdana" w:hAnsi="Verdana" w:cs="Arial"/>
        </w:rPr>
        <w:t>.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71D806FC" w14:textId="3E0FAE79" w:rsidR="004A503E" w:rsidRPr="004A503E" w:rsidRDefault="004A503E" w:rsidP="004A503E">
      <w:pPr>
        <w:spacing w:before="120" w:after="120" w:line="276" w:lineRule="auto"/>
        <w:ind w:firstLine="709"/>
        <w:jc w:val="both"/>
        <w:rPr>
          <w:rFonts w:ascii="Verdana" w:hAnsi="Verdana" w:cs="Arial"/>
        </w:rPr>
      </w:pPr>
      <w:r w:rsidRPr="004A503E">
        <w:rPr>
          <w:rFonts w:ascii="Verdana" w:hAnsi="Verdana" w:cs="Arial"/>
        </w:rPr>
        <w:t>iii) Si bien se celebran para obtener la prestación personal de un servicio, se diferencian del contrato de trabajo</w:t>
      </w:r>
      <w:r w:rsidRPr="004A503E">
        <w:rPr>
          <w:rStyle w:val="Refdenotaalpie"/>
          <w:rFonts w:ascii="Verdana" w:hAnsi="Verdana" w:cs="Arial"/>
        </w:rPr>
        <w:footnoteReference w:id="2"/>
      </w:r>
      <w:r w:rsidRPr="004A503E">
        <w:rPr>
          <w:rFonts w:ascii="Verdana" w:hAnsi="Verdana" w:cs="Arial"/>
        </w:rPr>
        <w:t xml:space="preserve"> en que quien celebra el contrato de prestación de servicios profesionales debe mantener autonomía e independencia en la ejecución de la labor, lo que significa que no puede existir la </w:t>
      </w:r>
      <w:r w:rsidRPr="004A503E">
        <w:rPr>
          <w:rFonts w:ascii="Verdana" w:hAnsi="Verdana" w:cs="Arial"/>
          <w:i/>
        </w:rPr>
        <w:t>subordinación y dependencia</w:t>
      </w:r>
      <w:r w:rsidRPr="004A503E">
        <w:rPr>
          <w:rFonts w:ascii="Verdana" w:hAnsi="Verdana" w:cs="Arial"/>
          <w:iCs/>
        </w:rPr>
        <w:t>,</w:t>
      </w:r>
      <w:r w:rsidRPr="004A503E">
        <w:rPr>
          <w:rFonts w:ascii="Verdana" w:hAnsi="Verdana" w:cs="Arial"/>
        </w:rPr>
        <w:t xml:space="preserve"> que es uno de los elementos constitutivos del vínculo laboral. Por esto el artículo 32, numeral 3º, de la Ley 80 de 1993 establece que </w:t>
      </w:r>
      <w:r>
        <w:rPr>
          <w:rFonts w:ascii="Verdana" w:hAnsi="Verdana" w:cs="Arial"/>
        </w:rPr>
        <w:t>“</w:t>
      </w:r>
      <w:r w:rsidRPr="004A503E">
        <w:rPr>
          <w:rFonts w:ascii="Verdana" w:hAnsi="Verdana" w:cs="Arial"/>
        </w:rPr>
        <w:t>En ningún caso estos contratos generan relación laboral ni prestaciones sociales</w:t>
      </w:r>
      <w:r>
        <w:rPr>
          <w:rFonts w:ascii="Verdana" w:hAnsi="Verdana" w:cs="Arial"/>
        </w:rPr>
        <w:t>”</w:t>
      </w:r>
      <w:r w:rsidRPr="004A503E">
        <w:rPr>
          <w:rFonts w:ascii="Verdana" w:hAnsi="Verdana" w:cs="Arial"/>
        </w:rPr>
        <w:t xml:space="preserve">, inciso que más que un enunciado que aluda al </w:t>
      </w:r>
      <w:r>
        <w:rPr>
          <w:rFonts w:ascii="Verdana" w:hAnsi="Verdana" w:cs="Arial"/>
        </w:rPr>
        <w:t>“</w:t>
      </w:r>
      <w:r w:rsidRPr="004A503E">
        <w:rPr>
          <w:rFonts w:ascii="Verdana" w:hAnsi="Verdana" w:cs="Arial"/>
        </w:rPr>
        <w:t>ser</w:t>
      </w:r>
      <w:r>
        <w:rPr>
          <w:rFonts w:ascii="Verdana" w:hAnsi="Verdana" w:cs="Arial"/>
        </w:rPr>
        <w:t>”</w:t>
      </w:r>
      <w:r w:rsidRPr="004A503E">
        <w:rPr>
          <w:rFonts w:ascii="Verdana" w:hAnsi="Verdana" w:cs="Arial"/>
        </w:rPr>
        <w:t xml:space="preserve"> se refiere al </w:t>
      </w:r>
      <w:r>
        <w:rPr>
          <w:rFonts w:ascii="Verdana" w:hAnsi="Verdana" w:cs="Arial"/>
        </w:rPr>
        <w:t>“</w:t>
      </w:r>
      <w:r w:rsidRPr="004A503E">
        <w:rPr>
          <w:rFonts w:ascii="Verdana" w:hAnsi="Verdana" w:cs="Arial"/>
        </w:rPr>
        <w:t>deber ser</w:t>
      </w:r>
      <w:r>
        <w:rPr>
          <w:rFonts w:ascii="Verdana" w:hAnsi="Verdana" w:cs="Arial"/>
        </w:rPr>
        <w:t>”</w:t>
      </w:r>
      <w:r w:rsidRPr="004A503E">
        <w:rPr>
          <w:rFonts w:ascii="Verdana" w:hAnsi="Verdana" w:cs="Arial"/>
        </w:rPr>
        <w:t xml:space="preserve">, pues debe interpretarse en el sentido de que los contratos de prestación de servicios profesionales </w:t>
      </w:r>
      <w:r w:rsidRPr="004A503E">
        <w:rPr>
          <w:rFonts w:ascii="Verdana" w:hAnsi="Verdana" w:cs="Arial"/>
          <w:i/>
        </w:rPr>
        <w:t>no pueden</w:t>
      </w:r>
      <w:r w:rsidRPr="004A503E">
        <w:rPr>
          <w:rFonts w:ascii="Verdana" w:hAnsi="Verdana" w:cs="Arial"/>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w:t>
      </w:r>
      <w:r>
        <w:rPr>
          <w:rFonts w:ascii="Verdana" w:hAnsi="Verdana" w:cs="Arial"/>
        </w:rPr>
        <w:t>“</w:t>
      </w:r>
      <w:r w:rsidRPr="004A503E">
        <w:rPr>
          <w:rFonts w:ascii="Verdana" w:hAnsi="Verdana" w:cs="Arial"/>
        </w:rPr>
        <w:t>trabajador independiente</w:t>
      </w:r>
      <w:r>
        <w:rPr>
          <w:rFonts w:ascii="Verdana" w:hAnsi="Verdana" w:cs="Arial"/>
        </w:rPr>
        <w:t>”</w:t>
      </w:r>
      <w:r w:rsidRPr="004A503E">
        <w:rPr>
          <w:rFonts w:ascii="Verdana" w:hAnsi="Verdana" w:cs="Arial"/>
        </w:rPr>
        <w:t xml:space="preserve"> –como lo califican las normas en materia de seguridad social– debe cotizar por su cuenta y riesgo al Sistema de Seguridad Social Integral</w:t>
      </w:r>
      <w:r w:rsidRPr="004A503E">
        <w:rPr>
          <w:rStyle w:val="Refdenotaalpie"/>
          <w:rFonts w:ascii="Verdana" w:hAnsi="Verdana" w:cs="Arial"/>
        </w:rPr>
        <w:footnoteReference w:id="3"/>
      </w:r>
      <w:r w:rsidRPr="004A503E">
        <w:rPr>
          <w:rFonts w:ascii="Verdana" w:hAnsi="Verdana" w:cs="Arial"/>
        </w:rPr>
        <w:t xml:space="preserve">. Pero es posible que, a pesar de este mandato deontológico, en la práctica surja la relación laboral, pues, como se sabe, el contrato de trabajo es un </w:t>
      </w:r>
      <w:r w:rsidRPr="004A503E">
        <w:rPr>
          <w:rFonts w:ascii="Verdana" w:hAnsi="Verdana" w:cs="Arial"/>
          <w:i/>
        </w:rPr>
        <w:t>contrato realidad</w:t>
      </w:r>
      <w:r w:rsidRPr="004A503E">
        <w:rPr>
          <w:rFonts w:ascii="Verdana" w:hAnsi="Verdana" w:cs="Arial"/>
        </w:rPr>
        <w:t xml:space="preserve">, ya que para su perfeccionamiento rige el principio de la prevalencia de la realidad sobre las formalidades. Por ello, la Corte Constitucional declaró la constitucionalidad condicionada del segundo inciso del numeral 3º del artículo 32, indicando que </w:t>
      </w:r>
      <w:r>
        <w:rPr>
          <w:rFonts w:ascii="Verdana" w:hAnsi="Verdana" w:cs="Arial"/>
        </w:rPr>
        <w:t>“</w:t>
      </w:r>
      <w:r w:rsidRPr="004A503E">
        <w:rPr>
          <w:rFonts w:ascii="Verdana" w:hAnsi="Verdana" w:cs="Arial"/>
        </w:rPr>
        <w:t>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Pr>
          <w:rFonts w:ascii="Verdana" w:hAnsi="Verdana" w:cs="Arial"/>
        </w:rPr>
        <w:t>”</w:t>
      </w:r>
      <w:r w:rsidRPr="004A503E">
        <w:rPr>
          <w:rStyle w:val="Refdenotaalpie"/>
          <w:rFonts w:ascii="Verdana" w:hAnsi="Verdana" w:cs="Arial"/>
        </w:rPr>
        <w:footnoteReference w:id="4"/>
      </w:r>
      <w:r w:rsidRPr="004A503E">
        <w:rPr>
          <w:rFonts w:ascii="Verdana" w:hAnsi="Verdana" w:cs="Arial"/>
        </w:rPr>
        <w:t>.</w:t>
      </w:r>
    </w:p>
    <w:p w14:paraId="0790F14E" w14:textId="77777777" w:rsidR="004A503E" w:rsidRPr="004A503E" w:rsidRDefault="004A503E" w:rsidP="004A503E">
      <w:pPr>
        <w:spacing w:line="276" w:lineRule="auto"/>
        <w:ind w:firstLine="709"/>
        <w:jc w:val="both"/>
        <w:rPr>
          <w:rFonts w:ascii="Verdana" w:hAnsi="Verdana" w:cs="Arial"/>
        </w:rPr>
      </w:pPr>
      <w:proofErr w:type="spellStart"/>
      <w:r w:rsidRPr="004A503E">
        <w:rPr>
          <w:rFonts w:ascii="Verdana" w:hAnsi="Verdana" w:cs="Arial"/>
        </w:rPr>
        <w:t>iv</w:t>
      </w:r>
      <w:proofErr w:type="spellEnd"/>
      <w:r w:rsidRPr="004A503E">
        <w:rPr>
          <w:rFonts w:ascii="Verdana" w:hAnsi="Verdana" w:cs="Arial"/>
        </w:rPr>
        <w:t>) Deben ser temporales. Así lo señaló la Corte Constitucional en la misma providencia a la que se aludió previamente, expresando que:</w:t>
      </w:r>
    </w:p>
    <w:p w14:paraId="5E85E545" w14:textId="77777777" w:rsidR="004A503E" w:rsidRPr="004A503E" w:rsidRDefault="004A503E" w:rsidP="004A503E">
      <w:pPr>
        <w:spacing w:line="276" w:lineRule="auto"/>
        <w:ind w:firstLine="709"/>
        <w:jc w:val="both"/>
        <w:rPr>
          <w:rFonts w:ascii="Verdana" w:hAnsi="Verdana" w:cs="Arial"/>
        </w:rPr>
      </w:pPr>
    </w:p>
    <w:p w14:paraId="1750BFDE" w14:textId="51B98126" w:rsidR="004A503E" w:rsidRDefault="004A503E" w:rsidP="004A503E">
      <w:pPr>
        <w:spacing w:after="0" w:line="276" w:lineRule="auto"/>
        <w:ind w:left="709" w:right="709"/>
        <w:jc w:val="both"/>
        <w:rPr>
          <w:rFonts w:ascii="Verdana" w:hAnsi="Verdana" w:cs="Arial"/>
          <w:sz w:val="21"/>
          <w:szCs w:val="21"/>
        </w:rPr>
      </w:pPr>
      <w:r w:rsidRPr="004A503E">
        <w:rPr>
          <w:rFonts w:ascii="Verdana" w:hAnsi="Verdana" w:cs="Arial"/>
          <w:sz w:val="21"/>
          <w:szCs w:val="21"/>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4A503E">
        <w:rPr>
          <w:rStyle w:val="Refdenotaalpie"/>
          <w:rFonts w:ascii="Verdana" w:hAnsi="Verdana" w:cs="Arial"/>
          <w:sz w:val="21"/>
          <w:szCs w:val="21"/>
        </w:rPr>
        <w:footnoteReference w:id="5"/>
      </w:r>
      <w:r w:rsidRPr="004A503E">
        <w:rPr>
          <w:rFonts w:ascii="Verdana" w:hAnsi="Verdana" w:cs="Arial"/>
          <w:sz w:val="21"/>
          <w:szCs w:val="21"/>
        </w:rPr>
        <w:t>.</w:t>
      </w:r>
    </w:p>
    <w:p w14:paraId="75ACF4D7" w14:textId="77777777" w:rsidR="004A503E" w:rsidRPr="004A503E" w:rsidRDefault="004A503E" w:rsidP="004A503E">
      <w:pPr>
        <w:spacing w:after="0" w:line="276" w:lineRule="auto"/>
        <w:ind w:left="709" w:right="709"/>
        <w:jc w:val="both"/>
        <w:rPr>
          <w:rFonts w:ascii="Verdana" w:hAnsi="Verdana" w:cs="Arial"/>
        </w:rPr>
      </w:pPr>
    </w:p>
    <w:p w14:paraId="55158E6A" w14:textId="6128DA9E" w:rsidR="004A503E" w:rsidRPr="004A503E" w:rsidRDefault="004A503E" w:rsidP="004A503E">
      <w:pPr>
        <w:spacing w:line="276" w:lineRule="auto"/>
        <w:ind w:firstLine="709"/>
        <w:jc w:val="both"/>
        <w:rPr>
          <w:rFonts w:ascii="Verdana" w:hAnsi="Verdana" w:cs="Arial"/>
        </w:rPr>
      </w:pPr>
      <w:r w:rsidRPr="004A503E">
        <w:rPr>
          <w:rFonts w:ascii="Verdana" w:hAnsi="Verdana" w:cs="Arial"/>
        </w:rPr>
        <w:t xml:space="preserve">v) Los contratos de prestación de servicios profesionales hacen parte del género denominado </w:t>
      </w:r>
      <w:r w:rsidRPr="004A503E">
        <w:rPr>
          <w:rFonts w:ascii="Verdana" w:hAnsi="Verdana" w:cs="Arial"/>
          <w:i/>
        </w:rPr>
        <w:t>contratos de prestación de servicios</w:t>
      </w:r>
      <w:r w:rsidRPr="004A503E">
        <w:rPr>
          <w:rFonts w:ascii="Verdana" w:hAnsi="Verdana" w:cs="Arial"/>
        </w:rPr>
        <w:t>, dentro del cual también se ubican, como especies, los contratos de prestación de servicios de apoyo a la gestión y los contratos de prestación de servicios artísticos que solo pueden encomendarse a determinadas personas naturales</w:t>
      </w:r>
      <w:r w:rsidRPr="004A503E">
        <w:rPr>
          <w:rStyle w:val="Refdenotaalpie"/>
          <w:rFonts w:ascii="Verdana" w:hAnsi="Verdana" w:cs="Arial"/>
        </w:rPr>
        <w:footnoteReference w:id="6"/>
      </w:r>
      <w:r w:rsidRPr="004A503E">
        <w:rPr>
          <w:rFonts w:ascii="Verdana" w:hAnsi="Verdana" w:cs="Arial"/>
        </w:rPr>
        <w:t xml:space="preserve">. La diferencia entre el contrato de prestación de servicios </w:t>
      </w:r>
      <w:r w:rsidRPr="004A503E">
        <w:rPr>
          <w:rFonts w:ascii="Verdana" w:hAnsi="Verdana" w:cs="Arial"/>
          <w:i/>
        </w:rPr>
        <w:t>profesionales</w:t>
      </w:r>
      <w:r w:rsidRPr="004A503E">
        <w:rPr>
          <w:rFonts w:ascii="Verdana" w:hAnsi="Verdana" w:cs="Arial"/>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37054E87" w14:textId="77777777" w:rsidR="004A503E" w:rsidRPr="004A503E" w:rsidRDefault="004A503E" w:rsidP="004A503E">
      <w:pPr>
        <w:spacing w:line="276" w:lineRule="auto"/>
        <w:ind w:firstLine="709"/>
        <w:jc w:val="both"/>
        <w:rPr>
          <w:rFonts w:ascii="Verdana" w:hAnsi="Verdana" w:cs="Arial"/>
        </w:rPr>
      </w:pPr>
    </w:p>
    <w:p w14:paraId="61A25899" w14:textId="77777777" w:rsidR="004A503E" w:rsidRPr="004A503E" w:rsidRDefault="004A503E" w:rsidP="004A503E">
      <w:pPr>
        <w:ind w:left="709" w:right="709"/>
        <w:jc w:val="both"/>
        <w:rPr>
          <w:rFonts w:ascii="Verdana" w:hAnsi="Verdana" w:cs="Arial"/>
          <w:sz w:val="21"/>
          <w:szCs w:val="21"/>
        </w:rPr>
      </w:pPr>
      <w:r w:rsidRPr="004A503E">
        <w:rPr>
          <w:rFonts w:ascii="Verdana" w:hAnsi="Verdana" w:cs="Arial"/>
          <w:sz w:val="21"/>
          <w:szCs w:val="21"/>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4A503E">
        <w:rPr>
          <w:rStyle w:val="Refdenotaalpie"/>
          <w:rFonts w:ascii="Verdana" w:hAnsi="Verdana" w:cs="Arial"/>
          <w:sz w:val="21"/>
          <w:szCs w:val="21"/>
        </w:rPr>
        <w:footnoteReference w:id="7"/>
      </w:r>
      <w:r w:rsidRPr="004A503E">
        <w:rPr>
          <w:rFonts w:ascii="Verdana" w:hAnsi="Verdana" w:cs="Arial"/>
          <w:sz w:val="21"/>
          <w:szCs w:val="21"/>
        </w:rPr>
        <w:t>.</w:t>
      </w:r>
    </w:p>
    <w:p w14:paraId="2C2DD155" w14:textId="77777777" w:rsidR="004A503E" w:rsidRPr="004A503E" w:rsidRDefault="004A503E" w:rsidP="004A503E">
      <w:pPr>
        <w:spacing w:line="276" w:lineRule="auto"/>
        <w:ind w:firstLine="709"/>
        <w:jc w:val="both"/>
        <w:rPr>
          <w:rFonts w:ascii="Verdana" w:hAnsi="Verdana" w:cs="Arial"/>
        </w:rPr>
      </w:pPr>
    </w:p>
    <w:p w14:paraId="74C464FF" w14:textId="77777777" w:rsidR="004A503E" w:rsidRPr="004A503E" w:rsidRDefault="004A503E" w:rsidP="004A503E">
      <w:pPr>
        <w:spacing w:line="276" w:lineRule="auto"/>
        <w:ind w:firstLine="709"/>
        <w:jc w:val="both"/>
        <w:rPr>
          <w:rFonts w:ascii="Verdana" w:hAnsi="Verdana" w:cs="Arial"/>
        </w:rPr>
      </w:pPr>
      <w:r w:rsidRPr="004A503E">
        <w:rPr>
          <w:rFonts w:ascii="Verdana" w:hAnsi="Verdana" w:cs="Arial"/>
        </w:rPr>
        <w:t>Objeto que, según la sentencia que se cita, se diferencia del objeto del contrato de prestación de servicios de apoyo a la gestión, porque en este:</w:t>
      </w:r>
    </w:p>
    <w:p w14:paraId="2D63708A" w14:textId="77777777" w:rsidR="004A503E" w:rsidRPr="004A503E" w:rsidRDefault="004A503E" w:rsidP="004A503E">
      <w:pPr>
        <w:spacing w:line="276" w:lineRule="auto"/>
        <w:ind w:firstLine="709"/>
        <w:jc w:val="both"/>
        <w:rPr>
          <w:rFonts w:ascii="Verdana" w:hAnsi="Verdana" w:cs="Arial"/>
        </w:rPr>
      </w:pPr>
    </w:p>
    <w:p w14:paraId="5AE1392B" w14:textId="77777777" w:rsidR="004A503E" w:rsidRPr="004A503E" w:rsidRDefault="004A503E" w:rsidP="004A503E">
      <w:pPr>
        <w:ind w:left="709" w:right="709"/>
        <w:jc w:val="both"/>
        <w:rPr>
          <w:rFonts w:ascii="Verdana" w:hAnsi="Verdana" w:cs="Arial"/>
          <w:sz w:val="21"/>
          <w:szCs w:val="21"/>
        </w:rPr>
      </w:pPr>
      <w:r w:rsidRPr="004A503E">
        <w:rPr>
          <w:rFonts w:ascii="Verdana" w:hAnsi="Verdana" w:cs="Arial"/>
          <w:sz w:val="21"/>
          <w:szCs w:val="21"/>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0D5B1B10" w14:textId="77777777" w:rsidR="004A503E" w:rsidRPr="004A503E" w:rsidRDefault="004A503E" w:rsidP="004A503E">
      <w:pPr>
        <w:ind w:left="709" w:right="709"/>
        <w:jc w:val="both"/>
        <w:rPr>
          <w:rFonts w:ascii="Verdana" w:hAnsi="Verdana" w:cs="Arial"/>
          <w:sz w:val="21"/>
          <w:szCs w:val="21"/>
        </w:rPr>
      </w:pPr>
    </w:p>
    <w:p w14:paraId="7B29F2A0" w14:textId="6674BEA7" w:rsidR="004A503E" w:rsidRPr="004A503E" w:rsidRDefault="004A503E" w:rsidP="004A503E">
      <w:pPr>
        <w:ind w:left="709" w:right="709"/>
        <w:jc w:val="both"/>
        <w:rPr>
          <w:rFonts w:ascii="Verdana" w:hAnsi="Verdana" w:cs="Arial"/>
          <w:sz w:val="21"/>
          <w:szCs w:val="21"/>
        </w:rPr>
      </w:pPr>
      <w:r w:rsidRPr="004A503E">
        <w:rPr>
          <w:rFonts w:ascii="Verdana" w:hAnsi="Verdana" w:cs="Arial"/>
          <w:sz w:val="21"/>
          <w:szCs w:val="21"/>
        </w:rPr>
        <w:t xml:space="preserve">Aunque también se caracteriza por el desempeño de actividad intelectiva, ésta </w:t>
      </w:r>
      <w:r w:rsidR="00872372" w:rsidRPr="004A503E">
        <w:rPr>
          <w:rFonts w:ascii="Verdana" w:hAnsi="Verdana" w:cs="Arial"/>
          <w:sz w:val="21"/>
          <w:szCs w:val="21"/>
        </w:rPr>
        <w:t>se enmarca en</w:t>
      </w:r>
      <w:r w:rsidRPr="004A503E">
        <w:rPr>
          <w:rFonts w:ascii="Verdana" w:hAnsi="Verdana" w:cs="Arial"/>
          <w:sz w:val="21"/>
          <w:szCs w:val="21"/>
        </w:rPr>
        <w:t xml:space="preserve"> un saber propiamente técnico; igualmente involucra actividades en donde prima el esfuerzo físico o mecánico, en donde no se requiere de personal profesional.</w:t>
      </w:r>
    </w:p>
    <w:p w14:paraId="134DDEB6" w14:textId="77777777" w:rsidR="004A503E" w:rsidRPr="004A503E" w:rsidRDefault="004A503E" w:rsidP="004A503E">
      <w:pPr>
        <w:ind w:left="709" w:right="709"/>
        <w:jc w:val="both"/>
        <w:rPr>
          <w:rFonts w:ascii="Verdana" w:hAnsi="Verdana" w:cs="Arial"/>
          <w:sz w:val="21"/>
          <w:szCs w:val="21"/>
        </w:rPr>
      </w:pPr>
    </w:p>
    <w:p w14:paraId="2D65A5E3" w14:textId="77777777" w:rsidR="004A503E" w:rsidRPr="004A503E" w:rsidRDefault="004A503E" w:rsidP="004A503E">
      <w:pPr>
        <w:ind w:left="709" w:right="709"/>
        <w:jc w:val="both"/>
        <w:rPr>
          <w:rFonts w:ascii="Verdana" w:hAnsi="Verdana" w:cs="Arial"/>
          <w:sz w:val="21"/>
          <w:szCs w:val="21"/>
        </w:rPr>
      </w:pPr>
      <w:r w:rsidRPr="004A503E">
        <w:rPr>
          <w:rFonts w:ascii="Verdana" w:hAnsi="Verdana" w:cs="Arial"/>
          <w:sz w:val="21"/>
          <w:szCs w:val="21"/>
        </w:rPr>
        <w:t>Dentro de su objeto contractual pueden tener lugar actividades operativas, logísticas o asistenciales, siempre que satisfaga los requisitos antes mencionados y sea acorde con las necesidades de la Administración y el principio de planeación.</w:t>
      </w:r>
    </w:p>
    <w:p w14:paraId="2F99D107" w14:textId="77777777" w:rsidR="004A503E" w:rsidRPr="004A503E" w:rsidRDefault="004A503E" w:rsidP="004A503E">
      <w:pPr>
        <w:ind w:left="709" w:right="709"/>
        <w:jc w:val="both"/>
        <w:rPr>
          <w:rFonts w:ascii="Verdana" w:hAnsi="Verdana" w:cs="Arial"/>
          <w:sz w:val="21"/>
          <w:szCs w:val="21"/>
        </w:rPr>
      </w:pPr>
    </w:p>
    <w:p w14:paraId="3AF4D209" w14:textId="77777777" w:rsidR="004A503E" w:rsidRPr="004A503E" w:rsidRDefault="004A503E" w:rsidP="004A503E">
      <w:pPr>
        <w:ind w:left="709" w:right="709"/>
        <w:jc w:val="both"/>
        <w:rPr>
          <w:rFonts w:ascii="Verdana" w:hAnsi="Verdana" w:cs="Arial"/>
          <w:sz w:val="21"/>
          <w:szCs w:val="21"/>
        </w:rPr>
      </w:pPr>
      <w:r w:rsidRPr="004A503E">
        <w:rPr>
          <w:rFonts w:ascii="Verdana" w:hAnsi="Verdana" w:cs="Arial"/>
          <w:sz w:val="21"/>
          <w:szCs w:val="21"/>
        </w:rPr>
        <w:t>Dentro de su objeto contractual pueden tener lugar actividades operativas, logísticas o asistenciales, siempre que satisfaga los requisitos antes mencionados y sea acorde con las necesidades de la Administración y el principio de planeación</w:t>
      </w:r>
      <w:r w:rsidRPr="004A503E">
        <w:rPr>
          <w:rStyle w:val="Refdenotaalpie"/>
          <w:rFonts w:ascii="Verdana" w:hAnsi="Verdana" w:cs="Arial"/>
          <w:sz w:val="21"/>
          <w:szCs w:val="21"/>
        </w:rPr>
        <w:footnoteReference w:id="8"/>
      </w:r>
      <w:r w:rsidRPr="004A503E">
        <w:rPr>
          <w:rFonts w:ascii="Verdana" w:hAnsi="Verdana" w:cs="Arial"/>
          <w:sz w:val="21"/>
          <w:szCs w:val="21"/>
        </w:rPr>
        <w:t>.</w:t>
      </w:r>
    </w:p>
    <w:p w14:paraId="5D2A6A9A" w14:textId="77777777" w:rsidR="004A503E" w:rsidRPr="004A503E" w:rsidRDefault="004A503E" w:rsidP="004A503E">
      <w:pPr>
        <w:spacing w:line="276" w:lineRule="auto"/>
        <w:ind w:firstLine="709"/>
        <w:jc w:val="both"/>
        <w:rPr>
          <w:rFonts w:ascii="Verdana" w:hAnsi="Verdana" w:cs="Arial"/>
        </w:rPr>
      </w:pPr>
    </w:p>
    <w:p w14:paraId="3F486CCA" w14:textId="77777777" w:rsidR="004A503E" w:rsidRPr="004A503E" w:rsidRDefault="004A503E" w:rsidP="004A503E">
      <w:pPr>
        <w:spacing w:line="276" w:lineRule="auto"/>
        <w:ind w:firstLine="709"/>
        <w:jc w:val="both"/>
        <w:rPr>
          <w:rFonts w:ascii="Verdana" w:hAnsi="Verdana" w:cs="Arial"/>
        </w:rPr>
      </w:pPr>
      <w:r w:rsidRPr="004A503E">
        <w:rPr>
          <w:rFonts w:ascii="Verdana" w:hAnsi="Verdana" w:cs="Arial"/>
        </w:rPr>
        <w:t>En relación con el contrato de prestación de servicios artísticos que solo pueden encomendarse a determinadas personas naturales, señala el mencionado fallo que:</w:t>
      </w:r>
    </w:p>
    <w:p w14:paraId="588248DD" w14:textId="77777777" w:rsidR="004A503E" w:rsidRPr="004A503E" w:rsidRDefault="004A503E" w:rsidP="004A503E">
      <w:pPr>
        <w:ind w:left="709" w:right="709"/>
        <w:jc w:val="both"/>
        <w:rPr>
          <w:rFonts w:ascii="Verdana" w:hAnsi="Verdana" w:cs="Arial"/>
          <w:sz w:val="21"/>
          <w:szCs w:val="21"/>
        </w:rPr>
      </w:pPr>
    </w:p>
    <w:p w14:paraId="19322B11" w14:textId="00D198B0" w:rsidR="004A503E" w:rsidRPr="004A503E" w:rsidRDefault="004A503E" w:rsidP="004A503E">
      <w:pPr>
        <w:ind w:left="709" w:right="709"/>
        <w:jc w:val="both"/>
        <w:rPr>
          <w:rFonts w:ascii="Verdana" w:hAnsi="Verdana" w:cs="Arial"/>
          <w:sz w:val="21"/>
          <w:szCs w:val="21"/>
        </w:rPr>
      </w:pPr>
      <w:r w:rsidRPr="004A503E">
        <w:rPr>
          <w:rFonts w:ascii="Verdana" w:hAnsi="Verdana" w:cs="Arial"/>
          <w:sz w:val="21"/>
          <w:szCs w:val="21"/>
        </w:rPr>
        <w:t xml:space="preserve">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w:t>
      </w:r>
      <w:r w:rsidR="00872372" w:rsidRPr="004A503E">
        <w:rPr>
          <w:rFonts w:ascii="Verdana" w:hAnsi="Verdana" w:cs="Arial"/>
          <w:sz w:val="21"/>
          <w:szCs w:val="21"/>
        </w:rPr>
        <w:t>persona reconocida</w:t>
      </w:r>
      <w:r w:rsidRPr="004A503E">
        <w:rPr>
          <w:rFonts w:ascii="Verdana" w:hAnsi="Verdana" w:cs="Arial"/>
          <w:sz w:val="21"/>
          <w:szCs w:val="21"/>
        </w:rPr>
        <w:t xml:space="preserve"> como realizador o productor de arte o trabajos artísticos</w:t>
      </w:r>
      <w:r w:rsidRPr="004A503E">
        <w:rPr>
          <w:rStyle w:val="Refdenotaalpie"/>
          <w:rFonts w:ascii="Verdana" w:hAnsi="Verdana" w:cs="Arial"/>
          <w:sz w:val="21"/>
          <w:szCs w:val="21"/>
        </w:rPr>
        <w:footnoteReference w:id="9"/>
      </w:r>
      <w:r w:rsidRPr="004A503E">
        <w:rPr>
          <w:rFonts w:ascii="Verdana" w:hAnsi="Verdana" w:cs="Arial"/>
          <w:sz w:val="21"/>
          <w:szCs w:val="21"/>
        </w:rPr>
        <w:t>.</w:t>
      </w:r>
    </w:p>
    <w:p w14:paraId="1BEFCA0A" w14:textId="77777777" w:rsidR="004A503E" w:rsidRDefault="004A503E" w:rsidP="00872372">
      <w:pPr>
        <w:spacing w:line="276" w:lineRule="auto"/>
        <w:ind w:firstLine="708"/>
        <w:jc w:val="both"/>
        <w:rPr>
          <w:rFonts w:ascii="Verdana" w:hAnsi="Verdana" w:cs="Arial"/>
        </w:rPr>
      </w:pPr>
      <w:r w:rsidRPr="004A503E">
        <w:rPr>
          <w:rFonts w:ascii="Verdana" w:hAnsi="Verdana" w:cs="Arial"/>
        </w:rPr>
        <w:t>vi) Su celebración debe realizarse a través de la modalidad de contratación directa, independientemente de la cuantía y del tipo de servicio profesional, siempre que este no ingrese dentro del objeto del contrato de consultoría, pues, como lo indicó el Consejo de Estado en la sentencia de unificación jurisprudencial a la que se hizo referencia, si bien en ambos existe un componente intelectual, profesional e intangible, el objeto del contrato de consultoría es especial y debe celebrarse, por regla general, precedido de un concurso de méritos</w:t>
      </w:r>
      <w:r w:rsidRPr="004A503E">
        <w:rPr>
          <w:rStyle w:val="Refdenotaalpie"/>
          <w:rFonts w:ascii="Verdana" w:hAnsi="Verdana" w:cs="Arial"/>
        </w:rPr>
        <w:footnoteReference w:id="10"/>
      </w:r>
      <w:r w:rsidRPr="004A503E">
        <w:rPr>
          <w:rFonts w:ascii="Verdana" w:hAnsi="Verdana" w:cs="Arial"/>
        </w:rPr>
        <w:t xml:space="preserve">. Pero, tampoco puede suscribirse un contrato de prestación de servicios profesionales para que el contratista ejecute labores que </w:t>
      </w:r>
      <w:proofErr w:type="gramStart"/>
      <w:r w:rsidRPr="004A503E">
        <w:rPr>
          <w:rFonts w:ascii="Verdana" w:hAnsi="Verdana" w:cs="Arial"/>
        </w:rPr>
        <w:t>se enmarcan dentro de</w:t>
      </w:r>
      <w:proofErr w:type="gramEnd"/>
      <w:r w:rsidRPr="004A503E">
        <w:rPr>
          <w:rFonts w:ascii="Verdana" w:hAnsi="Verdana" w:cs="Arial"/>
        </w:rPr>
        <w:t xml:space="preserve"> los otros contratos tipificados en el artículo 32 de la Ley 80 de 1993, como, por ejemplo, para que el contratista de prestación de servicios construya una obra.</w:t>
      </w:r>
    </w:p>
    <w:p w14:paraId="775162B5" w14:textId="77777777" w:rsidR="00872372" w:rsidRPr="00872372" w:rsidRDefault="00872372" w:rsidP="00872372">
      <w:pPr>
        <w:spacing w:before="120" w:after="120" w:line="276" w:lineRule="auto"/>
        <w:ind w:firstLine="709"/>
        <w:jc w:val="both"/>
        <w:rPr>
          <w:rFonts w:ascii="Verdana" w:hAnsi="Verdana" w:cs="Arial"/>
        </w:rPr>
      </w:pPr>
      <w:r w:rsidRPr="00872372">
        <w:rPr>
          <w:rFonts w:ascii="Verdana" w:hAnsi="Verdana" w:cs="Arial"/>
        </w:rPr>
        <w:t>vii) Para su celebración no se requiere la expedición del acto administrativo de justificación de la contratación directa</w:t>
      </w:r>
      <w:r w:rsidRPr="00872372">
        <w:rPr>
          <w:rStyle w:val="Refdenotaalpie"/>
          <w:rFonts w:ascii="Verdana" w:hAnsi="Verdana" w:cs="Arial"/>
        </w:rPr>
        <w:footnoteReference w:id="11"/>
      </w:r>
      <w:r w:rsidRPr="00872372">
        <w:rPr>
          <w:rFonts w:ascii="Verdana" w:hAnsi="Verdana" w:cs="Arial"/>
        </w:rPr>
        <w:t xml:space="preserve">. </w:t>
      </w:r>
    </w:p>
    <w:p w14:paraId="0844A295" w14:textId="77777777" w:rsidR="00872372" w:rsidRPr="00872372" w:rsidRDefault="00872372" w:rsidP="00872372">
      <w:pPr>
        <w:spacing w:before="120" w:after="120" w:line="276" w:lineRule="auto"/>
        <w:ind w:firstLine="709"/>
        <w:jc w:val="both"/>
        <w:rPr>
          <w:rFonts w:ascii="Verdana" w:hAnsi="Verdana" w:cs="Arial"/>
        </w:rPr>
      </w:pPr>
      <w:r w:rsidRPr="00872372">
        <w:rPr>
          <w:rFonts w:ascii="Verdana" w:hAnsi="Verdana" w:cs="Arial"/>
        </w:rPr>
        <w:t>viii) Admiten el pacto de cláusulas excepcionales. Es decir, en los contratos de prestación de servicios profesionales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872372">
        <w:rPr>
          <w:rStyle w:val="Refdenotaalpie"/>
          <w:rFonts w:ascii="Verdana" w:hAnsi="Verdana" w:cs="Arial"/>
        </w:rPr>
        <w:footnoteReference w:id="12"/>
      </w:r>
      <w:r w:rsidRPr="00872372">
        <w:rPr>
          <w:rFonts w:ascii="Verdana" w:hAnsi="Verdana" w:cs="Arial"/>
        </w:rPr>
        <w:t>.</w:t>
      </w:r>
    </w:p>
    <w:p w14:paraId="4C1DE61A" w14:textId="77777777" w:rsidR="00872372" w:rsidRPr="00872372" w:rsidRDefault="00872372" w:rsidP="00872372">
      <w:pPr>
        <w:spacing w:after="120" w:line="276" w:lineRule="auto"/>
        <w:ind w:firstLine="709"/>
        <w:jc w:val="both"/>
        <w:rPr>
          <w:rFonts w:ascii="Verdana" w:hAnsi="Verdana" w:cs="Arial"/>
        </w:rPr>
      </w:pPr>
      <w:proofErr w:type="spellStart"/>
      <w:r w:rsidRPr="00872372">
        <w:rPr>
          <w:rFonts w:ascii="Verdana" w:hAnsi="Verdana" w:cs="Arial"/>
        </w:rPr>
        <w:t>ix</w:t>
      </w:r>
      <w:proofErr w:type="spellEnd"/>
      <w:r w:rsidRPr="00872372">
        <w:rPr>
          <w:rFonts w:ascii="Verdana" w:hAnsi="Verdana" w:cs="Arial"/>
        </w:rPr>
        <w:t>) En ellos no es obligatoria la liquidación, pues así lo estableció el artículo 217 del Decreto 019 de 2012, que modificó el artículo 60 de la Ley 80 de 1993</w:t>
      </w:r>
      <w:r w:rsidRPr="00872372">
        <w:rPr>
          <w:rStyle w:val="Refdenotaalpie"/>
          <w:rFonts w:ascii="Verdana" w:hAnsi="Verdana" w:cs="Arial"/>
        </w:rPr>
        <w:footnoteReference w:id="13"/>
      </w:r>
      <w:r w:rsidRPr="00872372">
        <w:rPr>
          <w:rFonts w:ascii="Verdana" w:hAnsi="Verdana" w:cs="Arial"/>
        </w:rPr>
        <w:t>.</w:t>
      </w:r>
    </w:p>
    <w:p w14:paraId="32114139" w14:textId="77777777" w:rsidR="00872372" w:rsidRPr="00872372" w:rsidRDefault="00872372" w:rsidP="00872372">
      <w:pPr>
        <w:spacing w:after="120" w:line="276" w:lineRule="auto"/>
        <w:ind w:firstLine="709"/>
        <w:jc w:val="both"/>
        <w:rPr>
          <w:rFonts w:ascii="Verdana" w:hAnsi="Verdana" w:cs="Arial"/>
        </w:rPr>
      </w:pPr>
      <w:r w:rsidRPr="00872372">
        <w:rPr>
          <w:rFonts w:ascii="Verdana" w:hAnsi="Verdana" w:cs="Arial"/>
        </w:rPr>
        <w:t>x) Para su celebración no se requiere inscripción en el Registro Único de Proponentes (RUP), según lo prevé el artículo 6 de la Ley 1150 de 2007</w:t>
      </w:r>
      <w:r w:rsidRPr="00872372">
        <w:rPr>
          <w:rStyle w:val="Refdenotaalpie"/>
          <w:rFonts w:ascii="Verdana" w:hAnsi="Verdana" w:cs="Arial"/>
        </w:rPr>
        <w:footnoteReference w:id="14"/>
      </w:r>
      <w:r w:rsidRPr="00872372">
        <w:rPr>
          <w:rFonts w:ascii="Verdana" w:hAnsi="Verdana" w:cs="Arial"/>
        </w:rPr>
        <w:t>.</w:t>
      </w:r>
    </w:p>
    <w:p w14:paraId="5AFFF003" w14:textId="77777777" w:rsidR="00872372" w:rsidRPr="00872372" w:rsidRDefault="00872372" w:rsidP="00872372">
      <w:pPr>
        <w:spacing w:after="120" w:line="276" w:lineRule="auto"/>
        <w:ind w:firstLine="709"/>
        <w:jc w:val="both"/>
        <w:rPr>
          <w:rFonts w:ascii="Verdana" w:hAnsi="Verdana" w:cs="Arial"/>
        </w:rPr>
      </w:pPr>
      <w:r w:rsidRPr="00872372">
        <w:rPr>
          <w:rFonts w:ascii="Verdana" w:hAnsi="Verdana" w:cs="Arial"/>
        </w:rPr>
        <w:t>xi) En ellos no son necesarias las garantías</w:t>
      </w:r>
      <w:r w:rsidRPr="00872372">
        <w:rPr>
          <w:rStyle w:val="Refdenotaalpie"/>
          <w:rFonts w:ascii="Verdana" w:hAnsi="Verdana" w:cs="Arial"/>
        </w:rPr>
        <w:footnoteReference w:id="15"/>
      </w:r>
      <w:r w:rsidRPr="00872372">
        <w:rPr>
          <w:rFonts w:ascii="Verdana" w:hAnsi="Verdana" w:cs="Arial"/>
        </w:rPr>
        <w:t>.</w:t>
      </w:r>
    </w:p>
    <w:p w14:paraId="27A787CC" w14:textId="77777777" w:rsidR="00872372" w:rsidRPr="00872372" w:rsidRDefault="00872372" w:rsidP="00872372">
      <w:pPr>
        <w:ind w:left="709" w:right="709"/>
        <w:jc w:val="both"/>
        <w:rPr>
          <w:rFonts w:ascii="Verdana" w:hAnsi="Verdana" w:cs="Arial"/>
          <w:sz w:val="21"/>
          <w:szCs w:val="21"/>
        </w:rPr>
      </w:pPr>
    </w:p>
    <w:p w14:paraId="2E7C72EB" w14:textId="61115561" w:rsidR="00872372" w:rsidRPr="00872372" w:rsidRDefault="00872372" w:rsidP="00872372">
      <w:pPr>
        <w:spacing w:after="120" w:line="276" w:lineRule="auto"/>
        <w:ind w:firstLine="709"/>
        <w:jc w:val="both"/>
        <w:rPr>
          <w:rFonts w:ascii="Verdana" w:hAnsi="Verdana" w:cs="Arial"/>
        </w:rPr>
      </w:pPr>
      <w:r w:rsidRPr="00872372">
        <w:rPr>
          <w:rFonts w:ascii="Verdana" w:hAnsi="Verdana" w:cs="Arial"/>
        </w:rPr>
        <w:t>Teniendo en cuenta las anteriores características del contrato de prestación de servicios profesionales, así como el régimen de inhabilidades e incompatibilidades previsto para la contratación estatal, se abordará a continuación la inquietud formulada</w:t>
      </w:r>
    </w:p>
    <w:p w14:paraId="6D3DFACF" w14:textId="77777777" w:rsidR="004A503E" w:rsidRPr="004A503E" w:rsidRDefault="004A503E" w:rsidP="004A503E">
      <w:pPr>
        <w:pStyle w:val="Prrafodelista"/>
        <w:spacing w:after="120" w:line="276" w:lineRule="auto"/>
        <w:ind w:left="0"/>
        <w:jc w:val="both"/>
        <w:textAlignment w:val="baseline"/>
        <w:rPr>
          <w:rFonts w:ascii="Verdana" w:eastAsia="Calibri" w:hAnsi="Verdana" w:cs="Arial"/>
          <w:lang w:val="es-CO" w:eastAsia="es-ES"/>
        </w:rPr>
      </w:pPr>
    </w:p>
    <w:p w14:paraId="337FC87B" w14:textId="0E461421" w:rsidR="00872372" w:rsidRDefault="00872372" w:rsidP="00872372">
      <w:pPr>
        <w:spacing w:after="120" w:line="276" w:lineRule="auto"/>
        <w:ind w:firstLine="709"/>
        <w:jc w:val="both"/>
        <w:textAlignment w:val="baseline"/>
        <w:rPr>
          <w:rFonts w:ascii="Verdana" w:eastAsia="Calibri" w:hAnsi="Verdana" w:cs="Arial"/>
          <w:lang w:eastAsia="es-ES"/>
        </w:rPr>
      </w:pPr>
      <w:r>
        <w:rPr>
          <w:rFonts w:ascii="Verdana" w:eastAsia="Calibri" w:hAnsi="Verdana" w:cs="Arial"/>
          <w:lang w:eastAsia="es-ES"/>
        </w:rPr>
        <w:t xml:space="preserve">Ahora bien, en relación con el monto de los honorarios, la Agencia Nacional de Contratación Pública – Colombia Compra Eficiente, se pronunció sobre este tema en respuesta a la consulta con radicado 4201913000005089 del 29 de julio de 2019, cuyas ideas se reiteran a continuación: </w:t>
      </w:r>
    </w:p>
    <w:p w14:paraId="19C08E9E" w14:textId="568A1E0A" w:rsidR="00950F03" w:rsidRDefault="00950F03" w:rsidP="00872372">
      <w:pPr>
        <w:spacing w:after="120" w:line="276" w:lineRule="auto"/>
        <w:ind w:firstLine="709"/>
        <w:jc w:val="both"/>
        <w:textAlignment w:val="baseline"/>
        <w:rPr>
          <w:rFonts w:ascii="Verdana" w:eastAsia="Calibri" w:hAnsi="Verdana" w:cs="Arial"/>
          <w:lang w:eastAsia="es-ES"/>
        </w:rPr>
      </w:pPr>
      <w:r>
        <w:rPr>
          <w:rFonts w:ascii="Verdana" w:eastAsia="Calibri" w:hAnsi="Verdana" w:cs="Arial"/>
          <w:lang w:eastAsia="es-ES"/>
        </w:rPr>
        <w:t>Revisado el marco general aplicable a la suscripción de contratos de prestación de servicios y de apoyo a la gestión, es posible concluir, de manera inicial, que las Leyes 80 de 1993 y 1150 de 2007 y el Decreto 1082 de 2015, no establecen límites en cuanto al valor de dichos contratos e indican que estos se pueden suscribir mediante la modalidad de contratación directa.</w:t>
      </w:r>
    </w:p>
    <w:p w14:paraId="5C14A2C9" w14:textId="388A89ED" w:rsidR="00950F03" w:rsidRDefault="00950F03" w:rsidP="00872372">
      <w:pPr>
        <w:spacing w:after="120" w:line="276" w:lineRule="auto"/>
        <w:ind w:firstLine="709"/>
        <w:jc w:val="both"/>
        <w:textAlignment w:val="baseline"/>
        <w:rPr>
          <w:rFonts w:ascii="Verdana" w:eastAsia="Calibri" w:hAnsi="Verdana" w:cs="Arial"/>
          <w:lang w:eastAsia="es-ES"/>
        </w:rPr>
      </w:pPr>
      <w:r w:rsidRPr="144903E5">
        <w:rPr>
          <w:rFonts w:ascii="Verdana" w:eastAsia="Calibri" w:hAnsi="Verdana" w:cs="Arial"/>
          <w:lang w:eastAsia="es-ES"/>
        </w:rPr>
        <w:t xml:space="preserve">No </w:t>
      </w:r>
      <w:bookmarkStart w:id="2" w:name="_Int_LacVkw8w"/>
      <w:r w:rsidRPr="144903E5">
        <w:rPr>
          <w:rFonts w:ascii="Verdana" w:eastAsia="Calibri" w:hAnsi="Verdana" w:cs="Arial"/>
          <w:lang w:eastAsia="es-ES"/>
        </w:rPr>
        <w:t>obstante</w:t>
      </w:r>
      <w:bookmarkEnd w:id="2"/>
      <w:r w:rsidRPr="144903E5">
        <w:rPr>
          <w:rFonts w:ascii="Verdana" w:eastAsia="Calibri" w:hAnsi="Verdana" w:cs="Arial"/>
          <w:lang w:eastAsia="es-ES"/>
        </w:rPr>
        <w:t xml:space="preserve"> lo anterior, en el año de 1998, se expidió el Decreto 1737</w:t>
      </w:r>
      <w:r w:rsidR="00FB2C0A" w:rsidRPr="144903E5">
        <w:rPr>
          <w:rFonts w:ascii="Verdana" w:eastAsia="Calibri" w:hAnsi="Verdana" w:cs="Arial"/>
          <w:lang w:eastAsia="es-ES"/>
        </w:rPr>
        <w:t>, por medio del cual “Se expiden medidas de austeridad y eficiencia y se someten a condiciones especiales la asunción de compromisos por parte de las entidades públicas que manejen recursos del Tesoro Público”. Dicho reglamento, en el artículo 4, establecía una prohibición para el pacto de remuneración por pago de servicios personales calificados con personas naturales y jurídicas, consistente en no exceder el total de la remuneración establecida para el jefe de la entidad sin incluir factores prestacionales. La norma indicaba lo siguiente:</w:t>
      </w:r>
    </w:p>
    <w:p w14:paraId="0B83EDFC" w14:textId="77777777" w:rsidR="00FB2C0A" w:rsidRDefault="00FB2C0A" w:rsidP="00872372">
      <w:pPr>
        <w:spacing w:after="120" w:line="276" w:lineRule="auto"/>
        <w:ind w:firstLine="709"/>
        <w:jc w:val="both"/>
        <w:textAlignment w:val="baseline"/>
        <w:rPr>
          <w:rFonts w:ascii="Verdana" w:eastAsia="Calibri" w:hAnsi="Verdana" w:cs="Arial"/>
          <w:lang w:eastAsia="es-ES"/>
        </w:rPr>
      </w:pPr>
    </w:p>
    <w:p w14:paraId="3EE878DA" w14:textId="6BE084A7" w:rsidR="00FB2C0A" w:rsidRDefault="00FB2C0A" w:rsidP="00FB2C0A">
      <w:pPr>
        <w:spacing w:after="0" w:line="276" w:lineRule="auto"/>
        <w:ind w:left="709" w:right="709"/>
        <w:jc w:val="both"/>
        <w:textAlignment w:val="baseline"/>
        <w:rPr>
          <w:rFonts w:ascii="Verdana" w:eastAsia="Calibri" w:hAnsi="Verdana" w:cs="Arial"/>
          <w:sz w:val="21"/>
          <w:szCs w:val="21"/>
          <w:lang w:eastAsia="es-ES"/>
        </w:rPr>
      </w:pPr>
      <w:r>
        <w:rPr>
          <w:rFonts w:ascii="Verdana" w:eastAsia="Calibri" w:hAnsi="Verdana" w:cs="Arial"/>
          <w:sz w:val="21"/>
          <w:szCs w:val="21"/>
          <w:lang w:eastAsia="es-ES"/>
        </w:rPr>
        <w:t xml:space="preserve">Artículo 4°. </w:t>
      </w:r>
      <w:proofErr w:type="spellStart"/>
      <w:r>
        <w:rPr>
          <w:rFonts w:ascii="Verdana" w:eastAsia="Calibri" w:hAnsi="Verdana" w:cs="Arial"/>
          <w:sz w:val="21"/>
          <w:szCs w:val="21"/>
          <w:lang w:eastAsia="es-ES"/>
        </w:rPr>
        <w:t>Esta</w:t>
      </w:r>
      <w:proofErr w:type="spellEnd"/>
      <w:r>
        <w:rPr>
          <w:rFonts w:ascii="Verdana" w:eastAsia="Calibri" w:hAnsi="Verdana" w:cs="Arial"/>
          <w:sz w:val="21"/>
          <w:szCs w:val="21"/>
          <w:lang w:eastAsia="es-ES"/>
        </w:rPr>
        <w:t xml:space="preserve"> prohibido el pacto de remuneración para pago de servicios </w:t>
      </w:r>
      <w:r w:rsidR="0019131E">
        <w:rPr>
          <w:rFonts w:ascii="Verdana" w:eastAsia="Calibri" w:hAnsi="Verdana" w:cs="Arial"/>
          <w:sz w:val="21"/>
          <w:szCs w:val="21"/>
          <w:lang w:eastAsia="es-ES"/>
        </w:rPr>
        <w:t>personales calificados con personas naturales y jurídicas, encaminados a la prestación de servicios en forma continua para asuntos propios de la respectiva entidad, por calor mensual superior a la remuneración total mensual establecida para el jefe de la entidad.</w:t>
      </w:r>
    </w:p>
    <w:p w14:paraId="08DE2564" w14:textId="77777777" w:rsidR="0019131E" w:rsidRDefault="0019131E" w:rsidP="00FB2C0A">
      <w:pPr>
        <w:spacing w:after="0" w:line="276" w:lineRule="auto"/>
        <w:ind w:left="709" w:right="709"/>
        <w:jc w:val="both"/>
        <w:textAlignment w:val="baseline"/>
        <w:rPr>
          <w:rFonts w:ascii="Verdana" w:eastAsia="Calibri" w:hAnsi="Verdana" w:cs="Arial"/>
          <w:sz w:val="21"/>
          <w:szCs w:val="21"/>
          <w:lang w:eastAsia="es-ES"/>
        </w:rPr>
      </w:pPr>
    </w:p>
    <w:p w14:paraId="267920F3" w14:textId="363A589B" w:rsidR="0019131E" w:rsidRDefault="0019131E" w:rsidP="0019131E">
      <w:pPr>
        <w:spacing w:after="0" w:line="276" w:lineRule="auto"/>
        <w:ind w:left="709" w:right="709"/>
        <w:jc w:val="both"/>
        <w:textAlignment w:val="baseline"/>
        <w:rPr>
          <w:rFonts w:ascii="Verdana" w:eastAsia="Calibri" w:hAnsi="Verdana" w:cs="Arial"/>
          <w:sz w:val="21"/>
          <w:szCs w:val="21"/>
          <w:lang w:eastAsia="es-ES"/>
        </w:rPr>
      </w:pPr>
      <w:r>
        <w:rPr>
          <w:rFonts w:ascii="Verdana" w:eastAsia="Calibri" w:hAnsi="Verdana" w:cs="Arial"/>
          <w:sz w:val="21"/>
          <w:szCs w:val="21"/>
          <w:lang w:eastAsia="es-ES"/>
        </w:rPr>
        <w:t>Parágrafo. Se entiende por remuneración total mensual del jefe de la entidad, la que corresponda a este en cada uno de dichos periodos, sin que en ningún caso puedan tenerse en consideración los factores prestacionales.</w:t>
      </w:r>
    </w:p>
    <w:p w14:paraId="1F5791B7" w14:textId="77777777" w:rsidR="0019131E" w:rsidRDefault="0019131E" w:rsidP="0019131E">
      <w:pPr>
        <w:spacing w:after="0" w:line="276" w:lineRule="auto"/>
        <w:ind w:left="709" w:right="709"/>
        <w:jc w:val="both"/>
        <w:textAlignment w:val="baseline"/>
        <w:rPr>
          <w:rFonts w:ascii="Verdana" w:eastAsia="Calibri" w:hAnsi="Verdana" w:cs="Arial"/>
          <w:sz w:val="21"/>
          <w:szCs w:val="21"/>
          <w:lang w:eastAsia="es-ES"/>
        </w:rPr>
      </w:pPr>
    </w:p>
    <w:p w14:paraId="5EF5DB9F" w14:textId="0E5B0D49" w:rsidR="0019131E" w:rsidRDefault="0019131E" w:rsidP="0019131E">
      <w:pPr>
        <w:spacing w:after="120" w:line="276" w:lineRule="auto"/>
        <w:ind w:firstLine="709"/>
        <w:jc w:val="both"/>
        <w:textAlignment w:val="baseline"/>
        <w:rPr>
          <w:rFonts w:ascii="Verdana" w:eastAsia="Calibri" w:hAnsi="Verdana" w:cs="Arial"/>
          <w:lang w:eastAsia="es-ES"/>
        </w:rPr>
      </w:pPr>
      <w:r w:rsidRPr="144903E5">
        <w:rPr>
          <w:rFonts w:ascii="Verdana" w:eastAsia="Calibri" w:hAnsi="Verdana" w:cs="Arial"/>
          <w:lang w:eastAsia="es-ES"/>
        </w:rPr>
        <w:t xml:space="preserve">El mismo año, es decir, en 1998, el artículo 4 del citado Decreto fue </w:t>
      </w:r>
      <w:proofErr w:type="gramStart"/>
      <w:r w:rsidRPr="144903E5">
        <w:rPr>
          <w:rFonts w:ascii="Verdana" w:eastAsia="Calibri" w:hAnsi="Verdana" w:cs="Arial"/>
          <w:lang w:eastAsia="es-ES"/>
        </w:rPr>
        <w:t>modificado ,</w:t>
      </w:r>
      <w:proofErr w:type="gramEnd"/>
      <w:r w:rsidRPr="144903E5">
        <w:rPr>
          <w:rFonts w:ascii="Verdana" w:eastAsia="Calibri" w:hAnsi="Verdana" w:cs="Arial"/>
          <w:lang w:eastAsia="es-ES"/>
        </w:rPr>
        <w:t xml:space="preserve"> precisando a que servicios se refería la norma, aclarando que eran aquellos exclusivamente comprendidos en el concepto “remuneración servicios técnicos” desarrollado en el Decreto de Liquidación del Presupuesto General de la Nación, para lo cual se adicionó el parágrafo 2 al artículo 4 del Decreto 1737 de 1998, mediante el artículo 2 del Decreto 1109 de 1998, el cual </w:t>
      </w:r>
      <w:r w:rsidR="00BF6950" w:rsidRPr="144903E5">
        <w:rPr>
          <w:rFonts w:ascii="Verdana" w:eastAsia="Calibri" w:hAnsi="Verdana" w:cs="Arial"/>
          <w:lang w:eastAsia="es-ES"/>
        </w:rPr>
        <w:t>ahora indicaba lo siguiente:</w:t>
      </w:r>
    </w:p>
    <w:p w14:paraId="7BCFA725" w14:textId="77777777" w:rsidR="00BF6950" w:rsidRPr="00BF6950" w:rsidRDefault="00BF6950" w:rsidP="0019131E">
      <w:pPr>
        <w:spacing w:after="120" w:line="276" w:lineRule="auto"/>
        <w:ind w:firstLine="709"/>
        <w:jc w:val="both"/>
        <w:textAlignment w:val="baseline"/>
        <w:rPr>
          <w:rFonts w:ascii="Verdana" w:eastAsia="Calibri" w:hAnsi="Verdana" w:cs="Arial"/>
          <w:lang w:eastAsia="es-ES"/>
        </w:rPr>
      </w:pPr>
    </w:p>
    <w:p w14:paraId="03E6755C" w14:textId="6B28A3BB" w:rsidR="00BF6950" w:rsidRPr="00BF6950" w:rsidRDefault="00BF6950" w:rsidP="00BF6950">
      <w:pPr>
        <w:ind w:left="709" w:right="709"/>
        <w:jc w:val="both"/>
        <w:rPr>
          <w:rFonts w:ascii="Verdana" w:hAnsi="Verdana" w:cs="Arial"/>
          <w:sz w:val="21"/>
          <w:szCs w:val="21"/>
        </w:rPr>
      </w:pPr>
      <w:proofErr w:type="spellStart"/>
      <w:r w:rsidRPr="00BF6950">
        <w:rPr>
          <w:rFonts w:ascii="Verdana" w:hAnsi="Verdana" w:cs="Arial"/>
          <w:sz w:val="21"/>
          <w:szCs w:val="21"/>
        </w:rPr>
        <w:t>Artículo</w:t>
      </w:r>
      <w:proofErr w:type="spellEnd"/>
      <w:r w:rsidRPr="00BF6950">
        <w:rPr>
          <w:rFonts w:ascii="Verdana" w:hAnsi="Verdana" w:cs="Arial"/>
          <w:sz w:val="21"/>
          <w:szCs w:val="21"/>
        </w:rPr>
        <w:t xml:space="preserve"> 4°. Está prohibido el pacto de remuneración para pago de servicios personales calificados con personas naturales, o jurídicas, encaminados a la prestación de servicios en forma continua para atender asuntos propios de la respectiva entidad, por valor mensual superior a la remuneración total mensual establecida para el jefe de la entidad.</w:t>
      </w:r>
    </w:p>
    <w:p w14:paraId="63D0B7F9" w14:textId="79B31B55" w:rsidR="00BF6950" w:rsidRPr="00BF6950" w:rsidRDefault="00BF6950" w:rsidP="00BF6950">
      <w:pPr>
        <w:spacing w:after="0"/>
        <w:ind w:left="709" w:right="709"/>
        <w:jc w:val="both"/>
        <w:rPr>
          <w:rFonts w:ascii="Verdana" w:hAnsi="Verdana" w:cs="Arial"/>
          <w:sz w:val="21"/>
          <w:szCs w:val="21"/>
        </w:rPr>
      </w:pPr>
      <w:r w:rsidRPr="00BF6950">
        <w:rPr>
          <w:rFonts w:ascii="Verdana" w:hAnsi="Verdana" w:cs="Arial"/>
          <w:sz w:val="21"/>
          <w:szCs w:val="21"/>
        </w:rPr>
        <w:t>Parágrafo 1°. Se entiende por remuneración total mensual del jefe de la entidad, la que corresponda a este en cada uno de dichos períodos, sin que en ningún caso puedan tenerse en consideración los factores prestacionales.</w:t>
      </w:r>
    </w:p>
    <w:p w14:paraId="0499E560" w14:textId="77777777" w:rsidR="00BF6950" w:rsidRPr="00BF6950" w:rsidRDefault="00BF6950" w:rsidP="00BF6950">
      <w:pPr>
        <w:spacing w:after="0"/>
        <w:ind w:left="709" w:right="709"/>
        <w:jc w:val="both"/>
        <w:rPr>
          <w:rFonts w:ascii="Verdana" w:hAnsi="Verdana" w:cs="Arial"/>
          <w:sz w:val="21"/>
          <w:szCs w:val="21"/>
        </w:rPr>
      </w:pPr>
    </w:p>
    <w:p w14:paraId="6E937A40" w14:textId="1BCF6995" w:rsidR="00BF6950" w:rsidRPr="00BF6950" w:rsidRDefault="00BF6950" w:rsidP="00BF6950">
      <w:pPr>
        <w:spacing w:after="0"/>
        <w:ind w:left="709" w:right="709"/>
        <w:jc w:val="both"/>
        <w:rPr>
          <w:rFonts w:ascii="Verdana" w:hAnsi="Verdana" w:cs="Arial"/>
          <w:sz w:val="21"/>
          <w:szCs w:val="21"/>
        </w:rPr>
      </w:pPr>
      <w:r w:rsidRPr="00BF6950">
        <w:rPr>
          <w:rFonts w:ascii="Verdana" w:hAnsi="Verdana" w:cs="Arial"/>
          <w:sz w:val="21"/>
          <w:szCs w:val="21"/>
        </w:rPr>
        <w:t>Parágrafo 2°. Los servicios a que hace referencia el presente articulo corresponden exclusivamente a aquellos comprendidos en el concepto de «remuneración servicios técnicos» desarrollado en el decreto de liquidación del presupuesto general de la Nación, con independencia del presupuesto con cargo al cual se realice su pago.</w:t>
      </w:r>
    </w:p>
    <w:p w14:paraId="0C2FBAFF" w14:textId="77777777" w:rsidR="00BF6950" w:rsidRPr="00BF6950" w:rsidRDefault="00BF6950" w:rsidP="00BF6950">
      <w:pPr>
        <w:spacing w:after="0" w:line="276" w:lineRule="auto"/>
        <w:ind w:right="709"/>
        <w:jc w:val="both"/>
        <w:textAlignment w:val="baseline"/>
        <w:rPr>
          <w:rFonts w:ascii="Verdana" w:hAnsi="Verdana" w:cs="Arial"/>
          <w:sz w:val="21"/>
          <w:szCs w:val="21"/>
        </w:rPr>
      </w:pPr>
    </w:p>
    <w:p w14:paraId="6FC2E39F" w14:textId="56195EB8" w:rsidR="00BF6950" w:rsidRDefault="00BF6950" w:rsidP="00BF6950">
      <w:pPr>
        <w:spacing w:after="120" w:line="276" w:lineRule="auto"/>
        <w:ind w:firstLine="709"/>
        <w:jc w:val="both"/>
        <w:textAlignment w:val="baseline"/>
        <w:rPr>
          <w:rFonts w:ascii="Verdana" w:hAnsi="Verdana" w:cs="Arial"/>
        </w:rPr>
      </w:pPr>
      <w:r w:rsidRPr="144903E5">
        <w:rPr>
          <w:rFonts w:ascii="Verdana" w:hAnsi="Verdana" w:cs="Arial"/>
        </w:rPr>
        <w:t>Continuando con la evolución histórica del Decreto 1737 de 1998, en el año 2011 se expidió el Decreto 2785, que, mediante el artículo 1, modificó parcialmente el artículo 4 del Decreto 1737 de 1998, agregando los parágrafos 3 y 4, los cuales introdujeron la noción de “servicios altamente calificados</w:t>
      </w:r>
      <w:r w:rsidR="007A4EEE" w:rsidRPr="144903E5">
        <w:rPr>
          <w:rFonts w:ascii="Verdana" w:hAnsi="Verdana" w:cs="Arial"/>
        </w:rPr>
        <w:t xml:space="preserve">” y de </w:t>
      </w:r>
      <w:r w:rsidR="2E8B0DF5" w:rsidRPr="144903E5">
        <w:rPr>
          <w:rFonts w:ascii="Verdana" w:hAnsi="Verdana" w:cs="Arial"/>
        </w:rPr>
        <w:t>qué</w:t>
      </w:r>
      <w:r w:rsidR="007A4EEE" w:rsidRPr="144903E5">
        <w:rPr>
          <w:rFonts w:ascii="Verdana" w:hAnsi="Verdana" w:cs="Arial"/>
        </w:rPr>
        <w:t xml:space="preserve"> manera estos eran aplicables. La norma indica que de manera excepcional se podrían contratar servicios altamente calificados, superando la remuneración total establecida para el jefe de la entidad incluidos los factores prestacionales y las contribuciones asociadas a la nómina, siempre que el representante legal de la entidad certificara la necesidad del servicio, sus características y estableciera las condiciones de los productos o servicios a obtener. La norma establecía: </w:t>
      </w:r>
    </w:p>
    <w:p w14:paraId="43CD5B46" w14:textId="77777777" w:rsidR="007A4EEE" w:rsidRDefault="007A4EEE" w:rsidP="00BF6950">
      <w:pPr>
        <w:spacing w:after="120" w:line="276" w:lineRule="auto"/>
        <w:ind w:firstLine="709"/>
        <w:jc w:val="both"/>
        <w:textAlignment w:val="baseline"/>
        <w:rPr>
          <w:rFonts w:ascii="Verdana" w:hAnsi="Verdana" w:cs="Arial"/>
        </w:rPr>
      </w:pPr>
    </w:p>
    <w:p w14:paraId="74516E6D" w14:textId="2DFA8BAA" w:rsidR="007A4EEE" w:rsidRPr="007A4EEE" w:rsidRDefault="009B6BDE" w:rsidP="007A4EEE">
      <w:pPr>
        <w:spacing w:after="120"/>
        <w:ind w:left="709" w:right="709"/>
        <w:jc w:val="both"/>
        <w:rPr>
          <w:rFonts w:ascii="Verdana" w:hAnsi="Verdana" w:cs="Arial"/>
          <w:sz w:val="21"/>
          <w:szCs w:val="21"/>
        </w:rPr>
      </w:pPr>
      <w:r w:rsidRPr="007A4EEE">
        <w:rPr>
          <w:rFonts w:ascii="Verdana" w:hAnsi="Verdana" w:cs="Arial"/>
          <w:sz w:val="21"/>
          <w:szCs w:val="21"/>
        </w:rPr>
        <w:t>Artículo</w:t>
      </w:r>
      <w:r w:rsidR="007A4EEE" w:rsidRPr="007A4EEE">
        <w:rPr>
          <w:rFonts w:ascii="Verdana" w:hAnsi="Verdana" w:cs="Arial"/>
          <w:sz w:val="21"/>
          <w:szCs w:val="21"/>
        </w:rPr>
        <w:t xml:space="preserve"> 1°. Modifíquese el artículo 4° del Decreto 1737 de 1998 modificado por el artículo 2° del Decreto 2209 de 1998, el cual quedará así́:</w:t>
      </w:r>
    </w:p>
    <w:p w14:paraId="730640DC" w14:textId="77777777" w:rsidR="007A4EEE" w:rsidRPr="007A4EEE" w:rsidRDefault="007A4EEE" w:rsidP="007A4EEE">
      <w:pPr>
        <w:spacing w:after="120"/>
        <w:ind w:left="709" w:right="709"/>
        <w:jc w:val="both"/>
        <w:rPr>
          <w:rFonts w:ascii="Verdana" w:hAnsi="Verdana" w:cs="Arial"/>
          <w:sz w:val="21"/>
          <w:szCs w:val="21"/>
        </w:rPr>
      </w:pPr>
    </w:p>
    <w:p w14:paraId="51F31C1A" w14:textId="6E67B862" w:rsidR="007A4EEE" w:rsidRPr="007A4EEE" w:rsidRDefault="009B6BDE" w:rsidP="007A4EEE">
      <w:pPr>
        <w:spacing w:after="120"/>
        <w:ind w:left="709" w:right="709"/>
        <w:jc w:val="both"/>
        <w:rPr>
          <w:rFonts w:ascii="Verdana" w:hAnsi="Verdana" w:cs="Arial"/>
          <w:sz w:val="21"/>
          <w:szCs w:val="21"/>
        </w:rPr>
      </w:pPr>
      <w:r w:rsidRPr="007A4EEE">
        <w:rPr>
          <w:rFonts w:ascii="Verdana" w:hAnsi="Verdana" w:cs="Arial"/>
          <w:sz w:val="21"/>
          <w:szCs w:val="21"/>
        </w:rPr>
        <w:t>Artículo</w:t>
      </w:r>
      <w:r w:rsidR="007A4EEE" w:rsidRPr="007A4EEE">
        <w:rPr>
          <w:rFonts w:ascii="Verdana" w:hAnsi="Verdana" w:cs="Arial"/>
          <w:sz w:val="21"/>
          <w:szCs w:val="21"/>
        </w:rPr>
        <w:t xml:space="preserve"> 4°. Está prohibido el pacto de remuneración para pago de servicios personales calificados con personas naturales, o jurídicas, encaminados a la prestación de servicios en forma continua para atender asuntos propios de la respectiva entidad, por valor mensual superior a la remuneración total mensual establecida para el jefe de la entidad.</w:t>
      </w:r>
    </w:p>
    <w:p w14:paraId="233F6AC3" w14:textId="7E1D961E" w:rsidR="007A4EEE" w:rsidRPr="007A4EEE" w:rsidRDefault="007A4EEE" w:rsidP="007A4EEE">
      <w:pPr>
        <w:spacing w:after="120"/>
        <w:ind w:left="709" w:right="709"/>
        <w:jc w:val="both"/>
        <w:rPr>
          <w:rFonts w:ascii="Verdana" w:hAnsi="Verdana" w:cs="Arial"/>
          <w:sz w:val="21"/>
          <w:szCs w:val="21"/>
        </w:rPr>
      </w:pPr>
      <w:r w:rsidRPr="007A4EEE">
        <w:rPr>
          <w:rFonts w:ascii="Verdana" w:hAnsi="Verdana" w:cs="Arial"/>
          <w:sz w:val="21"/>
          <w:szCs w:val="21"/>
        </w:rPr>
        <w:t>Parágrafo 1°. Se entiende por remuneración total mensual del jefe de la entidad, la que corresponda a este en cada uno de dichos períodos, sin que en ningún caso puedan tenerse en consideración los factores prestacionales.</w:t>
      </w:r>
    </w:p>
    <w:p w14:paraId="4BCBAD05" w14:textId="36EF688F" w:rsidR="007A4EEE" w:rsidRPr="007A4EEE" w:rsidRDefault="007A4EEE" w:rsidP="007A4EEE">
      <w:pPr>
        <w:spacing w:after="120"/>
        <w:ind w:left="709" w:right="709"/>
        <w:jc w:val="both"/>
        <w:rPr>
          <w:rFonts w:ascii="Verdana" w:hAnsi="Verdana" w:cs="Arial"/>
          <w:sz w:val="21"/>
          <w:szCs w:val="21"/>
        </w:rPr>
      </w:pPr>
      <w:r w:rsidRPr="007A4EEE">
        <w:rPr>
          <w:rFonts w:ascii="Verdana" w:hAnsi="Verdana" w:cs="Arial"/>
          <w:sz w:val="21"/>
          <w:szCs w:val="21"/>
        </w:rPr>
        <w:t xml:space="preserve">Parágrafo 2°. Los servicios a que hace referencia el presente artículo corresponden exclusivamente a aquellos comprendidos en el concepto de </w:t>
      </w:r>
      <w:r>
        <w:rPr>
          <w:rFonts w:ascii="Verdana" w:hAnsi="Verdana" w:cs="Arial"/>
          <w:sz w:val="21"/>
          <w:szCs w:val="21"/>
        </w:rPr>
        <w:t>“</w:t>
      </w:r>
      <w:r w:rsidRPr="007A4EEE">
        <w:rPr>
          <w:rFonts w:ascii="Verdana" w:hAnsi="Verdana" w:cs="Arial"/>
          <w:sz w:val="21"/>
          <w:szCs w:val="21"/>
        </w:rPr>
        <w:t>remuneración servicios técnicos</w:t>
      </w:r>
      <w:r>
        <w:rPr>
          <w:rFonts w:ascii="Verdana" w:hAnsi="Verdana" w:cs="Arial"/>
          <w:sz w:val="21"/>
          <w:szCs w:val="21"/>
        </w:rPr>
        <w:t>”</w:t>
      </w:r>
      <w:r w:rsidRPr="007A4EEE">
        <w:rPr>
          <w:rFonts w:ascii="Verdana" w:hAnsi="Verdana" w:cs="Arial"/>
          <w:sz w:val="21"/>
          <w:szCs w:val="21"/>
        </w:rPr>
        <w:t xml:space="preserve"> desarrollado en el decreto de liquidación del presupuesto general de la Nación, con independencia del presupuesto con cargo al cual se realice su pago.</w:t>
      </w:r>
    </w:p>
    <w:p w14:paraId="6AE30C82" w14:textId="2BF1048F" w:rsidR="007A4EEE" w:rsidRPr="007A4EEE" w:rsidRDefault="007A4EEE" w:rsidP="007A4EEE">
      <w:pPr>
        <w:spacing w:after="120"/>
        <w:ind w:left="709" w:right="709"/>
        <w:jc w:val="both"/>
        <w:rPr>
          <w:rFonts w:ascii="Verdana" w:hAnsi="Verdana" w:cs="Arial"/>
          <w:sz w:val="21"/>
          <w:szCs w:val="21"/>
        </w:rPr>
      </w:pPr>
      <w:r w:rsidRPr="007A4EEE">
        <w:rPr>
          <w:rFonts w:ascii="Verdana" w:hAnsi="Verdana" w:cs="Arial"/>
          <w:sz w:val="21"/>
          <w:szCs w:val="21"/>
        </w:rPr>
        <w:t>Parágrafo 3°. De manera excepcional, para aquellos eventos en los que se requiera contratar servicios altamente calificados, podrán pactarse honorarios superiores a la remuneración total mensual establecida para el jefe de la entidad, los cuales no podrán exceder del valor total mensual de remuneración del jefe de la entidad incluidos los factores prestacionales y las contribuciones inherentes a la nómina, relacionadas con seguridad social y para fiscales a cargo del empleador. En estos eventos el Representante Legal de la entidad deberá́ certificar el cumplimiento de los siguientes aspectos: 1. Justificar la necesidad del servicio personal altamente calificado. 2. Indicar las características y calidades específicas, altamente calificadas, que reúne el contratista para la ejecución del contrato, y 3. Determinar las características de los productos y/o servicios que se espera obtener.</w:t>
      </w:r>
    </w:p>
    <w:p w14:paraId="45D40529" w14:textId="74627F37" w:rsidR="007A4EEE" w:rsidRDefault="007A4EEE" w:rsidP="007A4EEE">
      <w:pPr>
        <w:spacing w:after="120"/>
        <w:ind w:left="709" w:right="709"/>
        <w:jc w:val="both"/>
        <w:rPr>
          <w:rFonts w:ascii="Verdana" w:hAnsi="Verdana" w:cs="Arial"/>
          <w:sz w:val="21"/>
          <w:szCs w:val="21"/>
        </w:rPr>
      </w:pPr>
      <w:r w:rsidRPr="007A4EEE">
        <w:rPr>
          <w:rFonts w:ascii="Verdana" w:hAnsi="Verdana" w:cs="Arial"/>
          <w:sz w:val="21"/>
          <w:szCs w:val="21"/>
        </w:rPr>
        <w:t>Parágrafo 4°. Se entiende por servicios altamente calificados aquellos requeridos en situaciones de alto nivel de especialidad, complejidad y detalle.</w:t>
      </w:r>
    </w:p>
    <w:p w14:paraId="32E87836" w14:textId="77777777" w:rsidR="00432A6E" w:rsidRDefault="00432A6E" w:rsidP="00432A6E">
      <w:pPr>
        <w:spacing w:after="120"/>
        <w:jc w:val="both"/>
        <w:rPr>
          <w:rFonts w:ascii="Verdana" w:hAnsi="Verdana" w:cs="Arial"/>
          <w:sz w:val="21"/>
          <w:szCs w:val="21"/>
        </w:rPr>
      </w:pPr>
    </w:p>
    <w:p w14:paraId="22107718" w14:textId="2F747B9C" w:rsidR="00432A6E" w:rsidRDefault="00013750" w:rsidP="00432A6E">
      <w:pPr>
        <w:spacing w:after="120"/>
        <w:ind w:firstLine="709"/>
        <w:jc w:val="both"/>
        <w:rPr>
          <w:rFonts w:ascii="Verdana" w:hAnsi="Verdana" w:cs="Arial"/>
        </w:rPr>
      </w:pPr>
      <w:r>
        <w:rPr>
          <w:rFonts w:ascii="Verdana" w:hAnsi="Verdana" w:cs="Arial"/>
        </w:rPr>
        <w:t xml:space="preserve">Luego el Decreto 1068 de 2015, </w:t>
      </w:r>
      <w:r w:rsidR="00432A6E">
        <w:rPr>
          <w:rFonts w:ascii="Verdana" w:hAnsi="Verdana" w:cs="Arial"/>
        </w:rPr>
        <w:t>por medio del cual se expidió el Decreto Único Reglamentario del Sector de Hacienda y Crédito Público, en su título 4, de las “medidas de Austeridad del Gasto Público”, compiló los desarrollos normativos implementados por el Decreto 1737 de 1998, incluidas las modificaciones realizadas por el artículo 2 del Decreto 2209 de 1998, modificado por el artículo 1 del Decreto 2785 de 2011.</w:t>
      </w:r>
    </w:p>
    <w:p w14:paraId="6AEE566E" w14:textId="77047C94" w:rsidR="005C5BFA" w:rsidRPr="005C5BFA" w:rsidRDefault="005C5BFA" w:rsidP="005C5BFA">
      <w:pPr>
        <w:spacing w:before="120" w:line="276" w:lineRule="auto"/>
        <w:ind w:firstLine="709"/>
        <w:jc w:val="both"/>
        <w:rPr>
          <w:rFonts w:ascii="Verdana" w:hAnsi="Verdana" w:cs="Arial"/>
        </w:rPr>
      </w:pPr>
      <w:r w:rsidRPr="005C5BFA">
        <w:rPr>
          <w:rFonts w:ascii="Verdana" w:hAnsi="Verdana" w:cs="Arial"/>
        </w:rPr>
        <w:t>Este Decreto, en el artículo 2.8.4.1.1., indicó que: “Se sujetan a la regulación de este título, salvo en lo expresamente aquí́ exceptuando, los organismos, entidades, entes públicos, y personas jurídicas que financien sus gastos con recursos del Tesoro Público. (Art. 1 Decreto 1737 de 1998)”.</w:t>
      </w:r>
    </w:p>
    <w:p w14:paraId="5476BB5C" w14:textId="3F709892" w:rsidR="005C5BFA" w:rsidRPr="005C5BFA" w:rsidRDefault="005C5BFA" w:rsidP="005C5BFA">
      <w:pPr>
        <w:spacing w:before="120" w:line="276" w:lineRule="auto"/>
        <w:ind w:firstLine="709"/>
        <w:jc w:val="both"/>
        <w:rPr>
          <w:rFonts w:ascii="Verdana" w:hAnsi="Verdana" w:cs="Arial"/>
        </w:rPr>
      </w:pPr>
      <w:r w:rsidRPr="005C5BFA">
        <w:rPr>
          <w:rFonts w:ascii="Verdana" w:hAnsi="Verdana" w:cs="Arial"/>
        </w:rPr>
        <w:t>En cuanto a su ámbito de aplicación en el nivel territorial, el Decreto 1068 de 2015, en el artículo 2.8.4.1.2. estableció lo siguiente: “Medidas para las entidades territoriales. Las entidades territoriales adoptarán medidas equivalentes a las aquí́ dispuestas en sus organizaciones administrativas. (Art. 2 Decreto 1737 de 1998)”. Esto implica que el Decreto 1068 de 2015 es aplicable directamente a los organismos, entidades, entes públicos y personas jurídicas que financien sus gastos con recursos del Tesoro Público, diferentes de las entidades territoriales.</w:t>
      </w:r>
    </w:p>
    <w:p w14:paraId="69FEACEF" w14:textId="04047FB8" w:rsidR="005C5BFA" w:rsidRDefault="005C5BFA" w:rsidP="005C5BFA">
      <w:pPr>
        <w:spacing w:before="120" w:line="276" w:lineRule="auto"/>
        <w:ind w:firstLine="709"/>
        <w:jc w:val="both"/>
        <w:rPr>
          <w:rFonts w:ascii="Verdana" w:hAnsi="Verdana" w:cs="Arial"/>
        </w:rPr>
      </w:pPr>
      <w:r w:rsidRPr="005C5BFA">
        <w:rPr>
          <w:rFonts w:ascii="Verdana" w:hAnsi="Verdana" w:cs="Arial"/>
        </w:rPr>
        <w:t>Dicho lo anterior, es preciso indicar que el Decreto 1068 de 2015, en el artículo 2.8.4.4.6., establece unas reglas particulares para la suscripción de contratos de prestación de servicios personales “calificados” y “altamente calificados”. La norma indica lo siguiente:</w:t>
      </w:r>
    </w:p>
    <w:p w14:paraId="269E9AC8" w14:textId="77777777" w:rsidR="005C5BFA" w:rsidRPr="005C5BFA" w:rsidRDefault="005C5BFA" w:rsidP="006055B8">
      <w:pPr>
        <w:spacing w:after="120" w:line="240" w:lineRule="auto"/>
        <w:jc w:val="both"/>
        <w:rPr>
          <w:rFonts w:ascii="Verdana" w:hAnsi="Verdana" w:cs="Arial"/>
        </w:rPr>
      </w:pPr>
    </w:p>
    <w:p w14:paraId="06AD0633" w14:textId="17F218D0" w:rsidR="005C5BFA" w:rsidRPr="005C5BFA" w:rsidRDefault="009B6BDE" w:rsidP="006055B8">
      <w:pPr>
        <w:spacing w:after="120" w:line="240" w:lineRule="auto"/>
        <w:ind w:left="709" w:right="709"/>
        <w:jc w:val="both"/>
        <w:rPr>
          <w:rFonts w:ascii="Verdana" w:hAnsi="Verdana" w:cs="Arial"/>
          <w:sz w:val="21"/>
          <w:szCs w:val="21"/>
        </w:rPr>
      </w:pPr>
      <w:r w:rsidRPr="005C5BFA">
        <w:rPr>
          <w:rFonts w:ascii="Verdana" w:hAnsi="Verdana" w:cs="Arial"/>
          <w:sz w:val="21"/>
          <w:szCs w:val="21"/>
        </w:rPr>
        <w:t>Artículo</w:t>
      </w:r>
      <w:r w:rsidR="005C5BFA" w:rsidRPr="005C5BFA">
        <w:rPr>
          <w:rFonts w:ascii="Verdana" w:hAnsi="Verdana" w:cs="Arial"/>
          <w:sz w:val="21"/>
          <w:szCs w:val="21"/>
        </w:rPr>
        <w:t xml:space="preserve"> 2.8.4.4.6. Prohibición de contratar prestación de servicios de forma continua. Está prohibido el pacto de remuneración para pago de servicios personales calificados con personas naturales, o jurídicas, encaminados a la </w:t>
      </w:r>
      <w:r w:rsidR="006055B8" w:rsidRPr="005C5BFA">
        <w:rPr>
          <w:rFonts w:ascii="Verdana" w:hAnsi="Verdana" w:cs="Arial"/>
          <w:sz w:val="21"/>
          <w:szCs w:val="21"/>
        </w:rPr>
        <w:t>prestación</w:t>
      </w:r>
      <w:r w:rsidR="005C5BFA" w:rsidRPr="005C5BFA">
        <w:rPr>
          <w:rFonts w:ascii="Verdana" w:hAnsi="Verdana" w:cs="Arial"/>
          <w:sz w:val="21"/>
          <w:szCs w:val="21"/>
        </w:rPr>
        <w:t xml:space="preserve"> de servicios en forma continua para atender asuntos propios de la respectiva entidad, por valor mensual superior a la </w:t>
      </w:r>
      <w:r w:rsidR="006055B8" w:rsidRPr="005C5BFA">
        <w:rPr>
          <w:rFonts w:ascii="Verdana" w:hAnsi="Verdana" w:cs="Arial"/>
          <w:sz w:val="21"/>
          <w:szCs w:val="21"/>
        </w:rPr>
        <w:t>remuneración</w:t>
      </w:r>
      <w:r w:rsidR="005C5BFA" w:rsidRPr="005C5BFA">
        <w:rPr>
          <w:rFonts w:ascii="Verdana" w:hAnsi="Verdana" w:cs="Arial"/>
          <w:sz w:val="21"/>
          <w:szCs w:val="21"/>
        </w:rPr>
        <w:t xml:space="preserve"> total mensual establecida para el jefe de la entidad.</w:t>
      </w:r>
    </w:p>
    <w:p w14:paraId="36D377D8" w14:textId="77777777" w:rsidR="005C5BFA" w:rsidRPr="005C5BFA" w:rsidRDefault="005C5BFA" w:rsidP="006055B8">
      <w:pPr>
        <w:spacing w:after="120" w:line="240" w:lineRule="auto"/>
        <w:ind w:left="709" w:right="709"/>
        <w:jc w:val="both"/>
        <w:rPr>
          <w:rFonts w:ascii="Verdana" w:hAnsi="Verdana" w:cs="Arial"/>
          <w:sz w:val="21"/>
          <w:szCs w:val="21"/>
        </w:rPr>
      </w:pPr>
    </w:p>
    <w:p w14:paraId="69A95E7A" w14:textId="7426F33B" w:rsidR="005C5BFA" w:rsidRPr="005C5BFA" w:rsidRDefault="006055B8" w:rsidP="006055B8">
      <w:pPr>
        <w:spacing w:after="120" w:line="240" w:lineRule="auto"/>
        <w:ind w:left="709" w:right="709"/>
        <w:jc w:val="both"/>
        <w:rPr>
          <w:rFonts w:ascii="Verdana" w:hAnsi="Verdana" w:cs="Arial"/>
          <w:sz w:val="21"/>
          <w:szCs w:val="21"/>
        </w:rPr>
      </w:pPr>
      <w:r w:rsidRPr="005C5BFA">
        <w:rPr>
          <w:rFonts w:ascii="Verdana" w:hAnsi="Verdana" w:cs="Arial"/>
          <w:sz w:val="21"/>
          <w:szCs w:val="21"/>
        </w:rPr>
        <w:t>parágrafo</w:t>
      </w:r>
      <w:r w:rsidR="005C5BFA" w:rsidRPr="005C5BFA">
        <w:rPr>
          <w:rFonts w:ascii="Verdana" w:hAnsi="Verdana" w:cs="Arial"/>
          <w:sz w:val="21"/>
          <w:szCs w:val="21"/>
        </w:rPr>
        <w:t xml:space="preserve"> 1°. Se entiende por </w:t>
      </w:r>
      <w:r w:rsidRPr="005C5BFA">
        <w:rPr>
          <w:rFonts w:ascii="Verdana" w:hAnsi="Verdana" w:cs="Arial"/>
          <w:sz w:val="21"/>
          <w:szCs w:val="21"/>
        </w:rPr>
        <w:t>remuneración</w:t>
      </w:r>
      <w:r w:rsidR="005C5BFA" w:rsidRPr="005C5BFA">
        <w:rPr>
          <w:rFonts w:ascii="Verdana" w:hAnsi="Verdana" w:cs="Arial"/>
          <w:sz w:val="21"/>
          <w:szCs w:val="21"/>
        </w:rPr>
        <w:t xml:space="preserve"> total mensual del jefe de la entidad, la que corresponda a este en cada uno de </w:t>
      </w:r>
      <w:r w:rsidRPr="005C5BFA">
        <w:rPr>
          <w:rFonts w:ascii="Verdana" w:hAnsi="Verdana" w:cs="Arial"/>
          <w:sz w:val="21"/>
          <w:szCs w:val="21"/>
        </w:rPr>
        <w:t>dichos periodos</w:t>
      </w:r>
      <w:r w:rsidR="005C5BFA" w:rsidRPr="005C5BFA">
        <w:rPr>
          <w:rFonts w:ascii="Verdana" w:hAnsi="Verdana" w:cs="Arial"/>
          <w:sz w:val="21"/>
          <w:szCs w:val="21"/>
        </w:rPr>
        <w:t xml:space="preserve">, sin que en </w:t>
      </w:r>
      <w:r w:rsidRPr="005C5BFA">
        <w:rPr>
          <w:rFonts w:ascii="Verdana" w:hAnsi="Verdana" w:cs="Arial"/>
          <w:sz w:val="21"/>
          <w:szCs w:val="21"/>
        </w:rPr>
        <w:t>ningún</w:t>
      </w:r>
      <w:r w:rsidR="005C5BFA" w:rsidRPr="005C5BFA">
        <w:rPr>
          <w:rFonts w:ascii="Verdana" w:hAnsi="Verdana" w:cs="Arial"/>
          <w:sz w:val="21"/>
          <w:szCs w:val="21"/>
        </w:rPr>
        <w:t xml:space="preserve"> caso puedan tenerse en </w:t>
      </w:r>
      <w:r w:rsidRPr="005C5BFA">
        <w:rPr>
          <w:rFonts w:ascii="Verdana" w:hAnsi="Verdana" w:cs="Arial"/>
          <w:sz w:val="21"/>
          <w:szCs w:val="21"/>
        </w:rPr>
        <w:t>consideración</w:t>
      </w:r>
      <w:r w:rsidR="005C5BFA" w:rsidRPr="005C5BFA">
        <w:rPr>
          <w:rFonts w:ascii="Verdana" w:hAnsi="Verdana" w:cs="Arial"/>
          <w:sz w:val="21"/>
          <w:szCs w:val="21"/>
        </w:rPr>
        <w:t xml:space="preserve"> los factores prestacionales.</w:t>
      </w:r>
    </w:p>
    <w:p w14:paraId="219A5353" w14:textId="77777777" w:rsidR="005C5BFA" w:rsidRPr="005C5BFA" w:rsidRDefault="005C5BFA" w:rsidP="006055B8">
      <w:pPr>
        <w:spacing w:after="120" w:line="240" w:lineRule="auto"/>
        <w:ind w:left="709" w:right="709"/>
        <w:jc w:val="both"/>
        <w:rPr>
          <w:rFonts w:ascii="Verdana" w:hAnsi="Verdana" w:cs="Arial"/>
          <w:sz w:val="21"/>
          <w:szCs w:val="21"/>
        </w:rPr>
      </w:pPr>
    </w:p>
    <w:p w14:paraId="387B6B4C" w14:textId="768F5519" w:rsidR="005C5BFA" w:rsidRPr="005C5BFA" w:rsidRDefault="006055B8" w:rsidP="006055B8">
      <w:pPr>
        <w:spacing w:after="120" w:line="240" w:lineRule="auto"/>
        <w:ind w:left="709" w:right="709"/>
        <w:jc w:val="both"/>
        <w:rPr>
          <w:rFonts w:ascii="Verdana" w:hAnsi="Verdana" w:cs="Arial"/>
          <w:sz w:val="21"/>
          <w:szCs w:val="21"/>
        </w:rPr>
      </w:pPr>
      <w:r w:rsidRPr="005C5BFA">
        <w:rPr>
          <w:rFonts w:ascii="Verdana" w:hAnsi="Verdana" w:cs="Arial"/>
          <w:sz w:val="21"/>
          <w:szCs w:val="21"/>
        </w:rPr>
        <w:t>parágrafo</w:t>
      </w:r>
      <w:r w:rsidR="005C5BFA" w:rsidRPr="005C5BFA">
        <w:rPr>
          <w:rFonts w:ascii="Verdana" w:hAnsi="Verdana" w:cs="Arial"/>
          <w:sz w:val="21"/>
          <w:szCs w:val="21"/>
        </w:rPr>
        <w:t xml:space="preserve"> 2°. Los servicios a que hace referencia el presente </w:t>
      </w:r>
      <w:r w:rsidRPr="005C5BFA">
        <w:rPr>
          <w:rFonts w:ascii="Verdana" w:hAnsi="Verdana" w:cs="Arial"/>
          <w:sz w:val="21"/>
          <w:szCs w:val="21"/>
        </w:rPr>
        <w:t>artículo</w:t>
      </w:r>
      <w:r w:rsidR="005C5BFA" w:rsidRPr="005C5BFA">
        <w:rPr>
          <w:rFonts w:ascii="Verdana" w:hAnsi="Verdana" w:cs="Arial"/>
          <w:sz w:val="21"/>
          <w:szCs w:val="21"/>
        </w:rPr>
        <w:t xml:space="preserve"> corresponden exclusivamente a aquellos comprendidos en el concepto de </w:t>
      </w:r>
      <w:r>
        <w:rPr>
          <w:rFonts w:ascii="Verdana" w:hAnsi="Verdana" w:cs="Arial"/>
          <w:sz w:val="21"/>
          <w:szCs w:val="21"/>
        </w:rPr>
        <w:t>“</w:t>
      </w:r>
      <w:r w:rsidRPr="005C5BFA">
        <w:rPr>
          <w:rFonts w:ascii="Verdana" w:hAnsi="Verdana" w:cs="Arial"/>
          <w:sz w:val="21"/>
          <w:szCs w:val="21"/>
        </w:rPr>
        <w:t>remuneración</w:t>
      </w:r>
      <w:r w:rsidR="005C5BFA" w:rsidRPr="005C5BFA">
        <w:rPr>
          <w:rFonts w:ascii="Verdana" w:hAnsi="Verdana" w:cs="Arial"/>
          <w:sz w:val="21"/>
          <w:szCs w:val="21"/>
        </w:rPr>
        <w:t xml:space="preserve"> servicios </w:t>
      </w:r>
      <w:r w:rsidRPr="005C5BFA">
        <w:rPr>
          <w:rFonts w:ascii="Verdana" w:hAnsi="Verdana" w:cs="Arial"/>
          <w:sz w:val="21"/>
          <w:szCs w:val="21"/>
        </w:rPr>
        <w:t>técnicos</w:t>
      </w:r>
      <w:r>
        <w:rPr>
          <w:rFonts w:ascii="Verdana" w:hAnsi="Verdana" w:cs="Arial"/>
          <w:sz w:val="21"/>
          <w:szCs w:val="21"/>
        </w:rPr>
        <w:t>”</w:t>
      </w:r>
      <w:r w:rsidR="005C5BFA" w:rsidRPr="005C5BFA">
        <w:rPr>
          <w:rFonts w:ascii="Verdana" w:hAnsi="Verdana" w:cs="Arial"/>
          <w:sz w:val="21"/>
          <w:szCs w:val="21"/>
        </w:rPr>
        <w:t xml:space="preserve"> desarrollado en el decreto de </w:t>
      </w:r>
      <w:r w:rsidRPr="005C5BFA">
        <w:rPr>
          <w:rFonts w:ascii="Verdana" w:hAnsi="Verdana" w:cs="Arial"/>
          <w:sz w:val="21"/>
          <w:szCs w:val="21"/>
        </w:rPr>
        <w:t>liquidación</w:t>
      </w:r>
      <w:r w:rsidR="005C5BFA" w:rsidRPr="005C5BFA">
        <w:rPr>
          <w:rFonts w:ascii="Verdana" w:hAnsi="Verdana" w:cs="Arial"/>
          <w:sz w:val="21"/>
          <w:szCs w:val="21"/>
        </w:rPr>
        <w:t xml:space="preserve"> del presupuesto general de la </w:t>
      </w:r>
      <w:r w:rsidRPr="005C5BFA">
        <w:rPr>
          <w:rFonts w:ascii="Verdana" w:hAnsi="Verdana" w:cs="Arial"/>
          <w:sz w:val="21"/>
          <w:szCs w:val="21"/>
        </w:rPr>
        <w:t>Nación</w:t>
      </w:r>
      <w:r w:rsidR="005C5BFA" w:rsidRPr="005C5BFA">
        <w:rPr>
          <w:rFonts w:ascii="Verdana" w:hAnsi="Verdana" w:cs="Arial"/>
          <w:sz w:val="21"/>
          <w:szCs w:val="21"/>
        </w:rPr>
        <w:t>, con independencia del presupuesto con cargo al cual se realice su pago.</w:t>
      </w:r>
    </w:p>
    <w:p w14:paraId="71D01BC5" w14:textId="77777777" w:rsidR="005C5BFA" w:rsidRPr="005C5BFA" w:rsidRDefault="005C5BFA" w:rsidP="006055B8">
      <w:pPr>
        <w:spacing w:after="120" w:line="240" w:lineRule="auto"/>
        <w:ind w:left="709" w:right="709"/>
        <w:jc w:val="both"/>
        <w:rPr>
          <w:rFonts w:ascii="Verdana" w:hAnsi="Verdana" w:cs="Arial"/>
          <w:sz w:val="21"/>
          <w:szCs w:val="21"/>
        </w:rPr>
      </w:pPr>
    </w:p>
    <w:p w14:paraId="57C65A9D" w14:textId="13FE5E77" w:rsidR="005C5BFA" w:rsidRPr="005C5BFA" w:rsidRDefault="005C5BFA" w:rsidP="006055B8">
      <w:pPr>
        <w:spacing w:after="120" w:line="240" w:lineRule="auto"/>
        <w:ind w:left="709" w:right="709"/>
        <w:jc w:val="both"/>
        <w:rPr>
          <w:rFonts w:ascii="Verdana" w:hAnsi="Verdana" w:cs="Arial"/>
          <w:sz w:val="21"/>
          <w:szCs w:val="21"/>
        </w:rPr>
      </w:pPr>
      <w:r w:rsidRPr="005C5BFA">
        <w:rPr>
          <w:rFonts w:ascii="Verdana" w:hAnsi="Verdana" w:cs="Arial"/>
          <w:sz w:val="21"/>
          <w:szCs w:val="21"/>
        </w:rPr>
        <w:t>parágrafo 3°. De manera excepcional, para aquellos eventos en los que se requiera contratar servicios altamente calificados, podrán pactarse honorarios superiores a la remuneración total mensual establecida para el jefe de la entidad, los cuales no podrán exceder del valor total mensual de remuneración del jefe de la entidad incluidos los factores prestacionales y las contribuciones inherentes a la nómina, relacionadas con seguridad social y parafiscales a cargo del empleador.</w:t>
      </w:r>
    </w:p>
    <w:p w14:paraId="6F8F1139" w14:textId="77777777" w:rsidR="005C5BFA" w:rsidRPr="005C5BFA" w:rsidRDefault="005C5BFA" w:rsidP="006055B8">
      <w:pPr>
        <w:spacing w:after="120"/>
        <w:ind w:left="709" w:right="709"/>
        <w:jc w:val="both"/>
        <w:rPr>
          <w:rFonts w:ascii="Verdana" w:hAnsi="Verdana" w:cs="Arial"/>
          <w:sz w:val="21"/>
          <w:szCs w:val="21"/>
        </w:rPr>
      </w:pPr>
    </w:p>
    <w:p w14:paraId="5E94AFE4" w14:textId="328DF52E" w:rsidR="005C5BFA" w:rsidRPr="005C5BFA" w:rsidRDefault="005C5BFA" w:rsidP="006055B8">
      <w:pPr>
        <w:spacing w:after="120"/>
        <w:ind w:left="709" w:right="709"/>
        <w:jc w:val="both"/>
        <w:rPr>
          <w:rFonts w:ascii="Verdana" w:hAnsi="Verdana" w:cs="Arial"/>
          <w:sz w:val="21"/>
          <w:szCs w:val="21"/>
        </w:rPr>
      </w:pPr>
      <w:r w:rsidRPr="005C5BFA">
        <w:rPr>
          <w:rFonts w:ascii="Verdana" w:hAnsi="Verdana" w:cs="Arial"/>
          <w:sz w:val="21"/>
          <w:szCs w:val="21"/>
        </w:rPr>
        <w:t>En estos eventos el Representante Legal de la entidad deberá́ certificar el cumplimiento de los siguientes aspectos: 1. Justificar la necesidad del servicio personal altamente calificado. 2. Indicar las características y calidades específicas, altamente calificadas, que reúne el contratista para la ejecución del contrato, y 3. Determinar las características de los productos y/o servicios que se espera obtener.</w:t>
      </w:r>
    </w:p>
    <w:p w14:paraId="092CA528" w14:textId="77777777" w:rsidR="005C5BFA" w:rsidRPr="005C5BFA" w:rsidRDefault="005C5BFA" w:rsidP="006055B8">
      <w:pPr>
        <w:spacing w:after="120"/>
        <w:ind w:left="709" w:right="709"/>
        <w:jc w:val="both"/>
        <w:rPr>
          <w:rFonts w:ascii="Verdana" w:hAnsi="Verdana" w:cs="Arial"/>
          <w:sz w:val="21"/>
          <w:szCs w:val="21"/>
        </w:rPr>
      </w:pPr>
    </w:p>
    <w:p w14:paraId="10C8B584" w14:textId="1C6514C0" w:rsidR="005C5BFA" w:rsidRPr="005C5BFA" w:rsidRDefault="005C5BFA" w:rsidP="006055B8">
      <w:pPr>
        <w:spacing w:after="120"/>
        <w:ind w:left="709" w:right="709"/>
        <w:jc w:val="both"/>
        <w:rPr>
          <w:rFonts w:ascii="Verdana" w:hAnsi="Verdana" w:cs="Arial"/>
          <w:sz w:val="21"/>
          <w:szCs w:val="21"/>
        </w:rPr>
      </w:pPr>
      <w:r w:rsidRPr="005C5BFA">
        <w:rPr>
          <w:rFonts w:ascii="Verdana" w:hAnsi="Verdana" w:cs="Arial"/>
          <w:sz w:val="21"/>
          <w:szCs w:val="21"/>
        </w:rPr>
        <w:t>parágrafo 4°. Se entiende por servicios altamente calificados aquellos requeridos en situaciones de alto nivel de especialidad, complejidad y detalle.</w:t>
      </w:r>
    </w:p>
    <w:p w14:paraId="7EE85574" w14:textId="77777777" w:rsidR="005C5BFA" w:rsidRPr="005C5BFA" w:rsidRDefault="005C5BFA" w:rsidP="006055B8">
      <w:pPr>
        <w:spacing w:after="120"/>
        <w:ind w:left="709" w:right="709"/>
        <w:jc w:val="both"/>
        <w:rPr>
          <w:rFonts w:ascii="Verdana" w:hAnsi="Verdana" w:cs="Arial"/>
          <w:sz w:val="21"/>
          <w:szCs w:val="21"/>
        </w:rPr>
      </w:pPr>
    </w:p>
    <w:p w14:paraId="32232E70" w14:textId="77777777" w:rsidR="005C5BFA" w:rsidRDefault="005C5BFA" w:rsidP="006055B8">
      <w:pPr>
        <w:spacing w:after="120"/>
        <w:ind w:left="709" w:right="709"/>
        <w:jc w:val="both"/>
        <w:rPr>
          <w:rFonts w:ascii="Verdana" w:hAnsi="Verdana" w:cs="Arial"/>
          <w:sz w:val="21"/>
          <w:szCs w:val="21"/>
        </w:rPr>
      </w:pPr>
      <w:r w:rsidRPr="005C5BFA">
        <w:rPr>
          <w:rFonts w:ascii="Verdana" w:hAnsi="Verdana" w:cs="Arial"/>
          <w:sz w:val="21"/>
          <w:szCs w:val="21"/>
        </w:rPr>
        <w:t>(Art.4 Decreto 1737 de 1998, modificado por el Art .2 del Decreto 2209 de 1998, modificado por el art. 1 del Decreto 2785 de 2011).</w:t>
      </w:r>
    </w:p>
    <w:p w14:paraId="41BA73BC" w14:textId="77777777" w:rsidR="006055B8" w:rsidRDefault="006055B8" w:rsidP="006055B8">
      <w:pPr>
        <w:spacing w:after="120"/>
        <w:ind w:left="709" w:right="709"/>
        <w:jc w:val="both"/>
        <w:rPr>
          <w:rFonts w:ascii="Verdana" w:hAnsi="Verdana" w:cs="Arial"/>
          <w:sz w:val="21"/>
          <w:szCs w:val="21"/>
        </w:rPr>
      </w:pPr>
    </w:p>
    <w:p w14:paraId="2002FF8F" w14:textId="273DE8B0" w:rsidR="006055B8" w:rsidRDefault="006055B8" w:rsidP="006055B8">
      <w:pPr>
        <w:spacing w:after="120"/>
        <w:ind w:firstLine="709"/>
        <w:jc w:val="both"/>
        <w:rPr>
          <w:rFonts w:ascii="Verdana" w:hAnsi="Verdana" w:cs="Arial"/>
        </w:rPr>
      </w:pPr>
      <w:r>
        <w:rPr>
          <w:rFonts w:ascii="Verdana" w:hAnsi="Verdana" w:cs="Arial"/>
        </w:rPr>
        <w:t>De lo anterior, puede entenderse que el Decreto 1068 de 2015, distingue dos categorías de contratos de prestación de servicios: los “calificados” y los “altamente calificados”, indicando que uno u otro deberá atender el tope indicado en la norma para el caso de los contratos “calificados”</w:t>
      </w:r>
      <w:r w:rsidR="009E10B7">
        <w:rPr>
          <w:rFonts w:ascii="Verdana" w:hAnsi="Verdana" w:cs="Arial"/>
        </w:rPr>
        <w:t>, no podrán exceder el valor superior a la remuneración total mensual establecida para el jefe de la entidad; y los “altamente calificados”, no podrán pactar honorarios superiores al valor total mensual de la remuneración del jefe de la entidad, incluidos los factores prestacionales y las contribuciones inherentes a la nómina, relacionadas con seguridad social y parafiscales a cargo del empleador.</w:t>
      </w:r>
    </w:p>
    <w:p w14:paraId="4FD34171" w14:textId="1BB5FDB2" w:rsidR="009E10B7" w:rsidRPr="009E10B7" w:rsidRDefault="009E10B7" w:rsidP="009E10B7">
      <w:pPr>
        <w:spacing w:before="120" w:line="276" w:lineRule="auto"/>
        <w:ind w:firstLine="709"/>
        <w:jc w:val="both"/>
        <w:rPr>
          <w:rFonts w:ascii="Verdana" w:hAnsi="Verdana" w:cs="Arial"/>
        </w:rPr>
      </w:pPr>
      <w:r w:rsidRPr="009E10B7">
        <w:rPr>
          <w:rFonts w:ascii="Verdana" w:hAnsi="Verdana" w:cs="Arial"/>
        </w:rPr>
        <w:t xml:space="preserve">En todo caso, la aplicación de las reglas indicadas en el artículo 2.8.4.4.6 Decreto 1068 de 2015, referentes al tope de los contratos de prestación de servicios calificados y altamente calificados, se encuentran condicionadas al concepto </w:t>
      </w:r>
      <w:r>
        <w:rPr>
          <w:rFonts w:ascii="Verdana" w:hAnsi="Verdana" w:cs="Arial"/>
        </w:rPr>
        <w:t>“</w:t>
      </w:r>
      <w:r w:rsidRPr="009E10B7">
        <w:rPr>
          <w:rFonts w:ascii="Verdana" w:hAnsi="Verdana" w:cs="Arial"/>
        </w:rPr>
        <w:t>remuneración servicios técnicos</w:t>
      </w:r>
      <w:r>
        <w:rPr>
          <w:rFonts w:ascii="Verdana" w:hAnsi="Verdana" w:cs="Arial"/>
        </w:rPr>
        <w:t>”</w:t>
      </w:r>
      <w:r w:rsidRPr="009E10B7">
        <w:rPr>
          <w:rFonts w:ascii="Verdana" w:hAnsi="Verdana" w:cs="Arial"/>
        </w:rPr>
        <w:t>, tal como lo establece el parágrafo 2 de dicho artículo:</w:t>
      </w:r>
    </w:p>
    <w:p w14:paraId="76825986" w14:textId="77777777" w:rsidR="009E10B7" w:rsidRPr="009E10B7" w:rsidRDefault="009E10B7" w:rsidP="009E10B7">
      <w:pPr>
        <w:ind w:left="709" w:right="709"/>
        <w:jc w:val="both"/>
        <w:rPr>
          <w:rFonts w:ascii="Verdana" w:hAnsi="Verdana" w:cs="Arial"/>
        </w:rPr>
      </w:pPr>
    </w:p>
    <w:p w14:paraId="01B162D8" w14:textId="5AE6C65F" w:rsidR="009E10B7" w:rsidRPr="009E10B7" w:rsidRDefault="009E10B7" w:rsidP="009E10B7">
      <w:pPr>
        <w:ind w:left="709" w:right="709"/>
        <w:jc w:val="both"/>
        <w:rPr>
          <w:rFonts w:ascii="Verdana" w:hAnsi="Verdana" w:cs="Arial"/>
          <w:sz w:val="21"/>
          <w:szCs w:val="21"/>
        </w:rPr>
      </w:pPr>
      <w:r w:rsidRPr="009E10B7">
        <w:rPr>
          <w:rFonts w:ascii="Verdana" w:hAnsi="Verdana" w:cs="Arial"/>
          <w:sz w:val="21"/>
          <w:szCs w:val="21"/>
        </w:rPr>
        <w:t xml:space="preserve">Parágrafo 2°. Los servicios a que hace referencia el presente artículo corresponden exclusivamente a aquellos comprendidos en el concepto de </w:t>
      </w:r>
      <w:r>
        <w:rPr>
          <w:rFonts w:ascii="Verdana" w:hAnsi="Verdana" w:cs="Arial"/>
          <w:sz w:val="21"/>
          <w:szCs w:val="21"/>
        </w:rPr>
        <w:t>“</w:t>
      </w:r>
      <w:r w:rsidRPr="009E10B7">
        <w:rPr>
          <w:rFonts w:ascii="Verdana" w:hAnsi="Verdana" w:cs="Arial"/>
          <w:sz w:val="21"/>
          <w:szCs w:val="21"/>
        </w:rPr>
        <w:t>remuneración servicios técnicos</w:t>
      </w:r>
      <w:r>
        <w:rPr>
          <w:rFonts w:ascii="Verdana" w:hAnsi="Verdana" w:cs="Arial"/>
          <w:sz w:val="21"/>
          <w:szCs w:val="21"/>
        </w:rPr>
        <w:t>”</w:t>
      </w:r>
      <w:r w:rsidRPr="009E10B7">
        <w:rPr>
          <w:rFonts w:ascii="Verdana" w:hAnsi="Verdana" w:cs="Arial"/>
          <w:sz w:val="21"/>
          <w:szCs w:val="21"/>
        </w:rPr>
        <w:t xml:space="preserve"> desarrollado en el decreto de liquidación del presupuesto general de la Nación, con independencia del presupuesto con cargo al cual se realice su pago.</w:t>
      </w:r>
    </w:p>
    <w:p w14:paraId="0D29A102" w14:textId="77777777" w:rsidR="009E10B7" w:rsidRPr="009E10B7" w:rsidRDefault="009E10B7" w:rsidP="009E10B7">
      <w:pPr>
        <w:spacing w:line="276" w:lineRule="auto"/>
        <w:ind w:firstLine="709"/>
        <w:jc w:val="both"/>
        <w:rPr>
          <w:rFonts w:ascii="Verdana" w:hAnsi="Verdana" w:cs="Arial"/>
        </w:rPr>
      </w:pPr>
    </w:p>
    <w:p w14:paraId="11128779" w14:textId="317E8998" w:rsidR="009E10B7" w:rsidRPr="009E10B7" w:rsidRDefault="009E10B7" w:rsidP="009E10B7">
      <w:pPr>
        <w:spacing w:line="276" w:lineRule="auto"/>
        <w:ind w:firstLine="709"/>
        <w:jc w:val="both"/>
        <w:rPr>
          <w:rFonts w:ascii="Verdana" w:hAnsi="Verdana" w:cs="Arial"/>
        </w:rPr>
      </w:pPr>
      <w:r w:rsidRPr="009E10B7">
        <w:rPr>
          <w:rFonts w:ascii="Verdana" w:hAnsi="Verdana" w:cs="Arial"/>
        </w:rPr>
        <w:t xml:space="preserve">De ahí́ que es necesario analizar el concepto </w:t>
      </w:r>
      <w:r>
        <w:rPr>
          <w:rFonts w:ascii="Verdana" w:hAnsi="Verdana" w:cs="Arial"/>
        </w:rPr>
        <w:t>“</w:t>
      </w:r>
      <w:r w:rsidRPr="009E10B7">
        <w:rPr>
          <w:rFonts w:ascii="Verdana" w:hAnsi="Verdana" w:cs="Arial"/>
        </w:rPr>
        <w:t>remuneración servicios técnicos</w:t>
      </w:r>
      <w:r>
        <w:rPr>
          <w:rFonts w:ascii="Verdana" w:hAnsi="Verdana" w:cs="Arial"/>
        </w:rPr>
        <w:t>”</w:t>
      </w:r>
      <w:r w:rsidRPr="009E10B7">
        <w:rPr>
          <w:rFonts w:ascii="Verdana" w:hAnsi="Verdana" w:cs="Arial"/>
        </w:rPr>
        <w:t xml:space="preserve"> que está desarrollado en el Decreto de Liquidación del Presupuesto General de la Nación. El Decreto 2411 del 30 de diciembre de 2019, </w:t>
      </w:r>
      <w:r>
        <w:rPr>
          <w:rFonts w:ascii="Verdana" w:hAnsi="Verdana" w:cs="Arial"/>
        </w:rPr>
        <w:t>“</w:t>
      </w:r>
      <w:r w:rsidRPr="009E10B7">
        <w:rPr>
          <w:rFonts w:ascii="Verdana" w:hAnsi="Verdana" w:cs="Arial"/>
        </w:rPr>
        <w:t xml:space="preserve">Por el cual se liquida el Presupuesto General de la Nación para la vigencia fiscal 2020, se detallan las apropiaciones y se clasifican y definen los gastos, incluye en el artículo 35 la categoría de </w:t>
      </w:r>
      <w:r>
        <w:rPr>
          <w:rFonts w:ascii="Verdana" w:hAnsi="Verdana" w:cs="Arial"/>
        </w:rPr>
        <w:t>“</w:t>
      </w:r>
      <w:r w:rsidRPr="009E10B7">
        <w:rPr>
          <w:rFonts w:ascii="Verdana" w:hAnsi="Verdana" w:cs="Arial"/>
        </w:rPr>
        <w:t>remuneración servicios técnicos</w:t>
      </w:r>
      <w:r>
        <w:rPr>
          <w:rFonts w:ascii="Verdana" w:hAnsi="Verdana" w:cs="Arial"/>
        </w:rPr>
        <w:t>”</w:t>
      </w:r>
      <w:r w:rsidRPr="009E10B7">
        <w:rPr>
          <w:rFonts w:ascii="Verdana" w:hAnsi="Verdana" w:cs="Arial"/>
        </w:rPr>
        <w:t xml:space="preserve"> como parte de los gastos denominados </w:t>
      </w:r>
      <w:r>
        <w:rPr>
          <w:rFonts w:ascii="Verdana" w:hAnsi="Verdana" w:cs="Arial"/>
        </w:rPr>
        <w:t>“</w:t>
      </w:r>
      <w:r w:rsidRPr="009E10B7">
        <w:rPr>
          <w:rFonts w:ascii="Verdana" w:hAnsi="Verdana" w:cs="Arial"/>
        </w:rPr>
        <w:t>adquisiciones diferentes servicios</w:t>
      </w:r>
      <w:r>
        <w:rPr>
          <w:rFonts w:ascii="Verdana" w:hAnsi="Verdana" w:cs="Arial"/>
        </w:rPr>
        <w:t>”</w:t>
      </w:r>
      <w:r w:rsidRPr="009E10B7">
        <w:rPr>
          <w:rFonts w:ascii="Verdana" w:hAnsi="Verdana" w:cs="Arial"/>
        </w:rPr>
        <w:t xml:space="preserve">. Esto dispone la norma: </w:t>
      </w:r>
    </w:p>
    <w:p w14:paraId="0EE3EAD7" w14:textId="77777777" w:rsidR="009E10B7" w:rsidRPr="009E10B7" w:rsidRDefault="009E10B7" w:rsidP="009E10B7">
      <w:pPr>
        <w:spacing w:line="276" w:lineRule="auto"/>
        <w:ind w:firstLine="709"/>
        <w:jc w:val="both"/>
        <w:rPr>
          <w:rFonts w:ascii="Verdana" w:hAnsi="Verdana" w:cs="Arial"/>
        </w:rPr>
      </w:pPr>
    </w:p>
    <w:p w14:paraId="58B5060B" w14:textId="77777777" w:rsidR="009E10B7" w:rsidRPr="009E10B7" w:rsidRDefault="009E10B7" w:rsidP="009E10B7">
      <w:pPr>
        <w:ind w:left="709" w:right="709"/>
        <w:jc w:val="both"/>
        <w:rPr>
          <w:rFonts w:ascii="Verdana" w:hAnsi="Verdana" w:cs="Arial"/>
          <w:sz w:val="21"/>
          <w:szCs w:val="21"/>
        </w:rPr>
      </w:pPr>
      <w:r w:rsidRPr="009E10B7">
        <w:rPr>
          <w:rFonts w:ascii="Verdana" w:hAnsi="Verdana" w:cs="Arial"/>
          <w:sz w:val="21"/>
          <w:szCs w:val="21"/>
        </w:rPr>
        <w:t xml:space="preserve">ARTÍCULO 35. Los gastos incluidos en el presupuesto para la vigencia fiscal 2020 se definen de la siguiente forma: </w:t>
      </w:r>
    </w:p>
    <w:p w14:paraId="33B5C494" w14:textId="77777777" w:rsidR="009E10B7" w:rsidRPr="009E10B7" w:rsidRDefault="009E10B7" w:rsidP="009E10B7">
      <w:pPr>
        <w:ind w:left="709" w:right="709"/>
        <w:jc w:val="both"/>
        <w:rPr>
          <w:rFonts w:ascii="Verdana" w:hAnsi="Verdana" w:cs="Arial"/>
          <w:sz w:val="21"/>
          <w:szCs w:val="21"/>
        </w:rPr>
      </w:pPr>
    </w:p>
    <w:p w14:paraId="5F432533" w14:textId="77777777" w:rsidR="009E10B7" w:rsidRPr="009E10B7" w:rsidRDefault="009E10B7" w:rsidP="009E10B7">
      <w:pPr>
        <w:ind w:left="709" w:right="709"/>
        <w:jc w:val="both"/>
        <w:rPr>
          <w:rFonts w:ascii="Verdana" w:hAnsi="Verdana" w:cs="Arial"/>
          <w:sz w:val="21"/>
          <w:szCs w:val="21"/>
        </w:rPr>
      </w:pPr>
      <w:r w:rsidRPr="009E10B7">
        <w:rPr>
          <w:rFonts w:ascii="Verdana" w:hAnsi="Verdana" w:cs="Arial"/>
          <w:sz w:val="21"/>
          <w:szCs w:val="21"/>
        </w:rPr>
        <w:t>A. FUNCIONAMIENTO</w:t>
      </w:r>
    </w:p>
    <w:p w14:paraId="2DF701A6" w14:textId="77777777" w:rsidR="009E10B7" w:rsidRPr="009E10B7" w:rsidRDefault="009E10B7" w:rsidP="009E10B7">
      <w:pPr>
        <w:ind w:left="709" w:right="709"/>
        <w:jc w:val="both"/>
        <w:rPr>
          <w:rFonts w:ascii="Verdana" w:hAnsi="Verdana" w:cs="Arial"/>
          <w:sz w:val="21"/>
          <w:szCs w:val="21"/>
        </w:rPr>
      </w:pPr>
    </w:p>
    <w:p w14:paraId="78071B43" w14:textId="32895105" w:rsidR="009E10B7" w:rsidRPr="009E10B7" w:rsidRDefault="009E10B7" w:rsidP="009E10B7">
      <w:pPr>
        <w:ind w:left="709" w:right="709"/>
        <w:jc w:val="both"/>
        <w:rPr>
          <w:rFonts w:ascii="Verdana" w:hAnsi="Verdana" w:cs="Arial"/>
          <w:sz w:val="21"/>
          <w:szCs w:val="21"/>
        </w:rPr>
      </w:pPr>
      <w:r w:rsidRPr="009E10B7">
        <w:rPr>
          <w:rFonts w:ascii="Verdana" w:hAnsi="Verdana" w:cs="Arial"/>
          <w:sz w:val="21"/>
          <w:szCs w:val="21"/>
        </w:rPr>
        <w:t>Son aquellos gastos que tienen por objeto atender las necesidades de los órganos para cumplir a cabalidad con las funciones asignadas en la Constitución Política y la Ley.</w:t>
      </w:r>
    </w:p>
    <w:p w14:paraId="43ADD100" w14:textId="77777777" w:rsidR="009E10B7" w:rsidRPr="009E10B7" w:rsidRDefault="009E10B7" w:rsidP="009E10B7">
      <w:pPr>
        <w:ind w:left="709" w:right="709"/>
        <w:jc w:val="both"/>
        <w:rPr>
          <w:rFonts w:ascii="Verdana" w:hAnsi="Verdana" w:cs="Arial"/>
          <w:sz w:val="21"/>
          <w:szCs w:val="21"/>
        </w:rPr>
      </w:pPr>
      <w:r w:rsidRPr="009E10B7">
        <w:rPr>
          <w:rFonts w:ascii="Verdana" w:hAnsi="Verdana" w:cs="Arial"/>
          <w:sz w:val="21"/>
          <w:szCs w:val="21"/>
        </w:rPr>
        <w:t>[…]</w:t>
      </w:r>
    </w:p>
    <w:p w14:paraId="7E37C9FC" w14:textId="77777777" w:rsidR="009E10B7" w:rsidRPr="009E10B7" w:rsidRDefault="009E10B7" w:rsidP="009E10B7">
      <w:pPr>
        <w:ind w:left="709" w:right="709"/>
        <w:jc w:val="both"/>
        <w:rPr>
          <w:rFonts w:ascii="Verdana" w:hAnsi="Verdana" w:cs="Arial"/>
          <w:sz w:val="21"/>
          <w:szCs w:val="21"/>
        </w:rPr>
      </w:pPr>
    </w:p>
    <w:p w14:paraId="3D4CB259" w14:textId="4DA91CC1" w:rsidR="009E10B7" w:rsidRPr="009E10B7" w:rsidRDefault="009E10B7" w:rsidP="009E10B7">
      <w:pPr>
        <w:ind w:left="709" w:right="709"/>
        <w:jc w:val="both"/>
        <w:rPr>
          <w:rFonts w:ascii="Verdana" w:hAnsi="Verdana" w:cs="Arial"/>
          <w:sz w:val="21"/>
          <w:szCs w:val="21"/>
        </w:rPr>
      </w:pPr>
      <w:r w:rsidRPr="009E10B7">
        <w:rPr>
          <w:rFonts w:ascii="Verdana" w:hAnsi="Verdana" w:cs="Arial"/>
          <w:sz w:val="21"/>
          <w:szCs w:val="21"/>
        </w:rPr>
        <w:t>02 Adquisición DE BIENES Y SERVICIOS</w:t>
      </w:r>
    </w:p>
    <w:p w14:paraId="4262C617" w14:textId="77777777" w:rsidR="009E10B7" w:rsidRPr="009E10B7" w:rsidRDefault="009E10B7" w:rsidP="009E10B7">
      <w:pPr>
        <w:ind w:left="709" w:right="709"/>
        <w:jc w:val="both"/>
        <w:rPr>
          <w:rFonts w:ascii="Verdana" w:hAnsi="Verdana" w:cs="Arial"/>
          <w:sz w:val="21"/>
          <w:szCs w:val="21"/>
        </w:rPr>
      </w:pPr>
      <w:r w:rsidRPr="009E10B7">
        <w:rPr>
          <w:rFonts w:ascii="Verdana" w:hAnsi="Verdana" w:cs="Arial"/>
          <w:sz w:val="21"/>
          <w:szCs w:val="21"/>
        </w:rPr>
        <w:t>[…]</w:t>
      </w:r>
    </w:p>
    <w:p w14:paraId="62563E50" w14:textId="77777777" w:rsidR="009E10B7" w:rsidRPr="009E10B7" w:rsidRDefault="009E10B7" w:rsidP="009E10B7">
      <w:pPr>
        <w:ind w:left="709" w:right="709"/>
        <w:jc w:val="both"/>
        <w:rPr>
          <w:rFonts w:ascii="Verdana" w:hAnsi="Verdana" w:cs="Arial"/>
          <w:sz w:val="21"/>
          <w:szCs w:val="21"/>
        </w:rPr>
      </w:pPr>
    </w:p>
    <w:p w14:paraId="21A17ABA" w14:textId="77777777" w:rsidR="009E10B7" w:rsidRPr="009E10B7" w:rsidRDefault="009E10B7" w:rsidP="009E10B7">
      <w:pPr>
        <w:ind w:left="709" w:right="709"/>
        <w:jc w:val="both"/>
        <w:rPr>
          <w:rFonts w:ascii="Verdana" w:hAnsi="Verdana" w:cs="Arial"/>
          <w:sz w:val="21"/>
          <w:szCs w:val="21"/>
        </w:rPr>
      </w:pPr>
      <w:r w:rsidRPr="009E10B7">
        <w:rPr>
          <w:rFonts w:ascii="Verdana" w:hAnsi="Verdana" w:cs="Arial"/>
          <w:sz w:val="21"/>
          <w:szCs w:val="21"/>
        </w:rPr>
        <w:t>02 02 ADQUISICIONES DIFERENTES DE ACTIVOS</w:t>
      </w:r>
    </w:p>
    <w:p w14:paraId="4AEDE81E" w14:textId="77777777" w:rsidR="009E10B7" w:rsidRPr="009E10B7" w:rsidRDefault="009E10B7" w:rsidP="009E10B7">
      <w:pPr>
        <w:ind w:left="709" w:right="709"/>
        <w:jc w:val="both"/>
        <w:rPr>
          <w:rFonts w:ascii="Verdana" w:hAnsi="Verdana" w:cs="Arial"/>
          <w:sz w:val="21"/>
          <w:szCs w:val="21"/>
        </w:rPr>
      </w:pPr>
    </w:p>
    <w:p w14:paraId="23EEA9BB" w14:textId="77777777" w:rsidR="009E10B7" w:rsidRPr="009E10B7" w:rsidRDefault="009E10B7" w:rsidP="009E10B7">
      <w:pPr>
        <w:ind w:left="709" w:right="709"/>
        <w:jc w:val="both"/>
        <w:rPr>
          <w:rFonts w:ascii="Verdana" w:hAnsi="Verdana" w:cs="Arial"/>
          <w:sz w:val="21"/>
          <w:szCs w:val="21"/>
        </w:rPr>
      </w:pPr>
      <w:r w:rsidRPr="009E10B7">
        <w:rPr>
          <w:rFonts w:ascii="Verdana" w:hAnsi="Verdana" w:cs="Arial"/>
          <w:sz w:val="21"/>
          <w:szCs w:val="21"/>
        </w:rPr>
        <w:t>Son los gastos asociados a la adquisición de bienes (que no constituyen activos); así como los servicios suministrados por personas naturales y jurídicas que se utilizan para apoyar el desarrollo de las funciones de la entidad, tales como honorarios y remuneración servicios técnicos, para lo cual se deberá tener en cuenta lo establecido por el artículo 2.8.4.4.6 del Decreto 1068 de 2015.</w:t>
      </w:r>
    </w:p>
    <w:p w14:paraId="15F234D1" w14:textId="77777777" w:rsidR="009E10B7" w:rsidRPr="009E10B7" w:rsidRDefault="009E10B7" w:rsidP="009E10B7">
      <w:pPr>
        <w:pStyle w:val="Prrafodelista"/>
        <w:tabs>
          <w:tab w:val="left" w:pos="284"/>
        </w:tabs>
        <w:spacing w:line="276" w:lineRule="auto"/>
        <w:ind w:left="0"/>
        <w:jc w:val="both"/>
        <w:rPr>
          <w:rFonts w:ascii="Verdana" w:hAnsi="Verdana" w:cs="Arial"/>
          <w:bCs/>
          <w:lang w:val="es-CO"/>
        </w:rPr>
      </w:pPr>
    </w:p>
    <w:p w14:paraId="07E0ED27" w14:textId="77777777" w:rsidR="009E10B7" w:rsidRDefault="009E10B7" w:rsidP="009E10B7">
      <w:pPr>
        <w:spacing w:line="276" w:lineRule="auto"/>
        <w:ind w:firstLine="709"/>
        <w:jc w:val="both"/>
        <w:rPr>
          <w:rFonts w:ascii="Verdana" w:hAnsi="Verdana" w:cs="Arial"/>
          <w:bCs/>
        </w:rPr>
      </w:pPr>
      <w:r w:rsidRPr="009E10B7">
        <w:rPr>
          <w:rFonts w:ascii="Verdana" w:hAnsi="Verdana" w:cs="Arial"/>
          <w:bCs/>
        </w:rPr>
        <w:t xml:space="preserve">En </w:t>
      </w:r>
      <w:r w:rsidRPr="009E10B7">
        <w:rPr>
          <w:rFonts w:ascii="Verdana" w:hAnsi="Verdana" w:cs="Arial"/>
        </w:rPr>
        <w:t>consecuencia</w:t>
      </w:r>
      <w:r w:rsidRPr="009E10B7">
        <w:rPr>
          <w:rFonts w:ascii="Verdana" w:hAnsi="Verdana" w:cs="Arial"/>
          <w:bCs/>
        </w:rPr>
        <w:t xml:space="preserve">, conforme lo señalado en el artículo 2.8.4.1.2. del Decreto 1068 de 2015, se exhorta a las entidades a adoptar las medidas equivalentes a las dispuestas en el Decreto citado, en sus organizaciones administrativas. </w:t>
      </w:r>
    </w:p>
    <w:p w14:paraId="77F6B5FE" w14:textId="77777777" w:rsidR="00904F24" w:rsidRDefault="00904F24" w:rsidP="009E10B7">
      <w:pPr>
        <w:spacing w:line="276" w:lineRule="auto"/>
        <w:ind w:firstLine="709"/>
        <w:jc w:val="both"/>
        <w:rPr>
          <w:rFonts w:ascii="Verdana" w:hAnsi="Verdana" w:cs="Arial"/>
          <w:bCs/>
        </w:rPr>
      </w:pPr>
    </w:p>
    <w:p w14:paraId="70838583" w14:textId="781167C9" w:rsidR="00904F24" w:rsidRDefault="00904F24" w:rsidP="009E10B7">
      <w:pPr>
        <w:spacing w:line="276" w:lineRule="auto"/>
        <w:ind w:firstLine="709"/>
        <w:jc w:val="both"/>
        <w:rPr>
          <w:rFonts w:ascii="Verdana" w:hAnsi="Verdana" w:cs="Arial"/>
          <w:b/>
        </w:rPr>
      </w:pPr>
      <w:r>
        <w:rPr>
          <w:rFonts w:ascii="Verdana" w:hAnsi="Verdana" w:cs="Arial"/>
          <w:b/>
        </w:rPr>
        <w:t xml:space="preserve">4. Referencias normativa, jurisprudenciales y otras fuentes: </w:t>
      </w:r>
    </w:p>
    <w:p w14:paraId="3786FF63" w14:textId="6818843E" w:rsidR="00904F24" w:rsidRDefault="00904F24" w:rsidP="00904F24">
      <w:pPr>
        <w:pStyle w:val="Prrafodelista"/>
        <w:numPr>
          <w:ilvl w:val="0"/>
          <w:numId w:val="18"/>
        </w:numPr>
        <w:spacing w:line="276" w:lineRule="auto"/>
        <w:jc w:val="both"/>
        <w:rPr>
          <w:rFonts w:ascii="Verdana" w:hAnsi="Verdana" w:cs="Arial"/>
          <w:bCs/>
        </w:rPr>
      </w:pPr>
      <w:r w:rsidRPr="00904F24">
        <w:rPr>
          <w:rFonts w:ascii="Verdana" w:hAnsi="Verdana" w:cs="Arial"/>
          <w:bCs/>
        </w:rPr>
        <w:t xml:space="preserve">Ley 80 de 1993. Disponible en: </w:t>
      </w:r>
    </w:p>
    <w:p w14:paraId="59E99ACD" w14:textId="51469D44" w:rsidR="00904F24" w:rsidRDefault="00904F24" w:rsidP="00904F24">
      <w:pPr>
        <w:pStyle w:val="Prrafodelista"/>
        <w:spacing w:line="276" w:lineRule="auto"/>
        <w:jc w:val="both"/>
        <w:rPr>
          <w:rFonts w:ascii="Verdana" w:hAnsi="Verdana" w:cs="Arial"/>
          <w:bCs/>
        </w:rPr>
      </w:pPr>
      <w:hyperlink r:id="rId12" w:history="1">
        <w:r w:rsidRPr="009B1607">
          <w:rPr>
            <w:rStyle w:val="Hipervnculo"/>
            <w:rFonts w:ascii="Verdana" w:hAnsi="Verdana" w:cs="Arial"/>
            <w:bCs/>
          </w:rPr>
          <w:t>https://relatoria.colombiacompra.gov.co/wp-admin/edit.php?s=Ley+80&amp;post_status=all&amp;post_type=normativa&amp;action=-1&amp;m=0&amp;paged=1&amp;action2=-1</w:t>
        </w:r>
      </w:hyperlink>
      <w:r>
        <w:rPr>
          <w:rFonts w:ascii="Verdana" w:hAnsi="Verdana" w:cs="Arial"/>
          <w:bCs/>
        </w:rPr>
        <w:t xml:space="preserve"> </w:t>
      </w:r>
    </w:p>
    <w:p w14:paraId="570B571B" w14:textId="77777777" w:rsidR="00904F24" w:rsidRDefault="00904F24" w:rsidP="00904F24">
      <w:pPr>
        <w:pStyle w:val="Prrafodelista"/>
        <w:spacing w:line="276" w:lineRule="auto"/>
        <w:jc w:val="both"/>
        <w:rPr>
          <w:rFonts w:ascii="Verdana" w:hAnsi="Verdana" w:cs="Arial"/>
          <w:bCs/>
        </w:rPr>
      </w:pPr>
    </w:p>
    <w:p w14:paraId="0B64266C" w14:textId="0FB2D6C4" w:rsidR="00904F24" w:rsidRDefault="00904F24" w:rsidP="00904F24">
      <w:pPr>
        <w:pStyle w:val="Prrafodelista"/>
        <w:numPr>
          <w:ilvl w:val="0"/>
          <w:numId w:val="18"/>
        </w:numPr>
        <w:spacing w:line="276" w:lineRule="auto"/>
        <w:jc w:val="both"/>
        <w:rPr>
          <w:rFonts w:ascii="Verdana" w:hAnsi="Verdana" w:cs="Arial"/>
          <w:bCs/>
        </w:rPr>
      </w:pPr>
      <w:r>
        <w:rPr>
          <w:rFonts w:ascii="Verdana" w:hAnsi="Verdana" w:cs="Arial"/>
          <w:bCs/>
        </w:rPr>
        <w:t>Ley 1150 de 2007. Disponible en:</w:t>
      </w:r>
    </w:p>
    <w:p w14:paraId="11639DC0" w14:textId="62097B7E" w:rsidR="00904F24" w:rsidRDefault="00904F24" w:rsidP="00904F24">
      <w:pPr>
        <w:pStyle w:val="Prrafodelista"/>
        <w:spacing w:line="276" w:lineRule="auto"/>
        <w:jc w:val="both"/>
        <w:rPr>
          <w:rFonts w:ascii="Verdana" w:hAnsi="Verdana" w:cs="Arial"/>
          <w:bCs/>
        </w:rPr>
      </w:pPr>
      <w:hyperlink r:id="rId13" w:history="1">
        <w:r w:rsidRPr="009B1607">
          <w:rPr>
            <w:rStyle w:val="Hipervnculo"/>
            <w:rFonts w:ascii="Verdana" w:hAnsi="Verdana" w:cs="Arial"/>
            <w:bCs/>
          </w:rPr>
          <w:t>https://relatoria.colombiacompra.gov.co/wp-admin/edit.php?s=ley+1150&amp;post_status=all&amp;post_type=normativa&amp;action=-1&amp;m=0&amp;paged=1&amp;action2=-1</w:t>
        </w:r>
      </w:hyperlink>
      <w:r>
        <w:rPr>
          <w:rFonts w:ascii="Verdana" w:hAnsi="Verdana" w:cs="Arial"/>
          <w:bCs/>
        </w:rPr>
        <w:t xml:space="preserve"> </w:t>
      </w:r>
    </w:p>
    <w:p w14:paraId="0334647B" w14:textId="77777777" w:rsidR="00904F24" w:rsidRDefault="00904F24" w:rsidP="00904F24">
      <w:pPr>
        <w:pStyle w:val="Prrafodelista"/>
        <w:spacing w:line="276" w:lineRule="auto"/>
        <w:jc w:val="both"/>
        <w:rPr>
          <w:rFonts w:ascii="Verdana" w:hAnsi="Verdana" w:cs="Arial"/>
          <w:bCs/>
        </w:rPr>
      </w:pPr>
    </w:p>
    <w:p w14:paraId="7F6E5A30" w14:textId="081FEC97" w:rsidR="00904F24" w:rsidRDefault="00904F24" w:rsidP="00904F24">
      <w:pPr>
        <w:pStyle w:val="Prrafodelista"/>
        <w:numPr>
          <w:ilvl w:val="0"/>
          <w:numId w:val="18"/>
        </w:numPr>
        <w:spacing w:line="276" w:lineRule="auto"/>
        <w:jc w:val="both"/>
        <w:rPr>
          <w:rFonts w:ascii="Verdana" w:hAnsi="Verdana" w:cs="Arial"/>
          <w:bCs/>
        </w:rPr>
      </w:pPr>
      <w:r>
        <w:rPr>
          <w:rFonts w:ascii="Verdana" w:hAnsi="Verdana" w:cs="Arial"/>
          <w:bCs/>
        </w:rPr>
        <w:t>Decreto 1082 de 2015. Disponible en.</w:t>
      </w:r>
    </w:p>
    <w:p w14:paraId="61E93A21" w14:textId="0A79649E" w:rsidR="00904F24" w:rsidRDefault="00904F24" w:rsidP="00904F24">
      <w:pPr>
        <w:pStyle w:val="Prrafodelista"/>
        <w:spacing w:line="276" w:lineRule="auto"/>
        <w:jc w:val="both"/>
        <w:rPr>
          <w:rFonts w:ascii="Verdana" w:hAnsi="Verdana" w:cs="Arial"/>
          <w:bCs/>
        </w:rPr>
      </w:pPr>
      <w:hyperlink r:id="rId14" w:history="1">
        <w:r w:rsidRPr="009B1607">
          <w:rPr>
            <w:rStyle w:val="Hipervnculo"/>
            <w:rFonts w:ascii="Verdana" w:hAnsi="Verdana" w:cs="Arial"/>
            <w:bCs/>
          </w:rPr>
          <w:t>https://relatoria.colombiacompra.gov.co/wp-admin/edit.php?s=Decreto+1082+de+2015&amp;post_status=all&amp;post_type=normativa&amp;action=-1&amp;m=0&amp;paged=1&amp;action2=-1</w:t>
        </w:r>
      </w:hyperlink>
      <w:r>
        <w:rPr>
          <w:rFonts w:ascii="Verdana" w:hAnsi="Verdana" w:cs="Arial"/>
          <w:bCs/>
        </w:rPr>
        <w:t xml:space="preserve"> </w:t>
      </w:r>
    </w:p>
    <w:p w14:paraId="2817E89E" w14:textId="77777777" w:rsidR="00904F24" w:rsidRDefault="00904F24" w:rsidP="00904F24">
      <w:pPr>
        <w:pStyle w:val="Prrafodelista"/>
        <w:spacing w:line="276" w:lineRule="auto"/>
        <w:jc w:val="both"/>
        <w:rPr>
          <w:rFonts w:ascii="Verdana" w:hAnsi="Verdana" w:cs="Arial"/>
          <w:bCs/>
        </w:rPr>
      </w:pPr>
    </w:p>
    <w:p w14:paraId="5791EC72" w14:textId="295EF7A9" w:rsidR="00904F24" w:rsidRDefault="00904F24" w:rsidP="00904F24">
      <w:pPr>
        <w:pStyle w:val="Prrafodelista"/>
        <w:numPr>
          <w:ilvl w:val="0"/>
          <w:numId w:val="18"/>
        </w:numPr>
        <w:spacing w:line="276" w:lineRule="auto"/>
        <w:jc w:val="both"/>
        <w:rPr>
          <w:rFonts w:ascii="Verdana" w:hAnsi="Verdana" w:cs="Arial"/>
          <w:bCs/>
        </w:rPr>
      </w:pPr>
      <w:r>
        <w:rPr>
          <w:rFonts w:ascii="Verdana" w:hAnsi="Verdana" w:cs="Arial"/>
          <w:bCs/>
        </w:rPr>
        <w:t xml:space="preserve">Decreto 1068 de 2015. Disponible en: </w:t>
      </w:r>
    </w:p>
    <w:p w14:paraId="1761C329" w14:textId="09009589" w:rsidR="00904F24" w:rsidRDefault="00904F24" w:rsidP="00904F24">
      <w:pPr>
        <w:pStyle w:val="Prrafodelista"/>
        <w:spacing w:line="276" w:lineRule="auto"/>
        <w:jc w:val="both"/>
        <w:rPr>
          <w:rFonts w:ascii="Verdana" w:hAnsi="Verdana" w:cs="Arial"/>
          <w:bCs/>
        </w:rPr>
      </w:pPr>
      <w:hyperlink r:id="rId15" w:history="1">
        <w:r w:rsidRPr="009B1607">
          <w:rPr>
            <w:rStyle w:val="Hipervnculo"/>
            <w:rFonts w:ascii="Verdana" w:hAnsi="Verdana" w:cs="Arial"/>
            <w:bCs/>
          </w:rPr>
          <w:t>https://relatoria.colombiacompra.gov.co/wp-admin/edit.php?s=Decreto+1068&amp;post_status=all&amp;post_type=normativa&amp;action=-1&amp;m=0&amp;paged=1&amp;action2=-1</w:t>
        </w:r>
      </w:hyperlink>
      <w:r>
        <w:rPr>
          <w:rFonts w:ascii="Verdana" w:hAnsi="Verdana" w:cs="Arial"/>
          <w:bCs/>
        </w:rPr>
        <w:t xml:space="preserve"> </w:t>
      </w:r>
    </w:p>
    <w:p w14:paraId="077F8F51" w14:textId="77777777" w:rsidR="00904F24" w:rsidRDefault="00904F24" w:rsidP="00904F24">
      <w:pPr>
        <w:pStyle w:val="Prrafodelista"/>
        <w:spacing w:line="276" w:lineRule="auto"/>
        <w:jc w:val="both"/>
        <w:rPr>
          <w:rFonts w:ascii="Verdana" w:hAnsi="Verdana" w:cs="Arial"/>
          <w:bCs/>
        </w:rPr>
      </w:pPr>
    </w:p>
    <w:p w14:paraId="2E3DE91C" w14:textId="33A04D38" w:rsidR="00904F24" w:rsidRPr="00904F24" w:rsidRDefault="00904F24" w:rsidP="00904F24">
      <w:pPr>
        <w:pStyle w:val="Prrafodelista"/>
        <w:numPr>
          <w:ilvl w:val="0"/>
          <w:numId w:val="18"/>
        </w:numPr>
        <w:spacing w:line="276" w:lineRule="auto"/>
        <w:jc w:val="both"/>
        <w:rPr>
          <w:rFonts w:ascii="Verdana" w:hAnsi="Verdana" w:cs="Arial"/>
          <w:bCs/>
        </w:rPr>
      </w:pPr>
      <w:r w:rsidRPr="009E10B7">
        <w:rPr>
          <w:rFonts w:ascii="Verdana" w:hAnsi="Verdana" w:cs="Arial"/>
          <w:lang w:val="es-CO"/>
        </w:rPr>
        <w:t>Decreto 2411</w:t>
      </w:r>
      <w:r>
        <w:rPr>
          <w:rFonts w:ascii="Verdana" w:hAnsi="Verdana" w:cs="Arial"/>
          <w:lang w:val="es-CO"/>
        </w:rPr>
        <w:t xml:space="preserve"> de 2019. Disponible en: </w:t>
      </w:r>
    </w:p>
    <w:p w14:paraId="63FE313A" w14:textId="0E2A9976" w:rsidR="00904F24" w:rsidRPr="00904F24" w:rsidRDefault="00904F24" w:rsidP="00904F24">
      <w:pPr>
        <w:pStyle w:val="Prrafodelista"/>
        <w:spacing w:line="276" w:lineRule="auto"/>
        <w:jc w:val="both"/>
        <w:rPr>
          <w:rFonts w:ascii="Verdana" w:hAnsi="Verdana" w:cs="Arial"/>
          <w:bCs/>
        </w:rPr>
      </w:pPr>
      <w:hyperlink r:id="rId16" w:history="1">
        <w:r w:rsidRPr="009B1607">
          <w:rPr>
            <w:rStyle w:val="Hipervnculo"/>
            <w:rFonts w:ascii="Verdana" w:hAnsi="Verdana" w:cs="Arial"/>
            <w:bCs/>
          </w:rPr>
          <w:t>https://relatoria.colombiacompra.gov.co/wp-admin/edit.php?s=Decreto+2411+de+2019&amp;post_status=all&amp;post_type=normativa&amp;action=-1&amp;m=0&amp;paged=1&amp;action2=-1</w:t>
        </w:r>
      </w:hyperlink>
      <w:r>
        <w:rPr>
          <w:rFonts w:ascii="Verdana" w:hAnsi="Verdana" w:cs="Arial"/>
          <w:bCs/>
        </w:rPr>
        <w:t xml:space="preserve"> </w:t>
      </w:r>
    </w:p>
    <w:p w14:paraId="111F60B0" w14:textId="77777777" w:rsidR="00904F24" w:rsidRPr="00904F24" w:rsidRDefault="00904F24" w:rsidP="00904F24">
      <w:pPr>
        <w:spacing w:line="276" w:lineRule="auto"/>
        <w:jc w:val="both"/>
        <w:rPr>
          <w:rFonts w:ascii="Verdana" w:hAnsi="Verdana" w:cs="Arial"/>
          <w:bCs/>
        </w:rPr>
      </w:pPr>
    </w:p>
    <w:p w14:paraId="58049738" w14:textId="08A309F7" w:rsidR="006D62E9" w:rsidRPr="00C200BE" w:rsidRDefault="00904F24" w:rsidP="009E10B7">
      <w:pPr>
        <w:spacing w:line="276" w:lineRule="auto"/>
        <w:ind w:firstLine="709"/>
        <w:jc w:val="both"/>
        <w:rPr>
          <w:rFonts w:ascii="Verdana" w:hAnsi="Verdana" w:cs="Arial"/>
          <w:b/>
        </w:rPr>
      </w:pPr>
      <w:r w:rsidRPr="00C200BE">
        <w:rPr>
          <w:rFonts w:ascii="Verdana" w:hAnsi="Verdana" w:cs="Arial"/>
          <w:b/>
        </w:rPr>
        <w:t>5.</w:t>
      </w:r>
      <w:r w:rsidR="006D62E9" w:rsidRPr="00C200BE">
        <w:rPr>
          <w:rFonts w:ascii="Verdana" w:hAnsi="Verdana" w:cs="Arial"/>
          <w:b/>
        </w:rPr>
        <w:t xml:space="preserve"> Doctrina de la Agencia Nacional de Contratación Pública: </w:t>
      </w:r>
    </w:p>
    <w:p w14:paraId="2214D5BC" w14:textId="77777777" w:rsidR="00C200BE" w:rsidRPr="00C200BE" w:rsidRDefault="008F1355" w:rsidP="00C200BE">
      <w:pPr>
        <w:pStyle w:val="Textonotapie"/>
        <w:jc w:val="both"/>
        <w:rPr>
          <w:rFonts w:ascii="Verdana" w:hAnsi="Verdana"/>
          <w:color w:val="000000"/>
          <w:sz w:val="22"/>
          <w:szCs w:val="22"/>
          <w:shd w:val="clear" w:color="auto" w:fill="FFFFFF"/>
        </w:rPr>
      </w:pPr>
      <w:r w:rsidRPr="00C200BE">
        <w:rPr>
          <w:rFonts w:ascii="Verdana" w:eastAsia="Calibri" w:hAnsi="Verdana" w:cs="Arial"/>
          <w:bCs/>
          <w:sz w:val="22"/>
          <w:szCs w:val="22"/>
        </w:rPr>
        <w:t>La Agencia Nacional de Contratación Pública – Colombia Compra Eficiente ha analizado los contratos de prestación de servicios, así como los requisitos para su celebración, entre otros, en los conceptos con radicado: 4201913000006452 del 07 de octubre de 2019, 4201912000006434 del 30 de octubre de 2019,   4201913000006444 del 01 de noviembre de 2019, 4201913000006331 del 07 de noviembre de 2019, 4201912000006692 del 12 de noviembre de 2019, 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 del 12 de mayo de 2020, C−238 del 18 de mayo de 2020, C−260 del 18 de mayo de 2020, C−288 del 21 de mayo de 2020, C−293 del 12 de mayo de 2020, C−313 del 21 de mayo de 2020, C−345 del 21 de mayo de 2020, C−359 del 04 de junio de 2020, C−379 del 30 de junio de 2020, C−414 del 30 de junio de 2020, C-661 del 17 de noviembre de 2020 C−685 del 18 de diciembre de 2020, C- 004 del 12 de febrero de 2021, C−106 del 7 de abril de 2021, C-181 del  07 de abril de 2022, C-214 del 22 de abril de 2022 y C-491 de 01 de agosto de 2022</w:t>
      </w:r>
      <w:r w:rsidRPr="00C200BE">
        <w:rPr>
          <w:rFonts w:ascii="Verdana" w:eastAsia="Calibri" w:hAnsi="Verdana" w:cs="Arial"/>
          <w:sz w:val="22"/>
          <w:szCs w:val="22"/>
          <w:lang w:val="es-ES_tradnl" w:eastAsia="es-MX"/>
        </w:rPr>
        <w:t xml:space="preserve">, </w:t>
      </w:r>
      <w:r w:rsidRPr="00C200BE">
        <w:rPr>
          <w:rFonts w:ascii="Verdana" w:eastAsia="Calibri" w:hAnsi="Verdana" w:cs="Arial"/>
          <w:color w:val="000000"/>
          <w:sz w:val="22"/>
          <w:szCs w:val="22"/>
          <w:lang w:eastAsia="es-MX"/>
        </w:rPr>
        <w:t>entre otros</w:t>
      </w:r>
      <w:r w:rsidRPr="00C200BE">
        <w:rPr>
          <w:rFonts w:ascii="Verdana" w:eastAsia="Times New Roman" w:hAnsi="Verdana" w:cs="Arial"/>
          <w:sz w:val="22"/>
          <w:szCs w:val="22"/>
          <w:lang w:val="es-ES_tradnl" w:eastAsia="es-ES_tradnl"/>
        </w:rPr>
        <w:t xml:space="preserve">. </w:t>
      </w:r>
      <w:r w:rsidRPr="00C200BE">
        <w:rPr>
          <w:rFonts w:ascii="Verdana" w:eastAsia="Calibri" w:hAnsi="Verdana" w:cs="Arial"/>
          <w:sz w:val="22"/>
          <w:szCs w:val="22"/>
          <w:lang w:val="es-ES_tradnl" w:eastAsia="es-ES_tradnl"/>
        </w:rPr>
        <w:t>Algunas de las consideraciones de estos conceptos se reiteran y se complementan en lo pertinente, teniendo en cuenta lo consultado.</w:t>
      </w:r>
      <w:r w:rsidR="00C200BE" w:rsidRPr="00C200BE">
        <w:rPr>
          <w:rFonts w:ascii="Verdana" w:eastAsia="Calibri" w:hAnsi="Verdana" w:cs="Arial"/>
          <w:sz w:val="22"/>
          <w:szCs w:val="22"/>
          <w:lang w:val="es-ES_tradnl" w:eastAsia="es-ES_tradnl"/>
        </w:rPr>
        <w:t xml:space="preserve"> </w:t>
      </w:r>
      <w:r w:rsidR="00C200BE" w:rsidRPr="00C200BE">
        <w:rPr>
          <w:rFonts w:ascii="Verdana" w:hAnsi="Verdana"/>
          <w:color w:val="000000"/>
          <w:sz w:val="22"/>
          <w:szCs w:val="22"/>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7" w:tgtFrame="_blank" w:tooltip="Dirección URL original: https://relatoria.colombiacompra.gov.co/. Haga clic o pulse si confía en este vínculo." w:history="1">
        <w:r w:rsidR="00C200BE" w:rsidRPr="00C200BE">
          <w:rPr>
            <w:rStyle w:val="Hipervnculo"/>
            <w:rFonts w:ascii="Verdana" w:hAnsi="Verdana"/>
            <w:sz w:val="22"/>
            <w:szCs w:val="22"/>
            <w:bdr w:val="none" w:sz="0" w:space="0" w:color="auto" w:frame="1"/>
            <w:shd w:val="clear" w:color="auto" w:fill="FFFFFF"/>
          </w:rPr>
          <w:t>https://relatoria.colombiacompra.gov.co/</w:t>
        </w:r>
      </w:hyperlink>
      <w:r w:rsidR="00C200BE" w:rsidRPr="00C200BE">
        <w:rPr>
          <w:rFonts w:ascii="Verdana" w:hAnsi="Verdana"/>
          <w:color w:val="000000"/>
          <w:sz w:val="22"/>
          <w:szCs w:val="22"/>
          <w:shd w:val="clear" w:color="auto" w:fill="FFFFFF"/>
        </w:rPr>
        <w:t xml:space="preserve"> . </w:t>
      </w:r>
    </w:p>
    <w:p w14:paraId="145851DC" w14:textId="77777777" w:rsidR="00C200BE" w:rsidRDefault="00C200BE" w:rsidP="00C200BE">
      <w:pPr>
        <w:pStyle w:val="Textonotapie"/>
        <w:jc w:val="both"/>
        <w:rPr>
          <w:rFonts w:ascii="Verdana" w:hAnsi="Verdana"/>
          <w:color w:val="000000"/>
          <w:sz w:val="22"/>
          <w:szCs w:val="22"/>
          <w:shd w:val="clear" w:color="auto" w:fill="FFFFFF"/>
        </w:rPr>
      </w:pPr>
    </w:p>
    <w:p w14:paraId="1B49201E" w14:textId="77777777" w:rsidR="00C200BE" w:rsidRDefault="00C200BE" w:rsidP="00C200BE">
      <w:pPr>
        <w:pStyle w:val="Textonotapie"/>
        <w:jc w:val="both"/>
        <w:rPr>
          <w:rFonts w:ascii="Verdana" w:hAnsi="Verdana"/>
          <w:color w:val="000000"/>
          <w:sz w:val="22"/>
          <w:szCs w:val="22"/>
          <w:shd w:val="clear" w:color="auto" w:fill="FFFFFF"/>
        </w:rPr>
      </w:pPr>
    </w:p>
    <w:p w14:paraId="5F61E568" w14:textId="77777777" w:rsidR="00C200BE" w:rsidRPr="00916188" w:rsidRDefault="00C200BE" w:rsidP="00C200BE">
      <w:pPr>
        <w:pStyle w:val="Textonotapie"/>
        <w:spacing w:line="276" w:lineRule="auto"/>
        <w:jc w:val="both"/>
        <w:rPr>
          <w:rFonts w:ascii="Verdana" w:hAnsi="Verdana"/>
          <w:color w:val="000000"/>
          <w:sz w:val="22"/>
          <w:szCs w:val="22"/>
          <w:shd w:val="clear" w:color="auto" w:fill="FFFFFF"/>
        </w:rPr>
      </w:pPr>
      <w:r w:rsidRPr="00916188">
        <w:rPr>
          <w:rFonts w:ascii="Verdana" w:hAnsi="Verdana"/>
          <w:color w:val="000000"/>
          <w:sz w:val="22"/>
          <w:szCs w:val="22"/>
          <w:shd w:val="clear" w:color="auto" w:fill="FFFFFF"/>
        </w:rPr>
        <w:t>Le informamos que ya se encuentran publicados los borradores de las nuevas versiones de los Documentos Tipo de Interventoría y Consultoría de Infraestructura de Transporte. Conoce todos los detalles y realiza tus comentarios hasta el 10 de noviembre de 2024 en los siguientes enlaces: </w:t>
      </w:r>
      <w:hyperlink r:id="rId18" w:tgtFrame="_blank" w:tooltip="Dirección URL original: https://www.colombiacompra.gov.co/content/borrador-de-documentos-tipo-de-consultoria-de-obra-publica-de-infraestructura-de-transporte. Haga clic o pulse si confía en este vínculo." w:history="1">
        <w:r w:rsidRPr="00916188">
          <w:rPr>
            <w:rStyle w:val="Hipervnculo"/>
            <w:rFonts w:ascii="Verdana" w:hAnsi="Verdana"/>
            <w:sz w:val="22"/>
            <w:szCs w:val="22"/>
            <w:shd w:val="clear" w:color="auto" w:fill="FFFFFF"/>
          </w:rPr>
          <w:t>https://www.colombiacompra.gov.co/content/borrador-de-documentos-tipo-de-consultoria-de-obra-publica-de-infraestructura-de-transporte</w:t>
        </w:r>
      </w:hyperlink>
      <w:r w:rsidRPr="00916188">
        <w:rPr>
          <w:rFonts w:ascii="Verdana" w:hAnsi="Verdana"/>
          <w:color w:val="000000"/>
          <w:sz w:val="22"/>
          <w:szCs w:val="22"/>
          <w:shd w:val="clear" w:color="auto" w:fill="FFFFFF"/>
        </w:rPr>
        <w:t> y </w:t>
      </w:r>
      <w:hyperlink r:id="rId19" w:tgtFrame="_blank" w:tooltip="Dirección URL original: https://www.colombiacompra.gov.co/content/borrador-de-documentos-tipo-de-interventoria-de-obra-publica-de-infraestructura-de. Haga clic o pulse si confía en este vínculo." w:history="1">
        <w:r w:rsidRPr="00916188">
          <w:rPr>
            <w:rStyle w:val="Hipervnculo"/>
            <w:rFonts w:ascii="Verdana" w:hAnsi="Verdana"/>
            <w:sz w:val="22"/>
            <w:szCs w:val="22"/>
            <w:shd w:val="clear" w:color="auto" w:fill="FFFFFF"/>
          </w:rPr>
          <w:t>https://www.colombiacompra.gov.co/content/borrador-de-documentos-tipo-de-interventoria-de-obra-publica-de-infraestructura-de</w:t>
        </w:r>
      </w:hyperlink>
      <w:r w:rsidRPr="00916188">
        <w:rPr>
          <w:rFonts w:ascii="Verdana" w:hAnsi="Verdana"/>
          <w:color w:val="000000"/>
          <w:sz w:val="22"/>
          <w:szCs w:val="22"/>
          <w:shd w:val="clear" w:color="auto" w:fill="FFFFFF"/>
        </w:rPr>
        <w:t> .</w:t>
      </w:r>
    </w:p>
    <w:p w14:paraId="49AA9DB3" w14:textId="77777777" w:rsidR="00C200BE" w:rsidRPr="00916188" w:rsidRDefault="00C200BE" w:rsidP="00C200BE">
      <w:pPr>
        <w:pStyle w:val="Textonotapie"/>
        <w:spacing w:line="276" w:lineRule="auto"/>
        <w:jc w:val="both"/>
        <w:rPr>
          <w:rFonts w:ascii="Verdana" w:hAnsi="Verdana"/>
          <w:color w:val="000000"/>
          <w:sz w:val="22"/>
          <w:szCs w:val="22"/>
          <w:shd w:val="clear" w:color="auto" w:fill="FFFFFF"/>
        </w:rPr>
      </w:pPr>
    </w:p>
    <w:p w14:paraId="3170AA7A" w14:textId="77777777" w:rsidR="00C200BE" w:rsidRPr="00916188" w:rsidRDefault="00C200BE" w:rsidP="00C200BE">
      <w:pPr>
        <w:pStyle w:val="Textonotapie"/>
        <w:spacing w:line="276" w:lineRule="auto"/>
        <w:jc w:val="both"/>
        <w:rPr>
          <w:rFonts w:ascii="Verdana" w:hAnsi="Verdana"/>
          <w:color w:val="000000"/>
          <w:sz w:val="22"/>
          <w:szCs w:val="22"/>
          <w:shd w:val="clear" w:color="auto" w:fill="FFFFFF"/>
        </w:rPr>
      </w:pPr>
      <w:r w:rsidRPr="00916188">
        <w:rPr>
          <w:rFonts w:ascii="Verdana" w:hAnsi="Verdana"/>
          <w:color w:val="000000"/>
          <w:sz w:val="22"/>
          <w:szCs w:val="22"/>
          <w:shd w:val="clear" w:color="auto" w:fill="FFFFFF"/>
        </w:rPr>
        <w:t>De otra parte, te contamos que ya publicamos el borrador de la nueva Guía de Contratación Pública Sostenible y Socialmente Responsable. Conoce el documento y realiza tus comentarios hasta el 14 de noviembre de 2024 a través del siguiente enlace: </w:t>
      </w:r>
      <w:hyperlink r:id="rId20" w:tgtFrame="_blank" w:tooltip="Dirección URL original: https://www.sucop.gov.co/entidades/colombiacompra/Normativa?IDNorma=18320. Haga clic o pulse si confía en este vínculo." w:history="1">
        <w:r w:rsidRPr="00916188">
          <w:rPr>
            <w:rStyle w:val="Hipervnculo"/>
            <w:rFonts w:ascii="Verdana" w:hAnsi="Verdana"/>
            <w:sz w:val="22"/>
            <w:szCs w:val="22"/>
            <w:shd w:val="clear" w:color="auto" w:fill="FFFFFF"/>
          </w:rPr>
          <w:t>https://www.sucop.gov.co/entidades/colombiacompra/Normativa?IDNorma=18320</w:t>
        </w:r>
      </w:hyperlink>
      <w:r w:rsidRPr="00916188">
        <w:rPr>
          <w:rFonts w:ascii="Verdana" w:hAnsi="Verdana"/>
          <w:color w:val="000000"/>
          <w:sz w:val="22"/>
          <w:szCs w:val="22"/>
          <w:shd w:val="clear" w:color="auto" w:fill="FFFFFF"/>
        </w:rPr>
        <w:t>  </w:t>
      </w:r>
    </w:p>
    <w:p w14:paraId="4A48EAFA" w14:textId="77777777" w:rsidR="00C200BE" w:rsidRPr="00916188" w:rsidRDefault="00C200BE" w:rsidP="00C200BE">
      <w:pPr>
        <w:pStyle w:val="Textonotapie"/>
        <w:spacing w:line="276" w:lineRule="auto"/>
        <w:jc w:val="both"/>
        <w:rPr>
          <w:rFonts w:ascii="Verdana" w:hAnsi="Verdana"/>
          <w:color w:val="000000"/>
          <w:sz w:val="22"/>
          <w:szCs w:val="22"/>
          <w:shd w:val="clear" w:color="auto" w:fill="FFFFFF"/>
        </w:rPr>
      </w:pPr>
    </w:p>
    <w:p w14:paraId="6A6B5ECC" w14:textId="77777777" w:rsidR="00C200BE" w:rsidRPr="00916188" w:rsidRDefault="00C200BE" w:rsidP="00C200BE">
      <w:pPr>
        <w:pStyle w:val="Textonotapie"/>
        <w:spacing w:line="276" w:lineRule="auto"/>
        <w:jc w:val="both"/>
        <w:rPr>
          <w:rFonts w:ascii="Verdana" w:hAnsi="Verdana"/>
          <w:color w:val="000000"/>
          <w:sz w:val="22"/>
          <w:szCs w:val="22"/>
          <w:shd w:val="clear" w:color="auto" w:fill="FFFFFF"/>
        </w:rPr>
      </w:pPr>
      <w:r w:rsidRPr="00916188">
        <w:rPr>
          <w:rFonts w:ascii="Verdana" w:hAnsi="Verdana"/>
          <w:color w:val="000000"/>
          <w:sz w:val="22"/>
          <w:szCs w:val="22"/>
          <w:shd w:val="clear" w:color="auto" w:fill="FFFFFF"/>
        </w:rPr>
        <w:t>También le invitamos a consultar las versiones V y VI de 2024 del Boletín de Relatoría de la Subdirección de Gestión Contractual relacionados con las guías de Plan Anual de Adquisiciones y la modalidad de selección de mínima cuantía , los cuales se pueden descargar en la página web de la Agencia: </w:t>
      </w:r>
      <w:hyperlink r:id="rId21" w:tgtFrame="_blank" w:tooltip="Dirección URL original: https://www.colombiacompra.gov.co/sala-de-prensa/boletin-digital. Haga clic o pulse si confía en este vínculo." w:history="1">
        <w:r w:rsidRPr="0058682B">
          <w:rPr>
            <w:rStyle w:val="Hipervnculo"/>
            <w:rFonts w:ascii="Verdana" w:hAnsi="Verdana"/>
            <w:sz w:val="22"/>
            <w:szCs w:val="22"/>
            <w:shd w:val="clear" w:color="auto" w:fill="FFFFFF"/>
          </w:rPr>
          <w:t>https://www.colombiacompra.gov.co/sala-de-prensa/boletin-digital</w:t>
        </w:r>
      </w:hyperlink>
      <w:r w:rsidRPr="006E41F6">
        <w:rPr>
          <w:rStyle w:val="Hipervnculo"/>
          <w:rFonts w:ascii="Verdana" w:hAnsi="Verdana"/>
          <w:color w:val="auto"/>
          <w:sz w:val="22"/>
          <w:szCs w:val="22"/>
          <w:u w:val="none"/>
          <w:shd w:val="clear" w:color="auto" w:fill="FFFFFF"/>
        </w:rPr>
        <w:t>.</w:t>
      </w:r>
      <w:r w:rsidRPr="00916188">
        <w:rPr>
          <w:rFonts w:ascii="Verdana" w:hAnsi="Verdana"/>
          <w:color w:val="000000"/>
          <w:sz w:val="22"/>
          <w:szCs w:val="22"/>
          <w:shd w:val="clear" w:color="auto" w:fill="FFFFFF"/>
        </w:rPr>
        <w:t>  </w:t>
      </w:r>
    </w:p>
    <w:p w14:paraId="34209A1E" w14:textId="77777777" w:rsidR="00C200BE" w:rsidRDefault="00C200BE" w:rsidP="00C200BE">
      <w:pPr>
        <w:spacing w:after="0" w:line="240" w:lineRule="auto"/>
        <w:jc w:val="both"/>
        <w:rPr>
          <w:rFonts w:ascii="Verdana" w:hAnsi="Verdana"/>
        </w:rPr>
      </w:pPr>
    </w:p>
    <w:p w14:paraId="61C53ADA" w14:textId="77777777" w:rsidR="00C200BE" w:rsidRPr="0011467B" w:rsidRDefault="00C200BE" w:rsidP="00C200BE">
      <w:pPr>
        <w:spacing w:after="0" w:line="276" w:lineRule="auto"/>
        <w:jc w:val="both"/>
        <w:rPr>
          <w:rFonts w:ascii="Verdana" w:hAnsi="Verdana"/>
        </w:rPr>
      </w:pPr>
      <w:r w:rsidRPr="0011467B">
        <w:rPr>
          <w:rFonts w:ascii="Verdana" w:hAnsi="Verdana"/>
        </w:rPr>
        <w:t xml:space="preserve">Por último, lo invitamos a seguirnos en las redes sociales en las cuales se difunde información institucional: </w:t>
      </w:r>
    </w:p>
    <w:p w14:paraId="666FA1BF" w14:textId="77777777" w:rsidR="00C200BE" w:rsidRPr="0011467B" w:rsidRDefault="00C200BE" w:rsidP="00C200BE">
      <w:pPr>
        <w:spacing w:after="0" w:line="240" w:lineRule="auto"/>
        <w:jc w:val="both"/>
        <w:rPr>
          <w:rFonts w:ascii="Verdana" w:hAnsi="Verdana"/>
        </w:rPr>
      </w:pPr>
    </w:p>
    <w:p w14:paraId="639D1372" w14:textId="77777777" w:rsidR="00C200BE" w:rsidRPr="0011467B" w:rsidRDefault="00C200BE" w:rsidP="00C200BE">
      <w:pPr>
        <w:spacing w:after="0" w:line="240" w:lineRule="auto"/>
        <w:jc w:val="both"/>
        <w:rPr>
          <w:rFonts w:ascii="Verdana" w:hAnsi="Verdana"/>
        </w:rPr>
      </w:pPr>
      <w:r w:rsidRPr="0011467B">
        <w:rPr>
          <w:rFonts w:ascii="Verdana" w:hAnsi="Verdana"/>
        </w:rPr>
        <w:t xml:space="preserve">Twitter: </w:t>
      </w:r>
      <w:r w:rsidRPr="00CE40A8">
        <w:rPr>
          <w:rStyle w:val="Hipervnculo"/>
          <w:rFonts w:ascii="Verdana" w:hAnsi="Verdana"/>
          <w:color w:val="4472C4" w:themeColor="accent1"/>
        </w:rPr>
        <w:t>@colombiacompra</w:t>
      </w:r>
      <w:r w:rsidRPr="00CE40A8">
        <w:rPr>
          <w:rFonts w:ascii="Verdana" w:hAnsi="Verdana"/>
          <w:color w:val="4472C4" w:themeColor="accent1"/>
        </w:rPr>
        <w:t xml:space="preserve"> </w:t>
      </w:r>
    </w:p>
    <w:p w14:paraId="1BFFEE4F" w14:textId="77777777" w:rsidR="00C200BE" w:rsidRPr="0011467B" w:rsidRDefault="00C200BE" w:rsidP="00C200BE">
      <w:pPr>
        <w:spacing w:after="0" w:line="240" w:lineRule="auto"/>
        <w:jc w:val="both"/>
        <w:rPr>
          <w:rFonts w:ascii="Verdana" w:hAnsi="Verdana"/>
        </w:rPr>
      </w:pPr>
      <w:r w:rsidRPr="0011467B">
        <w:rPr>
          <w:rFonts w:ascii="Verdana" w:hAnsi="Verdana"/>
        </w:rPr>
        <w:t xml:space="preserve">Facebook: </w:t>
      </w:r>
      <w:r w:rsidRPr="0011467B">
        <w:rPr>
          <w:rStyle w:val="Hipervnculo"/>
          <w:rFonts w:ascii="Verdana" w:hAnsi="Verdana"/>
          <w:color w:val="4472C4" w:themeColor="accent1"/>
        </w:rPr>
        <w:t>ColombiaCompraEficiente</w:t>
      </w:r>
    </w:p>
    <w:p w14:paraId="446603C6" w14:textId="77777777" w:rsidR="00C200BE" w:rsidRPr="0011467B" w:rsidRDefault="00C200BE" w:rsidP="00C200BE">
      <w:pPr>
        <w:spacing w:after="0" w:line="240" w:lineRule="auto"/>
        <w:jc w:val="both"/>
        <w:rPr>
          <w:rFonts w:ascii="Verdana" w:hAnsi="Verdana"/>
        </w:rPr>
      </w:pPr>
      <w:r w:rsidRPr="0011467B">
        <w:rPr>
          <w:rFonts w:ascii="Verdana" w:hAnsi="Verdana"/>
        </w:rPr>
        <w:t xml:space="preserve">LinkedIn: </w:t>
      </w:r>
      <w:r w:rsidRPr="0011467B">
        <w:rPr>
          <w:rStyle w:val="Hipervnculo"/>
          <w:rFonts w:ascii="Verdana" w:hAnsi="Verdana"/>
          <w:color w:val="4472C4" w:themeColor="accent1"/>
        </w:rPr>
        <w:t>Agencia Nacional de Contratación Pública - Colombia Compra Eficiente</w:t>
      </w:r>
      <w:r w:rsidRPr="0011467B">
        <w:rPr>
          <w:rFonts w:ascii="Verdana" w:hAnsi="Verdana"/>
          <w:color w:val="4472C4" w:themeColor="accent1"/>
        </w:rPr>
        <w:t xml:space="preserve"> </w:t>
      </w:r>
      <w:r w:rsidRPr="0011467B">
        <w:rPr>
          <w:rFonts w:ascii="Verdana" w:hAnsi="Verdana"/>
        </w:rPr>
        <w:t xml:space="preserve">Instagram: </w:t>
      </w:r>
      <w:r w:rsidRPr="0011467B">
        <w:rPr>
          <w:rStyle w:val="Hipervnculo"/>
          <w:rFonts w:ascii="Verdana" w:hAnsi="Verdana"/>
          <w:color w:val="4472C4" w:themeColor="accent1"/>
        </w:rPr>
        <w:t>@colombiacompraeficiente_cce</w:t>
      </w:r>
    </w:p>
    <w:p w14:paraId="18AB89D1" w14:textId="77777777" w:rsidR="00C200BE" w:rsidRPr="0011467B" w:rsidRDefault="00C200BE" w:rsidP="00C200BE">
      <w:pPr>
        <w:spacing w:after="120" w:line="276" w:lineRule="auto"/>
        <w:jc w:val="center"/>
        <w:rPr>
          <w:rFonts w:ascii="Verdana" w:hAnsi="Verdana" w:cs="Arial"/>
          <w:lang w:val="es-ES"/>
        </w:rPr>
      </w:pPr>
    </w:p>
    <w:p w14:paraId="07D2C3F6" w14:textId="77777777" w:rsidR="00C200BE" w:rsidRPr="0011467B" w:rsidRDefault="00C200BE" w:rsidP="009B6BDE">
      <w:pPr>
        <w:spacing w:after="120" w:line="276" w:lineRule="auto"/>
        <w:jc w:val="center"/>
        <w:rPr>
          <w:rFonts w:ascii="Verdana" w:hAnsi="Verdana" w:cs="Arial"/>
          <w:color w:val="000000" w:themeColor="text1"/>
          <w:lang w:val="es-ES_tradnl"/>
        </w:rPr>
      </w:pPr>
      <w:r w:rsidRPr="0011467B">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BB46E36" w14:textId="77777777" w:rsidR="00C200BE" w:rsidRPr="0011467B" w:rsidRDefault="00C200BE" w:rsidP="00C200BE">
      <w:pPr>
        <w:spacing w:after="120" w:line="276" w:lineRule="auto"/>
        <w:jc w:val="both"/>
        <w:rPr>
          <w:rFonts w:ascii="Verdana" w:eastAsia="Times New Roman" w:hAnsi="Verdana" w:cs="Arial"/>
          <w:i/>
          <w:lang w:val="es-ES" w:eastAsia="es-ES"/>
        </w:rPr>
      </w:pPr>
    </w:p>
    <w:p w14:paraId="13F4F027" w14:textId="77777777" w:rsidR="00C200BE" w:rsidRDefault="00C200BE" w:rsidP="00C200BE">
      <w:pPr>
        <w:spacing w:after="0" w:line="240" w:lineRule="auto"/>
        <w:rPr>
          <w:rFonts w:ascii="Verdana" w:eastAsia="Times New Roman" w:hAnsi="Verdana" w:cs="Arial"/>
          <w:lang w:eastAsia="es-CO"/>
        </w:rPr>
      </w:pPr>
      <w:r w:rsidRPr="0011467B">
        <w:rPr>
          <w:rFonts w:ascii="Verdana" w:eastAsia="Times New Roman" w:hAnsi="Verdana" w:cs="Arial"/>
          <w:lang w:eastAsia="es-CO"/>
        </w:rPr>
        <w:t>A</w:t>
      </w:r>
      <w:r>
        <w:rPr>
          <w:rFonts w:ascii="Verdana" w:eastAsia="Times New Roman" w:hAnsi="Verdana" w:cs="Arial"/>
          <w:lang w:eastAsia="es-CO"/>
        </w:rPr>
        <w:t xml:space="preserve">tentamente, </w:t>
      </w:r>
    </w:p>
    <w:p w14:paraId="36ADB62D" w14:textId="7CEB3D7E" w:rsidR="00C200BE" w:rsidRPr="00DC1867" w:rsidRDefault="00C200BE" w:rsidP="00C200BE">
      <w:pPr>
        <w:spacing w:after="0" w:line="240" w:lineRule="auto"/>
        <w:rPr>
          <w:rFonts w:ascii="Verdana" w:eastAsia="Times New Roman" w:hAnsi="Verdana" w:cs="Arial"/>
          <w:lang w:eastAsia="es-CO"/>
        </w:rPr>
      </w:pPr>
    </w:p>
    <w:p w14:paraId="4132A40E" w14:textId="5DFCE8D3" w:rsidR="00C200BE" w:rsidRPr="00377184" w:rsidRDefault="009B6BDE" w:rsidP="00C200BE">
      <w:pPr>
        <w:shd w:val="clear" w:color="auto" w:fill="FFFFFF"/>
        <w:spacing w:after="120"/>
        <w:jc w:val="both"/>
        <w:rPr>
          <w:rFonts w:ascii="Verdana" w:eastAsia="Times New Roman" w:hAnsi="Verdana" w:cs="Times New Roman"/>
          <w:color w:val="333333"/>
          <w:sz w:val="21"/>
          <w:szCs w:val="21"/>
          <w:lang w:eastAsia="es-MX"/>
        </w:rPr>
      </w:pPr>
      <w:r w:rsidRPr="004D5C25">
        <w:rPr>
          <w:rFonts w:ascii="Century Gothic" w:hAnsi="Century Gothic"/>
          <w:noProof/>
        </w:rPr>
        <w:drawing>
          <wp:anchor distT="0" distB="0" distL="114300" distR="114300" simplePos="0" relativeHeight="251660288" behindDoc="1" locked="0" layoutInCell="1" allowOverlap="1" wp14:anchorId="2C83E4E9" wp14:editId="6C823582">
            <wp:simplePos x="0" y="0"/>
            <wp:positionH relativeFrom="margin">
              <wp:posOffset>1242611</wp:posOffset>
            </wp:positionH>
            <wp:positionV relativeFrom="paragraph">
              <wp:posOffset>255905</wp:posOffset>
            </wp:positionV>
            <wp:extent cx="3265170" cy="1590675"/>
            <wp:effectExtent l="0" t="0" r="0" b="9525"/>
            <wp:wrapTight wrapText="bothSides">
              <wp:wrapPolygon edited="0">
                <wp:start x="0" y="0"/>
                <wp:lineTo x="0" y="21471"/>
                <wp:lineTo x="21424" y="21471"/>
                <wp:lineTo x="21424" y="0"/>
                <wp:lineTo x="0" y="0"/>
              </wp:wrapPolygon>
            </wp:wrapTight>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2">
                      <a:extLst>
                        <a:ext uri="{28A0092B-C50C-407E-A947-70E740481C1C}">
                          <a14:useLocalDpi xmlns:a14="http://schemas.microsoft.com/office/drawing/2010/main" val="0"/>
                        </a:ext>
                      </a:extLst>
                    </a:blip>
                    <a:stretch>
                      <a:fillRect/>
                    </a:stretch>
                  </pic:blipFill>
                  <pic:spPr>
                    <a:xfrm>
                      <a:off x="0" y="0"/>
                      <a:ext cx="3265170" cy="1590675"/>
                    </a:xfrm>
                    <a:prstGeom prst="rect">
                      <a:avLst/>
                    </a:prstGeom>
                  </pic:spPr>
                </pic:pic>
              </a:graphicData>
            </a:graphic>
            <wp14:sizeRelH relativeFrom="margin">
              <wp14:pctWidth>0</wp14:pctWidth>
            </wp14:sizeRelH>
          </wp:anchor>
        </w:drawing>
      </w:r>
    </w:p>
    <w:p w14:paraId="4ECC8068" w14:textId="5479C163" w:rsidR="00C200BE" w:rsidRPr="00EE6FCB" w:rsidRDefault="00C200BE" w:rsidP="00C200BE">
      <w:pPr>
        <w:pStyle w:val="Prrafodelista"/>
        <w:spacing w:after="0"/>
        <w:ind w:left="709" w:right="709"/>
        <w:jc w:val="both"/>
        <w:rPr>
          <w:rFonts w:ascii="Verdana" w:hAnsi="Verdana" w:cs="Arial"/>
          <w:color w:val="000000" w:themeColor="text1"/>
        </w:rPr>
      </w:pPr>
    </w:p>
    <w:p w14:paraId="0B0EA016" w14:textId="77777777" w:rsidR="00C200BE" w:rsidRDefault="00C200BE" w:rsidP="009B6BDE">
      <w:pPr>
        <w:spacing w:line="276" w:lineRule="auto"/>
        <w:jc w:val="center"/>
        <w:rPr>
          <w:rFonts w:ascii="Verdana" w:eastAsia="Aptos" w:hAnsi="Verdana" w:cs="Arial"/>
          <w:lang w:val="es-ES_tradnl" w:eastAsia="es-CO"/>
        </w:rPr>
      </w:pPr>
    </w:p>
    <w:p w14:paraId="663A99CE" w14:textId="77777777" w:rsidR="009B6BDE" w:rsidRDefault="009B6BDE" w:rsidP="00C200BE">
      <w:pPr>
        <w:spacing w:line="276" w:lineRule="auto"/>
        <w:rPr>
          <w:rFonts w:ascii="Verdana" w:eastAsia="Aptos" w:hAnsi="Verdana" w:cs="Arial"/>
          <w:lang w:val="es-ES_tradnl" w:eastAsia="es-CO"/>
        </w:rPr>
      </w:pPr>
    </w:p>
    <w:p w14:paraId="6A47E6E7" w14:textId="77777777" w:rsidR="009B6BDE" w:rsidRDefault="009B6BDE" w:rsidP="00C200BE">
      <w:pPr>
        <w:spacing w:line="276" w:lineRule="auto"/>
        <w:rPr>
          <w:rFonts w:ascii="Verdana" w:eastAsia="Aptos" w:hAnsi="Verdana" w:cs="Arial"/>
          <w:lang w:val="es-ES_tradnl" w:eastAsia="es-CO"/>
        </w:rPr>
      </w:pPr>
    </w:p>
    <w:p w14:paraId="57B3CF51" w14:textId="77777777" w:rsidR="009B6BDE" w:rsidRDefault="009B6BDE" w:rsidP="00C200BE">
      <w:pPr>
        <w:spacing w:line="276" w:lineRule="auto"/>
        <w:rPr>
          <w:rFonts w:ascii="Verdana" w:eastAsia="Aptos" w:hAnsi="Verdana" w:cs="Arial"/>
          <w:lang w:val="es-ES_tradnl" w:eastAsia="es-CO"/>
        </w:rPr>
      </w:pPr>
    </w:p>
    <w:p w14:paraId="37741E76" w14:textId="77777777" w:rsidR="009B6BDE" w:rsidRDefault="009B6BDE" w:rsidP="00C200BE">
      <w:pPr>
        <w:spacing w:line="276" w:lineRule="auto"/>
        <w:rPr>
          <w:rFonts w:ascii="Verdana" w:eastAsia="Aptos" w:hAnsi="Verdana" w:cs="Arial"/>
          <w:lang w:val="es-ES_tradnl" w:eastAsia="es-CO"/>
        </w:rPr>
      </w:pPr>
    </w:p>
    <w:p w14:paraId="4B202D8E" w14:textId="77777777" w:rsidR="00C200BE" w:rsidRPr="00292355" w:rsidRDefault="00C200BE" w:rsidP="789E5C4F">
      <w:pPr>
        <w:spacing w:line="276" w:lineRule="auto"/>
        <w:jc w:val="center"/>
        <w:rPr>
          <w:rFonts w:ascii="Verdana" w:eastAsia="Aptos" w:hAnsi="Verdana" w:cs="Arial"/>
          <w:lang w:val="es-ES" w:eastAsia="es-CO"/>
        </w:rPr>
      </w:pP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C200BE" w:rsidRPr="00292355" w14:paraId="2B55710A" w14:textId="77777777" w:rsidTr="001F502A">
        <w:trPr>
          <w:trHeight w:val="286"/>
        </w:trPr>
        <w:tc>
          <w:tcPr>
            <w:tcW w:w="901" w:type="dxa"/>
            <w:vAlign w:val="center"/>
            <w:hideMark/>
          </w:tcPr>
          <w:p w14:paraId="2C8077F4" w14:textId="77777777" w:rsidR="00C200BE" w:rsidRPr="00292355" w:rsidRDefault="00C200BE" w:rsidP="001F502A">
            <w:pPr>
              <w:rPr>
                <w:rFonts w:ascii="Verdana" w:eastAsia="Aptos" w:hAnsi="Verdana" w:cs="Arial"/>
                <w:sz w:val="14"/>
                <w:szCs w:val="14"/>
                <w:lang w:eastAsia="es-ES"/>
              </w:rPr>
            </w:pPr>
            <w:r w:rsidRPr="00292355">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57869D89" w14:textId="77777777" w:rsidR="00C200BE" w:rsidRPr="00292355" w:rsidRDefault="00C200BE" w:rsidP="001F502A">
            <w:pPr>
              <w:rPr>
                <w:rFonts w:ascii="Verdana" w:eastAsia="Aptos" w:hAnsi="Verdana" w:cs="Arial"/>
                <w:sz w:val="14"/>
                <w:szCs w:val="14"/>
                <w:lang w:eastAsia="es-ES"/>
              </w:rPr>
            </w:pPr>
            <w:r>
              <w:rPr>
                <w:rFonts w:ascii="Verdana" w:eastAsia="Aptos" w:hAnsi="Verdana" w:cs="Arial"/>
                <w:sz w:val="14"/>
                <w:szCs w:val="14"/>
                <w:lang w:eastAsia="es-ES"/>
              </w:rPr>
              <w:t>Kelmis Yirama Brugés Alvarado</w:t>
            </w:r>
          </w:p>
          <w:p w14:paraId="62567F10" w14:textId="77777777" w:rsidR="00C200BE" w:rsidRPr="00292355" w:rsidRDefault="00C200BE" w:rsidP="001F502A">
            <w:pPr>
              <w:rPr>
                <w:rFonts w:ascii="Verdana" w:eastAsia="Aptos" w:hAnsi="Verdana" w:cs="Arial"/>
                <w:sz w:val="14"/>
                <w:szCs w:val="14"/>
                <w:lang w:eastAsia="es-ES"/>
              </w:rPr>
            </w:pPr>
            <w:r w:rsidRPr="00292355">
              <w:rPr>
                <w:rFonts w:ascii="Verdana" w:eastAsia="Aptos" w:hAnsi="Verdana" w:cs="Arial"/>
                <w:sz w:val="14"/>
                <w:szCs w:val="14"/>
                <w:lang w:eastAsia="es-ES"/>
              </w:rPr>
              <w:t>Analista T2–0</w:t>
            </w:r>
            <w:r>
              <w:rPr>
                <w:rFonts w:ascii="Verdana" w:eastAsia="Aptos" w:hAnsi="Verdana" w:cs="Arial"/>
                <w:sz w:val="14"/>
                <w:szCs w:val="14"/>
                <w:lang w:eastAsia="es-ES"/>
              </w:rPr>
              <w:t xml:space="preserve">4 </w:t>
            </w:r>
            <w:r w:rsidRPr="00292355">
              <w:rPr>
                <w:rFonts w:ascii="Verdana" w:eastAsia="Aptos" w:hAnsi="Verdana" w:cs="Arial"/>
                <w:sz w:val="14"/>
                <w:szCs w:val="14"/>
                <w:lang w:eastAsia="es-ES"/>
              </w:rPr>
              <w:t>de la Subdirección de Gestión Contractual</w:t>
            </w:r>
          </w:p>
        </w:tc>
      </w:tr>
      <w:tr w:rsidR="00C200BE" w:rsidRPr="00292355" w14:paraId="24BC90E3" w14:textId="77777777" w:rsidTr="001F502A">
        <w:trPr>
          <w:trHeight w:val="299"/>
        </w:trPr>
        <w:tc>
          <w:tcPr>
            <w:tcW w:w="901" w:type="dxa"/>
            <w:vAlign w:val="center"/>
          </w:tcPr>
          <w:p w14:paraId="07DE5983" w14:textId="77777777" w:rsidR="00C200BE" w:rsidRPr="00292355" w:rsidRDefault="00C200BE" w:rsidP="001F502A">
            <w:pPr>
              <w:rPr>
                <w:rFonts w:ascii="Verdana" w:eastAsia="Aptos" w:hAnsi="Verdana" w:cs="Arial"/>
                <w:sz w:val="14"/>
                <w:szCs w:val="14"/>
                <w:lang w:eastAsia="es-ES"/>
              </w:rPr>
            </w:pPr>
            <w:r w:rsidRPr="00292355">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781CB800" w14:textId="77777777" w:rsidR="00C200BE" w:rsidRPr="00292355" w:rsidRDefault="00C200BE" w:rsidP="001F502A">
            <w:pPr>
              <w:rPr>
                <w:rFonts w:ascii="Verdana" w:eastAsia="Aptos" w:hAnsi="Verdana" w:cs="Arial"/>
                <w:sz w:val="14"/>
                <w:szCs w:val="14"/>
                <w:lang w:eastAsia="es-ES"/>
              </w:rPr>
            </w:pPr>
            <w:r>
              <w:rPr>
                <w:rFonts w:ascii="Verdana" w:eastAsia="Aptos" w:hAnsi="Verdana" w:cs="Arial"/>
                <w:sz w:val="14"/>
                <w:szCs w:val="14"/>
                <w:lang w:eastAsia="es-ES"/>
              </w:rPr>
              <w:t>Juan Carlos González Vásquez</w:t>
            </w:r>
          </w:p>
          <w:p w14:paraId="00CBC7CC" w14:textId="77777777" w:rsidR="00C200BE" w:rsidRPr="00292355" w:rsidRDefault="00C200BE" w:rsidP="001F502A">
            <w:pPr>
              <w:rPr>
                <w:rFonts w:ascii="Verdana" w:eastAsia="Aptos" w:hAnsi="Verdana" w:cs="Arial"/>
                <w:sz w:val="14"/>
                <w:szCs w:val="14"/>
                <w:lang w:eastAsia="es-ES"/>
              </w:rPr>
            </w:pPr>
            <w:r>
              <w:rPr>
                <w:rFonts w:ascii="Verdana" w:eastAsia="Aptos" w:hAnsi="Verdana" w:cs="Arial"/>
                <w:sz w:val="14"/>
                <w:szCs w:val="14"/>
                <w:lang w:eastAsia="es-ES"/>
              </w:rPr>
              <w:t xml:space="preserve">Contratista </w:t>
            </w:r>
            <w:r w:rsidRPr="00292355">
              <w:rPr>
                <w:rFonts w:ascii="Verdana" w:eastAsia="Aptos" w:hAnsi="Verdana" w:cs="Arial"/>
                <w:sz w:val="14"/>
                <w:szCs w:val="14"/>
                <w:lang w:eastAsia="es-ES"/>
              </w:rPr>
              <w:t>de la Subdirección de Gestión Contractual</w:t>
            </w:r>
          </w:p>
        </w:tc>
      </w:tr>
      <w:tr w:rsidR="00C200BE" w:rsidRPr="00292355" w14:paraId="23F2DEBC" w14:textId="77777777" w:rsidTr="001F502A">
        <w:trPr>
          <w:trHeight w:val="272"/>
        </w:trPr>
        <w:tc>
          <w:tcPr>
            <w:tcW w:w="901" w:type="dxa"/>
            <w:vAlign w:val="center"/>
            <w:hideMark/>
          </w:tcPr>
          <w:p w14:paraId="710F1BA5" w14:textId="77777777" w:rsidR="00C200BE" w:rsidRPr="00292355" w:rsidRDefault="00C200BE" w:rsidP="001F502A">
            <w:pPr>
              <w:rPr>
                <w:rFonts w:ascii="Verdana" w:eastAsia="Aptos" w:hAnsi="Verdana" w:cs="Arial"/>
                <w:sz w:val="14"/>
                <w:szCs w:val="14"/>
                <w:lang w:eastAsia="es-ES"/>
              </w:rPr>
            </w:pPr>
            <w:r w:rsidRPr="00292355">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6BA483B6" w14:textId="77777777" w:rsidR="00C200BE" w:rsidRPr="00292355" w:rsidRDefault="00C200BE" w:rsidP="001F502A">
            <w:pPr>
              <w:rPr>
                <w:rFonts w:ascii="Verdana" w:eastAsia="Aptos" w:hAnsi="Verdana" w:cs="Arial"/>
                <w:sz w:val="14"/>
                <w:szCs w:val="14"/>
                <w:lang w:eastAsia="es-ES"/>
              </w:rPr>
            </w:pPr>
            <w:r w:rsidRPr="00292355">
              <w:rPr>
                <w:rFonts w:ascii="Verdana" w:eastAsia="Aptos" w:hAnsi="Verdana" w:cs="Arial"/>
                <w:sz w:val="14"/>
                <w:szCs w:val="14"/>
                <w:lang w:eastAsia="es-ES"/>
              </w:rPr>
              <w:t>Carolina Quintero Gacharná</w:t>
            </w:r>
          </w:p>
          <w:p w14:paraId="215DBB9B" w14:textId="77777777" w:rsidR="00C200BE" w:rsidRPr="00292355" w:rsidRDefault="00C200BE" w:rsidP="001F502A">
            <w:pPr>
              <w:rPr>
                <w:rFonts w:ascii="Verdana" w:eastAsia="Aptos" w:hAnsi="Verdana" w:cs="Arial"/>
                <w:sz w:val="14"/>
                <w:szCs w:val="14"/>
                <w:lang w:eastAsia="es-ES"/>
              </w:rPr>
            </w:pPr>
            <w:r w:rsidRPr="00292355">
              <w:rPr>
                <w:rFonts w:ascii="Verdana" w:eastAsia="Aptos" w:hAnsi="Verdana" w:cs="Arial"/>
                <w:sz w:val="14"/>
                <w:szCs w:val="14"/>
                <w:lang w:eastAsia="es-ES"/>
              </w:rPr>
              <w:t>Subdirectora de Gestión Contractual ANCP – CCE</w:t>
            </w:r>
          </w:p>
        </w:tc>
      </w:tr>
    </w:tbl>
    <w:p w14:paraId="37579954" w14:textId="77777777" w:rsidR="00C200BE" w:rsidRPr="00292355" w:rsidRDefault="00C200BE" w:rsidP="00C200BE">
      <w:pPr>
        <w:spacing w:after="0" w:line="240" w:lineRule="auto"/>
        <w:rPr>
          <w:rFonts w:ascii="Verdana" w:eastAsia="Times New Roman" w:hAnsi="Verdana" w:cs="Arial"/>
          <w:sz w:val="24"/>
          <w:szCs w:val="24"/>
          <w:lang w:eastAsia="es-ES"/>
        </w:rPr>
      </w:pPr>
    </w:p>
    <w:p w14:paraId="36A20CD9" w14:textId="77777777" w:rsidR="00C200BE" w:rsidRPr="008F00A2" w:rsidRDefault="00C200BE" w:rsidP="00C200BE">
      <w:pPr>
        <w:spacing w:after="120" w:line="240" w:lineRule="auto"/>
        <w:jc w:val="both"/>
        <w:rPr>
          <w:rFonts w:ascii="Verdana" w:hAnsi="Verdana"/>
          <w:vanish/>
          <w:lang w:val="es-ES"/>
          <w:specVanish/>
        </w:rPr>
      </w:pPr>
    </w:p>
    <w:p w14:paraId="01D3B8CD" w14:textId="77777777" w:rsidR="00C200BE" w:rsidRPr="00AB3CCA" w:rsidRDefault="00C200BE" w:rsidP="00C200BE">
      <w:pPr>
        <w:rPr>
          <w:rFonts w:ascii="Verdana" w:hAnsi="Verdana"/>
          <w:lang w:val="es-ES"/>
        </w:rPr>
      </w:pPr>
    </w:p>
    <w:p w14:paraId="32654D64" w14:textId="77777777" w:rsidR="00C200BE" w:rsidRPr="00B95DA7" w:rsidRDefault="00C200BE" w:rsidP="00C200BE">
      <w:pPr>
        <w:pStyle w:val="Textonotapie"/>
        <w:jc w:val="both"/>
        <w:rPr>
          <w:rFonts w:ascii="Verdana" w:hAnsi="Verdana"/>
          <w:color w:val="000000"/>
          <w:sz w:val="22"/>
          <w:szCs w:val="22"/>
          <w:shd w:val="clear" w:color="auto" w:fill="FFFFFF"/>
          <w:lang w:val="es-ES"/>
        </w:rPr>
      </w:pPr>
    </w:p>
    <w:p w14:paraId="25461920" w14:textId="7356C2A7" w:rsidR="008F1355" w:rsidRPr="00C200BE" w:rsidRDefault="008F1355" w:rsidP="008F1355">
      <w:pPr>
        <w:spacing w:before="120" w:after="0" w:line="276" w:lineRule="auto"/>
        <w:ind w:firstLine="703"/>
        <w:jc w:val="both"/>
        <w:rPr>
          <w:rFonts w:ascii="Verdana" w:eastAsia="Calibri" w:hAnsi="Verdana" w:cs="Arial"/>
          <w:lang w:val="es-ES" w:eastAsia="es-ES_tradnl"/>
        </w:rPr>
      </w:pPr>
    </w:p>
    <w:p w14:paraId="32A87ABB" w14:textId="77777777" w:rsidR="00904F24" w:rsidRPr="008F1355" w:rsidRDefault="00904F24" w:rsidP="008F1355">
      <w:pPr>
        <w:spacing w:before="120" w:after="0" w:line="276" w:lineRule="auto"/>
        <w:ind w:firstLine="703"/>
        <w:jc w:val="both"/>
        <w:rPr>
          <w:rFonts w:ascii="Verdana" w:eastAsia="Calibri" w:hAnsi="Verdana" w:cs="Arial"/>
          <w:bCs/>
          <w:lang w:val="es-MX"/>
        </w:rPr>
      </w:pPr>
    </w:p>
    <w:p w14:paraId="041AA894" w14:textId="77777777" w:rsidR="006D62E9" w:rsidRPr="008F1355" w:rsidRDefault="006D62E9" w:rsidP="009E10B7">
      <w:pPr>
        <w:spacing w:line="276" w:lineRule="auto"/>
        <w:ind w:firstLine="709"/>
        <w:jc w:val="both"/>
        <w:rPr>
          <w:rFonts w:ascii="Verdana" w:hAnsi="Verdana" w:cs="Arial"/>
          <w:b/>
          <w:lang w:val="es-MX"/>
        </w:rPr>
      </w:pPr>
    </w:p>
    <w:p w14:paraId="5AF69F9F" w14:textId="77777777" w:rsidR="009E10B7" w:rsidRPr="009E10B7" w:rsidRDefault="009E10B7" w:rsidP="009E10B7">
      <w:pPr>
        <w:spacing w:line="276" w:lineRule="auto"/>
        <w:ind w:right="709"/>
        <w:jc w:val="both"/>
        <w:rPr>
          <w:rFonts w:ascii="Verdana" w:hAnsi="Verdana" w:cs="Arial"/>
          <w:sz w:val="21"/>
          <w:szCs w:val="21"/>
        </w:rPr>
      </w:pPr>
    </w:p>
    <w:p w14:paraId="665925BF" w14:textId="77777777" w:rsidR="009E10B7" w:rsidRPr="009E10B7" w:rsidRDefault="009E10B7" w:rsidP="006055B8">
      <w:pPr>
        <w:spacing w:after="120"/>
        <w:ind w:firstLine="709"/>
        <w:jc w:val="both"/>
        <w:rPr>
          <w:rFonts w:ascii="Verdana" w:hAnsi="Verdana" w:cs="Arial"/>
        </w:rPr>
      </w:pPr>
    </w:p>
    <w:p w14:paraId="0AB95CBA" w14:textId="77777777" w:rsidR="005C5BFA" w:rsidRPr="005C5BFA" w:rsidRDefault="005C5BFA" w:rsidP="005C5BFA">
      <w:pPr>
        <w:ind w:left="709" w:right="709"/>
        <w:jc w:val="both"/>
        <w:rPr>
          <w:rFonts w:ascii="Verdana" w:hAnsi="Verdana" w:cs="Arial"/>
          <w:sz w:val="21"/>
          <w:szCs w:val="21"/>
        </w:rPr>
      </w:pPr>
    </w:p>
    <w:p w14:paraId="376EA5DE" w14:textId="77777777" w:rsidR="005C5BFA" w:rsidRPr="005C5BFA" w:rsidRDefault="005C5BFA" w:rsidP="006055B8">
      <w:pPr>
        <w:spacing w:after="120"/>
        <w:jc w:val="both"/>
        <w:rPr>
          <w:rFonts w:ascii="Verdana" w:hAnsi="Verdana" w:cs="Arial"/>
        </w:rPr>
      </w:pPr>
    </w:p>
    <w:p w14:paraId="24DF7641" w14:textId="77777777" w:rsidR="005C5BFA" w:rsidRPr="005C5BFA" w:rsidRDefault="005C5BFA" w:rsidP="00432A6E">
      <w:pPr>
        <w:spacing w:after="120"/>
        <w:ind w:firstLine="709"/>
        <w:jc w:val="both"/>
        <w:rPr>
          <w:rFonts w:ascii="Verdana" w:hAnsi="Verdana" w:cs="Arial"/>
        </w:rPr>
      </w:pPr>
    </w:p>
    <w:p w14:paraId="24A3F976" w14:textId="77777777" w:rsidR="005C5BFA" w:rsidRPr="005C5BFA" w:rsidRDefault="005C5BFA" w:rsidP="00432A6E">
      <w:pPr>
        <w:spacing w:after="120"/>
        <w:ind w:firstLine="709"/>
        <w:jc w:val="both"/>
        <w:rPr>
          <w:rFonts w:ascii="Verdana" w:hAnsi="Verdana" w:cs="Arial"/>
        </w:rPr>
      </w:pPr>
    </w:p>
    <w:p w14:paraId="250A0C35" w14:textId="77777777" w:rsidR="007A4EEE" w:rsidRPr="005C5BFA" w:rsidRDefault="007A4EEE" w:rsidP="00BF6950">
      <w:pPr>
        <w:spacing w:after="120" w:line="276" w:lineRule="auto"/>
        <w:ind w:firstLine="709"/>
        <w:jc w:val="both"/>
        <w:textAlignment w:val="baseline"/>
        <w:rPr>
          <w:rFonts w:ascii="Verdana" w:eastAsia="Calibri" w:hAnsi="Verdana" w:cs="Arial"/>
          <w:lang w:eastAsia="es-ES"/>
        </w:rPr>
      </w:pPr>
    </w:p>
    <w:p w14:paraId="040EBA80" w14:textId="77777777" w:rsidR="00CD267C" w:rsidRPr="005C5BFA" w:rsidRDefault="00CD267C" w:rsidP="005D602C">
      <w:pPr>
        <w:spacing w:after="120" w:line="276" w:lineRule="auto"/>
        <w:jc w:val="both"/>
        <w:textAlignment w:val="baseline"/>
        <w:rPr>
          <w:rFonts w:ascii="Verdana" w:eastAsia="Calibri" w:hAnsi="Verdana" w:cs="Arial"/>
          <w:lang w:val="es-ES" w:eastAsia="es-ES"/>
        </w:rPr>
      </w:pPr>
    </w:p>
    <w:bookmarkEnd w:id="0"/>
    <w:p w14:paraId="0C3981B7" w14:textId="50939FF9" w:rsidR="0033594F" w:rsidRPr="004A503E" w:rsidRDefault="0033594F" w:rsidP="00E245AB">
      <w:pPr>
        <w:spacing w:after="0"/>
        <w:rPr>
          <w:rFonts w:ascii="Verdana" w:hAnsi="Verdana"/>
        </w:rPr>
      </w:pPr>
    </w:p>
    <w:sectPr w:rsidR="0033594F" w:rsidRPr="004A503E"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A7CF60" w14:textId="77777777" w:rsidR="00B63ADA" w:rsidRDefault="00B63ADA" w:rsidP="004A1847">
      <w:pPr>
        <w:spacing w:after="0" w:line="240" w:lineRule="auto"/>
      </w:pPr>
      <w:r>
        <w:separator/>
      </w:r>
    </w:p>
  </w:endnote>
  <w:endnote w:type="continuationSeparator" w:id="0">
    <w:p w14:paraId="70C3E81D" w14:textId="77777777" w:rsidR="00B63ADA" w:rsidRDefault="00B63ADA" w:rsidP="004A1847">
      <w:pPr>
        <w:spacing w:after="0" w:line="240" w:lineRule="auto"/>
      </w:pPr>
      <w:r>
        <w:continuationSeparator/>
      </w:r>
    </w:p>
  </w:endnote>
  <w:endnote w:type="continuationNotice" w:id="1">
    <w:p w14:paraId="45941BF2" w14:textId="77777777" w:rsidR="00B63ADA" w:rsidRDefault="00B63A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7B4A7F" w14:textId="77777777" w:rsidR="00B63ADA" w:rsidRDefault="00B63ADA" w:rsidP="004A1847">
      <w:pPr>
        <w:spacing w:after="0" w:line="240" w:lineRule="auto"/>
      </w:pPr>
      <w:r>
        <w:separator/>
      </w:r>
    </w:p>
  </w:footnote>
  <w:footnote w:type="continuationSeparator" w:id="0">
    <w:p w14:paraId="7D15DF1E" w14:textId="77777777" w:rsidR="00B63ADA" w:rsidRDefault="00B63ADA" w:rsidP="004A1847">
      <w:pPr>
        <w:spacing w:after="0" w:line="240" w:lineRule="auto"/>
      </w:pPr>
      <w:r>
        <w:continuationSeparator/>
      </w:r>
    </w:p>
  </w:footnote>
  <w:footnote w:type="continuationNotice" w:id="1">
    <w:p w14:paraId="45293BCC" w14:textId="77777777" w:rsidR="00B63ADA" w:rsidRDefault="00B63ADA">
      <w:pPr>
        <w:spacing w:after="0" w:line="240" w:lineRule="auto"/>
      </w:pPr>
    </w:p>
  </w:footnote>
  <w:footnote w:id="2">
    <w:p w14:paraId="549C7D06" w14:textId="03A6267C" w:rsidR="004A503E" w:rsidRPr="00393AE8" w:rsidRDefault="004A503E" w:rsidP="001F502A">
      <w:pPr>
        <w:pStyle w:val="Textonotapie"/>
        <w:jc w:val="both"/>
        <w:rPr>
          <w:rFonts w:ascii="Verdana" w:hAnsi="Verdana" w:cs="Arial"/>
          <w:color w:val="000000" w:themeColor="text1"/>
          <w:sz w:val="12"/>
          <w:szCs w:val="12"/>
        </w:rPr>
      </w:pPr>
      <w:r w:rsidRPr="00393AE8">
        <w:rPr>
          <w:rStyle w:val="Refdenotaalpie"/>
          <w:rFonts w:ascii="Verdana" w:hAnsi="Verdana" w:cs="Arial"/>
          <w:color w:val="000000" w:themeColor="text1"/>
          <w:sz w:val="12"/>
          <w:szCs w:val="12"/>
        </w:rPr>
        <w:footnoteRef/>
      </w:r>
      <w:r w:rsidRPr="00393AE8">
        <w:rPr>
          <w:rFonts w:ascii="Verdana" w:hAnsi="Verdana" w:cs="Arial"/>
          <w:color w:val="000000" w:themeColor="text1"/>
          <w:sz w:val="12"/>
          <w:szCs w:val="12"/>
        </w:rPr>
        <w:t xml:space="preserve"> El artículo 22 del Código Sustantivo del Trabajo establece: </w:t>
      </w:r>
      <w:r w:rsidR="00393AE8">
        <w:rPr>
          <w:rFonts w:ascii="Verdana" w:hAnsi="Verdana" w:cs="Arial"/>
          <w:color w:val="000000" w:themeColor="text1"/>
          <w:sz w:val="12"/>
          <w:szCs w:val="12"/>
        </w:rPr>
        <w:t>“</w:t>
      </w:r>
      <w:r w:rsidRPr="00393AE8">
        <w:rPr>
          <w:rFonts w:ascii="Verdana" w:hAnsi="Verdana" w:cs="Arial"/>
          <w:color w:val="000000" w:themeColor="text1"/>
          <w:sz w:val="12"/>
          <w:szCs w:val="12"/>
        </w:rPr>
        <w:t>1. Contrato de trabajo es aquel por el cual una persona natural se obliga a prestar un servicio personal a otra persona, natural o jurídica, bajo la continuada dependencia o subordinación de la segunda y mediante remuneración.</w:t>
      </w:r>
    </w:p>
    <w:p w14:paraId="12753071" w14:textId="3A2DB140" w:rsidR="004A503E" w:rsidRPr="00393AE8" w:rsidRDefault="004A503E" w:rsidP="001F502A">
      <w:pPr>
        <w:pStyle w:val="Textonotapie"/>
        <w:jc w:val="both"/>
        <w:rPr>
          <w:rFonts w:ascii="Verdana" w:hAnsi="Verdana" w:cs="Arial"/>
          <w:color w:val="000000" w:themeColor="text1"/>
          <w:sz w:val="12"/>
          <w:szCs w:val="12"/>
        </w:rPr>
      </w:pPr>
      <w:r w:rsidRPr="00393AE8">
        <w:rPr>
          <w:rFonts w:ascii="Verdana" w:hAnsi="Verdana" w:cs="Arial"/>
          <w:color w:val="000000" w:themeColor="text1"/>
          <w:sz w:val="12"/>
          <w:szCs w:val="12"/>
        </w:rPr>
        <w:t>2. Quien presta el servicio se denomina trabajador, quien lo recibe y remunera, empleador, y la remuneración, cualquiera que sea su forma, salario</w:t>
      </w:r>
      <w:r w:rsidR="00393AE8">
        <w:rPr>
          <w:rFonts w:ascii="Verdana" w:hAnsi="Verdana" w:cs="Arial"/>
          <w:color w:val="000000" w:themeColor="text1"/>
          <w:sz w:val="12"/>
          <w:szCs w:val="12"/>
        </w:rPr>
        <w:t>”</w:t>
      </w:r>
      <w:r w:rsidRPr="00393AE8">
        <w:rPr>
          <w:rFonts w:ascii="Verdana" w:hAnsi="Verdana" w:cs="Arial"/>
          <w:color w:val="000000" w:themeColor="text1"/>
          <w:sz w:val="12"/>
          <w:szCs w:val="12"/>
        </w:rPr>
        <w:t>.</w:t>
      </w:r>
    </w:p>
    <w:p w14:paraId="34D009B0" w14:textId="77777777" w:rsidR="004A503E" w:rsidRPr="00810952" w:rsidRDefault="004A503E" w:rsidP="004A503E">
      <w:pPr>
        <w:pStyle w:val="Textonotapie"/>
        <w:ind w:firstLine="709"/>
        <w:jc w:val="both"/>
        <w:rPr>
          <w:rFonts w:ascii="Arial" w:hAnsi="Arial" w:cs="Arial"/>
          <w:color w:val="000000" w:themeColor="text1"/>
          <w:sz w:val="19"/>
          <w:szCs w:val="19"/>
        </w:rPr>
      </w:pPr>
    </w:p>
  </w:footnote>
  <w:footnote w:id="3">
    <w:p w14:paraId="2C1065FA" w14:textId="0F2AF6F4" w:rsidR="004A503E" w:rsidRPr="004A503E" w:rsidRDefault="004A503E" w:rsidP="001F502A">
      <w:pPr>
        <w:pStyle w:val="Textonotapie"/>
        <w:jc w:val="both"/>
        <w:rPr>
          <w:rFonts w:ascii="Verdana" w:hAnsi="Verdana" w:cs="Arial"/>
          <w:color w:val="000000" w:themeColor="text1"/>
          <w:sz w:val="12"/>
          <w:szCs w:val="12"/>
        </w:rPr>
      </w:pPr>
      <w:r w:rsidRPr="004A503E">
        <w:rPr>
          <w:rStyle w:val="Refdenotaalpie"/>
          <w:rFonts w:ascii="Verdana" w:hAnsi="Verdana" w:cs="Arial"/>
          <w:color w:val="000000" w:themeColor="text1"/>
          <w:sz w:val="12"/>
          <w:szCs w:val="12"/>
        </w:rPr>
        <w:footnoteRef/>
      </w:r>
      <w:r w:rsidRPr="004A503E">
        <w:rPr>
          <w:rFonts w:ascii="Verdana" w:hAnsi="Verdana" w:cs="Arial"/>
          <w:color w:val="000000" w:themeColor="text1"/>
          <w:sz w:val="12"/>
          <w:szCs w:val="12"/>
        </w:rPr>
        <w:t xml:space="preserve"> En efecto, el artículo 244 de la Ley 1955 de 2015 dispone, en lo pertinente: </w:t>
      </w:r>
      <w:r>
        <w:rPr>
          <w:rFonts w:ascii="Verdana" w:hAnsi="Verdana" w:cs="Arial"/>
          <w:color w:val="000000" w:themeColor="text1"/>
          <w:sz w:val="12"/>
          <w:szCs w:val="12"/>
        </w:rPr>
        <w:t>“</w:t>
      </w:r>
      <w:r w:rsidRPr="004A503E">
        <w:rPr>
          <w:rFonts w:ascii="Verdana" w:hAnsi="Verdana" w:cs="Arial"/>
          <w:color w:val="000000" w:themeColor="text1"/>
          <w:sz w:val="12"/>
          <w:szCs w:val="12"/>
        </w:rPr>
        <w:t>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0C24F4C6" w14:textId="7E50A137" w:rsidR="004A503E" w:rsidRPr="004A503E" w:rsidRDefault="004A503E" w:rsidP="004A503E">
      <w:pPr>
        <w:pStyle w:val="Textonotapie"/>
        <w:ind w:firstLine="709"/>
        <w:jc w:val="both"/>
        <w:rPr>
          <w:rFonts w:ascii="Verdana" w:hAnsi="Verdana" w:cs="Arial"/>
          <w:color w:val="000000" w:themeColor="text1"/>
          <w:sz w:val="12"/>
          <w:szCs w:val="12"/>
        </w:rPr>
      </w:pPr>
      <w:r w:rsidRPr="004A503E">
        <w:rPr>
          <w:rFonts w:ascii="Verdana" w:hAnsi="Verdana" w:cs="Arial"/>
          <w:color w:val="000000" w:themeColor="text1"/>
          <w:sz w:val="12"/>
          <w:szCs w:val="12"/>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00CF1851" w14:textId="7645AC1F" w:rsidR="004A503E" w:rsidRPr="004A503E" w:rsidRDefault="004A503E" w:rsidP="004A503E">
      <w:pPr>
        <w:pStyle w:val="Textonotapie"/>
        <w:ind w:firstLine="709"/>
        <w:jc w:val="both"/>
        <w:rPr>
          <w:rFonts w:ascii="Verdana" w:hAnsi="Verdana" w:cs="Arial"/>
          <w:color w:val="000000" w:themeColor="text1"/>
          <w:sz w:val="12"/>
          <w:szCs w:val="12"/>
        </w:rPr>
      </w:pPr>
      <w:r w:rsidRPr="004A503E">
        <w:rPr>
          <w:rFonts w:ascii="Verdana" w:hAnsi="Verdana" w:cs="Arial"/>
          <w:color w:val="000000" w:themeColor="text1"/>
          <w:sz w:val="12"/>
          <w:szCs w:val="12"/>
        </w:rPr>
        <w:t>El Gobierno nacional reglamentará el mecanismo para realizar la mensualización de que trata el presente artículo.</w:t>
      </w:r>
    </w:p>
    <w:p w14:paraId="23E47A60" w14:textId="6387FA32" w:rsidR="004A503E" w:rsidRPr="004A503E" w:rsidRDefault="004A503E" w:rsidP="004A503E">
      <w:pPr>
        <w:pStyle w:val="Textonotapie"/>
        <w:ind w:firstLine="709"/>
        <w:jc w:val="both"/>
        <w:rPr>
          <w:rFonts w:ascii="Verdana" w:hAnsi="Verdana" w:cs="Arial"/>
          <w:color w:val="000000" w:themeColor="text1"/>
          <w:sz w:val="12"/>
          <w:szCs w:val="12"/>
        </w:rPr>
      </w:pPr>
      <w:r w:rsidRPr="004A503E">
        <w:rPr>
          <w:rFonts w:ascii="Verdana" w:hAnsi="Verdana" w:cs="Arial"/>
          <w:color w:val="000000" w:themeColor="text1"/>
          <w:sz w:val="12"/>
          <w:szCs w:val="12"/>
        </w:rPr>
        <w:t>[…]</w:t>
      </w:r>
      <w:r>
        <w:rPr>
          <w:rFonts w:ascii="Verdana" w:hAnsi="Verdana" w:cs="Arial"/>
          <w:color w:val="000000" w:themeColor="text1"/>
          <w:sz w:val="12"/>
          <w:szCs w:val="12"/>
        </w:rPr>
        <w:t>”</w:t>
      </w:r>
      <w:r w:rsidRPr="004A503E">
        <w:rPr>
          <w:rFonts w:ascii="Verdana" w:hAnsi="Verdana" w:cs="Arial"/>
          <w:color w:val="000000" w:themeColor="text1"/>
          <w:sz w:val="12"/>
          <w:szCs w:val="12"/>
        </w:rPr>
        <w:t>.</w:t>
      </w:r>
    </w:p>
    <w:p w14:paraId="0F376908" w14:textId="77777777" w:rsidR="004A503E" w:rsidRPr="004A503E" w:rsidRDefault="004A503E" w:rsidP="004A503E">
      <w:pPr>
        <w:pStyle w:val="Textonotapie"/>
        <w:ind w:firstLine="709"/>
        <w:jc w:val="both"/>
        <w:rPr>
          <w:rFonts w:ascii="Verdana" w:hAnsi="Verdana" w:cs="Arial"/>
          <w:color w:val="000000" w:themeColor="text1"/>
          <w:sz w:val="12"/>
          <w:szCs w:val="12"/>
        </w:rPr>
      </w:pPr>
    </w:p>
  </w:footnote>
  <w:footnote w:id="4">
    <w:p w14:paraId="5BC500B4" w14:textId="77777777" w:rsidR="004A503E" w:rsidRPr="004A503E" w:rsidRDefault="004A503E" w:rsidP="001F502A">
      <w:pPr>
        <w:pStyle w:val="Textonotapie"/>
        <w:jc w:val="both"/>
        <w:rPr>
          <w:rFonts w:ascii="Verdana" w:hAnsi="Verdana" w:cs="Arial"/>
          <w:color w:val="000000" w:themeColor="text1"/>
          <w:sz w:val="12"/>
          <w:szCs w:val="12"/>
        </w:rPr>
      </w:pPr>
      <w:r w:rsidRPr="004A503E">
        <w:rPr>
          <w:rStyle w:val="Refdenotaalpie"/>
          <w:rFonts w:ascii="Verdana" w:hAnsi="Verdana" w:cs="Arial"/>
          <w:color w:val="000000" w:themeColor="text1"/>
          <w:sz w:val="12"/>
          <w:szCs w:val="12"/>
        </w:rPr>
        <w:footnoteRef/>
      </w:r>
      <w:r w:rsidRPr="004A503E">
        <w:rPr>
          <w:rFonts w:ascii="Verdana" w:hAnsi="Verdana" w:cs="Arial"/>
          <w:color w:val="000000" w:themeColor="text1"/>
          <w:sz w:val="12"/>
          <w:szCs w:val="12"/>
        </w:rPr>
        <w:t xml:space="preserve"> Corte Constitucional. Sentencia C-154 de 1997. Magistrado Ponente: Hernando Herrera Vergara.</w:t>
      </w:r>
    </w:p>
    <w:p w14:paraId="2FB8E2B4" w14:textId="77777777" w:rsidR="004A503E" w:rsidRPr="004A503E" w:rsidRDefault="004A503E" w:rsidP="004A503E">
      <w:pPr>
        <w:pStyle w:val="Textonotapie"/>
        <w:ind w:firstLine="709"/>
        <w:jc w:val="both"/>
        <w:rPr>
          <w:rFonts w:ascii="Verdana" w:hAnsi="Verdana" w:cs="Arial"/>
          <w:color w:val="000000" w:themeColor="text1"/>
          <w:sz w:val="12"/>
          <w:szCs w:val="12"/>
        </w:rPr>
      </w:pPr>
    </w:p>
  </w:footnote>
  <w:footnote w:id="5">
    <w:p w14:paraId="62DDE55C" w14:textId="77777777" w:rsidR="004A503E" w:rsidRPr="00872372" w:rsidRDefault="004A503E" w:rsidP="001F502A">
      <w:pPr>
        <w:pStyle w:val="Textonotapie"/>
        <w:jc w:val="both"/>
        <w:rPr>
          <w:rFonts w:ascii="Verdana" w:hAnsi="Verdana" w:cs="Arial"/>
          <w:color w:val="000000" w:themeColor="text1"/>
          <w:sz w:val="12"/>
          <w:szCs w:val="12"/>
        </w:rPr>
      </w:pPr>
      <w:r w:rsidRPr="00872372">
        <w:rPr>
          <w:rStyle w:val="Refdenotaalpie"/>
          <w:rFonts w:ascii="Verdana" w:hAnsi="Verdana" w:cs="Arial"/>
          <w:color w:val="000000" w:themeColor="text1"/>
          <w:sz w:val="12"/>
          <w:szCs w:val="12"/>
        </w:rPr>
        <w:footnoteRef/>
      </w:r>
      <w:r w:rsidRPr="00872372">
        <w:rPr>
          <w:rFonts w:ascii="Verdana" w:hAnsi="Verdana" w:cs="Arial"/>
          <w:color w:val="000000" w:themeColor="text1"/>
          <w:sz w:val="12"/>
          <w:szCs w:val="12"/>
        </w:rPr>
        <w:t xml:space="preserve"> </w:t>
      </w:r>
      <w:proofErr w:type="spellStart"/>
      <w:r w:rsidRPr="00872372">
        <w:rPr>
          <w:rFonts w:ascii="Verdana" w:hAnsi="Verdana" w:cs="Arial"/>
          <w:color w:val="000000" w:themeColor="text1"/>
          <w:sz w:val="12"/>
          <w:szCs w:val="12"/>
        </w:rPr>
        <w:t>Ibíd</w:t>
      </w:r>
      <w:proofErr w:type="spellEnd"/>
      <w:r w:rsidRPr="00872372">
        <w:rPr>
          <w:rFonts w:ascii="Verdana" w:hAnsi="Verdana" w:cs="Arial"/>
          <w:color w:val="000000" w:themeColor="text1"/>
          <w:sz w:val="12"/>
          <w:szCs w:val="12"/>
        </w:rPr>
        <w:t>.</w:t>
      </w:r>
    </w:p>
    <w:p w14:paraId="75B4EFAF" w14:textId="77777777" w:rsidR="004A503E" w:rsidRPr="00872372" w:rsidRDefault="004A503E" w:rsidP="004A503E">
      <w:pPr>
        <w:pStyle w:val="Textonotapie"/>
        <w:ind w:firstLine="709"/>
        <w:jc w:val="both"/>
        <w:rPr>
          <w:rFonts w:ascii="Verdana" w:hAnsi="Verdana" w:cs="Arial"/>
          <w:color w:val="000000" w:themeColor="text1"/>
          <w:sz w:val="19"/>
          <w:szCs w:val="19"/>
        </w:rPr>
      </w:pPr>
    </w:p>
  </w:footnote>
  <w:footnote w:id="6">
    <w:p w14:paraId="592699D4" w14:textId="3BA83294" w:rsidR="004A503E" w:rsidRPr="00872372" w:rsidRDefault="004A503E" w:rsidP="001F502A">
      <w:pPr>
        <w:pStyle w:val="Textonotapie"/>
        <w:jc w:val="both"/>
        <w:rPr>
          <w:rFonts w:ascii="Verdana" w:hAnsi="Verdana" w:cs="Arial"/>
          <w:color w:val="000000" w:themeColor="text1"/>
          <w:sz w:val="12"/>
          <w:szCs w:val="12"/>
        </w:rPr>
      </w:pPr>
      <w:r w:rsidRPr="00872372">
        <w:rPr>
          <w:rStyle w:val="Refdenotaalpie"/>
          <w:rFonts w:ascii="Verdana" w:hAnsi="Verdana" w:cs="Arial"/>
          <w:color w:val="000000" w:themeColor="text1"/>
          <w:sz w:val="12"/>
          <w:szCs w:val="12"/>
        </w:rPr>
        <w:footnoteRef/>
      </w:r>
      <w:r w:rsidRPr="00872372">
        <w:rPr>
          <w:rFonts w:ascii="Verdana" w:hAnsi="Verdana" w:cs="Arial"/>
          <w:color w:val="000000" w:themeColor="text1"/>
          <w:sz w:val="12"/>
          <w:szCs w:val="12"/>
        </w:rPr>
        <w:t xml:space="preserve"> 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38E83CB2" w14:textId="77777777" w:rsidR="004A503E" w:rsidRPr="00872372" w:rsidRDefault="004A503E" w:rsidP="004A503E">
      <w:pPr>
        <w:pStyle w:val="Textonotapie"/>
        <w:ind w:firstLine="709"/>
        <w:jc w:val="both"/>
        <w:rPr>
          <w:rFonts w:ascii="Verdana" w:hAnsi="Verdana" w:cs="Arial"/>
          <w:color w:val="000000" w:themeColor="text1"/>
          <w:sz w:val="12"/>
          <w:szCs w:val="12"/>
        </w:rPr>
      </w:pPr>
    </w:p>
    <w:p w14:paraId="406D5AF8" w14:textId="3EA9192E" w:rsidR="004A503E" w:rsidRPr="00872372" w:rsidRDefault="004A503E" w:rsidP="004A503E">
      <w:pPr>
        <w:pStyle w:val="Textonotapie"/>
        <w:ind w:firstLine="709"/>
        <w:jc w:val="both"/>
        <w:rPr>
          <w:rFonts w:ascii="Verdana" w:hAnsi="Verdana" w:cs="Arial"/>
          <w:color w:val="000000" w:themeColor="text1"/>
          <w:sz w:val="12"/>
          <w:szCs w:val="12"/>
        </w:rPr>
      </w:pPr>
      <w:r w:rsidRPr="00872372">
        <w:rPr>
          <w:rFonts w:ascii="Verdana" w:hAnsi="Verdana" w:cs="Arial"/>
          <w:color w:val="000000" w:themeColor="text1"/>
          <w:sz w:val="12"/>
          <w:szCs w:val="12"/>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3E47C1EC" w14:textId="2B7690AD" w:rsidR="004A503E" w:rsidRPr="00872372" w:rsidRDefault="004A503E" w:rsidP="004A503E">
      <w:pPr>
        <w:pStyle w:val="Textonotapie"/>
        <w:ind w:firstLine="709"/>
        <w:jc w:val="both"/>
        <w:rPr>
          <w:rFonts w:ascii="Verdana" w:hAnsi="Verdana" w:cs="Arial"/>
          <w:color w:val="000000" w:themeColor="text1"/>
          <w:sz w:val="12"/>
          <w:szCs w:val="12"/>
        </w:rPr>
      </w:pPr>
      <w:r w:rsidRPr="00872372">
        <w:rPr>
          <w:rFonts w:ascii="Verdana" w:hAnsi="Verdana" w:cs="Arial"/>
          <w:color w:val="000000" w:themeColor="text1"/>
          <w:sz w:val="12"/>
          <w:szCs w:val="12"/>
        </w:rPr>
        <w:t>La Entidad Estatal, para la contratación de trabajos artísticos que solamente puedan en­comendarse a determinadas personas naturales, debe justificar esta situación en los estudios y documentos previos</w:t>
      </w:r>
      <w:r w:rsidR="00872372" w:rsidRPr="00872372">
        <w:rPr>
          <w:rFonts w:ascii="Verdana" w:hAnsi="Verdana" w:cs="Arial"/>
          <w:color w:val="000000" w:themeColor="text1"/>
          <w:sz w:val="12"/>
          <w:szCs w:val="12"/>
        </w:rPr>
        <w:t>”</w:t>
      </w:r>
      <w:r w:rsidRPr="00872372">
        <w:rPr>
          <w:rFonts w:ascii="Verdana" w:hAnsi="Verdana" w:cs="Arial"/>
          <w:color w:val="000000" w:themeColor="text1"/>
          <w:sz w:val="12"/>
          <w:szCs w:val="12"/>
        </w:rPr>
        <w:t>.</w:t>
      </w:r>
    </w:p>
    <w:p w14:paraId="61E74ECD" w14:textId="77777777" w:rsidR="004A503E" w:rsidRPr="00872372" w:rsidRDefault="004A503E" w:rsidP="004A503E">
      <w:pPr>
        <w:pStyle w:val="Textonotapie"/>
        <w:ind w:firstLine="709"/>
        <w:jc w:val="both"/>
        <w:rPr>
          <w:rFonts w:ascii="Verdana" w:hAnsi="Verdana" w:cs="Arial"/>
          <w:color w:val="000000" w:themeColor="text1"/>
          <w:sz w:val="12"/>
          <w:szCs w:val="12"/>
        </w:rPr>
      </w:pPr>
    </w:p>
  </w:footnote>
  <w:footnote w:id="7">
    <w:p w14:paraId="01C70709" w14:textId="77777777" w:rsidR="004A503E" w:rsidRPr="00872372" w:rsidRDefault="004A503E" w:rsidP="001F502A">
      <w:pPr>
        <w:pStyle w:val="Textonotapie"/>
        <w:jc w:val="both"/>
        <w:rPr>
          <w:rFonts w:ascii="Verdana" w:hAnsi="Verdana" w:cs="Arial"/>
          <w:color w:val="000000" w:themeColor="text1"/>
          <w:sz w:val="12"/>
          <w:szCs w:val="12"/>
        </w:rPr>
      </w:pPr>
      <w:r w:rsidRPr="00872372">
        <w:rPr>
          <w:rStyle w:val="Refdenotaalpie"/>
          <w:rFonts w:ascii="Verdana" w:hAnsi="Verdana" w:cs="Arial"/>
          <w:color w:val="000000" w:themeColor="text1"/>
          <w:sz w:val="12"/>
          <w:szCs w:val="12"/>
        </w:rPr>
        <w:footnoteRef/>
      </w:r>
      <w:r w:rsidRPr="00872372">
        <w:rPr>
          <w:rFonts w:ascii="Verdana" w:hAnsi="Verdana" w:cs="Arial"/>
          <w:color w:val="000000" w:themeColor="text1"/>
          <w:sz w:val="12"/>
          <w:szCs w:val="12"/>
        </w:rPr>
        <w:t xml:space="preserve"> Consejo de Estado. Sección Tercera. Subsección C. Sentencia del 2 de diciembre de 2013. Exp. 41719. Consejero Ponente: Jaime Orlando Santofimio Gamboa.</w:t>
      </w:r>
    </w:p>
    <w:p w14:paraId="4B65A1B6" w14:textId="77777777" w:rsidR="004A503E" w:rsidRPr="004A503E" w:rsidRDefault="004A503E" w:rsidP="004A503E">
      <w:pPr>
        <w:pStyle w:val="Textonotapie"/>
        <w:ind w:firstLine="709"/>
        <w:jc w:val="both"/>
        <w:rPr>
          <w:rFonts w:ascii="Arial" w:hAnsi="Arial" w:cs="Arial"/>
          <w:color w:val="000000" w:themeColor="text1"/>
          <w:sz w:val="12"/>
          <w:szCs w:val="12"/>
        </w:rPr>
      </w:pPr>
    </w:p>
  </w:footnote>
  <w:footnote w:id="8">
    <w:p w14:paraId="14F99ADD" w14:textId="77777777" w:rsidR="004A503E" w:rsidRPr="00872372" w:rsidRDefault="004A503E" w:rsidP="001F502A">
      <w:pPr>
        <w:pStyle w:val="Textonotapie"/>
        <w:jc w:val="both"/>
        <w:rPr>
          <w:rFonts w:ascii="Verdana" w:hAnsi="Verdana" w:cs="Arial"/>
          <w:color w:val="000000" w:themeColor="text1"/>
          <w:sz w:val="12"/>
          <w:szCs w:val="12"/>
        </w:rPr>
      </w:pPr>
      <w:r w:rsidRPr="00872372">
        <w:rPr>
          <w:rStyle w:val="Refdenotaalpie"/>
          <w:rFonts w:ascii="Verdana" w:hAnsi="Verdana" w:cs="Arial"/>
          <w:color w:val="000000" w:themeColor="text1"/>
          <w:sz w:val="12"/>
          <w:szCs w:val="12"/>
        </w:rPr>
        <w:footnoteRef/>
      </w:r>
      <w:r w:rsidRPr="00872372">
        <w:rPr>
          <w:rFonts w:ascii="Verdana" w:hAnsi="Verdana" w:cs="Arial"/>
          <w:color w:val="000000" w:themeColor="text1"/>
          <w:sz w:val="12"/>
          <w:szCs w:val="12"/>
        </w:rPr>
        <w:t xml:space="preserve"> </w:t>
      </w:r>
      <w:proofErr w:type="spellStart"/>
      <w:r w:rsidRPr="00872372">
        <w:rPr>
          <w:rFonts w:ascii="Verdana" w:hAnsi="Verdana" w:cs="Arial"/>
          <w:color w:val="000000" w:themeColor="text1"/>
          <w:sz w:val="12"/>
          <w:szCs w:val="12"/>
        </w:rPr>
        <w:t>Ibíd</w:t>
      </w:r>
      <w:proofErr w:type="spellEnd"/>
      <w:r w:rsidRPr="00872372">
        <w:rPr>
          <w:rFonts w:ascii="Verdana" w:hAnsi="Verdana" w:cs="Arial"/>
          <w:color w:val="000000" w:themeColor="text1"/>
          <w:sz w:val="12"/>
          <w:szCs w:val="12"/>
        </w:rPr>
        <w:t>.</w:t>
      </w:r>
    </w:p>
    <w:p w14:paraId="46B6CF4D" w14:textId="77777777" w:rsidR="004A503E" w:rsidRPr="004A503E" w:rsidRDefault="004A503E" w:rsidP="004A503E">
      <w:pPr>
        <w:pStyle w:val="Textonotapie"/>
        <w:ind w:firstLine="709"/>
        <w:jc w:val="both"/>
        <w:rPr>
          <w:rFonts w:ascii="Arial" w:hAnsi="Arial" w:cs="Arial"/>
          <w:color w:val="000000" w:themeColor="text1"/>
          <w:sz w:val="12"/>
          <w:szCs w:val="12"/>
        </w:rPr>
      </w:pPr>
    </w:p>
  </w:footnote>
  <w:footnote w:id="9">
    <w:p w14:paraId="6E3B8D98" w14:textId="77777777" w:rsidR="004A503E" w:rsidRPr="00872372" w:rsidRDefault="004A503E" w:rsidP="001F502A">
      <w:pPr>
        <w:pStyle w:val="Textonotapie"/>
        <w:jc w:val="both"/>
        <w:rPr>
          <w:rFonts w:ascii="Verdana" w:hAnsi="Verdana" w:cs="Arial"/>
          <w:color w:val="000000" w:themeColor="text1"/>
          <w:sz w:val="12"/>
          <w:szCs w:val="12"/>
        </w:rPr>
      </w:pPr>
      <w:r w:rsidRPr="00872372">
        <w:rPr>
          <w:rStyle w:val="Refdenotaalpie"/>
          <w:rFonts w:ascii="Verdana" w:hAnsi="Verdana" w:cs="Arial"/>
          <w:color w:val="000000" w:themeColor="text1"/>
          <w:sz w:val="12"/>
          <w:szCs w:val="12"/>
        </w:rPr>
        <w:footnoteRef/>
      </w:r>
      <w:r w:rsidRPr="00872372">
        <w:rPr>
          <w:rFonts w:ascii="Verdana" w:hAnsi="Verdana" w:cs="Arial"/>
          <w:color w:val="000000" w:themeColor="text1"/>
          <w:sz w:val="12"/>
          <w:szCs w:val="12"/>
        </w:rPr>
        <w:t xml:space="preserve"> </w:t>
      </w:r>
      <w:proofErr w:type="spellStart"/>
      <w:r w:rsidRPr="00872372">
        <w:rPr>
          <w:rFonts w:ascii="Verdana" w:hAnsi="Verdana" w:cs="Arial"/>
          <w:color w:val="000000" w:themeColor="text1"/>
          <w:sz w:val="12"/>
          <w:szCs w:val="12"/>
        </w:rPr>
        <w:t>Ibíd</w:t>
      </w:r>
      <w:proofErr w:type="spellEnd"/>
      <w:r w:rsidRPr="00872372">
        <w:rPr>
          <w:rFonts w:ascii="Verdana" w:hAnsi="Verdana" w:cs="Arial"/>
          <w:color w:val="000000" w:themeColor="text1"/>
          <w:sz w:val="12"/>
          <w:szCs w:val="12"/>
        </w:rPr>
        <w:t>.</w:t>
      </w:r>
    </w:p>
    <w:p w14:paraId="7DB3EB23" w14:textId="77777777" w:rsidR="004A503E" w:rsidRPr="00872372" w:rsidRDefault="004A503E" w:rsidP="004A503E">
      <w:pPr>
        <w:pStyle w:val="Textonotapie"/>
        <w:ind w:firstLine="709"/>
        <w:jc w:val="both"/>
        <w:rPr>
          <w:rFonts w:ascii="Verdana" w:hAnsi="Verdana" w:cs="Arial"/>
          <w:color w:val="000000" w:themeColor="text1"/>
          <w:sz w:val="12"/>
          <w:szCs w:val="12"/>
        </w:rPr>
      </w:pPr>
    </w:p>
  </w:footnote>
  <w:footnote w:id="10">
    <w:p w14:paraId="7A50A5B5" w14:textId="4D5AC572" w:rsidR="004A503E" w:rsidRPr="00872372" w:rsidRDefault="004A503E" w:rsidP="001F502A">
      <w:pPr>
        <w:pStyle w:val="Textonotapie"/>
        <w:jc w:val="both"/>
        <w:rPr>
          <w:rFonts w:ascii="Verdana" w:hAnsi="Verdana" w:cs="Arial"/>
          <w:color w:val="000000" w:themeColor="text1"/>
          <w:sz w:val="12"/>
          <w:szCs w:val="12"/>
        </w:rPr>
      </w:pPr>
      <w:r w:rsidRPr="00872372">
        <w:rPr>
          <w:rStyle w:val="Refdenotaalpie"/>
          <w:rFonts w:ascii="Verdana" w:hAnsi="Verdana" w:cs="Arial"/>
          <w:color w:val="000000" w:themeColor="text1"/>
          <w:sz w:val="12"/>
          <w:szCs w:val="12"/>
        </w:rPr>
        <w:footnoteRef/>
      </w:r>
      <w:r w:rsidRPr="00872372">
        <w:rPr>
          <w:rFonts w:ascii="Verdana" w:hAnsi="Verdana" w:cs="Arial"/>
          <w:color w:val="000000" w:themeColor="text1"/>
          <w:sz w:val="12"/>
          <w:szCs w:val="12"/>
        </w:rPr>
        <w:t xml:space="preserve"> </w:t>
      </w:r>
      <w:proofErr w:type="spellStart"/>
      <w:r w:rsidRPr="00872372">
        <w:rPr>
          <w:rFonts w:ascii="Verdana" w:hAnsi="Verdana" w:cs="Arial"/>
          <w:color w:val="000000" w:themeColor="text1"/>
          <w:sz w:val="12"/>
          <w:szCs w:val="12"/>
        </w:rPr>
        <w:t>Ibíd</w:t>
      </w:r>
      <w:proofErr w:type="spellEnd"/>
      <w:r w:rsidRPr="00872372">
        <w:rPr>
          <w:rFonts w:ascii="Verdana" w:hAnsi="Verdana" w:cs="Arial"/>
          <w:color w:val="000000" w:themeColor="text1"/>
          <w:sz w:val="12"/>
          <w:szCs w:val="12"/>
        </w:rPr>
        <w:t xml:space="preserve">. En efecto, el numeral 2º del artículo 32 de la Ley 80 de 1993 define el contrato de consultoría así: </w:t>
      </w:r>
      <w:r w:rsidR="00872372" w:rsidRPr="00872372">
        <w:rPr>
          <w:rFonts w:ascii="Verdana" w:hAnsi="Verdana" w:cs="Arial"/>
          <w:color w:val="000000" w:themeColor="text1"/>
          <w:sz w:val="12"/>
          <w:szCs w:val="12"/>
        </w:rPr>
        <w:t>“</w:t>
      </w:r>
      <w:r w:rsidRPr="00872372">
        <w:rPr>
          <w:rFonts w:ascii="Verdana" w:hAnsi="Verdana" w:cs="Arial"/>
          <w:color w:val="000000" w:themeColor="text1"/>
          <w:sz w:val="12"/>
          <w:szCs w:val="12"/>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2F204AC" w14:textId="03DB4AF8" w:rsidR="004A503E" w:rsidRPr="00872372" w:rsidRDefault="004A503E" w:rsidP="00872372">
      <w:pPr>
        <w:pStyle w:val="Textonotapie"/>
        <w:ind w:firstLine="709"/>
        <w:jc w:val="both"/>
        <w:rPr>
          <w:rFonts w:ascii="Verdana" w:hAnsi="Verdana" w:cs="Arial"/>
          <w:color w:val="000000" w:themeColor="text1"/>
          <w:sz w:val="12"/>
          <w:szCs w:val="12"/>
        </w:rPr>
      </w:pPr>
      <w:r w:rsidRPr="00872372">
        <w:rPr>
          <w:rFonts w:ascii="Verdana" w:hAnsi="Verdana" w:cs="Arial"/>
          <w:color w:val="000000" w:themeColor="text1"/>
          <w:sz w:val="12"/>
          <w:szCs w:val="12"/>
        </w:rPr>
        <w:t>Son también contratos de consultoría los que tienen por objeto la interventoría, asesoría, gerencia de obra o de proyectos, dirección, programación y la ejecución de diseños, planos, anteproyectos y proyectos.</w:t>
      </w:r>
    </w:p>
    <w:p w14:paraId="19A9EDF6" w14:textId="436F0352" w:rsidR="004A503E" w:rsidRPr="00872372" w:rsidRDefault="004A503E" w:rsidP="00872372">
      <w:pPr>
        <w:pStyle w:val="Textonotapie"/>
        <w:ind w:firstLine="709"/>
        <w:jc w:val="both"/>
        <w:rPr>
          <w:rFonts w:ascii="Verdana" w:hAnsi="Verdana" w:cs="Arial"/>
          <w:color w:val="000000" w:themeColor="text1"/>
          <w:sz w:val="12"/>
          <w:szCs w:val="12"/>
        </w:rPr>
      </w:pPr>
      <w:r w:rsidRPr="00872372">
        <w:rPr>
          <w:rFonts w:ascii="Verdana" w:hAnsi="Verdana" w:cs="Arial"/>
          <w:color w:val="000000" w:themeColor="text1"/>
          <w:sz w:val="12"/>
          <w:szCs w:val="12"/>
        </w:rPr>
        <w:t xml:space="preserve">Ninguna orden del interventor de una obra podrá darse verbalmente. Es obligatorio para el interventor entregar por escrito sus órdenes o sugerencias y ellas deben </w:t>
      </w:r>
      <w:proofErr w:type="gramStart"/>
      <w:r w:rsidRPr="00872372">
        <w:rPr>
          <w:rFonts w:ascii="Verdana" w:hAnsi="Verdana" w:cs="Arial"/>
          <w:color w:val="000000" w:themeColor="text1"/>
          <w:sz w:val="12"/>
          <w:szCs w:val="12"/>
        </w:rPr>
        <w:t>enmarcarse dentro de</w:t>
      </w:r>
      <w:proofErr w:type="gramEnd"/>
      <w:r w:rsidRPr="00872372">
        <w:rPr>
          <w:rFonts w:ascii="Verdana" w:hAnsi="Verdana" w:cs="Arial"/>
          <w:color w:val="000000" w:themeColor="text1"/>
          <w:sz w:val="12"/>
          <w:szCs w:val="12"/>
        </w:rPr>
        <w:t xml:space="preserve"> los términos del respectivo contrato</w:t>
      </w:r>
      <w:r w:rsidR="00872372" w:rsidRPr="00872372">
        <w:rPr>
          <w:rFonts w:ascii="Verdana" w:hAnsi="Verdana" w:cs="Arial"/>
          <w:color w:val="000000" w:themeColor="text1"/>
          <w:sz w:val="12"/>
          <w:szCs w:val="12"/>
        </w:rPr>
        <w:t>”</w:t>
      </w:r>
      <w:r w:rsidRPr="00872372">
        <w:rPr>
          <w:rFonts w:ascii="Verdana" w:hAnsi="Verdana" w:cs="Arial"/>
          <w:color w:val="000000" w:themeColor="text1"/>
          <w:sz w:val="12"/>
          <w:szCs w:val="12"/>
        </w:rPr>
        <w:t xml:space="preserve">. </w:t>
      </w:r>
    </w:p>
    <w:p w14:paraId="271AC80B" w14:textId="77777777" w:rsidR="004A503E" w:rsidRPr="00872372" w:rsidRDefault="004A503E" w:rsidP="00872372">
      <w:pPr>
        <w:pStyle w:val="Textonotapie"/>
        <w:ind w:firstLine="709"/>
        <w:jc w:val="both"/>
        <w:rPr>
          <w:rFonts w:ascii="Verdana" w:hAnsi="Verdana" w:cs="Arial"/>
          <w:color w:val="000000" w:themeColor="text1"/>
          <w:sz w:val="12"/>
          <w:szCs w:val="12"/>
        </w:rPr>
      </w:pPr>
    </w:p>
  </w:footnote>
  <w:footnote w:id="11">
    <w:p w14:paraId="710553E2" w14:textId="63D8C2B8" w:rsidR="00872372" w:rsidRPr="00872372" w:rsidRDefault="00872372" w:rsidP="001F502A">
      <w:pPr>
        <w:pStyle w:val="Textonotapie"/>
        <w:jc w:val="both"/>
        <w:rPr>
          <w:rFonts w:ascii="Verdana" w:hAnsi="Verdana" w:cs="Arial"/>
          <w:color w:val="000000" w:themeColor="text1"/>
          <w:sz w:val="12"/>
          <w:szCs w:val="12"/>
        </w:rPr>
      </w:pPr>
      <w:r w:rsidRPr="00872372">
        <w:rPr>
          <w:rStyle w:val="Refdenotaalpie"/>
          <w:rFonts w:ascii="Verdana" w:hAnsi="Verdana" w:cs="Arial"/>
          <w:color w:val="000000" w:themeColor="text1"/>
          <w:sz w:val="12"/>
          <w:szCs w:val="12"/>
        </w:rPr>
        <w:footnoteRef/>
      </w:r>
      <w:r w:rsidRPr="00872372">
        <w:rPr>
          <w:rFonts w:ascii="Verdana" w:hAnsi="Verdana" w:cs="Arial"/>
          <w:color w:val="000000" w:themeColor="text1"/>
          <w:sz w:val="12"/>
          <w:szCs w:val="12"/>
        </w:rPr>
        <w:t xml:space="preserve"> Así lo prevé el artículo 2.2.1.2.1.4.1. del Decreto 1082 de 2015: </w:t>
      </w:r>
      <w:r>
        <w:rPr>
          <w:rFonts w:ascii="Verdana" w:hAnsi="Verdana" w:cs="Arial"/>
          <w:color w:val="000000" w:themeColor="text1"/>
          <w:sz w:val="12"/>
          <w:szCs w:val="12"/>
        </w:rPr>
        <w:t>“</w:t>
      </w:r>
      <w:r w:rsidRPr="00872372">
        <w:rPr>
          <w:rFonts w:ascii="Verdana" w:hAnsi="Verdana" w:cs="Arial"/>
          <w:color w:val="000000" w:themeColor="text1"/>
          <w:sz w:val="12"/>
          <w:szCs w:val="12"/>
        </w:rPr>
        <w:t>La Entidad Estatal debe señalar en un acto administrativo la justificación para contratar bajo la modalidad de contratación directa, el cual debe contener:</w:t>
      </w:r>
    </w:p>
    <w:p w14:paraId="747009A6" w14:textId="260DCDE5" w:rsidR="00872372" w:rsidRPr="00872372" w:rsidRDefault="00872372" w:rsidP="00872372">
      <w:pPr>
        <w:pStyle w:val="Textonotapie"/>
        <w:ind w:firstLine="709"/>
        <w:jc w:val="both"/>
        <w:rPr>
          <w:rFonts w:ascii="Verdana" w:hAnsi="Verdana" w:cs="Arial"/>
          <w:color w:val="000000" w:themeColor="text1"/>
          <w:sz w:val="12"/>
          <w:szCs w:val="12"/>
        </w:rPr>
      </w:pPr>
      <w:r w:rsidRPr="00872372">
        <w:rPr>
          <w:rFonts w:ascii="Verdana" w:hAnsi="Verdana" w:cs="Arial"/>
          <w:color w:val="000000" w:themeColor="text1"/>
          <w:sz w:val="12"/>
          <w:szCs w:val="12"/>
        </w:rPr>
        <w:t>1. La causal que invoca para contratar directamente.</w:t>
      </w:r>
    </w:p>
    <w:p w14:paraId="092F0B96" w14:textId="7AA088D4" w:rsidR="00872372" w:rsidRPr="00872372" w:rsidRDefault="00872372" w:rsidP="00872372">
      <w:pPr>
        <w:pStyle w:val="Textonotapie"/>
        <w:ind w:firstLine="709"/>
        <w:jc w:val="both"/>
        <w:rPr>
          <w:rFonts w:ascii="Verdana" w:hAnsi="Verdana" w:cs="Arial"/>
          <w:color w:val="000000" w:themeColor="text1"/>
          <w:sz w:val="12"/>
          <w:szCs w:val="12"/>
        </w:rPr>
      </w:pPr>
      <w:r w:rsidRPr="00872372">
        <w:rPr>
          <w:rFonts w:ascii="Verdana" w:hAnsi="Verdana" w:cs="Arial"/>
          <w:color w:val="000000" w:themeColor="text1"/>
          <w:sz w:val="12"/>
          <w:szCs w:val="12"/>
        </w:rPr>
        <w:t>2. El objeto del contrato.</w:t>
      </w:r>
    </w:p>
    <w:p w14:paraId="6CDC2AB8" w14:textId="7BAE3306" w:rsidR="00872372" w:rsidRPr="00872372" w:rsidRDefault="00872372" w:rsidP="00872372">
      <w:pPr>
        <w:pStyle w:val="Textonotapie"/>
        <w:ind w:firstLine="709"/>
        <w:jc w:val="both"/>
        <w:rPr>
          <w:rFonts w:ascii="Verdana" w:hAnsi="Verdana" w:cs="Arial"/>
          <w:color w:val="000000" w:themeColor="text1"/>
          <w:sz w:val="12"/>
          <w:szCs w:val="12"/>
        </w:rPr>
      </w:pPr>
      <w:r w:rsidRPr="00872372">
        <w:rPr>
          <w:rFonts w:ascii="Verdana" w:hAnsi="Verdana" w:cs="Arial"/>
          <w:color w:val="000000" w:themeColor="text1"/>
          <w:sz w:val="12"/>
          <w:szCs w:val="12"/>
        </w:rPr>
        <w:t>3. El presupuesto para la contratación y las condiciones que exigirá al contratista.</w:t>
      </w:r>
    </w:p>
    <w:p w14:paraId="555FBBA5" w14:textId="64E8551A" w:rsidR="00872372" w:rsidRPr="00872372" w:rsidRDefault="00872372" w:rsidP="00872372">
      <w:pPr>
        <w:pStyle w:val="Textonotapie"/>
        <w:ind w:firstLine="709"/>
        <w:jc w:val="both"/>
        <w:rPr>
          <w:rFonts w:ascii="Verdana" w:hAnsi="Verdana" w:cs="Arial"/>
          <w:color w:val="000000" w:themeColor="text1"/>
          <w:sz w:val="12"/>
          <w:szCs w:val="12"/>
        </w:rPr>
      </w:pPr>
      <w:r w:rsidRPr="00872372">
        <w:rPr>
          <w:rFonts w:ascii="Verdana" w:hAnsi="Verdana" w:cs="Arial"/>
          <w:color w:val="000000" w:themeColor="text1"/>
          <w:sz w:val="12"/>
          <w:szCs w:val="12"/>
        </w:rPr>
        <w:t>4. El lugar en el cual los interesados pueden consultar los estudios y documentos previos.</w:t>
      </w:r>
    </w:p>
    <w:p w14:paraId="54AE8ADF" w14:textId="18AD5A6B" w:rsidR="00872372" w:rsidRPr="00872372" w:rsidRDefault="00872372" w:rsidP="00872372">
      <w:pPr>
        <w:pStyle w:val="Textonotapie"/>
        <w:ind w:firstLine="709"/>
        <w:jc w:val="both"/>
        <w:rPr>
          <w:rFonts w:ascii="Verdana" w:hAnsi="Verdana" w:cs="Arial"/>
          <w:color w:val="000000" w:themeColor="text1"/>
          <w:sz w:val="12"/>
          <w:szCs w:val="12"/>
        </w:rPr>
      </w:pPr>
      <w:r w:rsidRPr="00872372">
        <w:rPr>
          <w:rFonts w:ascii="Verdana" w:hAnsi="Verdana" w:cs="Arial"/>
          <w:color w:val="000000" w:themeColor="text1"/>
          <w:sz w:val="12"/>
          <w:szCs w:val="12"/>
        </w:rPr>
        <w:t>Este acto administrativo no es necesario cuando el contrato a celebrar es de prestación de servicios profesionales y de apoyo a la gestión, y para los contratos de que tratan los literales (a) y (b) del artículo 2.2.1.2.1.4.3 del presente decreto</w:t>
      </w:r>
      <w:r>
        <w:rPr>
          <w:rFonts w:ascii="Verdana" w:hAnsi="Verdana" w:cs="Arial"/>
          <w:color w:val="000000" w:themeColor="text1"/>
          <w:sz w:val="12"/>
          <w:szCs w:val="12"/>
        </w:rPr>
        <w:t>”</w:t>
      </w:r>
      <w:r w:rsidRPr="00872372">
        <w:rPr>
          <w:rFonts w:ascii="Verdana" w:hAnsi="Verdana" w:cs="Arial"/>
          <w:color w:val="000000" w:themeColor="text1"/>
          <w:sz w:val="12"/>
          <w:szCs w:val="12"/>
        </w:rPr>
        <w:t>.</w:t>
      </w:r>
    </w:p>
    <w:p w14:paraId="4712765C" w14:textId="77777777" w:rsidR="00872372" w:rsidRPr="00810952" w:rsidRDefault="00872372" w:rsidP="00872372">
      <w:pPr>
        <w:pStyle w:val="Textonotapie"/>
        <w:ind w:firstLine="709"/>
        <w:jc w:val="both"/>
        <w:rPr>
          <w:rFonts w:ascii="Arial" w:hAnsi="Arial" w:cs="Arial"/>
          <w:color w:val="000000" w:themeColor="text1"/>
          <w:sz w:val="19"/>
          <w:szCs w:val="19"/>
        </w:rPr>
      </w:pPr>
    </w:p>
  </w:footnote>
  <w:footnote w:id="12">
    <w:p w14:paraId="2A539019" w14:textId="264B89A1" w:rsidR="00872372" w:rsidRPr="001F502A" w:rsidRDefault="00872372" w:rsidP="001F502A">
      <w:pPr>
        <w:pStyle w:val="Textonotapie"/>
        <w:jc w:val="both"/>
        <w:rPr>
          <w:rFonts w:ascii="Verdana" w:hAnsi="Verdana" w:cs="Arial"/>
          <w:color w:val="000000" w:themeColor="text1"/>
          <w:sz w:val="12"/>
          <w:szCs w:val="12"/>
        </w:rPr>
      </w:pPr>
      <w:r w:rsidRPr="001F502A">
        <w:rPr>
          <w:rStyle w:val="Refdenotaalpie"/>
          <w:rFonts w:ascii="Verdana" w:hAnsi="Verdana" w:cs="Arial"/>
          <w:color w:val="000000" w:themeColor="text1"/>
          <w:sz w:val="12"/>
          <w:szCs w:val="12"/>
        </w:rPr>
        <w:footnoteRef/>
      </w:r>
      <w:r w:rsidRPr="001F502A">
        <w:rPr>
          <w:rFonts w:ascii="Verdana" w:hAnsi="Verdana" w:cs="Arial"/>
          <w:color w:val="000000" w:themeColor="text1"/>
          <w:sz w:val="12"/>
          <w:szCs w:val="12"/>
        </w:rPr>
        <w:t xml:space="preserve"> Esta norma expresa: </w:t>
      </w:r>
      <w:r w:rsidR="00393AE8" w:rsidRPr="001F502A">
        <w:rPr>
          <w:rFonts w:ascii="Verdana" w:hAnsi="Verdana" w:cs="Arial"/>
          <w:color w:val="000000" w:themeColor="text1"/>
          <w:sz w:val="12"/>
          <w:szCs w:val="12"/>
        </w:rPr>
        <w:t>“</w:t>
      </w:r>
      <w:r w:rsidRPr="001F502A">
        <w:rPr>
          <w:rFonts w:ascii="Verdana" w:hAnsi="Verdana" w:cs="Arial"/>
          <w:color w:val="000000" w:themeColor="text1"/>
          <w:sz w:val="12"/>
          <w:szCs w:val="12"/>
        </w:rPr>
        <w:t>Para el cumplimiento de los fines de la contratación, las entidades estatales al celebrar un contrato:</w:t>
      </w:r>
    </w:p>
    <w:p w14:paraId="62CBDF67" w14:textId="77777777" w:rsidR="00872372" w:rsidRPr="001F502A" w:rsidRDefault="00872372" w:rsidP="00872372">
      <w:pPr>
        <w:pStyle w:val="Textonotapie"/>
        <w:ind w:firstLine="709"/>
        <w:jc w:val="both"/>
        <w:rPr>
          <w:rFonts w:ascii="Verdana" w:hAnsi="Verdana" w:cs="Arial"/>
          <w:color w:val="000000" w:themeColor="text1"/>
          <w:sz w:val="12"/>
          <w:szCs w:val="12"/>
        </w:rPr>
      </w:pPr>
      <w:r w:rsidRPr="001F502A">
        <w:rPr>
          <w:rFonts w:ascii="Verdana" w:hAnsi="Verdana" w:cs="Arial"/>
          <w:color w:val="000000" w:themeColor="text1"/>
          <w:sz w:val="12"/>
          <w:szCs w:val="12"/>
        </w:rPr>
        <w:t>[…]</w:t>
      </w:r>
    </w:p>
    <w:p w14:paraId="424667D5" w14:textId="1F43E89E" w:rsidR="00872372" w:rsidRPr="001F502A" w:rsidRDefault="00872372" w:rsidP="00872372">
      <w:pPr>
        <w:pStyle w:val="Textonotapie"/>
        <w:ind w:firstLine="709"/>
        <w:jc w:val="both"/>
        <w:rPr>
          <w:rFonts w:ascii="Verdana" w:hAnsi="Verdana" w:cs="Arial"/>
          <w:color w:val="000000" w:themeColor="text1"/>
          <w:sz w:val="12"/>
          <w:szCs w:val="12"/>
        </w:rPr>
      </w:pPr>
      <w:r w:rsidRPr="001F502A">
        <w:rPr>
          <w:rFonts w:ascii="Verdana" w:hAnsi="Verdana" w:cs="Arial"/>
          <w:color w:val="000000" w:themeColor="text1"/>
          <w:sz w:val="12"/>
          <w:szCs w:val="12"/>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220A220F" w14:textId="0B3FC008" w:rsidR="00872372" w:rsidRPr="001F502A" w:rsidRDefault="00872372" w:rsidP="00872372">
      <w:pPr>
        <w:pStyle w:val="Textonotapie"/>
        <w:ind w:firstLine="709"/>
        <w:jc w:val="both"/>
        <w:rPr>
          <w:rFonts w:ascii="Verdana" w:hAnsi="Verdana" w:cs="Arial"/>
          <w:color w:val="000000" w:themeColor="text1"/>
          <w:sz w:val="12"/>
          <w:szCs w:val="12"/>
        </w:rPr>
      </w:pPr>
      <w:r w:rsidRPr="001F502A">
        <w:rPr>
          <w:rFonts w:ascii="Verdana" w:hAnsi="Verdana" w:cs="Arial"/>
          <w:color w:val="000000" w:themeColor="text1"/>
          <w:sz w:val="12"/>
          <w:szCs w:val="12"/>
        </w:rPr>
        <w:t>Las entidades estatales podrán pactar estas cláusulas en los contratos de suministro y de prestación de servicios.</w:t>
      </w:r>
    </w:p>
    <w:p w14:paraId="79C95E74" w14:textId="78634297" w:rsidR="00872372" w:rsidRPr="00467827" w:rsidRDefault="00872372" w:rsidP="00872372">
      <w:pPr>
        <w:pStyle w:val="Textonotapie"/>
        <w:ind w:firstLine="709"/>
        <w:jc w:val="both"/>
        <w:rPr>
          <w:rFonts w:ascii="Verdana" w:hAnsi="Verdana" w:cs="Arial"/>
          <w:color w:val="000000" w:themeColor="text1"/>
          <w:sz w:val="12"/>
          <w:szCs w:val="12"/>
        </w:rPr>
      </w:pPr>
      <w:r w:rsidRPr="00467827">
        <w:rPr>
          <w:rFonts w:ascii="Verdana" w:hAnsi="Verdana" w:cs="Arial"/>
          <w:color w:val="000000" w:themeColor="text1"/>
          <w:sz w:val="12"/>
          <w:szCs w:val="12"/>
        </w:rPr>
        <w:t>[…]”.</w:t>
      </w:r>
    </w:p>
    <w:p w14:paraId="3D399382" w14:textId="77777777" w:rsidR="00872372" w:rsidRPr="00467827" w:rsidRDefault="00872372" w:rsidP="00872372">
      <w:pPr>
        <w:pStyle w:val="Textonotapie"/>
        <w:ind w:firstLine="709"/>
        <w:jc w:val="both"/>
        <w:rPr>
          <w:rFonts w:ascii="Verdana" w:hAnsi="Verdana" w:cs="Arial"/>
          <w:color w:val="000000" w:themeColor="text1"/>
          <w:sz w:val="12"/>
          <w:szCs w:val="12"/>
        </w:rPr>
      </w:pPr>
    </w:p>
  </w:footnote>
  <w:footnote w:id="13">
    <w:p w14:paraId="64DCB65E" w14:textId="0E2BCC28" w:rsidR="00872372" w:rsidRPr="00467827" w:rsidRDefault="00872372" w:rsidP="001F502A">
      <w:pPr>
        <w:pStyle w:val="Textonotapie"/>
        <w:jc w:val="both"/>
        <w:rPr>
          <w:rFonts w:ascii="Verdana" w:hAnsi="Verdana" w:cs="Arial"/>
          <w:color w:val="000000" w:themeColor="text1"/>
          <w:sz w:val="12"/>
          <w:szCs w:val="12"/>
        </w:rPr>
      </w:pPr>
      <w:r w:rsidRPr="00467827">
        <w:rPr>
          <w:rStyle w:val="Refdenotaalpie"/>
          <w:rFonts w:ascii="Verdana" w:hAnsi="Verdana" w:cs="Arial"/>
          <w:color w:val="000000" w:themeColor="text1"/>
          <w:sz w:val="12"/>
          <w:szCs w:val="12"/>
        </w:rPr>
        <w:footnoteRef/>
      </w:r>
      <w:r w:rsidRPr="00467827">
        <w:rPr>
          <w:rFonts w:ascii="Verdana" w:hAnsi="Verdana" w:cs="Arial"/>
          <w:color w:val="000000" w:themeColor="text1"/>
          <w:sz w:val="12"/>
          <w:szCs w:val="12"/>
        </w:rPr>
        <w:t xml:space="preserve"> La norma dispone: “La liquidación a que se refiere el presente artículo no será obligatoria en los contratos de prestación de servicios profesionales y de apoyo a la gestión”.</w:t>
      </w:r>
    </w:p>
    <w:p w14:paraId="024D33AE" w14:textId="77777777" w:rsidR="00872372" w:rsidRPr="00467827" w:rsidRDefault="00872372" w:rsidP="00872372">
      <w:pPr>
        <w:pStyle w:val="Textonotapie"/>
        <w:ind w:firstLine="709"/>
        <w:jc w:val="both"/>
        <w:rPr>
          <w:rFonts w:ascii="Verdana" w:hAnsi="Verdana" w:cs="Arial"/>
          <w:color w:val="000000" w:themeColor="text1"/>
          <w:sz w:val="12"/>
          <w:szCs w:val="12"/>
        </w:rPr>
      </w:pPr>
    </w:p>
  </w:footnote>
  <w:footnote w:id="14">
    <w:p w14:paraId="66C45387" w14:textId="6522B7C2" w:rsidR="00872372" w:rsidRPr="00467827" w:rsidRDefault="00872372" w:rsidP="001F502A">
      <w:pPr>
        <w:pStyle w:val="Textonotapie"/>
        <w:jc w:val="both"/>
        <w:rPr>
          <w:rFonts w:ascii="Verdana" w:hAnsi="Verdana" w:cs="Arial"/>
          <w:color w:val="000000" w:themeColor="text1"/>
          <w:sz w:val="12"/>
          <w:szCs w:val="12"/>
        </w:rPr>
      </w:pPr>
      <w:r w:rsidRPr="00467827">
        <w:rPr>
          <w:rStyle w:val="Refdenotaalpie"/>
          <w:rFonts w:ascii="Verdana" w:hAnsi="Verdana" w:cs="Arial"/>
          <w:color w:val="000000" w:themeColor="text1"/>
          <w:sz w:val="12"/>
          <w:szCs w:val="12"/>
        </w:rPr>
        <w:footnoteRef/>
      </w:r>
      <w:r w:rsidRPr="00467827">
        <w:rPr>
          <w:rFonts w:ascii="Verdana" w:hAnsi="Verdana" w:cs="Arial"/>
          <w:color w:val="000000" w:themeColor="text1"/>
          <w:sz w:val="12"/>
          <w:szCs w:val="12"/>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14C56087" w14:textId="21F7CBB6" w:rsidR="00872372" w:rsidRPr="00467827" w:rsidRDefault="00872372" w:rsidP="00872372">
      <w:pPr>
        <w:pStyle w:val="Textonotapie"/>
        <w:ind w:firstLine="709"/>
        <w:jc w:val="both"/>
        <w:rPr>
          <w:rFonts w:ascii="Verdana" w:hAnsi="Verdana" w:cs="Arial"/>
          <w:color w:val="000000" w:themeColor="text1"/>
          <w:sz w:val="12"/>
          <w:szCs w:val="12"/>
        </w:rPr>
      </w:pPr>
      <w:r w:rsidRPr="00467827">
        <w:rPr>
          <w:rFonts w:ascii="Verdana" w:hAnsi="Verdana" w:cs="Arial"/>
          <w:color w:val="000000" w:themeColor="text1"/>
          <w:sz w:val="12"/>
          <w:szCs w:val="12"/>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7314D689" w14:textId="3A526560" w:rsidR="00872372" w:rsidRPr="00467827" w:rsidRDefault="00872372" w:rsidP="00872372">
      <w:pPr>
        <w:pStyle w:val="Textonotapie"/>
        <w:ind w:firstLine="709"/>
        <w:jc w:val="both"/>
        <w:rPr>
          <w:rFonts w:ascii="Verdana" w:hAnsi="Verdana" w:cs="Arial"/>
          <w:color w:val="000000" w:themeColor="text1"/>
          <w:sz w:val="12"/>
          <w:szCs w:val="12"/>
        </w:rPr>
      </w:pPr>
      <w:r w:rsidRPr="00467827">
        <w:rPr>
          <w:rFonts w:ascii="Verdana" w:hAnsi="Verdana" w:cs="Arial"/>
          <w:color w:val="000000" w:themeColor="text1"/>
          <w:sz w:val="12"/>
          <w:szCs w:val="12"/>
        </w:rPr>
        <w:t>[…]”.</w:t>
      </w:r>
    </w:p>
    <w:p w14:paraId="01772828" w14:textId="77777777" w:rsidR="00872372" w:rsidRPr="00467827" w:rsidRDefault="00872372" w:rsidP="00872372">
      <w:pPr>
        <w:pStyle w:val="Textonotapie"/>
        <w:ind w:firstLine="709"/>
        <w:jc w:val="both"/>
        <w:rPr>
          <w:rFonts w:ascii="Verdana" w:hAnsi="Verdana" w:cs="Arial"/>
          <w:color w:val="000000" w:themeColor="text1"/>
          <w:sz w:val="12"/>
          <w:szCs w:val="12"/>
        </w:rPr>
      </w:pPr>
    </w:p>
  </w:footnote>
  <w:footnote w:id="15">
    <w:p w14:paraId="534C26AD" w14:textId="0698DD2E" w:rsidR="00872372" w:rsidRPr="00467827" w:rsidRDefault="00872372" w:rsidP="001F502A">
      <w:pPr>
        <w:pStyle w:val="Textonotapie"/>
        <w:jc w:val="both"/>
        <w:rPr>
          <w:rFonts w:ascii="Verdana" w:hAnsi="Verdana" w:cs="Arial"/>
          <w:color w:val="000000" w:themeColor="text1"/>
          <w:sz w:val="12"/>
          <w:szCs w:val="12"/>
        </w:rPr>
      </w:pPr>
      <w:r w:rsidRPr="00467827">
        <w:rPr>
          <w:rStyle w:val="Refdenotaalpie"/>
          <w:rFonts w:ascii="Verdana" w:hAnsi="Verdana" w:cs="Arial"/>
          <w:color w:val="000000" w:themeColor="text1"/>
          <w:sz w:val="12"/>
          <w:szCs w:val="12"/>
        </w:rPr>
        <w:footnoteRef/>
      </w:r>
      <w:r w:rsidRPr="00467827">
        <w:rPr>
          <w:rFonts w:ascii="Verdana" w:hAnsi="Verdana" w:cs="Arial"/>
          <w:color w:val="000000" w:themeColor="text1"/>
          <w:sz w:val="12"/>
          <w:szCs w:val="12"/>
        </w:rPr>
        <w:t xml:space="preserve"> 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2B7491C4" w14:textId="77777777" w:rsidR="00872372" w:rsidRPr="00810952" w:rsidRDefault="00872372" w:rsidP="00872372">
      <w:pPr>
        <w:pStyle w:val="Textonotapie"/>
        <w:ind w:firstLine="709"/>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intelligence2.xml><?xml version="1.0" encoding="utf-8"?>
<int2:intelligence xmlns:int2="http://schemas.microsoft.com/office/intelligence/2020/intelligence" xmlns:oel="http://schemas.microsoft.com/office/2019/extlst">
  <int2:observations>
    <int2:bookmark int2:bookmarkName="_Int_LacVkw8w" int2:invalidationBookmarkName="" int2:hashCode="RrU26OB0Icy0mN" int2:id="11xrX5Z3">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92"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08455A"/>
    <w:multiLevelType w:val="hybridMultilevel"/>
    <w:tmpl w:val="159431F2"/>
    <w:lvl w:ilvl="0" w:tplc="3FF6556A">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9" w15:restartNumberingAfterBreak="0">
    <w:nsid w:val="4AB547F9"/>
    <w:multiLevelType w:val="hybridMultilevel"/>
    <w:tmpl w:val="46489966"/>
    <w:lvl w:ilvl="0" w:tplc="FB5A47F8">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0" w15:restartNumberingAfterBreak="0">
    <w:nsid w:val="58847F49"/>
    <w:multiLevelType w:val="hybridMultilevel"/>
    <w:tmpl w:val="64FEEC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4"/>
  </w:num>
  <w:num w:numId="7" w16cid:durableId="1946422806">
    <w:abstractNumId w:val="4"/>
  </w:num>
  <w:num w:numId="8" w16cid:durableId="152644682">
    <w:abstractNumId w:val="13"/>
  </w:num>
  <w:num w:numId="9" w16cid:durableId="1317221377">
    <w:abstractNumId w:val="6"/>
  </w:num>
  <w:num w:numId="10" w16cid:durableId="1471245386">
    <w:abstractNumId w:val="12"/>
  </w:num>
  <w:num w:numId="11" w16cid:durableId="289172385">
    <w:abstractNumId w:val="7"/>
  </w:num>
  <w:num w:numId="12" w16cid:durableId="1470781324">
    <w:abstractNumId w:val="0"/>
  </w:num>
  <w:num w:numId="13" w16cid:durableId="1512908409">
    <w:abstractNumId w:val="2"/>
  </w:num>
  <w:num w:numId="14" w16cid:durableId="895897244">
    <w:abstractNumId w:val="15"/>
  </w:num>
  <w:num w:numId="15" w16cid:durableId="390349800">
    <w:abstractNumId w:val="11"/>
  </w:num>
  <w:num w:numId="16" w16cid:durableId="2095467895">
    <w:abstractNumId w:val="8"/>
  </w:num>
  <w:num w:numId="17" w16cid:durableId="1937250718">
    <w:abstractNumId w:val="9"/>
  </w:num>
  <w:num w:numId="18" w16cid:durableId="3703451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proofState w:spelling="clean" w:grammar="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3750"/>
    <w:rsid w:val="00014196"/>
    <w:rsid w:val="00016F78"/>
    <w:rsid w:val="000321B5"/>
    <w:rsid w:val="00046945"/>
    <w:rsid w:val="00047EBC"/>
    <w:rsid w:val="0005386B"/>
    <w:rsid w:val="00061B2A"/>
    <w:rsid w:val="00082362"/>
    <w:rsid w:val="000877CE"/>
    <w:rsid w:val="00094C03"/>
    <w:rsid w:val="000A683E"/>
    <w:rsid w:val="000B19B9"/>
    <w:rsid w:val="000D0334"/>
    <w:rsid w:val="000F6486"/>
    <w:rsid w:val="00103C28"/>
    <w:rsid w:val="0011482D"/>
    <w:rsid w:val="00116E61"/>
    <w:rsid w:val="00125105"/>
    <w:rsid w:val="00127233"/>
    <w:rsid w:val="001443A8"/>
    <w:rsid w:val="001511A0"/>
    <w:rsid w:val="00166B45"/>
    <w:rsid w:val="00174222"/>
    <w:rsid w:val="001905F0"/>
    <w:rsid w:val="0019131E"/>
    <w:rsid w:val="001B34DA"/>
    <w:rsid w:val="001C0104"/>
    <w:rsid w:val="001C478C"/>
    <w:rsid w:val="001E4177"/>
    <w:rsid w:val="001F502A"/>
    <w:rsid w:val="001F7DC6"/>
    <w:rsid w:val="002174CB"/>
    <w:rsid w:val="002241F6"/>
    <w:rsid w:val="00227136"/>
    <w:rsid w:val="00233062"/>
    <w:rsid w:val="002421BB"/>
    <w:rsid w:val="002562C6"/>
    <w:rsid w:val="0025796E"/>
    <w:rsid w:val="00261D93"/>
    <w:rsid w:val="00263C39"/>
    <w:rsid w:val="002707A2"/>
    <w:rsid w:val="002870EB"/>
    <w:rsid w:val="002951A0"/>
    <w:rsid w:val="002962BC"/>
    <w:rsid w:val="002A093D"/>
    <w:rsid w:val="002A0DD0"/>
    <w:rsid w:val="002A49AC"/>
    <w:rsid w:val="002A64FD"/>
    <w:rsid w:val="002B1C02"/>
    <w:rsid w:val="002C789D"/>
    <w:rsid w:val="002C7A84"/>
    <w:rsid w:val="002E17B0"/>
    <w:rsid w:val="002E4FD9"/>
    <w:rsid w:val="00305F73"/>
    <w:rsid w:val="003107CB"/>
    <w:rsid w:val="00311E31"/>
    <w:rsid w:val="00322A85"/>
    <w:rsid w:val="00324168"/>
    <w:rsid w:val="0033594F"/>
    <w:rsid w:val="003448F4"/>
    <w:rsid w:val="003539A0"/>
    <w:rsid w:val="00374F5E"/>
    <w:rsid w:val="003758CD"/>
    <w:rsid w:val="00377E3E"/>
    <w:rsid w:val="003907AE"/>
    <w:rsid w:val="00393AE8"/>
    <w:rsid w:val="003A779E"/>
    <w:rsid w:val="003C6E40"/>
    <w:rsid w:val="003D0F4D"/>
    <w:rsid w:val="003D5B0D"/>
    <w:rsid w:val="003E0499"/>
    <w:rsid w:val="003E6D68"/>
    <w:rsid w:val="003F3941"/>
    <w:rsid w:val="003F4FD8"/>
    <w:rsid w:val="003F57E9"/>
    <w:rsid w:val="004043AD"/>
    <w:rsid w:val="00406575"/>
    <w:rsid w:val="0041193C"/>
    <w:rsid w:val="00414C74"/>
    <w:rsid w:val="0042722E"/>
    <w:rsid w:val="00430844"/>
    <w:rsid w:val="00432A6E"/>
    <w:rsid w:val="004417AC"/>
    <w:rsid w:val="0044528D"/>
    <w:rsid w:val="004461EA"/>
    <w:rsid w:val="00447650"/>
    <w:rsid w:val="00447950"/>
    <w:rsid w:val="00454C28"/>
    <w:rsid w:val="00457AF5"/>
    <w:rsid w:val="00467827"/>
    <w:rsid w:val="00497F7E"/>
    <w:rsid w:val="004A1847"/>
    <w:rsid w:val="004A305D"/>
    <w:rsid w:val="004A503E"/>
    <w:rsid w:val="004F21C4"/>
    <w:rsid w:val="004F685F"/>
    <w:rsid w:val="005122DA"/>
    <w:rsid w:val="0051517B"/>
    <w:rsid w:val="00544DBF"/>
    <w:rsid w:val="005566E8"/>
    <w:rsid w:val="005603B2"/>
    <w:rsid w:val="005736E3"/>
    <w:rsid w:val="00574867"/>
    <w:rsid w:val="005906D4"/>
    <w:rsid w:val="00591460"/>
    <w:rsid w:val="00596413"/>
    <w:rsid w:val="005A3B7F"/>
    <w:rsid w:val="005B1E3D"/>
    <w:rsid w:val="005B3816"/>
    <w:rsid w:val="005C3777"/>
    <w:rsid w:val="005C5BFA"/>
    <w:rsid w:val="005C5CDC"/>
    <w:rsid w:val="005D476C"/>
    <w:rsid w:val="005D602C"/>
    <w:rsid w:val="006055B8"/>
    <w:rsid w:val="006116BE"/>
    <w:rsid w:val="006219F8"/>
    <w:rsid w:val="0062368D"/>
    <w:rsid w:val="0063453B"/>
    <w:rsid w:val="006356D3"/>
    <w:rsid w:val="0064460E"/>
    <w:rsid w:val="00647506"/>
    <w:rsid w:val="00665D70"/>
    <w:rsid w:val="00667566"/>
    <w:rsid w:val="00686883"/>
    <w:rsid w:val="006900D9"/>
    <w:rsid w:val="006B5495"/>
    <w:rsid w:val="006C45B6"/>
    <w:rsid w:val="006C7662"/>
    <w:rsid w:val="006D2BBB"/>
    <w:rsid w:val="006D62E9"/>
    <w:rsid w:val="006E1F1F"/>
    <w:rsid w:val="006F58CB"/>
    <w:rsid w:val="00702A59"/>
    <w:rsid w:val="00706C16"/>
    <w:rsid w:val="00712477"/>
    <w:rsid w:val="00730BB3"/>
    <w:rsid w:val="00745806"/>
    <w:rsid w:val="00756841"/>
    <w:rsid w:val="00763F64"/>
    <w:rsid w:val="007649AB"/>
    <w:rsid w:val="007709AA"/>
    <w:rsid w:val="00771D0C"/>
    <w:rsid w:val="00776AF3"/>
    <w:rsid w:val="0077715A"/>
    <w:rsid w:val="007833AC"/>
    <w:rsid w:val="0079069F"/>
    <w:rsid w:val="00792390"/>
    <w:rsid w:val="007A4EEE"/>
    <w:rsid w:val="007B268C"/>
    <w:rsid w:val="007B622C"/>
    <w:rsid w:val="007B7171"/>
    <w:rsid w:val="007C0C0F"/>
    <w:rsid w:val="007C3DC2"/>
    <w:rsid w:val="007D123F"/>
    <w:rsid w:val="007D41A0"/>
    <w:rsid w:val="007E5497"/>
    <w:rsid w:val="00806F5F"/>
    <w:rsid w:val="00820278"/>
    <w:rsid w:val="00827545"/>
    <w:rsid w:val="00857459"/>
    <w:rsid w:val="00860EE2"/>
    <w:rsid w:val="00867F95"/>
    <w:rsid w:val="00872372"/>
    <w:rsid w:val="008767A5"/>
    <w:rsid w:val="008843B6"/>
    <w:rsid w:val="00891928"/>
    <w:rsid w:val="008936A2"/>
    <w:rsid w:val="0089499F"/>
    <w:rsid w:val="008A446D"/>
    <w:rsid w:val="008A4C8C"/>
    <w:rsid w:val="008C2271"/>
    <w:rsid w:val="008C2657"/>
    <w:rsid w:val="008D180B"/>
    <w:rsid w:val="008D3B6B"/>
    <w:rsid w:val="008D71B9"/>
    <w:rsid w:val="008F0EA7"/>
    <w:rsid w:val="008F1355"/>
    <w:rsid w:val="008F7369"/>
    <w:rsid w:val="00904F24"/>
    <w:rsid w:val="00914406"/>
    <w:rsid w:val="00923EEF"/>
    <w:rsid w:val="00925AA7"/>
    <w:rsid w:val="009419F9"/>
    <w:rsid w:val="00947636"/>
    <w:rsid w:val="009477B2"/>
    <w:rsid w:val="00947B3A"/>
    <w:rsid w:val="00950F03"/>
    <w:rsid w:val="0095685E"/>
    <w:rsid w:val="00961B09"/>
    <w:rsid w:val="00965334"/>
    <w:rsid w:val="0097093E"/>
    <w:rsid w:val="00986AC5"/>
    <w:rsid w:val="009901FB"/>
    <w:rsid w:val="00997E9D"/>
    <w:rsid w:val="009A0DFA"/>
    <w:rsid w:val="009B2D26"/>
    <w:rsid w:val="009B6BDE"/>
    <w:rsid w:val="009C71FA"/>
    <w:rsid w:val="009C72E7"/>
    <w:rsid w:val="009D3058"/>
    <w:rsid w:val="009E10B7"/>
    <w:rsid w:val="009E4433"/>
    <w:rsid w:val="009F3A13"/>
    <w:rsid w:val="00A122D3"/>
    <w:rsid w:val="00A17F13"/>
    <w:rsid w:val="00A20739"/>
    <w:rsid w:val="00A3294E"/>
    <w:rsid w:val="00A33C78"/>
    <w:rsid w:val="00A6542F"/>
    <w:rsid w:val="00A740D7"/>
    <w:rsid w:val="00A80F04"/>
    <w:rsid w:val="00A90027"/>
    <w:rsid w:val="00AB0ADB"/>
    <w:rsid w:val="00AB3EA2"/>
    <w:rsid w:val="00AB4EA4"/>
    <w:rsid w:val="00AB6D81"/>
    <w:rsid w:val="00AC6AB1"/>
    <w:rsid w:val="00AD68FA"/>
    <w:rsid w:val="00B01B1A"/>
    <w:rsid w:val="00B14116"/>
    <w:rsid w:val="00B35874"/>
    <w:rsid w:val="00B50D81"/>
    <w:rsid w:val="00B63ADA"/>
    <w:rsid w:val="00B66319"/>
    <w:rsid w:val="00B72CD3"/>
    <w:rsid w:val="00B72FFF"/>
    <w:rsid w:val="00B76A6F"/>
    <w:rsid w:val="00B93CEF"/>
    <w:rsid w:val="00BA54C1"/>
    <w:rsid w:val="00BB2EE9"/>
    <w:rsid w:val="00BC3D36"/>
    <w:rsid w:val="00BD7F72"/>
    <w:rsid w:val="00BE77AA"/>
    <w:rsid w:val="00BF6950"/>
    <w:rsid w:val="00C04FB3"/>
    <w:rsid w:val="00C200BE"/>
    <w:rsid w:val="00C247F0"/>
    <w:rsid w:val="00C330EB"/>
    <w:rsid w:val="00C37D16"/>
    <w:rsid w:val="00C41061"/>
    <w:rsid w:val="00C50853"/>
    <w:rsid w:val="00C5252B"/>
    <w:rsid w:val="00C71B0A"/>
    <w:rsid w:val="00C754BE"/>
    <w:rsid w:val="00C76B1C"/>
    <w:rsid w:val="00C96D74"/>
    <w:rsid w:val="00CB6357"/>
    <w:rsid w:val="00CB699E"/>
    <w:rsid w:val="00CC1B26"/>
    <w:rsid w:val="00CD267C"/>
    <w:rsid w:val="00CE1F88"/>
    <w:rsid w:val="00D0341A"/>
    <w:rsid w:val="00D14C12"/>
    <w:rsid w:val="00D21386"/>
    <w:rsid w:val="00D35AFE"/>
    <w:rsid w:val="00D423A2"/>
    <w:rsid w:val="00D520D8"/>
    <w:rsid w:val="00D63AC2"/>
    <w:rsid w:val="00D6626B"/>
    <w:rsid w:val="00D6782B"/>
    <w:rsid w:val="00D7266F"/>
    <w:rsid w:val="00D7383B"/>
    <w:rsid w:val="00D9627F"/>
    <w:rsid w:val="00DA231B"/>
    <w:rsid w:val="00DC39FC"/>
    <w:rsid w:val="00DD58B1"/>
    <w:rsid w:val="00DD60B6"/>
    <w:rsid w:val="00DF5254"/>
    <w:rsid w:val="00E007CB"/>
    <w:rsid w:val="00E16408"/>
    <w:rsid w:val="00E20894"/>
    <w:rsid w:val="00E20B9C"/>
    <w:rsid w:val="00E245AB"/>
    <w:rsid w:val="00E2764C"/>
    <w:rsid w:val="00E27F2E"/>
    <w:rsid w:val="00E50AFE"/>
    <w:rsid w:val="00E735FA"/>
    <w:rsid w:val="00E75C92"/>
    <w:rsid w:val="00E771DC"/>
    <w:rsid w:val="00E8772A"/>
    <w:rsid w:val="00E90F6B"/>
    <w:rsid w:val="00E92C27"/>
    <w:rsid w:val="00EA0E3D"/>
    <w:rsid w:val="00EA5381"/>
    <w:rsid w:val="00EC38A7"/>
    <w:rsid w:val="00ED7384"/>
    <w:rsid w:val="00EE1AA8"/>
    <w:rsid w:val="00EF6BA8"/>
    <w:rsid w:val="00F3052D"/>
    <w:rsid w:val="00F31EDC"/>
    <w:rsid w:val="00F35718"/>
    <w:rsid w:val="00F462B3"/>
    <w:rsid w:val="00F51D21"/>
    <w:rsid w:val="00F5664F"/>
    <w:rsid w:val="00F65183"/>
    <w:rsid w:val="00F666C4"/>
    <w:rsid w:val="00F76AFC"/>
    <w:rsid w:val="00FA47C0"/>
    <w:rsid w:val="00FB2C0A"/>
    <w:rsid w:val="00FB5DD1"/>
    <w:rsid w:val="00FB7B5E"/>
    <w:rsid w:val="00FC2B5D"/>
    <w:rsid w:val="00FC5902"/>
    <w:rsid w:val="00FD5DC1"/>
    <w:rsid w:val="00FF1449"/>
    <w:rsid w:val="0314C565"/>
    <w:rsid w:val="0BC3D3E5"/>
    <w:rsid w:val="0D6F2D54"/>
    <w:rsid w:val="0DD50BAC"/>
    <w:rsid w:val="13A89E70"/>
    <w:rsid w:val="144903E5"/>
    <w:rsid w:val="14A266E8"/>
    <w:rsid w:val="16DF34A6"/>
    <w:rsid w:val="1B4757AF"/>
    <w:rsid w:val="1BCA3366"/>
    <w:rsid w:val="1C3718A9"/>
    <w:rsid w:val="2B02FD70"/>
    <w:rsid w:val="2E8B0DF5"/>
    <w:rsid w:val="2F8EB919"/>
    <w:rsid w:val="345FC5D8"/>
    <w:rsid w:val="3BA65BFA"/>
    <w:rsid w:val="409B1A57"/>
    <w:rsid w:val="4F8E3060"/>
    <w:rsid w:val="6614BA2F"/>
    <w:rsid w:val="6BA808DF"/>
    <w:rsid w:val="784E1C9D"/>
    <w:rsid w:val="789E5C4F"/>
    <w:rsid w:val="7C35D316"/>
    <w:rsid w:val="7C6501C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9F6DA3F4-4B49-4000-A647-8E754ED97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E10B7"/>
    <w:rPr>
      <w:rFonts w:ascii="Geomanist Light" w:hAnsi="Geomanist Light"/>
      <w:lang w:val="es-ES"/>
    </w:rPr>
  </w:style>
  <w:style w:type="paragraph" w:styleId="Textoindependiente">
    <w:name w:val="Body Text"/>
    <w:basedOn w:val="Normal"/>
    <w:link w:val="TextoindependienteCar"/>
    <w:uiPriority w:val="1"/>
    <w:qFormat/>
    <w:rsid w:val="006D62E9"/>
    <w:pPr>
      <w:widowControl w:val="0"/>
      <w:autoSpaceDE w:val="0"/>
      <w:autoSpaceDN w:val="0"/>
      <w:spacing w:after="0" w:line="240" w:lineRule="auto"/>
    </w:pPr>
    <w:rPr>
      <w:rFonts w:ascii="Arial" w:eastAsia="Arial" w:hAnsi="Arial" w:cs="Arial"/>
      <w:i/>
      <w:sz w:val="20"/>
      <w:szCs w:val="20"/>
      <w:lang w:val="es-ES"/>
    </w:rPr>
  </w:style>
  <w:style w:type="character" w:customStyle="1" w:styleId="TextoindependienteCar">
    <w:name w:val="Texto independiente Car"/>
    <w:basedOn w:val="Fuentedeprrafopredeter"/>
    <w:link w:val="Textoindependiente"/>
    <w:uiPriority w:val="1"/>
    <w:rsid w:val="006D62E9"/>
    <w:rPr>
      <w:rFonts w:ascii="Arial" w:eastAsia="Arial" w:hAnsi="Arial" w:cs="Arial"/>
      <w:i/>
      <w:sz w:val="20"/>
      <w:szCs w:val="20"/>
      <w:lang w:val="es-ES"/>
    </w:rPr>
  </w:style>
  <w:style w:type="table" w:customStyle="1" w:styleId="Tablaconcuadrcula11">
    <w:name w:val="Tabla con cuadrícula11"/>
    <w:basedOn w:val="Tablanormal"/>
    <w:next w:val="Tablaconcuadrcula"/>
    <w:uiPriority w:val="59"/>
    <w:qFormat/>
    <w:rsid w:val="00C200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wp-admin/edit.php?s=ley+1150&amp;post_status=all&amp;post_type=normativa&amp;action=-1&amp;m=0&amp;paged=1&amp;action2=-1" TargetMode="External"/><Relationship Id="rId18" Type="http://schemas.openxmlformats.org/officeDocument/2006/relationships/hyperlink" Target="https://nam02.safelinks.protection.outlook.com/?url=https%3A%2F%2Fwww.colombiacompra.gov.co%2Fcontent%2Fborrador-de-documentos-tipo-de-consultoria-de-obra-publica-de-infraestructura-de-transporte&amp;data=05%7C02%7Ckelmis.bruges%40colombiacompra.gov.co%7C096eca3fdcca424ff1c708dcf932f947%7C7b09041e245149d08cb179d5e3d8c1be%7C0%7C0%7C638659244557793956%7CUnknown%7CTWFpbGZsb3d8eyJWIjoiMC4wLjAwMDAiLCJQIjoiV2luMzIiLCJBTiI6Ik1haWwiLCJXVCI6Mn0%3D%7C0%7C%7C%7C&amp;sdata=NONvjuNsqFK1Enw6vT3xdBLX%2F0DYMXnDXH6TULKIsaM%3D&amp;reserved=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sala-de-prensa%2Fboletin-digital&amp;data=05%7C02%7Ckelmis.bruges%40colombiacompra.gov.co%7C096eca3fdcca424ff1c708dcf932f947%7C7b09041e245149d08cb179d5e3d8c1be%7C0%7C0%7C638659244557858594%7CUnknown%7CTWFpbGZsb3d8eyJWIjoiMC4wLjAwMDAiLCJQIjoiV2luMzIiLCJBTiI6Ik1haWwiLCJXVCI6Mn0%3D%7C0%7C%7C%7C&amp;sdata=SBnjbSygyhNOMiCgT2zhmixX0qrmj7nCaR4HIzQsWlo%3D&amp;reserved=0" TargetMode="External"/><Relationship Id="rId7" Type="http://schemas.openxmlformats.org/officeDocument/2006/relationships/webSettings" Target="webSettings.xml"/><Relationship Id="rId12" Type="http://schemas.openxmlformats.org/officeDocument/2006/relationships/hyperlink" Target="https://relatoria.colombiacompra.gov.co/wp-admin/edit.php?s=Ley+80&amp;post_status=all&amp;post_type=normativa&amp;action=-1&amp;m=0&amp;paged=1&amp;action2=-1" TargetMode="External"/><Relationship Id="rId17" Type="http://schemas.openxmlformats.org/officeDocument/2006/relationships/hyperlink" Target="https://nam02.safelinks.protection.outlook.com/?url=https%3A%2F%2Frelatoria.colombiacompra.gov.co%2F&amp;data=05%7C02%7Cjhonattan.gualdron%40colombiacompra.gov.co%7C5aad36a736844ec87b2108dcc1fa4639%7C7b09041e245149d08cb179d5e3d8c1be%7C0%7C0%7C638598527917246155%7CUnknown%7CTWFpbGZsb3d8eyJWIjoiMC4wLjAwMDAiLCJQIjoiV2luMzIiLCJBTiI6Ik1haWwiLCJXVCI6Mn0%3D%7C0%7C%7C%7C&amp;sdata=vvr1bncg52balnsi4t%2FCslEkQPef8NiUUqg4Qj8a7c8%3D&amp;reserved=0"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relatoria.colombiacompra.gov.co/wp-admin/edit.php?s=Decreto+2411+de+2019&amp;post_status=all&amp;post_type=normativa&amp;action=-1&amp;m=0&amp;paged=1&amp;action2=-1" TargetMode="External"/><Relationship Id="rId20" Type="http://schemas.openxmlformats.org/officeDocument/2006/relationships/hyperlink" Target="https://nam02.safelinks.protection.outlook.com/?url=https%3A%2F%2Fwww.sucop.gov.co%2Fentidades%2Fcolombiacompra%2FNormativa%3FIDNorma%3D18320&amp;data=05%7C02%7Ckelmis.bruges%40colombiacompra.gov.co%7C096eca3fdcca424ff1c708dcf932f947%7C7b09041e245149d08cb179d5e3d8c1be%7C0%7C0%7C638659244557840711%7CUnknown%7CTWFpbGZsb3d8eyJWIjoiMC4wLjAwMDAiLCJQIjoiV2luMzIiLCJBTiI6Ik1haWwiLCJXVCI6Mn0%3D%7C0%7C%7C%7C&amp;sdata=i8t39ge82bAwFEJTEviOC8pYjtd6b7iRL2D4fPnyyIo%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yda2505@gmail.com"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relatoria.colombiacompra.gov.co/wp-admin/edit.php?s=Decreto+1068&amp;post_status=all&amp;post_type=normativa&amp;action=-1&amp;m=0&amp;paged=1&amp;action2=-1" TargetMode="External"/><Relationship Id="rId23"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hyperlink" Target="https://nam02.safelinks.protection.outlook.com/?url=https%3A%2F%2Fwww.colombiacompra.gov.co%2Fcontent%2Fborrador-de-documentos-tipo-de-interventoria-de-obra-publica-de-infraestructura-de&amp;data=05%7C02%7Ckelmis.bruges%40colombiacompra.gov.co%7C096eca3fdcca424ff1c708dcf932f947%7C7b09041e245149d08cb179d5e3d8c1be%7C0%7C0%7C638659244557816541%7CUnknown%7CTWFpbGZsb3d8eyJWIjoiMC4wLjAwMDAiLCJQIjoiV2luMzIiLCJBTiI6Ik1haWwiLCJXVCI6Mn0%3D%7C0%7C%7C%7C&amp;sdata=PlHDSUVCDKvJbNofa1VPZlMCz%2BWPKRWPE%2FErtSAGQVI%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wp-admin/edit.php?s=Decreto+1082+de+2015&amp;post_status=all&amp;post_type=normativa&amp;action=-1&amp;m=0&amp;paged=1&amp;action2=-1" TargetMode="External"/><Relationship Id="rId22" Type="http://schemas.openxmlformats.org/officeDocument/2006/relationships/image" Target="media/image3.png"/><Relationship Id="rId27" Type="http://schemas.microsoft.com/office/2020/10/relationships/intelligence" Target="intelligence2.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3.xml><?xml version="1.0" encoding="utf-8"?>
<ds:datastoreItem xmlns:ds="http://schemas.openxmlformats.org/officeDocument/2006/customXml" ds:itemID="{EC376DE1-BE99-42B4-BD1A-7E4F68016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6678</Words>
  <Characters>36733</Characters>
  <Application>Microsoft Office Word</Application>
  <DocSecurity>0</DocSecurity>
  <Lines>306</Lines>
  <Paragraphs>86</Paragraphs>
  <ScaleCrop>false</ScaleCrop>
  <Company/>
  <LinksUpToDate>false</LinksUpToDate>
  <CharactersWithSpaces>43325</CharactersWithSpaces>
  <SharedDoc>false</SharedDoc>
  <HLinks>
    <vt:vector size="66" baseType="variant">
      <vt:variant>
        <vt:i4>3997736</vt:i4>
      </vt:variant>
      <vt:variant>
        <vt:i4>30</vt:i4>
      </vt:variant>
      <vt:variant>
        <vt:i4>0</vt:i4>
      </vt:variant>
      <vt:variant>
        <vt:i4>5</vt:i4>
      </vt:variant>
      <vt:variant>
        <vt:lpwstr>https://nam02.safelinks.protection.outlook.com/?url=https%3A%2F%2Fwww.colombiacompra.gov.co%2Fsala-de-prensa%2Fboletin-digital&amp;data=05%7C02%7Ckelmis.bruges%40colombiacompra.gov.co%7C096eca3fdcca424ff1c708dcf932f947%7C7b09041e245149d08cb179d5e3d8c1be%7C0%7C0%7C638659244557858594%7CUnknown%7CTWFpbGZsb3d8eyJWIjoiMC4wLjAwMDAiLCJQIjoiV2luMzIiLCJBTiI6Ik1haWwiLCJXVCI6Mn0%3D%7C0%7C%7C%7C&amp;sdata=SBnjbSygyhNOMiCgT2zhmixX0qrmj7nCaR4HIzQsWlo%3D&amp;reserved=0</vt:lpwstr>
      </vt:variant>
      <vt:variant>
        <vt:lpwstr/>
      </vt:variant>
      <vt:variant>
        <vt:i4>2359337</vt:i4>
      </vt:variant>
      <vt:variant>
        <vt:i4>27</vt:i4>
      </vt:variant>
      <vt:variant>
        <vt:i4>0</vt:i4>
      </vt:variant>
      <vt:variant>
        <vt:i4>5</vt:i4>
      </vt:variant>
      <vt:variant>
        <vt:lpwstr>https://nam02.safelinks.protection.outlook.com/?url=https%3A%2F%2Fwww.sucop.gov.co%2Fentidades%2Fcolombiacompra%2FNormativa%3FIDNorma%3D18320&amp;data=05%7C02%7Ckelmis.bruges%40colombiacompra.gov.co%7C096eca3fdcca424ff1c708dcf932f947%7C7b09041e245149d08cb179d5e3d8c1be%7C0%7C0%7C638659244557840711%7CUnknown%7CTWFpbGZsb3d8eyJWIjoiMC4wLjAwMDAiLCJQIjoiV2luMzIiLCJBTiI6Ik1haWwiLCJXVCI6Mn0%3D%7C0%7C%7C%7C&amp;sdata=i8t39ge82bAwFEJTEviOC8pYjtd6b7iRL2D4fPnyyIo%3D&amp;reserved=0</vt:lpwstr>
      </vt:variant>
      <vt:variant>
        <vt:lpwstr/>
      </vt:variant>
      <vt:variant>
        <vt:i4>3538999</vt:i4>
      </vt:variant>
      <vt:variant>
        <vt:i4>24</vt:i4>
      </vt:variant>
      <vt:variant>
        <vt:i4>0</vt:i4>
      </vt:variant>
      <vt:variant>
        <vt:i4>5</vt:i4>
      </vt:variant>
      <vt:variant>
        <vt:lpwstr>https://nam02.safelinks.protection.outlook.com/?url=https%3A%2F%2Fwww.colombiacompra.gov.co%2Fcontent%2Fborrador-de-documentos-tipo-de-interventoria-de-obra-publica-de-infraestructura-de&amp;data=05%7C02%7Ckelmis.bruges%40colombiacompra.gov.co%7C096eca3fdcca424ff1c708dcf932f947%7C7b09041e245149d08cb179d5e3d8c1be%7C0%7C0%7C638659244557816541%7CUnknown%7CTWFpbGZsb3d8eyJWIjoiMC4wLjAwMDAiLCJQIjoiV2luMzIiLCJBTiI6Ik1haWwiLCJXVCI6Mn0%3D%7C0%7C%7C%7C&amp;sdata=PlHDSUVCDKvJbNofa1VPZlMCz%2BWPKRWPE%2FErtSAGQVI%3D&amp;reserved=0</vt:lpwstr>
      </vt:variant>
      <vt:variant>
        <vt:lpwstr/>
      </vt:variant>
      <vt:variant>
        <vt:i4>7143521</vt:i4>
      </vt:variant>
      <vt:variant>
        <vt:i4>21</vt:i4>
      </vt:variant>
      <vt:variant>
        <vt:i4>0</vt:i4>
      </vt:variant>
      <vt:variant>
        <vt:i4>5</vt:i4>
      </vt:variant>
      <vt:variant>
        <vt:lpwstr>https://nam02.safelinks.protection.outlook.com/?url=https%3A%2F%2Fwww.colombiacompra.gov.co%2Fcontent%2Fborrador-de-documentos-tipo-de-consultoria-de-obra-publica-de-infraestructura-de-transporte&amp;data=05%7C02%7Ckelmis.bruges%40colombiacompra.gov.co%7C096eca3fdcca424ff1c708dcf932f947%7C7b09041e245149d08cb179d5e3d8c1be%7C0%7C0%7C638659244557793956%7CUnknown%7CTWFpbGZsb3d8eyJWIjoiMC4wLjAwMDAiLCJQIjoiV2luMzIiLCJBTiI6Ik1haWwiLCJXVCI6Mn0%3D%7C0%7C%7C%7C&amp;sdata=NONvjuNsqFK1Enw6vT3xdBLX%2F0DYMXnDXH6TULKIsaM%3D&amp;reserved=0</vt:lpwstr>
      </vt:variant>
      <vt:variant>
        <vt:lpwstr/>
      </vt:variant>
      <vt:variant>
        <vt:i4>8257571</vt:i4>
      </vt:variant>
      <vt:variant>
        <vt:i4>18</vt:i4>
      </vt:variant>
      <vt:variant>
        <vt:i4>0</vt:i4>
      </vt:variant>
      <vt:variant>
        <vt:i4>5</vt:i4>
      </vt:variant>
      <vt:variant>
        <vt:lpwstr>https://nam02.safelinks.protection.outlook.com/?url=https%3A%2F%2Frelatoria.colombiacompra.gov.co%2F&amp;data=05%7C02%7Cjhonattan.gualdron%40colombiacompra.gov.co%7C5aad36a736844ec87b2108dcc1fa4639%7C7b09041e245149d08cb179d5e3d8c1be%7C0%7C0%7C638598527917246155%7CUnknown%7CTWFpbGZsb3d8eyJWIjoiMC4wLjAwMDAiLCJQIjoiV2luMzIiLCJBTiI6Ik1haWwiLCJXVCI6Mn0%3D%7C0%7C%7C%7C&amp;sdata=vvr1bncg52balnsi4t%2FCslEkQPef8NiUUqg4Qj8a7c8%3D&amp;reserved=0</vt:lpwstr>
      </vt:variant>
      <vt:variant>
        <vt:lpwstr/>
      </vt:variant>
      <vt:variant>
        <vt:i4>5701645</vt:i4>
      </vt:variant>
      <vt:variant>
        <vt:i4>15</vt:i4>
      </vt:variant>
      <vt:variant>
        <vt:i4>0</vt:i4>
      </vt:variant>
      <vt:variant>
        <vt:i4>5</vt:i4>
      </vt:variant>
      <vt:variant>
        <vt:lpwstr>https://relatoria.colombiacompra.gov.co/wp-admin/edit.php?s=Decreto+2411+de+2019&amp;post_status=all&amp;post_type=normativa&amp;action=-1&amp;m=0&amp;paged=1&amp;action2=-1</vt:lpwstr>
      </vt:variant>
      <vt:variant>
        <vt:lpwstr/>
      </vt:variant>
      <vt:variant>
        <vt:i4>1835076</vt:i4>
      </vt:variant>
      <vt:variant>
        <vt:i4>12</vt:i4>
      </vt:variant>
      <vt:variant>
        <vt:i4>0</vt:i4>
      </vt:variant>
      <vt:variant>
        <vt:i4>5</vt:i4>
      </vt:variant>
      <vt:variant>
        <vt:lpwstr>https://relatoria.colombiacompra.gov.co/wp-admin/edit.php?s=Decreto+1068&amp;post_status=all&amp;post_type=normativa&amp;action=-1&amp;m=0&amp;paged=1&amp;action2=-1</vt:lpwstr>
      </vt:variant>
      <vt:variant>
        <vt:lpwstr/>
      </vt:variant>
      <vt:variant>
        <vt:i4>6029319</vt:i4>
      </vt:variant>
      <vt:variant>
        <vt:i4>9</vt:i4>
      </vt:variant>
      <vt:variant>
        <vt:i4>0</vt:i4>
      </vt:variant>
      <vt:variant>
        <vt:i4>5</vt:i4>
      </vt:variant>
      <vt:variant>
        <vt:lpwstr>https://relatoria.colombiacompra.gov.co/wp-admin/edit.php?s=Decreto+1082+de+2015&amp;post_status=all&amp;post_type=normativa&amp;action=-1&amp;m=0&amp;paged=1&amp;action2=-1</vt:lpwstr>
      </vt:variant>
      <vt:variant>
        <vt:lpwstr/>
      </vt:variant>
      <vt:variant>
        <vt:i4>1245279</vt:i4>
      </vt:variant>
      <vt:variant>
        <vt:i4>6</vt:i4>
      </vt:variant>
      <vt:variant>
        <vt:i4>0</vt:i4>
      </vt:variant>
      <vt:variant>
        <vt:i4>5</vt:i4>
      </vt:variant>
      <vt:variant>
        <vt:lpwstr>https://relatoria.colombiacompra.gov.co/wp-admin/edit.php?s=ley+1150&amp;post_status=all&amp;post_type=normativa&amp;action=-1&amp;m=0&amp;paged=1&amp;action2=-1</vt:lpwstr>
      </vt:variant>
      <vt:variant>
        <vt:lpwstr/>
      </vt:variant>
      <vt:variant>
        <vt:i4>2228323</vt:i4>
      </vt:variant>
      <vt:variant>
        <vt:i4>3</vt:i4>
      </vt:variant>
      <vt:variant>
        <vt:i4>0</vt:i4>
      </vt:variant>
      <vt:variant>
        <vt:i4>5</vt:i4>
      </vt:variant>
      <vt:variant>
        <vt:lpwstr>https://relatoria.colombiacompra.gov.co/wp-admin/edit.php?s=Ley+80&amp;post_status=all&amp;post_type=normativa&amp;action=-1&amp;m=0&amp;paged=1&amp;action2=-1</vt:lpwstr>
      </vt:variant>
      <vt:variant>
        <vt:lpwstr/>
      </vt:variant>
      <vt:variant>
        <vt:i4>7143515</vt:i4>
      </vt:variant>
      <vt:variant>
        <vt:i4>0</vt:i4>
      </vt:variant>
      <vt:variant>
        <vt:i4>0</vt:i4>
      </vt:variant>
      <vt:variant>
        <vt:i4>5</vt:i4>
      </vt:variant>
      <vt:variant>
        <vt:lpwstr>mailto:Lyda2505@gmail.com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2023-01-11T00:18:00Z</cp:lastPrinted>
  <dcterms:created xsi:type="dcterms:W3CDTF">2024-12-23T14:04:00Z</dcterms:created>
  <dcterms:modified xsi:type="dcterms:W3CDTF">2024-12-23T14:04:00Z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