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67996" w14:textId="77777777" w:rsidR="00512C65" w:rsidRPr="00B34929" w:rsidRDefault="00512C65" w:rsidP="00512C65">
      <w:pPr>
        <w:spacing w:after="0" w:line="240" w:lineRule="auto"/>
        <w:jc w:val="both"/>
        <w:rPr>
          <w:rFonts w:ascii="Verdana" w:eastAsia="Calibri" w:hAnsi="Verdana" w:cs="Arial"/>
          <w:b/>
          <w:color w:val="000000" w:themeColor="text1"/>
          <w:lang w:val="es-ES"/>
        </w:rPr>
      </w:pPr>
      <w:bookmarkStart w:id="0" w:name="_Hlk143780582"/>
      <w:r w:rsidRPr="00B34929">
        <w:rPr>
          <w:rFonts w:ascii="Verdana" w:eastAsia="Calibri" w:hAnsi="Verdana" w:cs="Arial"/>
          <w:b/>
          <w:color w:val="000000" w:themeColor="text1"/>
          <w:lang w:val="es-ES"/>
        </w:rPr>
        <w:t>LEY DE GARANTÍAS ELECTORALES – Finalidad - Ley 996 de 2005 – Comicios aplicables</w:t>
      </w:r>
    </w:p>
    <w:p w14:paraId="43833F71" w14:textId="77777777" w:rsidR="00512C65" w:rsidRPr="00B34929" w:rsidRDefault="00512C65" w:rsidP="00512C65">
      <w:pPr>
        <w:spacing w:after="0" w:line="240" w:lineRule="auto"/>
        <w:jc w:val="both"/>
        <w:rPr>
          <w:rFonts w:ascii="Verdana" w:eastAsia="Calibri" w:hAnsi="Verdana" w:cs="Arial"/>
          <w:bCs/>
          <w:color w:val="000000" w:themeColor="text1"/>
          <w:sz w:val="20"/>
          <w:szCs w:val="20"/>
          <w:lang w:val="es-ES"/>
        </w:rPr>
      </w:pPr>
    </w:p>
    <w:p w14:paraId="1D25A4A0" w14:textId="77777777" w:rsidR="00512C65" w:rsidRPr="00B34929" w:rsidRDefault="00512C65" w:rsidP="7DD8E03A">
      <w:pPr>
        <w:spacing w:after="0" w:line="240" w:lineRule="auto"/>
        <w:jc w:val="both"/>
        <w:rPr>
          <w:rFonts w:ascii="Verdana" w:eastAsia="Calibri" w:hAnsi="Verdana" w:cs="Arial"/>
          <w:color w:val="000000" w:themeColor="text1"/>
          <w:sz w:val="20"/>
          <w:szCs w:val="20"/>
          <w:lang w:val="es-ES" w:eastAsia="es-ES"/>
        </w:rPr>
      </w:pPr>
      <w:r w:rsidRPr="7DD8E03A">
        <w:rPr>
          <w:rFonts w:ascii="Verdana" w:eastAsia="Calibri" w:hAnsi="Verdana" w:cs="Arial"/>
          <w:color w:val="000000" w:themeColor="text1"/>
          <w:sz w:val="20"/>
          <w:szCs w:val="20"/>
          <w:lang w:val="es-ES" w:eastAsia="es-ES"/>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 Ley introduce limitaciones para realizar nombramientos, postulaciones, contrataciones o cualquier otro tipo de actividad que implique destinación de recursos públicos bajo el devenir propio de las entidades estatales.</w:t>
      </w:r>
    </w:p>
    <w:p w14:paraId="4829480B" w14:textId="77777777" w:rsidR="00512C65" w:rsidRPr="00B34929" w:rsidRDefault="00512C65" w:rsidP="00512C65">
      <w:pPr>
        <w:spacing w:after="0" w:line="240" w:lineRule="auto"/>
        <w:jc w:val="both"/>
        <w:rPr>
          <w:rFonts w:ascii="Verdana" w:eastAsia="Calibri" w:hAnsi="Verdana" w:cs="Arial"/>
          <w:color w:val="000000" w:themeColor="text1"/>
          <w:sz w:val="20"/>
          <w:szCs w:val="20"/>
          <w:lang w:val="es-ES_tradnl" w:eastAsia="es-ES_tradnl"/>
        </w:rPr>
      </w:pPr>
      <w:r w:rsidRPr="00B34929">
        <w:rPr>
          <w:rFonts w:ascii="Verdana" w:eastAsia="Calibri" w:hAnsi="Verdana" w:cs="Arial"/>
          <w:color w:val="000000" w:themeColor="text1"/>
          <w:sz w:val="20"/>
          <w:szCs w:val="20"/>
          <w:lang w:val="es-ES_tradnl" w:eastAsia="es-ES_tradnl"/>
        </w:rPr>
        <w:t>[…]</w:t>
      </w:r>
    </w:p>
    <w:p w14:paraId="72BDB77E" w14:textId="77777777" w:rsidR="00512C65" w:rsidRPr="00B34929" w:rsidRDefault="00512C65" w:rsidP="7DD8E03A">
      <w:pPr>
        <w:spacing w:after="0" w:line="240" w:lineRule="auto"/>
        <w:jc w:val="both"/>
        <w:rPr>
          <w:rFonts w:ascii="Verdana" w:eastAsia="Calibri" w:hAnsi="Verdana" w:cs="Arial"/>
          <w:color w:val="000000" w:themeColor="text1"/>
          <w:sz w:val="20"/>
          <w:szCs w:val="20"/>
          <w:lang w:val="es-ES"/>
        </w:rPr>
      </w:pPr>
      <w:r w:rsidRPr="7DD8E03A">
        <w:rPr>
          <w:rFonts w:ascii="Verdana" w:eastAsia="Calibri" w:hAnsi="Verdana" w:cs="Arial"/>
          <w:color w:val="000000" w:themeColor="text1"/>
          <w:sz w:val="20"/>
          <w:szCs w:val="20"/>
          <w:lang w:val="es-ES"/>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73355362" w14:textId="77777777" w:rsidR="00512C65" w:rsidRPr="00B34929" w:rsidRDefault="00512C65" w:rsidP="00512C65">
      <w:pPr>
        <w:spacing w:after="0" w:line="240" w:lineRule="auto"/>
        <w:rPr>
          <w:rFonts w:ascii="Verdana" w:eastAsia="Geomanist Light" w:hAnsi="Verdana" w:cs="Arial"/>
          <w:color w:val="000000" w:themeColor="text1"/>
          <w:sz w:val="20"/>
          <w:szCs w:val="20"/>
          <w:lang w:val="es-ES_tradnl"/>
        </w:rPr>
      </w:pPr>
    </w:p>
    <w:p w14:paraId="5FCCC51F" w14:textId="77777777" w:rsidR="00512C65" w:rsidRPr="00B34929" w:rsidRDefault="00512C65" w:rsidP="00512C65">
      <w:pPr>
        <w:spacing w:after="0" w:line="240" w:lineRule="auto"/>
        <w:jc w:val="both"/>
        <w:rPr>
          <w:rFonts w:ascii="Verdana" w:eastAsia="Calibri" w:hAnsi="Verdana" w:cs="Arial"/>
          <w:b/>
          <w:lang w:val="es-ES"/>
        </w:rPr>
      </w:pPr>
      <w:r w:rsidRPr="00B34929">
        <w:rPr>
          <w:rFonts w:ascii="Verdana" w:eastAsia="Calibri" w:hAnsi="Verdana" w:cs="Arial"/>
          <w:b/>
          <w:lang w:val="es-ES"/>
        </w:rPr>
        <w:t>LEY DE GARANTÍAS ELECTORALES – Restricciones contractuales – Comicios aplicables - Destinatarios</w:t>
      </w:r>
    </w:p>
    <w:p w14:paraId="4DB30D1A" w14:textId="77777777" w:rsidR="00512C65" w:rsidRPr="00B34929" w:rsidRDefault="00512C65" w:rsidP="00512C65">
      <w:pPr>
        <w:spacing w:after="0" w:line="240" w:lineRule="auto"/>
        <w:jc w:val="both"/>
        <w:rPr>
          <w:rFonts w:ascii="Verdana" w:eastAsia="Calibri" w:hAnsi="Verdana" w:cs="Arial"/>
          <w:b/>
          <w:sz w:val="20"/>
          <w:szCs w:val="20"/>
          <w:lang w:val="es-ES"/>
        </w:rPr>
      </w:pPr>
    </w:p>
    <w:p w14:paraId="690A8C4A" w14:textId="77777777" w:rsidR="00512C65" w:rsidRPr="00B34929" w:rsidRDefault="00512C65" w:rsidP="00512C65">
      <w:pPr>
        <w:spacing w:after="0"/>
        <w:jc w:val="both"/>
        <w:rPr>
          <w:rFonts w:ascii="Verdana" w:eastAsia="Calibri" w:hAnsi="Verdana" w:cs="Arial"/>
          <w:bCs/>
          <w:sz w:val="20"/>
          <w:szCs w:val="20"/>
          <w:lang w:val="es-ES"/>
        </w:rPr>
      </w:pPr>
      <w:r w:rsidRPr="00B34929">
        <w:rPr>
          <w:rFonts w:ascii="Verdana" w:eastAsia="Calibri" w:hAnsi="Verdana" w:cs="Arial"/>
          <w:bCs/>
          <w:sz w:val="20"/>
          <w:szCs w:val="20"/>
          <w:lang w:val="es-ES"/>
        </w:rPr>
        <w:t>[…] el artículo 33 de la Ley 966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54B4D7A9" w14:textId="77777777" w:rsidR="00512C65" w:rsidRPr="00B34929" w:rsidRDefault="00512C65" w:rsidP="00512C65">
      <w:pPr>
        <w:spacing w:after="0"/>
        <w:jc w:val="both"/>
        <w:rPr>
          <w:rFonts w:ascii="Verdana" w:eastAsia="Calibri" w:hAnsi="Verdana" w:cs="Arial"/>
          <w:bCs/>
          <w:sz w:val="20"/>
          <w:szCs w:val="20"/>
          <w:lang w:val="es-ES"/>
        </w:rPr>
      </w:pPr>
    </w:p>
    <w:p w14:paraId="38C25400" w14:textId="77777777" w:rsidR="00512C65" w:rsidRPr="00B34929" w:rsidRDefault="00512C65" w:rsidP="00512C65">
      <w:pPr>
        <w:spacing w:after="0"/>
        <w:jc w:val="both"/>
      </w:pPr>
      <w:r w:rsidRPr="00B34929">
        <w:rPr>
          <w:rFonts w:ascii="Verdana" w:eastAsia="Calibri" w:hAnsi="Verdana" w:cs="Arial"/>
          <w:bCs/>
          <w:sz w:val="20"/>
          <w:szCs w:val="20"/>
          <w:lang w:val="es-ES"/>
        </w:rPr>
        <w:t>[…], el parágrafo del artículo 38 de la precitada Ley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 de sus juntas directivas, en o para reuniones de carácter proselitista”.</w:t>
      </w:r>
    </w:p>
    <w:p w14:paraId="121D432B" w14:textId="77777777" w:rsidR="00512C65" w:rsidRDefault="00512C65" w:rsidP="00512C65">
      <w:pPr>
        <w:spacing w:after="0" w:line="240" w:lineRule="auto"/>
        <w:rPr>
          <w:rFonts w:ascii="Verdana" w:eastAsia="Aptos" w:hAnsi="Verdana" w:cs="Times New Roman"/>
          <w:sz w:val="20"/>
          <w:szCs w:val="20"/>
        </w:rPr>
      </w:pPr>
    </w:p>
    <w:p w14:paraId="07A680D2" w14:textId="77777777" w:rsidR="00512C65" w:rsidRDefault="00512C65" w:rsidP="00512C65">
      <w:pPr>
        <w:spacing w:after="0" w:line="240" w:lineRule="auto"/>
        <w:rPr>
          <w:rFonts w:ascii="Verdana" w:eastAsia="Aptos" w:hAnsi="Verdana" w:cs="Times New Roman"/>
          <w:sz w:val="20"/>
          <w:szCs w:val="20"/>
        </w:rPr>
      </w:pPr>
    </w:p>
    <w:p w14:paraId="78321467" w14:textId="5229BA1F" w:rsidR="00320614" w:rsidRDefault="00320614" w:rsidP="00320614">
      <w:pPr>
        <w:pStyle w:val="Textoindependiente"/>
        <w:spacing w:before="168"/>
      </w:pPr>
      <w:r>
        <w:rPr>
          <w:noProof/>
        </w:rPr>
        <w:lastRenderedPageBreak/>
        <w:drawing>
          <wp:anchor distT="0" distB="0" distL="0" distR="0" simplePos="0" relativeHeight="251658240" behindDoc="0" locked="0" layoutInCell="1" allowOverlap="1" wp14:anchorId="6DE99075" wp14:editId="3457D9FB">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6"/>
        </w:rPr>
        <w:t xml:space="preserve"> </w:t>
      </w:r>
      <w:r>
        <w:t>D.C., 15</w:t>
      </w:r>
      <w:r>
        <w:rPr>
          <w:spacing w:val="-2"/>
        </w:rPr>
        <w:t xml:space="preserve"> </w:t>
      </w:r>
      <w:proofErr w:type="gramStart"/>
      <w:r>
        <w:t>Agosto</w:t>
      </w:r>
      <w:proofErr w:type="gramEnd"/>
      <w:r>
        <w:rPr>
          <w:spacing w:val="-5"/>
        </w:rPr>
        <w:t xml:space="preserve"> </w:t>
      </w:r>
      <w:r>
        <w:rPr>
          <w:spacing w:val="-4"/>
        </w:rPr>
        <w:t>2025</w:t>
      </w:r>
    </w:p>
    <w:p w14:paraId="34459ECB" w14:textId="77777777" w:rsidR="00320614" w:rsidRDefault="00320614" w:rsidP="00320614">
      <w:pPr>
        <w:pStyle w:val="Textoindependiente"/>
        <w:spacing w:before="16"/>
      </w:pPr>
    </w:p>
    <w:p w14:paraId="37744737" w14:textId="77777777" w:rsidR="00A95D08" w:rsidRPr="00AD2F15" w:rsidRDefault="00A95D08" w:rsidP="00A95D08">
      <w:pPr>
        <w:spacing w:after="0" w:line="240" w:lineRule="auto"/>
        <w:jc w:val="both"/>
        <w:rPr>
          <w:rFonts w:ascii="Verdana" w:eastAsia="Calibri" w:hAnsi="Verdana" w:cs="Arial"/>
          <w:color w:val="000000"/>
          <w:lang w:val="es-ES"/>
        </w:rPr>
      </w:pPr>
    </w:p>
    <w:p w14:paraId="02DCCC1F" w14:textId="77777777" w:rsidR="00A95D08" w:rsidRPr="00512C65" w:rsidRDefault="00A95D08" w:rsidP="00A95D08">
      <w:pPr>
        <w:spacing w:after="0" w:line="240" w:lineRule="auto"/>
        <w:jc w:val="both"/>
        <w:rPr>
          <w:rFonts w:ascii="Verdana" w:eastAsia="Calibri" w:hAnsi="Verdana" w:cs="Arial"/>
          <w:lang w:eastAsia="es-ES"/>
        </w:rPr>
      </w:pPr>
      <w:r w:rsidRPr="00512C65">
        <w:rPr>
          <w:rFonts w:ascii="Verdana" w:eastAsia="Calibri" w:hAnsi="Verdana" w:cs="Arial"/>
          <w:lang w:eastAsia="es-ES"/>
        </w:rPr>
        <w:t>Señor</w:t>
      </w:r>
    </w:p>
    <w:p w14:paraId="6B8F6B25" w14:textId="77777777" w:rsidR="00A95D08" w:rsidRPr="00AD2F15" w:rsidRDefault="00A95D08" w:rsidP="00A95D08">
      <w:pPr>
        <w:spacing w:after="0" w:line="240" w:lineRule="auto"/>
        <w:jc w:val="both"/>
        <w:rPr>
          <w:rFonts w:ascii="Verdana" w:eastAsia="Calibri" w:hAnsi="Verdana" w:cs="Arial"/>
          <w:b/>
          <w:bCs/>
          <w:lang w:val="en-US" w:eastAsia="es-ES"/>
        </w:rPr>
      </w:pPr>
      <w:proofErr w:type="spellStart"/>
      <w:r w:rsidRPr="00AD2F15">
        <w:rPr>
          <w:rFonts w:ascii="Verdana" w:eastAsia="Calibri" w:hAnsi="Verdana" w:cs="Arial"/>
          <w:b/>
          <w:bCs/>
          <w:lang w:val="en-US" w:eastAsia="es-ES"/>
        </w:rPr>
        <w:t>Ronall</w:t>
      </w:r>
      <w:proofErr w:type="spellEnd"/>
      <w:r w:rsidRPr="00AD2F15">
        <w:rPr>
          <w:rFonts w:ascii="Verdana" w:eastAsia="Calibri" w:hAnsi="Verdana" w:cs="Arial"/>
          <w:b/>
          <w:bCs/>
          <w:lang w:val="en-US" w:eastAsia="es-ES"/>
        </w:rPr>
        <w:t xml:space="preserve"> Stiven Rubio Salazar</w:t>
      </w:r>
    </w:p>
    <w:p w14:paraId="780E58E3" w14:textId="77777777" w:rsidR="00A95D08" w:rsidRPr="00AD2F15" w:rsidRDefault="00A95D08" w:rsidP="00A95D08">
      <w:pPr>
        <w:spacing w:after="0" w:line="240" w:lineRule="auto"/>
        <w:rPr>
          <w:rFonts w:ascii="Verdana" w:eastAsia="Calibri" w:hAnsi="Verdana" w:cs="Arial"/>
          <w:u w:val="single"/>
          <w:lang w:val="en-US" w:eastAsia="es-ES"/>
        </w:rPr>
      </w:pPr>
      <w:r w:rsidRPr="00AD2F15">
        <w:rPr>
          <w:rFonts w:ascii="Verdana" w:eastAsia="Calibri" w:hAnsi="Verdana" w:cs="Arial"/>
          <w:u w:val="single"/>
          <w:lang w:val="en-US" w:eastAsia="es-ES"/>
        </w:rPr>
        <w:t>ronall970205@gmail.com</w:t>
      </w:r>
    </w:p>
    <w:p w14:paraId="5974E331" w14:textId="77777777" w:rsidR="00A95D08" w:rsidRPr="00AD2F15" w:rsidRDefault="00A95D08" w:rsidP="00A95D08">
      <w:pPr>
        <w:spacing w:after="0" w:line="240" w:lineRule="auto"/>
        <w:rPr>
          <w:rFonts w:ascii="Verdana" w:eastAsia="Calibri" w:hAnsi="Verdana" w:cs="Arial"/>
          <w:b/>
          <w:bCs/>
          <w:lang w:val="es-ES" w:eastAsia="es-ES"/>
        </w:rPr>
      </w:pPr>
      <w:r w:rsidRPr="00AD2F15">
        <w:rPr>
          <w:rFonts w:ascii="Verdana" w:eastAsia="Calibri" w:hAnsi="Verdana" w:cs="Arial"/>
          <w:lang w:val="es-ES" w:eastAsia="es-ES"/>
        </w:rPr>
        <w:t xml:space="preserve">Tame, Arauca </w:t>
      </w:r>
    </w:p>
    <w:p w14:paraId="743CA9D6" w14:textId="77777777" w:rsidR="00A95D08" w:rsidRPr="00AD2F15" w:rsidRDefault="00A95D08" w:rsidP="00A95D0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95D08" w:rsidRPr="00AD2F15" w14:paraId="630DAA0C" w14:textId="77777777" w:rsidTr="008F21B7">
        <w:trPr>
          <w:trHeight w:val="884"/>
        </w:trPr>
        <w:tc>
          <w:tcPr>
            <w:tcW w:w="2689" w:type="dxa"/>
          </w:tcPr>
          <w:p w14:paraId="564C6B2E" w14:textId="77777777" w:rsidR="00A95D08" w:rsidRPr="00AD2F15" w:rsidRDefault="00A95D08" w:rsidP="008F21B7">
            <w:pPr>
              <w:jc w:val="both"/>
              <w:rPr>
                <w:rFonts w:ascii="Verdana" w:eastAsia="Calibri" w:hAnsi="Verdana" w:cs="Arial"/>
                <w:b/>
                <w:bCs/>
                <w:color w:val="7030A0"/>
                <w:lang w:val="es-ES_tradnl" w:eastAsia="es-ES_tradnl"/>
              </w:rPr>
            </w:pPr>
          </w:p>
        </w:tc>
        <w:tc>
          <w:tcPr>
            <w:tcW w:w="6100" w:type="dxa"/>
          </w:tcPr>
          <w:p w14:paraId="4CB8A7E4" w14:textId="6F08C780" w:rsidR="00A95D08" w:rsidRPr="00AD2F15" w:rsidRDefault="00A95D08" w:rsidP="008F21B7">
            <w:pPr>
              <w:jc w:val="both"/>
              <w:rPr>
                <w:rFonts w:ascii="Verdana" w:eastAsia="Calibri" w:hAnsi="Verdana" w:cs="Arial"/>
                <w:b/>
                <w:bCs/>
                <w:color w:val="7030A0"/>
                <w:lang w:val="es-ES" w:eastAsia="es-ES"/>
              </w:rPr>
            </w:pPr>
            <w:r w:rsidRPr="00AD2F15">
              <w:rPr>
                <w:rFonts w:ascii="Verdana" w:eastAsia="Calibri" w:hAnsi="Verdana" w:cs="Arial"/>
                <w:b/>
                <w:bCs/>
                <w:lang w:val="es-ES" w:eastAsia="es-ES"/>
              </w:rPr>
              <w:t xml:space="preserve">Concepto C </w:t>
            </w:r>
            <w:r w:rsidR="000E1020">
              <w:rPr>
                <w:rFonts w:ascii="Verdana" w:eastAsia="Calibri" w:hAnsi="Verdana" w:cs="Arial"/>
                <w:b/>
                <w:bCs/>
                <w:lang w:val="es-ES" w:eastAsia="es-ES"/>
              </w:rPr>
              <w:t>–</w:t>
            </w:r>
            <w:r w:rsidRPr="00AD2F15">
              <w:rPr>
                <w:rFonts w:ascii="Verdana" w:eastAsia="Calibri" w:hAnsi="Verdana" w:cs="Arial"/>
                <w:b/>
                <w:bCs/>
                <w:lang w:val="es-ES" w:eastAsia="es-ES"/>
              </w:rPr>
              <w:t xml:space="preserve"> 902</w:t>
            </w:r>
          </w:p>
        </w:tc>
      </w:tr>
      <w:tr w:rsidR="00A95D08" w:rsidRPr="00AD2F15" w14:paraId="61EF6DA0" w14:textId="77777777" w:rsidTr="008F21B7">
        <w:trPr>
          <w:trHeight w:val="884"/>
        </w:trPr>
        <w:tc>
          <w:tcPr>
            <w:tcW w:w="2689" w:type="dxa"/>
          </w:tcPr>
          <w:p w14:paraId="1E416E7F" w14:textId="77777777" w:rsidR="00A95D08" w:rsidRPr="00AD2F15" w:rsidRDefault="00A95D08" w:rsidP="008F21B7">
            <w:pPr>
              <w:jc w:val="both"/>
              <w:rPr>
                <w:rFonts w:ascii="Verdana" w:eastAsia="Calibri" w:hAnsi="Verdana" w:cs="Arial"/>
                <w:color w:val="000000" w:themeColor="text1"/>
                <w:lang w:val="es-ES_tradnl" w:eastAsia="es-ES_tradnl"/>
              </w:rPr>
            </w:pPr>
            <w:r w:rsidRPr="00AD2F15">
              <w:rPr>
                <w:rFonts w:ascii="Verdana" w:eastAsia="Calibri" w:hAnsi="Verdana" w:cs="Arial"/>
                <w:b/>
                <w:color w:val="000000" w:themeColor="text1"/>
                <w:lang w:val="es-ES_tradnl" w:eastAsia="es-ES_tradnl"/>
              </w:rPr>
              <w:t>Temas:</w:t>
            </w:r>
            <w:r w:rsidRPr="00AD2F15">
              <w:rPr>
                <w:rFonts w:ascii="Verdana" w:eastAsia="Calibri" w:hAnsi="Verdana" w:cs="Arial"/>
                <w:color w:val="000000" w:themeColor="text1"/>
                <w:lang w:val="es-ES_tradnl" w:eastAsia="es-ES_tradnl"/>
              </w:rPr>
              <w:t xml:space="preserve">                   </w:t>
            </w:r>
          </w:p>
        </w:tc>
        <w:tc>
          <w:tcPr>
            <w:tcW w:w="6100" w:type="dxa"/>
          </w:tcPr>
          <w:p w14:paraId="4F38B356" w14:textId="77777777" w:rsidR="00A95D08" w:rsidRPr="00AD2F15" w:rsidRDefault="00A95D08" w:rsidP="008F21B7">
            <w:pPr>
              <w:spacing w:line="276" w:lineRule="auto"/>
              <w:jc w:val="both"/>
              <w:rPr>
                <w:rFonts w:ascii="Verdana" w:eastAsia="Calibri" w:hAnsi="Verdana" w:cs="Arial"/>
                <w:color w:val="000000" w:themeColor="text1"/>
                <w:lang w:val="es-ES" w:eastAsia="es-ES"/>
              </w:rPr>
            </w:pPr>
            <w:r w:rsidRPr="00AD2F15">
              <w:rPr>
                <w:rFonts w:ascii="Verdana" w:eastAsia="Calibri" w:hAnsi="Verdana" w:cs="Arial"/>
                <w:color w:val="000000" w:themeColor="text1"/>
                <w:lang w:val="es-ES" w:eastAsia="es-ES"/>
              </w:rPr>
              <w:t>LEY DE GARANTÍAS ELECTORALES – Finalidad - Ley 996 de 2005 – Comicios aplicables / LEY DE GARANTÍAS ELECTORALES – Restricciones contractuales – Comicios aplicables – Destinatarios</w:t>
            </w:r>
          </w:p>
          <w:p w14:paraId="4D44C2BB" w14:textId="77777777" w:rsidR="00A95D08" w:rsidRPr="00AD2F15" w:rsidRDefault="00A95D08" w:rsidP="008F21B7">
            <w:pPr>
              <w:spacing w:line="276" w:lineRule="auto"/>
              <w:jc w:val="both"/>
              <w:rPr>
                <w:rFonts w:ascii="Verdana" w:eastAsia="Calibri" w:hAnsi="Verdana" w:cs="Arial"/>
                <w:color w:val="000000" w:themeColor="text1"/>
                <w:lang w:val="es-ES" w:eastAsia="es-ES"/>
              </w:rPr>
            </w:pPr>
          </w:p>
        </w:tc>
      </w:tr>
      <w:tr w:rsidR="00A95D08" w:rsidRPr="00AD2F15" w14:paraId="6E2DB233" w14:textId="77777777" w:rsidTr="008F21B7">
        <w:trPr>
          <w:trHeight w:val="617"/>
        </w:trPr>
        <w:tc>
          <w:tcPr>
            <w:tcW w:w="2689" w:type="dxa"/>
          </w:tcPr>
          <w:p w14:paraId="394D9055" w14:textId="77777777" w:rsidR="00A95D08" w:rsidRPr="00AD2F15" w:rsidRDefault="00A95D08" w:rsidP="008F21B7">
            <w:pPr>
              <w:jc w:val="both"/>
              <w:rPr>
                <w:rFonts w:ascii="Verdana" w:eastAsia="Calibri" w:hAnsi="Verdana" w:cs="Arial"/>
                <w:b/>
                <w:color w:val="000000" w:themeColor="text1"/>
                <w:lang w:val="es-ES_tradnl" w:eastAsia="es-ES_tradnl"/>
              </w:rPr>
            </w:pPr>
            <w:r w:rsidRPr="00AD2F15">
              <w:rPr>
                <w:rFonts w:ascii="Verdana" w:eastAsia="Calibri" w:hAnsi="Verdana" w:cs="Arial"/>
                <w:b/>
                <w:color w:val="000000" w:themeColor="text1"/>
                <w:lang w:val="es-ES_tradnl" w:eastAsia="es-ES_tradnl"/>
              </w:rPr>
              <w:t>radicación:</w:t>
            </w:r>
            <w:r w:rsidRPr="00AD2F15">
              <w:rPr>
                <w:rFonts w:ascii="Verdana" w:eastAsia="Calibri" w:hAnsi="Verdana" w:cs="Arial"/>
                <w:color w:val="000000" w:themeColor="text1"/>
                <w:lang w:val="es-ES_tradnl" w:eastAsia="es-ES_tradnl"/>
              </w:rPr>
              <w:t xml:space="preserve">               </w:t>
            </w:r>
          </w:p>
        </w:tc>
        <w:tc>
          <w:tcPr>
            <w:tcW w:w="6100" w:type="dxa"/>
          </w:tcPr>
          <w:p w14:paraId="6FA6D45C" w14:textId="77777777" w:rsidR="00A95D08" w:rsidRPr="00AD2F15" w:rsidRDefault="00A95D08" w:rsidP="008F21B7">
            <w:pPr>
              <w:jc w:val="both"/>
              <w:rPr>
                <w:rFonts w:ascii="Verdana" w:eastAsia="Calibri" w:hAnsi="Verdana" w:cs="Arial"/>
                <w:color w:val="000000" w:themeColor="text1"/>
                <w:lang w:val="es-ES_tradnl" w:eastAsia="es-ES_tradnl"/>
              </w:rPr>
            </w:pPr>
            <w:r w:rsidRPr="00AD2F15">
              <w:rPr>
                <w:rFonts w:ascii="Verdana" w:eastAsia="Calibri" w:hAnsi="Verdana" w:cs="Arial"/>
                <w:color w:val="000000" w:themeColor="text1"/>
                <w:lang w:val="es-ES_tradnl" w:eastAsia="es-ES_tradnl"/>
              </w:rPr>
              <w:t xml:space="preserve">respuesta a consulta con radicado no. </w:t>
            </w:r>
            <w:r w:rsidRPr="00AD2F15">
              <w:rPr>
                <w:rFonts w:ascii="Verdana" w:hAnsi="Verdana" w:cs="Segoe UI"/>
                <w:color w:val="000000" w:themeColor="text1"/>
                <w:shd w:val="clear" w:color="auto" w:fill="FFFFFF"/>
              </w:rPr>
              <w:t>1_2025_07_08_006862</w:t>
            </w:r>
          </w:p>
        </w:tc>
      </w:tr>
    </w:tbl>
    <w:p w14:paraId="6A1A3434" w14:textId="77777777" w:rsidR="00A95D08" w:rsidRPr="00AD2F15" w:rsidRDefault="00A95D08" w:rsidP="00A95D08">
      <w:pPr>
        <w:spacing w:after="0" w:line="240" w:lineRule="auto"/>
        <w:jc w:val="both"/>
        <w:rPr>
          <w:rFonts w:ascii="Verdana" w:eastAsia="Calibri" w:hAnsi="Verdana" w:cs="Arial"/>
          <w:color w:val="000000"/>
          <w:lang w:val="es-ES_tradnl" w:eastAsia="es-ES_tradnl"/>
        </w:rPr>
      </w:pPr>
    </w:p>
    <w:p w14:paraId="0A519B77" w14:textId="77777777" w:rsidR="00A95D08" w:rsidRPr="00AD2F15" w:rsidRDefault="00A95D08" w:rsidP="00A95D08">
      <w:pPr>
        <w:spacing w:after="0" w:line="240" w:lineRule="auto"/>
        <w:jc w:val="both"/>
        <w:rPr>
          <w:rFonts w:ascii="Verdana" w:eastAsia="Calibri" w:hAnsi="Verdana" w:cs="Arial"/>
          <w:color w:val="000000"/>
          <w:lang w:val="es-ES_tradnl" w:eastAsia="es-ES_tradnl"/>
        </w:rPr>
      </w:pPr>
    </w:p>
    <w:p w14:paraId="77C5DF45" w14:textId="77777777" w:rsidR="00A95D08" w:rsidRPr="00AD2F15" w:rsidRDefault="00A95D08" w:rsidP="00A95D08">
      <w:pPr>
        <w:spacing w:after="0" w:line="276" w:lineRule="auto"/>
        <w:jc w:val="both"/>
        <w:rPr>
          <w:rFonts w:ascii="Verdana" w:eastAsia="Calibri" w:hAnsi="Verdana" w:cs="Arial"/>
          <w:color w:val="000000" w:themeColor="text1"/>
          <w:lang w:val="es-ES" w:eastAsia="es-ES"/>
        </w:rPr>
      </w:pPr>
      <w:r w:rsidRPr="00AD2F15">
        <w:rPr>
          <w:rFonts w:ascii="Verdana" w:eastAsia="Calibri" w:hAnsi="Verdana" w:cs="Arial"/>
          <w:color w:val="000000" w:themeColor="text1"/>
          <w:lang w:val="es-ES" w:eastAsia="es-ES"/>
        </w:rPr>
        <w:t xml:space="preserve">Estimado señor Rubio: </w:t>
      </w:r>
    </w:p>
    <w:p w14:paraId="7D135F5C" w14:textId="77777777" w:rsidR="00A95D08" w:rsidRPr="00AD2F15" w:rsidRDefault="00A95D08" w:rsidP="00A95D08">
      <w:pPr>
        <w:tabs>
          <w:tab w:val="left" w:pos="3768"/>
        </w:tabs>
        <w:spacing w:after="0" w:line="276" w:lineRule="auto"/>
        <w:jc w:val="both"/>
        <w:rPr>
          <w:rFonts w:ascii="Verdana" w:eastAsia="Calibri" w:hAnsi="Verdana" w:cs="Arial"/>
          <w:color w:val="000000" w:themeColor="text1"/>
          <w:lang w:val="es-ES" w:eastAsia="es-ES"/>
        </w:rPr>
      </w:pPr>
      <w:r w:rsidRPr="00AD2F15">
        <w:rPr>
          <w:rFonts w:ascii="Verdana" w:eastAsia="Calibri" w:hAnsi="Verdana" w:cs="Arial"/>
          <w:color w:val="000000" w:themeColor="text1"/>
          <w:lang w:val="es-ES" w:eastAsia="es-ES"/>
        </w:rPr>
        <w:tab/>
      </w:r>
    </w:p>
    <w:p w14:paraId="6B3E5204" w14:textId="77777777" w:rsidR="00A95D08" w:rsidRPr="00AD2F15" w:rsidRDefault="00A95D08" w:rsidP="00A95D08">
      <w:pPr>
        <w:spacing w:after="0" w:line="276" w:lineRule="auto"/>
        <w:jc w:val="both"/>
        <w:rPr>
          <w:rFonts w:ascii="Verdana" w:eastAsia="Calibri" w:hAnsi="Verdana" w:cs="Arial"/>
          <w:color w:val="7030A0"/>
          <w:lang w:val="es-ES" w:eastAsia="es-ES"/>
        </w:rPr>
      </w:pPr>
      <w:r w:rsidRPr="00AD2F15">
        <w:rPr>
          <w:rFonts w:ascii="Verdana" w:eastAsia="Calibri" w:hAnsi="Verdana" w:cs="Arial"/>
          <w:color w:val="000000" w:themeColor="text1"/>
          <w:lang w:val="es-ES" w:eastAsia="es-ES"/>
        </w:rPr>
        <w:t>En ejercicio de la competencia otorgada por los artículos 3, numeral 5º, y 11, numeral 8º, del Decreto Ley 4170 de 2011,</w:t>
      </w:r>
      <w:r w:rsidRPr="00AD2F15">
        <w:rPr>
          <w:rFonts w:ascii="Verdana" w:eastAsia="Arial MT" w:hAnsi="Verdana" w:cs="Arial MT"/>
          <w:color w:val="000000" w:themeColor="text1"/>
          <w:lang w:val="es-ES" w:eastAsia="es-ES"/>
        </w:rPr>
        <w:t xml:space="preserve"> </w:t>
      </w:r>
      <w:r w:rsidRPr="00AD2F15">
        <w:rPr>
          <w:rFonts w:ascii="Verdana" w:hAnsi="Verdana" w:cs="Arial"/>
          <w:color w:val="000000" w:themeColor="text1"/>
        </w:rPr>
        <w:t xml:space="preserve">así como lo establecido en el artículo 4 de la Resolución 1707 de 2018 expedida por esta Entidad, </w:t>
      </w:r>
      <w:r w:rsidRPr="00AD2F15">
        <w:rPr>
          <w:rFonts w:ascii="Verdana" w:eastAsia="Calibri" w:hAnsi="Verdana" w:cs="Arial"/>
          <w:color w:val="000000" w:themeColor="text1"/>
          <w:lang w:val="es-ES" w:eastAsia="es-ES"/>
        </w:rPr>
        <w:t xml:space="preserve">la Agencia Nacional de Contratación Pública – Colombia Compra Eficiente– responde su solicitud de consulta de fecha ocho de julio de 2025, en la cual manifiesta lo siguiente: </w:t>
      </w:r>
    </w:p>
    <w:p w14:paraId="50DD5E8F" w14:textId="77777777" w:rsidR="00A95D08" w:rsidRPr="00AD2F15" w:rsidRDefault="00A95D08" w:rsidP="00A95D08">
      <w:pPr>
        <w:pStyle w:val="Prrafodelista"/>
        <w:tabs>
          <w:tab w:val="left" w:pos="142"/>
          <w:tab w:val="left" w:pos="284"/>
        </w:tabs>
        <w:spacing w:line="276" w:lineRule="auto"/>
        <w:ind w:left="0"/>
        <w:jc w:val="both"/>
        <w:rPr>
          <w:rFonts w:ascii="Verdana" w:eastAsia="Century Gothic" w:hAnsi="Verdana" w:cs="Century Gothic"/>
          <w:b/>
          <w:bCs/>
        </w:rPr>
      </w:pPr>
    </w:p>
    <w:p w14:paraId="694CE1F8" w14:textId="02A15A99" w:rsidR="00A95D08" w:rsidRPr="00A95D08" w:rsidRDefault="00A95D08" w:rsidP="00A95D08">
      <w:pPr>
        <w:pStyle w:val="query-text-line"/>
        <w:ind w:left="709" w:right="709"/>
        <w:jc w:val="both"/>
        <w:rPr>
          <w:rFonts w:ascii="Verdana" w:hAnsi="Verdana"/>
          <w:sz w:val="22"/>
          <w:szCs w:val="22"/>
        </w:rPr>
      </w:pPr>
      <w:bookmarkStart w:id="1" w:name="_Hlk95313578"/>
      <w:r w:rsidRPr="00AD2F15">
        <w:rPr>
          <w:rFonts w:ascii="Verdana" w:eastAsia="Century Gothic" w:hAnsi="Verdana" w:cs="Century Gothic"/>
          <w:color w:val="7030A0"/>
          <w:sz w:val="22"/>
          <w:szCs w:val="22"/>
          <w:lang w:val="es-ES"/>
        </w:rPr>
        <w:t>“</w:t>
      </w:r>
      <w:bookmarkEnd w:id="1"/>
      <w:r w:rsidRPr="00AD2F15">
        <w:rPr>
          <w:rFonts w:ascii="Verdana" w:hAnsi="Verdana"/>
          <w:sz w:val="22"/>
          <w:szCs w:val="22"/>
        </w:rPr>
        <w:t>¿las entidades regidas por el estatuto general de contratación y las de régimen especial puede. suscribir contratos de prestación de servicios profesionales a través de contratación directa durante la vigencia de la ley de garantías electorales?</w:t>
      </w:r>
      <w:r>
        <w:rPr>
          <w:rFonts w:ascii="Verdana" w:hAnsi="Verdana"/>
          <w:sz w:val="22"/>
          <w:szCs w:val="22"/>
        </w:rPr>
        <w:t>”</w:t>
      </w:r>
    </w:p>
    <w:p w14:paraId="01BE5DF8" w14:textId="77777777" w:rsidR="00A95D08" w:rsidRPr="00AD2F15" w:rsidRDefault="00A95D08" w:rsidP="00A95D08">
      <w:pPr>
        <w:spacing w:after="120" w:line="276" w:lineRule="auto"/>
        <w:ind w:firstLine="709"/>
        <w:jc w:val="both"/>
        <w:rPr>
          <w:rFonts w:ascii="Verdana" w:eastAsia="Calibri" w:hAnsi="Verdana" w:cs="Arial"/>
          <w:color w:val="000000"/>
          <w:lang w:val="es-ES_tradnl" w:eastAsia="es-ES_tradnl"/>
        </w:rPr>
      </w:pPr>
      <w:r w:rsidRPr="00AD2F1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AD2F15">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D2F15">
        <w:rPr>
          <w:rFonts w:ascii="Verdana" w:eastAsia="Calibri" w:hAnsi="Verdana" w:cs="Arial"/>
          <w:color w:val="000000"/>
          <w:lang w:val="es-ES_tradnl" w:eastAsia="es-ES_tradnl"/>
        </w:rPr>
        <w:tab/>
      </w:r>
    </w:p>
    <w:p w14:paraId="7F27A943" w14:textId="77777777" w:rsidR="00A95D08" w:rsidRPr="00AD2F15" w:rsidRDefault="00A95D08" w:rsidP="00A95D08">
      <w:pPr>
        <w:spacing w:after="0" w:line="276" w:lineRule="auto"/>
        <w:ind w:firstLine="709"/>
        <w:jc w:val="both"/>
        <w:rPr>
          <w:rFonts w:ascii="Verdana" w:eastAsia="Calibri" w:hAnsi="Verdana" w:cs="Arial"/>
          <w:color w:val="000000"/>
          <w:lang w:val="es-ES" w:eastAsia="es-ES"/>
        </w:rPr>
      </w:pPr>
      <w:r w:rsidRPr="00AD2F1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AD2F15">
        <w:rPr>
          <w:rFonts w:ascii="Verdana" w:eastAsia="Calibri" w:hAnsi="Verdana" w:cs="Arial"/>
          <w:color w:val="7030A0"/>
          <w:lang w:val="es-ES" w:eastAsia="es-ES"/>
        </w:rPr>
        <w:t xml:space="preserve"> </w:t>
      </w:r>
      <w:r w:rsidRPr="00AD2F15">
        <w:rPr>
          <w:rFonts w:ascii="Verdana" w:eastAsia="Calibri" w:hAnsi="Verdana" w:cs="Arial"/>
          <w:color w:val="000000"/>
          <w:lang w:val="es-ES" w:eastAsia="es-ES"/>
        </w:rPr>
        <w:t>problema</w:t>
      </w:r>
      <w:r w:rsidRPr="00AD2F15">
        <w:rPr>
          <w:rFonts w:ascii="Verdana" w:eastAsia="Calibri" w:hAnsi="Verdana" w:cs="Arial"/>
          <w:color w:val="7030A0"/>
          <w:lang w:val="es-ES" w:eastAsia="es-ES"/>
        </w:rPr>
        <w:t xml:space="preserve"> </w:t>
      </w:r>
      <w:r w:rsidRPr="00AD2F15">
        <w:rPr>
          <w:rFonts w:ascii="Verdana" w:eastAsia="Calibri" w:hAnsi="Verdana" w:cs="Arial"/>
          <w:color w:val="000000"/>
          <w:lang w:val="es-ES" w:eastAsia="es-ES"/>
        </w:rPr>
        <w:t>jurídico</w:t>
      </w:r>
      <w:r w:rsidRPr="00AD2F15">
        <w:rPr>
          <w:rFonts w:ascii="Verdana" w:eastAsia="Calibri" w:hAnsi="Verdana" w:cs="Arial"/>
          <w:color w:val="7030A0"/>
          <w:lang w:val="es-ES" w:eastAsia="es-ES"/>
        </w:rPr>
        <w:t xml:space="preserve"> </w:t>
      </w:r>
      <w:r w:rsidRPr="00AD2F15">
        <w:rPr>
          <w:rFonts w:ascii="Verdana" w:eastAsia="Calibri" w:hAnsi="Verdana" w:cs="Arial"/>
          <w:color w:val="000000"/>
          <w:lang w:val="es-ES" w:eastAsia="es-ES"/>
        </w:rPr>
        <w:t xml:space="preserve">de su consulta. </w:t>
      </w:r>
    </w:p>
    <w:p w14:paraId="2F957C0F" w14:textId="77777777" w:rsidR="00A95D08" w:rsidRPr="00AD2F15" w:rsidRDefault="00A95D08" w:rsidP="00A95D08">
      <w:pPr>
        <w:spacing w:after="0" w:line="276" w:lineRule="auto"/>
        <w:ind w:firstLine="709"/>
        <w:jc w:val="both"/>
        <w:rPr>
          <w:rFonts w:ascii="Verdana" w:eastAsia="Calibri" w:hAnsi="Verdana" w:cs="Arial"/>
          <w:color w:val="000000"/>
          <w:lang w:val="es-ES" w:eastAsia="es-ES"/>
        </w:rPr>
      </w:pPr>
    </w:p>
    <w:p w14:paraId="14C51A80" w14:textId="77777777" w:rsidR="00A95D08" w:rsidRPr="00AD2F15" w:rsidRDefault="00A95D08" w:rsidP="00A95D0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D2F15">
        <w:rPr>
          <w:rFonts w:ascii="Verdana" w:eastAsia="Century Gothic" w:hAnsi="Verdana" w:cs="Century Gothic"/>
          <w:b/>
          <w:bCs/>
        </w:rPr>
        <w:t>Problema planteado:</w:t>
      </w:r>
    </w:p>
    <w:p w14:paraId="68966C2D" w14:textId="77777777" w:rsidR="00A95D08" w:rsidRPr="00AD2F15" w:rsidRDefault="00A95D08" w:rsidP="00A95D08">
      <w:pPr>
        <w:tabs>
          <w:tab w:val="left" w:pos="426"/>
        </w:tabs>
        <w:spacing w:after="0" w:line="276" w:lineRule="auto"/>
        <w:jc w:val="both"/>
        <w:rPr>
          <w:rFonts w:ascii="Verdana" w:eastAsia="Century Gothic" w:hAnsi="Verdana" w:cs="Century Gothic"/>
          <w:lang w:val="es-ES"/>
        </w:rPr>
      </w:pPr>
    </w:p>
    <w:p w14:paraId="6DC0E5B8" w14:textId="64D2E6B8" w:rsidR="00A95D08" w:rsidRPr="00AD2F15" w:rsidRDefault="00A95D08" w:rsidP="00A95D08">
      <w:pPr>
        <w:spacing w:after="0" w:line="276" w:lineRule="auto"/>
        <w:jc w:val="both"/>
        <w:rPr>
          <w:rFonts w:ascii="Verdana" w:eastAsia="Century Gothic" w:hAnsi="Verdana" w:cs="Century Gothic"/>
        </w:rPr>
      </w:pPr>
      <w:r w:rsidRPr="00AD2F15">
        <w:rPr>
          <w:rFonts w:ascii="Verdana" w:eastAsia="Century Gothic" w:hAnsi="Verdana" w:cs="Century Gothic"/>
        </w:rPr>
        <w:t xml:space="preserve">De acuerdo con el contenido de su solicitud, esta Agencia resolverá el siguiente problema jurídico: </w:t>
      </w:r>
      <w:bookmarkStart w:id="2" w:name="OLE_LINK1"/>
      <w:r w:rsidRPr="00AD2F15">
        <w:rPr>
          <w:rFonts w:ascii="Verdana" w:eastAsia="Century Gothic" w:hAnsi="Verdana" w:cs="Century Gothic"/>
        </w:rPr>
        <w:t>De acuerdo con lo establecido en la Ley de Garantías Electorales -Ley 996 de 2005-, ¿</w:t>
      </w:r>
      <w:r>
        <w:rPr>
          <w:rFonts w:ascii="Verdana" w:eastAsia="Century Gothic" w:hAnsi="Verdana" w:cs="Century Gothic"/>
        </w:rPr>
        <w:t>Existe restricción</w:t>
      </w:r>
      <w:r w:rsidRPr="00AD2F15">
        <w:rPr>
          <w:rFonts w:ascii="Verdana" w:eastAsia="Century Gothic" w:hAnsi="Verdana" w:cs="Century Gothic"/>
        </w:rPr>
        <w:t xml:space="preserve"> </w:t>
      </w:r>
      <w:r>
        <w:rPr>
          <w:rFonts w:ascii="Verdana" w:eastAsia="Century Gothic" w:hAnsi="Verdana" w:cs="Century Gothic"/>
        </w:rPr>
        <w:t>para</w:t>
      </w:r>
      <w:r w:rsidRPr="00AD2F15">
        <w:rPr>
          <w:rFonts w:ascii="Verdana" w:eastAsia="Century Gothic" w:hAnsi="Verdana" w:cs="Century Gothic"/>
        </w:rPr>
        <w:t xml:space="preserve"> la celebración de contratos de prestación de servicios</w:t>
      </w:r>
      <w:r>
        <w:rPr>
          <w:rFonts w:ascii="Verdana" w:eastAsia="Century Gothic" w:hAnsi="Verdana" w:cs="Century Gothic"/>
        </w:rPr>
        <w:t>,</w:t>
      </w:r>
      <w:r w:rsidRPr="00AD2F15">
        <w:rPr>
          <w:rFonts w:ascii="Verdana" w:eastAsia="Century Gothic" w:hAnsi="Verdana" w:cs="Century Gothic"/>
        </w:rPr>
        <w:t xml:space="preserve"> para </w:t>
      </w:r>
      <w:r w:rsidRPr="00AD2F15">
        <w:rPr>
          <w:rFonts w:ascii="Verdana" w:hAnsi="Verdana"/>
        </w:rPr>
        <w:t>las entidades regidas por el estatuto general de contratación y las entidades de régimen especial</w:t>
      </w:r>
      <w:r w:rsidR="6ADDB927" w:rsidRPr="789BBF88">
        <w:rPr>
          <w:rFonts w:ascii="Verdana" w:hAnsi="Verdana"/>
        </w:rPr>
        <w:t xml:space="preserve"> </w:t>
      </w:r>
      <w:r w:rsidR="6ADDB927" w:rsidRPr="789BBF88">
        <w:rPr>
          <w:rFonts w:ascii="Verdana" w:eastAsia="Verdana" w:hAnsi="Verdana" w:cs="Verdana"/>
        </w:rPr>
        <w:t>durante la vigencia de la ley de garantías electorales y para qué tipo de elecciones</w:t>
      </w:r>
      <w:r w:rsidRPr="00AD2F15">
        <w:rPr>
          <w:rFonts w:ascii="Verdana" w:eastAsia="Century Gothic" w:hAnsi="Verdana" w:cs="Century Gothic"/>
        </w:rPr>
        <w:t xml:space="preserve">? </w:t>
      </w:r>
    </w:p>
    <w:bookmarkEnd w:id="2"/>
    <w:p w14:paraId="6B0F60F9" w14:textId="77777777" w:rsidR="00A95D08" w:rsidRPr="00AD2F15" w:rsidRDefault="00A95D08" w:rsidP="00A95D08">
      <w:pPr>
        <w:spacing w:after="0" w:line="276" w:lineRule="auto"/>
        <w:jc w:val="both"/>
        <w:rPr>
          <w:rFonts w:ascii="Verdana" w:eastAsia="Calibri" w:hAnsi="Verdana" w:cs="Arial"/>
          <w:color w:val="7030A0"/>
          <w:lang w:val="es-ES"/>
        </w:rPr>
      </w:pPr>
    </w:p>
    <w:p w14:paraId="48082FFC" w14:textId="77777777" w:rsidR="00A95D08" w:rsidRPr="00AD2F15" w:rsidRDefault="00A95D08" w:rsidP="00A95D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D2F15">
        <w:rPr>
          <w:rFonts w:ascii="Verdana" w:eastAsia="Century Gothic" w:hAnsi="Verdana" w:cs="Century Gothic"/>
          <w:b/>
          <w:bCs/>
        </w:rPr>
        <w:t>Respuesta:</w:t>
      </w:r>
    </w:p>
    <w:p w14:paraId="7D25B63A" w14:textId="77777777" w:rsidR="00A95D08" w:rsidRPr="00AD2F15" w:rsidRDefault="00A95D08" w:rsidP="00A95D0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95D08" w:rsidRPr="00AD2F15" w14:paraId="00F2C34F" w14:textId="77777777" w:rsidTr="008F21B7">
        <w:tc>
          <w:tcPr>
            <w:tcW w:w="8828" w:type="dxa"/>
          </w:tcPr>
          <w:p w14:paraId="72F268B7" w14:textId="0120F7C2" w:rsidR="005A18CA" w:rsidRPr="00AD2F15" w:rsidRDefault="00A95D08" w:rsidP="00E75F10">
            <w:pPr>
              <w:spacing w:after="120" w:line="276" w:lineRule="auto"/>
              <w:jc w:val="both"/>
              <w:rPr>
                <w:rFonts w:ascii="Verdana" w:eastAsia="Verdana" w:hAnsi="Verdana" w:cs="Verdana"/>
                <w:color w:val="000000" w:themeColor="text1"/>
              </w:rPr>
            </w:pPr>
            <w:r w:rsidRPr="00AD2F15">
              <w:rPr>
                <w:rFonts w:ascii="Verdana" w:eastAsia="Times New Roman" w:hAnsi="Verdana" w:cs="Arial"/>
              </w:rPr>
              <w:t xml:space="preserve"> </w:t>
            </w:r>
            <w:r w:rsidR="7A8FABAF" w:rsidRPr="32DC2C46">
              <w:rPr>
                <w:rFonts w:ascii="Verdana" w:eastAsia="Verdana" w:hAnsi="Verdana" w:cs="Verdana"/>
                <w:color w:val="000000" w:themeColor="text1"/>
                <w:lang w:val="es-ES"/>
              </w:rPr>
              <w:t>Sobre el particular debe precisarse que, l</w:t>
            </w:r>
            <w:r w:rsidR="7A8FABAF" w:rsidRPr="32DC2C46">
              <w:rPr>
                <w:rFonts w:ascii="Verdana" w:eastAsia="Verdana" w:hAnsi="Verdana" w:cs="Verdana"/>
                <w:color w:val="000000" w:themeColor="text1"/>
                <w:lang w:val="es"/>
              </w:rPr>
              <w:t xml:space="preserve">a Ley 996 de 2005 establece dos (2) tipos de restricciones en materia de contratación, las cuales coinciden parcialmente. En primer lugar, en su artículo 33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Y en segundo lugar,  el parágrafo del artículo 38 de la precitada Ley prevé una restricción aplicable respecto de cualquier tipo de contienda electoral, que </w:t>
            </w:r>
            <w:r w:rsidR="7A8FABAF" w:rsidRPr="32DC2C46">
              <w:rPr>
                <w:rFonts w:ascii="Verdana" w:eastAsia="Verdana" w:hAnsi="Verdana" w:cs="Verdana"/>
                <w:color w:val="000000" w:themeColor="text1"/>
                <w:lang w:val="es"/>
              </w:rPr>
              <w:lastRenderedPageBreak/>
              <w:t>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 de sus juntas directivas, en o para reuniones de carácter proselitista</w:t>
            </w:r>
            <w:r w:rsidR="005A18CA">
              <w:rPr>
                <w:rFonts w:ascii="Verdana" w:eastAsia="Verdana" w:hAnsi="Verdana" w:cs="Verdana"/>
                <w:color w:val="000000" w:themeColor="text1"/>
              </w:rPr>
              <w:t>.</w:t>
            </w:r>
          </w:p>
          <w:p w14:paraId="0DF66514" w14:textId="5DFC2B59" w:rsidR="00A95D08" w:rsidRDefault="005A18CA" w:rsidP="00C83BB8">
            <w:pPr>
              <w:spacing w:after="120" w:line="276" w:lineRule="auto"/>
              <w:jc w:val="both"/>
              <w:rPr>
                <w:rFonts w:ascii="Verdana" w:eastAsia="Times New Roman" w:hAnsi="Verdana" w:cs="Times New Roman"/>
                <w:lang w:eastAsia="es-MX"/>
              </w:rPr>
            </w:pPr>
            <w:r>
              <w:rPr>
                <w:rFonts w:ascii="Verdana" w:eastAsia="Verdana" w:hAnsi="Verdana" w:cs="Verdana"/>
                <w:color w:val="000000" w:themeColor="text1"/>
              </w:rPr>
              <w:t xml:space="preserve">         </w:t>
            </w:r>
            <w:r w:rsidR="7A8FABAF" w:rsidRPr="32DC2C46">
              <w:rPr>
                <w:rFonts w:ascii="Verdana" w:eastAsia="Verdana" w:hAnsi="Verdana" w:cs="Verdana"/>
                <w:color w:val="000000" w:themeColor="text1"/>
                <w:lang w:val="es-ES"/>
              </w:rPr>
              <w:t xml:space="preserve">Ambas restricciones no son excluyentes, lo que permite concluir que en el período preelectoral para elección de </w:t>
            </w:r>
            <w:proofErr w:type="gramStart"/>
            <w:r w:rsidR="7A8FABAF" w:rsidRPr="32DC2C46">
              <w:rPr>
                <w:rFonts w:ascii="Verdana" w:eastAsia="Verdana" w:hAnsi="Verdana" w:cs="Verdana"/>
                <w:color w:val="000000" w:themeColor="text1"/>
                <w:lang w:val="es-ES"/>
              </w:rPr>
              <w:t>Presidente</w:t>
            </w:r>
            <w:proofErr w:type="gramEnd"/>
            <w:r w:rsidR="7A8FABAF" w:rsidRPr="32DC2C46">
              <w:rPr>
                <w:rFonts w:ascii="Verdana" w:eastAsia="Verdana" w:hAnsi="Verdana" w:cs="Verdana"/>
                <w:color w:val="000000" w:themeColor="text1"/>
                <w:lang w:val="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7A8FABAF" w:rsidRPr="32DC2C46">
              <w:rPr>
                <w:rFonts w:ascii="Verdana" w:eastAsia="Verdana" w:hAnsi="Verdana" w:cs="Verdana"/>
                <w:color w:val="000000" w:themeColor="text1"/>
                <w:lang w:val="es-ES"/>
              </w:rPr>
              <w:t>Presidente</w:t>
            </w:r>
            <w:proofErr w:type="gramEnd"/>
            <w:r w:rsidR="7A8FABAF" w:rsidRPr="32DC2C46">
              <w:rPr>
                <w:rFonts w:ascii="Verdana" w:eastAsia="Verdana" w:hAnsi="Verdana" w:cs="Verdana"/>
                <w:color w:val="000000" w:themeColor="text1"/>
                <w:lang w:val="es-ES"/>
              </w:rPr>
              <w:t xml:space="preserve"> de la República, las autoridades allí mencionadas sólo deben aplicar las restricciones contenidas en el parágrafo del artículo 38.</w:t>
            </w:r>
          </w:p>
          <w:p w14:paraId="4090755A" w14:textId="77777777" w:rsidR="00A95D08" w:rsidRPr="00A40362" w:rsidRDefault="00A95D08" w:rsidP="008F21B7">
            <w:pPr>
              <w:spacing w:after="120" w:line="276" w:lineRule="auto"/>
              <w:ind w:firstLine="708"/>
              <w:jc w:val="both"/>
              <w:rPr>
                <w:rFonts w:ascii="Verdana" w:eastAsia="Times New Roman" w:hAnsi="Verdana" w:cs="Times New Roman"/>
                <w:lang w:eastAsia="es-MX"/>
              </w:rPr>
            </w:pPr>
            <w:r>
              <w:rPr>
                <w:rFonts w:ascii="Verdana" w:eastAsia="Calibri" w:hAnsi="Verdana" w:cs="Arial"/>
              </w:rPr>
              <w:t xml:space="preserve">Finalmente, </w:t>
            </w:r>
            <w:r w:rsidRPr="006B795B">
              <w:rPr>
                <w:rFonts w:ascii="Verdana" w:eastAsia="Calibri" w:hAnsi="Verdana" w:cs="Arial"/>
              </w:rPr>
              <w:t xml:space="preserve">debe advertirse que, el análisis requerido para resolver problemas específicos en torno a la </w:t>
            </w:r>
            <w:r>
              <w:rPr>
                <w:rFonts w:ascii="Verdana" w:eastAsia="Calibri" w:hAnsi="Verdana" w:cs="Arial"/>
              </w:rPr>
              <w:t xml:space="preserve">aplicación de las restricciones contractuales contenidas en la Ley 996 de 2005, </w:t>
            </w:r>
            <w:r w:rsidRPr="006B795B">
              <w:rPr>
                <w:rFonts w:ascii="Verdana" w:eastAsia="Calibri" w:hAnsi="Verdana" w:cs="Arial"/>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tbl>
    <w:p w14:paraId="7C3B575B" w14:textId="77777777" w:rsidR="00A95D08" w:rsidRPr="00AD2F15" w:rsidRDefault="00A95D08" w:rsidP="00A95D08">
      <w:pPr>
        <w:tabs>
          <w:tab w:val="left" w:pos="142"/>
          <w:tab w:val="left" w:pos="284"/>
        </w:tabs>
        <w:spacing w:after="0" w:line="276" w:lineRule="auto"/>
        <w:jc w:val="both"/>
        <w:rPr>
          <w:rFonts w:ascii="Verdana" w:eastAsia="Century Gothic" w:hAnsi="Verdana" w:cs="Century Gothic"/>
          <w:b/>
          <w:bCs/>
          <w:lang w:val="es-ES"/>
        </w:rPr>
      </w:pPr>
    </w:p>
    <w:p w14:paraId="0B933DF7" w14:textId="77777777" w:rsidR="00A95D08" w:rsidRPr="00AD2F15" w:rsidRDefault="00A95D08" w:rsidP="00A95D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D2F15">
        <w:rPr>
          <w:rFonts w:ascii="Verdana" w:eastAsia="Century Gothic" w:hAnsi="Verdana" w:cs="Century Gothic"/>
          <w:b/>
          <w:bCs/>
        </w:rPr>
        <w:t>Razones de la respuesta:</w:t>
      </w:r>
    </w:p>
    <w:p w14:paraId="2ABCEDFF" w14:textId="77777777" w:rsidR="00A95D08" w:rsidRPr="00AD2F15" w:rsidRDefault="00A95D08" w:rsidP="00A95D08">
      <w:pPr>
        <w:spacing w:after="0" w:line="276" w:lineRule="auto"/>
        <w:jc w:val="both"/>
        <w:rPr>
          <w:rFonts w:ascii="Verdana" w:eastAsia="Calibri" w:hAnsi="Verdana" w:cs="Arial"/>
          <w:color w:val="7030A0"/>
          <w:lang w:val="es-ES"/>
        </w:rPr>
      </w:pPr>
    </w:p>
    <w:p w14:paraId="2D030B22" w14:textId="77777777" w:rsidR="00A95D08" w:rsidRPr="00AD2F15" w:rsidRDefault="00A95D08" w:rsidP="00A95D08">
      <w:pPr>
        <w:spacing w:after="0" w:line="276" w:lineRule="auto"/>
        <w:jc w:val="both"/>
        <w:rPr>
          <w:rFonts w:ascii="Verdana" w:eastAsia="Calibri" w:hAnsi="Verdana" w:cs="Arial"/>
          <w:lang w:val="es-ES"/>
        </w:rPr>
      </w:pPr>
      <w:r w:rsidRPr="00AD2F15">
        <w:rPr>
          <w:rFonts w:ascii="Verdana" w:eastAsia="Calibri" w:hAnsi="Verdana" w:cs="Arial"/>
          <w:lang w:val="es-ES"/>
        </w:rPr>
        <w:t xml:space="preserve">Lo anterior se sustenta en las siguientes consideraciones: </w:t>
      </w:r>
    </w:p>
    <w:p w14:paraId="68CED35E" w14:textId="77777777" w:rsidR="00A95D08" w:rsidRPr="00AD2F15" w:rsidRDefault="00A95D08" w:rsidP="00A95D08">
      <w:pPr>
        <w:spacing w:after="0" w:line="276" w:lineRule="auto"/>
        <w:jc w:val="both"/>
        <w:rPr>
          <w:rFonts w:ascii="Verdana" w:eastAsia="Calibri" w:hAnsi="Verdana" w:cs="Arial"/>
          <w:lang w:val="es-ES"/>
        </w:rPr>
      </w:pPr>
    </w:p>
    <w:p w14:paraId="618FA9F1" w14:textId="77777777" w:rsidR="00A95D08" w:rsidRPr="00AD2F15" w:rsidRDefault="00A95D08" w:rsidP="00A95D08">
      <w:pPr>
        <w:tabs>
          <w:tab w:val="left" w:pos="709"/>
        </w:tabs>
        <w:spacing w:after="0" w:line="276" w:lineRule="auto"/>
        <w:jc w:val="both"/>
        <w:rPr>
          <w:rFonts w:ascii="Verdana" w:eastAsia="Calibri" w:hAnsi="Verdana" w:cs="Arial"/>
          <w:lang w:val="es-ES"/>
        </w:rPr>
      </w:pPr>
      <w:r w:rsidRPr="00AD2F15">
        <w:rPr>
          <w:rFonts w:ascii="Verdana" w:eastAsia="Calibri" w:hAnsi="Verdana" w:cs="Arial"/>
          <w:color w:val="000000"/>
          <w:lang w:val="es-ES_tradnl"/>
        </w:rPr>
        <w:t xml:space="preserve">El </w:t>
      </w:r>
      <w:r w:rsidRPr="00AD2F15">
        <w:rPr>
          <w:rFonts w:ascii="Verdana" w:eastAsia="Calibri" w:hAnsi="Verdana" w:cs="Arial"/>
          <w:lang w:val="es-ES"/>
        </w:rPr>
        <w:t>ordenamiento jurídico colombiano contempló previsiones claras para evitar la obtención de beneficios personales en asuntos propios de la administración pública. Por ejemplo, el artículo 17 de la Constitución Política establece una prohibición contractual para los servidores públicos y, en cuanto a aspectos políticos, consagra restricciones a ciertos empleados del Estado, incluso en época no electoral</w:t>
      </w:r>
      <w:r w:rsidRPr="00AD2F15">
        <w:rPr>
          <w:rFonts w:ascii="Verdana" w:eastAsia="Calibri" w:hAnsi="Verdana" w:cs="Arial"/>
          <w:bCs/>
          <w:vertAlign w:val="superscript"/>
        </w:rPr>
        <w:footnoteReference w:id="1"/>
      </w:r>
      <w:r w:rsidRPr="00AD2F15">
        <w:rPr>
          <w:rFonts w:ascii="Verdana" w:eastAsia="Calibri" w:hAnsi="Verdana" w:cs="Arial"/>
          <w:bCs/>
        </w:rPr>
        <w:t>.</w:t>
      </w:r>
    </w:p>
    <w:p w14:paraId="5F7778DC" w14:textId="77777777" w:rsidR="00A95D08" w:rsidRPr="00AD2F15" w:rsidRDefault="00A95D08" w:rsidP="00A95D08">
      <w:pPr>
        <w:tabs>
          <w:tab w:val="left" w:pos="709"/>
        </w:tabs>
        <w:spacing w:before="120" w:after="120" w:line="276" w:lineRule="auto"/>
        <w:jc w:val="both"/>
        <w:rPr>
          <w:rFonts w:ascii="Verdana" w:eastAsia="Calibri" w:hAnsi="Verdana" w:cs="Arial"/>
          <w:lang w:val="es-ES"/>
        </w:rPr>
      </w:pPr>
      <w:r w:rsidRPr="00AD2F15">
        <w:rPr>
          <w:rFonts w:ascii="Verdana" w:eastAsia="Calibri" w:hAnsi="Verdana" w:cs="Arial"/>
          <w:lang w:val="es-ES"/>
        </w:rPr>
        <w:lastRenderedPageBreak/>
        <w:tab/>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D2F15">
        <w:rPr>
          <w:rFonts w:ascii="Verdana" w:eastAsia="Times New Roman" w:hAnsi="Verdana" w:cs="Arial"/>
          <w:bCs/>
          <w:vertAlign w:val="superscript"/>
          <w:lang w:val="es-MX" w:eastAsia="es-CO"/>
        </w:rPr>
        <w:footnoteReference w:id="2"/>
      </w:r>
      <w:r w:rsidRPr="00AD2F15">
        <w:rPr>
          <w:rFonts w:ascii="Verdana" w:eastAsia="Calibri" w:hAnsi="Verdana" w:cs="Arial"/>
          <w:lang w:val="es-ES"/>
        </w:rPr>
        <w:t>. En esta medida, la cita Ley introduce limitaciones para realizar nombramientos, postulaciones, contrataciones o cualquier otro tipo de actividad que implique destinación de recursos públicos bajo el devenir propio de las entidades estatales.</w:t>
      </w:r>
    </w:p>
    <w:p w14:paraId="056488DC" w14:textId="77777777" w:rsidR="00A95D08" w:rsidRPr="00AD2F15" w:rsidRDefault="00A95D08" w:rsidP="00A95D08">
      <w:pPr>
        <w:tabs>
          <w:tab w:val="left" w:pos="709"/>
        </w:tabs>
        <w:spacing w:after="0" w:line="276" w:lineRule="auto"/>
        <w:jc w:val="both"/>
        <w:rPr>
          <w:rFonts w:ascii="Verdana" w:eastAsia="Calibri" w:hAnsi="Verdana" w:cs="Arial"/>
          <w:lang w:val="es-ES"/>
        </w:rPr>
      </w:pPr>
      <w:r w:rsidRPr="00AD2F15">
        <w:rPr>
          <w:rFonts w:ascii="Verdana" w:eastAsia="Calibri" w:hAnsi="Verdana" w:cs="Arial"/>
          <w:lang w:val="es-ES"/>
        </w:rPr>
        <w:tab/>
        <w:t xml:space="preserve">En armonía con lo anterior, la Corte Constitucional ha abordado la definición de la Ley de Garantías Electorales y ha explicado que esta tiene como propósito: </w:t>
      </w:r>
    </w:p>
    <w:p w14:paraId="7CE319D7" w14:textId="77777777" w:rsidR="00A95D08" w:rsidRPr="00AD2F15" w:rsidRDefault="00A95D08" w:rsidP="00A95D08">
      <w:pPr>
        <w:spacing w:after="0" w:line="240" w:lineRule="auto"/>
        <w:ind w:left="709" w:right="709"/>
        <w:jc w:val="both"/>
        <w:rPr>
          <w:rFonts w:ascii="Verdana" w:eastAsia="Times New Roman" w:hAnsi="Verdana" w:cs="Arial"/>
          <w:lang w:val="es-ES" w:eastAsia="es-CO"/>
        </w:rPr>
      </w:pPr>
    </w:p>
    <w:p w14:paraId="2F63369B" w14:textId="77777777" w:rsidR="00A95D08" w:rsidRPr="00AD2F15" w:rsidRDefault="00A95D08" w:rsidP="00A95D08">
      <w:pPr>
        <w:spacing w:after="0" w:line="240" w:lineRule="auto"/>
        <w:ind w:left="709" w:right="709"/>
        <w:jc w:val="both"/>
        <w:rPr>
          <w:rFonts w:ascii="Verdana" w:eastAsia="Times New Roman" w:hAnsi="Verdana" w:cs="Arial"/>
          <w:bCs/>
          <w:lang w:val="es-MX" w:eastAsia="es-CO"/>
        </w:rPr>
      </w:pPr>
      <w:r w:rsidRPr="00AD2F15">
        <w:rPr>
          <w:rFonts w:ascii="Verdana" w:eastAsia="Times New Roman" w:hAnsi="Verdana" w:cs="Arial"/>
          <w:lang w:val="es-ES" w:eastAsia="es-CO"/>
        </w:rPr>
        <w:t xml:space="preserve">“[…] </w:t>
      </w:r>
      <w:r w:rsidRPr="00AD2F15">
        <w:rPr>
          <w:rFonts w:ascii="Verdana" w:eastAsia="Times New Roman" w:hAnsi="Verdana" w:cs="Arial"/>
          <w:bCs/>
          <w:lang w:val="es-MX" w:eastAsia="es-CO"/>
        </w:rPr>
        <w:t>la definición de reglas claras que permitan acceder a los canales de expresión democrática de manera efectiva e igualitaria. El objetivo de una ley de garantías es definir esas reglas.</w:t>
      </w:r>
    </w:p>
    <w:p w14:paraId="0C32A88F" w14:textId="77777777" w:rsidR="00A95D08" w:rsidRPr="00AD2F15" w:rsidRDefault="00A95D08" w:rsidP="00A95D08">
      <w:pPr>
        <w:spacing w:after="0" w:line="240" w:lineRule="auto"/>
        <w:ind w:left="709" w:right="709"/>
        <w:jc w:val="both"/>
        <w:rPr>
          <w:rFonts w:ascii="Verdana" w:eastAsia="Times New Roman" w:hAnsi="Verdana" w:cs="Arial"/>
          <w:bCs/>
          <w:lang w:val="es-MX" w:eastAsia="es-CO"/>
        </w:rPr>
      </w:pPr>
      <w:r w:rsidRPr="00AD2F15">
        <w:rPr>
          <w:rFonts w:ascii="Verdana" w:eastAsia="Times New Roman" w:hAnsi="Verdana" w:cs="Arial"/>
          <w:bCs/>
          <w:lang w:val="es-MX" w:eastAsia="es-CO"/>
        </w:rPr>
        <w:t xml:space="preserve">[…] </w:t>
      </w:r>
    </w:p>
    <w:p w14:paraId="0E793E09" w14:textId="77777777" w:rsidR="00A95D08" w:rsidRPr="00AD2F15" w:rsidRDefault="00A95D08" w:rsidP="00A95D08">
      <w:pPr>
        <w:spacing w:after="0" w:line="240" w:lineRule="auto"/>
        <w:ind w:left="709" w:right="709"/>
        <w:jc w:val="both"/>
        <w:rPr>
          <w:rFonts w:ascii="Verdana" w:eastAsia="Times New Roman" w:hAnsi="Verdana" w:cs="Arial"/>
          <w:bCs/>
          <w:lang w:val="es-MX" w:eastAsia="es-CO"/>
        </w:rPr>
      </w:pPr>
      <w:r w:rsidRPr="00AD2F15">
        <w:rPr>
          <w:rFonts w:ascii="Verdana" w:eastAsia="Times New Roman" w:hAnsi="Verdana" w:cs="Arial"/>
          <w:bCs/>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w:t>
      </w:r>
      <w:r w:rsidRPr="00AD2F15">
        <w:rPr>
          <w:rFonts w:ascii="Verdana" w:eastAsia="Times New Roman" w:hAnsi="Verdana" w:cs="Arial"/>
          <w:bCs/>
          <w:lang w:val="es-MX" w:eastAsia="es-CO"/>
        </w:rPr>
        <w:lastRenderedPageBreak/>
        <w:t>ideas y las propuestas las que definan el ascenso al poder, y no el músculo económico de los que se lo disputan</w:t>
      </w:r>
      <w:r w:rsidRPr="00AD2F15">
        <w:rPr>
          <w:rFonts w:ascii="Verdana" w:eastAsia="Calibri" w:hAnsi="Verdana" w:cs="Arial"/>
          <w:vertAlign w:val="superscript"/>
          <w:lang w:val="es-MX"/>
        </w:rPr>
        <w:footnoteReference w:id="3"/>
      </w:r>
      <w:r w:rsidRPr="00AD2F15">
        <w:rPr>
          <w:rFonts w:ascii="Verdana" w:eastAsia="Times New Roman" w:hAnsi="Verdana" w:cs="Arial"/>
          <w:bCs/>
          <w:lang w:val="es-MX" w:eastAsia="es-CO"/>
        </w:rPr>
        <w:t>”.</w:t>
      </w:r>
    </w:p>
    <w:p w14:paraId="5C4D88B4" w14:textId="77777777" w:rsidR="00A95D08" w:rsidRPr="00AD2F15" w:rsidRDefault="00A95D08" w:rsidP="00A95D08">
      <w:pPr>
        <w:tabs>
          <w:tab w:val="left" w:pos="709"/>
        </w:tabs>
        <w:spacing w:after="0" w:line="276" w:lineRule="auto"/>
        <w:jc w:val="both"/>
        <w:rPr>
          <w:rFonts w:ascii="Verdana" w:eastAsia="Calibri" w:hAnsi="Verdana" w:cs="Arial"/>
          <w:lang w:val="es-ES"/>
        </w:rPr>
      </w:pPr>
    </w:p>
    <w:p w14:paraId="25824C64" w14:textId="77777777" w:rsidR="00A95D08" w:rsidRPr="00AD2F15" w:rsidRDefault="00A95D08" w:rsidP="00A95D08">
      <w:pPr>
        <w:tabs>
          <w:tab w:val="left" w:pos="709"/>
        </w:tabs>
        <w:spacing w:after="0" w:line="276" w:lineRule="auto"/>
        <w:jc w:val="both"/>
        <w:rPr>
          <w:rFonts w:ascii="Verdana" w:eastAsia="Calibri" w:hAnsi="Verdana" w:cs="Arial"/>
          <w:lang w:val="es-ES"/>
        </w:rPr>
      </w:pPr>
      <w:r w:rsidRPr="00AD2F15">
        <w:rPr>
          <w:rFonts w:ascii="Verdana" w:eastAsia="Calibri" w:hAnsi="Verdana" w:cs="Arial"/>
          <w:lang w:val="es-ES"/>
        </w:rPr>
        <w:tab/>
        <w:t xml:space="preserve">En ese contexto, la Ley de Garantías Electorales establece el marco jurídico para el desarrollo de las elecciones, procurando condiciones de igualdad y transparencia para los aspirantes y, paralelamente, incluyendo restricciones en el actuar de los servidores públicos, con las cuales se procura evitar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 </w:t>
      </w:r>
    </w:p>
    <w:p w14:paraId="12B95A7E" w14:textId="77777777" w:rsidR="00A95D08" w:rsidRPr="00AD2F15" w:rsidRDefault="00A95D08" w:rsidP="00A95D08">
      <w:pPr>
        <w:tabs>
          <w:tab w:val="left" w:pos="709"/>
        </w:tabs>
        <w:spacing w:after="0" w:line="276" w:lineRule="auto"/>
        <w:jc w:val="both"/>
        <w:rPr>
          <w:rFonts w:ascii="Verdana" w:eastAsia="Calibri" w:hAnsi="Verdana" w:cs="Arial"/>
          <w:lang w:val="es-ES"/>
        </w:rPr>
      </w:pPr>
    </w:p>
    <w:p w14:paraId="6BD15628" w14:textId="77777777" w:rsidR="00A95D08" w:rsidRPr="00AD2F15" w:rsidRDefault="00A95D08" w:rsidP="00A95D08">
      <w:pPr>
        <w:spacing w:after="0" w:line="240" w:lineRule="auto"/>
        <w:ind w:left="709" w:right="709"/>
        <w:jc w:val="both"/>
        <w:rPr>
          <w:rFonts w:ascii="Verdana" w:eastAsia="Times New Roman" w:hAnsi="Verdana" w:cs="Arial"/>
          <w:bCs/>
          <w:lang w:val="es-MX" w:eastAsia="es-CO"/>
        </w:rPr>
      </w:pPr>
      <w:r w:rsidRPr="00AD2F15">
        <w:rPr>
          <w:rFonts w:ascii="Verdana" w:eastAsia="Calibri" w:hAnsi="Verdana" w:cs="Arial"/>
          <w:lang w:val="es-ES"/>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D2F15">
        <w:rPr>
          <w:rFonts w:ascii="Verdana" w:eastAsia="Calibri" w:hAnsi="Verdana" w:cs="Arial"/>
          <w:lang w:val="es-ES"/>
        </w:rPr>
        <w:t>legis</w:t>
      </w:r>
      <w:proofErr w:type="spellEnd"/>
      <w:r w:rsidRPr="00AD2F15">
        <w:rPr>
          <w:rFonts w:ascii="Verdana" w:eastAsia="Calibri" w:hAnsi="Verdana" w:cs="Arial"/>
          <w:lang w:val="es-ES"/>
        </w:rPr>
        <w:t xml:space="preserve"> o iuris y la interpretación extensiva. Las normas legales de contenido prohibitivo hacen parte de un conjunto de dispositivos que integran un régimen jurídico imperativo y de orden público, razón por la cual no son disponibles ni pueden ser derogadas, modificadas, ampliadas o adicionadas por acuerdo o convenio o acto unilateral. La jurisprudencia de la Cortes </w:t>
      </w:r>
      <w:r w:rsidRPr="00AD2F15">
        <w:rPr>
          <w:rFonts w:ascii="Verdana" w:eastAsia="Calibri" w:hAnsi="Verdana" w:cs="Arial"/>
          <w:lang w:val="es-ES"/>
        </w:rPr>
        <w:lastRenderedPageBreak/>
        <w:t>Constitucional</w:t>
      </w:r>
      <w:r w:rsidRPr="00AD2F15">
        <w:rPr>
          <w:rFonts w:ascii="Verdana" w:eastAsia="Times New Roman" w:hAnsi="Verdana" w:cs="Arial"/>
          <w:bCs/>
          <w:vertAlign w:val="superscript"/>
          <w:lang w:val="es-MX" w:eastAsia="es-CO"/>
        </w:rPr>
        <w:footnoteReference w:id="4"/>
      </w:r>
      <w:r w:rsidRPr="00AD2F15">
        <w:rPr>
          <w:rFonts w:ascii="Verdana" w:eastAsia="Times New Roman" w:hAnsi="Verdana" w:cs="Arial"/>
          <w:bCs/>
          <w:lang w:val="es-MX" w:eastAsia="es-CO"/>
        </w:rPr>
        <w:t>  y del Consejo de Estado</w:t>
      </w:r>
      <w:r w:rsidRPr="00AD2F15">
        <w:rPr>
          <w:rFonts w:ascii="Verdana" w:eastAsia="Times New Roman" w:hAnsi="Verdana" w:cs="Arial"/>
          <w:bCs/>
          <w:vertAlign w:val="superscript"/>
          <w:lang w:val="es-MX" w:eastAsia="es-CO"/>
        </w:rPr>
        <w:footnoteReference w:id="5"/>
      </w:r>
      <w:r w:rsidRPr="00AD2F15">
        <w:rPr>
          <w:rFonts w:ascii="Verdana" w:eastAsia="Times New Roman" w:hAnsi="Verdana" w:cs="Arial"/>
          <w:bCs/>
          <w:lang w:val="es-MX" w:eastAsia="es-CO"/>
        </w:rPr>
        <w:t>, coinciden en que las normas que establecen prohibiciones deben estar de manera explícita en la Constitución o en la ley y no podrán se excesivas ni desproporcionadas. No pueden interpretarse extensivamente sino siempre en forma restrictiva o estricta; es decir, en la aplicación de las normas prohibitivas, el intérprete solamente habrá de tener en cuenta lo que en ellas expresamente se menciona y, por tanto, no les es permitido ampliar el natural y obvio alcance de los supuestos que contemplan, pues como entrañan una limitación -así fuere justificada- a la libertad de actuar o capacidad de obrar, sobrepasar sus precisos términos comporta el desconocimiento de la voluntad del legislado”</w:t>
      </w:r>
      <w:r w:rsidRPr="00AD2F15">
        <w:rPr>
          <w:rFonts w:ascii="Verdana" w:eastAsia="Times New Roman" w:hAnsi="Verdana" w:cs="Arial"/>
          <w:bCs/>
          <w:vertAlign w:val="superscript"/>
          <w:lang w:val="es-MX" w:eastAsia="es-CO"/>
        </w:rPr>
        <w:footnoteReference w:id="6"/>
      </w:r>
      <w:r w:rsidRPr="00AD2F15">
        <w:rPr>
          <w:rFonts w:ascii="Verdana" w:eastAsia="Times New Roman" w:hAnsi="Verdana" w:cs="Arial"/>
          <w:bCs/>
          <w:lang w:val="es-MX" w:eastAsia="es-CO"/>
        </w:rPr>
        <w:t>.</w:t>
      </w:r>
    </w:p>
    <w:p w14:paraId="58E33A2F" w14:textId="77777777" w:rsidR="00A95D08" w:rsidRPr="00AD2F15" w:rsidRDefault="00A95D08" w:rsidP="00A95D08">
      <w:pPr>
        <w:tabs>
          <w:tab w:val="left" w:pos="709"/>
        </w:tabs>
        <w:spacing w:after="0" w:line="240" w:lineRule="auto"/>
        <w:ind w:left="709" w:right="709"/>
        <w:jc w:val="both"/>
        <w:rPr>
          <w:rFonts w:ascii="Verdana" w:eastAsia="Times New Roman" w:hAnsi="Verdana" w:cs="Arial"/>
          <w:bCs/>
          <w:lang w:val="es-MX" w:eastAsia="es-CO"/>
        </w:rPr>
      </w:pPr>
    </w:p>
    <w:p w14:paraId="203C0E71" w14:textId="77777777" w:rsidR="00A95D08" w:rsidRPr="00AD2F15" w:rsidRDefault="00A95D08" w:rsidP="00A95D08">
      <w:pPr>
        <w:tabs>
          <w:tab w:val="left" w:pos="709"/>
        </w:tabs>
        <w:spacing w:after="0" w:line="276" w:lineRule="auto"/>
        <w:jc w:val="both"/>
        <w:rPr>
          <w:rFonts w:ascii="Verdana" w:eastAsia="Calibri" w:hAnsi="Verdana" w:cs="Arial"/>
          <w:lang w:val="es-ES"/>
        </w:rPr>
      </w:pPr>
      <w:r w:rsidRPr="00AD2F15">
        <w:rPr>
          <w:rFonts w:ascii="Verdana" w:eastAsia="Calibri" w:hAnsi="Verdana" w:cs="Arial"/>
          <w:lang w:val="es-ES"/>
        </w:rPr>
        <w:tab/>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3B02D812" w14:textId="77777777" w:rsidR="00A95D08" w:rsidRPr="00AD2F15" w:rsidRDefault="00A95D08" w:rsidP="00A95D08">
      <w:pPr>
        <w:tabs>
          <w:tab w:val="left" w:pos="709"/>
        </w:tabs>
        <w:spacing w:before="120" w:after="120" w:line="276" w:lineRule="auto"/>
        <w:jc w:val="both"/>
        <w:rPr>
          <w:rFonts w:ascii="Verdana" w:eastAsia="Calibri" w:hAnsi="Verdana" w:cs="Arial"/>
          <w:lang w:val="es-ES"/>
        </w:rPr>
      </w:pPr>
      <w:r w:rsidRPr="00AD2F15">
        <w:rPr>
          <w:rFonts w:ascii="Verdana" w:eastAsia="Calibri" w:hAnsi="Verdana" w:cs="Arial"/>
          <w:lang w:val="es-ES"/>
        </w:rPr>
        <w:tab/>
        <w:t xml:space="preserve">De una parte, el artículo 33 de la Ley 966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AD2F15">
        <w:rPr>
          <w:rFonts w:ascii="Verdana" w:eastAsia="Calibri" w:hAnsi="Verdana" w:cs="Arial"/>
          <w:lang w:val="es-ES"/>
        </w:rPr>
        <w:lastRenderedPageBreak/>
        <w:t>acciones terroristas, desastres naturales o casos de fuerza mayor, y los que deban realizar las entidades sanitarias y hospitalarias”</w:t>
      </w:r>
      <w:r w:rsidRPr="00AD2F15">
        <w:rPr>
          <w:rFonts w:ascii="Verdana" w:eastAsia="Calibri" w:hAnsi="Verdana" w:cs="Arial"/>
          <w:bCs/>
          <w:vertAlign w:val="superscript"/>
        </w:rPr>
        <w:t xml:space="preserve"> </w:t>
      </w:r>
      <w:r w:rsidRPr="00AD2F15">
        <w:rPr>
          <w:rFonts w:ascii="Verdana" w:eastAsia="Calibri" w:hAnsi="Verdana" w:cs="Arial"/>
          <w:bCs/>
          <w:vertAlign w:val="superscript"/>
        </w:rPr>
        <w:footnoteReference w:id="7"/>
      </w:r>
      <w:r w:rsidRPr="00AD2F15">
        <w:rPr>
          <w:rFonts w:ascii="Verdana" w:eastAsia="Calibri" w:hAnsi="Verdana" w:cs="Arial"/>
          <w:bCs/>
        </w:rPr>
        <w:t>.</w:t>
      </w:r>
    </w:p>
    <w:p w14:paraId="77280E44" w14:textId="77777777" w:rsidR="00A95D08" w:rsidRPr="00AD2F15" w:rsidRDefault="00A95D08" w:rsidP="00A95D08">
      <w:pPr>
        <w:tabs>
          <w:tab w:val="left" w:pos="709"/>
        </w:tabs>
        <w:spacing w:after="0" w:line="276" w:lineRule="auto"/>
        <w:jc w:val="both"/>
        <w:rPr>
          <w:rFonts w:ascii="Verdana" w:eastAsia="Calibri" w:hAnsi="Verdana" w:cs="Arial"/>
          <w:lang w:val="es-ES"/>
        </w:rPr>
      </w:pPr>
      <w:r w:rsidRPr="00AD2F15">
        <w:rPr>
          <w:rFonts w:ascii="Verdana" w:eastAsia="Calibri" w:hAnsi="Verdana" w:cs="Arial"/>
          <w:lang w:val="es-ES"/>
        </w:rPr>
        <w:tab/>
        <w:t>Por otro lado, el parágrafo del artículo 38 de la precitada Ley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 de sus juntas directivas, en o para reuniones de carácter proselitista”</w:t>
      </w:r>
      <w:r w:rsidRPr="00AD2F15">
        <w:rPr>
          <w:rFonts w:ascii="Verdana" w:eastAsia="Calibri" w:hAnsi="Verdana" w:cs="Arial"/>
          <w:bCs/>
          <w:vertAlign w:val="superscript"/>
        </w:rPr>
        <w:footnoteReference w:id="8"/>
      </w:r>
      <w:r w:rsidRPr="00AD2F15">
        <w:rPr>
          <w:rFonts w:ascii="Verdana" w:eastAsia="Calibri" w:hAnsi="Verdana" w:cs="Arial"/>
          <w:lang w:val="es-MX"/>
        </w:rPr>
        <w:t>. La Sala de Consulta y Servicio Civil del Consejo de Estado ha aclarado la distinción en la aplicación de las prohibiciones de la Ley 996 de 2005, dependiendo del tipo de elección que se trate. Al respecto, considera que:</w:t>
      </w:r>
    </w:p>
    <w:p w14:paraId="56B83DD7" w14:textId="77777777" w:rsidR="00A95D08" w:rsidRPr="00AD2F15" w:rsidRDefault="00A95D08" w:rsidP="00A95D08">
      <w:pPr>
        <w:tabs>
          <w:tab w:val="left" w:pos="709"/>
        </w:tabs>
        <w:spacing w:after="0" w:line="276" w:lineRule="auto"/>
        <w:jc w:val="both"/>
        <w:rPr>
          <w:rFonts w:ascii="Verdana" w:eastAsia="Calibri" w:hAnsi="Verdana" w:cs="Arial"/>
          <w:lang w:val="es-ES"/>
        </w:rPr>
      </w:pPr>
    </w:p>
    <w:p w14:paraId="75293399" w14:textId="77777777" w:rsidR="00A95D08" w:rsidRPr="00AD2F15" w:rsidRDefault="00A95D08" w:rsidP="00A95D08">
      <w:pPr>
        <w:tabs>
          <w:tab w:val="left" w:pos="709"/>
        </w:tabs>
        <w:spacing w:after="0" w:line="240" w:lineRule="auto"/>
        <w:ind w:left="709" w:right="709"/>
        <w:jc w:val="both"/>
        <w:rPr>
          <w:rFonts w:ascii="Verdana" w:eastAsia="Calibri" w:hAnsi="Verdana" w:cs="Arial"/>
          <w:lang w:val="es-ES"/>
        </w:rPr>
      </w:pPr>
      <w:r w:rsidRPr="00AD2F15">
        <w:rPr>
          <w:rFonts w:ascii="Verdana" w:eastAsia="Calibri" w:hAnsi="Verdana" w:cs="Arial"/>
          <w:lang w:val="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de cualquier cargo de elección popular a que se refiere la ley -incluido el de Presidente de la República-; de manera que dichas restricciones no se excluyen </w:t>
      </w:r>
      <w:r w:rsidRPr="00AD2F15">
        <w:rPr>
          <w:rFonts w:ascii="Verdana" w:eastAsia="Calibri" w:hAnsi="Verdana" w:cs="Arial"/>
          <w:lang w:val="es-ES"/>
        </w:rPr>
        <w:lastRenderedPageBreak/>
        <w:t xml:space="preserve">sino que se integran parcialmente, lo que permite concluir que </w:t>
      </w:r>
      <w:r w:rsidRPr="00AD2F15">
        <w:rPr>
          <w:rFonts w:ascii="Verdana" w:eastAsia="Calibri" w:hAnsi="Verdana" w:cs="Arial"/>
          <w:i/>
          <w:iCs/>
          <w:u w:val="single"/>
          <w:lang w:val="es-ES"/>
        </w:rPr>
        <w:t>en periodo preelectoral para elección de Presidente de la República, a todos los entes del Estado, incluidos los territoriales, se aplican las restricciones de los artículos 32 y 33 con sus excepciones, así como las del parágrafo del artículo 38</w:t>
      </w:r>
      <w:r w:rsidRPr="00AD2F15">
        <w:rPr>
          <w:rFonts w:ascii="Verdana" w:eastAsia="Calibri" w:hAnsi="Verdana" w:cs="Arial"/>
          <w:lang w:val="es-ES"/>
        </w:rPr>
        <w:t xml:space="preserve">. En cambio, </w:t>
      </w:r>
      <w:r w:rsidRPr="00AD2F15">
        <w:rPr>
          <w:rFonts w:ascii="Verdana" w:eastAsia="Calibri" w:hAnsi="Verdana" w:cs="Arial"/>
          <w:i/>
          <w:iCs/>
          <w:u w:val="single"/>
          <w:lang w:val="es-ES"/>
        </w:rPr>
        <w:t xml:space="preserve">para las elecciones en general, excluyendo las correspondientes a </w:t>
      </w:r>
      <w:proofErr w:type="gramStart"/>
      <w:r w:rsidRPr="00AD2F15">
        <w:rPr>
          <w:rFonts w:ascii="Verdana" w:eastAsia="Calibri" w:hAnsi="Verdana" w:cs="Arial"/>
          <w:i/>
          <w:iCs/>
          <w:u w:val="single"/>
          <w:lang w:val="es-ES"/>
        </w:rPr>
        <w:t>Presidente</w:t>
      </w:r>
      <w:proofErr w:type="gramEnd"/>
      <w:r w:rsidRPr="00AD2F15">
        <w:rPr>
          <w:rFonts w:ascii="Verdana" w:eastAsia="Calibri" w:hAnsi="Verdana" w:cs="Arial"/>
          <w:i/>
          <w:iCs/>
          <w:u w:val="single"/>
          <w:lang w:val="es-ES"/>
        </w:rPr>
        <w:t xml:space="preserve"> de la República, a las autoridades territoriales allí mencionadas sólo se aplican las restricciones contenidas en el parágrafo del artículo 38</w:t>
      </w:r>
      <w:r w:rsidRPr="00AD2F15">
        <w:rPr>
          <w:rFonts w:ascii="Verdana" w:eastAsia="Calibri" w:hAnsi="Verdana" w:cs="Arial"/>
          <w:lang w:val="es-ES"/>
        </w:rPr>
        <w:t>”</w:t>
      </w:r>
      <w:r w:rsidRPr="00AD2F15">
        <w:rPr>
          <w:rFonts w:ascii="Verdana" w:eastAsia="Arial" w:hAnsi="Verdana" w:cs="Arial"/>
          <w:vertAlign w:val="superscript"/>
          <w:lang w:val="es-ES" w:eastAsia="es-ES" w:bidi="es-ES"/>
        </w:rPr>
        <w:footnoteReference w:id="9"/>
      </w:r>
      <w:r w:rsidRPr="00AD2F15">
        <w:rPr>
          <w:rFonts w:ascii="Verdana" w:eastAsia="Calibri" w:hAnsi="Verdana" w:cs="Arial"/>
          <w:lang w:val="es-ES"/>
        </w:rPr>
        <w:t xml:space="preserve"> [Énfasis fuera de texto]</w:t>
      </w:r>
    </w:p>
    <w:p w14:paraId="48AD7442" w14:textId="77777777" w:rsidR="00A95D08" w:rsidRPr="00AD2F15" w:rsidRDefault="00A95D08" w:rsidP="00A95D08">
      <w:pPr>
        <w:spacing w:after="0" w:line="276" w:lineRule="auto"/>
        <w:jc w:val="both"/>
        <w:rPr>
          <w:rFonts w:ascii="Verdana" w:eastAsia="Arial" w:hAnsi="Verdana" w:cs="Arial"/>
          <w:lang w:val="es"/>
        </w:rPr>
      </w:pPr>
    </w:p>
    <w:p w14:paraId="4151F599" w14:textId="77777777" w:rsidR="00A95D08" w:rsidRPr="00AD2F15" w:rsidRDefault="00A95D08" w:rsidP="00A95D08">
      <w:pPr>
        <w:spacing w:after="0" w:line="276" w:lineRule="auto"/>
        <w:ind w:firstLine="708"/>
        <w:jc w:val="both"/>
        <w:rPr>
          <w:rFonts w:ascii="Verdana" w:eastAsia="Arial" w:hAnsi="Verdana" w:cs="Arial"/>
          <w:lang w:val="es"/>
        </w:rPr>
      </w:pPr>
      <w:r w:rsidRPr="00AD2F15">
        <w:rPr>
          <w:rFonts w:ascii="Verdana" w:eastAsia="Calibri" w:hAnsi="Verdana" w:cs="Arial"/>
          <w:lang w:val="es-ES"/>
        </w:rPr>
        <w:t>En este sentido, l</w:t>
      </w:r>
      <w:r w:rsidRPr="00AD2F15">
        <w:rPr>
          <w:rFonts w:ascii="Verdana" w:eastAsia="Arial" w:hAnsi="Verdana" w:cs="Arial"/>
          <w:lang w:val="es"/>
        </w:rPr>
        <w:t xml:space="preserve">a Ley 996 de 2005 establece dos (2) tipos de restricciones en materia de contratación, las cuales coinciden parcialmente. </w:t>
      </w:r>
      <w:r w:rsidRPr="00AD2F15">
        <w:rPr>
          <w:rFonts w:ascii="Verdana" w:eastAsia="Arial" w:hAnsi="Verdana" w:cs="Arial"/>
          <w:i/>
          <w:iCs/>
          <w:lang w:val="es"/>
        </w:rPr>
        <w:t>En primer lugar</w:t>
      </w:r>
      <w:r w:rsidRPr="00AD2F15">
        <w:rPr>
          <w:rFonts w:ascii="Verdana" w:eastAsia="Arial" w:hAnsi="Verdana" w:cs="Arial"/>
          <w:lang w:val="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D2F15">
        <w:rPr>
          <w:rFonts w:ascii="Verdana" w:eastAsia="Arial" w:hAnsi="Verdana" w:cs="Arial"/>
          <w:i/>
          <w:iCs/>
          <w:lang w:val="es"/>
        </w:rPr>
        <w:t>En segundo lugar</w:t>
      </w:r>
      <w:r w:rsidRPr="00AD2F15">
        <w:rPr>
          <w:rFonts w:ascii="Verdana" w:eastAsia="Arial" w:hAnsi="Verdana" w:cs="Arial"/>
          <w:lang w:val="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047BE76" w14:textId="77777777" w:rsidR="00A95D08" w:rsidRPr="00AD2F15" w:rsidRDefault="00A95D08" w:rsidP="00A95D08">
      <w:pPr>
        <w:spacing w:before="120" w:after="120" w:line="276" w:lineRule="auto"/>
        <w:ind w:firstLine="709"/>
        <w:jc w:val="both"/>
        <w:rPr>
          <w:rFonts w:ascii="Verdana" w:eastAsia="Arial" w:hAnsi="Verdana" w:cs="Arial"/>
          <w:lang w:val="es-ES"/>
        </w:rPr>
      </w:pPr>
      <w:r w:rsidRPr="789BBF88">
        <w:rPr>
          <w:rFonts w:ascii="Verdana" w:eastAsia="Arial" w:hAnsi="Verdana" w:cs="Arial"/>
          <w:lang w:val="es-ES"/>
        </w:rPr>
        <w:t xml:space="preserve">Ambas restricciones no son excluyentes, lo que permite concluir que en el período preelectoral para elección de </w:t>
      </w:r>
      <w:proofErr w:type="gramStart"/>
      <w:r w:rsidRPr="789BBF88">
        <w:rPr>
          <w:rFonts w:ascii="Verdana" w:eastAsia="Arial" w:hAnsi="Verdana" w:cs="Arial"/>
          <w:lang w:val="es-ES"/>
        </w:rPr>
        <w:t>Presidente</w:t>
      </w:r>
      <w:proofErr w:type="gramEnd"/>
      <w:r w:rsidRPr="789BBF88">
        <w:rPr>
          <w:rFonts w:ascii="Verdana" w:eastAsia="Arial" w:hAnsi="Verdana" w:cs="Arial"/>
          <w:lang w:val="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789BBF88">
        <w:rPr>
          <w:rFonts w:ascii="Verdana" w:eastAsia="Arial" w:hAnsi="Verdana" w:cs="Arial"/>
          <w:lang w:val="es-ES"/>
        </w:rPr>
        <w:t>Presidente</w:t>
      </w:r>
      <w:proofErr w:type="gramEnd"/>
      <w:r w:rsidRPr="789BBF88">
        <w:rPr>
          <w:rFonts w:ascii="Verdana" w:eastAsia="Arial" w:hAnsi="Verdana" w:cs="Arial"/>
          <w:lang w:val="es-ES"/>
        </w:rPr>
        <w:t xml:space="preserve"> de la República, las autoridades allí mencionadas sólo deben aplicar las restricciones contenidas en el parágrafo del artículo 38.</w:t>
      </w:r>
    </w:p>
    <w:p w14:paraId="5B625A1B" w14:textId="77777777" w:rsidR="00A95D08" w:rsidRPr="00AD2F15" w:rsidRDefault="00A95D08" w:rsidP="00A95D08">
      <w:pPr>
        <w:spacing w:before="120" w:after="120" w:line="276" w:lineRule="auto"/>
        <w:jc w:val="both"/>
        <w:rPr>
          <w:rFonts w:ascii="Verdana" w:eastAsia="Times New Roman" w:hAnsi="Verdana" w:cs="Arial"/>
          <w:bCs/>
          <w:lang w:val="es-MX" w:eastAsia="es-CO"/>
        </w:rPr>
      </w:pPr>
      <w:r w:rsidRPr="00AD2F15">
        <w:rPr>
          <w:rFonts w:ascii="Verdana" w:eastAsia="Times New Roman" w:hAnsi="Verdana" w:cs="Arial"/>
          <w:lang w:val="es-MX"/>
        </w:rPr>
        <w:lastRenderedPageBreak/>
        <w:t xml:space="preserve">El ámbito material de la prohibición contenida en </w:t>
      </w:r>
      <w:r w:rsidRPr="00AD2F15">
        <w:rPr>
          <w:rFonts w:ascii="Verdana" w:eastAsia="Arial" w:hAnsi="Verdana" w:cs="Arial"/>
          <w:lang w:val="es-ES" w:eastAsia="es-ES" w:bidi="es-ES"/>
        </w:rPr>
        <w:t>e</w:t>
      </w:r>
      <w:r w:rsidRPr="00AD2F15">
        <w:rPr>
          <w:rFonts w:ascii="Verdana" w:eastAsia="Calibri" w:hAnsi="Verdana" w:cs="Arial"/>
        </w:rPr>
        <w:t xml:space="preserve">l </w:t>
      </w:r>
      <w:r w:rsidRPr="00AD2F15">
        <w:rPr>
          <w:rFonts w:ascii="Verdana" w:eastAsia="Times New Roman" w:hAnsi="Verdana" w:cs="Arial"/>
          <w:lang w:val="es-MX"/>
        </w:rPr>
        <w:t xml:space="preserve">artículo 33 de la Ley 996 de 2005 está delimitado por la expresión </w:t>
      </w:r>
      <w:r w:rsidRPr="00AD2F15">
        <w:rPr>
          <w:rFonts w:ascii="Verdana" w:eastAsia="Calibri" w:hAnsi="Verdana" w:cs="Arial"/>
          <w:bCs/>
          <w:lang w:val="es-MX"/>
        </w:rPr>
        <w:t>“</w:t>
      </w:r>
      <w:r w:rsidRPr="00AD2F15">
        <w:rPr>
          <w:rFonts w:ascii="Verdana" w:eastAsia="Times New Roman" w:hAnsi="Verdana" w:cs="Arial"/>
          <w:lang w:val="es-MX"/>
        </w:rPr>
        <w:t>queda prohibida la contratación directa</w:t>
      </w:r>
      <w:r w:rsidRPr="00AD2F15">
        <w:rPr>
          <w:rFonts w:ascii="Verdana" w:eastAsia="Calibri" w:hAnsi="Verdana" w:cs="Arial"/>
          <w:lang w:val="es-MX"/>
        </w:rPr>
        <w:t>”</w:t>
      </w:r>
      <w:r w:rsidRPr="00AD2F15">
        <w:rPr>
          <w:rFonts w:ascii="Verdana" w:eastAsia="Times New Roman" w:hAnsi="Verdana" w:cs="Arial"/>
          <w:lang w:val="es-MX"/>
        </w:rPr>
        <w:t xml:space="preserve">. </w:t>
      </w:r>
      <w:r w:rsidRPr="00AD2F15">
        <w:rPr>
          <w:rFonts w:ascii="Verdana" w:eastAsia="Times New Roman" w:hAnsi="Verdana" w:cs="Arial"/>
          <w:lang w:val="es-MX" w:eastAsia="es-CO"/>
        </w:rPr>
        <w:t xml:space="preserve">A propósito de </w:t>
      </w:r>
      <w:r w:rsidRPr="00AD2F15">
        <w:rPr>
          <w:rFonts w:ascii="Verdana" w:eastAsia="Times New Roman" w:hAnsi="Verdana" w:cs="Arial"/>
          <w:lang w:eastAsia="es-CO"/>
        </w:rPr>
        <w:t>esta restricción de la Ley de Garantías Electorales, la Sala de Consulta y Servicio Civil del Consejo de Estado ha considerado que:</w:t>
      </w:r>
    </w:p>
    <w:p w14:paraId="6727A236" w14:textId="77777777" w:rsidR="00A95D08" w:rsidRPr="00AD2F15" w:rsidRDefault="00A95D08" w:rsidP="00A95D08">
      <w:pPr>
        <w:spacing w:after="0" w:line="276" w:lineRule="auto"/>
        <w:ind w:left="708" w:right="709"/>
        <w:jc w:val="both"/>
        <w:rPr>
          <w:rFonts w:ascii="Verdana" w:eastAsia="Calibri" w:hAnsi="Verdana" w:cs="Arial"/>
          <w:lang w:val="es-MX"/>
        </w:rPr>
      </w:pPr>
    </w:p>
    <w:p w14:paraId="7686E920" w14:textId="77777777" w:rsidR="00A95D08" w:rsidRPr="00AD2F15" w:rsidRDefault="00A95D08" w:rsidP="00A95D08">
      <w:pPr>
        <w:spacing w:after="0" w:line="240" w:lineRule="auto"/>
        <w:ind w:left="709" w:right="709"/>
        <w:jc w:val="both"/>
        <w:rPr>
          <w:rFonts w:ascii="Verdana" w:eastAsia="Calibri" w:hAnsi="Verdana" w:cs="Arial"/>
          <w:lang w:val="es-MX"/>
        </w:rPr>
      </w:pPr>
      <w:r w:rsidRPr="00AD2F15">
        <w:rPr>
          <w:rFonts w:ascii="Verdana" w:eastAsia="Calibri" w:hAnsi="Verdana" w:cs="Arial"/>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D2F15">
        <w:rPr>
          <w:rFonts w:ascii="Verdana" w:eastAsia="Times New Roman" w:hAnsi="Verdana" w:cs="Arial"/>
          <w:vertAlign w:val="superscript"/>
          <w:lang w:eastAsia="es-CO"/>
        </w:rPr>
        <w:footnoteReference w:id="10"/>
      </w:r>
      <w:r w:rsidRPr="00AD2F15">
        <w:rPr>
          <w:rFonts w:ascii="Verdana" w:eastAsia="Calibri" w:hAnsi="Verdana" w:cs="Arial"/>
          <w:lang w:val="es-MX"/>
        </w:rPr>
        <w:t>.</w:t>
      </w:r>
    </w:p>
    <w:p w14:paraId="30AA65F7" w14:textId="77777777" w:rsidR="00A95D08" w:rsidRPr="00AD2F15" w:rsidRDefault="00A95D08" w:rsidP="00A95D08">
      <w:pPr>
        <w:spacing w:after="0" w:line="240" w:lineRule="auto"/>
        <w:ind w:left="709" w:right="709"/>
        <w:jc w:val="both"/>
        <w:rPr>
          <w:rFonts w:ascii="Verdana" w:eastAsia="Calibri" w:hAnsi="Verdana" w:cs="Arial"/>
          <w:lang w:val="es-MX"/>
        </w:rPr>
      </w:pPr>
    </w:p>
    <w:p w14:paraId="14167971" w14:textId="77777777" w:rsidR="00A95D08" w:rsidRPr="00AD2F15" w:rsidRDefault="00A95D08" w:rsidP="00A95D08">
      <w:pPr>
        <w:spacing w:after="0" w:line="240" w:lineRule="auto"/>
        <w:ind w:left="709" w:right="709"/>
        <w:jc w:val="both"/>
        <w:rPr>
          <w:rFonts w:ascii="Verdana" w:eastAsia="Calibri" w:hAnsi="Verdana" w:cs="Arial"/>
          <w:lang w:val="es-MX"/>
        </w:rPr>
      </w:pPr>
      <w:r w:rsidRPr="00AD2F15">
        <w:rPr>
          <w:rFonts w:ascii="Verdana" w:eastAsia="Calibri" w:hAnsi="Verdana" w:cs="Arial"/>
          <w:lang w:val="es-MX"/>
        </w:rPr>
        <w:t xml:space="preserve">Esta Sala ha entendido </w:t>
      </w:r>
      <w:proofErr w:type="gramStart"/>
      <w:r w:rsidRPr="00AD2F15">
        <w:rPr>
          <w:rFonts w:ascii="Verdana" w:eastAsia="Calibri" w:hAnsi="Verdana" w:cs="Arial"/>
          <w:lang w:val="es-MX"/>
        </w:rPr>
        <w:t>que</w:t>
      </w:r>
      <w:proofErr w:type="gramEnd"/>
      <w:r w:rsidRPr="00AD2F15">
        <w:rPr>
          <w:rFonts w:ascii="Verdana" w:eastAsia="Calibri" w:hAnsi="Verdana" w:cs="Arial"/>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AD2F15">
        <w:rPr>
          <w:rFonts w:ascii="Verdana" w:eastAsia="Times New Roman" w:hAnsi="Verdana" w:cs="Arial"/>
          <w:vertAlign w:val="superscript"/>
          <w:lang w:val="es-MX"/>
        </w:rPr>
        <w:footnoteReference w:id="11"/>
      </w:r>
      <w:r w:rsidRPr="00AD2F15">
        <w:rPr>
          <w:rFonts w:ascii="Verdana" w:eastAsia="Times New Roman" w:hAnsi="Verdana" w:cs="Arial"/>
          <w:vertAlign w:val="superscript"/>
          <w:lang w:val="es-MX"/>
        </w:rPr>
        <w:t>.</w:t>
      </w:r>
      <w:r w:rsidRPr="00AD2F15">
        <w:rPr>
          <w:rFonts w:ascii="Verdana" w:eastAsia="Calibri" w:hAnsi="Verdana" w:cs="Arial"/>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AD2F15">
        <w:rPr>
          <w:rFonts w:ascii="Verdana" w:eastAsia="Times New Roman" w:hAnsi="Verdana" w:cs="Arial"/>
          <w:vertAlign w:val="superscript"/>
          <w:lang w:eastAsia="es-CO"/>
        </w:rPr>
        <w:footnoteReference w:id="12"/>
      </w:r>
      <w:r w:rsidRPr="00AD2F15">
        <w:rPr>
          <w:rFonts w:ascii="Verdana" w:eastAsia="Calibri" w:hAnsi="Verdana" w:cs="Arial"/>
          <w:lang w:val="es-MX"/>
        </w:rPr>
        <w:t xml:space="preserve"> .</w:t>
      </w:r>
    </w:p>
    <w:p w14:paraId="3D3DAD2E" w14:textId="77777777" w:rsidR="00A95D08" w:rsidRPr="00AD2F15" w:rsidRDefault="00A95D08" w:rsidP="00A95D08">
      <w:pPr>
        <w:shd w:val="clear" w:color="auto" w:fill="FFFFFF" w:themeFill="background1"/>
        <w:spacing w:after="0" w:line="276" w:lineRule="auto"/>
        <w:ind w:firstLine="709"/>
        <w:jc w:val="both"/>
        <w:rPr>
          <w:rFonts w:ascii="Verdana" w:eastAsia="Times New Roman" w:hAnsi="Verdana" w:cs="Arial"/>
          <w:lang w:eastAsia="x-none"/>
        </w:rPr>
      </w:pPr>
    </w:p>
    <w:p w14:paraId="0229A258" w14:textId="77777777" w:rsidR="00A95D08" w:rsidRPr="00AD2F15" w:rsidRDefault="00A95D08" w:rsidP="00A95D08">
      <w:pPr>
        <w:spacing w:after="120" w:line="276" w:lineRule="auto"/>
        <w:ind w:firstLine="708"/>
        <w:jc w:val="both"/>
        <w:rPr>
          <w:rFonts w:ascii="Verdana" w:eastAsia="Times New Roman" w:hAnsi="Verdana" w:cs="Arial"/>
          <w:bCs/>
          <w:lang w:eastAsia="x-none"/>
        </w:rPr>
      </w:pPr>
      <w:r w:rsidRPr="00AD2F15">
        <w:rPr>
          <w:rFonts w:ascii="Verdana" w:eastAsia="Times New Roman" w:hAnsi="Verdana" w:cs="Arial"/>
          <w:lang w:eastAsia="x-none"/>
        </w:rPr>
        <w:t xml:space="preserve">De acuerdo con el citado concepto, la prohibición del artículo 33 de la Ley de Garantías Electorales se refiere a </w:t>
      </w:r>
      <w:r w:rsidRPr="00AD2F15">
        <w:rPr>
          <w:rFonts w:ascii="Verdana" w:eastAsia="Times New Roman" w:hAnsi="Verdana" w:cs="Arial"/>
          <w:lang w:eastAsia="en-GB"/>
        </w:rPr>
        <w:t>“</w:t>
      </w:r>
      <w:r w:rsidRPr="00AD2F15">
        <w:rPr>
          <w:rFonts w:ascii="Verdana" w:eastAsia="Times New Roman" w:hAnsi="Verdana" w:cs="Arial"/>
          <w:lang w:eastAsia="x-none"/>
        </w:rPr>
        <w:t>cualquier sistema que no implique convocatoria pública y posibilidad de pluralidad de oferentes</w:t>
      </w:r>
      <w:r w:rsidRPr="00AD2F15">
        <w:rPr>
          <w:rFonts w:ascii="Verdana" w:eastAsia="Times New Roman" w:hAnsi="Verdana" w:cs="Arial"/>
          <w:lang w:eastAsia="en-GB"/>
        </w:rPr>
        <w:t>”</w:t>
      </w:r>
      <w:r w:rsidRPr="00AD2F15">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AD2F15">
        <w:rPr>
          <w:rFonts w:ascii="Verdana" w:eastAsia="Times New Roman" w:hAnsi="Verdana" w:cs="Arial"/>
          <w:lang w:val="es-ES"/>
        </w:rPr>
        <w:t>y la mínima cuantía</w:t>
      </w:r>
      <w:r w:rsidRPr="00AD2F15" w:rsidDel="00A85D9F">
        <w:rPr>
          <w:rFonts w:ascii="Verdana" w:eastAsia="Times New Roman" w:hAnsi="Verdana" w:cs="Arial"/>
          <w:lang w:eastAsia="x-none"/>
        </w:rPr>
        <w:t xml:space="preserve"> </w:t>
      </w:r>
      <w:r w:rsidRPr="00AD2F15">
        <w:rPr>
          <w:rFonts w:ascii="Verdana" w:eastAsia="Times New Roman" w:hAnsi="Verdana" w:cs="Arial"/>
        </w:rPr>
        <w:t xml:space="preserve">u otros previstos en normas especiales. </w:t>
      </w:r>
      <w:r w:rsidRPr="00AD2F15">
        <w:rPr>
          <w:rFonts w:ascii="Verdana" w:eastAsia="Times New Roman" w:hAnsi="Verdana" w:cs="Arial"/>
          <w:lang w:eastAsia="x-none"/>
        </w:rPr>
        <w:t xml:space="preserve">Esta posición es </w:t>
      </w:r>
      <w:r w:rsidRPr="00AD2F15">
        <w:rPr>
          <w:rFonts w:ascii="Verdana" w:eastAsia="Times New Roman" w:hAnsi="Verdana" w:cs="Arial"/>
          <w:lang w:eastAsia="x-none"/>
        </w:rPr>
        <w:lastRenderedPageBreak/>
        <w:t>congruente con la expedición de la Ley 1150 de 2007 que, entre otras reformas, introdujo la selección abreviada, rediseñó el concurso de méritos</w:t>
      </w:r>
      <w:r w:rsidRPr="00AD2F15">
        <w:rPr>
          <w:rFonts w:ascii="Verdana" w:eastAsia="Times New Roman" w:hAnsi="Verdana" w:cs="Arial"/>
          <w:vertAlign w:val="superscript"/>
          <w:lang w:val="en-GB" w:eastAsia="x-none"/>
        </w:rPr>
        <w:footnoteReference w:id="13"/>
      </w:r>
      <w:r w:rsidRPr="00AD2F15">
        <w:rPr>
          <w:rFonts w:ascii="Verdana" w:eastAsia="Times New Roman" w:hAnsi="Verdana" w:cs="Arial"/>
          <w:lang w:eastAsia="x-none"/>
        </w:rPr>
        <w:t xml:space="preserve"> y sistematizó las causales de contratación directa</w:t>
      </w:r>
      <w:r w:rsidRPr="00AD2F15">
        <w:rPr>
          <w:rFonts w:ascii="Verdana" w:eastAsia="Times New Roman" w:hAnsi="Verdana" w:cs="Arial"/>
          <w:vertAlign w:val="superscript"/>
          <w:lang w:val="en-GB" w:eastAsia="x-none"/>
        </w:rPr>
        <w:footnoteReference w:id="14"/>
      </w:r>
      <w:r w:rsidRPr="00AD2F15">
        <w:rPr>
          <w:rFonts w:ascii="Verdana" w:eastAsia="Times New Roman" w:hAnsi="Verdana" w:cs="Arial"/>
          <w:lang w:eastAsia="x-none"/>
        </w:rPr>
        <w:t xml:space="preserve">, </w:t>
      </w:r>
      <w:r w:rsidRPr="00AD2F15">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1245BB46" w14:textId="77777777" w:rsidR="00A95D08" w:rsidRPr="00AD2F15" w:rsidRDefault="00A95D08" w:rsidP="00A95D08">
      <w:pPr>
        <w:spacing w:after="120" w:line="276" w:lineRule="auto"/>
        <w:ind w:firstLine="708"/>
        <w:jc w:val="both"/>
        <w:rPr>
          <w:rFonts w:ascii="Verdana" w:eastAsia="Times New Roman" w:hAnsi="Verdana" w:cs="Arial"/>
          <w:lang w:val="es-MX"/>
        </w:rPr>
      </w:pPr>
      <w:r w:rsidRPr="00AD2F15">
        <w:rPr>
          <w:rFonts w:ascii="Verdana" w:eastAsia="Times New Roman" w:hAnsi="Verdana" w:cs="Arial"/>
          <w:lang w:eastAsia="x-none"/>
        </w:rPr>
        <w:t xml:space="preserve">De esta forma, con fundamento en la evolución de la normativa sobre la contratación pública, se ha depurado la noción de </w:t>
      </w:r>
      <w:r w:rsidRPr="00AD2F15">
        <w:rPr>
          <w:rFonts w:ascii="Verdana" w:eastAsia="Times New Roman" w:hAnsi="Verdana" w:cs="Arial"/>
          <w:lang w:eastAsia="en-GB"/>
        </w:rPr>
        <w:t>“</w:t>
      </w:r>
      <w:r w:rsidRPr="00AD2F15">
        <w:rPr>
          <w:rFonts w:ascii="Verdana" w:eastAsia="Times New Roman" w:hAnsi="Verdana" w:cs="Arial"/>
          <w:lang w:eastAsia="x-none"/>
        </w:rPr>
        <w:t>contratación directa</w:t>
      </w:r>
      <w:r w:rsidRPr="00AD2F15">
        <w:rPr>
          <w:rFonts w:ascii="Verdana" w:eastAsia="Times New Roman" w:hAnsi="Verdana" w:cs="Arial"/>
          <w:lang w:eastAsia="en-GB"/>
        </w:rPr>
        <w:t>”</w:t>
      </w:r>
      <w:r w:rsidRPr="00AD2F15">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AD2F15">
        <w:rPr>
          <w:rFonts w:ascii="Verdana" w:eastAsia="Times New Roman" w:hAnsi="Verdana" w:cs="Arial"/>
          <w:vertAlign w:val="superscript"/>
          <w:lang w:val="en-GB" w:eastAsia="x-none"/>
        </w:rPr>
        <w:footnoteReference w:id="15"/>
      </w:r>
      <w:r w:rsidRPr="00AD2F15">
        <w:rPr>
          <w:rFonts w:ascii="Verdana" w:eastAsia="Times New Roman" w:hAnsi="Verdana" w:cs="Arial"/>
          <w:lang w:eastAsia="x-none"/>
        </w:rPr>
        <w:t>, han establecido sistemas de contratación que implican convocatoria pública y participación de varios oferentes</w:t>
      </w:r>
      <w:r w:rsidRPr="00AD2F15">
        <w:rPr>
          <w:rFonts w:ascii="Verdana" w:eastAsia="Times New Roman" w:hAnsi="Verdana" w:cs="Arial"/>
          <w:lang w:eastAsia="en-GB"/>
        </w:rPr>
        <w:t>”</w:t>
      </w:r>
      <w:r w:rsidRPr="00AD2F15">
        <w:rPr>
          <w:rFonts w:ascii="Verdana" w:eastAsia="Times New Roman" w:hAnsi="Verdana" w:cs="Arial"/>
          <w:lang w:eastAsia="x-none"/>
        </w:rPr>
        <w:t xml:space="preserve">. </w:t>
      </w:r>
    </w:p>
    <w:p w14:paraId="182E33D7" w14:textId="77777777" w:rsidR="00A95D08" w:rsidRPr="00AD2F15" w:rsidRDefault="00A95D08" w:rsidP="00A95D08">
      <w:pPr>
        <w:spacing w:after="120" w:line="276" w:lineRule="auto"/>
        <w:ind w:firstLine="708"/>
        <w:jc w:val="both"/>
        <w:rPr>
          <w:rFonts w:ascii="Verdana" w:eastAsia="Times New Roman" w:hAnsi="Verdana" w:cs="Arial"/>
          <w:bCs/>
          <w:lang w:val="es-MX" w:eastAsia="es-CO"/>
        </w:rPr>
      </w:pPr>
      <w:r w:rsidRPr="00AD2F15">
        <w:rPr>
          <w:rFonts w:ascii="Verdana" w:eastAsia="Times New Roman" w:hAnsi="Verdana" w:cs="Arial"/>
          <w:lang w:val="es-MX"/>
        </w:rPr>
        <w:t>E</w:t>
      </w:r>
      <w:r w:rsidRPr="00AD2F15">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AD2F15">
        <w:rPr>
          <w:rFonts w:ascii="Verdana" w:eastAsia="Times New Roman" w:hAnsi="Verdana" w:cs="Arial"/>
          <w:vertAlign w:val="superscript"/>
          <w:lang w:eastAsia="x-none"/>
        </w:rPr>
        <w:footnoteReference w:id="16"/>
      </w:r>
      <w:r w:rsidRPr="00AD2F15">
        <w:rPr>
          <w:rFonts w:ascii="Verdana" w:eastAsia="Times New Roman" w:hAnsi="Verdana" w:cs="Arial"/>
          <w:lang w:eastAsia="x-none"/>
        </w:rPr>
        <w:t xml:space="preserve">. </w:t>
      </w:r>
    </w:p>
    <w:p w14:paraId="3F878D8E" w14:textId="77777777" w:rsidR="00A95D08" w:rsidRPr="00AD2F15" w:rsidRDefault="00A95D08" w:rsidP="00A95D08">
      <w:pPr>
        <w:spacing w:after="120" w:line="276" w:lineRule="auto"/>
        <w:ind w:firstLine="708"/>
        <w:jc w:val="both"/>
        <w:rPr>
          <w:rFonts w:ascii="Verdana" w:eastAsia="Times New Roman" w:hAnsi="Verdana" w:cs="Arial"/>
          <w:bCs/>
          <w:lang w:val="es-MX" w:eastAsia="es-CO"/>
        </w:rPr>
      </w:pPr>
      <w:r w:rsidRPr="00AD2F15">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w:t>
      </w:r>
      <w:r w:rsidRPr="00AD2F15">
        <w:rPr>
          <w:rFonts w:ascii="Verdana" w:eastAsia="Times New Roman" w:hAnsi="Verdana" w:cs="Arial"/>
          <w:bCs/>
          <w:lang w:val="es-MX" w:eastAsia="es-CO"/>
        </w:rPr>
        <w:lastRenderedPageBreak/>
        <w:t>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E4E613E" w14:textId="77777777" w:rsidR="00A95D08" w:rsidRPr="00AD2F15" w:rsidRDefault="00A95D08" w:rsidP="00A95D08">
      <w:pPr>
        <w:spacing w:after="120" w:line="276" w:lineRule="auto"/>
        <w:ind w:firstLine="708"/>
        <w:jc w:val="both"/>
        <w:rPr>
          <w:rFonts w:ascii="Verdana" w:eastAsia="Times New Roman" w:hAnsi="Verdana" w:cs="Arial"/>
          <w:lang w:val="es-MX"/>
        </w:rPr>
      </w:pPr>
      <w:r w:rsidRPr="00AD2F15">
        <w:rPr>
          <w:rFonts w:ascii="Verdana" w:eastAsia="Times New Roman" w:hAnsi="Verdana" w:cs="Arial"/>
          <w:lang w:val="es-MX"/>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D2F15">
        <w:rPr>
          <w:rFonts w:ascii="Verdana" w:eastAsia="Times New Roman" w:hAnsi="Verdana" w:cs="Arial"/>
          <w:vertAlign w:val="superscript"/>
          <w:lang w:eastAsia="x-none"/>
        </w:rPr>
        <w:footnoteReference w:id="17"/>
      </w:r>
      <w:r w:rsidRPr="00AD2F15">
        <w:rPr>
          <w:rFonts w:ascii="Verdana" w:eastAsia="Times New Roman" w:hAnsi="Verdana" w:cs="Arial"/>
          <w:lang w:val="es-MX"/>
        </w:rPr>
        <w:t xml:space="preserve">. Tal como la modalidad del comtrato de prestación de servicios. </w:t>
      </w:r>
      <w:r w:rsidRPr="00AD2F15">
        <w:rPr>
          <w:rFonts w:ascii="Verdana" w:eastAsia="Times New Roman" w:hAnsi="Verdana" w:cs="Arial"/>
          <w:vertAlign w:val="superscript"/>
          <w:lang w:eastAsia="x-none"/>
        </w:rPr>
        <w:t xml:space="preserve"> </w:t>
      </w:r>
    </w:p>
    <w:p w14:paraId="4AC0C653" w14:textId="16D746C6" w:rsidR="00A552EB" w:rsidRPr="00AD2F15" w:rsidRDefault="00A95D08" w:rsidP="00A95D08">
      <w:pPr>
        <w:spacing w:after="120" w:line="276" w:lineRule="auto"/>
        <w:ind w:firstLine="708"/>
        <w:jc w:val="both"/>
        <w:rPr>
          <w:rFonts w:ascii="Verdana" w:eastAsia="Times New Roman" w:hAnsi="Verdana" w:cs="Arial"/>
        </w:rPr>
      </w:pPr>
      <w:r w:rsidRPr="00AD2F15">
        <w:rPr>
          <w:rFonts w:ascii="Verdana" w:eastAsia="Times New Roman" w:hAnsi="Verdana" w:cs="Arial"/>
          <w:lang w:val="es-MX"/>
        </w:rPr>
        <w:t>De lo anterior se desprende que la restricción aplica, sin perjuicio de las excepciones establecidas en la misma ley, para celebrar cualquier contrato de forma directa, esto es, sin que exista un proceso abierto y competitivo.</w:t>
      </w:r>
      <w:r w:rsidRPr="00AD2F15">
        <w:rPr>
          <w:rFonts w:ascii="Verdana" w:eastAsia="Times New Roman" w:hAnsi="Verdana" w:cs="Arial"/>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17B605D" w14:textId="23EA0A46" w:rsidR="00A552EB" w:rsidRDefault="094FF46E" w:rsidP="00A552EB">
      <w:pPr>
        <w:spacing w:after="120" w:line="276" w:lineRule="auto"/>
        <w:ind w:firstLine="708"/>
        <w:jc w:val="both"/>
        <w:rPr>
          <w:rFonts w:ascii="Verdana" w:eastAsia="Verdana" w:hAnsi="Verdana" w:cs="Verdana"/>
          <w:color w:val="000000" w:themeColor="text1"/>
        </w:rPr>
      </w:pPr>
      <w:r w:rsidRPr="32DC2C46">
        <w:rPr>
          <w:rFonts w:ascii="Verdana" w:eastAsia="Verdana" w:hAnsi="Verdana" w:cs="Verdana"/>
          <w:color w:val="000000" w:themeColor="text1"/>
          <w:lang w:val="es-ES"/>
        </w:rPr>
        <w:t>Sobre el particular debe precisarse que, l</w:t>
      </w:r>
      <w:r w:rsidRPr="32DC2C46">
        <w:rPr>
          <w:rFonts w:ascii="Verdana" w:eastAsia="Verdana" w:hAnsi="Verdana" w:cs="Verdana"/>
          <w:color w:val="000000" w:themeColor="text1"/>
          <w:lang w:val="es"/>
        </w:rPr>
        <w:t xml:space="preserve">a Ley 996 de 2005 establece dos (2) tipos de restricciones en materia de contratación, las cuales coinciden parcialmente. En primer lugar, en su artículo 33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Y en segundo lugar,  el parágrafo del artículo 38 de la precitada Ley prevé una restricción aplicable respecto de cualquier tipo de contienda electoral, que prohíbe a los gobernadores, alcaldes municipales o distritales, secretarios, gerentes y directores de entidades descentralizadas del orden municipal, departamental o </w:t>
      </w:r>
      <w:r w:rsidRPr="32DC2C46">
        <w:rPr>
          <w:rFonts w:ascii="Verdana" w:eastAsia="Verdana" w:hAnsi="Verdana" w:cs="Verdana"/>
          <w:color w:val="000000" w:themeColor="text1"/>
          <w:lang w:val="es"/>
        </w:rPr>
        <w:lastRenderedPageBreak/>
        <w:t>distrital “[…] celebrar convenios interadministrativos para la ejecución de recursos públicos, ni participar, promover y destinar recursos públicos de las entidades a su cargo, como tampoco de las que participen como miembro de sus juntas directivas, en o para reuniones de carácter proselitista”.</w:t>
      </w:r>
    </w:p>
    <w:p w14:paraId="6451AA2E" w14:textId="3582B01F" w:rsidR="00A95D08" w:rsidRDefault="00A552EB" w:rsidP="00A552EB">
      <w:pPr>
        <w:spacing w:line="276" w:lineRule="auto"/>
        <w:jc w:val="both"/>
        <w:rPr>
          <w:rFonts w:ascii="Verdana" w:eastAsia="Times New Roman" w:hAnsi="Verdana" w:cs="Times New Roman"/>
          <w:lang w:eastAsia="es-MX"/>
        </w:rPr>
      </w:pPr>
      <w:r>
        <w:rPr>
          <w:rFonts w:ascii="Verdana" w:eastAsia="Verdana" w:hAnsi="Verdana" w:cs="Verdana"/>
          <w:color w:val="000000" w:themeColor="text1"/>
          <w:lang w:val="es-ES"/>
        </w:rPr>
        <w:t xml:space="preserve">         </w:t>
      </w:r>
      <w:r w:rsidR="094FF46E" w:rsidRPr="32DC2C46">
        <w:rPr>
          <w:rFonts w:ascii="Verdana" w:eastAsia="Verdana" w:hAnsi="Verdana" w:cs="Verdana"/>
          <w:color w:val="000000" w:themeColor="text1"/>
          <w:lang w:val="es-ES"/>
        </w:rPr>
        <w:t xml:space="preserve">Ambas restricciones no son excluyentes, lo que permite concluir que en el período preelectoral para elección de </w:t>
      </w:r>
      <w:proofErr w:type="gramStart"/>
      <w:r w:rsidR="094FF46E" w:rsidRPr="32DC2C46">
        <w:rPr>
          <w:rFonts w:ascii="Verdana" w:eastAsia="Verdana" w:hAnsi="Verdana" w:cs="Verdana"/>
          <w:color w:val="000000" w:themeColor="text1"/>
          <w:lang w:val="es-ES"/>
        </w:rPr>
        <w:t>Presidente</w:t>
      </w:r>
      <w:proofErr w:type="gramEnd"/>
      <w:r w:rsidR="094FF46E" w:rsidRPr="32DC2C46">
        <w:rPr>
          <w:rFonts w:ascii="Verdana" w:eastAsia="Verdana" w:hAnsi="Verdana" w:cs="Verdana"/>
          <w:color w:val="000000" w:themeColor="text1"/>
          <w:lang w:val="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094FF46E" w:rsidRPr="32DC2C46">
        <w:rPr>
          <w:rFonts w:ascii="Verdana" w:eastAsia="Verdana" w:hAnsi="Verdana" w:cs="Verdana"/>
          <w:color w:val="000000" w:themeColor="text1"/>
          <w:lang w:val="es-ES"/>
        </w:rPr>
        <w:t>Presidente</w:t>
      </w:r>
      <w:proofErr w:type="gramEnd"/>
      <w:r w:rsidR="094FF46E" w:rsidRPr="32DC2C46">
        <w:rPr>
          <w:rFonts w:ascii="Verdana" w:eastAsia="Verdana" w:hAnsi="Verdana" w:cs="Verdana"/>
          <w:color w:val="000000" w:themeColor="text1"/>
          <w:lang w:val="es-ES"/>
        </w:rPr>
        <w:t xml:space="preserve"> de la República, las autoridades allí mencionadas sólo deben aplicar las restricciones contenidas en el parágrafo del artículo 38.</w:t>
      </w:r>
    </w:p>
    <w:p w14:paraId="2BFA8B57" w14:textId="77777777" w:rsidR="00A95D08" w:rsidRPr="00E732EC" w:rsidRDefault="00A95D08" w:rsidP="00A95D08">
      <w:pPr>
        <w:spacing w:after="120" w:line="276" w:lineRule="auto"/>
        <w:ind w:firstLine="708"/>
        <w:jc w:val="both"/>
        <w:rPr>
          <w:rFonts w:ascii="Verdana" w:eastAsia="Times New Roman" w:hAnsi="Verdana" w:cs="Times New Roman"/>
          <w:lang w:eastAsia="es-MX"/>
        </w:rPr>
      </w:pPr>
      <w:r>
        <w:rPr>
          <w:rFonts w:ascii="Verdana" w:eastAsia="Calibri" w:hAnsi="Verdana" w:cs="Arial"/>
        </w:rPr>
        <w:t xml:space="preserve">Finalmente, </w:t>
      </w:r>
      <w:r w:rsidRPr="006B795B">
        <w:rPr>
          <w:rFonts w:ascii="Verdana" w:eastAsia="Calibri" w:hAnsi="Verdana" w:cs="Arial"/>
        </w:rPr>
        <w:t xml:space="preserve">debe advertirse que, el análisis requerido para resolver problemas específicos en torno a la </w:t>
      </w:r>
      <w:r>
        <w:rPr>
          <w:rFonts w:ascii="Verdana" w:eastAsia="Calibri" w:hAnsi="Verdana" w:cs="Arial"/>
        </w:rPr>
        <w:t xml:space="preserve">aplicación de las restricciones contractuales contenidas en la Ley 996 de 2005, </w:t>
      </w:r>
      <w:r w:rsidRPr="006B795B">
        <w:rPr>
          <w:rFonts w:ascii="Verdana" w:eastAsia="Calibri" w:hAnsi="Verdana" w:cs="Arial"/>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45C06046" w14:textId="77777777" w:rsidR="00A95D08" w:rsidRPr="00AD2F15" w:rsidRDefault="00A95D08" w:rsidP="00A95D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D2F15">
        <w:rPr>
          <w:rFonts w:ascii="Verdana" w:eastAsia="Century Gothic" w:hAnsi="Verdana" w:cs="Century Gothic"/>
          <w:b/>
          <w:bCs/>
        </w:rPr>
        <w:t>Referencias normativas, jurisprudenciales y otras fuentes:</w:t>
      </w:r>
    </w:p>
    <w:p w14:paraId="003A24D7" w14:textId="77777777" w:rsidR="00A95D08" w:rsidRPr="00AD2F15" w:rsidRDefault="00A95D08" w:rsidP="00A95D0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95D08" w:rsidRPr="00AD2F15" w14:paraId="265C149D" w14:textId="77777777" w:rsidTr="008F21B7">
        <w:trPr>
          <w:trHeight w:val="870"/>
        </w:trPr>
        <w:tc>
          <w:tcPr>
            <w:tcW w:w="8647" w:type="dxa"/>
          </w:tcPr>
          <w:p w14:paraId="51A4038D" w14:textId="77777777" w:rsidR="00A95D08" w:rsidRPr="00D87F14"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Constitución Política: Artículo 127.</w:t>
            </w:r>
          </w:p>
          <w:p w14:paraId="1C2921F3" w14:textId="77777777" w:rsidR="00A95D08" w:rsidRPr="00D87F14"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 xml:space="preserve">Ley 80 de 1993, artículos 39, 41. </w:t>
            </w:r>
          </w:p>
          <w:p w14:paraId="71083473" w14:textId="77777777" w:rsidR="00A95D08" w:rsidRPr="00D87F14"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 xml:space="preserve">Código Civil, artículo 1501. </w:t>
            </w:r>
          </w:p>
          <w:p w14:paraId="62D1236D" w14:textId="77777777" w:rsidR="00A95D08" w:rsidRPr="00D87F14"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Ley 996 de 2005: artículos 33 y 38 parágrafo.</w:t>
            </w:r>
          </w:p>
          <w:p w14:paraId="0C48EBFC" w14:textId="77777777" w:rsidR="00A95D08"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 xml:space="preserve">Ley 1150 de 2007, Artículo 2, numeral 4. </w:t>
            </w:r>
          </w:p>
          <w:p w14:paraId="6491DECA" w14:textId="77777777" w:rsidR="00A95D08" w:rsidRPr="00D87F14"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 xml:space="preserve">Consejo de Estado, Sección Primera. Sentencia de 3 de marzo de 2005, </w:t>
            </w:r>
            <w:proofErr w:type="spellStart"/>
            <w:r w:rsidRPr="00D87F14">
              <w:rPr>
                <w:rFonts w:ascii="Verdana" w:eastAsia="Calibri" w:hAnsi="Verdana" w:cs="Arial"/>
                <w:lang w:val="es-ES"/>
              </w:rPr>
              <w:t>Exp</w:t>
            </w:r>
            <w:proofErr w:type="spellEnd"/>
            <w:r w:rsidRPr="00D87F14">
              <w:rPr>
                <w:rFonts w:ascii="Verdana" w:eastAsia="Calibri" w:hAnsi="Verdana" w:cs="Arial"/>
                <w:lang w:val="es-ES"/>
              </w:rPr>
              <w:t xml:space="preserve">. 2004-00823-01(PI). </w:t>
            </w:r>
          </w:p>
          <w:p w14:paraId="4B1CC6B8" w14:textId="77777777" w:rsidR="00A95D08" w:rsidRPr="00D87F14" w:rsidRDefault="00A95D08" w:rsidP="00A95D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D87F14">
              <w:rPr>
                <w:rFonts w:ascii="Verdana" w:eastAsia="Calibri" w:hAnsi="Verdana" w:cs="Arial"/>
                <w:lang w:val="es-ES"/>
              </w:rPr>
              <w:t xml:space="preserve">Consejo de Estado, Sala de Consulta y Servicio Civil de fecha 24 de julio de 2013, Rad. 2166, C. P. Álvaro </w:t>
            </w:r>
            <w:proofErr w:type="spellStart"/>
            <w:r w:rsidRPr="00D87F14">
              <w:rPr>
                <w:rFonts w:ascii="Verdana" w:eastAsia="Calibri" w:hAnsi="Verdana" w:cs="Arial"/>
                <w:lang w:val="es-ES"/>
              </w:rPr>
              <w:t>Namén</w:t>
            </w:r>
            <w:proofErr w:type="spellEnd"/>
            <w:r w:rsidRPr="00D87F14">
              <w:rPr>
                <w:rFonts w:ascii="Verdana" w:eastAsia="Calibri" w:hAnsi="Verdana" w:cs="Arial"/>
                <w:lang w:val="es-ES"/>
              </w:rPr>
              <w:t xml:space="preserve"> Vargas. </w:t>
            </w:r>
          </w:p>
          <w:p w14:paraId="2A006ACB" w14:textId="77777777" w:rsidR="00A95D08" w:rsidRDefault="00A95D08" w:rsidP="00A95D08">
            <w:pPr>
              <w:widowControl w:val="0"/>
              <w:numPr>
                <w:ilvl w:val="0"/>
                <w:numId w:val="17"/>
              </w:numPr>
              <w:autoSpaceDE w:val="0"/>
              <w:autoSpaceDN w:val="0"/>
              <w:spacing w:line="276" w:lineRule="auto"/>
              <w:contextualSpacing/>
              <w:jc w:val="both"/>
              <w:rPr>
                <w:rFonts w:ascii="Verdana" w:eastAsia="Calibri" w:hAnsi="Verdana" w:cs="Arial"/>
                <w:lang w:val="es-ES"/>
              </w:rPr>
            </w:pPr>
            <w:r w:rsidRPr="00D87F14">
              <w:rPr>
                <w:rFonts w:ascii="Verdana" w:eastAsia="Calibri" w:hAnsi="Verdana" w:cs="Arial"/>
                <w:lang w:val="es-ES"/>
              </w:rPr>
              <w:t>Consejo de Estado. Sala de Consulta y Servicio Civil. Concepto del 17 de febrero de 2015. C.P. William Zambrano Cetina. Radicación No. 11001-03-06-000-2015-00164-00(2269).</w:t>
            </w:r>
          </w:p>
          <w:p w14:paraId="6D0DC170" w14:textId="77777777" w:rsidR="00A95D08" w:rsidRPr="00430FB4" w:rsidRDefault="00A95D08" w:rsidP="00A95D08">
            <w:pPr>
              <w:widowControl w:val="0"/>
              <w:numPr>
                <w:ilvl w:val="0"/>
                <w:numId w:val="17"/>
              </w:numPr>
              <w:autoSpaceDE w:val="0"/>
              <w:autoSpaceDN w:val="0"/>
              <w:spacing w:line="276" w:lineRule="auto"/>
              <w:contextualSpacing/>
              <w:jc w:val="both"/>
              <w:rPr>
                <w:rFonts w:ascii="Verdana" w:eastAsia="Calibri" w:hAnsi="Verdana" w:cs="Arial"/>
                <w:lang w:val="es-ES"/>
              </w:rPr>
            </w:pPr>
            <w:r w:rsidRPr="00430FB4">
              <w:rPr>
                <w:rFonts w:ascii="Verdana" w:eastAsia="Calibri" w:hAnsi="Verdana" w:cs="Arial"/>
                <w:lang w:val="es-ES"/>
              </w:rPr>
              <w:t>Corte Constitucional, Sentencia C- 1153 de 2005, M.P. Marco Gerardo Monroy Cabra</w:t>
            </w:r>
          </w:p>
          <w:p w14:paraId="43C2E1C5" w14:textId="77777777" w:rsidR="00A95D08" w:rsidRPr="00E732EC" w:rsidRDefault="00A95D08" w:rsidP="00A95D08">
            <w:pPr>
              <w:pStyle w:val="Prrafodelista"/>
              <w:widowControl w:val="0"/>
              <w:numPr>
                <w:ilvl w:val="0"/>
                <w:numId w:val="17"/>
              </w:numPr>
              <w:autoSpaceDE w:val="0"/>
              <w:autoSpaceDN w:val="0"/>
              <w:spacing w:after="120" w:line="276" w:lineRule="auto"/>
              <w:jc w:val="both"/>
              <w:rPr>
                <w:rFonts w:ascii="Verdana" w:hAnsi="Verdana" w:cs="Arial"/>
                <w:color w:val="7030A0"/>
              </w:rPr>
            </w:pPr>
            <w:r w:rsidRPr="00430FB4">
              <w:rPr>
                <w:rFonts w:ascii="Verdana" w:eastAsia="Calibri" w:hAnsi="Verdana" w:cs="Arial"/>
              </w:rPr>
              <w:lastRenderedPageBreak/>
              <w:t>Consejo de Estado, Sala de lo Contencioso Administrativo, Sección Tercera. Auto del 4 de octubre de 2024. Radicado No. 70.313. MP: Fredy Ibarra Martínez</w:t>
            </w:r>
          </w:p>
        </w:tc>
      </w:tr>
    </w:tbl>
    <w:p w14:paraId="358FA0E7" w14:textId="77777777" w:rsidR="00A95D08" w:rsidRPr="00AD2F15" w:rsidRDefault="00A95D08" w:rsidP="00A95D08">
      <w:pPr>
        <w:widowControl w:val="0"/>
        <w:autoSpaceDE w:val="0"/>
        <w:autoSpaceDN w:val="0"/>
        <w:spacing w:after="0" w:line="276" w:lineRule="auto"/>
        <w:jc w:val="both"/>
        <w:rPr>
          <w:rFonts w:ascii="Verdana" w:hAnsi="Verdana" w:cs="Arial"/>
        </w:rPr>
      </w:pPr>
    </w:p>
    <w:p w14:paraId="621C9DE6" w14:textId="77777777" w:rsidR="00A95D08" w:rsidRDefault="00A95D08" w:rsidP="00A95D0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D2F15">
        <w:rPr>
          <w:rFonts w:ascii="Verdana" w:eastAsia="Century Gothic" w:hAnsi="Verdana" w:cs="Century Gothic"/>
          <w:b/>
          <w:bCs/>
        </w:rPr>
        <w:t>Doctrina de la Agencia Nacional de Contratación Pública:</w:t>
      </w:r>
    </w:p>
    <w:p w14:paraId="7EE2748A" w14:textId="77777777" w:rsidR="00A95D08" w:rsidRDefault="00A95D08" w:rsidP="00A95D0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9DD93A" w14:textId="77777777" w:rsidR="00A95D08" w:rsidRPr="0047490F" w:rsidRDefault="00A95D08" w:rsidP="00A95D08">
      <w:pPr>
        <w:widowControl w:val="0"/>
        <w:autoSpaceDE w:val="0"/>
        <w:autoSpaceDN w:val="0"/>
        <w:spacing w:after="0" w:line="276" w:lineRule="auto"/>
        <w:jc w:val="both"/>
        <w:rPr>
          <w:rFonts w:ascii="Verdana" w:eastAsia="Aptos" w:hAnsi="Verdana" w:cs="Arial"/>
          <w:shd w:val="clear" w:color="auto" w:fill="FFFFFF"/>
          <w:lang w:val="es-ES"/>
        </w:rPr>
      </w:pPr>
      <w:r w:rsidRPr="0047490F">
        <w:rPr>
          <w:rFonts w:ascii="Verdana" w:eastAsia="Aptos" w:hAnsi="Verdana" w:cs="Arial"/>
          <w:shd w:val="clear" w:color="auto" w:fill="FFFFFF"/>
          <w:lang w:val="es-ES"/>
        </w:rPr>
        <w:t xml:space="preserve">Sobre </w:t>
      </w:r>
      <w:r>
        <w:rPr>
          <w:rFonts w:ascii="Verdana" w:eastAsia="Aptos" w:hAnsi="Verdana" w:cs="Arial"/>
          <w:shd w:val="clear" w:color="auto" w:fill="FFFFFF"/>
          <w:lang w:val="es-ES"/>
        </w:rPr>
        <w:t>la</w:t>
      </w:r>
      <w:r w:rsidRPr="00DB1B04">
        <w:rPr>
          <w:rFonts w:ascii="Verdana" w:eastAsia="Aptos" w:hAnsi="Verdana" w:cs="Arial"/>
          <w:shd w:val="clear" w:color="auto" w:fill="FFFFFF"/>
          <w:lang w:val="es-ES"/>
        </w:rPr>
        <w:t xml:space="preserve"> Ley de Garantías Electorales</w:t>
      </w:r>
      <w:r w:rsidRPr="0047490F">
        <w:rPr>
          <w:rFonts w:ascii="Verdana" w:eastAsia="Aptos" w:hAnsi="Verdana" w:cs="Arial"/>
          <w:shd w:val="clear" w:color="auto" w:fill="FFFFFF"/>
          <w:lang w:val="es-ES"/>
        </w:rPr>
        <w:t xml:space="preserve">, esta Subdirección se ha referido en los Conceptos </w:t>
      </w:r>
      <w:r w:rsidRPr="0093515B">
        <w:rPr>
          <w:rFonts w:ascii="Verdana" w:eastAsia="Calibri" w:hAnsi="Verdana" w:cs="Arial"/>
          <w:lang w:val="es-ES_tradnl" w:eastAsia="es-MX"/>
        </w:rPr>
        <w:t>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w:t>
      </w:r>
      <w:r>
        <w:rPr>
          <w:rFonts w:ascii="Verdana" w:eastAsia="Calibri" w:hAnsi="Verdana" w:cs="Arial"/>
          <w:lang w:val="es-ES_tradnl" w:eastAsia="es-MX"/>
        </w:rPr>
        <w:t xml:space="preserve">, </w:t>
      </w:r>
      <w:r w:rsidRPr="0093515B">
        <w:rPr>
          <w:rFonts w:ascii="Verdana" w:eastAsia="Calibri" w:hAnsi="Verdana" w:cs="Arial"/>
          <w:lang w:val="es-ES_tradnl" w:eastAsia="es-MX"/>
        </w:rPr>
        <w:t>C–750 de 17 de julio 2025</w:t>
      </w:r>
      <w:r>
        <w:rPr>
          <w:rFonts w:ascii="Verdana" w:eastAsia="Aptos" w:hAnsi="Verdana" w:cs="Arial"/>
          <w:shd w:val="clear" w:color="auto" w:fill="FFFFFF"/>
          <w:lang w:val="es-ES"/>
        </w:rPr>
        <w:t xml:space="preserve">, C – 940 de 12 de agosto de 2025, </w:t>
      </w:r>
      <w:r w:rsidRPr="0047490F">
        <w:rPr>
          <w:rFonts w:ascii="Verdana" w:eastAsia="Aptos" w:hAnsi="Verdana" w:cs="Arial"/>
          <w:shd w:val="clear" w:color="auto" w:fill="FFFFFF"/>
          <w:lang w:val="es-ES"/>
        </w:rPr>
        <w:t xml:space="preserve">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history="1">
        <w:r w:rsidRPr="0047490F">
          <w:rPr>
            <w:rStyle w:val="Hipervnculo"/>
            <w:rFonts w:ascii="Verdana" w:eastAsia="Aptos" w:hAnsi="Verdana" w:cs="Arial"/>
            <w:shd w:val="clear" w:color="auto" w:fill="FFFFFF"/>
            <w:lang w:val="es-ES"/>
          </w:rPr>
          <w:t>https://relatoria.colombiacompra.gov.co/</w:t>
        </w:r>
      </w:hyperlink>
      <w:r w:rsidRPr="0047490F">
        <w:rPr>
          <w:rFonts w:ascii="Verdana" w:eastAsia="Aptos" w:hAnsi="Verdana" w:cs="Arial"/>
          <w:shd w:val="clear" w:color="auto" w:fill="FFFFFF"/>
          <w:lang w:val="es-ES"/>
        </w:rPr>
        <w:t xml:space="preserve">. </w:t>
      </w:r>
    </w:p>
    <w:p w14:paraId="52A37317" w14:textId="77777777" w:rsidR="00A95D08" w:rsidRPr="0047490F" w:rsidRDefault="00A95D08" w:rsidP="00A95D08">
      <w:pPr>
        <w:widowControl w:val="0"/>
        <w:autoSpaceDE w:val="0"/>
        <w:autoSpaceDN w:val="0"/>
        <w:spacing w:after="0" w:line="276" w:lineRule="auto"/>
        <w:jc w:val="both"/>
        <w:rPr>
          <w:rFonts w:ascii="Verdana" w:eastAsia="Aptos" w:hAnsi="Verdana" w:cs="Arial"/>
          <w:shd w:val="clear" w:color="auto" w:fill="FFFFFF"/>
          <w:lang w:val="es-ES"/>
        </w:rPr>
      </w:pPr>
    </w:p>
    <w:p w14:paraId="63831E35" w14:textId="77777777" w:rsidR="00A95D08" w:rsidRPr="0047490F" w:rsidRDefault="00A95D08" w:rsidP="00A95D08">
      <w:pPr>
        <w:spacing w:after="0" w:line="240" w:lineRule="auto"/>
        <w:jc w:val="both"/>
        <w:rPr>
          <w:rFonts w:ascii="Verdana" w:eastAsia="Aptos" w:hAnsi="Verdana" w:cs="Times New Roman"/>
        </w:rPr>
      </w:pPr>
      <w:r w:rsidRPr="0047490F">
        <w:rPr>
          <w:rFonts w:ascii="Verdana" w:eastAsia="Aptos" w:hAnsi="Verdana" w:cs="Times New Roman"/>
        </w:rPr>
        <w:t xml:space="preserve">Por último, lo invitamos a seguirnos en las redes sociales en las cuales se difunde información institucional: </w:t>
      </w:r>
    </w:p>
    <w:p w14:paraId="382AC3D3" w14:textId="77777777" w:rsidR="00A95D08" w:rsidRPr="0047490F" w:rsidRDefault="00A95D08" w:rsidP="00A95D08">
      <w:pPr>
        <w:spacing w:after="0" w:line="240" w:lineRule="auto"/>
        <w:jc w:val="both"/>
        <w:rPr>
          <w:rFonts w:ascii="Verdana" w:eastAsia="Aptos" w:hAnsi="Verdana" w:cs="Times New Roman"/>
        </w:rPr>
      </w:pPr>
    </w:p>
    <w:p w14:paraId="5BA7570F" w14:textId="77777777" w:rsidR="00A95D08" w:rsidRPr="0047490F" w:rsidRDefault="00A95D08" w:rsidP="00A95D08">
      <w:pPr>
        <w:spacing w:after="0" w:line="240" w:lineRule="auto"/>
        <w:jc w:val="both"/>
        <w:rPr>
          <w:rFonts w:ascii="Verdana" w:eastAsia="Aptos" w:hAnsi="Verdana" w:cs="Times New Roman"/>
        </w:rPr>
      </w:pPr>
      <w:r w:rsidRPr="0047490F">
        <w:rPr>
          <w:rFonts w:ascii="Verdana" w:eastAsia="Aptos" w:hAnsi="Verdana" w:cs="Times New Roman"/>
        </w:rPr>
        <w:t xml:space="preserve">Twitter: </w:t>
      </w:r>
      <w:r w:rsidRPr="0047490F">
        <w:rPr>
          <w:rStyle w:val="Hipervnculo"/>
          <w:rFonts w:ascii="Verdana" w:hAnsi="Verdana" w:cs="Arial"/>
          <w:shd w:val="clear" w:color="auto" w:fill="FFFFFF"/>
          <w:lang w:val="es-ES"/>
        </w:rPr>
        <w:t>@colombiacompra</w:t>
      </w:r>
      <w:r w:rsidRPr="0047490F">
        <w:rPr>
          <w:rFonts w:ascii="Verdana" w:eastAsia="Aptos" w:hAnsi="Verdana" w:cs="Times New Roman"/>
          <w:color w:val="156082"/>
        </w:rPr>
        <w:t xml:space="preserve"> </w:t>
      </w:r>
    </w:p>
    <w:p w14:paraId="3DC3B962" w14:textId="77777777" w:rsidR="00A95D08" w:rsidRPr="0047490F" w:rsidRDefault="00A95D08" w:rsidP="00A95D08">
      <w:pPr>
        <w:spacing w:after="0" w:line="240" w:lineRule="auto"/>
        <w:jc w:val="both"/>
        <w:rPr>
          <w:rFonts w:ascii="Verdana" w:eastAsia="Aptos" w:hAnsi="Verdana" w:cs="Times New Roman"/>
        </w:rPr>
      </w:pPr>
      <w:r w:rsidRPr="0047490F">
        <w:rPr>
          <w:rFonts w:ascii="Verdana" w:eastAsia="Aptos" w:hAnsi="Verdana" w:cs="Times New Roman"/>
        </w:rPr>
        <w:t xml:space="preserve">Facebook: </w:t>
      </w:r>
      <w:proofErr w:type="spellStart"/>
      <w:r w:rsidRPr="0047490F">
        <w:rPr>
          <w:rStyle w:val="Hipervnculo"/>
          <w:rFonts w:ascii="Verdana" w:hAnsi="Verdana" w:cs="Arial"/>
          <w:shd w:val="clear" w:color="auto" w:fill="FFFFFF"/>
          <w:lang w:val="es-ES"/>
        </w:rPr>
        <w:t>ColombiaCompraEficiente</w:t>
      </w:r>
      <w:proofErr w:type="spellEnd"/>
    </w:p>
    <w:p w14:paraId="18ABC3C3" w14:textId="77777777" w:rsidR="00A95D08" w:rsidRPr="0047490F" w:rsidRDefault="00A95D08" w:rsidP="00A95D08">
      <w:pPr>
        <w:spacing w:after="0" w:line="240" w:lineRule="auto"/>
        <w:jc w:val="both"/>
        <w:rPr>
          <w:rFonts w:ascii="Verdana" w:eastAsia="Aptos" w:hAnsi="Verdana" w:cs="Times New Roman"/>
        </w:rPr>
      </w:pPr>
      <w:r w:rsidRPr="0047490F">
        <w:rPr>
          <w:rFonts w:ascii="Verdana" w:eastAsia="Aptos" w:hAnsi="Verdana" w:cs="Times New Roman"/>
        </w:rPr>
        <w:t xml:space="preserve">LinkedIn: </w:t>
      </w:r>
      <w:r w:rsidRPr="0047490F">
        <w:rPr>
          <w:rStyle w:val="Hipervnculo"/>
          <w:rFonts w:ascii="Verdana" w:hAnsi="Verdana" w:cs="Arial"/>
          <w:shd w:val="clear" w:color="auto" w:fill="FFFFFF"/>
          <w:lang w:val="es-ES"/>
        </w:rPr>
        <w:t>Agencia Nacional de Contratación Pública - Colombia Compra Eficiente</w:t>
      </w:r>
      <w:r w:rsidRPr="0047490F">
        <w:rPr>
          <w:rFonts w:ascii="Verdana" w:eastAsia="Aptos" w:hAnsi="Verdana" w:cs="Times New Roman"/>
          <w:color w:val="156082"/>
        </w:rPr>
        <w:t xml:space="preserve"> </w:t>
      </w:r>
      <w:r w:rsidRPr="0047490F">
        <w:rPr>
          <w:rFonts w:ascii="Verdana" w:eastAsia="Aptos" w:hAnsi="Verdana" w:cs="Times New Roman"/>
        </w:rPr>
        <w:t xml:space="preserve">Instagram: </w:t>
      </w:r>
      <w:r w:rsidRPr="0047490F">
        <w:rPr>
          <w:rStyle w:val="Hipervnculo"/>
          <w:rFonts w:ascii="Verdana" w:hAnsi="Verdana" w:cs="Arial"/>
          <w:shd w:val="clear" w:color="auto" w:fill="FFFFFF"/>
          <w:lang w:val="es-ES"/>
        </w:rPr>
        <w:t>@colombiacompraeficiente_cce</w:t>
      </w:r>
    </w:p>
    <w:p w14:paraId="1081DD8B" w14:textId="77777777" w:rsidR="00A95D08" w:rsidRPr="0047490F" w:rsidRDefault="00A95D08" w:rsidP="00A95D08">
      <w:pPr>
        <w:widowControl w:val="0"/>
        <w:autoSpaceDE w:val="0"/>
        <w:autoSpaceDN w:val="0"/>
        <w:spacing w:after="0" w:line="276" w:lineRule="auto"/>
        <w:jc w:val="both"/>
        <w:rPr>
          <w:rFonts w:ascii="Verdana" w:eastAsia="Aptos" w:hAnsi="Verdana" w:cs="Arial"/>
        </w:rPr>
      </w:pPr>
    </w:p>
    <w:p w14:paraId="611CDED5" w14:textId="77777777" w:rsidR="00A95D08" w:rsidRPr="0047490F" w:rsidRDefault="00A95D08" w:rsidP="00A95D08">
      <w:pPr>
        <w:widowControl w:val="0"/>
        <w:autoSpaceDE w:val="0"/>
        <w:autoSpaceDN w:val="0"/>
        <w:spacing w:after="0" w:line="276" w:lineRule="auto"/>
        <w:jc w:val="both"/>
        <w:rPr>
          <w:rFonts w:ascii="Verdana" w:eastAsia="Aptos" w:hAnsi="Verdana" w:cs="Arial"/>
          <w:lang w:val="es-ES_tradnl"/>
        </w:rPr>
      </w:pPr>
      <w:r w:rsidRPr="0047490F">
        <w:rPr>
          <w:rFonts w:ascii="Verdana" w:eastAsia="Aptos" w:hAnsi="Verdana" w:cs="Arial"/>
        </w:rPr>
        <w:t xml:space="preserve">Este concepto tiene el alcance previsto en el artículo 28 del Código de Procedimiento Administrativo y de lo Contencioso Administrativo </w:t>
      </w:r>
      <w:r w:rsidRPr="0047490F">
        <w:rPr>
          <w:rFonts w:ascii="Verdana" w:eastAsia="Aptos" w:hAnsi="Verdana" w:cs="Arial"/>
          <w:lang w:val="es-ES_tradnl"/>
        </w:rPr>
        <w:t>y las expresiones aquí utilizadas con mayúscula inicial deben ser entendidas con el significado que les otorga el artículo 2.2.1.1.1.3.1. del Decreto 1082 de 2015.</w:t>
      </w:r>
    </w:p>
    <w:p w14:paraId="2B9D7A35" w14:textId="77777777" w:rsidR="00A95D08" w:rsidRPr="0047490F" w:rsidRDefault="00A95D08" w:rsidP="00A95D08">
      <w:pPr>
        <w:widowControl w:val="0"/>
        <w:autoSpaceDE w:val="0"/>
        <w:autoSpaceDN w:val="0"/>
        <w:spacing w:after="0" w:line="276" w:lineRule="auto"/>
        <w:jc w:val="both"/>
        <w:rPr>
          <w:rFonts w:ascii="Verdana" w:eastAsia="Aptos" w:hAnsi="Verdana" w:cs="Arial"/>
        </w:rPr>
      </w:pPr>
    </w:p>
    <w:p w14:paraId="5365FB26" w14:textId="77777777" w:rsidR="00A95D08" w:rsidRPr="0047490F" w:rsidRDefault="00A95D08" w:rsidP="00A95D08">
      <w:pPr>
        <w:spacing w:after="0" w:line="240" w:lineRule="auto"/>
        <w:rPr>
          <w:rFonts w:ascii="Verdana" w:eastAsia="Aptos" w:hAnsi="Verdana" w:cs="Arial"/>
          <w:lang w:eastAsia="es-CO"/>
        </w:rPr>
      </w:pPr>
      <w:r w:rsidRPr="0047490F">
        <w:rPr>
          <w:rFonts w:ascii="Verdana" w:eastAsia="Times New Roman" w:hAnsi="Verdana" w:cs="Arial"/>
          <w:lang w:eastAsia="es-CO"/>
        </w:rPr>
        <w:t>Atentamente,</w:t>
      </w:r>
      <w:r w:rsidRPr="0047490F">
        <w:rPr>
          <w:rFonts w:ascii="Verdana" w:eastAsia="Aptos" w:hAnsi="Verdana" w:cs="Arial"/>
          <w:lang w:eastAsia="es-CO"/>
        </w:rPr>
        <w:t xml:space="preserve"> </w:t>
      </w:r>
    </w:p>
    <w:p w14:paraId="0A60CDFB" w14:textId="77777777" w:rsidR="00A95D08" w:rsidRPr="00AD2F15" w:rsidRDefault="00A95D08" w:rsidP="00A95D0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ECABC3F" w14:textId="3D3047A5" w:rsidR="00A95D08" w:rsidRPr="00AD2F15" w:rsidRDefault="00692A8B" w:rsidP="00A95D08">
      <w:pPr>
        <w:spacing w:line="276" w:lineRule="auto"/>
        <w:jc w:val="center"/>
        <w:rPr>
          <w:rFonts w:ascii="Verdana" w:hAnsi="Verdana" w:cs="Arial"/>
          <w:color w:val="000000"/>
          <w:lang w:val="es-ES_tradnl" w:eastAsia="es-CO"/>
        </w:rPr>
      </w:pPr>
      <w:r>
        <w:rPr>
          <w:noProof/>
        </w:rPr>
        <w:lastRenderedPageBreak/>
        <w:drawing>
          <wp:inline distT="0" distB="0" distL="0" distR="0" wp14:anchorId="66AFA6CF" wp14:editId="7B9F5413">
            <wp:extent cx="3716020" cy="1602105"/>
            <wp:effectExtent l="0" t="0" r="0" b="0"/>
            <wp:docPr id="4892785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6020" cy="1602105"/>
                    </a:xfrm>
                    <a:prstGeom prst="rect">
                      <a:avLst/>
                    </a:prstGeom>
                    <a:noFill/>
                    <a:ln>
                      <a:noFill/>
                    </a:ln>
                  </pic:spPr>
                </pic:pic>
              </a:graphicData>
            </a:graphic>
          </wp:inline>
        </w:drawing>
      </w:r>
    </w:p>
    <w:tbl>
      <w:tblPr>
        <w:tblStyle w:val="TableNormal1"/>
        <w:tblW w:w="0" w:type="auto"/>
        <w:tblInd w:w="328" w:type="dxa"/>
        <w:tblLayout w:type="fixed"/>
        <w:tblLook w:val="01E0" w:firstRow="1" w:lastRow="1" w:firstColumn="1" w:lastColumn="1" w:noHBand="0" w:noVBand="0"/>
      </w:tblPr>
      <w:tblGrid>
        <w:gridCol w:w="915"/>
        <w:gridCol w:w="5548"/>
      </w:tblGrid>
      <w:tr w:rsidR="00A95D08" w:rsidRPr="0025738E" w14:paraId="3A2F709E" w14:textId="77777777" w:rsidTr="008F21B7">
        <w:trPr>
          <w:trHeight w:val="435"/>
        </w:trPr>
        <w:tc>
          <w:tcPr>
            <w:tcW w:w="915" w:type="dxa"/>
          </w:tcPr>
          <w:p w14:paraId="02A4A138" w14:textId="77777777" w:rsidR="00A95D08" w:rsidRPr="0025738E" w:rsidRDefault="00A95D08" w:rsidP="008F21B7">
            <w:pPr>
              <w:pStyle w:val="TableParagraph"/>
              <w:spacing w:before="110"/>
              <w:ind w:right="53"/>
              <w:jc w:val="center"/>
              <w:rPr>
                <w:rFonts w:ascii="Verdana" w:hAnsi="Verdana"/>
                <w:sz w:val="16"/>
                <w:szCs w:val="16"/>
              </w:rPr>
            </w:pPr>
            <w:r w:rsidRPr="0025738E">
              <w:rPr>
                <w:rFonts w:ascii="Verdana" w:hAnsi="Verdana"/>
                <w:spacing w:val="-2"/>
                <w:sz w:val="16"/>
                <w:szCs w:val="16"/>
              </w:rPr>
              <w:t>Elaboró:</w:t>
            </w:r>
          </w:p>
        </w:tc>
        <w:tc>
          <w:tcPr>
            <w:tcW w:w="5548" w:type="dxa"/>
            <w:tcBorders>
              <w:bottom w:val="dotted" w:sz="4" w:space="0" w:color="919191"/>
            </w:tcBorders>
          </w:tcPr>
          <w:p w14:paraId="00C99D24" w14:textId="77777777" w:rsidR="00A95D08" w:rsidRPr="0025738E" w:rsidRDefault="00A95D08" w:rsidP="008F21B7">
            <w:pPr>
              <w:pStyle w:val="TableParagraph"/>
              <w:spacing w:line="217" w:lineRule="exact"/>
              <w:ind w:left="110"/>
              <w:rPr>
                <w:rFonts w:ascii="Verdana" w:hAnsi="Verdana"/>
                <w:sz w:val="16"/>
                <w:szCs w:val="16"/>
              </w:rPr>
            </w:pPr>
            <w:r w:rsidRPr="0025738E">
              <w:rPr>
                <w:rFonts w:ascii="Verdana" w:hAnsi="Verdana"/>
                <w:sz w:val="16"/>
                <w:szCs w:val="16"/>
              </w:rPr>
              <w:t>Andrea</w:t>
            </w:r>
            <w:r w:rsidRPr="0025738E">
              <w:rPr>
                <w:rFonts w:ascii="Verdana" w:hAnsi="Verdana"/>
                <w:spacing w:val="-4"/>
                <w:sz w:val="16"/>
                <w:szCs w:val="16"/>
              </w:rPr>
              <w:t xml:space="preserve"> </w:t>
            </w:r>
            <w:r w:rsidRPr="0025738E">
              <w:rPr>
                <w:rFonts w:ascii="Verdana" w:hAnsi="Verdana"/>
                <w:sz w:val="16"/>
                <w:szCs w:val="16"/>
              </w:rPr>
              <w:t>del</w:t>
            </w:r>
            <w:r w:rsidRPr="0025738E">
              <w:rPr>
                <w:rFonts w:ascii="Verdana" w:hAnsi="Verdana"/>
                <w:spacing w:val="-4"/>
                <w:sz w:val="16"/>
                <w:szCs w:val="16"/>
              </w:rPr>
              <w:t xml:space="preserve"> </w:t>
            </w:r>
            <w:r w:rsidRPr="0025738E">
              <w:rPr>
                <w:rFonts w:ascii="Verdana" w:hAnsi="Verdana"/>
                <w:sz w:val="16"/>
                <w:szCs w:val="16"/>
              </w:rPr>
              <w:t>Pilar</w:t>
            </w:r>
            <w:r w:rsidRPr="0025738E">
              <w:rPr>
                <w:rFonts w:ascii="Verdana" w:hAnsi="Verdana"/>
                <w:spacing w:val="-6"/>
                <w:sz w:val="16"/>
                <w:szCs w:val="16"/>
              </w:rPr>
              <w:t xml:space="preserve"> </w:t>
            </w:r>
            <w:r w:rsidRPr="0025738E">
              <w:rPr>
                <w:rFonts w:ascii="Verdana" w:hAnsi="Verdana"/>
                <w:sz w:val="16"/>
                <w:szCs w:val="16"/>
              </w:rPr>
              <w:t>Garzón</w:t>
            </w:r>
            <w:r w:rsidRPr="0025738E">
              <w:rPr>
                <w:rFonts w:ascii="Verdana" w:hAnsi="Verdana"/>
                <w:spacing w:val="-9"/>
                <w:sz w:val="16"/>
                <w:szCs w:val="16"/>
              </w:rPr>
              <w:t xml:space="preserve"> </w:t>
            </w:r>
            <w:r w:rsidRPr="0025738E">
              <w:rPr>
                <w:rFonts w:ascii="Verdana" w:hAnsi="Verdana"/>
                <w:spacing w:val="-2"/>
                <w:sz w:val="16"/>
                <w:szCs w:val="16"/>
              </w:rPr>
              <w:t>Sánchez</w:t>
            </w:r>
          </w:p>
          <w:p w14:paraId="519E1F9B" w14:textId="77777777" w:rsidR="00A95D08" w:rsidRPr="0025738E" w:rsidRDefault="00A95D08" w:rsidP="008F21B7">
            <w:pPr>
              <w:pStyle w:val="TableParagraph"/>
              <w:spacing w:line="199" w:lineRule="exact"/>
              <w:ind w:left="110"/>
              <w:rPr>
                <w:rFonts w:ascii="Verdana" w:hAnsi="Verdana"/>
                <w:sz w:val="16"/>
                <w:szCs w:val="16"/>
              </w:rPr>
            </w:pPr>
            <w:r w:rsidRPr="0025738E">
              <w:rPr>
                <w:rFonts w:ascii="Verdana" w:hAnsi="Verdana"/>
                <w:sz w:val="16"/>
                <w:szCs w:val="16"/>
              </w:rPr>
              <w:t>Contratista</w:t>
            </w:r>
            <w:r w:rsidRPr="0025738E">
              <w:rPr>
                <w:rFonts w:ascii="Verdana" w:hAnsi="Verdana"/>
                <w:spacing w:val="-6"/>
                <w:sz w:val="16"/>
                <w:szCs w:val="16"/>
              </w:rPr>
              <w:t xml:space="preserve"> </w:t>
            </w:r>
            <w:r w:rsidRPr="0025738E">
              <w:rPr>
                <w:rFonts w:ascii="Verdana" w:hAnsi="Verdana"/>
                <w:sz w:val="16"/>
                <w:szCs w:val="16"/>
              </w:rPr>
              <w:t>de</w:t>
            </w:r>
            <w:r w:rsidRPr="0025738E">
              <w:rPr>
                <w:rFonts w:ascii="Verdana" w:hAnsi="Verdana"/>
                <w:spacing w:val="-9"/>
                <w:sz w:val="16"/>
                <w:szCs w:val="16"/>
              </w:rPr>
              <w:t xml:space="preserve"> </w:t>
            </w:r>
            <w:r w:rsidRPr="0025738E">
              <w:rPr>
                <w:rFonts w:ascii="Verdana" w:hAnsi="Verdana"/>
                <w:sz w:val="16"/>
                <w:szCs w:val="16"/>
              </w:rPr>
              <w:t>la</w:t>
            </w:r>
            <w:r w:rsidRPr="0025738E">
              <w:rPr>
                <w:rFonts w:ascii="Verdana" w:hAnsi="Verdana"/>
                <w:spacing w:val="-5"/>
                <w:sz w:val="16"/>
                <w:szCs w:val="16"/>
              </w:rPr>
              <w:t xml:space="preserve"> </w:t>
            </w:r>
            <w:r w:rsidRPr="0025738E">
              <w:rPr>
                <w:rFonts w:ascii="Verdana" w:hAnsi="Verdana"/>
                <w:sz w:val="16"/>
                <w:szCs w:val="16"/>
              </w:rPr>
              <w:t>Subdirección</w:t>
            </w:r>
            <w:r w:rsidRPr="0025738E">
              <w:rPr>
                <w:rFonts w:ascii="Verdana" w:hAnsi="Verdana"/>
                <w:spacing w:val="-6"/>
                <w:sz w:val="16"/>
                <w:szCs w:val="16"/>
              </w:rPr>
              <w:t xml:space="preserve"> </w:t>
            </w:r>
            <w:r w:rsidRPr="0025738E">
              <w:rPr>
                <w:rFonts w:ascii="Verdana" w:hAnsi="Verdana"/>
                <w:sz w:val="16"/>
                <w:szCs w:val="16"/>
              </w:rPr>
              <w:t>de</w:t>
            </w:r>
            <w:r w:rsidRPr="0025738E">
              <w:rPr>
                <w:rFonts w:ascii="Verdana" w:hAnsi="Verdana"/>
                <w:spacing w:val="-9"/>
                <w:sz w:val="16"/>
                <w:szCs w:val="16"/>
              </w:rPr>
              <w:t xml:space="preserve"> </w:t>
            </w:r>
            <w:r w:rsidRPr="0025738E">
              <w:rPr>
                <w:rFonts w:ascii="Verdana" w:hAnsi="Verdana"/>
                <w:sz w:val="16"/>
                <w:szCs w:val="16"/>
              </w:rPr>
              <w:t>Gestión</w:t>
            </w:r>
            <w:r w:rsidRPr="0025738E">
              <w:rPr>
                <w:rFonts w:ascii="Verdana" w:hAnsi="Verdana"/>
                <w:spacing w:val="-5"/>
                <w:sz w:val="16"/>
                <w:szCs w:val="16"/>
              </w:rPr>
              <w:t xml:space="preserve"> </w:t>
            </w:r>
            <w:r w:rsidRPr="0025738E">
              <w:rPr>
                <w:rFonts w:ascii="Verdana" w:hAnsi="Verdana"/>
                <w:spacing w:val="-2"/>
                <w:sz w:val="16"/>
                <w:szCs w:val="16"/>
              </w:rPr>
              <w:t>Contractual</w:t>
            </w:r>
          </w:p>
        </w:tc>
      </w:tr>
      <w:tr w:rsidR="00A95D08" w:rsidRPr="0025738E" w14:paraId="20C47CA9" w14:textId="77777777" w:rsidTr="008F21B7">
        <w:trPr>
          <w:trHeight w:val="440"/>
        </w:trPr>
        <w:tc>
          <w:tcPr>
            <w:tcW w:w="915" w:type="dxa"/>
          </w:tcPr>
          <w:p w14:paraId="49003909" w14:textId="77777777" w:rsidR="00A95D08" w:rsidRPr="0025738E" w:rsidRDefault="00A95D08" w:rsidP="008F21B7">
            <w:pPr>
              <w:pStyle w:val="TableParagraph"/>
              <w:spacing w:before="109"/>
              <w:ind w:right="142"/>
              <w:jc w:val="center"/>
              <w:rPr>
                <w:rFonts w:ascii="Verdana" w:hAnsi="Verdana"/>
                <w:sz w:val="16"/>
                <w:szCs w:val="16"/>
              </w:rPr>
            </w:pPr>
            <w:r w:rsidRPr="0025738E">
              <w:rPr>
                <w:rFonts w:ascii="Verdana" w:hAnsi="Verdana"/>
                <w:spacing w:val="-2"/>
                <w:sz w:val="16"/>
                <w:szCs w:val="16"/>
              </w:rPr>
              <w:t>Revisó:</w:t>
            </w:r>
          </w:p>
        </w:tc>
        <w:tc>
          <w:tcPr>
            <w:tcW w:w="5548" w:type="dxa"/>
            <w:tcBorders>
              <w:top w:val="dotted" w:sz="4" w:space="0" w:color="919191"/>
              <w:bottom w:val="dotted" w:sz="4" w:space="0" w:color="919191"/>
            </w:tcBorders>
          </w:tcPr>
          <w:p w14:paraId="2898EDBB" w14:textId="77777777" w:rsidR="00A95D08" w:rsidRPr="0025738E" w:rsidRDefault="00A95D08" w:rsidP="008F21B7">
            <w:pPr>
              <w:pStyle w:val="TableParagraph"/>
              <w:spacing w:line="218" w:lineRule="exact"/>
              <w:ind w:left="110"/>
              <w:rPr>
                <w:rFonts w:ascii="Verdana" w:hAnsi="Verdana"/>
                <w:sz w:val="16"/>
                <w:szCs w:val="16"/>
              </w:rPr>
            </w:pPr>
            <w:r w:rsidRPr="0025738E">
              <w:rPr>
                <w:rFonts w:ascii="Verdana" w:hAnsi="Verdana"/>
                <w:sz w:val="16"/>
                <w:szCs w:val="16"/>
              </w:rPr>
              <w:t>Juan</w:t>
            </w:r>
            <w:r w:rsidRPr="0025738E">
              <w:rPr>
                <w:rFonts w:ascii="Verdana" w:hAnsi="Verdana"/>
                <w:spacing w:val="-5"/>
                <w:sz w:val="16"/>
                <w:szCs w:val="16"/>
              </w:rPr>
              <w:t xml:space="preserve"> </w:t>
            </w:r>
            <w:r w:rsidRPr="0025738E">
              <w:rPr>
                <w:rFonts w:ascii="Verdana" w:hAnsi="Verdana"/>
                <w:sz w:val="16"/>
                <w:szCs w:val="16"/>
              </w:rPr>
              <w:t>Carlos</w:t>
            </w:r>
            <w:r w:rsidRPr="0025738E">
              <w:rPr>
                <w:rFonts w:ascii="Verdana" w:hAnsi="Verdana"/>
                <w:spacing w:val="-9"/>
                <w:sz w:val="16"/>
                <w:szCs w:val="16"/>
              </w:rPr>
              <w:t xml:space="preserve"> </w:t>
            </w:r>
            <w:r w:rsidRPr="0025738E">
              <w:rPr>
                <w:rFonts w:ascii="Verdana" w:hAnsi="Verdana"/>
                <w:sz w:val="16"/>
                <w:szCs w:val="16"/>
              </w:rPr>
              <w:t>González</w:t>
            </w:r>
            <w:r w:rsidRPr="0025738E">
              <w:rPr>
                <w:rFonts w:ascii="Verdana" w:hAnsi="Verdana"/>
                <w:spacing w:val="-4"/>
                <w:sz w:val="16"/>
                <w:szCs w:val="16"/>
              </w:rPr>
              <w:t xml:space="preserve"> </w:t>
            </w:r>
            <w:r w:rsidRPr="0025738E">
              <w:rPr>
                <w:rFonts w:ascii="Verdana" w:hAnsi="Verdana"/>
                <w:spacing w:val="-2"/>
                <w:sz w:val="16"/>
                <w:szCs w:val="16"/>
              </w:rPr>
              <w:t>Vásquez</w:t>
            </w:r>
          </w:p>
          <w:p w14:paraId="0DE4E226" w14:textId="77777777" w:rsidR="00A95D08" w:rsidRPr="0025738E" w:rsidRDefault="00A95D08" w:rsidP="008F21B7">
            <w:pPr>
              <w:pStyle w:val="TableParagraph"/>
              <w:spacing w:before="1" w:line="201" w:lineRule="exact"/>
              <w:ind w:left="110"/>
              <w:rPr>
                <w:rFonts w:ascii="Verdana" w:hAnsi="Verdana"/>
                <w:sz w:val="16"/>
                <w:szCs w:val="16"/>
              </w:rPr>
            </w:pPr>
            <w:r w:rsidRPr="0025738E">
              <w:rPr>
                <w:rFonts w:ascii="Verdana" w:hAnsi="Verdana"/>
                <w:sz w:val="16"/>
                <w:szCs w:val="16"/>
              </w:rPr>
              <w:t>Contratista</w:t>
            </w:r>
            <w:r w:rsidRPr="0025738E">
              <w:rPr>
                <w:rFonts w:ascii="Verdana" w:hAnsi="Verdana"/>
                <w:spacing w:val="-6"/>
                <w:sz w:val="16"/>
                <w:szCs w:val="16"/>
              </w:rPr>
              <w:t xml:space="preserve"> </w:t>
            </w:r>
            <w:r w:rsidRPr="0025738E">
              <w:rPr>
                <w:rFonts w:ascii="Verdana" w:hAnsi="Verdana"/>
                <w:sz w:val="16"/>
                <w:szCs w:val="16"/>
              </w:rPr>
              <w:t>de</w:t>
            </w:r>
            <w:r w:rsidRPr="0025738E">
              <w:rPr>
                <w:rFonts w:ascii="Verdana" w:hAnsi="Verdana"/>
                <w:spacing w:val="-9"/>
                <w:sz w:val="16"/>
                <w:szCs w:val="16"/>
              </w:rPr>
              <w:t xml:space="preserve"> </w:t>
            </w:r>
            <w:r w:rsidRPr="0025738E">
              <w:rPr>
                <w:rFonts w:ascii="Verdana" w:hAnsi="Verdana"/>
                <w:sz w:val="16"/>
                <w:szCs w:val="16"/>
              </w:rPr>
              <w:t>la</w:t>
            </w:r>
            <w:r w:rsidRPr="0025738E">
              <w:rPr>
                <w:rFonts w:ascii="Verdana" w:hAnsi="Verdana"/>
                <w:spacing w:val="-5"/>
                <w:sz w:val="16"/>
                <w:szCs w:val="16"/>
              </w:rPr>
              <w:t xml:space="preserve"> </w:t>
            </w:r>
            <w:r w:rsidRPr="0025738E">
              <w:rPr>
                <w:rFonts w:ascii="Verdana" w:hAnsi="Verdana"/>
                <w:sz w:val="16"/>
                <w:szCs w:val="16"/>
              </w:rPr>
              <w:t>Subdirección</w:t>
            </w:r>
            <w:r w:rsidRPr="0025738E">
              <w:rPr>
                <w:rFonts w:ascii="Verdana" w:hAnsi="Verdana"/>
                <w:spacing w:val="-6"/>
                <w:sz w:val="16"/>
                <w:szCs w:val="16"/>
              </w:rPr>
              <w:t xml:space="preserve"> </w:t>
            </w:r>
            <w:r w:rsidRPr="0025738E">
              <w:rPr>
                <w:rFonts w:ascii="Verdana" w:hAnsi="Verdana"/>
                <w:sz w:val="16"/>
                <w:szCs w:val="16"/>
              </w:rPr>
              <w:t>de</w:t>
            </w:r>
            <w:r w:rsidRPr="0025738E">
              <w:rPr>
                <w:rFonts w:ascii="Verdana" w:hAnsi="Verdana"/>
                <w:spacing w:val="-9"/>
                <w:sz w:val="16"/>
                <w:szCs w:val="16"/>
              </w:rPr>
              <w:t xml:space="preserve"> </w:t>
            </w:r>
            <w:r w:rsidRPr="0025738E">
              <w:rPr>
                <w:rFonts w:ascii="Verdana" w:hAnsi="Verdana"/>
                <w:sz w:val="16"/>
                <w:szCs w:val="16"/>
              </w:rPr>
              <w:t>Gestión</w:t>
            </w:r>
            <w:r w:rsidRPr="0025738E">
              <w:rPr>
                <w:rFonts w:ascii="Verdana" w:hAnsi="Verdana"/>
                <w:spacing w:val="-5"/>
                <w:sz w:val="16"/>
                <w:szCs w:val="16"/>
              </w:rPr>
              <w:t xml:space="preserve"> </w:t>
            </w:r>
            <w:r w:rsidRPr="0025738E">
              <w:rPr>
                <w:rFonts w:ascii="Verdana" w:hAnsi="Verdana"/>
                <w:spacing w:val="-2"/>
                <w:sz w:val="16"/>
                <w:szCs w:val="16"/>
              </w:rPr>
              <w:t>Contractual</w:t>
            </w:r>
          </w:p>
        </w:tc>
      </w:tr>
      <w:tr w:rsidR="00A95D08" w:rsidRPr="0025738E" w14:paraId="54F8BEA3" w14:textId="77777777" w:rsidTr="008F21B7">
        <w:trPr>
          <w:trHeight w:val="432"/>
        </w:trPr>
        <w:tc>
          <w:tcPr>
            <w:tcW w:w="915" w:type="dxa"/>
          </w:tcPr>
          <w:p w14:paraId="2CEF235B" w14:textId="77777777" w:rsidR="00A95D08" w:rsidRPr="0025738E" w:rsidRDefault="00A95D08" w:rsidP="008F21B7">
            <w:pPr>
              <w:pStyle w:val="TableParagraph"/>
              <w:spacing w:before="109"/>
              <w:ind w:right="93"/>
              <w:jc w:val="center"/>
              <w:rPr>
                <w:rFonts w:ascii="Verdana" w:hAnsi="Verdana"/>
                <w:sz w:val="16"/>
                <w:szCs w:val="16"/>
              </w:rPr>
            </w:pPr>
            <w:r w:rsidRPr="0025738E">
              <w:rPr>
                <w:rFonts w:ascii="Verdana" w:hAnsi="Verdana"/>
                <w:spacing w:val="-2"/>
                <w:sz w:val="16"/>
                <w:szCs w:val="16"/>
              </w:rPr>
              <w:t>Aprobó:</w:t>
            </w:r>
          </w:p>
        </w:tc>
        <w:tc>
          <w:tcPr>
            <w:tcW w:w="5548" w:type="dxa"/>
            <w:tcBorders>
              <w:top w:val="dotted" w:sz="4" w:space="0" w:color="919191"/>
            </w:tcBorders>
          </w:tcPr>
          <w:p w14:paraId="6D2C2A3B" w14:textId="4BFAA15E" w:rsidR="00A95D08" w:rsidRPr="0025738E" w:rsidRDefault="00A95D08" w:rsidP="008F21B7">
            <w:pPr>
              <w:widowControl/>
              <w:autoSpaceDE/>
              <w:autoSpaceDN/>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  Carolina Quintero </w:t>
            </w:r>
            <w:proofErr w:type="spellStart"/>
            <w:r>
              <w:rPr>
                <w:rFonts w:ascii="Verdana" w:eastAsia="Calibri" w:hAnsi="Verdana" w:cs="Arial"/>
                <w:sz w:val="16"/>
                <w:szCs w:val="16"/>
                <w:lang w:val="pt-BR" w:eastAsia="es-ES"/>
              </w:rPr>
              <w:t>Ga</w:t>
            </w:r>
            <w:r w:rsidR="008C2A36">
              <w:rPr>
                <w:rFonts w:ascii="Verdana" w:eastAsia="Calibri" w:hAnsi="Verdana" w:cs="Arial"/>
                <w:sz w:val="16"/>
                <w:szCs w:val="16"/>
                <w:lang w:val="pt-BR" w:eastAsia="es-ES"/>
              </w:rPr>
              <w:t>charná</w:t>
            </w:r>
            <w:proofErr w:type="spellEnd"/>
          </w:p>
          <w:p w14:paraId="525D00E9" w14:textId="7A73CA3D" w:rsidR="00A95D08" w:rsidRPr="0025738E" w:rsidRDefault="00A95D08" w:rsidP="008F21B7">
            <w:pPr>
              <w:pStyle w:val="TableParagraph"/>
              <w:tabs>
                <w:tab w:val="left" w:pos="5547"/>
              </w:tabs>
              <w:spacing w:line="197" w:lineRule="exact"/>
              <w:ind w:left="-15"/>
              <w:rPr>
                <w:rFonts w:ascii="Verdana" w:hAnsi="Verdana"/>
                <w:sz w:val="16"/>
                <w:szCs w:val="16"/>
              </w:rPr>
            </w:pPr>
            <w:r w:rsidRPr="0025738E">
              <w:rPr>
                <w:rFonts w:ascii="Verdana" w:hAnsi="Verdana"/>
                <w:spacing w:val="68"/>
                <w:sz w:val="16"/>
                <w:szCs w:val="16"/>
                <w:u w:val="dotted" w:color="919191"/>
              </w:rPr>
              <w:t xml:space="preserve"> </w:t>
            </w:r>
            <w:r w:rsidRPr="0025738E">
              <w:rPr>
                <w:rFonts w:ascii="Verdana" w:hAnsi="Verdana"/>
                <w:sz w:val="16"/>
                <w:szCs w:val="16"/>
                <w:u w:val="dotted" w:color="919191"/>
              </w:rPr>
              <w:t>Subdirectora</w:t>
            </w:r>
            <w:r w:rsidRPr="0025738E">
              <w:rPr>
                <w:rFonts w:ascii="Verdana" w:hAnsi="Verdana"/>
                <w:spacing w:val="2"/>
                <w:sz w:val="16"/>
                <w:szCs w:val="16"/>
                <w:u w:val="dotted" w:color="919191"/>
              </w:rPr>
              <w:t xml:space="preserve"> </w:t>
            </w:r>
            <w:r w:rsidRPr="0025738E">
              <w:rPr>
                <w:rFonts w:ascii="Verdana" w:hAnsi="Verdana"/>
                <w:sz w:val="16"/>
                <w:szCs w:val="16"/>
                <w:u w:val="dotted" w:color="919191"/>
              </w:rPr>
              <w:t>de</w:t>
            </w:r>
            <w:r w:rsidRPr="0025738E">
              <w:rPr>
                <w:rFonts w:ascii="Verdana" w:hAnsi="Verdana"/>
                <w:spacing w:val="-6"/>
                <w:sz w:val="16"/>
                <w:szCs w:val="16"/>
                <w:u w:val="dotted" w:color="919191"/>
              </w:rPr>
              <w:t xml:space="preserve"> </w:t>
            </w:r>
            <w:r w:rsidRPr="0025738E">
              <w:rPr>
                <w:rFonts w:ascii="Verdana" w:hAnsi="Verdana"/>
                <w:sz w:val="16"/>
                <w:szCs w:val="16"/>
                <w:u w:val="dotted" w:color="919191"/>
              </w:rPr>
              <w:t>Gestión</w:t>
            </w:r>
            <w:r w:rsidRPr="0025738E">
              <w:rPr>
                <w:rFonts w:ascii="Verdana" w:hAnsi="Verdana"/>
                <w:spacing w:val="-3"/>
                <w:sz w:val="16"/>
                <w:szCs w:val="16"/>
                <w:u w:val="dotted" w:color="919191"/>
              </w:rPr>
              <w:t xml:space="preserve"> </w:t>
            </w:r>
            <w:r w:rsidRPr="0025738E">
              <w:rPr>
                <w:rFonts w:ascii="Verdana" w:hAnsi="Verdana"/>
                <w:sz w:val="16"/>
                <w:szCs w:val="16"/>
                <w:u w:val="dotted" w:color="919191"/>
              </w:rPr>
              <w:t>Contractual</w:t>
            </w:r>
            <w:r w:rsidRPr="0025738E">
              <w:rPr>
                <w:rFonts w:ascii="Verdana" w:hAnsi="Verdana"/>
                <w:spacing w:val="-3"/>
                <w:sz w:val="16"/>
                <w:szCs w:val="16"/>
                <w:u w:val="dotted" w:color="919191"/>
              </w:rPr>
              <w:t xml:space="preserve"> </w:t>
            </w:r>
            <w:r w:rsidRPr="0025738E">
              <w:rPr>
                <w:rFonts w:ascii="Verdana" w:hAnsi="Verdana"/>
                <w:sz w:val="16"/>
                <w:szCs w:val="16"/>
                <w:u w:val="dotted" w:color="919191"/>
              </w:rPr>
              <w:t>ANCP</w:t>
            </w:r>
            <w:r w:rsidRPr="0025738E">
              <w:rPr>
                <w:rFonts w:ascii="Verdana" w:hAnsi="Verdana"/>
                <w:spacing w:val="1"/>
                <w:sz w:val="16"/>
                <w:szCs w:val="16"/>
                <w:u w:val="dotted" w:color="919191"/>
              </w:rPr>
              <w:t xml:space="preserve"> </w:t>
            </w:r>
            <w:r w:rsidRPr="0025738E">
              <w:rPr>
                <w:rFonts w:ascii="Verdana" w:hAnsi="Verdana"/>
                <w:sz w:val="16"/>
                <w:szCs w:val="16"/>
                <w:u w:val="dotted" w:color="919191"/>
              </w:rPr>
              <w:t>–</w:t>
            </w:r>
            <w:r w:rsidRPr="0025738E">
              <w:rPr>
                <w:rFonts w:ascii="Verdana" w:hAnsi="Verdana"/>
                <w:spacing w:val="-3"/>
                <w:sz w:val="16"/>
                <w:szCs w:val="16"/>
                <w:u w:val="dotted" w:color="919191"/>
              </w:rPr>
              <w:t xml:space="preserve"> </w:t>
            </w:r>
            <w:r w:rsidRPr="0025738E">
              <w:rPr>
                <w:rFonts w:ascii="Verdana" w:hAnsi="Verdana"/>
                <w:spacing w:val="-5"/>
                <w:sz w:val="16"/>
                <w:szCs w:val="16"/>
                <w:u w:val="dotted" w:color="919191"/>
              </w:rPr>
              <w:t>CCE</w:t>
            </w:r>
            <w:r>
              <w:rPr>
                <w:rFonts w:ascii="Verdana" w:hAnsi="Verdana"/>
                <w:spacing w:val="-5"/>
                <w:sz w:val="16"/>
                <w:szCs w:val="16"/>
                <w:u w:val="dotted" w:color="919191"/>
              </w:rPr>
              <w:t xml:space="preserve"> </w:t>
            </w:r>
            <w:r w:rsidRPr="0025738E">
              <w:rPr>
                <w:rFonts w:ascii="Verdana" w:hAnsi="Verdana"/>
                <w:sz w:val="16"/>
                <w:szCs w:val="16"/>
                <w:u w:val="dotted" w:color="919191"/>
              </w:rPr>
              <w:tab/>
            </w:r>
          </w:p>
        </w:tc>
      </w:tr>
    </w:tbl>
    <w:p w14:paraId="65B664CE" w14:textId="77777777" w:rsidR="00A95D08" w:rsidRPr="00AD2F15" w:rsidRDefault="00A95D08" w:rsidP="00A95D08">
      <w:pPr>
        <w:rPr>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4C6B4" w14:textId="77777777" w:rsidR="00EE0977" w:rsidRDefault="00EE0977" w:rsidP="004A1847">
      <w:pPr>
        <w:spacing w:after="0" w:line="240" w:lineRule="auto"/>
      </w:pPr>
      <w:r>
        <w:separator/>
      </w:r>
    </w:p>
  </w:endnote>
  <w:endnote w:type="continuationSeparator" w:id="0">
    <w:p w14:paraId="3CEF5B42" w14:textId="77777777" w:rsidR="00EE0977" w:rsidRDefault="00EE097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F07C" w14:textId="77777777" w:rsidR="00EE0977" w:rsidRDefault="00EE0977" w:rsidP="004A1847">
      <w:pPr>
        <w:spacing w:after="0" w:line="240" w:lineRule="auto"/>
      </w:pPr>
      <w:r>
        <w:separator/>
      </w:r>
    </w:p>
  </w:footnote>
  <w:footnote w:type="continuationSeparator" w:id="0">
    <w:p w14:paraId="3DD54EF7" w14:textId="77777777" w:rsidR="00EE0977" w:rsidRDefault="00EE0977" w:rsidP="004A1847">
      <w:pPr>
        <w:spacing w:after="0" w:line="240" w:lineRule="auto"/>
      </w:pPr>
      <w:r>
        <w:continuationSeparator/>
      </w:r>
    </w:p>
  </w:footnote>
  <w:footnote w:id="1">
    <w:p w14:paraId="7EF8FD26" w14:textId="77777777" w:rsidR="00A95D08" w:rsidRPr="00FE755D" w:rsidRDefault="00A95D08" w:rsidP="00A95D08">
      <w:pPr>
        <w:pStyle w:val="Textonotapie"/>
        <w:ind w:firstLine="709"/>
        <w:jc w:val="both"/>
        <w:rPr>
          <w:rFonts w:ascii="Verdana" w:hAnsi="Verdana" w:cs="Arial"/>
          <w:sz w:val="18"/>
          <w:szCs w:val="18"/>
        </w:rPr>
      </w:pPr>
      <w:r w:rsidRPr="00FE755D">
        <w:rPr>
          <w:rStyle w:val="Refdenotaalpie"/>
          <w:rFonts w:ascii="Verdana" w:hAnsi="Verdana" w:cs="Arial"/>
          <w:sz w:val="18"/>
          <w:szCs w:val="18"/>
        </w:rPr>
        <w:footnoteRef/>
      </w:r>
      <w:r w:rsidRPr="00FE755D">
        <w:rPr>
          <w:rFonts w:ascii="Verdana" w:hAnsi="Verdana"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114891A" w14:textId="77777777" w:rsidR="00A95D08" w:rsidRPr="00FE755D" w:rsidRDefault="00A95D08" w:rsidP="00A95D08">
      <w:pPr>
        <w:pStyle w:val="Textonotapie"/>
        <w:spacing w:before="120"/>
        <w:ind w:firstLine="709"/>
        <w:jc w:val="both"/>
        <w:rPr>
          <w:rFonts w:ascii="Verdana" w:hAnsi="Verdana" w:cs="Arial"/>
          <w:sz w:val="18"/>
          <w:szCs w:val="18"/>
        </w:rPr>
      </w:pPr>
      <w:r w:rsidRPr="00FE755D">
        <w:rPr>
          <w:rFonts w:ascii="Verdana" w:hAnsi="Verdana"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BDC6C4E" w14:textId="77777777" w:rsidR="00A95D08" w:rsidRPr="00FE755D" w:rsidRDefault="00A95D08" w:rsidP="00A95D08">
      <w:pPr>
        <w:pStyle w:val="Textonotapie"/>
        <w:ind w:firstLine="709"/>
        <w:jc w:val="both"/>
        <w:rPr>
          <w:rFonts w:ascii="Verdana" w:hAnsi="Verdana" w:cs="Arial"/>
          <w:sz w:val="18"/>
          <w:szCs w:val="18"/>
        </w:rPr>
      </w:pPr>
    </w:p>
  </w:footnote>
  <w:footnote w:id="2">
    <w:p w14:paraId="5233DF93" w14:textId="77777777" w:rsidR="00A95D08" w:rsidRPr="00FE755D" w:rsidRDefault="00A95D08" w:rsidP="00A95D08">
      <w:pPr>
        <w:pStyle w:val="Textonotapie"/>
        <w:ind w:firstLine="709"/>
        <w:jc w:val="both"/>
        <w:rPr>
          <w:rFonts w:ascii="Verdana" w:hAnsi="Verdana" w:cs="Arial"/>
          <w:sz w:val="18"/>
          <w:szCs w:val="18"/>
        </w:rPr>
      </w:pPr>
      <w:r w:rsidRPr="00FE755D">
        <w:rPr>
          <w:rStyle w:val="Refdenotaalpie"/>
          <w:rFonts w:ascii="Verdana" w:hAnsi="Verdana" w:cs="Arial"/>
          <w:sz w:val="18"/>
          <w:szCs w:val="18"/>
        </w:rPr>
        <w:footnoteRef/>
      </w:r>
      <w:r w:rsidRPr="00FE755D">
        <w:rPr>
          <w:rFonts w:ascii="Verdana" w:hAnsi="Verdana" w:cs="Arial"/>
          <w:sz w:val="18"/>
          <w:szCs w:val="18"/>
        </w:rPr>
        <w:t xml:space="preserve"> Gaceta del Congreso de la República No. 71 del 2005.</w:t>
      </w:r>
    </w:p>
    <w:p w14:paraId="2B14F22E" w14:textId="77777777" w:rsidR="00A95D08" w:rsidRPr="00FE755D" w:rsidRDefault="00A95D08" w:rsidP="00A95D08">
      <w:pPr>
        <w:pStyle w:val="Textonotapie"/>
        <w:ind w:firstLine="709"/>
        <w:jc w:val="both"/>
        <w:rPr>
          <w:rFonts w:ascii="Verdana" w:hAnsi="Verdana" w:cs="Arial"/>
          <w:sz w:val="18"/>
          <w:szCs w:val="18"/>
        </w:rPr>
      </w:pPr>
    </w:p>
  </w:footnote>
  <w:footnote w:id="3">
    <w:p w14:paraId="5D9B9824" w14:textId="77777777" w:rsidR="00A95D08" w:rsidRPr="006470DE" w:rsidRDefault="00A95D08" w:rsidP="00A95D08">
      <w:pPr>
        <w:pStyle w:val="Textonotapie"/>
        <w:ind w:firstLine="708"/>
        <w:jc w:val="both"/>
        <w:rPr>
          <w:rFonts w:ascii="Verdana" w:hAnsi="Verdana" w:cs="Arial"/>
          <w:sz w:val="18"/>
          <w:szCs w:val="18"/>
          <w:lang w:val="es-CO"/>
        </w:rPr>
      </w:pPr>
      <w:r w:rsidRPr="00FE755D">
        <w:rPr>
          <w:rStyle w:val="Refdenotaalpie"/>
          <w:rFonts w:ascii="Verdana" w:hAnsi="Verdana" w:cs="Arial"/>
          <w:sz w:val="18"/>
          <w:szCs w:val="18"/>
        </w:rPr>
        <w:footnoteRef/>
      </w:r>
      <w:r w:rsidRPr="00FE755D">
        <w:rPr>
          <w:rFonts w:ascii="Verdana" w:hAnsi="Verdana" w:cs="Arial"/>
          <w:sz w:val="18"/>
          <w:szCs w:val="18"/>
        </w:rPr>
        <w:t xml:space="preserve"> Corte Constitucional, Sentencia C- 1153 de 2005, M.P. Marco Gerardo Monroy Cabra. </w:t>
      </w:r>
      <w:r w:rsidRPr="00FE755D">
        <w:rPr>
          <w:rFonts w:ascii="Verdana" w:eastAsia="Times New Roman" w:hAnsi="Verdana" w:cs="Arial"/>
          <w:bCs/>
          <w:sz w:val="18"/>
          <w:szCs w:val="18"/>
          <w:lang w:eastAsia="es-CO"/>
        </w:rPr>
        <w:t xml:space="preserve">Así mismo, la Sala de Consulta y del Servicio Civil del Consejo de Estado, al referirse a los propósitos de la Ley de Garantías señaló lo siguiente: Los propósitos de la ley 996 de 2005 están encaminados a reducir los espacios de discrecionalidad, impedir la utilización de la burocracia para obtener respaldo de causas o campañas políticas, evitar la inversión de los recursos del erario para estos efectos, impedir que el Presidente en ejercicio, que aspire a ser reelegido, pueda ejercer ventajas frente a los demás candidatos, como también fortalecer la legitimidad y credibilidad del sistema político con garantía del ejercicio de las libertades públicas. El artículo 1º de la ley 996 delimita con claridad la finalidad de </w:t>
      </w:r>
      <w:proofErr w:type="gramStart"/>
      <w:r w:rsidRPr="00FE755D">
        <w:rPr>
          <w:rFonts w:ascii="Verdana" w:eastAsia="Times New Roman" w:hAnsi="Verdana" w:cs="Arial"/>
          <w:bCs/>
          <w:sz w:val="18"/>
          <w:szCs w:val="18"/>
          <w:lang w:eastAsia="es-CO"/>
        </w:rPr>
        <w:t>la misma</w:t>
      </w:r>
      <w:proofErr w:type="gramEnd"/>
      <w:r w:rsidRPr="00FE755D">
        <w:rPr>
          <w:rFonts w:ascii="Verdana" w:eastAsia="Times New Roman" w:hAnsi="Verdana" w:cs="Arial"/>
          <w:bCs/>
          <w:sz w:val="18"/>
          <w:szCs w:val="18"/>
          <w:lang w:eastAsia="es-CO"/>
        </w:rPr>
        <w:t xml:space="preserve"> y la centra en el establecimiento del marco legal destinado a asegurar, de manera terminante, la transparencia del debate electoral a la Presidencia de la República, mediante la garantía de la igualdad de condiciones para los candidatos. </w:t>
      </w:r>
      <w:r w:rsidRPr="006470DE">
        <w:rPr>
          <w:rFonts w:ascii="Verdana" w:eastAsia="Times New Roman" w:hAnsi="Verdana" w:cs="Arial"/>
          <w:bCs/>
          <w:sz w:val="18"/>
          <w:szCs w:val="18"/>
          <w:lang w:eastAsia="es-CO"/>
        </w:rPr>
        <w:t>(</w:t>
      </w:r>
      <w:r w:rsidRPr="006470DE">
        <w:rPr>
          <w:rStyle w:val="Refdenotaalpie"/>
          <w:rFonts w:ascii="Verdana" w:hAnsi="Verdana" w:cs="Arial"/>
          <w:sz w:val="18"/>
          <w:szCs w:val="18"/>
        </w:rPr>
        <w:t>Consejo de Estado. Sala de Consulta y del Servicio Civil, de fecha 20 de febrero de 2006. Radicado 1724. Concepto del. Magistrado Ponente: Flavio Augusto Rodríguez Arce</w:t>
      </w:r>
      <w:r w:rsidRPr="006470DE">
        <w:rPr>
          <w:rFonts w:ascii="Verdana" w:hAnsi="Verdana" w:cs="Arial"/>
          <w:sz w:val="18"/>
          <w:szCs w:val="18"/>
        </w:rPr>
        <w:t>)</w:t>
      </w:r>
      <w:r w:rsidRPr="006470DE">
        <w:rPr>
          <w:rStyle w:val="Refdenotaalpie"/>
          <w:rFonts w:ascii="Verdana" w:hAnsi="Verdana" w:cs="Arial"/>
          <w:sz w:val="18"/>
          <w:szCs w:val="18"/>
        </w:rPr>
        <w:t>.</w:t>
      </w:r>
    </w:p>
    <w:p w14:paraId="35287738" w14:textId="77777777" w:rsidR="00A95D08" w:rsidRPr="00FE755D" w:rsidRDefault="00A95D08" w:rsidP="00A95D08">
      <w:pPr>
        <w:pStyle w:val="Textonotapie"/>
        <w:ind w:firstLine="709"/>
        <w:jc w:val="both"/>
        <w:rPr>
          <w:rFonts w:ascii="Verdana" w:hAnsi="Verdana" w:cs="Arial"/>
          <w:sz w:val="18"/>
          <w:szCs w:val="18"/>
        </w:rPr>
      </w:pPr>
    </w:p>
  </w:footnote>
  <w:footnote w:id="4">
    <w:p w14:paraId="6C726686" w14:textId="77777777" w:rsidR="00A95D08" w:rsidRPr="00FE755D" w:rsidRDefault="00A95D08" w:rsidP="00A95D08">
      <w:pPr>
        <w:pStyle w:val="Textonotapie"/>
        <w:ind w:firstLine="709"/>
        <w:jc w:val="both"/>
        <w:rPr>
          <w:rFonts w:ascii="Verdana" w:hAnsi="Verdana" w:cs="Arial"/>
          <w:sz w:val="18"/>
          <w:szCs w:val="18"/>
        </w:rPr>
      </w:pPr>
      <w:r w:rsidRPr="00FE755D">
        <w:rPr>
          <w:rStyle w:val="Refdenotaalpie"/>
          <w:rFonts w:ascii="Verdana" w:hAnsi="Verdana" w:cs="Arial"/>
          <w:sz w:val="18"/>
          <w:szCs w:val="18"/>
        </w:rPr>
        <w:footnoteRef/>
      </w:r>
      <w:r w:rsidRPr="00FE755D">
        <w:rPr>
          <w:rFonts w:ascii="Verdana" w:hAnsi="Verdana"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7BD411F2" w14:textId="77777777" w:rsidR="00A95D08" w:rsidRPr="00FE755D" w:rsidRDefault="00A95D08" w:rsidP="00A95D08">
      <w:pPr>
        <w:pStyle w:val="Textonotapie"/>
        <w:ind w:firstLine="709"/>
        <w:jc w:val="both"/>
        <w:rPr>
          <w:rFonts w:ascii="Verdana" w:hAnsi="Verdana" w:cs="Arial"/>
          <w:sz w:val="18"/>
          <w:szCs w:val="18"/>
        </w:rPr>
      </w:pPr>
    </w:p>
    <w:p w14:paraId="11C16714" w14:textId="77777777" w:rsidR="00A95D08" w:rsidRPr="00FE755D" w:rsidRDefault="00A95D08" w:rsidP="00A95D08">
      <w:pPr>
        <w:pStyle w:val="Textonotapie"/>
        <w:ind w:firstLine="709"/>
        <w:jc w:val="both"/>
        <w:rPr>
          <w:rStyle w:val="Refdenotaalpie"/>
          <w:rFonts w:ascii="Verdana" w:hAnsi="Verdana" w:cs="Arial"/>
          <w:sz w:val="18"/>
          <w:szCs w:val="18"/>
        </w:rPr>
      </w:pPr>
      <w:r w:rsidRPr="00FE755D">
        <w:rPr>
          <w:rStyle w:val="Refdenotaalpie"/>
          <w:rFonts w:ascii="Verdana" w:hAnsi="Verdana" w:cs="Arial"/>
          <w:sz w:val="18"/>
          <w:szCs w:val="18"/>
        </w:rPr>
        <w:footnoteRef/>
      </w:r>
      <w:r w:rsidRPr="00FE755D">
        <w:rPr>
          <w:rStyle w:val="Refdenotaalpie"/>
          <w:rFonts w:ascii="Verdana" w:hAnsi="Verdana" w:cs="Arial"/>
          <w:sz w:val="18"/>
          <w:szCs w:val="18"/>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439C2EFA" w14:textId="77777777" w:rsidR="00A95D08" w:rsidRDefault="00A95D08" w:rsidP="00A95D08">
      <w:pPr>
        <w:pStyle w:val="Textonotapie"/>
        <w:ind w:firstLine="709"/>
        <w:jc w:val="both"/>
        <w:rPr>
          <w:rFonts w:ascii="Verdana" w:hAnsi="Verdana" w:cs="Arial"/>
          <w:sz w:val="18"/>
          <w:szCs w:val="18"/>
        </w:rPr>
      </w:pPr>
      <w:r w:rsidRPr="00FE755D">
        <w:rPr>
          <w:rStyle w:val="Refdenotaalpie"/>
          <w:rFonts w:ascii="Verdana" w:hAnsi="Verdana" w:cs="Arial"/>
          <w:sz w:val="18"/>
          <w:szCs w:val="18"/>
        </w:rPr>
        <w:footnoteRef/>
      </w:r>
      <w:r w:rsidRPr="00FE755D">
        <w:rPr>
          <w:rFonts w:ascii="Verdana" w:hAnsi="Verdana" w:cs="Arial"/>
          <w:sz w:val="18"/>
          <w:szCs w:val="18"/>
        </w:rPr>
        <w:t xml:space="preserve"> Consejo de Estado, Sala de Consulta y Servicio Civil de fecha 24 de julio de 2013, radicado 2166, Consejero Ponente: Álvaro Namén Vargas. </w:t>
      </w:r>
    </w:p>
    <w:p w14:paraId="59C2F5F3" w14:textId="77777777" w:rsidR="00A95D08" w:rsidRPr="00FE755D" w:rsidRDefault="00A95D08" w:rsidP="00A95D08">
      <w:pPr>
        <w:pStyle w:val="Textonotapie"/>
        <w:ind w:firstLine="709"/>
        <w:jc w:val="both"/>
        <w:rPr>
          <w:rFonts w:ascii="Verdana" w:hAnsi="Verdana" w:cs="Arial"/>
          <w:sz w:val="18"/>
          <w:szCs w:val="18"/>
        </w:rPr>
      </w:pPr>
    </w:p>
  </w:footnote>
  <w:footnote w:id="7">
    <w:p w14:paraId="27624FE8" w14:textId="77777777" w:rsidR="00A95D08" w:rsidRPr="00FE755D" w:rsidRDefault="00A95D08" w:rsidP="00A95D08">
      <w:pPr>
        <w:spacing w:after="0" w:line="240" w:lineRule="auto"/>
        <w:ind w:firstLine="709"/>
        <w:jc w:val="both"/>
        <w:rPr>
          <w:rFonts w:ascii="Verdana" w:eastAsia="Times New Roman" w:hAnsi="Verdana" w:cs="Arial"/>
          <w:sz w:val="18"/>
          <w:szCs w:val="18"/>
        </w:rPr>
      </w:pPr>
      <w:r w:rsidRPr="00FE755D">
        <w:rPr>
          <w:rStyle w:val="Refdenotaalpie"/>
          <w:rFonts w:ascii="Verdana" w:hAnsi="Verdana" w:cs="Arial"/>
          <w:sz w:val="18"/>
          <w:szCs w:val="18"/>
        </w:rPr>
        <w:footnoteRef/>
      </w:r>
      <w:r w:rsidRPr="00FE755D">
        <w:rPr>
          <w:rFonts w:ascii="Verdana" w:hAnsi="Verdana" w:cs="Arial"/>
          <w:sz w:val="18"/>
          <w:szCs w:val="18"/>
        </w:rPr>
        <w:t xml:space="preserve"> </w:t>
      </w:r>
      <w:bookmarkStart w:id="3" w:name="33"/>
      <w:r w:rsidRPr="00FE755D">
        <w:rPr>
          <w:rFonts w:ascii="Verdana" w:eastAsia="Calibri" w:hAnsi="Verdana" w:cs="Arial"/>
          <w:bCs/>
          <w:color w:val="000000"/>
          <w:sz w:val="18"/>
          <w:szCs w:val="18"/>
        </w:rPr>
        <w:t>“</w:t>
      </w:r>
      <w:r w:rsidRPr="00FE755D">
        <w:rPr>
          <w:rFonts w:ascii="Verdana" w:eastAsia="Times New Roman" w:hAnsi="Verdana" w:cs="Arial"/>
          <w:sz w:val="18"/>
          <w:szCs w:val="18"/>
        </w:rPr>
        <w:t>Artículo 33. Restricciones a la contratación pública.</w:t>
      </w:r>
      <w:bookmarkEnd w:id="3"/>
      <w:r w:rsidRPr="00FE755D">
        <w:rPr>
          <w:rFonts w:ascii="Verdana" w:eastAsia="Times New Roman" w:hAnsi="Verdana"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01A04EF4" w14:textId="77777777" w:rsidR="00A95D08" w:rsidRPr="00FE755D" w:rsidRDefault="00A95D08" w:rsidP="00A95D08">
      <w:pPr>
        <w:spacing w:before="120" w:after="0" w:line="240" w:lineRule="auto"/>
        <w:ind w:firstLine="709"/>
        <w:jc w:val="both"/>
        <w:rPr>
          <w:rFonts w:ascii="Verdana" w:eastAsia="Times New Roman" w:hAnsi="Verdana" w:cs="Arial"/>
          <w:sz w:val="18"/>
          <w:szCs w:val="18"/>
        </w:rPr>
      </w:pPr>
      <w:r w:rsidRPr="00FE755D">
        <w:rPr>
          <w:rFonts w:ascii="Verdana" w:eastAsia="Times New Roman" w:hAnsi="Verdana" w:cs="Arial"/>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E755D">
        <w:rPr>
          <w:rFonts w:ascii="Verdana" w:eastAsia="Calibri" w:hAnsi="Verdana" w:cs="Arial"/>
          <w:bCs/>
          <w:color w:val="000000"/>
          <w:sz w:val="18"/>
          <w:szCs w:val="18"/>
        </w:rPr>
        <w:t>”</w:t>
      </w:r>
      <w:r w:rsidRPr="00FE755D">
        <w:rPr>
          <w:rFonts w:ascii="Verdana" w:eastAsia="Times New Roman" w:hAnsi="Verdana" w:cs="Arial"/>
          <w:sz w:val="18"/>
          <w:szCs w:val="18"/>
        </w:rPr>
        <w:t>.</w:t>
      </w:r>
    </w:p>
  </w:footnote>
  <w:footnote w:id="8">
    <w:p w14:paraId="7E0187AE" w14:textId="77777777" w:rsidR="00A95D08" w:rsidRPr="00FE755D" w:rsidRDefault="00A95D08" w:rsidP="00A95D08">
      <w:pPr>
        <w:pStyle w:val="NormalWeb"/>
        <w:spacing w:before="0" w:beforeAutospacing="0" w:after="0" w:afterAutospacing="0"/>
        <w:ind w:firstLine="709"/>
        <w:rPr>
          <w:rFonts w:ascii="Verdana" w:hAnsi="Verdana" w:cs="Arial"/>
          <w:sz w:val="18"/>
          <w:szCs w:val="18"/>
        </w:rPr>
      </w:pPr>
    </w:p>
    <w:p w14:paraId="1BBF2263" w14:textId="77777777" w:rsidR="00A95D08" w:rsidRPr="00FE755D" w:rsidRDefault="00A95D08" w:rsidP="00A95D08">
      <w:pPr>
        <w:pStyle w:val="NormalWeb"/>
        <w:spacing w:before="0" w:beforeAutospacing="0" w:after="0" w:afterAutospacing="0"/>
        <w:ind w:firstLine="709"/>
        <w:rPr>
          <w:rFonts w:ascii="Verdana" w:hAnsi="Verdana" w:cs="Arial"/>
          <w:sz w:val="18"/>
          <w:szCs w:val="18"/>
          <w:lang w:val="es-MX"/>
        </w:rPr>
      </w:pPr>
      <w:r w:rsidRPr="00FE755D">
        <w:rPr>
          <w:rStyle w:val="Refdenotaalpie"/>
          <w:rFonts w:ascii="Verdana" w:eastAsiaTheme="majorEastAsia" w:hAnsi="Verdana" w:cs="Arial"/>
          <w:sz w:val="18"/>
          <w:szCs w:val="18"/>
        </w:rPr>
        <w:footnoteRef/>
      </w:r>
      <w:r w:rsidRPr="00FE755D">
        <w:rPr>
          <w:rFonts w:ascii="Verdana" w:hAnsi="Verdana" w:cs="Arial"/>
          <w:sz w:val="18"/>
          <w:szCs w:val="18"/>
        </w:rPr>
        <w:t xml:space="preserve"> </w:t>
      </w:r>
      <w:bookmarkStart w:id="4" w:name="38"/>
      <w:r w:rsidRPr="00FE755D">
        <w:rPr>
          <w:rFonts w:ascii="Verdana" w:eastAsia="Calibri" w:hAnsi="Verdana" w:cs="Arial"/>
          <w:bCs/>
          <w:color w:val="000000"/>
          <w:sz w:val="18"/>
          <w:szCs w:val="18"/>
        </w:rPr>
        <w:t>“</w:t>
      </w:r>
      <w:r w:rsidRPr="00FE755D">
        <w:rPr>
          <w:rFonts w:ascii="Verdana" w:hAnsi="Verdana" w:cs="Arial"/>
          <w:sz w:val="18"/>
          <w:szCs w:val="18"/>
          <w:lang w:val="es-MX"/>
        </w:rPr>
        <w:t>Artículo 38. Prohibiciones para los servidores públicos. A los empleados del Estado les está prohibido:</w:t>
      </w:r>
      <w:bookmarkEnd w:id="4"/>
    </w:p>
    <w:p w14:paraId="0E96FEDE" w14:textId="77777777" w:rsidR="00A95D08" w:rsidRPr="00FE755D" w:rsidRDefault="00A95D08" w:rsidP="00A95D08">
      <w:pPr>
        <w:pStyle w:val="NormalWeb"/>
        <w:spacing w:before="0" w:beforeAutospacing="0" w:after="0" w:afterAutospacing="0"/>
        <w:ind w:firstLine="709"/>
        <w:rPr>
          <w:rFonts w:ascii="Verdana" w:hAnsi="Verdana" w:cs="Arial"/>
          <w:sz w:val="18"/>
          <w:szCs w:val="18"/>
          <w:lang w:val="es-MX"/>
        </w:rPr>
      </w:pPr>
      <w:r w:rsidRPr="00FE755D">
        <w:rPr>
          <w:rFonts w:ascii="Verdana" w:hAnsi="Verdana" w:cs="Arial"/>
          <w:sz w:val="18"/>
          <w:szCs w:val="18"/>
          <w:lang w:val="es-MX"/>
        </w:rPr>
        <w:t>[…]</w:t>
      </w:r>
    </w:p>
    <w:p w14:paraId="51BC4863" w14:textId="77777777" w:rsidR="00A95D08" w:rsidRPr="00FE755D" w:rsidRDefault="00A95D08" w:rsidP="00A95D08">
      <w:pPr>
        <w:pStyle w:val="NormalWeb"/>
        <w:spacing w:before="0" w:beforeAutospacing="0" w:after="0" w:afterAutospacing="0"/>
        <w:ind w:firstLine="709"/>
        <w:rPr>
          <w:rFonts w:ascii="Verdana" w:hAnsi="Verdana" w:cs="Arial"/>
          <w:sz w:val="18"/>
          <w:szCs w:val="18"/>
          <w:lang w:val="es-MX"/>
        </w:rPr>
      </w:pPr>
      <w:r w:rsidRPr="00FE755D">
        <w:rPr>
          <w:rStyle w:val="baj"/>
          <w:rFonts w:ascii="Verdana" w:hAnsi="Verdana" w:cs="Arial"/>
          <w:sz w:val="18"/>
          <w:szCs w:val="18"/>
          <w:lang w:val="es-MX"/>
        </w:rPr>
        <w:t>Parágrafo.</w:t>
      </w:r>
      <w:r w:rsidRPr="00FE755D">
        <w:rPr>
          <w:rFonts w:ascii="Verdana" w:hAnsi="Verdana"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E755D">
        <w:rPr>
          <w:rFonts w:ascii="Verdana" w:eastAsia="Calibri" w:hAnsi="Verdana" w:cs="Arial"/>
          <w:bCs/>
          <w:color w:val="000000"/>
          <w:sz w:val="18"/>
          <w:szCs w:val="18"/>
        </w:rPr>
        <w:t>”</w:t>
      </w:r>
      <w:r w:rsidRPr="00FE755D">
        <w:rPr>
          <w:rFonts w:ascii="Verdana" w:hAnsi="Verdana" w:cs="Arial"/>
          <w:sz w:val="18"/>
          <w:szCs w:val="18"/>
          <w:lang w:val="es-MX"/>
        </w:rPr>
        <w:t>.</w:t>
      </w:r>
    </w:p>
  </w:footnote>
  <w:footnote w:id="9">
    <w:p w14:paraId="3F31F194" w14:textId="77777777" w:rsidR="00A95D08" w:rsidRPr="00FE755D" w:rsidRDefault="00A95D08" w:rsidP="00A95D08">
      <w:pPr>
        <w:spacing w:after="0" w:line="240" w:lineRule="auto"/>
        <w:ind w:firstLine="709"/>
        <w:jc w:val="both"/>
        <w:rPr>
          <w:rFonts w:ascii="Verdana" w:hAnsi="Verdana" w:cs="Arial"/>
          <w:sz w:val="18"/>
          <w:szCs w:val="18"/>
        </w:rPr>
      </w:pPr>
    </w:p>
    <w:p w14:paraId="7A0D9F04" w14:textId="77777777" w:rsidR="00A95D08" w:rsidRPr="00FE755D" w:rsidRDefault="00A95D08" w:rsidP="00A95D08">
      <w:pPr>
        <w:spacing w:after="0" w:line="240" w:lineRule="auto"/>
        <w:ind w:firstLine="709"/>
        <w:jc w:val="both"/>
        <w:rPr>
          <w:rFonts w:ascii="Verdana" w:hAnsi="Verdana" w:cs="Arial"/>
          <w:sz w:val="18"/>
          <w:szCs w:val="18"/>
          <w:lang w:val="es-ES"/>
        </w:rPr>
      </w:pPr>
      <w:r w:rsidRPr="00FE755D">
        <w:rPr>
          <w:rStyle w:val="Refdenotaalpie"/>
          <w:rFonts w:ascii="Verdana" w:hAnsi="Verdana" w:cs="Arial"/>
          <w:sz w:val="18"/>
          <w:szCs w:val="18"/>
        </w:rPr>
        <w:footnoteRef/>
      </w:r>
      <w:r w:rsidRPr="00FE755D">
        <w:rPr>
          <w:rFonts w:ascii="Verdana" w:hAnsi="Verdana" w:cs="Arial"/>
          <w:sz w:val="18"/>
          <w:szCs w:val="18"/>
        </w:rPr>
        <w:t xml:space="preserve"> Consejo de Estado. Sala de Consulta y Servicio Civil. Concepto del 17 de febrero de 2015. C.P. William Zambrano Cetina. Radicación No. 11001-03-06-000-2015-00164-00(2269).</w:t>
      </w:r>
    </w:p>
  </w:footnote>
  <w:footnote w:id="10">
    <w:p w14:paraId="779A5E00" w14:textId="77777777" w:rsidR="00A95D08" w:rsidRPr="008302D6" w:rsidRDefault="00A95D08" w:rsidP="00A95D08">
      <w:pPr>
        <w:pStyle w:val="Textonotapie"/>
        <w:ind w:right="51" w:firstLine="709"/>
        <w:jc w:val="both"/>
        <w:rPr>
          <w:rFonts w:ascii="Verdana" w:hAnsi="Verdana" w:cs="Arial"/>
          <w:sz w:val="16"/>
          <w:szCs w:val="16"/>
        </w:rPr>
      </w:pPr>
      <w:r w:rsidRPr="008302D6">
        <w:rPr>
          <w:rStyle w:val="Refdenotaalpie"/>
          <w:rFonts w:ascii="Verdana" w:hAnsi="Verdana" w:cs="Arial"/>
          <w:sz w:val="16"/>
          <w:szCs w:val="16"/>
        </w:rPr>
        <w:footnoteRef/>
      </w:r>
      <w:r w:rsidRPr="008302D6">
        <w:rPr>
          <w:rFonts w:ascii="Verdana" w:hAnsi="Verdana" w:cs="Arial"/>
          <w:sz w:val="16"/>
          <w:szCs w:val="16"/>
        </w:rPr>
        <w:t xml:space="preserve"> “</w:t>
      </w:r>
      <w:r w:rsidRPr="008302D6">
        <w:rPr>
          <w:rFonts w:ascii="Verdana" w:hAnsi="Verdana" w:cs="Arial"/>
          <w:sz w:val="16"/>
          <w:szCs w:val="16"/>
          <w:lang w:val="es-ES"/>
        </w:rPr>
        <w:t xml:space="preserve">[25] </w:t>
      </w:r>
      <w:r w:rsidRPr="008302D6">
        <w:rPr>
          <w:rFonts w:ascii="Verdana" w:hAnsi="Verdana" w:cs="Arial"/>
          <w:sz w:val="16"/>
          <w:szCs w:val="16"/>
        </w:rPr>
        <w:t>Cfr. Consejo de Estado. Sección Tercera. Sentencia de 3 de diciembre de 2007. Radicados: 24.715, 25.206, 25.409, 24.524, 27.834, 25.410, 26.105, 28.244, 31.447 -acumulados-“.</w:t>
      </w:r>
    </w:p>
  </w:footnote>
  <w:footnote w:id="11">
    <w:p w14:paraId="78152872" w14:textId="77777777" w:rsidR="00A95D08" w:rsidRPr="008302D6" w:rsidRDefault="00A95D08" w:rsidP="00A95D08">
      <w:pPr>
        <w:pStyle w:val="Textonotapie"/>
        <w:ind w:right="51" w:firstLine="709"/>
        <w:jc w:val="both"/>
        <w:rPr>
          <w:rFonts w:ascii="Verdana" w:hAnsi="Verdana" w:cs="Arial"/>
          <w:sz w:val="16"/>
          <w:szCs w:val="16"/>
        </w:rPr>
      </w:pPr>
      <w:r w:rsidRPr="008302D6">
        <w:rPr>
          <w:rStyle w:val="Refdenotaalpie"/>
          <w:rFonts w:ascii="Verdana" w:hAnsi="Verdana" w:cs="Arial"/>
          <w:sz w:val="16"/>
          <w:szCs w:val="16"/>
        </w:rPr>
        <w:footnoteRef/>
      </w:r>
      <w:r w:rsidRPr="008302D6">
        <w:rPr>
          <w:rFonts w:ascii="Verdana" w:hAnsi="Verdana" w:cs="Arial"/>
          <w:sz w:val="16"/>
          <w:szCs w:val="16"/>
        </w:rPr>
        <w:t xml:space="preserve"> “</w:t>
      </w:r>
      <w:r w:rsidRPr="008302D6">
        <w:rPr>
          <w:rFonts w:ascii="Verdana" w:hAnsi="Verdana" w:cs="Arial"/>
          <w:sz w:val="16"/>
          <w:szCs w:val="16"/>
          <w:lang w:val="es-ES"/>
        </w:rPr>
        <w:t xml:space="preserve">[26] </w:t>
      </w:r>
      <w:r w:rsidRPr="008302D6">
        <w:rPr>
          <w:rFonts w:ascii="Verdana" w:hAnsi="Verdana" w:cs="Arial"/>
          <w:sz w:val="16"/>
          <w:szCs w:val="16"/>
        </w:rPr>
        <w:t>Al respecto ver el concepto 1712 de 2 de febrero de 2006. Consejo de Estado Sala de Consulta y Servicio Civil”.</w:t>
      </w:r>
    </w:p>
    <w:p w14:paraId="5EBDA6C2" w14:textId="77777777" w:rsidR="00A95D08" w:rsidRPr="008302D6" w:rsidRDefault="00A95D08" w:rsidP="00A95D08">
      <w:pPr>
        <w:pStyle w:val="Textonotapie"/>
        <w:ind w:right="51" w:firstLine="709"/>
        <w:jc w:val="both"/>
        <w:rPr>
          <w:rFonts w:ascii="Verdana" w:hAnsi="Verdana" w:cs="Arial"/>
          <w:sz w:val="16"/>
          <w:szCs w:val="16"/>
        </w:rPr>
      </w:pPr>
    </w:p>
  </w:footnote>
  <w:footnote w:id="12">
    <w:p w14:paraId="2CB3385E" w14:textId="77777777" w:rsidR="00A95D08" w:rsidRPr="008302D6" w:rsidRDefault="00A95D08" w:rsidP="00A95D08">
      <w:pPr>
        <w:pStyle w:val="Textonotapie"/>
        <w:ind w:firstLine="709"/>
        <w:jc w:val="both"/>
        <w:rPr>
          <w:rFonts w:ascii="Verdana" w:hAnsi="Verdana" w:cs="Arial"/>
          <w:sz w:val="16"/>
          <w:szCs w:val="16"/>
        </w:rPr>
      </w:pPr>
      <w:r w:rsidRPr="008302D6">
        <w:rPr>
          <w:rStyle w:val="Refdenotaalpie"/>
          <w:rFonts w:ascii="Verdana" w:hAnsi="Verdana" w:cs="Arial"/>
          <w:sz w:val="16"/>
          <w:szCs w:val="16"/>
        </w:rPr>
        <w:footnoteRef/>
      </w:r>
      <w:r w:rsidRPr="008302D6">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72864A75" w14:textId="77777777" w:rsidR="00A95D08" w:rsidRPr="008302D6" w:rsidRDefault="00A95D08" w:rsidP="00A95D08">
      <w:pPr>
        <w:pStyle w:val="Textonotapie"/>
        <w:ind w:firstLine="709"/>
        <w:jc w:val="both"/>
        <w:rPr>
          <w:rFonts w:ascii="Verdana" w:hAnsi="Verdana" w:cs="Arial"/>
          <w:sz w:val="16"/>
          <w:szCs w:val="16"/>
        </w:rPr>
      </w:pPr>
    </w:p>
  </w:footnote>
  <w:footnote w:id="13">
    <w:p w14:paraId="24E36251" w14:textId="77777777" w:rsidR="00A95D08" w:rsidRPr="008302D6" w:rsidRDefault="00A95D08" w:rsidP="00A95D08">
      <w:pPr>
        <w:pStyle w:val="Textonotapie"/>
        <w:ind w:firstLine="709"/>
        <w:jc w:val="both"/>
        <w:rPr>
          <w:rFonts w:ascii="Verdana" w:hAnsi="Verdana" w:cs="Arial"/>
          <w:sz w:val="16"/>
          <w:szCs w:val="16"/>
          <w:lang w:val="es-ES"/>
        </w:rPr>
      </w:pPr>
      <w:r w:rsidRPr="008302D6">
        <w:rPr>
          <w:rStyle w:val="Refdenotaalpie"/>
          <w:rFonts w:ascii="Verdana" w:hAnsi="Verdana" w:cs="Arial"/>
          <w:sz w:val="16"/>
          <w:szCs w:val="16"/>
        </w:rPr>
        <w:footnoteRef/>
      </w:r>
      <w:r w:rsidRPr="008302D6">
        <w:rPr>
          <w:rFonts w:ascii="Verdana" w:hAnsi="Verdana" w:cs="Arial"/>
          <w:sz w:val="16"/>
          <w:szCs w:val="16"/>
        </w:rPr>
        <w:t xml:space="preserve"> </w:t>
      </w:r>
      <w:r w:rsidRPr="008302D6">
        <w:rPr>
          <w:rFonts w:ascii="Verdana" w:hAnsi="Verdana" w:cs="Arial"/>
          <w:sz w:val="16"/>
          <w:szCs w:val="16"/>
          <w:lang w:val="es-ES"/>
        </w:rPr>
        <w:t xml:space="preserve">Artículo 2. </w:t>
      </w:r>
    </w:p>
    <w:p w14:paraId="423F81FC" w14:textId="77777777" w:rsidR="00A95D08" w:rsidRPr="008302D6" w:rsidRDefault="00A95D08" w:rsidP="00A95D08">
      <w:pPr>
        <w:pStyle w:val="Textonotapie"/>
        <w:ind w:firstLine="709"/>
        <w:jc w:val="both"/>
        <w:rPr>
          <w:rFonts w:ascii="Verdana" w:hAnsi="Verdana" w:cs="Arial"/>
          <w:sz w:val="16"/>
          <w:szCs w:val="16"/>
          <w:lang w:val="es-ES"/>
        </w:rPr>
      </w:pPr>
    </w:p>
  </w:footnote>
  <w:footnote w:id="14">
    <w:p w14:paraId="196A821B" w14:textId="77777777" w:rsidR="00A95D08" w:rsidRPr="008302D6" w:rsidRDefault="00A95D08" w:rsidP="00A95D08">
      <w:pPr>
        <w:pStyle w:val="Textonotapie"/>
        <w:ind w:firstLine="709"/>
        <w:jc w:val="both"/>
        <w:rPr>
          <w:rFonts w:ascii="Verdana" w:hAnsi="Verdana" w:cs="Arial"/>
          <w:sz w:val="16"/>
          <w:szCs w:val="16"/>
          <w:lang w:val="es-ES"/>
        </w:rPr>
      </w:pPr>
      <w:r w:rsidRPr="008302D6">
        <w:rPr>
          <w:rStyle w:val="Refdenotaalpie"/>
          <w:rFonts w:ascii="Verdana" w:hAnsi="Verdana" w:cs="Arial"/>
          <w:sz w:val="16"/>
          <w:szCs w:val="16"/>
        </w:rPr>
        <w:footnoteRef/>
      </w:r>
      <w:r w:rsidRPr="008302D6">
        <w:rPr>
          <w:rFonts w:ascii="Verdana" w:hAnsi="Verdana" w:cs="Arial"/>
          <w:sz w:val="16"/>
          <w:szCs w:val="16"/>
        </w:rPr>
        <w:t xml:space="preserve"> </w:t>
      </w:r>
      <w:r w:rsidRPr="008302D6">
        <w:rPr>
          <w:rFonts w:ascii="Verdana" w:hAnsi="Verdana" w:cs="Arial"/>
          <w:i/>
          <w:sz w:val="16"/>
          <w:szCs w:val="16"/>
          <w:lang w:val="es-ES"/>
        </w:rPr>
        <w:t>Ídem</w:t>
      </w:r>
      <w:r w:rsidRPr="008302D6">
        <w:rPr>
          <w:rFonts w:ascii="Verdana" w:hAnsi="Verdana" w:cs="Arial"/>
          <w:sz w:val="16"/>
          <w:szCs w:val="16"/>
          <w:lang w:val="es-ES"/>
        </w:rPr>
        <w:t>.</w:t>
      </w:r>
    </w:p>
  </w:footnote>
  <w:footnote w:id="15">
    <w:p w14:paraId="260E0C51" w14:textId="77777777" w:rsidR="00A95D08" w:rsidRPr="008302D6" w:rsidRDefault="00A95D08" w:rsidP="00A95D08">
      <w:pPr>
        <w:pStyle w:val="Textonotapie"/>
        <w:ind w:firstLine="709"/>
        <w:jc w:val="both"/>
        <w:rPr>
          <w:rFonts w:ascii="Verdana" w:hAnsi="Verdana" w:cs="Arial"/>
          <w:sz w:val="16"/>
          <w:szCs w:val="16"/>
          <w:lang w:val="es-ES"/>
        </w:rPr>
      </w:pPr>
      <w:r w:rsidRPr="008302D6">
        <w:rPr>
          <w:rStyle w:val="Refdenotaalpie"/>
          <w:rFonts w:ascii="Verdana" w:hAnsi="Verdana" w:cs="Arial"/>
          <w:sz w:val="16"/>
          <w:szCs w:val="16"/>
        </w:rPr>
        <w:footnoteRef/>
      </w:r>
      <w:r w:rsidRPr="008302D6">
        <w:rPr>
          <w:rStyle w:val="Refdenotaalpie"/>
          <w:rFonts w:ascii="Verdana" w:hAnsi="Verdana" w:cs="Arial"/>
          <w:sz w:val="16"/>
          <w:szCs w:val="16"/>
        </w:rPr>
        <w:t xml:space="preserve"> </w:t>
      </w:r>
      <w:r w:rsidRPr="008302D6">
        <w:rPr>
          <w:rFonts w:ascii="Verdana" w:hAnsi="Verdana" w:cs="Arial"/>
          <w:sz w:val="16"/>
          <w:szCs w:val="16"/>
          <w:lang w:val="es-ES"/>
        </w:rPr>
        <w:t xml:space="preserve">“[…] A este respecto, cabe recordar que el artículo 860 del Código de Comercio regula la licitación en el derecho privado”. </w:t>
      </w:r>
    </w:p>
    <w:p w14:paraId="03FB5659" w14:textId="77777777" w:rsidR="00A95D08" w:rsidRPr="008302D6" w:rsidRDefault="00A95D08" w:rsidP="00A95D08">
      <w:pPr>
        <w:pStyle w:val="Textonotapie"/>
        <w:ind w:firstLine="709"/>
        <w:jc w:val="both"/>
        <w:rPr>
          <w:rFonts w:ascii="Verdana" w:hAnsi="Verdana" w:cs="Arial"/>
          <w:sz w:val="16"/>
          <w:szCs w:val="16"/>
          <w:lang w:val="es-ES"/>
        </w:rPr>
      </w:pPr>
    </w:p>
  </w:footnote>
  <w:footnote w:id="16">
    <w:p w14:paraId="5C2C3C6B" w14:textId="77777777" w:rsidR="00A95D08" w:rsidRPr="008302D6" w:rsidRDefault="00A95D08" w:rsidP="00A95D08">
      <w:pPr>
        <w:shd w:val="clear" w:color="auto" w:fill="FFFFFF" w:themeFill="background1"/>
        <w:spacing w:after="0" w:line="240" w:lineRule="auto"/>
        <w:ind w:firstLine="709"/>
        <w:jc w:val="both"/>
        <w:rPr>
          <w:rFonts w:ascii="Verdana" w:hAnsi="Verdana" w:cs="Arial"/>
          <w:sz w:val="16"/>
          <w:szCs w:val="16"/>
          <w:lang w:val="es-ES"/>
        </w:rPr>
      </w:pPr>
      <w:r w:rsidRPr="008302D6">
        <w:rPr>
          <w:rStyle w:val="Refdenotaalpie"/>
          <w:rFonts w:ascii="Verdana" w:hAnsi="Verdana" w:cs="Arial"/>
          <w:sz w:val="16"/>
          <w:szCs w:val="16"/>
        </w:rPr>
        <w:footnoteRef/>
      </w:r>
      <w:r w:rsidRPr="008302D6">
        <w:rPr>
          <w:rStyle w:val="Refdenotaalpie"/>
          <w:rFonts w:ascii="Verdana" w:hAnsi="Verdana" w:cs="Arial"/>
          <w:sz w:val="16"/>
          <w:szCs w:val="16"/>
        </w:rPr>
        <w:t xml:space="preserve"> </w:t>
      </w:r>
      <w:r w:rsidRPr="008302D6">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2816B588" w14:textId="77777777" w:rsidR="00A95D08" w:rsidRPr="008302D6" w:rsidRDefault="00A95D08" w:rsidP="00A95D08">
      <w:pPr>
        <w:pStyle w:val="Textonotapie"/>
        <w:ind w:firstLine="709"/>
        <w:jc w:val="both"/>
        <w:rPr>
          <w:rFonts w:ascii="Verdana" w:hAnsi="Verdana" w:cs="Arial"/>
          <w:sz w:val="16"/>
          <w:szCs w:val="16"/>
        </w:rPr>
      </w:pPr>
      <w:r w:rsidRPr="008302D6">
        <w:rPr>
          <w:rStyle w:val="Refdenotaalpie"/>
          <w:rFonts w:ascii="Verdana" w:hAnsi="Verdana" w:cs="Arial"/>
          <w:sz w:val="16"/>
          <w:szCs w:val="16"/>
        </w:rPr>
        <w:footnoteRef/>
      </w:r>
      <w:r w:rsidRPr="008302D6">
        <w:rPr>
          <w:rFonts w:ascii="Verdana" w:hAnsi="Verdana" w:cs="Arial"/>
          <w:sz w:val="16"/>
          <w:szCs w:val="16"/>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0A7"/>
    <w:rsid w:val="00016F78"/>
    <w:rsid w:val="00046945"/>
    <w:rsid w:val="00061B2A"/>
    <w:rsid w:val="00082362"/>
    <w:rsid w:val="000A683E"/>
    <w:rsid w:val="000B19B9"/>
    <w:rsid w:val="000D0334"/>
    <w:rsid w:val="000D64DB"/>
    <w:rsid w:val="000E1020"/>
    <w:rsid w:val="000F6486"/>
    <w:rsid w:val="00125105"/>
    <w:rsid w:val="00127233"/>
    <w:rsid w:val="001511A0"/>
    <w:rsid w:val="001E4177"/>
    <w:rsid w:val="001F607D"/>
    <w:rsid w:val="001F7DC6"/>
    <w:rsid w:val="002421BB"/>
    <w:rsid w:val="0025796E"/>
    <w:rsid w:val="002707A2"/>
    <w:rsid w:val="002951A0"/>
    <w:rsid w:val="002962BC"/>
    <w:rsid w:val="002A093D"/>
    <w:rsid w:val="002A0DD0"/>
    <w:rsid w:val="002A49AC"/>
    <w:rsid w:val="002A64FD"/>
    <w:rsid w:val="002C7A84"/>
    <w:rsid w:val="002E4FD9"/>
    <w:rsid w:val="00320614"/>
    <w:rsid w:val="00322A85"/>
    <w:rsid w:val="00324168"/>
    <w:rsid w:val="003448F4"/>
    <w:rsid w:val="00374F5E"/>
    <w:rsid w:val="00377E3E"/>
    <w:rsid w:val="0039156D"/>
    <w:rsid w:val="003A779E"/>
    <w:rsid w:val="003D0F4D"/>
    <w:rsid w:val="003D5B0D"/>
    <w:rsid w:val="003E0499"/>
    <w:rsid w:val="003F3941"/>
    <w:rsid w:val="00406575"/>
    <w:rsid w:val="00414C74"/>
    <w:rsid w:val="0042722E"/>
    <w:rsid w:val="0044528D"/>
    <w:rsid w:val="004936BD"/>
    <w:rsid w:val="004A1847"/>
    <w:rsid w:val="004A305D"/>
    <w:rsid w:val="004F21C4"/>
    <w:rsid w:val="004F685F"/>
    <w:rsid w:val="00512C65"/>
    <w:rsid w:val="005566E8"/>
    <w:rsid w:val="00574867"/>
    <w:rsid w:val="00591460"/>
    <w:rsid w:val="005A18CA"/>
    <w:rsid w:val="005B3816"/>
    <w:rsid w:val="005C3777"/>
    <w:rsid w:val="005C5CDC"/>
    <w:rsid w:val="005D20DD"/>
    <w:rsid w:val="005D476C"/>
    <w:rsid w:val="00603617"/>
    <w:rsid w:val="00616E55"/>
    <w:rsid w:val="006219F8"/>
    <w:rsid w:val="00665D70"/>
    <w:rsid w:val="00671F28"/>
    <w:rsid w:val="006900D9"/>
    <w:rsid w:val="00692A8B"/>
    <w:rsid w:val="00706C16"/>
    <w:rsid w:val="00756841"/>
    <w:rsid w:val="007649AB"/>
    <w:rsid w:val="00771D0C"/>
    <w:rsid w:val="007833AC"/>
    <w:rsid w:val="007B268C"/>
    <w:rsid w:val="007B7171"/>
    <w:rsid w:val="007C0C0F"/>
    <w:rsid w:val="007C3DC2"/>
    <w:rsid w:val="007E5497"/>
    <w:rsid w:val="00806F5F"/>
    <w:rsid w:val="00820278"/>
    <w:rsid w:val="008539BF"/>
    <w:rsid w:val="00867F95"/>
    <w:rsid w:val="008843B6"/>
    <w:rsid w:val="00891928"/>
    <w:rsid w:val="008A446D"/>
    <w:rsid w:val="008C2A36"/>
    <w:rsid w:val="008D180B"/>
    <w:rsid w:val="008F0EA7"/>
    <w:rsid w:val="009224D1"/>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552EB"/>
    <w:rsid w:val="00A62350"/>
    <w:rsid w:val="00A87D1C"/>
    <w:rsid w:val="00A95D08"/>
    <w:rsid w:val="00AB0ADB"/>
    <w:rsid w:val="00B01B1A"/>
    <w:rsid w:val="00B66319"/>
    <w:rsid w:val="00B72CD3"/>
    <w:rsid w:val="00B72FFF"/>
    <w:rsid w:val="00BC3D36"/>
    <w:rsid w:val="00BD7F72"/>
    <w:rsid w:val="00C04FB3"/>
    <w:rsid w:val="00C330EB"/>
    <w:rsid w:val="00C41061"/>
    <w:rsid w:val="00C455FF"/>
    <w:rsid w:val="00C754BE"/>
    <w:rsid w:val="00C76B1C"/>
    <w:rsid w:val="00C83BB8"/>
    <w:rsid w:val="00CB6357"/>
    <w:rsid w:val="00CC1B26"/>
    <w:rsid w:val="00D20C65"/>
    <w:rsid w:val="00D21709"/>
    <w:rsid w:val="00D423A2"/>
    <w:rsid w:val="00D520D8"/>
    <w:rsid w:val="00D63AC2"/>
    <w:rsid w:val="00D64AB2"/>
    <w:rsid w:val="00D7383B"/>
    <w:rsid w:val="00DA231B"/>
    <w:rsid w:val="00DC39FC"/>
    <w:rsid w:val="00DF5254"/>
    <w:rsid w:val="00E16408"/>
    <w:rsid w:val="00E20894"/>
    <w:rsid w:val="00E245AB"/>
    <w:rsid w:val="00E2764C"/>
    <w:rsid w:val="00E27F2E"/>
    <w:rsid w:val="00E50AFE"/>
    <w:rsid w:val="00E75C92"/>
    <w:rsid w:val="00E75F10"/>
    <w:rsid w:val="00E771DC"/>
    <w:rsid w:val="00E8772A"/>
    <w:rsid w:val="00E90F6B"/>
    <w:rsid w:val="00E92C27"/>
    <w:rsid w:val="00EA0E3D"/>
    <w:rsid w:val="00EC38A7"/>
    <w:rsid w:val="00ED7384"/>
    <w:rsid w:val="00EE0977"/>
    <w:rsid w:val="00EE1AA8"/>
    <w:rsid w:val="00EF7396"/>
    <w:rsid w:val="00F31EDC"/>
    <w:rsid w:val="00F462B3"/>
    <w:rsid w:val="00F5664F"/>
    <w:rsid w:val="00F666C4"/>
    <w:rsid w:val="00F76AFC"/>
    <w:rsid w:val="00FA47C0"/>
    <w:rsid w:val="00FB1926"/>
    <w:rsid w:val="00FB5DD1"/>
    <w:rsid w:val="00FC2B5D"/>
    <w:rsid w:val="00FD5A36"/>
    <w:rsid w:val="00FF0910"/>
    <w:rsid w:val="00FF1449"/>
    <w:rsid w:val="094FF46E"/>
    <w:rsid w:val="165E9519"/>
    <w:rsid w:val="32DC2C46"/>
    <w:rsid w:val="32F9DBCD"/>
    <w:rsid w:val="382536D9"/>
    <w:rsid w:val="3E49CC11"/>
    <w:rsid w:val="43E45B6E"/>
    <w:rsid w:val="44C7EE7E"/>
    <w:rsid w:val="4ADBF702"/>
    <w:rsid w:val="617AE54A"/>
    <w:rsid w:val="61B8D0CD"/>
    <w:rsid w:val="6905443B"/>
    <w:rsid w:val="6ADDB927"/>
    <w:rsid w:val="6B4B3BA5"/>
    <w:rsid w:val="6B78403D"/>
    <w:rsid w:val="6EFDAB80"/>
    <w:rsid w:val="789BBF88"/>
    <w:rsid w:val="7A8FABAF"/>
    <w:rsid w:val="7B6AA7A6"/>
    <w:rsid w:val="7C183931"/>
    <w:rsid w:val="7DD8E0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95D08"/>
    <w:pPr>
      <w:spacing w:line="240" w:lineRule="exact"/>
    </w:pPr>
    <w:rPr>
      <w:vertAlign w:val="superscript"/>
    </w:rPr>
  </w:style>
  <w:style w:type="paragraph" w:customStyle="1" w:styleId="TableParagraph">
    <w:name w:val="Table Paragraph"/>
    <w:basedOn w:val="Normal"/>
    <w:uiPriority w:val="1"/>
    <w:qFormat/>
    <w:rsid w:val="00A95D08"/>
    <w:pPr>
      <w:widowControl w:val="0"/>
      <w:autoSpaceDE w:val="0"/>
      <w:autoSpaceDN w:val="0"/>
      <w:spacing w:after="0" w:line="208" w:lineRule="exact"/>
      <w:ind w:left="119"/>
    </w:pPr>
    <w:rPr>
      <w:rFonts w:ascii="Calibri" w:eastAsia="Calibri" w:hAnsi="Calibri" w:cs="Calibri"/>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95D08"/>
    <w:rPr>
      <w:rFonts w:ascii="Geomanist Light" w:hAnsi="Geomanist Light"/>
      <w:lang w:val="es-ES"/>
    </w:rPr>
  </w:style>
  <w:style w:type="paragraph" w:customStyle="1" w:styleId="query-text-line">
    <w:name w:val="query-text-line"/>
    <w:basedOn w:val="Normal"/>
    <w:rsid w:val="00A95D0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locked/>
    <w:rsid w:val="00A95D08"/>
    <w:rPr>
      <w:rFonts w:ascii="Times New Roman" w:eastAsia="Times New Roman" w:hAnsi="Times New Roman" w:cs="Times New Roman"/>
      <w:sz w:val="24"/>
      <w:szCs w:val="24"/>
      <w:lang w:eastAsia="es-CO"/>
    </w:rPr>
  </w:style>
  <w:style w:type="character" w:customStyle="1" w:styleId="baj">
    <w:name w:val="b_aj"/>
    <w:basedOn w:val="Fuentedeprrafopredeter"/>
    <w:rsid w:val="00A95D08"/>
  </w:style>
  <w:style w:type="table" w:customStyle="1" w:styleId="TableNormal1">
    <w:name w:val="Table Normal1"/>
    <w:uiPriority w:val="2"/>
    <w:semiHidden/>
    <w:unhideWhenUsed/>
    <w:qFormat/>
    <w:rsid w:val="00A95D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32061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320614"/>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1A43F95-61BD-4A29-9FAA-6C94EF721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4474</Words>
  <Characters>24610</Characters>
  <Application>Microsoft Office Word</Application>
  <DocSecurity>0</DocSecurity>
  <Lines>205</Lines>
  <Paragraphs>58</Paragraphs>
  <ScaleCrop>false</ScaleCrop>
  <Company/>
  <LinksUpToDate>false</LinksUpToDate>
  <CharactersWithSpaces>29026</CharactersWithSpaces>
  <SharedDoc>false</SharedDoc>
  <HLinks>
    <vt:vector size="6" baseType="variant">
      <vt:variant>
        <vt:i4>1900622</vt:i4>
      </vt:variant>
      <vt:variant>
        <vt:i4>0</vt:i4>
      </vt:variant>
      <vt:variant>
        <vt:i4>0</vt:i4>
      </vt:variant>
      <vt:variant>
        <vt:i4>5</vt:i4>
      </vt:variant>
      <vt:variant>
        <vt:lpwstr>https://relatoria.colombiacompra.gov.co/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2025-08-20T18:41:00Z</dcterms:created>
  <dcterms:modified xsi:type="dcterms:W3CDTF">2025-08-20T18:41:00Z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