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0245C" w14:textId="77777777" w:rsidR="00180552" w:rsidRPr="00AF1555" w:rsidRDefault="00180552" w:rsidP="00180552">
      <w:pPr>
        <w:spacing w:after="0" w:line="240" w:lineRule="auto"/>
        <w:jc w:val="both"/>
        <w:rPr>
          <w:rFonts w:ascii="Verdana" w:eastAsia="Calibri" w:hAnsi="Verdana" w:cs="Arial"/>
          <w:b/>
          <w:color w:val="000000" w:themeColor="text1"/>
          <w:lang w:val="es-ES"/>
        </w:rPr>
      </w:pPr>
      <w:bookmarkStart w:id="0" w:name="_Hlk186494164"/>
      <w:r w:rsidRPr="00E95799">
        <w:rPr>
          <w:rFonts w:ascii="Verdana" w:eastAsia="Calibri" w:hAnsi="Verdana" w:cs="Arial"/>
          <w:b/>
          <w:color w:val="000000" w:themeColor="text1"/>
          <w:lang w:val="es-ES"/>
        </w:rPr>
        <w:t>LIQUIDACIÓN DEL CONTRATO – Definición – Objetivo</w:t>
      </w:r>
      <w:r w:rsidRPr="00AF1555">
        <w:rPr>
          <w:rFonts w:ascii="Verdana" w:eastAsia="Calibri" w:hAnsi="Verdana" w:cs="Arial"/>
          <w:b/>
          <w:color w:val="000000" w:themeColor="text1"/>
          <w:lang w:val="es-ES"/>
        </w:rPr>
        <w:t xml:space="preserve"> </w:t>
      </w:r>
    </w:p>
    <w:p w14:paraId="026FDB3B" w14:textId="77777777" w:rsidR="00180552" w:rsidRPr="00AF1555" w:rsidRDefault="00180552" w:rsidP="00180552">
      <w:pPr>
        <w:spacing w:after="0" w:line="240" w:lineRule="auto"/>
        <w:jc w:val="both"/>
        <w:rPr>
          <w:rFonts w:ascii="Verdana" w:eastAsia="Calibri" w:hAnsi="Verdana" w:cs="Arial"/>
          <w:bCs/>
          <w:color w:val="000000" w:themeColor="text1"/>
          <w:sz w:val="20"/>
          <w:szCs w:val="20"/>
          <w:lang w:val="es-ES"/>
        </w:rPr>
      </w:pPr>
    </w:p>
    <w:p w14:paraId="183A18F0" w14:textId="77777777" w:rsidR="00180552" w:rsidRPr="00AF1555" w:rsidRDefault="00180552" w:rsidP="00180552">
      <w:pPr>
        <w:spacing w:after="0" w:line="240" w:lineRule="auto"/>
        <w:jc w:val="both"/>
        <w:rPr>
          <w:rFonts w:ascii="Verdana" w:eastAsia="Calibri" w:hAnsi="Verdana" w:cs="Arial"/>
          <w:color w:val="000000" w:themeColor="text1"/>
          <w:sz w:val="20"/>
          <w:szCs w:val="20"/>
          <w:lang w:val="es-ES_tradnl"/>
        </w:rPr>
      </w:pPr>
      <w:r>
        <w:rPr>
          <w:rFonts w:ascii="Verdana" w:eastAsia="Calibri" w:hAnsi="Verdana" w:cs="Arial"/>
          <w:color w:val="000000" w:themeColor="text1"/>
          <w:sz w:val="20"/>
          <w:szCs w:val="20"/>
          <w:lang w:val="es-ES_tradnl" w:eastAsia="es-ES_tradnl"/>
        </w:rPr>
        <w:t>L</w:t>
      </w:r>
      <w:r w:rsidRPr="00E95799">
        <w:rPr>
          <w:rFonts w:ascii="Verdana" w:eastAsia="Calibri" w:hAnsi="Verdana" w:cs="Arial"/>
          <w:color w:val="000000" w:themeColor="text1"/>
          <w:sz w:val="20"/>
          <w:szCs w:val="20"/>
          <w:lang w:val="es-ES_tradnl" w:eastAsia="es-ES_tradnl"/>
        </w:rPr>
        <w:t>a liquidación es el ajuste de cuentas donde las partes hacen un balance económico, técnico y jurídico del cumplimiento de las obligaciones que tienen a su cargo. Así lo manifestó el Consejo de Estado en la sentencia del 20 de octubre de 2014, en la que consideró, por un lado, que liquidar supone un ajuste en relación con las cuentas y el estado de cumplimiento del contrato estatal y, por el otro, que la liquidación debe incluir el análisis de las condiciones de calidad y oportunidad en la entrega de los bienes, obras o servicios, así como el balance económico y el comportamiento financiero del negocio</w:t>
      </w:r>
      <w:r w:rsidRPr="00AF1555">
        <w:rPr>
          <w:rFonts w:ascii="Verdana" w:eastAsia="Calibri" w:hAnsi="Verdana" w:cs="Arial"/>
          <w:color w:val="000000" w:themeColor="text1"/>
          <w:sz w:val="20"/>
          <w:szCs w:val="20"/>
          <w:lang w:val="es-ES_tradnl"/>
        </w:rPr>
        <w:t>.</w:t>
      </w:r>
    </w:p>
    <w:p w14:paraId="07DB7301" w14:textId="77777777" w:rsidR="00180552" w:rsidRPr="00AF1555" w:rsidRDefault="00180552" w:rsidP="00180552">
      <w:pPr>
        <w:spacing w:after="0" w:line="240" w:lineRule="auto"/>
        <w:rPr>
          <w:rFonts w:ascii="Verdana" w:eastAsia="Geomanist Light" w:hAnsi="Verdana" w:cs="Arial"/>
          <w:color w:val="000000" w:themeColor="text1"/>
          <w:sz w:val="20"/>
          <w:szCs w:val="20"/>
          <w:lang w:val="es-ES_tradnl"/>
        </w:rPr>
      </w:pPr>
    </w:p>
    <w:p w14:paraId="08D7A03E" w14:textId="77777777" w:rsidR="00180552" w:rsidRPr="00AF1555" w:rsidRDefault="00180552" w:rsidP="00180552">
      <w:pPr>
        <w:spacing w:after="0" w:line="240" w:lineRule="auto"/>
        <w:jc w:val="both"/>
        <w:rPr>
          <w:rFonts w:ascii="Verdana" w:eastAsia="Calibri" w:hAnsi="Verdana" w:cs="Arial"/>
          <w:b/>
          <w:lang w:val="es-ES"/>
        </w:rPr>
      </w:pPr>
      <w:r w:rsidRPr="00E95799">
        <w:rPr>
          <w:rFonts w:ascii="Verdana" w:eastAsia="Calibri" w:hAnsi="Verdana" w:cs="Arial"/>
          <w:b/>
          <w:lang w:val="es-ES"/>
        </w:rPr>
        <w:t>LIQUIDACIÓN DEL CONTRATO – Normativa – Oportunidad</w:t>
      </w:r>
    </w:p>
    <w:p w14:paraId="532B2AD0" w14:textId="77777777" w:rsidR="00180552" w:rsidRPr="00AF1555" w:rsidRDefault="00180552" w:rsidP="00180552">
      <w:pPr>
        <w:spacing w:after="0" w:line="240" w:lineRule="auto"/>
        <w:jc w:val="both"/>
        <w:rPr>
          <w:rFonts w:ascii="Verdana" w:eastAsia="Calibri" w:hAnsi="Verdana" w:cs="Arial"/>
          <w:b/>
          <w:sz w:val="20"/>
          <w:szCs w:val="20"/>
          <w:lang w:val="es-ES"/>
        </w:rPr>
      </w:pPr>
    </w:p>
    <w:p w14:paraId="3A16418F" w14:textId="77777777" w:rsidR="00180552" w:rsidRPr="00E95799" w:rsidRDefault="00180552" w:rsidP="00180552">
      <w:pPr>
        <w:spacing w:after="0" w:line="240" w:lineRule="auto"/>
        <w:jc w:val="both"/>
        <w:rPr>
          <w:rFonts w:ascii="Verdana" w:eastAsia="Calibri" w:hAnsi="Verdana" w:cs="Arial"/>
          <w:bCs/>
          <w:sz w:val="20"/>
          <w:szCs w:val="20"/>
          <w:lang w:val="es-ES"/>
        </w:rPr>
      </w:pPr>
      <w:r w:rsidRPr="00E95799">
        <w:rPr>
          <w:rFonts w:ascii="Verdana" w:eastAsia="Calibri" w:hAnsi="Verdana" w:cs="Arial"/>
          <w:bCs/>
          <w:sz w:val="20"/>
          <w:szCs w:val="20"/>
          <w:lang w:val="es-ES"/>
        </w:rPr>
        <w:t xml:space="preserve">Las disposiciones legales que regulan la etapa de liquidación de los contratos estatales son el artículo 60 de la Ley 80 de 1993, modificado por el artículo 217 del Decreto 019 de 2012, y el artículo 11 de la Ley 1150 de 2007. El primero de estos artículos se refiere al alcance sustantivo de la liquidación y los contratos en que procede, mientras que el segundo contiene reglas procedimentales para su realización. </w:t>
      </w:r>
    </w:p>
    <w:p w14:paraId="02DDD62E" w14:textId="77777777" w:rsidR="00180552" w:rsidRDefault="00180552" w:rsidP="00180552">
      <w:pPr>
        <w:spacing w:after="0" w:line="240" w:lineRule="auto"/>
        <w:jc w:val="both"/>
        <w:rPr>
          <w:rFonts w:ascii="Verdana" w:eastAsia="Calibri" w:hAnsi="Verdana" w:cs="Arial"/>
          <w:bCs/>
          <w:sz w:val="20"/>
          <w:szCs w:val="20"/>
          <w:lang w:val="es-ES"/>
        </w:rPr>
      </w:pPr>
      <w:r>
        <w:rPr>
          <w:rFonts w:ascii="Verdana" w:eastAsia="Calibri" w:hAnsi="Verdana" w:cs="Arial"/>
          <w:bCs/>
          <w:sz w:val="20"/>
          <w:szCs w:val="20"/>
          <w:lang w:val="es-ES"/>
        </w:rPr>
        <w:t>[</w:t>
      </w:r>
      <w:r w:rsidRPr="00E95799">
        <w:rPr>
          <w:rFonts w:ascii="Verdana" w:eastAsia="Calibri" w:hAnsi="Verdana" w:cs="Arial"/>
          <w:bCs/>
          <w:sz w:val="20"/>
          <w:szCs w:val="20"/>
          <w:lang w:val="es-ES"/>
        </w:rPr>
        <w:t>…</w:t>
      </w:r>
      <w:r>
        <w:rPr>
          <w:rFonts w:ascii="Verdana" w:eastAsia="Calibri" w:hAnsi="Verdana" w:cs="Arial"/>
          <w:bCs/>
          <w:sz w:val="20"/>
          <w:szCs w:val="20"/>
          <w:lang w:val="es-ES"/>
        </w:rPr>
        <w:t>]</w:t>
      </w:r>
    </w:p>
    <w:p w14:paraId="136E6447" w14:textId="77777777" w:rsidR="00180552" w:rsidRPr="00E95799" w:rsidRDefault="00180552" w:rsidP="00180552">
      <w:pPr>
        <w:spacing w:after="0" w:line="240" w:lineRule="auto"/>
        <w:jc w:val="both"/>
        <w:rPr>
          <w:rFonts w:ascii="Verdana" w:eastAsia="Calibri" w:hAnsi="Verdana" w:cs="Arial"/>
          <w:bCs/>
          <w:sz w:val="20"/>
          <w:szCs w:val="20"/>
          <w:lang w:val="es-ES"/>
        </w:rPr>
      </w:pPr>
    </w:p>
    <w:p w14:paraId="0D09A8CD" w14:textId="77777777" w:rsidR="00180552" w:rsidRPr="00AF1555" w:rsidRDefault="00180552" w:rsidP="00180552">
      <w:pPr>
        <w:spacing w:after="0" w:line="240" w:lineRule="auto"/>
        <w:jc w:val="both"/>
        <w:rPr>
          <w:rFonts w:ascii="Verdana" w:eastAsia="Calibri" w:hAnsi="Verdana" w:cs="Arial"/>
          <w:color w:val="000000"/>
          <w:sz w:val="20"/>
          <w:szCs w:val="20"/>
          <w:lang w:val="es-ES_tradnl"/>
        </w:rPr>
      </w:pPr>
      <w:r w:rsidRPr="00E95799">
        <w:rPr>
          <w:rFonts w:ascii="Verdana" w:eastAsia="Calibri" w:hAnsi="Verdana" w:cs="Arial"/>
          <w:bCs/>
          <w:sz w:val="20"/>
          <w:szCs w:val="20"/>
          <w:lang w:val="es-ES"/>
        </w:rPr>
        <w:t>Por tanto, si se trata de un contrato en el cual no existe pacto sobre el término para la liquidación bilateral, el término supletivo aplicaría, y se podría liquidar el contrato dentro de los 4 meses siguientes a la terminación del contrato, de manera bilateral, dentro de los 2 meses siguientes a ellos de manera unilateral por la entidad, más un plazo de 2 años para la liquidación unilateral, bilateral o judicial: para un total de 2 años y 6 meses. Estos términos pueden verse modificados si las partes acuerdan un plazo mayor o menor para realizar la liquidación de mutuo acuerdo, con lo cual dejaría de estar incluido el término supletivo de la Ley 1150 de 2007</w:t>
      </w:r>
      <w:r w:rsidRPr="00AF1555">
        <w:rPr>
          <w:rFonts w:ascii="Verdana" w:eastAsia="Calibri" w:hAnsi="Verdana" w:cs="Arial"/>
          <w:color w:val="000000"/>
          <w:sz w:val="20"/>
          <w:szCs w:val="20"/>
          <w:lang w:val="es-ES_tradnl"/>
        </w:rPr>
        <w:t>.</w:t>
      </w:r>
    </w:p>
    <w:p w14:paraId="22AE3EB7" w14:textId="77777777" w:rsidR="00180552" w:rsidRDefault="00180552" w:rsidP="00F37F48">
      <w:pPr>
        <w:spacing w:after="0" w:line="240" w:lineRule="auto"/>
        <w:rPr>
          <w:rFonts w:ascii="Verdana" w:eastAsia="Geomanist Light" w:hAnsi="Verdana" w:cs="Arial"/>
          <w:color w:val="000000" w:themeColor="text1"/>
        </w:rPr>
      </w:pPr>
    </w:p>
    <w:p w14:paraId="0A875AD0" w14:textId="4DC9EC49" w:rsidR="00180552" w:rsidRDefault="00EC7017" w:rsidP="00F37F48">
      <w:pPr>
        <w:spacing w:after="0" w:line="240" w:lineRule="auto"/>
        <w:rPr>
          <w:rFonts w:ascii="Verdana" w:eastAsia="Calibri" w:hAnsi="Verdana" w:cs="Arial"/>
          <w:b/>
          <w:bCs/>
          <w:lang w:val="es-ES" w:eastAsia="es-ES"/>
        </w:rPr>
      </w:pPr>
      <w:r w:rsidRPr="00EC7017">
        <w:rPr>
          <w:rFonts w:ascii="Verdana" w:eastAsia="Times New Roman" w:hAnsi="Verdana" w:cs="Arial"/>
          <w:b/>
          <w:bCs/>
        </w:rPr>
        <w:t xml:space="preserve">LIQUIDACIÓN BILATERAL – Naturaleza – Alcance </w:t>
      </w:r>
      <w:r w:rsidRPr="00EC7017">
        <w:rPr>
          <w:rFonts w:ascii="Verdana" w:eastAsia="Calibri" w:hAnsi="Verdana" w:cs="Arial"/>
          <w:b/>
          <w:bCs/>
          <w:lang w:val="es-ES" w:eastAsia="es-ES"/>
        </w:rPr>
        <w:t xml:space="preserve">– </w:t>
      </w:r>
      <w:r w:rsidR="00161664">
        <w:rPr>
          <w:rFonts w:ascii="Verdana" w:eastAsia="Calibri" w:hAnsi="Verdana" w:cs="Arial"/>
          <w:b/>
          <w:bCs/>
          <w:lang w:val="es-ES" w:eastAsia="es-ES"/>
        </w:rPr>
        <w:t>S</w:t>
      </w:r>
      <w:r w:rsidRPr="00EC7017">
        <w:rPr>
          <w:rFonts w:ascii="Verdana" w:eastAsia="Calibri" w:hAnsi="Verdana" w:cs="Arial"/>
          <w:b/>
          <w:bCs/>
          <w:lang w:val="es-ES" w:eastAsia="es-ES"/>
        </w:rPr>
        <w:t>alvedades</w:t>
      </w:r>
    </w:p>
    <w:p w14:paraId="4B30F516" w14:textId="77777777" w:rsidR="00161664" w:rsidRDefault="00161664" w:rsidP="00F37F48">
      <w:pPr>
        <w:spacing w:after="0" w:line="240" w:lineRule="auto"/>
        <w:rPr>
          <w:rFonts w:ascii="Verdana" w:eastAsia="Calibri" w:hAnsi="Verdana" w:cs="Arial"/>
          <w:b/>
          <w:bCs/>
          <w:lang w:val="es-ES" w:eastAsia="es-ES"/>
        </w:rPr>
      </w:pPr>
    </w:p>
    <w:p w14:paraId="340A971A" w14:textId="77777777" w:rsidR="000E3697" w:rsidRDefault="0095195F" w:rsidP="000E3697">
      <w:pPr>
        <w:spacing w:after="0" w:line="240" w:lineRule="auto"/>
        <w:jc w:val="both"/>
        <w:rPr>
          <w:rFonts w:ascii="Verdana" w:eastAsia="Calibri" w:hAnsi="Verdana" w:cs="Arial"/>
          <w:bCs/>
          <w:sz w:val="20"/>
          <w:szCs w:val="20"/>
          <w:lang w:val="es-ES"/>
        </w:rPr>
      </w:pPr>
      <w:r w:rsidRPr="0095195F">
        <w:rPr>
          <w:rFonts w:ascii="Verdana" w:eastAsia="Arial" w:hAnsi="Verdana" w:cs="Arial"/>
          <w:sz w:val="20"/>
          <w:szCs w:val="20"/>
          <w:lang w:eastAsia="es-ES" w:bidi="es-ES"/>
        </w:rPr>
        <w:t xml:space="preserve">La </w:t>
      </w:r>
      <w:r w:rsidRPr="0095195F">
        <w:rPr>
          <w:rFonts w:ascii="Verdana" w:eastAsia="Times New Roman" w:hAnsi="Verdana" w:cs="Arial"/>
          <w:color w:val="000000"/>
          <w:sz w:val="20"/>
          <w:szCs w:val="20"/>
          <w:bdr w:val="none" w:sz="0" w:space="0" w:color="auto" w:frame="1"/>
          <w:shd w:val="clear" w:color="auto" w:fill="FFFFFF"/>
          <w:lang w:val="es-ES" w:eastAsia="es-ES_tradnl"/>
        </w:rPr>
        <w:t xml:space="preserve">liquidación bilateral es </w:t>
      </w:r>
      <w:r w:rsidRPr="0095195F">
        <w:rPr>
          <w:rFonts w:ascii="Verdana" w:eastAsia="Arial" w:hAnsi="Verdana" w:cs="Arial"/>
          <w:sz w:val="20"/>
          <w:szCs w:val="20"/>
          <w:lang w:val="es-ES" w:eastAsia="es-ES" w:bidi="es-ES"/>
        </w:rPr>
        <w:t>un acuerdo en el que las partes del contrato estatal, en ejercicio de la autonomía de la voluntad, regulan la finalización de su relación y disponen de los intereses que emanan de ella. Asimismo tiene efectos de título ejecutivo, transaccionales, puesto que las declaraciones y expresiones incorporadas en la correspondiente acta son reconocidas y protegidas por el ordenamiento jurídico, siempre y cuando no sean contrarias a la Constitución Política, la ley, el orden público, la moral y las buenas costumbres, y los principios y finalidades del Estatuto General de la Contratación de la Administración Pública y de la buena administración.</w:t>
      </w:r>
      <w:r w:rsidRPr="0095195F">
        <w:rPr>
          <w:rFonts w:ascii="Verdana" w:eastAsia="Times New Roman" w:hAnsi="Verdana" w:cs="Arial"/>
          <w:color w:val="000000"/>
          <w:sz w:val="20"/>
          <w:szCs w:val="20"/>
          <w:bdr w:val="none" w:sz="0" w:space="0" w:color="auto" w:frame="1"/>
          <w:shd w:val="clear" w:color="auto" w:fill="FFFFFF"/>
          <w:lang w:val="es-ES" w:eastAsia="es-ES_tradnl"/>
        </w:rPr>
        <w:t xml:space="preserve"> </w:t>
      </w:r>
      <w:r w:rsidRPr="0095195F">
        <w:rPr>
          <w:rFonts w:ascii="Verdana" w:eastAsia="Arial" w:hAnsi="Verdana" w:cs="Arial"/>
          <w:sz w:val="20"/>
          <w:szCs w:val="20"/>
          <w:lang w:val="es-ES" w:eastAsia="es-ES" w:bidi="es-ES"/>
        </w:rPr>
        <w:t>En ese sentido, la liquidación bilateral puede considerarse como una forma alternativa de resolver los conflictos o controversias que surjan a partir de la determinación de las prestaciones comunes a que las partes contractuales puedan o no tener derecho luego de haberse ejecutado el contrato, esto es, como una manera de evitar futuros litigios frente a los mismos asuntos.</w:t>
      </w:r>
      <w:r w:rsidR="000E3697" w:rsidRPr="000E3697">
        <w:rPr>
          <w:rFonts w:ascii="Verdana" w:eastAsia="Calibri" w:hAnsi="Verdana" w:cs="Arial"/>
          <w:bCs/>
          <w:sz w:val="20"/>
          <w:szCs w:val="20"/>
          <w:lang w:val="es-ES"/>
        </w:rPr>
        <w:t xml:space="preserve"> </w:t>
      </w:r>
    </w:p>
    <w:p w14:paraId="06E45811" w14:textId="1ED2E17D" w:rsidR="0095195F" w:rsidRPr="000B5A2F" w:rsidRDefault="000E3697" w:rsidP="000B5A2F">
      <w:pPr>
        <w:spacing w:after="0" w:line="240" w:lineRule="auto"/>
        <w:jc w:val="both"/>
        <w:rPr>
          <w:rFonts w:ascii="Verdana" w:eastAsia="Calibri" w:hAnsi="Verdana" w:cs="Arial"/>
          <w:bCs/>
          <w:sz w:val="20"/>
          <w:szCs w:val="20"/>
          <w:lang w:val="es-ES"/>
        </w:rPr>
      </w:pPr>
      <w:r>
        <w:rPr>
          <w:rFonts w:ascii="Verdana" w:eastAsia="Calibri" w:hAnsi="Verdana" w:cs="Arial"/>
          <w:bCs/>
          <w:sz w:val="20"/>
          <w:szCs w:val="20"/>
          <w:lang w:val="es-ES"/>
        </w:rPr>
        <w:t>[</w:t>
      </w:r>
      <w:r w:rsidRPr="00E95799">
        <w:rPr>
          <w:rFonts w:ascii="Verdana" w:eastAsia="Calibri" w:hAnsi="Verdana" w:cs="Arial"/>
          <w:bCs/>
          <w:sz w:val="20"/>
          <w:szCs w:val="20"/>
          <w:lang w:val="es-ES"/>
        </w:rPr>
        <w:t>…</w:t>
      </w:r>
      <w:r>
        <w:rPr>
          <w:rFonts w:ascii="Verdana" w:eastAsia="Calibri" w:hAnsi="Verdana" w:cs="Arial"/>
          <w:bCs/>
          <w:sz w:val="20"/>
          <w:szCs w:val="20"/>
          <w:lang w:val="es-ES"/>
        </w:rPr>
        <w:t>]</w:t>
      </w:r>
    </w:p>
    <w:p w14:paraId="13D4245B" w14:textId="77777777" w:rsidR="000E3697" w:rsidRPr="000E3697" w:rsidRDefault="000E3697" w:rsidP="000E3697">
      <w:pPr>
        <w:widowControl w:val="0"/>
        <w:autoSpaceDE w:val="0"/>
        <w:autoSpaceDN w:val="0"/>
        <w:spacing w:after="0" w:line="240" w:lineRule="auto"/>
        <w:ind w:right="108"/>
        <w:jc w:val="both"/>
        <w:rPr>
          <w:rFonts w:ascii="Verdana" w:eastAsia="Arial" w:hAnsi="Verdana" w:cs="Arial"/>
          <w:sz w:val="20"/>
          <w:szCs w:val="20"/>
          <w:lang w:eastAsia="es-ES" w:bidi="es-ES"/>
        </w:rPr>
      </w:pPr>
      <w:r w:rsidRPr="000E3697">
        <w:rPr>
          <w:rFonts w:ascii="Verdana" w:eastAsia="Arial" w:hAnsi="Verdana" w:cs="Arial"/>
          <w:sz w:val="20"/>
          <w:szCs w:val="20"/>
          <w:lang w:eastAsia="es-ES" w:bidi="es-ES"/>
        </w:rPr>
        <w:t xml:space="preserve">Así las cosas, si al momento de suscribir la liquidación no se dejan consignadas </w:t>
      </w:r>
      <w:r w:rsidRPr="000E3697">
        <w:rPr>
          <w:rFonts w:ascii="Verdana" w:eastAsia="Arial" w:hAnsi="Verdana" w:cs="Arial"/>
          <w:sz w:val="20"/>
          <w:szCs w:val="20"/>
          <w:lang w:eastAsia="es-ES" w:bidi="es-ES"/>
        </w:rPr>
        <w:lastRenderedPageBreak/>
        <w:t>salvedades expresas, se entenderá que las partes han llegado a un acuerdo integral sobre la finalización del contrato y sus efectos, quedando imposibilitadas para reclamar posteriormente por vía jurisdiccional sobre aspectos que fueron objeto de dicho acuerdo o que no fueron oportunamente controvertidos. Esta interpretación, como se indicó, ha sido reiterada por la jurisprudencia del Consejo de Estado, la cual ha sostenido que la ausencia de manifestaciones de inconformidad en el acta de liquidación impide a las partes, por regla general, acudir posteriormente a la jurisdicción para reclamar derechos u obligaciones que no quedaron consignados en el acta.</w:t>
      </w:r>
    </w:p>
    <w:p w14:paraId="0CE3A240" w14:textId="77777777" w:rsidR="000E3697" w:rsidRDefault="000E3697" w:rsidP="00F37F48">
      <w:pPr>
        <w:spacing w:after="0" w:line="240" w:lineRule="auto"/>
        <w:rPr>
          <w:rFonts w:ascii="Verdana" w:eastAsia="Geomanist Light" w:hAnsi="Verdana" w:cs="Arial"/>
          <w:color w:val="000000" w:themeColor="text1"/>
        </w:rPr>
      </w:pPr>
    </w:p>
    <w:p w14:paraId="537B050C" w14:textId="77777777" w:rsidR="000B5A2F" w:rsidRDefault="000B5A2F" w:rsidP="00F37F48">
      <w:pPr>
        <w:spacing w:after="0" w:line="240" w:lineRule="auto"/>
        <w:rPr>
          <w:rFonts w:ascii="Verdana" w:eastAsia="Geomanist Light" w:hAnsi="Verdana" w:cs="Arial"/>
          <w:color w:val="000000" w:themeColor="text1"/>
        </w:rPr>
      </w:pPr>
    </w:p>
    <w:p w14:paraId="37D6AB3C" w14:textId="77777777" w:rsidR="000B5A2F" w:rsidRDefault="000B5A2F" w:rsidP="00F37F48">
      <w:pPr>
        <w:spacing w:after="0" w:line="240" w:lineRule="auto"/>
        <w:rPr>
          <w:rFonts w:ascii="Verdana" w:eastAsia="Geomanist Light" w:hAnsi="Verdana" w:cs="Arial"/>
          <w:color w:val="000000" w:themeColor="text1"/>
        </w:rPr>
      </w:pPr>
    </w:p>
    <w:p w14:paraId="17009174" w14:textId="77777777" w:rsidR="000B5A2F" w:rsidRDefault="000B5A2F" w:rsidP="00F37F48">
      <w:pPr>
        <w:spacing w:after="0" w:line="240" w:lineRule="auto"/>
        <w:rPr>
          <w:rFonts w:ascii="Verdana" w:eastAsia="Geomanist Light" w:hAnsi="Verdana" w:cs="Arial"/>
          <w:color w:val="000000" w:themeColor="text1"/>
        </w:rPr>
      </w:pPr>
    </w:p>
    <w:p w14:paraId="1613948C" w14:textId="77777777" w:rsidR="000B5A2F" w:rsidRDefault="000B5A2F" w:rsidP="00F37F48">
      <w:pPr>
        <w:spacing w:after="0" w:line="240" w:lineRule="auto"/>
        <w:rPr>
          <w:rFonts w:ascii="Verdana" w:eastAsia="Geomanist Light" w:hAnsi="Verdana" w:cs="Arial"/>
          <w:color w:val="000000" w:themeColor="text1"/>
        </w:rPr>
      </w:pPr>
    </w:p>
    <w:p w14:paraId="2D1D6FC9" w14:textId="77777777" w:rsidR="000B5A2F" w:rsidRDefault="000B5A2F" w:rsidP="00F37F48">
      <w:pPr>
        <w:spacing w:after="0" w:line="240" w:lineRule="auto"/>
        <w:rPr>
          <w:rFonts w:ascii="Verdana" w:eastAsia="Geomanist Light" w:hAnsi="Verdana" w:cs="Arial"/>
          <w:color w:val="000000" w:themeColor="text1"/>
        </w:rPr>
      </w:pPr>
    </w:p>
    <w:p w14:paraId="4F534F01" w14:textId="77777777" w:rsidR="000B5A2F" w:rsidRDefault="000B5A2F" w:rsidP="00F37F48">
      <w:pPr>
        <w:spacing w:after="0" w:line="240" w:lineRule="auto"/>
        <w:rPr>
          <w:rFonts w:ascii="Verdana" w:eastAsia="Geomanist Light" w:hAnsi="Verdana" w:cs="Arial"/>
          <w:color w:val="000000" w:themeColor="text1"/>
        </w:rPr>
      </w:pPr>
    </w:p>
    <w:p w14:paraId="16EB8AAE" w14:textId="77777777" w:rsidR="000B5A2F" w:rsidRDefault="000B5A2F" w:rsidP="00F37F48">
      <w:pPr>
        <w:spacing w:after="0" w:line="240" w:lineRule="auto"/>
        <w:rPr>
          <w:rFonts w:ascii="Verdana" w:eastAsia="Geomanist Light" w:hAnsi="Verdana" w:cs="Arial"/>
          <w:color w:val="000000" w:themeColor="text1"/>
        </w:rPr>
      </w:pPr>
    </w:p>
    <w:p w14:paraId="12DA2077" w14:textId="77777777" w:rsidR="000B5A2F" w:rsidRDefault="000B5A2F" w:rsidP="00F37F48">
      <w:pPr>
        <w:spacing w:after="0" w:line="240" w:lineRule="auto"/>
        <w:rPr>
          <w:rFonts w:ascii="Verdana" w:eastAsia="Geomanist Light" w:hAnsi="Verdana" w:cs="Arial"/>
          <w:color w:val="000000" w:themeColor="text1"/>
        </w:rPr>
      </w:pPr>
    </w:p>
    <w:p w14:paraId="383DAC4B" w14:textId="77777777" w:rsidR="000B5A2F" w:rsidRDefault="000B5A2F" w:rsidP="00F37F48">
      <w:pPr>
        <w:spacing w:after="0" w:line="240" w:lineRule="auto"/>
        <w:rPr>
          <w:rFonts w:ascii="Verdana" w:eastAsia="Geomanist Light" w:hAnsi="Verdana" w:cs="Arial"/>
          <w:color w:val="000000" w:themeColor="text1"/>
        </w:rPr>
      </w:pPr>
    </w:p>
    <w:p w14:paraId="07BFC5E8" w14:textId="77777777" w:rsidR="000B5A2F" w:rsidRDefault="000B5A2F" w:rsidP="00F37F48">
      <w:pPr>
        <w:spacing w:after="0" w:line="240" w:lineRule="auto"/>
        <w:rPr>
          <w:rFonts w:ascii="Verdana" w:eastAsia="Geomanist Light" w:hAnsi="Verdana" w:cs="Arial"/>
          <w:color w:val="000000" w:themeColor="text1"/>
        </w:rPr>
      </w:pPr>
    </w:p>
    <w:p w14:paraId="29C1C6EC" w14:textId="77777777" w:rsidR="000B5A2F" w:rsidRDefault="000B5A2F" w:rsidP="00F37F48">
      <w:pPr>
        <w:spacing w:after="0" w:line="240" w:lineRule="auto"/>
        <w:rPr>
          <w:rFonts w:ascii="Verdana" w:eastAsia="Geomanist Light" w:hAnsi="Verdana" w:cs="Arial"/>
          <w:color w:val="000000" w:themeColor="text1"/>
        </w:rPr>
      </w:pPr>
    </w:p>
    <w:p w14:paraId="31AE1D6B" w14:textId="77777777" w:rsidR="000B5A2F" w:rsidRDefault="000B5A2F" w:rsidP="00F37F48">
      <w:pPr>
        <w:spacing w:after="0" w:line="240" w:lineRule="auto"/>
        <w:rPr>
          <w:rFonts w:ascii="Verdana" w:eastAsia="Geomanist Light" w:hAnsi="Verdana" w:cs="Arial"/>
          <w:color w:val="000000" w:themeColor="text1"/>
        </w:rPr>
      </w:pPr>
    </w:p>
    <w:p w14:paraId="6C366EF8" w14:textId="77777777" w:rsidR="000B5A2F" w:rsidRDefault="000B5A2F" w:rsidP="00F37F48">
      <w:pPr>
        <w:spacing w:after="0" w:line="240" w:lineRule="auto"/>
        <w:rPr>
          <w:rFonts w:ascii="Verdana" w:eastAsia="Geomanist Light" w:hAnsi="Verdana" w:cs="Arial"/>
          <w:color w:val="000000" w:themeColor="text1"/>
        </w:rPr>
      </w:pPr>
    </w:p>
    <w:p w14:paraId="26F2D02F" w14:textId="77777777" w:rsidR="000B5A2F" w:rsidRDefault="000B5A2F" w:rsidP="00F37F48">
      <w:pPr>
        <w:spacing w:after="0" w:line="240" w:lineRule="auto"/>
        <w:rPr>
          <w:rFonts w:ascii="Verdana" w:eastAsia="Geomanist Light" w:hAnsi="Verdana" w:cs="Arial"/>
          <w:color w:val="000000" w:themeColor="text1"/>
        </w:rPr>
      </w:pPr>
    </w:p>
    <w:p w14:paraId="6CBF0EF4" w14:textId="77777777" w:rsidR="000B5A2F" w:rsidRDefault="000B5A2F" w:rsidP="00F37F48">
      <w:pPr>
        <w:spacing w:after="0" w:line="240" w:lineRule="auto"/>
        <w:rPr>
          <w:rFonts w:ascii="Verdana" w:eastAsia="Geomanist Light" w:hAnsi="Verdana" w:cs="Arial"/>
          <w:color w:val="000000" w:themeColor="text1"/>
        </w:rPr>
      </w:pPr>
    </w:p>
    <w:p w14:paraId="381D4745" w14:textId="77777777" w:rsidR="000B5A2F" w:rsidRDefault="000B5A2F" w:rsidP="00F37F48">
      <w:pPr>
        <w:spacing w:after="0" w:line="240" w:lineRule="auto"/>
        <w:rPr>
          <w:rFonts w:ascii="Verdana" w:eastAsia="Geomanist Light" w:hAnsi="Verdana" w:cs="Arial"/>
          <w:color w:val="000000" w:themeColor="text1"/>
        </w:rPr>
      </w:pPr>
    </w:p>
    <w:p w14:paraId="075D9964" w14:textId="77777777" w:rsidR="000B5A2F" w:rsidRDefault="000B5A2F" w:rsidP="00F37F48">
      <w:pPr>
        <w:spacing w:after="0" w:line="240" w:lineRule="auto"/>
        <w:rPr>
          <w:rFonts w:ascii="Verdana" w:eastAsia="Geomanist Light" w:hAnsi="Verdana" w:cs="Arial"/>
          <w:color w:val="000000" w:themeColor="text1"/>
        </w:rPr>
      </w:pPr>
    </w:p>
    <w:p w14:paraId="196CE719" w14:textId="77777777" w:rsidR="000B5A2F" w:rsidRDefault="000B5A2F" w:rsidP="00F37F48">
      <w:pPr>
        <w:spacing w:after="0" w:line="240" w:lineRule="auto"/>
        <w:rPr>
          <w:rFonts w:ascii="Verdana" w:eastAsia="Geomanist Light" w:hAnsi="Verdana" w:cs="Arial"/>
          <w:color w:val="000000" w:themeColor="text1"/>
        </w:rPr>
      </w:pPr>
    </w:p>
    <w:p w14:paraId="17DD3F92" w14:textId="77777777" w:rsidR="000B5A2F" w:rsidRDefault="000B5A2F" w:rsidP="00F37F48">
      <w:pPr>
        <w:spacing w:after="0" w:line="240" w:lineRule="auto"/>
        <w:rPr>
          <w:rFonts w:ascii="Verdana" w:eastAsia="Geomanist Light" w:hAnsi="Verdana" w:cs="Arial"/>
          <w:color w:val="000000" w:themeColor="text1"/>
        </w:rPr>
      </w:pPr>
    </w:p>
    <w:p w14:paraId="3093CC97" w14:textId="77777777" w:rsidR="000B5A2F" w:rsidRDefault="000B5A2F" w:rsidP="00F37F48">
      <w:pPr>
        <w:spacing w:after="0" w:line="240" w:lineRule="auto"/>
        <w:rPr>
          <w:rFonts w:ascii="Verdana" w:eastAsia="Geomanist Light" w:hAnsi="Verdana" w:cs="Arial"/>
          <w:color w:val="000000" w:themeColor="text1"/>
        </w:rPr>
      </w:pPr>
    </w:p>
    <w:p w14:paraId="30A2DE47" w14:textId="77777777" w:rsidR="000B5A2F" w:rsidRDefault="000B5A2F" w:rsidP="00F37F48">
      <w:pPr>
        <w:spacing w:after="0" w:line="240" w:lineRule="auto"/>
        <w:rPr>
          <w:rFonts w:ascii="Verdana" w:eastAsia="Geomanist Light" w:hAnsi="Verdana" w:cs="Arial"/>
          <w:color w:val="000000" w:themeColor="text1"/>
        </w:rPr>
      </w:pPr>
    </w:p>
    <w:p w14:paraId="7CB48A08" w14:textId="77777777" w:rsidR="000B5A2F" w:rsidRDefault="000B5A2F" w:rsidP="00F37F48">
      <w:pPr>
        <w:spacing w:after="0" w:line="240" w:lineRule="auto"/>
        <w:rPr>
          <w:rFonts w:ascii="Verdana" w:eastAsia="Geomanist Light" w:hAnsi="Verdana" w:cs="Arial"/>
          <w:color w:val="000000" w:themeColor="text1"/>
        </w:rPr>
      </w:pPr>
    </w:p>
    <w:p w14:paraId="347F2425" w14:textId="77777777" w:rsidR="000B5A2F" w:rsidRDefault="000B5A2F" w:rsidP="00F37F48">
      <w:pPr>
        <w:spacing w:after="0" w:line="240" w:lineRule="auto"/>
        <w:rPr>
          <w:rFonts w:ascii="Verdana" w:eastAsia="Geomanist Light" w:hAnsi="Verdana" w:cs="Arial"/>
          <w:color w:val="000000" w:themeColor="text1"/>
        </w:rPr>
      </w:pPr>
    </w:p>
    <w:p w14:paraId="1A711042" w14:textId="77777777" w:rsidR="000B5A2F" w:rsidRDefault="000B5A2F" w:rsidP="00F37F48">
      <w:pPr>
        <w:spacing w:after="0" w:line="240" w:lineRule="auto"/>
        <w:rPr>
          <w:rFonts w:ascii="Verdana" w:eastAsia="Geomanist Light" w:hAnsi="Verdana" w:cs="Arial"/>
          <w:color w:val="000000" w:themeColor="text1"/>
        </w:rPr>
      </w:pPr>
    </w:p>
    <w:p w14:paraId="78D9B8BB" w14:textId="77777777" w:rsidR="000B5A2F" w:rsidRDefault="000B5A2F" w:rsidP="00F37F48">
      <w:pPr>
        <w:spacing w:after="0" w:line="240" w:lineRule="auto"/>
        <w:rPr>
          <w:rFonts w:ascii="Verdana" w:eastAsia="Geomanist Light" w:hAnsi="Verdana" w:cs="Arial"/>
          <w:color w:val="000000" w:themeColor="text1"/>
        </w:rPr>
      </w:pPr>
    </w:p>
    <w:p w14:paraId="77507A57" w14:textId="77777777" w:rsidR="000B5A2F" w:rsidRDefault="000B5A2F" w:rsidP="00F37F48">
      <w:pPr>
        <w:spacing w:after="0" w:line="240" w:lineRule="auto"/>
        <w:rPr>
          <w:rFonts w:ascii="Verdana" w:eastAsia="Geomanist Light" w:hAnsi="Verdana" w:cs="Arial"/>
          <w:color w:val="000000" w:themeColor="text1"/>
        </w:rPr>
      </w:pPr>
    </w:p>
    <w:p w14:paraId="6BBAEE17" w14:textId="77777777" w:rsidR="000B5A2F" w:rsidRDefault="000B5A2F" w:rsidP="00F37F48">
      <w:pPr>
        <w:spacing w:after="0" w:line="240" w:lineRule="auto"/>
        <w:rPr>
          <w:rFonts w:ascii="Verdana" w:eastAsia="Geomanist Light" w:hAnsi="Verdana" w:cs="Arial"/>
          <w:color w:val="000000" w:themeColor="text1"/>
        </w:rPr>
      </w:pPr>
    </w:p>
    <w:p w14:paraId="070A4FBD" w14:textId="77777777" w:rsidR="000B5A2F" w:rsidRDefault="000B5A2F" w:rsidP="00F37F48">
      <w:pPr>
        <w:spacing w:after="0" w:line="240" w:lineRule="auto"/>
        <w:rPr>
          <w:rFonts w:ascii="Verdana" w:eastAsia="Geomanist Light" w:hAnsi="Verdana" w:cs="Arial"/>
          <w:color w:val="000000" w:themeColor="text1"/>
        </w:rPr>
      </w:pPr>
    </w:p>
    <w:p w14:paraId="21AD6364" w14:textId="77777777" w:rsidR="000B5A2F" w:rsidRDefault="000B5A2F" w:rsidP="00F37F48">
      <w:pPr>
        <w:spacing w:after="0" w:line="240" w:lineRule="auto"/>
        <w:rPr>
          <w:rFonts w:ascii="Verdana" w:eastAsia="Geomanist Light" w:hAnsi="Verdana" w:cs="Arial"/>
          <w:color w:val="000000" w:themeColor="text1"/>
        </w:rPr>
      </w:pPr>
    </w:p>
    <w:p w14:paraId="65A9823D" w14:textId="77777777" w:rsidR="000B5A2F" w:rsidRDefault="000B5A2F" w:rsidP="00F37F48">
      <w:pPr>
        <w:spacing w:after="0" w:line="240" w:lineRule="auto"/>
        <w:rPr>
          <w:rFonts w:ascii="Verdana" w:eastAsia="Geomanist Light" w:hAnsi="Verdana" w:cs="Arial"/>
          <w:color w:val="000000" w:themeColor="text1"/>
        </w:rPr>
      </w:pPr>
    </w:p>
    <w:p w14:paraId="30276C1D" w14:textId="77777777" w:rsidR="000B5A2F" w:rsidRDefault="000B5A2F" w:rsidP="00F37F48">
      <w:pPr>
        <w:spacing w:after="0" w:line="240" w:lineRule="auto"/>
        <w:rPr>
          <w:rFonts w:ascii="Verdana" w:eastAsia="Geomanist Light" w:hAnsi="Verdana" w:cs="Arial"/>
          <w:color w:val="000000" w:themeColor="text1"/>
        </w:rPr>
      </w:pPr>
    </w:p>
    <w:p w14:paraId="4B7BF03C" w14:textId="77777777" w:rsidR="000B5A2F" w:rsidRDefault="000B5A2F" w:rsidP="00F37F48">
      <w:pPr>
        <w:spacing w:after="0" w:line="240" w:lineRule="auto"/>
        <w:rPr>
          <w:rFonts w:ascii="Verdana" w:eastAsia="Geomanist Light" w:hAnsi="Verdana" w:cs="Arial"/>
          <w:color w:val="000000" w:themeColor="text1"/>
        </w:rPr>
      </w:pPr>
    </w:p>
    <w:p w14:paraId="0A4A0F2A" w14:textId="77777777" w:rsidR="00645AD6" w:rsidRDefault="00645AD6" w:rsidP="00F37F48">
      <w:pPr>
        <w:spacing w:after="0" w:line="240" w:lineRule="auto"/>
        <w:rPr>
          <w:rFonts w:ascii="Verdana" w:eastAsia="Geomanist Light" w:hAnsi="Verdana" w:cs="Arial"/>
          <w:color w:val="000000" w:themeColor="text1"/>
        </w:rPr>
      </w:pPr>
    </w:p>
    <w:p w14:paraId="1BEC4BD3" w14:textId="54D4FF11" w:rsidR="00F37F48" w:rsidRPr="00F37F48" w:rsidRDefault="00F37F48" w:rsidP="00F37F48">
      <w:pPr>
        <w:spacing w:after="0" w:line="240" w:lineRule="auto"/>
        <w:rPr>
          <w:rFonts w:ascii="Verdana" w:eastAsia="Geomanist Light" w:hAnsi="Verdana" w:cs="Arial"/>
          <w:color w:val="201F1E"/>
        </w:rPr>
      </w:pPr>
      <w:r w:rsidRPr="00F37F48">
        <w:rPr>
          <w:rFonts w:ascii="Verdana" w:eastAsia="Geomanist Light" w:hAnsi="Verdana" w:cs="Arial"/>
          <w:color w:val="000000" w:themeColor="text1"/>
        </w:rPr>
        <w:lastRenderedPageBreak/>
        <w:t>Bogotá D.C., </w:t>
      </w:r>
      <w:r w:rsidR="004E1B1B">
        <w:rPr>
          <w:rFonts w:ascii="Verdana" w:eastAsia="Geomanist Light" w:hAnsi="Verdana" w:cs="Arial"/>
          <w:color w:val="201F1E"/>
        </w:rPr>
        <w:t>19 de agosto de 2025</w:t>
      </w:r>
    </w:p>
    <w:p w14:paraId="5325934D" w14:textId="0D80F3E4" w:rsidR="00F37F48" w:rsidRPr="00F37F48" w:rsidRDefault="00F37F48" w:rsidP="00F37F48">
      <w:pPr>
        <w:spacing w:after="0" w:line="240" w:lineRule="auto"/>
        <w:jc w:val="both"/>
        <w:rPr>
          <w:rFonts w:ascii="Verdana" w:eastAsia="Calibri" w:hAnsi="Verdana" w:cs="Arial"/>
          <w:color w:val="000000"/>
        </w:rPr>
      </w:pPr>
    </w:p>
    <w:p w14:paraId="6390CCE8" w14:textId="754461B2" w:rsidR="00F37F48" w:rsidRPr="00F37F48" w:rsidRDefault="00F37F48" w:rsidP="004E1B1B">
      <w:pPr>
        <w:spacing w:after="0" w:line="240" w:lineRule="auto"/>
        <w:jc w:val="right"/>
        <w:rPr>
          <w:rFonts w:ascii="Verdana" w:eastAsia="Calibri" w:hAnsi="Verdana" w:cs="Arial"/>
          <w:color w:val="000000"/>
        </w:rPr>
      </w:pPr>
    </w:p>
    <w:p w14:paraId="5A01ED6D" w14:textId="27193CC3" w:rsidR="004E1B1B" w:rsidRDefault="00645AD6" w:rsidP="00F37F48">
      <w:pPr>
        <w:spacing w:after="0" w:line="240" w:lineRule="auto"/>
        <w:jc w:val="both"/>
        <w:rPr>
          <w:rFonts w:ascii="Verdana" w:eastAsia="Calibri" w:hAnsi="Verdana" w:cs="Arial"/>
          <w:lang w:eastAsia="es-ES"/>
        </w:rPr>
      </w:pPr>
      <w:r w:rsidRPr="004E1B1B">
        <w:rPr>
          <w:rFonts w:ascii="Verdana" w:eastAsia="Calibri" w:hAnsi="Verdana" w:cs="Arial"/>
          <w:noProof/>
          <w:color w:val="000000"/>
        </w:rPr>
        <w:drawing>
          <wp:anchor distT="0" distB="0" distL="114300" distR="114300" simplePos="0" relativeHeight="251659264" behindDoc="0" locked="0" layoutInCell="1" allowOverlap="1" wp14:anchorId="22EF729A" wp14:editId="0E3CC189">
            <wp:simplePos x="0" y="0"/>
            <wp:positionH relativeFrom="margin">
              <wp:align>right</wp:align>
            </wp:positionH>
            <wp:positionV relativeFrom="paragraph">
              <wp:posOffset>9525</wp:posOffset>
            </wp:positionV>
            <wp:extent cx="2800985" cy="982980"/>
            <wp:effectExtent l="0" t="0" r="0" b="7620"/>
            <wp:wrapSquare wrapText="bothSides"/>
            <wp:docPr id="161756411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00985" cy="982980"/>
                    </a:xfrm>
                    <a:prstGeom prst="rect">
                      <a:avLst/>
                    </a:prstGeom>
                    <a:noFill/>
                    <a:ln>
                      <a:noFill/>
                    </a:ln>
                  </pic:spPr>
                </pic:pic>
              </a:graphicData>
            </a:graphic>
            <wp14:sizeRelH relativeFrom="margin">
              <wp14:pctWidth>0</wp14:pctWidth>
            </wp14:sizeRelH>
          </wp:anchor>
        </w:drawing>
      </w:r>
    </w:p>
    <w:p w14:paraId="4511DB9D" w14:textId="1BEC799B" w:rsidR="00F37F48" w:rsidRPr="00F37F48" w:rsidRDefault="00F37F48" w:rsidP="00F37F48">
      <w:pPr>
        <w:spacing w:after="0" w:line="240" w:lineRule="auto"/>
        <w:jc w:val="both"/>
        <w:rPr>
          <w:rFonts w:ascii="Verdana" w:eastAsia="Calibri" w:hAnsi="Verdana" w:cs="Arial"/>
          <w:lang w:eastAsia="es-ES"/>
        </w:rPr>
      </w:pPr>
      <w:r w:rsidRPr="00F37F48">
        <w:rPr>
          <w:rFonts w:ascii="Verdana" w:eastAsia="Calibri" w:hAnsi="Verdana" w:cs="Arial"/>
          <w:lang w:eastAsia="es-ES"/>
        </w:rPr>
        <w:t>Señora</w:t>
      </w:r>
    </w:p>
    <w:p w14:paraId="5922EF20" w14:textId="77777777" w:rsidR="00F37F48" w:rsidRPr="00F37F48" w:rsidRDefault="00F37F48" w:rsidP="00F37F48">
      <w:pPr>
        <w:spacing w:after="0" w:line="240" w:lineRule="auto"/>
        <w:rPr>
          <w:rFonts w:ascii="Verdana" w:eastAsia="Calibri" w:hAnsi="Verdana" w:cs="Arial"/>
          <w:b/>
          <w:lang w:eastAsia="es-ES"/>
        </w:rPr>
      </w:pPr>
      <w:r w:rsidRPr="00F37F48">
        <w:rPr>
          <w:rFonts w:ascii="Verdana" w:eastAsia="Calibri" w:hAnsi="Verdana" w:cs="Arial"/>
          <w:b/>
          <w:lang w:eastAsia="es-ES"/>
        </w:rPr>
        <w:t xml:space="preserve">Claudia Katherine Romero Salazar </w:t>
      </w:r>
    </w:p>
    <w:p w14:paraId="2C3C7757" w14:textId="77777777" w:rsidR="00F37F48" w:rsidRPr="00F37F48" w:rsidRDefault="00F37F48" w:rsidP="00F37F48">
      <w:pPr>
        <w:spacing w:after="0" w:line="240" w:lineRule="auto"/>
        <w:rPr>
          <w:rFonts w:ascii="Verdana" w:hAnsi="Verdana"/>
        </w:rPr>
      </w:pPr>
      <w:hyperlink r:id="rId12" w:history="1">
        <w:r w:rsidRPr="00F37F48">
          <w:rPr>
            <w:rFonts w:ascii="Verdana" w:hAnsi="Verdana"/>
            <w:color w:val="0563C1" w:themeColor="hyperlink"/>
            <w:u w:val="single"/>
          </w:rPr>
          <w:t>claudiakromeros@gmail.com</w:t>
        </w:r>
      </w:hyperlink>
      <w:r w:rsidRPr="00F37F48">
        <w:rPr>
          <w:rFonts w:ascii="Verdana" w:hAnsi="Verdana"/>
        </w:rPr>
        <w:t xml:space="preserve"> </w:t>
      </w:r>
    </w:p>
    <w:p w14:paraId="26BB20D8" w14:textId="77777777" w:rsidR="00F37F48" w:rsidRPr="00F37F48" w:rsidRDefault="00F37F48" w:rsidP="00F37F48">
      <w:pPr>
        <w:spacing w:after="0" w:line="240" w:lineRule="auto"/>
        <w:rPr>
          <w:rFonts w:ascii="Verdana" w:hAnsi="Verdana"/>
        </w:rPr>
      </w:pPr>
      <w:r w:rsidRPr="00F37F48">
        <w:rPr>
          <w:rFonts w:ascii="Verdana" w:hAnsi="Verdana"/>
        </w:rPr>
        <w:t>Bogotá</w:t>
      </w:r>
    </w:p>
    <w:p w14:paraId="73E7C8F2" w14:textId="77777777" w:rsidR="00F37F48" w:rsidRPr="00F37F48" w:rsidRDefault="00F37F48" w:rsidP="00F37F48">
      <w:pPr>
        <w:spacing w:after="0" w:line="240" w:lineRule="auto"/>
        <w:rPr>
          <w:rFonts w:ascii="Verdana" w:eastAsia="Calibri" w:hAnsi="Verdana" w:cs="Arial"/>
          <w:lang w:eastAsia="es-ES"/>
        </w:rPr>
      </w:pPr>
    </w:p>
    <w:p w14:paraId="1E14DAE3" w14:textId="77777777" w:rsidR="00F37F48" w:rsidRPr="00F37F48" w:rsidRDefault="00F37F48" w:rsidP="00F37F48">
      <w:pPr>
        <w:spacing w:after="0" w:line="240" w:lineRule="auto"/>
        <w:rPr>
          <w:rFonts w:ascii="Verdana" w:eastAsia="Calibri" w:hAnsi="Verdana" w:cs="Arial"/>
          <w:b/>
          <w:bCs/>
          <w:color w:val="000000"/>
          <w:lang w:eastAsia="es-ES_tradnl"/>
        </w:rPr>
      </w:pPr>
    </w:p>
    <w:p w14:paraId="211DEA64" w14:textId="77777777" w:rsidR="00F37F48" w:rsidRPr="00F37F48" w:rsidRDefault="00F37F48" w:rsidP="00F37F48">
      <w:pPr>
        <w:spacing w:after="0" w:line="240" w:lineRule="auto"/>
        <w:jc w:val="center"/>
        <w:rPr>
          <w:rFonts w:ascii="Verdana" w:eastAsia="Calibri" w:hAnsi="Verdana" w:cs="Arial"/>
          <w:b/>
          <w:bCs/>
          <w:lang w:eastAsia="es-ES"/>
        </w:rPr>
      </w:pPr>
      <w:r w:rsidRPr="00F37F48">
        <w:rPr>
          <w:rFonts w:ascii="Verdana" w:eastAsia="Calibri" w:hAnsi="Verdana" w:cs="Arial"/>
          <w:b/>
          <w:bCs/>
          <w:lang w:eastAsia="es-ES"/>
        </w:rPr>
        <w:t>Concepto C – 903 de 2025</w:t>
      </w:r>
    </w:p>
    <w:p w14:paraId="13B5D373" w14:textId="77777777" w:rsidR="00F37F48" w:rsidRPr="00F37F48" w:rsidRDefault="00F37F48" w:rsidP="00F37F48">
      <w:pPr>
        <w:spacing w:after="0" w:line="240" w:lineRule="auto"/>
        <w:jc w:val="center"/>
        <w:rPr>
          <w:rFonts w:ascii="Verdana" w:eastAsia="Calibri" w:hAnsi="Verdana" w:cs="Arial"/>
          <w:b/>
          <w:bCs/>
          <w:lang w:eastAsia="es-ES"/>
        </w:rPr>
      </w:pPr>
    </w:p>
    <w:p w14:paraId="417DA371" w14:textId="77777777" w:rsidR="00F37F48" w:rsidRPr="00F37F48" w:rsidRDefault="00F37F48" w:rsidP="00F37F48">
      <w:pPr>
        <w:spacing w:after="0" w:line="240" w:lineRule="auto"/>
        <w:rPr>
          <w:rFonts w:ascii="Verdana" w:eastAsia="Calibri" w:hAnsi="Verdana" w:cs="Arial"/>
          <w:b/>
          <w:bCs/>
          <w:color w:val="000000"/>
          <w:lang w:eastAsia="es-ES_tradnl"/>
        </w:rPr>
      </w:pPr>
    </w:p>
    <w:tbl>
      <w:tblPr>
        <w:tblStyle w:val="Tablaconcuadrcula"/>
        <w:tblW w:w="883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44"/>
      </w:tblGrid>
      <w:tr w:rsidR="00F37F48" w:rsidRPr="00F37F48" w14:paraId="2E8431B5" w14:textId="77777777" w:rsidTr="00B127C4">
        <w:trPr>
          <w:trHeight w:val="884"/>
        </w:trPr>
        <w:tc>
          <w:tcPr>
            <w:tcW w:w="2689" w:type="dxa"/>
          </w:tcPr>
          <w:p w14:paraId="0BF3F687" w14:textId="77777777" w:rsidR="00F37F48" w:rsidRPr="00F37F48" w:rsidRDefault="00F37F48" w:rsidP="00F37F48">
            <w:pPr>
              <w:jc w:val="both"/>
              <w:rPr>
                <w:rFonts w:ascii="Verdana" w:eastAsia="Calibri" w:hAnsi="Verdana" w:cs="Arial"/>
                <w:color w:val="000000"/>
                <w:lang w:eastAsia="es-ES_tradnl"/>
              </w:rPr>
            </w:pPr>
            <w:r w:rsidRPr="00F37F48">
              <w:rPr>
                <w:rFonts w:ascii="Verdana" w:eastAsia="Calibri" w:hAnsi="Verdana" w:cs="Arial"/>
                <w:b/>
                <w:color w:val="000000"/>
                <w:lang w:eastAsia="es-ES_tradnl"/>
              </w:rPr>
              <w:t>Temas:</w:t>
            </w:r>
            <w:r w:rsidRPr="00F37F48">
              <w:rPr>
                <w:rFonts w:ascii="Verdana" w:eastAsia="Calibri" w:hAnsi="Verdana" w:cs="Arial"/>
                <w:color w:val="000000"/>
                <w:lang w:eastAsia="es-ES_tradnl"/>
              </w:rPr>
              <w:t xml:space="preserve">                   </w:t>
            </w:r>
          </w:p>
        </w:tc>
        <w:tc>
          <w:tcPr>
            <w:tcW w:w="6144" w:type="dxa"/>
          </w:tcPr>
          <w:p w14:paraId="630E168E" w14:textId="59C9A61F" w:rsidR="00F37F48" w:rsidRPr="00645AD6" w:rsidRDefault="00F37F48" w:rsidP="00645AD6">
            <w:pPr>
              <w:spacing w:line="276" w:lineRule="auto"/>
              <w:jc w:val="both"/>
              <w:rPr>
                <w:rFonts w:ascii="Verdana" w:eastAsia="Calibri" w:hAnsi="Verdana" w:cs="Arial"/>
                <w:lang w:val="es-ES" w:eastAsia="es-ES"/>
              </w:rPr>
            </w:pPr>
            <w:r w:rsidRPr="00F37F48">
              <w:rPr>
                <w:rFonts w:ascii="Verdana" w:eastAsia="Calibri" w:hAnsi="Verdana" w:cs="Arial"/>
                <w:lang w:val="es-ES" w:eastAsia="es-ES"/>
              </w:rPr>
              <w:t xml:space="preserve">LIQUIDACIÓN DEL CONTRATO – Definición – Objetivo / LIQUIDACIÓN DEL CONTRATO – Normativa – Oportunidad </w:t>
            </w:r>
            <w:r w:rsidRPr="00F37F48">
              <w:rPr>
                <w:rFonts w:ascii="Verdana" w:eastAsia="Times New Roman" w:hAnsi="Verdana" w:cs="Arial"/>
              </w:rPr>
              <w:t xml:space="preserve">/ LIQUIDACIÓN BILATERAL – Naturaleza – Alcance </w:t>
            </w:r>
            <w:r w:rsidRPr="00F37F48">
              <w:rPr>
                <w:rFonts w:ascii="Verdana" w:eastAsia="Calibri" w:hAnsi="Verdana" w:cs="Arial"/>
                <w:lang w:val="es-ES" w:eastAsia="es-ES"/>
              </w:rPr>
              <w:t xml:space="preserve">– </w:t>
            </w:r>
            <w:r w:rsidR="00161664">
              <w:rPr>
                <w:rFonts w:ascii="Verdana" w:eastAsia="Calibri" w:hAnsi="Verdana" w:cs="Arial"/>
                <w:lang w:val="es-ES" w:eastAsia="es-ES"/>
              </w:rPr>
              <w:t>S</w:t>
            </w:r>
            <w:r w:rsidRPr="00F37F48">
              <w:rPr>
                <w:rFonts w:ascii="Verdana" w:eastAsia="Calibri" w:hAnsi="Verdana" w:cs="Arial"/>
                <w:lang w:val="es-ES" w:eastAsia="es-ES"/>
              </w:rPr>
              <w:t>alvedades</w:t>
            </w:r>
          </w:p>
        </w:tc>
      </w:tr>
      <w:tr w:rsidR="00F37F48" w:rsidRPr="00F37F48" w14:paraId="1EE27235" w14:textId="77777777" w:rsidTr="00B127C4">
        <w:tc>
          <w:tcPr>
            <w:tcW w:w="2689" w:type="dxa"/>
          </w:tcPr>
          <w:p w14:paraId="2073CAB7" w14:textId="77777777" w:rsidR="00F37F48" w:rsidRPr="00F37F48" w:rsidRDefault="00F37F48" w:rsidP="00F37F48">
            <w:pPr>
              <w:jc w:val="both"/>
              <w:rPr>
                <w:rFonts w:ascii="Verdana" w:eastAsia="Calibri" w:hAnsi="Verdana" w:cs="Arial"/>
                <w:b/>
                <w:lang w:eastAsia="es-ES_tradnl"/>
              </w:rPr>
            </w:pPr>
            <w:r w:rsidRPr="00F37F48">
              <w:rPr>
                <w:rFonts w:ascii="Verdana" w:eastAsia="Calibri" w:hAnsi="Verdana" w:cs="Arial"/>
                <w:b/>
                <w:lang w:eastAsia="es-ES_tradnl"/>
              </w:rPr>
              <w:t>Radicación:</w:t>
            </w:r>
            <w:r w:rsidRPr="00F37F48">
              <w:rPr>
                <w:rFonts w:ascii="Verdana" w:eastAsia="Calibri" w:hAnsi="Verdana" w:cs="Arial"/>
                <w:lang w:eastAsia="es-ES_tradnl"/>
              </w:rPr>
              <w:t xml:space="preserve">               </w:t>
            </w:r>
          </w:p>
        </w:tc>
        <w:tc>
          <w:tcPr>
            <w:tcW w:w="6144" w:type="dxa"/>
          </w:tcPr>
          <w:p w14:paraId="15349FC8" w14:textId="77777777" w:rsidR="00F37F48" w:rsidRPr="00F37F48" w:rsidRDefault="00F37F48" w:rsidP="00F37F48">
            <w:pPr>
              <w:jc w:val="both"/>
              <w:rPr>
                <w:rFonts w:ascii="Verdana" w:eastAsia="Calibri" w:hAnsi="Verdana" w:cs="Arial"/>
                <w:lang w:eastAsia="es-ES_tradnl"/>
              </w:rPr>
            </w:pPr>
            <w:r w:rsidRPr="00F37F48">
              <w:rPr>
                <w:rFonts w:ascii="Verdana" w:eastAsia="Calibri" w:hAnsi="Verdana" w:cs="Arial"/>
                <w:lang w:eastAsia="es-ES_tradnl"/>
              </w:rPr>
              <w:t>Respuesta a la consulta con radicado No. 1_2025_07_08_006860</w:t>
            </w:r>
          </w:p>
        </w:tc>
      </w:tr>
    </w:tbl>
    <w:p w14:paraId="704417B8" w14:textId="77777777" w:rsidR="00F37F48" w:rsidRPr="00F37F48" w:rsidRDefault="00F37F48" w:rsidP="00F37F48">
      <w:pPr>
        <w:spacing w:after="0" w:line="240" w:lineRule="auto"/>
        <w:jc w:val="both"/>
        <w:rPr>
          <w:rFonts w:ascii="Verdana" w:eastAsia="Calibri" w:hAnsi="Verdana" w:cs="Arial"/>
          <w:color w:val="000000"/>
          <w:lang w:eastAsia="es-ES_tradnl"/>
        </w:rPr>
      </w:pPr>
    </w:p>
    <w:p w14:paraId="7F4EDE15" w14:textId="77777777" w:rsidR="00F37F48" w:rsidRPr="00F37F48" w:rsidRDefault="00F37F48" w:rsidP="00F37F48">
      <w:pPr>
        <w:spacing w:after="0" w:line="240" w:lineRule="auto"/>
        <w:jc w:val="both"/>
        <w:rPr>
          <w:rFonts w:ascii="Verdana" w:eastAsia="Calibri" w:hAnsi="Verdana" w:cs="Arial"/>
          <w:color w:val="000000"/>
          <w:lang w:eastAsia="es-ES_tradnl"/>
        </w:rPr>
      </w:pPr>
    </w:p>
    <w:p w14:paraId="0FAACFBB" w14:textId="77777777" w:rsidR="00F37F48" w:rsidRPr="00F37F48" w:rsidRDefault="00F37F48" w:rsidP="00F37F48">
      <w:pPr>
        <w:spacing w:after="0" w:line="276" w:lineRule="auto"/>
        <w:jc w:val="both"/>
        <w:rPr>
          <w:rFonts w:ascii="Verdana" w:eastAsia="Calibri" w:hAnsi="Verdana" w:cs="Arial"/>
          <w:lang w:eastAsia="es-ES"/>
        </w:rPr>
      </w:pPr>
      <w:r w:rsidRPr="00F37F48">
        <w:rPr>
          <w:rFonts w:ascii="Verdana" w:eastAsia="Calibri" w:hAnsi="Verdana" w:cs="Arial"/>
          <w:lang w:eastAsia="es-ES"/>
        </w:rPr>
        <w:t xml:space="preserve">Estimada señora Romero Salazar: </w:t>
      </w:r>
    </w:p>
    <w:p w14:paraId="26EFF567" w14:textId="77777777" w:rsidR="00F37F48" w:rsidRPr="00F37F48" w:rsidRDefault="00F37F48" w:rsidP="00F37F48">
      <w:pPr>
        <w:tabs>
          <w:tab w:val="left" w:pos="3768"/>
        </w:tabs>
        <w:spacing w:after="0" w:line="276" w:lineRule="auto"/>
        <w:jc w:val="both"/>
        <w:rPr>
          <w:rFonts w:ascii="Verdana" w:eastAsia="Calibri" w:hAnsi="Verdana" w:cs="Arial"/>
          <w:color w:val="000000" w:themeColor="text1"/>
          <w:lang w:eastAsia="es-ES"/>
        </w:rPr>
      </w:pPr>
      <w:r w:rsidRPr="00F37F48">
        <w:rPr>
          <w:rFonts w:ascii="Verdana" w:eastAsia="Calibri" w:hAnsi="Verdana" w:cs="Arial"/>
          <w:color w:val="000000" w:themeColor="text1"/>
          <w:lang w:eastAsia="es-ES"/>
        </w:rPr>
        <w:tab/>
      </w:r>
    </w:p>
    <w:p w14:paraId="5EA63A4C" w14:textId="77777777" w:rsidR="00F37F48" w:rsidRPr="00F37F48" w:rsidRDefault="00F37F48" w:rsidP="00F37F48">
      <w:pPr>
        <w:spacing w:after="0" w:line="276" w:lineRule="auto"/>
        <w:jc w:val="both"/>
        <w:rPr>
          <w:rFonts w:ascii="Verdana" w:eastAsia="Calibri" w:hAnsi="Verdana" w:cs="Arial"/>
          <w:i/>
          <w:iCs/>
          <w:lang w:eastAsia="es-ES"/>
        </w:rPr>
      </w:pPr>
      <w:r w:rsidRPr="00F37F48">
        <w:rPr>
          <w:rFonts w:ascii="Verdana" w:eastAsia="Calibri" w:hAnsi="Verdana" w:cs="Arial"/>
          <w:color w:val="000000" w:themeColor="text1"/>
          <w:lang w:eastAsia="es-ES"/>
        </w:rPr>
        <w:t>En ejercicio de la competencia otorgada por los artículos 3, numeral 5º, y 11, numeral 8º, del Decreto Ley 4170 de 2011,</w:t>
      </w:r>
      <w:r w:rsidRPr="00F37F48">
        <w:rPr>
          <w:rFonts w:ascii="Verdana" w:eastAsia="Arial MT" w:hAnsi="Verdana" w:cs="Arial MT"/>
          <w:lang w:eastAsia="es-ES"/>
        </w:rPr>
        <w:t xml:space="preserve"> </w:t>
      </w:r>
      <w:r w:rsidRPr="00F37F48">
        <w:rPr>
          <w:rFonts w:ascii="Verdana" w:hAnsi="Verdana" w:cs="Arial"/>
        </w:rPr>
        <w:t xml:space="preserve">así como lo establecido en el artículo 4 de la Resolución 469 de 2025 expedida por esta Entidad, </w:t>
      </w:r>
      <w:r w:rsidRPr="00F37F48">
        <w:rPr>
          <w:rFonts w:ascii="Verdana" w:eastAsia="Calibri" w:hAnsi="Verdana" w:cs="Arial"/>
          <w:color w:val="000000" w:themeColor="text1"/>
          <w:lang w:eastAsia="es-ES"/>
        </w:rPr>
        <w:t>la Agencia Nacional de Contratación Pública – Colombia Compra Eficiente responde su solicitud de concepto del 9 de julio de 2025,</w:t>
      </w:r>
      <w:r w:rsidRPr="00F37F48">
        <w:rPr>
          <w:rFonts w:ascii="Verdana" w:eastAsia="Calibri" w:hAnsi="Verdana" w:cs="Arial"/>
          <w:lang w:eastAsia="es-ES"/>
        </w:rPr>
        <w:t xml:space="preserve"> en la cual consulta sobre lo siguiente:</w:t>
      </w:r>
      <w:r w:rsidRPr="00F37F48">
        <w:rPr>
          <w:rFonts w:ascii="Verdana" w:eastAsia="Calibri" w:hAnsi="Verdana" w:cs="Arial"/>
          <w:i/>
          <w:iCs/>
          <w:lang w:eastAsia="es-ES"/>
        </w:rPr>
        <w:t xml:space="preserve"> </w:t>
      </w:r>
      <w:bookmarkStart w:id="1" w:name="_Hlk95313578"/>
    </w:p>
    <w:p w14:paraId="2A175332" w14:textId="77777777" w:rsidR="00F37F48" w:rsidRPr="00F37F48" w:rsidRDefault="00F37F48" w:rsidP="00F37F48">
      <w:pPr>
        <w:spacing w:after="0" w:line="276" w:lineRule="auto"/>
        <w:jc w:val="both"/>
        <w:rPr>
          <w:rFonts w:ascii="Verdana" w:eastAsia="Calibri" w:hAnsi="Verdana" w:cs="Arial"/>
          <w:i/>
          <w:iCs/>
          <w:lang w:eastAsia="es-ES"/>
        </w:rPr>
      </w:pPr>
    </w:p>
    <w:p w14:paraId="5BDF79FB" w14:textId="77777777" w:rsidR="00F37F48" w:rsidRPr="00F37F48" w:rsidRDefault="00F37F48" w:rsidP="00F37F48">
      <w:pPr>
        <w:spacing w:after="0" w:line="240" w:lineRule="auto"/>
        <w:ind w:left="709" w:right="709"/>
        <w:jc w:val="both"/>
        <w:rPr>
          <w:rFonts w:ascii="Verdana" w:hAnsi="Verdana"/>
          <w:iCs/>
          <w:sz w:val="20"/>
          <w:szCs w:val="20"/>
        </w:rPr>
      </w:pPr>
      <w:r w:rsidRPr="00F37F48">
        <w:rPr>
          <w:rFonts w:ascii="Verdana" w:eastAsia="Arial" w:hAnsi="Verdana" w:cs="Arial"/>
          <w:iCs/>
          <w:color w:val="000000"/>
          <w:sz w:val="20"/>
          <w:szCs w:val="20"/>
        </w:rPr>
        <w:t>“</w:t>
      </w:r>
      <w:bookmarkEnd w:id="1"/>
      <w:r w:rsidRPr="00F37F48">
        <w:rPr>
          <w:rFonts w:ascii="Verdana" w:eastAsia="Arial" w:hAnsi="Verdana" w:cs="Arial"/>
          <w:iCs/>
          <w:color w:val="000000"/>
          <w:sz w:val="20"/>
          <w:szCs w:val="20"/>
        </w:rPr>
        <w:t xml:space="preserve">¿Es posible retrotraer la liquidación del contrato de mutuo acuerdo?, pese a que no se incluyeron salvedades que implicaran obligaciones posteriores a la firma de esta, y en la misma se indica que el contrato tuvo una ejecución presupuestal del 100% y todos los servicios ejecutados fueron recibidos a entera satisfacción. ¿Como la liquidación tiene efectos de transacción y genera la extinción de las obligaciones contractuales entre las partes; para efecto de realizar el reconocimiento del saldo no causado por error involuntario del Departamento de Hacienda, sería posible darle alcance a la liquidación o modificarla de mutuo acuerdo, para dejar la salvedad del valor adeudado al contratista, y de esta manera acudir a la figura de pasivos exigibles vigencias expiradas para proceder con el pago del saldo al contratista?. ¿El contratista podría recurrir ante la jurisdicción </w:t>
      </w:r>
      <w:r w:rsidRPr="00F37F48">
        <w:rPr>
          <w:rFonts w:ascii="Verdana" w:eastAsia="Arial" w:hAnsi="Verdana" w:cs="Arial"/>
          <w:iCs/>
          <w:color w:val="000000"/>
          <w:sz w:val="20"/>
          <w:szCs w:val="20"/>
        </w:rPr>
        <w:lastRenderedPageBreak/>
        <w:t xml:space="preserve">contenciosa administrativa y a través de audiencia de conciliación prejudicial la entidad reconozca la deuda del </w:t>
      </w:r>
      <w:proofErr w:type="spellStart"/>
      <w:r w:rsidRPr="00F37F48">
        <w:rPr>
          <w:rFonts w:ascii="Verdana" w:eastAsia="Arial" w:hAnsi="Verdana" w:cs="Arial"/>
          <w:iCs/>
          <w:color w:val="000000"/>
          <w:sz w:val="20"/>
          <w:szCs w:val="20"/>
        </w:rPr>
        <w:t>sald</w:t>
      </w:r>
      <w:proofErr w:type="spellEnd"/>
      <w:r w:rsidRPr="00F37F48">
        <w:rPr>
          <w:rFonts w:ascii="Verdana" w:eastAsia="Arial" w:hAnsi="Verdana" w:cs="Arial"/>
          <w:iCs/>
          <w:color w:val="000000"/>
          <w:sz w:val="20"/>
          <w:szCs w:val="20"/>
        </w:rPr>
        <w:t>” (SIC).</w:t>
      </w:r>
    </w:p>
    <w:p w14:paraId="275783B4" w14:textId="77777777" w:rsidR="00F37F48" w:rsidRPr="00F37F48" w:rsidRDefault="00F37F48" w:rsidP="00F37F48">
      <w:pPr>
        <w:spacing w:after="0" w:line="240" w:lineRule="auto"/>
        <w:ind w:left="709" w:right="709"/>
        <w:jc w:val="both"/>
      </w:pPr>
    </w:p>
    <w:p w14:paraId="63644AFC" w14:textId="77777777" w:rsidR="00F37F48" w:rsidRPr="00F37F48" w:rsidRDefault="00F37F48" w:rsidP="00F37F48">
      <w:pPr>
        <w:spacing w:after="120" w:line="276" w:lineRule="auto"/>
        <w:ind w:firstLine="709"/>
        <w:jc w:val="both"/>
        <w:rPr>
          <w:rFonts w:ascii="Verdana" w:eastAsia="Calibri" w:hAnsi="Verdana" w:cs="Arial"/>
          <w:color w:val="000000"/>
          <w:lang w:eastAsia="es-ES"/>
        </w:rPr>
      </w:pPr>
      <w:r w:rsidRPr="00F37F48">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37F48">
        <w:rPr>
          <w:rFonts w:ascii="Verdana" w:eastAsia="Calibri" w:hAnsi="Verdana" w:cs="Arial"/>
          <w:color w:val="000000"/>
          <w:szCs w:val="24"/>
          <w:lang w:eastAsia="es-ES_tradnl"/>
        </w:rPr>
        <w:tab/>
      </w:r>
    </w:p>
    <w:p w14:paraId="199D8109" w14:textId="77777777" w:rsidR="00F37F48" w:rsidRPr="00F37F48" w:rsidRDefault="00F37F48" w:rsidP="00F37F48">
      <w:pPr>
        <w:spacing w:after="0" w:line="276" w:lineRule="auto"/>
        <w:ind w:firstLine="709"/>
        <w:jc w:val="both"/>
        <w:rPr>
          <w:rFonts w:ascii="Verdana" w:eastAsia="Calibri" w:hAnsi="Verdana" w:cs="Arial"/>
          <w:color w:val="000000"/>
          <w:lang w:eastAsia="es-ES"/>
        </w:rPr>
      </w:pPr>
      <w:r w:rsidRPr="00F37F48">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el</w:t>
      </w:r>
      <w:r w:rsidRPr="00F37F48">
        <w:rPr>
          <w:rFonts w:ascii="Verdana" w:eastAsia="Calibri" w:hAnsi="Verdana" w:cs="Arial"/>
          <w:color w:val="7030A0"/>
          <w:lang w:eastAsia="es-ES"/>
        </w:rPr>
        <w:t xml:space="preserve"> </w:t>
      </w:r>
      <w:r w:rsidRPr="00F37F48">
        <w:rPr>
          <w:rFonts w:ascii="Verdana" w:eastAsia="Calibri" w:hAnsi="Verdana" w:cs="Arial"/>
          <w:color w:val="000000"/>
          <w:lang w:eastAsia="es-ES"/>
        </w:rPr>
        <w:t>problema</w:t>
      </w:r>
      <w:r w:rsidRPr="00F37F48">
        <w:rPr>
          <w:rFonts w:ascii="Verdana" w:eastAsia="Calibri" w:hAnsi="Verdana" w:cs="Arial"/>
          <w:color w:val="7030A0"/>
          <w:lang w:eastAsia="es-ES"/>
        </w:rPr>
        <w:t xml:space="preserve"> </w:t>
      </w:r>
      <w:r w:rsidRPr="00F37F48">
        <w:rPr>
          <w:rFonts w:ascii="Verdana" w:eastAsia="Calibri" w:hAnsi="Verdana" w:cs="Arial"/>
          <w:color w:val="000000"/>
          <w:lang w:eastAsia="es-ES"/>
        </w:rPr>
        <w:t>jurídico</w:t>
      </w:r>
      <w:r w:rsidRPr="00F37F48">
        <w:rPr>
          <w:rFonts w:ascii="Verdana" w:eastAsia="Calibri" w:hAnsi="Verdana" w:cs="Arial"/>
          <w:color w:val="7030A0"/>
          <w:lang w:eastAsia="es-ES"/>
        </w:rPr>
        <w:t xml:space="preserve"> </w:t>
      </w:r>
      <w:r w:rsidRPr="00F37F48">
        <w:rPr>
          <w:rFonts w:ascii="Verdana" w:eastAsia="Calibri" w:hAnsi="Verdana" w:cs="Arial"/>
          <w:color w:val="000000"/>
          <w:lang w:eastAsia="es-ES"/>
        </w:rPr>
        <w:t xml:space="preserve">de su consulta. </w:t>
      </w:r>
    </w:p>
    <w:p w14:paraId="4A6C07CB" w14:textId="77777777" w:rsidR="00F37F48" w:rsidRPr="00F37F48" w:rsidRDefault="00F37F48" w:rsidP="00F37F48">
      <w:pPr>
        <w:spacing w:after="0" w:line="276" w:lineRule="auto"/>
        <w:ind w:firstLine="709"/>
        <w:jc w:val="both"/>
        <w:rPr>
          <w:rFonts w:ascii="Verdana" w:eastAsia="Calibri" w:hAnsi="Verdana" w:cs="Arial"/>
          <w:color w:val="000000"/>
          <w:lang w:eastAsia="es-ES"/>
        </w:rPr>
      </w:pPr>
    </w:p>
    <w:p w14:paraId="2D73C233" w14:textId="77777777" w:rsidR="00F37F48" w:rsidRPr="00F37F48" w:rsidRDefault="00F37F48" w:rsidP="00F37F48">
      <w:pPr>
        <w:numPr>
          <w:ilvl w:val="0"/>
          <w:numId w:val="1"/>
        </w:numPr>
        <w:tabs>
          <w:tab w:val="left" w:pos="142"/>
          <w:tab w:val="left" w:pos="284"/>
        </w:tabs>
        <w:spacing w:after="0" w:line="276" w:lineRule="auto"/>
        <w:jc w:val="both"/>
        <w:rPr>
          <w:rFonts w:ascii="Verdana" w:eastAsia="Century Gothic" w:hAnsi="Verdana" w:cs="Century Gothic"/>
          <w:b/>
          <w:bCs/>
        </w:rPr>
      </w:pPr>
      <w:r w:rsidRPr="00F37F48">
        <w:rPr>
          <w:rFonts w:ascii="Verdana" w:eastAsia="Century Gothic" w:hAnsi="Verdana" w:cs="Century Gothic"/>
          <w:b/>
          <w:bCs/>
        </w:rPr>
        <w:t>Problemas planteados:</w:t>
      </w:r>
    </w:p>
    <w:p w14:paraId="4CEDF4FE" w14:textId="77777777" w:rsidR="00F37F48" w:rsidRPr="00F37F48" w:rsidRDefault="00F37F48" w:rsidP="00F37F48">
      <w:pPr>
        <w:tabs>
          <w:tab w:val="left" w:pos="426"/>
        </w:tabs>
        <w:spacing w:after="0" w:line="276" w:lineRule="auto"/>
        <w:jc w:val="both"/>
        <w:rPr>
          <w:rFonts w:ascii="Verdana" w:eastAsia="Century Gothic" w:hAnsi="Verdana" w:cs="Century Gothic"/>
        </w:rPr>
      </w:pPr>
    </w:p>
    <w:p w14:paraId="5FDCA5A3" w14:textId="77777777" w:rsidR="00F37F48" w:rsidRPr="00F37F48" w:rsidRDefault="00F37F48" w:rsidP="00F37F48">
      <w:pPr>
        <w:spacing w:after="0" w:line="276" w:lineRule="auto"/>
        <w:jc w:val="both"/>
        <w:rPr>
          <w:rFonts w:ascii="Verdana" w:eastAsia="Century Gothic" w:hAnsi="Verdana" w:cs="Century Gothic"/>
        </w:rPr>
      </w:pPr>
      <w:r w:rsidRPr="00F37F48">
        <w:rPr>
          <w:rFonts w:ascii="Verdana" w:eastAsia="Century Gothic" w:hAnsi="Verdana" w:cs="Century Gothic"/>
        </w:rPr>
        <w:t xml:space="preserve">De acuerdo con el contenido de su solicitud, esta Agencia resolverá los siguientes problemas jurídicos: ¿Cuál es la naturaleza jurídica y el alcance de la liquidación bilateral? </w:t>
      </w:r>
    </w:p>
    <w:p w14:paraId="2ECB579A" w14:textId="77777777" w:rsidR="00F37F48" w:rsidRPr="00F37F48" w:rsidRDefault="00F37F48" w:rsidP="00F37F48">
      <w:pPr>
        <w:tabs>
          <w:tab w:val="left" w:pos="142"/>
          <w:tab w:val="left" w:pos="284"/>
        </w:tabs>
        <w:spacing w:after="0" w:line="276" w:lineRule="auto"/>
        <w:jc w:val="both"/>
        <w:rPr>
          <w:rFonts w:ascii="Verdana" w:eastAsia="Century Gothic" w:hAnsi="Verdana" w:cs="Century Gothic"/>
          <w:b/>
          <w:bCs/>
        </w:rPr>
      </w:pPr>
    </w:p>
    <w:p w14:paraId="49EC6C50" w14:textId="77777777" w:rsidR="00F37F48" w:rsidRPr="00F37F48" w:rsidRDefault="00F37F48" w:rsidP="00F37F48">
      <w:pPr>
        <w:numPr>
          <w:ilvl w:val="0"/>
          <w:numId w:val="1"/>
        </w:numPr>
        <w:tabs>
          <w:tab w:val="left" w:pos="142"/>
          <w:tab w:val="left" w:pos="284"/>
        </w:tabs>
        <w:spacing w:after="0" w:line="276" w:lineRule="auto"/>
        <w:jc w:val="both"/>
        <w:rPr>
          <w:rFonts w:ascii="Verdana" w:eastAsia="Century Gothic" w:hAnsi="Verdana" w:cs="Century Gothic"/>
          <w:b/>
          <w:bCs/>
        </w:rPr>
      </w:pPr>
      <w:r w:rsidRPr="00F37F48">
        <w:rPr>
          <w:rFonts w:ascii="Verdana" w:eastAsia="Century Gothic" w:hAnsi="Verdana" w:cs="Century Gothic"/>
          <w:b/>
          <w:bCs/>
        </w:rPr>
        <w:t>Respuesta</w:t>
      </w:r>
      <w:r w:rsidRPr="00F37F48">
        <w:rPr>
          <w:rFonts w:ascii="Verdana" w:eastAsia="Century Gothic" w:hAnsi="Verdana" w:cs="Century Gothic"/>
          <w:b/>
          <w:bCs/>
          <w:lang w:val="es-ES"/>
        </w:rPr>
        <w:t>:</w:t>
      </w:r>
    </w:p>
    <w:p w14:paraId="0E0409D7" w14:textId="77777777" w:rsidR="00F37F48" w:rsidRPr="00F37F48" w:rsidRDefault="00F37F48" w:rsidP="00F37F48">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37F48" w:rsidRPr="00F37F48" w14:paraId="1CAF792F" w14:textId="77777777" w:rsidTr="00B127C4">
        <w:trPr>
          <w:jc w:val="center"/>
        </w:trPr>
        <w:tc>
          <w:tcPr>
            <w:tcW w:w="8828" w:type="dxa"/>
          </w:tcPr>
          <w:p w14:paraId="4BFA293D" w14:textId="77777777" w:rsidR="00F37F48" w:rsidRPr="00F37F48" w:rsidRDefault="00F37F48" w:rsidP="00F37F48">
            <w:pPr>
              <w:widowControl w:val="0"/>
              <w:autoSpaceDE w:val="0"/>
              <w:autoSpaceDN w:val="0"/>
              <w:spacing w:after="120" w:line="276" w:lineRule="auto"/>
              <w:jc w:val="both"/>
              <w:rPr>
                <w:rFonts w:ascii="Verdana" w:eastAsia="Arial" w:hAnsi="Verdana" w:cs="Arial"/>
                <w:lang w:val="es-ES" w:eastAsia="es-ES" w:bidi="es-ES"/>
              </w:rPr>
            </w:pPr>
            <w:bookmarkStart w:id="2" w:name="_Hlk171694685"/>
            <w:r w:rsidRPr="00F37F48">
              <w:rPr>
                <w:rFonts w:ascii="Verdana" w:eastAsia="Arial" w:hAnsi="Verdana" w:cs="Arial"/>
                <w:lang w:eastAsia="es-ES" w:bidi="es-ES"/>
              </w:rPr>
              <w:t xml:space="preserve">La </w:t>
            </w:r>
            <w:r w:rsidRPr="00F37F48">
              <w:rPr>
                <w:rFonts w:ascii="Verdana" w:eastAsia="Times New Roman" w:hAnsi="Verdana" w:cs="Arial"/>
                <w:color w:val="000000"/>
                <w:bdr w:val="none" w:sz="0" w:space="0" w:color="auto" w:frame="1"/>
                <w:shd w:val="clear" w:color="auto" w:fill="FFFFFF"/>
                <w:lang w:val="es-ES" w:eastAsia="es-ES_tradnl"/>
              </w:rPr>
              <w:t xml:space="preserve">liquidación bilateral es </w:t>
            </w:r>
            <w:r w:rsidRPr="00F37F48">
              <w:rPr>
                <w:rFonts w:ascii="Verdana" w:eastAsia="Arial" w:hAnsi="Verdana" w:cs="Arial"/>
                <w:lang w:val="es-ES" w:eastAsia="es-ES" w:bidi="es-ES"/>
              </w:rPr>
              <w:t xml:space="preserve">un acuerdo en el que las partes del contrato estatal, en ejercicio de la autonomía de la voluntad, regulan la finalización de su relación y disponen de los intereses que emanan de ella. Asimismo tiene efectos de título ejecutivo, transaccionales, puesto que las declaraciones y expresiones incorporadas en la correspondiente acta son reconocidas y protegidas por el ordenamiento jurídico, siempre y cuando no sean contrarias </w:t>
            </w:r>
            <w:r w:rsidRPr="00F37F48">
              <w:rPr>
                <w:rFonts w:ascii="Verdana" w:eastAsia="Arial" w:hAnsi="Verdana" w:cs="Arial"/>
                <w:lang w:val="es-ES" w:eastAsia="es-ES" w:bidi="es-ES"/>
              </w:rPr>
              <w:lastRenderedPageBreak/>
              <w:t>a la Constitución Política, la ley, el orden público, la moral y las buenas costumbres, y los principios y finalidades del Estatuto General de la Contratación de la Administración Pública y de la buena administración.</w:t>
            </w:r>
            <w:r w:rsidRPr="00F37F48">
              <w:rPr>
                <w:rFonts w:ascii="Verdana" w:eastAsia="Times New Roman" w:hAnsi="Verdana" w:cs="Arial"/>
                <w:color w:val="000000"/>
                <w:bdr w:val="none" w:sz="0" w:space="0" w:color="auto" w:frame="1"/>
                <w:shd w:val="clear" w:color="auto" w:fill="FFFFFF"/>
                <w:lang w:val="es-ES" w:eastAsia="es-ES_tradnl"/>
              </w:rPr>
              <w:t xml:space="preserve"> </w:t>
            </w:r>
            <w:r w:rsidRPr="00F37F48">
              <w:rPr>
                <w:rFonts w:ascii="Verdana" w:eastAsia="Arial" w:hAnsi="Verdana" w:cs="Arial"/>
                <w:lang w:val="es-ES" w:eastAsia="es-ES" w:bidi="es-ES"/>
              </w:rPr>
              <w:t>En ese sentido, la liquidación bilateral puede considerarse como una forma alternativa de resolver los conflictos o controversias que surjan a partir de la determinación de las prestaciones comunes a que las partes contractuales puedan o no tener derecho luego de haberse ejecutado el contrato, esto es, como una manera de evitar futuros litigios frente a los mismos asuntos.</w:t>
            </w:r>
          </w:p>
          <w:p w14:paraId="570CE279" w14:textId="77777777" w:rsidR="00F37F48" w:rsidRPr="00F37F48" w:rsidRDefault="00F37F48" w:rsidP="00F37F48">
            <w:pPr>
              <w:widowControl w:val="0"/>
              <w:autoSpaceDE w:val="0"/>
              <w:autoSpaceDN w:val="0"/>
              <w:spacing w:after="120" w:line="276" w:lineRule="auto"/>
              <w:ind w:right="108" w:firstLine="709"/>
              <w:jc w:val="both"/>
              <w:rPr>
                <w:rFonts w:ascii="Verdana" w:eastAsia="Arial" w:hAnsi="Verdana" w:cs="Arial"/>
                <w:lang w:eastAsia="es-ES" w:bidi="es-ES"/>
              </w:rPr>
            </w:pPr>
            <w:r w:rsidRPr="00F37F48">
              <w:rPr>
                <w:rFonts w:ascii="Verdana" w:eastAsia="Arial" w:hAnsi="Verdana" w:cs="Arial"/>
                <w:lang w:eastAsia="es-ES" w:bidi="es-ES"/>
              </w:rPr>
              <w:t>Sobre su carácter vinculante y obligatorio, el Consejo de Estado ha manifestado que “la fuerza jurídica vinculante del acta de liquidación bilateral proviene de la naturaleza transaccional del acuerdo de voluntades que contiene, por esa precisa razón no es posible desatender el contenido obligacional incorporado, pues su finalidad según el artículo 60 de la Ley 80 de 1993 está encaminada a que las partes puedan “declararse a paz y salvo”.  Por ello, ha mantenido la postura según la cual, por regla general, resulta improcedente elevar pretensiones originadas en el contrato que fue debidamente liquidado en forma bilateral por las partes, puesto que ello implicaría ir en contra de los propios actos y de una previa manifestación de voluntad efectuada por personas capaces de disponer de sus derechos, que quedó plasmada en el acta de liquidación cuando fue suscrita por la entidad contratante y el contratista.</w:t>
            </w:r>
          </w:p>
          <w:p w14:paraId="24592994" w14:textId="77777777" w:rsidR="00F37F48" w:rsidRPr="00F37F48" w:rsidRDefault="00F37F48" w:rsidP="00F37F48">
            <w:pPr>
              <w:widowControl w:val="0"/>
              <w:autoSpaceDE w:val="0"/>
              <w:autoSpaceDN w:val="0"/>
              <w:spacing w:after="120" w:line="276" w:lineRule="auto"/>
              <w:ind w:right="108" w:firstLine="709"/>
              <w:jc w:val="both"/>
              <w:rPr>
                <w:rFonts w:ascii="Verdana" w:eastAsia="Arial" w:hAnsi="Verdana" w:cs="Arial"/>
                <w:lang w:val="es-ES" w:eastAsia="es-ES" w:bidi="es-ES"/>
              </w:rPr>
            </w:pPr>
            <w:r w:rsidRPr="00F37F48">
              <w:rPr>
                <w:rFonts w:ascii="Verdana" w:eastAsia="Arial" w:hAnsi="Verdana" w:cs="Arial"/>
                <w:lang w:eastAsia="es-ES" w:bidi="es-ES"/>
              </w:rPr>
              <w:t xml:space="preserve">En este sentido, ateniendo al carácter vinculante y obligatorio del acta de liquidación bilateral, no es procedente desconocer posteriormente su contenido y acudir a las autoridades judiciales para dirimir puntos que no fueron objeto de salvedades o hayan sido expresamente consignadas en el acta. En efecto, </w:t>
            </w:r>
            <w:r w:rsidRPr="00F37F48">
              <w:rPr>
                <w:rFonts w:ascii="Verdana" w:eastAsia="Arial" w:hAnsi="Verdana" w:cs="Arial"/>
                <w:lang w:val="es-ES" w:eastAsia="es-ES" w:bidi="es-ES"/>
              </w:rPr>
              <w:t>es derecho del contratista realizar las salvedades u objeciones que considere, sin afectar los acuerdos logrados en otros aspectos. Estos acuerdos deben quedar consignados en el acta bilateral, documento que sirve de base para evaluar el estado final del contrato, y de ser necesario reclamar por obligaciones pendientes y en consecuencia de ello, las entidades deben estipular en ellas las reclamaciones o salvedades de orden económico y técnico que el contratista formulen frente al balance técnico, jurídico y económico del contrato.</w:t>
            </w:r>
          </w:p>
          <w:p w14:paraId="0B9CE2A5" w14:textId="77777777" w:rsidR="00F37F48" w:rsidRPr="00F37F48" w:rsidRDefault="00F37F48" w:rsidP="00F37F48">
            <w:pPr>
              <w:widowControl w:val="0"/>
              <w:autoSpaceDE w:val="0"/>
              <w:autoSpaceDN w:val="0"/>
              <w:spacing w:before="93" w:after="120" w:line="276" w:lineRule="auto"/>
              <w:ind w:right="105" w:firstLine="709"/>
              <w:jc w:val="both"/>
              <w:rPr>
                <w:rFonts w:ascii="Verdana" w:eastAsia="Arial" w:hAnsi="Verdana" w:cs="Arial"/>
                <w:lang w:eastAsia="es-ES" w:bidi="es-ES"/>
              </w:rPr>
            </w:pPr>
            <w:r w:rsidRPr="00F37F48">
              <w:rPr>
                <w:rFonts w:ascii="Verdana" w:eastAsia="Arial" w:hAnsi="Verdana" w:cs="Arial"/>
                <w:lang w:eastAsia="es-ES" w:bidi="es-ES"/>
              </w:rPr>
              <w:t xml:space="preserve">Por consiguiente, debido a la naturaleza y al alcance de la liquidación bilateral, no se considera procedente realizar modificaciones posteriores que </w:t>
            </w:r>
            <w:r w:rsidRPr="00F37F48">
              <w:rPr>
                <w:rFonts w:ascii="Verdana" w:eastAsia="Arial" w:hAnsi="Verdana" w:cs="Arial"/>
                <w:lang w:eastAsia="es-ES" w:bidi="es-ES"/>
              </w:rPr>
              <w:lastRenderedPageBreak/>
              <w:t xml:space="preserve">alteren los acuerdos inicialmente suscritos por las partes. Precisamente, la fuerza obligatoria de este instrumento radica en que representa una manifestación libre y consciente de la voluntad de las partes, dirigida a dar por terminado el contrato y a resolver las diferencias surgidas durante su ejecución. En ese sentido, se entiende definitiva y solo admite impugnación en los casos señalados, como la existencia de vicios del consentimiento o cuando se hayan dejado salvedades expresas en el mismo documento. </w:t>
            </w:r>
          </w:p>
        </w:tc>
      </w:tr>
    </w:tbl>
    <w:p w14:paraId="12C8BE1E" w14:textId="77777777" w:rsidR="00F37F48" w:rsidRPr="00F37F48" w:rsidRDefault="00F37F48" w:rsidP="00F37F48">
      <w:pPr>
        <w:tabs>
          <w:tab w:val="left" w:pos="142"/>
          <w:tab w:val="left" w:pos="284"/>
        </w:tabs>
        <w:spacing w:after="0" w:line="276" w:lineRule="auto"/>
        <w:jc w:val="both"/>
        <w:rPr>
          <w:rFonts w:ascii="Verdana" w:eastAsia="Century Gothic" w:hAnsi="Verdana" w:cs="Century Gothic"/>
          <w:b/>
          <w:bCs/>
        </w:rPr>
      </w:pPr>
    </w:p>
    <w:bookmarkEnd w:id="2"/>
    <w:p w14:paraId="3A3247A9" w14:textId="77777777" w:rsidR="00F37F48" w:rsidRPr="00F37F48" w:rsidRDefault="00F37F48" w:rsidP="00F37F48">
      <w:pPr>
        <w:numPr>
          <w:ilvl w:val="0"/>
          <w:numId w:val="1"/>
        </w:numPr>
        <w:tabs>
          <w:tab w:val="left" w:pos="142"/>
          <w:tab w:val="left" w:pos="284"/>
        </w:tabs>
        <w:spacing w:after="0" w:line="276" w:lineRule="auto"/>
        <w:jc w:val="both"/>
        <w:rPr>
          <w:rFonts w:ascii="Verdana" w:eastAsia="Century Gothic" w:hAnsi="Verdana" w:cs="Century Gothic"/>
          <w:b/>
          <w:bCs/>
        </w:rPr>
      </w:pPr>
      <w:r w:rsidRPr="00F37F48">
        <w:rPr>
          <w:rFonts w:ascii="Verdana" w:eastAsia="Century Gothic" w:hAnsi="Verdana" w:cs="Century Gothic"/>
          <w:b/>
          <w:bCs/>
        </w:rPr>
        <w:t>Razones de las respuestas:</w:t>
      </w:r>
    </w:p>
    <w:p w14:paraId="35F3F22A" w14:textId="77777777" w:rsidR="00F37F48" w:rsidRPr="00F37F48" w:rsidRDefault="00F37F48" w:rsidP="00F37F48">
      <w:pPr>
        <w:spacing w:after="0" w:line="276" w:lineRule="auto"/>
        <w:jc w:val="both"/>
        <w:rPr>
          <w:rFonts w:ascii="Verdana" w:eastAsia="Calibri" w:hAnsi="Verdana" w:cs="Arial"/>
          <w:color w:val="7030A0"/>
        </w:rPr>
      </w:pPr>
    </w:p>
    <w:p w14:paraId="6A9E11F1" w14:textId="77777777" w:rsidR="00F37F48" w:rsidRPr="00F37F48" w:rsidRDefault="00F37F48" w:rsidP="00F37F48">
      <w:pPr>
        <w:spacing w:after="0" w:line="276" w:lineRule="auto"/>
        <w:jc w:val="both"/>
        <w:rPr>
          <w:rFonts w:ascii="Verdana" w:eastAsia="Calibri" w:hAnsi="Verdana" w:cs="Arial"/>
        </w:rPr>
      </w:pPr>
      <w:r w:rsidRPr="00F37F48">
        <w:rPr>
          <w:rFonts w:ascii="Verdana" w:eastAsia="Calibri" w:hAnsi="Verdana" w:cs="Arial"/>
        </w:rPr>
        <w:t>Lo anterior se sustenta en las siguientes consideraciones:</w:t>
      </w:r>
    </w:p>
    <w:p w14:paraId="4D233ED7" w14:textId="77777777" w:rsidR="00F37F48" w:rsidRPr="00F37F48" w:rsidRDefault="00F37F48" w:rsidP="00F37F48">
      <w:pPr>
        <w:spacing w:after="0" w:line="276" w:lineRule="auto"/>
        <w:ind w:right="49"/>
        <w:jc w:val="both"/>
        <w:rPr>
          <w:rFonts w:ascii="Verdana" w:eastAsia="Calibri" w:hAnsi="Verdana" w:cs="Arial"/>
          <w:color w:val="000000" w:themeColor="text1"/>
        </w:rPr>
      </w:pPr>
    </w:p>
    <w:p w14:paraId="5C2E9459" w14:textId="77777777" w:rsidR="00F37F48" w:rsidRPr="00F37F48" w:rsidRDefault="00F37F48" w:rsidP="00F37F48">
      <w:pPr>
        <w:spacing w:line="276" w:lineRule="auto"/>
        <w:jc w:val="both"/>
        <w:rPr>
          <w:rFonts w:ascii="Verdana" w:eastAsia="Calibri" w:hAnsi="Verdana" w:cs="Arial"/>
          <w:color w:val="000000"/>
          <w:lang w:val="es-ES_tradnl"/>
        </w:rPr>
      </w:pPr>
      <w:r w:rsidRPr="00F37F48">
        <w:rPr>
          <w:rFonts w:ascii="Verdana" w:eastAsia="Calibri" w:hAnsi="Verdana" w:cs="Arial"/>
          <w:color w:val="000000"/>
          <w:lang w:val="es-ES_tradnl"/>
        </w:rPr>
        <w:t>i. La liquidación es el momento en el cual, una vez concluido el contrato estatal, las partes cruzan cuentas respecto de sus obligaciones. Por tanto, su objetivo es determinar si pueden declararse a paz y salvo mutuo o si, por el contrario, existen aún obligaciones por cumplir, para acordar la forma en que deben ser finalizadas</w:t>
      </w:r>
      <w:r w:rsidRPr="00F37F48">
        <w:rPr>
          <w:vertAlign w:val="superscript"/>
        </w:rPr>
        <w:footnoteReference w:id="2"/>
      </w:r>
      <w:r w:rsidRPr="00F37F48">
        <w:rPr>
          <w:rFonts w:ascii="Verdana" w:eastAsia="Calibri" w:hAnsi="Verdana" w:cs="Arial"/>
          <w:color w:val="000000"/>
          <w:lang w:val="es-ES_tradnl"/>
        </w:rPr>
        <w:t>. En armonía con lo anterior, la doctrina ha definido la liquidación de la siguiente manera:</w:t>
      </w:r>
    </w:p>
    <w:p w14:paraId="01FDF6CC" w14:textId="77777777" w:rsidR="00F37F48" w:rsidRPr="00F37F48" w:rsidRDefault="00F37F48" w:rsidP="00F37F48">
      <w:pPr>
        <w:spacing w:after="0" w:line="240" w:lineRule="auto"/>
        <w:ind w:left="709" w:right="758"/>
        <w:jc w:val="both"/>
        <w:rPr>
          <w:rFonts w:ascii="Verdana" w:eastAsia="Calibri" w:hAnsi="Verdana" w:cs="Arial"/>
          <w:sz w:val="20"/>
          <w:szCs w:val="20"/>
          <w:lang w:val="es-MX"/>
        </w:rPr>
      </w:pPr>
      <w:r w:rsidRPr="00F37F48">
        <w:rPr>
          <w:rFonts w:ascii="Verdana" w:eastAsia="Calibri" w:hAnsi="Verdana" w:cs="Arial"/>
          <w:i/>
          <w:iCs/>
          <w:color w:val="000000"/>
          <w:sz w:val="20"/>
          <w:szCs w:val="20"/>
          <w:lang w:val="es-ES_tradnl"/>
        </w:rPr>
        <w:t>“</w:t>
      </w:r>
      <w:r w:rsidRPr="00F37F48">
        <w:rPr>
          <w:rFonts w:ascii="Verdana" w:eastAsia="Calibri" w:hAnsi="Verdana" w:cs="Arial"/>
          <w:sz w:val="20"/>
          <w:szCs w:val="20"/>
          <w:lang w:val="es-MX"/>
        </w:rPr>
        <w:t xml:space="preserve">[…] la liquidación del contrato estatal corresponde al arreglo o ajuste económico, técnico y jurídico al que se llega de forma bilateral (por las partes del negocio), unilateralmente (por la administración), por el juez o por el árbitro, según el caso, para determinar el estado final de la relación contractual, no solo en cuento al cumplimiento del objeto acordado y al recibo a satisfacción de los productos contratados (bienes y servicios), sino, además, para definir la situación en la que quedan los contratantes, luego de la ejecución del contrato, en el sentido de disponer cuánto se adeudan, de qué manera y en qué plazos se han de efectuar los pagos pendientes y las condiciones para el establecimiento del respectivo paz y salvo. En otras palabras, la liquidación es el acto jurídico bilateral, administrativo o judicial, en el que se plasma y formaliza la situación financiera y jurídica de las partes, al término de la relación contractual (aspecto subjetivo) y el grado de cumplimiento del objeto contratado (aspecto objetivo); de ahí que pueda hablarse, en términos amplios, de </w:t>
      </w:r>
      <w:r w:rsidRPr="00F37F48">
        <w:rPr>
          <w:rFonts w:ascii="Verdana" w:eastAsia="Calibri" w:hAnsi="Verdana" w:cs="Arial"/>
          <w:sz w:val="20"/>
          <w:szCs w:val="20"/>
          <w:lang w:val="es-MX"/>
        </w:rPr>
        <w:lastRenderedPageBreak/>
        <w:t xml:space="preserve">un doble contenido, que debe estar presente en toda liquidación. En efecto, el corte de cuentas realizado en ella tiene un doble alcance: (i) hacer un balance definitivo del negocio, en sus aspectos técnicos, financieros y jurídicos (aspecto objetivo o material) y </w:t>
      </w:r>
      <w:proofErr w:type="spellStart"/>
      <w:r w:rsidRPr="00F37F48">
        <w:rPr>
          <w:rFonts w:ascii="Verdana" w:eastAsia="Calibri" w:hAnsi="Verdana" w:cs="Arial"/>
          <w:sz w:val="20"/>
          <w:szCs w:val="20"/>
          <w:lang w:val="es-MX"/>
        </w:rPr>
        <w:t>ii</w:t>
      </w:r>
      <w:proofErr w:type="spellEnd"/>
      <w:r w:rsidRPr="00F37F48">
        <w:rPr>
          <w:rFonts w:ascii="Verdana" w:eastAsia="Calibri" w:hAnsi="Verdana" w:cs="Arial"/>
          <w:sz w:val="20"/>
          <w:szCs w:val="20"/>
          <w:lang w:val="es-MX"/>
        </w:rPr>
        <w:t>) definir la situación jurídica de las partes, estableciendo si pueden constituirse o no a paz y salvo; lo que exige, en la práctica, que los negociantes dialoguen e intenten ponerse de acuerdo (aspecto subjetivo)”</w:t>
      </w:r>
      <w:r w:rsidRPr="00F37F48">
        <w:rPr>
          <w:rFonts w:ascii="Verdana" w:eastAsia="Calibri" w:hAnsi="Verdana" w:cs="Arial"/>
          <w:sz w:val="20"/>
          <w:szCs w:val="20"/>
          <w:vertAlign w:val="superscript"/>
          <w:lang w:val="es-MX"/>
        </w:rPr>
        <w:footnoteReference w:id="3"/>
      </w:r>
      <w:r w:rsidRPr="00F37F48">
        <w:rPr>
          <w:rFonts w:ascii="Verdana" w:eastAsia="Calibri" w:hAnsi="Verdana" w:cs="Arial"/>
          <w:sz w:val="20"/>
          <w:szCs w:val="20"/>
          <w:lang w:val="es-MX"/>
        </w:rPr>
        <w:t>.</w:t>
      </w:r>
    </w:p>
    <w:p w14:paraId="06F1A922" w14:textId="77777777" w:rsidR="00F37F48" w:rsidRPr="00F37F48" w:rsidRDefault="00F37F48" w:rsidP="00F37F48">
      <w:pPr>
        <w:spacing w:after="0" w:line="276" w:lineRule="auto"/>
        <w:jc w:val="both"/>
        <w:rPr>
          <w:rFonts w:ascii="Verdana" w:eastAsia="Calibri" w:hAnsi="Verdana" w:cs="Arial"/>
          <w:color w:val="000000"/>
          <w:lang w:val="es-ES_tradnl"/>
        </w:rPr>
      </w:pPr>
    </w:p>
    <w:p w14:paraId="7FF23998" w14:textId="77777777" w:rsidR="00F37F48" w:rsidRPr="00F37F48" w:rsidRDefault="00F37F48" w:rsidP="00F37F48">
      <w:pPr>
        <w:spacing w:after="120" w:line="276" w:lineRule="auto"/>
        <w:ind w:firstLine="709"/>
        <w:jc w:val="both"/>
        <w:rPr>
          <w:rFonts w:ascii="Verdana" w:eastAsia="Times New Roman" w:hAnsi="Verdana" w:cs="Arial"/>
          <w:color w:val="000000"/>
          <w:sz w:val="21"/>
          <w:szCs w:val="21"/>
          <w:lang w:val="es-ES_tradnl" w:eastAsia="es-ES_tradnl"/>
        </w:rPr>
      </w:pPr>
      <w:r w:rsidRPr="00F37F48">
        <w:rPr>
          <w:rFonts w:ascii="Verdana" w:eastAsia="Times New Roman" w:hAnsi="Verdana" w:cs="Arial"/>
          <w:color w:val="000000"/>
          <w:szCs w:val="24"/>
          <w:lang w:val="es-ES_tradnl" w:eastAsia="es-ES_tradnl"/>
        </w:rPr>
        <w:t xml:space="preserve">Según la jurisprudencia, la liquidación es el ajuste de cuentas donde las partes hacen un balance económico, técnico y jurídico del cumplimiento de las obligaciones que tienen a su cargo. Así lo manifestó el Consejo de Estado en la Sentencia del 20 de octubre de 2014, en la que consideró, por un lado, que </w:t>
      </w:r>
      <w:r w:rsidRPr="00F37F48">
        <w:rPr>
          <w:rFonts w:ascii="Verdana" w:eastAsia="Times New Roman" w:hAnsi="Verdana" w:cs="Arial"/>
          <w:i/>
          <w:iCs/>
          <w:color w:val="000000"/>
          <w:szCs w:val="24"/>
          <w:lang w:val="es-ES_tradnl" w:eastAsia="es-ES_tradnl"/>
        </w:rPr>
        <w:t>liquidar</w:t>
      </w:r>
      <w:r w:rsidRPr="00F37F48">
        <w:rPr>
          <w:rFonts w:ascii="Verdana" w:eastAsia="Times New Roman" w:hAnsi="Verdana" w:cs="Arial"/>
          <w:color w:val="000000"/>
          <w:szCs w:val="24"/>
          <w:lang w:val="es-ES_tradnl" w:eastAsia="es-ES_tradnl"/>
        </w:rPr>
        <w:t xml:space="preserve"> supone un ajuste en relación con las cuentas y el estado de cumplimiento del contrato estatal y, por el otro, que la </w:t>
      </w:r>
      <w:r w:rsidRPr="00F37F48">
        <w:rPr>
          <w:rFonts w:ascii="Verdana" w:eastAsia="Times New Roman" w:hAnsi="Verdana" w:cs="Arial"/>
          <w:i/>
          <w:iCs/>
          <w:color w:val="000000"/>
          <w:szCs w:val="24"/>
          <w:lang w:val="es-ES_tradnl" w:eastAsia="es-ES_tradnl"/>
        </w:rPr>
        <w:t>liquidación</w:t>
      </w:r>
      <w:r w:rsidRPr="00F37F48">
        <w:rPr>
          <w:rFonts w:ascii="Verdana" w:eastAsia="Times New Roman" w:hAnsi="Verdana" w:cs="Arial"/>
          <w:color w:val="000000"/>
          <w:szCs w:val="24"/>
          <w:lang w:val="es-ES_tradnl" w:eastAsia="es-ES_tradnl"/>
        </w:rPr>
        <w:t xml:space="preserve"> debe incluir el análisis de las condiciones de calidad y oportunidad en la entrega de los bienes, obras o servicios, así como el balance económico y el comportamiento financiero del negocio</w:t>
      </w:r>
      <w:r w:rsidRPr="00F37F48">
        <w:rPr>
          <w:rFonts w:ascii="Verdana" w:eastAsia="Times New Roman" w:hAnsi="Verdana" w:cs="Arial"/>
          <w:color w:val="000000"/>
          <w:szCs w:val="24"/>
          <w:vertAlign w:val="superscript"/>
          <w:lang w:val="es-ES_tradnl" w:eastAsia="es-ES_tradnl"/>
        </w:rPr>
        <w:footnoteReference w:id="4"/>
      </w:r>
      <w:r w:rsidRPr="00F37F48">
        <w:rPr>
          <w:rFonts w:ascii="Verdana" w:eastAsia="Times New Roman" w:hAnsi="Verdana" w:cs="Arial"/>
          <w:color w:val="000000"/>
          <w:szCs w:val="24"/>
          <w:lang w:val="es-ES_tradnl" w:eastAsia="es-ES_tradnl"/>
        </w:rPr>
        <w:t xml:space="preserve">. </w:t>
      </w:r>
    </w:p>
    <w:p w14:paraId="0A986E8E" w14:textId="77777777" w:rsidR="00F37F48" w:rsidRPr="00F37F48" w:rsidRDefault="00F37F48" w:rsidP="00F37F48">
      <w:pPr>
        <w:spacing w:after="0" w:line="276" w:lineRule="auto"/>
        <w:ind w:firstLine="709"/>
        <w:jc w:val="both"/>
        <w:rPr>
          <w:rFonts w:ascii="Verdana" w:eastAsia="Calibri" w:hAnsi="Verdana" w:cs="Arial"/>
          <w:color w:val="000000"/>
          <w:lang w:val="es-ES_tradnl"/>
        </w:rPr>
      </w:pPr>
      <w:r w:rsidRPr="00F37F48">
        <w:rPr>
          <w:rFonts w:ascii="Verdana" w:eastAsia="Calibri" w:hAnsi="Verdana" w:cs="Arial"/>
          <w:color w:val="000000"/>
          <w:lang w:val="es-ES_tradnl"/>
        </w:rPr>
        <w:t>Para las entidades sometidas al EGCAP, las disposiciones legales que regulan la etapa de liquidación de los contratos estatales son el artículo 60 de la Ley 80 de 1993, modificado por el artículo 217 del Decreto 019 de 2012, y el artículo 11 de la Ley 1150 de 2007. El primero de estos artículos se refiere al alcance sustantivo de la liquidación y los contratos en que procede, mientras que el segundo contiene reglas procedimentales para su realización. En relación con el artículo 60 referido, la doctrina ha indicado que:</w:t>
      </w:r>
    </w:p>
    <w:p w14:paraId="14D5E8F9" w14:textId="77777777" w:rsidR="00F37F48" w:rsidRPr="00F37F48" w:rsidRDefault="00F37F48" w:rsidP="00F37F48">
      <w:pPr>
        <w:spacing w:after="0" w:line="276" w:lineRule="auto"/>
        <w:ind w:firstLine="708"/>
        <w:jc w:val="both"/>
        <w:rPr>
          <w:rFonts w:ascii="Verdana" w:eastAsia="Calibri" w:hAnsi="Verdana" w:cs="Arial"/>
          <w:lang w:val="es-ES"/>
        </w:rPr>
      </w:pPr>
    </w:p>
    <w:p w14:paraId="6D575273" w14:textId="77777777" w:rsidR="00F37F48" w:rsidRPr="00F37F48" w:rsidRDefault="00F37F48" w:rsidP="00F37F48">
      <w:pPr>
        <w:spacing w:after="0" w:line="240" w:lineRule="auto"/>
        <w:ind w:left="709" w:right="758"/>
        <w:jc w:val="both"/>
        <w:rPr>
          <w:rFonts w:ascii="Verdana" w:eastAsia="Calibri" w:hAnsi="Verdana" w:cs="Arial"/>
          <w:sz w:val="20"/>
          <w:szCs w:val="20"/>
          <w:lang w:val="es-MX"/>
        </w:rPr>
      </w:pPr>
      <w:r w:rsidRPr="00F37F48">
        <w:rPr>
          <w:rFonts w:ascii="Verdana" w:eastAsia="Calibri" w:hAnsi="Verdana" w:cs="Arial"/>
          <w:sz w:val="20"/>
          <w:szCs w:val="20"/>
          <w:lang w:val="es-ES"/>
        </w:rPr>
        <w:t>“</w:t>
      </w:r>
      <w:r w:rsidRPr="00F37F48">
        <w:rPr>
          <w:rFonts w:ascii="Verdana" w:eastAsia="Calibri" w:hAnsi="Verdana" w:cs="Arial"/>
          <w:sz w:val="20"/>
          <w:szCs w:val="20"/>
          <w:lang w:val="es-MX"/>
        </w:rPr>
        <w:t xml:space="preserve">La ley 80 de 1993 […] dispuso en el artículo 60 que serían objeto de liquidación todos los contratos de tracto sucesivo, entendiendo por estos los de ejecución y cumplimiento prolongados en el tiempo, así como los demás que lo requieran –que son generalmente aquellos de ejecución instantánea en los que la misma se ha extendido temporalmente–, etapa en la cual las partes debían acordar los ajustes, revisiones y </w:t>
      </w:r>
      <w:r w:rsidRPr="00F37F48">
        <w:rPr>
          <w:rFonts w:ascii="Verdana" w:eastAsia="Calibri" w:hAnsi="Verdana" w:cs="Arial"/>
          <w:sz w:val="20"/>
          <w:szCs w:val="20"/>
          <w:lang w:val="es-MX"/>
        </w:rPr>
        <w:lastRenderedPageBreak/>
        <w:t>reconocimientos a que hubiera lugar, y que el contenido de la misma debía reflejar “los acuerdos, conciliaciones y transacciones a que llegaren las partes para poner fin a las divergencias presentadas y poder declararse a paz y salvo”</w:t>
      </w:r>
      <w:r w:rsidRPr="00F37F48">
        <w:rPr>
          <w:rFonts w:ascii="Verdana" w:eastAsia="Calibri" w:hAnsi="Verdana" w:cs="Arial"/>
          <w:sz w:val="20"/>
          <w:szCs w:val="20"/>
          <w:vertAlign w:val="superscript"/>
          <w:lang w:val="es-MX"/>
        </w:rPr>
        <w:footnoteReference w:id="5"/>
      </w:r>
      <w:r w:rsidRPr="00F37F48">
        <w:rPr>
          <w:rFonts w:ascii="Verdana" w:eastAsia="Calibri" w:hAnsi="Verdana" w:cs="Arial"/>
          <w:sz w:val="20"/>
          <w:szCs w:val="20"/>
          <w:lang w:val="es-MX"/>
        </w:rPr>
        <w:t>.</w:t>
      </w:r>
    </w:p>
    <w:p w14:paraId="4A02F63F" w14:textId="77777777" w:rsidR="00F37F48" w:rsidRPr="00F37F48" w:rsidRDefault="00F37F48" w:rsidP="00F37F48">
      <w:pPr>
        <w:spacing w:after="0" w:line="276" w:lineRule="auto"/>
        <w:ind w:left="709" w:right="758"/>
        <w:jc w:val="both"/>
        <w:rPr>
          <w:rFonts w:ascii="Verdana" w:eastAsia="Calibri" w:hAnsi="Verdana" w:cs="Arial"/>
          <w:lang w:val="es-ES"/>
        </w:rPr>
      </w:pPr>
    </w:p>
    <w:p w14:paraId="6EAD9B16" w14:textId="77777777" w:rsidR="00F37F48" w:rsidRPr="00F37F48" w:rsidRDefault="00F37F48" w:rsidP="00F37F48">
      <w:pPr>
        <w:spacing w:after="120" w:line="276" w:lineRule="auto"/>
        <w:ind w:firstLine="708"/>
        <w:jc w:val="both"/>
        <w:rPr>
          <w:rFonts w:ascii="Verdana" w:eastAsia="Calibri" w:hAnsi="Verdana" w:cs="Arial"/>
          <w:color w:val="000000"/>
          <w:lang w:val="es-ES_tradnl"/>
        </w:rPr>
      </w:pPr>
      <w:r w:rsidRPr="00F37F48">
        <w:rPr>
          <w:rFonts w:ascii="Verdana" w:eastAsia="Calibri" w:hAnsi="Verdana" w:cs="Arial"/>
          <w:color w:val="000000"/>
          <w:lang w:val="es-ES_tradnl"/>
        </w:rPr>
        <w:t xml:space="preserve">Así las cosas, de acuerdo con el artículo 60 de la Ley 80 de 1993, los contratos de tracto sucesivo, aquellos cuyo cumplimiento o ejecución se prolongue en el tiempo y los demás que lo requieran </w:t>
      </w:r>
      <w:r w:rsidRPr="00F37F48">
        <w:rPr>
          <w:rFonts w:ascii="Verdana" w:eastAsia="Calibri" w:hAnsi="Verdana" w:cs="Arial"/>
          <w:i/>
          <w:color w:val="000000"/>
          <w:lang w:val="es-ES_tradnl"/>
        </w:rPr>
        <w:t>“serán objeto de liquidación”.</w:t>
      </w:r>
      <w:r w:rsidRPr="00F37F48">
        <w:rPr>
          <w:rFonts w:ascii="Verdana" w:eastAsia="Calibri" w:hAnsi="Verdana" w:cs="Arial"/>
          <w:color w:val="000000"/>
          <w:lang w:val="es-ES_tradnl"/>
        </w:rPr>
        <w:t xml:space="preserve"> El mismo artículo prescribe que no será obligatoria la liquidación en los contratos de prestación de servicios profesionales y de apoyo a la gestión. Adicionalmente, en los contratos las entidades estatales deben definir la oportunidad y forma de recibir el objeto contratado y, en cada caso, si un contrato requiere o no de liquidación, con arreglo a criterios tales como la naturaleza, objeto y plazo del contrato</w:t>
      </w:r>
      <w:r w:rsidRPr="00F37F48">
        <w:rPr>
          <w:rFonts w:ascii="Verdana" w:eastAsia="Calibri" w:hAnsi="Verdana" w:cs="Arial"/>
          <w:color w:val="000000"/>
          <w:vertAlign w:val="superscript"/>
          <w:lang w:val="es-ES_tradnl"/>
        </w:rPr>
        <w:footnoteReference w:id="6"/>
      </w:r>
      <w:r w:rsidRPr="00F37F48">
        <w:rPr>
          <w:rFonts w:ascii="Verdana" w:eastAsia="Calibri" w:hAnsi="Verdana" w:cs="Arial"/>
          <w:color w:val="000000"/>
          <w:lang w:val="es-ES_tradnl"/>
        </w:rPr>
        <w:t xml:space="preserve">, así como la probabilidad de que puedan surgir diferencias durante la ejecución del contrato; sin perjuicio de que, como se indicó, todos los contratos estatales de </w:t>
      </w:r>
      <w:r w:rsidRPr="00F37F48">
        <w:rPr>
          <w:rFonts w:ascii="Verdana" w:eastAsia="Calibri" w:hAnsi="Verdana" w:cs="Arial"/>
          <w:i/>
          <w:iCs/>
          <w:color w:val="000000"/>
          <w:lang w:val="es-ES_tradnl"/>
        </w:rPr>
        <w:t>tracto sucesivo</w:t>
      </w:r>
      <w:r w:rsidRPr="00F37F48">
        <w:rPr>
          <w:rFonts w:ascii="Verdana" w:eastAsia="Calibri" w:hAnsi="Verdana" w:cs="Arial"/>
          <w:color w:val="000000"/>
          <w:lang w:val="es-ES_tradnl"/>
        </w:rPr>
        <w:t xml:space="preserve"> o aquellos cuya ejecución se prolongue en el tiempo siempre deban liquidarse, convirtiéndose en estos contratos en una cláusula de la naturaleza, conforme a la clasificación prevista en el Código Civil.</w:t>
      </w:r>
    </w:p>
    <w:p w14:paraId="152390C8" w14:textId="77777777" w:rsidR="00F37F48" w:rsidRPr="00F37F48" w:rsidRDefault="00F37F48" w:rsidP="00F37F48">
      <w:pPr>
        <w:spacing w:after="120" w:line="276" w:lineRule="auto"/>
        <w:ind w:firstLine="708"/>
        <w:jc w:val="both"/>
        <w:rPr>
          <w:rFonts w:ascii="Verdana" w:eastAsia="Calibri" w:hAnsi="Verdana" w:cs="Arial"/>
          <w:color w:val="000000"/>
          <w:lang w:val="es-ES"/>
        </w:rPr>
      </w:pPr>
      <w:r w:rsidRPr="00F37F48">
        <w:rPr>
          <w:rFonts w:ascii="Verdana" w:eastAsia="Calibri" w:hAnsi="Verdana" w:cs="Arial"/>
          <w:color w:val="000000"/>
          <w:lang w:val="es-ES"/>
        </w:rPr>
        <w:t>Por su parte, el artículo 11 de la Ley 1150 de 2007 contiene las reglas de tipo procedimental para liquidar los contratos estatales, las cuales se pasan a explicar</w:t>
      </w:r>
      <w:r w:rsidRPr="00F37F48">
        <w:rPr>
          <w:rFonts w:ascii="Verdana" w:eastAsia="Calibri" w:hAnsi="Verdana" w:cs="Arial"/>
          <w:color w:val="000000"/>
          <w:vertAlign w:val="superscript"/>
          <w:lang w:val="es-ES"/>
        </w:rPr>
        <w:footnoteReference w:id="7"/>
      </w:r>
      <w:r w:rsidRPr="00F37F48">
        <w:rPr>
          <w:rFonts w:ascii="Verdana" w:eastAsia="Calibri" w:hAnsi="Verdana" w:cs="Arial"/>
          <w:color w:val="000000"/>
          <w:lang w:val="es-ES"/>
        </w:rPr>
        <w:t xml:space="preserve">. En primer lugar, en ejercicio de la autonomía de la voluntad y de conformidad con los criterios de la naturaleza, objeto y plazo del contrato, la </w:t>
      </w:r>
      <w:r w:rsidRPr="00F37F48">
        <w:rPr>
          <w:rFonts w:ascii="Verdana" w:eastAsia="Calibri" w:hAnsi="Verdana" w:cs="Arial"/>
          <w:color w:val="000000"/>
          <w:lang w:val="es-ES"/>
        </w:rPr>
        <w:lastRenderedPageBreak/>
        <w:t xml:space="preserve">entidad puede definir en el pliego de condiciones o en el contrato el plazo para efectuar la liquidación de mutuo acuerdo. En ausencia de pacto contractual, el artículo 11 de la Ley 1150 de 2007 prevé un término supletivo de 4 meses contados desde: i) el vencimiento del plazo previsto para la ejecución del contrato; </w:t>
      </w:r>
      <w:proofErr w:type="spellStart"/>
      <w:r w:rsidRPr="00F37F48">
        <w:rPr>
          <w:rFonts w:ascii="Verdana" w:eastAsia="Calibri" w:hAnsi="Verdana" w:cs="Arial"/>
          <w:color w:val="000000"/>
          <w:lang w:val="es-ES"/>
        </w:rPr>
        <w:t>ii</w:t>
      </w:r>
      <w:proofErr w:type="spellEnd"/>
      <w:r w:rsidRPr="00F37F48">
        <w:rPr>
          <w:rFonts w:ascii="Verdana" w:eastAsia="Calibri" w:hAnsi="Verdana" w:cs="Arial"/>
          <w:color w:val="000000"/>
          <w:lang w:val="es-ES"/>
        </w:rPr>
        <w:t xml:space="preserve">) la expedición del acto administrativo que ordene la terminación del contrato; o, </w:t>
      </w:r>
      <w:proofErr w:type="spellStart"/>
      <w:r w:rsidRPr="00F37F48">
        <w:rPr>
          <w:rFonts w:ascii="Verdana" w:eastAsia="Calibri" w:hAnsi="Verdana" w:cs="Arial"/>
          <w:color w:val="000000"/>
          <w:lang w:val="es-ES"/>
        </w:rPr>
        <w:t>iii</w:t>
      </w:r>
      <w:proofErr w:type="spellEnd"/>
      <w:r w:rsidRPr="00F37F48">
        <w:rPr>
          <w:rFonts w:ascii="Verdana" w:eastAsia="Calibri" w:hAnsi="Verdana" w:cs="Arial"/>
          <w:color w:val="000000"/>
          <w:lang w:val="es-ES"/>
        </w:rPr>
        <w:t>) la fecha del acuerdo que disponga la terminación del contrato.</w:t>
      </w:r>
    </w:p>
    <w:p w14:paraId="107610D1" w14:textId="77777777" w:rsidR="00F37F48" w:rsidRPr="00F37F48" w:rsidRDefault="00F37F48" w:rsidP="00F37F48">
      <w:pPr>
        <w:spacing w:after="120" w:line="276" w:lineRule="auto"/>
        <w:ind w:firstLine="709"/>
        <w:jc w:val="both"/>
        <w:rPr>
          <w:rFonts w:ascii="Verdana" w:eastAsia="Times New Roman" w:hAnsi="Verdana" w:cs="Arial"/>
          <w:lang w:val="es-ES" w:eastAsia="es-ES"/>
        </w:rPr>
      </w:pPr>
      <w:r w:rsidRPr="00F37F48">
        <w:rPr>
          <w:rFonts w:ascii="Verdana" w:eastAsia="Times New Roman" w:hAnsi="Verdana" w:cs="Arial"/>
          <w:lang w:val="es-ES" w:eastAsia="es-ES"/>
        </w:rPr>
        <w:t>El artículo 11 de la Ley 1150 de 2007 señala que la liquidación de mutuo acuerdo deberá realizar dentro del plazo previsto en “los pliegos de condiciones o sus equivalentes, o dentro del que acuerden las partes para el efecto”. Para dilucidar a qué se refiere la norma con “equivalentes” resulta necesario tener presente que el pliego de condiciones es un documento contentivo de las reglas aplicables a un determinado proceso de selección, que “materializa los principios de planeación contractual y de trasparencia, comoquiera que su adecuada formulación permite o garantiza la selección objetiva del contratista de acuerdo con los parámetros de calificación correspondientes para cada tipo de procedimiento [y que] constituye la ley tanto del procedimiento administrativo de selección del contratista, como del contrato a</w:t>
      </w:r>
      <w:r w:rsidRPr="00F37F48">
        <w:rPr>
          <w:rFonts w:ascii="Verdana" w:eastAsia="Times New Roman" w:hAnsi="Verdana" w:cs="Arial"/>
          <w:spacing w:val="-7"/>
          <w:lang w:val="es-ES" w:eastAsia="es-ES"/>
        </w:rPr>
        <w:t xml:space="preserve"> </w:t>
      </w:r>
      <w:r w:rsidRPr="00F37F48">
        <w:rPr>
          <w:rFonts w:ascii="Verdana" w:eastAsia="Times New Roman" w:hAnsi="Verdana" w:cs="Arial"/>
          <w:lang w:val="es-ES" w:eastAsia="es-ES"/>
        </w:rPr>
        <w:t>celebrar”</w:t>
      </w:r>
      <w:r w:rsidRPr="00F37F48">
        <w:rPr>
          <w:rFonts w:ascii="Verdana" w:eastAsia="Times New Roman" w:hAnsi="Verdana" w:cs="Arial"/>
          <w:vertAlign w:val="superscript"/>
          <w:lang w:val="es-ES" w:eastAsia="es-ES"/>
        </w:rPr>
        <w:footnoteReference w:id="8"/>
      </w:r>
      <w:r w:rsidRPr="00F37F48">
        <w:rPr>
          <w:rFonts w:ascii="Verdana" w:eastAsia="Times New Roman" w:hAnsi="Verdana" w:cs="Arial"/>
          <w:lang w:val="es-ES" w:eastAsia="es-ES"/>
        </w:rPr>
        <w:t>. A partir de tales características debe determinarse la equivalencia de un documento con un pliego de condiciones, la cual se puede ejemplificar claramente con la invitación a participar en los procesos de mínima cuantía</w:t>
      </w:r>
      <w:r w:rsidRPr="00F37F48">
        <w:rPr>
          <w:rFonts w:ascii="Verdana" w:eastAsia="Times New Roman" w:hAnsi="Verdana" w:cs="Arial"/>
          <w:vertAlign w:val="superscript"/>
          <w:lang w:val="es-ES" w:eastAsia="es-ES"/>
        </w:rPr>
        <w:footnoteReference w:id="9"/>
      </w:r>
      <w:r w:rsidRPr="00F37F48">
        <w:rPr>
          <w:rFonts w:ascii="Verdana" w:eastAsia="Times New Roman" w:hAnsi="Verdana" w:cs="Arial"/>
          <w:lang w:val="es-ES" w:eastAsia="es-ES"/>
        </w:rPr>
        <w:t xml:space="preserve">, documento dentro del cual la entidad contratante debe fijar las reglas aplicables al procedimiento de selección, cumpliendo con la función del pliego de condiciones. En tal sentido, es un documento “equivalente” del mismo en los términos del artículo 11 ibidem, dentro del cual es viable establecer el plazo para la liquidación de mutuo acuerdo. </w:t>
      </w:r>
    </w:p>
    <w:p w14:paraId="1C6FD255" w14:textId="77777777" w:rsidR="00F37F48" w:rsidRPr="00F37F48" w:rsidRDefault="00F37F48" w:rsidP="00F37F48">
      <w:pPr>
        <w:spacing w:after="120" w:line="276" w:lineRule="auto"/>
        <w:ind w:firstLine="709"/>
        <w:jc w:val="both"/>
        <w:rPr>
          <w:rFonts w:ascii="Verdana" w:eastAsia="Times New Roman" w:hAnsi="Verdana" w:cs="Arial"/>
          <w:lang w:val="es-ES" w:eastAsia="es-ES"/>
        </w:rPr>
      </w:pPr>
      <w:r w:rsidRPr="00F37F48">
        <w:rPr>
          <w:rFonts w:ascii="Verdana" w:eastAsia="Times New Roman" w:hAnsi="Verdana" w:cs="Arial"/>
          <w:lang w:val="es-ES" w:eastAsia="es-ES"/>
        </w:rPr>
        <w:t xml:space="preserve">De otra parte, cuando el artículo 11 de la Ley 1150 de 2007 hace referencia al término que “acuerden las partes” para efectos de la liquidación de mutuo acuerdo, claramente, está habilitando a las partes para que, en ejercicio </w:t>
      </w:r>
      <w:r w:rsidRPr="00F37F48">
        <w:rPr>
          <w:rFonts w:ascii="Verdana" w:eastAsia="Times New Roman" w:hAnsi="Verdana" w:cs="Arial"/>
          <w:lang w:val="es-ES" w:eastAsia="es-ES"/>
        </w:rPr>
        <w:lastRenderedPageBreak/>
        <w:t>de la autonomía de la voluntad que les asiste, prevean, de común acuerdo, un plazo para la liquidación bilateral, el cual, en principio, debe estar recogido en el contrato, al ser este el acto jurídico bilateral en el que se consigna originalmente la voluntad de las partes. Sin embargo, cabe la posibilidad de que en el contrato inicialmente suscrito no se haya previsto un acuerdo para la liquidación bilateral. Este hecho no impide que, en el marco de la ejecución del contrato, las partes acuerden fijar el referido plazo; acuerdo que, en tanto significa una alteración de las reglas que orientan la relación contractual, implica una modificación del contrato. Por tal razón, su celebración debe cumplir con los requisitos del negocio jurídico, ameritando la concurrencia de capacidad jurídica de los agentes, un consentimiento libre de vicios, un objeto y causa lícita, así como la formalidad escrita requerida en materia de contratación estatal</w:t>
      </w:r>
      <w:r w:rsidRPr="00F37F48">
        <w:rPr>
          <w:rFonts w:ascii="Verdana" w:eastAsia="Times New Roman" w:hAnsi="Verdana" w:cs="Arial"/>
          <w:vertAlign w:val="superscript"/>
          <w:lang w:val="es-ES" w:eastAsia="es-ES"/>
        </w:rPr>
        <w:footnoteReference w:id="10"/>
      </w:r>
      <w:r w:rsidRPr="00F37F48">
        <w:rPr>
          <w:rFonts w:ascii="Verdana" w:eastAsia="Times New Roman" w:hAnsi="Verdana" w:cs="Arial"/>
          <w:lang w:val="es-ES" w:eastAsia="es-ES"/>
        </w:rPr>
        <w:t xml:space="preserve">. </w:t>
      </w:r>
    </w:p>
    <w:p w14:paraId="08E4C765" w14:textId="77777777" w:rsidR="00F37F48" w:rsidRPr="00F37F48" w:rsidRDefault="00F37F48" w:rsidP="00F37F48">
      <w:pPr>
        <w:spacing w:after="120" w:line="276" w:lineRule="auto"/>
        <w:ind w:firstLine="709"/>
        <w:jc w:val="both"/>
        <w:rPr>
          <w:rFonts w:ascii="Verdana" w:eastAsia="Calibri" w:hAnsi="Verdana" w:cs="Arial"/>
          <w:lang w:val="es-ES"/>
        </w:rPr>
      </w:pPr>
      <w:r w:rsidRPr="00F37F48">
        <w:rPr>
          <w:rFonts w:ascii="Verdana" w:eastAsia="Calibri" w:hAnsi="Verdana" w:cs="Arial"/>
          <w:lang w:val="es-ES"/>
        </w:rPr>
        <w:t>El término de 4 meses previsto en el artículo 11 de la Ley 1150 de 2007, dado su carácter supletivo, solo resulta aplicable ante la ausencia de regulación de este en el pliego de condiciones –documento equivalente– o acuerdo entre las partes en torno al plazo de liquidación bilateral. Por lo tanto, las partes, en desarrollo de la autonomía de la voluntad que les asiste, están habilitadas para pactar un término diferente, el cual puede ser inferior o incluso superior al plazo supletivo, ante la ausencia de una prohibición normativa al respecto, y ante la existencia, en cambio, de habilitación legal. Sobre este punto, no debe perderse de vista que las actuaciones contractuales regidas por el Estatuto General de Contratación de la Administración pública se encuentran sometidas a los principios de la función administrativa</w:t>
      </w:r>
      <w:r w:rsidRPr="00F37F48">
        <w:rPr>
          <w:rFonts w:ascii="Verdana" w:eastAsia="Calibri" w:hAnsi="Verdana" w:cs="Arial"/>
          <w:vertAlign w:val="superscript"/>
          <w:lang w:val="es-ES"/>
        </w:rPr>
        <w:footnoteReference w:id="11"/>
      </w:r>
      <w:r w:rsidRPr="00F37F48">
        <w:rPr>
          <w:rFonts w:ascii="Verdana" w:eastAsia="Calibri" w:hAnsi="Verdana" w:cs="Arial"/>
          <w:lang w:val="es-ES"/>
        </w:rPr>
        <w:t xml:space="preserve">, lo cual implica que las mismas se </w:t>
      </w:r>
      <w:r w:rsidRPr="00F37F48">
        <w:rPr>
          <w:rFonts w:ascii="Verdana" w:eastAsia="Calibri" w:hAnsi="Verdana" w:cs="Arial"/>
          <w:lang w:val="es-ES"/>
        </w:rPr>
        <w:lastRenderedPageBreak/>
        <w:t>desarrollen en procura de la economía y la celeridad</w:t>
      </w:r>
      <w:r w:rsidRPr="00F37F48">
        <w:rPr>
          <w:rFonts w:ascii="Verdana" w:eastAsia="Calibri" w:hAnsi="Verdana" w:cs="Arial"/>
          <w:vertAlign w:val="superscript"/>
          <w:lang w:val="es-ES"/>
        </w:rPr>
        <w:footnoteReference w:id="12"/>
      </w:r>
      <w:r w:rsidRPr="00F37F48">
        <w:rPr>
          <w:rFonts w:ascii="Verdana" w:eastAsia="Calibri" w:hAnsi="Verdana" w:cs="Arial"/>
          <w:lang w:val="es-ES"/>
        </w:rPr>
        <w:t>. Esto significa que, en ejercicio de la facultad que les asiste para fijar el plazo para la liquidación bilateral, las partes deben actuar en garantía de estos principios, por lo que el término que se acuerde debe fijarse de manera razonable.</w:t>
      </w:r>
    </w:p>
    <w:p w14:paraId="4BC2303A" w14:textId="77777777" w:rsidR="00F37F48" w:rsidRPr="00F37F48" w:rsidRDefault="00F37F48" w:rsidP="00F37F48">
      <w:pPr>
        <w:spacing w:after="120" w:line="276" w:lineRule="auto"/>
        <w:ind w:firstLine="709"/>
        <w:jc w:val="both"/>
        <w:rPr>
          <w:rFonts w:ascii="Verdana" w:eastAsia="Calibri" w:hAnsi="Verdana" w:cs="Arial"/>
          <w:color w:val="000000"/>
          <w:lang w:val="es-ES_tradnl"/>
        </w:rPr>
      </w:pPr>
      <w:r w:rsidRPr="00F37F48">
        <w:rPr>
          <w:rFonts w:ascii="Verdana" w:eastAsia="Calibri" w:hAnsi="Verdana" w:cs="Arial"/>
          <w:color w:val="000000"/>
          <w:lang w:val="es-ES_tradnl"/>
        </w:rPr>
        <w:t>Durante este término, el contratista puede solicitar que se adelante el trámite de liquidación. Sin embargo, es responsabilidad de la entidad estatal convocarlo para adelantar la liquidación de común acuerdo o notificarlo para que se presente a realizarla</w:t>
      </w:r>
      <w:r w:rsidRPr="00F37F48">
        <w:rPr>
          <w:rFonts w:ascii="Verdana" w:eastAsia="Calibri" w:hAnsi="Verdana" w:cs="Arial"/>
          <w:color w:val="000000"/>
          <w:vertAlign w:val="superscript"/>
          <w:lang w:val="es-ES_tradnl"/>
        </w:rPr>
        <w:footnoteReference w:id="13"/>
      </w:r>
      <w:r w:rsidRPr="00F37F48">
        <w:rPr>
          <w:rFonts w:ascii="Verdana" w:eastAsia="Calibri" w:hAnsi="Verdana" w:cs="Arial"/>
          <w:color w:val="000000"/>
          <w:lang w:val="es-ES_tradnl"/>
        </w:rPr>
        <w:t>, de manera que el contrato pueda ser liquidado bilateralmente, bien sea en el plazo previsto en el pliego de condiciones, el acordado por las partes, o el supletivo de cuatro meses señalado en la ley, según corresponda. Esta liquidación bilateral puede ser total o parcial</w:t>
      </w:r>
      <w:r w:rsidRPr="00F37F48">
        <w:rPr>
          <w:rFonts w:ascii="Verdana" w:eastAsia="Calibri" w:hAnsi="Verdana" w:cs="Arial"/>
          <w:iCs/>
          <w:color w:val="000000"/>
          <w:vertAlign w:val="superscript"/>
          <w:lang w:val="es-ES_tradnl"/>
        </w:rPr>
        <w:footnoteReference w:id="14"/>
      </w:r>
      <w:r w:rsidRPr="00F37F48">
        <w:rPr>
          <w:rFonts w:ascii="Verdana" w:eastAsia="Calibri" w:hAnsi="Verdana" w:cs="Arial"/>
          <w:color w:val="000000"/>
          <w:lang w:val="es-ES_tradnl"/>
        </w:rPr>
        <w:t xml:space="preserve">, y </w:t>
      </w:r>
      <w:r w:rsidRPr="00F37F48">
        <w:rPr>
          <w:rFonts w:ascii="Verdana" w:eastAsia="Calibri" w:hAnsi="Verdana" w:cs="Arial"/>
          <w:iCs/>
          <w:color w:val="000000"/>
          <w:lang w:val="es-ES_tradnl"/>
        </w:rPr>
        <w:t>el documento que la contiene presta mérito ejecutivo, siempre que se satisfagan los elementos para considerarlo como tal</w:t>
      </w:r>
      <w:r w:rsidRPr="00F37F48">
        <w:rPr>
          <w:rFonts w:ascii="Verdana" w:eastAsia="Calibri" w:hAnsi="Verdana" w:cs="Arial"/>
          <w:color w:val="000000"/>
          <w:lang w:val="es-ES_tradnl"/>
        </w:rPr>
        <w:t>.</w:t>
      </w:r>
    </w:p>
    <w:p w14:paraId="73C1064C" w14:textId="77777777" w:rsidR="00F37F48" w:rsidRPr="00F37F48" w:rsidRDefault="00F37F48" w:rsidP="00F37F48">
      <w:pPr>
        <w:spacing w:after="120" w:line="276" w:lineRule="auto"/>
        <w:ind w:firstLine="705"/>
        <w:jc w:val="both"/>
        <w:rPr>
          <w:rFonts w:ascii="Verdana" w:eastAsia="Times New Roman" w:hAnsi="Verdana" w:cs="Arial"/>
          <w:color w:val="000000"/>
          <w:lang w:eastAsia="es-ES_tradnl"/>
        </w:rPr>
      </w:pPr>
      <w:r w:rsidRPr="00F37F48">
        <w:rPr>
          <w:rFonts w:ascii="Verdana" w:eastAsia="Times New Roman" w:hAnsi="Verdana" w:cs="Arial"/>
          <w:color w:val="000000"/>
          <w:bdr w:val="none" w:sz="0" w:space="0" w:color="auto" w:frame="1"/>
          <w:shd w:val="clear" w:color="auto" w:fill="FFFFFF"/>
          <w:lang w:val="es-ES" w:eastAsia="es-ES_tradnl"/>
        </w:rPr>
        <w:t xml:space="preserve">Si no es posible efectuar la liquidación de manera bilateral, el ordenamiento jurídico prevé una facultad, de carácter subsidiario, para que la Entidad Estatal realice la liquidación unilateralmente. </w:t>
      </w:r>
      <w:bookmarkStart w:id="10" w:name="_Hlk141851266"/>
      <w:r w:rsidRPr="00F37F48">
        <w:rPr>
          <w:rFonts w:ascii="Verdana" w:eastAsia="Times New Roman" w:hAnsi="Verdana" w:cs="Arial"/>
          <w:color w:val="000000"/>
          <w:lang w:eastAsia="es-ES_tradnl"/>
        </w:rPr>
        <w:t xml:space="preserve">De esta forma, </w:t>
      </w:r>
      <w:r w:rsidRPr="00F37F48">
        <w:rPr>
          <w:rFonts w:ascii="Verdana" w:eastAsia="Times New Roman" w:hAnsi="Verdana" w:cs="Arial"/>
          <w:color w:val="000000"/>
          <w:bdr w:val="none" w:sz="0" w:space="0" w:color="auto" w:frame="1"/>
          <w:shd w:val="clear" w:color="auto" w:fill="FFFFFF"/>
          <w:lang w:val="es-ES" w:eastAsia="es-ES_tradnl"/>
        </w:rPr>
        <w:t>si no se logra la liquidación bilateral del contrato, la entidad estatal tiene la facultad de liquidarlo unilateralmente dentro del término de 2 meses contados a partir del vencimiento del plazo que acuerden las partes para liquidar bilateralmente o, ante el silencio de estas, del vencimiento de los 4 meses supletivo establecido por la ley. </w:t>
      </w:r>
    </w:p>
    <w:p w14:paraId="4F1B7AA9" w14:textId="77777777" w:rsidR="00F37F48" w:rsidRPr="00F37F48" w:rsidRDefault="00F37F48" w:rsidP="00F37F48">
      <w:pPr>
        <w:widowControl w:val="0"/>
        <w:autoSpaceDE w:val="0"/>
        <w:autoSpaceDN w:val="0"/>
        <w:spacing w:after="120" w:line="276" w:lineRule="auto"/>
        <w:ind w:right="108"/>
        <w:jc w:val="both"/>
        <w:rPr>
          <w:rFonts w:ascii="Verdana" w:hAnsi="Verdana"/>
          <w:sz w:val="16"/>
          <w:szCs w:val="16"/>
        </w:rPr>
      </w:pPr>
      <w:proofErr w:type="spellStart"/>
      <w:r w:rsidRPr="00F37F48">
        <w:rPr>
          <w:rFonts w:ascii="Verdana" w:eastAsia="Times New Roman" w:hAnsi="Verdana" w:cs="Arial"/>
          <w:color w:val="000000"/>
          <w:bdr w:val="none" w:sz="0" w:space="0" w:color="auto" w:frame="1"/>
          <w:shd w:val="clear" w:color="auto" w:fill="FFFFFF"/>
          <w:lang w:val="es-ES" w:eastAsia="es-ES_tradnl"/>
        </w:rPr>
        <w:t>ii</w:t>
      </w:r>
      <w:proofErr w:type="spellEnd"/>
      <w:r w:rsidRPr="00F37F48">
        <w:rPr>
          <w:rFonts w:ascii="Verdana" w:eastAsia="Times New Roman" w:hAnsi="Verdana" w:cs="Arial"/>
          <w:color w:val="000000"/>
          <w:bdr w:val="none" w:sz="0" w:space="0" w:color="auto" w:frame="1"/>
          <w:shd w:val="clear" w:color="auto" w:fill="FFFFFF"/>
          <w:lang w:val="es-ES" w:eastAsia="es-ES_tradnl"/>
        </w:rPr>
        <w:t xml:space="preserve">. Ahora bien, respecto de la naturaleza jurídica de la liquidación bilateral, </w:t>
      </w:r>
      <w:r w:rsidRPr="00F37F48">
        <w:rPr>
          <w:rFonts w:ascii="Verdana" w:eastAsia="Arial" w:hAnsi="Verdana" w:cs="Arial"/>
          <w:lang w:val="es-MX" w:eastAsia="es-ES" w:bidi="es-ES"/>
        </w:rPr>
        <w:t>esta Agencia ha señalado que</w:t>
      </w:r>
      <w:r w:rsidRPr="00F37F48">
        <w:rPr>
          <w:rFonts w:ascii="Verdana" w:eastAsia="Arial" w:hAnsi="Verdana" w:cs="Arial"/>
          <w:lang w:val="es-ES" w:eastAsia="es-ES" w:bidi="es-ES"/>
        </w:rPr>
        <w:t xml:space="preserve"> se trata de un negocio jurídico, en el que las partes del contrato estatal, en ejercicio de la autonomía de la voluntad, regulan la </w:t>
      </w:r>
      <w:r w:rsidRPr="00F37F48">
        <w:rPr>
          <w:rFonts w:ascii="Verdana" w:eastAsia="Arial" w:hAnsi="Verdana" w:cs="Arial"/>
          <w:lang w:val="es-ES" w:eastAsia="es-ES" w:bidi="es-ES"/>
        </w:rPr>
        <w:lastRenderedPageBreak/>
        <w:t>finalización de su relación y disponen de los intereses que emanan de ella</w:t>
      </w:r>
      <w:r w:rsidRPr="00F37F48">
        <w:rPr>
          <w:rFonts w:ascii="Verdana" w:eastAsia="Arial" w:hAnsi="Verdana" w:cs="Arial"/>
          <w:vertAlign w:val="superscript"/>
          <w:lang w:val="es-ES" w:eastAsia="es-ES" w:bidi="es-ES"/>
        </w:rPr>
        <w:footnoteReference w:id="15"/>
      </w:r>
      <w:r w:rsidRPr="00F37F48">
        <w:rPr>
          <w:rFonts w:ascii="Verdana" w:eastAsia="Arial" w:hAnsi="Verdana" w:cs="Arial"/>
          <w:lang w:val="es-ES" w:eastAsia="es-ES" w:bidi="es-ES"/>
        </w:rPr>
        <w:t>.</w:t>
      </w:r>
      <w:r w:rsidRPr="00F37F48">
        <w:t xml:space="preserve"> </w:t>
      </w:r>
      <w:r w:rsidRPr="00F37F48">
        <w:rPr>
          <w:rFonts w:ascii="Verdana" w:eastAsia="Arial" w:hAnsi="Verdana" w:cs="Arial"/>
          <w:lang w:eastAsia="es-ES" w:bidi="es-ES"/>
        </w:rPr>
        <w:t xml:space="preserve">Dicho acuerdo reviste un carácter negocial, en la medida en que implica manifestaciones recíprocas dirigidas a producir efectos jurídicos concretos frente a las prestaciones mutuas de la relación contractual. </w:t>
      </w:r>
    </w:p>
    <w:p w14:paraId="6C3D7258" w14:textId="77777777" w:rsidR="00F37F48" w:rsidRPr="00F37F48" w:rsidRDefault="00F37F48" w:rsidP="00F37F48">
      <w:pPr>
        <w:widowControl w:val="0"/>
        <w:autoSpaceDE w:val="0"/>
        <w:autoSpaceDN w:val="0"/>
        <w:spacing w:after="120" w:line="276" w:lineRule="auto"/>
        <w:ind w:right="108" w:firstLine="709"/>
        <w:jc w:val="both"/>
        <w:rPr>
          <w:rFonts w:ascii="Verdana" w:hAnsi="Verdana"/>
          <w:sz w:val="16"/>
          <w:szCs w:val="16"/>
        </w:rPr>
      </w:pPr>
      <w:r w:rsidRPr="00F37F48">
        <w:rPr>
          <w:rFonts w:ascii="Verdana" w:eastAsia="Arial" w:hAnsi="Verdana" w:cs="Arial"/>
          <w:lang w:eastAsia="es-ES" w:bidi="es-ES"/>
        </w:rPr>
        <w:t xml:space="preserve">Sobre el particular el Consejo de Estado ha manifestado de manera reiterada que “Cuando dicha liquidación se lleva a cabo de manera bilateral, configura </w:t>
      </w:r>
      <w:r w:rsidRPr="00F37F48">
        <w:rPr>
          <w:rFonts w:ascii="Verdana" w:eastAsia="Arial" w:hAnsi="Verdana" w:cs="Arial"/>
          <w:i/>
          <w:iCs/>
          <w:lang w:eastAsia="es-ES" w:bidi="es-ES"/>
        </w:rPr>
        <w:t>un negocio jurídico</w:t>
      </w:r>
      <w:r w:rsidRPr="00F37F48">
        <w:rPr>
          <w:rFonts w:ascii="Verdana" w:eastAsia="Arial" w:hAnsi="Verdana" w:cs="Arial"/>
          <w:lang w:eastAsia="es-ES" w:bidi="es-ES"/>
        </w:rPr>
        <w:t xml:space="preserve"> que surge de la manifestación de voluntad de las partes, quienes al suscribir la respectiva acta consienten en que ese corte de cuentas corresponde a la realidad de la ejecución contractual y, por ello, se pueden declarar a paz y salvo una vez satisfechas las obligaciones que se deriven directamente de ese trabajo conjunto de liquidación</w:t>
      </w:r>
      <w:r w:rsidRPr="00F37F48">
        <w:rPr>
          <w:rFonts w:ascii="Verdana" w:eastAsia="Arial" w:hAnsi="Verdana" w:cs="Arial"/>
          <w:vertAlign w:val="superscript"/>
          <w:lang w:eastAsia="es-ES" w:bidi="es-ES"/>
        </w:rPr>
        <w:footnoteReference w:id="16"/>
      </w:r>
      <w:r w:rsidRPr="00F37F48">
        <w:rPr>
          <w:rFonts w:ascii="Verdana" w:eastAsia="Arial" w:hAnsi="Verdana" w:cs="Arial"/>
          <w:lang w:eastAsia="es-ES" w:bidi="es-ES"/>
        </w:rPr>
        <w:t xml:space="preserve">”. </w:t>
      </w:r>
      <w:r w:rsidRPr="00F37F48">
        <w:rPr>
          <w:rFonts w:ascii="Verdana" w:eastAsia="Arial" w:hAnsi="Verdana" w:cs="Arial"/>
          <w:lang w:val="es-ES" w:eastAsia="es-ES" w:bidi="es-ES"/>
        </w:rPr>
        <w:t xml:space="preserve"> </w:t>
      </w:r>
    </w:p>
    <w:p w14:paraId="0C5888B7" w14:textId="77777777" w:rsidR="00F37F48" w:rsidRPr="00F37F48" w:rsidRDefault="00F37F48" w:rsidP="00F37F48">
      <w:pPr>
        <w:widowControl w:val="0"/>
        <w:autoSpaceDE w:val="0"/>
        <w:autoSpaceDN w:val="0"/>
        <w:spacing w:after="120" w:line="276" w:lineRule="auto"/>
        <w:ind w:right="105" w:firstLine="709"/>
        <w:jc w:val="both"/>
        <w:rPr>
          <w:rFonts w:ascii="Verdana" w:eastAsia="Times New Roman" w:hAnsi="Verdana" w:cs="Arial"/>
          <w:color w:val="000000"/>
          <w:bdr w:val="none" w:sz="0" w:space="0" w:color="auto" w:frame="1"/>
          <w:shd w:val="clear" w:color="auto" w:fill="FFFFFF"/>
          <w:lang w:val="es-ES" w:eastAsia="es-ES_tradnl"/>
        </w:rPr>
      </w:pPr>
      <w:r w:rsidRPr="00F37F48">
        <w:rPr>
          <w:rFonts w:ascii="Verdana" w:eastAsia="Arial" w:hAnsi="Verdana" w:cs="Arial"/>
          <w:lang w:val="es-ES" w:eastAsia="es-ES" w:bidi="es-ES"/>
        </w:rPr>
        <w:t>Aunado a lo anterior, la liquidación bilateral tiene efectos de título ejecutivo, transaccionales, puesto que las declaraciones y expresiones incorporadas en la correspondiente acta son reconocidas y protegidas por el ordenamiento jurídico, siempre y cuando no sean contrarias a la Constitución Política, la ley, el orden público, la moral y las buenas costumbres, y los principios y finalidades del Estatuto General de la Contratación de la Administración Pública y de la buena administración.</w:t>
      </w:r>
      <w:r w:rsidRPr="00F37F48">
        <w:rPr>
          <w:rFonts w:ascii="Verdana" w:eastAsia="Times New Roman" w:hAnsi="Verdana" w:cs="Arial"/>
          <w:color w:val="000000"/>
          <w:bdr w:val="none" w:sz="0" w:space="0" w:color="auto" w:frame="1"/>
          <w:shd w:val="clear" w:color="auto" w:fill="FFFFFF"/>
          <w:lang w:val="es-ES" w:eastAsia="es-ES_tradnl"/>
        </w:rPr>
        <w:t xml:space="preserve"> </w:t>
      </w:r>
      <w:r w:rsidRPr="00F37F48">
        <w:rPr>
          <w:rFonts w:ascii="Verdana" w:eastAsia="Arial" w:hAnsi="Verdana" w:cs="Arial"/>
          <w:lang w:val="es-ES" w:eastAsia="es-ES" w:bidi="es-ES"/>
        </w:rPr>
        <w:t xml:space="preserve">En ese sentido, </w:t>
      </w:r>
      <w:bookmarkStart w:id="11" w:name="_Hlk82568853"/>
      <w:r w:rsidRPr="00F37F48">
        <w:rPr>
          <w:rFonts w:ascii="Verdana" w:eastAsia="Arial" w:hAnsi="Verdana" w:cs="Arial"/>
          <w:lang w:val="es-ES" w:eastAsia="es-ES" w:bidi="es-ES"/>
        </w:rPr>
        <w:t>la liquidación bilateral puede considerarse como una forma alternativa de resolver los conflictos o controversias que surjan a partir de la determinación de las prestaciones comunes a que las partes contractuales puedan o no tener derecho luego de haberse ejecutado el contrato, esto es, como una manera de evitar futuros litigios frente a los mismos asuntos</w:t>
      </w:r>
      <w:bookmarkEnd w:id="11"/>
      <w:r w:rsidRPr="00F37F48">
        <w:rPr>
          <w:rFonts w:ascii="Verdana" w:hAnsi="Verdana" w:cs="Arial"/>
          <w:color w:val="201F1E"/>
          <w:bdr w:val="none" w:sz="0" w:space="0" w:color="auto" w:frame="1"/>
          <w:vertAlign w:val="superscript"/>
          <w:lang w:val="es-ES" w:eastAsia="es-CO" w:bidi="es-ES"/>
        </w:rPr>
        <w:footnoteReference w:id="17"/>
      </w:r>
      <w:r w:rsidRPr="00F37F48">
        <w:rPr>
          <w:rFonts w:ascii="Verdana" w:eastAsia="Arial" w:hAnsi="Verdana" w:cs="Arial"/>
          <w:lang w:val="es-ES" w:eastAsia="es-ES" w:bidi="es-ES"/>
        </w:rPr>
        <w:t>.</w:t>
      </w:r>
    </w:p>
    <w:p w14:paraId="3B8199F1" w14:textId="77777777" w:rsidR="00F37F48" w:rsidRPr="00F37F48" w:rsidRDefault="00F37F48" w:rsidP="00F37F48">
      <w:pPr>
        <w:widowControl w:val="0"/>
        <w:autoSpaceDE w:val="0"/>
        <w:autoSpaceDN w:val="0"/>
        <w:spacing w:after="120" w:line="276" w:lineRule="auto"/>
        <w:ind w:right="105" w:firstLine="709"/>
        <w:jc w:val="both"/>
        <w:rPr>
          <w:rFonts w:ascii="Verdana" w:eastAsia="Arial" w:hAnsi="Verdana" w:cs="Arial"/>
          <w:lang w:eastAsia="es-ES" w:bidi="es-ES"/>
        </w:rPr>
      </w:pPr>
      <w:r w:rsidRPr="00F37F48">
        <w:rPr>
          <w:rFonts w:ascii="Verdana" w:eastAsia="Arial" w:hAnsi="Verdana" w:cs="Arial"/>
          <w:lang w:eastAsia="es-ES" w:bidi="es-ES"/>
        </w:rPr>
        <w:t xml:space="preserve">En este contexto, dada la naturaleza de la liquidación bilateral, esta reviste carácter obligatorio y tiene efectos vinculantes para las partes </w:t>
      </w:r>
      <w:r w:rsidRPr="00F37F48">
        <w:rPr>
          <w:rFonts w:ascii="Verdana" w:eastAsia="Arial" w:hAnsi="Verdana" w:cs="Arial"/>
          <w:lang w:eastAsia="es-ES" w:bidi="es-ES"/>
        </w:rPr>
        <w:lastRenderedPageBreak/>
        <w:t>contratantes, en tanto constituye una manifestación de la autonomía de la voluntad que determina la extinción de las obligaciones derivadas del vínculo contractual o el reconocimiento de derechos en favor de las partes. Esta obligatoriedad impide a las partes desconocer lo acordado y constituye a la liquidación bilateral en un mecanismo eficaz para prevenir o resolver controversias derivadas del vínculo contractual.</w:t>
      </w:r>
    </w:p>
    <w:p w14:paraId="75FB74A2" w14:textId="77777777" w:rsidR="00F37F48" w:rsidRPr="00F37F48" w:rsidRDefault="00F37F48" w:rsidP="00291B70">
      <w:pPr>
        <w:widowControl w:val="0"/>
        <w:autoSpaceDE w:val="0"/>
        <w:autoSpaceDN w:val="0"/>
        <w:spacing w:after="120" w:line="276" w:lineRule="auto"/>
        <w:ind w:right="108" w:firstLine="709"/>
        <w:jc w:val="both"/>
        <w:rPr>
          <w:rFonts w:ascii="Verdana" w:eastAsia="Arial" w:hAnsi="Verdana" w:cs="Arial"/>
          <w:lang w:eastAsia="es-ES" w:bidi="es-ES"/>
        </w:rPr>
      </w:pPr>
      <w:r w:rsidRPr="00F37F48">
        <w:rPr>
          <w:rFonts w:ascii="Verdana" w:eastAsia="Arial" w:hAnsi="Verdana" w:cs="Arial"/>
          <w:lang w:eastAsia="es-ES" w:bidi="es-ES"/>
        </w:rPr>
        <w:t>Sobre su carácter vinculante y obligatorio el Consejo de Estado ha manifestado que “la fuerza jurídica vinculante del acta de liquidación bilateral proviene de la naturaleza transaccional del acuerdo de voluntades que contiene, por esa precisa razón no es posible desatender el contenido obligacional incorporado, pues su finalidad según el artículo 60 de la Ley 80 de 1993 está encaminada a que las partes puedan “declararse a paz y salvo</w:t>
      </w:r>
      <w:r w:rsidRPr="00F37F48">
        <w:rPr>
          <w:rFonts w:ascii="Verdana" w:eastAsia="Arial" w:hAnsi="Verdana" w:cs="Arial"/>
          <w:vertAlign w:val="superscript"/>
          <w:lang w:eastAsia="es-ES" w:bidi="es-ES"/>
        </w:rPr>
        <w:footnoteReference w:id="18"/>
      </w:r>
      <w:r w:rsidRPr="00F37F48">
        <w:rPr>
          <w:rFonts w:ascii="Verdana" w:eastAsia="Arial" w:hAnsi="Verdana" w:cs="Arial"/>
          <w:lang w:eastAsia="es-ES" w:bidi="es-ES"/>
        </w:rPr>
        <w:t>”.  Por ello, ha mantenido la postura según la cual, por regla general, resulta improcedente elevar pretensiones originadas en el contrato que fue debidamente liquidado en forma bilateral por las partes, puesto que ello implicaría ir en contra de los propios actos y de una previa manifestación de voluntad efectuada por personas capaces de disponer de sus derechos, que quedó plasmada en el acta de liquidación cuando fue suscrita por la entidad contratante y el contratista</w:t>
      </w:r>
      <w:r w:rsidRPr="00F37F48">
        <w:rPr>
          <w:rFonts w:ascii="Verdana" w:eastAsia="Arial" w:hAnsi="Verdana" w:cs="Arial"/>
          <w:vertAlign w:val="superscript"/>
          <w:lang w:eastAsia="es-ES" w:bidi="es-ES"/>
        </w:rPr>
        <w:footnoteReference w:id="19"/>
      </w:r>
      <w:r w:rsidRPr="00F37F48">
        <w:rPr>
          <w:rFonts w:ascii="Verdana" w:eastAsia="Arial" w:hAnsi="Verdana" w:cs="Arial"/>
          <w:lang w:eastAsia="es-ES" w:bidi="es-ES"/>
        </w:rPr>
        <w:t>.</w:t>
      </w:r>
    </w:p>
    <w:p w14:paraId="4AB672FF" w14:textId="77777777" w:rsidR="00F37F48" w:rsidRPr="00F37F48" w:rsidRDefault="00F37F48" w:rsidP="00291B70">
      <w:pPr>
        <w:widowControl w:val="0"/>
        <w:autoSpaceDE w:val="0"/>
        <w:autoSpaceDN w:val="0"/>
        <w:spacing w:after="120" w:line="276" w:lineRule="auto"/>
        <w:ind w:right="108" w:firstLine="709"/>
        <w:jc w:val="both"/>
        <w:rPr>
          <w:rFonts w:ascii="Verdana" w:eastAsia="Arial" w:hAnsi="Verdana" w:cs="Arial"/>
          <w:lang w:val="es-ES" w:eastAsia="es-ES" w:bidi="es-ES"/>
        </w:rPr>
      </w:pPr>
      <w:r w:rsidRPr="00F37F48">
        <w:rPr>
          <w:rFonts w:ascii="Verdana" w:eastAsia="Arial" w:hAnsi="Verdana" w:cs="Arial"/>
          <w:lang w:eastAsia="es-ES" w:bidi="es-ES"/>
        </w:rPr>
        <w:t xml:space="preserve">En este sentido, ateniendo al carácter vinculante y obligatorio del acta de liquidación, no es procedente desconocer posteriormente su contenido y acudir a las autoridades judiciales para dirimir puntos que no fueron objeto de salvedades o hayan sido expresamente consignadas en el acta. En efecto, </w:t>
      </w:r>
      <w:r w:rsidRPr="00F37F48">
        <w:rPr>
          <w:rFonts w:ascii="Verdana" w:eastAsia="Arial" w:hAnsi="Verdana" w:cs="Arial"/>
          <w:lang w:val="es-ES" w:eastAsia="es-ES" w:bidi="es-ES"/>
        </w:rPr>
        <w:t>es derecho del contratista realizar las salvedades u objeciones que considere, sin afectar los acuerdos logrados en otros aspectos. Estos acuerdos deben quedar consignados en el acta bilateral, documento que sirve de base para evaluar el estado final del contrato, y de ser necesario reclamar por obligaciones pendientes y en consecuencia de ello, las entidades deben estipular en ellas las reclamaciones o salvedades de orden económico y técnico que el contratista formulen frente al balance técnico, jurídico y económico del contrato.</w:t>
      </w:r>
    </w:p>
    <w:p w14:paraId="19D8C2A6" w14:textId="77777777" w:rsidR="004C14F3" w:rsidRDefault="00F37F48" w:rsidP="00291B70">
      <w:pPr>
        <w:widowControl w:val="0"/>
        <w:autoSpaceDE w:val="0"/>
        <w:autoSpaceDN w:val="0"/>
        <w:spacing w:after="120" w:line="276" w:lineRule="auto"/>
        <w:ind w:right="108" w:firstLine="709"/>
        <w:jc w:val="both"/>
        <w:rPr>
          <w:rFonts w:ascii="Verdana" w:eastAsia="Arial" w:hAnsi="Verdana" w:cs="Arial"/>
          <w:lang w:eastAsia="es-ES" w:bidi="es-ES"/>
        </w:rPr>
      </w:pPr>
      <w:r w:rsidRPr="00F37F48">
        <w:rPr>
          <w:rFonts w:ascii="Verdana" w:eastAsia="Arial" w:hAnsi="Verdana" w:cs="Arial"/>
          <w:lang w:eastAsia="es-ES" w:bidi="es-ES"/>
        </w:rPr>
        <w:t>Al respecto, la jurisprudencia del Consejo de Estado ha sido enfática al señalar que “</w:t>
      </w:r>
      <w:r w:rsidRPr="00F37F48">
        <w:rPr>
          <w:rFonts w:ascii="Verdana" w:eastAsia="Arial" w:hAnsi="Verdana" w:cs="Arial"/>
          <w:i/>
          <w:lang w:eastAsia="es-ES" w:bidi="es-ES"/>
        </w:rPr>
        <w:t xml:space="preserve">una vez suscrita la liquidación bilateral del contrato solo se podrían </w:t>
      </w:r>
      <w:r w:rsidRPr="00F37F48">
        <w:rPr>
          <w:rFonts w:ascii="Verdana" w:eastAsia="Arial" w:hAnsi="Verdana" w:cs="Arial"/>
          <w:i/>
          <w:lang w:eastAsia="es-ES" w:bidi="es-ES"/>
        </w:rPr>
        <w:lastRenderedPageBreak/>
        <w:t>interponer las acciones judiciales correspondientes para obtener el reconocimiento o pago de obligaciones pendientes en relación con las cuales se hubieren dejado salvedades o constancias en el acta, en el sentido de que las partes no lograron un acuerdo, exigencia que rige tanto para el Estado como para el contratista</w:t>
      </w:r>
      <w:r w:rsidRPr="00F37F48">
        <w:rPr>
          <w:rFonts w:ascii="Verdana" w:eastAsia="Arial" w:hAnsi="Verdana" w:cs="Arial"/>
          <w:i/>
          <w:iCs/>
          <w:lang w:eastAsia="es-ES" w:bidi="es-ES"/>
        </w:rPr>
        <w:t>”</w:t>
      </w:r>
      <w:r w:rsidRPr="00F37F48">
        <w:rPr>
          <w:rFonts w:ascii="Verdana" w:eastAsia="Arial" w:hAnsi="Verdana" w:cs="Arial"/>
          <w:vertAlign w:val="superscript"/>
          <w:lang w:eastAsia="es-ES" w:bidi="es-ES"/>
        </w:rPr>
        <w:footnoteReference w:id="20"/>
      </w:r>
      <w:r w:rsidRPr="00F37F48">
        <w:rPr>
          <w:rFonts w:ascii="Verdana" w:eastAsia="Arial" w:hAnsi="Verdana" w:cs="Arial"/>
          <w:lang w:eastAsia="es-ES" w:bidi="es-ES"/>
        </w:rPr>
        <w:t>. Además, también se podría acudir a la jurisdicción cuando se ataca la validez misma del negocio jurídico contenido en el acta de liquidación bilateral, alegando la existencia de un vicio del consentimiento -error, fuerza o dolo-</w:t>
      </w:r>
      <w:r w:rsidRPr="00F37F48">
        <w:rPr>
          <w:rFonts w:ascii="Verdana" w:eastAsia="Arial" w:hAnsi="Verdana" w:cs="Arial"/>
          <w:vertAlign w:val="superscript"/>
          <w:lang w:eastAsia="es-ES" w:bidi="es-ES"/>
        </w:rPr>
        <w:footnoteReference w:id="21"/>
      </w:r>
    </w:p>
    <w:p w14:paraId="7AB4A925" w14:textId="04610A67" w:rsidR="00F37F48" w:rsidRPr="004C14F3" w:rsidRDefault="00F37F48" w:rsidP="00291B70">
      <w:pPr>
        <w:widowControl w:val="0"/>
        <w:autoSpaceDE w:val="0"/>
        <w:autoSpaceDN w:val="0"/>
        <w:spacing w:after="120" w:line="276" w:lineRule="auto"/>
        <w:ind w:right="108" w:firstLine="709"/>
        <w:jc w:val="both"/>
        <w:rPr>
          <w:rFonts w:ascii="Verdana" w:eastAsia="Arial" w:hAnsi="Verdana" w:cs="Arial"/>
          <w:lang w:eastAsia="es-ES" w:bidi="es-ES"/>
        </w:rPr>
      </w:pPr>
      <w:r w:rsidRPr="00F37F48">
        <w:rPr>
          <w:rFonts w:ascii="Verdana" w:eastAsia="Arial" w:hAnsi="Verdana" w:cs="Arial"/>
          <w:lang w:val="es-ES" w:eastAsia="es-ES" w:bidi="es-ES"/>
        </w:rPr>
        <w:t xml:space="preserve">De esta forma, solo hay dos situaciones en las cuales resulta viable acudir a las autoridades judiciales para debatir el contenido del acta de liquidación bilateral: i) cuando se invoque la existencia de algún vicio del consentimiento – error, fuerza o dolo, y </w:t>
      </w:r>
      <w:proofErr w:type="spellStart"/>
      <w:r w:rsidRPr="00F37F48">
        <w:rPr>
          <w:rFonts w:ascii="Verdana" w:eastAsia="Arial" w:hAnsi="Verdana" w:cs="Arial"/>
          <w:lang w:val="es-ES" w:eastAsia="es-ES" w:bidi="es-ES"/>
        </w:rPr>
        <w:t>ii</w:t>
      </w:r>
      <w:proofErr w:type="spellEnd"/>
      <w:r w:rsidRPr="00F37F48">
        <w:rPr>
          <w:rFonts w:ascii="Verdana" w:eastAsia="Arial" w:hAnsi="Verdana" w:cs="Arial"/>
          <w:lang w:val="es-ES" w:eastAsia="es-ES" w:bidi="es-ES"/>
        </w:rPr>
        <w:t xml:space="preserve">) cuando se hayan dejado salvedades en el acta de liquidación, y </w:t>
      </w:r>
      <w:r w:rsidRPr="00F37F48">
        <w:rPr>
          <w:rFonts w:ascii="Verdana" w:eastAsia="Arial" w:hAnsi="Verdana" w:cs="Arial"/>
          <w:lang w:val="es-ES_tradnl" w:eastAsia="es-ES" w:bidi="es-ES"/>
        </w:rPr>
        <w:t xml:space="preserve">se reserva el derecho de acudir ante el juez para reclamar sobre aquello que precisamente sea motivo de inconformidad. </w:t>
      </w:r>
    </w:p>
    <w:p w14:paraId="7FC9E241" w14:textId="77777777" w:rsidR="00F37F48" w:rsidRPr="00F37F48" w:rsidRDefault="00F37F48" w:rsidP="00291B70">
      <w:pPr>
        <w:widowControl w:val="0"/>
        <w:autoSpaceDE w:val="0"/>
        <w:autoSpaceDN w:val="0"/>
        <w:spacing w:after="120" w:line="276" w:lineRule="auto"/>
        <w:ind w:right="105" w:firstLine="709"/>
        <w:jc w:val="both"/>
        <w:rPr>
          <w:rFonts w:ascii="Verdana" w:eastAsia="Arial" w:hAnsi="Verdana" w:cs="Arial"/>
          <w:lang w:eastAsia="es-ES" w:bidi="es-ES"/>
        </w:rPr>
      </w:pPr>
      <w:r w:rsidRPr="00F37F48">
        <w:rPr>
          <w:rFonts w:ascii="Verdana" w:eastAsia="Arial" w:hAnsi="Verdana" w:cs="Arial"/>
          <w:lang w:val="es-ES" w:eastAsia="es-ES" w:bidi="es-ES"/>
        </w:rPr>
        <w:t xml:space="preserve">Bajo estas consideraciones, se tiene que </w:t>
      </w:r>
      <w:r w:rsidRPr="00F37F48">
        <w:rPr>
          <w:rFonts w:ascii="Verdana" w:eastAsia="Arial" w:hAnsi="Verdana" w:cs="Arial"/>
          <w:lang w:eastAsia="es-ES" w:bidi="es-ES"/>
        </w:rPr>
        <w:t xml:space="preserve">la liquidación bilateral debe agotarse dentro del marco temporal previsto para ello, conforme se explicó en la parte inicial del presente concepto. En esta etapa, y en ejercicio pleno de la autonomía de la voluntad, las partes deben incorporar todos los acuerdos, salvedades, conciliaciones o transacciones a los que hubieren llegado, con el fin de resolver cualquier diferencia surgida durante la ejecución del contrato y declarar formalmente su finiquito. En consecuencia, en la liquidación bilateral las partes deberían expresar cualquier inconformidad relacionada con las prestaciones contractuales, y todo lo dispuesto en ella surtirá plenos efectos jurídicos y obligará a ambas partes. </w:t>
      </w:r>
    </w:p>
    <w:p w14:paraId="7EF9D484" w14:textId="77777777" w:rsidR="00F37F48" w:rsidRPr="00F37F48" w:rsidRDefault="00F37F48" w:rsidP="00291B70">
      <w:pPr>
        <w:widowControl w:val="0"/>
        <w:autoSpaceDE w:val="0"/>
        <w:autoSpaceDN w:val="0"/>
        <w:spacing w:after="120" w:line="276" w:lineRule="auto"/>
        <w:ind w:right="105" w:firstLine="709"/>
        <w:jc w:val="both"/>
        <w:rPr>
          <w:rFonts w:ascii="Verdana" w:eastAsia="Arial" w:hAnsi="Verdana" w:cs="Arial"/>
          <w:lang w:eastAsia="es-ES" w:bidi="es-ES"/>
        </w:rPr>
      </w:pPr>
      <w:r w:rsidRPr="00F37F48">
        <w:rPr>
          <w:rFonts w:ascii="Verdana" w:eastAsia="Arial" w:hAnsi="Verdana" w:cs="Arial"/>
          <w:lang w:eastAsia="es-ES" w:bidi="es-ES"/>
        </w:rPr>
        <w:t xml:space="preserve">Así las cosas, si al momento de suscribir la liquidación no se dejan consignadas salvedades expresas, se entenderá que las partes han llegado a un acuerdo integral sobre la finalización del contrato y sus efectos, quedando imposibilitadas para reclamar posteriormente por vía jurisdiccional sobre aspectos que fueron objeto de dicho acuerdo o que no fueron oportunamente controvertidos. Esta interpretación, como se indicó, ha sido reiterada por la jurisprudencia del Consejo de Estado, la cual ha sostenido que la ausencia de </w:t>
      </w:r>
      <w:r w:rsidRPr="00F37F48">
        <w:rPr>
          <w:rFonts w:ascii="Verdana" w:eastAsia="Arial" w:hAnsi="Verdana" w:cs="Arial"/>
          <w:lang w:eastAsia="es-ES" w:bidi="es-ES"/>
        </w:rPr>
        <w:lastRenderedPageBreak/>
        <w:t>manifestaciones de inconformidad en el acta de liquidación impide a las partes, por regla general, acudir posteriormente a la jurisdicción para reclamar derechos u obligaciones que no quedaron consignados en el acta.</w:t>
      </w:r>
    </w:p>
    <w:p w14:paraId="515AC45D" w14:textId="77777777" w:rsidR="00F37F48" w:rsidRPr="00F37F48" w:rsidRDefault="00F37F48" w:rsidP="00291B70">
      <w:pPr>
        <w:widowControl w:val="0"/>
        <w:autoSpaceDE w:val="0"/>
        <w:autoSpaceDN w:val="0"/>
        <w:spacing w:after="120" w:line="276" w:lineRule="auto"/>
        <w:ind w:right="105" w:firstLine="709"/>
        <w:jc w:val="both"/>
        <w:rPr>
          <w:rFonts w:ascii="Verdana" w:eastAsia="Arial" w:hAnsi="Verdana" w:cs="Arial"/>
          <w:lang w:eastAsia="es-ES" w:bidi="es-ES"/>
        </w:rPr>
      </w:pPr>
      <w:r w:rsidRPr="00F37F48">
        <w:rPr>
          <w:rFonts w:ascii="Verdana" w:eastAsia="Arial" w:hAnsi="Verdana" w:cs="Arial"/>
          <w:lang w:eastAsia="es-ES" w:bidi="es-ES"/>
        </w:rPr>
        <w:t xml:space="preserve">Por consiguiente, debido a la naturaleza y al carácter vinculante del acta liquidación bilateral, no se considera procedente realizar modificaciones posteriores que alteren los acuerdos inicialmente suscritos por las partes. Precisamente, la fuerza obligatoria de este instrumento radica en que representa una manifestación libre y consciente de la voluntad de las partes, dirigida a dar por terminado el contrato y a resolver las diferencias surgidas durante su ejecución. En ese sentido, se entiende definitiva y solo admite impugnación en los casos señalados, como la existencia de vicios del consentimiento o cuando se hayan dejado salvedades expresas en el mismo documento. </w:t>
      </w:r>
    </w:p>
    <w:p w14:paraId="222BF9BB" w14:textId="77777777" w:rsidR="00F37F48" w:rsidRPr="00F37F48" w:rsidRDefault="00F37F48" w:rsidP="00291B70">
      <w:pPr>
        <w:widowControl w:val="0"/>
        <w:autoSpaceDE w:val="0"/>
        <w:autoSpaceDN w:val="0"/>
        <w:spacing w:after="120" w:line="276" w:lineRule="auto"/>
        <w:ind w:right="105" w:firstLine="709"/>
        <w:jc w:val="both"/>
        <w:rPr>
          <w:rFonts w:ascii="Verdana" w:eastAsia="Arial" w:hAnsi="Verdana" w:cs="Arial"/>
          <w:lang w:eastAsia="es-ES" w:bidi="es-ES"/>
        </w:rPr>
      </w:pPr>
      <w:r w:rsidRPr="00F37F48">
        <w:rPr>
          <w:rFonts w:ascii="Verdana" w:eastAsia="Arial" w:hAnsi="Verdana" w:cs="Arial"/>
          <w:lang w:eastAsia="es-ES" w:bidi="es-ES"/>
        </w:rPr>
        <w:t xml:space="preserve">Sin perjuicio de lo anterior, pueden presentarse situaciones en las que las partes consideren necesario aclarar ciertos aspectos del contenido del acta. Sin embargo, tales aclaraciones deben limitarse estrictamente a precisar el alcance de lo ya acordado y en ningún caso pueden implicar una modificación sustancial de la liquidación, ni revivir la etapa ya cerrada. De esta forma, cualquier aclaración debe realizarse de mutuo acuerdo, respetando los límites de su contenido.  </w:t>
      </w:r>
      <w:bookmarkEnd w:id="10"/>
    </w:p>
    <w:p w14:paraId="0C183B86" w14:textId="77777777" w:rsidR="00F37F48" w:rsidRPr="00F37F48" w:rsidRDefault="00F37F48" w:rsidP="00291B70">
      <w:pPr>
        <w:spacing w:after="120" w:line="276" w:lineRule="auto"/>
        <w:ind w:firstLine="709"/>
        <w:jc w:val="both"/>
        <w:rPr>
          <w:rFonts w:ascii="Verdana" w:hAnsi="Verdana"/>
        </w:rPr>
      </w:pPr>
      <w:r w:rsidRPr="00F37F48">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3E8DE52F" w14:textId="5B0AEE72" w:rsidR="00F37F48" w:rsidRPr="00291B70" w:rsidRDefault="00F37F48" w:rsidP="00291B70">
      <w:pPr>
        <w:spacing w:after="120" w:line="276" w:lineRule="auto"/>
        <w:ind w:firstLine="708"/>
        <w:jc w:val="both"/>
        <w:rPr>
          <w:rFonts w:ascii="Verdana" w:eastAsia="Calibri" w:hAnsi="Verdana" w:cs="Arial"/>
          <w:bCs/>
          <w:color w:val="000000" w:themeColor="text1"/>
        </w:rPr>
      </w:pPr>
      <w:r w:rsidRPr="00F37F48">
        <w:rPr>
          <w:rFonts w:ascii="Verdana" w:eastAsia="Calibri" w:hAnsi="Verdana" w:cs="Arial"/>
          <w:bCs/>
          <w:color w:val="000000" w:themeColor="text1"/>
        </w:rPr>
        <w:t xml:space="preserve">Dentro de este marco, corresponde a cada entidad pública, en ejercicio de su competencia, determinar la forma en la cual se llevará a cabo la gestión de liquidación en un proceso de contratación en particular. Al tratarse de un análisis que debe realizarse en el procedimiento contractual específico, la Agencia no puede definir un criterio universal y absoluto por vía consultiva, sino que brinda </w:t>
      </w:r>
      <w:r w:rsidRPr="00F37F48">
        <w:rPr>
          <w:rFonts w:ascii="Verdana" w:eastAsia="Calibri" w:hAnsi="Verdana" w:cs="Arial"/>
          <w:bCs/>
          <w:color w:val="000000" w:themeColor="text1"/>
        </w:rPr>
        <w:lastRenderedPageBreak/>
        <w:t xml:space="preserve">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649DFF22" w14:textId="77777777" w:rsidR="00F37F48" w:rsidRPr="00F37F48" w:rsidRDefault="00F37F48" w:rsidP="00F37F48">
      <w:pPr>
        <w:numPr>
          <w:ilvl w:val="0"/>
          <w:numId w:val="1"/>
        </w:numPr>
        <w:tabs>
          <w:tab w:val="left" w:pos="142"/>
          <w:tab w:val="left" w:pos="284"/>
        </w:tabs>
        <w:spacing w:after="0" w:line="276" w:lineRule="auto"/>
        <w:jc w:val="both"/>
        <w:rPr>
          <w:rFonts w:ascii="Verdana" w:eastAsia="Century Gothic" w:hAnsi="Verdana" w:cs="Century Gothic"/>
          <w:b/>
          <w:bCs/>
        </w:rPr>
      </w:pPr>
      <w:r w:rsidRPr="00F37F48">
        <w:rPr>
          <w:rFonts w:ascii="Verdana" w:eastAsia="Century Gothic" w:hAnsi="Verdana" w:cs="Century Gothic"/>
          <w:b/>
          <w:bCs/>
        </w:rPr>
        <w:t>Referencias normativas y jurisprudenciales:</w:t>
      </w:r>
    </w:p>
    <w:p w14:paraId="1C51AAFF" w14:textId="77777777" w:rsidR="00F37F48" w:rsidRPr="00F37F48" w:rsidRDefault="00F37F48" w:rsidP="00F37F48">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37F48" w:rsidRPr="00F37F48" w14:paraId="1E544105" w14:textId="77777777" w:rsidTr="00B127C4">
        <w:trPr>
          <w:trHeight w:val="3529"/>
          <w:jc w:val="center"/>
        </w:trPr>
        <w:tc>
          <w:tcPr>
            <w:tcW w:w="8647" w:type="dxa"/>
          </w:tcPr>
          <w:p w14:paraId="0419C4D8" w14:textId="77777777" w:rsidR="00F37F48" w:rsidRPr="00F37F48" w:rsidRDefault="00F37F48" w:rsidP="00F37F48">
            <w:pPr>
              <w:widowControl w:val="0"/>
              <w:numPr>
                <w:ilvl w:val="0"/>
                <w:numId w:val="3"/>
              </w:numPr>
              <w:autoSpaceDE w:val="0"/>
              <w:autoSpaceDN w:val="0"/>
              <w:spacing w:after="120" w:line="276" w:lineRule="auto"/>
              <w:contextualSpacing/>
              <w:jc w:val="both"/>
              <w:rPr>
                <w:rFonts w:ascii="Verdana" w:hAnsi="Verdana"/>
                <w:lang w:val="es-MX" w:bidi="es-ES"/>
              </w:rPr>
            </w:pPr>
            <w:r w:rsidRPr="00F37F48">
              <w:rPr>
                <w:rFonts w:ascii="Verdana" w:hAnsi="Verdana"/>
                <w:lang w:val="es-MX" w:bidi="es-ES"/>
              </w:rPr>
              <w:t xml:space="preserve">Ley 80 de 1993, artículo 60. </w:t>
            </w:r>
          </w:p>
          <w:p w14:paraId="6BA13B87" w14:textId="77777777" w:rsidR="00F37F48" w:rsidRPr="00F37F48" w:rsidRDefault="00F37F48" w:rsidP="00F37F48">
            <w:pPr>
              <w:widowControl w:val="0"/>
              <w:numPr>
                <w:ilvl w:val="0"/>
                <w:numId w:val="3"/>
              </w:numPr>
              <w:autoSpaceDE w:val="0"/>
              <w:autoSpaceDN w:val="0"/>
              <w:spacing w:after="120" w:line="276" w:lineRule="auto"/>
              <w:contextualSpacing/>
              <w:jc w:val="both"/>
              <w:rPr>
                <w:rFonts w:ascii="Verdana" w:hAnsi="Verdana"/>
                <w:lang w:val="es-MX" w:bidi="es-ES"/>
              </w:rPr>
            </w:pPr>
            <w:r w:rsidRPr="00F37F48">
              <w:rPr>
                <w:rFonts w:ascii="Verdana" w:hAnsi="Verdana"/>
                <w:lang w:val="es-MX" w:bidi="es-ES"/>
              </w:rPr>
              <w:t xml:space="preserve">Ley 1150 de 2007, artículo 11. </w:t>
            </w:r>
          </w:p>
          <w:p w14:paraId="23759890" w14:textId="77777777" w:rsidR="00F37F48" w:rsidRPr="00F37F48" w:rsidRDefault="00F37F48" w:rsidP="00F37F48">
            <w:pPr>
              <w:widowControl w:val="0"/>
              <w:numPr>
                <w:ilvl w:val="0"/>
                <w:numId w:val="3"/>
              </w:numPr>
              <w:autoSpaceDE w:val="0"/>
              <w:autoSpaceDN w:val="0"/>
              <w:spacing w:after="120" w:line="276" w:lineRule="auto"/>
              <w:contextualSpacing/>
              <w:jc w:val="both"/>
              <w:rPr>
                <w:rFonts w:ascii="Verdana" w:hAnsi="Verdana"/>
                <w:lang w:val="es-MX" w:bidi="es-ES"/>
              </w:rPr>
            </w:pPr>
            <w:r w:rsidRPr="00F37F48">
              <w:rPr>
                <w:rFonts w:ascii="Verdana" w:hAnsi="Verdana"/>
                <w:lang w:val="es-MX" w:bidi="es-ES"/>
              </w:rPr>
              <w:t xml:space="preserve">Consejo de Estado, Sección Tercera, Subsección B, Sentencia del 7 de febrero de 2025, radicado No. 71.036 </w:t>
            </w:r>
            <w:proofErr w:type="gramStart"/>
            <w:r w:rsidRPr="00F37F48">
              <w:rPr>
                <w:rFonts w:ascii="Verdana" w:hAnsi="Verdana"/>
                <w:lang w:val="es-MX" w:bidi="es-ES"/>
              </w:rPr>
              <w:t>Consejera</w:t>
            </w:r>
            <w:proofErr w:type="gramEnd"/>
            <w:r w:rsidRPr="00F37F48">
              <w:rPr>
                <w:rFonts w:ascii="Verdana" w:hAnsi="Verdana"/>
                <w:lang w:val="es-MX" w:bidi="es-ES"/>
              </w:rPr>
              <w:t xml:space="preserve"> Ponente: Fredy Ibarra Martínez.</w:t>
            </w:r>
          </w:p>
          <w:p w14:paraId="716AA327" w14:textId="77777777" w:rsidR="00F37F48" w:rsidRPr="00F37F48" w:rsidRDefault="00F37F48" w:rsidP="00F37F48">
            <w:pPr>
              <w:widowControl w:val="0"/>
              <w:numPr>
                <w:ilvl w:val="0"/>
                <w:numId w:val="3"/>
              </w:numPr>
              <w:autoSpaceDE w:val="0"/>
              <w:autoSpaceDN w:val="0"/>
              <w:spacing w:after="120" w:line="276" w:lineRule="auto"/>
              <w:contextualSpacing/>
              <w:jc w:val="both"/>
              <w:rPr>
                <w:rFonts w:ascii="Verdana" w:hAnsi="Verdana"/>
                <w:lang w:val="es-MX" w:bidi="es-ES"/>
              </w:rPr>
            </w:pPr>
            <w:r w:rsidRPr="00F37F48">
              <w:rPr>
                <w:rFonts w:ascii="Verdana" w:hAnsi="Verdana"/>
                <w:lang w:val="es-MX" w:bidi="es-ES"/>
              </w:rPr>
              <w:t xml:space="preserve">Consejo de Estado, Sección Tercera, Subsección A, Sentencia del 20 de mayo de 2024, radicado No. 58.879, </w:t>
            </w:r>
            <w:proofErr w:type="gramStart"/>
            <w:r w:rsidRPr="00F37F48">
              <w:rPr>
                <w:rFonts w:ascii="Verdana" w:hAnsi="Verdana"/>
                <w:lang w:val="es-MX" w:bidi="es-ES"/>
              </w:rPr>
              <w:t>Consejera</w:t>
            </w:r>
            <w:proofErr w:type="gramEnd"/>
            <w:r w:rsidRPr="00F37F48">
              <w:rPr>
                <w:rFonts w:ascii="Verdana" w:hAnsi="Verdana"/>
                <w:lang w:val="es-MX" w:bidi="es-ES"/>
              </w:rPr>
              <w:t xml:space="preserve"> Ponente: María Adriana Marín.</w:t>
            </w:r>
          </w:p>
          <w:p w14:paraId="2301FD04" w14:textId="77777777" w:rsidR="00F37F48" w:rsidRPr="00F37F48" w:rsidRDefault="00F37F48" w:rsidP="00F37F48">
            <w:pPr>
              <w:widowControl w:val="0"/>
              <w:numPr>
                <w:ilvl w:val="0"/>
                <w:numId w:val="3"/>
              </w:numPr>
              <w:autoSpaceDE w:val="0"/>
              <w:autoSpaceDN w:val="0"/>
              <w:spacing w:after="120" w:line="276" w:lineRule="auto"/>
              <w:contextualSpacing/>
              <w:jc w:val="both"/>
              <w:rPr>
                <w:rFonts w:ascii="Verdana" w:hAnsi="Verdana"/>
                <w:lang w:val="es-MX" w:bidi="es-ES"/>
              </w:rPr>
            </w:pPr>
            <w:r w:rsidRPr="00F37F48">
              <w:rPr>
                <w:rFonts w:ascii="Verdana" w:hAnsi="Verdana"/>
                <w:lang w:val="es-MX" w:bidi="es-ES"/>
              </w:rPr>
              <w:t xml:space="preserve">Consejo de Estado, Sala de Consulta Y servicio Civil, Concepto del 18 de junio de 2016, radicado No. 2253, </w:t>
            </w:r>
            <w:proofErr w:type="gramStart"/>
            <w:r w:rsidRPr="00F37F48">
              <w:rPr>
                <w:rFonts w:ascii="Verdana" w:hAnsi="Verdana"/>
                <w:lang w:val="es-MX" w:bidi="es-ES"/>
              </w:rPr>
              <w:t>Consejero</w:t>
            </w:r>
            <w:proofErr w:type="gramEnd"/>
            <w:r w:rsidRPr="00F37F48">
              <w:rPr>
                <w:rFonts w:ascii="Verdana" w:hAnsi="Verdana"/>
                <w:lang w:val="es-MX" w:bidi="es-ES"/>
              </w:rPr>
              <w:t xml:space="preserve"> Ponente: Álvaro </w:t>
            </w:r>
            <w:proofErr w:type="spellStart"/>
            <w:r w:rsidRPr="00F37F48">
              <w:rPr>
                <w:rFonts w:ascii="Verdana" w:hAnsi="Verdana"/>
                <w:lang w:val="es-MX" w:bidi="es-ES"/>
              </w:rPr>
              <w:t>Namén</w:t>
            </w:r>
            <w:proofErr w:type="spellEnd"/>
            <w:r w:rsidRPr="00F37F48">
              <w:rPr>
                <w:rFonts w:ascii="Verdana" w:hAnsi="Verdana"/>
                <w:lang w:val="es-MX" w:bidi="es-ES"/>
              </w:rPr>
              <w:t xml:space="preserve"> Vargas</w:t>
            </w:r>
          </w:p>
        </w:tc>
      </w:tr>
    </w:tbl>
    <w:p w14:paraId="214F29FF" w14:textId="77777777" w:rsidR="00F37F48" w:rsidRPr="00F37F48" w:rsidRDefault="00F37F48" w:rsidP="00F37F48">
      <w:pPr>
        <w:widowControl w:val="0"/>
        <w:autoSpaceDE w:val="0"/>
        <w:autoSpaceDN w:val="0"/>
        <w:spacing w:after="0" w:line="276" w:lineRule="auto"/>
        <w:jc w:val="both"/>
        <w:rPr>
          <w:rFonts w:ascii="Verdana" w:hAnsi="Verdana" w:cs="Arial"/>
        </w:rPr>
      </w:pPr>
    </w:p>
    <w:p w14:paraId="750AD28E" w14:textId="77777777" w:rsidR="00F37F48" w:rsidRPr="00F37F48" w:rsidRDefault="00F37F48" w:rsidP="00F37F48">
      <w:pPr>
        <w:numPr>
          <w:ilvl w:val="0"/>
          <w:numId w:val="1"/>
        </w:numPr>
        <w:tabs>
          <w:tab w:val="left" w:pos="142"/>
          <w:tab w:val="left" w:pos="284"/>
        </w:tabs>
        <w:spacing w:after="0" w:line="276" w:lineRule="auto"/>
        <w:jc w:val="both"/>
        <w:rPr>
          <w:rFonts w:ascii="Verdana" w:eastAsia="Century Gothic" w:hAnsi="Verdana" w:cs="Century Gothic"/>
          <w:b/>
          <w:bCs/>
        </w:rPr>
      </w:pPr>
      <w:r w:rsidRPr="00F37F48">
        <w:rPr>
          <w:rFonts w:ascii="Verdana" w:eastAsia="Century Gothic" w:hAnsi="Verdana" w:cs="Century Gothic"/>
          <w:b/>
          <w:bCs/>
        </w:rPr>
        <w:t>Doctrina de la Agencia Nacional de Contratación Pública:</w:t>
      </w:r>
    </w:p>
    <w:p w14:paraId="3B3C9742" w14:textId="77777777" w:rsidR="00F37F48" w:rsidRPr="00F37F48" w:rsidRDefault="00F37F48" w:rsidP="00F37F48">
      <w:pPr>
        <w:widowControl w:val="0"/>
        <w:autoSpaceDE w:val="0"/>
        <w:autoSpaceDN w:val="0"/>
        <w:spacing w:after="0" w:line="276" w:lineRule="auto"/>
        <w:jc w:val="both"/>
        <w:rPr>
          <w:rFonts w:ascii="Verdana" w:hAnsi="Verdana" w:cs="Arial"/>
        </w:rPr>
      </w:pPr>
    </w:p>
    <w:p w14:paraId="39CF587F" w14:textId="571408E4" w:rsidR="00F37F48" w:rsidRDefault="00F37F48" w:rsidP="00291B70">
      <w:pPr>
        <w:widowControl w:val="0"/>
        <w:autoSpaceDE w:val="0"/>
        <w:autoSpaceDN w:val="0"/>
        <w:spacing w:after="0" w:line="276" w:lineRule="auto"/>
        <w:jc w:val="both"/>
        <w:rPr>
          <w:rFonts w:ascii="Verdana" w:hAnsi="Verdana" w:cs="Arial"/>
          <w:shd w:val="clear" w:color="auto" w:fill="FFFFFF"/>
        </w:rPr>
      </w:pPr>
      <w:r w:rsidRPr="00F37F48">
        <w:rPr>
          <w:rFonts w:ascii="Verdana" w:hAnsi="Verdana" w:cs="Arial"/>
          <w:shd w:val="clear" w:color="auto" w:fill="FFFFFF"/>
        </w:rPr>
        <w:t>Esta Subdirección se ha pronunciado sobre la liquidación en los Conceptos 4201912000004908 del 27 de septiembre de 2019, CU-028 de 25 de febrero de 2020, C-221 de 21 de abril de 2020, C-078 del 17 de marzo de 2021, C-220 del 18 de mayo de 2021, C-494 del 17 de septiembre de 2021, C-444 del 23 de julio de 2021, C-747 del 8 de noviembre de 2022, C-739 de del 29 de noviembre de 2022, C-759 del 11 de noviembre de 2022, C- 176 de 3 de mayo de 2023, C-158 del 6 de junio de 2023, C-326 del 15 de agosto de 2024, C-568 del 18 de octubre de 2024 y C-968 del 16 de diciembre de 2025. Es</w:t>
      </w:r>
      <w:r w:rsidRPr="00F37F48">
        <w:rPr>
          <w:rFonts w:ascii="Verdana" w:hAnsi="Verdana"/>
        </w:rPr>
        <w:t>tos conceptos se encuentran disponibles para consulta en el Sistema de relatoría de la Agencia, al cual se puede acceder a través del siguiente enlace:</w:t>
      </w:r>
      <w:r w:rsidRPr="00F37F48">
        <w:rPr>
          <w:rFonts w:ascii="Verdana" w:hAnsi="Verdana" w:cs="Arial"/>
          <w:shd w:val="clear" w:color="auto" w:fill="FFFFFF"/>
        </w:rPr>
        <w:t xml:space="preserve"> </w:t>
      </w:r>
      <w:hyperlink r:id="rId13" w:history="1">
        <w:r w:rsidRPr="00F37F48">
          <w:rPr>
            <w:rFonts w:ascii="Verdana" w:hAnsi="Verdana" w:cs="Arial"/>
            <w:color w:val="0000FF"/>
            <w:u w:val="single"/>
            <w:shd w:val="clear" w:color="auto" w:fill="FFFFFF"/>
          </w:rPr>
          <w:t>https://relatoria.colombiacompra.gov.co/</w:t>
        </w:r>
      </w:hyperlink>
      <w:r w:rsidRPr="00F37F48">
        <w:rPr>
          <w:rFonts w:ascii="Verdana" w:hAnsi="Verdana" w:cs="Arial"/>
          <w:shd w:val="clear" w:color="auto" w:fill="FFFFFF"/>
        </w:rPr>
        <w:t xml:space="preserve"> </w:t>
      </w:r>
    </w:p>
    <w:p w14:paraId="0A7B2995" w14:textId="77777777" w:rsidR="00291B70" w:rsidRPr="00291B70" w:rsidRDefault="00291B70" w:rsidP="00291B70">
      <w:pPr>
        <w:widowControl w:val="0"/>
        <w:autoSpaceDE w:val="0"/>
        <w:autoSpaceDN w:val="0"/>
        <w:spacing w:after="0" w:line="276" w:lineRule="auto"/>
        <w:jc w:val="both"/>
        <w:rPr>
          <w:rFonts w:ascii="Verdana" w:hAnsi="Verdana" w:cs="Arial"/>
          <w:shd w:val="clear" w:color="auto" w:fill="FFFFFF"/>
        </w:rPr>
      </w:pPr>
    </w:p>
    <w:p w14:paraId="6282C358" w14:textId="77777777" w:rsidR="00F37F48" w:rsidRPr="00F37F48" w:rsidRDefault="00F37F48" w:rsidP="00291B70">
      <w:pPr>
        <w:shd w:val="clear" w:color="auto" w:fill="FFFFFF"/>
        <w:spacing w:after="0" w:line="276" w:lineRule="auto"/>
        <w:jc w:val="both"/>
        <w:rPr>
          <w:rFonts w:ascii="Verdana" w:hAnsi="Verdana"/>
          <w:color w:val="467886"/>
          <w:u w:val="single"/>
        </w:rPr>
      </w:pPr>
      <w:r w:rsidRPr="00F37F48">
        <w:rPr>
          <w:rFonts w:ascii="Verdana" w:hAnsi="Verdana"/>
          <w:color w:val="000000"/>
        </w:rPr>
        <w:t>Te informamos que ya se encuentra disponible la </w:t>
      </w:r>
      <w:r w:rsidRPr="00F37F48">
        <w:rPr>
          <w:rFonts w:ascii="Verdana" w:hAnsi="Verdana"/>
          <w:b/>
          <w:bCs/>
          <w:color w:val="000000"/>
        </w:rPr>
        <w:t xml:space="preserve">Guía de lineamientos de transparencia y selección objetiva para el departamento de La Guajira – </w:t>
      </w:r>
      <w:r w:rsidRPr="00F37F48">
        <w:rPr>
          <w:rFonts w:ascii="Verdana" w:hAnsi="Verdana"/>
          <w:b/>
          <w:bCs/>
          <w:color w:val="000000"/>
        </w:rPr>
        <w:lastRenderedPageBreak/>
        <w:t>Objetivo sexto constitucional de la Sentencia T-302 del 2017. </w:t>
      </w:r>
      <w:r w:rsidRPr="00F37F48">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F37F48">
        <w:rPr>
          <w:rFonts w:ascii="Verdana" w:hAnsi="Verdana"/>
          <w:color w:val="000000"/>
        </w:rPr>
        <w:t>Wayúu</w:t>
      </w:r>
      <w:proofErr w:type="spellEnd"/>
      <w:r w:rsidRPr="00F37F48">
        <w:rPr>
          <w:rFonts w:ascii="Verdana" w:hAnsi="Verdana"/>
          <w:color w:val="000000"/>
        </w:rPr>
        <w:t>. Puede consultar la guía en el siguiente enlace: </w:t>
      </w:r>
      <w:hyperlink r:id="rId14" w:tgtFrame="_blank" w:tooltip="Dirección URL original: https://www.colombiacompra.gov.co/wp-content/uploads/2025/05/GUIA-DE-LINEAMIENTOS-DE-TRANSPARENCIA-Y-SELECCION-OBJETIVA-1.0.pdf. Haga clic o pulse si confía en este vínculo." w:history="1">
        <w:r w:rsidRPr="00F37F48">
          <w:rPr>
            <w:rFonts w:ascii="Verdana" w:hAnsi="Verdana"/>
            <w:color w:val="0000FF"/>
            <w:u w:val="single"/>
          </w:rPr>
          <w:t>Guía de lineamientos de transparencia y selección objetiva para el departamento de La Guajira – Objetivo sexto constitucional de la Sentencia T-302 del 2017</w:t>
        </w:r>
      </w:hyperlink>
      <w:r w:rsidRPr="00F37F48">
        <w:rPr>
          <w:rFonts w:ascii="Verdana" w:hAnsi="Verdana"/>
          <w:color w:val="000000"/>
          <w:u w:val="single"/>
        </w:rPr>
        <w:t>.</w:t>
      </w:r>
    </w:p>
    <w:p w14:paraId="4D8D048C" w14:textId="77777777" w:rsidR="00F37F48" w:rsidRPr="00F37F48" w:rsidRDefault="00F37F48" w:rsidP="00F37F48">
      <w:pPr>
        <w:widowControl w:val="0"/>
        <w:autoSpaceDE w:val="0"/>
        <w:autoSpaceDN w:val="0"/>
        <w:spacing w:after="0" w:line="276" w:lineRule="auto"/>
        <w:jc w:val="both"/>
        <w:rPr>
          <w:rFonts w:ascii="Verdana" w:eastAsia="Calibri" w:hAnsi="Verdana" w:cs="Arial"/>
          <w:color w:val="000000" w:themeColor="text1"/>
        </w:rPr>
      </w:pPr>
    </w:p>
    <w:p w14:paraId="35F4592F" w14:textId="77777777" w:rsidR="00F37F48" w:rsidRPr="00F37F48" w:rsidRDefault="00F37F48" w:rsidP="00F37F48">
      <w:pPr>
        <w:widowControl w:val="0"/>
        <w:autoSpaceDE w:val="0"/>
        <w:autoSpaceDN w:val="0"/>
        <w:spacing w:after="0" w:line="276" w:lineRule="auto"/>
        <w:jc w:val="both"/>
        <w:rPr>
          <w:rFonts w:ascii="Verdana" w:hAnsi="Verdana" w:cs="Arial"/>
        </w:rPr>
      </w:pPr>
      <w:r w:rsidRPr="00F37F48">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7A0E303F" w14:textId="77777777" w:rsidR="00F37F48" w:rsidRPr="00F37F48" w:rsidRDefault="00F37F48" w:rsidP="00F37F48">
      <w:pPr>
        <w:widowControl w:val="0"/>
        <w:autoSpaceDE w:val="0"/>
        <w:autoSpaceDN w:val="0"/>
        <w:spacing w:after="0" w:line="276" w:lineRule="auto"/>
        <w:jc w:val="both"/>
        <w:rPr>
          <w:rFonts w:ascii="Verdana" w:hAnsi="Verdana" w:cs="Arial"/>
        </w:rPr>
      </w:pPr>
    </w:p>
    <w:p w14:paraId="61DC6BC7" w14:textId="4A8F9678" w:rsidR="00F37F48" w:rsidRPr="00291B70" w:rsidRDefault="00F37F48" w:rsidP="00F37F48">
      <w:pPr>
        <w:spacing w:after="0" w:line="276" w:lineRule="auto"/>
        <w:rPr>
          <w:rFonts w:ascii="Verdana" w:hAnsi="Verdana" w:cs="Arial"/>
          <w:lang w:eastAsia="es-CO"/>
        </w:rPr>
      </w:pPr>
      <w:r w:rsidRPr="00F37F48">
        <w:rPr>
          <w:rFonts w:ascii="Verdana" w:eastAsia="Times New Roman" w:hAnsi="Verdana" w:cs="Arial"/>
          <w:lang w:eastAsia="es-CO"/>
        </w:rPr>
        <w:t>Atentamente,</w:t>
      </w:r>
      <w:r w:rsidRPr="00F37F48">
        <w:rPr>
          <w:rFonts w:ascii="Verdana" w:hAnsi="Verdana" w:cs="Arial"/>
          <w:lang w:eastAsia="es-CO"/>
        </w:rPr>
        <w:t xml:space="preserve"> </w:t>
      </w:r>
    </w:p>
    <w:p w14:paraId="601FA2E2" w14:textId="00B27C73" w:rsidR="00F37F48" w:rsidRPr="00F37F48" w:rsidRDefault="00291B70" w:rsidP="00F37F48">
      <w:pPr>
        <w:spacing w:line="276" w:lineRule="auto"/>
        <w:jc w:val="center"/>
        <w:rPr>
          <w:rFonts w:ascii="Verdana" w:hAnsi="Verdana" w:cs="Arial"/>
          <w:color w:val="000000"/>
          <w:lang w:eastAsia="es-CO"/>
        </w:rPr>
      </w:pPr>
      <w:r>
        <w:rPr>
          <w:noProof/>
        </w:rPr>
        <w:drawing>
          <wp:inline distT="0" distB="0" distL="0" distR="0" wp14:anchorId="5A5CFDF3" wp14:editId="3C8739A2">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5"/>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37F48" w:rsidRPr="00F37F48" w14:paraId="257A436E" w14:textId="77777777" w:rsidTr="00B127C4">
        <w:trPr>
          <w:trHeight w:val="315"/>
        </w:trPr>
        <w:tc>
          <w:tcPr>
            <w:tcW w:w="893" w:type="dxa"/>
            <w:vAlign w:val="center"/>
            <w:hideMark/>
          </w:tcPr>
          <w:p w14:paraId="38B8A007" w14:textId="77777777" w:rsidR="00F37F48" w:rsidRPr="00F37F48" w:rsidRDefault="00F37F48" w:rsidP="00F37F48">
            <w:pPr>
              <w:contextualSpacing/>
              <w:rPr>
                <w:rFonts w:ascii="Verdana" w:hAnsi="Verdana" w:cs="Arial"/>
                <w:sz w:val="16"/>
                <w:szCs w:val="16"/>
                <w:lang w:eastAsia="es-ES"/>
              </w:rPr>
            </w:pPr>
            <w:r w:rsidRPr="00F37F48">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1DE003E9" w14:textId="77777777" w:rsidR="00F37F48" w:rsidRPr="00F37F48" w:rsidRDefault="00F37F48" w:rsidP="00F37F48">
            <w:pPr>
              <w:contextualSpacing/>
              <w:rPr>
                <w:rFonts w:ascii="Verdana" w:hAnsi="Verdana"/>
                <w:sz w:val="16"/>
                <w:szCs w:val="16"/>
              </w:rPr>
            </w:pPr>
            <w:r w:rsidRPr="00F37F48">
              <w:rPr>
                <w:rFonts w:ascii="Verdana" w:hAnsi="Verdana"/>
                <w:sz w:val="16"/>
                <w:szCs w:val="16"/>
              </w:rPr>
              <w:t>Tatiana Baquero Iguarán</w:t>
            </w:r>
          </w:p>
          <w:p w14:paraId="3602D38B" w14:textId="77777777" w:rsidR="00F37F48" w:rsidRPr="00F37F48" w:rsidRDefault="00F37F48" w:rsidP="00F37F48">
            <w:pPr>
              <w:contextualSpacing/>
              <w:rPr>
                <w:rFonts w:ascii="Verdana" w:eastAsia="Arial" w:hAnsi="Verdana" w:cs="Arial"/>
                <w:sz w:val="16"/>
                <w:szCs w:val="16"/>
              </w:rPr>
            </w:pPr>
            <w:r w:rsidRPr="00F37F48">
              <w:rPr>
                <w:rFonts w:ascii="Verdana" w:hAnsi="Verdana"/>
                <w:sz w:val="16"/>
                <w:szCs w:val="16"/>
              </w:rPr>
              <w:t>Contratista de la Subdirección de Gestión Contractual</w:t>
            </w:r>
          </w:p>
        </w:tc>
      </w:tr>
      <w:tr w:rsidR="00F37F48" w:rsidRPr="00F37F48" w14:paraId="272082CC" w14:textId="77777777" w:rsidTr="00B127C4">
        <w:trPr>
          <w:trHeight w:val="330"/>
        </w:trPr>
        <w:tc>
          <w:tcPr>
            <w:tcW w:w="893" w:type="dxa"/>
            <w:vAlign w:val="center"/>
            <w:hideMark/>
          </w:tcPr>
          <w:p w14:paraId="5E7994D2" w14:textId="77777777" w:rsidR="00F37F48" w:rsidRPr="00F37F48" w:rsidRDefault="00F37F48" w:rsidP="00F37F48">
            <w:pPr>
              <w:contextualSpacing/>
              <w:rPr>
                <w:rFonts w:ascii="Verdana" w:hAnsi="Verdana" w:cs="Arial"/>
                <w:sz w:val="16"/>
                <w:szCs w:val="16"/>
                <w:lang w:eastAsia="es-ES"/>
              </w:rPr>
            </w:pPr>
            <w:r w:rsidRPr="00F37F48">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94F2F87" w14:textId="77777777" w:rsidR="00F37F48" w:rsidRPr="00F37F48" w:rsidRDefault="00F37F48" w:rsidP="00F37F48">
            <w:pPr>
              <w:textAlignment w:val="baseline"/>
              <w:rPr>
                <w:rFonts w:ascii="Verdana" w:eastAsia="Times New Roman" w:hAnsi="Verdana" w:cs="Arial"/>
                <w:sz w:val="16"/>
                <w:szCs w:val="16"/>
                <w:lang w:val="es-MX" w:eastAsia="es-CO"/>
              </w:rPr>
            </w:pPr>
            <w:r w:rsidRPr="00F37F48">
              <w:rPr>
                <w:rFonts w:ascii="Verdana" w:eastAsia="Times New Roman" w:hAnsi="Verdana" w:cs="Arial"/>
                <w:sz w:val="16"/>
                <w:szCs w:val="16"/>
                <w:lang w:val="es-MX" w:eastAsia="es-CO"/>
              </w:rPr>
              <w:t>Alejandro Raúl Sarmiento Cantillo</w:t>
            </w:r>
          </w:p>
          <w:p w14:paraId="6DDF35D1" w14:textId="77777777" w:rsidR="00F37F48" w:rsidRPr="00F37F48" w:rsidRDefault="00F37F48" w:rsidP="00F37F48">
            <w:pPr>
              <w:spacing w:before="100" w:beforeAutospacing="1" w:after="100" w:afterAutospacing="1"/>
              <w:contextualSpacing/>
              <w:textAlignment w:val="baseline"/>
              <w:rPr>
                <w:rFonts w:ascii="Verdana" w:eastAsia="Times New Roman" w:hAnsi="Verdana" w:cs="Segoe UI"/>
                <w:sz w:val="16"/>
                <w:szCs w:val="16"/>
                <w:lang w:eastAsia="es-ES_tradnl"/>
              </w:rPr>
            </w:pPr>
            <w:r w:rsidRPr="00F37F48">
              <w:rPr>
                <w:rFonts w:ascii="Verdana" w:eastAsia="Times New Roman" w:hAnsi="Verdana" w:cs="Arial"/>
                <w:sz w:val="16"/>
                <w:szCs w:val="16"/>
                <w:lang w:val="es-MX" w:eastAsia="es-CO"/>
              </w:rPr>
              <w:t>Gestor T1-15 de la Subdirección de Gestión Contractual</w:t>
            </w:r>
          </w:p>
        </w:tc>
      </w:tr>
      <w:tr w:rsidR="00F37F48" w:rsidRPr="00F37F48" w14:paraId="18139D67" w14:textId="77777777" w:rsidTr="00B127C4">
        <w:trPr>
          <w:trHeight w:val="300"/>
        </w:trPr>
        <w:tc>
          <w:tcPr>
            <w:tcW w:w="893" w:type="dxa"/>
            <w:vAlign w:val="center"/>
          </w:tcPr>
          <w:p w14:paraId="254686EE" w14:textId="77777777" w:rsidR="00F37F48" w:rsidRPr="00F37F48" w:rsidRDefault="00F37F48" w:rsidP="00F37F48">
            <w:pPr>
              <w:contextualSpacing/>
              <w:rPr>
                <w:rFonts w:ascii="Verdana" w:hAnsi="Verdana" w:cs="Arial"/>
                <w:sz w:val="16"/>
                <w:szCs w:val="16"/>
                <w:lang w:eastAsia="es-ES"/>
              </w:rPr>
            </w:pPr>
            <w:r w:rsidRPr="00F37F48">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DB3227E" w14:textId="77777777" w:rsidR="00F37F48" w:rsidRPr="00F37F48" w:rsidRDefault="00F37F48" w:rsidP="00F37F48">
            <w:pPr>
              <w:contextualSpacing/>
              <w:rPr>
                <w:rFonts w:ascii="Verdana" w:eastAsia="Calibri" w:hAnsi="Verdana" w:cs="Arial"/>
                <w:sz w:val="16"/>
                <w:szCs w:val="16"/>
                <w:lang w:eastAsia="es-ES"/>
              </w:rPr>
            </w:pPr>
            <w:r w:rsidRPr="00F37F48">
              <w:rPr>
                <w:rFonts w:ascii="Verdana" w:eastAsia="Calibri" w:hAnsi="Verdana" w:cs="Arial"/>
                <w:sz w:val="16"/>
                <w:szCs w:val="16"/>
                <w:lang w:eastAsia="es-ES"/>
              </w:rPr>
              <w:t xml:space="preserve">Carolina Quintero </w:t>
            </w:r>
            <w:proofErr w:type="spellStart"/>
            <w:r w:rsidRPr="00F37F48">
              <w:rPr>
                <w:rFonts w:ascii="Verdana" w:eastAsia="Calibri" w:hAnsi="Verdana" w:cs="Arial"/>
                <w:sz w:val="16"/>
                <w:szCs w:val="16"/>
                <w:lang w:eastAsia="es-ES"/>
              </w:rPr>
              <w:t>Gacharná</w:t>
            </w:r>
            <w:proofErr w:type="spellEnd"/>
          </w:p>
          <w:p w14:paraId="7C3F00EE" w14:textId="77777777" w:rsidR="00F37F48" w:rsidRPr="00F37F48" w:rsidRDefault="00F37F48" w:rsidP="00F37F48">
            <w:pPr>
              <w:contextualSpacing/>
              <w:rPr>
                <w:rFonts w:ascii="Verdana" w:eastAsia="Calibri" w:hAnsi="Verdana" w:cs="Arial"/>
                <w:sz w:val="16"/>
                <w:szCs w:val="16"/>
                <w:lang w:eastAsia="es-ES"/>
              </w:rPr>
            </w:pPr>
            <w:r w:rsidRPr="00F37F48">
              <w:rPr>
                <w:rFonts w:ascii="Verdana" w:eastAsia="Calibri" w:hAnsi="Verdana" w:cs="Arial"/>
                <w:sz w:val="16"/>
                <w:szCs w:val="16"/>
                <w:lang w:eastAsia="es-ES"/>
              </w:rPr>
              <w:t>Subdirectora de Gestión Contractual ANCP – CCE</w:t>
            </w:r>
          </w:p>
        </w:tc>
      </w:tr>
      <w:bookmarkEnd w:id="0"/>
    </w:tbl>
    <w:p w14:paraId="3E521506" w14:textId="77777777" w:rsidR="00EE21F2" w:rsidRPr="00F37F48" w:rsidRDefault="00EE21F2" w:rsidP="00F37F48"/>
    <w:sectPr w:rsidR="00EE21F2" w:rsidRPr="00F37F48" w:rsidSect="00C44B4C">
      <w:headerReference w:type="default" r:id="rId16"/>
      <w:footerReference w:type="default" r:id="rId17"/>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7E297" w14:textId="77777777" w:rsidR="00E4153E" w:rsidRPr="009B7987" w:rsidRDefault="00E4153E" w:rsidP="00B30448">
      <w:pPr>
        <w:spacing w:after="0" w:line="240" w:lineRule="auto"/>
      </w:pPr>
      <w:r w:rsidRPr="009B7987">
        <w:separator/>
      </w:r>
    </w:p>
  </w:endnote>
  <w:endnote w:type="continuationSeparator" w:id="0">
    <w:p w14:paraId="06DAE51D" w14:textId="77777777" w:rsidR="00E4153E" w:rsidRPr="009B7987" w:rsidRDefault="00E4153E" w:rsidP="00B30448">
      <w:pPr>
        <w:spacing w:after="0" w:line="240" w:lineRule="auto"/>
      </w:pPr>
      <w:r w:rsidRPr="009B7987">
        <w:continuationSeparator/>
      </w:r>
    </w:p>
  </w:endnote>
  <w:endnote w:type="continuationNotice" w:id="1">
    <w:p w14:paraId="4E4C00E7" w14:textId="77777777" w:rsidR="00E4153E" w:rsidRPr="009B7987" w:rsidRDefault="00E4153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9C0E4" w14:textId="77777777" w:rsidR="00A81E50" w:rsidRPr="009B7987" w:rsidRDefault="00A81E50" w:rsidP="00A81E50">
    <w:pPr>
      <w:pBdr>
        <w:top w:val="single" w:sz="4" w:space="1" w:color="auto"/>
      </w:pBdr>
      <w:spacing w:after="0"/>
      <w:rPr>
        <w:rFonts w:ascii="Verdana" w:hAnsi="Verdana"/>
        <w:b/>
        <w:bCs/>
        <w:sz w:val="20"/>
        <w:szCs w:val="20"/>
      </w:rPr>
    </w:pPr>
    <w:r w:rsidRPr="009B7987">
      <w:rPr>
        <w:rFonts w:ascii="Verdana" w:hAnsi="Verdana"/>
        <w:b/>
        <w:bCs/>
        <w:sz w:val="20"/>
        <w:szCs w:val="20"/>
      </w:rPr>
      <w:t xml:space="preserve">Agencia Nacional de Contratación Pública                                              </w:t>
    </w:r>
    <w:r w:rsidRPr="009B7987">
      <w:rPr>
        <w:rFonts w:ascii="Verdana" w:eastAsiaTheme="majorEastAsia" w:hAnsi="Verdana" w:cstheme="majorBidi"/>
        <w:b/>
        <w:bCs/>
        <w:sz w:val="16"/>
        <w:szCs w:val="16"/>
      </w:rPr>
      <w:t xml:space="preserve">pág. </w:t>
    </w:r>
    <w:r w:rsidRPr="009B7987">
      <w:rPr>
        <w:rFonts w:ascii="Verdana" w:eastAsiaTheme="minorEastAsia" w:hAnsi="Verdana"/>
        <w:b/>
        <w:bCs/>
        <w:sz w:val="16"/>
        <w:szCs w:val="16"/>
      </w:rPr>
      <w:fldChar w:fldCharType="begin"/>
    </w:r>
    <w:r w:rsidRPr="009B7987">
      <w:rPr>
        <w:rFonts w:ascii="Verdana" w:hAnsi="Verdana"/>
        <w:b/>
        <w:bCs/>
        <w:sz w:val="16"/>
        <w:szCs w:val="16"/>
      </w:rPr>
      <w:instrText>PAGE    \* MERGEFORMAT</w:instrText>
    </w:r>
    <w:r w:rsidRPr="009B7987">
      <w:rPr>
        <w:rFonts w:ascii="Verdana" w:eastAsiaTheme="minorEastAsia" w:hAnsi="Verdana"/>
        <w:b/>
        <w:bCs/>
        <w:sz w:val="16"/>
        <w:szCs w:val="16"/>
      </w:rPr>
      <w:fldChar w:fldCharType="separate"/>
    </w:r>
    <w:r w:rsidRPr="009B7987">
      <w:rPr>
        <w:rFonts w:ascii="Verdana" w:eastAsiaTheme="minorEastAsia" w:hAnsi="Verdana"/>
        <w:b/>
        <w:bCs/>
        <w:sz w:val="16"/>
        <w:szCs w:val="16"/>
      </w:rPr>
      <w:t>1</w:t>
    </w:r>
    <w:r w:rsidRPr="009B7987">
      <w:rPr>
        <w:rFonts w:ascii="Verdana" w:eastAsiaTheme="majorEastAsia" w:hAnsi="Verdana" w:cstheme="majorBidi"/>
        <w:b/>
        <w:bCs/>
        <w:sz w:val="16"/>
        <w:szCs w:val="16"/>
      </w:rPr>
      <w:fldChar w:fldCharType="end"/>
    </w:r>
    <w:r w:rsidRPr="009B7987">
      <w:rPr>
        <w:rFonts w:ascii="Verdana" w:hAnsi="Verdana"/>
        <w:b/>
        <w:bCs/>
        <w:sz w:val="20"/>
        <w:szCs w:val="20"/>
      </w:rPr>
      <w:t xml:space="preserve">              Colombia Compra Eficiente                                                            </w:t>
    </w:r>
  </w:p>
  <w:p w14:paraId="4FC9CAA9"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Dirección: Carrera 7 # 26 – 20 - Bogotá, Colombia</w:t>
    </w:r>
  </w:p>
  <w:p w14:paraId="0B709B73"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Mesa de servicio: (+57) 601 7456788</w:t>
    </w:r>
  </w:p>
  <w:p w14:paraId="224AB27F" w14:textId="77777777" w:rsidR="00DD7A2C" w:rsidRPr="009B7987" w:rsidRDefault="00A81E50" w:rsidP="00C00976">
    <w:pPr>
      <w:pBdr>
        <w:top w:val="nil"/>
        <w:left w:val="nil"/>
        <w:bottom w:val="nil"/>
        <w:right w:val="nil"/>
        <w:between w:val="nil"/>
      </w:pBdr>
      <w:tabs>
        <w:tab w:val="center" w:pos="4419"/>
        <w:tab w:val="right" w:pos="8838"/>
        <w:tab w:val="center" w:pos="5400"/>
      </w:tabs>
      <w:spacing w:after="0"/>
      <w:rPr>
        <w:rFonts w:ascii="Verdana" w:hAnsi="Verdana"/>
        <w:sz w:val="20"/>
        <w:szCs w:val="20"/>
      </w:rPr>
    </w:pPr>
    <w:r w:rsidRPr="009B7987">
      <w:rPr>
        <w:rFonts w:ascii="Verdana" w:hAnsi="Verdana"/>
        <w:sz w:val="18"/>
        <w:szCs w:val="18"/>
      </w:rPr>
      <w:t>Atención al ciudadano: (+57) 601 7956600</w:t>
    </w:r>
    <w:r w:rsidRPr="009B7987">
      <w:rPr>
        <w:rFonts w:ascii="Verdana" w:hAnsi="Verdana"/>
        <w:sz w:val="20"/>
        <w:szCs w:val="20"/>
      </w:rPr>
      <w:t xml:space="preserve">         </w:t>
    </w:r>
  </w:p>
  <w:p w14:paraId="2B8DBB2A" w14:textId="26AE77D2" w:rsidR="00A81E50" w:rsidRPr="009B7987" w:rsidRDefault="00A81E50" w:rsidP="00DD7A2C">
    <w:pPr>
      <w:pBdr>
        <w:top w:val="nil"/>
        <w:left w:val="nil"/>
        <w:bottom w:val="nil"/>
        <w:right w:val="nil"/>
        <w:between w:val="nil"/>
      </w:pBdr>
      <w:tabs>
        <w:tab w:val="center" w:pos="4419"/>
        <w:tab w:val="right" w:pos="8838"/>
        <w:tab w:val="center" w:pos="5400"/>
      </w:tabs>
      <w:spacing w:after="0"/>
      <w:jc w:val="right"/>
    </w:pPr>
    <w:r w:rsidRPr="009B7987">
      <w:rPr>
        <w:rFonts w:ascii="Verdana" w:hAnsi="Verdana"/>
        <w:sz w:val="20"/>
        <w:szCs w:val="20"/>
      </w:rPr>
      <w:t xml:space="preserve"> </w:t>
    </w:r>
    <w:r w:rsidRPr="009B7987">
      <w:rPr>
        <w:rFonts w:ascii="Verdana" w:eastAsia="Geo" w:hAnsi="Verdana" w:cs="Geo"/>
        <w:bCs/>
        <w:color w:val="000000"/>
        <w:sz w:val="16"/>
        <w:szCs w:val="16"/>
        <w:lang w:eastAsia="es-CO"/>
      </w:rPr>
      <w:t>Código: CCE-REC-FM-13 Versión</w:t>
    </w:r>
    <w:r w:rsidRPr="009B7987">
      <w:rPr>
        <w:rFonts w:ascii="Verdana" w:eastAsia="Arial Nova" w:hAnsi="Verdana" w:cs="Arial Nova"/>
        <w:bCs/>
        <w:color w:val="000000"/>
        <w:sz w:val="16"/>
        <w:szCs w:val="16"/>
        <w:lang w:eastAsia="es-CO"/>
      </w:rPr>
      <w:t>:</w:t>
    </w:r>
    <w:r w:rsidRPr="009B7987">
      <w:rPr>
        <w:rFonts w:ascii="Verdana" w:eastAsia="Arial Nova" w:hAnsi="Verdana" w:cs="Arial Nova"/>
        <w:b/>
        <w:color w:val="000000"/>
        <w:sz w:val="16"/>
        <w:szCs w:val="16"/>
        <w:lang w:eastAsia="es-CO"/>
      </w:rPr>
      <w:t xml:space="preserve"> </w:t>
    </w:r>
    <w:r w:rsidRPr="009B7987">
      <w:rPr>
        <w:rFonts w:ascii="Verdana" w:eastAsia="Geo" w:hAnsi="Verdana" w:cs="Geo"/>
        <w:sz w:val="16"/>
        <w:szCs w:val="16"/>
        <w:lang w:eastAsia="es-CO"/>
      </w:rPr>
      <w:t>01 Fecha:15-06-2023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105A9F" w14:textId="77777777" w:rsidR="00E4153E" w:rsidRPr="009B7987" w:rsidRDefault="00E4153E" w:rsidP="00B30448">
      <w:pPr>
        <w:spacing w:after="0" w:line="240" w:lineRule="auto"/>
      </w:pPr>
      <w:r w:rsidRPr="009B7987">
        <w:separator/>
      </w:r>
    </w:p>
  </w:footnote>
  <w:footnote w:type="continuationSeparator" w:id="0">
    <w:p w14:paraId="147F8165" w14:textId="77777777" w:rsidR="00E4153E" w:rsidRPr="009B7987" w:rsidRDefault="00E4153E" w:rsidP="00B30448">
      <w:pPr>
        <w:spacing w:after="0" w:line="240" w:lineRule="auto"/>
      </w:pPr>
      <w:r w:rsidRPr="009B7987">
        <w:continuationSeparator/>
      </w:r>
    </w:p>
  </w:footnote>
  <w:footnote w:type="continuationNotice" w:id="1">
    <w:p w14:paraId="1027C078" w14:textId="77777777" w:rsidR="00E4153E" w:rsidRPr="009B7987" w:rsidRDefault="00E4153E">
      <w:pPr>
        <w:spacing w:after="0" w:line="240" w:lineRule="auto"/>
      </w:pPr>
    </w:p>
  </w:footnote>
  <w:footnote w:id="2">
    <w:p w14:paraId="048A9446" w14:textId="77777777" w:rsidR="00F37F48" w:rsidRPr="0027107E" w:rsidRDefault="00F37F48" w:rsidP="00F37F48">
      <w:pPr>
        <w:pStyle w:val="Textonotapie"/>
        <w:ind w:firstLine="708"/>
        <w:jc w:val="both"/>
        <w:rPr>
          <w:rFonts w:ascii="Verdana" w:hAnsi="Verdana" w:cs="Arial"/>
          <w:color w:val="000000"/>
          <w:sz w:val="16"/>
          <w:szCs w:val="16"/>
        </w:rPr>
      </w:pPr>
      <w:r w:rsidRPr="0027107E">
        <w:rPr>
          <w:rStyle w:val="Refdenotaalpie"/>
          <w:rFonts w:ascii="Verdana" w:hAnsi="Verdana" w:cs="Arial"/>
          <w:color w:val="000000"/>
          <w:sz w:val="16"/>
          <w:szCs w:val="16"/>
        </w:rPr>
        <w:footnoteRef/>
      </w:r>
      <w:r w:rsidRPr="0027107E">
        <w:rPr>
          <w:rFonts w:ascii="Verdana" w:hAnsi="Verdana" w:cs="Arial"/>
          <w:color w:val="000000"/>
          <w:sz w:val="16"/>
          <w:szCs w:val="16"/>
        </w:rPr>
        <w:t xml:space="preserve"> “La última formalidad que deben cumplir los contratos de la Administración dentro del marco jurídico de la contratación estatal se refiere a la liquidación, definida, en principio, como un negocio jurídico bilateral cuyo objeto es la realización del corte de cuentas entre las partes contratantes, en el cual queda establecida la relación directa entre las prestaciones ejecutaras, el valor cobrado por las mismas y su cancelación por parte del deudor de estas, sin perjuicio de los descuentos económicos a que haya lugar con motivo de la aplicación de estipulaciones contractuales específicas</w:t>
      </w:r>
      <w:r w:rsidRPr="0027107E">
        <w:rPr>
          <w:rFonts w:ascii="Verdana" w:hAnsi="Verdana" w:cs="Arial"/>
          <w:color w:val="000000"/>
          <w:sz w:val="16"/>
          <w:szCs w:val="16"/>
          <w:shd w:val="clear" w:color="auto" w:fill="FFFFFF"/>
        </w:rPr>
        <w:t>” (</w:t>
      </w:r>
      <w:r w:rsidRPr="0027107E">
        <w:rPr>
          <w:rFonts w:ascii="Verdana" w:hAnsi="Verdana" w:cs="Arial"/>
          <w:color w:val="000000"/>
          <w:sz w:val="16"/>
          <w:szCs w:val="16"/>
        </w:rPr>
        <w:t>EXPOSITO, Juan Carlos. Forma y contenido del contrato estatal. Bogotá: Universidad Externado de Colombia, p. 89 y 90).</w:t>
      </w:r>
    </w:p>
  </w:footnote>
  <w:footnote w:id="3">
    <w:p w14:paraId="536700F8" w14:textId="77777777" w:rsidR="00F37F48" w:rsidRPr="0027107E" w:rsidRDefault="00F37F48" w:rsidP="00F37F48">
      <w:pPr>
        <w:pStyle w:val="Textonotapie"/>
        <w:ind w:firstLine="708"/>
        <w:jc w:val="both"/>
        <w:rPr>
          <w:rFonts w:ascii="Verdana" w:hAnsi="Verdana" w:cs="Arial"/>
          <w:color w:val="000000"/>
          <w:sz w:val="16"/>
          <w:szCs w:val="16"/>
          <w:lang w:val="es-CO"/>
        </w:rPr>
      </w:pPr>
      <w:r w:rsidRPr="0027107E">
        <w:rPr>
          <w:rStyle w:val="Refdenotaalpie"/>
          <w:rFonts w:ascii="Verdana" w:hAnsi="Verdana" w:cs="Arial"/>
          <w:color w:val="000000"/>
          <w:sz w:val="16"/>
          <w:szCs w:val="16"/>
        </w:rPr>
        <w:footnoteRef/>
      </w:r>
      <w:r w:rsidRPr="0027107E">
        <w:rPr>
          <w:rFonts w:ascii="Verdana" w:hAnsi="Verdana" w:cs="Arial"/>
          <w:color w:val="000000"/>
          <w:sz w:val="16"/>
          <w:szCs w:val="16"/>
        </w:rPr>
        <w:t xml:space="preserve"> DÍAZ DÍEZ, Cristian Andrés. La liquidación. Serie: Las Cláusulas del Contrato Estatal. Medellín: Librería Jurídica Sánchez y Centro de Estudios de Derecho Administrativo –CEDA–, 2013. pp. 53-54.</w:t>
      </w:r>
    </w:p>
  </w:footnote>
  <w:footnote w:id="4">
    <w:p w14:paraId="319D0522" w14:textId="77777777" w:rsidR="00F37F48" w:rsidRPr="0027107E" w:rsidRDefault="00F37F48" w:rsidP="00F37F48">
      <w:pPr>
        <w:spacing w:after="0"/>
        <w:ind w:firstLine="708"/>
        <w:jc w:val="both"/>
        <w:rPr>
          <w:rFonts w:ascii="Verdana" w:hAnsi="Verdana" w:cs="Arial"/>
          <w:color w:val="000000"/>
          <w:sz w:val="16"/>
          <w:szCs w:val="16"/>
          <w:lang w:val="es-ES"/>
        </w:rPr>
      </w:pPr>
      <w:r w:rsidRPr="0027107E">
        <w:rPr>
          <w:rStyle w:val="Refdenotaalpie"/>
          <w:rFonts w:ascii="Verdana" w:hAnsi="Verdana" w:cs="Arial"/>
          <w:color w:val="000000"/>
          <w:sz w:val="16"/>
          <w:szCs w:val="16"/>
        </w:rPr>
        <w:footnoteRef/>
      </w:r>
      <w:r w:rsidRPr="0027107E">
        <w:rPr>
          <w:rFonts w:ascii="Verdana" w:hAnsi="Verdana" w:cs="Arial"/>
          <w:color w:val="000000"/>
          <w:sz w:val="16"/>
          <w:szCs w:val="16"/>
        </w:rPr>
        <w:t xml:space="preserve"> Consejo de Estado. Sección Tercera. Subsección C. 20 de octubre de 2014, M.P: Enrique Gil Botero. </w:t>
      </w:r>
      <w:r w:rsidRPr="0027107E">
        <w:rPr>
          <w:rFonts w:ascii="Verdana" w:hAnsi="Verdana" w:cs="Arial"/>
          <w:color w:val="000000"/>
          <w:sz w:val="16"/>
          <w:szCs w:val="16"/>
        </w:rPr>
        <w:t>Exp. 27.777. Allí se dijo: “[…] liquidar supone un ajuste expreso y claro sobre las cuentas y el estado de cumplimiento de un contrato, de tal manera que conste el balance tanto técnico como económico de las obligaciones que estuvieron a cargo de las partes. En cuanto a lo primero, la liquidación debe incluir un análisis detallado de las condiciones de calidad y oportunidad en la entrega de los bienes, obras o servicios, y el balance económico dará cuenta del comportamiento financiero del negocio: recursos recibidos, pagos efectuados, estado del crédito o de la deuda de cada parte, entre otros detalles mínimos y necesarios para finiquitar una relación jurídica contractual”.</w:t>
      </w:r>
    </w:p>
  </w:footnote>
  <w:footnote w:id="5">
    <w:p w14:paraId="6FDAB76D" w14:textId="77777777" w:rsidR="00F37F48" w:rsidRPr="0027107E" w:rsidRDefault="00F37F48" w:rsidP="00F37F48">
      <w:pPr>
        <w:pStyle w:val="Textonotapie"/>
        <w:ind w:firstLine="708"/>
        <w:jc w:val="both"/>
        <w:rPr>
          <w:rFonts w:ascii="Verdana" w:hAnsi="Verdana" w:cs="Arial"/>
          <w:color w:val="000000"/>
          <w:sz w:val="16"/>
          <w:szCs w:val="16"/>
        </w:rPr>
      </w:pPr>
      <w:r w:rsidRPr="0027107E">
        <w:rPr>
          <w:rStyle w:val="Refdenotaalpie"/>
          <w:rFonts w:ascii="Verdana" w:hAnsi="Verdana" w:cs="Arial"/>
          <w:color w:val="000000"/>
          <w:sz w:val="16"/>
          <w:szCs w:val="16"/>
        </w:rPr>
        <w:footnoteRef/>
      </w:r>
      <w:r w:rsidRPr="0027107E">
        <w:rPr>
          <w:rFonts w:ascii="Verdana" w:hAnsi="Verdana" w:cs="Arial"/>
          <w:color w:val="000000"/>
          <w:sz w:val="16"/>
          <w:szCs w:val="16"/>
        </w:rPr>
        <w:t xml:space="preserve"> EXPÓSITO VÉLEZ, Juan Carlos. Forma y contenido del contrato estatal, p. 90.</w:t>
      </w:r>
    </w:p>
  </w:footnote>
  <w:footnote w:id="6">
    <w:p w14:paraId="34BBB4C7" w14:textId="77777777" w:rsidR="00F37F48" w:rsidRPr="0027107E" w:rsidRDefault="00F37F48" w:rsidP="00F37F48">
      <w:pPr>
        <w:pStyle w:val="Textonotapie"/>
        <w:ind w:firstLine="708"/>
        <w:jc w:val="both"/>
        <w:rPr>
          <w:rFonts w:ascii="Verdana" w:hAnsi="Verdana" w:cs="Arial"/>
          <w:color w:val="000000"/>
          <w:sz w:val="16"/>
          <w:szCs w:val="16"/>
        </w:rPr>
      </w:pPr>
      <w:r w:rsidRPr="0027107E">
        <w:rPr>
          <w:rStyle w:val="Refdenotaalpie"/>
          <w:rFonts w:ascii="Verdana" w:hAnsi="Verdana" w:cs="Arial"/>
          <w:color w:val="000000"/>
          <w:sz w:val="16"/>
          <w:szCs w:val="16"/>
        </w:rPr>
        <w:footnoteRef/>
      </w:r>
      <w:r w:rsidRPr="0027107E">
        <w:rPr>
          <w:rFonts w:ascii="Verdana" w:hAnsi="Verdana" w:cs="Arial"/>
          <w:color w:val="000000"/>
          <w:sz w:val="16"/>
          <w:szCs w:val="16"/>
        </w:rPr>
        <w:t xml:space="preserve"> CONSEJO DE ESTADO, Sala de Consulta y Servicio Civil. Radicado No. 1453. Concepto de 6 de agosto de 2003. MP. Augusto Trejos.</w:t>
      </w:r>
    </w:p>
  </w:footnote>
  <w:footnote w:id="7">
    <w:p w14:paraId="20130A97" w14:textId="77777777" w:rsidR="00F37F48" w:rsidRPr="0027107E" w:rsidRDefault="00F37F48" w:rsidP="00F37F48">
      <w:pPr>
        <w:pStyle w:val="Textonotapie"/>
        <w:ind w:firstLine="708"/>
        <w:jc w:val="both"/>
        <w:rPr>
          <w:rFonts w:ascii="Verdana" w:hAnsi="Verdana" w:cs="Arial"/>
          <w:color w:val="000000"/>
          <w:sz w:val="16"/>
          <w:szCs w:val="16"/>
          <w:lang w:val="es-ES"/>
        </w:rPr>
      </w:pPr>
      <w:r w:rsidRPr="0027107E">
        <w:rPr>
          <w:rStyle w:val="Refdenotaalpie"/>
          <w:rFonts w:ascii="Verdana" w:hAnsi="Verdana" w:cs="Arial"/>
          <w:color w:val="000000"/>
          <w:sz w:val="16"/>
          <w:szCs w:val="16"/>
        </w:rPr>
        <w:footnoteRef/>
      </w:r>
      <w:r w:rsidRPr="0027107E">
        <w:rPr>
          <w:rFonts w:ascii="Verdana" w:hAnsi="Verdana" w:cs="Arial"/>
          <w:color w:val="000000"/>
          <w:sz w:val="16"/>
          <w:szCs w:val="16"/>
        </w:rPr>
        <w:t xml:space="preserve"> </w:t>
      </w:r>
      <w:r w:rsidRPr="0027107E">
        <w:rPr>
          <w:rFonts w:ascii="Verdana" w:hAnsi="Verdana" w:cs="Arial"/>
          <w:color w:val="000000"/>
          <w:sz w:val="16"/>
          <w:szCs w:val="16"/>
          <w:lang w:val="es-ES"/>
        </w:rPr>
        <w:t>El artículo 11 de la Ley 1150 de 2007 prescribe: “Artículo 11. Del plazo para la liquidación de los contratos. La liquidación de los contratos se hará de mutuo acuerdo dentro del término fijado en los pliegos de condiciones o sus equivalentes, o dentro del que acuerden las partes para el efecto. De no existir tal término, la liquidación se realizará dentro de los cuatro (4) meses siguientes a la expiración del término previsto para la ejecución del contrato o a la expedición del acto administrativo que ordene la terminación, o a la fecha del acuerdo que la disponga.</w:t>
      </w:r>
    </w:p>
    <w:p w14:paraId="158A0399" w14:textId="77777777" w:rsidR="00F37F48" w:rsidRPr="0027107E" w:rsidRDefault="00F37F48" w:rsidP="00F37F48">
      <w:pPr>
        <w:pStyle w:val="Textonotapie"/>
        <w:ind w:firstLine="708"/>
        <w:jc w:val="both"/>
        <w:rPr>
          <w:rFonts w:ascii="Verdana" w:hAnsi="Verdana" w:cs="Arial"/>
          <w:color w:val="000000"/>
          <w:sz w:val="16"/>
          <w:szCs w:val="16"/>
          <w:lang w:val="es-ES"/>
        </w:rPr>
      </w:pPr>
      <w:r w:rsidRPr="0027107E">
        <w:rPr>
          <w:rFonts w:ascii="Verdana" w:hAnsi="Verdana" w:cs="Arial"/>
          <w:color w:val="000000"/>
          <w:sz w:val="16"/>
          <w:szCs w:val="16"/>
          <w:lang w:val="es-ES"/>
        </w:rPr>
        <w:t>En aquellos casos en que el contratista no se presente a la liquidación previa notificación o convocatoria que le haga la entidad, o las partes no lleguen a un acuerdo sobre su contenido, la entidad tendrá la facultad de liquidar en forma unilateral dentro de los dos (2) meses siguientes, de conformidad con lo dispuesto en el artículo 136 del C. C. A.</w:t>
      </w:r>
    </w:p>
    <w:p w14:paraId="6AB8B5A8" w14:textId="77777777" w:rsidR="00F37F48" w:rsidRPr="0027107E" w:rsidRDefault="00F37F48" w:rsidP="00F37F48">
      <w:pPr>
        <w:pStyle w:val="Textonotapie"/>
        <w:ind w:firstLine="708"/>
        <w:jc w:val="both"/>
        <w:rPr>
          <w:rFonts w:ascii="Verdana" w:hAnsi="Verdana" w:cs="Arial"/>
          <w:color w:val="000000"/>
          <w:sz w:val="16"/>
          <w:szCs w:val="16"/>
          <w:lang w:val="es-ES"/>
        </w:rPr>
      </w:pPr>
      <w:r w:rsidRPr="0027107E">
        <w:rPr>
          <w:rFonts w:ascii="Verdana" w:hAnsi="Verdana" w:cs="Arial"/>
          <w:color w:val="000000"/>
          <w:sz w:val="16"/>
          <w:szCs w:val="16"/>
          <w:lang w:val="es-ES"/>
        </w:rPr>
        <w:t>Si vencido el plazo anteriormente establecido no se ha realizado la liquidación, la misma podrá ser realizada en cualquier tiempo dentro de los dos años siguientes al vencimiento del término a que se refieren los incisos anteriores, de mutuo acuerdo o unilateralmente, sin perjuicio de lo previsto en el artículo 136 del C. C. A.</w:t>
      </w:r>
    </w:p>
    <w:p w14:paraId="4B1DED42" w14:textId="77777777" w:rsidR="00F37F48" w:rsidRPr="0027107E" w:rsidRDefault="00F37F48" w:rsidP="00F37F48">
      <w:pPr>
        <w:pStyle w:val="Textonotapie"/>
        <w:ind w:firstLine="708"/>
        <w:jc w:val="both"/>
        <w:rPr>
          <w:rFonts w:ascii="Verdana" w:hAnsi="Verdana" w:cs="Arial"/>
          <w:color w:val="000000"/>
          <w:sz w:val="16"/>
          <w:szCs w:val="16"/>
          <w:lang w:val="es-ES"/>
        </w:rPr>
      </w:pPr>
      <w:r w:rsidRPr="0027107E">
        <w:rPr>
          <w:rFonts w:ascii="Verdana" w:hAnsi="Verdana" w:cs="Arial"/>
          <w:color w:val="000000"/>
          <w:sz w:val="16"/>
          <w:szCs w:val="16"/>
          <w:lang w:val="es-ES"/>
        </w:rPr>
        <w:t>Los contratistas tendrán derecho a efectuar salvedades a la liquidación por mutuo acuerdo, y en este evento la liquidación unilateral solo procederá en relación con los aspectos que no hayan sido objeto de acuerdo”.</w:t>
      </w:r>
    </w:p>
  </w:footnote>
  <w:footnote w:id="8">
    <w:p w14:paraId="5623E726" w14:textId="77777777" w:rsidR="00F37F48" w:rsidRPr="0027107E" w:rsidRDefault="00F37F48" w:rsidP="00F37F48">
      <w:pPr>
        <w:pStyle w:val="Textonotapie"/>
        <w:ind w:firstLine="709"/>
        <w:jc w:val="both"/>
        <w:rPr>
          <w:rFonts w:ascii="Verdana" w:hAnsi="Verdana" w:cs="Arial"/>
          <w:color w:val="000000"/>
          <w:sz w:val="16"/>
          <w:szCs w:val="16"/>
          <w:lang w:val="es-CO"/>
        </w:rPr>
      </w:pPr>
      <w:r w:rsidRPr="0027107E">
        <w:rPr>
          <w:rStyle w:val="Refdenotaalpie"/>
          <w:rFonts w:ascii="Verdana" w:hAnsi="Verdana" w:cs="Arial"/>
          <w:color w:val="000000"/>
          <w:sz w:val="16"/>
          <w:szCs w:val="16"/>
        </w:rPr>
        <w:footnoteRef/>
      </w:r>
      <w:r w:rsidRPr="0027107E">
        <w:rPr>
          <w:rFonts w:ascii="Verdana" w:hAnsi="Verdana" w:cs="Arial"/>
          <w:color w:val="000000"/>
          <w:sz w:val="16"/>
          <w:szCs w:val="16"/>
        </w:rPr>
        <w:t xml:space="preserve"> CONSEJO DE ESTADO, Sección Tercera, Subsección C, Sentencia del 24 de julio de 2013, radicado No. 25.642, </w:t>
      </w:r>
      <w:r w:rsidRPr="0027107E">
        <w:rPr>
          <w:rFonts w:ascii="Verdana" w:hAnsi="Verdana" w:cs="Arial"/>
          <w:color w:val="000000"/>
          <w:sz w:val="16"/>
          <w:szCs w:val="16"/>
        </w:rPr>
        <w:t>Consejero Ponente Enrique Gil Botero.</w:t>
      </w:r>
    </w:p>
  </w:footnote>
  <w:footnote w:id="9">
    <w:p w14:paraId="3A678568" w14:textId="77777777" w:rsidR="00F37F48" w:rsidRPr="00661B6A" w:rsidRDefault="00F37F48" w:rsidP="00F37F48">
      <w:pPr>
        <w:pStyle w:val="NormalWeb"/>
        <w:spacing w:after="0"/>
        <w:ind w:firstLine="709"/>
        <w:jc w:val="both"/>
        <w:rPr>
          <w:rFonts w:ascii="Verdana" w:hAnsi="Verdana" w:cs="Arial"/>
          <w:color w:val="000000"/>
          <w:sz w:val="16"/>
          <w:szCs w:val="16"/>
        </w:rPr>
      </w:pPr>
      <w:r w:rsidRPr="0027107E">
        <w:rPr>
          <w:rStyle w:val="Refdenotaalpie"/>
          <w:rFonts w:ascii="Verdana" w:hAnsi="Verdana" w:cs="Arial"/>
          <w:color w:val="000000"/>
          <w:sz w:val="16"/>
          <w:szCs w:val="16"/>
        </w:rPr>
        <w:footnoteRef/>
      </w:r>
      <w:r w:rsidRPr="0027107E">
        <w:rPr>
          <w:rFonts w:ascii="Verdana" w:hAnsi="Verdana" w:cs="Arial"/>
          <w:color w:val="000000"/>
          <w:sz w:val="16"/>
          <w:szCs w:val="16"/>
        </w:rPr>
        <w:t xml:space="preserve"> Decreto 1082 de 2015 “</w:t>
      </w:r>
      <w:r w:rsidRPr="00661B6A">
        <w:rPr>
          <w:rStyle w:val="Textoennegrita"/>
          <w:rFonts w:ascii="Verdana" w:hAnsi="Verdana" w:cs="Arial"/>
          <w:b w:val="0"/>
          <w:bCs w:val="0"/>
          <w:color w:val="000000"/>
          <w:sz w:val="16"/>
          <w:szCs w:val="16"/>
        </w:rPr>
        <w:t>Artículo 2.2.1.2.1.5.2</w:t>
      </w:r>
      <w:r w:rsidRPr="00661B6A">
        <w:rPr>
          <w:rStyle w:val="Textoennegrita"/>
          <w:rFonts w:ascii="Verdana" w:hAnsi="Verdana" w:cs="Arial"/>
          <w:color w:val="000000"/>
          <w:sz w:val="16"/>
          <w:szCs w:val="16"/>
        </w:rPr>
        <w:t>. </w:t>
      </w:r>
      <w:r w:rsidRPr="00661B6A">
        <w:rPr>
          <w:rStyle w:val="nfasis"/>
          <w:rFonts w:ascii="Verdana" w:eastAsia="MS Mincho" w:hAnsi="Verdana" w:cs="Arial"/>
          <w:color w:val="000000"/>
          <w:sz w:val="16"/>
          <w:szCs w:val="16"/>
        </w:rPr>
        <w:t>Procedimiento para la contratación de mínima cuantía. </w:t>
      </w:r>
      <w:r w:rsidRPr="00661B6A">
        <w:rPr>
          <w:rFonts w:ascii="Verdana" w:hAnsi="Verdana" w:cs="Arial"/>
          <w:color w:val="000000"/>
          <w:sz w:val="16"/>
          <w:szCs w:val="16"/>
        </w:rPr>
        <w:t>Las siguientes reglas son aplicables a la contratación cuyo valor no excede del 10% de la menor cuantía de la Entidad Estatal, independientemente de su objeto: </w:t>
      </w:r>
    </w:p>
    <w:p w14:paraId="3075B023" w14:textId="77777777" w:rsidR="00F37F48" w:rsidRPr="0027107E" w:rsidRDefault="00F37F48" w:rsidP="00F37F48">
      <w:pPr>
        <w:pStyle w:val="NormalWeb"/>
        <w:spacing w:after="0"/>
        <w:jc w:val="both"/>
        <w:rPr>
          <w:rFonts w:ascii="Verdana" w:hAnsi="Verdana" w:cs="Arial"/>
          <w:color w:val="000000"/>
          <w:sz w:val="16"/>
          <w:szCs w:val="16"/>
        </w:rPr>
      </w:pPr>
      <w:r w:rsidRPr="0027107E">
        <w:rPr>
          <w:rFonts w:ascii="Verdana" w:hAnsi="Verdana" w:cs="Arial"/>
          <w:color w:val="000000"/>
          <w:sz w:val="16"/>
          <w:szCs w:val="16"/>
        </w:rPr>
        <w:t>  </w:t>
      </w:r>
      <w:r w:rsidRPr="0027107E">
        <w:rPr>
          <w:rFonts w:ascii="Verdana" w:hAnsi="Verdana" w:cs="Arial"/>
          <w:color w:val="000000"/>
          <w:sz w:val="16"/>
          <w:szCs w:val="16"/>
        </w:rPr>
        <w:tab/>
        <w:t>“1. La Entidad Estatal debe señalar en la invitación a participar en procesos de mínima cuantía la información a la que se refieren los numerales 2, 3 y 4 del artículo anterior, y la forma como el interesado debe acreditar su capacidad jurídica y la experiencia mínima, si se exige esta última, y el cumplimiento de las condiciones técnicas exigidas […]”. </w:t>
      </w:r>
    </w:p>
    <w:p w14:paraId="2DF301E3" w14:textId="77777777" w:rsidR="00F37F48" w:rsidRPr="0027107E" w:rsidRDefault="00F37F48" w:rsidP="00F37F48">
      <w:pPr>
        <w:pStyle w:val="Textonotapie"/>
        <w:ind w:firstLine="709"/>
        <w:jc w:val="both"/>
        <w:rPr>
          <w:rFonts w:ascii="Verdana" w:hAnsi="Verdana" w:cs="Arial"/>
          <w:color w:val="000000"/>
          <w:sz w:val="16"/>
          <w:szCs w:val="16"/>
          <w:lang w:val="es-CO"/>
        </w:rPr>
      </w:pPr>
      <w:r w:rsidRPr="0027107E">
        <w:rPr>
          <w:rFonts w:ascii="Verdana" w:hAnsi="Verdana" w:cs="Arial"/>
          <w:color w:val="000000"/>
          <w:sz w:val="16"/>
          <w:szCs w:val="16"/>
        </w:rPr>
        <w:t xml:space="preserve"> </w:t>
      </w:r>
    </w:p>
  </w:footnote>
  <w:footnote w:id="10">
    <w:p w14:paraId="5E9C2CC4" w14:textId="77777777" w:rsidR="00F37F48" w:rsidRPr="00661B6A" w:rsidRDefault="00F37F48" w:rsidP="00F37F48">
      <w:pPr>
        <w:pStyle w:val="NormalWeb"/>
        <w:spacing w:after="0"/>
        <w:ind w:firstLine="720"/>
        <w:jc w:val="both"/>
        <w:rPr>
          <w:rFonts w:ascii="Verdana" w:hAnsi="Verdana" w:cs="Arial"/>
          <w:color w:val="000000"/>
          <w:sz w:val="16"/>
          <w:szCs w:val="16"/>
        </w:rPr>
      </w:pPr>
      <w:r w:rsidRPr="0027107E">
        <w:rPr>
          <w:rStyle w:val="Refdenotaalpie"/>
          <w:rFonts w:ascii="Verdana" w:hAnsi="Verdana" w:cs="Arial"/>
          <w:color w:val="000000"/>
          <w:sz w:val="16"/>
          <w:szCs w:val="16"/>
        </w:rPr>
        <w:footnoteRef/>
      </w:r>
      <w:r w:rsidRPr="0027107E">
        <w:rPr>
          <w:rFonts w:ascii="Verdana" w:hAnsi="Verdana" w:cs="Arial"/>
          <w:color w:val="000000"/>
          <w:sz w:val="16"/>
          <w:szCs w:val="16"/>
        </w:rPr>
        <w:t xml:space="preserve"> Ley 80 de 1993 “</w:t>
      </w:r>
      <w:r w:rsidRPr="00661B6A">
        <w:rPr>
          <w:rStyle w:val="Textoennegrita"/>
          <w:rFonts w:ascii="Verdana" w:hAnsi="Verdana" w:cs="Arial"/>
          <w:b w:val="0"/>
          <w:bCs w:val="0"/>
          <w:color w:val="000000"/>
          <w:sz w:val="16"/>
          <w:szCs w:val="16"/>
        </w:rPr>
        <w:t>Articulo 39. De la forma del contrato estatal. </w:t>
      </w:r>
      <w:r w:rsidRPr="00661B6A">
        <w:rPr>
          <w:rFonts w:ascii="Verdana" w:hAnsi="Verdana" w:cs="Arial"/>
          <w:color w:val="000000"/>
          <w:sz w:val="16"/>
          <w:szCs w:val="16"/>
        </w:rPr>
        <w:t>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w:t>
      </w:r>
    </w:p>
    <w:p w14:paraId="286E4A19" w14:textId="77777777" w:rsidR="00F37F48" w:rsidRPr="00661B6A" w:rsidRDefault="00F37F48" w:rsidP="00F37F48">
      <w:pPr>
        <w:pStyle w:val="NormalWeb"/>
        <w:spacing w:after="0"/>
        <w:jc w:val="both"/>
        <w:rPr>
          <w:rFonts w:ascii="Verdana" w:hAnsi="Verdana" w:cs="Arial"/>
          <w:color w:val="000000"/>
          <w:sz w:val="16"/>
          <w:szCs w:val="16"/>
        </w:rPr>
      </w:pPr>
      <w:r w:rsidRPr="00661B6A">
        <w:rPr>
          <w:rFonts w:ascii="Verdana" w:hAnsi="Verdana" w:cs="Arial"/>
          <w:color w:val="000000"/>
          <w:sz w:val="16"/>
          <w:szCs w:val="16"/>
        </w:rPr>
        <w:t>  </w:t>
      </w:r>
      <w:r w:rsidRPr="00661B6A">
        <w:rPr>
          <w:rFonts w:ascii="Verdana" w:hAnsi="Verdana" w:cs="Arial"/>
          <w:color w:val="000000"/>
          <w:sz w:val="16"/>
          <w:szCs w:val="16"/>
        </w:rPr>
        <w:tab/>
        <w:t>[…]</w:t>
      </w:r>
      <w:bookmarkStart w:id="3" w:name="ver_1790147"/>
      <w:bookmarkStart w:id="4" w:name="ver_30220791"/>
      <w:bookmarkStart w:id="5" w:name="ver_1790148"/>
      <w:bookmarkEnd w:id="3"/>
      <w:bookmarkEnd w:id="4"/>
    </w:p>
    <w:p w14:paraId="2A1D7454" w14:textId="77777777" w:rsidR="00F37F48" w:rsidRPr="00661B6A" w:rsidRDefault="00F37F48" w:rsidP="00F37F48">
      <w:pPr>
        <w:pStyle w:val="NormalWeb"/>
        <w:spacing w:after="0"/>
        <w:ind w:firstLine="720"/>
        <w:jc w:val="both"/>
        <w:rPr>
          <w:rFonts w:ascii="Verdana" w:hAnsi="Verdana" w:cs="Arial"/>
          <w:color w:val="000000"/>
          <w:sz w:val="16"/>
          <w:szCs w:val="16"/>
        </w:rPr>
      </w:pPr>
      <w:r w:rsidRPr="00661B6A">
        <w:rPr>
          <w:rStyle w:val="Textoennegrita"/>
          <w:rFonts w:ascii="Verdana" w:hAnsi="Verdana" w:cs="Arial"/>
          <w:b w:val="0"/>
          <w:bCs w:val="0"/>
          <w:color w:val="000000"/>
          <w:sz w:val="16"/>
          <w:szCs w:val="16"/>
        </w:rPr>
        <w:t>Artículo 40. Del contenido del contrato estatal.</w:t>
      </w:r>
      <w:r w:rsidRPr="00661B6A">
        <w:rPr>
          <w:rFonts w:ascii="Verdana" w:hAnsi="Verdana" w:cs="Arial"/>
          <w:color w:val="000000"/>
          <w:sz w:val="16"/>
          <w:szCs w:val="16"/>
        </w:rPr>
        <w:t> Las estipulaciones de los contratos serán las que de acuerdo con las normas civiles, comerciales y las previstas en esta ley, correspondan a su esencia y naturaleza. </w:t>
      </w:r>
    </w:p>
    <w:p w14:paraId="47048CC9" w14:textId="77777777" w:rsidR="00F37F48" w:rsidRPr="00661B6A" w:rsidRDefault="00F37F48" w:rsidP="00F37F48">
      <w:pPr>
        <w:pStyle w:val="NormalWeb"/>
        <w:spacing w:after="0"/>
        <w:ind w:firstLine="720"/>
        <w:jc w:val="both"/>
        <w:rPr>
          <w:rFonts w:ascii="Verdana" w:hAnsi="Verdana" w:cs="Arial"/>
          <w:color w:val="000000"/>
          <w:sz w:val="16"/>
          <w:szCs w:val="16"/>
        </w:rPr>
      </w:pPr>
      <w:r w:rsidRPr="00661B6A">
        <w:rPr>
          <w:rFonts w:ascii="Verdana" w:hAnsi="Verdana" w:cs="Arial"/>
          <w:color w:val="000000"/>
          <w:sz w:val="16"/>
          <w:szCs w:val="16"/>
        </w:rPr>
        <w:t>Las entidades podrán celebrar los contratos y acuerdos que permitan la autonomía de la voluntad y requieran el cumplimiento de los fines estatales. </w:t>
      </w:r>
    </w:p>
    <w:p w14:paraId="1499E5CC" w14:textId="77777777" w:rsidR="00F37F48" w:rsidRPr="00661B6A" w:rsidRDefault="00F37F48" w:rsidP="00F37F48">
      <w:pPr>
        <w:pStyle w:val="NormalWeb"/>
        <w:spacing w:after="0"/>
        <w:jc w:val="both"/>
        <w:rPr>
          <w:rFonts w:ascii="Verdana" w:hAnsi="Verdana" w:cs="Arial"/>
          <w:color w:val="000000"/>
          <w:sz w:val="16"/>
          <w:szCs w:val="16"/>
        </w:rPr>
      </w:pPr>
      <w:r w:rsidRPr="00661B6A">
        <w:rPr>
          <w:rFonts w:ascii="Verdana" w:hAnsi="Verdana" w:cs="Arial"/>
          <w:color w:val="000000"/>
          <w:sz w:val="16"/>
          <w:szCs w:val="16"/>
        </w:rPr>
        <w:t>  </w:t>
      </w:r>
      <w:r w:rsidRPr="00661B6A">
        <w:rPr>
          <w:rFonts w:ascii="Verdana" w:hAnsi="Verdana" w:cs="Arial"/>
          <w:color w:val="000000"/>
          <w:sz w:val="16"/>
          <w:szCs w:val="16"/>
        </w:rPr>
        <w:tab/>
        <w:t>[…]  </w:t>
      </w:r>
    </w:p>
    <w:p w14:paraId="6F11705D" w14:textId="77777777" w:rsidR="00F37F48" w:rsidRPr="00661B6A" w:rsidRDefault="00F37F48" w:rsidP="00F37F48">
      <w:pPr>
        <w:pStyle w:val="NormalWeb"/>
        <w:spacing w:after="0"/>
        <w:ind w:firstLine="720"/>
        <w:jc w:val="both"/>
        <w:rPr>
          <w:rFonts w:ascii="Verdana" w:hAnsi="Verdana" w:cs="Arial"/>
          <w:color w:val="000000"/>
          <w:sz w:val="16"/>
          <w:szCs w:val="16"/>
        </w:rPr>
      </w:pPr>
      <w:bookmarkStart w:id="6" w:name="ver_30161420"/>
      <w:bookmarkStart w:id="7" w:name="ver_1790149"/>
      <w:bookmarkStart w:id="8" w:name="ver_30161408"/>
      <w:bookmarkStart w:id="9" w:name="ver_30161443"/>
      <w:bookmarkEnd w:id="5"/>
      <w:bookmarkEnd w:id="6"/>
      <w:bookmarkEnd w:id="7"/>
      <w:bookmarkEnd w:id="8"/>
      <w:bookmarkEnd w:id="9"/>
      <w:r w:rsidRPr="00661B6A">
        <w:rPr>
          <w:rStyle w:val="Textoennegrita"/>
          <w:rFonts w:ascii="Verdana" w:hAnsi="Verdana" w:cs="Arial"/>
          <w:b w:val="0"/>
          <w:bCs w:val="0"/>
          <w:color w:val="000000"/>
          <w:sz w:val="16"/>
          <w:szCs w:val="16"/>
        </w:rPr>
        <w:t>Artículo 41. Del perfeccionamiento del contrato.</w:t>
      </w:r>
      <w:r w:rsidRPr="00661B6A">
        <w:rPr>
          <w:rFonts w:ascii="Verdana" w:hAnsi="Verdana" w:cs="Arial"/>
          <w:color w:val="000000"/>
          <w:sz w:val="16"/>
          <w:szCs w:val="16"/>
        </w:rPr>
        <w:t> Los contratos del Estado se perfeccionan cuando se logre acuerdo sobre el objeto y la contraprestación y éste se eleve a escrito […]”.</w:t>
      </w:r>
    </w:p>
  </w:footnote>
  <w:footnote w:id="11">
    <w:p w14:paraId="0B1094E7" w14:textId="77777777" w:rsidR="00F37F48" w:rsidRPr="00661B6A" w:rsidRDefault="00F37F48" w:rsidP="00F37F48">
      <w:pPr>
        <w:pStyle w:val="Textonotapie"/>
        <w:ind w:firstLine="709"/>
        <w:jc w:val="both"/>
        <w:rPr>
          <w:rFonts w:ascii="Verdana" w:hAnsi="Verdana" w:cs="Arial"/>
          <w:color w:val="000000"/>
          <w:sz w:val="16"/>
          <w:szCs w:val="16"/>
        </w:rPr>
      </w:pPr>
      <w:r w:rsidRPr="00661B6A">
        <w:rPr>
          <w:rStyle w:val="Refdenotaalpie"/>
          <w:rFonts w:ascii="Verdana" w:hAnsi="Verdana" w:cs="Arial"/>
          <w:color w:val="000000"/>
          <w:sz w:val="16"/>
          <w:szCs w:val="16"/>
        </w:rPr>
        <w:footnoteRef/>
      </w:r>
      <w:r w:rsidRPr="00661B6A">
        <w:rPr>
          <w:rFonts w:ascii="Verdana" w:hAnsi="Verdana" w:cs="Arial"/>
          <w:color w:val="000000"/>
          <w:sz w:val="16"/>
          <w:szCs w:val="16"/>
        </w:rPr>
        <w:t xml:space="preserve"> Ley 80 de 1993 “</w:t>
      </w:r>
      <w:r w:rsidRPr="00661B6A">
        <w:rPr>
          <w:rStyle w:val="Textoennegrita"/>
          <w:rFonts w:ascii="Verdana" w:hAnsi="Verdana" w:cs="Arial"/>
          <w:b w:val="0"/>
          <w:bCs w:val="0"/>
          <w:color w:val="000000"/>
          <w:sz w:val="16"/>
          <w:szCs w:val="16"/>
        </w:rPr>
        <w:t>Artículo 77. De la normatividad aplicable en las actuaciones administrativas.</w:t>
      </w:r>
      <w:r w:rsidRPr="00661B6A">
        <w:rPr>
          <w:rFonts w:ascii="Verdana" w:hAnsi="Verdana" w:cs="Arial"/>
          <w:color w:val="000000"/>
          <w:sz w:val="16"/>
          <w:szCs w:val="16"/>
        </w:rPr>
        <w:t xml:space="preserve"> En cuanto sean compatibles con la finalidad y los principios de esta ley, las normas que rigen los procedimientos y actuaciones en la función </w:t>
      </w:r>
      <w:r w:rsidRPr="00661B6A">
        <w:rPr>
          <w:rFonts w:ascii="Verdana" w:hAnsi="Verdana" w:cs="Arial"/>
          <w:color w:val="000000"/>
          <w:sz w:val="16"/>
          <w:szCs w:val="16"/>
        </w:rPr>
        <w:t>administrativa, serán aplicables en las actuaciones contractuales. A falta de estas, regirán las disposiciones del Código de Procedimiento Civil […]”. </w:t>
      </w:r>
    </w:p>
  </w:footnote>
  <w:footnote w:id="12">
    <w:p w14:paraId="162D11CD" w14:textId="77777777" w:rsidR="00F37F48" w:rsidRPr="00661B6A" w:rsidRDefault="00F37F48" w:rsidP="00F37F48">
      <w:pPr>
        <w:pStyle w:val="NormalWeb"/>
        <w:spacing w:after="0"/>
        <w:ind w:firstLine="709"/>
        <w:jc w:val="both"/>
        <w:rPr>
          <w:rFonts w:ascii="Verdana" w:hAnsi="Verdana" w:cs="Arial"/>
          <w:color w:val="000000"/>
          <w:sz w:val="16"/>
          <w:szCs w:val="16"/>
        </w:rPr>
      </w:pPr>
      <w:r w:rsidRPr="00661B6A">
        <w:rPr>
          <w:rStyle w:val="Refdenotaalpie"/>
          <w:rFonts w:ascii="Verdana" w:hAnsi="Verdana" w:cs="Arial"/>
          <w:color w:val="000000"/>
          <w:sz w:val="16"/>
          <w:szCs w:val="16"/>
        </w:rPr>
        <w:footnoteRef/>
      </w:r>
      <w:r w:rsidRPr="00661B6A">
        <w:rPr>
          <w:rFonts w:ascii="Verdana" w:hAnsi="Verdana" w:cs="Arial"/>
          <w:color w:val="000000"/>
          <w:sz w:val="16"/>
          <w:szCs w:val="16"/>
        </w:rPr>
        <w:t xml:space="preserve"> Ley 80 de 1993 “</w:t>
      </w:r>
      <w:r w:rsidRPr="00661B6A">
        <w:rPr>
          <w:rStyle w:val="Textoennegrita"/>
          <w:rFonts w:ascii="Verdana" w:hAnsi="Verdana" w:cs="Arial"/>
          <w:b w:val="0"/>
          <w:bCs w:val="0"/>
          <w:color w:val="000000"/>
          <w:sz w:val="16"/>
          <w:szCs w:val="16"/>
        </w:rPr>
        <w:t>Artículo 25. Del principio de economía.</w:t>
      </w:r>
      <w:r w:rsidRPr="00661B6A">
        <w:rPr>
          <w:rFonts w:ascii="Verdana" w:hAnsi="Verdana" w:cs="Arial"/>
          <w:color w:val="000000"/>
          <w:sz w:val="16"/>
          <w:szCs w:val="16"/>
        </w:rPr>
        <w:t> En virtud de este principio: </w:t>
      </w:r>
    </w:p>
    <w:p w14:paraId="5A109B92" w14:textId="77777777" w:rsidR="00F37F48" w:rsidRPr="00661B6A" w:rsidRDefault="00F37F48" w:rsidP="00F37F48">
      <w:pPr>
        <w:pStyle w:val="NormalWeb"/>
        <w:spacing w:after="0"/>
        <w:ind w:firstLine="709"/>
        <w:jc w:val="both"/>
        <w:rPr>
          <w:rFonts w:ascii="Verdana" w:hAnsi="Verdana" w:cs="Arial"/>
          <w:color w:val="000000"/>
          <w:sz w:val="16"/>
          <w:szCs w:val="16"/>
        </w:rPr>
      </w:pPr>
      <w:r w:rsidRPr="00661B6A">
        <w:rPr>
          <w:rFonts w:ascii="Verdana" w:hAnsi="Verdana" w:cs="Arial"/>
          <w:color w:val="000000"/>
          <w:sz w:val="16"/>
          <w:szCs w:val="16"/>
        </w:rPr>
        <w:t>[…]</w:t>
      </w:r>
    </w:p>
    <w:p w14:paraId="4A2D0F6C" w14:textId="77777777" w:rsidR="00F37F48" w:rsidRPr="00661B6A" w:rsidRDefault="00F37F48" w:rsidP="00F37F48">
      <w:pPr>
        <w:pStyle w:val="NormalWeb"/>
        <w:spacing w:after="0"/>
        <w:ind w:firstLine="709"/>
        <w:jc w:val="both"/>
        <w:rPr>
          <w:rFonts w:ascii="Verdana" w:hAnsi="Verdana" w:cs="Arial"/>
          <w:color w:val="000000"/>
          <w:sz w:val="16"/>
          <w:szCs w:val="16"/>
        </w:rPr>
      </w:pPr>
      <w:r w:rsidRPr="00661B6A">
        <w:rPr>
          <w:rFonts w:ascii="Verdana" w:hAnsi="Verdana" w:cs="Arial"/>
          <w:color w:val="000000"/>
          <w:sz w:val="16"/>
          <w:szCs w:val="16"/>
        </w:rPr>
        <w:t>4o. Los trámites se adelantarán con austeridad de tiempo, medios y gastos y se impedirán las dilaciones y los retardos en la ejecución del contrato. </w:t>
      </w:r>
    </w:p>
    <w:p w14:paraId="3DB584D7" w14:textId="77777777" w:rsidR="00F37F48" w:rsidRPr="0027107E" w:rsidRDefault="00F37F48" w:rsidP="00F37F48">
      <w:pPr>
        <w:pStyle w:val="NormalWeb"/>
        <w:spacing w:after="0"/>
        <w:jc w:val="both"/>
        <w:rPr>
          <w:rFonts w:ascii="Verdana" w:hAnsi="Verdana" w:cs="Arial"/>
          <w:color w:val="000000"/>
          <w:sz w:val="16"/>
          <w:szCs w:val="16"/>
        </w:rPr>
      </w:pPr>
      <w:r w:rsidRPr="0027107E">
        <w:rPr>
          <w:rFonts w:ascii="Verdana" w:hAnsi="Verdana" w:cs="Arial"/>
          <w:color w:val="000000"/>
          <w:sz w:val="16"/>
          <w:szCs w:val="16"/>
        </w:rPr>
        <w:t>  </w:t>
      </w:r>
      <w:r w:rsidRPr="0027107E">
        <w:rPr>
          <w:rFonts w:ascii="Verdana" w:hAnsi="Verdana" w:cs="Arial"/>
          <w:color w:val="000000"/>
          <w:sz w:val="16"/>
          <w:szCs w:val="16"/>
        </w:rPr>
        <w:tab/>
        <w:t>5o. Se adoptarán procedimientos que garanticen la pronta solución de las diferencias y controversias que con motivo de la celebración y ejecución del contrato se presenten […]”.</w:t>
      </w:r>
    </w:p>
  </w:footnote>
  <w:footnote w:id="13">
    <w:p w14:paraId="77B60771" w14:textId="77777777" w:rsidR="00F37F48" w:rsidRPr="0027107E" w:rsidRDefault="00F37F48" w:rsidP="00F37F48">
      <w:pPr>
        <w:pStyle w:val="Textonotapie"/>
        <w:ind w:firstLine="708"/>
        <w:jc w:val="both"/>
        <w:rPr>
          <w:rFonts w:ascii="Verdana" w:hAnsi="Verdana" w:cs="Arial"/>
          <w:color w:val="000000"/>
          <w:sz w:val="16"/>
          <w:szCs w:val="16"/>
          <w:lang w:val="es-ES"/>
        </w:rPr>
      </w:pPr>
      <w:r w:rsidRPr="0027107E">
        <w:rPr>
          <w:rStyle w:val="Refdenotaalpie"/>
          <w:rFonts w:ascii="Verdana" w:hAnsi="Verdana" w:cs="Arial"/>
          <w:color w:val="000000"/>
          <w:sz w:val="16"/>
          <w:szCs w:val="16"/>
        </w:rPr>
        <w:footnoteRef/>
      </w:r>
      <w:r w:rsidRPr="0027107E">
        <w:rPr>
          <w:rFonts w:ascii="Verdana" w:hAnsi="Verdana" w:cs="Arial"/>
          <w:color w:val="000000"/>
          <w:sz w:val="16"/>
          <w:szCs w:val="16"/>
        </w:rPr>
        <w:t xml:space="preserve"> COLOMBIA COMPRA EFICIENTE. Guía para la Liquidación de los Procesos de Contratación. página 5, disponible en: </w:t>
      </w:r>
      <w:hyperlink r:id="rId1" w:history="1">
        <w:r w:rsidRPr="0027107E">
          <w:rPr>
            <w:rStyle w:val="Hipervnculo"/>
            <w:rFonts w:ascii="Verdana" w:hAnsi="Verdana" w:cs="Arial"/>
            <w:sz w:val="16"/>
            <w:szCs w:val="16"/>
          </w:rPr>
          <w:t xml:space="preserve">https://www.colombiacompra.gov.co/sites/cce_public/files/cce_documents/cce_guia_liquidacion_procesos.pdf  </w:t>
        </w:r>
      </w:hyperlink>
    </w:p>
  </w:footnote>
  <w:footnote w:id="14">
    <w:p w14:paraId="1D486400" w14:textId="77777777" w:rsidR="00F37F48" w:rsidRPr="0027107E" w:rsidRDefault="00F37F48" w:rsidP="00F37F48">
      <w:pPr>
        <w:pStyle w:val="Textonotapie"/>
        <w:ind w:firstLine="708"/>
        <w:jc w:val="both"/>
        <w:rPr>
          <w:rFonts w:ascii="Verdana" w:hAnsi="Verdana" w:cs="Arial"/>
          <w:color w:val="000000"/>
          <w:sz w:val="16"/>
          <w:szCs w:val="16"/>
        </w:rPr>
      </w:pPr>
      <w:r w:rsidRPr="0027107E">
        <w:rPr>
          <w:rStyle w:val="Refdenotaalpie"/>
          <w:rFonts w:ascii="Verdana" w:hAnsi="Verdana" w:cs="Arial"/>
          <w:color w:val="000000"/>
          <w:sz w:val="16"/>
          <w:szCs w:val="16"/>
        </w:rPr>
        <w:footnoteRef/>
      </w:r>
      <w:r w:rsidRPr="0027107E">
        <w:rPr>
          <w:rFonts w:ascii="Verdana" w:hAnsi="Verdana" w:cs="Arial"/>
          <w:color w:val="000000"/>
          <w:sz w:val="16"/>
          <w:szCs w:val="16"/>
        </w:rPr>
        <w:t xml:space="preserve"> Conviene recordar que es válida la liquidación bilateral parcial, debido a que las partes no logran ponerse de acuerdo en todos los asuntos referentes al contrato. En este evento, se debe hacer uso de las glosas o salvedades, y únicamente sobre tal glosa o salvedad girará el debate judicial que se da con ocasión de la demanda en ejercicio del medio de control de controversias contractuales.</w:t>
      </w:r>
    </w:p>
  </w:footnote>
  <w:footnote w:id="15">
    <w:p w14:paraId="7D3127D7" w14:textId="77777777" w:rsidR="00F37F48" w:rsidRPr="00986DEE" w:rsidRDefault="00F37F48" w:rsidP="00F37F48">
      <w:pPr>
        <w:pStyle w:val="Textonotapie"/>
        <w:ind w:firstLine="709"/>
        <w:jc w:val="both"/>
        <w:rPr>
          <w:rFonts w:ascii="Verdana" w:hAnsi="Verdana"/>
          <w:sz w:val="16"/>
          <w:szCs w:val="16"/>
          <w:lang w:val="es-CO"/>
        </w:rPr>
      </w:pPr>
      <w:r>
        <w:rPr>
          <w:rStyle w:val="Refdenotaalpie"/>
        </w:rPr>
        <w:footnoteRef/>
      </w:r>
      <w:r>
        <w:t xml:space="preserve"> </w:t>
      </w:r>
      <w:r w:rsidRPr="00DA6F45">
        <w:rPr>
          <w:rFonts w:ascii="Verdana" w:hAnsi="Verdana"/>
          <w:sz w:val="16"/>
          <w:szCs w:val="16"/>
        </w:rPr>
        <w:t xml:space="preserve">Conceptos </w:t>
      </w:r>
      <w:r>
        <w:rPr>
          <w:rFonts w:ascii="Verdana" w:hAnsi="Verdana"/>
          <w:sz w:val="16"/>
          <w:szCs w:val="16"/>
        </w:rPr>
        <w:t>C</w:t>
      </w:r>
      <w:r w:rsidRPr="00DA6F45">
        <w:rPr>
          <w:rFonts w:ascii="Verdana" w:hAnsi="Verdana"/>
          <w:sz w:val="16"/>
          <w:szCs w:val="16"/>
        </w:rPr>
        <w:t>-494 del 17 de septiembre de 2021, C-759 del 11 de noviembre de 2022.</w:t>
      </w:r>
    </w:p>
  </w:footnote>
  <w:footnote w:id="16">
    <w:p w14:paraId="61D26D1F" w14:textId="77777777" w:rsidR="00F37F48" w:rsidRPr="002D50CA" w:rsidRDefault="00F37F48" w:rsidP="00F37F48">
      <w:pPr>
        <w:pStyle w:val="Textonotapie"/>
        <w:ind w:firstLine="709"/>
        <w:jc w:val="both"/>
        <w:rPr>
          <w:lang w:val="es-CO"/>
        </w:rPr>
      </w:pPr>
      <w:r>
        <w:rPr>
          <w:rStyle w:val="Refdenotaalpie"/>
        </w:rPr>
        <w:footnoteRef/>
      </w:r>
      <w:r>
        <w:t xml:space="preserve"> </w:t>
      </w:r>
      <w:r w:rsidRPr="0027107E">
        <w:rPr>
          <w:rFonts w:ascii="Verdana" w:hAnsi="Verdana" w:cs="Arial"/>
          <w:color w:val="000000"/>
          <w:sz w:val="16"/>
          <w:szCs w:val="16"/>
        </w:rPr>
        <w:t xml:space="preserve">Sección Tercera, Subsección </w:t>
      </w:r>
      <w:r>
        <w:rPr>
          <w:rFonts w:ascii="Verdana" w:hAnsi="Verdana" w:cs="Arial"/>
          <w:color w:val="000000"/>
          <w:sz w:val="16"/>
          <w:szCs w:val="16"/>
        </w:rPr>
        <w:t>A</w:t>
      </w:r>
      <w:r w:rsidRPr="0027107E">
        <w:rPr>
          <w:rFonts w:ascii="Verdana" w:hAnsi="Verdana" w:cs="Arial"/>
          <w:color w:val="000000"/>
          <w:sz w:val="16"/>
          <w:szCs w:val="16"/>
        </w:rPr>
        <w:t>, Sentencia del 2</w:t>
      </w:r>
      <w:r>
        <w:rPr>
          <w:rFonts w:ascii="Verdana" w:hAnsi="Verdana" w:cs="Arial"/>
          <w:color w:val="000000"/>
          <w:sz w:val="16"/>
          <w:szCs w:val="16"/>
        </w:rPr>
        <w:t>0</w:t>
      </w:r>
      <w:r w:rsidRPr="0027107E">
        <w:rPr>
          <w:rFonts w:ascii="Verdana" w:hAnsi="Verdana" w:cs="Arial"/>
          <w:color w:val="000000"/>
          <w:sz w:val="16"/>
          <w:szCs w:val="16"/>
        </w:rPr>
        <w:t xml:space="preserve"> de </w:t>
      </w:r>
      <w:r>
        <w:rPr>
          <w:rFonts w:ascii="Verdana" w:hAnsi="Verdana" w:cs="Arial"/>
          <w:color w:val="000000"/>
          <w:sz w:val="16"/>
          <w:szCs w:val="16"/>
        </w:rPr>
        <w:t>mayo</w:t>
      </w:r>
      <w:r w:rsidRPr="0027107E">
        <w:rPr>
          <w:rFonts w:ascii="Verdana" w:hAnsi="Verdana" w:cs="Arial"/>
          <w:color w:val="000000"/>
          <w:sz w:val="16"/>
          <w:szCs w:val="16"/>
        </w:rPr>
        <w:t xml:space="preserve"> de 20</w:t>
      </w:r>
      <w:r>
        <w:rPr>
          <w:rFonts w:ascii="Verdana" w:hAnsi="Verdana" w:cs="Arial"/>
          <w:color w:val="000000"/>
          <w:sz w:val="16"/>
          <w:szCs w:val="16"/>
        </w:rPr>
        <w:t>24</w:t>
      </w:r>
      <w:r w:rsidRPr="0027107E">
        <w:rPr>
          <w:rFonts w:ascii="Verdana" w:hAnsi="Verdana" w:cs="Arial"/>
          <w:color w:val="000000"/>
          <w:sz w:val="16"/>
          <w:szCs w:val="16"/>
        </w:rPr>
        <w:t xml:space="preserve">, radicado No. </w:t>
      </w:r>
      <w:r>
        <w:rPr>
          <w:rFonts w:ascii="Verdana" w:hAnsi="Verdana" w:cs="Arial"/>
          <w:color w:val="000000"/>
          <w:sz w:val="16"/>
          <w:szCs w:val="16"/>
        </w:rPr>
        <w:t>58.879</w:t>
      </w:r>
      <w:r w:rsidRPr="0027107E">
        <w:rPr>
          <w:rFonts w:ascii="Verdana" w:hAnsi="Verdana" w:cs="Arial"/>
          <w:color w:val="000000"/>
          <w:sz w:val="16"/>
          <w:szCs w:val="16"/>
        </w:rPr>
        <w:t xml:space="preserve">, </w:t>
      </w:r>
      <w:r w:rsidRPr="0027107E">
        <w:rPr>
          <w:rFonts w:ascii="Verdana" w:hAnsi="Verdana" w:cs="Arial"/>
          <w:color w:val="000000"/>
          <w:sz w:val="16"/>
          <w:szCs w:val="16"/>
        </w:rPr>
        <w:t>Consejer</w:t>
      </w:r>
      <w:r>
        <w:rPr>
          <w:rFonts w:ascii="Verdana" w:hAnsi="Verdana" w:cs="Arial"/>
          <w:color w:val="000000"/>
          <w:sz w:val="16"/>
          <w:szCs w:val="16"/>
        </w:rPr>
        <w:t>a</w:t>
      </w:r>
      <w:r w:rsidRPr="0027107E">
        <w:rPr>
          <w:rFonts w:ascii="Verdana" w:hAnsi="Verdana" w:cs="Arial"/>
          <w:color w:val="000000"/>
          <w:sz w:val="16"/>
          <w:szCs w:val="16"/>
        </w:rPr>
        <w:t xml:space="preserve"> Ponente</w:t>
      </w:r>
      <w:r>
        <w:rPr>
          <w:rFonts w:ascii="Verdana" w:hAnsi="Verdana" w:cs="Arial"/>
          <w:color w:val="000000"/>
          <w:sz w:val="16"/>
          <w:szCs w:val="16"/>
        </w:rPr>
        <w:t>:</w:t>
      </w:r>
      <w:r w:rsidRPr="0027107E">
        <w:rPr>
          <w:rFonts w:ascii="Verdana" w:hAnsi="Verdana" w:cs="Arial"/>
          <w:color w:val="000000"/>
          <w:sz w:val="16"/>
          <w:szCs w:val="16"/>
        </w:rPr>
        <w:t xml:space="preserve"> </w:t>
      </w:r>
      <w:r>
        <w:rPr>
          <w:rFonts w:ascii="Verdana" w:hAnsi="Verdana" w:cs="Arial"/>
          <w:color w:val="000000"/>
          <w:sz w:val="16"/>
          <w:szCs w:val="16"/>
        </w:rPr>
        <w:t>María Adriana Marín</w:t>
      </w:r>
      <w:r w:rsidRPr="0027107E">
        <w:rPr>
          <w:rFonts w:ascii="Verdana" w:hAnsi="Verdana" w:cs="Arial"/>
          <w:color w:val="000000"/>
          <w:sz w:val="16"/>
          <w:szCs w:val="16"/>
        </w:rPr>
        <w:t>.</w:t>
      </w:r>
    </w:p>
  </w:footnote>
  <w:footnote w:id="17">
    <w:p w14:paraId="60B12E94" w14:textId="77777777" w:rsidR="00F37F48" w:rsidRPr="00685275" w:rsidRDefault="00F37F48" w:rsidP="00F37F48">
      <w:pPr>
        <w:ind w:firstLine="709"/>
        <w:jc w:val="both"/>
        <w:rPr>
          <w:rFonts w:ascii="Arial" w:hAnsi="Arial" w:cs="Arial"/>
          <w:color w:val="201F1E"/>
          <w:sz w:val="20"/>
          <w:szCs w:val="20"/>
          <w:bdr w:val="none" w:sz="0" w:space="0" w:color="auto" w:frame="1"/>
          <w:lang w:val="es-ES" w:eastAsia="es-CO"/>
        </w:rPr>
      </w:pPr>
      <w:r w:rsidRPr="00685275">
        <w:rPr>
          <w:rStyle w:val="Refdenotaalpie"/>
          <w:rFonts w:ascii="Arial" w:hAnsi="Arial" w:cs="Arial"/>
          <w:sz w:val="20"/>
          <w:szCs w:val="20"/>
        </w:rPr>
        <w:footnoteRef/>
      </w:r>
      <w:r w:rsidRPr="00685275">
        <w:rPr>
          <w:rFonts w:ascii="Arial" w:hAnsi="Arial" w:cs="Arial"/>
          <w:sz w:val="20"/>
          <w:szCs w:val="20"/>
        </w:rPr>
        <w:t xml:space="preserve"> </w:t>
      </w:r>
      <w:r w:rsidRPr="004D62C0">
        <w:rPr>
          <w:rFonts w:ascii="Verdana" w:hAnsi="Verdana" w:cs="Arial"/>
          <w:sz w:val="16"/>
          <w:szCs w:val="16"/>
        </w:rPr>
        <w:t>L</w:t>
      </w:r>
      <w:r w:rsidRPr="004D62C0">
        <w:rPr>
          <w:rFonts w:ascii="Verdana" w:hAnsi="Verdana" w:cs="Arial"/>
          <w:sz w:val="16"/>
          <w:szCs w:val="16"/>
          <w:lang w:val="es-ES"/>
        </w:rPr>
        <w:t xml:space="preserve">a liquidación del contrato también ha sido considerada por la doctrina como un procedimiento y un mecanismo de solución de controversias. En este sentido, véase: Samuel Yong Serrano, </w:t>
      </w:r>
      <w:r w:rsidRPr="004D62C0">
        <w:rPr>
          <w:rFonts w:ascii="Verdana" w:hAnsi="Verdana" w:cs="Arial"/>
          <w:i/>
          <w:iCs/>
          <w:sz w:val="16"/>
          <w:szCs w:val="16"/>
          <w:lang w:val="es-ES"/>
        </w:rPr>
        <w:t>El contrato estatal en el contexto de la nueva legislación</w:t>
      </w:r>
      <w:r w:rsidRPr="004D62C0">
        <w:rPr>
          <w:rFonts w:ascii="Verdana" w:hAnsi="Verdana" w:cs="Arial"/>
          <w:sz w:val="16"/>
          <w:szCs w:val="16"/>
          <w:lang w:val="es-ES"/>
        </w:rPr>
        <w:t xml:space="preserve">, 4ª ed., Grupo editorial Ibáñez, Bogotá, 2015, p. 298; </w:t>
      </w:r>
      <w:r w:rsidRPr="004D62C0">
        <w:rPr>
          <w:rFonts w:ascii="Verdana" w:hAnsi="Verdana" w:cs="Arial"/>
          <w:sz w:val="16"/>
          <w:szCs w:val="16"/>
          <w:lang w:val="es-ES_tradnl"/>
        </w:rPr>
        <w:t xml:space="preserve">Francisco Cuello Duarte, </w:t>
      </w:r>
      <w:r w:rsidRPr="004D62C0">
        <w:rPr>
          <w:rFonts w:ascii="Verdana" w:hAnsi="Verdana" w:cs="Arial"/>
          <w:i/>
          <w:iCs/>
          <w:sz w:val="16"/>
          <w:szCs w:val="16"/>
          <w:lang w:val="es-ES_tradnl"/>
        </w:rPr>
        <w:t xml:space="preserve">Contratos de la administración Pública, </w:t>
      </w:r>
      <w:r w:rsidRPr="004D62C0">
        <w:rPr>
          <w:rFonts w:ascii="Verdana" w:hAnsi="Verdana" w:cs="Arial"/>
          <w:sz w:val="16"/>
          <w:szCs w:val="16"/>
          <w:lang w:val="es-ES_tradnl"/>
        </w:rPr>
        <w:t xml:space="preserve">Tercera edición. </w:t>
      </w:r>
      <w:r w:rsidRPr="004D62C0">
        <w:rPr>
          <w:rFonts w:ascii="Verdana" w:hAnsi="Verdana" w:cs="Arial"/>
          <w:sz w:val="16"/>
          <w:szCs w:val="16"/>
          <w:lang w:val="es-ES_tradnl"/>
        </w:rPr>
        <w:t xml:space="preserve">Ecoe Ediciones, Bogotá, 2009, p. 270; Aída Patricia Hernández Silva, «La liquidación del contrato estatal», </w:t>
      </w:r>
      <w:r w:rsidRPr="004D62C0">
        <w:rPr>
          <w:rFonts w:ascii="Verdana" w:hAnsi="Verdana" w:cs="Arial"/>
          <w:i/>
          <w:iCs/>
          <w:sz w:val="16"/>
          <w:szCs w:val="16"/>
          <w:lang w:val="es-ES_tradnl"/>
        </w:rPr>
        <w:t>en Revista digital de Derecho administrativo</w:t>
      </w:r>
      <w:r w:rsidRPr="004D62C0">
        <w:rPr>
          <w:rFonts w:ascii="Verdana" w:hAnsi="Verdana" w:cs="Arial"/>
          <w:sz w:val="16"/>
          <w:szCs w:val="16"/>
          <w:lang w:val="es-ES_tradnl"/>
        </w:rPr>
        <w:t xml:space="preserve">, Universidad Externado, número 1. 2009, p. 1; Juan Ángel Palacio Hincapié, </w:t>
      </w:r>
      <w:r w:rsidRPr="004D62C0">
        <w:rPr>
          <w:rFonts w:ascii="Verdana" w:hAnsi="Verdana" w:cs="Arial"/>
          <w:i/>
          <w:iCs/>
          <w:sz w:val="16"/>
          <w:szCs w:val="16"/>
          <w:lang w:val="es-ES_tradnl"/>
        </w:rPr>
        <w:t>La contratación de las entidades estatales</w:t>
      </w:r>
      <w:r w:rsidRPr="004D62C0">
        <w:rPr>
          <w:rFonts w:ascii="Verdana" w:hAnsi="Verdana" w:cs="Arial"/>
          <w:sz w:val="16"/>
          <w:szCs w:val="16"/>
          <w:lang w:val="es-ES_tradnl"/>
        </w:rPr>
        <w:t xml:space="preserve">, 5ª ed., Medellín, Librería Jurídica Sánchez, 2005, pp. 335, 338 y 339, y Juan Carlos Expósito Vélez, «La liquidación bilateral de los contratos estatales: un mecanismo alternativo de solución de conflictos», </w:t>
      </w:r>
      <w:r w:rsidRPr="004D62C0">
        <w:rPr>
          <w:rFonts w:ascii="Verdana" w:hAnsi="Verdana" w:cs="Arial"/>
          <w:i/>
          <w:iCs/>
          <w:sz w:val="16"/>
          <w:szCs w:val="16"/>
          <w:lang w:val="es-ES_tradnl"/>
        </w:rPr>
        <w:t xml:space="preserve">en Revista digital de Derecho administrativo, </w:t>
      </w:r>
      <w:r w:rsidRPr="004D62C0">
        <w:rPr>
          <w:rFonts w:ascii="Verdana" w:hAnsi="Verdana" w:cs="Arial"/>
          <w:sz w:val="16"/>
          <w:szCs w:val="16"/>
          <w:lang w:val="es-ES_tradnl"/>
        </w:rPr>
        <w:t>Universidad Externado, número 1. 2009.</w:t>
      </w:r>
    </w:p>
  </w:footnote>
  <w:footnote w:id="18">
    <w:p w14:paraId="0854C853" w14:textId="77777777" w:rsidR="00F37F48" w:rsidRPr="0076727C" w:rsidRDefault="00F37F48" w:rsidP="00F37F48">
      <w:pPr>
        <w:pStyle w:val="Textonotapie"/>
        <w:ind w:firstLine="709"/>
        <w:rPr>
          <w:lang w:val="es-CO"/>
        </w:rPr>
      </w:pPr>
      <w:r>
        <w:rPr>
          <w:rStyle w:val="Refdenotaalpie"/>
        </w:rPr>
        <w:footnoteRef/>
      </w:r>
      <w:r>
        <w:t xml:space="preserve"> </w:t>
      </w:r>
      <w:r w:rsidRPr="009C2597">
        <w:rPr>
          <w:rFonts w:ascii="Verdana" w:hAnsi="Verdana"/>
          <w:sz w:val="16"/>
          <w:szCs w:val="16"/>
        </w:rPr>
        <w:t xml:space="preserve">Consejo de Estado, </w:t>
      </w:r>
      <w:r w:rsidRPr="0027107E">
        <w:rPr>
          <w:rFonts w:ascii="Verdana" w:hAnsi="Verdana" w:cs="Arial"/>
          <w:color w:val="000000"/>
          <w:sz w:val="16"/>
          <w:szCs w:val="16"/>
        </w:rPr>
        <w:t xml:space="preserve">Sección Tercera, Subsección </w:t>
      </w:r>
      <w:r>
        <w:rPr>
          <w:rFonts w:ascii="Verdana" w:hAnsi="Verdana" w:cs="Arial"/>
          <w:color w:val="000000"/>
          <w:sz w:val="16"/>
          <w:szCs w:val="16"/>
        </w:rPr>
        <w:t>B</w:t>
      </w:r>
      <w:r w:rsidRPr="0027107E">
        <w:rPr>
          <w:rFonts w:ascii="Verdana" w:hAnsi="Verdana" w:cs="Arial"/>
          <w:color w:val="000000"/>
          <w:sz w:val="16"/>
          <w:szCs w:val="16"/>
        </w:rPr>
        <w:t xml:space="preserve">, Sentencia del </w:t>
      </w:r>
      <w:r>
        <w:rPr>
          <w:rFonts w:ascii="Verdana" w:hAnsi="Verdana" w:cs="Arial"/>
          <w:color w:val="000000"/>
          <w:sz w:val="16"/>
          <w:szCs w:val="16"/>
        </w:rPr>
        <w:t>7</w:t>
      </w:r>
      <w:r w:rsidRPr="0027107E">
        <w:rPr>
          <w:rFonts w:ascii="Verdana" w:hAnsi="Verdana" w:cs="Arial"/>
          <w:color w:val="000000"/>
          <w:sz w:val="16"/>
          <w:szCs w:val="16"/>
        </w:rPr>
        <w:t xml:space="preserve"> de</w:t>
      </w:r>
      <w:r>
        <w:rPr>
          <w:rFonts w:ascii="Verdana" w:hAnsi="Verdana" w:cs="Arial"/>
          <w:color w:val="000000"/>
          <w:sz w:val="16"/>
          <w:szCs w:val="16"/>
        </w:rPr>
        <w:t xml:space="preserve"> febrero</w:t>
      </w:r>
      <w:r w:rsidRPr="0027107E">
        <w:rPr>
          <w:rFonts w:ascii="Verdana" w:hAnsi="Verdana" w:cs="Arial"/>
          <w:color w:val="000000"/>
          <w:sz w:val="16"/>
          <w:szCs w:val="16"/>
        </w:rPr>
        <w:t xml:space="preserve"> de 20</w:t>
      </w:r>
      <w:r>
        <w:rPr>
          <w:rFonts w:ascii="Verdana" w:hAnsi="Verdana" w:cs="Arial"/>
          <w:color w:val="000000"/>
          <w:sz w:val="16"/>
          <w:szCs w:val="16"/>
        </w:rPr>
        <w:t>25</w:t>
      </w:r>
      <w:r w:rsidRPr="0027107E">
        <w:rPr>
          <w:rFonts w:ascii="Verdana" w:hAnsi="Verdana" w:cs="Arial"/>
          <w:color w:val="000000"/>
          <w:sz w:val="16"/>
          <w:szCs w:val="16"/>
        </w:rPr>
        <w:t xml:space="preserve">, radicado No. </w:t>
      </w:r>
      <w:r>
        <w:rPr>
          <w:rFonts w:ascii="Verdana" w:hAnsi="Verdana" w:cs="Arial"/>
          <w:color w:val="000000"/>
          <w:sz w:val="16"/>
          <w:szCs w:val="16"/>
        </w:rPr>
        <w:t>71.036</w:t>
      </w:r>
      <w:r w:rsidRPr="0027107E">
        <w:rPr>
          <w:rFonts w:ascii="Verdana" w:hAnsi="Verdana" w:cs="Arial"/>
          <w:color w:val="000000"/>
          <w:sz w:val="16"/>
          <w:szCs w:val="16"/>
        </w:rPr>
        <w:t xml:space="preserve"> </w:t>
      </w:r>
      <w:r w:rsidRPr="0027107E">
        <w:rPr>
          <w:rFonts w:ascii="Verdana" w:hAnsi="Verdana" w:cs="Arial"/>
          <w:color w:val="000000"/>
          <w:sz w:val="16"/>
          <w:szCs w:val="16"/>
        </w:rPr>
        <w:t>Consejer</w:t>
      </w:r>
      <w:r>
        <w:rPr>
          <w:rFonts w:ascii="Verdana" w:hAnsi="Verdana" w:cs="Arial"/>
          <w:color w:val="000000"/>
          <w:sz w:val="16"/>
          <w:szCs w:val="16"/>
        </w:rPr>
        <w:t>a</w:t>
      </w:r>
      <w:r w:rsidRPr="0027107E">
        <w:rPr>
          <w:rFonts w:ascii="Verdana" w:hAnsi="Verdana" w:cs="Arial"/>
          <w:color w:val="000000"/>
          <w:sz w:val="16"/>
          <w:szCs w:val="16"/>
        </w:rPr>
        <w:t xml:space="preserve"> Ponente</w:t>
      </w:r>
      <w:r>
        <w:rPr>
          <w:rFonts w:ascii="Verdana" w:hAnsi="Verdana" w:cs="Arial"/>
          <w:color w:val="000000"/>
          <w:sz w:val="16"/>
          <w:szCs w:val="16"/>
        </w:rPr>
        <w:t>:</w:t>
      </w:r>
      <w:r w:rsidRPr="0027107E">
        <w:rPr>
          <w:rFonts w:ascii="Verdana" w:hAnsi="Verdana" w:cs="Arial"/>
          <w:color w:val="000000"/>
          <w:sz w:val="16"/>
          <w:szCs w:val="16"/>
        </w:rPr>
        <w:t xml:space="preserve"> </w:t>
      </w:r>
      <w:r>
        <w:rPr>
          <w:rFonts w:ascii="Verdana" w:hAnsi="Verdana" w:cs="Arial"/>
          <w:color w:val="000000"/>
          <w:sz w:val="16"/>
          <w:szCs w:val="16"/>
        </w:rPr>
        <w:t>Fredy Ibarra Martínez</w:t>
      </w:r>
      <w:r w:rsidRPr="0027107E">
        <w:rPr>
          <w:rFonts w:ascii="Verdana" w:hAnsi="Verdana" w:cs="Arial"/>
          <w:color w:val="000000"/>
          <w:sz w:val="16"/>
          <w:szCs w:val="16"/>
        </w:rPr>
        <w:t>.</w:t>
      </w:r>
    </w:p>
  </w:footnote>
  <w:footnote w:id="19">
    <w:p w14:paraId="3795C27D" w14:textId="77777777" w:rsidR="00F37F48" w:rsidRPr="009C2597" w:rsidRDefault="00F37F48" w:rsidP="00F37F48">
      <w:pPr>
        <w:pStyle w:val="Textonotapie"/>
        <w:ind w:firstLine="709"/>
        <w:rPr>
          <w:lang w:val="es-CO"/>
        </w:rPr>
      </w:pPr>
      <w:r>
        <w:rPr>
          <w:rStyle w:val="Refdenotaalpie"/>
        </w:rPr>
        <w:footnoteRef/>
      </w:r>
      <w:r>
        <w:t xml:space="preserve"> </w:t>
      </w:r>
      <w:r w:rsidRPr="009C2597">
        <w:rPr>
          <w:rFonts w:ascii="Verdana" w:hAnsi="Verdana"/>
          <w:sz w:val="16"/>
          <w:szCs w:val="16"/>
        </w:rPr>
        <w:t xml:space="preserve">Consejo de Estado, </w:t>
      </w:r>
      <w:r w:rsidRPr="0027107E">
        <w:rPr>
          <w:rFonts w:ascii="Verdana" w:hAnsi="Verdana" w:cs="Arial"/>
          <w:color w:val="000000"/>
          <w:sz w:val="16"/>
          <w:szCs w:val="16"/>
        </w:rPr>
        <w:t xml:space="preserve">Sección Tercera, Subsección </w:t>
      </w:r>
      <w:r>
        <w:rPr>
          <w:rFonts w:ascii="Verdana" w:hAnsi="Verdana" w:cs="Arial"/>
          <w:color w:val="000000"/>
          <w:sz w:val="16"/>
          <w:szCs w:val="16"/>
        </w:rPr>
        <w:t>A</w:t>
      </w:r>
      <w:r w:rsidRPr="0027107E">
        <w:rPr>
          <w:rFonts w:ascii="Verdana" w:hAnsi="Verdana" w:cs="Arial"/>
          <w:color w:val="000000"/>
          <w:sz w:val="16"/>
          <w:szCs w:val="16"/>
        </w:rPr>
        <w:t>, Sentencia del 2</w:t>
      </w:r>
      <w:r>
        <w:rPr>
          <w:rFonts w:ascii="Verdana" w:hAnsi="Verdana" w:cs="Arial"/>
          <w:color w:val="000000"/>
          <w:sz w:val="16"/>
          <w:szCs w:val="16"/>
        </w:rPr>
        <w:t>0</w:t>
      </w:r>
      <w:r w:rsidRPr="0027107E">
        <w:rPr>
          <w:rFonts w:ascii="Verdana" w:hAnsi="Verdana" w:cs="Arial"/>
          <w:color w:val="000000"/>
          <w:sz w:val="16"/>
          <w:szCs w:val="16"/>
        </w:rPr>
        <w:t xml:space="preserve"> de </w:t>
      </w:r>
      <w:r>
        <w:rPr>
          <w:rFonts w:ascii="Verdana" w:hAnsi="Verdana" w:cs="Arial"/>
          <w:color w:val="000000"/>
          <w:sz w:val="16"/>
          <w:szCs w:val="16"/>
        </w:rPr>
        <w:t>mayo</w:t>
      </w:r>
      <w:r w:rsidRPr="0027107E">
        <w:rPr>
          <w:rFonts w:ascii="Verdana" w:hAnsi="Verdana" w:cs="Arial"/>
          <w:color w:val="000000"/>
          <w:sz w:val="16"/>
          <w:szCs w:val="16"/>
        </w:rPr>
        <w:t xml:space="preserve"> de 20</w:t>
      </w:r>
      <w:r>
        <w:rPr>
          <w:rFonts w:ascii="Verdana" w:hAnsi="Verdana" w:cs="Arial"/>
          <w:color w:val="000000"/>
          <w:sz w:val="16"/>
          <w:szCs w:val="16"/>
        </w:rPr>
        <w:t>24</w:t>
      </w:r>
      <w:r w:rsidRPr="0027107E">
        <w:rPr>
          <w:rFonts w:ascii="Verdana" w:hAnsi="Verdana" w:cs="Arial"/>
          <w:color w:val="000000"/>
          <w:sz w:val="16"/>
          <w:szCs w:val="16"/>
        </w:rPr>
        <w:t xml:space="preserve">, radicado No. </w:t>
      </w:r>
      <w:r>
        <w:rPr>
          <w:rFonts w:ascii="Verdana" w:hAnsi="Verdana" w:cs="Arial"/>
          <w:color w:val="000000"/>
          <w:sz w:val="16"/>
          <w:szCs w:val="16"/>
        </w:rPr>
        <w:t>58.879</w:t>
      </w:r>
      <w:r w:rsidRPr="0027107E">
        <w:rPr>
          <w:rFonts w:ascii="Verdana" w:hAnsi="Verdana" w:cs="Arial"/>
          <w:color w:val="000000"/>
          <w:sz w:val="16"/>
          <w:szCs w:val="16"/>
        </w:rPr>
        <w:t xml:space="preserve">, </w:t>
      </w:r>
      <w:r w:rsidRPr="0027107E">
        <w:rPr>
          <w:rFonts w:ascii="Verdana" w:hAnsi="Verdana" w:cs="Arial"/>
          <w:color w:val="000000"/>
          <w:sz w:val="16"/>
          <w:szCs w:val="16"/>
        </w:rPr>
        <w:t>Consejer</w:t>
      </w:r>
      <w:r>
        <w:rPr>
          <w:rFonts w:ascii="Verdana" w:hAnsi="Verdana" w:cs="Arial"/>
          <w:color w:val="000000"/>
          <w:sz w:val="16"/>
          <w:szCs w:val="16"/>
        </w:rPr>
        <w:t>a</w:t>
      </w:r>
      <w:r w:rsidRPr="0027107E">
        <w:rPr>
          <w:rFonts w:ascii="Verdana" w:hAnsi="Verdana" w:cs="Arial"/>
          <w:color w:val="000000"/>
          <w:sz w:val="16"/>
          <w:szCs w:val="16"/>
        </w:rPr>
        <w:t xml:space="preserve"> Ponente</w:t>
      </w:r>
      <w:r>
        <w:rPr>
          <w:rFonts w:ascii="Verdana" w:hAnsi="Verdana" w:cs="Arial"/>
          <w:color w:val="000000"/>
          <w:sz w:val="16"/>
          <w:szCs w:val="16"/>
        </w:rPr>
        <w:t>:</w:t>
      </w:r>
      <w:r w:rsidRPr="0027107E">
        <w:rPr>
          <w:rFonts w:ascii="Verdana" w:hAnsi="Verdana" w:cs="Arial"/>
          <w:color w:val="000000"/>
          <w:sz w:val="16"/>
          <w:szCs w:val="16"/>
        </w:rPr>
        <w:t xml:space="preserve"> </w:t>
      </w:r>
      <w:r>
        <w:rPr>
          <w:rFonts w:ascii="Verdana" w:hAnsi="Verdana" w:cs="Arial"/>
          <w:color w:val="000000"/>
          <w:sz w:val="16"/>
          <w:szCs w:val="16"/>
        </w:rPr>
        <w:t>María Adriana Marín</w:t>
      </w:r>
      <w:r w:rsidRPr="0027107E">
        <w:rPr>
          <w:rFonts w:ascii="Verdana" w:hAnsi="Verdana" w:cs="Arial"/>
          <w:color w:val="000000"/>
          <w:sz w:val="16"/>
          <w:szCs w:val="16"/>
        </w:rPr>
        <w:t>.</w:t>
      </w:r>
    </w:p>
  </w:footnote>
  <w:footnote w:id="20">
    <w:p w14:paraId="075300F1" w14:textId="77777777" w:rsidR="00F37F48" w:rsidRPr="00CC3B18" w:rsidRDefault="00F37F48" w:rsidP="00F37F48">
      <w:pPr>
        <w:pStyle w:val="Textonotapie"/>
        <w:ind w:firstLine="709"/>
        <w:rPr>
          <w:lang w:val="es-CO"/>
        </w:rPr>
      </w:pPr>
      <w:r>
        <w:rPr>
          <w:rStyle w:val="Refdenotaalpie"/>
        </w:rPr>
        <w:footnoteRef/>
      </w:r>
      <w:r>
        <w:t xml:space="preserve"> </w:t>
      </w:r>
      <w:r w:rsidRPr="009C2597">
        <w:rPr>
          <w:rFonts w:ascii="Verdana" w:hAnsi="Verdana"/>
          <w:sz w:val="16"/>
          <w:szCs w:val="16"/>
        </w:rPr>
        <w:t xml:space="preserve">Consejo de Estado, </w:t>
      </w:r>
      <w:r>
        <w:rPr>
          <w:rFonts w:ascii="Verdana" w:hAnsi="Verdana"/>
          <w:sz w:val="16"/>
          <w:szCs w:val="16"/>
        </w:rPr>
        <w:t xml:space="preserve">Sala de Consulta Y servicio Civil, </w:t>
      </w:r>
      <w:r>
        <w:rPr>
          <w:rFonts w:ascii="Verdana" w:hAnsi="Verdana" w:cs="Arial"/>
          <w:color w:val="000000"/>
          <w:sz w:val="16"/>
          <w:szCs w:val="16"/>
        </w:rPr>
        <w:t xml:space="preserve">Concepto del 18 de junio de 2016, </w:t>
      </w:r>
      <w:r w:rsidRPr="0027107E">
        <w:rPr>
          <w:rFonts w:ascii="Verdana" w:hAnsi="Verdana" w:cs="Arial"/>
          <w:color w:val="000000"/>
          <w:sz w:val="16"/>
          <w:szCs w:val="16"/>
        </w:rPr>
        <w:t xml:space="preserve">radicado No. </w:t>
      </w:r>
      <w:r>
        <w:rPr>
          <w:rFonts w:ascii="Verdana" w:hAnsi="Verdana" w:cs="Arial"/>
          <w:color w:val="000000"/>
          <w:sz w:val="16"/>
          <w:szCs w:val="16"/>
        </w:rPr>
        <w:t>2253</w:t>
      </w:r>
      <w:r w:rsidRPr="0027107E">
        <w:rPr>
          <w:rFonts w:ascii="Verdana" w:hAnsi="Verdana" w:cs="Arial"/>
          <w:color w:val="000000"/>
          <w:sz w:val="16"/>
          <w:szCs w:val="16"/>
        </w:rPr>
        <w:t xml:space="preserve">, </w:t>
      </w:r>
      <w:r w:rsidRPr="0027107E">
        <w:rPr>
          <w:rFonts w:ascii="Verdana" w:hAnsi="Verdana" w:cs="Arial"/>
          <w:color w:val="000000"/>
          <w:sz w:val="16"/>
          <w:szCs w:val="16"/>
        </w:rPr>
        <w:t>Consejer</w:t>
      </w:r>
      <w:r>
        <w:rPr>
          <w:rFonts w:ascii="Verdana" w:hAnsi="Verdana" w:cs="Arial"/>
          <w:color w:val="000000"/>
          <w:sz w:val="16"/>
          <w:szCs w:val="16"/>
        </w:rPr>
        <w:t>o</w:t>
      </w:r>
      <w:r w:rsidRPr="0027107E">
        <w:rPr>
          <w:rFonts w:ascii="Verdana" w:hAnsi="Verdana" w:cs="Arial"/>
          <w:color w:val="000000"/>
          <w:sz w:val="16"/>
          <w:szCs w:val="16"/>
        </w:rPr>
        <w:t xml:space="preserve"> Ponente</w:t>
      </w:r>
      <w:r>
        <w:rPr>
          <w:rFonts w:ascii="Verdana" w:hAnsi="Verdana" w:cs="Arial"/>
          <w:color w:val="000000"/>
          <w:sz w:val="16"/>
          <w:szCs w:val="16"/>
        </w:rPr>
        <w:t>:</w:t>
      </w:r>
      <w:r w:rsidRPr="0027107E">
        <w:rPr>
          <w:rFonts w:ascii="Verdana" w:hAnsi="Verdana" w:cs="Arial"/>
          <w:color w:val="000000"/>
          <w:sz w:val="16"/>
          <w:szCs w:val="16"/>
        </w:rPr>
        <w:t xml:space="preserve"> </w:t>
      </w:r>
      <w:r>
        <w:rPr>
          <w:rFonts w:ascii="Verdana" w:hAnsi="Verdana" w:cs="Arial"/>
          <w:color w:val="000000"/>
          <w:sz w:val="16"/>
          <w:szCs w:val="16"/>
        </w:rPr>
        <w:t xml:space="preserve">Álvaro </w:t>
      </w:r>
      <w:r>
        <w:rPr>
          <w:rFonts w:ascii="Verdana" w:hAnsi="Verdana" w:cs="Arial"/>
          <w:color w:val="000000"/>
          <w:sz w:val="16"/>
          <w:szCs w:val="16"/>
        </w:rPr>
        <w:t>Namén Vargas</w:t>
      </w:r>
    </w:p>
  </w:footnote>
  <w:footnote w:id="21">
    <w:p w14:paraId="1657D4A0" w14:textId="77777777" w:rsidR="00F37F48" w:rsidRPr="00A53DB2" w:rsidRDefault="00F37F48" w:rsidP="00F37F48">
      <w:pPr>
        <w:pStyle w:val="Textonotapie"/>
        <w:ind w:firstLine="709"/>
        <w:rPr>
          <w:lang w:val="es-CO"/>
        </w:rPr>
      </w:pPr>
      <w:r>
        <w:rPr>
          <w:rStyle w:val="Refdenotaalpie"/>
        </w:rPr>
        <w:footnoteRef/>
      </w:r>
      <w:r>
        <w:t xml:space="preserve"> </w:t>
      </w:r>
      <w:r w:rsidRPr="009C2597">
        <w:rPr>
          <w:rFonts w:ascii="Verdana" w:hAnsi="Verdana"/>
          <w:sz w:val="16"/>
          <w:szCs w:val="16"/>
        </w:rPr>
        <w:t xml:space="preserve">Consejo de Estado, </w:t>
      </w:r>
      <w:r w:rsidRPr="0027107E">
        <w:rPr>
          <w:rFonts w:ascii="Verdana" w:hAnsi="Verdana" w:cs="Arial"/>
          <w:color w:val="000000"/>
          <w:sz w:val="16"/>
          <w:szCs w:val="16"/>
        </w:rPr>
        <w:t xml:space="preserve">Sección Tercera, Subsección </w:t>
      </w:r>
      <w:r>
        <w:rPr>
          <w:rFonts w:ascii="Verdana" w:hAnsi="Verdana" w:cs="Arial"/>
          <w:color w:val="000000"/>
          <w:sz w:val="16"/>
          <w:szCs w:val="16"/>
        </w:rPr>
        <w:t>A</w:t>
      </w:r>
      <w:r w:rsidRPr="0027107E">
        <w:rPr>
          <w:rFonts w:ascii="Verdana" w:hAnsi="Verdana" w:cs="Arial"/>
          <w:color w:val="000000"/>
          <w:sz w:val="16"/>
          <w:szCs w:val="16"/>
        </w:rPr>
        <w:t>, Sentencia del 2</w:t>
      </w:r>
      <w:r>
        <w:rPr>
          <w:rFonts w:ascii="Verdana" w:hAnsi="Verdana" w:cs="Arial"/>
          <w:color w:val="000000"/>
          <w:sz w:val="16"/>
          <w:szCs w:val="16"/>
        </w:rPr>
        <w:t>0</w:t>
      </w:r>
      <w:r w:rsidRPr="0027107E">
        <w:rPr>
          <w:rFonts w:ascii="Verdana" w:hAnsi="Verdana" w:cs="Arial"/>
          <w:color w:val="000000"/>
          <w:sz w:val="16"/>
          <w:szCs w:val="16"/>
        </w:rPr>
        <w:t xml:space="preserve"> de </w:t>
      </w:r>
      <w:r>
        <w:rPr>
          <w:rFonts w:ascii="Verdana" w:hAnsi="Verdana" w:cs="Arial"/>
          <w:color w:val="000000"/>
          <w:sz w:val="16"/>
          <w:szCs w:val="16"/>
        </w:rPr>
        <w:t>mayo</w:t>
      </w:r>
      <w:r w:rsidRPr="0027107E">
        <w:rPr>
          <w:rFonts w:ascii="Verdana" w:hAnsi="Verdana" w:cs="Arial"/>
          <w:color w:val="000000"/>
          <w:sz w:val="16"/>
          <w:szCs w:val="16"/>
        </w:rPr>
        <w:t xml:space="preserve"> de 20</w:t>
      </w:r>
      <w:r>
        <w:rPr>
          <w:rFonts w:ascii="Verdana" w:hAnsi="Verdana" w:cs="Arial"/>
          <w:color w:val="000000"/>
          <w:sz w:val="16"/>
          <w:szCs w:val="16"/>
        </w:rPr>
        <w:t>24</w:t>
      </w:r>
      <w:r w:rsidRPr="0027107E">
        <w:rPr>
          <w:rFonts w:ascii="Verdana" w:hAnsi="Verdana" w:cs="Arial"/>
          <w:color w:val="000000"/>
          <w:sz w:val="16"/>
          <w:szCs w:val="16"/>
        </w:rPr>
        <w:t xml:space="preserve">, radicado No. </w:t>
      </w:r>
      <w:r>
        <w:rPr>
          <w:rFonts w:ascii="Verdana" w:hAnsi="Verdana" w:cs="Arial"/>
          <w:color w:val="000000"/>
          <w:sz w:val="16"/>
          <w:szCs w:val="16"/>
        </w:rPr>
        <w:t>58.879</w:t>
      </w:r>
      <w:r w:rsidRPr="0027107E">
        <w:rPr>
          <w:rFonts w:ascii="Verdana" w:hAnsi="Verdana" w:cs="Arial"/>
          <w:color w:val="000000"/>
          <w:sz w:val="16"/>
          <w:szCs w:val="16"/>
        </w:rPr>
        <w:t xml:space="preserve">, </w:t>
      </w:r>
      <w:r w:rsidRPr="0027107E">
        <w:rPr>
          <w:rFonts w:ascii="Verdana" w:hAnsi="Verdana" w:cs="Arial"/>
          <w:color w:val="000000"/>
          <w:sz w:val="16"/>
          <w:szCs w:val="16"/>
        </w:rPr>
        <w:t>Consejer</w:t>
      </w:r>
      <w:r>
        <w:rPr>
          <w:rFonts w:ascii="Verdana" w:hAnsi="Verdana" w:cs="Arial"/>
          <w:color w:val="000000"/>
          <w:sz w:val="16"/>
          <w:szCs w:val="16"/>
        </w:rPr>
        <w:t>a</w:t>
      </w:r>
      <w:r w:rsidRPr="0027107E">
        <w:rPr>
          <w:rFonts w:ascii="Verdana" w:hAnsi="Verdana" w:cs="Arial"/>
          <w:color w:val="000000"/>
          <w:sz w:val="16"/>
          <w:szCs w:val="16"/>
        </w:rPr>
        <w:t xml:space="preserve"> Ponente</w:t>
      </w:r>
      <w:r>
        <w:rPr>
          <w:rFonts w:ascii="Verdana" w:hAnsi="Verdana" w:cs="Arial"/>
          <w:color w:val="000000"/>
          <w:sz w:val="16"/>
          <w:szCs w:val="16"/>
        </w:rPr>
        <w:t>:</w:t>
      </w:r>
      <w:r w:rsidRPr="0027107E">
        <w:rPr>
          <w:rFonts w:ascii="Verdana" w:hAnsi="Verdana" w:cs="Arial"/>
          <w:color w:val="000000"/>
          <w:sz w:val="16"/>
          <w:szCs w:val="16"/>
        </w:rPr>
        <w:t xml:space="preserve"> </w:t>
      </w:r>
      <w:r>
        <w:rPr>
          <w:rFonts w:ascii="Verdana" w:hAnsi="Verdana" w:cs="Arial"/>
          <w:color w:val="000000"/>
          <w:sz w:val="16"/>
          <w:szCs w:val="16"/>
        </w:rPr>
        <w:t>María Adriana Marín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49BFF" w14:textId="77777777" w:rsidR="00006F59" w:rsidRPr="009B7987" w:rsidRDefault="00006F59" w:rsidP="00006F59">
    <w:pPr>
      <w:pStyle w:val="Encabezado"/>
    </w:pPr>
    <w:r w:rsidRPr="009B7987">
      <w:rPr>
        <w:rFonts w:ascii="Geomanist Bold" w:hAnsi="Geomanist Bold"/>
        <w:b/>
        <w:bCs/>
        <w:noProof/>
        <w:color w:val="002060"/>
        <w:sz w:val="24"/>
        <w:szCs w:val="24"/>
      </w:rPr>
      <w:drawing>
        <wp:anchor distT="0" distB="0" distL="114300" distR="114300" simplePos="0" relativeHeight="251658241"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Pr="009B7987">
      <w:rPr>
        <w:rFonts w:ascii="Geomanist Bold" w:hAnsi="Geomanist Bold"/>
        <w:b/>
        <w:bCs/>
        <w:noProof/>
        <w:color w:val="002060"/>
        <w:sz w:val="24"/>
        <w:szCs w:val="24"/>
      </w:rPr>
      <w:drawing>
        <wp:anchor distT="0" distB="0" distL="114300" distR="114300" simplePos="0" relativeHeight="251658240"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4B171C2" w14:textId="77777777" w:rsidR="00006F59" w:rsidRPr="009B7987" w:rsidRDefault="00006F59" w:rsidP="00006F59">
    <w:pPr>
      <w:pStyle w:val="Encabezado"/>
      <w:jc w:val="center"/>
    </w:pPr>
  </w:p>
  <w:p w14:paraId="1665FD71" w14:textId="77777777" w:rsidR="00006F59" w:rsidRPr="009B7987" w:rsidRDefault="00006F59" w:rsidP="00006F59">
    <w:pPr>
      <w:pStyle w:val="Encabezado"/>
    </w:pPr>
  </w:p>
  <w:p w14:paraId="61B882FC" w14:textId="77777777" w:rsidR="00006F59" w:rsidRPr="009B7987" w:rsidRDefault="00006F59" w:rsidP="00006F59">
    <w:pPr>
      <w:spacing w:after="0"/>
      <w:rPr>
        <w:rFonts w:ascii="Verdana" w:hAnsi="Verdana"/>
        <w:b/>
        <w:bCs/>
        <w:sz w:val="24"/>
        <w:szCs w:val="24"/>
      </w:rPr>
    </w:pPr>
  </w:p>
  <w:p w14:paraId="701A9D55" w14:textId="29EB49FC" w:rsidR="00006F59" w:rsidRPr="009B7987" w:rsidRDefault="00006F59" w:rsidP="001918F1">
    <w:pPr>
      <w:tabs>
        <w:tab w:val="left" w:pos="6217"/>
      </w:tabs>
      <w:spacing w:after="0"/>
      <w:rPr>
        <w:rFonts w:ascii="Verdana" w:hAnsi="Verdana"/>
        <w:b/>
        <w:bCs/>
        <w:sz w:val="24"/>
        <w:szCs w:val="24"/>
      </w:rPr>
    </w:pPr>
    <w:r w:rsidRPr="009B7987">
      <w:rPr>
        <w:rFonts w:ascii="Verdana" w:hAnsi="Verdana"/>
        <w:b/>
        <w:bCs/>
        <w:sz w:val="24"/>
        <w:szCs w:val="24"/>
      </w:rPr>
      <w:t>FORMATO PQRSD</w:t>
    </w:r>
  </w:p>
  <w:p w14:paraId="68E0C024" w14:textId="62811F13" w:rsidR="00B30448" w:rsidRPr="009B7987" w:rsidRDefault="00B30448" w:rsidP="00006F5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5E83FFA"/>
    <w:multiLevelType w:val="hybridMultilevel"/>
    <w:tmpl w:val="8EF612C4"/>
    <w:lvl w:ilvl="0" w:tplc="DCA0A69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 w15:restartNumberingAfterBreak="0">
    <w:nsid w:val="0801457A"/>
    <w:multiLevelType w:val="hybridMultilevel"/>
    <w:tmpl w:val="38A20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555BB5"/>
    <w:multiLevelType w:val="multilevel"/>
    <w:tmpl w:val="5868EEA8"/>
    <w:lvl w:ilvl="0">
      <w:start w:val="1"/>
      <w:numFmt w:val="decimal"/>
      <w:lvlText w:val="%1."/>
      <w:lvlJc w:val="left"/>
      <w:pPr>
        <w:ind w:left="46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820" w:hanging="720"/>
      </w:pPr>
      <w:rPr>
        <w:rFonts w:ascii="Arial" w:eastAsia="Arial" w:hAnsi="Arial" w:cs="Arial" w:hint="default"/>
        <w:b/>
        <w:bCs/>
        <w:color w:val="4E4D4D"/>
        <w:spacing w:val="-4"/>
        <w:w w:val="100"/>
        <w:sz w:val="22"/>
        <w:szCs w:val="22"/>
        <w:lang w:val="es-ES" w:eastAsia="en-US" w:bidi="ar-SA"/>
      </w:rPr>
    </w:lvl>
    <w:lvl w:ilvl="2">
      <w:start w:val="1"/>
      <w:numFmt w:val="decimal"/>
      <w:lvlText w:val="%3."/>
      <w:lvlJc w:val="left"/>
      <w:pPr>
        <w:ind w:left="1192" w:hanging="243"/>
      </w:pPr>
      <w:rPr>
        <w:rFonts w:ascii="Verdana" w:eastAsia="Arial" w:hAnsi="Verdana" w:cs="Arial" w:hint="default"/>
        <w:color w:val="auto"/>
        <w:spacing w:val="-1"/>
        <w:w w:val="100"/>
        <w:sz w:val="20"/>
        <w:szCs w:val="20"/>
        <w:lang w:val="es-ES" w:eastAsia="en-US" w:bidi="ar-SA"/>
      </w:rPr>
    </w:lvl>
    <w:lvl w:ilvl="3">
      <w:numFmt w:val="bullet"/>
      <w:lvlText w:val="•"/>
      <w:lvlJc w:val="left"/>
      <w:pPr>
        <w:ind w:left="2192" w:hanging="243"/>
      </w:pPr>
      <w:rPr>
        <w:rFonts w:hint="default"/>
        <w:lang w:val="es-ES" w:eastAsia="en-US" w:bidi="ar-SA"/>
      </w:rPr>
    </w:lvl>
    <w:lvl w:ilvl="4">
      <w:numFmt w:val="bullet"/>
      <w:lvlText w:val="•"/>
      <w:lvlJc w:val="left"/>
      <w:pPr>
        <w:ind w:left="3185" w:hanging="243"/>
      </w:pPr>
      <w:rPr>
        <w:rFonts w:hint="default"/>
        <w:lang w:val="es-ES" w:eastAsia="en-US" w:bidi="ar-SA"/>
      </w:rPr>
    </w:lvl>
    <w:lvl w:ilvl="5">
      <w:numFmt w:val="bullet"/>
      <w:lvlText w:val="•"/>
      <w:lvlJc w:val="left"/>
      <w:pPr>
        <w:ind w:left="4177" w:hanging="243"/>
      </w:pPr>
      <w:rPr>
        <w:rFonts w:hint="default"/>
        <w:lang w:val="es-ES" w:eastAsia="en-US" w:bidi="ar-SA"/>
      </w:rPr>
    </w:lvl>
    <w:lvl w:ilvl="6">
      <w:numFmt w:val="bullet"/>
      <w:lvlText w:val="•"/>
      <w:lvlJc w:val="left"/>
      <w:pPr>
        <w:ind w:left="5170" w:hanging="243"/>
      </w:pPr>
      <w:rPr>
        <w:rFonts w:hint="default"/>
        <w:lang w:val="es-ES" w:eastAsia="en-US" w:bidi="ar-SA"/>
      </w:rPr>
    </w:lvl>
    <w:lvl w:ilvl="7">
      <w:numFmt w:val="bullet"/>
      <w:lvlText w:val="•"/>
      <w:lvlJc w:val="left"/>
      <w:pPr>
        <w:ind w:left="6162" w:hanging="243"/>
      </w:pPr>
      <w:rPr>
        <w:rFonts w:hint="default"/>
        <w:lang w:val="es-ES" w:eastAsia="en-US" w:bidi="ar-SA"/>
      </w:rPr>
    </w:lvl>
    <w:lvl w:ilvl="8">
      <w:numFmt w:val="bullet"/>
      <w:lvlText w:val="•"/>
      <w:lvlJc w:val="left"/>
      <w:pPr>
        <w:ind w:left="7155" w:hanging="243"/>
      </w:pPr>
      <w:rPr>
        <w:rFonts w:hint="default"/>
        <w:lang w:val="es-ES" w:eastAsia="en-US" w:bidi="ar-SA"/>
      </w:rPr>
    </w:lvl>
  </w:abstractNum>
  <w:abstractNum w:abstractNumId="4" w15:restartNumberingAfterBreak="0">
    <w:nsid w:val="17AF3BD1"/>
    <w:multiLevelType w:val="hybridMultilevel"/>
    <w:tmpl w:val="13F4E45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AEE6046"/>
    <w:multiLevelType w:val="hybridMultilevel"/>
    <w:tmpl w:val="4DAAEDCC"/>
    <w:lvl w:ilvl="0" w:tplc="6E485F9C">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39D63F5"/>
    <w:multiLevelType w:val="hybridMultilevel"/>
    <w:tmpl w:val="F538EEB4"/>
    <w:lvl w:ilvl="0" w:tplc="DB68C6FA">
      <w:numFmt w:val="bullet"/>
      <w:lvlText w:val="-"/>
      <w:lvlJc w:val="left"/>
      <w:pPr>
        <w:ind w:left="1069" w:hanging="360"/>
      </w:pPr>
      <w:rPr>
        <w:rFonts w:ascii="Verdana" w:eastAsia="Calibr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7" w15:restartNumberingAfterBreak="0">
    <w:nsid w:val="2F2143A1"/>
    <w:multiLevelType w:val="hybridMultilevel"/>
    <w:tmpl w:val="4EB84EEC"/>
    <w:lvl w:ilvl="0" w:tplc="5E185100">
      <w:start w:val="1"/>
      <w:numFmt w:val="lowerRoman"/>
      <w:lvlText w:val="%1)"/>
      <w:lvlJc w:val="left"/>
      <w:pPr>
        <w:ind w:left="2136" w:hanging="720"/>
      </w:pPr>
      <w:rPr>
        <w:rFonts w:hint="default"/>
      </w:rPr>
    </w:lvl>
    <w:lvl w:ilvl="1" w:tplc="240A0019" w:tentative="1">
      <w:start w:val="1"/>
      <w:numFmt w:val="lowerLetter"/>
      <w:lvlText w:val="%2."/>
      <w:lvlJc w:val="left"/>
      <w:pPr>
        <w:ind w:left="2496" w:hanging="360"/>
      </w:pPr>
    </w:lvl>
    <w:lvl w:ilvl="2" w:tplc="240A001B" w:tentative="1">
      <w:start w:val="1"/>
      <w:numFmt w:val="lowerRoman"/>
      <w:lvlText w:val="%3."/>
      <w:lvlJc w:val="right"/>
      <w:pPr>
        <w:ind w:left="3216" w:hanging="180"/>
      </w:pPr>
    </w:lvl>
    <w:lvl w:ilvl="3" w:tplc="240A000F" w:tentative="1">
      <w:start w:val="1"/>
      <w:numFmt w:val="decimal"/>
      <w:lvlText w:val="%4."/>
      <w:lvlJc w:val="left"/>
      <w:pPr>
        <w:ind w:left="3936" w:hanging="360"/>
      </w:pPr>
    </w:lvl>
    <w:lvl w:ilvl="4" w:tplc="240A0019" w:tentative="1">
      <w:start w:val="1"/>
      <w:numFmt w:val="lowerLetter"/>
      <w:lvlText w:val="%5."/>
      <w:lvlJc w:val="left"/>
      <w:pPr>
        <w:ind w:left="4656" w:hanging="360"/>
      </w:pPr>
    </w:lvl>
    <w:lvl w:ilvl="5" w:tplc="240A001B" w:tentative="1">
      <w:start w:val="1"/>
      <w:numFmt w:val="lowerRoman"/>
      <w:lvlText w:val="%6."/>
      <w:lvlJc w:val="right"/>
      <w:pPr>
        <w:ind w:left="5376" w:hanging="180"/>
      </w:pPr>
    </w:lvl>
    <w:lvl w:ilvl="6" w:tplc="240A000F" w:tentative="1">
      <w:start w:val="1"/>
      <w:numFmt w:val="decimal"/>
      <w:lvlText w:val="%7."/>
      <w:lvlJc w:val="left"/>
      <w:pPr>
        <w:ind w:left="6096" w:hanging="360"/>
      </w:pPr>
    </w:lvl>
    <w:lvl w:ilvl="7" w:tplc="240A0019" w:tentative="1">
      <w:start w:val="1"/>
      <w:numFmt w:val="lowerLetter"/>
      <w:lvlText w:val="%8."/>
      <w:lvlJc w:val="left"/>
      <w:pPr>
        <w:ind w:left="6816" w:hanging="360"/>
      </w:pPr>
    </w:lvl>
    <w:lvl w:ilvl="8" w:tplc="240A001B" w:tentative="1">
      <w:start w:val="1"/>
      <w:numFmt w:val="lowerRoman"/>
      <w:lvlText w:val="%9."/>
      <w:lvlJc w:val="right"/>
      <w:pPr>
        <w:ind w:left="7536" w:hanging="180"/>
      </w:pPr>
    </w:lvl>
  </w:abstractNum>
  <w:abstractNum w:abstractNumId="8" w15:restartNumberingAfterBreak="0">
    <w:nsid w:val="2F2F4AAF"/>
    <w:multiLevelType w:val="hybridMultilevel"/>
    <w:tmpl w:val="8780C6F4"/>
    <w:lvl w:ilvl="0" w:tplc="5594678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9"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3711493C"/>
    <w:multiLevelType w:val="hybridMultilevel"/>
    <w:tmpl w:val="F03A7D32"/>
    <w:lvl w:ilvl="0" w:tplc="0409000F">
      <w:start w:val="1"/>
      <w:numFmt w:val="decimal"/>
      <w:lvlText w:val="%1."/>
      <w:lvlJc w:val="left"/>
      <w:pPr>
        <w:ind w:left="1070" w:hanging="360"/>
      </w:pPr>
      <w:rPr>
        <w:rFonts w:hint="default"/>
      </w:rPr>
    </w:lvl>
    <w:lvl w:ilvl="1" w:tplc="FFFFFFFF" w:tentative="1">
      <w:start w:val="1"/>
      <w:numFmt w:val="lowerLetter"/>
      <w:lvlText w:val="%2."/>
      <w:lvlJc w:val="left"/>
      <w:pPr>
        <w:ind w:left="1790" w:hanging="360"/>
      </w:pPr>
    </w:lvl>
    <w:lvl w:ilvl="2" w:tplc="FFFFFFFF" w:tentative="1">
      <w:start w:val="1"/>
      <w:numFmt w:val="lowerRoman"/>
      <w:lvlText w:val="%3."/>
      <w:lvlJc w:val="right"/>
      <w:pPr>
        <w:ind w:left="2510" w:hanging="180"/>
      </w:pPr>
    </w:lvl>
    <w:lvl w:ilvl="3" w:tplc="FFFFFFFF" w:tentative="1">
      <w:start w:val="1"/>
      <w:numFmt w:val="decimal"/>
      <w:lvlText w:val="%4."/>
      <w:lvlJc w:val="left"/>
      <w:pPr>
        <w:ind w:left="3230" w:hanging="360"/>
      </w:pPr>
    </w:lvl>
    <w:lvl w:ilvl="4" w:tplc="FFFFFFFF" w:tentative="1">
      <w:start w:val="1"/>
      <w:numFmt w:val="lowerLetter"/>
      <w:lvlText w:val="%5."/>
      <w:lvlJc w:val="left"/>
      <w:pPr>
        <w:ind w:left="3950" w:hanging="360"/>
      </w:pPr>
    </w:lvl>
    <w:lvl w:ilvl="5" w:tplc="FFFFFFFF" w:tentative="1">
      <w:start w:val="1"/>
      <w:numFmt w:val="lowerRoman"/>
      <w:lvlText w:val="%6."/>
      <w:lvlJc w:val="right"/>
      <w:pPr>
        <w:ind w:left="4670" w:hanging="180"/>
      </w:pPr>
    </w:lvl>
    <w:lvl w:ilvl="6" w:tplc="FFFFFFFF" w:tentative="1">
      <w:start w:val="1"/>
      <w:numFmt w:val="decimal"/>
      <w:lvlText w:val="%7."/>
      <w:lvlJc w:val="left"/>
      <w:pPr>
        <w:ind w:left="5390" w:hanging="360"/>
      </w:pPr>
    </w:lvl>
    <w:lvl w:ilvl="7" w:tplc="FFFFFFFF" w:tentative="1">
      <w:start w:val="1"/>
      <w:numFmt w:val="lowerLetter"/>
      <w:lvlText w:val="%8."/>
      <w:lvlJc w:val="left"/>
      <w:pPr>
        <w:ind w:left="6110" w:hanging="360"/>
      </w:pPr>
    </w:lvl>
    <w:lvl w:ilvl="8" w:tplc="FFFFFFFF" w:tentative="1">
      <w:start w:val="1"/>
      <w:numFmt w:val="lowerRoman"/>
      <w:lvlText w:val="%9."/>
      <w:lvlJc w:val="right"/>
      <w:pPr>
        <w:ind w:left="6830" w:hanging="180"/>
      </w:pPr>
    </w:lvl>
  </w:abstractNum>
  <w:abstractNum w:abstractNumId="12" w15:restartNumberingAfterBreak="0">
    <w:nsid w:val="3835108C"/>
    <w:multiLevelType w:val="hybridMultilevel"/>
    <w:tmpl w:val="46D6164A"/>
    <w:lvl w:ilvl="0" w:tplc="9ADA039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3" w15:restartNumberingAfterBreak="0">
    <w:nsid w:val="388E5AE1"/>
    <w:multiLevelType w:val="hybridMultilevel"/>
    <w:tmpl w:val="1B62FAF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39CD3660"/>
    <w:multiLevelType w:val="hybridMultilevel"/>
    <w:tmpl w:val="DCEE24D0"/>
    <w:lvl w:ilvl="0" w:tplc="7D9E7E6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6" w15:restartNumberingAfterBreak="0">
    <w:nsid w:val="3D5D596E"/>
    <w:multiLevelType w:val="hybridMultilevel"/>
    <w:tmpl w:val="88DE2ABC"/>
    <w:lvl w:ilvl="0" w:tplc="ECF04718">
      <w:start w:val="1"/>
      <w:numFmt w:val="lowerRoman"/>
      <w:lvlText w:val="%1)"/>
      <w:lvlJc w:val="left"/>
      <w:pPr>
        <w:ind w:left="1429" w:hanging="720"/>
      </w:pPr>
      <w:rPr>
        <w:rFonts w:ascii="Verdana" w:eastAsia="Calibri" w:hAnsi="Verdana" w:cs="Arial"/>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7" w15:restartNumberingAfterBreak="0">
    <w:nsid w:val="418679D0"/>
    <w:multiLevelType w:val="hybridMultilevel"/>
    <w:tmpl w:val="F2F430A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8" w15:restartNumberingAfterBreak="0">
    <w:nsid w:val="475C5A77"/>
    <w:multiLevelType w:val="hybridMultilevel"/>
    <w:tmpl w:val="F5321E2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522C350D"/>
    <w:multiLevelType w:val="hybridMultilevel"/>
    <w:tmpl w:val="89B6917E"/>
    <w:lvl w:ilvl="0" w:tplc="A7B2FCBE">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20" w15:restartNumberingAfterBreak="0">
    <w:nsid w:val="540506B6"/>
    <w:multiLevelType w:val="hybridMultilevel"/>
    <w:tmpl w:val="974E04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604178A9"/>
    <w:multiLevelType w:val="hybridMultilevel"/>
    <w:tmpl w:val="7486A3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604D45F2"/>
    <w:multiLevelType w:val="hybridMultilevel"/>
    <w:tmpl w:val="03986012"/>
    <w:lvl w:ilvl="0" w:tplc="16762410">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620101A4"/>
    <w:multiLevelType w:val="hybridMultilevel"/>
    <w:tmpl w:val="717C38BE"/>
    <w:lvl w:ilvl="0" w:tplc="FFFFFFFF">
      <w:start w:val="1"/>
      <w:numFmt w:val="lowerRoman"/>
      <w:lvlText w:val="%1)"/>
      <w:lvlJc w:val="left"/>
      <w:pPr>
        <w:ind w:left="1429" w:hanging="720"/>
      </w:pPr>
      <w:rPr>
        <w:rFonts w:ascii="Verdana" w:eastAsia="Calibri" w:hAnsi="Verdana" w:cs="Arial"/>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4" w15:restartNumberingAfterBreak="0">
    <w:nsid w:val="62D9709A"/>
    <w:multiLevelType w:val="hybridMultilevel"/>
    <w:tmpl w:val="0D0CE4D4"/>
    <w:lvl w:ilvl="0" w:tplc="7EF4FEE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77681820"/>
    <w:multiLevelType w:val="hybridMultilevel"/>
    <w:tmpl w:val="978A04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7C190BA4"/>
    <w:multiLevelType w:val="hybridMultilevel"/>
    <w:tmpl w:val="D1FEAF26"/>
    <w:lvl w:ilvl="0" w:tplc="D5B89D1A">
      <w:start w:val="1"/>
      <w:numFmt w:val="decimal"/>
      <w:lvlText w:val="%1."/>
      <w:lvlJc w:val="left"/>
      <w:pPr>
        <w:ind w:left="1028" w:hanging="221"/>
      </w:pPr>
      <w:rPr>
        <w:rFonts w:ascii="Arial" w:eastAsia="Arial" w:hAnsi="Arial" w:cs="Arial" w:hint="default"/>
        <w:color w:val="auto"/>
        <w:spacing w:val="-2"/>
        <w:w w:val="100"/>
        <w:sz w:val="20"/>
        <w:szCs w:val="20"/>
        <w:lang w:val="es-ES" w:eastAsia="es-ES" w:bidi="es-ES"/>
      </w:rPr>
    </w:lvl>
    <w:lvl w:ilvl="1" w:tplc="053E5822">
      <w:numFmt w:val="bullet"/>
      <w:lvlText w:val="•"/>
      <w:lvlJc w:val="left"/>
      <w:pPr>
        <w:ind w:left="1846" w:hanging="221"/>
      </w:pPr>
      <w:rPr>
        <w:rFonts w:hint="default"/>
        <w:lang w:val="es-ES" w:eastAsia="es-ES" w:bidi="es-ES"/>
      </w:rPr>
    </w:lvl>
    <w:lvl w:ilvl="2" w:tplc="90242A8E">
      <w:numFmt w:val="bullet"/>
      <w:lvlText w:val="•"/>
      <w:lvlJc w:val="left"/>
      <w:pPr>
        <w:ind w:left="2672" w:hanging="221"/>
      </w:pPr>
      <w:rPr>
        <w:rFonts w:hint="default"/>
        <w:lang w:val="es-ES" w:eastAsia="es-ES" w:bidi="es-ES"/>
      </w:rPr>
    </w:lvl>
    <w:lvl w:ilvl="3" w:tplc="E160CF42">
      <w:numFmt w:val="bullet"/>
      <w:lvlText w:val="•"/>
      <w:lvlJc w:val="left"/>
      <w:pPr>
        <w:ind w:left="3498" w:hanging="221"/>
      </w:pPr>
      <w:rPr>
        <w:rFonts w:hint="default"/>
        <w:lang w:val="es-ES" w:eastAsia="es-ES" w:bidi="es-ES"/>
      </w:rPr>
    </w:lvl>
    <w:lvl w:ilvl="4" w:tplc="9B26973A">
      <w:numFmt w:val="bullet"/>
      <w:lvlText w:val="•"/>
      <w:lvlJc w:val="left"/>
      <w:pPr>
        <w:ind w:left="4324" w:hanging="221"/>
      </w:pPr>
      <w:rPr>
        <w:rFonts w:hint="default"/>
        <w:lang w:val="es-ES" w:eastAsia="es-ES" w:bidi="es-ES"/>
      </w:rPr>
    </w:lvl>
    <w:lvl w:ilvl="5" w:tplc="017409CE">
      <w:numFmt w:val="bullet"/>
      <w:lvlText w:val="•"/>
      <w:lvlJc w:val="left"/>
      <w:pPr>
        <w:ind w:left="5150" w:hanging="221"/>
      </w:pPr>
      <w:rPr>
        <w:rFonts w:hint="default"/>
        <w:lang w:val="es-ES" w:eastAsia="es-ES" w:bidi="es-ES"/>
      </w:rPr>
    </w:lvl>
    <w:lvl w:ilvl="6" w:tplc="870EC5D4">
      <w:numFmt w:val="bullet"/>
      <w:lvlText w:val="•"/>
      <w:lvlJc w:val="left"/>
      <w:pPr>
        <w:ind w:left="5976" w:hanging="221"/>
      </w:pPr>
      <w:rPr>
        <w:rFonts w:hint="default"/>
        <w:lang w:val="es-ES" w:eastAsia="es-ES" w:bidi="es-ES"/>
      </w:rPr>
    </w:lvl>
    <w:lvl w:ilvl="7" w:tplc="F4B4208E">
      <w:numFmt w:val="bullet"/>
      <w:lvlText w:val="•"/>
      <w:lvlJc w:val="left"/>
      <w:pPr>
        <w:ind w:left="6802" w:hanging="221"/>
      </w:pPr>
      <w:rPr>
        <w:rFonts w:hint="default"/>
        <w:lang w:val="es-ES" w:eastAsia="es-ES" w:bidi="es-ES"/>
      </w:rPr>
    </w:lvl>
    <w:lvl w:ilvl="8" w:tplc="55B09E2E">
      <w:numFmt w:val="bullet"/>
      <w:lvlText w:val="•"/>
      <w:lvlJc w:val="left"/>
      <w:pPr>
        <w:ind w:left="7628" w:hanging="221"/>
      </w:pPr>
      <w:rPr>
        <w:rFonts w:hint="default"/>
        <w:lang w:val="es-ES" w:eastAsia="es-ES" w:bidi="es-ES"/>
      </w:rPr>
    </w:lvl>
  </w:abstractNum>
  <w:abstractNum w:abstractNumId="27"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FB64F8C"/>
    <w:multiLevelType w:val="hybridMultilevel"/>
    <w:tmpl w:val="9132D4C2"/>
    <w:lvl w:ilvl="0" w:tplc="E4622868">
      <w:start w:val="1"/>
      <w:numFmt w:val="lowerRoman"/>
      <w:lvlText w:val="%1."/>
      <w:lvlJc w:val="left"/>
      <w:pPr>
        <w:ind w:left="1080" w:hanging="720"/>
      </w:pPr>
      <w:rPr>
        <w:rFonts w:eastAsiaTheme="minorHAnsi" w:cstheme="minorBidi" w:hint="default"/>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330140246">
    <w:abstractNumId w:val="0"/>
  </w:num>
  <w:num w:numId="2" w16cid:durableId="1492209491">
    <w:abstractNumId w:val="10"/>
  </w:num>
  <w:num w:numId="3" w16cid:durableId="679089576">
    <w:abstractNumId w:val="15"/>
  </w:num>
  <w:num w:numId="4" w16cid:durableId="893472101">
    <w:abstractNumId w:val="6"/>
  </w:num>
  <w:num w:numId="5" w16cid:durableId="1982299905">
    <w:abstractNumId w:val="27"/>
  </w:num>
  <w:num w:numId="6" w16cid:durableId="130758360">
    <w:abstractNumId w:val="18"/>
  </w:num>
  <w:num w:numId="7" w16cid:durableId="262541512">
    <w:abstractNumId w:val="25"/>
  </w:num>
  <w:num w:numId="8" w16cid:durableId="1947226218">
    <w:abstractNumId w:val="14"/>
  </w:num>
  <w:num w:numId="9" w16cid:durableId="1180706126">
    <w:abstractNumId w:val="17"/>
  </w:num>
  <w:num w:numId="10" w16cid:durableId="2097506960">
    <w:abstractNumId w:val="21"/>
  </w:num>
  <w:num w:numId="11" w16cid:durableId="1977490869">
    <w:abstractNumId w:val="20"/>
  </w:num>
  <w:num w:numId="12" w16cid:durableId="158663248">
    <w:abstractNumId w:val="19"/>
  </w:num>
  <w:num w:numId="13" w16cid:durableId="2024085788">
    <w:abstractNumId w:val="1"/>
  </w:num>
  <w:num w:numId="14" w16cid:durableId="1885099950">
    <w:abstractNumId w:val="13"/>
  </w:num>
  <w:num w:numId="15" w16cid:durableId="32047459">
    <w:abstractNumId w:val="7"/>
  </w:num>
  <w:num w:numId="16" w16cid:durableId="1192261824">
    <w:abstractNumId w:val="8"/>
  </w:num>
  <w:num w:numId="17" w16cid:durableId="375933272">
    <w:abstractNumId w:val="16"/>
  </w:num>
  <w:num w:numId="18" w16cid:durableId="610939998">
    <w:abstractNumId w:val="23"/>
  </w:num>
  <w:num w:numId="19" w16cid:durableId="1910656144">
    <w:abstractNumId w:val="2"/>
  </w:num>
  <w:num w:numId="20" w16cid:durableId="947545103">
    <w:abstractNumId w:val="12"/>
  </w:num>
  <w:num w:numId="21" w16cid:durableId="1851335222">
    <w:abstractNumId w:val="26"/>
  </w:num>
  <w:num w:numId="22" w16cid:durableId="578707994">
    <w:abstractNumId w:val="3"/>
  </w:num>
  <w:num w:numId="23" w16cid:durableId="876742304">
    <w:abstractNumId w:val="9"/>
  </w:num>
  <w:num w:numId="24" w16cid:durableId="1994095851">
    <w:abstractNumId w:val="4"/>
  </w:num>
  <w:num w:numId="25" w16cid:durableId="1486432541">
    <w:abstractNumId w:val="11"/>
  </w:num>
  <w:num w:numId="26" w16cid:durableId="673610591">
    <w:abstractNumId w:val="24"/>
  </w:num>
  <w:num w:numId="27" w16cid:durableId="169023987">
    <w:abstractNumId w:val="5"/>
  </w:num>
  <w:num w:numId="28" w16cid:durableId="1605068102">
    <w:abstractNumId w:val="28"/>
  </w:num>
  <w:num w:numId="29" w16cid:durableId="1747339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B12"/>
    <w:rsid w:val="00001B99"/>
    <w:rsid w:val="00001E39"/>
    <w:rsid w:val="00002920"/>
    <w:rsid w:val="00002D55"/>
    <w:rsid w:val="00003132"/>
    <w:rsid w:val="0000399A"/>
    <w:rsid w:val="00005225"/>
    <w:rsid w:val="000054DB"/>
    <w:rsid w:val="0000587D"/>
    <w:rsid w:val="000059AE"/>
    <w:rsid w:val="00005BB0"/>
    <w:rsid w:val="00006F59"/>
    <w:rsid w:val="00007382"/>
    <w:rsid w:val="00007576"/>
    <w:rsid w:val="0001025F"/>
    <w:rsid w:val="0001155E"/>
    <w:rsid w:val="00011613"/>
    <w:rsid w:val="00011D3C"/>
    <w:rsid w:val="0001222D"/>
    <w:rsid w:val="00012679"/>
    <w:rsid w:val="00012EDA"/>
    <w:rsid w:val="00013B3F"/>
    <w:rsid w:val="00014981"/>
    <w:rsid w:val="00014B0D"/>
    <w:rsid w:val="00016280"/>
    <w:rsid w:val="000162CD"/>
    <w:rsid w:val="0001672C"/>
    <w:rsid w:val="00016F04"/>
    <w:rsid w:val="00017870"/>
    <w:rsid w:val="00021068"/>
    <w:rsid w:val="00021595"/>
    <w:rsid w:val="000219D1"/>
    <w:rsid w:val="00021C3A"/>
    <w:rsid w:val="0002202D"/>
    <w:rsid w:val="000222AA"/>
    <w:rsid w:val="00022C23"/>
    <w:rsid w:val="00023DF7"/>
    <w:rsid w:val="000248FD"/>
    <w:rsid w:val="000267DD"/>
    <w:rsid w:val="000273EA"/>
    <w:rsid w:val="00027B63"/>
    <w:rsid w:val="00027CA9"/>
    <w:rsid w:val="00027F50"/>
    <w:rsid w:val="00030B3D"/>
    <w:rsid w:val="00030BC5"/>
    <w:rsid w:val="00030BFB"/>
    <w:rsid w:val="00031DA1"/>
    <w:rsid w:val="00031EAF"/>
    <w:rsid w:val="00032A7A"/>
    <w:rsid w:val="000331C7"/>
    <w:rsid w:val="00033390"/>
    <w:rsid w:val="000361EA"/>
    <w:rsid w:val="000369C0"/>
    <w:rsid w:val="00036B01"/>
    <w:rsid w:val="0003731A"/>
    <w:rsid w:val="00037A8B"/>
    <w:rsid w:val="00040372"/>
    <w:rsid w:val="000408AD"/>
    <w:rsid w:val="00041469"/>
    <w:rsid w:val="0004180C"/>
    <w:rsid w:val="000419D7"/>
    <w:rsid w:val="00042DD7"/>
    <w:rsid w:val="00043EE5"/>
    <w:rsid w:val="000442CC"/>
    <w:rsid w:val="000442DE"/>
    <w:rsid w:val="00044A91"/>
    <w:rsid w:val="00044B24"/>
    <w:rsid w:val="0004508D"/>
    <w:rsid w:val="00045B37"/>
    <w:rsid w:val="0004665A"/>
    <w:rsid w:val="0004709D"/>
    <w:rsid w:val="000504AA"/>
    <w:rsid w:val="0005086B"/>
    <w:rsid w:val="00050C95"/>
    <w:rsid w:val="00050CAD"/>
    <w:rsid w:val="0005142D"/>
    <w:rsid w:val="00051A3C"/>
    <w:rsid w:val="00051BE4"/>
    <w:rsid w:val="00051E96"/>
    <w:rsid w:val="000526A8"/>
    <w:rsid w:val="00052EF1"/>
    <w:rsid w:val="0005420B"/>
    <w:rsid w:val="00054608"/>
    <w:rsid w:val="000551CB"/>
    <w:rsid w:val="0005620B"/>
    <w:rsid w:val="00057392"/>
    <w:rsid w:val="000577A2"/>
    <w:rsid w:val="000577D3"/>
    <w:rsid w:val="00057963"/>
    <w:rsid w:val="000579AB"/>
    <w:rsid w:val="00060AE4"/>
    <w:rsid w:val="000622B9"/>
    <w:rsid w:val="000631E9"/>
    <w:rsid w:val="000637BC"/>
    <w:rsid w:val="00063B4B"/>
    <w:rsid w:val="00064721"/>
    <w:rsid w:val="00064D60"/>
    <w:rsid w:val="00065973"/>
    <w:rsid w:val="00065C6D"/>
    <w:rsid w:val="000665D3"/>
    <w:rsid w:val="00066646"/>
    <w:rsid w:val="00066C7A"/>
    <w:rsid w:val="00066CF1"/>
    <w:rsid w:val="0007144A"/>
    <w:rsid w:val="000716AB"/>
    <w:rsid w:val="00071AB8"/>
    <w:rsid w:val="0007243A"/>
    <w:rsid w:val="00073197"/>
    <w:rsid w:val="00073320"/>
    <w:rsid w:val="0007412F"/>
    <w:rsid w:val="000762C0"/>
    <w:rsid w:val="00076737"/>
    <w:rsid w:val="00076C2B"/>
    <w:rsid w:val="00076C73"/>
    <w:rsid w:val="00076F81"/>
    <w:rsid w:val="000779DE"/>
    <w:rsid w:val="000800B6"/>
    <w:rsid w:val="00081B03"/>
    <w:rsid w:val="00082551"/>
    <w:rsid w:val="000847A0"/>
    <w:rsid w:val="00084BFD"/>
    <w:rsid w:val="00087073"/>
    <w:rsid w:val="0008739A"/>
    <w:rsid w:val="000875BD"/>
    <w:rsid w:val="000878E7"/>
    <w:rsid w:val="00087A3B"/>
    <w:rsid w:val="00087C01"/>
    <w:rsid w:val="000903E4"/>
    <w:rsid w:val="000906E3"/>
    <w:rsid w:val="00090887"/>
    <w:rsid w:val="00091D73"/>
    <w:rsid w:val="000933B5"/>
    <w:rsid w:val="000933BC"/>
    <w:rsid w:val="00093544"/>
    <w:rsid w:val="00093D95"/>
    <w:rsid w:val="00094663"/>
    <w:rsid w:val="00095410"/>
    <w:rsid w:val="00095E48"/>
    <w:rsid w:val="00096637"/>
    <w:rsid w:val="0009726B"/>
    <w:rsid w:val="00097285"/>
    <w:rsid w:val="00097311"/>
    <w:rsid w:val="000975EA"/>
    <w:rsid w:val="00097749"/>
    <w:rsid w:val="000A021A"/>
    <w:rsid w:val="000A1828"/>
    <w:rsid w:val="000A1D06"/>
    <w:rsid w:val="000A1F38"/>
    <w:rsid w:val="000A2030"/>
    <w:rsid w:val="000A37F5"/>
    <w:rsid w:val="000A413A"/>
    <w:rsid w:val="000A45B2"/>
    <w:rsid w:val="000A4F1E"/>
    <w:rsid w:val="000A5881"/>
    <w:rsid w:val="000A66A1"/>
    <w:rsid w:val="000A69FB"/>
    <w:rsid w:val="000B1087"/>
    <w:rsid w:val="000B199A"/>
    <w:rsid w:val="000B1FF7"/>
    <w:rsid w:val="000B2529"/>
    <w:rsid w:val="000B2B7C"/>
    <w:rsid w:val="000B377E"/>
    <w:rsid w:val="000B381D"/>
    <w:rsid w:val="000B3DD4"/>
    <w:rsid w:val="000B4024"/>
    <w:rsid w:val="000B44BA"/>
    <w:rsid w:val="000B4C9C"/>
    <w:rsid w:val="000B5311"/>
    <w:rsid w:val="000B5313"/>
    <w:rsid w:val="000B5A2F"/>
    <w:rsid w:val="000B5C65"/>
    <w:rsid w:val="000B5D59"/>
    <w:rsid w:val="000B5F1D"/>
    <w:rsid w:val="000B6BE9"/>
    <w:rsid w:val="000B793C"/>
    <w:rsid w:val="000C02AD"/>
    <w:rsid w:val="000C060A"/>
    <w:rsid w:val="000C07B0"/>
    <w:rsid w:val="000C09DF"/>
    <w:rsid w:val="000C0AA8"/>
    <w:rsid w:val="000C0E1B"/>
    <w:rsid w:val="000C18BD"/>
    <w:rsid w:val="000C1FC8"/>
    <w:rsid w:val="000C31FC"/>
    <w:rsid w:val="000C36E1"/>
    <w:rsid w:val="000C42A9"/>
    <w:rsid w:val="000C42C6"/>
    <w:rsid w:val="000C50D6"/>
    <w:rsid w:val="000C557B"/>
    <w:rsid w:val="000C5A85"/>
    <w:rsid w:val="000C5F29"/>
    <w:rsid w:val="000C5F48"/>
    <w:rsid w:val="000C66BF"/>
    <w:rsid w:val="000C7FF8"/>
    <w:rsid w:val="000D0372"/>
    <w:rsid w:val="000D0ADE"/>
    <w:rsid w:val="000D1A8F"/>
    <w:rsid w:val="000D2914"/>
    <w:rsid w:val="000D2E60"/>
    <w:rsid w:val="000D2F50"/>
    <w:rsid w:val="000D3275"/>
    <w:rsid w:val="000D3A1B"/>
    <w:rsid w:val="000D3B86"/>
    <w:rsid w:val="000D4E64"/>
    <w:rsid w:val="000D5008"/>
    <w:rsid w:val="000D570C"/>
    <w:rsid w:val="000D5A0F"/>
    <w:rsid w:val="000D5B1E"/>
    <w:rsid w:val="000D5D9B"/>
    <w:rsid w:val="000D5E3F"/>
    <w:rsid w:val="000D6532"/>
    <w:rsid w:val="000D6E33"/>
    <w:rsid w:val="000D7D53"/>
    <w:rsid w:val="000E0622"/>
    <w:rsid w:val="000E07AA"/>
    <w:rsid w:val="000E1D6F"/>
    <w:rsid w:val="000E2D0D"/>
    <w:rsid w:val="000E3381"/>
    <w:rsid w:val="000E3697"/>
    <w:rsid w:val="000E3744"/>
    <w:rsid w:val="000E3CD9"/>
    <w:rsid w:val="000E481D"/>
    <w:rsid w:val="000E4DBF"/>
    <w:rsid w:val="000E4DF2"/>
    <w:rsid w:val="000E6628"/>
    <w:rsid w:val="000E7349"/>
    <w:rsid w:val="000E762D"/>
    <w:rsid w:val="000E77CC"/>
    <w:rsid w:val="000F0144"/>
    <w:rsid w:val="000F0807"/>
    <w:rsid w:val="000F080D"/>
    <w:rsid w:val="000F0B3C"/>
    <w:rsid w:val="000F13D5"/>
    <w:rsid w:val="000F1AD8"/>
    <w:rsid w:val="000F1CE0"/>
    <w:rsid w:val="000F2C4A"/>
    <w:rsid w:val="000F2F4C"/>
    <w:rsid w:val="000F38D9"/>
    <w:rsid w:val="000F3CED"/>
    <w:rsid w:val="000F414C"/>
    <w:rsid w:val="000F64FC"/>
    <w:rsid w:val="000F696E"/>
    <w:rsid w:val="000F6C10"/>
    <w:rsid w:val="000F718E"/>
    <w:rsid w:val="001001F2"/>
    <w:rsid w:val="00100207"/>
    <w:rsid w:val="001003C6"/>
    <w:rsid w:val="00100682"/>
    <w:rsid w:val="00100976"/>
    <w:rsid w:val="001010D3"/>
    <w:rsid w:val="0010144A"/>
    <w:rsid w:val="00101C11"/>
    <w:rsid w:val="00102402"/>
    <w:rsid w:val="00102F4F"/>
    <w:rsid w:val="001034DD"/>
    <w:rsid w:val="00104425"/>
    <w:rsid w:val="00104B4C"/>
    <w:rsid w:val="00105135"/>
    <w:rsid w:val="001055A2"/>
    <w:rsid w:val="0010682A"/>
    <w:rsid w:val="00106C4C"/>
    <w:rsid w:val="00107DEF"/>
    <w:rsid w:val="0011037E"/>
    <w:rsid w:val="00110404"/>
    <w:rsid w:val="001109E8"/>
    <w:rsid w:val="00110F73"/>
    <w:rsid w:val="00111E35"/>
    <w:rsid w:val="001128B4"/>
    <w:rsid w:val="00112EBD"/>
    <w:rsid w:val="001132C2"/>
    <w:rsid w:val="0011382D"/>
    <w:rsid w:val="00113AF2"/>
    <w:rsid w:val="00113C17"/>
    <w:rsid w:val="00113FDD"/>
    <w:rsid w:val="00114051"/>
    <w:rsid w:val="00114973"/>
    <w:rsid w:val="00114CFF"/>
    <w:rsid w:val="00114FDF"/>
    <w:rsid w:val="0011650B"/>
    <w:rsid w:val="00116616"/>
    <w:rsid w:val="00116FC5"/>
    <w:rsid w:val="00117163"/>
    <w:rsid w:val="00117BBD"/>
    <w:rsid w:val="00117C6B"/>
    <w:rsid w:val="001202DF"/>
    <w:rsid w:val="00120F1B"/>
    <w:rsid w:val="001213E7"/>
    <w:rsid w:val="001224BA"/>
    <w:rsid w:val="001238BC"/>
    <w:rsid w:val="00124518"/>
    <w:rsid w:val="001248AB"/>
    <w:rsid w:val="00124981"/>
    <w:rsid w:val="00124B2E"/>
    <w:rsid w:val="001256A1"/>
    <w:rsid w:val="00125B5B"/>
    <w:rsid w:val="00125D81"/>
    <w:rsid w:val="00126301"/>
    <w:rsid w:val="0012661F"/>
    <w:rsid w:val="00126966"/>
    <w:rsid w:val="001269B0"/>
    <w:rsid w:val="00126B24"/>
    <w:rsid w:val="00127234"/>
    <w:rsid w:val="001276C4"/>
    <w:rsid w:val="00127C68"/>
    <w:rsid w:val="00127D5B"/>
    <w:rsid w:val="00131373"/>
    <w:rsid w:val="001314A0"/>
    <w:rsid w:val="00131A1F"/>
    <w:rsid w:val="00131A66"/>
    <w:rsid w:val="00131F9C"/>
    <w:rsid w:val="00132336"/>
    <w:rsid w:val="00132425"/>
    <w:rsid w:val="0013280A"/>
    <w:rsid w:val="0013343F"/>
    <w:rsid w:val="00133748"/>
    <w:rsid w:val="001344F9"/>
    <w:rsid w:val="00134F37"/>
    <w:rsid w:val="00135F76"/>
    <w:rsid w:val="001360E9"/>
    <w:rsid w:val="001360F4"/>
    <w:rsid w:val="001363C7"/>
    <w:rsid w:val="00136E87"/>
    <w:rsid w:val="00140793"/>
    <w:rsid w:val="0014203B"/>
    <w:rsid w:val="001422BD"/>
    <w:rsid w:val="0014286D"/>
    <w:rsid w:val="0014327C"/>
    <w:rsid w:val="00143B8E"/>
    <w:rsid w:val="00143F21"/>
    <w:rsid w:val="0014420C"/>
    <w:rsid w:val="001446C3"/>
    <w:rsid w:val="001461A7"/>
    <w:rsid w:val="00146946"/>
    <w:rsid w:val="00146E7C"/>
    <w:rsid w:val="00150492"/>
    <w:rsid w:val="001513CE"/>
    <w:rsid w:val="00151465"/>
    <w:rsid w:val="00151AD8"/>
    <w:rsid w:val="00151E77"/>
    <w:rsid w:val="001521D6"/>
    <w:rsid w:val="00153287"/>
    <w:rsid w:val="001533E6"/>
    <w:rsid w:val="001538BE"/>
    <w:rsid w:val="00153C33"/>
    <w:rsid w:val="00153D04"/>
    <w:rsid w:val="001544C4"/>
    <w:rsid w:val="00155198"/>
    <w:rsid w:val="00155502"/>
    <w:rsid w:val="00155EF1"/>
    <w:rsid w:val="00156192"/>
    <w:rsid w:val="00156E57"/>
    <w:rsid w:val="0015710D"/>
    <w:rsid w:val="00157338"/>
    <w:rsid w:val="00157CE5"/>
    <w:rsid w:val="00157DEB"/>
    <w:rsid w:val="001610BC"/>
    <w:rsid w:val="00161664"/>
    <w:rsid w:val="00161847"/>
    <w:rsid w:val="00161E13"/>
    <w:rsid w:val="001629D8"/>
    <w:rsid w:val="00162B2A"/>
    <w:rsid w:val="00162B8D"/>
    <w:rsid w:val="00162F9F"/>
    <w:rsid w:val="00163640"/>
    <w:rsid w:val="00164803"/>
    <w:rsid w:val="00164AE0"/>
    <w:rsid w:val="00165BF5"/>
    <w:rsid w:val="00165F2E"/>
    <w:rsid w:val="0016646A"/>
    <w:rsid w:val="00167C43"/>
    <w:rsid w:val="0017041B"/>
    <w:rsid w:val="001706C9"/>
    <w:rsid w:val="0017120C"/>
    <w:rsid w:val="0017150D"/>
    <w:rsid w:val="001727D7"/>
    <w:rsid w:val="00172C96"/>
    <w:rsid w:val="00172DDC"/>
    <w:rsid w:val="00172F3A"/>
    <w:rsid w:val="00173477"/>
    <w:rsid w:val="0017414F"/>
    <w:rsid w:val="0017432C"/>
    <w:rsid w:val="00174636"/>
    <w:rsid w:val="00174735"/>
    <w:rsid w:val="0017481D"/>
    <w:rsid w:val="00174B1B"/>
    <w:rsid w:val="00174BD8"/>
    <w:rsid w:val="00174D51"/>
    <w:rsid w:val="001750BC"/>
    <w:rsid w:val="001765BB"/>
    <w:rsid w:val="0017667E"/>
    <w:rsid w:val="001766D3"/>
    <w:rsid w:val="00176AE8"/>
    <w:rsid w:val="00176E76"/>
    <w:rsid w:val="00177570"/>
    <w:rsid w:val="00177E95"/>
    <w:rsid w:val="0018007F"/>
    <w:rsid w:val="00180552"/>
    <w:rsid w:val="001811FC"/>
    <w:rsid w:val="00181BC0"/>
    <w:rsid w:val="00182338"/>
    <w:rsid w:val="00182348"/>
    <w:rsid w:val="00183F50"/>
    <w:rsid w:val="00184BD9"/>
    <w:rsid w:val="00184ED6"/>
    <w:rsid w:val="00184F13"/>
    <w:rsid w:val="00184FD9"/>
    <w:rsid w:val="00186037"/>
    <w:rsid w:val="00186AE4"/>
    <w:rsid w:val="00186D14"/>
    <w:rsid w:val="0018727A"/>
    <w:rsid w:val="00187673"/>
    <w:rsid w:val="001876D8"/>
    <w:rsid w:val="00190325"/>
    <w:rsid w:val="00190391"/>
    <w:rsid w:val="0019151E"/>
    <w:rsid w:val="00191593"/>
    <w:rsid w:val="001918F1"/>
    <w:rsid w:val="0019196E"/>
    <w:rsid w:val="00191FF5"/>
    <w:rsid w:val="001926D7"/>
    <w:rsid w:val="001928A3"/>
    <w:rsid w:val="00192CCE"/>
    <w:rsid w:val="0019385B"/>
    <w:rsid w:val="00193F1C"/>
    <w:rsid w:val="001948F5"/>
    <w:rsid w:val="00194958"/>
    <w:rsid w:val="00196359"/>
    <w:rsid w:val="00197205"/>
    <w:rsid w:val="00197632"/>
    <w:rsid w:val="0019793F"/>
    <w:rsid w:val="00197A9D"/>
    <w:rsid w:val="001A0817"/>
    <w:rsid w:val="001A08E7"/>
    <w:rsid w:val="001A17D7"/>
    <w:rsid w:val="001A1FDD"/>
    <w:rsid w:val="001A2D8F"/>
    <w:rsid w:val="001A3D89"/>
    <w:rsid w:val="001A3E0A"/>
    <w:rsid w:val="001A5458"/>
    <w:rsid w:val="001A545B"/>
    <w:rsid w:val="001A54DA"/>
    <w:rsid w:val="001A5695"/>
    <w:rsid w:val="001A5CD1"/>
    <w:rsid w:val="001A5E69"/>
    <w:rsid w:val="001A6861"/>
    <w:rsid w:val="001A6FEC"/>
    <w:rsid w:val="001A78AA"/>
    <w:rsid w:val="001B08B5"/>
    <w:rsid w:val="001B143B"/>
    <w:rsid w:val="001B1532"/>
    <w:rsid w:val="001B1777"/>
    <w:rsid w:val="001B19C5"/>
    <w:rsid w:val="001B1B6D"/>
    <w:rsid w:val="001B1C93"/>
    <w:rsid w:val="001B21CA"/>
    <w:rsid w:val="001B28D5"/>
    <w:rsid w:val="001B28E4"/>
    <w:rsid w:val="001B35D4"/>
    <w:rsid w:val="001B4446"/>
    <w:rsid w:val="001B5A00"/>
    <w:rsid w:val="001B5AC1"/>
    <w:rsid w:val="001B5F59"/>
    <w:rsid w:val="001B63A7"/>
    <w:rsid w:val="001B6810"/>
    <w:rsid w:val="001B6E89"/>
    <w:rsid w:val="001C0125"/>
    <w:rsid w:val="001C09DF"/>
    <w:rsid w:val="001C1074"/>
    <w:rsid w:val="001C21C8"/>
    <w:rsid w:val="001C25F5"/>
    <w:rsid w:val="001C34D0"/>
    <w:rsid w:val="001C3CE2"/>
    <w:rsid w:val="001C4249"/>
    <w:rsid w:val="001C46E3"/>
    <w:rsid w:val="001C4F27"/>
    <w:rsid w:val="001C6573"/>
    <w:rsid w:val="001C7D03"/>
    <w:rsid w:val="001D00BE"/>
    <w:rsid w:val="001D079B"/>
    <w:rsid w:val="001D0D32"/>
    <w:rsid w:val="001D17C9"/>
    <w:rsid w:val="001D1AB9"/>
    <w:rsid w:val="001D1F20"/>
    <w:rsid w:val="001D3795"/>
    <w:rsid w:val="001D3EEA"/>
    <w:rsid w:val="001D4006"/>
    <w:rsid w:val="001D54BD"/>
    <w:rsid w:val="001D5C72"/>
    <w:rsid w:val="001D626E"/>
    <w:rsid w:val="001D733B"/>
    <w:rsid w:val="001D73CF"/>
    <w:rsid w:val="001D7E8C"/>
    <w:rsid w:val="001E0902"/>
    <w:rsid w:val="001E1801"/>
    <w:rsid w:val="001E1C73"/>
    <w:rsid w:val="001E1E05"/>
    <w:rsid w:val="001E2254"/>
    <w:rsid w:val="001E22D2"/>
    <w:rsid w:val="001E2343"/>
    <w:rsid w:val="001E3A17"/>
    <w:rsid w:val="001E3FCB"/>
    <w:rsid w:val="001E52DF"/>
    <w:rsid w:val="001E6680"/>
    <w:rsid w:val="001E682B"/>
    <w:rsid w:val="001E6BCB"/>
    <w:rsid w:val="001E783B"/>
    <w:rsid w:val="001E7FBC"/>
    <w:rsid w:val="001F0822"/>
    <w:rsid w:val="001F08CB"/>
    <w:rsid w:val="001F15F6"/>
    <w:rsid w:val="001F179C"/>
    <w:rsid w:val="001F24B7"/>
    <w:rsid w:val="001F259E"/>
    <w:rsid w:val="001F2649"/>
    <w:rsid w:val="001F3496"/>
    <w:rsid w:val="001F41CA"/>
    <w:rsid w:val="001F4355"/>
    <w:rsid w:val="001F4819"/>
    <w:rsid w:val="001F48BD"/>
    <w:rsid w:val="001F5034"/>
    <w:rsid w:val="001F61DE"/>
    <w:rsid w:val="001F63AA"/>
    <w:rsid w:val="001F7054"/>
    <w:rsid w:val="001F7121"/>
    <w:rsid w:val="001F77E5"/>
    <w:rsid w:val="001F7B65"/>
    <w:rsid w:val="001F7DB7"/>
    <w:rsid w:val="002000AA"/>
    <w:rsid w:val="00200FB8"/>
    <w:rsid w:val="00201502"/>
    <w:rsid w:val="0020302A"/>
    <w:rsid w:val="002031BD"/>
    <w:rsid w:val="002032A0"/>
    <w:rsid w:val="00203532"/>
    <w:rsid w:val="00203AE0"/>
    <w:rsid w:val="00204106"/>
    <w:rsid w:val="00204109"/>
    <w:rsid w:val="0020503A"/>
    <w:rsid w:val="00205041"/>
    <w:rsid w:val="0020524C"/>
    <w:rsid w:val="002059E3"/>
    <w:rsid w:val="00207209"/>
    <w:rsid w:val="002100FF"/>
    <w:rsid w:val="00210B9B"/>
    <w:rsid w:val="002118D1"/>
    <w:rsid w:val="00211DCE"/>
    <w:rsid w:val="00212390"/>
    <w:rsid w:val="00212897"/>
    <w:rsid w:val="0021386A"/>
    <w:rsid w:val="002138EF"/>
    <w:rsid w:val="00213C44"/>
    <w:rsid w:val="002147EE"/>
    <w:rsid w:val="00215516"/>
    <w:rsid w:val="002159D5"/>
    <w:rsid w:val="00215B64"/>
    <w:rsid w:val="00215C05"/>
    <w:rsid w:val="002161E3"/>
    <w:rsid w:val="00216DF5"/>
    <w:rsid w:val="00216EFA"/>
    <w:rsid w:val="0021798E"/>
    <w:rsid w:val="00217CA1"/>
    <w:rsid w:val="00217DEE"/>
    <w:rsid w:val="002203BF"/>
    <w:rsid w:val="00220C4C"/>
    <w:rsid w:val="00220E95"/>
    <w:rsid w:val="002217FE"/>
    <w:rsid w:val="0022180C"/>
    <w:rsid w:val="00221C72"/>
    <w:rsid w:val="002223E1"/>
    <w:rsid w:val="002225AB"/>
    <w:rsid w:val="00222955"/>
    <w:rsid w:val="002231B0"/>
    <w:rsid w:val="002250D1"/>
    <w:rsid w:val="002267D2"/>
    <w:rsid w:val="00230839"/>
    <w:rsid w:val="00230EE8"/>
    <w:rsid w:val="00231ADB"/>
    <w:rsid w:val="00232178"/>
    <w:rsid w:val="00232248"/>
    <w:rsid w:val="00232D12"/>
    <w:rsid w:val="00233616"/>
    <w:rsid w:val="00233975"/>
    <w:rsid w:val="00233B8C"/>
    <w:rsid w:val="002353E3"/>
    <w:rsid w:val="00235CC0"/>
    <w:rsid w:val="00235F30"/>
    <w:rsid w:val="00236287"/>
    <w:rsid w:val="002363FF"/>
    <w:rsid w:val="00236D10"/>
    <w:rsid w:val="002407CE"/>
    <w:rsid w:val="0024140A"/>
    <w:rsid w:val="00242325"/>
    <w:rsid w:val="00243A38"/>
    <w:rsid w:val="0024474F"/>
    <w:rsid w:val="00244761"/>
    <w:rsid w:val="002450F2"/>
    <w:rsid w:val="00245B7F"/>
    <w:rsid w:val="00245C81"/>
    <w:rsid w:val="00246257"/>
    <w:rsid w:val="002469C2"/>
    <w:rsid w:val="00247227"/>
    <w:rsid w:val="00247BDE"/>
    <w:rsid w:val="00247DE2"/>
    <w:rsid w:val="002505DE"/>
    <w:rsid w:val="002514FA"/>
    <w:rsid w:val="002515D1"/>
    <w:rsid w:val="002519E3"/>
    <w:rsid w:val="00251DAF"/>
    <w:rsid w:val="00252503"/>
    <w:rsid w:val="00252ED7"/>
    <w:rsid w:val="0025393C"/>
    <w:rsid w:val="002549E7"/>
    <w:rsid w:val="00254A7A"/>
    <w:rsid w:val="00254EA4"/>
    <w:rsid w:val="0025509C"/>
    <w:rsid w:val="002552F8"/>
    <w:rsid w:val="0025575F"/>
    <w:rsid w:val="002571E3"/>
    <w:rsid w:val="002573DA"/>
    <w:rsid w:val="00260496"/>
    <w:rsid w:val="00260542"/>
    <w:rsid w:val="00260BAD"/>
    <w:rsid w:val="0026224C"/>
    <w:rsid w:val="00263274"/>
    <w:rsid w:val="00264C7C"/>
    <w:rsid w:val="00265446"/>
    <w:rsid w:val="0026650F"/>
    <w:rsid w:val="00266DC3"/>
    <w:rsid w:val="0027029D"/>
    <w:rsid w:val="00270443"/>
    <w:rsid w:val="00270EE2"/>
    <w:rsid w:val="00271165"/>
    <w:rsid w:val="0027138C"/>
    <w:rsid w:val="0027165A"/>
    <w:rsid w:val="002722D9"/>
    <w:rsid w:val="002723ED"/>
    <w:rsid w:val="00272787"/>
    <w:rsid w:val="00272826"/>
    <w:rsid w:val="00272A60"/>
    <w:rsid w:val="00272A7B"/>
    <w:rsid w:val="00272C44"/>
    <w:rsid w:val="00272F05"/>
    <w:rsid w:val="00273527"/>
    <w:rsid w:val="00273F6B"/>
    <w:rsid w:val="002747EF"/>
    <w:rsid w:val="00274B06"/>
    <w:rsid w:val="002751D6"/>
    <w:rsid w:val="002754D3"/>
    <w:rsid w:val="00276261"/>
    <w:rsid w:val="0027655B"/>
    <w:rsid w:val="00276944"/>
    <w:rsid w:val="00276964"/>
    <w:rsid w:val="002769AE"/>
    <w:rsid w:val="00277220"/>
    <w:rsid w:val="00281390"/>
    <w:rsid w:val="002816DD"/>
    <w:rsid w:val="002817A6"/>
    <w:rsid w:val="002821E8"/>
    <w:rsid w:val="00282F1D"/>
    <w:rsid w:val="00283215"/>
    <w:rsid w:val="002833F3"/>
    <w:rsid w:val="00284203"/>
    <w:rsid w:val="00285237"/>
    <w:rsid w:val="0028552F"/>
    <w:rsid w:val="00285B3D"/>
    <w:rsid w:val="00285E3F"/>
    <w:rsid w:val="0028610D"/>
    <w:rsid w:val="002862CC"/>
    <w:rsid w:val="00286BFE"/>
    <w:rsid w:val="00286C81"/>
    <w:rsid w:val="0028703E"/>
    <w:rsid w:val="0028709F"/>
    <w:rsid w:val="0028717B"/>
    <w:rsid w:val="00287524"/>
    <w:rsid w:val="00290119"/>
    <w:rsid w:val="0029040D"/>
    <w:rsid w:val="002908F8"/>
    <w:rsid w:val="00290A53"/>
    <w:rsid w:val="00290B64"/>
    <w:rsid w:val="002916E2"/>
    <w:rsid w:val="00291B70"/>
    <w:rsid w:val="00291CB7"/>
    <w:rsid w:val="00292B70"/>
    <w:rsid w:val="00292E91"/>
    <w:rsid w:val="002930AD"/>
    <w:rsid w:val="00293254"/>
    <w:rsid w:val="00294068"/>
    <w:rsid w:val="00295002"/>
    <w:rsid w:val="0029568E"/>
    <w:rsid w:val="00295E8C"/>
    <w:rsid w:val="002971C7"/>
    <w:rsid w:val="002971F2"/>
    <w:rsid w:val="00297785"/>
    <w:rsid w:val="00297E05"/>
    <w:rsid w:val="002A0444"/>
    <w:rsid w:val="002A0D26"/>
    <w:rsid w:val="002A0F8D"/>
    <w:rsid w:val="002A0F94"/>
    <w:rsid w:val="002A1311"/>
    <w:rsid w:val="002A1377"/>
    <w:rsid w:val="002A211A"/>
    <w:rsid w:val="002A264B"/>
    <w:rsid w:val="002A2C2E"/>
    <w:rsid w:val="002A4835"/>
    <w:rsid w:val="002A4A82"/>
    <w:rsid w:val="002A4B33"/>
    <w:rsid w:val="002A4C00"/>
    <w:rsid w:val="002A5311"/>
    <w:rsid w:val="002A5863"/>
    <w:rsid w:val="002A6621"/>
    <w:rsid w:val="002A6E9B"/>
    <w:rsid w:val="002A6FBB"/>
    <w:rsid w:val="002B05D1"/>
    <w:rsid w:val="002B1933"/>
    <w:rsid w:val="002B20BD"/>
    <w:rsid w:val="002B2611"/>
    <w:rsid w:val="002B27D8"/>
    <w:rsid w:val="002B35B9"/>
    <w:rsid w:val="002B38D2"/>
    <w:rsid w:val="002B3A46"/>
    <w:rsid w:val="002B3F1C"/>
    <w:rsid w:val="002B401B"/>
    <w:rsid w:val="002B4ED9"/>
    <w:rsid w:val="002B4EF4"/>
    <w:rsid w:val="002B51BB"/>
    <w:rsid w:val="002B53C7"/>
    <w:rsid w:val="002B58C5"/>
    <w:rsid w:val="002B6CA2"/>
    <w:rsid w:val="002B6E44"/>
    <w:rsid w:val="002B6E8A"/>
    <w:rsid w:val="002B726F"/>
    <w:rsid w:val="002B73AF"/>
    <w:rsid w:val="002B744E"/>
    <w:rsid w:val="002B7909"/>
    <w:rsid w:val="002C000B"/>
    <w:rsid w:val="002C016F"/>
    <w:rsid w:val="002C0579"/>
    <w:rsid w:val="002C09A8"/>
    <w:rsid w:val="002C103C"/>
    <w:rsid w:val="002C1109"/>
    <w:rsid w:val="002C12C7"/>
    <w:rsid w:val="002C1E93"/>
    <w:rsid w:val="002C29EB"/>
    <w:rsid w:val="002C30F0"/>
    <w:rsid w:val="002C401A"/>
    <w:rsid w:val="002C44A2"/>
    <w:rsid w:val="002C479B"/>
    <w:rsid w:val="002C4EC8"/>
    <w:rsid w:val="002C532B"/>
    <w:rsid w:val="002C6AF5"/>
    <w:rsid w:val="002C6D15"/>
    <w:rsid w:val="002C72F4"/>
    <w:rsid w:val="002C7E5B"/>
    <w:rsid w:val="002D022B"/>
    <w:rsid w:val="002D0907"/>
    <w:rsid w:val="002D0E9E"/>
    <w:rsid w:val="002D1381"/>
    <w:rsid w:val="002D16D8"/>
    <w:rsid w:val="002D1A27"/>
    <w:rsid w:val="002D2D68"/>
    <w:rsid w:val="002D2F69"/>
    <w:rsid w:val="002D3016"/>
    <w:rsid w:val="002D3067"/>
    <w:rsid w:val="002D38D9"/>
    <w:rsid w:val="002D3CE3"/>
    <w:rsid w:val="002D4298"/>
    <w:rsid w:val="002D47E8"/>
    <w:rsid w:val="002D4FCC"/>
    <w:rsid w:val="002D50CA"/>
    <w:rsid w:val="002D5FD5"/>
    <w:rsid w:val="002D68F4"/>
    <w:rsid w:val="002D7395"/>
    <w:rsid w:val="002D7417"/>
    <w:rsid w:val="002D782B"/>
    <w:rsid w:val="002E0D9C"/>
    <w:rsid w:val="002E1247"/>
    <w:rsid w:val="002E26E8"/>
    <w:rsid w:val="002E3DD8"/>
    <w:rsid w:val="002E3ED8"/>
    <w:rsid w:val="002E5341"/>
    <w:rsid w:val="002E5A01"/>
    <w:rsid w:val="002E5EA3"/>
    <w:rsid w:val="002E717C"/>
    <w:rsid w:val="002E7533"/>
    <w:rsid w:val="002E7A61"/>
    <w:rsid w:val="002F00B8"/>
    <w:rsid w:val="002F0106"/>
    <w:rsid w:val="002F03C8"/>
    <w:rsid w:val="002F188D"/>
    <w:rsid w:val="002F18A5"/>
    <w:rsid w:val="002F26F3"/>
    <w:rsid w:val="002F2CEE"/>
    <w:rsid w:val="002F317F"/>
    <w:rsid w:val="002F51A2"/>
    <w:rsid w:val="002F5BA8"/>
    <w:rsid w:val="002F5E95"/>
    <w:rsid w:val="002F63CA"/>
    <w:rsid w:val="002F67B4"/>
    <w:rsid w:val="002F6F73"/>
    <w:rsid w:val="002F7AA9"/>
    <w:rsid w:val="003004E3"/>
    <w:rsid w:val="00300FF1"/>
    <w:rsid w:val="00301C0D"/>
    <w:rsid w:val="00301D7B"/>
    <w:rsid w:val="00301E19"/>
    <w:rsid w:val="003023DE"/>
    <w:rsid w:val="00303009"/>
    <w:rsid w:val="00303DC4"/>
    <w:rsid w:val="00304676"/>
    <w:rsid w:val="00304D62"/>
    <w:rsid w:val="00306BE7"/>
    <w:rsid w:val="003110A2"/>
    <w:rsid w:val="00311655"/>
    <w:rsid w:val="00311B66"/>
    <w:rsid w:val="00311F29"/>
    <w:rsid w:val="00312518"/>
    <w:rsid w:val="00314036"/>
    <w:rsid w:val="00314347"/>
    <w:rsid w:val="00314C4F"/>
    <w:rsid w:val="00314FAF"/>
    <w:rsid w:val="00316079"/>
    <w:rsid w:val="003162A5"/>
    <w:rsid w:val="00316591"/>
    <w:rsid w:val="00316BA4"/>
    <w:rsid w:val="00320706"/>
    <w:rsid w:val="00320C6D"/>
    <w:rsid w:val="003213A8"/>
    <w:rsid w:val="00321FA8"/>
    <w:rsid w:val="00321FFD"/>
    <w:rsid w:val="003225AD"/>
    <w:rsid w:val="00322E18"/>
    <w:rsid w:val="00323C3D"/>
    <w:rsid w:val="00323D1D"/>
    <w:rsid w:val="00323F8A"/>
    <w:rsid w:val="00324D73"/>
    <w:rsid w:val="00326011"/>
    <w:rsid w:val="0032643D"/>
    <w:rsid w:val="00326D02"/>
    <w:rsid w:val="00327069"/>
    <w:rsid w:val="003270D9"/>
    <w:rsid w:val="00327812"/>
    <w:rsid w:val="00327AFB"/>
    <w:rsid w:val="00327BAF"/>
    <w:rsid w:val="00327D10"/>
    <w:rsid w:val="00331894"/>
    <w:rsid w:val="00332CB8"/>
    <w:rsid w:val="00333428"/>
    <w:rsid w:val="003337B5"/>
    <w:rsid w:val="003350B6"/>
    <w:rsid w:val="0033595E"/>
    <w:rsid w:val="0033601B"/>
    <w:rsid w:val="003364B6"/>
    <w:rsid w:val="0033764C"/>
    <w:rsid w:val="00337DF3"/>
    <w:rsid w:val="00337F8E"/>
    <w:rsid w:val="00340039"/>
    <w:rsid w:val="003400D3"/>
    <w:rsid w:val="0034024F"/>
    <w:rsid w:val="00340A77"/>
    <w:rsid w:val="00340B7B"/>
    <w:rsid w:val="00340D39"/>
    <w:rsid w:val="00340DFB"/>
    <w:rsid w:val="00341941"/>
    <w:rsid w:val="0034207A"/>
    <w:rsid w:val="0034278F"/>
    <w:rsid w:val="0034281F"/>
    <w:rsid w:val="00343B47"/>
    <w:rsid w:val="0034404F"/>
    <w:rsid w:val="00344ACC"/>
    <w:rsid w:val="00345F01"/>
    <w:rsid w:val="0034654F"/>
    <w:rsid w:val="003466A7"/>
    <w:rsid w:val="00346B28"/>
    <w:rsid w:val="00347685"/>
    <w:rsid w:val="003509A5"/>
    <w:rsid w:val="003515FD"/>
    <w:rsid w:val="003518A4"/>
    <w:rsid w:val="00351E21"/>
    <w:rsid w:val="00352327"/>
    <w:rsid w:val="003526A9"/>
    <w:rsid w:val="00354062"/>
    <w:rsid w:val="00354405"/>
    <w:rsid w:val="003556DC"/>
    <w:rsid w:val="00355A76"/>
    <w:rsid w:val="00355DEC"/>
    <w:rsid w:val="0035635F"/>
    <w:rsid w:val="00356E0F"/>
    <w:rsid w:val="0035700C"/>
    <w:rsid w:val="00357E9C"/>
    <w:rsid w:val="003607EE"/>
    <w:rsid w:val="00360BC8"/>
    <w:rsid w:val="00360E35"/>
    <w:rsid w:val="0036135E"/>
    <w:rsid w:val="003617AE"/>
    <w:rsid w:val="0036215C"/>
    <w:rsid w:val="003630F7"/>
    <w:rsid w:val="0036332B"/>
    <w:rsid w:val="00363589"/>
    <w:rsid w:val="00363636"/>
    <w:rsid w:val="003651AC"/>
    <w:rsid w:val="003653AA"/>
    <w:rsid w:val="00366120"/>
    <w:rsid w:val="003661FF"/>
    <w:rsid w:val="003665A5"/>
    <w:rsid w:val="00366A0C"/>
    <w:rsid w:val="00366C88"/>
    <w:rsid w:val="00367238"/>
    <w:rsid w:val="00367462"/>
    <w:rsid w:val="003677D5"/>
    <w:rsid w:val="0037034B"/>
    <w:rsid w:val="00370507"/>
    <w:rsid w:val="00370682"/>
    <w:rsid w:val="00370F0B"/>
    <w:rsid w:val="003718D8"/>
    <w:rsid w:val="00372A01"/>
    <w:rsid w:val="003733DF"/>
    <w:rsid w:val="00373865"/>
    <w:rsid w:val="00373930"/>
    <w:rsid w:val="003739DA"/>
    <w:rsid w:val="00373CE8"/>
    <w:rsid w:val="00374DB0"/>
    <w:rsid w:val="003751C7"/>
    <w:rsid w:val="00375C84"/>
    <w:rsid w:val="00376524"/>
    <w:rsid w:val="00376E3B"/>
    <w:rsid w:val="003776FE"/>
    <w:rsid w:val="00380424"/>
    <w:rsid w:val="00380868"/>
    <w:rsid w:val="00380B9B"/>
    <w:rsid w:val="003818B3"/>
    <w:rsid w:val="003819F5"/>
    <w:rsid w:val="00381A52"/>
    <w:rsid w:val="00381B57"/>
    <w:rsid w:val="00381D47"/>
    <w:rsid w:val="003821CC"/>
    <w:rsid w:val="003835F0"/>
    <w:rsid w:val="003853B1"/>
    <w:rsid w:val="003853ED"/>
    <w:rsid w:val="00385626"/>
    <w:rsid w:val="0038628F"/>
    <w:rsid w:val="00386421"/>
    <w:rsid w:val="0038704C"/>
    <w:rsid w:val="00387AA1"/>
    <w:rsid w:val="0039082A"/>
    <w:rsid w:val="0039101F"/>
    <w:rsid w:val="00392EDB"/>
    <w:rsid w:val="00392FAE"/>
    <w:rsid w:val="003931AA"/>
    <w:rsid w:val="00393EEE"/>
    <w:rsid w:val="003941C0"/>
    <w:rsid w:val="00394D45"/>
    <w:rsid w:val="00395132"/>
    <w:rsid w:val="00395D99"/>
    <w:rsid w:val="003968DF"/>
    <w:rsid w:val="003976C3"/>
    <w:rsid w:val="00397A03"/>
    <w:rsid w:val="00397A64"/>
    <w:rsid w:val="00397B4F"/>
    <w:rsid w:val="003A099A"/>
    <w:rsid w:val="003A0C5A"/>
    <w:rsid w:val="003A1372"/>
    <w:rsid w:val="003A1D46"/>
    <w:rsid w:val="003A2447"/>
    <w:rsid w:val="003A2B82"/>
    <w:rsid w:val="003A36D3"/>
    <w:rsid w:val="003A3927"/>
    <w:rsid w:val="003A3D2E"/>
    <w:rsid w:val="003A3FF7"/>
    <w:rsid w:val="003A43D1"/>
    <w:rsid w:val="003A6A51"/>
    <w:rsid w:val="003A6E29"/>
    <w:rsid w:val="003A7FEA"/>
    <w:rsid w:val="003B0BDB"/>
    <w:rsid w:val="003B0E88"/>
    <w:rsid w:val="003B106E"/>
    <w:rsid w:val="003B153F"/>
    <w:rsid w:val="003B17B0"/>
    <w:rsid w:val="003B1844"/>
    <w:rsid w:val="003B1A5C"/>
    <w:rsid w:val="003B211E"/>
    <w:rsid w:val="003B24EA"/>
    <w:rsid w:val="003B2508"/>
    <w:rsid w:val="003B2DA7"/>
    <w:rsid w:val="003B3AB7"/>
    <w:rsid w:val="003B3ABC"/>
    <w:rsid w:val="003B3CDD"/>
    <w:rsid w:val="003B3D8E"/>
    <w:rsid w:val="003B3FED"/>
    <w:rsid w:val="003B3FF1"/>
    <w:rsid w:val="003B4217"/>
    <w:rsid w:val="003B56AC"/>
    <w:rsid w:val="003B59A1"/>
    <w:rsid w:val="003B5E83"/>
    <w:rsid w:val="003B6D11"/>
    <w:rsid w:val="003B74F1"/>
    <w:rsid w:val="003B7541"/>
    <w:rsid w:val="003B75BE"/>
    <w:rsid w:val="003B7966"/>
    <w:rsid w:val="003B7F07"/>
    <w:rsid w:val="003B7FCE"/>
    <w:rsid w:val="003C0F87"/>
    <w:rsid w:val="003C141E"/>
    <w:rsid w:val="003C1B83"/>
    <w:rsid w:val="003C210E"/>
    <w:rsid w:val="003C21B3"/>
    <w:rsid w:val="003C226A"/>
    <w:rsid w:val="003C30AD"/>
    <w:rsid w:val="003C3503"/>
    <w:rsid w:val="003C36CF"/>
    <w:rsid w:val="003C40DE"/>
    <w:rsid w:val="003C4851"/>
    <w:rsid w:val="003C4A8B"/>
    <w:rsid w:val="003C4C96"/>
    <w:rsid w:val="003C521A"/>
    <w:rsid w:val="003C55E0"/>
    <w:rsid w:val="003C5E39"/>
    <w:rsid w:val="003C67FC"/>
    <w:rsid w:val="003C683A"/>
    <w:rsid w:val="003D0079"/>
    <w:rsid w:val="003D017D"/>
    <w:rsid w:val="003D031B"/>
    <w:rsid w:val="003D04D6"/>
    <w:rsid w:val="003D10EC"/>
    <w:rsid w:val="003D28DE"/>
    <w:rsid w:val="003D29B9"/>
    <w:rsid w:val="003D3500"/>
    <w:rsid w:val="003D37B6"/>
    <w:rsid w:val="003D3C68"/>
    <w:rsid w:val="003D450D"/>
    <w:rsid w:val="003D503A"/>
    <w:rsid w:val="003D5108"/>
    <w:rsid w:val="003D6505"/>
    <w:rsid w:val="003D71A6"/>
    <w:rsid w:val="003D7709"/>
    <w:rsid w:val="003E004C"/>
    <w:rsid w:val="003E0BAF"/>
    <w:rsid w:val="003E0E25"/>
    <w:rsid w:val="003E1409"/>
    <w:rsid w:val="003E16F2"/>
    <w:rsid w:val="003E4A52"/>
    <w:rsid w:val="003E5308"/>
    <w:rsid w:val="003E5794"/>
    <w:rsid w:val="003E5CBA"/>
    <w:rsid w:val="003E78A9"/>
    <w:rsid w:val="003E7912"/>
    <w:rsid w:val="003F04E6"/>
    <w:rsid w:val="003F199E"/>
    <w:rsid w:val="003F2CDD"/>
    <w:rsid w:val="003F3027"/>
    <w:rsid w:val="003F45D7"/>
    <w:rsid w:val="003F4E23"/>
    <w:rsid w:val="003F4E8A"/>
    <w:rsid w:val="003F5660"/>
    <w:rsid w:val="003F5717"/>
    <w:rsid w:val="003F5A39"/>
    <w:rsid w:val="003F5B56"/>
    <w:rsid w:val="003F5B9F"/>
    <w:rsid w:val="003F5C1A"/>
    <w:rsid w:val="003F6A6A"/>
    <w:rsid w:val="003F738D"/>
    <w:rsid w:val="003F7554"/>
    <w:rsid w:val="003F7845"/>
    <w:rsid w:val="003F7FA1"/>
    <w:rsid w:val="003F7FA4"/>
    <w:rsid w:val="004006EA"/>
    <w:rsid w:val="004008DE"/>
    <w:rsid w:val="00400B4E"/>
    <w:rsid w:val="0040130D"/>
    <w:rsid w:val="00402C01"/>
    <w:rsid w:val="00402E56"/>
    <w:rsid w:val="00403634"/>
    <w:rsid w:val="00403A99"/>
    <w:rsid w:val="00404592"/>
    <w:rsid w:val="00404B58"/>
    <w:rsid w:val="0040544F"/>
    <w:rsid w:val="00405537"/>
    <w:rsid w:val="0040625C"/>
    <w:rsid w:val="004069D2"/>
    <w:rsid w:val="00406AC8"/>
    <w:rsid w:val="004076FF"/>
    <w:rsid w:val="00411B17"/>
    <w:rsid w:val="0041222D"/>
    <w:rsid w:val="004124F2"/>
    <w:rsid w:val="00412E6F"/>
    <w:rsid w:val="00413941"/>
    <w:rsid w:val="00413C5C"/>
    <w:rsid w:val="0041413F"/>
    <w:rsid w:val="0041567A"/>
    <w:rsid w:val="00415BAB"/>
    <w:rsid w:val="00415BCF"/>
    <w:rsid w:val="00416297"/>
    <w:rsid w:val="00417083"/>
    <w:rsid w:val="00417F11"/>
    <w:rsid w:val="0042057C"/>
    <w:rsid w:val="00420BDF"/>
    <w:rsid w:val="004212D5"/>
    <w:rsid w:val="00421608"/>
    <w:rsid w:val="00421C23"/>
    <w:rsid w:val="0042261E"/>
    <w:rsid w:val="00422749"/>
    <w:rsid w:val="004228F2"/>
    <w:rsid w:val="004233DC"/>
    <w:rsid w:val="00424888"/>
    <w:rsid w:val="004255D9"/>
    <w:rsid w:val="00425763"/>
    <w:rsid w:val="00425C3C"/>
    <w:rsid w:val="00427D1B"/>
    <w:rsid w:val="00427E40"/>
    <w:rsid w:val="004306AB"/>
    <w:rsid w:val="0043159D"/>
    <w:rsid w:val="0043171D"/>
    <w:rsid w:val="00432E3D"/>
    <w:rsid w:val="00432F78"/>
    <w:rsid w:val="004334A2"/>
    <w:rsid w:val="004335BC"/>
    <w:rsid w:val="004339E6"/>
    <w:rsid w:val="00434723"/>
    <w:rsid w:val="00434729"/>
    <w:rsid w:val="00434991"/>
    <w:rsid w:val="0043617B"/>
    <w:rsid w:val="00436649"/>
    <w:rsid w:val="00436E68"/>
    <w:rsid w:val="00437D17"/>
    <w:rsid w:val="00437D2F"/>
    <w:rsid w:val="0044046D"/>
    <w:rsid w:val="00440F1D"/>
    <w:rsid w:val="004410D3"/>
    <w:rsid w:val="00441A5B"/>
    <w:rsid w:val="00441DAF"/>
    <w:rsid w:val="0044270D"/>
    <w:rsid w:val="00442E8C"/>
    <w:rsid w:val="0044312A"/>
    <w:rsid w:val="00443310"/>
    <w:rsid w:val="00443413"/>
    <w:rsid w:val="004435D5"/>
    <w:rsid w:val="00443A34"/>
    <w:rsid w:val="00443D38"/>
    <w:rsid w:val="00444140"/>
    <w:rsid w:val="00444BF5"/>
    <w:rsid w:val="00444F43"/>
    <w:rsid w:val="00446364"/>
    <w:rsid w:val="00447C23"/>
    <w:rsid w:val="00450744"/>
    <w:rsid w:val="00450BE7"/>
    <w:rsid w:val="00450FE8"/>
    <w:rsid w:val="0045213A"/>
    <w:rsid w:val="0045230E"/>
    <w:rsid w:val="004528FA"/>
    <w:rsid w:val="00452D67"/>
    <w:rsid w:val="00452E53"/>
    <w:rsid w:val="0045418C"/>
    <w:rsid w:val="004542C6"/>
    <w:rsid w:val="00454AD8"/>
    <w:rsid w:val="00454EDC"/>
    <w:rsid w:val="00455B00"/>
    <w:rsid w:val="00455B97"/>
    <w:rsid w:val="00456635"/>
    <w:rsid w:val="00456BFD"/>
    <w:rsid w:val="004575D5"/>
    <w:rsid w:val="00457657"/>
    <w:rsid w:val="004600BF"/>
    <w:rsid w:val="004607D0"/>
    <w:rsid w:val="00460CE3"/>
    <w:rsid w:val="004612A4"/>
    <w:rsid w:val="0046153C"/>
    <w:rsid w:val="004624D2"/>
    <w:rsid w:val="004625C8"/>
    <w:rsid w:val="00462AA7"/>
    <w:rsid w:val="00462DCE"/>
    <w:rsid w:val="0046442A"/>
    <w:rsid w:val="00464BF1"/>
    <w:rsid w:val="00465D73"/>
    <w:rsid w:val="00466078"/>
    <w:rsid w:val="0046626B"/>
    <w:rsid w:val="00467490"/>
    <w:rsid w:val="004676E4"/>
    <w:rsid w:val="00467AFF"/>
    <w:rsid w:val="00467D2D"/>
    <w:rsid w:val="00470183"/>
    <w:rsid w:val="004708C9"/>
    <w:rsid w:val="00470C48"/>
    <w:rsid w:val="0047139F"/>
    <w:rsid w:val="00471429"/>
    <w:rsid w:val="004722B1"/>
    <w:rsid w:val="00473A47"/>
    <w:rsid w:val="00473A4F"/>
    <w:rsid w:val="00473C0A"/>
    <w:rsid w:val="00473EEF"/>
    <w:rsid w:val="00474415"/>
    <w:rsid w:val="00474BC1"/>
    <w:rsid w:val="00475E96"/>
    <w:rsid w:val="00476112"/>
    <w:rsid w:val="004763EC"/>
    <w:rsid w:val="0047722F"/>
    <w:rsid w:val="00477459"/>
    <w:rsid w:val="00477CC9"/>
    <w:rsid w:val="004800A1"/>
    <w:rsid w:val="0048026E"/>
    <w:rsid w:val="00480303"/>
    <w:rsid w:val="004807A9"/>
    <w:rsid w:val="00480A8A"/>
    <w:rsid w:val="00480F76"/>
    <w:rsid w:val="004810A5"/>
    <w:rsid w:val="004810E0"/>
    <w:rsid w:val="00481318"/>
    <w:rsid w:val="00481363"/>
    <w:rsid w:val="004813EE"/>
    <w:rsid w:val="00481835"/>
    <w:rsid w:val="004825DF"/>
    <w:rsid w:val="00482CDC"/>
    <w:rsid w:val="00482FB0"/>
    <w:rsid w:val="00483B03"/>
    <w:rsid w:val="0048444C"/>
    <w:rsid w:val="00484B0B"/>
    <w:rsid w:val="00485058"/>
    <w:rsid w:val="00485702"/>
    <w:rsid w:val="004858A8"/>
    <w:rsid w:val="004867EC"/>
    <w:rsid w:val="00486A37"/>
    <w:rsid w:val="00487662"/>
    <w:rsid w:val="004876C6"/>
    <w:rsid w:val="00487D7B"/>
    <w:rsid w:val="0049064A"/>
    <w:rsid w:val="00490F7A"/>
    <w:rsid w:val="00490FD5"/>
    <w:rsid w:val="00491241"/>
    <w:rsid w:val="00491813"/>
    <w:rsid w:val="00493278"/>
    <w:rsid w:val="00493855"/>
    <w:rsid w:val="004951D8"/>
    <w:rsid w:val="004952C1"/>
    <w:rsid w:val="00497575"/>
    <w:rsid w:val="004A078B"/>
    <w:rsid w:val="004A0ECC"/>
    <w:rsid w:val="004A12C0"/>
    <w:rsid w:val="004A169A"/>
    <w:rsid w:val="004A18C9"/>
    <w:rsid w:val="004A191A"/>
    <w:rsid w:val="004A1A70"/>
    <w:rsid w:val="004A1CA4"/>
    <w:rsid w:val="004A4027"/>
    <w:rsid w:val="004A419E"/>
    <w:rsid w:val="004A4688"/>
    <w:rsid w:val="004A6463"/>
    <w:rsid w:val="004A6B58"/>
    <w:rsid w:val="004B06C3"/>
    <w:rsid w:val="004B0917"/>
    <w:rsid w:val="004B0B09"/>
    <w:rsid w:val="004B140F"/>
    <w:rsid w:val="004B14EB"/>
    <w:rsid w:val="004B21CF"/>
    <w:rsid w:val="004B2DE3"/>
    <w:rsid w:val="004B3FEA"/>
    <w:rsid w:val="004B53F1"/>
    <w:rsid w:val="004B5D6E"/>
    <w:rsid w:val="004B60BA"/>
    <w:rsid w:val="004B6946"/>
    <w:rsid w:val="004B6D89"/>
    <w:rsid w:val="004B6E81"/>
    <w:rsid w:val="004C0023"/>
    <w:rsid w:val="004C0FFE"/>
    <w:rsid w:val="004C136D"/>
    <w:rsid w:val="004C14F3"/>
    <w:rsid w:val="004C1619"/>
    <w:rsid w:val="004C177F"/>
    <w:rsid w:val="004C19E4"/>
    <w:rsid w:val="004C1AD1"/>
    <w:rsid w:val="004C1B59"/>
    <w:rsid w:val="004C24CF"/>
    <w:rsid w:val="004C3C25"/>
    <w:rsid w:val="004C3EEA"/>
    <w:rsid w:val="004C4EA2"/>
    <w:rsid w:val="004C596B"/>
    <w:rsid w:val="004C5E41"/>
    <w:rsid w:val="004C60E7"/>
    <w:rsid w:val="004C664D"/>
    <w:rsid w:val="004C6C64"/>
    <w:rsid w:val="004C7BDE"/>
    <w:rsid w:val="004D0090"/>
    <w:rsid w:val="004D020F"/>
    <w:rsid w:val="004D03D1"/>
    <w:rsid w:val="004D10B0"/>
    <w:rsid w:val="004D11AF"/>
    <w:rsid w:val="004D2672"/>
    <w:rsid w:val="004D2E58"/>
    <w:rsid w:val="004D37D9"/>
    <w:rsid w:val="004D41A2"/>
    <w:rsid w:val="004D4839"/>
    <w:rsid w:val="004D502C"/>
    <w:rsid w:val="004D60A3"/>
    <w:rsid w:val="004D62C0"/>
    <w:rsid w:val="004D71BD"/>
    <w:rsid w:val="004D71CA"/>
    <w:rsid w:val="004E016A"/>
    <w:rsid w:val="004E0461"/>
    <w:rsid w:val="004E12BE"/>
    <w:rsid w:val="004E1B1B"/>
    <w:rsid w:val="004E29B1"/>
    <w:rsid w:val="004E3F87"/>
    <w:rsid w:val="004E461B"/>
    <w:rsid w:val="004E477D"/>
    <w:rsid w:val="004E5890"/>
    <w:rsid w:val="004E79EF"/>
    <w:rsid w:val="004E7B33"/>
    <w:rsid w:val="004F015B"/>
    <w:rsid w:val="004F0368"/>
    <w:rsid w:val="004F0D19"/>
    <w:rsid w:val="004F0DF7"/>
    <w:rsid w:val="004F121B"/>
    <w:rsid w:val="004F140F"/>
    <w:rsid w:val="004F185F"/>
    <w:rsid w:val="004F2811"/>
    <w:rsid w:val="004F2C64"/>
    <w:rsid w:val="004F3326"/>
    <w:rsid w:val="004F5268"/>
    <w:rsid w:val="004F590E"/>
    <w:rsid w:val="004F5966"/>
    <w:rsid w:val="004F6026"/>
    <w:rsid w:val="004F60F4"/>
    <w:rsid w:val="004F62E8"/>
    <w:rsid w:val="004F67C3"/>
    <w:rsid w:val="004F6C17"/>
    <w:rsid w:val="004F7390"/>
    <w:rsid w:val="004F78F8"/>
    <w:rsid w:val="005001A5"/>
    <w:rsid w:val="00500CCD"/>
    <w:rsid w:val="00501286"/>
    <w:rsid w:val="005019AA"/>
    <w:rsid w:val="005019CA"/>
    <w:rsid w:val="00502008"/>
    <w:rsid w:val="005023A9"/>
    <w:rsid w:val="0050240A"/>
    <w:rsid w:val="005032E9"/>
    <w:rsid w:val="00503C3B"/>
    <w:rsid w:val="00503CE7"/>
    <w:rsid w:val="005040C9"/>
    <w:rsid w:val="005042DB"/>
    <w:rsid w:val="0050458E"/>
    <w:rsid w:val="00505928"/>
    <w:rsid w:val="00505CD6"/>
    <w:rsid w:val="00505EA2"/>
    <w:rsid w:val="005069B2"/>
    <w:rsid w:val="0050741A"/>
    <w:rsid w:val="00510452"/>
    <w:rsid w:val="005107BD"/>
    <w:rsid w:val="005108EC"/>
    <w:rsid w:val="005116C2"/>
    <w:rsid w:val="00511F8F"/>
    <w:rsid w:val="00512A7E"/>
    <w:rsid w:val="00513291"/>
    <w:rsid w:val="005133C3"/>
    <w:rsid w:val="0051352C"/>
    <w:rsid w:val="00513AA3"/>
    <w:rsid w:val="00513EA4"/>
    <w:rsid w:val="005147DA"/>
    <w:rsid w:val="00514FBF"/>
    <w:rsid w:val="00514FCB"/>
    <w:rsid w:val="005153AC"/>
    <w:rsid w:val="005153C3"/>
    <w:rsid w:val="00515745"/>
    <w:rsid w:val="00515862"/>
    <w:rsid w:val="005165FE"/>
    <w:rsid w:val="0051690E"/>
    <w:rsid w:val="00516942"/>
    <w:rsid w:val="00516DC0"/>
    <w:rsid w:val="00516DC5"/>
    <w:rsid w:val="00520BBA"/>
    <w:rsid w:val="005225AC"/>
    <w:rsid w:val="005226FA"/>
    <w:rsid w:val="005233F3"/>
    <w:rsid w:val="0052365C"/>
    <w:rsid w:val="005245D2"/>
    <w:rsid w:val="0052488B"/>
    <w:rsid w:val="00524C98"/>
    <w:rsid w:val="00524C9C"/>
    <w:rsid w:val="00524EDD"/>
    <w:rsid w:val="00524FEB"/>
    <w:rsid w:val="0052566B"/>
    <w:rsid w:val="00525B59"/>
    <w:rsid w:val="005269C4"/>
    <w:rsid w:val="00526A20"/>
    <w:rsid w:val="005275CB"/>
    <w:rsid w:val="00527CBA"/>
    <w:rsid w:val="00531966"/>
    <w:rsid w:val="00532472"/>
    <w:rsid w:val="005325C9"/>
    <w:rsid w:val="005326AE"/>
    <w:rsid w:val="005329DA"/>
    <w:rsid w:val="0053322F"/>
    <w:rsid w:val="00533BC1"/>
    <w:rsid w:val="00533DBF"/>
    <w:rsid w:val="00534940"/>
    <w:rsid w:val="00535673"/>
    <w:rsid w:val="00535784"/>
    <w:rsid w:val="00535ACD"/>
    <w:rsid w:val="00535D6B"/>
    <w:rsid w:val="00536442"/>
    <w:rsid w:val="005374FE"/>
    <w:rsid w:val="00540533"/>
    <w:rsid w:val="0054053D"/>
    <w:rsid w:val="0054126C"/>
    <w:rsid w:val="00541368"/>
    <w:rsid w:val="005415DD"/>
    <w:rsid w:val="00541D12"/>
    <w:rsid w:val="005423F3"/>
    <w:rsid w:val="005426DB"/>
    <w:rsid w:val="00543235"/>
    <w:rsid w:val="005442F1"/>
    <w:rsid w:val="00544A24"/>
    <w:rsid w:val="0054583C"/>
    <w:rsid w:val="00546227"/>
    <w:rsid w:val="005468E2"/>
    <w:rsid w:val="00546AF7"/>
    <w:rsid w:val="00546D83"/>
    <w:rsid w:val="00547425"/>
    <w:rsid w:val="00550113"/>
    <w:rsid w:val="0055019B"/>
    <w:rsid w:val="005504BE"/>
    <w:rsid w:val="0055082B"/>
    <w:rsid w:val="0055093A"/>
    <w:rsid w:val="00550F00"/>
    <w:rsid w:val="00551BDF"/>
    <w:rsid w:val="00551ED7"/>
    <w:rsid w:val="0055211C"/>
    <w:rsid w:val="0055263A"/>
    <w:rsid w:val="005526EE"/>
    <w:rsid w:val="00552B57"/>
    <w:rsid w:val="00552E53"/>
    <w:rsid w:val="00553E34"/>
    <w:rsid w:val="005547B7"/>
    <w:rsid w:val="005551E9"/>
    <w:rsid w:val="005560B6"/>
    <w:rsid w:val="0055680D"/>
    <w:rsid w:val="00557670"/>
    <w:rsid w:val="00560094"/>
    <w:rsid w:val="00560C62"/>
    <w:rsid w:val="00561590"/>
    <w:rsid w:val="00562A61"/>
    <w:rsid w:val="00562E78"/>
    <w:rsid w:val="00564E45"/>
    <w:rsid w:val="0056516C"/>
    <w:rsid w:val="005652D5"/>
    <w:rsid w:val="00565E52"/>
    <w:rsid w:val="0056700D"/>
    <w:rsid w:val="00567227"/>
    <w:rsid w:val="00567CD0"/>
    <w:rsid w:val="00570C7B"/>
    <w:rsid w:val="00571C77"/>
    <w:rsid w:val="00572D5B"/>
    <w:rsid w:val="00574614"/>
    <w:rsid w:val="00574A70"/>
    <w:rsid w:val="00574D35"/>
    <w:rsid w:val="00575C75"/>
    <w:rsid w:val="00575EFD"/>
    <w:rsid w:val="005762CA"/>
    <w:rsid w:val="005770CF"/>
    <w:rsid w:val="00577904"/>
    <w:rsid w:val="00577922"/>
    <w:rsid w:val="00577AC3"/>
    <w:rsid w:val="00580577"/>
    <w:rsid w:val="005815A8"/>
    <w:rsid w:val="00581915"/>
    <w:rsid w:val="00582DE6"/>
    <w:rsid w:val="00583431"/>
    <w:rsid w:val="00583447"/>
    <w:rsid w:val="005846C0"/>
    <w:rsid w:val="00584D04"/>
    <w:rsid w:val="0058567E"/>
    <w:rsid w:val="00585DE1"/>
    <w:rsid w:val="00585FB9"/>
    <w:rsid w:val="0058659E"/>
    <w:rsid w:val="005869EE"/>
    <w:rsid w:val="00586B43"/>
    <w:rsid w:val="005872DD"/>
    <w:rsid w:val="00587CF2"/>
    <w:rsid w:val="00587D3A"/>
    <w:rsid w:val="00590346"/>
    <w:rsid w:val="00590BA2"/>
    <w:rsid w:val="00590CA7"/>
    <w:rsid w:val="00590E93"/>
    <w:rsid w:val="005915E1"/>
    <w:rsid w:val="00591C75"/>
    <w:rsid w:val="00592D10"/>
    <w:rsid w:val="0059388B"/>
    <w:rsid w:val="00593A5F"/>
    <w:rsid w:val="0059404E"/>
    <w:rsid w:val="00594269"/>
    <w:rsid w:val="00594D75"/>
    <w:rsid w:val="00595539"/>
    <w:rsid w:val="00596B33"/>
    <w:rsid w:val="00597108"/>
    <w:rsid w:val="005976DB"/>
    <w:rsid w:val="005A042A"/>
    <w:rsid w:val="005A05DE"/>
    <w:rsid w:val="005A1888"/>
    <w:rsid w:val="005A3E82"/>
    <w:rsid w:val="005A4287"/>
    <w:rsid w:val="005A4DB0"/>
    <w:rsid w:val="005A5597"/>
    <w:rsid w:val="005A57BF"/>
    <w:rsid w:val="005A6AC2"/>
    <w:rsid w:val="005A6DEB"/>
    <w:rsid w:val="005A7A65"/>
    <w:rsid w:val="005A7B26"/>
    <w:rsid w:val="005A7B8E"/>
    <w:rsid w:val="005B012B"/>
    <w:rsid w:val="005B0C87"/>
    <w:rsid w:val="005B0FE9"/>
    <w:rsid w:val="005B2195"/>
    <w:rsid w:val="005B26C7"/>
    <w:rsid w:val="005B2D65"/>
    <w:rsid w:val="005B3877"/>
    <w:rsid w:val="005B39DD"/>
    <w:rsid w:val="005B3AC8"/>
    <w:rsid w:val="005B3CC1"/>
    <w:rsid w:val="005B4002"/>
    <w:rsid w:val="005B4580"/>
    <w:rsid w:val="005B45AB"/>
    <w:rsid w:val="005B4D8F"/>
    <w:rsid w:val="005B6551"/>
    <w:rsid w:val="005B71A8"/>
    <w:rsid w:val="005B744B"/>
    <w:rsid w:val="005C0A6F"/>
    <w:rsid w:val="005C0FA7"/>
    <w:rsid w:val="005C155F"/>
    <w:rsid w:val="005C1C0E"/>
    <w:rsid w:val="005C330C"/>
    <w:rsid w:val="005C36E2"/>
    <w:rsid w:val="005C3E9E"/>
    <w:rsid w:val="005C400C"/>
    <w:rsid w:val="005C410C"/>
    <w:rsid w:val="005C4BF1"/>
    <w:rsid w:val="005C4BF2"/>
    <w:rsid w:val="005C4C6A"/>
    <w:rsid w:val="005C52D4"/>
    <w:rsid w:val="005C5BED"/>
    <w:rsid w:val="005C5D86"/>
    <w:rsid w:val="005C6167"/>
    <w:rsid w:val="005C6ADB"/>
    <w:rsid w:val="005C6EE2"/>
    <w:rsid w:val="005C764B"/>
    <w:rsid w:val="005C7A07"/>
    <w:rsid w:val="005C7DDC"/>
    <w:rsid w:val="005C7F7C"/>
    <w:rsid w:val="005D0BAD"/>
    <w:rsid w:val="005D0C09"/>
    <w:rsid w:val="005D0C0A"/>
    <w:rsid w:val="005D107D"/>
    <w:rsid w:val="005D123A"/>
    <w:rsid w:val="005D2506"/>
    <w:rsid w:val="005D2BB5"/>
    <w:rsid w:val="005D3677"/>
    <w:rsid w:val="005D4222"/>
    <w:rsid w:val="005D4E4C"/>
    <w:rsid w:val="005D5B5E"/>
    <w:rsid w:val="005D5C85"/>
    <w:rsid w:val="005D5CA0"/>
    <w:rsid w:val="005D6817"/>
    <w:rsid w:val="005D69AB"/>
    <w:rsid w:val="005D72FC"/>
    <w:rsid w:val="005D74AE"/>
    <w:rsid w:val="005D7DFC"/>
    <w:rsid w:val="005E035A"/>
    <w:rsid w:val="005E0464"/>
    <w:rsid w:val="005E0681"/>
    <w:rsid w:val="005E0FA0"/>
    <w:rsid w:val="005E1218"/>
    <w:rsid w:val="005E18EC"/>
    <w:rsid w:val="005E1A55"/>
    <w:rsid w:val="005E1B6B"/>
    <w:rsid w:val="005E1F61"/>
    <w:rsid w:val="005E2281"/>
    <w:rsid w:val="005E236C"/>
    <w:rsid w:val="005E32C9"/>
    <w:rsid w:val="005E351B"/>
    <w:rsid w:val="005E38A8"/>
    <w:rsid w:val="005E39F9"/>
    <w:rsid w:val="005E4828"/>
    <w:rsid w:val="005E4887"/>
    <w:rsid w:val="005E5016"/>
    <w:rsid w:val="005E5231"/>
    <w:rsid w:val="005E55BB"/>
    <w:rsid w:val="005E5D11"/>
    <w:rsid w:val="005E667C"/>
    <w:rsid w:val="005E6A1D"/>
    <w:rsid w:val="005E6F12"/>
    <w:rsid w:val="005E733E"/>
    <w:rsid w:val="005E7428"/>
    <w:rsid w:val="005F0694"/>
    <w:rsid w:val="005F06E1"/>
    <w:rsid w:val="005F077C"/>
    <w:rsid w:val="005F0B88"/>
    <w:rsid w:val="005F1735"/>
    <w:rsid w:val="005F187E"/>
    <w:rsid w:val="005F252A"/>
    <w:rsid w:val="005F2634"/>
    <w:rsid w:val="005F3CE8"/>
    <w:rsid w:val="005F4D9B"/>
    <w:rsid w:val="005F4F41"/>
    <w:rsid w:val="005F566D"/>
    <w:rsid w:val="005F648F"/>
    <w:rsid w:val="005F68C3"/>
    <w:rsid w:val="005F7D87"/>
    <w:rsid w:val="0060091D"/>
    <w:rsid w:val="006015B7"/>
    <w:rsid w:val="00601794"/>
    <w:rsid w:val="00601E94"/>
    <w:rsid w:val="006021B1"/>
    <w:rsid w:val="0060249E"/>
    <w:rsid w:val="006037C5"/>
    <w:rsid w:val="006040CE"/>
    <w:rsid w:val="0060467D"/>
    <w:rsid w:val="00604DF3"/>
    <w:rsid w:val="0060585E"/>
    <w:rsid w:val="00605B9D"/>
    <w:rsid w:val="00606213"/>
    <w:rsid w:val="00606B57"/>
    <w:rsid w:val="00606B85"/>
    <w:rsid w:val="00607390"/>
    <w:rsid w:val="006076D8"/>
    <w:rsid w:val="00607E6D"/>
    <w:rsid w:val="0061061D"/>
    <w:rsid w:val="00611816"/>
    <w:rsid w:val="00611A3B"/>
    <w:rsid w:val="006120CA"/>
    <w:rsid w:val="00612389"/>
    <w:rsid w:val="00612570"/>
    <w:rsid w:val="006127BD"/>
    <w:rsid w:val="00612871"/>
    <w:rsid w:val="00612929"/>
    <w:rsid w:val="00612A44"/>
    <w:rsid w:val="00612A8E"/>
    <w:rsid w:val="00613098"/>
    <w:rsid w:val="006134D9"/>
    <w:rsid w:val="006135DA"/>
    <w:rsid w:val="00613BDC"/>
    <w:rsid w:val="00614921"/>
    <w:rsid w:val="00615564"/>
    <w:rsid w:val="006155E2"/>
    <w:rsid w:val="00615F26"/>
    <w:rsid w:val="00616CCC"/>
    <w:rsid w:val="00617A81"/>
    <w:rsid w:val="00617C11"/>
    <w:rsid w:val="00617DEC"/>
    <w:rsid w:val="00620579"/>
    <w:rsid w:val="0062080B"/>
    <w:rsid w:val="006208AA"/>
    <w:rsid w:val="0062128D"/>
    <w:rsid w:val="0062228D"/>
    <w:rsid w:val="006224D1"/>
    <w:rsid w:val="0062258F"/>
    <w:rsid w:val="00622732"/>
    <w:rsid w:val="00622E6D"/>
    <w:rsid w:val="00623BC7"/>
    <w:rsid w:val="00623E70"/>
    <w:rsid w:val="006241D0"/>
    <w:rsid w:val="00624425"/>
    <w:rsid w:val="00624665"/>
    <w:rsid w:val="0062532E"/>
    <w:rsid w:val="00625434"/>
    <w:rsid w:val="0062576B"/>
    <w:rsid w:val="00625C5F"/>
    <w:rsid w:val="00626032"/>
    <w:rsid w:val="0062696C"/>
    <w:rsid w:val="00627643"/>
    <w:rsid w:val="00627788"/>
    <w:rsid w:val="006300CD"/>
    <w:rsid w:val="0063017E"/>
    <w:rsid w:val="00630723"/>
    <w:rsid w:val="00630D61"/>
    <w:rsid w:val="00630EAE"/>
    <w:rsid w:val="006312D0"/>
    <w:rsid w:val="006318A4"/>
    <w:rsid w:val="00631979"/>
    <w:rsid w:val="00631A11"/>
    <w:rsid w:val="00631D4F"/>
    <w:rsid w:val="006321B6"/>
    <w:rsid w:val="006327C6"/>
    <w:rsid w:val="00633496"/>
    <w:rsid w:val="006338D2"/>
    <w:rsid w:val="00633F92"/>
    <w:rsid w:val="0063435E"/>
    <w:rsid w:val="00634CB2"/>
    <w:rsid w:val="0063526A"/>
    <w:rsid w:val="006357E2"/>
    <w:rsid w:val="00635FD8"/>
    <w:rsid w:val="00636608"/>
    <w:rsid w:val="00636651"/>
    <w:rsid w:val="006368E4"/>
    <w:rsid w:val="00636F7B"/>
    <w:rsid w:val="00640140"/>
    <w:rsid w:val="0064019C"/>
    <w:rsid w:val="00640288"/>
    <w:rsid w:val="006405AC"/>
    <w:rsid w:val="0064099D"/>
    <w:rsid w:val="006412CD"/>
    <w:rsid w:val="006413D8"/>
    <w:rsid w:val="00641610"/>
    <w:rsid w:val="00641B7B"/>
    <w:rsid w:val="00641C55"/>
    <w:rsid w:val="00642405"/>
    <w:rsid w:val="00642645"/>
    <w:rsid w:val="006437E8"/>
    <w:rsid w:val="006438E0"/>
    <w:rsid w:val="00644BED"/>
    <w:rsid w:val="006455CB"/>
    <w:rsid w:val="00645AD6"/>
    <w:rsid w:val="00646FD5"/>
    <w:rsid w:val="006472F8"/>
    <w:rsid w:val="00647680"/>
    <w:rsid w:val="00647743"/>
    <w:rsid w:val="006510C0"/>
    <w:rsid w:val="00652092"/>
    <w:rsid w:val="00652472"/>
    <w:rsid w:val="00652F31"/>
    <w:rsid w:val="006535E5"/>
    <w:rsid w:val="0065394E"/>
    <w:rsid w:val="00653B38"/>
    <w:rsid w:val="00654B20"/>
    <w:rsid w:val="00654D37"/>
    <w:rsid w:val="00656385"/>
    <w:rsid w:val="00656F19"/>
    <w:rsid w:val="006579B9"/>
    <w:rsid w:val="00657BB7"/>
    <w:rsid w:val="00660552"/>
    <w:rsid w:val="00660DBE"/>
    <w:rsid w:val="00661113"/>
    <w:rsid w:val="0066127D"/>
    <w:rsid w:val="00661AB0"/>
    <w:rsid w:val="00661B6A"/>
    <w:rsid w:val="006623A4"/>
    <w:rsid w:val="0066351C"/>
    <w:rsid w:val="006635BF"/>
    <w:rsid w:val="00664498"/>
    <w:rsid w:val="00664693"/>
    <w:rsid w:val="00664DC0"/>
    <w:rsid w:val="006651CC"/>
    <w:rsid w:val="0066582B"/>
    <w:rsid w:val="006658DA"/>
    <w:rsid w:val="00665CA1"/>
    <w:rsid w:val="00667421"/>
    <w:rsid w:val="0066780E"/>
    <w:rsid w:val="00667A31"/>
    <w:rsid w:val="00670702"/>
    <w:rsid w:val="006708D1"/>
    <w:rsid w:val="006708EB"/>
    <w:rsid w:val="0067147C"/>
    <w:rsid w:val="00672A8A"/>
    <w:rsid w:val="00673F2E"/>
    <w:rsid w:val="00673F50"/>
    <w:rsid w:val="00674EEA"/>
    <w:rsid w:val="0067549D"/>
    <w:rsid w:val="006759B0"/>
    <w:rsid w:val="00677012"/>
    <w:rsid w:val="006771EA"/>
    <w:rsid w:val="00680D0E"/>
    <w:rsid w:val="00680F00"/>
    <w:rsid w:val="006825A6"/>
    <w:rsid w:val="006825B4"/>
    <w:rsid w:val="006829BA"/>
    <w:rsid w:val="00682AF2"/>
    <w:rsid w:val="00682E8A"/>
    <w:rsid w:val="00682FB7"/>
    <w:rsid w:val="006834CA"/>
    <w:rsid w:val="006837DE"/>
    <w:rsid w:val="00683CE0"/>
    <w:rsid w:val="0068537F"/>
    <w:rsid w:val="00686104"/>
    <w:rsid w:val="00686334"/>
    <w:rsid w:val="0068687A"/>
    <w:rsid w:val="00686C3A"/>
    <w:rsid w:val="00686CBF"/>
    <w:rsid w:val="00686EEB"/>
    <w:rsid w:val="00687628"/>
    <w:rsid w:val="00687CFE"/>
    <w:rsid w:val="0069035A"/>
    <w:rsid w:val="00690EB8"/>
    <w:rsid w:val="0069109D"/>
    <w:rsid w:val="006915E5"/>
    <w:rsid w:val="00692401"/>
    <w:rsid w:val="00693116"/>
    <w:rsid w:val="00693B7A"/>
    <w:rsid w:val="006941CC"/>
    <w:rsid w:val="006942BA"/>
    <w:rsid w:val="00694501"/>
    <w:rsid w:val="006945D4"/>
    <w:rsid w:val="006948DE"/>
    <w:rsid w:val="00694EC0"/>
    <w:rsid w:val="006951C8"/>
    <w:rsid w:val="00695852"/>
    <w:rsid w:val="00695F56"/>
    <w:rsid w:val="0069758B"/>
    <w:rsid w:val="00697F88"/>
    <w:rsid w:val="006A0A70"/>
    <w:rsid w:val="006A0B6C"/>
    <w:rsid w:val="006A1692"/>
    <w:rsid w:val="006A16E1"/>
    <w:rsid w:val="006A179F"/>
    <w:rsid w:val="006A188D"/>
    <w:rsid w:val="006A3293"/>
    <w:rsid w:val="006A36DF"/>
    <w:rsid w:val="006A3C8A"/>
    <w:rsid w:val="006A3E61"/>
    <w:rsid w:val="006A482F"/>
    <w:rsid w:val="006A5213"/>
    <w:rsid w:val="006A6003"/>
    <w:rsid w:val="006A6737"/>
    <w:rsid w:val="006B0AE6"/>
    <w:rsid w:val="006B0E89"/>
    <w:rsid w:val="006B1E08"/>
    <w:rsid w:val="006B1E1B"/>
    <w:rsid w:val="006B2099"/>
    <w:rsid w:val="006B26B1"/>
    <w:rsid w:val="006B2E45"/>
    <w:rsid w:val="006B33DC"/>
    <w:rsid w:val="006B341B"/>
    <w:rsid w:val="006B3875"/>
    <w:rsid w:val="006B425B"/>
    <w:rsid w:val="006B48CB"/>
    <w:rsid w:val="006B545C"/>
    <w:rsid w:val="006B5AC8"/>
    <w:rsid w:val="006B5D32"/>
    <w:rsid w:val="006B758B"/>
    <w:rsid w:val="006B7BF8"/>
    <w:rsid w:val="006C0E54"/>
    <w:rsid w:val="006C0F11"/>
    <w:rsid w:val="006C23E1"/>
    <w:rsid w:val="006C25D5"/>
    <w:rsid w:val="006C25F9"/>
    <w:rsid w:val="006C262B"/>
    <w:rsid w:val="006C31C6"/>
    <w:rsid w:val="006C3A2D"/>
    <w:rsid w:val="006C4666"/>
    <w:rsid w:val="006C49BF"/>
    <w:rsid w:val="006C5F76"/>
    <w:rsid w:val="006C63D7"/>
    <w:rsid w:val="006C6894"/>
    <w:rsid w:val="006C69D9"/>
    <w:rsid w:val="006C7535"/>
    <w:rsid w:val="006C76A6"/>
    <w:rsid w:val="006C796D"/>
    <w:rsid w:val="006D0525"/>
    <w:rsid w:val="006D08DC"/>
    <w:rsid w:val="006D09D1"/>
    <w:rsid w:val="006D23FF"/>
    <w:rsid w:val="006D29EC"/>
    <w:rsid w:val="006D2F09"/>
    <w:rsid w:val="006D2FD2"/>
    <w:rsid w:val="006D33E6"/>
    <w:rsid w:val="006D3DC0"/>
    <w:rsid w:val="006D40C4"/>
    <w:rsid w:val="006D4162"/>
    <w:rsid w:val="006D419E"/>
    <w:rsid w:val="006D453E"/>
    <w:rsid w:val="006D5303"/>
    <w:rsid w:val="006D5E84"/>
    <w:rsid w:val="006D7A4C"/>
    <w:rsid w:val="006D7C99"/>
    <w:rsid w:val="006E0443"/>
    <w:rsid w:val="006E0C50"/>
    <w:rsid w:val="006E0DCF"/>
    <w:rsid w:val="006E14D6"/>
    <w:rsid w:val="006E1647"/>
    <w:rsid w:val="006E2298"/>
    <w:rsid w:val="006E2F09"/>
    <w:rsid w:val="006E2F3A"/>
    <w:rsid w:val="006E310A"/>
    <w:rsid w:val="006E3C3E"/>
    <w:rsid w:val="006E3FBD"/>
    <w:rsid w:val="006E40C7"/>
    <w:rsid w:val="006E429F"/>
    <w:rsid w:val="006E47E0"/>
    <w:rsid w:val="006E50E4"/>
    <w:rsid w:val="006E6F30"/>
    <w:rsid w:val="006E6FE9"/>
    <w:rsid w:val="006E7082"/>
    <w:rsid w:val="006E709F"/>
    <w:rsid w:val="006E7F73"/>
    <w:rsid w:val="006F030F"/>
    <w:rsid w:val="006F193C"/>
    <w:rsid w:val="006F1B58"/>
    <w:rsid w:val="006F27DC"/>
    <w:rsid w:val="006F2B89"/>
    <w:rsid w:val="006F3149"/>
    <w:rsid w:val="006F36F1"/>
    <w:rsid w:val="006F3B81"/>
    <w:rsid w:val="006F497F"/>
    <w:rsid w:val="006F4D59"/>
    <w:rsid w:val="006F4F79"/>
    <w:rsid w:val="006F4F80"/>
    <w:rsid w:val="006F5532"/>
    <w:rsid w:val="006F5ADA"/>
    <w:rsid w:val="006F62CC"/>
    <w:rsid w:val="006F644B"/>
    <w:rsid w:val="006F663C"/>
    <w:rsid w:val="006F66C1"/>
    <w:rsid w:val="006F681D"/>
    <w:rsid w:val="006F731E"/>
    <w:rsid w:val="006F78E9"/>
    <w:rsid w:val="0070235F"/>
    <w:rsid w:val="00702BC3"/>
    <w:rsid w:val="00702FF3"/>
    <w:rsid w:val="007032AC"/>
    <w:rsid w:val="00703496"/>
    <w:rsid w:val="007036FE"/>
    <w:rsid w:val="00703AB1"/>
    <w:rsid w:val="00704614"/>
    <w:rsid w:val="00704670"/>
    <w:rsid w:val="00704DEB"/>
    <w:rsid w:val="007054DC"/>
    <w:rsid w:val="00705623"/>
    <w:rsid w:val="00705B37"/>
    <w:rsid w:val="0070658A"/>
    <w:rsid w:val="00706B65"/>
    <w:rsid w:val="007071AF"/>
    <w:rsid w:val="00707C1A"/>
    <w:rsid w:val="00710023"/>
    <w:rsid w:val="00710207"/>
    <w:rsid w:val="0071023D"/>
    <w:rsid w:val="007104CB"/>
    <w:rsid w:val="00710530"/>
    <w:rsid w:val="007107BD"/>
    <w:rsid w:val="00711E77"/>
    <w:rsid w:val="00711EDA"/>
    <w:rsid w:val="00712912"/>
    <w:rsid w:val="00713AAC"/>
    <w:rsid w:val="007141DC"/>
    <w:rsid w:val="00714B04"/>
    <w:rsid w:val="00714F75"/>
    <w:rsid w:val="007155CE"/>
    <w:rsid w:val="007168A0"/>
    <w:rsid w:val="00716BC6"/>
    <w:rsid w:val="00716C95"/>
    <w:rsid w:val="007171AE"/>
    <w:rsid w:val="00717762"/>
    <w:rsid w:val="0071778C"/>
    <w:rsid w:val="00717F1A"/>
    <w:rsid w:val="007204DA"/>
    <w:rsid w:val="00721A63"/>
    <w:rsid w:val="00721DED"/>
    <w:rsid w:val="00721FF9"/>
    <w:rsid w:val="0072229E"/>
    <w:rsid w:val="00722CF8"/>
    <w:rsid w:val="00722F53"/>
    <w:rsid w:val="0072337E"/>
    <w:rsid w:val="00723696"/>
    <w:rsid w:val="0072442F"/>
    <w:rsid w:val="00725189"/>
    <w:rsid w:val="0072541E"/>
    <w:rsid w:val="00725735"/>
    <w:rsid w:val="0072630D"/>
    <w:rsid w:val="00726A2A"/>
    <w:rsid w:val="00726D47"/>
    <w:rsid w:val="007271E9"/>
    <w:rsid w:val="007272FC"/>
    <w:rsid w:val="007273BC"/>
    <w:rsid w:val="007275FD"/>
    <w:rsid w:val="007276E5"/>
    <w:rsid w:val="00730943"/>
    <w:rsid w:val="00731D5E"/>
    <w:rsid w:val="00732492"/>
    <w:rsid w:val="00733E5A"/>
    <w:rsid w:val="00733F25"/>
    <w:rsid w:val="00736395"/>
    <w:rsid w:val="00736459"/>
    <w:rsid w:val="0073685F"/>
    <w:rsid w:val="00737821"/>
    <w:rsid w:val="007403EC"/>
    <w:rsid w:val="0074058F"/>
    <w:rsid w:val="00740E86"/>
    <w:rsid w:val="00741175"/>
    <w:rsid w:val="007419FB"/>
    <w:rsid w:val="00742606"/>
    <w:rsid w:val="007440F5"/>
    <w:rsid w:val="007441FF"/>
    <w:rsid w:val="00744EE8"/>
    <w:rsid w:val="00744F42"/>
    <w:rsid w:val="007455D4"/>
    <w:rsid w:val="007459F5"/>
    <w:rsid w:val="00746713"/>
    <w:rsid w:val="007467E4"/>
    <w:rsid w:val="00746B08"/>
    <w:rsid w:val="00747569"/>
    <w:rsid w:val="00750238"/>
    <w:rsid w:val="0075023C"/>
    <w:rsid w:val="007518E3"/>
    <w:rsid w:val="007518E9"/>
    <w:rsid w:val="00752247"/>
    <w:rsid w:val="007523E7"/>
    <w:rsid w:val="007524C4"/>
    <w:rsid w:val="00752AF1"/>
    <w:rsid w:val="007531CA"/>
    <w:rsid w:val="00754252"/>
    <w:rsid w:val="007561C3"/>
    <w:rsid w:val="007577B1"/>
    <w:rsid w:val="00757CB3"/>
    <w:rsid w:val="00757D87"/>
    <w:rsid w:val="00760EED"/>
    <w:rsid w:val="0076109F"/>
    <w:rsid w:val="00761399"/>
    <w:rsid w:val="00761615"/>
    <w:rsid w:val="007616DA"/>
    <w:rsid w:val="007619CE"/>
    <w:rsid w:val="00761F4F"/>
    <w:rsid w:val="0076207C"/>
    <w:rsid w:val="007620DC"/>
    <w:rsid w:val="00762102"/>
    <w:rsid w:val="0076255D"/>
    <w:rsid w:val="007625F6"/>
    <w:rsid w:val="00762B8B"/>
    <w:rsid w:val="0076325B"/>
    <w:rsid w:val="00763D3D"/>
    <w:rsid w:val="00764AF9"/>
    <w:rsid w:val="007650AD"/>
    <w:rsid w:val="00765613"/>
    <w:rsid w:val="00765D18"/>
    <w:rsid w:val="0076640B"/>
    <w:rsid w:val="0076727C"/>
    <w:rsid w:val="007673DE"/>
    <w:rsid w:val="00767F96"/>
    <w:rsid w:val="00770306"/>
    <w:rsid w:val="00770C54"/>
    <w:rsid w:val="00771344"/>
    <w:rsid w:val="00771509"/>
    <w:rsid w:val="00772613"/>
    <w:rsid w:val="00772B41"/>
    <w:rsid w:val="00772CED"/>
    <w:rsid w:val="00773EA1"/>
    <w:rsid w:val="00775215"/>
    <w:rsid w:val="00775634"/>
    <w:rsid w:val="00775748"/>
    <w:rsid w:val="00776ACC"/>
    <w:rsid w:val="00777AE2"/>
    <w:rsid w:val="00777C71"/>
    <w:rsid w:val="00777D6B"/>
    <w:rsid w:val="00777F20"/>
    <w:rsid w:val="0078080B"/>
    <w:rsid w:val="00781148"/>
    <w:rsid w:val="0078120F"/>
    <w:rsid w:val="00781F98"/>
    <w:rsid w:val="0078265B"/>
    <w:rsid w:val="00782AFE"/>
    <w:rsid w:val="00782E10"/>
    <w:rsid w:val="00783603"/>
    <w:rsid w:val="00784926"/>
    <w:rsid w:val="00784DB8"/>
    <w:rsid w:val="00784FDD"/>
    <w:rsid w:val="0078508F"/>
    <w:rsid w:val="00786448"/>
    <w:rsid w:val="00786A28"/>
    <w:rsid w:val="007875D7"/>
    <w:rsid w:val="00790077"/>
    <w:rsid w:val="007906B2"/>
    <w:rsid w:val="0079134E"/>
    <w:rsid w:val="007915E2"/>
    <w:rsid w:val="007925F0"/>
    <w:rsid w:val="0079278E"/>
    <w:rsid w:val="00792DCA"/>
    <w:rsid w:val="00792E3C"/>
    <w:rsid w:val="007930C1"/>
    <w:rsid w:val="0079315D"/>
    <w:rsid w:val="00793B45"/>
    <w:rsid w:val="00795706"/>
    <w:rsid w:val="007960E3"/>
    <w:rsid w:val="00796F7C"/>
    <w:rsid w:val="00797131"/>
    <w:rsid w:val="00797254"/>
    <w:rsid w:val="00797430"/>
    <w:rsid w:val="007A0F8D"/>
    <w:rsid w:val="007A1078"/>
    <w:rsid w:val="007A180A"/>
    <w:rsid w:val="007A2304"/>
    <w:rsid w:val="007A257D"/>
    <w:rsid w:val="007A2CB0"/>
    <w:rsid w:val="007A343D"/>
    <w:rsid w:val="007A38CE"/>
    <w:rsid w:val="007A3F1C"/>
    <w:rsid w:val="007A46E6"/>
    <w:rsid w:val="007A48D8"/>
    <w:rsid w:val="007A5ACE"/>
    <w:rsid w:val="007A5C5C"/>
    <w:rsid w:val="007A6528"/>
    <w:rsid w:val="007A7B48"/>
    <w:rsid w:val="007A7FD7"/>
    <w:rsid w:val="007B0745"/>
    <w:rsid w:val="007B18C6"/>
    <w:rsid w:val="007B20C2"/>
    <w:rsid w:val="007B25D5"/>
    <w:rsid w:val="007B27E4"/>
    <w:rsid w:val="007B2910"/>
    <w:rsid w:val="007B301D"/>
    <w:rsid w:val="007B3264"/>
    <w:rsid w:val="007B35F6"/>
    <w:rsid w:val="007B3F87"/>
    <w:rsid w:val="007B404F"/>
    <w:rsid w:val="007B44A6"/>
    <w:rsid w:val="007B494E"/>
    <w:rsid w:val="007B4C5E"/>
    <w:rsid w:val="007B7462"/>
    <w:rsid w:val="007B7B52"/>
    <w:rsid w:val="007B7CC2"/>
    <w:rsid w:val="007C02A3"/>
    <w:rsid w:val="007C0C55"/>
    <w:rsid w:val="007C1507"/>
    <w:rsid w:val="007C2F60"/>
    <w:rsid w:val="007C456C"/>
    <w:rsid w:val="007C4D8D"/>
    <w:rsid w:val="007C5144"/>
    <w:rsid w:val="007C5613"/>
    <w:rsid w:val="007C6138"/>
    <w:rsid w:val="007C6153"/>
    <w:rsid w:val="007C6849"/>
    <w:rsid w:val="007C6BC6"/>
    <w:rsid w:val="007C6C12"/>
    <w:rsid w:val="007C73B2"/>
    <w:rsid w:val="007C7DB6"/>
    <w:rsid w:val="007D0435"/>
    <w:rsid w:val="007D0D3E"/>
    <w:rsid w:val="007D116E"/>
    <w:rsid w:val="007D1B24"/>
    <w:rsid w:val="007D23D4"/>
    <w:rsid w:val="007D267F"/>
    <w:rsid w:val="007D3341"/>
    <w:rsid w:val="007D3A3E"/>
    <w:rsid w:val="007D400A"/>
    <w:rsid w:val="007D4B0E"/>
    <w:rsid w:val="007D4DD2"/>
    <w:rsid w:val="007D5D0F"/>
    <w:rsid w:val="007D6EA8"/>
    <w:rsid w:val="007D7B3C"/>
    <w:rsid w:val="007E05DB"/>
    <w:rsid w:val="007E1247"/>
    <w:rsid w:val="007E1A44"/>
    <w:rsid w:val="007E2419"/>
    <w:rsid w:val="007E2550"/>
    <w:rsid w:val="007E3FF5"/>
    <w:rsid w:val="007E4219"/>
    <w:rsid w:val="007E577E"/>
    <w:rsid w:val="007E635E"/>
    <w:rsid w:val="007E6A9C"/>
    <w:rsid w:val="007E6C0C"/>
    <w:rsid w:val="007E7300"/>
    <w:rsid w:val="007E767B"/>
    <w:rsid w:val="007E7B54"/>
    <w:rsid w:val="007F038C"/>
    <w:rsid w:val="007F0428"/>
    <w:rsid w:val="007F0F24"/>
    <w:rsid w:val="007F1755"/>
    <w:rsid w:val="007F222B"/>
    <w:rsid w:val="007F2CBC"/>
    <w:rsid w:val="007F3092"/>
    <w:rsid w:val="007F30F9"/>
    <w:rsid w:val="007F39B8"/>
    <w:rsid w:val="007F3C03"/>
    <w:rsid w:val="007F3E3F"/>
    <w:rsid w:val="007F45DF"/>
    <w:rsid w:val="007F461D"/>
    <w:rsid w:val="007F4A6F"/>
    <w:rsid w:val="007F4FBC"/>
    <w:rsid w:val="007F5975"/>
    <w:rsid w:val="007F5AB9"/>
    <w:rsid w:val="007F6497"/>
    <w:rsid w:val="007F6836"/>
    <w:rsid w:val="007F7DF2"/>
    <w:rsid w:val="008005E6"/>
    <w:rsid w:val="00800A35"/>
    <w:rsid w:val="00800D91"/>
    <w:rsid w:val="008015F2"/>
    <w:rsid w:val="00801A0E"/>
    <w:rsid w:val="00803362"/>
    <w:rsid w:val="00803C65"/>
    <w:rsid w:val="00804BC0"/>
    <w:rsid w:val="00804E3C"/>
    <w:rsid w:val="00804E4C"/>
    <w:rsid w:val="0080662C"/>
    <w:rsid w:val="008070B2"/>
    <w:rsid w:val="00807D79"/>
    <w:rsid w:val="00810102"/>
    <w:rsid w:val="008102BC"/>
    <w:rsid w:val="00810301"/>
    <w:rsid w:val="008116F3"/>
    <w:rsid w:val="008117C4"/>
    <w:rsid w:val="0081222E"/>
    <w:rsid w:val="00812461"/>
    <w:rsid w:val="008127E0"/>
    <w:rsid w:val="00812810"/>
    <w:rsid w:val="0081398E"/>
    <w:rsid w:val="008149D8"/>
    <w:rsid w:val="00814B34"/>
    <w:rsid w:val="00815714"/>
    <w:rsid w:val="00815A2A"/>
    <w:rsid w:val="0081788A"/>
    <w:rsid w:val="00817927"/>
    <w:rsid w:val="00817CFC"/>
    <w:rsid w:val="00817E82"/>
    <w:rsid w:val="00820147"/>
    <w:rsid w:val="00821971"/>
    <w:rsid w:val="00821D81"/>
    <w:rsid w:val="008225EC"/>
    <w:rsid w:val="00822A52"/>
    <w:rsid w:val="00823654"/>
    <w:rsid w:val="008237F3"/>
    <w:rsid w:val="00823A90"/>
    <w:rsid w:val="00824CEA"/>
    <w:rsid w:val="00825A8A"/>
    <w:rsid w:val="00825C68"/>
    <w:rsid w:val="0082757E"/>
    <w:rsid w:val="0082769C"/>
    <w:rsid w:val="00827B6C"/>
    <w:rsid w:val="00827D77"/>
    <w:rsid w:val="00830259"/>
    <w:rsid w:val="00830561"/>
    <w:rsid w:val="00831115"/>
    <w:rsid w:val="0083115F"/>
    <w:rsid w:val="0083120D"/>
    <w:rsid w:val="0083249C"/>
    <w:rsid w:val="00832D42"/>
    <w:rsid w:val="008333A9"/>
    <w:rsid w:val="00833419"/>
    <w:rsid w:val="008340B6"/>
    <w:rsid w:val="008342A5"/>
    <w:rsid w:val="00834B7C"/>
    <w:rsid w:val="00834BE2"/>
    <w:rsid w:val="00834EA4"/>
    <w:rsid w:val="00835049"/>
    <w:rsid w:val="008354B9"/>
    <w:rsid w:val="00835DCB"/>
    <w:rsid w:val="00836090"/>
    <w:rsid w:val="00836921"/>
    <w:rsid w:val="00837237"/>
    <w:rsid w:val="00837607"/>
    <w:rsid w:val="008376C0"/>
    <w:rsid w:val="0084035D"/>
    <w:rsid w:val="008405F9"/>
    <w:rsid w:val="0084060B"/>
    <w:rsid w:val="0084139B"/>
    <w:rsid w:val="0084143B"/>
    <w:rsid w:val="008417D4"/>
    <w:rsid w:val="00842547"/>
    <w:rsid w:val="008427D3"/>
    <w:rsid w:val="008429CF"/>
    <w:rsid w:val="0084324C"/>
    <w:rsid w:val="00843B9B"/>
    <w:rsid w:val="00843D99"/>
    <w:rsid w:val="00844181"/>
    <w:rsid w:val="008451F8"/>
    <w:rsid w:val="008457D2"/>
    <w:rsid w:val="00846212"/>
    <w:rsid w:val="008468E0"/>
    <w:rsid w:val="0084767E"/>
    <w:rsid w:val="0084790F"/>
    <w:rsid w:val="00847BE7"/>
    <w:rsid w:val="00850EAB"/>
    <w:rsid w:val="00851C80"/>
    <w:rsid w:val="00851D70"/>
    <w:rsid w:val="008529B3"/>
    <w:rsid w:val="00852A9E"/>
    <w:rsid w:val="00852ADD"/>
    <w:rsid w:val="00853184"/>
    <w:rsid w:val="00853883"/>
    <w:rsid w:val="00853E62"/>
    <w:rsid w:val="00853EB9"/>
    <w:rsid w:val="00854CF7"/>
    <w:rsid w:val="00854DA7"/>
    <w:rsid w:val="008557A0"/>
    <w:rsid w:val="00856607"/>
    <w:rsid w:val="00857B31"/>
    <w:rsid w:val="00860ADD"/>
    <w:rsid w:val="008616A2"/>
    <w:rsid w:val="00861C6C"/>
    <w:rsid w:val="008636AC"/>
    <w:rsid w:val="00863862"/>
    <w:rsid w:val="00863AAD"/>
    <w:rsid w:val="00864644"/>
    <w:rsid w:val="0086511A"/>
    <w:rsid w:val="00866296"/>
    <w:rsid w:val="008665C7"/>
    <w:rsid w:val="008707A3"/>
    <w:rsid w:val="00870A36"/>
    <w:rsid w:val="008711AE"/>
    <w:rsid w:val="00871681"/>
    <w:rsid w:val="00871A36"/>
    <w:rsid w:val="00872F21"/>
    <w:rsid w:val="00873736"/>
    <w:rsid w:val="0087378E"/>
    <w:rsid w:val="008737DF"/>
    <w:rsid w:val="0087505A"/>
    <w:rsid w:val="008755E7"/>
    <w:rsid w:val="00875E16"/>
    <w:rsid w:val="00877D03"/>
    <w:rsid w:val="00877E96"/>
    <w:rsid w:val="0088023D"/>
    <w:rsid w:val="008803CE"/>
    <w:rsid w:val="00882077"/>
    <w:rsid w:val="008820D9"/>
    <w:rsid w:val="00883613"/>
    <w:rsid w:val="00883A6F"/>
    <w:rsid w:val="00884293"/>
    <w:rsid w:val="0088557F"/>
    <w:rsid w:val="00886393"/>
    <w:rsid w:val="00886579"/>
    <w:rsid w:val="00886F19"/>
    <w:rsid w:val="00887865"/>
    <w:rsid w:val="00887B37"/>
    <w:rsid w:val="00890598"/>
    <w:rsid w:val="0089065A"/>
    <w:rsid w:val="00890DEB"/>
    <w:rsid w:val="0089177A"/>
    <w:rsid w:val="008917B6"/>
    <w:rsid w:val="00891D7A"/>
    <w:rsid w:val="00891DFC"/>
    <w:rsid w:val="00892B98"/>
    <w:rsid w:val="008945D2"/>
    <w:rsid w:val="008949A3"/>
    <w:rsid w:val="008959FC"/>
    <w:rsid w:val="00895D54"/>
    <w:rsid w:val="00895D83"/>
    <w:rsid w:val="0089605E"/>
    <w:rsid w:val="00896668"/>
    <w:rsid w:val="00896E9A"/>
    <w:rsid w:val="008A17EC"/>
    <w:rsid w:val="008A1D0E"/>
    <w:rsid w:val="008A25EA"/>
    <w:rsid w:val="008A276E"/>
    <w:rsid w:val="008A3175"/>
    <w:rsid w:val="008A31C7"/>
    <w:rsid w:val="008A3215"/>
    <w:rsid w:val="008A3630"/>
    <w:rsid w:val="008A3E8B"/>
    <w:rsid w:val="008A47BE"/>
    <w:rsid w:val="008A4AEC"/>
    <w:rsid w:val="008A5609"/>
    <w:rsid w:val="008A5697"/>
    <w:rsid w:val="008A6DD5"/>
    <w:rsid w:val="008A6DF0"/>
    <w:rsid w:val="008A6FA0"/>
    <w:rsid w:val="008B105C"/>
    <w:rsid w:val="008B15CE"/>
    <w:rsid w:val="008B1C8F"/>
    <w:rsid w:val="008B21F8"/>
    <w:rsid w:val="008B2570"/>
    <w:rsid w:val="008B2B19"/>
    <w:rsid w:val="008B2F40"/>
    <w:rsid w:val="008B2FCD"/>
    <w:rsid w:val="008B3627"/>
    <w:rsid w:val="008B3EAD"/>
    <w:rsid w:val="008B49B6"/>
    <w:rsid w:val="008B56A0"/>
    <w:rsid w:val="008B5AA1"/>
    <w:rsid w:val="008B5E61"/>
    <w:rsid w:val="008B64CE"/>
    <w:rsid w:val="008B68B4"/>
    <w:rsid w:val="008B7914"/>
    <w:rsid w:val="008C0D0C"/>
    <w:rsid w:val="008C127A"/>
    <w:rsid w:val="008C18BD"/>
    <w:rsid w:val="008C1932"/>
    <w:rsid w:val="008C1CC8"/>
    <w:rsid w:val="008C2C7F"/>
    <w:rsid w:val="008C2F0D"/>
    <w:rsid w:val="008C364D"/>
    <w:rsid w:val="008C4378"/>
    <w:rsid w:val="008C500C"/>
    <w:rsid w:val="008C5D2A"/>
    <w:rsid w:val="008C6754"/>
    <w:rsid w:val="008C6C16"/>
    <w:rsid w:val="008C74FB"/>
    <w:rsid w:val="008C7AF4"/>
    <w:rsid w:val="008C7DA4"/>
    <w:rsid w:val="008C7F6E"/>
    <w:rsid w:val="008D0210"/>
    <w:rsid w:val="008D033E"/>
    <w:rsid w:val="008D0851"/>
    <w:rsid w:val="008D0DEF"/>
    <w:rsid w:val="008D0FCD"/>
    <w:rsid w:val="008D1074"/>
    <w:rsid w:val="008D1079"/>
    <w:rsid w:val="008D2643"/>
    <w:rsid w:val="008D280F"/>
    <w:rsid w:val="008D318B"/>
    <w:rsid w:val="008D3994"/>
    <w:rsid w:val="008D3C3D"/>
    <w:rsid w:val="008D478E"/>
    <w:rsid w:val="008D534E"/>
    <w:rsid w:val="008D619B"/>
    <w:rsid w:val="008D628F"/>
    <w:rsid w:val="008D6CED"/>
    <w:rsid w:val="008D6E81"/>
    <w:rsid w:val="008D7739"/>
    <w:rsid w:val="008D7A64"/>
    <w:rsid w:val="008D7A92"/>
    <w:rsid w:val="008E0302"/>
    <w:rsid w:val="008E03F3"/>
    <w:rsid w:val="008E09EC"/>
    <w:rsid w:val="008E1267"/>
    <w:rsid w:val="008E19FD"/>
    <w:rsid w:val="008E22F8"/>
    <w:rsid w:val="008E25EC"/>
    <w:rsid w:val="008E39D8"/>
    <w:rsid w:val="008E5D73"/>
    <w:rsid w:val="008E606F"/>
    <w:rsid w:val="008E6AD9"/>
    <w:rsid w:val="008E7AF7"/>
    <w:rsid w:val="008F022A"/>
    <w:rsid w:val="008F06FD"/>
    <w:rsid w:val="008F1172"/>
    <w:rsid w:val="008F27E3"/>
    <w:rsid w:val="008F2920"/>
    <w:rsid w:val="008F3485"/>
    <w:rsid w:val="008F3AC3"/>
    <w:rsid w:val="008F42C1"/>
    <w:rsid w:val="008F51FF"/>
    <w:rsid w:val="008F52FC"/>
    <w:rsid w:val="008F5DEF"/>
    <w:rsid w:val="008F61F2"/>
    <w:rsid w:val="008F6B7B"/>
    <w:rsid w:val="008F6FC8"/>
    <w:rsid w:val="008F7C0A"/>
    <w:rsid w:val="00901DBB"/>
    <w:rsid w:val="00902529"/>
    <w:rsid w:val="009026CB"/>
    <w:rsid w:val="00902876"/>
    <w:rsid w:val="00903FB2"/>
    <w:rsid w:val="00904038"/>
    <w:rsid w:val="009041AF"/>
    <w:rsid w:val="009042AA"/>
    <w:rsid w:val="009049AB"/>
    <w:rsid w:val="009050B7"/>
    <w:rsid w:val="0090510D"/>
    <w:rsid w:val="00905130"/>
    <w:rsid w:val="009053BD"/>
    <w:rsid w:val="00905728"/>
    <w:rsid w:val="009061B8"/>
    <w:rsid w:val="009064BF"/>
    <w:rsid w:val="009069B8"/>
    <w:rsid w:val="00906FC8"/>
    <w:rsid w:val="009105A2"/>
    <w:rsid w:val="00911927"/>
    <w:rsid w:val="009130CC"/>
    <w:rsid w:val="009133EC"/>
    <w:rsid w:val="00913AF7"/>
    <w:rsid w:val="00913B37"/>
    <w:rsid w:val="00914683"/>
    <w:rsid w:val="00914861"/>
    <w:rsid w:val="009148D8"/>
    <w:rsid w:val="00914B5F"/>
    <w:rsid w:val="00914E71"/>
    <w:rsid w:val="0091504C"/>
    <w:rsid w:val="00915897"/>
    <w:rsid w:val="00915B44"/>
    <w:rsid w:val="00915CD5"/>
    <w:rsid w:val="00916093"/>
    <w:rsid w:val="009160E3"/>
    <w:rsid w:val="0091639C"/>
    <w:rsid w:val="00916E99"/>
    <w:rsid w:val="0092002E"/>
    <w:rsid w:val="00920307"/>
    <w:rsid w:val="00920384"/>
    <w:rsid w:val="0092050A"/>
    <w:rsid w:val="00920EC6"/>
    <w:rsid w:val="0092101E"/>
    <w:rsid w:val="0092383B"/>
    <w:rsid w:val="00923DCE"/>
    <w:rsid w:val="00924119"/>
    <w:rsid w:val="00925120"/>
    <w:rsid w:val="009255FA"/>
    <w:rsid w:val="009262E4"/>
    <w:rsid w:val="009266D2"/>
    <w:rsid w:val="00926CD3"/>
    <w:rsid w:val="00927D4E"/>
    <w:rsid w:val="00927F89"/>
    <w:rsid w:val="00930AB6"/>
    <w:rsid w:val="00930AC2"/>
    <w:rsid w:val="00930D2A"/>
    <w:rsid w:val="009312BF"/>
    <w:rsid w:val="00931680"/>
    <w:rsid w:val="00931B84"/>
    <w:rsid w:val="009322B2"/>
    <w:rsid w:val="009328DA"/>
    <w:rsid w:val="00932E7E"/>
    <w:rsid w:val="0093442D"/>
    <w:rsid w:val="00934CD2"/>
    <w:rsid w:val="00935A35"/>
    <w:rsid w:val="009375E5"/>
    <w:rsid w:val="00937BC5"/>
    <w:rsid w:val="00937D30"/>
    <w:rsid w:val="00940F13"/>
    <w:rsid w:val="009413F4"/>
    <w:rsid w:val="00941848"/>
    <w:rsid w:val="0094337A"/>
    <w:rsid w:val="009437F2"/>
    <w:rsid w:val="00943814"/>
    <w:rsid w:val="009442E8"/>
    <w:rsid w:val="0094464D"/>
    <w:rsid w:val="00944BA7"/>
    <w:rsid w:val="009452B0"/>
    <w:rsid w:val="00946022"/>
    <w:rsid w:val="0094636D"/>
    <w:rsid w:val="00946669"/>
    <w:rsid w:val="00947222"/>
    <w:rsid w:val="0094759C"/>
    <w:rsid w:val="0094790B"/>
    <w:rsid w:val="009503FE"/>
    <w:rsid w:val="00950448"/>
    <w:rsid w:val="009507D4"/>
    <w:rsid w:val="00950ACD"/>
    <w:rsid w:val="00950E37"/>
    <w:rsid w:val="00951666"/>
    <w:rsid w:val="0095182F"/>
    <w:rsid w:val="0095195F"/>
    <w:rsid w:val="00952524"/>
    <w:rsid w:val="0095278F"/>
    <w:rsid w:val="00953D2D"/>
    <w:rsid w:val="00953EAF"/>
    <w:rsid w:val="0095426C"/>
    <w:rsid w:val="00955EE9"/>
    <w:rsid w:val="009562AE"/>
    <w:rsid w:val="0095654A"/>
    <w:rsid w:val="00956BF5"/>
    <w:rsid w:val="009570CF"/>
    <w:rsid w:val="009571C2"/>
    <w:rsid w:val="009575C3"/>
    <w:rsid w:val="0095770C"/>
    <w:rsid w:val="009579AF"/>
    <w:rsid w:val="00957CC8"/>
    <w:rsid w:val="00957EE7"/>
    <w:rsid w:val="0096086A"/>
    <w:rsid w:val="00961453"/>
    <w:rsid w:val="009616D4"/>
    <w:rsid w:val="0096182D"/>
    <w:rsid w:val="00962150"/>
    <w:rsid w:val="00963713"/>
    <w:rsid w:val="00964166"/>
    <w:rsid w:val="009645AD"/>
    <w:rsid w:val="0096475C"/>
    <w:rsid w:val="0096546E"/>
    <w:rsid w:val="0096562A"/>
    <w:rsid w:val="00965865"/>
    <w:rsid w:val="00966096"/>
    <w:rsid w:val="00966A13"/>
    <w:rsid w:val="00967473"/>
    <w:rsid w:val="00967730"/>
    <w:rsid w:val="00970D56"/>
    <w:rsid w:val="00970E50"/>
    <w:rsid w:val="00971074"/>
    <w:rsid w:val="009725B2"/>
    <w:rsid w:val="009747AA"/>
    <w:rsid w:val="00974B99"/>
    <w:rsid w:val="00974BCB"/>
    <w:rsid w:val="0097529C"/>
    <w:rsid w:val="00975361"/>
    <w:rsid w:val="009758CD"/>
    <w:rsid w:val="00975AEF"/>
    <w:rsid w:val="00975BF2"/>
    <w:rsid w:val="0097616C"/>
    <w:rsid w:val="009763E4"/>
    <w:rsid w:val="0097649D"/>
    <w:rsid w:val="0097654D"/>
    <w:rsid w:val="009766B7"/>
    <w:rsid w:val="0097735F"/>
    <w:rsid w:val="00977C23"/>
    <w:rsid w:val="00980A22"/>
    <w:rsid w:val="00980D64"/>
    <w:rsid w:val="00980D85"/>
    <w:rsid w:val="00981E09"/>
    <w:rsid w:val="00982B4B"/>
    <w:rsid w:val="00983094"/>
    <w:rsid w:val="00983599"/>
    <w:rsid w:val="009843DE"/>
    <w:rsid w:val="0098544F"/>
    <w:rsid w:val="00985B04"/>
    <w:rsid w:val="0098661B"/>
    <w:rsid w:val="00986A6D"/>
    <w:rsid w:val="00986BEF"/>
    <w:rsid w:val="00986D3D"/>
    <w:rsid w:val="00986DEE"/>
    <w:rsid w:val="00987298"/>
    <w:rsid w:val="00987B34"/>
    <w:rsid w:val="00987B6C"/>
    <w:rsid w:val="00990769"/>
    <w:rsid w:val="00990E00"/>
    <w:rsid w:val="00991DF8"/>
    <w:rsid w:val="0099222D"/>
    <w:rsid w:val="00992499"/>
    <w:rsid w:val="00992986"/>
    <w:rsid w:val="009936E2"/>
    <w:rsid w:val="00994B55"/>
    <w:rsid w:val="00995D86"/>
    <w:rsid w:val="00995FB2"/>
    <w:rsid w:val="0099781E"/>
    <w:rsid w:val="00997A68"/>
    <w:rsid w:val="009A0071"/>
    <w:rsid w:val="009A00EA"/>
    <w:rsid w:val="009A0587"/>
    <w:rsid w:val="009A0DA2"/>
    <w:rsid w:val="009A1F6B"/>
    <w:rsid w:val="009A2616"/>
    <w:rsid w:val="009A2C4C"/>
    <w:rsid w:val="009A2DD8"/>
    <w:rsid w:val="009A30DE"/>
    <w:rsid w:val="009A3D29"/>
    <w:rsid w:val="009A3E47"/>
    <w:rsid w:val="009A509F"/>
    <w:rsid w:val="009A5453"/>
    <w:rsid w:val="009A6A7B"/>
    <w:rsid w:val="009A7532"/>
    <w:rsid w:val="009A7883"/>
    <w:rsid w:val="009B0596"/>
    <w:rsid w:val="009B15A4"/>
    <w:rsid w:val="009B1D50"/>
    <w:rsid w:val="009B22F4"/>
    <w:rsid w:val="009B237F"/>
    <w:rsid w:val="009B2760"/>
    <w:rsid w:val="009B308D"/>
    <w:rsid w:val="009B3819"/>
    <w:rsid w:val="009B38D5"/>
    <w:rsid w:val="009B3B62"/>
    <w:rsid w:val="009B3C8D"/>
    <w:rsid w:val="009B4735"/>
    <w:rsid w:val="009B4FFB"/>
    <w:rsid w:val="009B53C7"/>
    <w:rsid w:val="009B7489"/>
    <w:rsid w:val="009B7987"/>
    <w:rsid w:val="009B7B0A"/>
    <w:rsid w:val="009C07C9"/>
    <w:rsid w:val="009C08D7"/>
    <w:rsid w:val="009C0DC5"/>
    <w:rsid w:val="009C1866"/>
    <w:rsid w:val="009C1FDE"/>
    <w:rsid w:val="009C23FE"/>
    <w:rsid w:val="009C2597"/>
    <w:rsid w:val="009C375C"/>
    <w:rsid w:val="009C4E0D"/>
    <w:rsid w:val="009C4F1B"/>
    <w:rsid w:val="009C503B"/>
    <w:rsid w:val="009C5457"/>
    <w:rsid w:val="009C5793"/>
    <w:rsid w:val="009C5816"/>
    <w:rsid w:val="009C61EA"/>
    <w:rsid w:val="009C63EC"/>
    <w:rsid w:val="009C7DAC"/>
    <w:rsid w:val="009D0394"/>
    <w:rsid w:val="009D077D"/>
    <w:rsid w:val="009D08A6"/>
    <w:rsid w:val="009D1915"/>
    <w:rsid w:val="009D1B69"/>
    <w:rsid w:val="009D1EB3"/>
    <w:rsid w:val="009D25DE"/>
    <w:rsid w:val="009D2ABF"/>
    <w:rsid w:val="009D3AD2"/>
    <w:rsid w:val="009D3E06"/>
    <w:rsid w:val="009D5843"/>
    <w:rsid w:val="009D638D"/>
    <w:rsid w:val="009D6393"/>
    <w:rsid w:val="009E0885"/>
    <w:rsid w:val="009E1248"/>
    <w:rsid w:val="009E1CC8"/>
    <w:rsid w:val="009E2827"/>
    <w:rsid w:val="009E2863"/>
    <w:rsid w:val="009E30D2"/>
    <w:rsid w:val="009E4885"/>
    <w:rsid w:val="009E508B"/>
    <w:rsid w:val="009E555A"/>
    <w:rsid w:val="009E5FBE"/>
    <w:rsid w:val="009E6240"/>
    <w:rsid w:val="009E6A00"/>
    <w:rsid w:val="009F0086"/>
    <w:rsid w:val="009F03AB"/>
    <w:rsid w:val="009F0619"/>
    <w:rsid w:val="009F068A"/>
    <w:rsid w:val="009F08C5"/>
    <w:rsid w:val="009F0A85"/>
    <w:rsid w:val="009F1260"/>
    <w:rsid w:val="009F15CA"/>
    <w:rsid w:val="009F1B71"/>
    <w:rsid w:val="009F220A"/>
    <w:rsid w:val="009F36D6"/>
    <w:rsid w:val="009F5A49"/>
    <w:rsid w:val="009F6575"/>
    <w:rsid w:val="009F7ADC"/>
    <w:rsid w:val="00A0002A"/>
    <w:rsid w:val="00A00AF4"/>
    <w:rsid w:val="00A02062"/>
    <w:rsid w:val="00A0236D"/>
    <w:rsid w:val="00A02506"/>
    <w:rsid w:val="00A02985"/>
    <w:rsid w:val="00A02B2B"/>
    <w:rsid w:val="00A02FA8"/>
    <w:rsid w:val="00A03147"/>
    <w:rsid w:val="00A03F1A"/>
    <w:rsid w:val="00A03F74"/>
    <w:rsid w:val="00A03F88"/>
    <w:rsid w:val="00A046BF"/>
    <w:rsid w:val="00A05B25"/>
    <w:rsid w:val="00A05C04"/>
    <w:rsid w:val="00A05EC0"/>
    <w:rsid w:val="00A06254"/>
    <w:rsid w:val="00A06842"/>
    <w:rsid w:val="00A07459"/>
    <w:rsid w:val="00A07D78"/>
    <w:rsid w:val="00A07DB6"/>
    <w:rsid w:val="00A10972"/>
    <w:rsid w:val="00A10B08"/>
    <w:rsid w:val="00A11406"/>
    <w:rsid w:val="00A117EF"/>
    <w:rsid w:val="00A13205"/>
    <w:rsid w:val="00A132A1"/>
    <w:rsid w:val="00A13422"/>
    <w:rsid w:val="00A13D0F"/>
    <w:rsid w:val="00A15132"/>
    <w:rsid w:val="00A1554D"/>
    <w:rsid w:val="00A15792"/>
    <w:rsid w:val="00A158E3"/>
    <w:rsid w:val="00A1591A"/>
    <w:rsid w:val="00A1647D"/>
    <w:rsid w:val="00A172E0"/>
    <w:rsid w:val="00A17527"/>
    <w:rsid w:val="00A20AC7"/>
    <w:rsid w:val="00A211C5"/>
    <w:rsid w:val="00A221A3"/>
    <w:rsid w:val="00A223D5"/>
    <w:rsid w:val="00A22F83"/>
    <w:rsid w:val="00A235E4"/>
    <w:rsid w:val="00A23F41"/>
    <w:rsid w:val="00A24BC2"/>
    <w:rsid w:val="00A2537C"/>
    <w:rsid w:val="00A25547"/>
    <w:rsid w:val="00A25F76"/>
    <w:rsid w:val="00A3003E"/>
    <w:rsid w:val="00A31890"/>
    <w:rsid w:val="00A31E14"/>
    <w:rsid w:val="00A3325E"/>
    <w:rsid w:val="00A34276"/>
    <w:rsid w:val="00A34524"/>
    <w:rsid w:val="00A345B6"/>
    <w:rsid w:val="00A3479D"/>
    <w:rsid w:val="00A3502D"/>
    <w:rsid w:val="00A357A4"/>
    <w:rsid w:val="00A35AF5"/>
    <w:rsid w:val="00A35CDF"/>
    <w:rsid w:val="00A36453"/>
    <w:rsid w:val="00A372C9"/>
    <w:rsid w:val="00A37970"/>
    <w:rsid w:val="00A37A68"/>
    <w:rsid w:val="00A37B0C"/>
    <w:rsid w:val="00A37CE6"/>
    <w:rsid w:val="00A37D1C"/>
    <w:rsid w:val="00A37FFE"/>
    <w:rsid w:val="00A404BE"/>
    <w:rsid w:val="00A40B03"/>
    <w:rsid w:val="00A40ECF"/>
    <w:rsid w:val="00A411C9"/>
    <w:rsid w:val="00A41ACD"/>
    <w:rsid w:val="00A41FEF"/>
    <w:rsid w:val="00A42476"/>
    <w:rsid w:val="00A433CA"/>
    <w:rsid w:val="00A43A1A"/>
    <w:rsid w:val="00A43D48"/>
    <w:rsid w:val="00A43F3C"/>
    <w:rsid w:val="00A447A5"/>
    <w:rsid w:val="00A45A51"/>
    <w:rsid w:val="00A45B83"/>
    <w:rsid w:val="00A4646E"/>
    <w:rsid w:val="00A468FD"/>
    <w:rsid w:val="00A46921"/>
    <w:rsid w:val="00A47249"/>
    <w:rsid w:val="00A472A8"/>
    <w:rsid w:val="00A47E3B"/>
    <w:rsid w:val="00A501C7"/>
    <w:rsid w:val="00A5058A"/>
    <w:rsid w:val="00A50905"/>
    <w:rsid w:val="00A513FD"/>
    <w:rsid w:val="00A5254B"/>
    <w:rsid w:val="00A52BC1"/>
    <w:rsid w:val="00A52D47"/>
    <w:rsid w:val="00A52DBA"/>
    <w:rsid w:val="00A5347F"/>
    <w:rsid w:val="00A534A0"/>
    <w:rsid w:val="00A537EA"/>
    <w:rsid w:val="00A539AD"/>
    <w:rsid w:val="00A53DB2"/>
    <w:rsid w:val="00A53E3E"/>
    <w:rsid w:val="00A540B2"/>
    <w:rsid w:val="00A5414D"/>
    <w:rsid w:val="00A54A3E"/>
    <w:rsid w:val="00A556B7"/>
    <w:rsid w:val="00A5592C"/>
    <w:rsid w:val="00A564A6"/>
    <w:rsid w:val="00A56819"/>
    <w:rsid w:val="00A568AC"/>
    <w:rsid w:val="00A6025F"/>
    <w:rsid w:val="00A60E9C"/>
    <w:rsid w:val="00A61196"/>
    <w:rsid w:val="00A6131E"/>
    <w:rsid w:val="00A616AF"/>
    <w:rsid w:val="00A61879"/>
    <w:rsid w:val="00A628B4"/>
    <w:rsid w:val="00A62E6A"/>
    <w:rsid w:val="00A63E4E"/>
    <w:rsid w:val="00A6444F"/>
    <w:rsid w:val="00A652FF"/>
    <w:rsid w:val="00A65A0D"/>
    <w:rsid w:val="00A65C27"/>
    <w:rsid w:val="00A65F3C"/>
    <w:rsid w:val="00A661FD"/>
    <w:rsid w:val="00A66FB3"/>
    <w:rsid w:val="00A67DF5"/>
    <w:rsid w:val="00A709A3"/>
    <w:rsid w:val="00A71216"/>
    <w:rsid w:val="00A714A3"/>
    <w:rsid w:val="00A71B8B"/>
    <w:rsid w:val="00A74456"/>
    <w:rsid w:val="00A75089"/>
    <w:rsid w:val="00A75266"/>
    <w:rsid w:val="00A75EDC"/>
    <w:rsid w:val="00A75EE1"/>
    <w:rsid w:val="00A76229"/>
    <w:rsid w:val="00A764A8"/>
    <w:rsid w:val="00A770FD"/>
    <w:rsid w:val="00A80404"/>
    <w:rsid w:val="00A80548"/>
    <w:rsid w:val="00A8085F"/>
    <w:rsid w:val="00A80A3D"/>
    <w:rsid w:val="00A817A8"/>
    <w:rsid w:val="00A81E50"/>
    <w:rsid w:val="00A81F1C"/>
    <w:rsid w:val="00A82602"/>
    <w:rsid w:val="00A82DA0"/>
    <w:rsid w:val="00A83E49"/>
    <w:rsid w:val="00A8401C"/>
    <w:rsid w:val="00A8415A"/>
    <w:rsid w:val="00A841A6"/>
    <w:rsid w:val="00A84221"/>
    <w:rsid w:val="00A843CA"/>
    <w:rsid w:val="00A84AAE"/>
    <w:rsid w:val="00A84B7A"/>
    <w:rsid w:val="00A85063"/>
    <w:rsid w:val="00A85367"/>
    <w:rsid w:val="00A86359"/>
    <w:rsid w:val="00A865DC"/>
    <w:rsid w:val="00A86FBC"/>
    <w:rsid w:val="00A879C5"/>
    <w:rsid w:val="00A902AD"/>
    <w:rsid w:val="00A90302"/>
    <w:rsid w:val="00A9099E"/>
    <w:rsid w:val="00A91495"/>
    <w:rsid w:val="00A91FB7"/>
    <w:rsid w:val="00A9298F"/>
    <w:rsid w:val="00A92AC1"/>
    <w:rsid w:val="00A92B62"/>
    <w:rsid w:val="00A9301E"/>
    <w:rsid w:val="00A93E3A"/>
    <w:rsid w:val="00A95186"/>
    <w:rsid w:val="00A951AD"/>
    <w:rsid w:val="00A96006"/>
    <w:rsid w:val="00A961BD"/>
    <w:rsid w:val="00A9652F"/>
    <w:rsid w:val="00A972B4"/>
    <w:rsid w:val="00A973B1"/>
    <w:rsid w:val="00AA027E"/>
    <w:rsid w:val="00AA1224"/>
    <w:rsid w:val="00AA14F2"/>
    <w:rsid w:val="00AA180B"/>
    <w:rsid w:val="00AA1D43"/>
    <w:rsid w:val="00AA2358"/>
    <w:rsid w:val="00AA2469"/>
    <w:rsid w:val="00AA2CD7"/>
    <w:rsid w:val="00AA2FA4"/>
    <w:rsid w:val="00AA3301"/>
    <w:rsid w:val="00AA3360"/>
    <w:rsid w:val="00AA342D"/>
    <w:rsid w:val="00AA386B"/>
    <w:rsid w:val="00AA45E3"/>
    <w:rsid w:val="00AA6384"/>
    <w:rsid w:val="00AA69F3"/>
    <w:rsid w:val="00AA6B93"/>
    <w:rsid w:val="00AA6F4A"/>
    <w:rsid w:val="00AA7A06"/>
    <w:rsid w:val="00AA7A7F"/>
    <w:rsid w:val="00AA7F56"/>
    <w:rsid w:val="00AB0C02"/>
    <w:rsid w:val="00AB1984"/>
    <w:rsid w:val="00AB1B31"/>
    <w:rsid w:val="00AB1CBB"/>
    <w:rsid w:val="00AB215B"/>
    <w:rsid w:val="00AB266D"/>
    <w:rsid w:val="00AB3146"/>
    <w:rsid w:val="00AB333E"/>
    <w:rsid w:val="00AB37DB"/>
    <w:rsid w:val="00AB3B7F"/>
    <w:rsid w:val="00AB3ECC"/>
    <w:rsid w:val="00AB54B5"/>
    <w:rsid w:val="00AB5A73"/>
    <w:rsid w:val="00AB5F48"/>
    <w:rsid w:val="00AB7156"/>
    <w:rsid w:val="00AB716D"/>
    <w:rsid w:val="00AB72BB"/>
    <w:rsid w:val="00AB7472"/>
    <w:rsid w:val="00AB772B"/>
    <w:rsid w:val="00AB7BF3"/>
    <w:rsid w:val="00AC09D5"/>
    <w:rsid w:val="00AC0D8E"/>
    <w:rsid w:val="00AC175B"/>
    <w:rsid w:val="00AC1AA3"/>
    <w:rsid w:val="00AC1B87"/>
    <w:rsid w:val="00AC1F8E"/>
    <w:rsid w:val="00AC22C1"/>
    <w:rsid w:val="00AC374B"/>
    <w:rsid w:val="00AC3798"/>
    <w:rsid w:val="00AC3ED5"/>
    <w:rsid w:val="00AC4CB3"/>
    <w:rsid w:val="00AC4D7C"/>
    <w:rsid w:val="00AC53B0"/>
    <w:rsid w:val="00AC6EF2"/>
    <w:rsid w:val="00AC71A6"/>
    <w:rsid w:val="00AC742F"/>
    <w:rsid w:val="00AC7664"/>
    <w:rsid w:val="00AC774F"/>
    <w:rsid w:val="00AC780D"/>
    <w:rsid w:val="00AC787B"/>
    <w:rsid w:val="00AC78A0"/>
    <w:rsid w:val="00AC7956"/>
    <w:rsid w:val="00AC7E18"/>
    <w:rsid w:val="00AD0C91"/>
    <w:rsid w:val="00AD1B79"/>
    <w:rsid w:val="00AD3208"/>
    <w:rsid w:val="00AD3C00"/>
    <w:rsid w:val="00AD50F8"/>
    <w:rsid w:val="00AD6850"/>
    <w:rsid w:val="00AD719F"/>
    <w:rsid w:val="00AD7447"/>
    <w:rsid w:val="00AD752A"/>
    <w:rsid w:val="00AD7D36"/>
    <w:rsid w:val="00AE0A0E"/>
    <w:rsid w:val="00AE0DED"/>
    <w:rsid w:val="00AE1323"/>
    <w:rsid w:val="00AE1D05"/>
    <w:rsid w:val="00AE217B"/>
    <w:rsid w:val="00AE2780"/>
    <w:rsid w:val="00AE284A"/>
    <w:rsid w:val="00AE307E"/>
    <w:rsid w:val="00AE3450"/>
    <w:rsid w:val="00AE392E"/>
    <w:rsid w:val="00AE3E11"/>
    <w:rsid w:val="00AE40B3"/>
    <w:rsid w:val="00AE4BAB"/>
    <w:rsid w:val="00AE4BDC"/>
    <w:rsid w:val="00AE4CFD"/>
    <w:rsid w:val="00AE4EA6"/>
    <w:rsid w:val="00AE51FF"/>
    <w:rsid w:val="00AE55AD"/>
    <w:rsid w:val="00AE5D8F"/>
    <w:rsid w:val="00AE619F"/>
    <w:rsid w:val="00AE67D5"/>
    <w:rsid w:val="00AE7778"/>
    <w:rsid w:val="00AE78ED"/>
    <w:rsid w:val="00AE7AC2"/>
    <w:rsid w:val="00AE7EC9"/>
    <w:rsid w:val="00AF1117"/>
    <w:rsid w:val="00AF1555"/>
    <w:rsid w:val="00AF174E"/>
    <w:rsid w:val="00AF18BA"/>
    <w:rsid w:val="00AF1CA5"/>
    <w:rsid w:val="00AF228C"/>
    <w:rsid w:val="00AF2DB9"/>
    <w:rsid w:val="00AF3928"/>
    <w:rsid w:val="00AF3B55"/>
    <w:rsid w:val="00AF3D62"/>
    <w:rsid w:val="00AF4146"/>
    <w:rsid w:val="00AF56FE"/>
    <w:rsid w:val="00AF62D8"/>
    <w:rsid w:val="00AF6AC5"/>
    <w:rsid w:val="00AF7809"/>
    <w:rsid w:val="00AF7CA7"/>
    <w:rsid w:val="00AF7F7B"/>
    <w:rsid w:val="00B00BDE"/>
    <w:rsid w:val="00B0104B"/>
    <w:rsid w:val="00B021E0"/>
    <w:rsid w:val="00B03A30"/>
    <w:rsid w:val="00B03A35"/>
    <w:rsid w:val="00B04F99"/>
    <w:rsid w:val="00B057B6"/>
    <w:rsid w:val="00B05A7C"/>
    <w:rsid w:val="00B06361"/>
    <w:rsid w:val="00B0651D"/>
    <w:rsid w:val="00B06955"/>
    <w:rsid w:val="00B07BEA"/>
    <w:rsid w:val="00B07F41"/>
    <w:rsid w:val="00B102F9"/>
    <w:rsid w:val="00B11C80"/>
    <w:rsid w:val="00B11F33"/>
    <w:rsid w:val="00B12152"/>
    <w:rsid w:val="00B12DCA"/>
    <w:rsid w:val="00B13ECB"/>
    <w:rsid w:val="00B1524F"/>
    <w:rsid w:val="00B15A54"/>
    <w:rsid w:val="00B15ECF"/>
    <w:rsid w:val="00B169CD"/>
    <w:rsid w:val="00B16C0A"/>
    <w:rsid w:val="00B17558"/>
    <w:rsid w:val="00B17C72"/>
    <w:rsid w:val="00B17F60"/>
    <w:rsid w:val="00B2039A"/>
    <w:rsid w:val="00B20AC8"/>
    <w:rsid w:val="00B215D5"/>
    <w:rsid w:val="00B21914"/>
    <w:rsid w:val="00B21D55"/>
    <w:rsid w:val="00B225CB"/>
    <w:rsid w:val="00B22870"/>
    <w:rsid w:val="00B22A22"/>
    <w:rsid w:val="00B22AA6"/>
    <w:rsid w:val="00B23D1A"/>
    <w:rsid w:val="00B23F4C"/>
    <w:rsid w:val="00B24233"/>
    <w:rsid w:val="00B246DD"/>
    <w:rsid w:val="00B248D8"/>
    <w:rsid w:val="00B24BA7"/>
    <w:rsid w:val="00B24EE7"/>
    <w:rsid w:val="00B25551"/>
    <w:rsid w:val="00B25A6F"/>
    <w:rsid w:val="00B25CD9"/>
    <w:rsid w:val="00B25FE1"/>
    <w:rsid w:val="00B268D0"/>
    <w:rsid w:val="00B269D3"/>
    <w:rsid w:val="00B27F44"/>
    <w:rsid w:val="00B301ED"/>
    <w:rsid w:val="00B30448"/>
    <w:rsid w:val="00B3048B"/>
    <w:rsid w:val="00B30C49"/>
    <w:rsid w:val="00B30D75"/>
    <w:rsid w:val="00B30DAD"/>
    <w:rsid w:val="00B31315"/>
    <w:rsid w:val="00B3260E"/>
    <w:rsid w:val="00B32C4B"/>
    <w:rsid w:val="00B331BC"/>
    <w:rsid w:val="00B3407E"/>
    <w:rsid w:val="00B34C84"/>
    <w:rsid w:val="00B34D6A"/>
    <w:rsid w:val="00B35021"/>
    <w:rsid w:val="00B35749"/>
    <w:rsid w:val="00B35EF5"/>
    <w:rsid w:val="00B3677F"/>
    <w:rsid w:val="00B36872"/>
    <w:rsid w:val="00B3704D"/>
    <w:rsid w:val="00B37071"/>
    <w:rsid w:val="00B37350"/>
    <w:rsid w:val="00B37776"/>
    <w:rsid w:val="00B40162"/>
    <w:rsid w:val="00B4054D"/>
    <w:rsid w:val="00B40903"/>
    <w:rsid w:val="00B40FDB"/>
    <w:rsid w:val="00B41C6D"/>
    <w:rsid w:val="00B420B2"/>
    <w:rsid w:val="00B42800"/>
    <w:rsid w:val="00B42832"/>
    <w:rsid w:val="00B42863"/>
    <w:rsid w:val="00B430F6"/>
    <w:rsid w:val="00B43511"/>
    <w:rsid w:val="00B43CE6"/>
    <w:rsid w:val="00B45528"/>
    <w:rsid w:val="00B46B6E"/>
    <w:rsid w:val="00B4765E"/>
    <w:rsid w:val="00B478FA"/>
    <w:rsid w:val="00B50156"/>
    <w:rsid w:val="00B501E8"/>
    <w:rsid w:val="00B502A3"/>
    <w:rsid w:val="00B506D4"/>
    <w:rsid w:val="00B507AA"/>
    <w:rsid w:val="00B50953"/>
    <w:rsid w:val="00B509AE"/>
    <w:rsid w:val="00B50E13"/>
    <w:rsid w:val="00B51581"/>
    <w:rsid w:val="00B518AD"/>
    <w:rsid w:val="00B51BB6"/>
    <w:rsid w:val="00B52056"/>
    <w:rsid w:val="00B52B0E"/>
    <w:rsid w:val="00B52D81"/>
    <w:rsid w:val="00B5355B"/>
    <w:rsid w:val="00B5402E"/>
    <w:rsid w:val="00B540E8"/>
    <w:rsid w:val="00B54681"/>
    <w:rsid w:val="00B55582"/>
    <w:rsid w:val="00B55852"/>
    <w:rsid w:val="00B560A9"/>
    <w:rsid w:val="00B56866"/>
    <w:rsid w:val="00B56CC4"/>
    <w:rsid w:val="00B57680"/>
    <w:rsid w:val="00B57685"/>
    <w:rsid w:val="00B604BB"/>
    <w:rsid w:val="00B6053B"/>
    <w:rsid w:val="00B6062A"/>
    <w:rsid w:val="00B60A96"/>
    <w:rsid w:val="00B60DD7"/>
    <w:rsid w:val="00B60EB6"/>
    <w:rsid w:val="00B60EE5"/>
    <w:rsid w:val="00B616A5"/>
    <w:rsid w:val="00B628BE"/>
    <w:rsid w:val="00B62B67"/>
    <w:rsid w:val="00B637FB"/>
    <w:rsid w:val="00B6386F"/>
    <w:rsid w:val="00B644D8"/>
    <w:rsid w:val="00B65D9B"/>
    <w:rsid w:val="00B66E51"/>
    <w:rsid w:val="00B66E68"/>
    <w:rsid w:val="00B670C6"/>
    <w:rsid w:val="00B67346"/>
    <w:rsid w:val="00B6793A"/>
    <w:rsid w:val="00B67AC3"/>
    <w:rsid w:val="00B70880"/>
    <w:rsid w:val="00B71422"/>
    <w:rsid w:val="00B71486"/>
    <w:rsid w:val="00B71607"/>
    <w:rsid w:val="00B71EF7"/>
    <w:rsid w:val="00B72361"/>
    <w:rsid w:val="00B740CC"/>
    <w:rsid w:val="00B74AB0"/>
    <w:rsid w:val="00B75345"/>
    <w:rsid w:val="00B76327"/>
    <w:rsid w:val="00B76400"/>
    <w:rsid w:val="00B764B0"/>
    <w:rsid w:val="00B76C94"/>
    <w:rsid w:val="00B76D4E"/>
    <w:rsid w:val="00B76D6E"/>
    <w:rsid w:val="00B771A8"/>
    <w:rsid w:val="00B771AA"/>
    <w:rsid w:val="00B772D0"/>
    <w:rsid w:val="00B8055D"/>
    <w:rsid w:val="00B80A99"/>
    <w:rsid w:val="00B80F4E"/>
    <w:rsid w:val="00B814CF"/>
    <w:rsid w:val="00B81A33"/>
    <w:rsid w:val="00B82B2D"/>
    <w:rsid w:val="00B83117"/>
    <w:rsid w:val="00B8319C"/>
    <w:rsid w:val="00B83BE4"/>
    <w:rsid w:val="00B90351"/>
    <w:rsid w:val="00B906F2"/>
    <w:rsid w:val="00B90D9B"/>
    <w:rsid w:val="00B91259"/>
    <w:rsid w:val="00B91B81"/>
    <w:rsid w:val="00B91FF0"/>
    <w:rsid w:val="00B926A8"/>
    <w:rsid w:val="00B929E4"/>
    <w:rsid w:val="00B92FFF"/>
    <w:rsid w:val="00B936F8"/>
    <w:rsid w:val="00B9492E"/>
    <w:rsid w:val="00B960DB"/>
    <w:rsid w:val="00B96799"/>
    <w:rsid w:val="00B96DE5"/>
    <w:rsid w:val="00B97A76"/>
    <w:rsid w:val="00BA0166"/>
    <w:rsid w:val="00BA0584"/>
    <w:rsid w:val="00BA0755"/>
    <w:rsid w:val="00BA1E9D"/>
    <w:rsid w:val="00BA249D"/>
    <w:rsid w:val="00BA2B1A"/>
    <w:rsid w:val="00BA3C66"/>
    <w:rsid w:val="00BA3E21"/>
    <w:rsid w:val="00BA46F5"/>
    <w:rsid w:val="00BA4D00"/>
    <w:rsid w:val="00BA4F9B"/>
    <w:rsid w:val="00BA5665"/>
    <w:rsid w:val="00BA6825"/>
    <w:rsid w:val="00BA72D9"/>
    <w:rsid w:val="00BB0494"/>
    <w:rsid w:val="00BB0AB5"/>
    <w:rsid w:val="00BB195B"/>
    <w:rsid w:val="00BB1BBA"/>
    <w:rsid w:val="00BB204A"/>
    <w:rsid w:val="00BB31BC"/>
    <w:rsid w:val="00BB31DF"/>
    <w:rsid w:val="00BB33E9"/>
    <w:rsid w:val="00BB34B7"/>
    <w:rsid w:val="00BB3BE4"/>
    <w:rsid w:val="00BB44DB"/>
    <w:rsid w:val="00BB57D3"/>
    <w:rsid w:val="00BB58EE"/>
    <w:rsid w:val="00BB64EC"/>
    <w:rsid w:val="00BB7589"/>
    <w:rsid w:val="00BB7668"/>
    <w:rsid w:val="00BB794D"/>
    <w:rsid w:val="00BB7E42"/>
    <w:rsid w:val="00BC077E"/>
    <w:rsid w:val="00BC0E57"/>
    <w:rsid w:val="00BC1F5F"/>
    <w:rsid w:val="00BC21BE"/>
    <w:rsid w:val="00BC2465"/>
    <w:rsid w:val="00BC3E36"/>
    <w:rsid w:val="00BC4B2D"/>
    <w:rsid w:val="00BC4CE8"/>
    <w:rsid w:val="00BC4D54"/>
    <w:rsid w:val="00BC6E2F"/>
    <w:rsid w:val="00BC728A"/>
    <w:rsid w:val="00BC7632"/>
    <w:rsid w:val="00BC77A4"/>
    <w:rsid w:val="00BC7C9E"/>
    <w:rsid w:val="00BD0A7E"/>
    <w:rsid w:val="00BD1E79"/>
    <w:rsid w:val="00BD23A5"/>
    <w:rsid w:val="00BD2937"/>
    <w:rsid w:val="00BD2AFC"/>
    <w:rsid w:val="00BD2CD4"/>
    <w:rsid w:val="00BD3143"/>
    <w:rsid w:val="00BD330C"/>
    <w:rsid w:val="00BD335E"/>
    <w:rsid w:val="00BD359B"/>
    <w:rsid w:val="00BD3663"/>
    <w:rsid w:val="00BD367F"/>
    <w:rsid w:val="00BD4871"/>
    <w:rsid w:val="00BD48A9"/>
    <w:rsid w:val="00BD4B47"/>
    <w:rsid w:val="00BD5712"/>
    <w:rsid w:val="00BD581A"/>
    <w:rsid w:val="00BD5C02"/>
    <w:rsid w:val="00BD658C"/>
    <w:rsid w:val="00BD678A"/>
    <w:rsid w:val="00BD6819"/>
    <w:rsid w:val="00BD70DB"/>
    <w:rsid w:val="00BD7EC6"/>
    <w:rsid w:val="00BE063A"/>
    <w:rsid w:val="00BE0FF2"/>
    <w:rsid w:val="00BE1345"/>
    <w:rsid w:val="00BE18BC"/>
    <w:rsid w:val="00BE2147"/>
    <w:rsid w:val="00BE239E"/>
    <w:rsid w:val="00BE3B83"/>
    <w:rsid w:val="00BE3C67"/>
    <w:rsid w:val="00BE3CF7"/>
    <w:rsid w:val="00BE42FC"/>
    <w:rsid w:val="00BE6085"/>
    <w:rsid w:val="00BE66FC"/>
    <w:rsid w:val="00BE73FA"/>
    <w:rsid w:val="00BF00D1"/>
    <w:rsid w:val="00BF0353"/>
    <w:rsid w:val="00BF090A"/>
    <w:rsid w:val="00BF0918"/>
    <w:rsid w:val="00BF0BC4"/>
    <w:rsid w:val="00BF2001"/>
    <w:rsid w:val="00BF2575"/>
    <w:rsid w:val="00BF31A0"/>
    <w:rsid w:val="00BF323A"/>
    <w:rsid w:val="00BF36C0"/>
    <w:rsid w:val="00BF3F0A"/>
    <w:rsid w:val="00BF4E35"/>
    <w:rsid w:val="00BF5458"/>
    <w:rsid w:val="00BF5FB3"/>
    <w:rsid w:val="00BF6F82"/>
    <w:rsid w:val="00BF770B"/>
    <w:rsid w:val="00BF7B9B"/>
    <w:rsid w:val="00C0083F"/>
    <w:rsid w:val="00C00976"/>
    <w:rsid w:val="00C00A99"/>
    <w:rsid w:val="00C020CD"/>
    <w:rsid w:val="00C02DDE"/>
    <w:rsid w:val="00C0362D"/>
    <w:rsid w:val="00C0367B"/>
    <w:rsid w:val="00C04E51"/>
    <w:rsid w:val="00C05074"/>
    <w:rsid w:val="00C05AF9"/>
    <w:rsid w:val="00C060A3"/>
    <w:rsid w:val="00C060B0"/>
    <w:rsid w:val="00C06D2C"/>
    <w:rsid w:val="00C072F0"/>
    <w:rsid w:val="00C07344"/>
    <w:rsid w:val="00C079A3"/>
    <w:rsid w:val="00C07C1F"/>
    <w:rsid w:val="00C07C79"/>
    <w:rsid w:val="00C11A79"/>
    <w:rsid w:val="00C1211E"/>
    <w:rsid w:val="00C13028"/>
    <w:rsid w:val="00C13607"/>
    <w:rsid w:val="00C137B1"/>
    <w:rsid w:val="00C13B43"/>
    <w:rsid w:val="00C15E81"/>
    <w:rsid w:val="00C174C9"/>
    <w:rsid w:val="00C17B6E"/>
    <w:rsid w:val="00C200BA"/>
    <w:rsid w:val="00C20748"/>
    <w:rsid w:val="00C20754"/>
    <w:rsid w:val="00C20C14"/>
    <w:rsid w:val="00C21378"/>
    <w:rsid w:val="00C220A5"/>
    <w:rsid w:val="00C22307"/>
    <w:rsid w:val="00C22BB2"/>
    <w:rsid w:val="00C22EAF"/>
    <w:rsid w:val="00C23150"/>
    <w:rsid w:val="00C23FB7"/>
    <w:rsid w:val="00C24580"/>
    <w:rsid w:val="00C24908"/>
    <w:rsid w:val="00C250E8"/>
    <w:rsid w:val="00C2515F"/>
    <w:rsid w:val="00C25B30"/>
    <w:rsid w:val="00C25DCF"/>
    <w:rsid w:val="00C26AEA"/>
    <w:rsid w:val="00C276EC"/>
    <w:rsid w:val="00C27C0A"/>
    <w:rsid w:val="00C27F29"/>
    <w:rsid w:val="00C3130D"/>
    <w:rsid w:val="00C31988"/>
    <w:rsid w:val="00C31AD4"/>
    <w:rsid w:val="00C31C63"/>
    <w:rsid w:val="00C31C8C"/>
    <w:rsid w:val="00C31CD9"/>
    <w:rsid w:val="00C32481"/>
    <w:rsid w:val="00C3394C"/>
    <w:rsid w:val="00C34581"/>
    <w:rsid w:val="00C34AD7"/>
    <w:rsid w:val="00C3516D"/>
    <w:rsid w:val="00C351E4"/>
    <w:rsid w:val="00C361A6"/>
    <w:rsid w:val="00C365C5"/>
    <w:rsid w:val="00C3670F"/>
    <w:rsid w:val="00C36E1A"/>
    <w:rsid w:val="00C371DF"/>
    <w:rsid w:val="00C37818"/>
    <w:rsid w:val="00C379E3"/>
    <w:rsid w:val="00C37EFC"/>
    <w:rsid w:val="00C37FF9"/>
    <w:rsid w:val="00C40126"/>
    <w:rsid w:val="00C41099"/>
    <w:rsid w:val="00C4121E"/>
    <w:rsid w:val="00C41425"/>
    <w:rsid w:val="00C41B4A"/>
    <w:rsid w:val="00C4213A"/>
    <w:rsid w:val="00C42C11"/>
    <w:rsid w:val="00C43344"/>
    <w:rsid w:val="00C43ADB"/>
    <w:rsid w:val="00C44949"/>
    <w:rsid w:val="00C44B4C"/>
    <w:rsid w:val="00C450E3"/>
    <w:rsid w:val="00C451C6"/>
    <w:rsid w:val="00C456CC"/>
    <w:rsid w:val="00C45830"/>
    <w:rsid w:val="00C45C56"/>
    <w:rsid w:val="00C45CCD"/>
    <w:rsid w:val="00C46734"/>
    <w:rsid w:val="00C50112"/>
    <w:rsid w:val="00C5105D"/>
    <w:rsid w:val="00C511F0"/>
    <w:rsid w:val="00C513C7"/>
    <w:rsid w:val="00C51639"/>
    <w:rsid w:val="00C5213C"/>
    <w:rsid w:val="00C53220"/>
    <w:rsid w:val="00C533A0"/>
    <w:rsid w:val="00C537E7"/>
    <w:rsid w:val="00C53AFE"/>
    <w:rsid w:val="00C53E9D"/>
    <w:rsid w:val="00C5426B"/>
    <w:rsid w:val="00C54438"/>
    <w:rsid w:val="00C54C18"/>
    <w:rsid w:val="00C573DA"/>
    <w:rsid w:val="00C5772E"/>
    <w:rsid w:val="00C5781B"/>
    <w:rsid w:val="00C6083C"/>
    <w:rsid w:val="00C61117"/>
    <w:rsid w:val="00C616B4"/>
    <w:rsid w:val="00C621A7"/>
    <w:rsid w:val="00C62AA0"/>
    <w:rsid w:val="00C62BF2"/>
    <w:rsid w:val="00C62D1B"/>
    <w:rsid w:val="00C638A6"/>
    <w:rsid w:val="00C63FB9"/>
    <w:rsid w:val="00C64266"/>
    <w:rsid w:val="00C6448C"/>
    <w:rsid w:val="00C647DF"/>
    <w:rsid w:val="00C64F8E"/>
    <w:rsid w:val="00C66306"/>
    <w:rsid w:val="00C66CE8"/>
    <w:rsid w:val="00C70074"/>
    <w:rsid w:val="00C70DF4"/>
    <w:rsid w:val="00C71252"/>
    <w:rsid w:val="00C71A1F"/>
    <w:rsid w:val="00C7277F"/>
    <w:rsid w:val="00C73C07"/>
    <w:rsid w:val="00C74930"/>
    <w:rsid w:val="00C74B47"/>
    <w:rsid w:val="00C74D80"/>
    <w:rsid w:val="00C754BD"/>
    <w:rsid w:val="00C75D3A"/>
    <w:rsid w:val="00C76908"/>
    <w:rsid w:val="00C769A9"/>
    <w:rsid w:val="00C774C9"/>
    <w:rsid w:val="00C77F1B"/>
    <w:rsid w:val="00C80987"/>
    <w:rsid w:val="00C80A3F"/>
    <w:rsid w:val="00C8122C"/>
    <w:rsid w:val="00C8180E"/>
    <w:rsid w:val="00C818A9"/>
    <w:rsid w:val="00C82436"/>
    <w:rsid w:val="00C82933"/>
    <w:rsid w:val="00C82BE2"/>
    <w:rsid w:val="00C8360D"/>
    <w:rsid w:val="00C84BBF"/>
    <w:rsid w:val="00C84BE9"/>
    <w:rsid w:val="00C8524C"/>
    <w:rsid w:val="00C85DEF"/>
    <w:rsid w:val="00C85E40"/>
    <w:rsid w:val="00C86D76"/>
    <w:rsid w:val="00C910F8"/>
    <w:rsid w:val="00C91106"/>
    <w:rsid w:val="00C9117B"/>
    <w:rsid w:val="00C91765"/>
    <w:rsid w:val="00C91D19"/>
    <w:rsid w:val="00C92A60"/>
    <w:rsid w:val="00C93B58"/>
    <w:rsid w:val="00C93C2F"/>
    <w:rsid w:val="00C9437C"/>
    <w:rsid w:val="00C946E4"/>
    <w:rsid w:val="00C946FF"/>
    <w:rsid w:val="00C94A14"/>
    <w:rsid w:val="00C94CDA"/>
    <w:rsid w:val="00C94DB2"/>
    <w:rsid w:val="00C95BED"/>
    <w:rsid w:val="00C96725"/>
    <w:rsid w:val="00C97A66"/>
    <w:rsid w:val="00CA007B"/>
    <w:rsid w:val="00CA0AA4"/>
    <w:rsid w:val="00CA0DB6"/>
    <w:rsid w:val="00CA1269"/>
    <w:rsid w:val="00CA15B0"/>
    <w:rsid w:val="00CA1C71"/>
    <w:rsid w:val="00CA1D4C"/>
    <w:rsid w:val="00CA1D50"/>
    <w:rsid w:val="00CA1DAB"/>
    <w:rsid w:val="00CA20E0"/>
    <w:rsid w:val="00CA2598"/>
    <w:rsid w:val="00CA3347"/>
    <w:rsid w:val="00CA4757"/>
    <w:rsid w:val="00CA4D5F"/>
    <w:rsid w:val="00CA523D"/>
    <w:rsid w:val="00CA6FDA"/>
    <w:rsid w:val="00CA77CF"/>
    <w:rsid w:val="00CA7B58"/>
    <w:rsid w:val="00CB0836"/>
    <w:rsid w:val="00CB0CB9"/>
    <w:rsid w:val="00CB0D96"/>
    <w:rsid w:val="00CB1413"/>
    <w:rsid w:val="00CB2518"/>
    <w:rsid w:val="00CB3920"/>
    <w:rsid w:val="00CB4C4C"/>
    <w:rsid w:val="00CB6413"/>
    <w:rsid w:val="00CB696F"/>
    <w:rsid w:val="00CB6A00"/>
    <w:rsid w:val="00CB7097"/>
    <w:rsid w:val="00CB77F4"/>
    <w:rsid w:val="00CB780D"/>
    <w:rsid w:val="00CC0F1C"/>
    <w:rsid w:val="00CC259D"/>
    <w:rsid w:val="00CC299A"/>
    <w:rsid w:val="00CC3039"/>
    <w:rsid w:val="00CC32B7"/>
    <w:rsid w:val="00CC36DE"/>
    <w:rsid w:val="00CC3B18"/>
    <w:rsid w:val="00CC4498"/>
    <w:rsid w:val="00CC4F99"/>
    <w:rsid w:val="00CC5CDC"/>
    <w:rsid w:val="00CC5FC3"/>
    <w:rsid w:val="00CC6369"/>
    <w:rsid w:val="00CC65D6"/>
    <w:rsid w:val="00CC73F3"/>
    <w:rsid w:val="00CC7B85"/>
    <w:rsid w:val="00CD081C"/>
    <w:rsid w:val="00CD14DA"/>
    <w:rsid w:val="00CD1B5A"/>
    <w:rsid w:val="00CD1E9C"/>
    <w:rsid w:val="00CD27DB"/>
    <w:rsid w:val="00CD2E70"/>
    <w:rsid w:val="00CD386B"/>
    <w:rsid w:val="00CD3D06"/>
    <w:rsid w:val="00CD4A09"/>
    <w:rsid w:val="00CD4C67"/>
    <w:rsid w:val="00CD4C7B"/>
    <w:rsid w:val="00CD5397"/>
    <w:rsid w:val="00CD5D8C"/>
    <w:rsid w:val="00CD5E93"/>
    <w:rsid w:val="00CD7640"/>
    <w:rsid w:val="00CE0C06"/>
    <w:rsid w:val="00CE15AE"/>
    <w:rsid w:val="00CE1CFC"/>
    <w:rsid w:val="00CE235A"/>
    <w:rsid w:val="00CE37A3"/>
    <w:rsid w:val="00CE3814"/>
    <w:rsid w:val="00CE4AC7"/>
    <w:rsid w:val="00CE56B7"/>
    <w:rsid w:val="00CE6660"/>
    <w:rsid w:val="00CE6855"/>
    <w:rsid w:val="00CE6B6F"/>
    <w:rsid w:val="00CE6D9F"/>
    <w:rsid w:val="00CE7033"/>
    <w:rsid w:val="00CE7075"/>
    <w:rsid w:val="00CE770A"/>
    <w:rsid w:val="00CF02A6"/>
    <w:rsid w:val="00CF05A6"/>
    <w:rsid w:val="00CF06CF"/>
    <w:rsid w:val="00CF0B7F"/>
    <w:rsid w:val="00CF101C"/>
    <w:rsid w:val="00CF15C5"/>
    <w:rsid w:val="00CF2DC1"/>
    <w:rsid w:val="00CF2E31"/>
    <w:rsid w:val="00CF2EE2"/>
    <w:rsid w:val="00CF3948"/>
    <w:rsid w:val="00CF3ACF"/>
    <w:rsid w:val="00CF441D"/>
    <w:rsid w:val="00CF4FCF"/>
    <w:rsid w:val="00CF4FDC"/>
    <w:rsid w:val="00CF53F2"/>
    <w:rsid w:val="00CF56AF"/>
    <w:rsid w:val="00CF5BE0"/>
    <w:rsid w:val="00CF5BF1"/>
    <w:rsid w:val="00CF6001"/>
    <w:rsid w:val="00CF61CB"/>
    <w:rsid w:val="00CF666F"/>
    <w:rsid w:val="00CF686F"/>
    <w:rsid w:val="00CF6CA7"/>
    <w:rsid w:val="00CF6E7D"/>
    <w:rsid w:val="00D00175"/>
    <w:rsid w:val="00D00223"/>
    <w:rsid w:val="00D00459"/>
    <w:rsid w:val="00D0045E"/>
    <w:rsid w:val="00D008D8"/>
    <w:rsid w:val="00D00DBF"/>
    <w:rsid w:val="00D0149B"/>
    <w:rsid w:val="00D01F5D"/>
    <w:rsid w:val="00D01FA9"/>
    <w:rsid w:val="00D02C2B"/>
    <w:rsid w:val="00D03396"/>
    <w:rsid w:val="00D03DBE"/>
    <w:rsid w:val="00D03EED"/>
    <w:rsid w:val="00D04658"/>
    <w:rsid w:val="00D0597D"/>
    <w:rsid w:val="00D06274"/>
    <w:rsid w:val="00D066D8"/>
    <w:rsid w:val="00D07949"/>
    <w:rsid w:val="00D07FB9"/>
    <w:rsid w:val="00D11949"/>
    <w:rsid w:val="00D11A69"/>
    <w:rsid w:val="00D12C98"/>
    <w:rsid w:val="00D12FC6"/>
    <w:rsid w:val="00D12FFC"/>
    <w:rsid w:val="00D13CA3"/>
    <w:rsid w:val="00D1484F"/>
    <w:rsid w:val="00D14BA0"/>
    <w:rsid w:val="00D14D7B"/>
    <w:rsid w:val="00D1516D"/>
    <w:rsid w:val="00D158B0"/>
    <w:rsid w:val="00D1707A"/>
    <w:rsid w:val="00D177D6"/>
    <w:rsid w:val="00D17CC2"/>
    <w:rsid w:val="00D20EED"/>
    <w:rsid w:val="00D21435"/>
    <w:rsid w:val="00D2242C"/>
    <w:rsid w:val="00D224FA"/>
    <w:rsid w:val="00D23033"/>
    <w:rsid w:val="00D2402F"/>
    <w:rsid w:val="00D245C2"/>
    <w:rsid w:val="00D25660"/>
    <w:rsid w:val="00D258EB"/>
    <w:rsid w:val="00D25AEB"/>
    <w:rsid w:val="00D26E74"/>
    <w:rsid w:val="00D271CD"/>
    <w:rsid w:val="00D3064E"/>
    <w:rsid w:val="00D315CC"/>
    <w:rsid w:val="00D32067"/>
    <w:rsid w:val="00D327A3"/>
    <w:rsid w:val="00D34C82"/>
    <w:rsid w:val="00D36550"/>
    <w:rsid w:val="00D379EC"/>
    <w:rsid w:val="00D37C94"/>
    <w:rsid w:val="00D40D88"/>
    <w:rsid w:val="00D41A7C"/>
    <w:rsid w:val="00D41E42"/>
    <w:rsid w:val="00D41F6B"/>
    <w:rsid w:val="00D42380"/>
    <w:rsid w:val="00D42C9B"/>
    <w:rsid w:val="00D43153"/>
    <w:rsid w:val="00D4348D"/>
    <w:rsid w:val="00D436D7"/>
    <w:rsid w:val="00D44E42"/>
    <w:rsid w:val="00D44FC3"/>
    <w:rsid w:val="00D450E2"/>
    <w:rsid w:val="00D453D7"/>
    <w:rsid w:val="00D4552D"/>
    <w:rsid w:val="00D462D6"/>
    <w:rsid w:val="00D474AB"/>
    <w:rsid w:val="00D4754E"/>
    <w:rsid w:val="00D50460"/>
    <w:rsid w:val="00D50961"/>
    <w:rsid w:val="00D50A02"/>
    <w:rsid w:val="00D512A1"/>
    <w:rsid w:val="00D51872"/>
    <w:rsid w:val="00D52AB4"/>
    <w:rsid w:val="00D52F26"/>
    <w:rsid w:val="00D531F5"/>
    <w:rsid w:val="00D538C1"/>
    <w:rsid w:val="00D538D5"/>
    <w:rsid w:val="00D53B5C"/>
    <w:rsid w:val="00D54640"/>
    <w:rsid w:val="00D55455"/>
    <w:rsid w:val="00D559B5"/>
    <w:rsid w:val="00D56420"/>
    <w:rsid w:val="00D5658A"/>
    <w:rsid w:val="00D56A94"/>
    <w:rsid w:val="00D56C0C"/>
    <w:rsid w:val="00D570B4"/>
    <w:rsid w:val="00D57633"/>
    <w:rsid w:val="00D5798B"/>
    <w:rsid w:val="00D60736"/>
    <w:rsid w:val="00D6170E"/>
    <w:rsid w:val="00D61972"/>
    <w:rsid w:val="00D61B58"/>
    <w:rsid w:val="00D6307D"/>
    <w:rsid w:val="00D63632"/>
    <w:rsid w:val="00D63732"/>
    <w:rsid w:val="00D6405D"/>
    <w:rsid w:val="00D6568E"/>
    <w:rsid w:val="00D65893"/>
    <w:rsid w:val="00D658EC"/>
    <w:rsid w:val="00D6684E"/>
    <w:rsid w:val="00D66A0C"/>
    <w:rsid w:val="00D67140"/>
    <w:rsid w:val="00D6742A"/>
    <w:rsid w:val="00D67B9B"/>
    <w:rsid w:val="00D71733"/>
    <w:rsid w:val="00D718AC"/>
    <w:rsid w:val="00D719A3"/>
    <w:rsid w:val="00D71E7A"/>
    <w:rsid w:val="00D71FFA"/>
    <w:rsid w:val="00D72B85"/>
    <w:rsid w:val="00D72DE7"/>
    <w:rsid w:val="00D7302F"/>
    <w:rsid w:val="00D73513"/>
    <w:rsid w:val="00D73A1A"/>
    <w:rsid w:val="00D73BB2"/>
    <w:rsid w:val="00D7449A"/>
    <w:rsid w:val="00D74575"/>
    <w:rsid w:val="00D74631"/>
    <w:rsid w:val="00D74D14"/>
    <w:rsid w:val="00D74F1B"/>
    <w:rsid w:val="00D74F3B"/>
    <w:rsid w:val="00D752E7"/>
    <w:rsid w:val="00D7574B"/>
    <w:rsid w:val="00D75E82"/>
    <w:rsid w:val="00D76270"/>
    <w:rsid w:val="00D769C5"/>
    <w:rsid w:val="00D76E76"/>
    <w:rsid w:val="00D80631"/>
    <w:rsid w:val="00D818EC"/>
    <w:rsid w:val="00D81A20"/>
    <w:rsid w:val="00D81F55"/>
    <w:rsid w:val="00D8321A"/>
    <w:rsid w:val="00D83F57"/>
    <w:rsid w:val="00D84A86"/>
    <w:rsid w:val="00D85152"/>
    <w:rsid w:val="00D85F2C"/>
    <w:rsid w:val="00D861BD"/>
    <w:rsid w:val="00D86D55"/>
    <w:rsid w:val="00D8789C"/>
    <w:rsid w:val="00D8789D"/>
    <w:rsid w:val="00D87B3F"/>
    <w:rsid w:val="00D9003D"/>
    <w:rsid w:val="00D90558"/>
    <w:rsid w:val="00D9082F"/>
    <w:rsid w:val="00D909F9"/>
    <w:rsid w:val="00D90C79"/>
    <w:rsid w:val="00D914EB"/>
    <w:rsid w:val="00D91B36"/>
    <w:rsid w:val="00D9305B"/>
    <w:rsid w:val="00D93346"/>
    <w:rsid w:val="00D94085"/>
    <w:rsid w:val="00D944D2"/>
    <w:rsid w:val="00D96D4F"/>
    <w:rsid w:val="00DA1806"/>
    <w:rsid w:val="00DA1BD1"/>
    <w:rsid w:val="00DA212B"/>
    <w:rsid w:val="00DA3A76"/>
    <w:rsid w:val="00DA538D"/>
    <w:rsid w:val="00DA5713"/>
    <w:rsid w:val="00DA6856"/>
    <w:rsid w:val="00DA6D6D"/>
    <w:rsid w:val="00DA6F45"/>
    <w:rsid w:val="00DA73C1"/>
    <w:rsid w:val="00DA7457"/>
    <w:rsid w:val="00DA770D"/>
    <w:rsid w:val="00DA7851"/>
    <w:rsid w:val="00DA7DC1"/>
    <w:rsid w:val="00DB00EE"/>
    <w:rsid w:val="00DB0132"/>
    <w:rsid w:val="00DB2754"/>
    <w:rsid w:val="00DB2D88"/>
    <w:rsid w:val="00DB3687"/>
    <w:rsid w:val="00DB3786"/>
    <w:rsid w:val="00DB38D1"/>
    <w:rsid w:val="00DB41CB"/>
    <w:rsid w:val="00DB5114"/>
    <w:rsid w:val="00DB681B"/>
    <w:rsid w:val="00DB70C8"/>
    <w:rsid w:val="00DB7E24"/>
    <w:rsid w:val="00DC0445"/>
    <w:rsid w:val="00DC115F"/>
    <w:rsid w:val="00DC2082"/>
    <w:rsid w:val="00DC225F"/>
    <w:rsid w:val="00DC2883"/>
    <w:rsid w:val="00DC2C48"/>
    <w:rsid w:val="00DC46B5"/>
    <w:rsid w:val="00DC4B28"/>
    <w:rsid w:val="00DC4B5D"/>
    <w:rsid w:val="00DC4D5F"/>
    <w:rsid w:val="00DC525E"/>
    <w:rsid w:val="00DC535C"/>
    <w:rsid w:val="00DC5DCB"/>
    <w:rsid w:val="00DC6C0D"/>
    <w:rsid w:val="00DC75E7"/>
    <w:rsid w:val="00DD074A"/>
    <w:rsid w:val="00DD0D70"/>
    <w:rsid w:val="00DD1941"/>
    <w:rsid w:val="00DD26A5"/>
    <w:rsid w:val="00DD2812"/>
    <w:rsid w:val="00DD34F2"/>
    <w:rsid w:val="00DD3C6B"/>
    <w:rsid w:val="00DD54ED"/>
    <w:rsid w:val="00DD561A"/>
    <w:rsid w:val="00DD697F"/>
    <w:rsid w:val="00DD699C"/>
    <w:rsid w:val="00DD739F"/>
    <w:rsid w:val="00DD7631"/>
    <w:rsid w:val="00DD7762"/>
    <w:rsid w:val="00DD781E"/>
    <w:rsid w:val="00DD7A2C"/>
    <w:rsid w:val="00DD7F63"/>
    <w:rsid w:val="00DE0635"/>
    <w:rsid w:val="00DE0A1B"/>
    <w:rsid w:val="00DE1238"/>
    <w:rsid w:val="00DE1FFE"/>
    <w:rsid w:val="00DE2F9E"/>
    <w:rsid w:val="00DE31B1"/>
    <w:rsid w:val="00DE32E7"/>
    <w:rsid w:val="00DE3BB8"/>
    <w:rsid w:val="00DE40EB"/>
    <w:rsid w:val="00DE49F1"/>
    <w:rsid w:val="00DE5117"/>
    <w:rsid w:val="00DE51F6"/>
    <w:rsid w:val="00DE5648"/>
    <w:rsid w:val="00DE568A"/>
    <w:rsid w:val="00DE56B7"/>
    <w:rsid w:val="00DE595E"/>
    <w:rsid w:val="00DE5CD9"/>
    <w:rsid w:val="00DE6A70"/>
    <w:rsid w:val="00DE70B5"/>
    <w:rsid w:val="00DE7113"/>
    <w:rsid w:val="00DF00F9"/>
    <w:rsid w:val="00DF0576"/>
    <w:rsid w:val="00DF1981"/>
    <w:rsid w:val="00DF1D07"/>
    <w:rsid w:val="00DF1E89"/>
    <w:rsid w:val="00DF2144"/>
    <w:rsid w:val="00DF24D9"/>
    <w:rsid w:val="00DF2EA5"/>
    <w:rsid w:val="00DF310B"/>
    <w:rsid w:val="00DF3E47"/>
    <w:rsid w:val="00DF56E8"/>
    <w:rsid w:val="00DF5C01"/>
    <w:rsid w:val="00DF6655"/>
    <w:rsid w:val="00DF6EB6"/>
    <w:rsid w:val="00DF7133"/>
    <w:rsid w:val="00DF722A"/>
    <w:rsid w:val="00DF764C"/>
    <w:rsid w:val="00DF7FBF"/>
    <w:rsid w:val="00E00108"/>
    <w:rsid w:val="00E00BB4"/>
    <w:rsid w:val="00E00CAA"/>
    <w:rsid w:val="00E01441"/>
    <w:rsid w:val="00E01682"/>
    <w:rsid w:val="00E01D4A"/>
    <w:rsid w:val="00E01E8C"/>
    <w:rsid w:val="00E02B2B"/>
    <w:rsid w:val="00E02F4B"/>
    <w:rsid w:val="00E03107"/>
    <w:rsid w:val="00E03D04"/>
    <w:rsid w:val="00E04332"/>
    <w:rsid w:val="00E043BB"/>
    <w:rsid w:val="00E04ECF"/>
    <w:rsid w:val="00E0502A"/>
    <w:rsid w:val="00E0584C"/>
    <w:rsid w:val="00E05902"/>
    <w:rsid w:val="00E067C4"/>
    <w:rsid w:val="00E06A36"/>
    <w:rsid w:val="00E074C9"/>
    <w:rsid w:val="00E07B02"/>
    <w:rsid w:val="00E10DE9"/>
    <w:rsid w:val="00E1198B"/>
    <w:rsid w:val="00E126B2"/>
    <w:rsid w:val="00E127E3"/>
    <w:rsid w:val="00E128C7"/>
    <w:rsid w:val="00E13E8F"/>
    <w:rsid w:val="00E14818"/>
    <w:rsid w:val="00E148E8"/>
    <w:rsid w:val="00E14BA4"/>
    <w:rsid w:val="00E1610C"/>
    <w:rsid w:val="00E162BD"/>
    <w:rsid w:val="00E16660"/>
    <w:rsid w:val="00E16C78"/>
    <w:rsid w:val="00E16D73"/>
    <w:rsid w:val="00E17296"/>
    <w:rsid w:val="00E17833"/>
    <w:rsid w:val="00E17981"/>
    <w:rsid w:val="00E17CD2"/>
    <w:rsid w:val="00E17E36"/>
    <w:rsid w:val="00E201F2"/>
    <w:rsid w:val="00E206D8"/>
    <w:rsid w:val="00E20A87"/>
    <w:rsid w:val="00E2113A"/>
    <w:rsid w:val="00E21C65"/>
    <w:rsid w:val="00E2307E"/>
    <w:rsid w:val="00E2352B"/>
    <w:rsid w:val="00E23E84"/>
    <w:rsid w:val="00E23F9B"/>
    <w:rsid w:val="00E24D23"/>
    <w:rsid w:val="00E26285"/>
    <w:rsid w:val="00E262B3"/>
    <w:rsid w:val="00E26649"/>
    <w:rsid w:val="00E2703D"/>
    <w:rsid w:val="00E271F9"/>
    <w:rsid w:val="00E274FA"/>
    <w:rsid w:val="00E279B6"/>
    <w:rsid w:val="00E27F0A"/>
    <w:rsid w:val="00E30712"/>
    <w:rsid w:val="00E309B0"/>
    <w:rsid w:val="00E32143"/>
    <w:rsid w:val="00E326E9"/>
    <w:rsid w:val="00E32B61"/>
    <w:rsid w:val="00E33106"/>
    <w:rsid w:val="00E3313F"/>
    <w:rsid w:val="00E345C2"/>
    <w:rsid w:val="00E34D99"/>
    <w:rsid w:val="00E352C3"/>
    <w:rsid w:val="00E35476"/>
    <w:rsid w:val="00E355C0"/>
    <w:rsid w:val="00E359A5"/>
    <w:rsid w:val="00E35C28"/>
    <w:rsid w:val="00E372F7"/>
    <w:rsid w:val="00E37431"/>
    <w:rsid w:val="00E37DC0"/>
    <w:rsid w:val="00E37E0A"/>
    <w:rsid w:val="00E37EC6"/>
    <w:rsid w:val="00E40432"/>
    <w:rsid w:val="00E40850"/>
    <w:rsid w:val="00E40D52"/>
    <w:rsid w:val="00E41187"/>
    <w:rsid w:val="00E411B3"/>
    <w:rsid w:val="00E4153E"/>
    <w:rsid w:val="00E41585"/>
    <w:rsid w:val="00E41F94"/>
    <w:rsid w:val="00E421ED"/>
    <w:rsid w:val="00E4220D"/>
    <w:rsid w:val="00E4231E"/>
    <w:rsid w:val="00E4279A"/>
    <w:rsid w:val="00E429ED"/>
    <w:rsid w:val="00E44AC7"/>
    <w:rsid w:val="00E45255"/>
    <w:rsid w:val="00E45A57"/>
    <w:rsid w:val="00E45B2D"/>
    <w:rsid w:val="00E45EF8"/>
    <w:rsid w:val="00E45F3B"/>
    <w:rsid w:val="00E468F2"/>
    <w:rsid w:val="00E47A20"/>
    <w:rsid w:val="00E5084C"/>
    <w:rsid w:val="00E50871"/>
    <w:rsid w:val="00E5099C"/>
    <w:rsid w:val="00E50AD9"/>
    <w:rsid w:val="00E50B4C"/>
    <w:rsid w:val="00E52063"/>
    <w:rsid w:val="00E53533"/>
    <w:rsid w:val="00E537ED"/>
    <w:rsid w:val="00E5384D"/>
    <w:rsid w:val="00E53F2E"/>
    <w:rsid w:val="00E54004"/>
    <w:rsid w:val="00E546C9"/>
    <w:rsid w:val="00E54BB9"/>
    <w:rsid w:val="00E54D3F"/>
    <w:rsid w:val="00E55ADE"/>
    <w:rsid w:val="00E55F1F"/>
    <w:rsid w:val="00E56735"/>
    <w:rsid w:val="00E56866"/>
    <w:rsid w:val="00E56904"/>
    <w:rsid w:val="00E57DFD"/>
    <w:rsid w:val="00E60423"/>
    <w:rsid w:val="00E60545"/>
    <w:rsid w:val="00E607E5"/>
    <w:rsid w:val="00E60A16"/>
    <w:rsid w:val="00E610CB"/>
    <w:rsid w:val="00E6125B"/>
    <w:rsid w:val="00E6170A"/>
    <w:rsid w:val="00E6254B"/>
    <w:rsid w:val="00E62816"/>
    <w:rsid w:val="00E62ADF"/>
    <w:rsid w:val="00E62FA7"/>
    <w:rsid w:val="00E637A3"/>
    <w:rsid w:val="00E650E7"/>
    <w:rsid w:val="00E659FD"/>
    <w:rsid w:val="00E65B0C"/>
    <w:rsid w:val="00E66B16"/>
    <w:rsid w:val="00E66BA2"/>
    <w:rsid w:val="00E677DB"/>
    <w:rsid w:val="00E67FBF"/>
    <w:rsid w:val="00E700F8"/>
    <w:rsid w:val="00E710F0"/>
    <w:rsid w:val="00E71C2D"/>
    <w:rsid w:val="00E71D3C"/>
    <w:rsid w:val="00E7266C"/>
    <w:rsid w:val="00E72BB6"/>
    <w:rsid w:val="00E72CD0"/>
    <w:rsid w:val="00E730AC"/>
    <w:rsid w:val="00E7310C"/>
    <w:rsid w:val="00E7339D"/>
    <w:rsid w:val="00E733ED"/>
    <w:rsid w:val="00E734CE"/>
    <w:rsid w:val="00E73D33"/>
    <w:rsid w:val="00E750CB"/>
    <w:rsid w:val="00E75E7C"/>
    <w:rsid w:val="00E76949"/>
    <w:rsid w:val="00E778DC"/>
    <w:rsid w:val="00E80336"/>
    <w:rsid w:val="00E80D00"/>
    <w:rsid w:val="00E815CE"/>
    <w:rsid w:val="00E81611"/>
    <w:rsid w:val="00E81800"/>
    <w:rsid w:val="00E81863"/>
    <w:rsid w:val="00E818BF"/>
    <w:rsid w:val="00E81C42"/>
    <w:rsid w:val="00E81C5C"/>
    <w:rsid w:val="00E81FDB"/>
    <w:rsid w:val="00E82064"/>
    <w:rsid w:val="00E82B6E"/>
    <w:rsid w:val="00E82DC6"/>
    <w:rsid w:val="00E8347E"/>
    <w:rsid w:val="00E835C5"/>
    <w:rsid w:val="00E83ACD"/>
    <w:rsid w:val="00E83D4B"/>
    <w:rsid w:val="00E845EA"/>
    <w:rsid w:val="00E848F0"/>
    <w:rsid w:val="00E84D1C"/>
    <w:rsid w:val="00E84D9C"/>
    <w:rsid w:val="00E85069"/>
    <w:rsid w:val="00E8628F"/>
    <w:rsid w:val="00E86888"/>
    <w:rsid w:val="00E9011B"/>
    <w:rsid w:val="00E9202A"/>
    <w:rsid w:val="00E92C96"/>
    <w:rsid w:val="00E942B8"/>
    <w:rsid w:val="00E944ED"/>
    <w:rsid w:val="00E945AF"/>
    <w:rsid w:val="00E94A0B"/>
    <w:rsid w:val="00E94A2C"/>
    <w:rsid w:val="00E94E4C"/>
    <w:rsid w:val="00E950B6"/>
    <w:rsid w:val="00E9544C"/>
    <w:rsid w:val="00E95799"/>
    <w:rsid w:val="00E95D93"/>
    <w:rsid w:val="00E9683D"/>
    <w:rsid w:val="00E970B7"/>
    <w:rsid w:val="00E97D95"/>
    <w:rsid w:val="00EA010D"/>
    <w:rsid w:val="00EA04C5"/>
    <w:rsid w:val="00EA0507"/>
    <w:rsid w:val="00EA0BB5"/>
    <w:rsid w:val="00EA1A8A"/>
    <w:rsid w:val="00EA21FA"/>
    <w:rsid w:val="00EA25EB"/>
    <w:rsid w:val="00EA26D5"/>
    <w:rsid w:val="00EA2775"/>
    <w:rsid w:val="00EA2A64"/>
    <w:rsid w:val="00EA305D"/>
    <w:rsid w:val="00EA3106"/>
    <w:rsid w:val="00EA3874"/>
    <w:rsid w:val="00EA5AB6"/>
    <w:rsid w:val="00EA5FB0"/>
    <w:rsid w:val="00EA612E"/>
    <w:rsid w:val="00EA761C"/>
    <w:rsid w:val="00EA7D7F"/>
    <w:rsid w:val="00EB0810"/>
    <w:rsid w:val="00EB0B5F"/>
    <w:rsid w:val="00EB1CF7"/>
    <w:rsid w:val="00EB25C2"/>
    <w:rsid w:val="00EB2B6F"/>
    <w:rsid w:val="00EB2CAD"/>
    <w:rsid w:val="00EB2FA2"/>
    <w:rsid w:val="00EB3272"/>
    <w:rsid w:val="00EB37B2"/>
    <w:rsid w:val="00EB3FF9"/>
    <w:rsid w:val="00EB535B"/>
    <w:rsid w:val="00EB5F0B"/>
    <w:rsid w:val="00EB7352"/>
    <w:rsid w:val="00EB769A"/>
    <w:rsid w:val="00EC11E4"/>
    <w:rsid w:val="00EC14E1"/>
    <w:rsid w:val="00EC2520"/>
    <w:rsid w:val="00EC2A3F"/>
    <w:rsid w:val="00EC2E64"/>
    <w:rsid w:val="00EC3A35"/>
    <w:rsid w:val="00EC3C52"/>
    <w:rsid w:val="00EC3E69"/>
    <w:rsid w:val="00EC41A7"/>
    <w:rsid w:val="00EC4257"/>
    <w:rsid w:val="00EC5554"/>
    <w:rsid w:val="00EC572B"/>
    <w:rsid w:val="00EC5B8E"/>
    <w:rsid w:val="00EC7017"/>
    <w:rsid w:val="00EC7356"/>
    <w:rsid w:val="00EC75F6"/>
    <w:rsid w:val="00ED0065"/>
    <w:rsid w:val="00ED17B5"/>
    <w:rsid w:val="00ED1BA0"/>
    <w:rsid w:val="00ED1D2D"/>
    <w:rsid w:val="00ED1F15"/>
    <w:rsid w:val="00ED2168"/>
    <w:rsid w:val="00ED353D"/>
    <w:rsid w:val="00ED588C"/>
    <w:rsid w:val="00ED6E7A"/>
    <w:rsid w:val="00ED6EA1"/>
    <w:rsid w:val="00ED7A7F"/>
    <w:rsid w:val="00EE060B"/>
    <w:rsid w:val="00EE07AC"/>
    <w:rsid w:val="00EE0891"/>
    <w:rsid w:val="00EE1062"/>
    <w:rsid w:val="00EE173E"/>
    <w:rsid w:val="00EE17F2"/>
    <w:rsid w:val="00EE188A"/>
    <w:rsid w:val="00EE1B01"/>
    <w:rsid w:val="00EE1C62"/>
    <w:rsid w:val="00EE1DB8"/>
    <w:rsid w:val="00EE21F2"/>
    <w:rsid w:val="00EE2746"/>
    <w:rsid w:val="00EE3256"/>
    <w:rsid w:val="00EE4349"/>
    <w:rsid w:val="00EE4759"/>
    <w:rsid w:val="00EE4C20"/>
    <w:rsid w:val="00EE4F2D"/>
    <w:rsid w:val="00EE524C"/>
    <w:rsid w:val="00EE6755"/>
    <w:rsid w:val="00EE78D6"/>
    <w:rsid w:val="00EE7B41"/>
    <w:rsid w:val="00EF03DC"/>
    <w:rsid w:val="00EF0437"/>
    <w:rsid w:val="00EF0BFE"/>
    <w:rsid w:val="00EF1DE8"/>
    <w:rsid w:val="00EF2AC7"/>
    <w:rsid w:val="00EF3397"/>
    <w:rsid w:val="00EF40BF"/>
    <w:rsid w:val="00EF4557"/>
    <w:rsid w:val="00EF493F"/>
    <w:rsid w:val="00EF5947"/>
    <w:rsid w:val="00EF5E22"/>
    <w:rsid w:val="00EF60CA"/>
    <w:rsid w:val="00EF63C1"/>
    <w:rsid w:val="00EF6557"/>
    <w:rsid w:val="00EF69B7"/>
    <w:rsid w:val="00EF6AEB"/>
    <w:rsid w:val="00EF6C2B"/>
    <w:rsid w:val="00EF7332"/>
    <w:rsid w:val="00F00059"/>
    <w:rsid w:val="00F008BD"/>
    <w:rsid w:val="00F01642"/>
    <w:rsid w:val="00F021A9"/>
    <w:rsid w:val="00F02C54"/>
    <w:rsid w:val="00F02CF1"/>
    <w:rsid w:val="00F02D03"/>
    <w:rsid w:val="00F02F9E"/>
    <w:rsid w:val="00F033F2"/>
    <w:rsid w:val="00F035DB"/>
    <w:rsid w:val="00F03F1C"/>
    <w:rsid w:val="00F0448C"/>
    <w:rsid w:val="00F0553C"/>
    <w:rsid w:val="00F06BA7"/>
    <w:rsid w:val="00F06C50"/>
    <w:rsid w:val="00F071BA"/>
    <w:rsid w:val="00F1284F"/>
    <w:rsid w:val="00F136A4"/>
    <w:rsid w:val="00F1377B"/>
    <w:rsid w:val="00F13C5E"/>
    <w:rsid w:val="00F14108"/>
    <w:rsid w:val="00F148D5"/>
    <w:rsid w:val="00F1601A"/>
    <w:rsid w:val="00F160BF"/>
    <w:rsid w:val="00F16173"/>
    <w:rsid w:val="00F1675C"/>
    <w:rsid w:val="00F16A3C"/>
    <w:rsid w:val="00F17428"/>
    <w:rsid w:val="00F20046"/>
    <w:rsid w:val="00F20CC1"/>
    <w:rsid w:val="00F20D22"/>
    <w:rsid w:val="00F21A58"/>
    <w:rsid w:val="00F2248D"/>
    <w:rsid w:val="00F2302A"/>
    <w:rsid w:val="00F23048"/>
    <w:rsid w:val="00F239CD"/>
    <w:rsid w:val="00F23DCC"/>
    <w:rsid w:val="00F24294"/>
    <w:rsid w:val="00F2477C"/>
    <w:rsid w:val="00F24E5D"/>
    <w:rsid w:val="00F24EBB"/>
    <w:rsid w:val="00F271CF"/>
    <w:rsid w:val="00F27696"/>
    <w:rsid w:val="00F27F06"/>
    <w:rsid w:val="00F30409"/>
    <w:rsid w:val="00F30AF5"/>
    <w:rsid w:val="00F314E8"/>
    <w:rsid w:val="00F316A2"/>
    <w:rsid w:val="00F323A2"/>
    <w:rsid w:val="00F332D4"/>
    <w:rsid w:val="00F335D2"/>
    <w:rsid w:val="00F3397C"/>
    <w:rsid w:val="00F33B57"/>
    <w:rsid w:val="00F33CA8"/>
    <w:rsid w:val="00F33D5C"/>
    <w:rsid w:val="00F34C6E"/>
    <w:rsid w:val="00F356D6"/>
    <w:rsid w:val="00F368B4"/>
    <w:rsid w:val="00F36A40"/>
    <w:rsid w:val="00F3785D"/>
    <w:rsid w:val="00F378BE"/>
    <w:rsid w:val="00F37D37"/>
    <w:rsid w:val="00F37F48"/>
    <w:rsid w:val="00F400E3"/>
    <w:rsid w:val="00F4021A"/>
    <w:rsid w:val="00F40876"/>
    <w:rsid w:val="00F414E2"/>
    <w:rsid w:val="00F4363B"/>
    <w:rsid w:val="00F443F0"/>
    <w:rsid w:val="00F44642"/>
    <w:rsid w:val="00F454A2"/>
    <w:rsid w:val="00F45E89"/>
    <w:rsid w:val="00F47845"/>
    <w:rsid w:val="00F47B6C"/>
    <w:rsid w:val="00F47DCB"/>
    <w:rsid w:val="00F50039"/>
    <w:rsid w:val="00F50675"/>
    <w:rsid w:val="00F5071D"/>
    <w:rsid w:val="00F50BD6"/>
    <w:rsid w:val="00F50E16"/>
    <w:rsid w:val="00F513B2"/>
    <w:rsid w:val="00F51520"/>
    <w:rsid w:val="00F52140"/>
    <w:rsid w:val="00F521E4"/>
    <w:rsid w:val="00F52CCE"/>
    <w:rsid w:val="00F53151"/>
    <w:rsid w:val="00F535A9"/>
    <w:rsid w:val="00F53F92"/>
    <w:rsid w:val="00F5480F"/>
    <w:rsid w:val="00F552F7"/>
    <w:rsid w:val="00F553A7"/>
    <w:rsid w:val="00F554EB"/>
    <w:rsid w:val="00F5562D"/>
    <w:rsid w:val="00F566EA"/>
    <w:rsid w:val="00F567A4"/>
    <w:rsid w:val="00F578EB"/>
    <w:rsid w:val="00F605BE"/>
    <w:rsid w:val="00F60AF6"/>
    <w:rsid w:val="00F60DDC"/>
    <w:rsid w:val="00F610A9"/>
    <w:rsid w:val="00F617BE"/>
    <w:rsid w:val="00F61C7A"/>
    <w:rsid w:val="00F625F7"/>
    <w:rsid w:val="00F64702"/>
    <w:rsid w:val="00F64D5A"/>
    <w:rsid w:val="00F65399"/>
    <w:rsid w:val="00F65B68"/>
    <w:rsid w:val="00F65C22"/>
    <w:rsid w:val="00F65EC9"/>
    <w:rsid w:val="00F66CB1"/>
    <w:rsid w:val="00F672BD"/>
    <w:rsid w:val="00F67E15"/>
    <w:rsid w:val="00F67FCA"/>
    <w:rsid w:val="00F70815"/>
    <w:rsid w:val="00F709F4"/>
    <w:rsid w:val="00F71019"/>
    <w:rsid w:val="00F710A9"/>
    <w:rsid w:val="00F7284D"/>
    <w:rsid w:val="00F72CFE"/>
    <w:rsid w:val="00F72FB0"/>
    <w:rsid w:val="00F73423"/>
    <w:rsid w:val="00F7365E"/>
    <w:rsid w:val="00F737A4"/>
    <w:rsid w:val="00F73950"/>
    <w:rsid w:val="00F74465"/>
    <w:rsid w:val="00F75481"/>
    <w:rsid w:val="00F76A4C"/>
    <w:rsid w:val="00F76AB3"/>
    <w:rsid w:val="00F81423"/>
    <w:rsid w:val="00F816A4"/>
    <w:rsid w:val="00F81AE9"/>
    <w:rsid w:val="00F82C78"/>
    <w:rsid w:val="00F82E2E"/>
    <w:rsid w:val="00F83186"/>
    <w:rsid w:val="00F83601"/>
    <w:rsid w:val="00F837E6"/>
    <w:rsid w:val="00F8389A"/>
    <w:rsid w:val="00F83AE9"/>
    <w:rsid w:val="00F83EC7"/>
    <w:rsid w:val="00F83EC8"/>
    <w:rsid w:val="00F843D4"/>
    <w:rsid w:val="00F84890"/>
    <w:rsid w:val="00F84A40"/>
    <w:rsid w:val="00F84B50"/>
    <w:rsid w:val="00F84DBD"/>
    <w:rsid w:val="00F8516E"/>
    <w:rsid w:val="00F852E5"/>
    <w:rsid w:val="00F85C0D"/>
    <w:rsid w:val="00F86741"/>
    <w:rsid w:val="00F86796"/>
    <w:rsid w:val="00F87C3F"/>
    <w:rsid w:val="00F87C5B"/>
    <w:rsid w:val="00F87FEA"/>
    <w:rsid w:val="00F90613"/>
    <w:rsid w:val="00F906F4"/>
    <w:rsid w:val="00F915F3"/>
    <w:rsid w:val="00F91800"/>
    <w:rsid w:val="00F91853"/>
    <w:rsid w:val="00F91987"/>
    <w:rsid w:val="00F9208E"/>
    <w:rsid w:val="00F92571"/>
    <w:rsid w:val="00F93B2F"/>
    <w:rsid w:val="00F93CAE"/>
    <w:rsid w:val="00F954E4"/>
    <w:rsid w:val="00F95CCE"/>
    <w:rsid w:val="00F9692D"/>
    <w:rsid w:val="00F978BE"/>
    <w:rsid w:val="00F97D7B"/>
    <w:rsid w:val="00FA0013"/>
    <w:rsid w:val="00FA0288"/>
    <w:rsid w:val="00FA0C62"/>
    <w:rsid w:val="00FA0F71"/>
    <w:rsid w:val="00FA1440"/>
    <w:rsid w:val="00FA17D6"/>
    <w:rsid w:val="00FA23E2"/>
    <w:rsid w:val="00FA26BC"/>
    <w:rsid w:val="00FA3715"/>
    <w:rsid w:val="00FA3A97"/>
    <w:rsid w:val="00FA3AEA"/>
    <w:rsid w:val="00FA4219"/>
    <w:rsid w:val="00FA48C7"/>
    <w:rsid w:val="00FA54FF"/>
    <w:rsid w:val="00FA5570"/>
    <w:rsid w:val="00FA59E0"/>
    <w:rsid w:val="00FA5C0B"/>
    <w:rsid w:val="00FA70F5"/>
    <w:rsid w:val="00FA7902"/>
    <w:rsid w:val="00FB005D"/>
    <w:rsid w:val="00FB065C"/>
    <w:rsid w:val="00FB183E"/>
    <w:rsid w:val="00FB1CD3"/>
    <w:rsid w:val="00FB1D54"/>
    <w:rsid w:val="00FB3363"/>
    <w:rsid w:val="00FB4048"/>
    <w:rsid w:val="00FB4629"/>
    <w:rsid w:val="00FB4763"/>
    <w:rsid w:val="00FB4CAE"/>
    <w:rsid w:val="00FB577F"/>
    <w:rsid w:val="00FB5E5D"/>
    <w:rsid w:val="00FB5FC4"/>
    <w:rsid w:val="00FB6A07"/>
    <w:rsid w:val="00FB6FB1"/>
    <w:rsid w:val="00FB7460"/>
    <w:rsid w:val="00FB7A10"/>
    <w:rsid w:val="00FB7CC8"/>
    <w:rsid w:val="00FC0F81"/>
    <w:rsid w:val="00FC2424"/>
    <w:rsid w:val="00FC3798"/>
    <w:rsid w:val="00FC59AF"/>
    <w:rsid w:val="00FC5BC0"/>
    <w:rsid w:val="00FC5C43"/>
    <w:rsid w:val="00FC5F72"/>
    <w:rsid w:val="00FC5FC9"/>
    <w:rsid w:val="00FC62B5"/>
    <w:rsid w:val="00FC6D4E"/>
    <w:rsid w:val="00FC7073"/>
    <w:rsid w:val="00FC736F"/>
    <w:rsid w:val="00FD0CDB"/>
    <w:rsid w:val="00FD1AEC"/>
    <w:rsid w:val="00FD1FA7"/>
    <w:rsid w:val="00FD2D42"/>
    <w:rsid w:val="00FD30B5"/>
    <w:rsid w:val="00FD343E"/>
    <w:rsid w:val="00FD3453"/>
    <w:rsid w:val="00FD39CF"/>
    <w:rsid w:val="00FD4B7B"/>
    <w:rsid w:val="00FD4D84"/>
    <w:rsid w:val="00FD5468"/>
    <w:rsid w:val="00FD58F5"/>
    <w:rsid w:val="00FD6287"/>
    <w:rsid w:val="00FD70E6"/>
    <w:rsid w:val="00FD72A2"/>
    <w:rsid w:val="00FD754C"/>
    <w:rsid w:val="00FE0DAE"/>
    <w:rsid w:val="00FE122C"/>
    <w:rsid w:val="00FE1370"/>
    <w:rsid w:val="00FE1510"/>
    <w:rsid w:val="00FE2121"/>
    <w:rsid w:val="00FE254A"/>
    <w:rsid w:val="00FE321B"/>
    <w:rsid w:val="00FE3D07"/>
    <w:rsid w:val="00FE4B6F"/>
    <w:rsid w:val="00FE6818"/>
    <w:rsid w:val="00FE6BFB"/>
    <w:rsid w:val="00FE7BF2"/>
    <w:rsid w:val="00FF0CF5"/>
    <w:rsid w:val="00FF0D6F"/>
    <w:rsid w:val="00FF0E9E"/>
    <w:rsid w:val="00FF1103"/>
    <w:rsid w:val="00FF1712"/>
    <w:rsid w:val="00FF213D"/>
    <w:rsid w:val="00FF251D"/>
    <w:rsid w:val="00FF37DC"/>
    <w:rsid w:val="00FF37F2"/>
    <w:rsid w:val="00FF40F9"/>
    <w:rsid w:val="00FF43D9"/>
    <w:rsid w:val="00FF52CD"/>
    <w:rsid w:val="00FF5B3C"/>
    <w:rsid w:val="00FF69C8"/>
    <w:rsid w:val="00FF6D3D"/>
    <w:rsid w:val="00FF7866"/>
    <w:rsid w:val="024D7E2C"/>
    <w:rsid w:val="0D2EB883"/>
    <w:rsid w:val="0D8163B6"/>
    <w:rsid w:val="1BB32F19"/>
    <w:rsid w:val="1F2C3AF5"/>
    <w:rsid w:val="1FF4886A"/>
    <w:rsid w:val="22D2584A"/>
    <w:rsid w:val="28751A95"/>
    <w:rsid w:val="29FA8189"/>
    <w:rsid w:val="2C00A012"/>
    <w:rsid w:val="389994B3"/>
    <w:rsid w:val="3B30A011"/>
    <w:rsid w:val="3B93C128"/>
    <w:rsid w:val="3CFBE104"/>
    <w:rsid w:val="467F9A7B"/>
    <w:rsid w:val="510454D8"/>
    <w:rsid w:val="5395A1E2"/>
    <w:rsid w:val="5D8505AD"/>
    <w:rsid w:val="6F81B597"/>
    <w:rsid w:val="71443FBB"/>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7E5"/>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B30448"/>
    <w:rPr>
      <w:vertAlign w:val="superscript"/>
    </w:rPr>
  </w:style>
  <w:style w:type="paragraph" w:customStyle="1" w:styleId="Appelnotedebasde">
    <w:name w:val="Appel note de bas de..."/>
    <w:basedOn w:val="Normal"/>
    <w:link w:val="Refdenotaalpie"/>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E84D1C"/>
    <w:pPr>
      <w:spacing w:after="0" w:line="240" w:lineRule="auto"/>
      <w:ind w:left="720"/>
      <w:contextualSpacing/>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4D1C"/>
    <w:rPr>
      <w:sz w:val="24"/>
      <w:lang w:val="es-MX"/>
    </w:rPr>
  </w:style>
  <w:style w:type="character" w:customStyle="1" w:styleId="Ttulo1Car">
    <w:name w:val="Título 1 Car"/>
    <w:basedOn w:val="Fuentedeprrafopredeter"/>
    <w:link w:val="Ttulo1"/>
    <w:uiPriority w:val="9"/>
    <w:rsid w:val="00CD2E70"/>
    <w:rPr>
      <w:rFonts w:ascii="Times New Roman" w:eastAsia="Times New Roman" w:hAnsi="Times New Roman" w:cs="Times New Roman"/>
      <w:b/>
      <w:bCs/>
      <w:kern w:val="36"/>
      <w:sz w:val="48"/>
      <w:szCs w:val="48"/>
      <w:lang w:eastAsia="es-ES_tradnl"/>
    </w:rPr>
  </w:style>
  <w:style w:type="paragraph" w:customStyle="1" w:styleId="paragraph">
    <w:name w:val="paragraph"/>
    <w:basedOn w:val="Normal"/>
    <w:rsid w:val="00CD2E70"/>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3651AC"/>
  </w:style>
  <w:style w:type="paragraph" w:styleId="NormalWeb">
    <w:name w:val="Normal (Web)"/>
    <w:basedOn w:val="Normal"/>
    <w:link w:val="NormalWebCar"/>
    <w:uiPriority w:val="99"/>
    <w:unhideWhenUsed/>
    <w:rsid w:val="00FB5FC4"/>
    <w:rPr>
      <w:rFonts w:ascii="Times New Roman" w:hAnsi="Times New Roman" w:cs="Times New Roman"/>
      <w:sz w:val="24"/>
      <w:szCs w:val="24"/>
    </w:rPr>
  </w:style>
  <w:style w:type="character" w:customStyle="1" w:styleId="Hipervnculo1">
    <w:name w:val="Hipervínculo1"/>
    <w:basedOn w:val="Fuentedeprrafopredeter"/>
    <w:uiPriority w:val="99"/>
    <w:unhideWhenUsed/>
    <w:rsid w:val="00FB5FC4"/>
    <w:rPr>
      <w:color w:val="F2F2F2"/>
      <w:u w:val="single"/>
    </w:rPr>
  </w:style>
  <w:style w:type="character" w:styleId="Textoennegrita">
    <w:name w:val="Strong"/>
    <w:basedOn w:val="Fuentedeprrafopredeter"/>
    <w:uiPriority w:val="22"/>
    <w:qFormat/>
    <w:rsid w:val="00FB5FC4"/>
    <w:rPr>
      <w:b/>
      <w:bCs/>
    </w:rPr>
  </w:style>
  <w:style w:type="character" w:styleId="nfasis">
    <w:name w:val="Emphasis"/>
    <w:basedOn w:val="Fuentedeprrafopredeter"/>
    <w:uiPriority w:val="20"/>
    <w:qFormat/>
    <w:rsid w:val="00FB5FC4"/>
    <w:rPr>
      <w:i/>
      <w:iCs/>
    </w:rPr>
  </w:style>
  <w:style w:type="paragraph" w:customStyle="1" w:styleId="Textoindependiente21">
    <w:name w:val="Texto independiente 21"/>
    <w:basedOn w:val="Normal"/>
    <w:rsid w:val="007A6528"/>
    <w:pPr>
      <w:overflowPunct w:val="0"/>
      <w:autoSpaceDE w:val="0"/>
      <w:autoSpaceDN w:val="0"/>
      <w:adjustRightInd w:val="0"/>
      <w:spacing w:after="0" w:line="360" w:lineRule="auto"/>
      <w:ind w:firstLine="710"/>
      <w:jc w:val="both"/>
      <w:textAlignment w:val="baseline"/>
    </w:pPr>
    <w:rPr>
      <w:rFonts w:ascii="Arial" w:eastAsia="Times New Roman" w:hAnsi="Arial" w:cs="Times New Roman"/>
      <w:sz w:val="24"/>
      <w:szCs w:val="20"/>
      <w:lang w:eastAsia="es-ES"/>
    </w:rPr>
  </w:style>
  <w:style w:type="paragraph" w:styleId="Textoindependiente">
    <w:name w:val="Body Text"/>
    <w:basedOn w:val="Normal"/>
    <w:link w:val="TextoindependienteCar"/>
    <w:uiPriority w:val="1"/>
    <w:unhideWhenUsed/>
    <w:qFormat/>
    <w:rsid w:val="00002D5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1"/>
    <w:rsid w:val="00002D55"/>
    <w:rPr>
      <w:rFonts w:ascii="Times New Roman" w:eastAsia="Times New Roman" w:hAnsi="Times New Roman" w:cs="Times New Roman"/>
      <w:sz w:val="24"/>
      <w:szCs w:val="24"/>
      <w:lang w:eastAsia="es-CO"/>
    </w:rPr>
  </w:style>
  <w:style w:type="character" w:customStyle="1" w:styleId="FontStyle23">
    <w:name w:val="Font Style23"/>
    <w:basedOn w:val="Fuentedeprrafopredeter"/>
    <w:rsid w:val="0081788A"/>
    <w:rPr>
      <w:rFonts w:ascii="Times New Roman" w:hAnsi="Times New Roman" w:cs="Times New Roman" w:hint="default"/>
      <w:sz w:val="20"/>
      <w:szCs w:val="20"/>
    </w:rPr>
  </w:style>
  <w:style w:type="character" w:customStyle="1" w:styleId="baj">
    <w:name w:val="b_aj"/>
    <w:basedOn w:val="Fuentedeprrafopredeter"/>
    <w:rsid w:val="00B43CE6"/>
  </w:style>
  <w:style w:type="character" w:customStyle="1" w:styleId="NormalWebCar">
    <w:name w:val="Normal (Web) Car"/>
    <w:link w:val="NormalWeb"/>
    <w:uiPriority w:val="99"/>
    <w:locked/>
    <w:rsid w:val="004F015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43367">
      <w:bodyDiv w:val="1"/>
      <w:marLeft w:val="0"/>
      <w:marRight w:val="0"/>
      <w:marTop w:val="0"/>
      <w:marBottom w:val="0"/>
      <w:divBdr>
        <w:top w:val="none" w:sz="0" w:space="0" w:color="auto"/>
        <w:left w:val="none" w:sz="0" w:space="0" w:color="auto"/>
        <w:bottom w:val="none" w:sz="0" w:space="0" w:color="auto"/>
        <w:right w:val="none" w:sz="0" w:space="0" w:color="auto"/>
      </w:divBdr>
    </w:div>
    <w:div w:id="24134882">
      <w:bodyDiv w:val="1"/>
      <w:marLeft w:val="0"/>
      <w:marRight w:val="0"/>
      <w:marTop w:val="0"/>
      <w:marBottom w:val="0"/>
      <w:divBdr>
        <w:top w:val="none" w:sz="0" w:space="0" w:color="auto"/>
        <w:left w:val="none" w:sz="0" w:space="0" w:color="auto"/>
        <w:bottom w:val="none" w:sz="0" w:space="0" w:color="auto"/>
        <w:right w:val="none" w:sz="0" w:space="0" w:color="auto"/>
      </w:divBdr>
    </w:div>
    <w:div w:id="46149373">
      <w:bodyDiv w:val="1"/>
      <w:marLeft w:val="0"/>
      <w:marRight w:val="0"/>
      <w:marTop w:val="0"/>
      <w:marBottom w:val="0"/>
      <w:divBdr>
        <w:top w:val="none" w:sz="0" w:space="0" w:color="auto"/>
        <w:left w:val="none" w:sz="0" w:space="0" w:color="auto"/>
        <w:bottom w:val="none" w:sz="0" w:space="0" w:color="auto"/>
        <w:right w:val="none" w:sz="0" w:space="0" w:color="auto"/>
      </w:divBdr>
    </w:div>
    <w:div w:id="100034727">
      <w:bodyDiv w:val="1"/>
      <w:marLeft w:val="0"/>
      <w:marRight w:val="0"/>
      <w:marTop w:val="0"/>
      <w:marBottom w:val="0"/>
      <w:divBdr>
        <w:top w:val="none" w:sz="0" w:space="0" w:color="auto"/>
        <w:left w:val="none" w:sz="0" w:space="0" w:color="auto"/>
        <w:bottom w:val="none" w:sz="0" w:space="0" w:color="auto"/>
        <w:right w:val="none" w:sz="0" w:space="0" w:color="auto"/>
      </w:divBdr>
    </w:div>
    <w:div w:id="107549441">
      <w:bodyDiv w:val="1"/>
      <w:marLeft w:val="0"/>
      <w:marRight w:val="0"/>
      <w:marTop w:val="0"/>
      <w:marBottom w:val="0"/>
      <w:divBdr>
        <w:top w:val="none" w:sz="0" w:space="0" w:color="auto"/>
        <w:left w:val="none" w:sz="0" w:space="0" w:color="auto"/>
        <w:bottom w:val="none" w:sz="0" w:space="0" w:color="auto"/>
        <w:right w:val="none" w:sz="0" w:space="0" w:color="auto"/>
      </w:divBdr>
    </w:div>
    <w:div w:id="112671991">
      <w:bodyDiv w:val="1"/>
      <w:marLeft w:val="0"/>
      <w:marRight w:val="0"/>
      <w:marTop w:val="0"/>
      <w:marBottom w:val="0"/>
      <w:divBdr>
        <w:top w:val="none" w:sz="0" w:space="0" w:color="auto"/>
        <w:left w:val="none" w:sz="0" w:space="0" w:color="auto"/>
        <w:bottom w:val="none" w:sz="0" w:space="0" w:color="auto"/>
        <w:right w:val="none" w:sz="0" w:space="0" w:color="auto"/>
      </w:divBdr>
    </w:div>
    <w:div w:id="125584597">
      <w:bodyDiv w:val="1"/>
      <w:marLeft w:val="0"/>
      <w:marRight w:val="0"/>
      <w:marTop w:val="0"/>
      <w:marBottom w:val="0"/>
      <w:divBdr>
        <w:top w:val="none" w:sz="0" w:space="0" w:color="auto"/>
        <w:left w:val="none" w:sz="0" w:space="0" w:color="auto"/>
        <w:bottom w:val="none" w:sz="0" w:space="0" w:color="auto"/>
        <w:right w:val="none" w:sz="0" w:space="0" w:color="auto"/>
      </w:divBdr>
    </w:div>
    <w:div w:id="139424028">
      <w:bodyDiv w:val="1"/>
      <w:marLeft w:val="0"/>
      <w:marRight w:val="0"/>
      <w:marTop w:val="0"/>
      <w:marBottom w:val="0"/>
      <w:divBdr>
        <w:top w:val="none" w:sz="0" w:space="0" w:color="auto"/>
        <w:left w:val="none" w:sz="0" w:space="0" w:color="auto"/>
        <w:bottom w:val="none" w:sz="0" w:space="0" w:color="auto"/>
        <w:right w:val="none" w:sz="0" w:space="0" w:color="auto"/>
      </w:divBdr>
      <w:divsChild>
        <w:div w:id="1821341347">
          <w:marLeft w:val="0"/>
          <w:marRight w:val="0"/>
          <w:marTop w:val="0"/>
          <w:marBottom w:val="0"/>
          <w:divBdr>
            <w:top w:val="none" w:sz="0" w:space="0" w:color="auto"/>
            <w:left w:val="none" w:sz="0" w:space="0" w:color="auto"/>
            <w:bottom w:val="none" w:sz="0" w:space="0" w:color="auto"/>
            <w:right w:val="none" w:sz="0" w:space="0" w:color="auto"/>
          </w:divBdr>
          <w:divsChild>
            <w:div w:id="91904659">
              <w:marLeft w:val="0"/>
              <w:marRight w:val="0"/>
              <w:marTop w:val="0"/>
              <w:marBottom w:val="0"/>
              <w:divBdr>
                <w:top w:val="none" w:sz="0" w:space="0" w:color="auto"/>
                <w:left w:val="none" w:sz="0" w:space="0" w:color="auto"/>
                <w:bottom w:val="none" w:sz="0" w:space="0" w:color="auto"/>
                <w:right w:val="none" w:sz="0" w:space="0" w:color="auto"/>
              </w:divBdr>
              <w:divsChild>
                <w:div w:id="205610424">
                  <w:marLeft w:val="0"/>
                  <w:marRight w:val="0"/>
                  <w:marTop w:val="0"/>
                  <w:marBottom w:val="0"/>
                  <w:divBdr>
                    <w:top w:val="none" w:sz="0" w:space="0" w:color="auto"/>
                    <w:left w:val="none" w:sz="0" w:space="0" w:color="auto"/>
                    <w:bottom w:val="none" w:sz="0" w:space="0" w:color="auto"/>
                    <w:right w:val="none" w:sz="0" w:space="0" w:color="auto"/>
                  </w:divBdr>
                  <w:divsChild>
                    <w:div w:id="744687126">
                      <w:marLeft w:val="0"/>
                      <w:marRight w:val="0"/>
                      <w:marTop w:val="0"/>
                      <w:marBottom w:val="0"/>
                      <w:divBdr>
                        <w:top w:val="none" w:sz="0" w:space="0" w:color="auto"/>
                        <w:left w:val="none" w:sz="0" w:space="0" w:color="auto"/>
                        <w:bottom w:val="none" w:sz="0" w:space="0" w:color="auto"/>
                        <w:right w:val="none" w:sz="0" w:space="0" w:color="auto"/>
                      </w:divBdr>
                      <w:divsChild>
                        <w:div w:id="658389621">
                          <w:marLeft w:val="0"/>
                          <w:marRight w:val="0"/>
                          <w:marTop w:val="0"/>
                          <w:marBottom w:val="0"/>
                          <w:divBdr>
                            <w:top w:val="none" w:sz="0" w:space="0" w:color="auto"/>
                            <w:left w:val="none" w:sz="0" w:space="0" w:color="auto"/>
                            <w:bottom w:val="none" w:sz="0" w:space="0" w:color="auto"/>
                            <w:right w:val="none" w:sz="0" w:space="0" w:color="auto"/>
                          </w:divBdr>
                          <w:divsChild>
                            <w:div w:id="4911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200137">
      <w:bodyDiv w:val="1"/>
      <w:marLeft w:val="0"/>
      <w:marRight w:val="0"/>
      <w:marTop w:val="0"/>
      <w:marBottom w:val="0"/>
      <w:divBdr>
        <w:top w:val="none" w:sz="0" w:space="0" w:color="auto"/>
        <w:left w:val="none" w:sz="0" w:space="0" w:color="auto"/>
        <w:bottom w:val="none" w:sz="0" w:space="0" w:color="auto"/>
        <w:right w:val="none" w:sz="0" w:space="0" w:color="auto"/>
      </w:divBdr>
    </w:div>
    <w:div w:id="143091202">
      <w:bodyDiv w:val="1"/>
      <w:marLeft w:val="0"/>
      <w:marRight w:val="0"/>
      <w:marTop w:val="0"/>
      <w:marBottom w:val="0"/>
      <w:divBdr>
        <w:top w:val="none" w:sz="0" w:space="0" w:color="auto"/>
        <w:left w:val="none" w:sz="0" w:space="0" w:color="auto"/>
        <w:bottom w:val="none" w:sz="0" w:space="0" w:color="auto"/>
        <w:right w:val="none" w:sz="0" w:space="0" w:color="auto"/>
      </w:divBdr>
    </w:div>
    <w:div w:id="182283863">
      <w:bodyDiv w:val="1"/>
      <w:marLeft w:val="0"/>
      <w:marRight w:val="0"/>
      <w:marTop w:val="0"/>
      <w:marBottom w:val="0"/>
      <w:divBdr>
        <w:top w:val="none" w:sz="0" w:space="0" w:color="auto"/>
        <w:left w:val="none" w:sz="0" w:space="0" w:color="auto"/>
        <w:bottom w:val="none" w:sz="0" w:space="0" w:color="auto"/>
        <w:right w:val="none" w:sz="0" w:space="0" w:color="auto"/>
      </w:divBdr>
    </w:div>
    <w:div w:id="271516540">
      <w:bodyDiv w:val="1"/>
      <w:marLeft w:val="0"/>
      <w:marRight w:val="0"/>
      <w:marTop w:val="0"/>
      <w:marBottom w:val="0"/>
      <w:divBdr>
        <w:top w:val="none" w:sz="0" w:space="0" w:color="auto"/>
        <w:left w:val="none" w:sz="0" w:space="0" w:color="auto"/>
        <w:bottom w:val="none" w:sz="0" w:space="0" w:color="auto"/>
        <w:right w:val="none" w:sz="0" w:space="0" w:color="auto"/>
      </w:divBdr>
    </w:div>
    <w:div w:id="277950301">
      <w:bodyDiv w:val="1"/>
      <w:marLeft w:val="0"/>
      <w:marRight w:val="0"/>
      <w:marTop w:val="0"/>
      <w:marBottom w:val="0"/>
      <w:divBdr>
        <w:top w:val="none" w:sz="0" w:space="0" w:color="auto"/>
        <w:left w:val="none" w:sz="0" w:space="0" w:color="auto"/>
        <w:bottom w:val="none" w:sz="0" w:space="0" w:color="auto"/>
        <w:right w:val="none" w:sz="0" w:space="0" w:color="auto"/>
      </w:divBdr>
    </w:div>
    <w:div w:id="283849664">
      <w:bodyDiv w:val="1"/>
      <w:marLeft w:val="0"/>
      <w:marRight w:val="0"/>
      <w:marTop w:val="0"/>
      <w:marBottom w:val="0"/>
      <w:divBdr>
        <w:top w:val="none" w:sz="0" w:space="0" w:color="auto"/>
        <w:left w:val="none" w:sz="0" w:space="0" w:color="auto"/>
        <w:bottom w:val="none" w:sz="0" w:space="0" w:color="auto"/>
        <w:right w:val="none" w:sz="0" w:space="0" w:color="auto"/>
      </w:divBdr>
    </w:div>
    <w:div w:id="302009774">
      <w:bodyDiv w:val="1"/>
      <w:marLeft w:val="0"/>
      <w:marRight w:val="0"/>
      <w:marTop w:val="0"/>
      <w:marBottom w:val="0"/>
      <w:divBdr>
        <w:top w:val="none" w:sz="0" w:space="0" w:color="auto"/>
        <w:left w:val="none" w:sz="0" w:space="0" w:color="auto"/>
        <w:bottom w:val="none" w:sz="0" w:space="0" w:color="auto"/>
        <w:right w:val="none" w:sz="0" w:space="0" w:color="auto"/>
      </w:divBdr>
    </w:div>
    <w:div w:id="329917147">
      <w:bodyDiv w:val="1"/>
      <w:marLeft w:val="0"/>
      <w:marRight w:val="0"/>
      <w:marTop w:val="0"/>
      <w:marBottom w:val="0"/>
      <w:divBdr>
        <w:top w:val="none" w:sz="0" w:space="0" w:color="auto"/>
        <w:left w:val="none" w:sz="0" w:space="0" w:color="auto"/>
        <w:bottom w:val="none" w:sz="0" w:space="0" w:color="auto"/>
        <w:right w:val="none" w:sz="0" w:space="0" w:color="auto"/>
      </w:divBdr>
    </w:div>
    <w:div w:id="334461891">
      <w:bodyDiv w:val="1"/>
      <w:marLeft w:val="0"/>
      <w:marRight w:val="0"/>
      <w:marTop w:val="0"/>
      <w:marBottom w:val="0"/>
      <w:divBdr>
        <w:top w:val="none" w:sz="0" w:space="0" w:color="auto"/>
        <w:left w:val="none" w:sz="0" w:space="0" w:color="auto"/>
        <w:bottom w:val="none" w:sz="0" w:space="0" w:color="auto"/>
        <w:right w:val="none" w:sz="0" w:space="0" w:color="auto"/>
      </w:divBdr>
    </w:div>
    <w:div w:id="337804836">
      <w:bodyDiv w:val="1"/>
      <w:marLeft w:val="0"/>
      <w:marRight w:val="0"/>
      <w:marTop w:val="0"/>
      <w:marBottom w:val="0"/>
      <w:divBdr>
        <w:top w:val="none" w:sz="0" w:space="0" w:color="auto"/>
        <w:left w:val="none" w:sz="0" w:space="0" w:color="auto"/>
        <w:bottom w:val="none" w:sz="0" w:space="0" w:color="auto"/>
        <w:right w:val="none" w:sz="0" w:space="0" w:color="auto"/>
      </w:divBdr>
    </w:div>
    <w:div w:id="374045247">
      <w:bodyDiv w:val="1"/>
      <w:marLeft w:val="0"/>
      <w:marRight w:val="0"/>
      <w:marTop w:val="0"/>
      <w:marBottom w:val="0"/>
      <w:divBdr>
        <w:top w:val="none" w:sz="0" w:space="0" w:color="auto"/>
        <w:left w:val="none" w:sz="0" w:space="0" w:color="auto"/>
        <w:bottom w:val="none" w:sz="0" w:space="0" w:color="auto"/>
        <w:right w:val="none" w:sz="0" w:space="0" w:color="auto"/>
      </w:divBdr>
      <w:divsChild>
        <w:div w:id="506864930">
          <w:marLeft w:val="0"/>
          <w:marRight w:val="0"/>
          <w:marTop w:val="0"/>
          <w:marBottom w:val="160"/>
          <w:divBdr>
            <w:top w:val="none" w:sz="0" w:space="0" w:color="auto"/>
            <w:left w:val="none" w:sz="0" w:space="0" w:color="auto"/>
            <w:bottom w:val="none" w:sz="0" w:space="0" w:color="auto"/>
            <w:right w:val="none" w:sz="0" w:space="0" w:color="auto"/>
          </w:divBdr>
        </w:div>
        <w:div w:id="563570546">
          <w:marLeft w:val="0"/>
          <w:marRight w:val="0"/>
          <w:marTop w:val="0"/>
          <w:marBottom w:val="160"/>
          <w:divBdr>
            <w:top w:val="none" w:sz="0" w:space="0" w:color="auto"/>
            <w:left w:val="none" w:sz="0" w:space="0" w:color="auto"/>
            <w:bottom w:val="none" w:sz="0" w:space="0" w:color="auto"/>
            <w:right w:val="none" w:sz="0" w:space="0" w:color="auto"/>
          </w:divBdr>
        </w:div>
        <w:div w:id="773287731">
          <w:marLeft w:val="0"/>
          <w:marRight w:val="0"/>
          <w:marTop w:val="0"/>
          <w:marBottom w:val="160"/>
          <w:divBdr>
            <w:top w:val="none" w:sz="0" w:space="0" w:color="auto"/>
            <w:left w:val="none" w:sz="0" w:space="0" w:color="auto"/>
            <w:bottom w:val="none" w:sz="0" w:space="0" w:color="auto"/>
            <w:right w:val="none" w:sz="0" w:space="0" w:color="auto"/>
          </w:divBdr>
        </w:div>
      </w:divsChild>
    </w:div>
    <w:div w:id="378482620">
      <w:bodyDiv w:val="1"/>
      <w:marLeft w:val="0"/>
      <w:marRight w:val="0"/>
      <w:marTop w:val="0"/>
      <w:marBottom w:val="0"/>
      <w:divBdr>
        <w:top w:val="none" w:sz="0" w:space="0" w:color="auto"/>
        <w:left w:val="none" w:sz="0" w:space="0" w:color="auto"/>
        <w:bottom w:val="none" w:sz="0" w:space="0" w:color="auto"/>
        <w:right w:val="none" w:sz="0" w:space="0" w:color="auto"/>
      </w:divBdr>
    </w:div>
    <w:div w:id="432018390">
      <w:bodyDiv w:val="1"/>
      <w:marLeft w:val="0"/>
      <w:marRight w:val="0"/>
      <w:marTop w:val="0"/>
      <w:marBottom w:val="0"/>
      <w:divBdr>
        <w:top w:val="none" w:sz="0" w:space="0" w:color="auto"/>
        <w:left w:val="none" w:sz="0" w:space="0" w:color="auto"/>
        <w:bottom w:val="none" w:sz="0" w:space="0" w:color="auto"/>
        <w:right w:val="none" w:sz="0" w:space="0" w:color="auto"/>
      </w:divBdr>
    </w:div>
    <w:div w:id="438305584">
      <w:bodyDiv w:val="1"/>
      <w:marLeft w:val="0"/>
      <w:marRight w:val="0"/>
      <w:marTop w:val="0"/>
      <w:marBottom w:val="0"/>
      <w:divBdr>
        <w:top w:val="none" w:sz="0" w:space="0" w:color="auto"/>
        <w:left w:val="none" w:sz="0" w:space="0" w:color="auto"/>
        <w:bottom w:val="none" w:sz="0" w:space="0" w:color="auto"/>
        <w:right w:val="none" w:sz="0" w:space="0" w:color="auto"/>
      </w:divBdr>
    </w:div>
    <w:div w:id="497113796">
      <w:bodyDiv w:val="1"/>
      <w:marLeft w:val="0"/>
      <w:marRight w:val="0"/>
      <w:marTop w:val="0"/>
      <w:marBottom w:val="0"/>
      <w:divBdr>
        <w:top w:val="none" w:sz="0" w:space="0" w:color="auto"/>
        <w:left w:val="none" w:sz="0" w:space="0" w:color="auto"/>
        <w:bottom w:val="none" w:sz="0" w:space="0" w:color="auto"/>
        <w:right w:val="none" w:sz="0" w:space="0" w:color="auto"/>
      </w:divBdr>
      <w:divsChild>
        <w:div w:id="932205885">
          <w:marLeft w:val="0"/>
          <w:marRight w:val="0"/>
          <w:marTop w:val="0"/>
          <w:marBottom w:val="0"/>
          <w:divBdr>
            <w:top w:val="none" w:sz="0" w:space="0" w:color="auto"/>
            <w:left w:val="none" w:sz="0" w:space="0" w:color="auto"/>
            <w:bottom w:val="none" w:sz="0" w:space="0" w:color="auto"/>
            <w:right w:val="none" w:sz="0" w:space="0" w:color="auto"/>
          </w:divBdr>
          <w:divsChild>
            <w:div w:id="396978682">
              <w:marLeft w:val="0"/>
              <w:marRight w:val="0"/>
              <w:marTop w:val="0"/>
              <w:marBottom w:val="0"/>
              <w:divBdr>
                <w:top w:val="none" w:sz="0" w:space="0" w:color="auto"/>
                <w:left w:val="none" w:sz="0" w:space="0" w:color="auto"/>
                <w:bottom w:val="none" w:sz="0" w:space="0" w:color="auto"/>
                <w:right w:val="none" w:sz="0" w:space="0" w:color="auto"/>
              </w:divBdr>
              <w:divsChild>
                <w:div w:id="1886520651">
                  <w:marLeft w:val="0"/>
                  <w:marRight w:val="0"/>
                  <w:marTop w:val="0"/>
                  <w:marBottom w:val="0"/>
                  <w:divBdr>
                    <w:top w:val="none" w:sz="0" w:space="0" w:color="auto"/>
                    <w:left w:val="none" w:sz="0" w:space="0" w:color="auto"/>
                    <w:bottom w:val="none" w:sz="0" w:space="0" w:color="auto"/>
                    <w:right w:val="none" w:sz="0" w:space="0" w:color="auto"/>
                  </w:divBdr>
                  <w:divsChild>
                    <w:div w:id="1561600205">
                      <w:marLeft w:val="0"/>
                      <w:marRight w:val="0"/>
                      <w:marTop w:val="0"/>
                      <w:marBottom w:val="0"/>
                      <w:divBdr>
                        <w:top w:val="none" w:sz="0" w:space="0" w:color="auto"/>
                        <w:left w:val="none" w:sz="0" w:space="0" w:color="auto"/>
                        <w:bottom w:val="none" w:sz="0" w:space="0" w:color="auto"/>
                        <w:right w:val="none" w:sz="0" w:space="0" w:color="auto"/>
                      </w:divBdr>
                      <w:divsChild>
                        <w:div w:id="312949149">
                          <w:marLeft w:val="0"/>
                          <w:marRight w:val="0"/>
                          <w:marTop w:val="0"/>
                          <w:marBottom w:val="0"/>
                          <w:divBdr>
                            <w:top w:val="none" w:sz="0" w:space="0" w:color="auto"/>
                            <w:left w:val="none" w:sz="0" w:space="0" w:color="auto"/>
                            <w:bottom w:val="none" w:sz="0" w:space="0" w:color="auto"/>
                            <w:right w:val="none" w:sz="0" w:space="0" w:color="auto"/>
                          </w:divBdr>
                          <w:divsChild>
                            <w:div w:id="112874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9076646">
      <w:bodyDiv w:val="1"/>
      <w:marLeft w:val="0"/>
      <w:marRight w:val="0"/>
      <w:marTop w:val="0"/>
      <w:marBottom w:val="0"/>
      <w:divBdr>
        <w:top w:val="none" w:sz="0" w:space="0" w:color="auto"/>
        <w:left w:val="none" w:sz="0" w:space="0" w:color="auto"/>
        <w:bottom w:val="none" w:sz="0" w:space="0" w:color="auto"/>
        <w:right w:val="none" w:sz="0" w:space="0" w:color="auto"/>
      </w:divBdr>
    </w:div>
    <w:div w:id="588775434">
      <w:bodyDiv w:val="1"/>
      <w:marLeft w:val="0"/>
      <w:marRight w:val="0"/>
      <w:marTop w:val="0"/>
      <w:marBottom w:val="0"/>
      <w:divBdr>
        <w:top w:val="none" w:sz="0" w:space="0" w:color="auto"/>
        <w:left w:val="none" w:sz="0" w:space="0" w:color="auto"/>
        <w:bottom w:val="none" w:sz="0" w:space="0" w:color="auto"/>
        <w:right w:val="none" w:sz="0" w:space="0" w:color="auto"/>
      </w:divBdr>
      <w:divsChild>
        <w:div w:id="686953851">
          <w:marLeft w:val="0"/>
          <w:marRight w:val="0"/>
          <w:marTop w:val="0"/>
          <w:marBottom w:val="0"/>
          <w:divBdr>
            <w:top w:val="none" w:sz="0" w:space="0" w:color="auto"/>
            <w:left w:val="none" w:sz="0" w:space="0" w:color="auto"/>
            <w:bottom w:val="none" w:sz="0" w:space="0" w:color="auto"/>
            <w:right w:val="none" w:sz="0" w:space="0" w:color="auto"/>
          </w:divBdr>
          <w:divsChild>
            <w:div w:id="172259401">
              <w:marLeft w:val="0"/>
              <w:marRight w:val="0"/>
              <w:marTop w:val="0"/>
              <w:marBottom w:val="0"/>
              <w:divBdr>
                <w:top w:val="none" w:sz="0" w:space="0" w:color="auto"/>
                <w:left w:val="none" w:sz="0" w:space="0" w:color="auto"/>
                <w:bottom w:val="none" w:sz="0" w:space="0" w:color="auto"/>
                <w:right w:val="none" w:sz="0" w:space="0" w:color="auto"/>
              </w:divBdr>
              <w:divsChild>
                <w:div w:id="2105608189">
                  <w:marLeft w:val="0"/>
                  <w:marRight w:val="0"/>
                  <w:marTop w:val="0"/>
                  <w:marBottom w:val="0"/>
                  <w:divBdr>
                    <w:top w:val="none" w:sz="0" w:space="0" w:color="auto"/>
                    <w:left w:val="none" w:sz="0" w:space="0" w:color="auto"/>
                    <w:bottom w:val="none" w:sz="0" w:space="0" w:color="auto"/>
                    <w:right w:val="none" w:sz="0" w:space="0" w:color="auto"/>
                  </w:divBdr>
                  <w:divsChild>
                    <w:div w:id="1691952384">
                      <w:marLeft w:val="0"/>
                      <w:marRight w:val="0"/>
                      <w:marTop w:val="0"/>
                      <w:marBottom w:val="0"/>
                      <w:divBdr>
                        <w:top w:val="none" w:sz="0" w:space="0" w:color="auto"/>
                        <w:left w:val="none" w:sz="0" w:space="0" w:color="auto"/>
                        <w:bottom w:val="none" w:sz="0" w:space="0" w:color="auto"/>
                        <w:right w:val="none" w:sz="0" w:space="0" w:color="auto"/>
                      </w:divBdr>
                      <w:divsChild>
                        <w:div w:id="1490360998">
                          <w:marLeft w:val="0"/>
                          <w:marRight w:val="0"/>
                          <w:marTop w:val="0"/>
                          <w:marBottom w:val="0"/>
                          <w:divBdr>
                            <w:top w:val="none" w:sz="0" w:space="0" w:color="auto"/>
                            <w:left w:val="none" w:sz="0" w:space="0" w:color="auto"/>
                            <w:bottom w:val="none" w:sz="0" w:space="0" w:color="auto"/>
                            <w:right w:val="none" w:sz="0" w:space="0" w:color="auto"/>
                          </w:divBdr>
                          <w:divsChild>
                            <w:div w:id="62654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3080197">
      <w:bodyDiv w:val="1"/>
      <w:marLeft w:val="0"/>
      <w:marRight w:val="0"/>
      <w:marTop w:val="0"/>
      <w:marBottom w:val="0"/>
      <w:divBdr>
        <w:top w:val="none" w:sz="0" w:space="0" w:color="auto"/>
        <w:left w:val="none" w:sz="0" w:space="0" w:color="auto"/>
        <w:bottom w:val="none" w:sz="0" w:space="0" w:color="auto"/>
        <w:right w:val="none" w:sz="0" w:space="0" w:color="auto"/>
      </w:divBdr>
    </w:div>
    <w:div w:id="667171323">
      <w:bodyDiv w:val="1"/>
      <w:marLeft w:val="0"/>
      <w:marRight w:val="0"/>
      <w:marTop w:val="0"/>
      <w:marBottom w:val="0"/>
      <w:divBdr>
        <w:top w:val="none" w:sz="0" w:space="0" w:color="auto"/>
        <w:left w:val="none" w:sz="0" w:space="0" w:color="auto"/>
        <w:bottom w:val="none" w:sz="0" w:space="0" w:color="auto"/>
        <w:right w:val="none" w:sz="0" w:space="0" w:color="auto"/>
      </w:divBdr>
    </w:div>
    <w:div w:id="696200587">
      <w:bodyDiv w:val="1"/>
      <w:marLeft w:val="0"/>
      <w:marRight w:val="0"/>
      <w:marTop w:val="0"/>
      <w:marBottom w:val="0"/>
      <w:divBdr>
        <w:top w:val="none" w:sz="0" w:space="0" w:color="auto"/>
        <w:left w:val="none" w:sz="0" w:space="0" w:color="auto"/>
        <w:bottom w:val="none" w:sz="0" w:space="0" w:color="auto"/>
        <w:right w:val="none" w:sz="0" w:space="0" w:color="auto"/>
      </w:divBdr>
    </w:div>
    <w:div w:id="705180845">
      <w:bodyDiv w:val="1"/>
      <w:marLeft w:val="0"/>
      <w:marRight w:val="0"/>
      <w:marTop w:val="0"/>
      <w:marBottom w:val="0"/>
      <w:divBdr>
        <w:top w:val="none" w:sz="0" w:space="0" w:color="auto"/>
        <w:left w:val="none" w:sz="0" w:space="0" w:color="auto"/>
        <w:bottom w:val="none" w:sz="0" w:space="0" w:color="auto"/>
        <w:right w:val="none" w:sz="0" w:space="0" w:color="auto"/>
      </w:divBdr>
    </w:div>
    <w:div w:id="719481719">
      <w:bodyDiv w:val="1"/>
      <w:marLeft w:val="0"/>
      <w:marRight w:val="0"/>
      <w:marTop w:val="0"/>
      <w:marBottom w:val="0"/>
      <w:divBdr>
        <w:top w:val="none" w:sz="0" w:space="0" w:color="auto"/>
        <w:left w:val="none" w:sz="0" w:space="0" w:color="auto"/>
        <w:bottom w:val="none" w:sz="0" w:space="0" w:color="auto"/>
        <w:right w:val="none" w:sz="0" w:space="0" w:color="auto"/>
      </w:divBdr>
    </w:div>
    <w:div w:id="723599209">
      <w:bodyDiv w:val="1"/>
      <w:marLeft w:val="0"/>
      <w:marRight w:val="0"/>
      <w:marTop w:val="0"/>
      <w:marBottom w:val="0"/>
      <w:divBdr>
        <w:top w:val="none" w:sz="0" w:space="0" w:color="auto"/>
        <w:left w:val="none" w:sz="0" w:space="0" w:color="auto"/>
        <w:bottom w:val="none" w:sz="0" w:space="0" w:color="auto"/>
        <w:right w:val="none" w:sz="0" w:space="0" w:color="auto"/>
      </w:divBdr>
    </w:div>
    <w:div w:id="784926870">
      <w:bodyDiv w:val="1"/>
      <w:marLeft w:val="0"/>
      <w:marRight w:val="0"/>
      <w:marTop w:val="0"/>
      <w:marBottom w:val="0"/>
      <w:divBdr>
        <w:top w:val="none" w:sz="0" w:space="0" w:color="auto"/>
        <w:left w:val="none" w:sz="0" w:space="0" w:color="auto"/>
        <w:bottom w:val="none" w:sz="0" w:space="0" w:color="auto"/>
        <w:right w:val="none" w:sz="0" w:space="0" w:color="auto"/>
      </w:divBdr>
    </w:div>
    <w:div w:id="805587634">
      <w:bodyDiv w:val="1"/>
      <w:marLeft w:val="0"/>
      <w:marRight w:val="0"/>
      <w:marTop w:val="0"/>
      <w:marBottom w:val="0"/>
      <w:divBdr>
        <w:top w:val="none" w:sz="0" w:space="0" w:color="auto"/>
        <w:left w:val="none" w:sz="0" w:space="0" w:color="auto"/>
        <w:bottom w:val="none" w:sz="0" w:space="0" w:color="auto"/>
        <w:right w:val="none" w:sz="0" w:space="0" w:color="auto"/>
      </w:divBdr>
      <w:divsChild>
        <w:div w:id="1007294537">
          <w:marLeft w:val="0"/>
          <w:marRight w:val="0"/>
          <w:marTop w:val="0"/>
          <w:marBottom w:val="0"/>
          <w:divBdr>
            <w:top w:val="none" w:sz="0" w:space="0" w:color="auto"/>
            <w:left w:val="none" w:sz="0" w:space="0" w:color="auto"/>
            <w:bottom w:val="none" w:sz="0" w:space="0" w:color="auto"/>
            <w:right w:val="none" w:sz="0" w:space="0" w:color="auto"/>
          </w:divBdr>
          <w:divsChild>
            <w:div w:id="751505717">
              <w:marLeft w:val="0"/>
              <w:marRight w:val="0"/>
              <w:marTop w:val="0"/>
              <w:marBottom w:val="0"/>
              <w:divBdr>
                <w:top w:val="none" w:sz="0" w:space="0" w:color="auto"/>
                <w:left w:val="none" w:sz="0" w:space="0" w:color="auto"/>
                <w:bottom w:val="none" w:sz="0" w:space="0" w:color="auto"/>
                <w:right w:val="none" w:sz="0" w:space="0" w:color="auto"/>
              </w:divBdr>
              <w:divsChild>
                <w:div w:id="1847553990">
                  <w:marLeft w:val="0"/>
                  <w:marRight w:val="0"/>
                  <w:marTop w:val="0"/>
                  <w:marBottom w:val="0"/>
                  <w:divBdr>
                    <w:top w:val="none" w:sz="0" w:space="0" w:color="auto"/>
                    <w:left w:val="none" w:sz="0" w:space="0" w:color="auto"/>
                    <w:bottom w:val="none" w:sz="0" w:space="0" w:color="auto"/>
                    <w:right w:val="none" w:sz="0" w:space="0" w:color="auto"/>
                  </w:divBdr>
                  <w:divsChild>
                    <w:div w:id="1367175542">
                      <w:marLeft w:val="0"/>
                      <w:marRight w:val="0"/>
                      <w:marTop w:val="0"/>
                      <w:marBottom w:val="0"/>
                      <w:divBdr>
                        <w:top w:val="none" w:sz="0" w:space="0" w:color="auto"/>
                        <w:left w:val="none" w:sz="0" w:space="0" w:color="auto"/>
                        <w:bottom w:val="none" w:sz="0" w:space="0" w:color="auto"/>
                        <w:right w:val="none" w:sz="0" w:space="0" w:color="auto"/>
                      </w:divBdr>
                      <w:divsChild>
                        <w:div w:id="678506111">
                          <w:marLeft w:val="0"/>
                          <w:marRight w:val="0"/>
                          <w:marTop w:val="0"/>
                          <w:marBottom w:val="0"/>
                          <w:divBdr>
                            <w:top w:val="none" w:sz="0" w:space="0" w:color="auto"/>
                            <w:left w:val="none" w:sz="0" w:space="0" w:color="auto"/>
                            <w:bottom w:val="none" w:sz="0" w:space="0" w:color="auto"/>
                            <w:right w:val="none" w:sz="0" w:space="0" w:color="auto"/>
                          </w:divBdr>
                          <w:divsChild>
                            <w:div w:id="1187712375">
                              <w:marLeft w:val="0"/>
                              <w:marRight w:val="0"/>
                              <w:marTop w:val="0"/>
                              <w:marBottom w:val="0"/>
                              <w:divBdr>
                                <w:top w:val="none" w:sz="0" w:space="0" w:color="auto"/>
                                <w:left w:val="none" w:sz="0" w:space="0" w:color="auto"/>
                                <w:bottom w:val="none" w:sz="0" w:space="0" w:color="auto"/>
                                <w:right w:val="none" w:sz="0" w:space="0" w:color="auto"/>
                              </w:divBdr>
                              <w:divsChild>
                                <w:div w:id="2121414196">
                                  <w:marLeft w:val="0"/>
                                  <w:marRight w:val="0"/>
                                  <w:marTop w:val="0"/>
                                  <w:marBottom w:val="0"/>
                                  <w:divBdr>
                                    <w:top w:val="none" w:sz="0" w:space="0" w:color="auto"/>
                                    <w:left w:val="none" w:sz="0" w:space="0" w:color="auto"/>
                                    <w:bottom w:val="none" w:sz="0" w:space="0" w:color="auto"/>
                                    <w:right w:val="none" w:sz="0" w:space="0" w:color="auto"/>
                                  </w:divBdr>
                                  <w:divsChild>
                                    <w:div w:id="1068186274">
                                      <w:marLeft w:val="0"/>
                                      <w:marRight w:val="0"/>
                                      <w:marTop w:val="0"/>
                                      <w:marBottom w:val="0"/>
                                      <w:divBdr>
                                        <w:top w:val="none" w:sz="0" w:space="0" w:color="auto"/>
                                        <w:left w:val="none" w:sz="0" w:space="0" w:color="auto"/>
                                        <w:bottom w:val="none" w:sz="0" w:space="0" w:color="auto"/>
                                        <w:right w:val="none" w:sz="0" w:space="0" w:color="auto"/>
                                      </w:divBdr>
                                      <w:divsChild>
                                        <w:div w:id="1944461549">
                                          <w:marLeft w:val="0"/>
                                          <w:marRight w:val="0"/>
                                          <w:marTop w:val="0"/>
                                          <w:marBottom w:val="0"/>
                                          <w:divBdr>
                                            <w:top w:val="none" w:sz="0" w:space="0" w:color="auto"/>
                                            <w:left w:val="none" w:sz="0" w:space="0" w:color="auto"/>
                                            <w:bottom w:val="none" w:sz="0" w:space="0" w:color="auto"/>
                                            <w:right w:val="none" w:sz="0" w:space="0" w:color="auto"/>
                                          </w:divBdr>
                                          <w:divsChild>
                                            <w:div w:id="396780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917990">
                                  <w:marLeft w:val="0"/>
                                  <w:marRight w:val="0"/>
                                  <w:marTop w:val="0"/>
                                  <w:marBottom w:val="0"/>
                                  <w:divBdr>
                                    <w:top w:val="none" w:sz="0" w:space="0" w:color="auto"/>
                                    <w:left w:val="none" w:sz="0" w:space="0" w:color="auto"/>
                                    <w:bottom w:val="none" w:sz="0" w:space="0" w:color="auto"/>
                                    <w:right w:val="none" w:sz="0" w:space="0" w:color="auto"/>
                                  </w:divBdr>
                                  <w:divsChild>
                                    <w:div w:id="191361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4276447">
          <w:marLeft w:val="0"/>
          <w:marRight w:val="0"/>
          <w:marTop w:val="0"/>
          <w:marBottom w:val="0"/>
          <w:divBdr>
            <w:top w:val="none" w:sz="0" w:space="0" w:color="auto"/>
            <w:left w:val="none" w:sz="0" w:space="0" w:color="auto"/>
            <w:bottom w:val="none" w:sz="0" w:space="0" w:color="auto"/>
            <w:right w:val="none" w:sz="0" w:space="0" w:color="auto"/>
          </w:divBdr>
          <w:divsChild>
            <w:div w:id="1248423014">
              <w:marLeft w:val="0"/>
              <w:marRight w:val="0"/>
              <w:marTop w:val="0"/>
              <w:marBottom w:val="0"/>
              <w:divBdr>
                <w:top w:val="none" w:sz="0" w:space="0" w:color="auto"/>
                <w:left w:val="none" w:sz="0" w:space="0" w:color="auto"/>
                <w:bottom w:val="none" w:sz="0" w:space="0" w:color="auto"/>
                <w:right w:val="none" w:sz="0" w:space="0" w:color="auto"/>
              </w:divBdr>
              <w:divsChild>
                <w:div w:id="1523472762">
                  <w:marLeft w:val="0"/>
                  <w:marRight w:val="0"/>
                  <w:marTop w:val="0"/>
                  <w:marBottom w:val="0"/>
                  <w:divBdr>
                    <w:top w:val="none" w:sz="0" w:space="0" w:color="auto"/>
                    <w:left w:val="none" w:sz="0" w:space="0" w:color="auto"/>
                    <w:bottom w:val="none" w:sz="0" w:space="0" w:color="auto"/>
                    <w:right w:val="none" w:sz="0" w:space="0" w:color="auto"/>
                  </w:divBdr>
                  <w:divsChild>
                    <w:div w:id="1305893850">
                      <w:marLeft w:val="0"/>
                      <w:marRight w:val="0"/>
                      <w:marTop w:val="0"/>
                      <w:marBottom w:val="0"/>
                      <w:divBdr>
                        <w:top w:val="none" w:sz="0" w:space="0" w:color="auto"/>
                        <w:left w:val="none" w:sz="0" w:space="0" w:color="auto"/>
                        <w:bottom w:val="none" w:sz="0" w:space="0" w:color="auto"/>
                        <w:right w:val="none" w:sz="0" w:space="0" w:color="auto"/>
                      </w:divBdr>
                      <w:divsChild>
                        <w:div w:id="10763644">
                          <w:marLeft w:val="0"/>
                          <w:marRight w:val="0"/>
                          <w:marTop w:val="0"/>
                          <w:marBottom w:val="0"/>
                          <w:divBdr>
                            <w:top w:val="none" w:sz="0" w:space="0" w:color="auto"/>
                            <w:left w:val="none" w:sz="0" w:space="0" w:color="auto"/>
                            <w:bottom w:val="none" w:sz="0" w:space="0" w:color="auto"/>
                            <w:right w:val="none" w:sz="0" w:space="0" w:color="auto"/>
                          </w:divBdr>
                          <w:divsChild>
                            <w:div w:id="317226189">
                              <w:marLeft w:val="0"/>
                              <w:marRight w:val="0"/>
                              <w:marTop w:val="0"/>
                              <w:marBottom w:val="0"/>
                              <w:divBdr>
                                <w:top w:val="none" w:sz="0" w:space="0" w:color="auto"/>
                                <w:left w:val="none" w:sz="0" w:space="0" w:color="auto"/>
                                <w:bottom w:val="none" w:sz="0" w:space="0" w:color="auto"/>
                                <w:right w:val="none" w:sz="0" w:space="0" w:color="auto"/>
                              </w:divBdr>
                              <w:divsChild>
                                <w:div w:id="1961379555">
                                  <w:marLeft w:val="0"/>
                                  <w:marRight w:val="0"/>
                                  <w:marTop w:val="0"/>
                                  <w:marBottom w:val="0"/>
                                  <w:divBdr>
                                    <w:top w:val="none" w:sz="0" w:space="0" w:color="auto"/>
                                    <w:left w:val="none" w:sz="0" w:space="0" w:color="auto"/>
                                    <w:bottom w:val="none" w:sz="0" w:space="0" w:color="auto"/>
                                    <w:right w:val="none" w:sz="0" w:space="0" w:color="auto"/>
                                  </w:divBdr>
                                  <w:divsChild>
                                    <w:div w:id="1391925343">
                                      <w:marLeft w:val="0"/>
                                      <w:marRight w:val="0"/>
                                      <w:marTop w:val="0"/>
                                      <w:marBottom w:val="0"/>
                                      <w:divBdr>
                                        <w:top w:val="none" w:sz="0" w:space="0" w:color="auto"/>
                                        <w:left w:val="none" w:sz="0" w:space="0" w:color="auto"/>
                                        <w:bottom w:val="none" w:sz="0" w:space="0" w:color="auto"/>
                                        <w:right w:val="none" w:sz="0" w:space="0" w:color="auto"/>
                                      </w:divBdr>
                                      <w:divsChild>
                                        <w:div w:id="1210190143">
                                          <w:marLeft w:val="0"/>
                                          <w:marRight w:val="0"/>
                                          <w:marTop w:val="0"/>
                                          <w:marBottom w:val="0"/>
                                          <w:divBdr>
                                            <w:top w:val="none" w:sz="0" w:space="0" w:color="auto"/>
                                            <w:left w:val="none" w:sz="0" w:space="0" w:color="auto"/>
                                            <w:bottom w:val="none" w:sz="0" w:space="0" w:color="auto"/>
                                            <w:right w:val="none" w:sz="0" w:space="0" w:color="auto"/>
                                          </w:divBdr>
                                          <w:divsChild>
                                            <w:div w:id="1367023206">
                                              <w:marLeft w:val="0"/>
                                              <w:marRight w:val="0"/>
                                              <w:marTop w:val="0"/>
                                              <w:marBottom w:val="0"/>
                                              <w:divBdr>
                                                <w:top w:val="none" w:sz="0" w:space="0" w:color="auto"/>
                                                <w:left w:val="none" w:sz="0" w:space="0" w:color="auto"/>
                                                <w:bottom w:val="none" w:sz="0" w:space="0" w:color="auto"/>
                                                <w:right w:val="none" w:sz="0" w:space="0" w:color="auto"/>
                                              </w:divBdr>
                                              <w:divsChild>
                                                <w:div w:id="101102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50341528">
      <w:bodyDiv w:val="1"/>
      <w:marLeft w:val="0"/>
      <w:marRight w:val="0"/>
      <w:marTop w:val="0"/>
      <w:marBottom w:val="0"/>
      <w:divBdr>
        <w:top w:val="none" w:sz="0" w:space="0" w:color="auto"/>
        <w:left w:val="none" w:sz="0" w:space="0" w:color="auto"/>
        <w:bottom w:val="none" w:sz="0" w:space="0" w:color="auto"/>
        <w:right w:val="none" w:sz="0" w:space="0" w:color="auto"/>
      </w:divBdr>
    </w:div>
    <w:div w:id="905454849">
      <w:bodyDiv w:val="1"/>
      <w:marLeft w:val="0"/>
      <w:marRight w:val="0"/>
      <w:marTop w:val="0"/>
      <w:marBottom w:val="0"/>
      <w:divBdr>
        <w:top w:val="none" w:sz="0" w:space="0" w:color="auto"/>
        <w:left w:val="none" w:sz="0" w:space="0" w:color="auto"/>
        <w:bottom w:val="none" w:sz="0" w:space="0" w:color="auto"/>
        <w:right w:val="none" w:sz="0" w:space="0" w:color="auto"/>
      </w:divBdr>
      <w:divsChild>
        <w:div w:id="591283175">
          <w:marLeft w:val="0"/>
          <w:marRight w:val="0"/>
          <w:marTop w:val="0"/>
          <w:marBottom w:val="160"/>
          <w:divBdr>
            <w:top w:val="none" w:sz="0" w:space="0" w:color="auto"/>
            <w:left w:val="none" w:sz="0" w:space="0" w:color="auto"/>
            <w:bottom w:val="none" w:sz="0" w:space="0" w:color="auto"/>
            <w:right w:val="none" w:sz="0" w:space="0" w:color="auto"/>
          </w:divBdr>
        </w:div>
        <w:div w:id="2145074026">
          <w:marLeft w:val="0"/>
          <w:marRight w:val="0"/>
          <w:marTop w:val="0"/>
          <w:marBottom w:val="160"/>
          <w:divBdr>
            <w:top w:val="none" w:sz="0" w:space="0" w:color="auto"/>
            <w:left w:val="none" w:sz="0" w:space="0" w:color="auto"/>
            <w:bottom w:val="none" w:sz="0" w:space="0" w:color="auto"/>
            <w:right w:val="none" w:sz="0" w:space="0" w:color="auto"/>
          </w:divBdr>
        </w:div>
        <w:div w:id="1578511561">
          <w:marLeft w:val="0"/>
          <w:marRight w:val="0"/>
          <w:marTop w:val="0"/>
          <w:marBottom w:val="160"/>
          <w:divBdr>
            <w:top w:val="none" w:sz="0" w:space="0" w:color="auto"/>
            <w:left w:val="none" w:sz="0" w:space="0" w:color="auto"/>
            <w:bottom w:val="none" w:sz="0" w:space="0" w:color="auto"/>
            <w:right w:val="none" w:sz="0" w:space="0" w:color="auto"/>
          </w:divBdr>
        </w:div>
      </w:divsChild>
    </w:div>
    <w:div w:id="935362018">
      <w:bodyDiv w:val="1"/>
      <w:marLeft w:val="0"/>
      <w:marRight w:val="0"/>
      <w:marTop w:val="0"/>
      <w:marBottom w:val="0"/>
      <w:divBdr>
        <w:top w:val="none" w:sz="0" w:space="0" w:color="auto"/>
        <w:left w:val="none" w:sz="0" w:space="0" w:color="auto"/>
        <w:bottom w:val="none" w:sz="0" w:space="0" w:color="auto"/>
        <w:right w:val="none" w:sz="0" w:space="0" w:color="auto"/>
      </w:divBdr>
    </w:div>
    <w:div w:id="951672208">
      <w:bodyDiv w:val="1"/>
      <w:marLeft w:val="0"/>
      <w:marRight w:val="0"/>
      <w:marTop w:val="0"/>
      <w:marBottom w:val="0"/>
      <w:divBdr>
        <w:top w:val="none" w:sz="0" w:space="0" w:color="auto"/>
        <w:left w:val="none" w:sz="0" w:space="0" w:color="auto"/>
        <w:bottom w:val="none" w:sz="0" w:space="0" w:color="auto"/>
        <w:right w:val="none" w:sz="0" w:space="0" w:color="auto"/>
      </w:divBdr>
    </w:div>
    <w:div w:id="953827049">
      <w:bodyDiv w:val="1"/>
      <w:marLeft w:val="0"/>
      <w:marRight w:val="0"/>
      <w:marTop w:val="0"/>
      <w:marBottom w:val="0"/>
      <w:divBdr>
        <w:top w:val="none" w:sz="0" w:space="0" w:color="auto"/>
        <w:left w:val="none" w:sz="0" w:space="0" w:color="auto"/>
        <w:bottom w:val="none" w:sz="0" w:space="0" w:color="auto"/>
        <w:right w:val="none" w:sz="0" w:space="0" w:color="auto"/>
      </w:divBdr>
    </w:div>
    <w:div w:id="1015158801">
      <w:bodyDiv w:val="1"/>
      <w:marLeft w:val="0"/>
      <w:marRight w:val="0"/>
      <w:marTop w:val="0"/>
      <w:marBottom w:val="0"/>
      <w:divBdr>
        <w:top w:val="none" w:sz="0" w:space="0" w:color="auto"/>
        <w:left w:val="none" w:sz="0" w:space="0" w:color="auto"/>
        <w:bottom w:val="none" w:sz="0" w:space="0" w:color="auto"/>
        <w:right w:val="none" w:sz="0" w:space="0" w:color="auto"/>
      </w:divBdr>
    </w:div>
    <w:div w:id="1067846211">
      <w:bodyDiv w:val="1"/>
      <w:marLeft w:val="0"/>
      <w:marRight w:val="0"/>
      <w:marTop w:val="0"/>
      <w:marBottom w:val="0"/>
      <w:divBdr>
        <w:top w:val="none" w:sz="0" w:space="0" w:color="auto"/>
        <w:left w:val="none" w:sz="0" w:space="0" w:color="auto"/>
        <w:bottom w:val="none" w:sz="0" w:space="0" w:color="auto"/>
        <w:right w:val="none" w:sz="0" w:space="0" w:color="auto"/>
      </w:divBdr>
    </w:div>
    <w:div w:id="1072897937">
      <w:bodyDiv w:val="1"/>
      <w:marLeft w:val="0"/>
      <w:marRight w:val="0"/>
      <w:marTop w:val="0"/>
      <w:marBottom w:val="0"/>
      <w:divBdr>
        <w:top w:val="none" w:sz="0" w:space="0" w:color="auto"/>
        <w:left w:val="none" w:sz="0" w:space="0" w:color="auto"/>
        <w:bottom w:val="none" w:sz="0" w:space="0" w:color="auto"/>
        <w:right w:val="none" w:sz="0" w:space="0" w:color="auto"/>
      </w:divBdr>
    </w:div>
    <w:div w:id="1090585167">
      <w:bodyDiv w:val="1"/>
      <w:marLeft w:val="0"/>
      <w:marRight w:val="0"/>
      <w:marTop w:val="0"/>
      <w:marBottom w:val="0"/>
      <w:divBdr>
        <w:top w:val="none" w:sz="0" w:space="0" w:color="auto"/>
        <w:left w:val="none" w:sz="0" w:space="0" w:color="auto"/>
        <w:bottom w:val="none" w:sz="0" w:space="0" w:color="auto"/>
        <w:right w:val="none" w:sz="0" w:space="0" w:color="auto"/>
      </w:divBdr>
    </w:div>
    <w:div w:id="1107236897">
      <w:bodyDiv w:val="1"/>
      <w:marLeft w:val="0"/>
      <w:marRight w:val="0"/>
      <w:marTop w:val="0"/>
      <w:marBottom w:val="0"/>
      <w:divBdr>
        <w:top w:val="none" w:sz="0" w:space="0" w:color="auto"/>
        <w:left w:val="none" w:sz="0" w:space="0" w:color="auto"/>
        <w:bottom w:val="none" w:sz="0" w:space="0" w:color="auto"/>
        <w:right w:val="none" w:sz="0" w:space="0" w:color="auto"/>
      </w:divBdr>
      <w:divsChild>
        <w:div w:id="477647396">
          <w:marLeft w:val="0"/>
          <w:marRight w:val="0"/>
          <w:marTop w:val="0"/>
          <w:marBottom w:val="0"/>
          <w:divBdr>
            <w:top w:val="none" w:sz="0" w:space="0" w:color="auto"/>
            <w:left w:val="none" w:sz="0" w:space="0" w:color="auto"/>
            <w:bottom w:val="none" w:sz="0" w:space="0" w:color="auto"/>
            <w:right w:val="none" w:sz="0" w:space="0" w:color="auto"/>
          </w:divBdr>
          <w:divsChild>
            <w:div w:id="796800405">
              <w:marLeft w:val="0"/>
              <w:marRight w:val="0"/>
              <w:marTop w:val="0"/>
              <w:marBottom w:val="0"/>
              <w:divBdr>
                <w:top w:val="none" w:sz="0" w:space="0" w:color="auto"/>
                <w:left w:val="none" w:sz="0" w:space="0" w:color="auto"/>
                <w:bottom w:val="none" w:sz="0" w:space="0" w:color="auto"/>
                <w:right w:val="none" w:sz="0" w:space="0" w:color="auto"/>
              </w:divBdr>
              <w:divsChild>
                <w:div w:id="969165727">
                  <w:marLeft w:val="0"/>
                  <w:marRight w:val="0"/>
                  <w:marTop w:val="0"/>
                  <w:marBottom w:val="0"/>
                  <w:divBdr>
                    <w:top w:val="none" w:sz="0" w:space="0" w:color="auto"/>
                    <w:left w:val="none" w:sz="0" w:space="0" w:color="auto"/>
                    <w:bottom w:val="none" w:sz="0" w:space="0" w:color="auto"/>
                    <w:right w:val="none" w:sz="0" w:space="0" w:color="auto"/>
                  </w:divBdr>
                  <w:divsChild>
                    <w:div w:id="324626554">
                      <w:marLeft w:val="0"/>
                      <w:marRight w:val="0"/>
                      <w:marTop w:val="0"/>
                      <w:marBottom w:val="0"/>
                      <w:divBdr>
                        <w:top w:val="none" w:sz="0" w:space="0" w:color="auto"/>
                        <w:left w:val="none" w:sz="0" w:space="0" w:color="auto"/>
                        <w:bottom w:val="none" w:sz="0" w:space="0" w:color="auto"/>
                        <w:right w:val="none" w:sz="0" w:space="0" w:color="auto"/>
                      </w:divBdr>
                      <w:divsChild>
                        <w:div w:id="1435707499">
                          <w:marLeft w:val="0"/>
                          <w:marRight w:val="0"/>
                          <w:marTop w:val="0"/>
                          <w:marBottom w:val="0"/>
                          <w:divBdr>
                            <w:top w:val="none" w:sz="0" w:space="0" w:color="auto"/>
                            <w:left w:val="none" w:sz="0" w:space="0" w:color="auto"/>
                            <w:bottom w:val="none" w:sz="0" w:space="0" w:color="auto"/>
                            <w:right w:val="none" w:sz="0" w:space="0" w:color="auto"/>
                          </w:divBdr>
                          <w:divsChild>
                            <w:div w:id="33030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5537716">
      <w:bodyDiv w:val="1"/>
      <w:marLeft w:val="0"/>
      <w:marRight w:val="0"/>
      <w:marTop w:val="0"/>
      <w:marBottom w:val="0"/>
      <w:divBdr>
        <w:top w:val="none" w:sz="0" w:space="0" w:color="auto"/>
        <w:left w:val="none" w:sz="0" w:space="0" w:color="auto"/>
        <w:bottom w:val="none" w:sz="0" w:space="0" w:color="auto"/>
        <w:right w:val="none" w:sz="0" w:space="0" w:color="auto"/>
      </w:divBdr>
    </w:div>
    <w:div w:id="1153371148">
      <w:bodyDiv w:val="1"/>
      <w:marLeft w:val="0"/>
      <w:marRight w:val="0"/>
      <w:marTop w:val="0"/>
      <w:marBottom w:val="0"/>
      <w:divBdr>
        <w:top w:val="none" w:sz="0" w:space="0" w:color="auto"/>
        <w:left w:val="none" w:sz="0" w:space="0" w:color="auto"/>
        <w:bottom w:val="none" w:sz="0" w:space="0" w:color="auto"/>
        <w:right w:val="none" w:sz="0" w:space="0" w:color="auto"/>
      </w:divBdr>
      <w:divsChild>
        <w:div w:id="578834935">
          <w:marLeft w:val="0"/>
          <w:marRight w:val="0"/>
          <w:marTop w:val="0"/>
          <w:marBottom w:val="160"/>
          <w:divBdr>
            <w:top w:val="none" w:sz="0" w:space="0" w:color="auto"/>
            <w:left w:val="none" w:sz="0" w:space="0" w:color="auto"/>
            <w:bottom w:val="none" w:sz="0" w:space="0" w:color="auto"/>
            <w:right w:val="none" w:sz="0" w:space="0" w:color="auto"/>
          </w:divBdr>
        </w:div>
        <w:div w:id="86193346">
          <w:marLeft w:val="0"/>
          <w:marRight w:val="0"/>
          <w:marTop w:val="0"/>
          <w:marBottom w:val="160"/>
          <w:divBdr>
            <w:top w:val="none" w:sz="0" w:space="0" w:color="auto"/>
            <w:left w:val="none" w:sz="0" w:space="0" w:color="auto"/>
            <w:bottom w:val="none" w:sz="0" w:space="0" w:color="auto"/>
            <w:right w:val="none" w:sz="0" w:space="0" w:color="auto"/>
          </w:divBdr>
        </w:div>
        <w:div w:id="185557124">
          <w:marLeft w:val="0"/>
          <w:marRight w:val="0"/>
          <w:marTop w:val="0"/>
          <w:marBottom w:val="160"/>
          <w:divBdr>
            <w:top w:val="none" w:sz="0" w:space="0" w:color="auto"/>
            <w:left w:val="none" w:sz="0" w:space="0" w:color="auto"/>
            <w:bottom w:val="none" w:sz="0" w:space="0" w:color="auto"/>
            <w:right w:val="none" w:sz="0" w:space="0" w:color="auto"/>
          </w:divBdr>
        </w:div>
      </w:divsChild>
    </w:div>
    <w:div w:id="1165128992">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243177627">
      <w:bodyDiv w:val="1"/>
      <w:marLeft w:val="0"/>
      <w:marRight w:val="0"/>
      <w:marTop w:val="0"/>
      <w:marBottom w:val="0"/>
      <w:divBdr>
        <w:top w:val="none" w:sz="0" w:space="0" w:color="auto"/>
        <w:left w:val="none" w:sz="0" w:space="0" w:color="auto"/>
        <w:bottom w:val="none" w:sz="0" w:space="0" w:color="auto"/>
        <w:right w:val="none" w:sz="0" w:space="0" w:color="auto"/>
      </w:divBdr>
    </w:div>
    <w:div w:id="1305348769">
      <w:bodyDiv w:val="1"/>
      <w:marLeft w:val="0"/>
      <w:marRight w:val="0"/>
      <w:marTop w:val="0"/>
      <w:marBottom w:val="0"/>
      <w:divBdr>
        <w:top w:val="none" w:sz="0" w:space="0" w:color="auto"/>
        <w:left w:val="none" w:sz="0" w:space="0" w:color="auto"/>
        <w:bottom w:val="none" w:sz="0" w:space="0" w:color="auto"/>
        <w:right w:val="none" w:sz="0" w:space="0" w:color="auto"/>
      </w:divBdr>
    </w:div>
    <w:div w:id="1320504720">
      <w:bodyDiv w:val="1"/>
      <w:marLeft w:val="0"/>
      <w:marRight w:val="0"/>
      <w:marTop w:val="0"/>
      <w:marBottom w:val="0"/>
      <w:divBdr>
        <w:top w:val="none" w:sz="0" w:space="0" w:color="auto"/>
        <w:left w:val="none" w:sz="0" w:space="0" w:color="auto"/>
        <w:bottom w:val="none" w:sz="0" w:space="0" w:color="auto"/>
        <w:right w:val="none" w:sz="0" w:space="0" w:color="auto"/>
      </w:divBdr>
    </w:div>
    <w:div w:id="1347245505">
      <w:bodyDiv w:val="1"/>
      <w:marLeft w:val="0"/>
      <w:marRight w:val="0"/>
      <w:marTop w:val="0"/>
      <w:marBottom w:val="0"/>
      <w:divBdr>
        <w:top w:val="none" w:sz="0" w:space="0" w:color="auto"/>
        <w:left w:val="none" w:sz="0" w:space="0" w:color="auto"/>
        <w:bottom w:val="none" w:sz="0" w:space="0" w:color="auto"/>
        <w:right w:val="none" w:sz="0" w:space="0" w:color="auto"/>
      </w:divBdr>
    </w:div>
    <w:div w:id="1350988023">
      <w:bodyDiv w:val="1"/>
      <w:marLeft w:val="0"/>
      <w:marRight w:val="0"/>
      <w:marTop w:val="0"/>
      <w:marBottom w:val="0"/>
      <w:divBdr>
        <w:top w:val="none" w:sz="0" w:space="0" w:color="auto"/>
        <w:left w:val="none" w:sz="0" w:space="0" w:color="auto"/>
        <w:bottom w:val="none" w:sz="0" w:space="0" w:color="auto"/>
        <w:right w:val="none" w:sz="0" w:space="0" w:color="auto"/>
      </w:divBdr>
    </w:div>
    <w:div w:id="1391033297">
      <w:bodyDiv w:val="1"/>
      <w:marLeft w:val="0"/>
      <w:marRight w:val="0"/>
      <w:marTop w:val="0"/>
      <w:marBottom w:val="0"/>
      <w:divBdr>
        <w:top w:val="none" w:sz="0" w:space="0" w:color="auto"/>
        <w:left w:val="none" w:sz="0" w:space="0" w:color="auto"/>
        <w:bottom w:val="none" w:sz="0" w:space="0" w:color="auto"/>
        <w:right w:val="none" w:sz="0" w:space="0" w:color="auto"/>
      </w:divBdr>
      <w:divsChild>
        <w:div w:id="1302231751">
          <w:marLeft w:val="0"/>
          <w:marRight w:val="0"/>
          <w:marTop w:val="0"/>
          <w:marBottom w:val="0"/>
          <w:divBdr>
            <w:top w:val="none" w:sz="0" w:space="0" w:color="auto"/>
            <w:left w:val="none" w:sz="0" w:space="0" w:color="auto"/>
            <w:bottom w:val="none" w:sz="0" w:space="0" w:color="auto"/>
            <w:right w:val="none" w:sz="0" w:space="0" w:color="auto"/>
          </w:divBdr>
          <w:divsChild>
            <w:div w:id="1910311305">
              <w:marLeft w:val="0"/>
              <w:marRight w:val="0"/>
              <w:marTop w:val="0"/>
              <w:marBottom w:val="0"/>
              <w:divBdr>
                <w:top w:val="none" w:sz="0" w:space="0" w:color="auto"/>
                <w:left w:val="none" w:sz="0" w:space="0" w:color="auto"/>
                <w:bottom w:val="none" w:sz="0" w:space="0" w:color="auto"/>
                <w:right w:val="none" w:sz="0" w:space="0" w:color="auto"/>
              </w:divBdr>
              <w:divsChild>
                <w:div w:id="245462431">
                  <w:marLeft w:val="0"/>
                  <w:marRight w:val="0"/>
                  <w:marTop w:val="0"/>
                  <w:marBottom w:val="0"/>
                  <w:divBdr>
                    <w:top w:val="none" w:sz="0" w:space="0" w:color="auto"/>
                    <w:left w:val="none" w:sz="0" w:space="0" w:color="auto"/>
                    <w:bottom w:val="none" w:sz="0" w:space="0" w:color="auto"/>
                    <w:right w:val="none" w:sz="0" w:space="0" w:color="auto"/>
                  </w:divBdr>
                  <w:divsChild>
                    <w:div w:id="1029255869">
                      <w:marLeft w:val="0"/>
                      <w:marRight w:val="0"/>
                      <w:marTop w:val="0"/>
                      <w:marBottom w:val="0"/>
                      <w:divBdr>
                        <w:top w:val="none" w:sz="0" w:space="0" w:color="auto"/>
                        <w:left w:val="none" w:sz="0" w:space="0" w:color="auto"/>
                        <w:bottom w:val="none" w:sz="0" w:space="0" w:color="auto"/>
                        <w:right w:val="none" w:sz="0" w:space="0" w:color="auto"/>
                      </w:divBdr>
                      <w:divsChild>
                        <w:div w:id="613244225">
                          <w:marLeft w:val="0"/>
                          <w:marRight w:val="0"/>
                          <w:marTop w:val="0"/>
                          <w:marBottom w:val="0"/>
                          <w:divBdr>
                            <w:top w:val="none" w:sz="0" w:space="0" w:color="auto"/>
                            <w:left w:val="none" w:sz="0" w:space="0" w:color="auto"/>
                            <w:bottom w:val="none" w:sz="0" w:space="0" w:color="auto"/>
                            <w:right w:val="none" w:sz="0" w:space="0" w:color="auto"/>
                          </w:divBdr>
                          <w:divsChild>
                            <w:div w:id="58288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247560">
      <w:bodyDiv w:val="1"/>
      <w:marLeft w:val="0"/>
      <w:marRight w:val="0"/>
      <w:marTop w:val="0"/>
      <w:marBottom w:val="0"/>
      <w:divBdr>
        <w:top w:val="none" w:sz="0" w:space="0" w:color="auto"/>
        <w:left w:val="none" w:sz="0" w:space="0" w:color="auto"/>
        <w:bottom w:val="none" w:sz="0" w:space="0" w:color="auto"/>
        <w:right w:val="none" w:sz="0" w:space="0" w:color="auto"/>
      </w:divBdr>
    </w:div>
    <w:div w:id="1401171521">
      <w:bodyDiv w:val="1"/>
      <w:marLeft w:val="0"/>
      <w:marRight w:val="0"/>
      <w:marTop w:val="0"/>
      <w:marBottom w:val="0"/>
      <w:divBdr>
        <w:top w:val="none" w:sz="0" w:space="0" w:color="auto"/>
        <w:left w:val="none" w:sz="0" w:space="0" w:color="auto"/>
        <w:bottom w:val="none" w:sz="0" w:space="0" w:color="auto"/>
        <w:right w:val="none" w:sz="0" w:space="0" w:color="auto"/>
      </w:divBdr>
    </w:div>
    <w:div w:id="1433864348">
      <w:bodyDiv w:val="1"/>
      <w:marLeft w:val="0"/>
      <w:marRight w:val="0"/>
      <w:marTop w:val="0"/>
      <w:marBottom w:val="0"/>
      <w:divBdr>
        <w:top w:val="none" w:sz="0" w:space="0" w:color="auto"/>
        <w:left w:val="none" w:sz="0" w:space="0" w:color="auto"/>
        <w:bottom w:val="none" w:sz="0" w:space="0" w:color="auto"/>
        <w:right w:val="none" w:sz="0" w:space="0" w:color="auto"/>
      </w:divBdr>
    </w:div>
    <w:div w:id="1448115632">
      <w:bodyDiv w:val="1"/>
      <w:marLeft w:val="0"/>
      <w:marRight w:val="0"/>
      <w:marTop w:val="0"/>
      <w:marBottom w:val="0"/>
      <w:divBdr>
        <w:top w:val="none" w:sz="0" w:space="0" w:color="auto"/>
        <w:left w:val="none" w:sz="0" w:space="0" w:color="auto"/>
        <w:bottom w:val="none" w:sz="0" w:space="0" w:color="auto"/>
        <w:right w:val="none" w:sz="0" w:space="0" w:color="auto"/>
      </w:divBdr>
    </w:div>
    <w:div w:id="1498619727">
      <w:bodyDiv w:val="1"/>
      <w:marLeft w:val="0"/>
      <w:marRight w:val="0"/>
      <w:marTop w:val="0"/>
      <w:marBottom w:val="0"/>
      <w:divBdr>
        <w:top w:val="none" w:sz="0" w:space="0" w:color="auto"/>
        <w:left w:val="none" w:sz="0" w:space="0" w:color="auto"/>
        <w:bottom w:val="none" w:sz="0" w:space="0" w:color="auto"/>
        <w:right w:val="none" w:sz="0" w:space="0" w:color="auto"/>
      </w:divBdr>
      <w:divsChild>
        <w:div w:id="797839195">
          <w:marLeft w:val="0"/>
          <w:marRight w:val="0"/>
          <w:marTop w:val="0"/>
          <w:marBottom w:val="160"/>
          <w:divBdr>
            <w:top w:val="none" w:sz="0" w:space="0" w:color="auto"/>
            <w:left w:val="none" w:sz="0" w:space="0" w:color="auto"/>
            <w:bottom w:val="none" w:sz="0" w:space="0" w:color="auto"/>
            <w:right w:val="none" w:sz="0" w:space="0" w:color="auto"/>
          </w:divBdr>
        </w:div>
        <w:div w:id="560681091">
          <w:marLeft w:val="0"/>
          <w:marRight w:val="0"/>
          <w:marTop w:val="0"/>
          <w:marBottom w:val="160"/>
          <w:divBdr>
            <w:top w:val="none" w:sz="0" w:space="0" w:color="auto"/>
            <w:left w:val="none" w:sz="0" w:space="0" w:color="auto"/>
            <w:bottom w:val="none" w:sz="0" w:space="0" w:color="auto"/>
            <w:right w:val="none" w:sz="0" w:space="0" w:color="auto"/>
          </w:divBdr>
        </w:div>
        <w:div w:id="1153833297">
          <w:marLeft w:val="0"/>
          <w:marRight w:val="0"/>
          <w:marTop w:val="0"/>
          <w:marBottom w:val="160"/>
          <w:divBdr>
            <w:top w:val="none" w:sz="0" w:space="0" w:color="auto"/>
            <w:left w:val="none" w:sz="0" w:space="0" w:color="auto"/>
            <w:bottom w:val="none" w:sz="0" w:space="0" w:color="auto"/>
            <w:right w:val="none" w:sz="0" w:space="0" w:color="auto"/>
          </w:divBdr>
        </w:div>
      </w:divsChild>
    </w:div>
    <w:div w:id="1505320125">
      <w:bodyDiv w:val="1"/>
      <w:marLeft w:val="0"/>
      <w:marRight w:val="0"/>
      <w:marTop w:val="0"/>
      <w:marBottom w:val="0"/>
      <w:divBdr>
        <w:top w:val="none" w:sz="0" w:space="0" w:color="auto"/>
        <w:left w:val="none" w:sz="0" w:space="0" w:color="auto"/>
        <w:bottom w:val="none" w:sz="0" w:space="0" w:color="auto"/>
        <w:right w:val="none" w:sz="0" w:space="0" w:color="auto"/>
      </w:divBdr>
    </w:div>
    <w:div w:id="1541283808">
      <w:bodyDiv w:val="1"/>
      <w:marLeft w:val="0"/>
      <w:marRight w:val="0"/>
      <w:marTop w:val="0"/>
      <w:marBottom w:val="0"/>
      <w:divBdr>
        <w:top w:val="none" w:sz="0" w:space="0" w:color="auto"/>
        <w:left w:val="none" w:sz="0" w:space="0" w:color="auto"/>
        <w:bottom w:val="none" w:sz="0" w:space="0" w:color="auto"/>
        <w:right w:val="none" w:sz="0" w:space="0" w:color="auto"/>
      </w:divBdr>
    </w:div>
    <w:div w:id="1562521597">
      <w:bodyDiv w:val="1"/>
      <w:marLeft w:val="0"/>
      <w:marRight w:val="0"/>
      <w:marTop w:val="0"/>
      <w:marBottom w:val="0"/>
      <w:divBdr>
        <w:top w:val="none" w:sz="0" w:space="0" w:color="auto"/>
        <w:left w:val="none" w:sz="0" w:space="0" w:color="auto"/>
        <w:bottom w:val="none" w:sz="0" w:space="0" w:color="auto"/>
        <w:right w:val="none" w:sz="0" w:space="0" w:color="auto"/>
      </w:divBdr>
    </w:div>
    <w:div w:id="1568610026">
      <w:bodyDiv w:val="1"/>
      <w:marLeft w:val="0"/>
      <w:marRight w:val="0"/>
      <w:marTop w:val="0"/>
      <w:marBottom w:val="0"/>
      <w:divBdr>
        <w:top w:val="none" w:sz="0" w:space="0" w:color="auto"/>
        <w:left w:val="none" w:sz="0" w:space="0" w:color="auto"/>
        <w:bottom w:val="none" w:sz="0" w:space="0" w:color="auto"/>
        <w:right w:val="none" w:sz="0" w:space="0" w:color="auto"/>
      </w:divBdr>
    </w:div>
    <w:div w:id="1606376211">
      <w:bodyDiv w:val="1"/>
      <w:marLeft w:val="0"/>
      <w:marRight w:val="0"/>
      <w:marTop w:val="0"/>
      <w:marBottom w:val="0"/>
      <w:divBdr>
        <w:top w:val="none" w:sz="0" w:space="0" w:color="auto"/>
        <w:left w:val="none" w:sz="0" w:space="0" w:color="auto"/>
        <w:bottom w:val="none" w:sz="0" w:space="0" w:color="auto"/>
        <w:right w:val="none" w:sz="0" w:space="0" w:color="auto"/>
      </w:divBdr>
      <w:divsChild>
        <w:div w:id="729840230">
          <w:marLeft w:val="0"/>
          <w:marRight w:val="0"/>
          <w:marTop w:val="0"/>
          <w:marBottom w:val="160"/>
          <w:divBdr>
            <w:top w:val="none" w:sz="0" w:space="0" w:color="auto"/>
            <w:left w:val="none" w:sz="0" w:space="0" w:color="auto"/>
            <w:bottom w:val="none" w:sz="0" w:space="0" w:color="auto"/>
            <w:right w:val="none" w:sz="0" w:space="0" w:color="auto"/>
          </w:divBdr>
        </w:div>
        <w:div w:id="1459761652">
          <w:marLeft w:val="0"/>
          <w:marRight w:val="0"/>
          <w:marTop w:val="0"/>
          <w:marBottom w:val="160"/>
          <w:divBdr>
            <w:top w:val="none" w:sz="0" w:space="0" w:color="auto"/>
            <w:left w:val="none" w:sz="0" w:space="0" w:color="auto"/>
            <w:bottom w:val="none" w:sz="0" w:space="0" w:color="auto"/>
            <w:right w:val="none" w:sz="0" w:space="0" w:color="auto"/>
          </w:divBdr>
        </w:div>
        <w:div w:id="2021463511">
          <w:marLeft w:val="0"/>
          <w:marRight w:val="0"/>
          <w:marTop w:val="0"/>
          <w:marBottom w:val="160"/>
          <w:divBdr>
            <w:top w:val="none" w:sz="0" w:space="0" w:color="auto"/>
            <w:left w:val="none" w:sz="0" w:space="0" w:color="auto"/>
            <w:bottom w:val="none" w:sz="0" w:space="0" w:color="auto"/>
            <w:right w:val="none" w:sz="0" w:space="0" w:color="auto"/>
          </w:divBdr>
        </w:div>
      </w:divsChild>
    </w:div>
    <w:div w:id="1607687474">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11357089">
      <w:bodyDiv w:val="1"/>
      <w:marLeft w:val="0"/>
      <w:marRight w:val="0"/>
      <w:marTop w:val="0"/>
      <w:marBottom w:val="0"/>
      <w:divBdr>
        <w:top w:val="none" w:sz="0" w:space="0" w:color="auto"/>
        <w:left w:val="none" w:sz="0" w:space="0" w:color="auto"/>
        <w:bottom w:val="none" w:sz="0" w:space="0" w:color="auto"/>
        <w:right w:val="none" w:sz="0" w:space="0" w:color="auto"/>
      </w:divBdr>
    </w:div>
    <w:div w:id="1626696393">
      <w:bodyDiv w:val="1"/>
      <w:marLeft w:val="0"/>
      <w:marRight w:val="0"/>
      <w:marTop w:val="0"/>
      <w:marBottom w:val="0"/>
      <w:divBdr>
        <w:top w:val="none" w:sz="0" w:space="0" w:color="auto"/>
        <w:left w:val="none" w:sz="0" w:space="0" w:color="auto"/>
        <w:bottom w:val="none" w:sz="0" w:space="0" w:color="auto"/>
        <w:right w:val="none" w:sz="0" w:space="0" w:color="auto"/>
      </w:divBdr>
    </w:div>
    <w:div w:id="1641811474">
      <w:bodyDiv w:val="1"/>
      <w:marLeft w:val="0"/>
      <w:marRight w:val="0"/>
      <w:marTop w:val="0"/>
      <w:marBottom w:val="0"/>
      <w:divBdr>
        <w:top w:val="none" w:sz="0" w:space="0" w:color="auto"/>
        <w:left w:val="none" w:sz="0" w:space="0" w:color="auto"/>
        <w:bottom w:val="none" w:sz="0" w:space="0" w:color="auto"/>
        <w:right w:val="none" w:sz="0" w:space="0" w:color="auto"/>
      </w:divBdr>
    </w:div>
    <w:div w:id="1647588101">
      <w:bodyDiv w:val="1"/>
      <w:marLeft w:val="0"/>
      <w:marRight w:val="0"/>
      <w:marTop w:val="0"/>
      <w:marBottom w:val="0"/>
      <w:divBdr>
        <w:top w:val="none" w:sz="0" w:space="0" w:color="auto"/>
        <w:left w:val="none" w:sz="0" w:space="0" w:color="auto"/>
        <w:bottom w:val="none" w:sz="0" w:space="0" w:color="auto"/>
        <w:right w:val="none" w:sz="0" w:space="0" w:color="auto"/>
      </w:divBdr>
    </w:div>
    <w:div w:id="1669096844">
      <w:bodyDiv w:val="1"/>
      <w:marLeft w:val="0"/>
      <w:marRight w:val="0"/>
      <w:marTop w:val="0"/>
      <w:marBottom w:val="0"/>
      <w:divBdr>
        <w:top w:val="none" w:sz="0" w:space="0" w:color="auto"/>
        <w:left w:val="none" w:sz="0" w:space="0" w:color="auto"/>
        <w:bottom w:val="none" w:sz="0" w:space="0" w:color="auto"/>
        <w:right w:val="none" w:sz="0" w:space="0" w:color="auto"/>
      </w:divBdr>
      <w:divsChild>
        <w:div w:id="518936356">
          <w:marLeft w:val="0"/>
          <w:marRight w:val="0"/>
          <w:marTop w:val="0"/>
          <w:marBottom w:val="160"/>
          <w:divBdr>
            <w:top w:val="none" w:sz="0" w:space="0" w:color="auto"/>
            <w:left w:val="none" w:sz="0" w:space="0" w:color="auto"/>
            <w:bottom w:val="none" w:sz="0" w:space="0" w:color="auto"/>
            <w:right w:val="none" w:sz="0" w:space="0" w:color="auto"/>
          </w:divBdr>
        </w:div>
        <w:div w:id="528104072">
          <w:marLeft w:val="0"/>
          <w:marRight w:val="0"/>
          <w:marTop w:val="0"/>
          <w:marBottom w:val="160"/>
          <w:divBdr>
            <w:top w:val="none" w:sz="0" w:space="0" w:color="auto"/>
            <w:left w:val="none" w:sz="0" w:space="0" w:color="auto"/>
            <w:bottom w:val="none" w:sz="0" w:space="0" w:color="auto"/>
            <w:right w:val="none" w:sz="0" w:space="0" w:color="auto"/>
          </w:divBdr>
        </w:div>
        <w:div w:id="273513336">
          <w:marLeft w:val="0"/>
          <w:marRight w:val="0"/>
          <w:marTop w:val="0"/>
          <w:marBottom w:val="160"/>
          <w:divBdr>
            <w:top w:val="none" w:sz="0" w:space="0" w:color="auto"/>
            <w:left w:val="none" w:sz="0" w:space="0" w:color="auto"/>
            <w:bottom w:val="none" w:sz="0" w:space="0" w:color="auto"/>
            <w:right w:val="none" w:sz="0" w:space="0" w:color="auto"/>
          </w:divBdr>
        </w:div>
      </w:divsChild>
    </w:div>
    <w:div w:id="1695689083">
      <w:bodyDiv w:val="1"/>
      <w:marLeft w:val="0"/>
      <w:marRight w:val="0"/>
      <w:marTop w:val="0"/>
      <w:marBottom w:val="0"/>
      <w:divBdr>
        <w:top w:val="none" w:sz="0" w:space="0" w:color="auto"/>
        <w:left w:val="none" w:sz="0" w:space="0" w:color="auto"/>
        <w:bottom w:val="none" w:sz="0" w:space="0" w:color="auto"/>
        <w:right w:val="none" w:sz="0" w:space="0" w:color="auto"/>
      </w:divBdr>
    </w:div>
    <w:div w:id="1747917262">
      <w:bodyDiv w:val="1"/>
      <w:marLeft w:val="0"/>
      <w:marRight w:val="0"/>
      <w:marTop w:val="0"/>
      <w:marBottom w:val="0"/>
      <w:divBdr>
        <w:top w:val="none" w:sz="0" w:space="0" w:color="auto"/>
        <w:left w:val="none" w:sz="0" w:space="0" w:color="auto"/>
        <w:bottom w:val="none" w:sz="0" w:space="0" w:color="auto"/>
        <w:right w:val="none" w:sz="0" w:space="0" w:color="auto"/>
      </w:divBdr>
    </w:div>
    <w:div w:id="1761637096">
      <w:bodyDiv w:val="1"/>
      <w:marLeft w:val="0"/>
      <w:marRight w:val="0"/>
      <w:marTop w:val="0"/>
      <w:marBottom w:val="0"/>
      <w:divBdr>
        <w:top w:val="none" w:sz="0" w:space="0" w:color="auto"/>
        <w:left w:val="none" w:sz="0" w:space="0" w:color="auto"/>
        <w:bottom w:val="none" w:sz="0" w:space="0" w:color="auto"/>
        <w:right w:val="none" w:sz="0" w:space="0" w:color="auto"/>
      </w:divBdr>
      <w:divsChild>
        <w:div w:id="423385161">
          <w:marLeft w:val="0"/>
          <w:marRight w:val="0"/>
          <w:marTop w:val="0"/>
          <w:marBottom w:val="160"/>
          <w:divBdr>
            <w:top w:val="none" w:sz="0" w:space="0" w:color="auto"/>
            <w:left w:val="none" w:sz="0" w:space="0" w:color="auto"/>
            <w:bottom w:val="none" w:sz="0" w:space="0" w:color="auto"/>
            <w:right w:val="none" w:sz="0" w:space="0" w:color="auto"/>
          </w:divBdr>
        </w:div>
        <w:div w:id="2126801678">
          <w:marLeft w:val="0"/>
          <w:marRight w:val="0"/>
          <w:marTop w:val="0"/>
          <w:marBottom w:val="160"/>
          <w:divBdr>
            <w:top w:val="none" w:sz="0" w:space="0" w:color="auto"/>
            <w:left w:val="none" w:sz="0" w:space="0" w:color="auto"/>
            <w:bottom w:val="none" w:sz="0" w:space="0" w:color="auto"/>
            <w:right w:val="none" w:sz="0" w:space="0" w:color="auto"/>
          </w:divBdr>
        </w:div>
        <w:div w:id="827133892">
          <w:marLeft w:val="0"/>
          <w:marRight w:val="0"/>
          <w:marTop w:val="0"/>
          <w:marBottom w:val="160"/>
          <w:divBdr>
            <w:top w:val="none" w:sz="0" w:space="0" w:color="auto"/>
            <w:left w:val="none" w:sz="0" w:space="0" w:color="auto"/>
            <w:bottom w:val="none" w:sz="0" w:space="0" w:color="auto"/>
            <w:right w:val="none" w:sz="0" w:space="0" w:color="auto"/>
          </w:divBdr>
        </w:div>
      </w:divsChild>
    </w:div>
    <w:div w:id="1799494866">
      <w:bodyDiv w:val="1"/>
      <w:marLeft w:val="0"/>
      <w:marRight w:val="0"/>
      <w:marTop w:val="0"/>
      <w:marBottom w:val="0"/>
      <w:divBdr>
        <w:top w:val="none" w:sz="0" w:space="0" w:color="auto"/>
        <w:left w:val="none" w:sz="0" w:space="0" w:color="auto"/>
        <w:bottom w:val="none" w:sz="0" w:space="0" w:color="auto"/>
        <w:right w:val="none" w:sz="0" w:space="0" w:color="auto"/>
      </w:divBdr>
    </w:div>
    <w:div w:id="1806653743">
      <w:bodyDiv w:val="1"/>
      <w:marLeft w:val="0"/>
      <w:marRight w:val="0"/>
      <w:marTop w:val="0"/>
      <w:marBottom w:val="0"/>
      <w:divBdr>
        <w:top w:val="none" w:sz="0" w:space="0" w:color="auto"/>
        <w:left w:val="none" w:sz="0" w:space="0" w:color="auto"/>
        <w:bottom w:val="none" w:sz="0" w:space="0" w:color="auto"/>
        <w:right w:val="none" w:sz="0" w:space="0" w:color="auto"/>
      </w:divBdr>
    </w:div>
    <w:div w:id="1831869620">
      <w:bodyDiv w:val="1"/>
      <w:marLeft w:val="0"/>
      <w:marRight w:val="0"/>
      <w:marTop w:val="0"/>
      <w:marBottom w:val="0"/>
      <w:divBdr>
        <w:top w:val="none" w:sz="0" w:space="0" w:color="auto"/>
        <w:left w:val="none" w:sz="0" w:space="0" w:color="auto"/>
        <w:bottom w:val="none" w:sz="0" w:space="0" w:color="auto"/>
        <w:right w:val="none" w:sz="0" w:space="0" w:color="auto"/>
      </w:divBdr>
    </w:div>
    <w:div w:id="1838374371">
      <w:bodyDiv w:val="1"/>
      <w:marLeft w:val="0"/>
      <w:marRight w:val="0"/>
      <w:marTop w:val="0"/>
      <w:marBottom w:val="0"/>
      <w:divBdr>
        <w:top w:val="none" w:sz="0" w:space="0" w:color="auto"/>
        <w:left w:val="none" w:sz="0" w:space="0" w:color="auto"/>
        <w:bottom w:val="none" w:sz="0" w:space="0" w:color="auto"/>
        <w:right w:val="none" w:sz="0" w:space="0" w:color="auto"/>
      </w:divBdr>
    </w:div>
    <w:div w:id="1843085015">
      <w:bodyDiv w:val="1"/>
      <w:marLeft w:val="0"/>
      <w:marRight w:val="0"/>
      <w:marTop w:val="0"/>
      <w:marBottom w:val="0"/>
      <w:divBdr>
        <w:top w:val="none" w:sz="0" w:space="0" w:color="auto"/>
        <w:left w:val="none" w:sz="0" w:space="0" w:color="auto"/>
        <w:bottom w:val="none" w:sz="0" w:space="0" w:color="auto"/>
        <w:right w:val="none" w:sz="0" w:space="0" w:color="auto"/>
      </w:divBdr>
    </w:div>
    <w:div w:id="1928683904">
      <w:bodyDiv w:val="1"/>
      <w:marLeft w:val="0"/>
      <w:marRight w:val="0"/>
      <w:marTop w:val="0"/>
      <w:marBottom w:val="0"/>
      <w:divBdr>
        <w:top w:val="none" w:sz="0" w:space="0" w:color="auto"/>
        <w:left w:val="none" w:sz="0" w:space="0" w:color="auto"/>
        <w:bottom w:val="none" w:sz="0" w:space="0" w:color="auto"/>
        <w:right w:val="none" w:sz="0" w:space="0" w:color="auto"/>
      </w:divBdr>
    </w:div>
    <w:div w:id="1951625272">
      <w:bodyDiv w:val="1"/>
      <w:marLeft w:val="0"/>
      <w:marRight w:val="0"/>
      <w:marTop w:val="0"/>
      <w:marBottom w:val="0"/>
      <w:divBdr>
        <w:top w:val="none" w:sz="0" w:space="0" w:color="auto"/>
        <w:left w:val="none" w:sz="0" w:space="0" w:color="auto"/>
        <w:bottom w:val="none" w:sz="0" w:space="0" w:color="auto"/>
        <w:right w:val="none" w:sz="0" w:space="0" w:color="auto"/>
      </w:divBdr>
    </w:div>
    <w:div w:id="1958440709">
      <w:bodyDiv w:val="1"/>
      <w:marLeft w:val="0"/>
      <w:marRight w:val="0"/>
      <w:marTop w:val="0"/>
      <w:marBottom w:val="0"/>
      <w:divBdr>
        <w:top w:val="none" w:sz="0" w:space="0" w:color="auto"/>
        <w:left w:val="none" w:sz="0" w:space="0" w:color="auto"/>
        <w:bottom w:val="none" w:sz="0" w:space="0" w:color="auto"/>
        <w:right w:val="none" w:sz="0" w:space="0" w:color="auto"/>
      </w:divBdr>
    </w:div>
    <w:div w:id="2021278799">
      <w:bodyDiv w:val="1"/>
      <w:marLeft w:val="0"/>
      <w:marRight w:val="0"/>
      <w:marTop w:val="0"/>
      <w:marBottom w:val="0"/>
      <w:divBdr>
        <w:top w:val="none" w:sz="0" w:space="0" w:color="auto"/>
        <w:left w:val="none" w:sz="0" w:space="0" w:color="auto"/>
        <w:bottom w:val="none" w:sz="0" w:space="0" w:color="auto"/>
        <w:right w:val="none" w:sz="0" w:space="0" w:color="auto"/>
      </w:divBdr>
    </w:div>
    <w:div w:id="2107143222">
      <w:bodyDiv w:val="1"/>
      <w:marLeft w:val="0"/>
      <w:marRight w:val="0"/>
      <w:marTop w:val="0"/>
      <w:marBottom w:val="0"/>
      <w:divBdr>
        <w:top w:val="none" w:sz="0" w:space="0" w:color="auto"/>
        <w:left w:val="none" w:sz="0" w:space="0" w:color="auto"/>
        <w:bottom w:val="none" w:sz="0" w:space="0" w:color="auto"/>
        <w:right w:val="none" w:sz="0" w:space="0" w:color="auto"/>
      </w:divBdr>
    </w:div>
    <w:div w:id="2110271813">
      <w:bodyDiv w:val="1"/>
      <w:marLeft w:val="0"/>
      <w:marRight w:val="0"/>
      <w:marTop w:val="0"/>
      <w:marBottom w:val="0"/>
      <w:divBdr>
        <w:top w:val="none" w:sz="0" w:space="0" w:color="auto"/>
        <w:left w:val="none" w:sz="0" w:space="0" w:color="auto"/>
        <w:bottom w:val="none" w:sz="0" w:space="0" w:color="auto"/>
        <w:right w:val="none" w:sz="0" w:space="0" w:color="auto"/>
      </w:divBdr>
    </w:div>
    <w:div w:id="2115590451">
      <w:bodyDiv w:val="1"/>
      <w:marLeft w:val="0"/>
      <w:marRight w:val="0"/>
      <w:marTop w:val="0"/>
      <w:marBottom w:val="0"/>
      <w:divBdr>
        <w:top w:val="none" w:sz="0" w:space="0" w:color="auto"/>
        <w:left w:val="none" w:sz="0" w:space="0" w:color="auto"/>
        <w:bottom w:val="none" w:sz="0" w:space="0" w:color="auto"/>
        <w:right w:val="none" w:sz="0" w:space="0" w:color="auto"/>
      </w:divBdr>
      <w:divsChild>
        <w:div w:id="428045146">
          <w:marLeft w:val="0"/>
          <w:marRight w:val="0"/>
          <w:marTop w:val="0"/>
          <w:marBottom w:val="0"/>
          <w:divBdr>
            <w:top w:val="none" w:sz="0" w:space="0" w:color="auto"/>
            <w:left w:val="none" w:sz="0" w:space="0" w:color="auto"/>
            <w:bottom w:val="none" w:sz="0" w:space="0" w:color="auto"/>
            <w:right w:val="none" w:sz="0" w:space="0" w:color="auto"/>
          </w:divBdr>
          <w:divsChild>
            <w:div w:id="1917788406">
              <w:marLeft w:val="0"/>
              <w:marRight w:val="0"/>
              <w:marTop w:val="0"/>
              <w:marBottom w:val="0"/>
              <w:divBdr>
                <w:top w:val="none" w:sz="0" w:space="0" w:color="auto"/>
                <w:left w:val="none" w:sz="0" w:space="0" w:color="auto"/>
                <w:bottom w:val="none" w:sz="0" w:space="0" w:color="auto"/>
                <w:right w:val="none" w:sz="0" w:space="0" w:color="auto"/>
              </w:divBdr>
              <w:divsChild>
                <w:div w:id="109321855">
                  <w:marLeft w:val="0"/>
                  <w:marRight w:val="0"/>
                  <w:marTop w:val="0"/>
                  <w:marBottom w:val="0"/>
                  <w:divBdr>
                    <w:top w:val="none" w:sz="0" w:space="0" w:color="auto"/>
                    <w:left w:val="none" w:sz="0" w:space="0" w:color="auto"/>
                    <w:bottom w:val="none" w:sz="0" w:space="0" w:color="auto"/>
                    <w:right w:val="none" w:sz="0" w:space="0" w:color="auto"/>
                  </w:divBdr>
                  <w:divsChild>
                    <w:div w:id="824205549">
                      <w:marLeft w:val="0"/>
                      <w:marRight w:val="0"/>
                      <w:marTop w:val="0"/>
                      <w:marBottom w:val="0"/>
                      <w:divBdr>
                        <w:top w:val="none" w:sz="0" w:space="0" w:color="auto"/>
                        <w:left w:val="none" w:sz="0" w:space="0" w:color="auto"/>
                        <w:bottom w:val="none" w:sz="0" w:space="0" w:color="auto"/>
                        <w:right w:val="none" w:sz="0" w:space="0" w:color="auto"/>
                      </w:divBdr>
                      <w:divsChild>
                        <w:div w:id="1492217882">
                          <w:marLeft w:val="0"/>
                          <w:marRight w:val="0"/>
                          <w:marTop w:val="0"/>
                          <w:marBottom w:val="0"/>
                          <w:divBdr>
                            <w:top w:val="none" w:sz="0" w:space="0" w:color="auto"/>
                            <w:left w:val="none" w:sz="0" w:space="0" w:color="auto"/>
                            <w:bottom w:val="none" w:sz="0" w:space="0" w:color="auto"/>
                            <w:right w:val="none" w:sz="0" w:space="0" w:color="auto"/>
                          </w:divBdr>
                          <w:divsChild>
                            <w:div w:id="167556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82362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laudiakromeros@gmail.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cceficiente.sharepoint.com/sites/SGDEA/TRD_254/EXPEDIENTE_1668/DOCUMENTO_407171/DOCUMENTO_407171.docx"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2.xml><?xml version="1.0" encoding="utf-8"?>
<ds:datastoreItem xmlns:ds="http://schemas.openxmlformats.org/officeDocument/2006/customXml" ds:itemID="{06F8AB61-4B8C-4292-AD00-5B9AA853CC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B8AE37-E1F3-4B08-98E9-52F0B3FA79CF}">
  <ds:schemaRefs>
    <ds:schemaRef ds:uri="http://schemas.microsoft.com/office/infopath/2007/PartnerControls"/>
    <ds:schemaRef ds:uri="http://purl.org/dc/terms/"/>
    <ds:schemaRef ds:uri="http://schemas.microsoft.com/office/2006/documentManagement/types"/>
    <ds:schemaRef ds:uri="9d85dbaf-23eb-4e57-a637-93dcacc8b1a1"/>
    <ds:schemaRef ds:uri="http://schemas.openxmlformats.org/package/2006/metadata/core-properties"/>
    <ds:schemaRef ds:uri="http://purl.org/dc/elements/1.1/"/>
    <ds:schemaRef ds:uri="a6cb9e4b-f1d1-4245-83ec-6cad768d538a"/>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5291</Words>
  <Characters>29103</Characters>
  <Application>Microsoft Office Word</Application>
  <DocSecurity>0</DocSecurity>
  <Lines>242</Lines>
  <Paragraphs>68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34326</CharactersWithSpaces>
  <SharedDoc>false</SharedDoc>
  <HLinks>
    <vt:vector size="48" baseType="variant">
      <vt:variant>
        <vt:i4>5439494</vt:i4>
      </vt:variant>
      <vt:variant>
        <vt:i4>15</vt:i4>
      </vt:variant>
      <vt:variant>
        <vt:i4>0</vt:i4>
      </vt:variant>
      <vt:variant>
        <vt:i4>5</vt:i4>
      </vt:variant>
      <vt:variant>
        <vt:lpwstr>https://www.colombiacompra.gov.co/sala-de-prensa/boletin-digital</vt:lpwstr>
      </vt:variant>
      <vt:variant>
        <vt:lpwstr/>
      </vt:variant>
      <vt:variant>
        <vt:i4>7471218</vt:i4>
      </vt:variant>
      <vt:variant>
        <vt:i4>12</vt:i4>
      </vt:variant>
      <vt:variant>
        <vt:i4>0</vt:i4>
      </vt:variant>
      <vt:variant>
        <vt:i4>5</vt:i4>
      </vt:variant>
      <vt:variant>
        <vt:lpwstr>https://relatoria.colombiacompra.gov.co/busqueda/conceptos</vt:lpwstr>
      </vt:variant>
      <vt:variant>
        <vt:lpwstr/>
      </vt:variant>
      <vt:variant>
        <vt:i4>5111895</vt:i4>
      </vt:variant>
      <vt:variant>
        <vt:i4>9</vt:i4>
      </vt:variant>
      <vt:variant>
        <vt:i4>0</vt:i4>
      </vt:variant>
      <vt:variant>
        <vt:i4>5</vt:i4>
      </vt:variant>
      <vt:variant>
        <vt:lpwstr>https://www.colombiacompra.gov.co/manuales-guias-y-pliegos-tipo/manuales-y-guias</vt:lpwstr>
      </vt:variant>
      <vt:variant>
        <vt:lpwstr/>
      </vt:variant>
      <vt:variant>
        <vt:i4>3801145</vt:i4>
      </vt:variant>
      <vt:variant>
        <vt:i4>6</vt:i4>
      </vt:variant>
      <vt:variant>
        <vt:i4>0</vt:i4>
      </vt:variant>
      <vt:variant>
        <vt:i4>5</vt:i4>
      </vt:variant>
      <vt:variant>
        <vt:lpwstr>https://relatoria.colombiacompra.gov.co/providencias-consejo-de-estado/</vt:lpwstr>
      </vt:variant>
      <vt:variant>
        <vt:lpwstr/>
      </vt:variant>
      <vt:variant>
        <vt:i4>3145787</vt:i4>
      </vt:variant>
      <vt:variant>
        <vt:i4>3</vt:i4>
      </vt:variant>
      <vt:variant>
        <vt:i4>0</vt:i4>
      </vt:variant>
      <vt:variant>
        <vt:i4>5</vt:i4>
      </vt:variant>
      <vt:variant>
        <vt:lpwstr>https://www.colombiacompra.gov.co/content/04-documentos-tipo-de-licitacion-de-obra-publica-para-proyectos-de-infraestructura-social</vt:lpwstr>
      </vt:variant>
      <vt:variant>
        <vt:lpwstr/>
      </vt:variant>
      <vt:variant>
        <vt:i4>7208987</vt:i4>
      </vt:variant>
      <vt:variant>
        <vt:i4>0</vt:i4>
      </vt:variant>
      <vt:variant>
        <vt:i4>0</vt:i4>
      </vt:variant>
      <vt:variant>
        <vt:i4>5</vt:i4>
      </vt:variant>
      <vt:variant>
        <vt:lpwstr>https://www.colombiacompra.gov.co/sites/cce_public/files/cce_circulares/circular_externa_unica_version_3_vf49.pdf</vt:lpwstr>
      </vt:variant>
      <vt:variant>
        <vt:lpwstr/>
      </vt:variant>
      <vt:variant>
        <vt:i4>6619182</vt:i4>
      </vt:variant>
      <vt:variant>
        <vt:i4>3</vt:i4>
      </vt:variant>
      <vt:variant>
        <vt:i4>0</vt:i4>
      </vt:variant>
      <vt:variant>
        <vt:i4>5</vt:i4>
      </vt:variant>
      <vt:variant>
        <vt:lpwstr>https://www.culturarecreacionydeporte.gov.co/es/bogotanitos/bogodatos/las-plazas-de-mercado-de-bogota</vt:lpwstr>
      </vt:variant>
      <vt:variant>
        <vt:lpwstr>:~:text=Muchos%20tienen%20diferentes%20conceptos%20sobre,en%20un%20sitio%20abierto%20o</vt:lpwstr>
      </vt:variant>
      <vt:variant>
        <vt:i4>2883621</vt:i4>
      </vt:variant>
      <vt:variant>
        <vt:i4>0</vt:i4>
      </vt:variant>
      <vt:variant>
        <vt:i4>0</vt:i4>
      </vt:variant>
      <vt:variant>
        <vt:i4>5</vt:i4>
      </vt:variant>
      <vt:variant>
        <vt:lpwstr>https://www.colombiacompra.gov.co/content/03-documentos-tipo-transversales-de-licitacion-de-obra-publica-de-infraestructura-social-con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Sergio Andrés Rivera Cano</cp:lastModifiedBy>
  <cp:revision>2</cp:revision>
  <dcterms:created xsi:type="dcterms:W3CDTF">2025-08-20T17:53:00Z</dcterms:created>
  <dcterms:modified xsi:type="dcterms:W3CDTF">2025-08-20T17:53:00Z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