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E4A76" w14:textId="3F25FD43" w:rsidR="00A04183" w:rsidRPr="004F0E6D" w:rsidRDefault="00A04183" w:rsidP="00A04183">
      <w:pPr>
        <w:spacing w:after="0" w:line="240" w:lineRule="auto"/>
        <w:contextualSpacing/>
        <w:jc w:val="both"/>
        <w:rPr>
          <w:rFonts w:ascii="Verdana" w:eastAsia="Calibri" w:hAnsi="Verdana" w:cs="Arial"/>
          <w:b/>
          <w:bCs/>
          <w:color w:val="000000" w:themeColor="text1"/>
          <w:lang w:val="es-ES" w:eastAsia="es-ES"/>
        </w:rPr>
      </w:pPr>
      <w:bookmarkStart w:id="0" w:name="_Hlk143780582"/>
      <w:r w:rsidRPr="004F0E6D">
        <w:rPr>
          <w:rFonts w:ascii="Verdana" w:eastAsia="Calibri" w:hAnsi="Verdana" w:cs="Arial"/>
          <w:b/>
          <w:bCs/>
          <w:color w:val="000000" w:themeColor="text1"/>
          <w:lang w:val="es-ES" w:eastAsia="es-ES"/>
        </w:rPr>
        <w:t xml:space="preserve">DOCUMENTOS TIPO DE INFRAESTRUCTURA SOCIAL – Generalidades </w:t>
      </w:r>
    </w:p>
    <w:p w14:paraId="4D2B66BC" w14:textId="77777777" w:rsidR="00A04183" w:rsidRPr="00847931" w:rsidRDefault="00A04183" w:rsidP="00A04183">
      <w:pPr>
        <w:spacing w:after="0" w:line="240" w:lineRule="auto"/>
        <w:contextualSpacing/>
        <w:jc w:val="both"/>
        <w:rPr>
          <w:rFonts w:ascii="Verdana" w:eastAsia="Calibri" w:hAnsi="Verdana" w:cs="Arial"/>
          <w:b/>
          <w:bCs/>
          <w:color w:val="000000" w:themeColor="text1"/>
          <w:sz w:val="20"/>
          <w:szCs w:val="20"/>
          <w:lang w:val="es-ES" w:eastAsia="es-ES"/>
        </w:rPr>
      </w:pPr>
    </w:p>
    <w:p w14:paraId="15111A48" w14:textId="77777777" w:rsidR="00A04183" w:rsidRPr="00847931" w:rsidRDefault="00A04183" w:rsidP="00A04183">
      <w:pPr>
        <w:spacing w:after="0" w:line="240" w:lineRule="auto"/>
        <w:contextualSpacing/>
        <w:jc w:val="both"/>
        <w:rPr>
          <w:rFonts w:ascii="Verdana" w:eastAsia="Calibri" w:hAnsi="Verdana" w:cs="Arial"/>
          <w:color w:val="000000" w:themeColor="text1"/>
          <w:sz w:val="20"/>
          <w:szCs w:val="20"/>
          <w:lang w:val="es-ES" w:eastAsia="es-ES"/>
        </w:rPr>
      </w:pPr>
      <w:r w:rsidRPr="00847931">
        <w:rPr>
          <w:rFonts w:ascii="Verdana" w:eastAsia="Calibri" w:hAnsi="Verdana" w:cs="Arial"/>
          <w:color w:val="000000" w:themeColor="text1"/>
          <w:sz w:val="20"/>
          <w:szCs w:val="20"/>
          <w:lang w:val="es-ES" w:eastAsia="es-ES"/>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w:t>
      </w:r>
    </w:p>
    <w:p w14:paraId="4C2A09C8" w14:textId="77777777" w:rsidR="00A04183" w:rsidRPr="00847931" w:rsidRDefault="00A04183" w:rsidP="00A04183">
      <w:pPr>
        <w:spacing w:after="0" w:line="240" w:lineRule="auto"/>
        <w:jc w:val="both"/>
        <w:rPr>
          <w:rFonts w:ascii="Verdana" w:eastAsia="Calibri" w:hAnsi="Verdana" w:cs="Arial"/>
          <w:color w:val="000000" w:themeColor="text1"/>
          <w:sz w:val="20"/>
          <w:szCs w:val="20"/>
          <w:lang w:val="es-ES" w:eastAsia="es-ES"/>
        </w:rPr>
      </w:pPr>
      <w:r w:rsidRPr="00847931">
        <w:rPr>
          <w:rFonts w:ascii="Verdana" w:eastAsia="Calibri" w:hAnsi="Verdana" w:cs="Arial"/>
          <w:color w:val="000000" w:themeColor="text1"/>
          <w:sz w:val="20"/>
          <w:szCs w:val="20"/>
          <w:lang w:val="es-ES" w:eastAsia="es-ES"/>
        </w:rPr>
        <w:t>[…]</w:t>
      </w:r>
    </w:p>
    <w:p w14:paraId="03C61E65" w14:textId="77777777" w:rsidR="00A04183" w:rsidRDefault="00A04183" w:rsidP="00A04183">
      <w:pPr>
        <w:spacing w:after="0" w:line="240" w:lineRule="auto"/>
        <w:jc w:val="both"/>
        <w:rPr>
          <w:rFonts w:ascii="Verdana" w:eastAsia="Calibri" w:hAnsi="Verdana" w:cs="Arial"/>
          <w:color w:val="000000" w:themeColor="text1"/>
          <w:sz w:val="20"/>
          <w:szCs w:val="20"/>
          <w:lang w:val="es-ES" w:eastAsia="es-ES"/>
        </w:rPr>
      </w:pPr>
      <w:r w:rsidRPr="00847931">
        <w:rPr>
          <w:rFonts w:ascii="Verdana" w:eastAsia="Calibri" w:hAnsi="Verdana" w:cs="Arial"/>
          <w:color w:val="000000" w:themeColor="text1"/>
          <w:sz w:val="20"/>
          <w:szCs w:val="20"/>
          <w:lang w:val="es-ES" w:eastAsia="es-ES"/>
        </w:rPr>
        <w:t>Cabe anotar que la Resolución 219 del 6 de agosto de 2021 contiene los documentos tipo que aplican de forma transversal a los proyectos de infraestructura social en los sectores educativo, salud, y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6288A8E9" w14:textId="77777777" w:rsidR="00A04183" w:rsidRDefault="00A04183" w:rsidP="00A04183">
      <w:pPr>
        <w:spacing w:after="0" w:line="240" w:lineRule="auto"/>
        <w:jc w:val="both"/>
        <w:rPr>
          <w:rFonts w:ascii="Verdana" w:eastAsia="Calibri" w:hAnsi="Verdana" w:cs="Arial"/>
          <w:color w:val="000000" w:themeColor="text1"/>
          <w:sz w:val="20"/>
          <w:szCs w:val="20"/>
          <w:lang w:val="es-ES" w:eastAsia="es-ES"/>
        </w:rPr>
      </w:pPr>
    </w:p>
    <w:p w14:paraId="2C80BBBD" w14:textId="77777777" w:rsidR="00A04183" w:rsidRPr="0008336C" w:rsidRDefault="00A04183" w:rsidP="00A04183">
      <w:pPr>
        <w:spacing w:after="0" w:line="240" w:lineRule="auto"/>
        <w:jc w:val="both"/>
        <w:rPr>
          <w:rFonts w:ascii="Verdana" w:eastAsia="Calibri" w:hAnsi="Verdana" w:cs="Arial"/>
          <w:b/>
          <w:bCs/>
          <w:color w:val="000000" w:themeColor="text1"/>
          <w:sz w:val="20"/>
          <w:szCs w:val="20"/>
          <w:lang w:val="es-ES" w:eastAsia="es-ES"/>
        </w:rPr>
      </w:pPr>
      <w:r w:rsidRPr="0008336C">
        <w:rPr>
          <w:rFonts w:ascii="Verdana" w:eastAsia="Calibri" w:hAnsi="Verdana" w:cs="Arial"/>
          <w:b/>
          <w:bCs/>
          <w:lang w:val="es-ES" w:eastAsia="es-ES"/>
        </w:rPr>
        <w:t>DOCUMENTOS TIPO DE INFRAESTRUCTURA SOCIAL – Inalterabilidad – Resolución 219 de 2021 – Consideraciones para la modificación de los documentos tipo</w:t>
      </w:r>
    </w:p>
    <w:p w14:paraId="61AEFC54" w14:textId="77777777" w:rsidR="00A04183" w:rsidRPr="00847931" w:rsidRDefault="00A04183" w:rsidP="00A04183">
      <w:pPr>
        <w:spacing w:after="0" w:line="240" w:lineRule="auto"/>
        <w:jc w:val="both"/>
        <w:rPr>
          <w:rFonts w:ascii="Verdana" w:eastAsia="Calibri" w:hAnsi="Verdana" w:cs="Arial"/>
          <w:color w:val="000000" w:themeColor="text1"/>
          <w:sz w:val="20"/>
          <w:szCs w:val="20"/>
          <w:lang w:val="es-ES" w:eastAsia="es-ES"/>
        </w:rPr>
      </w:pPr>
    </w:p>
    <w:p w14:paraId="111304F9" w14:textId="77777777" w:rsidR="00A04183" w:rsidRPr="00847931" w:rsidRDefault="00A04183" w:rsidP="00A04183">
      <w:pPr>
        <w:spacing w:after="0" w:line="240" w:lineRule="auto"/>
        <w:jc w:val="both"/>
        <w:rPr>
          <w:rFonts w:ascii="Verdana" w:eastAsia="Calibri" w:hAnsi="Verdana" w:cs="Arial"/>
          <w:color w:val="000000" w:themeColor="text1"/>
          <w:sz w:val="20"/>
          <w:szCs w:val="20"/>
          <w:lang w:val="es-ES" w:eastAsia="es-ES"/>
        </w:rPr>
      </w:pPr>
      <w:r w:rsidRPr="00847931">
        <w:rPr>
          <w:rFonts w:ascii="Verdana" w:eastAsia="Calibri" w:hAnsi="Verdana" w:cs="Arial"/>
          <w:color w:val="000000" w:themeColor="text1"/>
          <w:sz w:val="20"/>
          <w:szCs w:val="20"/>
          <w:lang w:val="es-ES" w:eastAsia="es-ES"/>
        </w:rPr>
        <w:t>En consecuencia, en materia de infraestructura social debe tenerse en cuenta que existen dos (2) clases de documentos tipo que se integran en cada proceso: i) los documentos transversales a todos los sectores de infraestructura social, es decir, el documento base, los anexos, los formatos, los formularios y las matrices adoptados mediante la Resolución No. 219 de 2021; y ii) los documentos tipo complementarios, referentes a la matriz de experiencia y el glosario, los cuales han sido adoptados en la resolución para cada sector específico.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w:t>
      </w:r>
    </w:p>
    <w:p w14:paraId="21B291DC" w14:textId="77777777" w:rsidR="00A04183" w:rsidRPr="0008336C" w:rsidRDefault="00A04183" w:rsidP="00A04183">
      <w:pPr>
        <w:spacing w:after="0" w:line="240" w:lineRule="auto"/>
        <w:jc w:val="both"/>
        <w:rPr>
          <w:rFonts w:ascii="Verdana" w:eastAsia="Verdana" w:hAnsi="Verdana" w:cs="Verdana"/>
          <w:lang w:val="es-ES"/>
        </w:rPr>
      </w:pPr>
    </w:p>
    <w:p w14:paraId="5A9270BF" w14:textId="77777777" w:rsidR="00A04183" w:rsidRDefault="00A04183" w:rsidP="00A04183">
      <w:pPr>
        <w:spacing w:after="0" w:line="240" w:lineRule="auto"/>
        <w:jc w:val="both"/>
        <w:rPr>
          <w:rFonts w:ascii="Verdana" w:eastAsia="Verdana" w:hAnsi="Verdana" w:cs="Verdana"/>
        </w:rPr>
      </w:pPr>
    </w:p>
    <w:p w14:paraId="3EFC48B2" w14:textId="77777777" w:rsidR="00A04183" w:rsidRDefault="00A04183" w:rsidP="00A04183">
      <w:pPr>
        <w:spacing w:after="0" w:line="240" w:lineRule="auto"/>
        <w:jc w:val="both"/>
        <w:rPr>
          <w:rFonts w:ascii="Verdana" w:eastAsia="Verdana" w:hAnsi="Verdana" w:cs="Verdana"/>
        </w:rPr>
      </w:pPr>
    </w:p>
    <w:p w14:paraId="3165BF72" w14:textId="6F7DB16C" w:rsidR="00A04183" w:rsidRDefault="00A04183">
      <w:pPr>
        <w:rPr>
          <w:rFonts w:ascii="Verdana" w:eastAsia="Verdana" w:hAnsi="Verdana" w:cs="Verdana"/>
        </w:rPr>
      </w:pPr>
    </w:p>
    <w:p w14:paraId="7A0D38FC" w14:textId="5F574101" w:rsidR="00754560" w:rsidRPr="000E671C" w:rsidRDefault="00A04183" w:rsidP="000E671C">
      <w:pPr>
        <w:spacing w:after="0" w:line="240" w:lineRule="auto"/>
        <w:jc w:val="both"/>
        <w:rPr>
          <w:rFonts w:ascii="Verdana" w:eastAsia="Calibri" w:hAnsi="Verdana" w:cs="Arial"/>
          <w:color w:val="000000" w:themeColor="text1"/>
          <w:sz w:val="20"/>
          <w:szCs w:val="20"/>
          <w:lang w:val="es-ES_tradnl"/>
        </w:rPr>
      </w:pPr>
      <w:r w:rsidRPr="00A04183">
        <w:rPr>
          <w:rFonts w:ascii="Verdana" w:eastAsia="Verdana" w:hAnsi="Verdana" w:cs="Verdana"/>
          <w:noProof/>
        </w:rPr>
        <w:lastRenderedPageBreak/>
        <w:drawing>
          <wp:anchor distT="0" distB="0" distL="114300" distR="114300" simplePos="0" relativeHeight="251659265" behindDoc="1" locked="0" layoutInCell="1" allowOverlap="1" wp14:anchorId="37958AE0" wp14:editId="49D7C3E1">
            <wp:simplePos x="0" y="0"/>
            <wp:positionH relativeFrom="column">
              <wp:posOffset>3430905</wp:posOffset>
            </wp:positionH>
            <wp:positionV relativeFrom="paragraph">
              <wp:posOffset>0</wp:posOffset>
            </wp:positionV>
            <wp:extent cx="2527300" cy="802005"/>
            <wp:effectExtent l="0" t="0" r="6350" b="0"/>
            <wp:wrapTight wrapText="bothSides">
              <wp:wrapPolygon edited="0">
                <wp:start x="0" y="0"/>
                <wp:lineTo x="0" y="21036"/>
                <wp:lineTo x="21491" y="21036"/>
                <wp:lineTo x="21491" y="0"/>
                <wp:lineTo x="0" y="0"/>
              </wp:wrapPolygon>
            </wp:wrapTight>
            <wp:docPr id="15406952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730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16 julio 2026</w:t>
      </w:r>
      <w:r w:rsidR="00C15139">
        <w:tab/>
      </w:r>
      <w:r w:rsidR="00C15139">
        <w:br/>
      </w:r>
    </w:p>
    <w:p w14:paraId="02E2B95A" w14:textId="732553D0" w:rsidR="00C15139" w:rsidRPr="00AA0FC9" w:rsidRDefault="00C15139" w:rsidP="00754560">
      <w:pPr>
        <w:rPr>
          <w:rFonts w:ascii="Verdana" w:eastAsia="Verdana" w:hAnsi="Verdana" w:cs="Verdana"/>
        </w:rPr>
      </w:pPr>
      <w:r w:rsidRPr="30821638">
        <w:rPr>
          <w:rFonts w:ascii="Verdana" w:eastAsia="Verdana" w:hAnsi="Verdana" w:cs="Verdana"/>
          <w:lang w:val="es-MX"/>
        </w:rPr>
        <w:t>Señor</w:t>
      </w:r>
      <w:r w:rsidR="005011BF">
        <w:rPr>
          <w:rFonts w:ascii="Verdana" w:eastAsia="Verdana" w:hAnsi="Verdana" w:cs="Verdana"/>
          <w:lang w:val="es-MX"/>
        </w:rPr>
        <w:t xml:space="preserve">es </w:t>
      </w:r>
    </w:p>
    <w:p w14:paraId="6218D587" w14:textId="16C3B0B3" w:rsidR="00A07FFB" w:rsidRDefault="005011BF" w:rsidP="005011BF">
      <w:pPr>
        <w:spacing w:after="0"/>
        <w:rPr>
          <w:rFonts w:ascii="Verdana" w:eastAsia="Verdana" w:hAnsi="Verdana" w:cs="Verdana"/>
          <w:b/>
          <w:bCs/>
          <w:lang w:val="es-MX"/>
        </w:rPr>
      </w:pPr>
      <w:r w:rsidRPr="00A07FFB">
        <w:rPr>
          <w:rFonts w:ascii="Verdana" w:eastAsia="Verdana" w:hAnsi="Verdana" w:cs="Verdana"/>
          <w:b/>
          <w:bCs/>
          <w:lang w:val="es-MX"/>
        </w:rPr>
        <w:t xml:space="preserve">Secretaría </w:t>
      </w:r>
      <w:r w:rsidR="00374C00" w:rsidRPr="00A07FFB">
        <w:rPr>
          <w:rFonts w:ascii="Verdana" w:eastAsia="Verdana" w:hAnsi="Verdana" w:cs="Verdana"/>
          <w:b/>
          <w:bCs/>
          <w:lang w:val="es-MX"/>
        </w:rPr>
        <w:t xml:space="preserve">de Gobierno Alcaldía Mayor de Bogotá </w:t>
      </w:r>
    </w:p>
    <w:p w14:paraId="6901CB88" w14:textId="38563022" w:rsidR="00374C00" w:rsidRDefault="00A07FFB" w:rsidP="005011BF">
      <w:pPr>
        <w:spacing w:after="0"/>
        <w:rPr>
          <w:rFonts w:ascii="Verdana" w:hAnsi="Verdana"/>
        </w:rPr>
      </w:pPr>
      <w:hyperlink r:id="rId12" w:history="1">
        <w:r w:rsidRPr="0005556F">
          <w:rPr>
            <w:rStyle w:val="Hipervnculo"/>
            <w:rFonts w:ascii="Verdana" w:hAnsi="Verdana"/>
          </w:rPr>
          <w:t>nivelcentral@gobiernobogota.gov.co</w:t>
        </w:r>
      </w:hyperlink>
    </w:p>
    <w:p w14:paraId="7433983D" w14:textId="57F996C8" w:rsidR="00A07FFB" w:rsidRPr="00B11DEA" w:rsidRDefault="00B11DEA" w:rsidP="005011BF">
      <w:pPr>
        <w:spacing w:after="0"/>
        <w:rPr>
          <w:rFonts w:ascii="Verdana" w:hAnsi="Verdana"/>
          <w:b/>
          <w:bCs/>
        </w:rPr>
      </w:pPr>
      <w:r w:rsidRPr="00B11DEA">
        <w:rPr>
          <w:rFonts w:ascii="Verdana" w:hAnsi="Verdana"/>
          <w:b/>
          <w:bCs/>
        </w:rPr>
        <w:t>María Camila Araque Sosa</w:t>
      </w:r>
    </w:p>
    <w:p w14:paraId="19911BA4" w14:textId="6FAD42D7" w:rsidR="00B11DEA" w:rsidRDefault="00B11DEA" w:rsidP="005011BF">
      <w:pPr>
        <w:spacing w:after="0"/>
        <w:rPr>
          <w:rFonts w:ascii="Verdana" w:hAnsi="Verdana"/>
          <w:b/>
          <w:bCs/>
        </w:rPr>
      </w:pPr>
      <w:r w:rsidRPr="00B11DEA">
        <w:rPr>
          <w:rFonts w:ascii="Verdana" w:hAnsi="Verdana"/>
          <w:b/>
          <w:bCs/>
        </w:rPr>
        <w:t xml:space="preserve">Representante </w:t>
      </w:r>
      <w:r>
        <w:rPr>
          <w:rFonts w:ascii="Verdana" w:hAnsi="Verdana"/>
          <w:b/>
          <w:bCs/>
        </w:rPr>
        <w:t>L</w:t>
      </w:r>
      <w:r w:rsidRPr="00B11DEA">
        <w:rPr>
          <w:rFonts w:ascii="Verdana" w:hAnsi="Verdana"/>
          <w:b/>
          <w:bCs/>
        </w:rPr>
        <w:t>egal</w:t>
      </w:r>
    </w:p>
    <w:p w14:paraId="677FB907" w14:textId="213B42F4" w:rsidR="00AA0FC9" w:rsidRDefault="00AA0FC9" w:rsidP="005011BF">
      <w:pPr>
        <w:spacing w:after="0"/>
        <w:rPr>
          <w:rFonts w:ascii="Verdana" w:hAnsi="Verdana"/>
        </w:rPr>
      </w:pPr>
      <w:r w:rsidRPr="00AA0FC9">
        <w:rPr>
          <w:rFonts w:ascii="Verdana" w:hAnsi="Verdana"/>
        </w:rPr>
        <w:t>Ciudad</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9"/>
      </w:tblGrid>
      <w:tr w:rsidR="00E23235" w:rsidRPr="00101DAB" w14:paraId="5741964D" w14:textId="77777777" w:rsidTr="0029429C">
        <w:trPr>
          <w:trHeight w:val="884"/>
        </w:trPr>
        <w:tc>
          <w:tcPr>
            <w:tcW w:w="8789" w:type="dxa"/>
          </w:tcPr>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84"/>
              <w:gridCol w:w="6305"/>
            </w:tblGrid>
            <w:tr w:rsidR="00DA58FB" w:rsidRPr="00C518CE" w14:paraId="7DC28E83" w14:textId="77777777" w:rsidTr="005E6D78">
              <w:trPr>
                <w:trHeight w:val="229"/>
              </w:trPr>
              <w:tc>
                <w:tcPr>
                  <w:tcW w:w="2484" w:type="dxa"/>
                </w:tcPr>
                <w:p w14:paraId="42B00B94" w14:textId="77777777" w:rsidR="00DA58FB" w:rsidRPr="00C518CE" w:rsidRDefault="00DA58FB" w:rsidP="00DA58FB">
                  <w:pPr>
                    <w:jc w:val="both"/>
                    <w:rPr>
                      <w:rFonts w:ascii="Verdana" w:eastAsia="Calibri" w:hAnsi="Verdana" w:cs="Arial"/>
                      <w:b/>
                      <w:bCs/>
                      <w:color w:val="6699FF"/>
                      <w:lang w:val="es-ES_tradnl" w:eastAsia="es-ES_tradnl"/>
                    </w:rPr>
                  </w:pPr>
                </w:p>
              </w:tc>
              <w:tc>
                <w:tcPr>
                  <w:tcW w:w="6305" w:type="dxa"/>
                </w:tcPr>
                <w:p w14:paraId="76B913B7" w14:textId="6BD8ABDA" w:rsidR="00DA58FB" w:rsidRPr="00C518CE" w:rsidRDefault="0035137C" w:rsidP="00DA58FB">
                  <w:pPr>
                    <w:jc w:val="both"/>
                    <w:rPr>
                      <w:rFonts w:ascii="Verdana" w:eastAsia="Calibri" w:hAnsi="Verdana" w:cs="Arial"/>
                      <w:b/>
                      <w:bCs/>
                      <w:lang w:val="es-ES" w:eastAsia="es-ES"/>
                    </w:rPr>
                  </w:pPr>
                  <w:r>
                    <w:rPr>
                      <w:rFonts w:ascii="Verdana" w:eastAsia="Calibri" w:hAnsi="Verdana" w:cs="Arial"/>
                      <w:b/>
                      <w:bCs/>
                      <w:lang w:val="es-ES" w:eastAsia="es-ES"/>
                    </w:rPr>
                    <w:t>Concepto C-906</w:t>
                  </w:r>
                  <w:r w:rsidR="002204CF">
                    <w:rPr>
                      <w:rFonts w:ascii="Verdana" w:eastAsia="Calibri" w:hAnsi="Verdana" w:cs="Arial"/>
                      <w:b/>
                      <w:bCs/>
                      <w:lang w:val="es-ES" w:eastAsia="es-ES"/>
                    </w:rPr>
                    <w:t>A</w:t>
                  </w:r>
                  <w:r>
                    <w:rPr>
                      <w:rFonts w:ascii="Verdana" w:eastAsia="Calibri" w:hAnsi="Verdana" w:cs="Arial"/>
                      <w:b/>
                      <w:bCs/>
                      <w:lang w:val="es-ES" w:eastAsia="es-ES"/>
                    </w:rPr>
                    <w:t xml:space="preserve"> de 2026</w:t>
                  </w:r>
                </w:p>
                <w:p w14:paraId="35364359" w14:textId="77777777" w:rsidR="00DA58FB" w:rsidRPr="00C518CE" w:rsidRDefault="00DA58FB" w:rsidP="00DA58FB">
                  <w:pPr>
                    <w:jc w:val="both"/>
                    <w:rPr>
                      <w:rFonts w:ascii="Verdana" w:eastAsia="Calibri" w:hAnsi="Verdana" w:cs="Arial"/>
                      <w:b/>
                      <w:bCs/>
                      <w:color w:val="6699FF"/>
                      <w:lang w:val="es-ES" w:eastAsia="es-ES"/>
                    </w:rPr>
                  </w:pPr>
                </w:p>
              </w:tc>
            </w:tr>
            <w:tr w:rsidR="00DA58FB" w:rsidRPr="007E3F36" w14:paraId="3599CFC8" w14:textId="77777777" w:rsidTr="005E6D78">
              <w:trPr>
                <w:trHeight w:val="884"/>
              </w:trPr>
              <w:tc>
                <w:tcPr>
                  <w:tcW w:w="2484" w:type="dxa"/>
                </w:tcPr>
                <w:p w14:paraId="2BE227FC" w14:textId="77777777" w:rsidR="00DA58FB" w:rsidRPr="00C518CE" w:rsidRDefault="00DA58FB" w:rsidP="00DA58FB">
                  <w:pPr>
                    <w:jc w:val="both"/>
                    <w:rPr>
                      <w:rFonts w:ascii="Verdana" w:eastAsia="Calibri" w:hAnsi="Verdana" w:cs="Arial"/>
                      <w:lang w:val="es-ES_tradnl" w:eastAsia="es-ES_tradnl"/>
                    </w:rPr>
                  </w:pPr>
                  <w:r w:rsidRPr="00C518CE">
                    <w:rPr>
                      <w:rFonts w:ascii="Verdana" w:eastAsia="Calibri" w:hAnsi="Verdana" w:cs="Arial"/>
                      <w:b/>
                      <w:lang w:val="es-ES_tradnl" w:eastAsia="es-ES_tradnl"/>
                    </w:rPr>
                    <w:t>Temas:</w:t>
                  </w:r>
                  <w:r w:rsidRPr="00C518CE">
                    <w:rPr>
                      <w:rFonts w:ascii="Verdana" w:eastAsia="Calibri" w:hAnsi="Verdana" w:cs="Arial"/>
                      <w:lang w:val="es-ES_tradnl" w:eastAsia="es-ES_tradnl"/>
                    </w:rPr>
                    <w:t xml:space="preserve">                   </w:t>
                  </w:r>
                </w:p>
              </w:tc>
              <w:tc>
                <w:tcPr>
                  <w:tcW w:w="6305" w:type="dxa"/>
                </w:tcPr>
                <w:p w14:paraId="1E24B3B5" w14:textId="74B6B604" w:rsidR="00DA58FB" w:rsidRPr="000B4043" w:rsidRDefault="000B4043" w:rsidP="000B4043">
                  <w:pPr>
                    <w:snapToGrid w:val="0"/>
                    <w:spacing w:line="276" w:lineRule="auto"/>
                    <w:jc w:val="both"/>
                    <w:rPr>
                      <w:rFonts w:ascii="Verdana" w:eastAsia="Aptos" w:hAnsi="Verdana" w:cs="Times New Roman"/>
                      <w:lang w:eastAsia="es-MX"/>
                    </w:rPr>
                  </w:pPr>
                  <w:r w:rsidRPr="00101DAB">
                    <w:rPr>
                      <w:rFonts w:ascii="Verdana" w:eastAsia="Calibri" w:hAnsi="Verdana" w:cs="Arial"/>
                      <w:lang w:val="es-ES" w:eastAsia="es-ES"/>
                    </w:rPr>
                    <w:t xml:space="preserve">DOCUMENTOS TIPO DE INFRAESTRUCTURA SOCIAL – Generalidades </w:t>
                  </w:r>
                  <w:r w:rsidR="00001C85">
                    <w:rPr>
                      <w:rFonts w:ascii="Verdana" w:eastAsia="Calibri" w:hAnsi="Verdana" w:cs="Arial"/>
                      <w:lang w:val="es-ES" w:eastAsia="es-ES"/>
                    </w:rPr>
                    <w:t xml:space="preserve">/ </w:t>
                  </w:r>
                  <w:r w:rsidR="001B71C5">
                    <w:rPr>
                      <w:rFonts w:ascii="Verdana" w:eastAsia="Calibri" w:hAnsi="Verdana" w:cs="Arial"/>
                      <w:lang w:val="es-ES" w:eastAsia="es-ES"/>
                    </w:rPr>
                    <w:t xml:space="preserve">DOCUMENTOS TIPO DE INFRAESTRUCTURA SOCIAL – Inalterabilidad – Resolución 219 de 2021 – </w:t>
                  </w:r>
                  <w:r w:rsidR="00525777">
                    <w:rPr>
                      <w:rFonts w:ascii="Verdana" w:eastAsia="Calibri" w:hAnsi="Verdana" w:cs="Arial"/>
                      <w:lang w:val="es-ES" w:eastAsia="es-ES"/>
                    </w:rPr>
                    <w:t>Consideraciones para la modificación de los documentos tipo</w:t>
                  </w:r>
                </w:p>
                <w:p w14:paraId="010EF356" w14:textId="77777777" w:rsidR="00DA58FB" w:rsidRPr="007E3F36" w:rsidRDefault="00DA58FB" w:rsidP="00DA58FB">
                  <w:pPr>
                    <w:widowControl w:val="0"/>
                    <w:autoSpaceDE w:val="0"/>
                    <w:autoSpaceDN w:val="0"/>
                    <w:jc w:val="both"/>
                    <w:rPr>
                      <w:rFonts w:ascii="Verdana" w:eastAsia="Calibri" w:hAnsi="Verdana" w:cs="Times New Roman"/>
                      <w:lang w:val="es-ES"/>
                    </w:rPr>
                  </w:pPr>
                </w:p>
              </w:tc>
            </w:tr>
            <w:tr w:rsidR="00DA58FB" w:rsidRPr="00271092" w14:paraId="1253D6B2" w14:textId="77777777" w:rsidTr="005E6D78">
              <w:trPr>
                <w:trHeight w:val="530"/>
              </w:trPr>
              <w:tc>
                <w:tcPr>
                  <w:tcW w:w="2484" w:type="dxa"/>
                </w:tcPr>
                <w:p w14:paraId="68C50592" w14:textId="77777777" w:rsidR="00DA58FB" w:rsidRPr="00C518CE" w:rsidRDefault="00DA58FB" w:rsidP="00DA58FB">
                  <w:pPr>
                    <w:jc w:val="both"/>
                    <w:rPr>
                      <w:rFonts w:ascii="Verdana" w:eastAsia="Calibri" w:hAnsi="Verdana" w:cs="Arial"/>
                      <w:b/>
                      <w:lang w:val="es-ES_tradnl" w:eastAsia="es-ES_tradnl"/>
                    </w:rPr>
                  </w:pPr>
                  <w:r w:rsidRPr="00C518CE">
                    <w:rPr>
                      <w:rFonts w:ascii="Verdana" w:eastAsia="Calibri" w:hAnsi="Verdana" w:cs="Arial"/>
                      <w:b/>
                      <w:lang w:val="es-ES_tradnl" w:eastAsia="es-ES_tradnl"/>
                    </w:rPr>
                    <w:t>Radicación:</w:t>
                  </w:r>
                  <w:r w:rsidRPr="00C518CE">
                    <w:rPr>
                      <w:rFonts w:ascii="Verdana" w:eastAsia="Calibri" w:hAnsi="Verdana" w:cs="Arial"/>
                      <w:lang w:val="es-ES_tradnl" w:eastAsia="es-ES_tradnl"/>
                    </w:rPr>
                    <w:t xml:space="preserve">               </w:t>
                  </w:r>
                </w:p>
              </w:tc>
              <w:tc>
                <w:tcPr>
                  <w:tcW w:w="6305" w:type="dxa"/>
                </w:tcPr>
                <w:p w14:paraId="69739624" w14:textId="3F5B2CF6" w:rsidR="00DA58FB" w:rsidRPr="00271092" w:rsidRDefault="00DA58FB" w:rsidP="00DA58FB">
                  <w:pPr>
                    <w:ind w:left="3" w:hanging="3"/>
                    <w:jc w:val="both"/>
                    <w:rPr>
                      <w:rFonts w:ascii="Verdana" w:eastAsia="Calibri" w:hAnsi="Verdana" w:cs="Arial"/>
                      <w:lang w:eastAsia="es-ES_tradnl"/>
                    </w:rPr>
                  </w:pPr>
                  <w:r w:rsidRPr="00C518CE">
                    <w:rPr>
                      <w:rFonts w:ascii="Verdana" w:eastAsia="Calibri" w:hAnsi="Verdana" w:cs="Arial"/>
                      <w:lang w:val="es-ES_tradnl" w:eastAsia="es-ES_tradnl"/>
                    </w:rPr>
                    <w:t>Respuesta a</w:t>
                  </w:r>
                  <w:r w:rsidR="0035137C">
                    <w:rPr>
                      <w:rFonts w:ascii="Verdana" w:eastAsia="Calibri" w:hAnsi="Verdana" w:cs="Arial"/>
                      <w:lang w:val="es-ES_tradnl" w:eastAsia="es-ES_tradnl"/>
                    </w:rPr>
                    <w:t xml:space="preserve"> las</w:t>
                  </w:r>
                  <w:r w:rsidRPr="00C518CE">
                    <w:rPr>
                      <w:rFonts w:ascii="Verdana" w:eastAsia="Calibri" w:hAnsi="Verdana" w:cs="Arial"/>
                      <w:lang w:val="es-ES_tradnl" w:eastAsia="es-ES_tradnl"/>
                    </w:rPr>
                    <w:t xml:space="preserve"> consulta</w:t>
                  </w:r>
                  <w:r w:rsidR="0035137C">
                    <w:rPr>
                      <w:rFonts w:ascii="Verdana" w:eastAsia="Calibri" w:hAnsi="Verdana" w:cs="Arial"/>
                      <w:lang w:val="es-ES_tradnl" w:eastAsia="es-ES_tradnl"/>
                    </w:rPr>
                    <w:t>s acumuladas</w:t>
                  </w:r>
                  <w:r w:rsidRPr="00C518CE">
                    <w:rPr>
                      <w:rFonts w:ascii="Verdana" w:eastAsia="Calibri" w:hAnsi="Verdana" w:cs="Arial"/>
                      <w:lang w:val="es-ES_tradnl" w:eastAsia="es-ES_tradnl"/>
                    </w:rPr>
                    <w:t xml:space="preserve"> con radicado</w:t>
                  </w:r>
                  <w:r w:rsidR="0035137C">
                    <w:rPr>
                      <w:rFonts w:ascii="Verdana" w:eastAsia="Calibri" w:hAnsi="Verdana" w:cs="Arial"/>
                      <w:lang w:val="es-ES_tradnl" w:eastAsia="es-ES_tradnl"/>
                    </w:rPr>
                    <w:t>s</w:t>
                  </w:r>
                  <w:r w:rsidRPr="00C518CE">
                    <w:rPr>
                      <w:rFonts w:ascii="Verdana" w:eastAsia="Calibri" w:hAnsi="Verdana" w:cs="Arial"/>
                      <w:lang w:val="es-ES_tradnl" w:eastAsia="es-ES_tradnl"/>
                    </w:rPr>
                    <w:t xml:space="preserve"> N</w:t>
                  </w:r>
                  <w:r w:rsidR="0035137C">
                    <w:rPr>
                      <w:rFonts w:ascii="Verdana" w:eastAsia="Calibri" w:hAnsi="Verdana" w:cs="Arial"/>
                      <w:lang w:val="es-ES_tradnl" w:eastAsia="es-ES_tradnl"/>
                    </w:rPr>
                    <w:t>r</w:t>
                  </w:r>
                  <w:r w:rsidRPr="00C518CE">
                    <w:rPr>
                      <w:rFonts w:ascii="Verdana" w:eastAsia="Calibri" w:hAnsi="Verdana" w:cs="Arial"/>
                      <w:lang w:val="es-ES_tradnl" w:eastAsia="es-ES_tradnl"/>
                    </w:rPr>
                    <w:t xml:space="preserve">o. </w:t>
                  </w:r>
                  <w:r>
                    <w:rPr>
                      <w:rFonts w:ascii="Verdana" w:hAnsi="Verdana" w:cs="Calibri"/>
                    </w:rPr>
                    <w:t>1_2026_05_29_007314</w:t>
                  </w:r>
                  <w:r w:rsidR="0035137C">
                    <w:rPr>
                      <w:rFonts w:ascii="Verdana" w:hAnsi="Verdana" w:cs="Calibri"/>
                    </w:rPr>
                    <w:t xml:space="preserve"> y 1_2026_</w:t>
                  </w:r>
                  <w:r w:rsidR="001C24FC">
                    <w:rPr>
                      <w:rFonts w:ascii="Verdana" w:hAnsi="Verdana" w:cs="Calibri"/>
                    </w:rPr>
                    <w:t>0</w:t>
                  </w:r>
                  <w:r w:rsidR="00704D08">
                    <w:rPr>
                      <w:rFonts w:ascii="Verdana" w:hAnsi="Verdana" w:cs="Calibri"/>
                    </w:rPr>
                    <w:t>2</w:t>
                  </w:r>
                  <w:r w:rsidR="001C24FC">
                    <w:rPr>
                      <w:rFonts w:ascii="Verdana" w:hAnsi="Verdana" w:cs="Calibri"/>
                    </w:rPr>
                    <w:t>_00</w:t>
                  </w:r>
                  <w:r w:rsidR="003152B1">
                    <w:rPr>
                      <w:rFonts w:ascii="Verdana" w:hAnsi="Verdana" w:cs="Calibri"/>
                    </w:rPr>
                    <w:t>7</w:t>
                  </w:r>
                  <w:r w:rsidR="00704D08">
                    <w:rPr>
                      <w:rFonts w:ascii="Verdana" w:hAnsi="Verdana" w:cs="Calibri"/>
                    </w:rPr>
                    <w:t>4</w:t>
                  </w:r>
                  <w:r w:rsidR="003152B1">
                    <w:rPr>
                      <w:rFonts w:ascii="Verdana" w:hAnsi="Verdana" w:cs="Calibri"/>
                    </w:rPr>
                    <w:t>7</w:t>
                  </w:r>
                  <w:r w:rsidR="00704D08">
                    <w:rPr>
                      <w:rFonts w:ascii="Verdana" w:hAnsi="Verdana" w:cs="Calibri"/>
                    </w:rPr>
                    <w:t>3</w:t>
                  </w:r>
                </w:p>
              </w:tc>
            </w:tr>
          </w:tbl>
          <w:p w14:paraId="30A8D008" w14:textId="6E06FAAD" w:rsidR="00E23235" w:rsidRPr="00DA58FB" w:rsidRDefault="00E23235" w:rsidP="00E47890">
            <w:pPr>
              <w:jc w:val="both"/>
              <w:rPr>
                <w:rFonts w:ascii="Verdana" w:eastAsia="Calibri" w:hAnsi="Verdana" w:cs="Arial"/>
                <w:b/>
                <w:bCs/>
                <w:lang w:eastAsia="es-ES"/>
              </w:rPr>
            </w:pPr>
          </w:p>
        </w:tc>
      </w:tr>
    </w:tbl>
    <w:p w14:paraId="35FBF165" w14:textId="77777777" w:rsidR="006E270D" w:rsidRPr="00D7046C" w:rsidRDefault="006E270D" w:rsidP="006E270D">
      <w:pPr>
        <w:tabs>
          <w:tab w:val="left" w:pos="3768"/>
        </w:tabs>
        <w:spacing w:after="0" w:line="276" w:lineRule="auto"/>
        <w:jc w:val="both"/>
        <w:rPr>
          <w:rFonts w:ascii="Verdana" w:eastAsia="Calibri" w:hAnsi="Verdana" w:cs="Arial"/>
          <w:lang w:val="es-ES" w:eastAsia="es-ES"/>
        </w:rPr>
      </w:pPr>
      <w:r w:rsidRPr="00D7046C">
        <w:rPr>
          <w:rFonts w:ascii="Verdana" w:eastAsia="Calibri" w:hAnsi="Verdana" w:cs="Arial"/>
          <w:lang w:val="es-ES" w:eastAsia="es-ES"/>
        </w:rPr>
        <w:tab/>
      </w:r>
    </w:p>
    <w:p w14:paraId="1D688676" w14:textId="34F47457" w:rsidR="006E270D" w:rsidRPr="00D7046C" w:rsidRDefault="006E270D" w:rsidP="00B2660D">
      <w:pPr>
        <w:spacing w:after="120" w:line="276" w:lineRule="auto"/>
        <w:jc w:val="both"/>
        <w:rPr>
          <w:rFonts w:ascii="Verdana" w:eastAsia="Calibri" w:hAnsi="Verdana" w:cs="Arial"/>
          <w:lang w:val="es-ES" w:eastAsia="es-ES"/>
        </w:rPr>
      </w:pPr>
      <w:r w:rsidRPr="00D7046C">
        <w:rPr>
          <w:rFonts w:ascii="Verdana" w:eastAsia="Calibri" w:hAnsi="Verdana" w:cs="Arial"/>
          <w:lang w:val="es-ES" w:eastAsia="es-ES"/>
        </w:rPr>
        <w:t>En ejercicio de la competencia otorgada por los artículos 3, numeral 5º, y 11, numeral 8º, del Decreto Ley 4170 de 2011,</w:t>
      </w:r>
      <w:r w:rsidRPr="00D7046C">
        <w:rPr>
          <w:rFonts w:ascii="Verdana" w:eastAsia="Arial MT" w:hAnsi="Verdana" w:cs="Arial MT"/>
          <w:lang w:val="es-ES" w:eastAsia="es-ES"/>
        </w:rPr>
        <w:t xml:space="preserve"> </w:t>
      </w:r>
      <w:r w:rsidRPr="00D7046C">
        <w:rPr>
          <w:rFonts w:ascii="Verdana" w:eastAsia="Calibri" w:hAnsi="Verdana" w:cs="Arial"/>
        </w:rPr>
        <w:t xml:space="preserve">así como lo establecido en la Resolución No. 469 del 2025 expedida por esta Entidad, </w:t>
      </w:r>
      <w:r w:rsidRPr="00D7046C">
        <w:rPr>
          <w:rFonts w:ascii="Verdana" w:eastAsia="Calibri" w:hAnsi="Verdana" w:cs="Arial"/>
          <w:lang w:val="es-ES" w:eastAsia="es-ES"/>
        </w:rPr>
        <w:t xml:space="preserve">la Agencia Nacional de Contratación Pública – Colombia Compra Eficiente– responde su solicitud de consulta del </w:t>
      </w:r>
      <w:r w:rsidR="00F94FFC">
        <w:rPr>
          <w:rFonts w:ascii="Verdana" w:eastAsia="Calibri" w:hAnsi="Verdana" w:cs="Arial"/>
          <w:lang w:val="es-ES" w:eastAsia="es-ES"/>
        </w:rPr>
        <w:t>29</w:t>
      </w:r>
      <w:r w:rsidRPr="00D7046C">
        <w:rPr>
          <w:rFonts w:ascii="Verdana" w:eastAsia="Calibri" w:hAnsi="Verdana" w:cs="Arial"/>
          <w:lang w:val="es-ES" w:eastAsia="es-ES"/>
        </w:rPr>
        <w:t xml:space="preserve"> de mayo de 2026, en la cuales manifiesta lo siguiente:</w:t>
      </w:r>
    </w:p>
    <w:p w14:paraId="4DFB1D61" w14:textId="77777777" w:rsidR="006E270D" w:rsidRPr="0072118B" w:rsidRDefault="006E270D" w:rsidP="006E270D">
      <w:pPr>
        <w:spacing w:after="0" w:line="276" w:lineRule="auto"/>
        <w:jc w:val="both"/>
        <w:rPr>
          <w:rFonts w:ascii="Verdana" w:eastAsia="Calibri" w:hAnsi="Verdana" w:cs="Arial"/>
          <w:i/>
          <w:iCs/>
          <w:lang w:val="es-ES" w:eastAsia="es-ES"/>
        </w:rPr>
      </w:pPr>
    </w:p>
    <w:p w14:paraId="211E5623" w14:textId="36CF59C1" w:rsidR="006E270D" w:rsidRPr="0072118B" w:rsidRDefault="006E270D" w:rsidP="00464331">
      <w:pPr>
        <w:spacing w:after="0" w:line="240" w:lineRule="auto"/>
        <w:ind w:left="709" w:right="709"/>
        <w:jc w:val="both"/>
        <w:rPr>
          <w:rFonts w:ascii="Verdana" w:eastAsia="Times New Roman" w:hAnsi="Verdana" w:cs="Arial"/>
          <w:i/>
          <w:iCs/>
          <w:sz w:val="21"/>
          <w:szCs w:val="21"/>
          <w:lang w:eastAsia="es-CO"/>
        </w:rPr>
      </w:pPr>
      <w:r w:rsidRPr="0072118B">
        <w:rPr>
          <w:rFonts w:ascii="Verdana" w:eastAsia="Aptos" w:hAnsi="Verdana" w:cs="Helvetica"/>
          <w:i/>
          <w:iCs/>
          <w:color w:val="000000"/>
          <w:sz w:val="21"/>
          <w:szCs w:val="21"/>
          <w:lang w:eastAsia="es-CO"/>
        </w:rPr>
        <w:t>“</w:t>
      </w:r>
      <w:r w:rsidR="00464331" w:rsidRPr="0072118B">
        <w:rPr>
          <w:rFonts w:ascii="Verdana" w:eastAsia="Times New Roman" w:hAnsi="Verdana" w:cs="Arial"/>
          <w:i/>
          <w:iCs/>
          <w:sz w:val="21"/>
          <w:szCs w:val="21"/>
          <w:lang w:eastAsia="es-CO"/>
        </w:rPr>
        <w:t>[…]</w:t>
      </w:r>
    </w:p>
    <w:p w14:paraId="501C9183" w14:textId="35FD8944" w:rsidR="00464331" w:rsidRPr="0072118B" w:rsidRDefault="00464331" w:rsidP="00464331">
      <w:pPr>
        <w:spacing w:after="0" w:line="240" w:lineRule="auto"/>
        <w:ind w:left="709" w:right="709"/>
        <w:jc w:val="both"/>
        <w:rPr>
          <w:rFonts w:ascii="Verdana" w:eastAsia="Times New Roman" w:hAnsi="Verdana" w:cs="Arial"/>
          <w:i/>
          <w:iCs/>
          <w:sz w:val="21"/>
          <w:szCs w:val="21"/>
          <w:lang w:eastAsia="es-CO"/>
        </w:rPr>
      </w:pPr>
      <w:r w:rsidRPr="0072118B">
        <w:rPr>
          <w:rFonts w:ascii="Verdana" w:eastAsia="Times New Roman" w:hAnsi="Verdana" w:cs="Arial"/>
          <w:i/>
          <w:iCs/>
          <w:sz w:val="21"/>
          <w:szCs w:val="21"/>
          <w:lang w:eastAsia="es-CO"/>
        </w:rPr>
        <w:t>1. Certifique al despacho cual era el pliego tipo que se debe utilizar para los procesos de licitación de obra pública FDLPA-010</w:t>
      </w:r>
      <w:r w:rsidR="00390231" w:rsidRPr="0072118B">
        <w:rPr>
          <w:rFonts w:ascii="Verdana" w:eastAsia="Times New Roman" w:hAnsi="Verdana" w:cs="Arial"/>
          <w:i/>
          <w:iCs/>
          <w:sz w:val="21"/>
          <w:szCs w:val="21"/>
          <w:lang w:eastAsia="es-CO"/>
        </w:rPr>
        <w:t xml:space="preserve">-2024 y FDLPA-LP-013-2024 desarrollado por el Fondo de Desarrollo Local de Puente Aranda. </w:t>
      </w:r>
    </w:p>
    <w:p w14:paraId="28514C3D" w14:textId="77777777" w:rsidR="00390231" w:rsidRPr="0072118B" w:rsidRDefault="00390231" w:rsidP="00464331">
      <w:pPr>
        <w:spacing w:after="0" w:line="240" w:lineRule="auto"/>
        <w:ind w:left="709" w:right="709"/>
        <w:jc w:val="both"/>
        <w:rPr>
          <w:rFonts w:ascii="Verdana" w:eastAsia="Times New Roman" w:hAnsi="Verdana" w:cs="Arial"/>
          <w:i/>
          <w:iCs/>
          <w:sz w:val="21"/>
          <w:szCs w:val="21"/>
          <w:lang w:eastAsia="es-CO"/>
        </w:rPr>
      </w:pPr>
    </w:p>
    <w:p w14:paraId="12593598" w14:textId="568F02AB" w:rsidR="00390231" w:rsidRPr="0072118B" w:rsidRDefault="00390231" w:rsidP="00464331">
      <w:pPr>
        <w:spacing w:after="0" w:line="240" w:lineRule="auto"/>
        <w:ind w:left="709" w:right="709"/>
        <w:jc w:val="both"/>
        <w:rPr>
          <w:rFonts w:ascii="Verdana" w:eastAsia="Times New Roman" w:hAnsi="Verdana" w:cs="Arial"/>
          <w:i/>
          <w:iCs/>
          <w:sz w:val="21"/>
          <w:szCs w:val="21"/>
          <w:lang w:eastAsia="es-CO"/>
        </w:rPr>
      </w:pPr>
      <w:r w:rsidRPr="0072118B">
        <w:rPr>
          <w:rFonts w:ascii="Verdana" w:eastAsia="Times New Roman" w:hAnsi="Verdana" w:cs="Arial"/>
          <w:i/>
          <w:iCs/>
          <w:sz w:val="21"/>
          <w:szCs w:val="21"/>
          <w:lang w:eastAsia="es-CO"/>
        </w:rPr>
        <w:t xml:space="preserve">2. Informe al despacho si el </w:t>
      </w:r>
      <w:r w:rsidR="006822C3" w:rsidRPr="0072118B">
        <w:rPr>
          <w:rFonts w:ascii="Verdana" w:eastAsia="Times New Roman" w:hAnsi="Verdana" w:cs="Arial"/>
          <w:i/>
          <w:iCs/>
          <w:sz w:val="21"/>
          <w:szCs w:val="21"/>
          <w:lang w:eastAsia="es-CO"/>
        </w:rPr>
        <w:t xml:space="preserve">pliego tipo que se debe utilizar para </w:t>
      </w:r>
      <w:r w:rsidR="00E83CBE" w:rsidRPr="0072118B">
        <w:rPr>
          <w:rFonts w:ascii="Verdana" w:eastAsia="Times New Roman" w:hAnsi="Verdana" w:cs="Arial"/>
          <w:i/>
          <w:iCs/>
          <w:sz w:val="21"/>
          <w:szCs w:val="21"/>
          <w:lang w:eastAsia="es-CO"/>
        </w:rPr>
        <w:t>los procesos</w:t>
      </w:r>
      <w:r w:rsidR="006822C3" w:rsidRPr="0072118B">
        <w:rPr>
          <w:rFonts w:ascii="Verdana" w:eastAsia="Times New Roman" w:hAnsi="Verdana" w:cs="Arial"/>
          <w:i/>
          <w:iCs/>
          <w:sz w:val="21"/>
          <w:szCs w:val="21"/>
          <w:lang w:eastAsia="es-CO"/>
        </w:rPr>
        <w:t xml:space="preserve"> de licitación de obra </w:t>
      </w:r>
      <w:r w:rsidR="00945BFF" w:rsidRPr="0072118B">
        <w:rPr>
          <w:rFonts w:ascii="Verdana" w:eastAsia="Times New Roman" w:hAnsi="Verdana" w:cs="Arial"/>
          <w:i/>
          <w:iCs/>
          <w:sz w:val="21"/>
          <w:szCs w:val="21"/>
          <w:lang w:eastAsia="es-CO"/>
        </w:rPr>
        <w:t>pública</w:t>
      </w:r>
      <w:r w:rsidR="006822C3" w:rsidRPr="0072118B">
        <w:rPr>
          <w:rFonts w:ascii="Verdana" w:eastAsia="Times New Roman" w:hAnsi="Verdana" w:cs="Arial"/>
          <w:i/>
          <w:iCs/>
          <w:sz w:val="21"/>
          <w:szCs w:val="21"/>
          <w:lang w:eastAsia="es-CO"/>
        </w:rPr>
        <w:t xml:space="preserve"> FDLPA-010-2024 y FDLPA</w:t>
      </w:r>
      <w:r w:rsidR="00E83CBE" w:rsidRPr="0072118B">
        <w:rPr>
          <w:rFonts w:ascii="Verdana" w:eastAsia="Times New Roman" w:hAnsi="Verdana" w:cs="Arial"/>
          <w:i/>
          <w:iCs/>
          <w:sz w:val="21"/>
          <w:szCs w:val="21"/>
          <w:lang w:eastAsia="es-CO"/>
        </w:rPr>
        <w:t xml:space="preserve">-LP-013-2024 se podía modificar, en caso afirmativo, indique si la oferta económica se podía modificar. </w:t>
      </w:r>
    </w:p>
    <w:p w14:paraId="6BBC9740" w14:textId="31B6EF8A" w:rsidR="00E83CBE" w:rsidRPr="0072118B" w:rsidRDefault="00E83CBE" w:rsidP="00464331">
      <w:pPr>
        <w:spacing w:after="0" w:line="240" w:lineRule="auto"/>
        <w:ind w:left="709" w:right="709"/>
        <w:jc w:val="both"/>
        <w:rPr>
          <w:rFonts w:ascii="Verdana" w:eastAsia="Times New Roman" w:hAnsi="Verdana" w:cs="Arial"/>
          <w:i/>
          <w:iCs/>
          <w:sz w:val="21"/>
          <w:szCs w:val="21"/>
          <w:lang w:eastAsia="es-CO"/>
        </w:rPr>
      </w:pPr>
      <w:r w:rsidRPr="0072118B">
        <w:rPr>
          <w:rFonts w:ascii="Verdana" w:eastAsia="Times New Roman" w:hAnsi="Verdana" w:cs="Arial"/>
          <w:i/>
          <w:iCs/>
          <w:sz w:val="21"/>
          <w:szCs w:val="21"/>
          <w:lang w:eastAsia="es-CO"/>
        </w:rPr>
        <w:t xml:space="preserve">[…]”. </w:t>
      </w:r>
    </w:p>
    <w:p w14:paraId="23DB380F" w14:textId="77777777" w:rsidR="006E270D" w:rsidRDefault="006E270D" w:rsidP="006E270D">
      <w:pPr>
        <w:spacing w:after="0" w:line="276" w:lineRule="auto"/>
        <w:jc w:val="both"/>
        <w:rPr>
          <w:rFonts w:ascii="Verdana" w:eastAsia="Calibri" w:hAnsi="Verdana" w:cs="Arial"/>
          <w:lang w:val="es-ES" w:eastAsia="es-ES"/>
        </w:rPr>
      </w:pPr>
    </w:p>
    <w:p w14:paraId="39C814E7" w14:textId="77777777" w:rsidR="00E46748" w:rsidRPr="00C518CE" w:rsidRDefault="00E46748" w:rsidP="00E46748">
      <w:pPr>
        <w:spacing w:after="12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lastRenderedPageBreak/>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BD6BBD5" w14:textId="77777777" w:rsidR="00E46748" w:rsidRPr="00C518CE" w:rsidRDefault="00E46748" w:rsidP="00E46748">
      <w:pPr>
        <w:spacing w:after="12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 problema jurídico de su consulta. </w:t>
      </w:r>
    </w:p>
    <w:p w14:paraId="07F0B306" w14:textId="77777777" w:rsidR="00E46748" w:rsidRPr="00C518CE" w:rsidRDefault="00E46748" w:rsidP="00E46748">
      <w:pPr>
        <w:tabs>
          <w:tab w:val="left" w:pos="142"/>
          <w:tab w:val="left" w:pos="284"/>
        </w:tabs>
        <w:spacing w:after="120" w:line="276" w:lineRule="auto"/>
        <w:ind w:firstLine="709"/>
        <w:contextualSpacing/>
        <w:jc w:val="both"/>
        <w:rPr>
          <w:rFonts w:ascii="Verdana" w:eastAsia="Century Gothic" w:hAnsi="Verdana" w:cs="Century Gothic"/>
          <w:b/>
          <w:bCs/>
          <w:lang w:val="es-ES"/>
        </w:rPr>
      </w:pPr>
    </w:p>
    <w:p w14:paraId="38109C16" w14:textId="77777777" w:rsidR="00E46748" w:rsidRPr="00C518CE" w:rsidRDefault="00E46748" w:rsidP="00E46748">
      <w:pPr>
        <w:tabs>
          <w:tab w:val="left" w:pos="142"/>
          <w:tab w:val="left" w:pos="284"/>
        </w:tabs>
        <w:spacing w:after="0" w:line="276" w:lineRule="auto"/>
        <w:contextualSpacing/>
        <w:jc w:val="both"/>
        <w:rPr>
          <w:rFonts w:ascii="Verdana" w:eastAsia="Century Gothic" w:hAnsi="Verdana" w:cs="Century Gothic"/>
          <w:b/>
          <w:bCs/>
          <w:lang w:val="es-ES"/>
        </w:rPr>
      </w:pPr>
      <w:r w:rsidRPr="00C518CE">
        <w:rPr>
          <w:rFonts w:ascii="Verdana" w:eastAsia="Century Gothic" w:hAnsi="Verdana" w:cs="Century Gothic"/>
          <w:b/>
          <w:bCs/>
          <w:lang w:val="es-ES"/>
        </w:rPr>
        <w:t>1. Problema planteado:</w:t>
      </w:r>
    </w:p>
    <w:p w14:paraId="7B5D44AF" w14:textId="77777777" w:rsidR="00221082" w:rsidRDefault="00221082" w:rsidP="000E1B8D">
      <w:pPr>
        <w:snapToGrid w:val="0"/>
        <w:spacing w:after="0" w:line="276" w:lineRule="auto"/>
        <w:jc w:val="both"/>
        <w:rPr>
          <w:rFonts w:ascii="Verdana" w:eastAsia="Century Gothic" w:hAnsi="Verdana" w:cs="Century Gothic"/>
          <w:lang w:val="es-ES"/>
        </w:rPr>
      </w:pPr>
    </w:p>
    <w:p w14:paraId="0B2083D1" w14:textId="190C2B0A" w:rsidR="000E1B8D" w:rsidRPr="00101DAB" w:rsidRDefault="000E1B8D" w:rsidP="000E1B8D">
      <w:pPr>
        <w:snapToGrid w:val="0"/>
        <w:spacing w:after="0" w:line="276" w:lineRule="auto"/>
        <w:jc w:val="both"/>
        <w:rPr>
          <w:rFonts w:ascii="Verdana" w:eastAsia="Century Gothic" w:hAnsi="Verdana" w:cs="Century Gothic"/>
          <w:lang w:eastAsia="es-MX"/>
        </w:rPr>
      </w:pPr>
      <w:r w:rsidRPr="00101DAB">
        <w:rPr>
          <w:rFonts w:ascii="Verdana" w:eastAsia="Century Gothic" w:hAnsi="Verdana" w:cs="Century Gothic"/>
          <w:lang w:eastAsia="es-MX"/>
        </w:rPr>
        <w:t>De acuerdo con el contenido de su solicitud, esta Agencia resolverá los siguientes problemas jurídicos:</w:t>
      </w:r>
      <w:r w:rsidR="00221082">
        <w:rPr>
          <w:rFonts w:ascii="Verdana" w:eastAsia="Century Gothic" w:hAnsi="Verdana" w:cs="Century Gothic"/>
          <w:lang w:eastAsia="es-MX"/>
        </w:rPr>
        <w:t xml:space="preserve"> i)</w:t>
      </w:r>
      <w:r w:rsidRPr="00101DAB">
        <w:rPr>
          <w:rFonts w:ascii="Verdana" w:eastAsia="Century Gothic" w:hAnsi="Verdana" w:cs="Century Gothic"/>
          <w:lang w:eastAsia="es-MX"/>
        </w:rPr>
        <w:t xml:space="preserve"> </w:t>
      </w:r>
      <w:r w:rsidR="009743F4" w:rsidRPr="009743F4">
        <w:rPr>
          <w:rFonts w:ascii="Verdana" w:eastAsia="Century Gothic" w:hAnsi="Verdana" w:cs="Century Gothic"/>
          <w:lang w:eastAsia="es-MX"/>
        </w:rPr>
        <w:t>¿Cuál era el Documento Tipo que debía aplicar el Fondo de Desarrollo Local de Puente Aranda para estructurar los procesos de Licitación Pública FDLPA-LP-010-2024 y FDLPA-LP-013-2024, atendiendo al objeto contractual y a la normativa vigente al momento de su apertura?</w:t>
      </w:r>
      <w:r w:rsidR="00221082">
        <w:rPr>
          <w:rFonts w:ascii="Verdana" w:eastAsia="Century Gothic" w:hAnsi="Verdana" w:cs="Century Gothic"/>
          <w:lang w:eastAsia="es-MX"/>
        </w:rPr>
        <w:t xml:space="preserve"> y ii) </w:t>
      </w:r>
      <w:r w:rsidR="006618E3">
        <w:rPr>
          <w:rFonts w:ascii="Verdana" w:eastAsia="Century Gothic" w:hAnsi="Verdana" w:cs="Century Gothic"/>
          <w:lang w:eastAsia="es-MX"/>
        </w:rPr>
        <w:t>¿</w:t>
      </w:r>
      <w:r w:rsidR="002C34D8">
        <w:rPr>
          <w:rFonts w:ascii="Verdana" w:eastAsia="Century Gothic" w:hAnsi="Verdana" w:cs="Century Gothic"/>
          <w:lang w:eastAsia="es-MX"/>
        </w:rPr>
        <w:t>En los Documentos Tipo para licitación de obra pública de infraestructura social – Versión 1 es viable modificar o incluir notas en el Formulario 1 – Propuesta Económica?</w:t>
      </w:r>
    </w:p>
    <w:p w14:paraId="000F7D74" w14:textId="6BF0ACC2" w:rsidR="00E46748" w:rsidRDefault="00E46748" w:rsidP="00E46748">
      <w:pPr>
        <w:spacing w:after="0" w:line="276" w:lineRule="auto"/>
        <w:jc w:val="both"/>
        <w:rPr>
          <w:rFonts w:ascii="Verdana" w:eastAsia="Calibri" w:hAnsi="Verdana" w:cs="Arial"/>
          <w:bCs/>
          <w:lang w:val="es-ES_tradnl" w:eastAsia="es-ES_tradnl"/>
        </w:rPr>
      </w:pPr>
      <w:r>
        <w:rPr>
          <w:rFonts w:ascii="Verdana" w:eastAsia="Century Gothic" w:hAnsi="Verdana" w:cs="Century Gothic"/>
        </w:rPr>
        <w:t xml:space="preserve"> </w:t>
      </w:r>
    </w:p>
    <w:p w14:paraId="148E2D08" w14:textId="02DBE213" w:rsidR="00E46748" w:rsidRDefault="00E46748" w:rsidP="00E46748">
      <w:pPr>
        <w:spacing w:after="0" w:line="276" w:lineRule="auto"/>
        <w:jc w:val="both"/>
        <w:rPr>
          <w:rFonts w:ascii="Verdana" w:eastAsia="Calibri" w:hAnsi="Verdana" w:cs="Arial"/>
          <w:b/>
          <w:lang w:val="es-ES_tradnl" w:eastAsia="es-ES_tradnl"/>
        </w:rPr>
      </w:pPr>
      <w:r w:rsidRPr="00CA4823">
        <w:rPr>
          <w:rFonts w:ascii="Verdana" w:eastAsia="Calibri" w:hAnsi="Verdana" w:cs="Arial"/>
          <w:b/>
          <w:lang w:val="es-ES_tradnl" w:eastAsia="es-ES_tradnl"/>
        </w:rPr>
        <w:t xml:space="preserve">2. Respuesta: </w:t>
      </w:r>
    </w:p>
    <w:p w14:paraId="6E054B92" w14:textId="77777777" w:rsidR="002C34D8" w:rsidRDefault="002C34D8" w:rsidP="00E46748">
      <w:pPr>
        <w:spacing w:after="0" w:line="276" w:lineRule="auto"/>
        <w:jc w:val="both"/>
        <w:rPr>
          <w:rFonts w:ascii="Verdana" w:eastAsia="Calibri" w:hAnsi="Verdana" w:cs="Arial"/>
          <w:b/>
          <w:lang w:val="es-ES_tradnl" w:eastAsia="es-ES_tradnl"/>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46748" w:rsidRPr="00AD59FA" w14:paraId="44BFF393" w14:textId="77777777" w:rsidTr="00E47890">
        <w:trPr>
          <w:trHeight w:val="40"/>
        </w:trPr>
        <w:tc>
          <w:tcPr>
            <w:tcW w:w="8828" w:type="dxa"/>
            <w:tcBorders>
              <w:top w:val="dotted" w:sz="4" w:space="0" w:color="auto"/>
              <w:left w:val="dotted" w:sz="4" w:space="0" w:color="auto"/>
              <w:bottom w:val="dotted" w:sz="4" w:space="0" w:color="auto"/>
              <w:right w:val="dotted" w:sz="4" w:space="0" w:color="auto"/>
            </w:tcBorders>
          </w:tcPr>
          <w:p w14:paraId="0CC27610" w14:textId="4E12F2FC" w:rsidR="002C34D8" w:rsidRDefault="00221082" w:rsidP="002C34D8">
            <w:pPr>
              <w:spacing w:after="120" w:line="276" w:lineRule="auto"/>
              <w:ind w:firstLine="709"/>
              <w:contextualSpacing/>
              <w:jc w:val="both"/>
              <w:rPr>
                <w:rFonts w:ascii="Verdana" w:eastAsia="Calibri" w:hAnsi="Verdana" w:cs="Arial"/>
                <w:color w:val="000000" w:themeColor="text1"/>
                <w:lang w:val="es-ES"/>
              </w:rPr>
            </w:pPr>
            <w:r>
              <w:rPr>
                <w:rFonts w:ascii="Verdana" w:eastAsia="Calibri" w:hAnsi="Verdana" w:cs="Arial"/>
                <w:color w:val="000000" w:themeColor="text1"/>
                <w:lang w:val="es-ES"/>
              </w:rPr>
              <w:t>i)</w:t>
            </w:r>
            <w:r w:rsidR="002C34D8">
              <w:rPr>
                <w:rFonts w:ascii="Verdana" w:eastAsia="Calibri" w:hAnsi="Verdana" w:cs="Arial"/>
                <w:color w:val="000000" w:themeColor="text1"/>
                <w:lang w:val="es-ES"/>
              </w:rPr>
              <w:t xml:space="preserve"> En respuesta a su primera solicitud, se le informa que para el año 2024 la versión vigente de los Documentos Tipo para licitación de obra pública </w:t>
            </w:r>
            <w:r w:rsidR="002C34D8">
              <w:rPr>
                <w:rFonts w:ascii="Verdana" w:eastAsia="Calibri" w:hAnsi="Verdana" w:cs="Arial"/>
                <w:color w:val="000000" w:themeColor="text1"/>
                <w:lang w:val="es-ES"/>
              </w:rPr>
              <w:lastRenderedPageBreak/>
              <w:t xml:space="preserve">de infraestructura social correspondía a la </w:t>
            </w:r>
            <w:r w:rsidR="002C34D8" w:rsidRPr="002C34D8">
              <w:rPr>
                <w:rFonts w:ascii="Verdana" w:eastAsia="Calibri" w:hAnsi="Verdana" w:cs="Arial"/>
                <w:b/>
                <w:bCs/>
                <w:color w:val="000000" w:themeColor="text1"/>
                <w:lang w:val="es-ES"/>
              </w:rPr>
              <w:t>Versión 1</w:t>
            </w:r>
            <w:r w:rsidR="002C34D8">
              <w:rPr>
                <w:rFonts w:ascii="Verdana" w:eastAsia="Calibri" w:hAnsi="Verdana" w:cs="Arial"/>
                <w:color w:val="000000" w:themeColor="text1"/>
                <w:lang w:val="es-ES"/>
              </w:rPr>
              <w:t xml:space="preserve">, adoptada mediante la Resolución 219 de 2021 y modificada por la Resolución 275 de 2022. </w:t>
            </w:r>
          </w:p>
          <w:p w14:paraId="55E6C330" w14:textId="77777777" w:rsidR="002C34D8" w:rsidRDefault="002C34D8" w:rsidP="002C34D8">
            <w:pPr>
              <w:spacing w:after="120" w:line="276" w:lineRule="auto"/>
              <w:ind w:firstLine="709"/>
              <w:contextualSpacing/>
              <w:jc w:val="both"/>
              <w:rPr>
                <w:rFonts w:ascii="Verdana" w:eastAsia="Calibri" w:hAnsi="Verdana" w:cs="Arial"/>
                <w:color w:val="000000" w:themeColor="text1"/>
                <w:lang w:val="es-ES"/>
              </w:rPr>
            </w:pPr>
          </w:p>
          <w:p w14:paraId="3C661E95" w14:textId="17D8A42C" w:rsidR="002C34D8" w:rsidRDefault="002C34D8" w:rsidP="002C34D8">
            <w:pPr>
              <w:spacing w:after="120" w:line="276" w:lineRule="auto"/>
              <w:ind w:firstLine="709"/>
              <w:contextualSpacing/>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En ese sentido, teniendo en cuenta los procesos de contratación identificados por usted como </w:t>
            </w:r>
            <w:r w:rsidRPr="002C34D8">
              <w:rPr>
                <w:rFonts w:ascii="Verdana" w:eastAsia="Calibri" w:hAnsi="Verdana" w:cs="Arial"/>
                <w:b/>
                <w:bCs/>
                <w:color w:val="000000" w:themeColor="text1"/>
                <w:lang w:val="es-ES"/>
              </w:rPr>
              <w:t>FDLPA-LP-013-2024</w:t>
            </w:r>
            <w:r>
              <w:rPr>
                <w:rFonts w:ascii="Verdana" w:eastAsia="Calibri" w:hAnsi="Verdana" w:cs="Arial"/>
                <w:color w:val="000000" w:themeColor="text1"/>
                <w:lang w:val="es-ES"/>
              </w:rPr>
              <w:t xml:space="preserve">, cuyo objeto es “Realizar la construcción del salón comunal del barrio Corkidi en la localidad de Puente Aranda de Bogotá D.C.”, y </w:t>
            </w:r>
            <w:r w:rsidRPr="00C64C2C">
              <w:rPr>
                <w:rFonts w:ascii="Verdana" w:eastAsia="Calibri" w:hAnsi="Verdana" w:cs="Arial"/>
                <w:b/>
                <w:bCs/>
                <w:color w:val="000000" w:themeColor="text1"/>
                <w:lang w:val="es-ES"/>
              </w:rPr>
              <w:t>FDLPA-LP-014-2024</w:t>
            </w:r>
            <w:r>
              <w:rPr>
                <w:rFonts w:ascii="Verdana" w:eastAsia="Calibri" w:hAnsi="Verdana" w:cs="Arial"/>
                <w:color w:val="000000" w:themeColor="text1"/>
                <w:lang w:val="es-ES"/>
              </w:rPr>
              <w:t xml:space="preserve">, cuyo objeto es </w:t>
            </w:r>
            <w:r w:rsidRPr="00C64C2C">
              <w:rPr>
                <w:rFonts w:ascii="Verdana" w:eastAsia="Calibri" w:hAnsi="Verdana" w:cs="Arial"/>
                <w:i/>
                <w:iCs/>
                <w:color w:val="000000" w:themeColor="text1"/>
                <w:lang w:val="es-ES"/>
              </w:rPr>
              <w:t>“Contratar por el sistema de precios unitarios fijos y a monto agotable el mantenimiento de los parques de proximidad de la localidad de Puente Aranda en la ciudad de Bogotá D.C.”</w:t>
            </w:r>
            <w:r>
              <w:rPr>
                <w:rFonts w:ascii="Verdana" w:eastAsia="Calibri" w:hAnsi="Verdana" w:cs="Arial"/>
                <w:color w:val="000000" w:themeColor="text1"/>
                <w:lang w:val="es-ES"/>
              </w:rPr>
              <w:t>, se precisa que los Documentos Tipo aplicables y vigentes para la fecha de apertura de dichos procesos correspondían a los Documentos Tipo</w:t>
            </w:r>
            <w:r w:rsidR="00C64C2C">
              <w:rPr>
                <w:rFonts w:ascii="Verdana" w:eastAsia="Calibri" w:hAnsi="Verdana" w:cs="Arial"/>
                <w:color w:val="000000" w:themeColor="text1"/>
                <w:lang w:val="es-ES"/>
              </w:rPr>
              <w:t xml:space="preserve"> para licitación de obra pública de infraestructura social, en su Versión 1, adoptada por la Agencia Nacional de Contratación Pública – Colombia Compra Eficiente mediante la Resolución 219 de 2021 y modificada por la Resolución 275 de 2022. </w:t>
            </w:r>
          </w:p>
          <w:p w14:paraId="56582D8D" w14:textId="77777777" w:rsidR="00C64C2C" w:rsidRDefault="00C64C2C" w:rsidP="002C34D8">
            <w:pPr>
              <w:spacing w:after="120" w:line="276" w:lineRule="auto"/>
              <w:ind w:firstLine="709"/>
              <w:contextualSpacing/>
              <w:jc w:val="both"/>
              <w:rPr>
                <w:rFonts w:ascii="Verdana" w:eastAsia="Calibri" w:hAnsi="Verdana" w:cs="Arial"/>
                <w:color w:val="000000" w:themeColor="text1"/>
                <w:lang w:val="es-ES"/>
              </w:rPr>
            </w:pPr>
          </w:p>
          <w:p w14:paraId="7D4B0B5F" w14:textId="082D310F" w:rsidR="00C64C2C" w:rsidRDefault="00C64C2C" w:rsidP="002C34D8">
            <w:pPr>
              <w:spacing w:after="120" w:line="276" w:lineRule="auto"/>
              <w:ind w:firstLine="709"/>
              <w:contextualSpacing/>
              <w:jc w:val="both"/>
              <w:rPr>
                <w:rFonts w:ascii="Verdana" w:eastAsia="Calibri" w:hAnsi="Verdana" w:cs="Arial"/>
                <w:color w:val="000000" w:themeColor="text1"/>
                <w:lang w:val="es-ES"/>
              </w:rPr>
            </w:pPr>
            <w:r>
              <w:rPr>
                <w:rFonts w:ascii="Verdana" w:eastAsia="Calibri" w:hAnsi="Verdana" w:cs="Arial"/>
                <w:color w:val="000000" w:themeColor="text1"/>
                <w:lang w:val="es-ES"/>
              </w:rPr>
              <w:t>Finalmente, se informa que esta versión de los Documentos Tipo era de obligatorio cumplimiento a partir del 29 de agosto de 2022.</w:t>
            </w:r>
          </w:p>
          <w:p w14:paraId="7D97AB42" w14:textId="77777777" w:rsidR="00C64C2C" w:rsidRDefault="00C64C2C" w:rsidP="002C34D8">
            <w:pPr>
              <w:spacing w:after="120" w:line="276" w:lineRule="auto"/>
              <w:ind w:firstLine="709"/>
              <w:contextualSpacing/>
              <w:jc w:val="both"/>
              <w:rPr>
                <w:rFonts w:ascii="Verdana" w:eastAsia="Calibri" w:hAnsi="Verdana" w:cs="Arial"/>
                <w:color w:val="000000" w:themeColor="text1"/>
                <w:lang w:val="es-ES"/>
              </w:rPr>
            </w:pPr>
          </w:p>
          <w:p w14:paraId="5C851A67" w14:textId="77777777" w:rsidR="00C64C2C" w:rsidRDefault="00C64C2C" w:rsidP="002C34D8">
            <w:pPr>
              <w:spacing w:after="120" w:line="276" w:lineRule="auto"/>
              <w:ind w:firstLine="709"/>
              <w:contextualSpacing/>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Dichos Documentos Tipo se pueden consultar en el siguiente </w:t>
            </w:r>
            <w:proofErr w:type="gramStart"/>
            <w:r>
              <w:rPr>
                <w:rFonts w:ascii="Verdana" w:eastAsia="Calibri" w:hAnsi="Verdana" w:cs="Arial"/>
                <w:color w:val="000000" w:themeColor="text1"/>
                <w:lang w:val="es-ES"/>
              </w:rPr>
              <w:t>link</w:t>
            </w:r>
            <w:proofErr w:type="gramEnd"/>
            <w:r>
              <w:rPr>
                <w:rFonts w:ascii="Verdana" w:eastAsia="Calibri" w:hAnsi="Verdana" w:cs="Arial"/>
                <w:color w:val="000000" w:themeColor="text1"/>
                <w:lang w:val="es-ES"/>
              </w:rPr>
              <w:t xml:space="preserve">: </w:t>
            </w:r>
          </w:p>
          <w:p w14:paraId="68FB0832" w14:textId="77777777" w:rsidR="00C64C2C" w:rsidRDefault="00C64C2C" w:rsidP="00C64C2C">
            <w:pPr>
              <w:pStyle w:val="Default"/>
              <w:jc w:val="both"/>
            </w:pPr>
            <w:r>
              <w:rPr>
                <w:sz w:val="22"/>
                <w:szCs w:val="22"/>
              </w:rPr>
              <w:t xml:space="preserve">Dichos Documentos Tipo se pueden consultar en el siguiente </w:t>
            </w:r>
            <w:proofErr w:type="gramStart"/>
            <w:r>
              <w:rPr>
                <w:sz w:val="22"/>
                <w:szCs w:val="22"/>
              </w:rPr>
              <w:t>link</w:t>
            </w:r>
            <w:proofErr w:type="gramEnd"/>
            <w:r>
              <w:rPr>
                <w:sz w:val="22"/>
                <w:szCs w:val="22"/>
              </w:rPr>
              <w:t xml:space="preserve">: https://www.colombiacompra.gov.co/normativa-y-relatoria/documentos-tipo </w:t>
            </w:r>
          </w:p>
          <w:p w14:paraId="220C83E5" w14:textId="0BEEE193" w:rsidR="00227BF2" w:rsidRDefault="00C64C2C" w:rsidP="00C64C2C">
            <w:pPr>
              <w:spacing w:after="120" w:line="276" w:lineRule="auto"/>
              <w:ind w:firstLine="709"/>
              <w:contextualSpacing/>
              <w:jc w:val="both"/>
              <w:rPr>
                <w:rFonts w:ascii="Verdana" w:eastAsia="Calibri" w:hAnsi="Verdana" w:cs="Arial"/>
                <w:color w:val="000000" w:themeColor="text1"/>
              </w:rPr>
            </w:pPr>
            <w:r>
              <w:rPr>
                <w:rFonts w:ascii="Verdana" w:eastAsia="Calibri" w:hAnsi="Verdana" w:cs="Arial"/>
                <w:color w:val="000000" w:themeColor="text1"/>
              </w:rPr>
              <w:t xml:space="preserve"> </w:t>
            </w:r>
          </w:p>
          <w:p w14:paraId="37D76720" w14:textId="77777777" w:rsidR="00C64C2C" w:rsidRPr="002C34D8" w:rsidRDefault="00C64C2C" w:rsidP="00C64C2C">
            <w:pPr>
              <w:spacing w:after="120" w:line="276" w:lineRule="auto"/>
              <w:ind w:firstLine="709"/>
              <w:contextualSpacing/>
              <w:jc w:val="both"/>
              <w:rPr>
                <w:rFonts w:ascii="Verdana" w:eastAsia="Calibri" w:hAnsi="Verdana" w:cs="Arial"/>
                <w:color w:val="000000" w:themeColor="text1"/>
              </w:rPr>
            </w:pPr>
          </w:p>
          <w:p w14:paraId="68D234D2" w14:textId="77777777" w:rsidR="00272A07" w:rsidRPr="00272A07" w:rsidRDefault="00227BF2" w:rsidP="00272A07">
            <w:pPr>
              <w:spacing w:before="120" w:after="120" w:line="276" w:lineRule="auto"/>
              <w:ind w:firstLine="708"/>
              <w:jc w:val="both"/>
              <w:rPr>
                <w:rFonts w:ascii="Verdana" w:eastAsia="Calibri" w:hAnsi="Verdana" w:cs="Arial"/>
                <w:bCs/>
              </w:rPr>
            </w:pPr>
            <w:r>
              <w:rPr>
                <w:rFonts w:ascii="Verdana" w:eastAsia="Calibri" w:hAnsi="Verdana" w:cs="Arial"/>
                <w:color w:val="000000" w:themeColor="text1"/>
                <w:lang w:val="es-ES"/>
              </w:rPr>
              <w:t>ii) Respecto del segundo interrogante</w:t>
            </w:r>
            <w:r w:rsidR="000D650A">
              <w:rPr>
                <w:rFonts w:ascii="Verdana" w:eastAsia="Calibri" w:hAnsi="Verdana" w:cs="Arial"/>
                <w:color w:val="000000" w:themeColor="text1"/>
                <w:lang w:val="es-ES"/>
              </w:rPr>
              <w:t xml:space="preserve"> planteado, le informamos que, todas las resoluciones expedidas por la Agencia Nacional de Contratación Pública – Colombia Compra Eficiente, mediante las cuales se adoptaron los documentos tipo, consagran la regla de inalterabilidad. Esta prohibición consiste en que las entidades estatales no pueden incluir o modificar en los </w:t>
            </w:r>
            <w:r w:rsidR="000D650A" w:rsidRPr="000D650A">
              <w:rPr>
                <w:rFonts w:ascii="Verdana" w:eastAsia="Calibri" w:hAnsi="Verdana" w:cs="Arial"/>
                <w:i/>
                <w:iCs/>
                <w:color w:val="000000" w:themeColor="text1"/>
                <w:lang w:val="es-ES"/>
              </w:rPr>
              <w:t>Documentos del Proceso</w:t>
            </w:r>
            <w:r w:rsidR="000D650A">
              <w:rPr>
                <w:rFonts w:ascii="Verdana" w:eastAsia="Calibri" w:hAnsi="Verdana" w:cs="Arial"/>
                <w:color w:val="000000" w:themeColor="text1"/>
                <w:lang w:val="es-ES"/>
              </w:rPr>
              <w:t xml:space="preserve"> las condiciones habilitantes, los factores técnicos y económicos de la escogencia y los sistemas de ponderación distintos a los señalados en los documentos tipo. En consecuencia, las condiciones establecidas</w:t>
            </w:r>
            <w:r w:rsidR="00272A07">
              <w:rPr>
                <w:rFonts w:ascii="Verdana" w:eastAsia="Calibri" w:hAnsi="Verdana" w:cs="Arial"/>
                <w:color w:val="000000" w:themeColor="text1"/>
                <w:lang w:val="es-ES"/>
              </w:rPr>
              <w:t xml:space="preserve"> en los documentos tipo son de obligatorio cumplimiento para las entidades sometidas al Estatuto </w:t>
            </w:r>
            <w:r w:rsidR="00272A07" w:rsidRPr="00272A07">
              <w:rPr>
                <w:rFonts w:ascii="Verdana" w:eastAsia="Calibri" w:hAnsi="Verdana" w:cs="Arial"/>
                <w:lang w:val="es-ES"/>
              </w:rPr>
              <w:t xml:space="preserve">General de Contratación de la Administración Pública que adelanten procesos que deban regirse por su contenido, y no pueden variarse los requisitos fijados en ellos. Por lo tanto, las entidades </w:t>
            </w:r>
            <w:r w:rsidR="00272A07" w:rsidRPr="00272A07">
              <w:rPr>
                <w:rFonts w:ascii="Verdana" w:eastAsia="Calibri" w:hAnsi="Verdana" w:cs="Arial"/>
                <w:lang w:val="es-ES"/>
              </w:rPr>
              <w:lastRenderedPageBreak/>
              <w:t>estatales, al realizar sus procedimientos de selección, solo podrán modificarlos en los aspectos en que los documentos tipo lo permitan</w:t>
            </w:r>
            <w:r w:rsidR="00272A07" w:rsidRPr="00272A07">
              <w:rPr>
                <w:rFonts w:ascii="Verdana" w:eastAsia="Calibri" w:hAnsi="Verdana" w:cs="Times New Roman"/>
                <w:lang w:val="es-ES"/>
              </w:rPr>
              <w:t xml:space="preserve">. Esto corresponde a aquellos aspectos que se encuentran entre corchetes y resaltados en gris </w:t>
            </w:r>
            <w:r w:rsidR="00272A07" w:rsidRPr="00272A07">
              <w:rPr>
                <w:rFonts w:ascii="Verdana" w:eastAsia="Calibri" w:hAnsi="Verdana" w:cs="Times New Roman"/>
                <w:shd w:val="clear" w:color="auto" w:fill="E8E8E8"/>
                <w:lang w:val="es-ES"/>
              </w:rPr>
              <w:t>–[texto]–,</w:t>
            </w:r>
            <w:r w:rsidR="00272A07" w:rsidRPr="00272A07">
              <w:rPr>
                <w:rFonts w:ascii="Verdana" w:eastAsia="Calibri" w:hAnsi="Verdana" w:cs="Times New Roman"/>
                <w:lang w:val="es-ES"/>
              </w:rPr>
              <w:t xml:space="preserve"> para lo cual deberán observarse las instrucciones contenidas en los mismos para su diligenciamiento.</w:t>
            </w:r>
          </w:p>
          <w:p w14:paraId="634138D3" w14:textId="77777777" w:rsidR="00272A07" w:rsidRPr="00272A07" w:rsidRDefault="00272A07" w:rsidP="00272A07">
            <w:pPr>
              <w:widowControl w:val="0"/>
              <w:autoSpaceDE w:val="0"/>
              <w:autoSpaceDN w:val="0"/>
              <w:spacing w:after="120" w:line="276" w:lineRule="auto"/>
              <w:ind w:firstLine="708"/>
              <w:jc w:val="both"/>
              <w:rPr>
                <w:rFonts w:ascii="Verdana" w:eastAsia="Calibri" w:hAnsi="Verdana" w:cs="Times New Roman"/>
                <w:lang w:val="es-ES"/>
              </w:rPr>
            </w:pPr>
            <w:r w:rsidRPr="00272A07">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214916C" w14:textId="20C54E13" w:rsidR="00272A07" w:rsidRPr="00272A07" w:rsidRDefault="00272A07" w:rsidP="00272A07">
            <w:pPr>
              <w:widowControl w:val="0"/>
              <w:autoSpaceDE w:val="0"/>
              <w:autoSpaceDN w:val="0"/>
              <w:spacing w:after="120" w:line="276" w:lineRule="auto"/>
              <w:ind w:firstLine="708"/>
              <w:jc w:val="both"/>
              <w:rPr>
                <w:rFonts w:ascii="Verdana" w:eastAsia="Calibri" w:hAnsi="Verdana" w:cs="Arial"/>
                <w:bCs/>
                <w:lang w:val="es-MX"/>
              </w:rPr>
            </w:pPr>
            <w:r w:rsidRPr="00272A07">
              <w:rPr>
                <w:rFonts w:ascii="Verdana" w:eastAsia="Calibri" w:hAnsi="Verdana" w:cs="Arial"/>
                <w:lang w:val="es-ES_tradnl"/>
              </w:rPr>
              <w:t>Los</w:t>
            </w:r>
            <w:r w:rsidRPr="00272A07">
              <w:rPr>
                <w:rFonts w:ascii="Verdana" w:eastAsia="Calibri" w:hAnsi="Verdana" w:cs="Arial"/>
                <w:bCs/>
                <w:lang w:val="es-ES_tradnl"/>
              </w:rPr>
              <w:t xml:space="preserve"> documentos tipo de licitación de obra pública de </w:t>
            </w:r>
            <w:r w:rsidR="00702BA7" w:rsidRPr="00272A07">
              <w:rPr>
                <w:rFonts w:ascii="Verdana" w:eastAsia="Calibri" w:hAnsi="Verdana" w:cs="Arial"/>
                <w:bCs/>
                <w:lang w:val="es-ES_tradnl"/>
              </w:rPr>
              <w:t>infraestructura social</w:t>
            </w:r>
            <w:r w:rsidRPr="00272A07">
              <w:rPr>
                <w:rFonts w:ascii="Verdana" w:eastAsia="Calibri" w:hAnsi="Verdana" w:cs="Arial"/>
                <w:bCs/>
                <w:lang w:val="es-ES_tradnl"/>
              </w:rPr>
              <w:t xml:space="preserve"> – versión </w:t>
            </w:r>
            <w:r w:rsidR="00A04183">
              <w:rPr>
                <w:rFonts w:ascii="Verdana" w:eastAsia="Calibri" w:hAnsi="Verdana" w:cs="Arial"/>
                <w:bCs/>
                <w:lang w:val="es-ES_tradnl"/>
              </w:rPr>
              <w:t xml:space="preserve">1 </w:t>
            </w:r>
            <w:r w:rsidRPr="00272A07">
              <w:rPr>
                <w:rFonts w:ascii="Verdana" w:eastAsia="Calibri" w:hAnsi="Verdana" w:cs="Arial"/>
              </w:rPr>
              <w:t xml:space="preserve">contempla el </w:t>
            </w:r>
            <w:r w:rsidRPr="00272A07">
              <w:rPr>
                <w:rFonts w:ascii="Verdana" w:eastAsia="Arial" w:hAnsi="Verdana" w:cs="Arial"/>
                <w:lang w:val="es-ES" w:eastAsia="es-ES" w:bidi="es-ES"/>
              </w:rPr>
              <w:t>“Formulario 1 -</w:t>
            </w:r>
            <w:r w:rsidR="00702BA7">
              <w:rPr>
                <w:rFonts w:ascii="Verdana" w:eastAsia="Arial" w:hAnsi="Verdana" w:cs="Arial"/>
                <w:lang w:val="es-ES" w:eastAsia="es-ES" w:bidi="es-ES"/>
              </w:rPr>
              <w:t>Propuesta Económica</w:t>
            </w:r>
            <w:r w:rsidRPr="00272A07">
              <w:rPr>
                <w:rFonts w:ascii="Verdana" w:eastAsia="Calibri" w:hAnsi="Verdana" w:cs="Arial"/>
                <w:lang w:val="es-ES" w:eastAsia="es-ES" w:bidi="es-ES"/>
              </w:rPr>
              <w:t>”</w:t>
            </w:r>
            <w:r w:rsidRPr="00272A07">
              <w:rPr>
                <w:rFonts w:ascii="Verdana" w:eastAsia="Arial" w:hAnsi="Verdana" w:cs="Arial"/>
                <w:lang w:val="es-ES" w:eastAsia="es-ES" w:bidi="es-ES"/>
              </w:rPr>
              <w:t>, empleado por</w:t>
            </w:r>
            <w:r w:rsidRPr="00272A07">
              <w:rPr>
                <w:rFonts w:ascii="Verdana" w:eastAsia="Arial" w:hAnsi="Verdana" w:cs="Arial"/>
                <w:lang w:eastAsia="es-ES" w:bidi="es-ES"/>
              </w:rPr>
              <w:t xml:space="preserve"> la entidad para elaborar y presentar el presupuesto oficial -hoja 1-, y mediante el cual el proponente estructura la oferta económica -hoja 2-. </w:t>
            </w:r>
            <w:r w:rsidRPr="00272A07">
              <w:rPr>
                <w:rFonts w:ascii="Verdana" w:eastAsia="Calibri" w:hAnsi="Verdana" w:cs="Arial"/>
                <w:lang w:val="es-ES"/>
              </w:rPr>
              <w:t>Este formulario lo prepara la entidad en la etapa de planeación y le permite definir el valor oficial estimado del Proceso de Contratación. Por tanto, las Entidades Estatales, para su elaboración, deben tener en cuenta diferentes variables, como el objeto, alcance, obras a ejecutar, actividades, cantidades, particularidades de la zona de ejecución del proyecto, disponibilidad y distancia de fuentes de materiales, entre otros.</w:t>
            </w:r>
          </w:p>
          <w:p w14:paraId="0A1BA944" w14:textId="77777777" w:rsidR="00272A07" w:rsidRDefault="00272A07" w:rsidP="00272A07">
            <w:pPr>
              <w:widowControl w:val="0"/>
              <w:autoSpaceDE w:val="0"/>
              <w:autoSpaceDN w:val="0"/>
              <w:spacing w:before="120" w:after="120" w:line="276" w:lineRule="auto"/>
              <w:ind w:firstLine="709"/>
              <w:jc w:val="both"/>
              <w:rPr>
                <w:rFonts w:ascii="Verdana" w:eastAsia="Calibri" w:hAnsi="Verdana" w:cs="Arial"/>
              </w:rPr>
            </w:pPr>
            <w:r w:rsidRPr="00272A07">
              <w:rPr>
                <w:rFonts w:ascii="Verdana" w:eastAsia="Calibri" w:hAnsi="Verdana" w:cs="Arial"/>
                <w:lang w:val="es-ES"/>
              </w:rPr>
              <w:t xml:space="preserve">Este Formulario tiene dos connotaciones: i) por un lado, </w:t>
            </w:r>
            <w:r w:rsidRPr="00272A07">
              <w:rPr>
                <w:rFonts w:ascii="Verdana" w:eastAsia="Calibri" w:hAnsi="Verdana" w:cs="Arial"/>
              </w:rPr>
              <w:t>es el formulario sobre el cual la entidad estructura y presenta el presupuesto oficial del procedimiento de contratación; y ii) por el otro, es el formulario sobre el cual los proponentes elaborarán y presentarán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64C29EBA" w14:textId="77777777" w:rsidR="00CB6207" w:rsidRPr="00277E20" w:rsidRDefault="00CB6207" w:rsidP="00CB6207">
            <w:pPr>
              <w:widowControl w:val="0"/>
              <w:autoSpaceDE w:val="0"/>
              <w:autoSpaceDN w:val="0"/>
              <w:spacing w:before="120" w:after="120" w:line="276" w:lineRule="auto"/>
              <w:ind w:firstLine="709"/>
              <w:jc w:val="both"/>
              <w:rPr>
                <w:rFonts w:ascii="Verdana" w:eastAsia="Arial" w:hAnsi="Verdana" w:cs="Arial"/>
                <w:iCs/>
                <w:lang w:val="es-ES" w:eastAsia="es-ES" w:bidi="es-ES"/>
              </w:rPr>
            </w:pPr>
            <w:r w:rsidRPr="00277E20">
              <w:rPr>
                <w:rFonts w:ascii="Verdana" w:eastAsia="Arial" w:hAnsi="Verdana" w:cs="Arial"/>
                <w:lang w:val="es-ES" w:eastAsia="es-ES" w:bidi="es-ES"/>
              </w:rPr>
              <w:t xml:space="preserve">En ese contexto, se tiene que en la primera hoja del Formulario 1, que corresponde al presupuesto oficial, la entidad debe enlistar los </w:t>
            </w:r>
            <w:r w:rsidRPr="00277E20">
              <w:rPr>
                <w:rFonts w:ascii="Verdana" w:eastAsia="Arial" w:hAnsi="Verdana" w:cs="Arial"/>
                <w:i/>
                <w:lang w:val="es-ES" w:eastAsia="es-ES" w:bidi="es-ES"/>
              </w:rPr>
              <w:t xml:space="preserve">ítems de pago </w:t>
            </w:r>
            <w:r w:rsidRPr="00277E20">
              <w:rPr>
                <w:rFonts w:ascii="Verdana" w:eastAsia="Arial" w:hAnsi="Verdana" w:cs="Arial"/>
                <w:lang w:val="es-ES" w:eastAsia="es-ES" w:bidi="es-ES"/>
              </w:rPr>
              <w:t xml:space="preserve">de los bienes, obras o servicios que se requieren para la ejecución de la obra pública de infraestructura social que se contrata. Además, es posible establecer: i) sus especificaciones generales y particulares, ii) la descripción, iii) la unidad de medida, </w:t>
            </w:r>
            <w:proofErr w:type="spellStart"/>
            <w:r w:rsidRPr="00277E20">
              <w:rPr>
                <w:rFonts w:ascii="Verdana" w:eastAsia="Arial" w:hAnsi="Verdana" w:cs="Arial"/>
                <w:lang w:val="es-ES" w:eastAsia="es-ES" w:bidi="es-ES"/>
              </w:rPr>
              <w:t>iv</w:t>
            </w:r>
            <w:proofErr w:type="spellEnd"/>
            <w:r w:rsidRPr="00277E20">
              <w:rPr>
                <w:rFonts w:ascii="Verdana" w:eastAsia="Arial" w:hAnsi="Verdana" w:cs="Arial"/>
                <w:lang w:val="es-ES" w:eastAsia="es-ES" w:bidi="es-ES"/>
              </w:rPr>
              <w:t xml:space="preserve">) la cantidad, v) el valor unitario y vi) el valor total de los </w:t>
            </w:r>
            <w:r w:rsidRPr="00277E20">
              <w:rPr>
                <w:rFonts w:ascii="Verdana" w:eastAsia="Arial" w:hAnsi="Verdana" w:cs="Arial"/>
                <w:i/>
                <w:lang w:val="es-ES" w:eastAsia="es-ES" w:bidi="es-ES"/>
              </w:rPr>
              <w:t>ítems.</w:t>
            </w:r>
          </w:p>
          <w:p w14:paraId="6D934441" w14:textId="77777777" w:rsidR="00CB6207" w:rsidRPr="00B959BB" w:rsidRDefault="00CB6207" w:rsidP="00CB6207">
            <w:pPr>
              <w:widowControl w:val="0"/>
              <w:autoSpaceDE w:val="0"/>
              <w:autoSpaceDN w:val="0"/>
              <w:spacing w:before="120" w:after="120" w:line="276" w:lineRule="auto"/>
              <w:ind w:firstLine="709"/>
              <w:jc w:val="both"/>
              <w:rPr>
                <w:rFonts w:ascii="Verdana" w:eastAsia="Arial" w:hAnsi="Verdana" w:cs="Arial"/>
                <w:lang w:val="es-ES" w:eastAsia="es-ES" w:bidi="es-ES"/>
              </w:rPr>
            </w:pPr>
            <w:r w:rsidRPr="00B959BB">
              <w:rPr>
                <w:rFonts w:ascii="Verdana" w:eastAsia="Arial" w:hAnsi="Verdana" w:cs="Arial"/>
                <w:iCs/>
                <w:lang w:val="es-ES" w:eastAsia="es-ES" w:bidi="es-ES"/>
              </w:rPr>
              <w:lastRenderedPageBreak/>
              <w:t xml:space="preserve">En el marco del ejercicio de planeación, la entidad podrá determinar la necesidad de establecer algunos valores topes para algunos </w:t>
            </w:r>
            <w:r w:rsidRPr="00B959BB">
              <w:rPr>
                <w:rFonts w:ascii="Verdana" w:eastAsia="Arial" w:hAnsi="Verdana" w:cs="Arial"/>
                <w:i/>
                <w:lang w:val="es-ES" w:eastAsia="es-ES" w:bidi="es-ES"/>
              </w:rPr>
              <w:t xml:space="preserve">ítems, </w:t>
            </w:r>
            <w:r w:rsidRPr="00B959BB">
              <w:rPr>
                <w:rFonts w:ascii="Verdana" w:eastAsia="Arial" w:hAnsi="Verdana" w:cs="Arial"/>
                <w:iCs/>
                <w:lang w:val="es-ES" w:eastAsia="es-ES" w:bidi="es-ES"/>
              </w:rPr>
              <w:t>los cuales no podrán ser excedidos por los proponentes al presentar sus ofertas.</w:t>
            </w:r>
            <w:r w:rsidRPr="00B959BB">
              <w:rPr>
                <w:rFonts w:ascii="Verdana" w:eastAsia="Arial" w:hAnsi="Verdana" w:cs="Arial"/>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B959BB">
              <w:rPr>
                <w:rFonts w:ascii="Verdana" w:eastAsia="Arial" w:hAnsi="Verdana" w:cs="Arial"/>
                <w:i/>
                <w:lang w:val="es-ES" w:eastAsia="es-ES" w:bidi="es-ES"/>
              </w:rPr>
              <w:t>ítems</w:t>
            </w:r>
            <w:r w:rsidRPr="00B959BB">
              <w:rPr>
                <w:rFonts w:ascii="Verdana" w:eastAsia="Arial" w:hAnsi="Verdana" w:cs="Arial"/>
                <w:lang w:val="es-ES" w:eastAsia="es-ES" w:bidi="es-ES"/>
              </w:rPr>
              <w:t xml:space="preserve"> debe estar justificada en situaciones y eventos particulares de determinados procedimientos de contratación. Cuando las entidades estructuran el Formulario 1, incluyendo este tipo de </w:t>
            </w:r>
            <w:r w:rsidRPr="00B959BB">
              <w:rPr>
                <w:rFonts w:ascii="Verdana" w:eastAsia="Arial" w:hAnsi="Verdana" w:cs="Arial"/>
                <w:i/>
                <w:lang w:val="es-ES" w:eastAsia="es-ES" w:bidi="es-ES"/>
              </w:rPr>
              <w:t>ítems</w:t>
            </w:r>
            <w:r w:rsidRPr="00B959BB">
              <w:rPr>
                <w:rFonts w:ascii="Verdana" w:eastAsia="Arial" w:hAnsi="Verdana" w:cs="Arial"/>
                <w:lang w:val="es-ES" w:eastAsia="es-ES" w:bidi="es-ES"/>
              </w:rPr>
              <w:t xml:space="preserve"> y justificando su decisión, los proponentes deben incluirlos dentro de la oferta económica sin exceder el valor que la entidad ha definido, so pena del rechazo de la propuesta</w:t>
            </w:r>
            <w:r w:rsidRPr="00B959BB">
              <w:rPr>
                <w:rFonts w:ascii="Verdana" w:eastAsia="Arial" w:hAnsi="Verdana" w:cs="Arial"/>
                <w:vertAlign w:val="superscript"/>
                <w:lang w:val="es-ES" w:eastAsia="es-ES" w:bidi="es-ES"/>
              </w:rPr>
              <w:footnoteReference w:id="1"/>
            </w:r>
            <w:r w:rsidRPr="00B959BB">
              <w:rPr>
                <w:rFonts w:ascii="Verdana" w:eastAsia="Arial" w:hAnsi="Verdana" w:cs="Arial"/>
                <w:lang w:val="es-ES" w:eastAsia="es-ES" w:bidi="es-ES"/>
              </w:rPr>
              <w:t>.</w:t>
            </w:r>
          </w:p>
          <w:p w14:paraId="45AE5DE2" w14:textId="77777777" w:rsidR="00CB6207" w:rsidRPr="00B959BB" w:rsidRDefault="00CB6207" w:rsidP="00CB6207">
            <w:pPr>
              <w:widowControl w:val="0"/>
              <w:autoSpaceDE w:val="0"/>
              <w:autoSpaceDN w:val="0"/>
              <w:spacing w:after="120" w:line="276" w:lineRule="auto"/>
              <w:ind w:firstLine="709"/>
              <w:jc w:val="both"/>
              <w:rPr>
                <w:rFonts w:ascii="Verdana" w:eastAsia="Arial" w:hAnsi="Verdana" w:cs="Arial"/>
                <w:lang w:val="es-ES" w:eastAsia="es-ES" w:bidi="es-ES"/>
              </w:rPr>
            </w:pPr>
            <w:r w:rsidRPr="00B959BB">
              <w:rPr>
                <w:rFonts w:ascii="Verdana" w:eastAsia="Arial" w:hAnsi="Verdana" w:cs="Arial"/>
                <w:lang w:val="es-ES" w:eastAsia="es-ES" w:bidi="es-ES"/>
              </w:rPr>
              <w:t>De igual manera, en la hoja 1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iii) utilidad cuando el proceso de contratación sea por precios unitarios.</w:t>
            </w:r>
          </w:p>
          <w:p w14:paraId="780E4527" w14:textId="77777777" w:rsidR="00CB6207" w:rsidRPr="00B959BB" w:rsidRDefault="00CB6207" w:rsidP="00CB6207">
            <w:pPr>
              <w:widowControl w:val="0"/>
              <w:autoSpaceDE w:val="0"/>
              <w:autoSpaceDN w:val="0"/>
              <w:spacing w:after="120" w:line="276" w:lineRule="auto"/>
              <w:ind w:firstLine="709"/>
              <w:jc w:val="both"/>
              <w:rPr>
                <w:rFonts w:ascii="Verdana" w:eastAsia="Arial" w:hAnsi="Verdana" w:cs="Arial"/>
                <w:lang w:val="es-ES" w:eastAsia="es-ES" w:bidi="es-ES"/>
              </w:rPr>
            </w:pPr>
            <w:r w:rsidRPr="00B959BB">
              <w:rPr>
                <w:rFonts w:ascii="Verdana" w:eastAsia="Arial" w:hAnsi="Verdana" w:cs="Arial"/>
                <w:lang w:val="es-ES" w:eastAsia="es-ES" w:bidi="es-ES"/>
              </w:rPr>
              <w:t>En este sentido, reiterando el principio de inalterabilidad, las entidades solo pueden modificar aquello que el documento tipo permita. Por ello, debido a que la primera hoja del Formulario 1 – Formulario del Presupuesto Oficial no permite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p w14:paraId="567FF37C" w14:textId="6547217E" w:rsidR="00CB6207" w:rsidRPr="00B959BB" w:rsidRDefault="00CB6207" w:rsidP="00CB6207">
            <w:pPr>
              <w:widowControl w:val="0"/>
              <w:autoSpaceDE w:val="0"/>
              <w:autoSpaceDN w:val="0"/>
              <w:spacing w:after="120" w:line="276" w:lineRule="auto"/>
              <w:ind w:firstLine="709"/>
              <w:jc w:val="both"/>
              <w:rPr>
                <w:rFonts w:ascii="Verdana" w:eastAsia="Arial" w:hAnsi="Verdana" w:cs="Arial"/>
                <w:lang w:val="es-ES" w:eastAsia="es-ES" w:bidi="es-ES"/>
              </w:rPr>
            </w:pPr>
            <w:r w:rsidRPr="00B959BB">
              <w:rPr>
                <w:rFonts w:ascii="Verdana" w:eastAsia="Arial" w:hAnsi="Verdana" w:cs="Arial"/>
                <w:lang w:val="es-ES" w:eastAsia="es-ES" w:bidi="es-ES"/>
              </w:rPr>
              <w:lastRenderedPageBreak/>
              <w:t>De otra</w:t>
            </w:r>
            <w:r w:rsidRPr="00B959BB">
              <w:rPr>
                <w:rFonts w:ascii="Verdana" w:eastAsia="Arial" w:hAnsi="Verdana" w:cs="Arial"/>
                <w:lang w:eastAsia="es-ES" w:bidi="es-ES"/>
              </w:rPr>
              <w:t xml:space="preserve"> parte, </w:t>
            </w:r>
            <w:r w:rsidRPr="00B959BB">
              <w:rPr>
                <w:rFonts w:ascii="Verdana" w:eastAsia="Arial" w:hAnsi="Verdana" w:cs="Arial"/>
                <w:lang w:val="es-ES" w:eastAsia="es-ES" w:bidi="es-ES"/>
              </w:rPr>
              <w:t>en los documentos tipo para procesos de licitación pública de obras de infraestructura</w:t>
            </w:r>
            <w:r w:rsidR="00A04183">
              <w:rPr>
                <w:rFonts w:ascii="Verdana" w:eastAsia="Arial" w:hAnsi="Verdana" w:cs="Arial"/>
                <w:lang w:val="es-ES" w:eastAsia="es-ES" w:bidi="es-ES"/>
              </w:rPr>
              <w:t xml:space="preserve"> social</w:t>
            </w:r>
            <w:r w:rsidRPr="00B959BB">
              <w:rPr>
                <w:rFonts w:ascii="Verdana" w:eastAsia="Arial" w:hAnsi="Verdana" w:cs="Arial"/>
                <w:lang w:val="es-ES" w:eastAsia="es-ES" w:bidi="es-ES"/>
              </w:rPr>
              <w:t xml:space="preserve"> – versión </w:t>
            </w:r>
            <w:r w:rsidR="00A04183">
              <w:rPr>
                <w:rFonts w:ascii="Verdana" w:eastAsia="Arial" w:hAnsi="Verdana" w:cs="Arial"/>
                <w:lang w:val="es-ES" w:eastAsia="es-ES" w:bidi="es-ES"/>
              </w:rPr>
              <w:t>1</w:t>
            </w:r>
            <w:r w:rsidRPr="00B959BB">
              <w:rPr>
                <w:rFonts w:ascii="Verdana" w:eastAsia="Arial" w:hAnsi="Verdana" w:cs="Arial"/>
                <w:lang w:val="es-ES" w:eastAsia="es-ES" w:bidi="es-ES"/>
              </w:rPr>
              <w:t>, el “Formulario 1</w:t>
            </w:r>
            <w:r w:rsidRPr="00B959BB">
              <w:rPr>
                <w:rFonts w:ascii="Verdana" w:eastAsia="Calibri" w:hAnsi="Verdana" w:cs="Arial"/>
                <w:lang w:val="es-ES" w:eastAsia="es-ES" w:bidi="es-ES"/>
              </w:rPr>
              <w:t>” en su segunda pestaña en Excel, titulada “Formulario 1 propuesta económica”</w:t>
            </w:r>
            <w:r w:rsidRPr="00B959BB">
              <w:rPr>
                <w:rFonts w:ascii="Verdana" w:eastAsia="Arial" w:hAnsi="Verdana" w:cs="Arial"/>
                <w:lang w:val="es-ES" w:eastAsia="es-ES" w:bidi="es-ES"/>
              </w:rPr>
              <w:t xml:space="preserve"> señala en la parte superior derecha: “</w:t>
            </w:r>
            <w:r w:rsidRPr="00A04183">
              <w:rPr>
                <w:rFonts w:ascii="Verdana" w:eastAsia="Arial" w:hAnsi="Verdana" w:cs="Arial"/>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B959BB">
              <w:rPr>
                <w:rFonts w:ascii="Verdana" w:eastAsia="Arial" w:hAnsi="Verdana" w:cs="Arial"/>
                <w:lang w:val="es-ES" w:eastAsia="es-ES" w:bidi="es-ES"/>
              </w:rPr>
              <w:t xml:space="preserve"> </w:t>
            </w:r>
            <w:r w:rsidRPr="00B959BB">
              <w:rPr>
                <w:rFonts w:ascii="Verdana" w:eastAsia="Calibri" w:hAnsi="Verdana" w:cs="Arial"/>
                <w:lang w:val="es-ES_tradnl"/>
              </w:rPr>
              <w:t xml:space="preserve">Igualmente, se indica que los proponentes emplearán el formulario establecido por la entidad para determinar su propuesta económica conforme al Formulario 1 - Presupuesto Oficial publicado por la Entidad. Esto significa </w:t>
            </w:r>
            <w:r w:rsidRPr="00B959BB">
              <w:rPr>
                <w:rFonts w:ascii="Verdana" w:eastAsia="Calibri" w:hAnsi="Verdana" w:cs="Arial"/>
                <w:lang w:val="es-ES"/>
              </w:rPr>
              <w:t>que las entidades pueden diseñar un formulario para que los proponentes presenten su oferta económica, sin que sea obligatorio sujetarse al formulario que los documentos tipo proponen para el efecto.</w:t>
            </w:r>
            <w:r w:rsidRPr="00B959BB">
              <w:rPr>
                <w:rFonts w:ascii="Verdana" w:eastAsia="Arial" w:hAnsi="Verdana" w:cs="Arial"/>
                <w:bCs/>
                <w:lang w:val="es-ES"/>
              </w:rPr>
              <w:t xml:space="preserve"> En todo caso, el proponente deberá emplear el formulario que establezca la entidad. </w:t>
            </w:r>
          </w:p>
          <w:p w14:paraId="57276A59" w14:textId="05ACC1E1" w:rsidR="00CB6207" w:rsidRDefault="00CB6207" w:rsidP="00CB6207">
            <w:pPr>
              <w:widowControl w:val="0"/>
              <w:autoSpaceDE w:val="0"/>
              <w:autoSpaceDN w:val="0"/>
              <w:spacing w:before="120" w:after="120" w:line="276" w:lineRule="auto"/>
              <w:ind w:firstLine="709"/>
              <w:jc w:val="both"/>
              <w:rPr>
                <w:rFonts w:ascii="Verdana" w:eastAsia="Arial" w:hAnsi="Verdana" w:cs="Arial"/>
                <w:bCs/>
                <w:lang w:val="es-ES"/>
              </w:rPr>
            </w:pPr>
            <w:r w:rsidRPr="00B959BB">
              <w:rPr>
                <w:rFonts w:ascii="Verdana" w:eastAsia="Arial" w:hAnsi="Verdana" w:cs="Arial"/>
                <w:bCs/>
                <w:lang w:val="es-ES"/>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 Adicionalmente, los proponentes al presentar su oferta deberán ceñirse a las reglas para la presentación de oferta establecidas en los numerales 2.3 y 4.1 del Documento Base, así como observar el análisis de precios unitarios, procurando no ofertar por encima de los valores tope establecidos por la entidad para algunos de los ítems, en caso de que se opte por dicha regulación.  </w:t>
            </w:r>
          </w:p>
          <w:p w14:paraId="5C08B800" w14:textId="77777777" w:rsidR="00CB6207" w:rsidRPr="00CB6207" w:rsidRDefault="00CB6207" w:rsidP="00CB6207">
            <w:pPr>
              <w:widowControl w:val="0"/>
              <w:autoSpaceDE w:val="0"/>
              <w:autoSpaceDN w:val="0"/>
              <w:spacing w:before="120" w:after="120" w:line="276" w:lineRule="auto"/>
              <w:ind w:firstLine="709"/>
              <w:jc w:val="both"/>
              <w:rPr>
                <w:rFonts w:ascii="Verdana" w:eastAsia="Calibri" w:hAnsi="Verdana" w:cs="Arial"/>
                <w:lang w:val="es-ES"/>
              </w:rPr>
            </w:pPr>
            <w:r w:rsidRPr="00CB6207">
              <w:rPr>
                <w:rFonts w:ascii="Verdana" w:eastAsia="Arial" w:hAnsi="Verdana" w:cs="Arial"/>
                <w:bCs/>
                <w:lang w:val="es-ES"/>
              </w:rPr>
              <w:t>Así las cosas, los oferentes deben usar la segunda pestaña del “Formulario 1 – Formulario de Presupuesto</w:t>
            </w:r>
            <w:r w:rsidRPr="00CB6207">
              <w:rPr>
                <w:rFonts w:ascii="Verdana" w:eastAsia="Calibri" w:hAnsi="Verdana" w:cs="Arial"/>
                <w:lang w:val="es-ES"/>
              </w:rPr>
              <w:t xml:space="preserve"> Oficial” puesta a disposición en formato Excel por la respectiva entidad, titulada “propuesta económica”, sin perjuicio de que las entidades estatales modifiquen o establezcan la presentación de la oferta económica en un formulario distinto.</w:t>
            </w:r>
          </w:p>
          <w:p w14:paraId="7CDD9777" w14:textId="1A251FBE" w:rsidR="00CB6207" w:rsidRDefault="00CB6207" w:rsidP="00CB6207">
            <w:pPr>
              <w:widowControl w:val="0"/>
              <w:autoSpaceDE w:val="0"/>
              <w:autoSpaceDN w:val="0"/>
              <w:spacing w:before="120" w:after="120" w:line="276" w:lineRule="auto"/>
              <w:ind w:firstLine="709"/>
              <w:jc w:val="both"/>
              <w:rPr>
                <w:rFonts w:ascii="Verdana" w:eastAsia="Verdana" w:hAnsi="Verdana" w:cs="Verdana"/>
                <w:lang w:val="es-ES"/>
              </w:rPr>
            </w:pPr>
            <w:r w:rsidRPr="00CB6207">
              <w:rPr>
                <w:rFonts w:ascii="Verdana" w:eastAsia="Arial" w:hAnsi="Verdana" w:cs="Arial"/>
                <w:bCs/>
                <w:lang w:val="es-ES"/>
              </w:rPr>
              <w:t xml:space="preserve">Conforme con lo anterior, y para efectos de atender al segundo interrogante de su solicitud, se informa que, la entidad cuenta con la potestad de ajustar o adoptar un Formulario 1 – Presupuesto Oficial distinto al </w:t>
            </w:r>
            <w:r w:rsidRPr="00CB6207">
              <w:rPr>
                <w:rFonts w:ascii="Verdana" w:eastAsia="Arial" w:hAnsi="Verdana" w:cs="Arial"/>
                <w:bCs/>
                <w:lang w:val="es-ES"/>
              </w:rPr>
              <w:lastRenderedPageBreak/>
              <w:t xml:space="preserve">propuesto por la Agencia, siempre que dicha modificación se enmarque en los principios que rigen la contratación pública, en especial los de transparencia, selección objetiva y responsabilidad. Desde una perspectiva técnica, estas adaptaciones deben responder a las particularidades del objeto contractual, garantizando la coherencia entre los estudios previos, el análisis del sector y la estructuración económica del proceso, sin desnaturalizar el propósito del formulario ni introducir elementos que alteren la comparabilidad de las ofertas. Tal como lo señaló la Agencia Nacional de Contratación Pública – Colombia Compra Eficiente “(…) </w:t>
            </w:r>
            <w:r w:rsidRPr="00CB6207">
              <w:rPr>
                <w:rFonts w:ascii="Verdana" w:eastAsia="Verdana" w:hAnsi="Verdana" w:cs="Verdana"/>
                <w:lang w:val="es-ES"/>
              </w:rPr>
              <w:t>la</w:t>
            </w:r>
            <w:r w:rsidRPr="00CB6207">
              <w:rPr>
                <w:rFonts w:ascii="Verdana" w:eastAsia="Verdana" w:hAnsi="Verdana" w:cs="Verdana"/>
                <w:spacing w:val="-2"/>
                <w:lang w:val="es-ES"/>
              </w:rPr>
              <w:t xml:space="preserve"> </w:t>
            </w:r>
            <w:r w:rsidRPr="00CB6207">
              <w:rPr>
                <w:rFonts w:ascii="Verdana" w:eastAsia="Verdana" w:hAnsi="Verdana" w:cs="Verdana"/>
                <w:lang w:val="es-ES"/>
              </w:rPr>
              <w:t>facultad que</w:t>
            </w:r>
            <w:r w:rsidRPr="00CB6207">
              <w:rPr>
                <w:rFonts w:ascii="Verdana" w:eastAsia="Verdana" w:hAnsi="Verdana" w:cs="Verdana"/>
                <w:spacing w:val="-1"/>
                <w:lang w:val="es-ES"/>
              </w:rPr>
              <w:t xml:space="preserve"> </w:t>
            </w:r>
            <w:r w:rsidRPr="00CB6207">
              <w:rPr>
                <w:rFonts w:ascii="Verdana" w:eastAsia="Verdana" w:hAnsi="Verdana" w:cs="Verdana"/>
                <w:lang w:val="es-ES"/>
              </w:rPr>
              <w:t>otorga</w:t>
            </w:r>
            <w:r w:rsidRPr="00CB6207">
              <w:rPr>
                <w:rFonts w:ascii="Verdana" w:eastAsia="Verdana" w:hAnsi="Verdana" w:cs="Verdana"/>
                <w:spacing w:val="-1"/>
                <w:lang w:val="es-ES"/>
              </w:rPr>
              <w:t xml:space="preserve"> </w:t>
            </w:r>
            <w:r w:rsidRPr="00CB6207">
              <w:rPr>
                <w:rFonts w:ascii="Verdana" w:eastAsia="Verdana" w:hAnsi="Verdana" w:cs="Verdana"/>
                <w:lang w:val="es-ES"/>
              </w:rPr>
              <w:t>el</w:t>
            </w:r>
            <w:r w:rsidRPr="00CB6207">
              <w:rPr>
                <w:rFonts w:ascii="Verdana" w:eastAsia="Verdana" w:hAnsi="Verdana" w:cs="Verdana"/>
                <w:spacing w:val="-2"/>
                <w:lang w:val="es-ES"/>
              </w:rPr>
              <w:t xml:space="preserve"> </w:t>
            </w:r>
            <w:r w:rsidRPr="00CB6207">
              <w:rPr>
                <w:rFonts w:ascii="Verdana" w:eastAsia="Verdana" w:hAnsi="Verdana" w:cs="Verdana"/>
                <w:lang w:val="es-ES"/>
              </w:rPr>
              <w:t>documento tipo</w:t>
            </w:r>
            <w:r w:rsidRPr="00CB6207">
              <w:rPr>
                <w:rFonts w:ascii="Verdana" w:eastAsia="Verdana" w:hAnsi="Verdana" w:cs="Verdana"/>
                <w:spacing w:val="-1"/>
                <w:lang w:val="es-ES"/>
              </w:rPr>
              <w:t xml:space="preserve"> </w:t>
            </w:r>
            <w:r w:rsidRPr="00CB6207">
              <w:rPr>
                <w:rFonts w:ascii="Verdana" w:eastAsia="Verdana" w:hAnsi="Verdana" w:cs="Verdana"/>
                <w:lang w:val="es-ES"/>
              </w:rPr>
              <w:t>para la inclusión de notas en el Formulario 1 – Formulario de Presupuesto Oficial,</w:t>
            </w:r>
            <w:r w:rsidRPr="00CB6207">
              <w:rPr>
                <w:rFonts w:ascii="Verdana" w:eastAsia="Verdana" w:hAnsi="Verdana" w:cs="Verdana"/>
                <w:spacing w:val="-20"/>
                <w:lang w:val="es-ES"/>
              </w:rPr>
              <w:t xml:space="preserve"> </w:t>
            </w:r>
            <w:r w:rsidRPr="00CB6207">
              <w:rPr>
                <w:rFonts w:ascii="Verdana" w:eastAsia="Verdana" w:hAnsi="Verdana" w:cs="Verdana"/>
                <w:lang w:val="es-ES"/>
              </w:rPr>
              <w:t>se</w:t>
            </w:r>
            <w:r w:rsidRPr="00CB6207">
              <w:rPr>
                <w:rFonts w:ascii="Verdana" w:eastAsia="Verdana" w:hAnsi="Verdana" w:cs="Verdana"/>
                <w:spacing w:val="-19"/>
                <w:lang w:val="es-ES"/>
              </w:rPr>
              <w:t xml:space="preserve"> </w:t>
            </w:r>
            <w:r w:rsidRPr="00CB6207">
              <w:rPr>
                <w:rFonts w:ascii="Verdana" w:eastAsia="Verdana" w:hAnsi="Verdana" w:cs="Verdana"/>
                <w:lang w:val="es-ES"/>
              </w:rPr>
              <w:t>contempló</w:t>
            </w:r>
            <w:r w:rsidRPr="00CB6207">
              <w:rPr>
                <w:rFonts w:ascii="Verdana" w:eastAsia="Verdana" w:hAnsi="Verdana" w:cs="Verdana"/>
                <w:spacing w:val="-19"/>
                <w:lang w:val="es-ES"/>
              </w:rPr>
              <w:t xml:space="preserve"> </w:t>
            </w:r>
            <w:r w:rsidRPr="00CB6207">
              <w:rPr>
                <w:rFonts w:ascii="Verdana" w:eastAsia="Verdana" w:hAnsi="Verdana" w:cs="Verdana"/>
                <w:lang w:val="es-ES"/>
              </w:rPr>
              <w:t>para</w:t>
            </w:r>
            <w:r w:rsidRPr="00CB6207">
              <w:rPr>
                <w:rFonts w:ascii="Verdana" w:eastAsia="Verdana" w:hAnsi="Verdana" w:cs="Verdana"/>
                <w:spacing w:val="-20"/>
                <w:lang w:val="es-ES"/>
              </w:rPr>
              <w:t xml:space="preserve"> </w:t>
            </w:r>
            <w:r w:rsidRPr="00CB6207">
              <w:rPr>
                <w:rFonts w:ascii="Verdana" w:eastAsia="Verdana" w:hAnsi="Verdana" w:cs="Verdana"/>
                <w:lang w:val="es-ES"/>
              </w:rPr>
              <w:t>realizar</w:t>
            </w:r>
            <w:r w:rsidRPr="00CB6207">
              <w:rPr>
                <w:rFonts w:ascii="Verdana" w:eastAsia="Verdana" w:hAnsi="Verdana" w:cs="Verdana"/>
                <w:spacing w:val="-19"/>
                <w:lang w:val="es-ES"/>
              </w:rPr>
              <w:t xml:space="preserve"> </w:t>
            </w:r>
            <w:r w:rsidRPr="00CB6207">
              <w:rPr>
                <w:rFonts w:ascii="Verdana" w:eastAsia="Verdana" w:hAnsi="Verdana" w:cs="Verdana"/>
                <w:lang w:val="es-ES"/>
              </w:rPr>
              <w:t>aclaraciones</w:t>
            </w:r>
            <w:r w:rsidRPr="00CB6207">
              <w:rPr>
                <w:rFonts w:ascii="Verdana" w:eastAsia="Verdana" w:hAnsi="Verdana" w:cs="Verdana"/>
                <w:spacing w:val="-20"/>
                <w:lang w:val="es-ES"/>
              </w:rPr>
              <w:t xml:space="preserve"> </w:t>
            </w:r>
            <w:r w:rsidRPr="00CB6207">
              <w:rPr>
                <w:rFonts w:ascii="Verdana" w:eastAsia="Verdana" w:hAnsi="Verdana" w:cs="Verdana"/>
                <w:lang w:val="es-ES"/>
              </w:rPr>
              <w:t>respecto</w:t>
            </w:r>
            <w:r w:rsidRPr="00CB6207">
              <w:rPr>
                <w:rFonts w:ascii="Verdana" w:eastAsia="Verdana" w:hAnsi="Verdana" w:cs="Verdana"/>
                <w:spacing w:val="-19"/>
                <w:lang w:val="es-ES"/>
              </w:rPr>
              <w:t xml:space="preserve"> </w:t>
            </w:r>
            <w:r w:rsidRPr="00CB6207">
              <w:rPr>
                <w:rFonts w:ascii="Verdana" w:eastAsia="Verdana" w:hAnsi="Verdana" w:cs="Verdana"/>
                <w:lang w:val="es-ES"/>
              </w:rPr>
              <w:t>a</w:t>
            </w:r>
            <w:r w:rsidRPr="00CB6207">
              <w:rPr>
                <w:rFonts w:ascii="Verdana" w:eastAsia="Verdana" w:hAnsi="Verdana" w:cs="Verdana"/>
                <w:spacing w:val="-19"/>
                <w:lang w:val="es-ES"/>
              </w:rPr>
              <w:t xml:space="preserve"> </w:t>
            </w:r>
            <w:r w:rsidRPr="00CB6207">
              <w:rPr>
                <w:rFonts w:ascii="Verdana" w:eastAsia="Verdana" w:hAnsi="Verdana" w:cs="Verdana"/>
                <w:lang w:val="es-ES"/>
              </w:rPr>
              <w:t>temas</w:t>
            </w:r>
            <w:r w:rsidRPr="00CB6207">
              <w:rPr>
                <w:rFonts w:ascii="Verdana" w:eastAsia="Verdana" w:hAnsi="Verdana" w:cs="Verdana"/>
                <w:spacing w:val="-19"/>
                <w:lang w:val="es-ES"/>
              </w:rPr>
              <w:t xml:space="preserve"> </w:t>
            </w:r>
            <w:r w:rsidRPr="00CB6207">
              <w:rPr>
                <w:rFonts w:ascii="Verdana" w:eastAsia="Verdana" w:hAnsi="Verdana" w:cs="Verdana"/>
                <w:lang w:val="es-ES"/>
              </w:rPr>
              <w:t>de</w:t>
            </w:r>
            <w:r w:rsidRPr="00CB6207">
              <w:rPr>
                <w:rFonts w:ascii="Verdana" w:eastAsia="Verdana" w:hAnsi="Verdana" w:cs="Verdana"/>
                <w:spacing w:val="-20"/>
                <w:lang w:val="es-ES"/>
              </w:rPr>
              <w:t xml:space="preserve"> </w:t>
            </w:r>
            <w:r w:rsidRPr="00CB6207">
              <w:rPr>
                <w:rFonts w:ascii="Verdana" w:eastAsia="Verdana" w:hAnsi="Verdana" w:cs="Verdana"/>
                <w:lang w:val="es-ES"/>
              </w:rPr>
              <w:t>forma que</w:t>
            </w:r>
            <w:r w:rsidRPr="00CB6207">
              <w:rPr>
                <w:rFonts w:ascii="Verdana" w:eastAsia="Verdana" w:hAnsi="Verdana" w:cs="Verdana"/>
                <w:spacing w:val="-5"/>
                <w:lang w:val="es-ES"/>
              </w:rPr>
              <w:t xml:space="preserve"> </w:t>
            </w:r>
            <w:r w:rsidRPr="00CB6207">
              <w:rPr>
                <w:rFonts w:ascii="Verdana" w:eastAsia="Verdana" w:hAnsi="Verdana" w:cs="Verdana"/>
                <w:lang w:val="es-ES"/>
              </w:rPr>
              <w:t>faciliten</w:t>
            </w:r>
            <w:r w:rsidRPr="00CB6207">
              <w:rPr>
                <w:rFonts w:ascii="Verdana" w:eastAsia="Verdana" w:hAnsi="Verdana" w:cs="Verdana"/>
                <w:spacing w:val="-3"/>
                <w:lang w:val="es-ES"/>
              </w:rPr>
              <w:t xml:space="preserve"> </w:t>
            </w:r>
            <w:r w:rsidRPr="00CB6207">
              <w:rPr>
                <w:rFonts w:ascii="Verdana" w:eastAsia="Verdana" w:hAnsi="Verdana" w:cs="Verdana"/>
                <w:lang w:val="es-ES"/>
              </w:rPr>
              <w:t>el</w:t>
            </w:r>
            <w:r w:rsidRPr="00CB6207">
              <w:rPr>
                <w:rFonts w:ascii="Verdana" w:eastAsia="Verdana" w:hAnsi="Verdana" w:cs="Verdana"/>
                <w:spacing w:val="-6"/>
                <w:lang w:val="es-ES"/>
              </w:rPr>
              <w:t xml:space="preserve"> </w:t>
            </w:r>
            <w:r w:rsidRPr="00CB6207">
              <w:rPr>
                <w:rFonts w:ascii="Verdana" w:eastAsia="Verdana" w:hAnsi="Verdana" w:cs="Verdana"/>
                <w:lang w:val="es-ES"/>
              </w:rPr>
              <w:t>diligenciamiento</w:t>
            </w:r>
            <w:r w:rsidRPr="00CB6207">
              <w:rPr>
                <w:rFonts w:ascii="Verdana" w:eastAsia="Verdana" w:hAnsi="Verdana" w:cs="Verdana"/>
                <w:spacing w:val="-1"/>
                <w:lang w:val="es-ES"/>
              </w:rPr>
              <w:t xml:space="preserve"> </w:t>
            </w:r>
            <w:r w:rsidRPr="00CB6207">
              <w:rPr>
                <w:rFonts w:ascii="Verdana" w:eastAsia="Verdana" w:hAnsi="Verdana" w:cs="Verdana"/>
                <w:lang w:val="es-ES"/>
              </w:rPr>
              <w:t>de</w:t>
            </w:r>
            <w:r w:rsidRPr="00CB6207">
              <w:rPr>
                <w:rFonts w:ascii="Verdana" w:eastAsia="Verdana" w:hAnsi="Verdana" w:cs="Verdana"/>
                <w:spacing w:val="-6"/>
                <w:lang w:val="es-ES"/>
              </w:rPr>
              <w:t xml:space="preserve"> </w:t>
            </w:r>
            <w:r w:rsidRPr="00CB6207">
              <w:rPr>
                <w:rFonts w:ascii="Verdana" w:eastAsia="Verdana" w:hAnsi="Verdana" w:cs="Verdana"/>
                <w:lang w:val="es-ES"/>
              </w:rPr>
              <w:t>la</w:t>
            </w:r>
            <w:r w:rsidRPr="00CB6207">
              <w:rPr>
                <w:rFonts w:ascii="Verdana" w:eastAsia="Verdana" w:hAnsi="Verdana" w:cs="Verdana"/>
                <w:spacing w:val="-6"/>
                <w:lang w:val="es-ES"/>
              </w:rPr>
              <w:t xml:space="preserve"> </w:t>
            </w:r>
            <w:r w:rsidRPr="00CB6207">
              <w:rPr>
                <w:rFonts w:ascii="Verdana" w:eastAsia="Verdana" w:hAnsi="Verdana" w:cs="Verdana"/>
                <w:lang w:val="es-ES"/>
              </w:rPr>
              <w:t>oferta</w:t>
            </w:r>
            <w:r w:rsidRPr="00CB6207">
              <w:rPr>
                <w:rFonts w:ascii="Verdana" w:eastAsia="Verdana" w:hAnsi="Verdana" w:cs="Verdana"/>
                <w:spacing w:val="-5"/>
                <w:lang w:val="es-ES"/>
              </w:rPr>
              <w:t xml:space="preserve"> </w:t>
            </w:r>
            <w:r w:rsidRPr="00CB6207">
              <w:rPr>
                <w:rFonts w:ascii="Verdana" w:eastAsia="Verdana" w:hAnsi="Verdana" w:cs="Verdana"/>
                <w:lang w:val="es-ES"/>
              </w:rPr>
              <w:t>económica</w:t>
            </w:r>
            <w:r w:rsidRPr="00CB6207">
              <w:rPr>
                <w:rFonts w:ascii="Verdana" w:eastAsia="Verdana" w:hAnsi="Verdana" w:cs="Verdana"/>
                <w:spacing w:val="-3"/>
                <w:lang w:val="es-ES"/>
              </w:rPr>
              <w:t xml:space="preserve"> </w:t>
            </w:r>
            <w:r w:rsidRPr="00CB6207">
              <w:rPr>
                <w:rFonts w:ascii="Verdana" w:eastAsia="Verdana" w:hAnsi="Verdana" w:cs="Verdana"/>
                <w:lang w:val="es-ES"/>
              </w:rPr>
              <w:t>de</w:t>
            </w:r>
            <w:r w:rsidRPr="00CB6207">
              <w:rPr>
                <w:rFonts w:ascii="Verdana" w:eastAsia="Verdana" w:hAnsi="Verdana" w:cs="Verdana"/>
                <w:spacing w:val="-6"/>
                <w:lang w:val="es-ES"/>
              </w:rPr>
              <w:t xml:space="preserve"> </w:t>
            </w:r>
            <w:r w:rsidRPr="00CB6207">
              <w:rPr>
                <w:rFonts w:ascii="Verdana" w:eastAsia="Verdana" w:hAnsi="Verdana" w:cs="Verdana"/>
                <w:lang w:val="es-ES"/>
              </w:rPr>
              <w:t>acuerdo</w:t>
            </w:r>
            <w:r w:rsidRPr="00CB6207">
              <w:rPr>
                <w:rFonts w:ascii="Verdana" w:eastAsia="Verdana" w:hAnsi="Verdana" w:cs="Verdana"/>
                <w:spacing w:val="-4"/>
                <w:lang w:val="es-ES"/>
              </w:rPr>
              <w:t xml:space="preserve"> </w:t>
            </w:r>
            <w:r w:rsidRPr="00CB6207">
              <w:rPr>
                <w:rFonts w:ascii="Verdana" w:eastAsia="Verdana" w:hAnsi="Verdana" w:cs="Verdana"/>
                <w:lang w:val="es-ES"/>
              </w:rPr>
              <w:t>con</w:t>
            </w:r>
            <w:r w:rsidRPr="00CB6207">
              <w:rPr>
                <w:rFonts w:ascii="Verdana" w:eastAsia="Verdana" w:hAnsi="Verdana" w:cs="Verdana"/>
                <w:spacing w:val="-5"/>
                <w:lang w:val="es-ES"/>
              </w:rPr>
              <w:t xml:space="preserve"> </w:t>
            </w:r>
            <w:r w:rsidRPr="00CB6207">
              <w:rPr>
                <w:rFonts w:ascii="Verdana" w:eastAsia="Verdana" w:hAnsi="Verdana" w:cs="Verdana"/>
                <w:lang w:val="es-ES"/>
              </w:rPr>
              <w:t>la modalidad</w:t>
            </w:r>
            <w:r w:rsidRPr="00CB6207">
              <w:rPr>
                <w:rFonts w:ascii="Verdana" w:eastAsia="Verdana" w:hAnsi="Verdana" w:cs="Verdana"/>
                <w:spacing w:val="-9"/>
                <w:lang w:val="es-ES"/>
              </w:rPr>
              <w:t xml:space="preserve"> </w:t>
            </w:r>
            <w:r w:rsidRPr="00CB6207">
              <w:rPr>
                <w:rFonts w:ascii="Verdana" w:eastAsia="Verdana" w:hAnsi="Verdana" w:cs="Verdana"/>
                <w:lang w:val="es-ES"/>
              </w:rPr>
              <w:t>de</w:t>
            </w:r>
            <w:r w:rsidRPr="00CB6207">
              <w:rPr>
                <w:rFonts w:ascii="Verdana" w:eastAsia="Verdana" w:hAnsi="Verdana" w:cs="Verdana"/>
                <w:spacing w:val="-11"/>
                <w:lang w:val="es-ES"/>
              </w:rPr>
              <w:t xml:space="preserve"> </w:t>
            </w:r>
            <w:r w:rsidRPr="00CB6207">
              <w:rPr>
                <w:rFonts w:ascii="Verdana" w:eastAsia="Verdana" w:hAnsi="Verdana" w:cs="Verdana"/>
                <w:lang w:val="es-ES"/>
              </w:rPr>
              <w:t>pacto</w:t>
            </w:r>
            <w:r w:rsidRPr="00CB6207">
              <w:rPr>
                <w:rFonts w:ascii="Verdana" w:eastAsia="Verdana" w:hAnsi="Verdana" w:cs="Verdana"/>
                <w:spacing w:val="-10"/>
                <w:lang w:val="es-ES"/>
              </w:rPr>
              <w:t xml:space="preserve"> </w:t>
            </w:r>
            <w:r w:rsidRPr="00CB6207">
              <w:rPr>
                <w:rFonts w:ascii="Verdana" w:eastAsia="Verdana" w:hAnsi="Verdana" w:cs="Verdana"/>
                <w:lang w:val="es-ES"/>
              </w:rPr>
              <w:t>contractual</w:t>
            </w:r>
            <w:r w:rsidRPr="00CB6207">
              <w:rPr>
                <w:rFonts w:ascii="Verdana" w:eastAsia="Verdana" w:hAnsi="Verdana" w:cs="Verdana"/>
                <w:spacing w:val="-8"/>
                <w:lang w:val="es-ES"/>
              </w:rPr>
              <w:t xml:space="preserve"> </w:t>
            </w:r>
            <w:r w:rsidRPr="00CB6207">
              <w:rPr>
                <w:rFonts w:ascii="Verdana" w:eastAsia="Verdana" w:hAnsi="Verdana" w:cs="Verdana"/>
                <w:lang w:val="es-ES"/>
              </w:rPr>
              <w:t>que</w:t>
            </w:r>
            <w:r w:rsidRPr="00CB6207">
              <w:rPr>
                <w:rFonts w:ascii="Verdana" w:eastAsia="Verdana" w:hAnsi="Verdana" w:cs="Verdana"/>
                <w:spacing w:val="-10"/>
                <w:lang w:val="es-ES"/>
              </w:rPr>
              <w:t xml:space="preserve"> </w:t>
            </w:r>
            <w:r w:rsidRPr="00CB6207">
              <w:rPr>
                <w:rFonts w:ascii="Verdana" w:eastAsia="Verdana" w:hAnsi="Verdana" w:cs="Verdana"/>
                <w:lang w:val="es-ES"/>
              </w:rPr>
              <w:t>se</w:t>
            </w:r>
            <w:r w:rsidRPr="00CB6207">
              <w:rPr>
                <w:rFonts w:ascii="Verdana" w:eastAsia="Verdana" w:hAnsi="Verdana" w:cs="Verdana"/>
                <w:spacing w:val="-11"/>
                <w:lang w:val="es-ES"/>
              </w:rPr>
              <w:t xml:space="preserve"> </w:t>
            </w:r>
            <w:r w:rsidRPr="00CB6207">
              <w:rPr>
                <w:rFonts w:ascii="Verdana" w:eastAsia="Verdana" w:hAnsi="Verdana" w:cs="Verdana"/>
                <w:lang w:val="es-ES"/>
              </w:rPr>
              <w:t>pretende</w:t>
            </w:r>
            <w:r w:rsidRPr="00CB6207">
              <w:rPr>
                <w:rFonts w:ascii="Verdana" w:eastAsia="Verdana" w:hAnsi="Verdana" w:cs="Verdana"/>
                <w:spacing w:val="-9"/>
                <w:lang w:val="es-ES"/>
              </w:rPr>
              <w:t xml:space="preserve"> </w:t>
            </w:r>
            <w:r w:rsidRPr="00CB6207">
              <w:rPr>
                <w:rFonts w:ascii="Verdana" w:eastAsia="Verdana" w:hAnsi="Verdana" w:cs="Verdana"/>
                <w:lang w:val="es-ES"/>
              </w:rPr>
              <w:t>suscribir</w:t>
            </w:r>
            <w:r>
              <w:rPr>
                <w:rFonts w:ascii="Verdana" w:eastAsia="Verdana" w:hAnsi="Verdana" w:cs="Verdana"/>
                <w:lang w:val="es-ES"/>
              </w:rPr>
              <w:t xml:space="preserve">”. </w:t>
            </w:r>
          </w:p>
          <w:p w14:paraId="1973235F" w14:textId="77777777" w:rsidR="00CB6207" w:rsidRPr="005068A2" w:rsidRDefault="00CB6207" w:rsidP="00CB6207">
            <w:pPr>
              <w:widowControl w:val="0"/>
              <w:autoSpaceDE w:val="0"/>
              <w:autoSpaceDN w:val="0"/>
              <w:spacing w:before="120" w:after="120" w:line="276" w:lineRule="auto"/>
              <w:ind w:firstLine="709"/>
              <w:jc w:val="both"/>
              <w:rPr>
                <w:rFonts w:ascii="Verdana" w:eastAsia="Arial" w:hAnsi="Verdana" w:cs="Arial"/>
                <w:bCs/>
                <w:lang w:val="es-ES"/>
              </w:rPr>
            </w:pPr>
            <w:r w:rsidRPr="00CB6207">
              <w:rPr>
                <w:rFonts w:ascii="Verdana" w:eastAsia="Arial" w:hAnsi="Verdana" w:cs="Arial"/>
                <w:bCs/>
                <w:lang w:val="es-ES"/>
              </w:rPr>
              <w:t xml:space="preserve">En este sentido, dicha facultad no es absoluta. </w:t>
            </w:r>
            <w:r w:rsidRPr="00A04183">
              <w:rPr>
                <w:rFonts w:ascii="Verdana" w:eastAsia="Arial" w:hAnsi="Verdana" w:cs="Arial"/>
                <w:bCs/>
                <w:lang w:val="es-ES"/>
              </w:rPr>
              <w:t>J</w:t>
            </w:r>
            <w:r w:rsidRPr="00A04183">
              <w:rPr>
                <w:rFonts w:ascii="Verdana" w:eastAsia="Arial" w:hAnsi="Verdana" w:cs="Arial"/>
                <w:b/>
                <w:lang w:val="es-ES"/>
              </w:rPr>
              <w:t>urídicamente, la entidad no puede utilizar esta prerrogativa para incorporar en el formulario condiciones, variables o criterios que incidan directa o indirectamente en la elaboración de la oferta por parte de los proponentes, generando ambigüedad, inducción al error o afectando la igualdad de condiciones.</w:t>
            </w:r>
            <w:r w:rsidRPr="00CB6207">
              <w:rPr>
                <w:rFonts w:ascii="Verdana" w:eastAsia="Arial" w:hAnsi="Verdana" w:cs="Arial"/>
                <w:bCs/>
                <w:lang w:val="es-ES"/>
              </w:rPr>
              <w:t xml:space="preserve"> Cualquier modificación que altere la forma en que los oferentes deben estructurar sus propuestas económicas, o que introduzca factores que puedan direccionar la oferta hacia determinados resultados, vulnera los principios de planeación y selección objetiva, en tanto compromete la transparencia del proceso y la libre concurrencia en el proceso de selección que se adelanta con los documentos tipo implementados por esa Agencia.</w:t>
            </w:r>
          </w:p>
          <w:p w14:paraId="1000E560" w14:textId="0065EFBA" w:rsidR="000D650A" w:rsidRPr="00A04183" w:rsidRDefault="00CB6207" w:rsidP="00CB6207">
            <w:pPr>
              <w:widowControl w:val="0"/>
              <w:autoSpaceDE w:val="0"/>
              <w:autoSpaceDN w:val="0"/>
              <w:spacing w:before="160" w:line="276" w:lineRule="auto"/>
              <w:ind w:firstLine="708"/>
              <w:jc w:val="both"/>
              <w:rPr>
                <w:rFonts w:ascii="Verdana" w:eastAsia="Verdana" w:hAnsi="Verdana" w:cs="Verdana"/>
                <w:b/>
                <w:bCs/>
                <w:lang w:val="es-ES"/>
              </w:rPr>
            </w:pPr>
            <w:r w:rsidRPr="005068A2">
              <w:rPr>
                <w:rFonts w:ascii="Verdana" w:eastAsia="Verdana" w:hAnsi="Verdana" w:cs="Verdana"/>
                <w:lang w:val="es-ES"/>
              </w:rPr>
              <w:t xml:space="preserve">En ese mismo sentido, </w:t>
            </w:r>
            <w:r w:rsidRPr="00A04183">
              <w:rPr>
                <w:rFonts w:ascii="Verdana" w:eastAsia="Verdana" w:hAnsi="Verdana" w:cs="Verdana"/>
                <w:lang w:val="es-ES"/>
              </w:rPr>
              <w:t>n</w:t>
            </w:r>
            <w:r w:rsidRPr="00A04183">
              <w:rPr>
                <w:rFonts w:ascii="Verdana" w:eastAsia="Verdana" w:hAnsi="Verdana" w:cs="Verdana"/>
                <w:b/>
                <w:bCs/>
                <w:lang w:val="es-ES"/>
              </w:rPr>
              <w:t>o es procedente incluir dentro del Formulario 1 – Presupuesto Oficial notas, aclaraciones o requisitos adicionales que, directa o indirectamente, puedan dar lugar a nuevas causales de rechazo. Hacerlo implica una extralimitación de la facultad de configuración del formulario, en la medida en que se estarían incorporando condiciones no previstas en los documentos tipo.</w:t>
            </w:r>
          </w:p>
          <w:p w14:paraId="7D807972" w14:textId="1FD6B598" w:rsidR="00E46748" w:rsidRPr="00796F43" w:rsidRDefault="00E46748" w:rsidP="00796F43">
            <w:pPr>
              <w:spacing w:after="120" w:line="276" w:lineRule="auto"/>
              <w:ind w:firstLine="709"/>
              <w:contextualSpacing/>
              <w:jc w:val="both"/>
              <w:rPr>
                <w:rFonts w:ascii="Verdana" w:eastAsia="Calibri" w:hAnsi="Verdana" w:cs="Arial"/>
                <w:b/>
                <w:bCs/>
                <w:lang w:eastAsia="es-ES"/>
              </w:rPr>
            </w:pPr>
          </w:p>
        </w:tc>
      </w:tr>
      <w:tr w:rsidR="00356E24" w:rsidRPr="00AD59FA" w14:paraId="1CDF2E9C" w14:textId="77777777" w:rsidTr="00E47890">
        <w:trPr>
          <w:trHeight w:val="40"/>
        </w:trPr>
        <w:tc>
          <w:tcPr>
            <w:tcW w:w="8828" w:type="dxa"/>
            <w:tcBorders>
              <w:top w:val="dotted" w:sz="4" w:space="0" w:color="auto"/>
              <w:left w:val="dotted" w:sz="4" w:space="0" w:color="auto"/>
              <w:bottom w:val="dotted" w:sz="4" w:space="0" w:color="auto"/>
              <w:right w:val="dotted" w:sz="4" w:space="0" w:color="auto"/>
            </w:tcBorders>
          </w:tcPr>
          <w:p w14:paraId="412AAA97" w14:textId="77777777" w:rsidR="00356E24" w:rsidRPr="00FE34C8" w:rsidRDefault="00356E24" w:rsidP="00041128">
            <w:pPr>
              <w:spacing w:after="120" w:line="276" w:lineRule="auto"/>
              <w:contextualSpacing/>
              <w:jc w:val="both"/>
              <w:rPr>
                <w:rFonts w:ascii="Verdana" w:eastAsia="Calibri" w:hAnsi="Verdana" w:cs="Arial"/>
                <w:color w:val="000000" w:themeColor="text1"/>
                <w:lang w:val="es-ES"/>
              </w:rPr>
            </w:pPr>
          </w:p>
        </w:tc>
      </w:tr>
    </w:tbl>
    <w:p w14:paraId="4041DD00" w14:textId="77777777" w:rsidR="00E46748" w:rsidRPr="00E46748" w:rsidRDefault="00E46748" w:rsidP="006E270D">
      <w:pPr>
        <w:spacing w:after="0" w:line="276" w:lineRule="auto"/>
        <w:jc w:val="both"/>
        <w:rPr>
          <w:rFonts w:ascii="Verdana" w:eastAsia="Calibri" w:hAnsi="Verdana" w:cs="Arial"/>
          <w:lang w:eastAsia="es-ES"/>
        </w:rPr>
      </w:pPr>
    </w:p>
    <w:p w14:paraId="6B04E3AF" w14:textId="77777777" w:rsidR="006206F0" w:rsidRPr="00905AA3" w:rsidRDefault="006206F0" w:rsidP="006206F0">
      <w:pPr>
        <w:spacing w:after="0" w:line="276" w:lineRule="auto"/>
        <w:jc w:val="both"/>
        <w:rPr>
          <w:rFonts w:ascii="Verdana" w:eastAsia="Calibri" w:hAnsi="Verdana" w:cs="Arial"/>
          <w:b/>
          <w:lang w:eastAsia="es-ES_tradnl"/>
        </w:rPr>
      </w:pPr>
      <w:r w:rsidRPr="00905AA3">
        <w:rPr>
          <w:rFonts w:ascii="Verdana" w:eastAsia="Calibri" w:hAnsi="Verdana" w:cs="Arial"/>
          <w:b/>
          <w:lang w:eastAsia="es-ES_tradnl"/>
        </w:rPr>
        <w:t xml:space="preserve">3. Razones de la respuesta: </w:t>
      </w:r>
    </w:p>
    <w:p w14:paraId="359F9966" w14:textId="77777777" w:rsidR="006206F0" w:rsidRDefault="006206F0" w:rsidP="006206F0">
      <w:pPr>
        <w:spacing w:after="0" w:line="276" w:lineRule="auto"/>
        <w:jc w:val="both"/>
        <w:rPr>
          <w:rFonts w:ascii="Verdana" w:eastAsia="Calibri" w:hAnsi="Verdana" w:cs="Arial"/>
          <w:bCs/>
          <w:lang w:eastAsia="es-ES_tradnl"/>
        </w:rPr>
      </w:pPr>
    </w:p>
    <w:p w14:paraId="197488C8" w14:textId="77777777" w:rsidR="00573C07" w:rsidRDefault="006206F0" w:rsidP="00573C07">
      <w:pPr>
        <w:spacing w:after="0" w:line="276" w:lineRule="auto"/>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Lo anterior se sustenta en las siguientes consideraciones: </w:t>
      </w:r>
    </w:p>
    <w:p w14:paraId="4D73FD57" w14:textId="77777777" w:rsidR="00573C07" w:rsidRDefault="00573C07" w:rsidP="00573C07">
      <w:pPr>
        <w:spacing w:after="0" w:line="276" w:lineRule="auto"/>
        <w:jc w:val="both"/>
        <w:rPr>
          <w:rFonts w:ascii="Verdana" w:eastAsia="Calibri" w:hAnsi="Verdana" w:cs="Arial"/>
          <w:color w:val="000000" w:themeColor="text1"/>
          <w:lang w:val="es-ES"/>
        </w:rPr>
      </w:pPr>
    </w:p>
    <w:p w14:paraId="2EBD48A1" w14:textId="26B01DCD" w:rsidR="007137BC" w:rsidRPr="00573C07" w:rsidRDefault="007137BC" w:rsidP="00573C07">
      <w:pPr>
        <w:spacing w:after="120" w:line="276" w:lineRule="auto"/>
        <w:ind w:firstLine="709"/>
        <w:jc w:val="both"/>
        <w:rPr>
          <w:rFonts w:ascii="Verdana" w:eastAsia="Calibri" w:hAnsi="Verdana" w:cs="Arial"/>
          <w:color w:val="000000" w:themeColor="text1"/>
          <w:lang w:val="es-ES"/>
        </w:rPr>
      </w:pPr>
      <w:r w:rsidRPr="00982063">
        <w:rPr>
          <w:rFonts w:ascii="Verdana" w:eastAsia="Times New Roman" w:hAnsi="Verdana" w:cs="Arial"/>
        </w:rPr>
        <w:t xml:space="preserve">En desarrollo de la Ley 2022 de 2020, la Agencia Nacional de Contratación Pública – Colombia Compra Eficiente expidió la Resolución 219 </w:t>
      </w:r>
      <w:r w:rsidRPr="00982063">
        <w:rPr>
          <w:rFonts w:ascii="Verdana" w:eastAsia="Times New Roman" w:hAnsi="Verdana" w:cs="Arial"/>
          <w:lang w:eastAsia="es-ES_tradnl"/>
        </w:rPr>
        <w:t xml:space="preserve">del 6 de agosto </w:t>
      </w:r>
      <w:r w:rsidRPr="00982063">
        <w:rPr>
          <w:rFonts w:ascii="Verdana" w:eastAsia="Times New Roman" w:hAnsi="Verdana" w:cs="Arial"/>
        </w:rPr>
        <w:t xml:space="preserve">de 2021, </w:t>
      </w:r>
      <w:r w:rsidRPr="00982063">
        <w:rPr>
          <w:rFonts w:ascii="Verdana" w:eastAsia="Times New Roman" w:hAnsi="Verdana" w:cs="Arial"/>
          <w:i/>
        </w:rPr>
        <w:t>“Por la cual se adoptan los documentos tipo para los procesos de licitación de obra pública de infraestructura social”</w:t>
      </w:r>
      <w:r w:rsidRPr="00982063">
        <w:rPr>
          <w:rFonts w:ascii="Verdana" w:eastAsia="Times New Roman" w:hAnsi="Verdana" w:cs="Arial"/>
        </w:rPr>
        <w:t>. Dentro de esta categoría fue incluida la infraestructura asociada a los sectores de la salud, el educativo y el de cultura, recreación y deporte,</w:t>
      </w:r>
      <w:r w:rsidRPr="00982063">
        <w:rPr>
          <w:rFonts w:ascii="Verdana" w:eastAsia="Times New Roman" w:hAnsi="Verdana" w:cs="Arial"/>
          <w:lang w:val="es-ES"/>
        </w:rPr>
        <w:t xml:space="preserve"> tal como lo establece el parágrafo 2 del artículo 2 de la resolución indicada, de la siguiente manera: </w:t>
      </w:r>
    </w:p>
    <w:p w14:paraId="2E9803D5" w14:textId="77777777" w:rsidR="007137BC" w:rsidRPr="00982063" w:rsidRDefault="007137BC" w:rsidP="007137BC">
      <w:pPr>
        <w:spacing w:after="0" w:line="240" w:lineRule="auto"/>
        <w:ind w:left="709" w:right="709"/>
        <w:contextualSpacing/>
        <w:jc w:val="both"/>
        <w:rPr>
          <w:rFonts w:ascii="Verdana" w:eastAsia="Times New Roman" w:hAnsi="Verdana" w:cs="Arial"/>
          <w:sz w:val="21"/>
          <w:szCs w:val="21"/>
          <w:lang w:val="es-ES"/>
        </w:rPr>
      </w:pPr>
    </w:p>
    <w:p w14:paraId="18D7D6D3" w14:textId="77777777" w:rsidR="007137BC" w:rsidRPr="00982063" w:rsidRDefault="007137BC" w:rsidP="007137BC">
      <w:pPr>
        <w:spacing w:after="0" w:line="240" w:lineRule="auto"/>
        <w:ind w:left="709" w:right="709"/>
        <w:contextualSpacing/>
        <w:jc w:val="both"/>
        <w:rPr>
          <w:rFonts w:ascii="Verdana" w:eastAsia="Times New Roman" w:hAnsi="Verdana" w:cs="Arial"/>
          <w:sz w:val="21"/>
          <w:szCs w:val="21"/>
          <w:lang w:val="es-ES"/>
        </w:rPr>
      </w:pPr>
      <w:r w:rsidRPr="00982063">
        <w:rPr>
          <w:rFonts w:ascii="Verdana" w:eastAsia="Times New Roman" w:hAnsi="Verdana" w:cs="Arial"/>
          <w:sz w:val="21"/>
          <w:szCs w:val="21"/>
          <w:lang w:val="es-ES"/>
        </w:rPr>
        <w:t xml:space="preserve">“Estos documentos tipo aplicarán a los proyectos de infraestructura social, tales como, </w:t>
      </w:r>
      <w:r w:rsidRPr="00982063">
        <w:rPr>
          <w:rFonts w:ascii="Verdana" w:eastAsia="Times New Roman" w:hAnsi="Verdana" w:cs="Arial"/>
          <w:i/>
          <w:sz w:val="21"/>
          <w:szCs w:val="21"/>
          <w:lang w:val="es-ES"/>
        </w:rPr>
        <w:t>sector educativo, sector salud y sector cultural, recreación y deporte, de conformidad con cada una de las resoluciones que expida la Agencia Nacional de Contratación Pública -Colombia Compra Eficiente-</w:t>
      </w:r>
      <w:r w:rsidRPr="00982063">
        <w:rPr>
          <w:rFonts w:ascii="Verdana" w:eastAsia="Times New Roman" w:hAnsi="Verdana" w:cs="Arial"/>
          <w:sz w:val="21"/>
          <w:szCs w:val="21"/>
          <w:lang w:val="es-ES"/>
        </w:rPr>
        <w:t>, donde se precisará el alcance concreto de estos documentos tipo; sin perjuicio de que se incluyan otros tipos de infraestructura social”. (Énfasis fuera del texto)</w:t>
      </w:r>
    </w:p>
    <w:p w14:paraId="2B592B54" w14:textId="77777777" w:rsidR="007137BC" w:rsidRPr="00982063" w:rsidRDefault="007137BC" w:rsidP="007137BC">
      <w:pPr>
        <w:spacing w:after="0" w:line="276" w:lineRule="auto"/>
        <w:ind w:firstLine="709"/>
        <w:contextualSpacing/>
        <w:jc w:val="both"/>
        <w:rPr>
          <w:rFonts w:ascii="Verdana" w:eastAsia="Times New Roman" w:hAnsi="Verdana" w:cs="Arial"/>
          <w:lang w:val="es-ES"/>
        </w:rPr>
      </w:pPr>
    </w:p>
    <w:p w14:paraId="16E004B8" w14:textId="77777777" w:rsidR="007137BC" w:rsidRPr="00982063" w:rsidRDefault="007137BC" w:rsidP="007137BC">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t xml:space="preserve">Como puede observarse, la Resolución 219 de 2021 contiene un listado enunciativo de </w:t>
      </w:r>
      <w:bookmarkStart w:id="1" w:name="_Hlk104227355"/>
      <w:r w:rsidRPr="00982063">
        <w:rPr>
          <w:rFonts w:ascii="Verdana" w:eastAsia="Times New Roman" w:hAnsi="Verdana" w:cs="Arial"/>
          <w:lang w:val="es-ES"/>
        </w:rPr>
        <w:t xml:space="preserve">los sectores relacionados con los proyectos de infraestructura social a los cuales aplican los documentos tipo –educativo; salud; cultura, recreación y deporte–. </w:t>
      </w:r>
      <w:bookmarkEnd w:id="1"/>
      <w:r w:rsidRPr="00982063">
        <w:rPr>
          <w:rFonts w:ascii="Verdana" w:eastAsia="Times New Roman" w:hAnsi="Verdana" w:cs="Arial"/>
          <w:lang w:val="es-ES"/>
        </w:rPr>
        <w:t xml:space="preserve">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2B21BA19" w14:textId="77777777" w:rsidR="007137BC" w:rsidRPr="00982063" w:rsidRDefault="007137BC" w:rsidP="007137BC">
      <w:pPr>
        <w:spacing w:after="120" w:line="276" w:lineRule="auto"/>
        <w:ind w:firstLine="709"/>
        <w:jc w:val="both"/>
        <w:rPr>
          <w:rFonts w:ascii="Verdana" w:eastAsia="Times New Roman" w:hAnsi="Verdana" w:cs="Arial"/>
          <w:lang w:val="es-ES" w:eastAsia="es-ES_tradnl"/>
        </w:rPr>
      </w:pPr>
      <w:r w:rsidRPr="00982063">
        <w:rPr>
          <w:rFonts w:ascii="Verdana" w:eastAsia="Times New Roman" w:hAnsi="Verdana" w:cs="Arial"/>
          <w:lang w:val="es-ES"/>
        </w:rPr>
        <w:t>Así lo señala el parágrafo 3 del artículo 2, que dispone lo siguiente:</w:t>
      </w:r>
      <w:r w:rsidRPr="00982063">
        <w:rPr>
          <w:rFonts w:ascii="Verdana" w:eastAsia="Times New Roman" w:hAnsi="Verdana" w:cs="Arial"/>
        </w:rPr>
        <w:t xml:space="preserve"> “</w:t>
      </w:r>
      <w:r w:rsidRPr="00982063">
        <w:rPr>
          <w:rFonts w:ascii="Verdana" w:eastAsia="Times New Roman" w:hAnsi="Verdana" w:cs="Arial"/>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982063">
        <w:rPr>
          <w:rFonts w:ascii="Verdana" w:eastAsia="Times New Roman" w:hAnsi="Verdana" w:cs="Arial"/>
        </w:rPr>
        <w:t>”.</w:t>
      </w:r>
      <w:r w:rsidRPr="00982063">
        <w:rPr>
          <w:rFonts w:ascii="Verdana" w:eastAsia="Times New Roman" w:hAnsi="Verdana" w:cs="Arial"/>
          <w:lang w:val="es-ES"/>
        </w:rPr>
        <w:t xml:space="preserve"> En concordancia, el “Documento Base” de </w:t>
      </w:r>
      <w:r w:rsidRPr="00982063">
        <w:rPr>
          <w:rFonts w:ascii="Verdana" w:eastAsia="Times New Roman" w:hAnsi="Verdana" w:cs="Arial"/>
        </w:rPr>
        <w:t>licitación de obra pública de infraestructura social</w:t>
      </w:r>
      <w:r w:rsidRPr="00982063">
        <w:rPr>
          <w:rFonts w:ascii="Verdana" w:eastAsia="Times New Roman" w:hAnsi="Verdana" w:cs="Arial"/>
          <w:vertAlign w:val="superscript"/>
          <w:lang w:val="es-ES"/>
        </w:rPr>
        <w:footnoteReference w:id="2"/>
      </w:r>
      <w:r w:rsidRPr="00982063">
        <w:rPr>
          <w:rFonts w:ascii="Verdana" w:eastAsia="Times New Roman" w:hAnsi="Verdana" w:cs="Arial"/>
        </w:rPr>
        <w:t xml:space="preserve"> prescribe en la parte introductoria que “</w:t>
      </w:r>
      <w:r w:rsidRPr="00982063">
        <w:rPr>
          <w:rFonts w:ascii="Verdana" w:eastAsia="Times New Roman" w:hAnsi="Verdana" w:cs="Arial"/>
          <w:lang w:eastAsia="es-CO"/>
        </w:rPr>
        <w:t xml:space="preserve">Este Documento Tipo de “infraestructura social” aplica a los procesos que correspondan a las actividades definidas en las </w:t>
      </w:r>
      <w:r w:rsidRPr="00982063">
        <w:rPr>
          <w:rFonts w:ascii="Verdana" w:eastAsia="Times New Roman" w:hAnsi="Verdana" w:cs="Arial"/>
          <w:lang w:eastAsia="es-CO"/>
        </w:rPr>
        <w:lastRenderedPageBreak/>
        <w:t>matrices de experiencia, expedidas por la Agencia Nacional de Contratación Pública – Colombia Compra Eficiente para los sectores educativo, salud y cultura, recreación y deporte, sin perjuicio de que dicha Agencia incluya otros tipos de “infraestructura social”</w:t>
      </w:r>
      <w:r w:rsidRPr="00982063">
        <w:rPr>
          <w:rFonts w:ascii="Verdana" w:eastAsia="Times New Roman" w:hAnsi="Verdana" w:cs="Arial"/>
        </w:rPr>
        <w:t>”.</w:t>
      </w:r>
    </w:p>
    <w:p w14:paraId="47ED0DD9" w14:textId="77777777" w:rsidR="007137BC" w:rsidRPr="00982063" w:rsidRDefault="007137BC" w:rsidP="007137BC">
      <w:pPr>
        <w:spacing w:after="120" w:line="276" w:lineRule="auto"/>
        <w:ind w:firstLine="709"/>
        <w:jc w:val="both"/>
        <w:rPr>
          <w:rFonts w:ascii="Verdana" w:eastAsia="Times New Roman" w:hAnsi="Verdana" w:cs="Arial"/>
          <w:lang w:val="es-ES"/>
        </w:rPr>
      </w:pPr>
      <w:bookmarkStart w:id="2" w:name="_Hlk103955412"/>
      <w:r w:rsidRPr="00982063">
        <w:rPr>
          <w:rFonts w:ascii="Verdana" w:eastAsia="Times New Roman" w:hAnsi="Verdana" w:cs="Arial"/>
          <w:lang w:val="es-ES" w:eastAsia="es-ES_tradnl"/>
        </w:rPr>
        <w:t xml:space="preserve">Cabe anotar que </w:t>
      </w:r>
      <w:r w:rsidRPr="00982063">
        <w:rPr>
          <w:rFonts w:ascii="Verdana" w:eastAsia="Times New Roman" w:hAnsi="Verdana" w:cs="Arial"/>
          <w:lang w:eastAsia="es-ES_tradnl"/>
        </w:rPr>
        <w:t xml:space="preserve">la Resolución 219 del 6 de agosto de 2021 contiene los documentos tipo que aplican </w:t>
      </w:r>
      <w:r w:rsidRPr="00982063">
        <w:rPr>
          <w:rFonts w:ascii="Verdana" w:eastAsia="Times New Roman" w:hAnsi="Verdana" w:cs="Arial"/>
          <w:lang w:val="es-ES"/>
        </w:rPr>
        <w:t>de forma transversal a los proyectos de infraestructura social en los sectores educativo, salud, y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6C392395" w14:textId="77777777" w:rsidR="007137BC" w:rsidRPr="00982063" w:rsidRDefault="007137BC" w:rsidP="007137BC">
      <w:pPr>
        <w:spacing w:after="120" w:line="276" w:lineRule="auto"/>
        <w:ind w:firstLine="709"/>
        <w:jc w:val="both"/>
        <w:rPr>
          <w:rFonts w:ascii="Verdana" w:eastAsia="Times New Roman" w:hAnsi="Verdana" w:cs="Arial"/>
          <w:lang w:val="es-ES" w:eastAsia="es-ES"/>
        </w:rPr>
      </w:pPr>
      <w:r w:rsidRPr="00982063">
        <w:rPr>
          <w:rFonts w:ascii="Verdana" w:eastAsia="Times New Roman" w:hAnsi="Verdana" w:cs="Arial"/>
          <w:lang w:val="es-ES"/>
        </w:rPr>
        <w:t xml:space="preserve">En consecuencia, en materia de infraestructura social debe tenerse en cuenta que existen dos (2) clases de documentos tipo que se integran en cada proceso: i) los documentos </w:t>
      </w:r>
      <w:r w:rsidRPr="00982063">
        <w:rPr>
          <w:rFonts w:ascii="Verdana" w:eastAsia="Times New Roman" w:hAnsi="Verdana" w:cs="Arial"/>
          <w:i/>
          <w:lang w:val="es-ES"/>
        </w:rPr>
        <w:t>transversales</w:t>
      </w:r>
      <w:r w:rsidRPr="00982063">
        <w:rPr>
          <w:rFonts w:ascii="Verdana" w:eastAsia="Times New Roman" w:hAnsi="Verdana" w:cs="Arial"/>
          <w:lang w:val="es-ES"/>
        </w:rPr>
        <w:t xml:space="preserve"> a todos los sectores de infraestructura social, es decir, el documento base, los anexos, los formatos, los formularios y las matrices adoptados mediante la Resolución No. 219 de 2021; y ii) los documentos tipo </w:t>
      </w:r>
      <w:r w:rsidRPr="00982063">
        <w:rPr>
          <w:rFonts w:ascii="Verdana" w:eastAsia="Times New Roman" w:hAnsi="Verdana" w:cs="Arial"/>
          <w:i/>
          <w:lang w:val="es-ES"/>
        </w:rPr>
        <w:t>complementarios</w:t>
      </w:r>
      <w:r w:rsidRPr="00982063">
        <w:rPr>
          <w:rFonts w:ascii="Verdana" w:eastAsia="Times New Roman" w:hAnsi="Verdana" w:cs="Arial"/>
          <w:lang w:val="es-ES"/>
        </w:rPr>
        <w:t>,</w:t>
      </w:r>
      <w:r w:rsidRPr="00982063">
        <w:rPr>
          <w:rFonts w:ascii="Verdana" w:eastAsia="Times New Roman" w:hAnsi="Verdana" w:cs="Arial"/>
          <w:i/>
          <w:lang w:val="es-ES"/>
        </w:rPr>
        <w:t xml:space="preserve"> </w:t>
      </w:r>
      <w:r w:rsidRPr="00982063">
        <w:rPr>
          <w:rFonts w:ascii="Verdana" w:eastAsia="Times New Roman" w:hAnsi="Verdana" w:cs="Arial"/>
          <w:lang w:val="es-ES"/>
        </w:rPr>
        <w:t>referentes a la matriz de experiencia y el glosario, los cuales han sido adoptados en la resolución para cada sector específico.</w:t>
      </w:r>
      <w:r w:rsidRPr="00982063">
        <w:rPr>
          <w:rFonts w:ascii="Verdana" w:eastAsia="Times New Roman" w:hAnsi="Verdana" w:cs="Arial"/>
          <w:lang w:val="es-ES" w:eastAsia="es-ES"/>
        </w:rPr>
        <w:t xml:space="preserve">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w:t>
      </w:r>
    </w:p>
    <w:p w14:paraId="6716FE97" w14:textId="77777777" w:rsidR="007137BC" w:rsidRDefault="007137BC" w:rsidP="007137BC">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t>El ámbito de aplicación de cada uno de los sectores señalados está dado por las resoluciones mediante las cuales se implementan los documentos complementarios y que desarrollan las matrices de experiencia y los glosarios que definirán concretamente cada sector y que precisan de forma detallada su ámbito de aplicación.</w:t>
      </w:r>
    </w:p>
    <w:p w14:paraId="7831E39C" w14:textId="77777777" w:rsidR="007137BC" w:rsidRPr="00982063" w:rsidRDefault="007137BC" w:rsidP="007137BC">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lastRenderedPageBreak/>
        <w:t xml:space="preserve">La Matriz de experiencia de cada sector, además de estandarizar el requisito habilitante de experiencia, señala los proyectos o contratos concretos a los cuales aplican los documentos tipo, en el entendido de que aplicarán a los procesos contractuales cuyo objeto se relacione con alguna de las actividades establecidas de forma detallada en la Matriz de experiencia respectiva. Asimismo, en el Glosario de cada uno de los documentos se consagran las definiciones que guían la interpretación de los documentos. </w:t>
      </w:r>
    </w:p>
    <w:p w14:paraId="2CF5C212" w14:textId="77777777" w:rsidR="007137BC" w:rsidRPr="00982063" w:rsidRDefault="007137BC" w:rsidP="007137BC">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t>Así las cosas, siempre que el objeto esté cobijado por alguna de las actividades señaladas en la matriz de experiencia de cada sector, los documentos tipo adoptados mediante las Resoluciones No. 219, 220, 392 y 454 de 2021 son obligatorios para las entidades sometidas a la Ley 80 de 1993 que contraten la ejecución de obras públicas de infraestructura social en los sectores educativo, salud, y cultura, recreación y deporte.</w:t>
      </w:r>
    </w:p>
    <w:p w14:paraId="6B2303AE" w14:textId="77777777" w:rsidR="007137BC" w:rsidRDefault="007137BC" w:rsidP="007137BC">
      <w:pPr>
        <w:pStyle w:val="NormalWeb"/>
        <w:spacing w:before="0" w:beforeAutospacing="0" w:after="120" w:afterAutospacing="0" w:line="276" w:lineRule="auto"/>
        <w:ind w:firstLine="709"/>
        <w:jc w:val="both"/>
        <w:rPr>
          <w:rFonts w:ascii="Verdana" w:hAnsi="Verdana" w:cs="Arial"/>
          <w:sz w:val="22"/>
          <w:szCs w:val="22"/>
          <w:lang w:val="es-ES" w:eastAsia="en-US"/>
        </w:rPr>
      </w:pPr>
      <w:r w:rsidRPr="00982063">
        <w:rPr>
          <w:rFonts w:ascii="Verdana" w:hAnsi="Verdana" w:cs="Arial"/>
          <w:sz w:val="22"/>
          <w:szCs w:val="22"/>
          <w:lang w:val="es-ES" w:eastAsia="en-US"/>
        </w:rPr>
        <w:t>La regla general frente a la aplicación de los documentos tipo es su inalterabilidad, lo traduce que no se podrán incluir o modificar los documentos del proceso las condiciones habilitantes, los factores técnicos y económicos de escogencia y los sistemas de ponderación distintos a los señalados en el documento tipo, excepcionalmente se podrán realizar cambios cuando el documento lo permita, esto es, en los aspectos incluidos en corchetes y resaltados en gris. Para las obras de infraestructura social, esta prohibición se ratifica en el artículo 3 de la Resolución 219 de 2021, mediante la cual se implementaron los documentos tipo para esta modalidad de licitación pública, al disponer la inalterabilidad en los siguientes términos: “De conformidad con el artículo 1 de la Ley 2022 de 2020, los documentos tipo son obligatorios en la actividad contractual de las entidades estatales sometidas al Estatuto General de Contratación de la Administración Pública, en consecuencia, las entidades estatales al adelantar sus procedimientos de contratación solo podrán modificarlos en los aspectos en que los documentos tipo lo permitan”.</w:t>
      </w:r>
    </w:p>
    <w:p w14:paraId="39510D91" w14:textId="77777777" w:rsidR="007137BC" w:rsidRPr="00982063" w:rsidRDefault="007137BC" w:rsidP="007137BC">
      <w:pPr>
        <w:pStyle w:val="NormalWeb"/>
        <w:spacing w:before="0" w:beforeAutospacing="0" w:after="120" w:afterAutospacing="0" w:line="276" w:lineRule="auto"/>
        <w:ind w:firstLine="709"/>
        <w:jc w:val="both"/>
        <w:rPr>
          <w:rFonts w:ascii="Verdana" w:hAnsi="Verdana" w:cs="Arial"/>
          <w:sz w:val="22"/>
          <w:szCs w:val="22"/>
          <w:lang w:val="es-ES" w:eastAsia="en-US"/>
        </w:rPr>
      </w:pPr>
      <w:r w:rsidRPr="00982063">
        <w:rPr>
          <w:rFonts w:ascii="Verdana" w:hAnsi="Verdana" w:cs="Arial"/>
          <w:sz w:val="22"/>
          <w:szCs w:val="22"/>
          <w:lang w:val="es-ES" w:eastAsia="en-US"/>
        </w:rPr>
        <w:t xml:space="preserve">La parte introductoria de los documentos tipo dispone que los aspectos incluidos en corchetes y resaltado en gris –[texto de ejemplo]–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w:t>
      </w:r>
      <w:r w:rsidRPr="00982063">
        <w:rPr>
          <w:rFonts w:ascii="Verdana" w:hAnsi="Verdana" w:cs="Arial"/>
          <w:sz w:val="22"/>
          <w:szCs w:val="22"/>
          <w:lang w:val="es-ES" w:eastAsia="en-US"/>
        </w:rPr>
        <w:lastRenderedPageBreak/>
        <w:t>la entidad tendrá la libertad de determinar la información que se diligenciará en los documentos tipo, de acuerdo con su necesidad y las instrucciones del pliego.</w:t>
      </w:r>
    </w:p>
    <w:p w14:paraId="7582481E" w14:textId="77777777" w:rsidR="007137BC" w:rsidRPr="00982063" w:rsidRDefault="007137BC" w:rsidP="007137BC">
      <w:pPr>
        <w:spacing w:after="120" w:line="276" w:lineRule="auto"/>
        <w:ind w:firstLine="709"/>
        <w:jc w:val="both"/>
        <w:rPr>
          <w:rFonts w:ascii="Verdana" w:eastAsia="Times New Roman" w:hAnsi="Verdana" w:cs="Arial"/>
          <w:lang w:val="es-ES"/>
        </w:rPr>
      </w:pPr>
      <w:r w:rsidRPr="00982063">
        <w:rPr>
          <w:rFonts w:ascii="Verdana" w:eastAsia="Times New Roman" w:hAnsi="Verdana" w:cs="Arial"/>
          <w:lang w:val="es-ES"/>
        </w:rPr>
        <w:t>Es preciso indicar que con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De esta manera, se expidió la Resolución 275 del 24 de junio de 2022, “Por la cual se modifican los documentos tipo adoptados por la Agencia Nacional de Contratación Pública – Colombia Compra Eficiente” que se aplicará a los procesos de contratación cuyo aviso de convocatoria se publique a partir del 29 de agosto de 2022. Esta resolución reguló los criterios diferenciales habilitantes y puntajes adicionales para Mipyme y empresas y emprendimientos de mujeres, así como el fomento a la ejecución de contratos estatales por parte de población en pobreza extrema, desplazados por la violencia, personas en proceso de reintegración o reincorporación y sujetos de especial protección constitucional, los factores de desempate y la limitación de la convocatoria a Mipyme.</w:t>
      </w:r>
    </w:p>
    <w:bookmarkEnd w:id="2"/>
    <w:p w14:paraId="252317BE" w14:textId="77777777" w:rsidR="007137BC" w:rsidRDefault="007137BC" w:rsidP="007137BC">
      <w:pPr>
        <w:spacing w:after="120" w:line="276" w:lineRule="auto"/>
        <w:ind w:firstLine="709"/>
        <w:jc w:val="both"/>
        <w:rPr>
          <w:rFonts w:ascii="Verdana" w:eastAsia="Times New Roman" w:hAnsi="Verdana" w:cs="Arial"/>
          <w:lang w:val="es-ES_tradnl" w:eastAsia="es-ES"/>
        </w:rPr>
      </w:pPr>
      <w:r w:rsidRPr="00982063">
        <w:rPr>
          <w:rFonts w:ascii="Verdana" w:eastAsia="Times New Roman" w:hAnsi="Verdana" w:cs="Arial"/>
          <w:lang w:val="es-ES_tradnl" w:eastAsia="es-ES"/>
        </w:rPr>
        <w:t>Ahora bien, teniendo en cuenta el objeto de su consulta, es importante señalar que, conforme a la competencia otorgada a esta agencia sobre la adopción de documentos tipo  por medio de la Ley 2022 de 2020, dentro del plan de trabajo de la Subdirección de Gestión Contractual  – Grupo interno de documentos tipo para el año 2024 , teniendo como base uno de los ejes plasmados en el Plan Nacional de Desarrollo  Ley 2294 de 2023, “ Seguridad humana y justicia social” y teniendo presente la relevancia económica y el impacto que tienen los proyectos de obra en el sector social, y con el fin de desarrollar medidas de fortalecimiento, eficiencia y transparencia que permitan aprovechar las grandes inversiones que hasta la actualidad se vienen haciendo en el país y las que posiblemente se realicen en materia de infraestructura física para los sectores de educación, salud y cultura, recreación y deporte;  se ha dispuesto lo siguiente:</w:t>
      </w:r>
    </w:p>
    <w:p w14:paraId="03A0CBFA" w14:textId="48EB8F0D" w:rsidR="001C18A4" w:rsidRDefault="007137BC" w:rsidP="00907A2B">
      <w:pPr>
        <w:spacing w:after="120" w:line="276" w:lineRule="auto"/>
        <w:ind w:firstLine="709"/>
        <w:jc w:val="both"/>
        <w:rPr>
          <w:rFonts w:ascii="Verdana" w:eastAsia="Times New Roman" w:hAnsi="Verdana" w:cs="Arial"/>
          <w:lang w:val="es-ES_tradnl" w:eastAsia="es-ES"/>
        </w:rPr>
      </w:pPr>
      <w:r w:rsidRPr="00982063">
        <w:rPr>
          <w:rFonts w:ascii="Verdana" w:eastAsia="Times New Roman" w:hAnsi="Verdana" w:cs="Arial"/>
          <w:lang w:val="es-ES_tradnl" w:eastAsia="es-ES"/>
        </w:rPr>
        <w:t xml:space="preserve">Trabajar en la modificación de los documentos tipo para los procesos de concurso de méritos para contratar la interventoría de obras públicas de infraestructura social y el documento tipo de licitación de obra pública para proyectos de infraestructura social; que agrupan los sectores de educación, salud, cultura, recreación y deporte. </w:t>
      </w:r>
    </w:p>
    <w:p w14:paraId="24A1B1A7" w14:textId="3C900F8C" w:rsidR="00931D59" w:rsidRPr="00931D59" w:rsidRDefault="00456617" w:rsidP="00931D59">
      <w:pPr>
        <w:snapToGrid w:val="0"/>
        <w:spacing w:after="120" w:line="276" w:lineRule="auto"/>
        <w:ind w:firstLine="709"/>
        <w:jc w:val="both"/>
        <w:rPr>
          <w:rFonts w:ascii="Verdana" w:eastAsia="Calibri" w:hAnsi="Verdana" w:cs="Times New Roman"/>
          <w:lang w:val="es-ES" w:eastAsia="es-MX"/>
        </w:rPr>
      </w:pPr>
      <w:r w:rsidRPr="00931D59">
        <w:rPr>
          <w:rFonts w:ascii="Verdana" w:eastAsia="Times New Roman" w:hAnsi="Verdana" w:cs="Arial"/>
          <w:lang w:val="es-ES_tradnl" w:eastAsia="es-ES"/>
        </w:rPr>
        <w:lastRenderedPageBreak/>
        <w:t>Por otra parte,</w:t>
      </w:r>
      <w:r w:rsidR="00931D59" w:rsidRPr="00931D59">
        <w:rPr>
          <w:rFonts w:ascii="Verdana" w:eastAsia="Times New Roman" w:hAnsi="Verdana" w:cs="Arial"/>
          <w:lang w:val="es-ES_tradnl" w:eastAsia="es-ES"/>
        </w:rPr>
        <w:t xml:space="preserve"> recientemente,</w:t>
      </w:r>
      <w:r w:rsidR="002F70CF" w:rsidRPr="00931D59">
        <w:rPr>
          <w:rFonts w:ascii="Verdana" w:eastAsia="Times New Roman" w:hAnsi="Verdana" w:cs="Arial"/>
          <w:lang w:val="es-ES_tradnl" w:eastAsia="es-ES"/>
        </w:rPr>
        <w:t xml:space="preserve"> los documentos tipo del sector de infraestructura social </w:t>
      </w:r>
      <w:r w:rsidR="00A57E68" w:rsidRPr="00931D59">
        <w:rPr>
          <w:rFonts w:ascii="Verdana" w:eastAsia="Times New Roman" w:hAnsi="Verdana" w:cs="Arial"/>
          <w:lang w:val="es-ES_tradnl" w:eastAsia="es-ES"/>
        </w:rPr>
        <w:t xml:space="preserve">fueron modificados mediante la Resolución </w:t>
      </w:r>
      <w:r w:rsidR="00931D59" w:rsidRPr="00931D59">
        <w:rPr>
          <w:rFonts w:ascii="Verdana" w:eastAsia="Calibri" w:hAnsi="Verdana" w:cs="Times New Roman"/>
          <w:lang w:val="es-ES" w:eastAsia="es-MX"/>
        </w:rPr>
        <w:t>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6A29269D" w14:textId="77777777" w:rsidR="00931D59" w:rsidRPr="00931D59" w:rsidRDefault="00931D59" w:rsidP="00931D59">
      <w:pPr>
        <w:snapToGrid w:val="0"/>
        <w:spacing w:after="120" w:line="276" w:lineRule="auto"/>
        <w:ind w:firstLine="709"/>
        <w:jc w:val="both"/>
        <w:rPr>
          <w:rFonts w:ascii="Verdana" w:eastAsia="Calibri" w:hAnsi="Verdana" w:cs="Times New Roman"/>
          <w:lang w:val="es-ES" w:eastAsia="es-MX"/>
        </w:rPr>
      </w:pPr>
      <w:r w:rsidRPr="00931D59">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47BB31CC" w14:textId="77777777" w:rsidR="00931D59" w:rsidRPr="00931D59" w:rsidRDefault="00931D59" w:rsidP="00931D59">
      <w:pPr>
        <w:snapToGrid w:val="0"/>
        <w:spacing w:after="120" w:line="276" w:lineRule="auto"/>
        <w:ind w:firstLine="709"/>
        <w:jc w:val="both"/>
        <w:rPr>
          <w:rFonts w:ascii="Verdana" w:eastAsia="Calibri" w:hAnsi="Verdana" w:cs="Times New Roman"/>
        </w:rPr>
      </w:pPr>
      <w:r w:rsidRPr="00931D59">
        <w:rPr>
          <w:rFonts w:ascii="Verdana" w:eastAsia="Calibri" w:hAnsi="Verdana" w:cs="Times New Roman"/>
        </w:rPr>
        <w:t>En línea con lo anterior, esta Agencia expidió la versión 2 de los documentos tipo transversales para los procesos de concurso de méritos para contratar la interventoría de obras públicas de infraestructura social, y los documentos tipo complementarios relacionados con los sectores de educación, salud, cultura, recreación, deporte, institucional y vivienda, mediante la Resolución No. 953 del 15 de diciembre de 2025. Además, acogió los documentos tipo para los procesos de selección de concurso de méritos, para contratar la consultoría de estudios de ingeniería de infraestructura social; que agrupa los sectores de educación, salud, cultura, recreación y deporte, institucional y vivienda, a través de la Resolución No. 952 del 15 de diciembre de 2025. Estos documentos entraron en vigor para los procesos de contratación de interventoría y consultoría cuyo aviso de convocatoria se publique a partir del 16 de febrero de 2026.</w:t>
      </w:r>
    </w:p>
    <w:p w14:paraId="73723400" w14:textId="77777777" w:rsidR="00931D59" w:rsidRPr="00931D59" w:rsidRDefault="00931D59" w:rsidP="00931D59">
      <w:pPr>
        <w:snapToGrid w:val="0"/>
        <w:spacing w:after="120" w:line="276" w:lineRule="auto"/>
        <w:ind w:firstLine="709"/>
        <w:jc w:val="both"/>
        <w:rPr>
          <w:rFonts w:ascii="Verdana" w:eastAsia="Calibri" w:hAnsi="Verdana" w:cs="Times New Roman"/>
        </w:rPr>
      </w:pPr>
      <w:r w:rsidRPr="00931D59">
        <w:rPr>
          <w:rFonts w:ascii="Verdana" w:eastAsia="Calibri" w:hAnsi="Verdana" w:cs="Times New Roman"/>
        </w:rPr>
        <w:lastRenderedPageBreak/>
        <w:t xml:space="preserve">Los anteriores pliegos tipo se encuentran vigentes en la actualidad, y son los que corresponden a las resoluciones señaladas en su petición. Todas estas resoluciones y, en general, los documentos tipo adoptados por esta entidad para el sector de infraestructura social (que se componen de un documento base o invitación, anexos, formatos, matrices y un formulario), pueden ser consultados y descargados a través de la página web de Colombia Compra Eficiente, en el siguiente enlace: </w:t>
      </w:r>
      <w:hyperlink r:id="rId13" w:history="1">
        <w:r w:rsidRPr="00931D59">
          <w:rPr>
            <w:rStyle w:val="Hipervnculo"/>
            <w:rFonts w:ascii="Verdana" w:eastAsia="Calibri" w:hAnsi="Verdana" w:cs="Times New Roman"/>
          </w:rPr>
          <w:t>https://www.colombiacompra.gov.co/normativa-y-relatoria/documentos-tipo</w:t>
        </w:r>
      </w:hyperlink>
      <w:r w:rsidRPr="00931D59">
        <w:rPr>
          <w:rFonts w:ascii="Verdana" w:eastAsia="Calibri" w:hAnsi="Verdana" w:cs="Times New Roman"/>
        </w:rPr>
        <w:t xml:space="preserve">. </w:t>
      </w:r>
      <w:r w:rsidRPr="00931D59">
        <w:rPr>
          <w:rFonts w:ascii="Verdana" w:eastAsia="Aptos" w:hAnsi="Verdana" w:cs="Aptos"/>
        </w:rPr>
        <w:t>Allí también se señala de forma expresa la vigencia de cada uno de los pliegos tipo.</w:t>
      </w:r>
    </w:p>
    <w:p w14:paraId="7F41DC7B" w14:textId="77777777" w:rsidR="00931D59" w:rsidRPr="00931D59" w:rsidRDefault="00931D59" w:rsidP="00931D59">
      <w:pPr>
        <w:spacing w:after="120" w:line="276" w:lineRule="auto"/>
        <w:ind w:firstLine="709"/>
        <w:jc w:val="both"/>
        <w:rPr>
          <w:rFonts w:ascii="Verdana" w:eastAsia="Aptos" w:hAnsi="Verdana" w:cs="Aptos"/>
        </w:rPr>
      </w:pPr>
      <w:r w:rsidRPr="00931D59">
        <w:rPr>
          <w:rFonts w:ascii="Verdana" w:eastAsia="Aptos" w:hAnsi="Verdana" w:cs="Aptos"/>
        </w:rPr>
        <w:t xml:space="preserve">Ahora bien, conviene señalar que, en el marco de la implementación de los documentos tipo, esta Subdirección no es competente para hacer seguimiento a la fase de ejecución contractual. La Agencia Nacional de Contratación Pública, desde el equipo de documentos tipo, estructura los pliegos tipo que deben ser utilizados por las entidades contratantes para adelantar sus procesos de contratación, sin embargo, la información particular de cada proyecto desarrollado con documentos tipo, así como los elementos propios de su ejecución, no hacen parte de los pliegos de condiciones tipo que se expiden y, por el contrario, son del resorte de cada una de las entidades sometidas al Estatuto General de Contratación de la Administración Pública. </w:t>
      </w:r>
    </w:p>
    <w:p w14:paraId="1CB45DE3" w14:textId="77777777" w:rsidR="00931D59" w:rsidRPr="00931D59" w:rsidRDefault="00931D59" w:rsidP="00931D59">
      <w:pPr>
        <w:spacing w:after="120" w:line="276" w:lineRule="auto"/>
        <w:ind w:firstLine="709"/>
        <w:jc w:val="both"/>
        <w:rPr>
          <w:rFonts w:ascii="Verdana" w:eastAsia="Aptos" w:hAnsi="Verdana" w:cs="Aptos"/>
        </w:rPr>
      </w:pPr>
      <w:r w:rsidRPr="00931D59">
        <w:rPr>
          <w:rFonts w:ascii="Verdana" w:eastAsia="Aptos" w:hAnsi="Verdana" w:cs="Aptos"/>
        </w:rPr>
        <w:t xml:space="preserve">En todo caso, le remitimos los documentos tipo vigentes para el sector de infraestructura social, los cuales, en todo caso, pueden ser consultados a través del enlace referido en párrafos anteriores. En estos, tanto en el documento base e invitación, como en los formatos, anexos y matrices, se señalan las instrucciones para su diligenciamiento e implementación. Además, le remitimos copia de algunos conceptos sobre los pliegos tipo de infraestructura social, sin perjuicio de que pueda consultar los conceptos sobre temas de su interés, inclusive del sector de infraestructura social, a través de la relatoría de esta entidad: </w:t>
      </w:r>
      <w:hyperlink r:id="rId14" w:history="1">
        <w:r w:rsidRPr="00931D59">
          <w:rPr>
            <w:rStyle w:val="Hipervnculo"/>
            <w:rFonts w:ascii="Verdana" w:eastAsia="Aptos" w:hAnsi="Verdana" w:cs="Aptos"/>
          </w:rPr>
          <w:t>https://relatoria.colombiacompra.gov.co</w:t>
        </w:r>
      </w:hyperlink>
      <w:r w:rsidRPr="00931D59">
        <w:rPr>
          <w:rFonts w:ascii="Verdana" w:eastAsia="Aptos" w:hAnsi="Verdana" w:cs="Aptos"/>
        </w:rPr>
        <w:t xml:space="preserve">. </w:t>
      </w:r>
    </w:p>
    <w:p w14:paraId="71A4258E" w14:textId="4E82830A" w:rsidR="00456617" w:rsidRPr="00931D59" w:rsidRDefault="00456617" w:rsidP="00907A2B">
      <w:pPr>
        <w:spacing w:after="120" w:line="276" w:lineRule="auto"/>
        <w:ind w:firstLine="709"/>
        <w:jc w:val="both"/>
        <w:rPr>
          <w:rFonts w:ascii="Verdana" w:eastAsia="Times New Roman" w:hAnsi="Verdana" w:cs="Arial"/>
          <w:lang w:eastAsia="es-ES"/>
        </w:rPr>
      </w:pPr>
    </w:p>
    <w:p w14:paraId="2E163BED" w14:textId="3466DD27" w:rsidR="001C18A4" w:rsidRPr="00101DAB" w:rsidRDefault="001C18A4" w:rsidP="001C18A4">
      <w:pPr>
        <w:tabs>
          <w:tab w:val="left" w:pos="142"/>
          <w:tab w:val="left" w:pos="284"/>
        </w:tabs>
        <w:snapToGrid w:val="0"/>
        <w:spacing w:after="0" w:line="276" w:lineRule="auto"/>
        <w:jc w:val="both"/>
        <w:rPr>
          <w:rFonts w:ascii="Verdana" w:eastAsia="Century Gothic" w:hAnsi="Verdana" w:cs="Century Gothic"/>
          <w:b/>
          <w:bCs/>
          <w:lang w:val="es-ES" w:eastAsia="es-MX"/>
        </w:rPr>
      </w:pPr>
      <w:r>
        <w:rPr>
          <w:rFonts w:ascii="Verdana" w:eastAsia="Century Gothic" w:hAnsi="Verdana" w:cs="Century Gothic"/>
          <w:b/>
          <w:bCs/>
          <w:lang w:val="es-ES" w:eastAsia="es-MX"/>
        </w:rPr>
        <w:t xml:space="preserve">4. </w:t>
      </w:r>
      <w:r w:rsidRPr="00101DAB">
        <w:rPr>
          <w:rFonts w:ascii="Verdana" w:eastAsia="Century Gothic" w:hAnsi="Verdana" w:cs="Century Gothic"/>
          <w:b/>
          <w:bCs/>
          <w:lang w:val="es-ES" w:eastAsia="es-MX"/>
        </w:rPr>
        <w:t>Referencias normativas, jurisprudenciales y otras fuentes:</w:t>
      </w:r>
    </w:p>
    <w:p w14:paraId="2605BC01" w14:textId="77777777" w:rsidR="001C18A4" w:rsidRPr="00101DAB" w:rsidRDefault="001C18A4" w:rsidP="001C18A4">
      <w:pPr>
        <w:widowControl w:val="0"/>
        <w:autoSpaceDE w:val="0"/>
        <w:autoSpaceDN w:val="0"/>
        <w:spacing w:after="0" w:line="276" w:lineRule="auto"/>
        <w:jc w:val="both"/>
        <w:rPr>
          <w:rFonts w:ascii="Verdana" w:eastAsia="Calibri" w:hAnsi="Verdana" w:cs="Arial"/>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1C18A4" w:rsidRPr="00101DAB" w14:paraId="5CD6EE76" w14:textId="77777777" w:rsidTr="00EC7524">
        <w:trPr>
          <w:trHeight w:val="870"/>
        </w:trPr>
        <w:tc>
          <w:tcPr>
            <w:tcW w:w="8647" w:type="dxa"/>
          </w:tcPr>
          <w:p w14:paraId="450A4216" w14:textId="77777777" w:rsidR="001C18A4" w:rsidRPr="00101DAB" w:rsidRDefault="001C18A4" w:rsidP="001C18A4">
            <w:pPr>
              <w:widowControl w:val="0"/>
              <w:numPr>
                <w:ilvl w:val="0"/>
                <w:numId w:val="20"/>
              </w:numPr>
              <w:autoSpaceDE w:val="0"/>
              <w:autoSpaceDN w:val="0"/>
              <w:spacing w:after="120" w:line="276" w:lineRule="auto"/>
              <w:jc w:val="both"/>
              <w:rPr>
                <w:rFonts w:ascii="Verdana" w:eastAsia="Calibri" w:hAnsi="Verdana" w:cs="Arial"/>
                <w:lang w:eastAsia="es-MX"/>
              </w:rPr>
            </w:pPr>
            <w:r w:rsidRPr="00101DAB">
              <w:rPr>
                <w:rFonts w:ascii="Verdana" w:eastAsia="Calibri" w:hAnsi="Verdana" w:cs="Arial"/>
                <w:lang w:eastAsia="es-MX"/>
              </w:rPr>
              <w:t>Ley 2022 de 2020, artículo 1.</w:t>
            </w:r>
          </w:p>
          <w:p w14:paraId="35962A06" w14:textId="77777777" w:rsidR="001C18A4" w:rsidRPr="00101DAB" w:rsidRDefault="001C18A4" w:rsidP="001C18A4">
            <w:pPr>
              <w:widowControl w:val="0"/>
              <w:numPr>
                <w:ilvl w:val="0"/>
                <w:numId w:val="20"/>
              </w:numPr>
              <w:autoSpaceDE w:val="0"/>
              <w:autoSpaceDN w:val="0"/>
              <w:spacing w:after="120" w:line="276" w:lineRule="auto"/>
              <w:jc w:val="both"/>
              <w:rPr>
                <w:rFonts w:ascii="Verdana" w:eastAsia="Calibri" w:hAnsi="Verdana" w:cs="Arial"/>
                <w:lang w:eastAsia="es-MX"/>
              </w:rPr>
            </w:pPr>
            <w:r w:rsidRPr="00101DAB">
              <w:rPr>
                <w:rFonts w:ascii="Verdana" w:eastAsia="Calibri" w:hAnsi="Verdana" w:cs="Arial"/>
                <w:lang w:eastAsia="es-MX"/>
              </w:rPr>
              <w:t xml:space="preserve">Documentos tipo de obra pública de infraestructura social, y adicionales del sector </w:t>
            </w:r>
            <w:r w:rsidRPr="00101DAB">
              <w:rPr>
                <w:rFonts w:ascii="Verdana" w:eastAsia="Calibri" w:hAnsi="Verdana" w:cs="Arial"/>
                <w:i/>
                <w:iCs/>
                <w:lang w:eastAsia="es-MX"/>
              </w:rPr>
              <w:t>cultura, recreación y deporte.</w:t>
            </w:r>
            <w:r w:rsidRPr="00101DAB">
              <w:rPr>
                <w:rFonts w:ascii="Verdana" w:eastAsia="Calibri" w:hAnsi="Verdana" w:cs="Arial"/>
                <w:lang w:eastAsia="es-MX"/>
              </w:rPr>
              <w:t xml:space="preserve"> Disponibles en: </w:t>
            </w:r>
            <w:hyperlink r:id="rId15" w:history="1">
              <w:r w:rsidRPr="00101DAB">
                <w:rPr>
                  <w:rFonts w:ascii="Verdana" w:eastAsia="Calibri" w:hAnsi="Verdana" w:cs="Arial"/>
                  <w:color w:val="467886"/>
                  <w:u w:val="single"/>
                  <w:lang w:eastAsia="es-MX"/>
                </w:rPr>
                <w:t>https://www.colombiacompra.gov.co/normativa-y-relatoria/documentos-tipo</w:t>
              </w:r>
            </w:hyperlink>
            <w:r w:rsidRPr="00101DAB">
              <w:rPr>
                <w:rFonts w:ascii="Verdana" w:eastAsia="Calibri" w:hAnsi="Verdana" w:cs="Arial"/>
                <w:lang w:eastAsia="es-MX"/>
              </w:rPr>
              <w:t xml:space="preserve">. </w:t>
            </w:r>
          </w:p>
        </w:tc>
      </w:tr>
    </w:tbl>
    <w:p w14:paraId="3C870D3E" w14:textId="77777777" w:rsidR="001C18A4" w:rsidRPr="00101DAB" w:rsidRDefault="001C18A4" w:rsidP="001C18A4">
      <w:pPr>
        <w:tabs>
          <w:tab w:val="left" w:pos="142"/>
          <w:tab w:val="left" w:pos="284"/>
        </w:tabs>
        <w:spacing w:after="0" w:line="276" w:lineRule="auto"/>
        <w:jc w:val="both"/>
        <w:rPr>
          <w:rFonts w:ascii="Verdana" w:eastAsia="Calibri" w:hAnsi="Verdana" w:cs="Arial"/>
          <w:lang w:eastAsia="es-MX"/>
        </w:rPr>
      </w:pPr>
    </w:p>
    <w:p w14:paraId="2413DE57" w14:textId="4545C36B" w:rsidR="001C18A4" w:rsidRPr="00101DAB" w:rsidRDefault="001C18A4" w:rsidP="001C18A4">
      <w:pPr>
        <w:tabs>
          <w:tab w:val="left" w:pos="142"/>
          <w:tab w:val="left" w:pos="284"/>
        </w:tabs>
        <w:snapToGrid w:val="0"/>
        <w:spacing w:after="0" w:line="276" w:lineRule="auto"/>
        <w:jc w:val="both"/>
        <w:rPr>
          <w:rFonts w:ascii="Verdana" w:eastAsia="Century Gothic" w:hAnsi="Verdana" w:cs="Century Gothic"/>
          <w:b/>
          <w:bCs/>
          <w:lang w:val="es-ES" w:eastAsia="es-MX"/>
        </w:rPr>
      </w:pPr>
      <w:r>
        <w:rPr>
          <w:rFonts w:ascii="Verdana" w:eastAsia="Century Gothic" w:hAnsi="Verdana" w:cs="Century Gothic"/>
          <w:b/>
          <w:bCs/>
          <w:lang w:val="es-ES" w:eastAsia="es-MX"/>
        </w:rPr>
        <w:t xml:space="preserve">5. </w:t>
      </w:r>
      <w:r w:rsidRPr="00101DAB">
        <w:rPr>
          <w:rFonts w:ascii="Verdana" w:eastAsia="Century Gothic" w:hAnsi="Verdana" w:cs="Century Gothic"/>
          <w:b/>
          <w:bCs/>
          <w:lang w:val="es-ES" w:eastAsia="es-MX"/>
        </w:rPr>
        <w:t>Doctrina de la Agencia Nacional de Contratación Pública:</w:t>
      </w:r>
    </w:p>
    <w:p w14:paraId="294568C7" w14:textId="77777777" w:rsidR="001C18A4" w:rsidRPr="00101DAB" w:rsidRDefault="001C18A4" w:rsidP="001C18A4">
      <w:pPr>
        <w:widowControl w:val="0"/>
        <w:autoSpaceDE w:val="0"/>
        <w:autoSpaceDN w:val="0"/>
        <w:spacing w:after="0" w:line="276" w:lineRule="auto"/>
        <w:jc w:val="both"/>
        <w:rPr>
          <w:rFonts w:ascii="Verdana" w:eastAsia="Calibri" w:hAnsi="Verdana" w:cs="Arial"/>
          <w:lang w:eastAsia="es-MX"/>
        </w:rPr>
      </w:pPr>
    </w:p>
    <w:p w14:paraId="07808C05" w14:textId="4A4D00DB" w:rsidR="009A551C" w:rsidRPr="00907A2B" w:rsidRDefault="001C18A4" w:rsidP="009A551C">
      <w:pPr>
        <w:spacing w:after="0" w:line="276" w:lineRule="auto"/>
        <w:jc w:val="both"/>
        <w:rPr>
          <w:rFonts w:ascii="Verdana" w:eastAsia="Calibri" w:hAnsi="Verdana" w:cs="Times New Roman"/>
        </w:rPr>
      </w:pPr>
      <w:r w:rsidRPr="00907A2B">
        <w:rPr>
          <w:rFonts w:ascii="Verdana" w:eastAsia="Calibri" w:hAnsi="Verdana" w:cs="Arial"/>
          <w:shd w:val="clear" w:color="auto" w:fill="FFFFFF"/>
          <w:lang w:val="es-ES" w:eastAsia="es-MX"/>
        </w:rPr>
        <w:t>La Agencia Nacional de Contratación Pública – Colombia Compra Eficiente se pronunció</w:t>
      </w:r>
      <w:r w:rsidRPr="00907A2B">
        <w:rPr>
          <w:rFonts w:ascii="Verdana" w:eastAsia="Aptos" w:hAnsi="Verdana" w:cs="Times New Roman"/>
          <w:sz w:val="24"/>
          <w:szCs w:val="24"/>
          <w:lang w:eastAsia="es-MX"/>
        </w:rPr>
        <w:t xml:space="preserve"> </w:t>
      </w:r>
      <w:r w:rsidRPr="00907A2B">
        <w:rPr>
          <w:rFonts w:ascii="Verdana" w:eastAsia="Calibri" w:hAnsi="Verdana" w:cs="Arial"/>
          <w:shd w:val="clear" w:color="auto" w:fill="FFFFFF"/>
          <w:lang w:val="es-ES" w:eastAsia="es-MX"/>
        </w:rPr>
        <w:t xml:space="preserve">sobre el ámbito de aplicación de los documentos tipo de infraestructura social, </w:t>
      </w:r>
      <w:r w:rsidR="00907A2B" w:rsidRPr="00907A2B">
        <w:rPr>
          <w:rFonts w:ascii="Verdana" w:eastAsia="Calibri" w:hAnsi="Verdana" w:cs="Arial"/>
          <w:lang w:val="es-ES" w:eastAsia="es-ES"/>
        </w:rPr>
        <w:t>en los conceptos</w:t>
      </w:r>
      <w:r w:rsidR="00907A2B" w:rsidRPr="00907A2B">
        <w:rPr>
          <w:rFonts w:ascii="Verdana" w:eastAsia="Calibri" w:hAnsi="Verdana" w:cs="Arial"/>
          <w:color w:val="000000"/>
          <w:lang w:val="es-ES" w:eastAsia="es-ES"/>
        </w:rPr>
        <w:t xml:space="preserve">: </w:t>
      </w:r>
      <w:r w:rsidR="00907A2B" w:rsidRPr="00907A2B">
        <w:rPr>
          <w:rFonts w:ascii="Verdana" w:eastAsia="Calibri" w:hAnsi="Verdana" w:cs="Arial"/>
          <w:lang w:val="es-ES" w:eastAsia="es-ES"/>
        </w:rPr>
        <w:t>C-375 del 27 de septiembre de 2021, C-536 del 29 de septiembre de 2021, C-090 del 16 de marzo de 2022, C-334 del 25 de mayo de 2022, C-344 del 9 de junio de 2022, C-407 del 23 de junio de 2022, C-410 del 23 de junio de 2022, C-436 del 6 de julio de 2022, C-537 del 25 de agosto de 2022, C-507 del 31 de agosto de 2022, C-605 del 22 de septiembre de 2022, C-683 del 19 de octubre de 2022 y C- 133 del 25 de mayo de 202</w:t>
      </w:r>
      <w:r w:rsidR="00907A2B" w:rsidRPr="00907A2B">
        <w:rPr>
          <w:rFonts w:ascii="Verdana" w:hAnsi="Verdana"/>
        </w:rPr>
        <w:t>3</w:t>
      </w:r>
      <w:r w:rsidRPr="00907A2B">
        <w:rPr>
          <w:rFonts w:ascii="Verdana" w:eastAsia="Calibri" w:hAnsi="Verdana" w:cs="Arial"/>
          <w:shd w:val="clear" w:color="auto" w:fill="FFFFFF"/>
          <w:lang w:val="es-ES" w:eastAsia="es-MX"/>
        </w:rPr>
        <w:t xml:space="preserve">entre otros. </w:t>
      </w:r>
      <w:r w:rsidRPr="00907A2B">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6" w:tgtFrame="_blank" w:tooltip="Dirección URL original: https://relatoria.colombiacompra.gov.co/. Haga clic o pulse si confía en este vínculo." w:history="1">
        <w:r w:rsidRPr="00907A2B">
          <w:rPr>
            <w:rFonts w:ascii="Verdana" w:eastAsia="Times New Roman" w:hAnsi="Verdana" w:cs="Arial"/>
            <w:kern w:val="2"/>
            <w:shd w:val="clear" w:color="auto" w:fill="FFFFFF"/>
            <w:lang w:val="es-ES"/>
            <w14:ligatures w14:val="standardContextual"/>
          </w:rPr>
          <w:t>https://relatoria.colombiacompra.gov.co/</w:t>
        </w:r>
      </w:hyperlink>
      <w:r w:rsidRPr="00907A2B">
        <w:rPr>
          <w:rFonts w:ascii="Verdana" w:eastAsia="Times New Roman" w:hAnsi="Verdana" w:cs="Arial"/>
          <w:kern w:val="2"/>
          <w:shd w:val="clear" w:color="auto" w:fill="FFFFFF"/>
          <w:lang w:val="es-ES"/>
          <w14:ligatures w14:val="standardContextual"/>
        </w:rPr>
        <w:t>.</w:t>
      </w:r>
      <w:r w:rsidR="009A551C" w:rsidRPr="00907A2B">
        <w:rPr>
          <w:rFonts w:ascii="Verdana" w:eastAsia="Times New Roman" w:hAnsi="Verdana" w:cs="Arial"/>
          <w:kern w:val="2"/>
          <w:shd w:val="clear" w:color="auto" w:fill="FFFFFF"/>
          <w:lang w:val="es-ES"/>
          <w14:ligatures w14:val="standardContextual"/>
        </w:rPr>
        <w:t xml:space="preserve"> </w:t>
      </w:r>
      <w:r w:rsidR="009A551C" w:rsidRPr="00907A2B">
        <w:rPr>
          <w:rFonts w:ascii="Verdana" w:hAnsi="Verdana" w:cs="Arial"/>
          <w:shd w:val="clear" w:color="auto" w:fill="FFFFFF"/>
          <w:lang w:val="es-ES"/>
        </w:rPr>
        <w:t>Este</w:t>
      </w:r>
      <w:r w:rsidR="009A551C" w:rsidRPr="00907A2B">
        <w:rPr>
          <w:rFonts w:ascii="Verdana" w:hAnsi="Verdana"/>
          <w:lang w:val="es-ES"/>
        </w:rPr>
        <w:t xml:space="preserve"> y otros se encuentran disponibles para consulta en el Sistema de relatoría de la Agencia, al cual se puede acceder a través del siguiente enlace:</w:t>
      </w:r>
      <w:r w:rsidR="009A551C" w:rsidRPr="00907A2B">
        <w:rPr>
          <w:rFonts w:ascii="Verdana" w:hAnsi="Verdana" w:cs="Arial"/>
          <w:shd w:val="clear" w:color="auto" w:fill="FFFFFF"/>
          <w:lang w:val="es-ES"/>
        </w:rPr>
        <w:t xml:space="preserve"> </w:t>
      </w:r>
      <w:hyperlink r:id="rId17" w:history="1">
        <w:r w:rsidR="009A551C" w:rsidRPr="00907A2B">
          <w:rPr>
            <w:rStyle w:val="Hipervnculo"/>
            <w:rFonts w:ascii="Verdana" w:hAnsi="Verdana" w:cs="Arial"/>
            <w:shd w:val="clear" w:color="auto" w:fill="FFFFFF"/>
            <w:lang w:val="es-ES"/>
          </w:rPr>
          <w:t>https://relatoria.colombiacompra.gov.co/busqueda/conceptos</w:t>
        </w:r>
      </w:hyperlink>
    </w:p>
    <w:p w14:paraId="66D16478" w14:textId="698845ED" w:rsidR="001C18A4" w:rsidRPr="009A551C" w:rsidRDefault="001C18A4" w:rsidP="001C18A4">
      <w:pPr>
        <w:widowControl w:val="0"/>
        <w:autoSpaceDE w:val="0"/>
        <w:autoSpaceDN w:val="0"/>
        <w:spacing w:after="0" w:line="276" w:lineRule="auto"/>
        <w:jc w:val="both"/>
        <w:rPr>
          <w:rFonts w:ascii="Verdana" w:eastAsia="Times New Roman" w:hAnsi="Verdana" w:cs="Arial"/>
          <w:kern w:val="2"/>
          <w:shd w:val="clear" w:color="auto" w:fill="FFFFFF"/>
          <w:lang w:eastAsia="es-MX"/>
          <w14:ligatures w14:val="standardContextual"/>
        </w:rPr>
      </w:pPr>
    </w:p>
    <w:p w14:paraId="73A8CEE6" w14:textId="77777777" w:rsidR="001C18A4" w:rsidRPr="001C18A4" w:rsidRDefault="001C18A4" w:rsidP="001C18A4">
      <w:pPr>
        <w:spacing w:after="0" w:line="276" w:lineRule="auto"/>
        <w:ind w:firstLine="708"/>
        <w:jc w:val="both"/>
        <w:rPr>
          <w:rFonts w:ascii="Verdana" w:eastAsia="Calibri" w:hAnsi="Verdana" w:cs="Times New Roman"/>
          <w:lang w:val="es-ES"/>
        </w:rPr>
      </w:pPr>
    </w:p>
    <w:p w14:paraId="41DA0013" w14:textId="77777777" w:rsidR="006C7DF1" w:rsidRPr="009A385A" w:rsidRDefault="006C7DF1" w:rsidP="006C7DF1">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8" w:tgtFrame="_new" w:history="1">
        <w:r w:rsidRPr="009A385A">
          <w:rPr>
            <w:rStyle w:val="Hipervnculo"/>
            <w:rFonts w:ascii="Verdana" w:hAnsi="Verdana"/>
          </w:rPr>
          <w:t>https://formacionvirtual.colombiacompra.gov.co/mod/page/view.php?id=3718</w:t>
        </w:r>
      </w:hyperlink>
    </w:p>
    <w:p w14:paraId="6341A5C7" w14:textId="77777777" w:rsidR="006C7DF1" w:rsidRDefault="006C7DF1" w:rsidP="006C7DF1">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 xml:space="preserve">mediante las cuales </w:t>
      </w:r>
      <w:r w:rsidRPr="009A385A">
        <w:rPr>
          <w:rFonts w:ascii="Verdana" w:hAnsi="Verdana"/>
          <w:b/>
          <w:bCs/>
        </w:rPr>
        <w:lastRenderedPageBreak/>
        <w:t>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9" w:tgtFrame="_new" w:history="1">
        <w:r w:rsidRPr="00635F16">
          <w:rPr>
            <w:rStyle w:val="Hipervnculo"/>
            <w:rFonts w:ascii="Verdana" w:hAnsi="Verdana"/>
          </w:rPr>
          <w:t>https://www.colombiacompra.gov.co/normativa-y-relatoria/documentos-tipo</w:t>
        </w:r>
      </w:hyperlink>
    </w:p>
    <w:p w14:paraId="6881B688" w14:textId="77777777" w:rsidR="006C7DF1" w:rsidRPr="00C25CDD" w:rsidRDefault="006C7DF1" w:rsidP="006C7DF1">
      <w:pPr>
        <w:spacing w:after="0" w:line="276" w:lineRule="auto"/>
        <w:jc w:val="both"/>
        <w:rPr>
          <w:rFonts w:ascii="Verdana" w:hAnsi="Verdana"/>
        </w:rPr>
      </w:pPr>
    </w:p>
    <w:p w14:paraId="5344672E" w14:textId="77777777" w:rsidR="006C7DF1" w:rsidRDefault="006C7DF1" w:rsidP="006C7DF1">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20"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02373F82" w14:textId="77777777" w:rsidR="006C7DF1" w:rsidRPr="00605E0D" w:rsidRDefault="006C7DF1" w:rsidP="006C7DF1">
      <w:pPr>
        <w:spacing w:after="0" w:line="276" w:lineRule="auto"/>
        <w:jc w:val="both"/>
        <w:rPr>
          <w:rFonts w:ascii="Verdana" w:hAnsi="Verdana"/>
        </w:rPr>
      </w:pPr>
      <w:r w:rsidRPr="00284526">
        <w:rPr>
          <w:rFonts w:ascii="Verdana" w:hAnsi="Verdana" w:cs="Arial"/>
          <w:shd w:val="clear" w:color="auto" w:fill="FFFFFF"/>
        </w:rPr>
        <w:t xml:space="preserve">Por último, lo invitamos a seguirnos en las redes sociales en las cuales se difunde información institucional: </w:t>
      </w:r>
    </w:p>
    <w:p w14:paraId="1C8C1201" w14:textId="77777777" w:rsidR="006C7DF1" w:rsidRPr="00284526" w:rsidRDefault="006C7DF1" w:rsidP="006C7DF1">
      <w:pPr>
        <w:spacing w:after="0" w:line="276" w:lineRule="auto"/>
        <w:jc w:val="both"/>
        <w:rPr>
          <w:rFonts w:ascii="Verdana" w:hAnsi="Verdana" w:cs="Arial"/>
          <w:shd w:val="clear" w:color="auto" w:fill="FFFFFF"/>
        </w:rPr>
      </w:pPr>
    </w:p>
    <w:p w14:paraId="449B778C" w14:textId="77777777" w:rsidR="006C7DF1" w:rsidRPr="00284526" w:rsidRDefault="006C7DF1" w:rsidP="006C7DF1">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ipervnculo"/>
          <w:rFonts w:ascii="Verdana" w:hAnsi="Verdana"/>
          <w:lang w:val="es-ES"/>
        </w:rPr>
        <w:t xml:space="preserve">@colombiacompra </w:t>
      </w:r>
    </w:p>
    <w:p w14:paraId="1B4615C5" w14:textId="77777777" w:rsidR="006C7DF1" w:rsidRPr="00284526" w:rsidRDefault="006C7DF1" w:rsidP="006C7DF1">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ipervnculo"/>
          <w:rFonts w:ascii="Verdana" w:hAnsi="Verdana"/>
          <w:color w:val="auto"/>
          <w:lang w:val="es-ES"/>
        </w:rPr>
        <w:t xml:space="preserve"> </w:t>
      </w:r>
      <w:proofErr w:type="spellStart"/>
      <w:r w:rsidRPr="00284526">
        <w:rPr>
          <w:rStyle w:val="Hipervnculo"/>
          <w:rFonts w:ascii="Verdana" w:hAnsi="Verdana"/>
          <w:lang w:val="es-ES"/>
        </w:rPr>
        <w:t>ColombiaCompraEficiente</w:t>
      </w:r>
      <w:proofErr w:type="spellEnd"/>
    </w:p>
    <w:p w14:paraId="6ABDED39" w14:textId="77777777" w:rsidR="006C7DF1" w:rsidRPr="00284526" w:rsidRDefault="006C7DF1" w:rsidP="006C7DF1">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ipervnculo"/>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14:paraId="13428890" w14:textId="77777777" w:rsidR="006C7DF1" w:rsidRPr="00284526" w:rsidRDefault="006C7DF1" w:rsidP="006C7DF1">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ipervnculo"/>
          <w:rFonts w:ascii="Verdana" w:hAnsi="Verdana"/>
          <w:lang w:val="es-ES"/>
        </w:rPr>
        <w:t>@colombiacompraeficiente_cce</w:t>
      </w:r>
    </w:p>
    <w:p w14:paraId="7A7DC284" w14:textId="77777777" w:rsidR="006C7DF1" w:rsidRPr="00284526" w:rsidRDefault="006C7DF1" w:rsidP="006C7DF1">
      <w:pPr>
        <w:widowControl w:val="0"/>
        <w:autoSpaceDE w:val="0"/>
        <w:autoSpaceDN w:val="0"/>
        <w:spacing w:after="0" w:line="276" w:lineRule="auto"/>
        <w:jc w:val="both"/>
        <w:rPr>
          <w:rFonts w:ascii="Verdana" w:hAnsi="Verdana" w:cs="Arial"/>
          <w:lang w:val="es-ES"/>
        </w:rPr>
      </w:pPr>
    </w:p>
    <w:p w14:paraId="459C49B9" w14:textId="77777777" w:rsidR="006C7DF1" w:rsidRPr="00284526" w:rsidRDefault="006C7DF1" w:rsidP="006C7DF1">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7C51D25" w14:textId="77777777" w:rsidR="006C7DF1" w:rsidRPr="00116940" w:rsidRDefault="006C7DF1" w:rsidP="006C7DF1">
      <w:pPr>
        <w:spacing w:after="0" w:line="276" w:lineRule="auto"/>
        <w:jc w:val="both"/>
        <w:rPr>
          <w:rFonts w:ascii="Verdana" w:eastAsia="Verdana" w:hAnsi="Verdana" w:cs="Verdana"/>
        </w:rPr>
      </w:pPr>
    </w:p>
    <w:p w14:paraId="7FFBCD3C" w14:textId="77777777" w:rsidR="006C7DF1" w:rsidRPr="00116940" w:rsidRDefault="006C7DF1" w:rsidP="006C7DF1">
      <w:pPr>
        <w:spacing w:after="0" w:line="276" w:lineRule="auto"/>
        <w:rPr>
          <w:rFonts w:ascii="Verdana" w:eastAsia="Verdana" w:hAnsi="Verdana" w:cs="Verdana"/>
        </w:rPr>
      </w:pPr>
      <w:r w:rsidRPr="30821638">
        <w:rPr>
          <w:rFonts w:ascii="Verdana" w:eastAsia="Verdana" w:hAnsi="Verdana" w:cs="Verdana"/>
        </w:rPr>
        <w:lastRenderedPageBreak/>
        <w:t>Evalúa el servicio que ofrece la Agencia por el canal de atención de PQRSD en el siguiente enlace</w:t>
      </w:r>
      <w:r w:rsidRPr="00C25CDD">
        <w:rPr>
          <w:rFonts w:ascii="Verdana" w:eastAsia="Verdana" w:hAnsi="Verdana" w:cs="Verdana"/>
        </w:rPr>
        <w:t>:</w:t>
      </w:r>
      <w:r>
        <w:rPr>
          <w:rFonts w:ascii="Verdana" w:eastAsia="Verdana" w:hAnsi="Verdana" w:cs="Verdana"/>
        </w:rPr>
        <w:t xml:space="preserve"> </w:t>
      </w:r>
      <w:hyperlink r:id="rId21" w:history="1">
        <w:r w:rsidRPr="00C25CDD">
          <w:rPr>
            <w:rStyle w:val="Hipervnculo"/>
            <w:rFonts w:ascii="Verdana" w:eastAsia="Verdana" w:hAnsi="Verdana" w:cs="Verdana"/>
          </w:rPr>
          <w:t>https://forms.office.com/r/pPHyWVs2SZ</w:t>
        </w:r>
      </w:hyperlink>
      <w:r w:rsidRPr="30821638">
        <w:rPr>
          <w:rFonts w:ascii="Verdana" w:eastAsia="Verdana" w:hAnsi="Verdana" w:cs="Verdana"/>
        </w:rPr>
        <w:t xml:space="preserve"> .¡Ayúdanos a mejorar porque el compromiso es de todos!</w:t>
      </w:r>
    </w:p>
    <w:p w14:paraId="338E0A45" w14:textId="77777777" w:rsidR="006C7DF1" w:rsidRDefault="006C7DF1" w:rsidP="006C7DF1">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p>
    <w:p w14:paraId="579BCA68" w14:textId="6A047DD4" w:rsidR="00113860" w:rsidRPr="00C42171" w:rsidRDefault="00113860" w:rsidP="00C42171">
      <w:pPr>
        <w:widowControl w:val="0"/>
        <w:autoSpaceDE w:val="0"/>
        <w:autoSpaceDN w:val="0"/>
        <w:spacing w:after="120" w:line="276" w:lineRule="auto"/>
        <w:jc w:val="both"/>
        <w:rPr>
          <w:rFonts w:ascii="Verdana" w:eastAsia="Aptos" w:hAnsi="Verdana" w:cs="Times New Roman"/>
          <w:color w:val="000000" w:themeColor="text1"/>
          <w:kern w:val="2"/>
          <w14:ligatures w14:val="standardContextual"/>
        </w:rPr>
      </w:pPr>
      <w:r>
        <w:rPr>
          <w:rFonts w:ascii="Verdana" w:hAnsi="Verdana" w:cs="Arial"/>
          <w:shd w:val="clear" w:color="auto" w:fill="FFFFFF"/>
        </w:rPr>
        <w:t xml:space="preserve">Cordialmente, </w:t>
      </w:r>
    </w:p>
    <w:p w14:paraId="62ACDA4A" w14:textId="77777777" w:rsidR="00113860" w:rsidRDefault="00113860" w:rsidP="00113860">
      <w:pPr>
        <w:spacing w:after="0" w:line="276" w:lineRule="auto"/>
        <w:ind w:firstLine="709"/>
        <w:jc w:val="both"/>
        <w:rPr>
          <w:rFonts w:ascii="Verdana" w:eastAsia="Verdana" w:hAnsi="Verdana" w:cs="Verdana"/>
          <w:lang w:val="es-MX"/>
        </w:rPr>
      </w:pPr>
    </w:p>
    <w:p w14:paraId="513F870B" w14:textId="23005531" w:rsidR="002848DF" w:rsidRDefault="00DF424A" w:rsidP="002848DF">
      <w:pPr>
        <w:spacing w:after="0" w:line="276" w:lineRule="auto"/>
        <w:jc w:val="both"/>
        <w:rPr>
          <w:rFonts w:ascii="Verdana" w:eastAsia="Century Gothic" w:hAnsi="Verdana" w:cs="Century Gothic"/>
        </w:rPr>
      </w:pPr>
      <w:r>
        <w:rPr>
          <w:rFonts w:ascii="Verdana" w:eastAsia="Century Gothic" w:hAnsi="Verdana" w:cs="Century Gothic"/>
          <w:noProof/>
        </w:rPr>
        <w:drawing>
          <wp:anchor distT="0" distB="0" distL="114300" distR="114300" simplePos="0" relativeHeight="251660289" behindDoc="0" locked="0" layoutInCell="1" allowOverlap="1" wp14:anchorId="5ED0EEBF" wp14:editId="43475C37">
            <wp:simplePos x="0" y="0"/>
            <wp:positionH relativeFrom="margin">
              <wp:align>center</wp:align>
            </wp:positionH>
            <wp:positionV relativeFrom="paragraph">
              <wp:posOffset>5411</wp:posOffset>
            </wp:positionV>
            <wp:extent cx="3771900" cy="1400175"/>
            <wp:effectExtent l="0" t="0" r="0" b="9525"/>
            <wp:wrapSquare wrapText="bothSides"/>
            <wp:docPr id="1574944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94437" name="Imagen 157494437"/>
                    <pic:cNvPicPr/>
                  </pic:nvPicPr>
                  <pic:blipFill>
                    <a:blip r:embed="rId22">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anchor>
        </w:drawing>
      </w:r>
    </w:p>
    <w:p w14:paraId="0D2C8FDC" w14:textId="77777777" w:rsidR="002848DF" w:rsidRDefault="002848DF" w:rsidP="002848DF">
      <w:pPr>
        <w:spacing w:after="0" w:line="276" w:lineRule="auto"/>
        <w:jc w:val="both"/>
        <w:rPr>
          <w:rFonts w:ascii="Verdana" w:eastAsia="Century Gothic" w:hAnsi="Verdana" w:cs="Century Gothic"/>
        </w:rPr>
      </w:pPr>
    </w:p>
    <w:p w14:paraId="01979CC1" w14:textId="77777777" w:rsidR="002848DF" w:rsidRDefault="002848DF" w:rsidP="002848DF">
      <w:pPr>
        <w:spacing w:after="0" w:line="276" w:lineRule="auto"/>
        <w:jc w:val="both"/>
        <w:rPr>
          <w:rFonts w:ascii="Verdana" w:eastAsia="Century Gothic" w:hAnsi="Verdana" w:cs="Century Gothic"/>
        </w:rPr>
      </w:pPr>
    </w:p>
    <w:p w14:paraId="30654393" w14:textId="77777777" w:rsidR="002848DF" w:rsidRDefault="002848DF" w:rsidP="002848DF">
      <w:pPr>
        <w:spacing w:after="0" w:line="276" w:lineRule="auto"/>
        <w:jc w:val="both"/>
        <w:rPr>
          <w:rFonts w:ascii="Verdana" w:eastAsia="Century Gothic" w:hAnsi="Verdana" w:cs="Century Gothic"/>
        </w:rPr>
      </w:pPr>
    </w:p>
    <w:p w14:paraId="37DE1F5E" w14:textId="77777777" w:rsidR="002848DF" w:rsidRDefault="002848DF" w:rsidP="002848DF">
      <w:pPr>
        <w:spacing w:after="120" w:line="276" w:lineRule="auto"/>
        <w:contextualSpacing/>
        <w:jc w:val="both"/>
        <w:rPr>
          <w:rFonts w:ascii="Verdana" w:eastAsia="Aptos" w:hAnsi="Verdana" w:cs="Arial"/>
          <w:shd w:val="clear" w:color="auto" w:fill="FFFFFF"/>
          <w:lang w:val="es-ES"/>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2848DF" w:rsidRPr="004C0111" w14:paraId="03CCCF5F" w14:textId="77777777" w:rsidTr="00385561">
        <w:trPr>
          <w:trHeight w:val="622"/>
        </w:trPr>
        <w:tc>
          <w:tcPr>
            <w:tcW w:w="893" w:type="dxa"/>
            <w:vAlign w:val="center"/>
            <w:hideMark/>
          </w:tcPr>
          <w:p w14:paraId="5F662AA2" w14:textId="77777777" w:rsidR="002848DF" w:rsidRPr="004C0111" w:rsidRDefault="002848DF" w:rsidP="00385561">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2848DF" w:rsidRPr="004C0111" w14:paraId="06A8BF11" w14:textId="77777777" w:rsidTr="00385561">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6D7E63F6" w14:textId="77777777" w:rsidR="002848DF" w:rsidRPr="004C0111" w:rsidRDefault="002848DF" w:rsidP="00385561">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24CDCFC7" w14:textId="77777777" w:rsidR="002848DF" w:rsidRPr="004C0111" w:rsidRDefault="002848DF" w:rsidP="00385561">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12B6A461" w14:textId="77777777" w:rsidR="002848DF" w:rsidRPr="004C0111" w:rsidRDefault="002848DF" w:rsidP="00385561">
            <w:pPr>
              <w:rPr>
                <w:rFonts w:ascii="Verdana" w:eastAsia="Calibri" w:hAnsi="Verdana" w:cs="Arial"/>
                <w:sz w:val="16"/>
                <w:szCs w:val="16"/>
                <w:lang w:val="es-MX"/>
              </w:rPr>
            </w:pPr>
          </w:p>
        </w:tc>
      </w:tr>
      <w:tr w:rsidR="002848DF" w:rsidRPr="004C0111" w14:paraId="45953075" w14:textId="77777777" w:rsidTr="00385561">
        <w:trPr>
          <w:trHeight w:val="330"/>
        </w:trPr>
        <w:tc>
          <w:tcPr>
            <w:tcW w:w="893" w:type="dxa"/>
            <w:vAlign w:val="center"/>
            <w:hideMark/>
          </w:tcPr>
          <w:p w14:paraId="633C107A" w14:textId="77777777" w:rsidR="002848DF" w:rsidRPr="004C0111" w:rsidRDefault="002848DF" w:rsidP="00385561">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12511587" w14:textId="23CC9493" w:rsidR="002848DF" w:rsidRPr="004C0111" w:rsidRDefault="002848DF" w:rsidP="00385561">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 xml:space="preserve">Martha Alicia Romero </w:t>
            </w:r>
            <w:r w:rsidR="00A76012">
              <w:rPr>
                <w:rFonts w:ascii="Verdana" w:eastAsia="Times New Roman" w:hAnsi="Verdana" w:cs="Arial"/>
                <w:sz w:val="16"/>
                <w:szCs w:val="16"/>
                <w:lang w:eastAsia="es-CO"/>
              </w:rPr>
              <w:t>Vargas</w:t>
            </w:r>
          </w:p>
          <w:p w14:paraId="4BB3A386" w14:textId="3A20C2E4" w:rsidR="002848DF" w:rsidRPr="004C0111" w:rsidRDefault="002848DF" w:rsidP="00385561">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Gestor T1- Grado 15 </w:t>
            </w:r>
            <w:r w:rsidRPr="004C0111">
              <w:rPr>
                <w:rFonts w:ascii="Verdana" w:eastAsia="Times New Roman" w:hAnsi="Verdana" w:cs="Arial"/>
                <w:sz w:val="16"/>
                <w:szCs w:val="16"/>
                <w:lang w:eastAsia="es-CO"/>
              </w:rPr>
              <w:t>de la Subdirección de Gestión Contractual</w:t>
            </w:r>
          </w:p>
        </w:tc>
      </w:tr>
      <w:tr w:rsidR="002848DF" w:rsidRPr="004C0111" w14:paraId="240B4728" w14:textId="77777777" w:rsidTr="00385561">
        <w:trPr>
          <w:trHeight w:val="77"/>
        </w:trPr>
        <w:tc>
          <w:tcPr>
            <w:tcW w:w="893" w:type="dxa"/>
            <w:vAlign w:val="center"/>
          </w:tcPr>
          <w:p w14:paraId="0770DE1C" w14:textId="77777777" w:rsidR="002848DF" w:rsidRPr="004C0111" w:rsidRDefault="002848DF" w:rsidP="00385561">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10059757" w14:textId="77777777" w:rsidR="002848DF" w:rsidRPr="002F2853" w:rsidRDefault="002848DF" w:rsidP="00385561">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418B9CCD" w14:textId="77777777" w:rsidR="002848DF" w:rsidRPr="004C0111" w:rsidRDefault="002848DF" w:rsidP="00385561">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51CE58C9" w14:textId="75826DE5" w:rsidR="002848DF" w:rsidRPr="00E02524" w:rsidRDefault="002848DF" w:rsidP="002848DF">
      <w:pPr>
        <w:spacing w:after="0" w:line="240" w:lineRule="auto"/>
        <w:jc w:val="both"/>
        <w:rPr>
          <w:rFonts w:ascii="Verdana" w:eastAsia="Verdana" w:hAnsi="Verdana" w:cs="Verdana"/>
          <w:lang w:val="es-MX"/>
        </w:rPr>
      </w:pPr>
    </w:p>
    <w:p w14:paraId="07FAA4F3" w14:textId="7DC19585" w:rsidR="002848DF" w:rsidRPr="002848DF" w:rsidRDefault="002848DF" w:rsidP="006E270D">
      <w:pPr>
        <w:spacing w:after="0" w:line="276" w:lineRule="auto"/>
        <w:jc w:val="both"/>
        <w:rPr>
          <w:rFonts w:ascii="Verdana" w:eastAsia="Calibri" w:hAnsi="Verdana" w:cs="Arial"/>
          <w:bCs/>
          <w:lang w:val="es-MX" w:eastAsia="es-ES_tradnl"/>
        </w:rPr>
      </w:pPr>
    </w:p>
    <w:bookmarkEnd w:id="0"/>
    <w:p w14:paraId="69BC4D14" w14:textId="2C1F766D"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02566" w14:textId="77777777" w:rsidR="00B03176" w:rsidRDefault="00B03176" w:rsidP="004A1847">
      <w:pPr>
        <w:spacing w:after="0" w:line="240" w:lineRule="auto"/>
      </w:pPr>
      <w:r>
        <w:separator/>
      </w:r>
    </w:p>
  </w:endnote>
  <w:endnote w:type="continuationSeparator" w:id="0">
    <w:p w14:paraId="524138FE" w14:textId="77777777" w:rsidR="00B03176" w:rsidRDefault="00B0317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E2C0B" w14:textId="77777777" w:rsidR="00B03176" w:rsidRDefault="00B03176" w:rsidP="004A1847">
      <w:pPr>
        <w:spacing w:after="0" w:line="240" w:lineRule="auto"/>
      </w:pPr>
      <w:r>
        <w:separator/>
      </w:r>
    </w:p>
  </w:footnote>
  <w:footnote w:type="continuationSeparator" w:id="0">
    <w:p w14:paraId="42499EE3" w14:textId="77777777" w:rsidR="00B03176" w:rsidRDefault="00B03176" w:rsidP="004A1847">
      <w:pPr>
        <w:spacing w:after="0" w:line="240" w:lineRule="auto"/>
      </w:pPr>
      <w:r>
        <w:continuationSeparator/>
      </w:r>
    </w:p>
  </w:footnote>
  <w:footnote w:id="1">
    <w:p w14:paraId="4D549313" w14:textId="77777777" w:rsidR="00CB6207" w:rsidRPr="002D198A" w:rsidRDefault="00CB6207" w:rsidP="00CB6207">
      <w:pPr>
        <w:spacing w:line="240" w:lineRule="auto"/>
        <w:ind w:firstLine="708"/>
        <w:jc w:val="both"/>
        <w:rPr>
          <w:rFonts w:ascii="Verdana" w:hAnsi="Verdana" w:cs="Arial"/>
          <w:sz w:val="18"/>
          <w:szCs w:val="18"/>
        </w:rPr>
      </w:pPr>
      <w:r w:rsidRPr="002D198A">
        <w:rPr>
          <w:rStyle w:val="Refdenotaalpie"/>
          <w:rFonts w:ascii="Verdana" w:hAnsi="Verdana" w:cs="Arial"/>
          <w:sz w:val="18"/>
          <w:szCs w:val="18"/>
        </w:rPr>
        <w:footnoteRef/>
      </w:r>
      <w:r w:rsidRPr="002D198A">
        <w:rPr>
          <w:rFonts w:ascii="Verdana" w:hAnsi="Verdana" w:cs="Arial"/>
          <w:sz w:val="18"/>
          <w:szCs w:val="18"/>
        </w:rPr>
        <w:t xml:space="preserve"> Así, por ejemplo, la causal de rechazo del literal P establece: “[Incluir solo cuando la forma de pago sea por precios unitarios] Superar el valor unitario de alguno o algunos de los siguientes ítems ofrecidos con respecto al valor establecido para cada ítem del presupuesto oficial: [La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409B0FED" w14:textId="77777777" w:rsidR="00CB6207" w:rsidRPr="002D198A" w:rsidRDefault="00CB6207" w:rsidP="00CB6207">
      <w:pPr>
        <w:pStyle w:val="Textonotapie"/>
        <w:ind w:firstLine="708"/>
        <w:jc w:val="both"/>
        <w:rPr>
          <w:rFonts w:ascii="Verdana" w:hAnsi="Verdana" w:cs="Arial"/>
          <w:sz w:val="18"/>
          <w:szCs w:val="18"/>
          <w:lang w:val="es-CO"/>
        </w:rPr>
      </w:pPr>
      <w:r w:rsidRPr="002D198A">
        <w:rPr>
          <w:rFonts w:ascii="Verdana" w:hAnsi="Verdana" w:cs="Arial"/>
          <w:sz w:val="18"/>
          <w:szCs w:val="18"/>
        </w:rPr>
        <w:t>Para la aplicación de esta causal la entidad debe tener en cuenta que el valor unitario establecido en el Formulario 1 – Formulario de Presupuesto Oficial incluye el valor de AIU]”.</w:t>
      </w:r>
    </w:p>
  </w:footnote>
  <w:footnote w:id="2">
    <w:p w14:paraId="4EB5F4AD" w14:textId="77777777" w:rsidR="007137BC" w:rsidRPr="00573C07" w:rsidRDefault="007137BC" w:rsidP="007137BC">
      <w:pPr>
        <w:pStyle w:val="Textonotapie"/>
        <w:ind w:firstLine="708"/>
        <w:jc w:val="both"/>
        <w:rPr>
          <w:rFonts w:ascii="Verdana" w:hAnsi="Verdana"/>
          <w:sz w:val="16"/>
          <w:szCs w:val="16"/>
        </w:rPr>
      </w:pPr>
      <w:r w:rsidRPr="00573C07">
        <w:rPr>
          <w:rFonts w:ascii="Verdana" w:hAnsi="Verdana"/>
          <w:sz w:val="16"/>
          <w:szCs w:val="16"/>
          <w:vertAlign w:val="superscript"/>
        </w:rPr>
        <w:footnoteRef/>
      </w:r>
      <w:r w:rsidRPr="00573C07">
        <w:rPr>
          <w:rFonts w:ascii="Verdana" w:hAnsi="Verdana"/>
          <w:sz w:val="16"/>
          <w:szCs w:val="16"/>
        </w:rPr>
        <w:t xml:space="preserve"> Código: CCE-EICP-GI-14. Versión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9045FC"/>
    <w:multiLevelType w:val="multilevel"/>
    <w:tmpl w:val="1BF4C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3304970"/>
    <w:multiLevelType w:val="hybridMultilevel"/>
    <w:tmpl w:val="3940C43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2"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B245616"/>
    <w:multiLevelType w:val="hybridMultilevel"/>
    <w:tmpl w:val="932A254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5A44B6"/>
    <w:multiLevelType w:val="hybridMultilevel"/>
    <w:tmpl w:val="79B6A12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0" w15:restartNumberingAfterBreak="0">
    <w:nsid w:val="79410938"/>
    <w:multiLevelType w:val="multilevel"/>
    <w:tmpl w:val="59E4F5D2"/>
    <w:lvl w:ilvl="0">
      <w:start w:val="3"/>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9E04CB7"/>
    <w:multiLevelType w:val="hybridMultilevel"/>
    <w:tmpl w:val="986281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B2E7395"/>
    <w:multiLevelType w:val="multilevel"/>
    <w:tmpl w:val="C8423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2072267863">
    <w:abstractNumId w:val="2"/>
  </w:num>
  <w:num w:numId="17" w16cid:durableId="1168859999">
    <w:abstractNumId w:val="20"/>
  </w:num>
  <w:num w:numId="18" w16cid:durableId="787089648">
    <w:abstractNumId w:val="22"/>
  </w:num>
  <w:num w:numId="19" w16cid:durableId="2063215985">
    <w:abstractNumId w:val="19"/>
  </w:num>
  <w:num w:numId="20" w16cid:durableId="679089576">
    <w:abstractNumId w:val="10"/>
  </w:num>
  <w:num w:numId="21" w16cid:durableId="1300108123">
    <w:abstractNumId w:val="12"/>
  </w:num>
  <w:num w:numId="22" w16cid:durableId="68188094">
    <w:abstractNumId w:val="21"/>
  </w:num>
  <w:num w:numId="23" w16cid:durableId="1877041520">
    <w:abstractNumId w:val="11"/>
  </w:num>
  <w:num w:numId="24" w16cid:durableId="888801915">
    <w:abstractNumId w:val="13"/>
  </w:num>
  <w:num w:numId="25"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C85"/>
    <w:rsid w:val="000034D9"/>
    <w:rsid w:val="00003B1D"/>
    <w:rsid w:val="00003B8C"/>
    <w:rsid w:val="00012C7A"/>
    <w:rsid w:val="00013245"/>
    <w:rsid w:val="00016E2E"/>
    <w:rsid w:val="00016F78"/>
    <w:rsid w:val="00017720"/>
    <w:rsid w:val="00030993"/>
    <w:rsid w:val="00035F09"/>
    <w:rsid w:val="00041128"/>
    <w:rsid w:val="00046945"/>
    <w:rsid w:val="000500DA"/>
    <w:rsid w:val="000542DC"/>
    <w:rsid w:val="00055B11"/>
    <w:rsid w:val="00057030"/>
    <w:rsid w:val="0006029B"/>
    <w:rsid w:val="00061B2A"/>
    <w:rsid w:val="00061BE7"/>
    <w:rsid w:val="000638EB"/>
    <w:rsid w:val="0006582F"/>
    <w:rsid w:val="00065B7A"/>
    <w:rsid w:val="0006683E"/>
    <w:rsid w:val="00077213"/>
    <w:rsid w:val="00082362"/>
    <w:rsid w:val="0008336C"/>
    <w:rsid w:val="00083623"/>
    <w:rsid w:val="0008658B"/>
    <w:rsid w:val="00096502"/>
    <w:rsid w:val="000A683E"/>
    <w:rsid w:val="000B19B9"/>
    <w:rsid w:val="000B1AD8"/>
    <w:rsid w:val="000B4043"/>
    <w:rsid w:val="000B6BD7"/>
    <w:rsid w:val="000C6B7E"/>
    <w:rsid w:val="000C79EC"/>
    <w:rsid w:val="000D0334"/>
    <w:rsid w:val="000D4509"/>
    <w:rsid w:val="000D51C5"/>
    <w:rsid w:val="000D5DA7"/>
    <w:rsid w:val="000D650A"/>
    <w:rsid w:val="000E1B8D"/>
    <w:rsid w:val="000E2450"/>
    <w:rsid w:val="000E671C"/>
    <w:rsid w:val="000F6486"/>
    <w:rsid w:val="0010646D"/>
    <w:rsid w:val="00113860"/>
    <w:rsid w:val="00116940"/>
    <w:rsid w:val="0011780C"/>
    <w:rsid w:val="0012185E"/>
    <w:rsid w:val="00125105"/>
    <w:rsid w:val="00127233"/>
    <w:rsid w:val="001314C4"/>
    <w:rsid w:val="00135749"/>
    <w:rsid w:val="00140550"/>
    <w:rsid w:val="00142E22"/>
    <w:rsid w:val="001500B6"/>
    <w:rsid w:val="0015699B"/>
    <w:rsid w:val="00160FAD"/>
    <w:rsid w:val="00170180"/>
    <w:rsid w:val="00177DE2"/>
    <w:rsid w:val="001800C2"/>
    <w:rsid w:val="001863A8"/>
    <w:rsid w:val="001A33BF"/>
    <w:rsid w:val="001B029D"/>
    <w:rsid w:val="001B0B7F"/>
    <w:rsid w:val="001B0DCC"/>
    <w:rsid w:val="001B63D5"/>
    <w:rsid w:val="001B71C5"/>
    <w:rsid w:val="001B772F"/>
    <w:rsid w:val="001C068F"/>
    <w:rsid w:val="001C18A4"/>
    <w:rsid w:val="001C24FC"/>
    <w:rsid w:val="001D177D"/>
    <w:rsid w:val="001E0011"/>
    <w:rsid w:val="001E0341"/>
    <w:rsid w:val="001E13F9"/>
    <w:rsid w:val="001E4177"/>
    <w:rsid w:val="001F0B24"/>
    <w:rsid w:val="001F544A"/>
    <w:rsid w:val="001F7DC6"/>
    <w:rsid w:val="00210807"/>
    <w:rsid w:val="002204CF"/>
    <w:rsid w:val="00221082"/>
    <w:rsid w:val="0022400B"/>
    <w:rsid w:val="00227BF2"/>
    <w:rsid w:val="00234D9C"/>
    <w:rsid w:val="002421BB"/>
    <w:rsid w:val="00256FB9"/>
    <w:rsid w:val="0025796E"/>
    <w:rsid w:val="00261F67"/>
    <w:rsid w:val="002707A2"/>
    <w:rsid w:val="00272A07"/>
    <w:rsid w:val="00273CE2"/>
    <w:rsid w:val="002810F3"/>
    <w:rsid w:val="002848DF"/>
    <w:rsid w:val="00284FB5"/>
    <w:rsid w:val="002932F3"/>
    <w:rsid w:val="0029429C"/>
    <w:rsid w:val="002951A0"/>
    <w:rsid w:val="002962BC"/>
    <w:rsid w:val="002A093D"/>
    <w:rsid w:val="002A0DD0"/>
    <w:rsid w:val="002A49AC"/>
    <w:rsid w:val="002A64FD"/>
    <w:rsid w:val="002C34D8"/>
    <w:rsid w:val="002C3DDB"/>
    <w:rsid w:val="002C7A84"/>
    <w:rsid w:val="002E2A90"/>
    <w:rsid w:val="002E2BF8"/>
    <w:rsid w:val="002E4FD9"/>
    <w:rsid w:val="002F70CF"/>
    <w:rsid w:val="0030164E"/>
    <w:rsid w:val="00303577"/>
    <w:rsid w:val="0030657A"/>
    <w:rsid w:val="0031085E"/>
    <w:rsid w:val="003152B1"/>
    <w:rsid w:val="00316AF0"/>
    <w:rsid w:val="0032280A"/>
    <w:rsid w:val="00322A85"/>
    <w:rsid w:val="00324168"/>
    <w:rsid w:val="00325833"/>
    <w:rsid w:val="00326B3A"/>
    <w:rsid w:val="00330834"/>
    <w:rsid w:val="0033270E"/>
    <w:rsid w:val="00334E81"/>
    <w:rsid w:val="003352D7"/>
    <w:rsid w:val="003430A6"/>
    <w:rsid w:val="003448F4"/>
    <w:rsid w:val="0035137C"/>
    <w:rsid w:val="00352C50"/>
    <w:rsid w:val="0035610E"/>
    <w:rsid w:val="00356E24"/>
    <w:rsid w:val="003615C1"/>
    <w:rsid w:val="0036394F"/>
    <w:rsid w:val="003644FD"/>
    <w:rsid w:val="00364E1C"/>
    <w:rsid w:val="00373C67"/>
    <w:rsid w:val="00373DDA"/>
    <w:rsid w:val="00374C00"/>
    <w:rsid w:val="00374F5E"/>
    <w:rsid w:val="003750E7"/>
    <w:rsid w:val="00377E3E"/>
    <w:rsid w:val="00387E6D"/>
    <w:rsid w:val="00390231"/>
    <w:rsid w:val="003931BD"/>
    <w:rsid w:val="00394DCC"/>
    <w:rsid w:val="00396B21"/>
    <w:rsid w:val="00397B41"/>
    <w:rsid w:val="003A0640"/>
    <w:rsid w:val="003A7729"/>
    <w:rsid w:val="003A779E"/>
    <w:rsid w:val="003B6031"/>
    <w:rsid w:val="003B61DA"/>
    <w:rsid w:val="003B7227"/>
    <w:rsid w:val="003C17D8"/>
    <w:rsid w:val="003C4129"/>
    <w:rsid w:val="003C6224"/>
    <w:rsid w:val="003D0F4D"/>
    <w:rsid w:val="003D1E91"/>
    <w:rsid w:val="003D5B0D"/>
    <w:rsid w:val="003D785B"/>
    <w:rsid w:val="003E0499"/>
    <w:rsid w:val="003E3BDC"/>
    <w:rsid w:val="003E4F80"/>
    <w:rsid w:val="003E5CE1"/>
    <w:rsid w:val="003E6439"/>
    <w:rsid w:val="003F359F"/>
    <w:rsid w:val="003F3941"/>
    <w:rsid w:val="003F4090"/>
    <w:rsid w:val="003F686E"/>
    <w:rsid w:val="00406575"/>
    <w:rsid w:val="004073BB"/>
    <w:rsid w:val="00414C74"/>
    <w:rsid w:val="00416135"/>
    <w:rsid w:val="00424381"/>
    <w:rsid w:val="00426AF2"/>
    <w:rsid w:val="0042722E"/>
    <w:rsid w:val="0044528D"/>
    <w:rsid w:val="00446E56"/>
    <w:rsid w:val="004522A0"/>
    <w:rsid w:val="004522B0"/>
    <w:rsid w:val="004541B3"/>
    <w:rsid w:val="00456617"/>
    <w:rsid w:val="0046312A"/>
    <w:rsid w:val="00464331"/>
    <w:rsid w:val="00466E39"/>
    <w:rsid w:val="00472259"/>
    <w:rsid w:val="00487B12"/>
    <w:rsid w:val="00492297"/>
    <w:rsid w:val="0049720D"/>
    <w:rsid w:val="004A1847"/>
    <w:rsid w:val="004A305D"/>
    <w:rsid w:val="004A462B"/>
    <w:rsid w:val="004A4E1B"/>
    <w:rsid w:val="004B2A50"/>
    <w:rsid w:val="004C48A8"/>
    <w:rsid w:val="004C5161"/>
    <w:rsid w:val="004C6E6C"/>
    <w:rsid w:val="004D1452"/>
    <w:rsid w:val="004D1CCA"/>
    <w:rsid w:val="004D2737"/>
    <w:rsid w:val="004D37A4"/>
    <w:rsid w:val="004D401B"/>
    <w:rsid w:val="004E0809"/>
    <w:rsid w:val="004E2B2A"/>
    <w:rsid w:val="004E3654"/>
    <w:rsid w:val="004E3E23"/>
    <w:rsid w:val="004E420C"/>
    <w:rsid w:val="004E68FE"/>
    <w:rsid w:val="004F0E6D"/>
    <w:rsid w:val="004F21C4"/>
    <w:rsid w:val="004F67B2"/>
    <w:rsid w:val="004F685F"/>
    <w:rsid w:val="005011BF"/>
    <w:rsid w:val="005119A3"/>
    <w:rsid w:val="005171FA"/>
    <w:rsid w:val="00524626"/>
    <w:rsid w:val="00525777"/>
    <w:rsid w:val="005360AC"/>
    <w:rsid w:val="005360BF"/>
    <w:rsid w:val="00546A60"/>
    <w:rsid w:val="005528EA"/>
    <w:rsid w:val="00554C7C"/>
    <w:rsid w:val="005566E8"/>
    <w:rsid w:val="00556951"/>
    <w:rsid w:val="00561679"/>
    <w:rsid w:val="00571EAE"/>
    <w:rsid w:val="00573C07"/>
    <w:rsid w:val="00574867"/>
    <w:rsid w:val="00577445"/>
    <w:rsid w:val="0058621B"/>
    <w:rsid w:val="00590AE0"/>
    <w:rsid w:val="0059143D"/>
    <w:rsid w:val="00591460"/>
    <w:rsid w:val="005945F5"/>
    <w:rsid w:val="005A588D"/>
    <w:rsid w:val="005A65E0"/>
    <w:rsid w:val="005B2530"/>
    <w:rsid w:val="005B77B7"/>
    <w:rsid w:val="005C1E20"/>
    <w:rsid w:val="005C3777"/>
    <w:rsid w:val="005C5CDC"/>
    <w:rsid w:val="005D476C"/>
    <w:rsid w:val="005E4498"/>
    <w:rsid w:val="005E6D78"/>
    <w:rsid w:val="005F0077"/>
    <w:rsid w:val="005F3162"/>
    <w:rsid w:val="005F609D"/>
    <w:rsid w:val="006040CB"/>
    <w:rsid w:val="00615030"/>
    <w:rsid w:val="00615754"/>
    <w:rsid w:val="00615FCD"/>
    <w:rsid w:val="006200BF"/>
    <w:rsid w:val="006206F0"/>
    <w:rsid w:val="006219F8"/>
    <w:rsid w:val="006302F7"/>
    <w:rsid w:val="0064327B"/>
    <w:rsid w:val="00644E5F"/>
    <w:rsid w:val="00646B9F"/>
    <w:rsid w:val="00647886"/>
    <w:rsid w:val="00655055"/>
    <w:rsid w:val="00656DB4"/>
    <w:rsid w:val="006618E3"/>
    <w:rsid w:val="00665D70"/>
    <w:rsid w:val="00667B1D"/>
    <w:rsid w:val="00672FE1"/>
    <w:rsid w:val="006760AD"/>
    <w:rsid w:val="0067724B"/>
    <w:rsid w:val="0067750F"/>
    <w:rsid w:val="00680118"/>
    <w:rsid w:val="00681214"/>
    <w:rsid w:val="006822C3"/>
    <w:rsid w:val="006900D9"/>
    <w:rsid w:val="0069681D"/>
    <w:rsid w:val="006976D0"/>
    <w:rsid w:val="006A01C6"/>
    <w:rsid w:val="006A1ACA"/>
    <w:rsid w:val="006A2FD0"/>
    <w:rsid w:val="006A400B"/>
    <w:rsid w:val="006B0FC8"/>
    <w:rsid w:val="006C0336"/>
    <w:rsid w:val="006C4698"/>
    <w:rsid w:val="006C7DF1"/>
    <w:rsid w:val="006E270D"/>
    <w:rsid w:val="006E730E"/>
    <w:rsid w:val="006F636B"/>
    <w:rsid w:val="00702BA7"/>
    <w:rsid w:val="00703C99"/>
    <w:rsid w:val="00704D08"/>
    <w:rsid w:val="007060C2"/>
    <w:rsid w:val="00706C16"/>
    <w:rsid w:val="007100BE"/>
    <w:rsid w:val="007118FA"/>
    <w:rsid w:val="007137BC"/>
    <w:rsid w:val="0072118B"/>
    <w:rsid w:val="0072794C"/>
    <w:rsid w:val="007340C3"/>
    <w:rsid w:val="00734658"/>
    <w:rsid w:val="00746AF2"/>
    <w:rsid w:val="00746E82"/>
    <w:rsid w:val="00750658"/>
    <w:rsid w:val="0075235A"/>
    <w:rsid w:val="00752AC5"/>
    <w:rsid w:val="00754560"/>
    <w:rsid w:val="00756431"/>
    <w:rsid w:val="00756841"/>
    <w:rsid w:val="00760884"/>
    <w:rsid w:val="0076166E"/>
    <w:rsid w:val="00761E5D"/>
    <w:rsid w:val="00763288"/>
    <w:rsid w:val="007649AB"/>
    <w:rsid w:val="00771D0C"/>
    <w:rsid w:val="007833AC"/>
    <w:rsid w:val="007874D7"/>
    <w:rsid w:val="00796F43"/>
    <w:rsid w:val="007A0802"/>
    <w:rsid w:val="007A0A04"/>
    <w:rsid w:val="007A6A79"/>
    <w:rsid w:val="007B268C"/>
    <w:rsid w:val="007B3E8F"/>
    <w:rsid w:val="007B41F2"/>
    <w:rsid w:val="007B7171"/>
    <w:rsid w:val="007C0C0F"/>
    <w:rsid w:val="007C10C8"/>
    <w:rsid w:val="007C1D35"/>
    <w:rsid w:val="007C3DC2"/>
    <w:rsid w:val="007C4600"/>
    <w:rsid w:val="007D0D90"/>
    <w:rsid w:val="007D3BBE"/>
    <w:rsid w:val="007D45CC"/>
    <w:rsid w:val="007D5929"/>
    <w:rsid w:val="007D7975"/>
    <w:rsid w:val="007E5497"/>
    <w:rsid w:val="00805A24"/>
    <w:rsid w:val="00806F5F"/>
    <w:rsid w:val="00807C1A"/>
    <w:rsid w:val="00810D66"/>
    <w:rsid w:val="008174A3"/>
    <w:rsid w:val="00820278"/>
    <w:rsid w:val="00820D50"/>
    <w:rsid w:val="00822465"/>
    <w:rsid w:val="008258C9"/>
    <w:rsid w:val="0083148E"/>
    <w:rsid w:val="00843F9E"/>
    <w:rsid w:val="00844AE9"/>
    <w:rsid w:val="00847753"/>
    <w:rsid w:val="0085033B"/>
    <w:rsid w:val="00854516"/>
    <w:rsid w:val="00861D01"/>
    <w:rsid w:val="008665CA"/>
    <w:rsid w:val="00867F95"/>
    <w:rsid w:val="00873696"/>
    <w:rsid w:val="0087374E"/>
    <w:rsid w:val="00880E9E"/>
    <w:rsid w:val="008824E7"/>
    <w:rsid w:val="008843B6"/>
    <w:rsid w:val="00884BB7"/>
    <w:rsid w:val="00886A49"/>
    <w:rsid w:val="008902A4"/>
    <w:rsid w:val="00891928"/>
    <w:rsid w:val="00891E29"/>
    <w:rsid w:val="008929E4"/>
    <w:rsid w:val="008935D5"/>
    <w:rsid w:val="0089540D"/>
    <w:rsid w:val="008972D9"/>
    <w:rsid w:val="008A3E2F"/>
    <w:rsid w:val="008A446D"/>
    <w:rsid w:val="008A4F78"/>
    <w:rsid w:val="008B15AC"/>
    <w:rsid w:val="008B25F1"/>
    <w:rsid w:val="008C165B"/>
    <w:rsid w:val="008C206B"/>
    <w:rsid w:val="008C2141"/>
    <w:rsid w:val="008C665D"/>
    <w:rsid w:val="008C7404"/>
    <w:rsid w:val="008C78B9"/>
    <w:rsid w:val="008D180B"/>
    <w:rsid w:val="008D1E4A"/>
    <w:rsid w:val="008D4F05"/>
    <w:rsid w:val="008D511F"/>
    <w:rsid w:val="008E7901"/>
    <w:rsid w:val="008F0EA7"/>
    <w:rsid w:val="008F1BC7"/>
    <w:rsid w:val="008F3EF2"/>
    <w:rsid w:val="008F53DA"/>
    <w:rsid w:val="008F73D0"/>
    <w:rsid w:val="00907A2B"/>
    <w:rsid w:val="00913FE5"/>
    <w:rsid w:val="00914B36"/>
    <w:rsid w:val="00917902"/>
    <w:rsid w:val="00921E1C"/>
    <w:rsid w:val="00923EEF"/>
    <w:rsid w:val="009314B2"/>
    <w:rsid w:val="00931D59"/>
    <w:rsid w:val="0093522F"/>
    <w:rsid w:val="009419F9"/>
    <w:rsid w:val="009433B6"/>
    <w:rsid w:val="00943749"/>
    <w:rsid w:val="00945BFF"/>
    <w:rsid w:val="00947E7B"/>
    <w:rsid w:val="009521A5"/>
    <w:rsid w:val="009546A4"/>
    <w:rsid w:val="00955BD0"/>
    <w:rsid w:val="0095685E"/>
    <w:rsid w:val="00956FDC"/>
    <w:rsid w:val="00957191"/>
    <w:rsid w:val="0096092E"/>
    <w:rsid w:val="00961B09"/>
    <w:rsid w:val="00962E27"/>
    <w:rsid w:val="00965334"/>
    <w:rsid w:val="0097093E"/>
    <w:rsid w:val="009743F4"/>
    <w:rsid w:val="00977AEC"/>
    <w:rsid w:val="009825F0"/>
    <w:rsid w:val="00986CF9"/>
    <w:rsid w:val="00991D26"/>
    <w:rsid w:val="009A08CA"/>
    <w:rsid w:val="009A0DFA"/>
    <w:rsid w:val="009A1C6F"/>
    <w:rsid w:val="009A551C"/>
    <w:rsid w:val="009B2D26"/>
    <w:rsid w:val="009C3708"/>
    <w:rsid w:val="009C41A6"/>
    <w:rsid w:val="009C548A"/>
    <w:rsid w:val="009C71FA"/>
    <w:rsid w:val="009C72E7"/>
    <w:rsid w:val="009C7F7E"/>
    <w:rsid w:val="009D2B43"/>
    <w:rsid w:val="009D3058"/>
    <w:rsid w:val="009D4582"/>
    <w:rsid w:val="009D5C96"/>
    <w:rsid w:val="009D6C9B"/>
    <w:rsid w:val="009F0DE1"/>
    <w:rsid w:val="009F3A13"/>
    <w:rsid w:val="00A04183"/>
    <w:rsid w:val="00A0680A"/>
    <w:rsid w:val="00A07FFB"/>
    <w:rsid w:val="00A122D3"/>
    <w:rsid w:val="00A14468"/>
    <w:rsid w:val="00A14866"/>
    <w:rsid w:val="00A17C80"/>
    <w:rsid w:val="00A17F13"/>
    <w:rsid w:val="00A20739"/>
    <w:rsid w:val="00A23AF9"/>
    <w:rsid w:val="00A26B52"/>
    <w:rsid w:val="00A27E27"/>
    <w:rsid w:val="00A31C7B"/>
    <w:rsid w:val="00A337FA"/>
    <w:rsid w:val="00A33C78"/>
    <w:rsid w:val="00A420EC"/>
    <w:rsid w:val="00A515E4"/>
    <w:rsid w:val="00A518DF"/>
    <w:rsid w:val="00A53D89"/>
    <w:rsid w:val="00A54F94"/>
    <w:rsid w:val="00A57E68"/>
    <w:rsid w:val="00A6061F"/>
    <w:rsid w:val="00A662B7"/>
    <w:rsid w:val="00A76012"/>
    <w:rsid w:val="00A7701B"/>
    <w:rsid w:val="00A77C2D"/>
    <w:rsid w:val="00A8167B"/>
    <w:rsid w:val="00A83653"/>
    <w:rsid w:val="00A91B65"/>
    <w:rsid w:val="00A91DDB"/>
    <w:rsid w:val="00A95D97"/>
    <w:rsid w:val="00AA0FC9"/>
    <w:rsid w:val="00AA6A10"/>
    <w:rsid w:val="00AB0ADB"/>
    <w:rsid w:val="00AB5584"/>
    <w:rsid w:val="00AB61E8"/>
    <w:rsid w:val="00AC0420"/>
    <w:rsid w:val="00AC6401"/>
    <w:rsid w:val="00AC6E32"/>
    <w:rsid w:val="00AD3DB1"/>
    <w:rsid w:val="00AD6360"/>
    <w:rsid w:val="00AD7EBA"/>
    <w:rsid w:val="00AE6412"/>
    <w:rsid w:val="00AF5439"/>
    <w:rsid w:val="00AF6403"/>
    <w:rsid w:val="00B00C0E"/>
    <w:rsid w:val="00B01B1A"/>
    <w:rsid w:val="00B01E61"/>
    <w:rsid w:val="00B02F91"/>
    <w:rsid w:val="00B03176"/>
    <w:rsid w:val="00B0381D"/>
    <w:rsid w:val="00B11DEA"/>
    <w:rsid w:val="00B20FC9"/>
    <w:rsid w:val="00B2660D"/>
    <w:rsid w:val="00B360F1"/>
    <w:rsid w:val="00B37CD8"/>
    <w:rsid w:val="00B40856"/>
    <w:rsid w:val="00B441E5"/>
    <w:rsid w:val="00B44A47"/>
    <w:rsid w:val="00B44EE0"/>
    <w:rsid w:val="00B45E36"/>
    <w:rsid w:val="00B47CC1"/>
    <w:rsid w:val="00B53CD8"/>
    <w:rsid w:val="00B548A4"/>
    <w:rsid w:val="00B634DB"/>
    <w:rsid w:val="00B655F4"/>
    <w:rsid w:val="00B72CD3"/>
    <w:rsid w:val="00B72FFF"/>
    <w:rsid w:val="00B773A4"/>
    <w:rsid w:val="00B7779D"/>
    <w:rsid w:val="00B83503"/>
    <w:rsid w:val="00B84069"/>
    <w:rsid w:val="00B91B8E"/>
    <w:rsid w:val="00B9587F"/>
    <w:rsid w:val="00B95D2C"/>
    <w:rsid w:val="00B969E4"/>
    <w:rsid w:val="00BC3D36"/>
    <w:rsid w:val="00BC7A36"/>
    <w:rsid w:val="00BD54A6"/>
    <w:rsid w:val="00BD71A1"/>
    <w:rsid w:val="00BD7F72"/>
    <w:rsid w:val="00BE3E55"/>
    <w:rsid w:val="00BF7425"/>
    <w:rsid w:val="00C02D3F"/>
    <w:rsid w:val="00C038E2"/>
    <w:rsid w:val="00C04EC2"/>
    <w:rsid w:val="00C04FB3"/>
    <w:rsid w:val="00C11D8B"/>
    <w:rsid w:val="00C1347E"/>
    <w:rsid w:val="00C15139"/>
    <w:rsid w:val="00C22F57"/>
    <w:rsid w:val="00C330EB"/>
    <w:rsid w:val="00C42171"/>
    <w:rsid w:val="00C474C4"/>
    <w:rsid w:val="00C47551"/>
    <w:rsid w:val="00C50CDD"/>
    <w:rsid w:val="00C50D69"/>
    <w:rsid w:val="00C5365C"/>
    <w:rsid w:val="00C55437"/>
    <w:rsid w:val="00C56BB3"/>
    <w:rsid w:val="00C623D0"/>
    <w:rsid w:val="00C64C2C"/>
    <w:rsid w:val="00C67ACD"/>
    <w:rsid w:val="00C72FA8"/>
    <w:rsid w:val="00C737D3"/>
    <w:rsid w:val="00C73E65"/>
    <w:rsid w:val="00C752F5"/>
    <w:rsid w:val="00C754BE"/>
    <w:rsid w:val="00C758F5"/>
    <w:rsid w:val="00C76B1C"/>
    <w:rsid w:val="00C76C6D"/>
    <w:rsid w:val="00C80C92"/>
    <w:rsid w:val="00C925AC"/>
    <w:rsid w:val="00C935B1"/>
    <w:rsid w:val="00CA04C8"/>
    <w:rsid w:val="00CA2D58"/>
    <w:rsid w:val="00CA35DB"/>
    <w:rsid w:val="00CB00C3"/>
    <w:rsid w:val="00CB0A33"/>
    <w:rsid w:val="00CB6207"/>
    <w:rsid w:val="00CB6357"/>
    <w:rsid w:val="00CC0EF9"/>
    <w:rsid w:val="00CC18A4"/>
    <w:rsid w:val="00CC1B26"/>
    <w:rsid w:val="00CC2D09"/>
    <w:rsid w:val="00CC7F41"/>
    <w:rsid w:val="00CD1BA9"/>
    <w:rsid w:val="00CD24F9"/>
    <w:rsid w:val="00CD59F4"/>
    <w:rsid w:val="00CD7509"/>
    <w:rsid w:val="00CE03CD"/>
    <w:rsid w:val="00CE63EC"/>
    <w:rsid w:val="00CF51B2"/>
    <w:rsid w:val="00CF751B"/>
    <w:rsid w:val="00D04586"/>
    <w:rsid w:val="00D1458F"/>
    <w:rsid w:val="00D20926"/>
    <w:rsid w:val="00D2597B"/>
    <w:rsid w:val="00D26517"/>
    <w:rsid w:val="00D337B6"/>
    <w:rsid w:val="00D361FD"/>
    <w:rsid w:val="00D3682C"/>
    <w:rsid w:val="00D373A8"/>
    <w:rsid w:val="00D40196"/>
    <w:rsid w:val="00D423A2"/>
    <w:rsid w:val="00D44E26"/>
    <w:rsid w:val="00D51E9F"/>
    <w:rsid w:val="00D520D8"/>
    <w:rsid w:val="00D53AA0"/>
    <w:rsid w:val="00D6179A"/>
    <w:rsid w:val="00D63AC2"/>
    <w:rsid w:val="00D72382"/>
    <w:rsid w:val="00D7383B"/>
    <w:rsid w:val="00D758CA"/>
    <w:rsid w:val="00D7788A"/>
    <w:rsid w:val="00D8005D"/>
    <w:rsid w:val="00D83C2F"/>
    <w:rsid w:val="00D8447E"/>
    <w:rsid w:val="00D90155"/>
    <w:rsid w:val="00D9123B"/>
    <w:rsid w:val="00DA231B"/>
    <w:rsid w:val="00DA58FB"/>
    <w:rsid w:val="00DA702B"/>
    <w:rsid w:val="00DB3695"/>
    <w:rsid w:val="00DC39FC"/>
    <w:rsid w:val="00DC3E4A"/>
    <w:rsid w:val="00DC400D"/>
    <w:rsid w:val="00DC7DF5"/>
    <w:rsid w:val="00DD0B9E"/>
    <w:rsid w:val="00DD5A6A"/>
    <w:rsid w:val="00DD7AC1"/>
    <w:rsid w:val="00DE7CE1"/>
    <w:rsid w:val="00DF1757"/>
    <w:rsid w:val="00DF2CB3"/>
    <w:rsid w:val="00DF424A"/>
    <w:rsid w:val="00DF48C0"/>
    <w:rsid w:val="00DF5254"/>
    <w:rsid w:val="00DF5D7F"/>
    <w:rsid w:val="00E02524"/>
    <w:rsid w:val="00E0466E"/>
    <w:rsid w:val="00E118BC"/>
    <w:rsid w:val="00E14545"/>
    <w:rsid w:val="00E16408"/>
    <w:rsid w:val="00E20894"/>
    <w:rsid w:val="00E220A4"/>
    <w:rsid w:val="00E23235"/>
    <w:rsid w:val="00E245AB"/>
    <w:rsid w:val="00E2764C"/>
    <w:rsid w:val="00E27F2E"/>
    <w:rsid w:val="00E3219E"/>
    <w:rsid w:val="00E4268E"/>
    <w:rsid w:val="00E444C5"/>
    <w:rsid w:val="00E46748"/>
    <w:rsid w:val="00E50AFE"/>
    <w:rsid w:val="00E574C6"/>
    <w:rsid w:val="00E60158"/>
    <w:rsid w:val="00E73D55"/>
    <w:rsid w:val="00E7582F"/>
    <w:rsid w:val="00E75C92"/>
    <w:rsid w:val="00E771DC"/>
    <w:rsid w:val="00E83CBE"/>
    <w:rsid w:val="00E8772A"/>
    <w:rsid w:val="00E87AEF"/>
    <w:rsid w:val="00E90F6B"/>
    <w:rsid w:val="00E92C27"/>
    <w:rsid w:val="00E9394E"/>
    <w:rsid w:val="00EA0AC6"/>
    <w:rsid w:val="00EA0E3D"/>
    <w:rsid w:val="00EA237C"/>
    <w:rsid w:val="00EB18C8"/>
    <w:rsid w:val="00EB2E09"/>
    <w:rsid w:val="00EB41AB"/>
    <w:rsid w:val="00EC38A7"/>
    <w:rsid w:val="00EC60C6"/>
    <w:rsid w:val="00ED7A6F"/>
    <w:rsid w:val="00EE1AA8"/>
    <w:rsid w:val="00F01332"/>
    <w:rsid w:val="00F05628"/>
    <w:rsid w:val="00F063D7"/>
    <w:rsid w:val="00F128F0"/>
    <w:rsid w:val="00F13D68"/>
    <w:rsid w:val="00F218B9"/>
    <w:rsid w:val="00F226FC"/>
    <w:rsid w:val="00F23FEA"/>
    <w:rsid w:val="00F2749F"/>
    <w:rsid w:val="00F31EDC"/>
    <w:rsid w:val="00F34842"/>
    <w:rsid w:val="00F36B9A"/>
    <w:rsid w:val="00F462B3"/>
    <w:rsid w:val="00F4639D"/>
    <w:rsid w:val="00F523B8"/>
    <w:rsid w:val="00F5664F"/>
    <w:rsid w:val="00F604BC"/>
    <w:rsid w:val="00F63374"/>
    <w:rsid w:val="00F666C4"/>
    <w:rsid w:val="00F72407"/>
    <w:rsid w:val="00F72DFC"/>
    <w:rsid w:val="00F76AFC"/>
    <w:rsid w:val="00F83D5A"/>
    <w:rsid w:val="00F9271B"/>
    <w:rsid w:val="00F9307B"/>
    <w:rsid w:val="00F94FFC"/>
    <w:rsid w:val="00F95318"/>
    <w:rsid w:val="00F95648"/>
    <w:rsid w:val="00F970DB"/>
    <w:rsid w:val="00F97BBE"/>
    <w:rsid w:val="00FA17B8"/>
    <w:rsid w:val="00FA2640"/>
    <w:rsid w:val="00FA47C0"/>
    <w:rsid w:val="00FB5D21"/>
    <w:rsid w:val="00FB5DD1"/>
    <w:rsid w:val="00FB69B8"/>
    <w:rsid w:val="00FC2B5D"/>
    <w:rsid w:val="00FC2EED"/>
    <w:rsid w:val="00FD2151"/>
    <w:rsid w:val="00FE1E10"/>
    <w:rsid w:val="00FE34C8"/>
    <w:rsid w:val="00FE396E"/>
    <w:rsid w:val="00FF1449"/>
    <w:rsid w:val="00FF7963"/>
    <w:rsid w:val="071B8F93"/>
    <w:rsid w:val="07C73DD1"/>
    <w:rsid w:val="09908A09"/>
    <w:rsid w:val="0E0AF0F4"/>
    <w:rsid w:val="0EFE6349"/>
    <w:rsid w:val="0FF4CCA8"/>
    <w:rsid w:val="13CFC91B"/>
    <w:rsid w:val="14FBD120"/>
    <w:rsid w:val="19A2EC2C"/>
    <w:rsid w:val="21779BE6"/>
    <w:rsid w:val="24686F0C"/>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BB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6E2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848DF"/>
    <w:pPr>
      <w:spacing w:line="240" w:lineRule="exact"/>
    </w:pPr>
    <w:rPr>
      <w:vertAlign w:val="superscript"/>
    </w:rPr>
  </w:style>
  <w:style w:type="character" w:customStyle="1" w:styleId="NormalWebCar">
    <w:name w:val="Normal (Web) Car"/>
    <w:link w:val="NormalWeb"/>
    <w:uiPriority w:val="99"/>
    <w:locked/>
    <w:rsid w:val="007137BC"/>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AE6412"/>
    <w:rPr>
      <w:sz w:val="16"/>
      <w:szCs w:val="16"/>
    </w:rPr>
  </w:style>
  <w:style w:type="paragraph" w:styleId="Textocomentario">
    <w:name w:val="annotation text"/>
    <w:basedOn w:val="Normal"/>
    <w:link w:val="TextocomentarioCar"/>
    <w:uiPriority w:val="99"/>
    <w:unhideWhenUsed/>
    <w:rsid w:val="00AE6412"/>
    <w:pPr>
      <w:spacing w:line="240" w:lineRule="auto"/>
    </w:pPr>
    <w:rPr>
      <w:sz w:val="20"/>
      <w:szCs w:val="20"/>
    </w:rPr>
  </w:style>
  <w:style w:type="character" w:customStyle="1" w:styleId="TextocomentarioCar">
    <w:name w:val="Texto comentario Car"/>
    <w:basedOn w:val="Fuentedeprrafopredeter"/>
    <w:link w:val="Textocomentario"/>
    <w:uiPriority w:val="99"/>
    <w:rsid w:val="00AE6412"/>
    <w:rPr>
      <w:sz w:val="20"/>
      <w:szCs w:val="20"/>
    </w:rPr>
  </w:style>
  <w:style w:type="paragraph" w:styleId="Asuntodelcomentario">
    <w:name w:val="annotation subject"/>
    <w:basedOn w:val="Textocomentario"/>
    <w:next w:val="Textocomentario"/>
    <w:link w:val="AsuntodelcomentarioCar"/>
    <w:uiPriority w:val="99"/>
    <w:semiHidden/>
    <w:unhideWhenUsed/>
    <w:rsid w:val="00AE6412"/>
    <w:rPr>
      <w:b/>
      <w:bCs/>
    </w:rPr>
  </w:style>
  <w:style w:type="character" w:customStyle="1" w:styleId="AsuntodelcomentarioCar">
    <w:name w:val="Asunto del comentario Car"/>
    <w:basedOn w:val="TextocomentarioCar"/>
    <w:link w:val="Asuntodelcomentario"/>
    <w:uiPriority w:val="99"/>
    <w:semiHidden/>
    <w:rsid w:val="00AE64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normativa-y-relatoria/documentos-tipo" TargetMode="External"/><Relationship Id="rId18" Type="http://schemas.openxmlformats.org/officeDocument/2006/relationships/hyperlink" Target="https://formacionvirtual.colombiacompra.gov.co/mod/page/view.php?id=371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nivelcentral@gobiernobogota.gov.co" TargetMode="External"/><Relationship Id="rId17" Type="http://schemas.openxmlformats.org/officeDocument/2006/relationships/hyperlink" Target="https://relatoria.colombiacompra.gov.co/busqueda/concepto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0"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olombiacompra.gov.co/normativa-y-relatoria/documentos-tip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8BECD9C0-C4AB-47B5-9215-E16A09647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955F5E-35F3-49CF-82B4-96DF0EF12756}">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17</Pages>
  <Words>5828</Words>
  <Characters>32054</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37807</CharactersWithSpaces>
  <SharedDoc>false</SharedDoc>
  <HLinks>
    <vt:vector size="6" baseType="variant">
      <vt:variant>
        <vt:i4>3014725</vt:i4>
      </vt:variant>
      <vt:variant>
        <vt:i4>0</vt:i4>
      </vt:variant>
      <vt:variant>
        <vt:i4>0</vt:i4>
      </vt:variant>
      <vt:variant>
        <vt:i4>5</vt:i4>
      </vt:variant>
      <vt:variant>
        <vt:lpwstr>mailto:nivelcentral@gobiernobogota.gov.co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2026-07-17T14:30:00Z</dcterms:created>
  <dcterms:modified xsi:type="dcterms:W3CDTF">2026-07-17T16:47:00Z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