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D3F3B" w14:textId="77777777" w:rsidR="00B26F3E" w:rsidRPr="00B04B6A" w:rsidRDefault="00B26F3E" w:rsidP="00B26F3E">
      <w:pPr>
        <w:spacing w:after="0" w:line="276" w:lineRule="auto"/>
        <w:jc w:val="both"/>
        <w:rPr>
          <w:rFonts w:ascii="Verdana" w:eastAsia="Calibri" w:hAnsi="Verdana" w:cs="Arial"/>
          <w:b/>
          <w:lang w:val="es-ES" w:eastAsia="es-ES"/>
        </w:rPr>
      </w:pPr>
      <w:bookmarkStart w:id="0" w:name="_Hlk143780582"/>
      <w:r w:rsidRPr="00B04B6A">
        <w:rPr>
          <w:rFonts w:ascii="Verdana" w:eastAsia="Calibri" w:hAnsi="Verdana" w:cs="Arial"/>
          <w:b/>
          <w:lang w:val="es-ES" w:eastAsia="es-ES"/>
        </w:rPr>
        <w:t xml:space="preserve">CONTRATO ESTATAL – Régimen jurídico </w:t>
      </w:r>
    </w:p>
    <w:p w14:paraId="36CF631F" w14:textId="77777777" w:rsidR="00B26F3E" w:rsidRDefault="00B26F3E" w:rsidP="00B26F3E">
      <w:pPr>
        <w:spacing w:after="0" w:line="276" w:lineRule="auto"/>
        <w:jc w:val="both"/>
        <w:rPr>
          <w:rFonts w:ascii="Verdana" w:eastAsia="Calibri" w:hAnsi="Verdana" w:cs="Arial"/>
          <w:b/>
          <w:lang w:val="es-ES" w:eastAsia="es-ES"/>
        </w:rPr>
      </w:pPr>
    </w:p>
    <w:p w14:paraId="4D1A67F0" w14:textId="77777777" w:rsidR="00B26F3E" w:rsidRPr="000876F0" w:rsidRDefault="00B26F3E" w:rsidP="00B26F3E">
      <w:pPr>
        <w:spacing w:after="0" w:line="240" w:lineRule="auto"/>
        <w:jc w:val="both"/>
        <w:rPr>
          <w:rFonts w:ascii="Verdana" w:eastAsia="Arial" w:hAnsi="Verdana" w:cs="Arial"/>
          <w:color w:val="000000" w:themeColor="text1"/>
          <w:sz w:val="20"/>
          <w:szCs w:val="20"/>
        </w:rPr>
      </w:pPr>
      <w:r w:rsidRPr="000876F0">
        <w:rPr>
          <w:rFonts w:ascii="Verdana" w:eastAsia="Arial" w:hAnsi="Verdana" w:cs="Arial"/>
          <w:color w:val="000000" w:themeColor="text1"/>
          <w:sz w:val="20"/>
          <w:szCs w:val="20"/>
          <w:lang w:val="es-ES"/>
        </w:rPr>
        <w:t xml:space="preserve">Respecto al régimen jurídico de las </w:t>
      </w:r>
      <w:r w:rsidRPr="000876F0">
        <w:rPr>
          <w:rFonts w:ascii="Verdana" w:eastAsia="Arial" w:hAnsi="Verdana" w:cs="Arial"/>
          <w:i/>
          <w:iCs/>
          <w:color w:val="000000" w:themeColor="text1"/>
          <w:sz w:val="20"/>
          <w:szCs w:val="20"/>
          <w:lang w:val="es-ES"/>
        </w:rPr>
        <w:t>entidades sometidas</w:t>
      </w:r>
      <w:r w:rsidRPr="000876F0">
        <w:rPr>
          <w:rFonts w:ascii="Verdana" w:eastAsia="Arial" w:hAnsi="Verdana" w:cs="Arial"/>
          <w:color w:val="000000" w:themeColor="text1"/>
          <w:sz w:val="20"/>
          <w:szCs w:val="20"/>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876F0">
        <w:rPr>
          <w:rFonts w:ascii="Verdana" w:eastAsia="Arial" w:hAnsi="Verdana" w:cs="Arial"/>
          <w:color w:val="000000" w:themeColor="text1"/>
          <w:sz w:val="20"/>
          <w:szCs w:val="20"/>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09124D90" w14:textId="77777777" w:rsidR="00B26F3E" w:rsidRPr="00B04B6A" w:rsidRDefault="00B26F3E" w:rsidP="00B26F3E">
      <w:pPr>
        <w:spacing w:after="0" w:line="276" w:lineRule="auto"/>
        <w:jc w:val="both"/>
        <w:rPr>
          <w:rFonts w:ascii="Verdana" w:eastAsia="Calibri" w:hAnsi="Verdana" w:cs="Arial"/>
          <w:b/>
          <w:lang w:eastAsia="es-ES"/>
        </w:rPr>
      </w:pPr>
    </w:p>
    <w:p w14:paraId="1E364BF4" w14:textId="77777777" w:rsidR="00B26F3E" w:rsidRDefault="00B26F3E" w:rsidP="00B26F3E">
      <w:pPr>
        <w:spacing w:after="0" w:line="276" w:lineRule="auto"/>
        <w:jc w:val="both"/>
        <w:rPr>
          <w:rFonts w:ascii="Verdana" w:eastAsia="Calibri" w:hAnsi="Verdana" w:cs="Arial"/>
          <w:b/>
          <w:lang w:val="es-ES" w:eastAsia="es-ES"/>
        </w:rPr>
      </w:pPr>
      <w:r w:rsidRPr="00B04B6A">
        <w:rPr>
          <w:rFonts w:ascii="Verdana" w:eastAsia="Calibri" w:hAnsi="Verdana" w:cs="Arial"/>
          <w:b/>
          <w:lang w:val="es-ES" w:eastAsia="es-ES"/>
        </w:rPr>
        <w:t>RÉGIMEN EXCEPCIONAL – Justificación – Criterios de clasificación</w:t>
      </w:r>
    </w:p>
    <w:p w14:paraId="240CA3CA" w14:textId="77777777" w:rsidR="00B26F3E" w:rsidRDefault="00B26F3E" w:rsidP="00B26F3E">
      <w:pPr>
        <w:spacing w:after="0" w:line="276" w:lineRule="auto"/>
        <w:jc w:val="both"/>
        <w:rPr>
          <w:rFonts w:ascii="Verdana" w:eastAsia="Calibri" w:hAnsi="Verdana" w:cs="Arial"/>
          <w:b/>
          <w:lang w:val="es-ES" w:eastAsia="es-ES"/>
        </w:rPr>
      </w:pPr>
    </w:p>
    <w:p w14:paraId="13F42F30" w14:textId="77777777" w:rsidR="00B26F3E" w:rsidRPr="000876F0" w:rsidRDefault="00B26F3E" w:rsidP="00B26F3E">
      <w:pPr>
        <w:spacing w:after="0" w:line="240" w:lineRule="auto"/>
        <w:jc w:val="both"/>
        <w:rPr>
          <w:rFonts w:ascii="Verdana" w:hAnsi="Verdana" w:cs="Arial"/>
          <w:color w:val="000000" w:themeColor="text1"/>
          <w:sz w:val="20"/>
          <w:szCs w:val="20"/>
          <w:lang w:val="es-ES_tradnl"/>
        </w:rPr>
      </w:pPr>
      <w:r w:rsidRPr="000876F0">
        <w:rPr>
          <w:rFonts w:ascii="Verdana" w:hAnsi="Verdana" w:cs="Arial"/>
          <w:color w:val="000000" w:themeColor="text1"/>
          <w:sz w:val="20"/>
          <w:szCs w:val="20"/>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flexibilizar el ejercicio de la función administrativa –como en los contratos del Banco de la República o los de ciencia y tecnología– o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la asignación de un esquema legal especial,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el objeto del contrato celebrado y </w:t>
      </w:r>
      <w:proofErr w:type="spellStart"/>
      <w:r w:rsidRPr="000876F0">
        <w:rPr>
          <w:rFonts w:ascii="Verdana" w:hAnsi="Verdana" w:cs="Arial"/>
          <w:color w:val="000000" w:themeColor="text1"/>
          <w:sz w:val="20"/>
          <w:szCs w:val="20"/>
        </w:rPr>
        <w:t>iv</w:t>
      </w:r>
      <w:proofErr w:type="spellEnd"/>
      <w:r w:rsidRPr="000876F0">
        <w:rPr>
          <w:rFonts w:ascii="Verdana" w:hAnsi="Verdana" w:cs="Arial"/>
          <w:color w:val="000000" w:themeColor="text1"/>
          <w:sz w:val="20"/>
          <w:szCs w:val="20"/>
        </w:rPr>
        <w:t>) la existencia de fondos que administran recursos públicos</w:t>
      </w:r>
      <w:r w:rsidRPr="000876F0">
        <w:rPr>
          <w:rFonts w:ascii="Verdana" w:hAnsi="Verdana" w:cs="Arial"/>
          <w:color w:val="000000" w:themeColor="text1"/>
          <w:sz w:val="20"/>
          <w:szCs w:val="20"/>
          <w:lang w:val="es-ES_tradnl"/>
        </w:rPr>
        <w:t>.</w:t>
      </w:r>
    </w:p>
    <w:p w14:paraId="17F6155F" w14:textId="77777777" w:rsidR="00B26F3E" w:rsidRPr="00B26F3E" w:rsidRDefault="00B26F3E" w:rsidP="00B26F3E">
      <w:pPr>
        <w:spacing w:after="0"/>
        <w:jc w:val="both"/>
        <w:rPr>
          <w:rFonts w:ascii="Verdana" w:hAnsi="Verdana"/>
          <w:b/>
          <w:lang w:val="es-ES_tradnl"/>
        </w:rPr>
      </w:pPr>
    </w:p>
    <w:p w14:paraId="63FCEAED" w14:textId="77777777" w:rsidR="00B26F3E" w:rsidRPr="00B26F3E" w:rsidRDefault="00B26F3E" w:rsidP="00B26F3E">
      <w:pPr>
        <w:spacing w:after="0"/>
        <w:jc w:val="both"/>
        <w:rPr>
          <w:rFonts w:ascii="Verdana" w:hAnsi="Verdana"/>
          <w:b/>
          <w:lang w:val="es-ES_tradnl"/>
        </w:rPr>
      </w:pPr>
      <w:r w:rsidRPr="00B26F3E">
        <w:rPr>
          <w:rFonts w:ascii="Verdana" w:hAnsi="Verdana"/>
          <w:b/>
          <w:lang w:val="es-ES_tradnl"/>
        </w:rPr>
        <w:t xml:space="preserve">ENTIDADES DE RÉGIMEN ESPECIAL – Definición – Reglas aplicables – </w:t>
      </w:r>
      <w:r w:rsidRPr="00B26F3E">
        <w:rPr>
          <w:rFonts w:ascii="Verdana" w:hAnsi="Verdana"/>
          <w:b/>
        </w:rPr>
        <w:t>Cláusulas excepcionales</w:t>
      </w:r>
      <w:r w:rsidRPr="00B26F3E">
        <w:rPr>
          <w:rFonts w:ascii="Verdana" w:hAnsi="Verdana"/>
          <w:b/>
          <w:lang w:val="es-ES_tradnl"/>
        </w:rPr>
        <w:t xml:space="preserve"> </w:t>
      </w:r>
    </w:p>
    <w:p w14:paraId="7D5653B1" w14:textId="6B1F590F" w:rsidR="00B26F3E" w:rsidRPr="00B26F3E" w:rsidRDefault="00B26F3E" w:rsidP="00B26F3E">
      <w:pPr>
        <w:spacing w:after="0"/>
        <w:jc w:val="both"/>
        <w:rPr>
          <w:rFonts w:ascii="Verdana" w:hAnsi="Verdana"/>
          <w:b/>
          <w:lang w:val="es-ES_tradnl"/>
        </w:rPr>
      </w:pPr>
    </w:p>
    <w:p w14:paraId="5A5C1F98" w14:textId="77777777" w:rsidR="00B26F3E" w:rsidRPr="00B26F3E" w:rsidRDefault="00B26F3E" w:rsidP="00B26F3E">
      <w:pPr>
        <w:spacing w:after="0" w:line="240" w:lineRule="auto"/>
        <w:jc w:val="both"/>
        <w:rPr>
          <w:rFonts w:ascii="Verdana" w:hAnsi="Verdana"/>
          <w:sz w:val="20"/>
          <w:lang w:val="es-ES"/>
        </w:rPr>
      </w:pPr>
      <w:r w:rsidRPr="00B26F3E">
        <w:rPr>
          <w:rFonts w:ascii="Verdana" w:hAnsi="Verdana"/>
          <w:sz w:val="20"/>
          <w:lang w:val="es-ES"/>
        </w:rPr>
        <w:t>Ahora bien, en torno a la aplicabilidad de las cláusulas excepcionales, se debe tener en cuenta que dichas cláusulas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p>
    <w:p w14:paraId="473138E1" w14:textId="77777777" w:rsidR="00B26F3E" w:rsidRDefault="00B26F3E" w:rsidP="00B26F3E">
      <w:pPr>
        <w:spacing w:after="0" w:line="240" w:lineRule="auto"/>
        <w:jc w:val="both"/>
        <w:rPr>
          <w:rFonts w:ascii="Verdana" w:hAnsi="Verdana"/>
          <w:sz w:val="20"/>
          <w:lang w:val="es-ES"/>
        </w:rPr>
      </w:pPr>
    </w:p>
    <w:p w14:paraId="1B34EB41" w14:textId="67912B26" w:rsidR="00B26F3E" w:rsidRPr="00B26F3E" w:rsidRDefault="00B26F3E" w:rsidP="00B26F3E">
      <w:pPr>
        <w:spacing w:after="0" w:line="240" w:lineRule="auto"/>
        <w:jc w:val="both"/>
        <w:rPr>
          <w:rFonts w:ascii="Verdana" w:hAnsi="Verdana"/>
          <w:iCs/>
          <w:sz w:val="20"/>
        </w:rPr>
      </w:pPr>
      <w:r w:rsidRPr="00B26F3E">
        <w:rPr>
          <w:rFonts w:ascii="Verdana" w:hAnsi="Verdana"/>
          <w:sz w:val="20"/>
          <w:lang w:val="es-ES"/>
        </w:rPr>
        <w:t xml:space="preserve">El hecho de que dichos entes tengan un régimen de contratación especial implica que en los contratos que celebren no resulta viable incorporar las cláusulas  exorbitantes o excepcionales, </w:t>
      </w:r>
      <w:r w:rsidRPr="00B26F3E">
        <w:rPr>
          <w:rFonts w:ascii="Verdana" w:hAnsi="Verdana"/>
          <w:iCs/>
          <w:sz w:val="20"/>
        </w:rPr>
        <w:t xml:space="preserve">con base en las cuales la entidades sometidas al EGCAP ejercen la dirección general del contrato y realizan las actividades propias de vigilancia y control, entre las que se encuentran: i) las cláusulas excepcionales del artículo 14 de la Ley 80 de 1993, donde se encuentran la terminación unilateral, la interpretación unilateral, la modificación unilateral, la caducidad y la reversión, las cuales se desarrollan en los artículos 15 a 19 </w:t>
      </w:r>
      <w:r w:rsidRPr="00B26F3E">
        <w:rPr>
          <w:rFonts w:ascii="Verdana" w:hAnsi="Verdana"/>
          <w:i/>
          <w:sz w:val="20"/>
        </w:rPr>
        <w:t>ibidem</w:t>
      </w:r>
      <w:r w:rsidRPr="00B26F3E">
        <w:rPr>
          <w:rFonts w:ascii="Verdana" w:hAnsi="Verdana"/>
          <w:iCs/>
          <w:sz w:val="20"/>
        </w:rPr>
        <w:t xml:space="preserve">; </w:t>
      </w:r>
      <w:proofErr w:type="spellStart"/>
      <w:r w:rsidRPr="00B26F3E">
        <w:rPr>
          <w:rFonts w:ascii="Verdana" w:hAnsi="Verdana"/>
          <w:iCs/>
          <w:sz w:val="20"/>
        </w:rPr>
        <w:t>ii</w:t>
      </w:r>
      <w:proofErr w:type="spellEnd"/>
      <w:r w:rsidRPr="00B26F3E">
        <w:rPr>
          <w:rFonts w:ascii="Verdana" w:hAnsi="Verdana"/>
          <w:iCs/>
          <w:sz w:val="20"/>
        </w:rPr>
        <w:t xml:space="preserve">) en otras disposiciones también se encuentran establecidas otras potestades exorbitantes, como la liquidación unilateral y la declaratoria unilateral </w:t>
      </w:r>
      <w:r w:rsidRPr="00B26F3E">
        <w:rPr>
          <w:rFonts w:ascii="Verdana" w:hAnsi="Verdana"/>
          <w:iCs/>
          <w:sz w:val="20"/>
        </w:rPr>
        <w:lastRenderedPageBreak/>
        <w:t xml:space="preserve">del siniestro; y </w:t>
      </w:r>
      <w:proofErr w:type="spellStart"/>
      <w:r w:rsidRPr="00B26F3E">
        <w:rPr>
          <w:rFonts w:ascii="Verdana" w:hAnsi="Verdana"/>
          <w:iCs/>
          <w:sz w:val="20"/>
        </w:rPr>
        <w:t>iii</w:t>
      </w:r>
      <w:proofErr w:type="spellEnd"/>
      <w:r w:rsidRPr="00B26F3E">
        <w:rPr>
          <w:rFonts w:ascii="Verdana" w:hAnsi="Verdana"/>
          <w:iCs/>
          <w:sz w:val="20"/>
        </w:rPr>
        <w:t xml:space="preserve">) las cláusulas excepcionales de </w:t>
      </w:r>
      <w:r w:rsidRPr="00B26F3E">
        <w:rPr>
          <w:rFonts w:ascii="Verdana" w:hAnsi="Verdana"/>
          <w:i/>
          <w:sz w:val="20"/>
        </w:rPr>
        <w:t>imposición unilateral</w:t>
      </w:r>
      <w:r w:rsidRPr="00B26F3E">
        <w:rPr>
          <w:rFonts w:ascii="Verdana" w:hAnsi="Verdana"/>
          <w:iCs/>
          <w:sz w:val="20"/>
        </w:rPr>
        <w:t xml:space="preserve"> de las cláusulas penales y de multas, cuya exorbitancia se refiere a su imposición unilateral. </w:t>
      </w:r>
    </w:p>
    <w:p w14:paraId="2CA873E9" w14:textId="77777777" w:rsidR="00B26F3E" w:rsidRPr="00B26F3E" w:rsidRDefault="00B26F3E" w:rsidP="00B26F3E">
      <w:pPr>
        <w:spacing w:after="0"/>
        <w:jc w:val="both"/>
        <w:rPr>
          <w:rFonts w:ascii="Verdana" w:hAnsi="Verdana"/>
          <w:b/>
        </w:rPr>
      </w:pPr>
    </w:p>
    <w:p w14:paraId="27E35E22" w14:textId="77777777" w:rsidR="00B26F3E" w:rsidRPr="00B26F3E" w:rsidRDefault="00B26F3E" w:rsidP="00B26F3E">
      <w:pPr>
        <w:spacing w:after="0"/>
        <w:jc w:val="both"/>
        <w:rPr>
          <w:rFonts w:ascii="Verdana" w:hAnsi="Verdana"/>
          <w:b/>
          <w:lang w:val="es-ES_tradnl"/>
        </w:rPr>
      </w:pPr>
      <w:r w:rsidRPr="00B26F3E">
        <w:rPr>
          <w:rFonts w:ascii="Verdana" w:hAnsi="Verdana"/>
          <w:b/>
          <w:lang w:val="es-ES_tradnl"/>
        </w:rPr>
        <w:t xml:space="preserve">DECLARATORIA DE INCUMPLIMIENTO – Derecho privado – Autonomía de la voluntad – Actos contractuales </w:t>
      </w:r>
    </w:p>
    <w:p w14:paraId="46A144A7" w14:textId="2D184901" w:rsidR="00B26F3E" w:rsidRPr="00B26F3E" w:rsidRDefault="00B26F3E" w:rsidP="00B26F3E">
      <w:pPr>
        <w:spacing w:after="0"/>
        <w:jc w:val="both"/>
        <w:rPr>
          <w:rFonts w:ascii="Verdana" w:hAnsi="Verdana"/>
          <w:b/>
          <w:lang w:val="es-ES_tradnl"/>
        </w:rPr>
      </w:pPr>
    </w:p>
    <w:p w14:paraId="5F77FADE" w14:textId="181759D0" w:rsidR="00B26F3E" w:rsidRDefault="00B26F3E" w:rsidP="00B26F3E">
      <w:pPr>
        <w:spacing w:after="0" w:line="240" w:lineRule="auto"/>
        <w:jc w:val="both"/>
        <w:rPr>
          <w:rFonts w:ascii="Verdana" w:hAnsi="Verdana"/>
          <w:sz w:val="20"/>
        </w:rPr>
      </w:pPr>
      <w:r w:rsidRPr="00B26F3E">
        <w:rPr>
          <w:rFonts w:ascii="Verdana" w:hAnsi="Verdana"/>
          <w:iCs/>
          <w:sz w:val="20"/>
        </w:rPr>
        <w:t xml:space="preserve">Conforme a lo anterior, es claro que, de acuerdo con la jurisprudencia de la Sección Tercera del Consejo de Estado, es viable que entidades estatales exceptuadas del EGCAP, ejerzan la autonomía de la voluntad estableciendo potestades de ejercicio unilateral, estableciendo los mecanismos para hacerlas efectivas. No obstante, a diferencia de lo que sucede con los actos que se expiden como consecuencia del procedimiento establecido en el artículo 86 de la Ley 1474 de 2011, los actos contractuales que resultan del ejercicio de estas potestades no son considerados actos administrativos, sino contractuales. </w:t>
      </w:r>
      <w:r w:rsidRPr="00B26F3E">
        <w:rPr>
          <w:rFonts w:ascii="Verdana" w:hAnsi="Verdana"/>
          <w:sz w:val="20"/>
          <w:lang w:val="es-ES_tradnl"/>
        </w:rPr>
        <w:t xml:space="preserve">Esto resulta coherente con la jurisprudencia de </w:t>
      </w:r>
      <w:r w:rsidRPr="00B26F3E">
        <w:rPr>
          <w:rFonts w:ascii="Verdana" w:hAnsi="Verdana"/>
          <w:sz w:val="20"/>
        </w:rPr>
        <w:t>la Sala de Casación Civil de la Corte Suprema de Justicia que confirma la validez del pacto de poderes unilaterales en el marco de los contratos de derecho privado, como expresión de la capacidad negocial de las partes amparada su autonomía de la voluntad, que se materializa a través actos jurídicos unilaterales de derecho privado.</w:t>
      </w:r>
    </w:p>
    <w:p w14:paraId="52DD4A4B" w14:textId="77777777" w:rsidR="00B26F3E" w:rsidRPr="00B26F3E" w:rsidRDefault="00B26F3E" w:rsidP="00B26F3E">
      <w:pPr>
        <w:spacing w:after="0" w:line="240" w:lineRule="auto"/>
        <w:jc w:val="both"/>
        <w:rPr>
          <w:rFonts w:ascii="Verdana" w:hAnsi="Verdana"/>
          <w:sz w:val="20"/>
        </w:rPr>
      </w:pPr>
    </w:p>
    <w:p w14:paraId="18E00E63" w14:textId="77777777" w:rsidR="00B26F3E" w:rsidRPr="00B26F3E" w:rsidRDefault="00B26F3E" w:rsidP="00B26F3E">
      <w:pPr>
        <w:spacing w:after="0" w:line="240" w:lineRule="auto"/>
        <w:jc w:val="both"/>
        <w:rPr>
          <w:rFonts w:ascii="Verdana" w:hAnsi="Verdana"/>
          <w:sz w:val="20"/>
        </w:rPr>
      </w:pPr>
      <w:r w:rsidRPr="00B26F3E">
        <w:rPr>
          <w:rFonts w:ascii="Verdana" w:hAnsi="Verdana"/>
          <w:sz w:val="20"/>
        </w:rPr>
        <w:t>En ese orden de ideas, las entidades exceptuadas del EGCAP pueden hacer uso de la autonomía de la voluntad estableciendo estipulaciones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w:t>
      </w:r>
    </w:p>
    <w:p w14:paraId="17B5838F" w14:textId="77777777" w:rsidR="00B26F3E" w:rsidRPr="00B26F3E" w:rsidRDefault="00B26F3E" w:rsidP="00B26F3E">
      <w:pPr>
        <w:spacing w:after="0"/>
        <w:jc w:val="both"/>
        <w:rPr>
          <w:rFonts w:ascii="Verdana" w:hAnsi="Verdana"/>
          <w:b/>
          <w:lang w:val="es-ES_tradnl"/>
        </w:rPr>
      </w:pPr>
    </w:p>
    <w:p w14:paraId="75A940D9" w14:textId="77777777" w:rsidR="00B26F3E" w:rsidRPr="00B26F3E" w:rsidRDefault="00B26F3E" w:rsidP="00B26F3E">
      <w:pPr>
        <w:spacing w:after="0"/>
        <w:jc w:val="both"/>
        <w:rPr>
          <w:rFonts w:ascii="Verdana" w:hAnsi="Verdana"/>
          <w:b/>
          <w:lang w:val="es-ES_tradnl"/>
        </w:rPr>
      </w:pPr>
      <w:r w:rsidRPr="00B26F3E">
        <w:rPr>
          <w:rFonts w:ascii="Verdana" w:hAnsi="Verdana"/>
          <w:b/>
          <w:lang w:val="es-ES_tradnl"/>
        </w:rPr>
        <w:t xml:space="preserve">TERMINACIÓN UNILATERAL –Procedencia – Autonomía de la voluntad – Postura del Consejo de Estado </w:t>
      </w:r>
    </w:p>
    <w:p w14:paraId="6FEF65B0" w14:textId="57895BE5" w:rsidR="00B26F3E" w:rsidRDefault="00B26F3E" w:rsidP="00B26F3E">
      <w:pPr>
        <w:spacing w:after="0"/>
        <w:jc w:val="both"/>
        <w:rPr>
          <w:rFonts w:ascii="Verdana" w:hAnsi="Verdana"/>
          <w:b/>
          <w:lang w:val="es-ES_tradnl"/>
        </w:rPr>
      </w:pPr>
    </w:p>
    <w:p w14:paraId="0C8EAE1B" w14:textId="3AC36D92" w:rsidR="00D3404A" w:rsidRPr="00D3404A" w:rsidRDefault="00D3404A" w:rsidP="00D3404A">
      <w:pPr>
        <w:spacing w:after="0" w:line="240" w:lineRule="auto"/>
        <w:jc w:val="both"/>
        <w:rPr>
          <w:rFonts w:ascii="Verdana" w:hAnsi="Verdana"/>
          <w:bCs/>
          <w:sz w:val="20"/>
          <w:lang w:val="es-ES"/>
        </w:rPr>
      </w:pPr>
      <w:r w:rsidRPr="00D3404A">
        <w:rPr>
          <w:rFonts w:ascii="Verdana" w:hAnsi="Verdana"/>
          <w:bCs/>
          <w:sz w:val="20"/>
        </w:rPr>
        <w:t>Esta postura implica entender que la terminación unilateral por incumplimiento puede aplicarse a todos los tipos contractuales, sin necesidad de una habilitación legal, al fundarse bajo el principio de la autonomía de la voluntad de las partes. Es decir, la posibilidad de estipular este tipo de cláusulas como elementos accidentales, y no propiamente depender de los dispuesto en los diferentes</w:t>
      </w:r>
      <w:r w:rsidRPr="00D3404A">
        <w:rPr>
          <w:rFonts w:ascii="Verdana" w:hAnsi="Verdana"/>
          <w:bCs/>
          <w:sz w:val="20"/>
          <w:lang w:val="es-ES"/>
        </w:rPr>
        <w:t xml:space="preserve"> tipos contractuales, donde es una manifestación del poder de </w:t>
      </w:r>
      <w:r w:rsidRPr="00D3404A">
        <w:rPr>
          <w:rFonts w:ascii="Verdana" w:hAnsi="Verdana"/>
          <w:bCs/>
          <w:i/>
          <w:sz w:val="20"/>
          <w:lang w:val="es-ES"/>
        </w:rPr>
        <w:t>autotutela</w:t>
      </w:r>
      <w:r w:rsidRPr="00D3404A">
        <w:rPr>
          <w:rFonts w:ascii="Verdana" w:hAnsi="Verdana"/>
          <w:bCs/>
          <w:sz w:val="20"/>
          <w:lang w:val="es-ES"/>
        </w:rPr>
        <w:t xml:space="preserve"> en el Derecho privado. Al respecto, el doctrinante italiano Massimo Bianca expresa que la </w:t>
      </w:r>
      <w:r w:rsidRPr="00D3404A">
        <w:rPr>
          <w:rFonts w:ascii="Verdana" w:hAnsi="Verdana"/>
          <w:bCs/>
          <w:i/>
          <w:sz w:val="20"/>
          <w:lang w:val="es-ES"/>
        </w:rPr>
        <w:t>resolución negocial</w:t>
      </w:r>
      <w:r w:rsidRPr="00D3404A">
        <w:rPr>
          <w:rFonts w:ascii="Verdana" w:hAnsi="Verdana"/>
          <w:bCs/>
          <w:sz w:val="20"/>
          <w:lang w:val="es-ES"/>
        </w:rPr>
        <w:t xml:space="preserve"> es la extinción del contrato por un acto de autonomía, que se evidencia con la revocación o el desistimiento. </w:t>
      </w:r>
    </w:p>
    <w:p w14:paraId="0DD0B9E9" w14:textId="77777777" w:rsidR="00D3404A" w:rsidRPr="00D3404A" w:rsidRDefault="00D3404A" w:rsidP="00D3404A">
      <w:pPr>
        <w:spacing w:after="0" w:line="240" w:lineRule="auto"/>
        <w:jc w:val="both"/>
        <w:rPr>
          <w:rFonts w:ascii="Verdana" w:hAnsi="Verdana"/>
          <w:bCs/>
          <w:sz w:val="20"/>
          <w:lang w:val="es-ES"/>
        </w:rPr>
      </w:pPr>
    </w:p>
    <w:p w14:paraId="58B9F030" w14:textId="7BDAA3F4" w:rsidR="00D3404A" w:rsidRPr="00D3404A" w:rsidRDefault="00D3404A" w:rsidP="00D3404A">
      <w:pPr>
        <w:spacing w:after="0" w:line="240" w:lineRule="auto"/>
        <w:jc w:val="both"/>
        <w:rPr>
          <w:rFonts w:ascii="Verdana" w:hAnsi="Verdana"/>
          <w:bCs/>
          <w:sz w:val="20"/>
          <w:lang w:val="es-ES"/>
        </w:rPr>
      </w:pPr>
      <w:r w:rsidRPr="00D3404A">
        <w:rPr>
          <w:rFonts w:ascii="Verdana" w:hAnsi="Verdana"/>
          <w:bCs/>
          <w:sz w:val="20"/>
          <w:lang w:val="es-ES"/>
        </w:rPr>
        <w:t xml:space="preserve">Esta segunda postura es la tesis predominante dentro del Consejo de Estado, que se ha terminado de consolidar con la Sentencia de Unificación del 9 de mayo de 2024, en la que se expresa que es válido que las empresas de servicios públicos domiciliarios que son </w:t>
      </w:r>
      <w:r w:rsidRPr="00D3404A">
        <w:rPr>
          <w:rFonts w:ascii="Verdana" w:hAnsi="Verdana"/>
          <w:bCs/>
          <w:iCs/>
          <w:sz w:val="20"/>
        </w:rPr>
        <w:t>entidades estatales exceptuadas del EGCAP, ejerzan la autonomía de la voluntad estableciendo potestades de ejercicio unilateral, estableciendo los mecanismos para hacerlas efectivas. Por tanto, los actos que resultan del ejercicio de estas potestades no son considerados actos administrativos, sino contractuales, en el marco de la autonomía de la voluntad.</w:t>
      </w:r>
    </w:p>
    <w:p w14:paraId="4B97426C" w14:textId="77777777" w:rsidR="00D3404A" w:rsidRPr="00D3404A" w:rsidRDefault="00D3404A" w:rsidP="00B26F3E">
      <w:pPr>
        <w:spacing w:after="0"/>
        <w:jc w:val="both"/>
        <w:rPr>
          <w:rFonts w:ascii="Verdana" w:hAnsi="Verdana"/>
          <w:b/>
          <w:sz w:val="20"/>
          <w:lang w:val="es-ES"/>
        </w:rPr>
      </w:pPr>
    </w:p>
    <w:p w14:paraId="27750DFB" w14:textId="77777777" w:rsidR="00B26F3E" w:rsidRPr="00B26F3E" w:rsidRDefault="00B26F3E" w:rsidP="00B26F3E">
      <w:pPr>
        <w:spacing w:after="0"/>
        <w:jc w:val="both"/>
        <w:rPr>
          <w:rFonts w:ascii="Verdana" w:hAnsi="Verdana"/>
          <w:b/>
          <w:lang w:val="es-ES_tradnl"/>
        </w:rPr>
      </w:pPr>
      <w:r w:rsidRPr="00B26F3E">
        <w:rPr>
          <w:rFonts w:ascii="Verdana" w:hAnsi="Verdana"/>
          <w:b/>
          <w:lang w:val="es-ES_tradnl"/>
        </w:rPr>
        <w:t xml:space="preserve">LIQUIDACIÓN UNILATERAL – Procedencia – Postura del Consejo de Estado </w:t>
      </w:r>
    </w:p>
    <w:p w14:paraId="0F8C3D86" w14:textId="77777777" w:rsidR="00B26F3E" w:rsidRPr="00B26F3E" w:rsidRDefault="00B26F3E" w:rsidP="00B26F3E">
      <w:pPr>
        <w:spacing w:after="0"/>
        <w:jc w:val="both"/>
        <w:rPr>
          <w:rFonts w:ascii="Verdana" w:hAnsi="Verdana"/>
          <w:b/>
          <w:lang w:val="es-ES_tradnl"/>
        </w:rPr>
      </w:pPr>
    </w:p>
    <w:p w14:paraId="4476DB0F" w14:textId="4CD9C14D" w:rsidR="00D3404A" w:rsidRPr="00D3404A" w:rsidRDefault="00D3404A" w:rsidP="00D3404A">
      <w:pPr>
        <w:spacing w:after="0" w:line="240" w:lineRule="auto"/>
        <w:jc w:val="both"/>
        <w:rPr>
          <w:rFonts w:ascii="Verdana" w:hAnsi="Verdana"/>
          <w:sz w:val="20"/>
        </w:rPr>
      </w:pPr>
      <w:r w:rsidRPr="00D3404A">
        <w:rPr>
          <w:rFonts w:ascii="Verdana" w:hAnsi="Verdana"/>
          <w:sz w:val="20"/>
        </w:rPr>
        <w:t xml:space="preserve">En torno a la liquidación unilateral para entidades de régimen especial, se encuentran dos posturas: i) la liquidación unilateral no procede en los contratos suscritos por entidades de régimen especial de contratación, al ser una facultad o potestad que debe estar conferida por la ley, es decir, las partes no pueden pactar una prerrogativa ni mucho menos imponerla; </w:t>
      </w:r>
      <w:proofErr w:type="spellStart"/>
      <w:r w:rsidRPr="00D3404A">
        <w:rPr>
          <w:rFonts w:ascii="Verdana" w:hAnsi="Verdana"/>
          <w:sz w:val="20"/>
        </w:rPr>
        <w:t>ii</w:t>
      </w:r>
      <w:proofErr w:type="spellEnd"/>
      <w:r w:rsidRPr="00D3404A">
        <w:rPr>
          <w:rFonts w:ascii="Verdana" w:hAnsi="Verdana"/>
          <w:sz w:val="20"/>
        </w:rPr>
        <w:t xml:space="preserve">) la liquidación unilateral es válido porque no contiene el ejercicio de una facultad exorbitante, por el contrario, bajo el principio de autonomía de la voluntad es posible su estipulación.  </w:t>
      </w:r>
    </w:p>
    <w:p w14:paraId="4DF118E6" w14:textId="77777777" w:rsidR="00B26F3E" w:rsidRPr="00D3404A" w:rsidRDefault="00B26F3E" w:rsidP="00B26F3E">
      <w:pPr>
        <w:spacing w:after="0"/>
        <w:jc w:val="both"/>
        <w:rPr>
          <w:rFonts w:ascii="Verdana" w:hAnsi="Verdana"/>
          <w:b/>
        </w:rPr>
      </w:pPr>
    </w:p>
    <w:p w14:paraId="5AC0A24B" w14:textId="275704E6" w:rsidR="00B26F3E" w:rsidRPr="00B26F3E" w:rsidRDefault="00B26F3E" w:rsidP="00B26F3E">
      <w:pPr>
        <w:spacing w:after="0"/>
        <w:jc w:val="both"/>
        <w:rPr>
          <w:rFonts w:ascii="Verdana" w:hAnsi="Verdana"/>
          <w:b/>
          <w:lang w:val="es-ES_tradnl"/>
        </w:rPr>
      </w:pPr>
      <w:r w:rsidRPr="00B26F3E">
        <w:rPr>
          <w:rFonts w:ascii="Verdana" w:hAnsi="Verdana"/>
          <w:b/>
          <w:lang w:val="es-ES_tradnl"/>
        </w:rPr>
        <w:t xml:space="preserve">CLÁUSULAS EXCEPCIONALES – Liquidación Unilateral – Terminación Unilateral – Procedimiento – autonomía de la voluntad.  </w:t>
      </w:r>
    </w:p>
    <w:p w14:paraId="24BDBDAC" w14:textId="77777777" w:rsidR="00B26F3E" w:rsidRPr="00D3404A" w:rsidRDefault="00B26F3E" w:rsidP="00D3404A">
      <w:pPr>
        <w:spacing w:after="0" w:line="240" w:lineRule="auto"/>
        <w:jc w:val="both"/>
        <w:rPr>
          <w:rFonts w:ascii="Verdana" w:hAnsi="Verdana"/>
          <w:sz w:val="20"/>
          <w:lang w:val="es-ES_tradnl"/>
        </w:rPr>
      </w:pPr>
    </w:p>
    <w:p w14:paraId="36558B33" w14:textId="46F4A045" w:rsidR="00D3404A" w:rsidRPr="00D3404A" w:rsidRDefault="00D3404A" w:rsidP="00D3404A">
      <w:pPr>
        <w:spacing w:after="0" w:line="240" w:lineRule="auto"/>
        <w:jc w:val="both"/>
        <w:rPr>
          <w:rFonts w:ascii="Verdana" w:hAnsi="Verdana"/>
          <w:sz w:val="20"/>
        </w:rPr>
      </w:pPr>
      <w:r>
        <w:rPr>
          <w:rFonts w:ascii="Verdana" w:hAnsi="Verdana"/>
          <w:sz w:val="20"/>
        </w:rPr>
        <w:t xml:space="preserve">[…] </w:t>
      </w:r>
      <w:r w:rsidRPr="00D3404A">
        <w:rPr>
          <w:rFonts w:ascii="Verdana" w:hAnsi="Verdana"/>
          <w:sz w:val="20"/>
        </w:rPr>
        <w:t xml:space="preserve">es importante revisar que el procedimiento administrativo aplicable en la terminación unilateral y la liquidación unilateral de entidades de régimen especial serán las partes las que definan el mecanismo o procedimiento para hacer efectivas dichas cláusulas, teniendo en cuenta que sus actuaciones no son </w:t>
      </w:r>
      <w:proofErr w:type="gramStart"/>
      <w:r w:rsidRPr="00D3404A">
        <w:rPr>
          <w:rFonts w:ascii="Verdana" w:hAnsi="Verdana"/>
          <w:sz w:val="20"/>
        </w:rPr>
        <w:t>considerados</w:t>
      </w:r>
      <w:proofErr w:type="gramEnd"/>
      <w:r w:rsidRPr="00D3404A">
        <w:rPr>
          <w:rFonts w:ascii="Verdana" w:hAnsi="Verdana"/>
          <w:sz w:val="20"/>
        </w:rPr>
        <w:t xml:space="preserve"> actos administrativos, sino actos contractuales propios del régimen jurídico privado. Es decir, no es procedente aplicar las reglas del procedimiento administrativo de la Ley 1437 de 2011 cuando se evidencia que no se está ante actos administrativos, sino contractuales –propios del régimen jurídico privado-.  </w:t>
      </w:r>
    </w:p>
    <w:p w14:paraId="0AC9F7E6" w14:textId="77777777" w:rsidR="00D3404A" w:rsidRPr="00D3404A" w:rsidRDefault="00D3404A" w:rsidP="00D3404A">
      <w:pPr>
        <w:spacing w:after="0" w:line="240" w:lineRule="auto"/>
        <w:jc w:val="both"/>
        <w:rPr>
          <w:rFonts w:ascii="Verdana" w:hAnsi="Verdana"/>
          <w:sz w:val="20"/>
        </w:rPr>
      </w:pPr>
    </w:p>
    <w:p w14:paraId="0137FA44" w14:textId="75BD7FFB" w:rsidR="00D3404A" w:rsidRPr="00D3404A" w:rsidRDefault="00D3404A" w:rsidP="00D3404A">
      <w:pPr>
        <w:spacing w:after="0" w:line="240" w:lineRule="auto"/>
        <w:jc w:val="both"/>
        <w:rPr>
          <w:rFonts w:ascii="Verdana" w:hAnsi="Verdana"/>
          <w:iCs/>
          <w:sz w:val="20"/>
        </w:rPr>
      </w:pPr>
      <w:r w:rsidRPr="00D3404A">
        <w:rPr>
          <w:rFonts w:ascii="Verdana" w:hAnsi="Verdana"/>
          <w:sz w:val="20"/>
          <w:lang w:val="es-ES"/>
        </w:rPr>
        <w:t xml:space="preserve">Ahora bien, es importante precisar que no hay una postura consolidada sobre la posibilidad de las entidades de régimen especial de contratación de pactar cláusulas excepcionales, salvo lo expresado en la Sentencia de Unificación del 9 de mayo de 2024, en la que permite que las Empresas de Servicios Públicos puedan pactarlo y ejercerlo, tal como se expuso en el Concepto 062 del 21 de febrero de 2025, en la que se detalló el alcance de dicha providencia: “[…] </w:t>
      </w:r>
      <w:r w:rsidRPr="00D3404A">
        <w:rPr>
          <w:rFonts w:ascii="Verdana" w:hAnsi="Verdana"/>
          <w:iCs/>
          <w:sz w:val="20"/>
        </w:rPr>
        <w:t xml:space="preserve">salvo las excepciones legales, los actos jurídicos adoptados por los prestadores de servicios públicos domiciliarios con motivo de su actividad contractual, no son actos administrativos y se rigen por la normatividad civil y comercial, así como por las reglas atinentes a su régimen especial: por tal razón, para controvertirlos a través del medio de control de controversias contractuales, el demandante no tiene la carga de solicitar su anulación. </w:t>
      </w:r>
      <w:r w:rsidRPr="00D3404A">
        <w:rPr>
          <w:rFonts w:ascii="Verdana" w:hAnsi="Verdana"/>
          <w:i/>
          <w:sz w:val="20"/>
        </w:rPr>
        <w:t>Asimismo</w:t>
      </w:r>
      <w:r w:rsidRPr="00D3404A">
        <w:rPr>
          <w:rFonts w:ascii="Verdana" w:hAnsi="Verdana"/>
          <w:iCs/>
          <w:sz w:val="20"/>
        </w:rPr>
        <w:t xml:space="preserve">, en los asuntos pendientes de solución bajo los que se hubiere solicitado la nulidad de tales actos por considerarlos actos administrativos, no podrá declararse la inepta demanda ni los jueces pueden inhibirse de emitir una decisión de fondo: en garantía del derecho de acceso a la administración de justicia y la aplicación del principio </w:t>
      </w:r>
      <w:proofErr w:type="spellStart"/>
      <w:r w:rsidRPr="00D3404A">
        <w:rPr>
          <w:rFonts w:ascii="Verdana" w:hAnsi="Verdana"/>
          <w:i/>
          <w:sz w:val="20"/>
        </w:rPr>
        <w:t>iura</w:t>
      </w:r>
      <w:proofErr w:type="spellEnd"/>
      <w:r w:rsidRPr="00D3404A">
        <w:rPr>
          <w:rFonts w:ascii="Verdana" w:hAnsi="Verdana"/>
          <w:i/>
          <w:sz w:val="20"/>
        </w:rPr>
        <w:t xml:space="preserve"> </w:t>
      </w:r>
      <w:proofErr w:type="spellStart"/>
      <w:r w:rsidRPr="00D3404A">
        <w:rPr>
          <w:rFonts w:ascii="Verdana" w:hAnsi="Verdana"/>
          <w:i/>
          <w:sz w:val="20"/>
        </w:rPr>
        <w:t>novit</w:t>
      </w:r>
      <w:proofErr w:type="spellEnd"/>
      <w:r w:rsidRPr="00D3404A">
        <w:rPr>
          <w:rFonts w:ascii="Verdana" w:hAnsi="Verdana"/>
          <w:i/>
          <w:sz w:val="20"/>
        </w:rPr>
        <w:t xml:space="preserve"> curia</w:t>
      </w:r>
      <w:r w:rsidRPr="00D3404A">
        <w:rPr>
          <w:rFonts w:ascii="Verdana" w:hAnsi="Verdana"/>
          <w:iCs/>
          <w:sz w:val="20"/>
        </w:rPr>
        <w:t xml:space="preserve">, debe adecuarse e interpretarse la demanda y reconducirla para fallarla de fondo”.  </w:t>
      </w:r>
    </w:p>
    <w:p w14:paraId="33979ED5" w14:textId="77777777" w:rsidR="00B26F3E" w:rsidRDefault="00B26F3E" w:rsidP="0018485D">
      <w:pPr>
        <w:spacing w:after="0"/>
        <w:rPr>
          <w:rFonts w:ascii="Verdana" w:hAnsi="Verdana"/>
        </w:rPr>
      </w:pPr>
    </w:p>
    <w:p w14:paraId="7D46F443" w14:textId="77777777" w:rsidR="00B26F3E" w:rsidRDefault="00B26F3E" w:rsidP="0018485D">
      <w:pPr>
        <w:spacing w:after="0"/>
        <w:rPr>
          <w:rFonts w:ascii="Verdana" w:hAnsi="Verdana"/>
        </w:rPr>
      </w:pPr>
    </w:p>
    <w:p w14:paraId="15680547" w14:textId="77777777" w:rsidR="00B26F3E" w:rsidRDefault="00B26F3E" w:rsidP="0018485D">
      <w:pPr>
        <w:spacing w:after="0"/>
        <w:rPr>
          <w:rFonts w:ascii="Verdana" w:hAnsi="Verdana"/>
        </w:rPr>
      </w:pPr>
    </w:p>
    <w:p w14:paraId="42DB53E7" w14:textId="77777777" w:rsidR="00B26F3E" w:rsidRDefault="00B26F3E" w:rsidP="0018485D">
      <w:pPr>
        <w:spacing w:after="0"/>
        <w:rPr>
          <w:rFonts w:ascii="Verdana" w:hAnsi="Verdana"/>
        </w:rPr>
      </w:pPr>
    </w:p>
    <w:p w14:paraId="506120E8" w14:textId="77777777" w:rsidR="00B26F3E" w:rsidRDefault="00B26F3E" w:rsidP="0018485D">
      <w:pPr>
        <w:spacing w:after="0"/>
        <w:rPr>
          <w:rFonts w:ascii="Verdana" w:hAnsi="Verdana"/>
        </w:rPr>
      </w:pPr>
    </w:p>
    <w:p w14:paraId="5D21591A" w14:textId="32CDB4A9" w:rsidR="00B26F3E" w:rsidRDefault="00B26F3E" w:rsidP="0018485D">
      <w:pPr>
        <w:spacing w:after="0"/>
        <w:rPr>
          <w:rFonts w:ascii="Verdana" w:hAnsi="Verdana"/>
        </w:rPr>
      </w:pPr>
    </w:p>
    <w:p w14:paraId="2A69A3DC" w14:textId="4A2AB882" w:rsidR="0018485D" w:rsidRPr="0044528D" w:rsidRDefault="00D3404A" w:rsidP="0018485D">
      <w:pPr>
        <w:spacing w:after="0"/>
        <w:rPr>
          <w:rFonts w:ascii="Verdana" w:hAnsi="Verdana"/>
        </w:rPr>
      </w:pPr>
      <w:r w:rsidRPr="00D3404A">
        <w:rPr>
          <w:rFonts w:ascii="Verdana" w:hAnsi="Verdana"/>
          <w:noProof/>
          <w:lang w:val="en-US"/>
        </w:rPr>
        <w:lastRenderedPageBreak/>
        <w:drawing>
          <wp:anchor distT="0" distB="0" distL="114300" distR="114300" simplePos="0" relativeHeight="251658240" behindDoc="0" locked="0" layoutInCell="1" allowOverlap="1" wp14:anchorId="0C7C9DD0" wp14:editId="4E11888E">
            <wp:simplePos x="0" y="0"/>
            <wp:positionH relativeFrom="margin">
              <wp:align>right</wp:align>
            </wp:positionH>
            <wp:positionV relativeFrom="paragraph">
              <wp:posOffset>11430</wp:posOffset>
            </wp:positionV>
            <wp:extent cx="2752725" cy="76200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725" cy="762000"/>
                    </a:xfrm>
                    <a:prstGeom prst="rect">
                      <a:avLst/>
                    </a:prstGeom>
                    <a:noFill/>
                    <a:ln>
                      <a:noFill/>
                    </a:ln>
                  </pic:spPr>
                </pic:pic>
              </a:graphicData>
            </a:graphic>
          </wp:anchor>
        </w:drawing>
      </w:r>
      <w:r w:rsidR="00B26F3E">
        <w:rPr>
          <w:rFonts w:ascii="Verdana" w:hAnsi="Verdana"/>
        </w:rPr>
        <w:t>Bogotá D.C., 20 de agosto de 2025</w:t>
      </w:r>
      <w:r w:rsidR="0018485D" w:rsidRPr="0044528D">
        <w:rPr>
          <w:rFonts w:ascii="Verdana" w:hAnsi="Verdana"/>
        </w:rPr>
        <w:tab/>
      </w:r>
    </w:p>
    <w:p w14:paraId="31BFEADE" w14:textId="77777777" w:rsidR="0018485D" w:rsidRPr="0044528D" w:rsidRDefault="0018485D" w:rsidP="0018485D">
      <w:pPr>
        <w:spacing w:after="0"/>
        <w:rPr>
          <w:rFonts w:ascii="Verdana" w:hAnsi="Verdana"/>
        </w:rPr>
      </w:pPr>
    </w:p>
    <w:p w14:paraId="2AA2061D" w14:textId="77777777" w:rsidR="0018485D" w:rsidRPr="00B878ED" w:rsidRDefault="0018485D" w:rsidP="0018485D">
      <w:pPr>
        <w:spacing w:after="0" w:line="240" w:lineRule="auto"/>
        <w:jc w:val="both"/>
        <w:rPr>
          <w:rFonts w:ascii="Verdana" w:hAnsi="Verdana" w:cs="Arial"/>
          <w:bCs/>
          <w:lang w:val="es-ES" w:eastAsia="es-ES" w:bidi="es-ES"/>
        </w:rPr>
      </w:pPr>
    </w:p>
    <w:p w14:paraId="24D15A9B" w14:textId="77777777" w:rsidR="0018485D" w:rsidRPr="008C6F30" w:rsidRDefault="0018485D" w:rsidP="0018485D">
      <w:pPr>
        <w:widowControl w:val="0"/>
        <w:autoSpaceDE w:val="0"/>
        <w:autoSpaceDN w:val="0"/>
        <w:spacing w:after="0" w:line="266" w:lineRule="exact"/>
        <w:rPr>
          <w:rFonts w:ascii="Verdana" w:eastAsia="Verdana" w:hAnsi="Verdana" w:cs="Verdana"/>
          <w:lang w:val="es-ES"/>
        </w:rPr>
      </w:pPr>
      <w:r>
        <w:rPr>
          <w:rFonts w:ascii="Verdana" w:eastAsia="Verdana" w:hAnsi="Verdana" w:cs="Verdana"/>
          <w:spacing w:val="-2"/>
          <w:lang w:val="es-ES"/>
        </w:rPr>
        <w:t>Señor</w:t>
      </w:r>
    </w:p>
    <w:p w14:paraId="0E8DBE82" w14:textId="77777777" w:rsidR="0018485D" w:rsidRPr="00540EFF" w:rsidRDefault="0018485D" w:rsidP="0018485D">
      <w:pPr>
        <w:widowControl w:val="0"/>
        <w:autoSpaceDE w:val="0"/>
        <w:autoSpaceDN w:val="0"/>
        <w:spacing w:after="0" w:line="266" w:lineRule="exact"/>
        <w:outlineLvl w:val="0"/>
        <w:rPr>
          <w:rFonts w:ascii="Verdana" w:eastAsia="Verdana" w:hAnsi="Verdana" w:cs="Verdana"/>
          <w:b/>
          <w:bCs/>
        </w:rPr>
      </w:pPr>
      <w:r w:rsidRPr="00540EFF">
        <w:rPr>
          <w:rFonts w:ascii="Verdana" w:eastAsia="Verdana" w:hAnsi="Verdana" w:cs="Verdana"/>
          <w:b/>
          <w:bCs/>
        </w:rPr>
        <w:t>Daniel Francisco Forero Zapata</w:t>
      </w:r>
    </w:p>
    <w:p w14:paraId="6ED23EAA" w14:textId="77777777" w:rsidR="0018485D" w:rsidRPr="00540EFF" w:rsidRDefault="0018485D" w:rsidP="0018485D">
      <w:pPr>
        <w:spacing w:after="0" w:line="240" w:lineRule="auto"/>
        <w:jc w:val="both"/>
        <w:rPr>
          <w:rFonts w:ascii="Verdana" w:hAnsi="Verdana" w:cs="Arial"/>
          <w:bCs/>
          <w:lang w:eastAsia="es-ES" w:bidi="es-ES"/>
        </w:rPr>
      </w:pPr>
      <w:hyperlink r:id="rId12" w:history="1">
        <w:r w:rsidRPr="00540EFF">
          <w:rPr>
            <w:rStyle w:val="Hipervnculo"/>
            <w:rFonts w:ascii="Verdana" w:hAnsi="Verdana" w:cs="Arial"/>
            <w:bCs/>
            <w:lang w:eastAsia="es-ES" w:bidi="es-ES"/>
          </w:rPr>
          <w:t>abgjunior01@gmail.com</w:t>
        </w:r>
      </w:hyperlink>
      <w:r w:rsidRPr="00540EFF">
        <w:rPr>
          <w:rFonts w:ascii="Verdana" w:hAnsi="Verdana" w:cs="Arial"/>
          <w:bCs/>
          <w:lang w:eastAsia="es-ES" w:bidi="es-ES"/>
        </w:rPr>
        <w:t xml:space="preserve"> </w:t>
      </w:r>
    </w:p>
    <w:p w14:paraId="12BAFDDD" w14:textId="77777777" w:rsidR="0018485D" w:rsidRPr="008C6F30" w:rsidRDefault="0018485D" w:rsidP="0018485D">
      <w:pPr>
        <w:widowControl w:val="0"/>
        <w:autoSpaceDE w:val="0"/>
        <w:autoSpaceDN w:val="0"/>
        <w:spacing w:before="5" w:after="0" w:line="237" w:lineRule="auto"/>
        <w:ind w:right="5055"/>
        <w:rPr>
          <w:rFonts w:ascii="Verdana" w:eastAsia="Verdana" w:hAnsi="Verdana" w:cs="Verdana"/>
          <w:lang w:val="es-ES"/>
        </w:rPr>
      </w:pPr>
      <w:r>
        <w:rPr>
          <w:rFonts w:ascii="Verdana" w:eastAsia="Verdana" w:hAnsi="Verdana" w:cs="Verdana"/>
          <w:lang w:val="es-ES"/>
        </w:rPr>
        <w:t xml:space="preserve">Bogotá D.C. </w:t>
      </w:r>
    </w:p>
    <w:p w14:paraId="2AA9D5BD" w14:textId="77777777" w:rsidR="0018485D" w:rsidRPr="0041694B" w:rsidRDefault="0018485D" w:rsidP="0018485D">
      <w:pPr>
        <w:spacing w:after="0" w:line="240" w:lineRule="auto"/>
        <w:jc w:val="both"/>
        <w:rPr>
          <w:rFonts w:ascii="Verdana" w:hAnsi="Verdana" w:cs="Arial"/>
          <w:b/>
          <w:bCs/>
          <w:lang w:val="es-ES_tradnl" w:eastAsia="es-ES" w:bidi="es-ES"/>
        </w:rPr>
      </w:pPr>
    </w:p>
    <w:p w14:paraId="50796DF4" w14:textId="77777777" w:rsidR="0018485D" w:rsidRPr="0041694B" w:rsidRDefault="0018485D" w:rsidP="0018485D">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18485D" w:rsidRPr="0041694B" w14:paraId="131919BD" w14:textId="77777777" w:rsidTr="004364CD">
        <w:trPr>
          <w:trHeight w:val="884"/>
        </w:trPr>
        <w:tc>
          <w:tcPr>
            <w:tcW w:w="2689" w:type="dxa"/>
          </w:tcPr>
          <w:p w14:paraId="5D7C0F9E" w14:textId="77777777" w:rsidR="0018485D" w:rsidRPr="0041694B" w:rsidRDefault="0018485D" w:rsidP="004364CD">
            <w:pPr>
              <w:jc w:val="both"/>
              <w:rPr>
                <w:rFonts w:ascii="Verdana" w:hAnsi="Verdana" w:cs="Arial"/>
                <w:b/>
                <w:bCs/>
                <w:lang w:val="es-ES_tradnl" w:eastAsia="es-ES" w:bidi="es-ES"/>
              </w:rPr>
            </w:pPr>
          </w:p>
        </w:tc>
        <w:tc>
          <w:tcPr>
            <w:tcW w:w="6242" w:type="dxa"/>
          </w:tcPr>
          <w:p w14:paraId="7B700267" w14:textId="77777777" w:rsidR="0018485D" w:rsidRPr="0041694B" w:rsidRDefault="0018485D" w:rsidP="004364CD">
            <w:pPr>
              <w:jc w:val="both"/>
              <w:rPr>
                <w:rFonts w:ascii="Verdana" w:hAnsi="Verdana" w:cs="Arial"/>
                <w:b/>
                <w:bCs/>
                <w:lang w:val="es-MX" w:eastAsia="es-ES" w:bidi="es-ES"/>
              </w:rPr>
            </w:pPr>
            <w:r w:rsidRPr="0041694B">
              <w:rPr>
                <w:rFonts w:ascii="Verdana" w:hAnsi="Verdana" w:cs="Arial"/>
                <w:b/>
                <w:bCs/>
                <w:lang w:val="es-MX" w:eastAsia="es-ES" w:bidi="es-ES"/>
              </w:rPr>
              <w:t xml:space="preserve">Concepto C- </w:t>
            </w:r>
            <w:r>
              <w:rPr>
                <w:rFonts w:ascii="Verdana" w:hAnsi="Verdana" w:cs="Arial"/>
                <w:b/>
                <w:bCs/>
                <w:lang w:val="es-MX" w:eastAsia="es-ES" w:bidi="es-ES"/>
              </w:rPr>
              <w:t>907 de 2025</w:t>
            </w:r>
          </w:p>
        </w:tc>
      </w:tr>
      <w:tr w:rsidR="0018485D" w:rsidRPr="0041694B" w14:paraId="4918387B" w14:textId="77777777" w:rsidTr="004364CD">
        <w:trPr>
          <w:trHeight w:val="884"/>
        </w:trPr>
        <w:tc>
          <w:tcPr>
            <w:tcW w:w="2689" w:type="dxa"/>
          </w:tcPr>
          <w:p w14:paraId="44FD25ED" w14:textId="77777777" w:rsidR="0018485D" w:rsidRPr="00D21D0B" w:rsidRDefault="0018485D" w:rsidP="004364CD">
            <w:pPr>
              <w:spacing w:line="276" w:lineRule="auto"/>
              <w:jc w:val="both"/>
              <w:rPr>
                <w:rFonts w:ascii="Verdana" w:hAnsi="Verdana" w:cs="Arial"/>
                <w:bCs/>
                <w:lang w:val="es-MX" w:eastAsia="es-ES" w:bidi="es-ES"/>
              </w:rPr>
            </w:pPr>
            <w:r w:rsidRPr="00D21D0B">
              <w:rPr>
                <w:rFonts w:ascii="Verdana" w:hAnsi="Verdana" w:cs="Arial"/>
                <w:bCs/>
                <w:lang w:val="es-MX" w:eastAsia="es-ES" w:bidi="es-ES"/>
              </w:rPr>
              <w:t xml:space="preserve">Temas:                   </w:t>
            </w:r>
          </w:p>
        </w:tc>
        <w:tc>
          <w:tcPr>
            <w:tcW w:w="6242" w:type="dxa"/>
          </w:tcPr>
          <w:p w14:paraId="3EA4CCC4" w14:textId="77777777" w:rsidR="0018485D" w:rsidRPr="00580387" w:rsidRDefault="0018485D" w:rsidP="004364CD">
            <w:pPr>
              <w:spacing w:line="276" w:lineRule="auto"/>
              <w:jc w:val="both"/>
              <w:rPr>
                <w:rFonts w:ascii="Verdana" w:eastAsia="Calibri" w:hAnsi="Verdana" w:cs="Arial"/>
                <w:lang w:val="es-ES_tradnl" w:eastAsia="es-ES"/>
              </w:rPr>
            </w:pPr>
            <w:r w:rsidRPr="00D21D0B">
              <w:rPr>
                <w:rFonts w:ascii="Verdana" w:eastAsia="Calibri" w:hAnsi="Verdana" w:cs="Arial"/>
                <w:lang w:val="es-ES" w:eastAsia="es-ES"/>
              </w:rPr>
              <w:t>CONTRATO ESTATAL – Régimen jurídico / RÉGIMEN EXCEPCIONAL – Justificación – Criterios de clasificación</w:t>
            </w:r>
            <w:r>
              <w:rPr>
                <w:rFonts w:ascii="Verdana" w:eastAsia="Calibri" w:hAnsi="Verdana" w:cs="Arial"/>
                <w:lang w:val="es-ES" w:eastAsia="es-ES"/>
              </w:rPr>
              <w:t xml:space="preserve"> / </w:t>
            </w:r>
            <w:r w:rsidRPr="0000127D">
              <w:rPr>
                <w:rFonts w:ascii="Verdana" w:eastAsia="Calibri" w:hAnsi="Verdana" w:cs="Arial"/>
                <w:lang w:val="es-ES_tradnl" w:eastAsia="es-ES"/>
              </w:rPr>
              <w:t xml:space="preserve">ENTIDADES DE RÉGIMEN ESPECIAL – Definición – Reglas aplicables – </w:t>
            </w:r>
            <w:r w:rsidRPr="0000127D">
              <w:rPr>
                <w:rFonts w:ascii="Verdana" w:eastAsia="Calibri" w:hAnsi="Verdana" w:cs="Arial"/>
                <w:lang w:eastAsia="es-ES"/>
              </w:rPr>
              <w:t>Cláusulas excepcionales</w:t>
            </w:r>
            <w:r w:rsidRPr="0000127D">
              <w:rPr>
                <w:rFonts w:ascii="Verdana" w:eastAsia="Calibri" w:hAnsi="Verdana" w:cs="Arial"/>
                <w:lang w:val="es-ES_tradnl" w:eastAsia="es-ES"/>
              </w:rPr>
              <w:t xml:space="preserve"> / DECLARATORIA DE INCUMPLIMIENTO – Derecho privado – Autonomía de la v</w:t>
            </w:r>
            <w:r>
              <w:rPr>
                <w:rFonts w:ascii="Verdana" w:eastAsia="Calibri" w:hAnsi="Verdana" w:cs="Arial"/>
                <w:lang w:val="es-ES_tradnl" w:eastAsia="es-ES"/>
              </w:rPr>
              <w:t xml:space="preserve">oluntad – Actos contractuales /TERMINACIÓN UNILATERAL –Procedencia – Autonomía de la voluntad – Postura del Consejo de Estado / LIQUIDACIÓN UNILATERAL – Procedencia – Postura del Consejo de Estado / CLÁUSULAS EXCEPCIONALES – Liquidación Unilateral – Terminación Unilateral – Procedimiento – autonomía de la voluntad.  </w:t>
            </w:r>
          </w:p>
          <w:p w14:paraId="5350429C" w14:textId="77777777" w:rsidR="0018485D" w:rsidRPr="00580387" w:rsidRDefault="0018485D" w:rsidP="004364CD">
            <w:pPr>
              <w:spacing w:line="276" w:lineRule="auto"/>
              <w:jc w:val="both"/>
              <w:rPr>
                <w:rFonts w:ascii="Verdana" w:hAnsi="Verdana" w:cs="Arial"/>
                <w:bCs/>
                <w:lang w:val="es-ES_tradnl" w:eastAsia="es-ES" w:bidi="es-ES"/>
              </w:rPr>
            </w:pPr>
          </w:p>
        </w:tc>
      </w:tr>
      <w:tr w:rsidR="0018485D" w:rsidRPr="0041694B" w14:paraId="03647935" w14:textId="77777777" w:rsidTr="004364CD">
        <w:tc>
          <w:tcPr>
            <w:tcW w:w="2689" w:type="dxa"/>
          </w:tcPr>
          <w:p w14:paraId="413BB068" w14:textId="77777777" w:rsidR="0018485D" w:rsidRPr="00971B6B" w:rsidRDefault="0018485D" w:rsidP="004364CD">
            <w:pPr>
              <w:jc w:val="both"/>
              <w:rPr>
                <w:rFonts w:ascii="Verdana" w:hAnsi="Verdana" w:cs="Arial"/>
                <w:bCs/>
                <w:lang w:val="es-MX" w:eastAsia="es-ES" w:bidi="es-ES"/>
              </w:rPr>
            </w:pPr>
            <w:r w:rsidRPr="00971B6B">
              <w:rPr>
                <w:rFonts w:ascii="Verdana" w:hAnsi="Verdana" w:cs="Arial"/>
                <w:bCs/>
                <w:lang w:val="es-MX" w:eastAsia="es-ES" w:bidi="es-ES"/>
              </w:rPr>
              <w:t xml:space="preserve">Radicación:               </w:t>
            </w:r>
          </w:p>
        </w:tc>
        <w:tc>
          <w:tcPr>
            <w:tcW w:w="6242" w:type="dxa"/>
          </w:tcPr>
          <w:p w14:paraId="29EB6AF0" w14:textId="77777777" w:rsidR="0018485D" w:rsidRPr="00971B6B" w:rsidRDefault="0018485D" w:rsidP="004364CD">
            <w:pPr>
              <w:jc w:val="both"/>
              <w:rPr>
                <w:rFonts w:ascii="Verdana" w:hAnsi="Verdana" w:cs="Arial"/>
                <w:bCs/>
                <w:lang w:val="es-MX" w:eastAsia="es-ES" w:bidi="es-ES"/>
              </w:rPr>
            </w:pPr>
            <w:r w:rsidRPr="00971B6B">
              <w:rPr>
                <w:rFonts w:ascii="Verdana" w:hAnsi="Verdana" w:cs="Arial"/>
                <w:bCs/>
                <w:lang w:val="es-MX" w:eastAsia="es-ES" w:bidi="es-ES"/>
              </w:rPr>
              <w:t>Respue</w:t>
            </w:r>
            <w:r>
              <w:rPr>
                <w:rFonts w:ascii="Verdana" w:hAnsi="Verdana" w:cs="Arial"/>
                <w:bCs/>
                <w:lang w:val="es-MX" w:eastAsia="es-ES" w:bidi="es-ES"/>
              </w:rPr>
              <w:t xml:space="preserve">sta a consulta con radicado </w:t>
            </w:r>
            <w:r>
              <w:rPr>
                <w:rFonts w:ascii="Verdana" w:hAnsi="Verdana" w:cs="Arial"/>
                <w:bCs/>
                <w:lang w:eastAsia="es-ES" w:bidi="es-ES"/>
              </w:rPr>
              <w:t xml:space="preserve">No. </w:t>
            </w:r>
            <w:r w:rsidRPr="009E1B49">
              <w:rPr>
                <w:rFonts w:ascii="Verdana" w:hAnsi="Verdana" w:cs="Arial"/>
                <w:bCs/>
                <w:lang w:eastAsia="es-ES" w:bidi="es-ES"/>
              </w:rPr>
              <w:t>1_2025_07_09_006902</w:t>
            </w:r>
          </w:p>
          <w:p w14:paraId="477234E8" w14:textId="77777777" w:rsidR="0018485D" w:rsidRPr="00971B6B" w:rsidRDefault="0018485D" w:rsidP="004364CD">
            <w:pPr>
              <w:jc w:val="both"/>
              <w:rPr>
                <w:rFonts w:ascii="Verdana" w:hAnsi="Verdana" w:cs="Arial"/>
                <w:bCs/>
                <w:lang w:val="es-MX" w:eastAsia="es-ES" w:bidi="es-ES"/>
              </w:rPr>
            </w:pPr>
          </w:p>
        </w:tc>
      </w:tr>
    </w:tbl>
    <w:p w14:paraId="408AA053" w14:textId="77777777" w:rsidR="0018485D" w:rsidRPr="0041694B" w:rsidRDefault="0018485D" w:rsidP="0018485D">
      <w:pPr>
        <w:spacing w:after="0" w:line="240" w:lineRule="auto"/>
        <w:jc w:val="both"/>
        <w:rPr>
          <w:rFonts w:ascii="Verdana" w:hAnsi="Verdana" w:cs="Arial"/>
          <w:bCs/>
          <w:lang w:val="es-ES_tradnl" w:eastAsia="es-ES" w:bidi="es-ES"/>
        </w:rPr>
      </w:pPr>
    </w:p>
    <w:p w14:paraId="2135613A" w14:textId="77777777" w:rsidR="0018485D" w:rsidRPr="0041694B" w:rsidRDefault="0018485D" w:rsidP="0018485D">
      <w:pPr>
        <w:spacing w:after="0" w:line="240" w:lineRule="auto"/>
        <w:jc w:val="both"/>
        <w:rPr>
          <w:rFonts w:ascii="Verdana" w:hAnsi="Verdana" w:cs="Arial"/>
          <w:bCs/>
          <w:lang w:val="es-MX" w:eastAsia="es-ES" w:bidi="es-ES"/>
        </w:rPr>
      </w:pPr>
      <w:r>
        <w:rPr>
          <w:rFonts w:ascii="Verdana" w:hAnsi="Verdana" w:cs="Arial"/>
          <w:bCs/>
          <w:lang w:val="es-MX" w:eastAsia="es-ES" w:bidi="es-ES"/>
        </w:rPr>
        <w:t xml:space="preserve">Estimado Señor Daniel: </w:t>
      </w:r>
    </w:p>
    <w:p w14:paraId="17DFB614" w14:textId="77777777" w:rsidR="0018485D" w:rsidRPr="0041694B" w:rsidRDefault="0018485D" w:rsidP="0018485D">
      <w:pPr>
        <w:spacing w:after="0" w:line="240" w:lineRule="auto"/>
        <w:jc w:val="both"/>
        <w:rPr>
          <w:rFonts w:ascii="Verdana" w:hAnsi="Verdana" w:cs="Arial"/>
          <w:bCs/>
          <w:lang w:val="es-ES" w:eastAsia="es-ES" w:bidi="es-ES"/>
        </w:rPr>
      </w:pPr>
      <w:r w:rsidRPr="0041694B">
        <w:rPr>
          <w:rFonts w:ascii="Verdana" w:hAnsi="Verdana" w:cs="Arial"/>
          <w:bCs/>
          <w:lang w:val="es-ES" w:eastAsia="es-ES" w:bidi="es-ES"/>
        </w:rPr>
        <w:tab/>
      </w:r>
    </w:p>
    <w:p w14:paraId="7C58E618" w14:textId="77777777" w:rsidR="0018485D" w:rsidRPr="0041694B" w:rsidRDefault="0018485D" w:rsidP="0018485D">
      <w:pPr>
        <w:spacing w:after="0" w:line="276" w:lineRule="auto"/>
        <w:jc w:val="both"/>
        <w:rPr>
          <w:rFonts w:ascii="Verdana" w:hAnsi="Verdana" w:cs="Arial"/>
          <w:bCs/>
          <w:lang w:val="es-ES" w:eastAsia="es-ES" w:bidi="es-ES"/>
        </w:rPr>
      </w:pPr>
      <w:r w:rsidRPr="00EC0E3F">
        <w:rPr>
          <w:rFonts w:ascii="Verdana" w:hAnsi="Verdana" w:cs="Arial"/>
          <w:bCs/>
          <w:lang w:val="es-ES" w:eastAsia="es-ES" w:bidi="es-ES"/>
        </w:rPr>
        <w:t xml:space="preserve">En ejercicio de la competencia otorgada por los artículos 3, numeral 5º, y 11, numeral 8º, del Decreto Ley 4170 de 2011, </w:t>
      </w:r>
      <w:r w:rsidRPr="00EC0E3F">
        <w:rPr>
          <w:rFonts w:ascii="Verdana" w:hAnsi="Verdana" w:cs="Arial"/>
          <w:bCs/>
          <w:lang w:eastAsia="es-ES" w:bidi="es-ES"/>
        </w:rPr>
        <w:t xml:space="preserve">así como lo establecido por la Resolución 469 de 2025 expedida por esta Entidad, </w:t>
      </w:r>
      <w:r w:rsidRPr="00EC0E3F">
        <w:rPr>
          <w:rFonts w:ascii="Verdana" w:hAnsi="Verdana" w:cs="Arial"/>
          <w:bCs/>
          <w:lang w:val="es-ES" w:eastAsia="es-ES" w:bidi="es-ES"/>
        </w:rPr>
        <w:t xml:space="preserve">la Agencia Nacional de Contratación Pública – Colombia Compra Eficiente– responde </w:t>
      </w:r>
      <w:r>
        <w:rPr>
          <w:rFonts w:ascii="Verdana" w:hAnsi="Verdana" w:cs="Arial"/>
          <w:bCs/>
          <w:lang w:val="es-ES" w:eastAsia="es-ES" w:bidi="es-ES"/>
        </w:rPr>
        <w:t xml:space="preserve">la solicitud </w:t>
      </w:r>
      <w:r w:rsidRPr="00EC0E3F">
        <w:rPr>
          <w:rFonts w:ascii="Verdana" w:hAnsi="Verdana" w:cs="Arial"/>
          <w:bCs/>
          <w:lang w:val="es-ES" w:eastAsia="es-ES" w:bidi="es-ES"/>
        </w:rPr>
        <w:t>del</w:t>
      </w:r>
      <w:r>
        <w:rPr>
          <w:rFonts w:ascii="Verdana" w:hAnsi="Verdana" w:cs="Arial"/>
          <w:bCs/>
          <w:lang w:val="es-ES" w:eastAsia="es-ES" w:bidi="es-ES"/>
        </w:rPr>
        <w:t xml:space="preserve"> 9</w:t>
      </w:r>
      <w:r w:rsidRPr="00EC0E3F">
        <w:rPr>
          <w:rFonts w:ascii="Verdana" w:hAnsi="Verdana" w:cs="Arial"/>
          <w:bCs/>
          <w:lang w:val="es-ES" w:eastAsia="es-ES" w:bidi="es-ES"/>
        </w:rPr>
        <w:t xml:space="preserve"> de julio, en la cual manifiesta:</w:t>
      </w:r>
      <w:r w:rsidRPr="0041694B">
        <w:rPr>
          <w:rFonts w:ascii="Verdana" w:hAnsi="Verdana" w:cs="Arial"/>
          <w:bCs/>
          <w:lang w:val="es-ES" w:eastAsia="es-ES" w:bidi="es-ES"/>
        </w:rPr>
        <w:t xml:space="preserve"> </w:t>
      </w:r>
    </w:p>
    <w:p w14:paraId="798015D6" w14:textId="77777777" w:rsidR="0018485D" w:rsidRPr="0041694B" w:rsidRDefault="0018485D" w:rsidP="0018485D">
      <w:pPr>
        <w:spacing w:after="0" w:line="240" w:lineRule="auto"/>
        <w:jc w:val="both"/>
        <w:rPr>
          <w:rFonts w:ascii="Verdana" w:hAnsi="Verdana" w:cs="Arial"/>
          <w:b/>
          <w:bCs/>
          <w:lang w:val="es-ES" w:eastAsia="es-ES" w:bidi="es-ES"/>
        </w:rPr>
      </w:pPr>
    </w:p>
    <w:p w14:paraId="41D29AF8" w14:textId="77777777" w:rsidR="0018485D" w:rsidRPr="00222ACF" w:rsidRDefault="0018485D" w:rsidP="0018485D">
      <w:pPr>
        <w:spacing w:after="0" w:line="240" w:lineRule="auto"/>
        <w:ind w:left="709" w:right="709"/>
        <w:jc w:val="both"/>
        <w:rPr>
          <w:rFonts w:ascii="Verdana" w:hAnsi="Verdana" w:cs="Arial"/>
          <w:bCs/>
          <w:sz w:val="20"/>
          <w:lang w:eastAsia="es-ES" w:bidi="es-ES"/>
        </w:rPr>
      </w:pPr>
      <w:r w:rsidRPr="00121EA1">
        <w:rPr>
          <w:rFonts w:ascii="Verdana" w:hAnsi="Verdana" w:cs="Arial"/>
          <w:bCs/>
          <w:sz w:val="20"/>
          <w:lang w:val="es-ES" w:eastAsia="es-ES" w:bidi="es-ES"/>
        </w:rPr>
        <w:t>“</w:t>
      </w:r>
      <w:r w:rsidRPr="00222ACF">
        <w:rPr>
          <w:rFonts w:ascii="Verdana" w:hAnsi="Verdana" w:cs="Arial"/>
          <w:bCs/>
          <w:sz w:val="20"/>
          <w:lang w:eastAsia="es-ES" w:bidi="es-ES"/>
        </w:rPr>
        <w:t>PRIMERO:</w:t>
      </w:r>
      <w:r w:rsidRPr="00222ACF">
        <w:rPr>
          <w:rFonts w:ascii="Verdana" w:hAnsi="Verdana" w:cs="Arial"/>
          <w:b/>
          <w:bCs/>
          <w:sz w:val="20"/>
          <w:lang w:eastAsia="es-ES" w:bidi="es-ES"/>
        </w:rPr>
        <w:t xml:space="preserve"> </w:t>
      </w:r>
      <w:r w:rsidRPr="00222ACF">
        <w:rPr>
          <w:rFonts w:ascii="Verdana" w:hAnsi="Verdana" w:cs="Arial"/>
          <w:bCs/>
          <w:sz w:val="20"/>
          <w:lang w:eastAsia="es-ES" w:bidi="es-ES"/>
        </w:rPr>
        <w:t>¿Es posible que las entidades públicas exceptuadas del</w:t>
      </w:r>
      <w:r>
        <w:rPr>
          <w:rFonts w:ascii="Verdana" w:hAnsi="Verdana" w:cs="Arial"/>
          <w:bCs/>
          <w:sz w:val="20"/>
          <w:lang w:eastAsia="es-ES" w:bidi="es-ES"/>
        </w:rPr>
        <w:t xml:space="preserve"> </w:t>
      </w:r>
      <w:proofErr w:type="spellStart"/>
      <w:r>
        <w:rPr>
          <w:rFonts w:ascii="Verdana" w:hAnsi="Verdana" w:cs="Arial"/>
          <w:bCs/>
          <w:sz w:val="20"/>
          <w:lang w:eastAsia="es-ES" w:bidi="es-ES"/>
        </w:rPr>
        <w:t>regimen</w:t>
      </w:r>
      <w:proofErr w:type="spellEnd"/>
      <w:r>
        <w:rPr>
          <w:rFonts w:ascii="Verdana" w:hAnsi="Verdana" w:cs="Arial"/>
          <w:bCs/>
          <w:sz w:val="20"/>
          <w:lang w:eastAsia="es-ES" w:bidi="es-ES"/>
        </w:rPr>
        <w:t xml:space="preserve"> de contratación puedan </w:t>
      </w:r>
      <w:r w:rsidRPr="00222ACF">
        <w:rPr>
          <w:rFonts w:ascii="Verdana" w:hAnsi="Verdana" w:cs="Arial"/>
          <w:bCs/>
          <w:sz w:val="20"/>
          <w:lang w:eastAsia="es-ES" w:bidi="es-ES"/>
        </w:rPr>
        <w:t>declarar incumplimientos contractuales o siempre se debe acudir al juez del contrato?</w:t>
      </w:r>
    </w:p>
    <w:p w14:paraId="478FE90C" w14:textId="77777777" w:rsidR="0018485D" w:rsidRPr="00222ACF" w:rsidRDefault="0018485D" w:rsidP="0018485D">
      <w:pPr>
        <w:spacing w:after="0" w:line="240" w:lineRule="auto"/>
        <w:ind w:left="709" w:right="709"/>
        <w:jc w:val="both"/>
        <w:rPr>
          <w:rFonts w:ascii="Verdana" w:hAnsi="Verdana" w:cs="Arial"/>
          <w:bCs/>
          <w:sz w:val="20"/>
          <w:lang w:eastAsia="es-ES" w:bidi="es-ES"/>
        </w:rPr>
      </w:pPr>
      <w:r w:rsidRPr="00222ACF">
        <w:rPr>
          <w:rFonts w:ascii="Verdana" w:hAnsi="Verdana" w:cs="Arial"/>
          <w:bCs/>
          <w:sz w:val="20"/>
          <w:lang w:eastAsia="es-ES" w:bidi="es-ES"/>
        </w:rPr>
        <w:lastRenderedPageBreak/>
        <w:t xml:space="preserve">SEGUNDA: </w:t>
      </w:r>
      <w:proofErr w:type="gramStart"/>
      <w:r w:rsidRPr="00222ACF">
        <w:rPr>
          <w:rFonts w:ascii="Verdana" w:hAnsi="Verdana" w:cs="Arial"/>
          <w:bCs/>
          <w:sz w:val="20"/>
          <w:lang w:eastAsia="es-ES" w:bidi="es-ES"/>
        </w:rPr>
        <w:t>Si un contrato estatal suscrito por una entidad no sometida a ley 80 de 1993, se pactan</w:t>
      </w:r>
      <w:r>
        <w:rPr>
          <w:rFonts w:ascii="Verdana" w:hAnsi="Verdana" w:cs="Arial"/>
          <w:bCs/>
          <w:sz w:val="20"/>
          <w:lang w:eastAsia="es-ES" w:bidi="es-ES"/>
        </w:rPr>
        <w:t xml:space="preserve"> </w:t>
      </w:r>
      <w:r w:rsidRPr="00222ACF">
        <w:rPr>
          <w:rFonts w:ascii="Verdana" w:hAnsi="Verdana" w:cs="Arial"/>
          <w:bCs/>
          <w:sz w:val="20"/>
          <w:lang w:eastAsia="es-ES" w:bidi="es-ES"/>
        </w:rPr>
        <w:t>cláusulas de terminación y liquidación unilateral, es posible que se hagan efectivas?</w:t>
      </w:r>
      <w:proofErr w:type="gramEnd"/>
      <w:r w:rsidRPr="00222ACF">
        <w:rPr>
          <w:rFonts w:ascii="Verdana" w:hAnsi="Verdana" w:cs="Arial"/>
          <w:bCs/>
          <w:sz w:val="20"/>
          <w:lang w:eastAsia="es-ES" w:bidi="es-ES"/>
        </w:rPr>
        <w:t xml:space="preserve"> ¿Bajo qué</w:t>
      </w:r>
      <w:r>
        <w:rPr>
          <w:rFonts w:ascii="Verdana" w:hAnsi="Verdana" w:cs="Arial"/>
          <w:bCs/>
          <w:sz w:val="20"/>
          <w:lang w:eastAsia="es-ES" w:bidi="es-ES"/>
        </w:rPr>
        <w:t xml:space="preserve"> </w:t>
      </w:r>
      <w:r w:rsidRPr="00222ACF">
        <w:rPr>
          <w:rFonts w:ascii="Verdana" w:hAnsi="Verdana" w:cs="Arial"/>
          <w:bCs/>
          <w:sz w:val="20"/>
          <w:lang w:eastAsia="es-ES" w:bidi="es-ES"/>
        </w:rPr>
        <w:t>procedimiento?</w:t>
      </w:r>
    </w:p>
    <w:p w14:paraId="76EC39BD" w14:textId="77777777" w:rsidR="0018485D" w:rsidRPr="00121EA1" w:rsidRDefault="0018485D" w:rsidP="0018485D">
      <w:pPr>
        <w:spacing w:after="0" w:line="240" w:lineRule="auto"/>
        <w:ind w:left="709" w:right="709"/>
        <w:jc w:val="both"/>
        <w:rPr>
          <w:rFonts w:ascii="Verdana" w:hAnsi="Verdana" w:cs="Arial"/>
          <w:bCs/>
          <w:sz w:val="20"/>
          <w:lang w:eastAsia="es-ES" w:bidi="es-ES"/>
        </w:rPr>
      </w:pPr>
      <w:r w:rsidRPr="00222ACF">
        <w:rPr>
          <w:rFonts w:ascii="Verdana" w:hAnsi="Verdana" w:cs="Arial"/>
          <w:bCs/>
          <w:sz w:val="20"/>
          <w:lang w:eastAsia="es-ES" w:bidi="es-ES"/>
        </w:rPr>
        <w:t>TERCERA:</w:t>
      </w:r>
      <w:r w:rsidRPr="00222ACF">
        <w:rPr>
          <w:rFonts w:ascii="Verdana" w:hAnsi="Verdana" w:cs="Arial"/>
          <w:b/>
          <w:bCs/>
          <w:sz w:val="20"/>
          <w:lang w:eastAsia="es-ES" w:bidi="es-ES"/>
        </w:rPr>
        <w:t xml:space="preserve"> </w:t>
      </w:r>
      <w:r w:rsidRPr="00222ACF">
        <w:rPr>
          <w:rFonts w:ascii="Verdana" w:hAnsi="Verdana" w:cs="Arial"/>
          <w:bCs/>
          <w:sz w:val="20"/>
          <w:lang w:eastAsia="es-ES" w:bidi="es-ES"/>
        </w:rPr>
        <w:t>Si en un contrato estatal suscrito por una entidad no sometida a ley 80 de 1993, se pacta</w:t>
      </w:r>
      <w:r>
        <w:rPr>
          <w:rFonts w:ascii="Verdana" w:hAnsi="Verdana" w:cs="Arial"/>
          <w:bCs/>
          <w:sz w:val="20"/>
          <w:lang w:eastAsia="es-ES" w:bidi="es-ES"/>
        </w:rPr>
        <w:t xml:space="preserve"> </w:t>
      </w:r>
      <w:r w:rsidRPr="00222ACF">
        <w:rPr>
          <w:rFonts w:ascii="Verdana" w:hAnsi="Verdana" w:cs="Arial"/>
          <w:bCs/>
          <w:sz w:val="20"/>
          <w:lang w:eastAsia="es-ES" w:bidi="es-ES"/>
        </w:rPr>
        <w:t>una cláusula de declaratoria de incumplimiento en la que se habilita a la entidad contratante para que</w:t>
      </w:r>
      <w:r>
        <w:rPr>
          <w:rFonts w:ascii="Verdana" w:hAnsi="Verdana" w:cs="Arial"/>
          <w:bCs/>
          <w:sz w:val="20"/>
          <w:lang w:eastAsia="es-ES" w:bidi="es-ES"/>
        </w:rPr>
        <w:t xml:space="preserve"> </w:t>
      </w:r>
      <w:r w:rsidRPr="00222ACF">
        <w:rPr>
          <w:rFonts w:ascii="Verdana" w:hAnsi="Verdana" w:cs="Arial"/>
          <w:bCs/>
          <w:sz w:val="20"/>
          <w:lang w:eastAsia="es-ES" w:bidi="es-ES"/>
        </w:rPr>
        <w:t>declare el incumplimiento a través de un procedimiento sin acudir al juez del contrato ¿es posible que</w:t>
      </w:r>
      <w:r>
        <w:rPr>
          <w:rFonts w:ascii="Verdana" w:hAnsi="Verdana" w:cs="Arial"/>
          <w:bCs/>
          <w:sz w:val="20"/>
          <w:lang w:eastAsia="es-ES" w:bidi="es-ES"/>
        </w:rPr>
        <w:t xml:space="preserve"> </w:t>
      </w:r>
      <w:r w:rsidRPr="00222ACF">
        <w:rPr>
          <w:rFonts w:ascii="Verdana" w:hAnsi="Verdana" w:cs="Arial"/>
          <w:bCs/>
          <w:sz w:val="20"/>
          <w:lang w:eastAsia="es-ES" w:bidi="es-ES"/>
        </w:rPr>
        <w:t>se surta ese trámite?</w:t>
      </w:r>
      <w:r>
        <w:rPr>
          <w:rFonts w:ascii="Verdana" w:hAnsi="Verdana" w:cs="Arial"/>
          <w:bCs/>
          <w:sz w:val="20"/>
          <w:lang w:eastAsia="es-ES" w:bidi="es-ES"/>
        </w:rPr>
        <w:t>”</w:t>
      </w:r>
    </w:p>
    <w:p w14:paraId="5F6FF355" w14:textId="77777777" w:rsidR="0018485D" w:rsidRPr="0041694B" w:rsidRDefault="0018485D" w:rsidP="0018485D">
      <w:pPr>
        <w:spacing w:after="0" w:line="240" w:lineRule="auto"/>
        <w:jc w:val="both"/>
        <w:rPr>
          <w:rFonts w:ascii="Verdana" w:hAnsi="Verdana" w:cs="Arial"/>
          <w:b/>
          <w:bCs/>
          <w:lang w:val="es-ES" w:eastAsia="es-ES" w:bidi="es-ES"/>
        </w:rPr>
      </w:pPr>
    </w:p>
    <w:p w14:paraId="64D6DE77" w14:textId="77777777" w:rsidR="0018485D" w:rsidRPr="00121EA1" w:rsidRDefault="0018485D" w:rsidP="0018485D">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2216C39" w14:textId="77777777" w:rsidR="0018485D" w:rsidRDefault="0018485D" w:rsidP="0018485D">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w:t>
      </w:r>
      <w:r w:rsidRPr="00121EA1">
        <w:rPr>
          <w:rFonts w:ascii="Verdana" w:eastAsia="Calibri" w:hAnsi="Verdana" w:cs="Times New Roman"/>
          <w:lang w:val="es-ES"/>
        </w:rPr>
        <w:t>de su consulta.</w:t>
      </w:r>
    </w:p>
    <w:p w14:paraId="77419D3F" w14:textId="77777777" w:rsidR="0018485D" w:rsidRPr="00121EA1" w:rsidRDefault="0018485D" w:rsidP="0018485D">
      <w:pPr>
        <w:spacing w:after="0" w:line="256" w:lineRule="auto"/>
        <w:rPr>
          <w:rFonts w:ascii="Verdana" w:eastAsia="Calibri" w:hAnsi="Verdana" w:cs="Times New Roman"/>
          <w:lang w:val="es-ES"/>
        </w:rPr>
      </w:pPr>
    </w:p>
    <w:p w14:paraId="2B3A7239" w14:textId="77777777" w:rsidR="0018485D" w:rsidRPr="00121EA1" w:rsidRDefault="0018485D" w:rsidP="0018485D">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Problema planteado:</w:t>
      </w:r>
    </w:p>
    <w:p w14:paraId="7C3CC3C1" w14:textId="77777777" w:rsidR="0018485D" w:rsidRPr="00121EA1" w:rsidRDefault="0018485D" w:rsidP="0018485D">
      <w:pPr>
        <w:spacing w:after="0" w:line="256" w:lineRule="auto"/>
        <w:rPr>
          <w:rFonts w:ascii="Verdana" w:eastAsia="Calibri" w:hAnsi="Verdana" w:cs="Times New Roman"/>
        </w:rPr>
      </w:pPr>
    </w:p>
    <w:p w14:paraId="422EB528" w14:textId="77777777" w:rsidR="0018485D" w:rsidRPr="00222ACF" w:rsidRDefault="0018485D" w:rsidP="0018485D">
      <w:pPr>
        <w:spacing w:after="0" w:line="276" w:lineRule="auto"/>
        <w:jc w:val="both"/>
        <w:rPr>
          <w:rFonts w:ascii="Verdana" w:eastAsia="Calibri" w:hAnsi="Verdana" w:cs="Times New Roman"/>
          <w:bCs/>
        </w:rPr>
      </w:pPr>
      <w:r w:rsidRPr="00CF1121">
        <w:rPr>
          <w:rFonts w:ascii="Verdana" w:eastAsia="Calibri" w:hAnsi="Verdana" w:cs="Times New Roman"/>
        </w:rPr>
        <w:t xml:space="preserve">De acuerdo </w:t>
      </w:r>
      <w:r>
        <w:rPr>
          <w:rFonts w:ascii="Verdana" w:eastAsia="Calibri" w:hAnsi="Verdana" w:cs="Times New Roman"/>
        </w:rPr>
        <w:t>con el contenido de sus solicitudes</w:t>
      </w:r>
      <w:r w:rsidRPr="00CF1121">
        <w:rPr>
          <w:rFonts w:ascii="Verdana" w:eastAsia="Calibri" w:hAnsi="Verdana" w:cs="Times New Roman"/>
        </w:rPr>
        <w:t xml:space="preserve">, esta Agencia procede </w:t>
      </w:r>
      <w:r>
        <w:rPr>
          <w:rFonts w:ascii="Verdana" w:eastAsia="Calibri" w:hAnsi="Verdana" w:cs="Times New Roman"/>
        </w:rPr>
        <w:t xml:space="preserve">a condensarlas en los </w:t>
      </w:r>
      <w:r w:rsidRPr="00CF1121">
        <w:rPr>
          <w:rFonts w:ascii="Verdana" w:eastAsia="Calibri" w:hAnsi="Verdana" w:cs="Times New Roman"/>
        </w:rPr>
        <w:t>siguientes problemas jurídicos:</w:t>
      </w:r>
      <w:r>
        <w:rPr>
          <w:rFonts w:ascii="Verdana" w:eastAsia="Calibri" w:hAnsi="Verdana" w:cs="Times New Roman"/>
        </w:rPr>
        <w:t xml:space="preserve"> i) </w:t>
      </w:r>
      <w:r w:rsidRPr="00222ACF">
        <w:rPr>
          <w:rFonts w:ascii="Verdana" w:eastAsia="Calibri" w:hAnsi="Verdana" w:cs="Times New Roman"/>
          <w:bCs/>
        </w:rPr>
        <w:t>¿Es p</w:t>
      </w:r>
      <w:r>
        <w:rPr>
          <w:rFonts w:ascii="Verdana" w:eastAsia="Calibri" w:hAnsi="Verdana" w:cs="Times New Roman"/>
          <w:bCs/>
        </w:rPr>
        <w:t>rocedente</w:t>
      </w:r>
      <w:r w:rsidRPr="00222ACF">
        <w:rPr>
          <w:rFonts w:ascii="Verdana" w:eastAsia="Calibri" w:hAnsi="Verdana" w:cs="Times New Roman"/>
          <w:bCs/>
        </w:rPr>
        <w:t xml:space="preserve"> que las entidades públicas exceptuadas del régimen de contratación puedan declarar</w:t>
      </w:r>
      <w:r>
        <w:rPr>
          <w:rFonts w:ascii="Verdana" w:eastAsia="Calibri" w:hAnsi="Verdana" w:cs="Times New Roman"/>
          <w:bCs/>
        </w:rPr>
        <w:t xml:space="preserve"> incumplimientos contractuales</w:t>
      </w:r>
      <w:r w:rsidRPr="00222ACF">
        <w:rPr>
          <w:rFonts w:ascii="Verdana" w:eastAsia="Calibri" w:hAnsi="Verdana" w:cs="Times New Roman"/>
          <w:bCs/>
        </w:rPr>
        <w:t>?</w:t>
      </w:r>
      <w:r>
        <w:rPr>
          <w:rFonts w:ascii="Verdana" w:eastAsia="Calibri" w:hAnsi="Verdana" w:cs="Times New Roman"/>
          <w:bCs/>
        </w:rPr>
        <w:t xml:space="preserve">; </w:t>
      </w:r>
      <w:proofErr w:type="spellStart"/>
      <w:r>
        <w:rPr>
          <w:rFonts w:ascii="Verdana" w:eastAsia="Calibri" w:hAnsi="Verdana" w:cs="Times New Roman"/>
          <w:bCs/>
        </w:rPr>
        <w:t>ii</w:t>
      </w:r>
      <w:proofErr w:type="spellEnd"/>
      <w:r>
        <w:rPr>
          <w:rFonts w:ascii="Verdana" w:eastAsia="Calibri" w:hAnsi="Verdana" w:cs="Times New Roman"/>
          <w:bCs/>
        </w:rPr>
        <w:t xml:space="preserve">) ¿Es válido pactar cláusulas de terminación y liquidación unilateral en los contratos de entidades de régimen especial?; </w:t>
      </w:r>
      <w:proofErr w:type="spellStart"/>
      <w:r>
        <w:rPr>
          <w:rFonts w:ascii="Verdana" w:eastAsia="Calibri" w:hAnsi="Verdana" w:cs="Times New Roman"/>
          <w:bCs/>
        </w:rPr>
        <w:t>iii</w:t>
      </w:r>
      <w:proofErr w:type="spellEnd"/>
      <w:r>
        <w:rPr>
          <w:rFonts w:ascii="Verdana" w:eastAsia="Calibri" w:hAnsi="Verdana" w:cs="Times New Roman"/>
          <w:bCs/>
        </w:rPr>
        <w:t>) ¿cuál es el procedimiento aplicable a la terminación unilateral y la liquidación unilateral para contratos?</w:t>
      </w:r>
    </w:p>
    <w:p w14:paraId="14E884B1" w14:textId="77777777" w:rsidR="0018485D" w:rsidRPr="00CF1121" w:rsidRDefault="0018485D" w:rsidP="0018485D">
      <w:pPr>
        <w:spacing w:after="0" w:line="276" w:lineRule="auto"/>
        <w:jc w:val="both"/>
        <w:rPr>
          <w:rFonts w:ascii="Verdana" w:eastAsia="Calibri" w:hAnsi="Verdana" w:cs="Times New Roman"/>
          <w:bCs/>
        </w:rPr>
      </w:pPr>
    </w:p>
    <w:p w14:paraId="373746E1" w14:textId="77777777" w:rsidR="0018485D" w:rsidRPr="00121EA1" w:rsidRDefault="0018485D" w:rsidP="0018485D">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lastRenderedPageBreak/>
        <w:t>Respuesta:</w:t>
      </w:r>
    </w:p>
    <w:p w14:paraId="5EA6F1A4" w14:textId="77777777" w:rsidR="0018485D" w:rsidRDefault="0018485D" w:rsidP="0018485D">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485D" w:rsidRPr="001205D1" w14:paraId="034942DD" w14:textId="77777777" w:rsidTr="004364CD">
        <w:trPr>
          <w:trHeight w:val="870"/>
          <w:jc w:val="center"/>
        </w:trPr>
        <w:tc>
          <w:tcPr>
            <w:tcW w:w="8647" w:type="dxa"/>
          </w:tcPr>
          <w:p w14:paraId="4590FA7E" w14:textId="77777777" w:rsidR="0018485D" w:rsidRDefault="0018485D" w:rsidP="004364CD">
            <w:pPr>
              <w:spacing w:before="120" w:line="276" w:lineRule="auto"/>
              <w:jc w:val="both"/>
              <w:rPr>
                <w:rFonts w:ascii="Verdana" w:hAnsi="Verdana" w:cs="Arial"/>
                <w:lang w:eastAsia="es-ES"/>
              </w:rPr>
            </w:pPr>
            <w:r>
              <w:rPr>
                <w:rFonts w:ascii="Verdana" w:hAnsi="Verdana" w:cs="Arial"/>
                <w:lang w:eastAsia="es-ES"/>
              </w:rPr>
              <w:t>De acuerdo con los problemas jurídicos, objeto de consulta, se expresa:</w:t>
            </w:r>
          </w:p>
          <w:p w14:paraId="65E68C69" w14:textId="77777777" w:rsidR="0018485D" w:rsidRDefault="0018485D" w:rsidP="004364CD">
            <w:pPr>
              <w:spacing w:line="276" w:lineRule="auto"/>
              <w:jc w:val="both"/>
              <w:rPr>
                <w:rFonts w:ascii="Verdana" w:hAnsi="Verdana" w:cs="Arial"/>
                <w:lang w:eastAsia="es-ES"/>
              </w:rPr>
            </w:pPr>
          </w:p>
          <w:p w14:paraId="58A593C6" w14:textId="77777777" w:rsidR="0018485D" w:rsidRDefault="0018485D" w:rsidP="004364CD">
            <w:pPr>
              <w:spacing w:after="120" w:line="276" w:lineRule="auto"/>
              <w:jc w:val="both"/>
              <w:rPr>
                <w:rFonts w:ascii="Verdana" w:eastAsia="Calibri" w:hAnsi="Verdana" w:cs="Arial"/>
              </w:rPr>
            </w:pPr>
            <w:r>
              <w:rPr>
                <w:rFonts w:ascii="Verdana" w:eastAsia="Verdana" w:hAnsi="Verdana" w:cs="Verdana"/>
                <w:lang w:val="es-ES"/>
              </w:rPr>
              <w:t xml:space="preserve">i. </w:t>
            </w:r>
            <w:r w:rsidRPr="003E2347">
              <w:rPr>
                <w:rFonts w:ascii="Verdana" w:hAnsi="Verdana" w:cs="Arial"/>
                <w:iCs/>
                <w:color w:val="000000" w:themeColor="text1"/>
              </w:rPr>
              <w:t xml:space="preserve">Conforme a lo anterior, es claro que, de acuerdo con la jurisprudencia de la Sección Tercera del Consejo de Estado, es viable que entidades estatales exceptuadas del EGCAP, ejerzan la autonomía de la voluntad estableciendo potestades de ejercicio unilateral, estableciendo los mecanismos para hacerlas efectivas. No obstante, a diferencia de lo que sucede con los actos que se expiden como consecuencia del procedimiento establecido en el artículo 86 de la Ley 1474 de 2011, los actos </w:t>
            </w:r>
            <w:r>
              <w:rPr>
                <w:rFonts w:ascii="Verdana" w:hAnsi="Verdana" w:cs="Arial"/>
                <w:iCs/>
                <w:color w:val="000000" w:themeColor="text1"/>
              </w:rPr>
              <w:t xml:space="preserve">contractuales </w:t>
            </w:r>
            <w:r w:rsidRPr="003E2347">
              <w:rPr>
                <w:rFonts w:ascii="Verdana" w:hAnsi="Verdana" w:cs="Arial"/>
                <w:iCs/>
                <w:color w:val="000000" w:themeColor="text1"/>
              </w:rPr>
              <w:t xml:space="preserve">que resultan del ejercicio de estas potestades no son considerados actos administrativos sino contractuales. </w:t>
            </w:r>
            <w:r>
              <w:rPr>
                <w:rFonts w:ascii="Verdana" w:eastAsia="Calibri" w:hAnsi="Verdana" w:cs="Arial"/>
                <w:lang w:val="es-ES_tradnl"/>
              </w:rPr>
              <w:t>Esto resulta coherente con la jurisprudencia de</w:t>
            </w:r>
            <w:r w:rsidRPr="00BE4E34">
              <w:rPr>
                <w:rFonts w:ascii="Verdana" w:eastAsia="Calibri" w:hAnsi="Verdana" w:cs="Arial"/>
                <w:lang w:val="es-ES_tradnl"/>
              </w:rPr>
              <w:t xml:space="preserve"> </w:t>
            </w:r>
            <w:r w:rsidRPr="00BE4E34">
              <w:rPr>
                <w:rFonts w:ascii="Verdana" w:eastAsia="Calibri" w:hAnsi="Verdana" w:cs="Arial"/>
              </w:rPr>
              <w:t xml:space="preserve">la </w:t>
            </w:r>
            <w:r>
              <w:rPr>
                <w:rFonts w:ascii="Verdana" w:eastAsia="Calibri" w:hAnsi="Verdana" w:cs="Arial"/>
              </w:rPr>
              <w:t xml:space="preserve">Sala de Casación Civil de la </w:t>
            </w:r>
            <w:r w:rsidRPr="00BE4E34">
              <w:rPr>
                <w:rFonts w:ascii="Verdana" w:eastAsia="Calibri" w:hAnsi="Verdana" w:cs="Arial"/>
              </w:rPr>
              <w:t xml:space="preserve">Corte Suprema de Justicia </w:t>
            </w:r>
            <w:r>
              <w:rPr>
                <w:rFonts w:ascii="Verdana" w:eastAsia="Calibri" w:hAnsi="Verdana" w:cs="Arial"/>
              </w:rPr>
              <w:t xml:space="preserve">que </w:t>
            </w:r>
            <w:r w:rsidRPr="00BE4E34">
              <w:rPr>
                <w:rFonts w:ascii="Verdana" w:eastAsia="Calibri" w:hAnsi="Verdana" w:cs="Arial"/>
              </w:rPr>
              <w:t>confirm</w:t>
            </w:r>
            <w:r>
              <w:rPr>
                <w:rFonts w:ascii="Verdana" w:eastAsia="Calibri" w:hAnsi="Verdana" w:cs="Arial"/>
              </w:rPr>
              <w:t>a</w:t>
            </w:r>
            <w:r w:rsidRPr="00BE4E34">
              <w:rPr>
                <w:rFonts w:ascii="Verdana" w:eastAsia="Calibri" w:hAnsi="Verdana" w:cs="Arial"/>
              </w:rPr>
              <w:t xml:space="preserve"> la validez del pacto de poderes unilaterales en el marco de los contratos de derecho privado, </w:t>
            </w:r>
            <w:r>
              <w:rPr>
                <w:rFonts w:ascii="Verdana" w:eastAsia="Calibri" w:hAnsi="Verdana" w:cs="Arial"/>
              </w:rPr>
              <w:t xml:space="preserve">como expresión de </w:t>
            </w:r>
            <w:r w:rsidRPr="00BE4E34">
              <w:rPr>
                <w:rFonts w:ascii="Verdana" w:eastAsia="Calibri" w:hAnsi="Verdana" w:cs="Arial"/>
              </w:rPr>
              <w:t xml:space="preserve">la capacidad negocial de las partes </w:t>
            </w:r>
            <w:r>
              <w:rPr>
                <w:rFonts w:ascii="Verdana" w:eastAsia="Calibri" w:hAnsi="Verdana" w:cs="Arial"/>
              </w:rPr>
              <w:t>amparada</w:t>
            </w:r>
            <w:r w:rsidRPr="00BE4E34">
              <w:rPr>
                <w:rFonts w:ascii="Verdana" w:eastAsia="Calibri" w:hAnsi="Verdana" w:cs="Arial"/>
              </w:rPr>
              <w:t xml:space="preserve"> su autonomía de la voluntad</w:t>
            </w:r>
            <w:r>
              <w:rPr>
                <w:rFonts w:ascii="Verdana" w:eastAsia="Calibri" w:hAnsi="Verdana" w:cs="Arial"/>
              </w:rPr>
              <w:t xml:space="preserve">, que se materializa a través </w:t>
            </w:r>
            <w:r w:rsidRPr="00BE4E34">
              <w:rPr>
                <w:rFonts w:ascii="Verdana" w:eastAsia="Calibri" w:hAnsi="Verdana" w:cs="Arial"/>
              </w:rPr>
              <w:t>actos</w:t>
            </w:r>
            <w:r>
              <w:rPr>
                <w:rFonts w:ascii="Verdana" w:eastAsia="Calibri" w:hAnsi="Verdana" w:cs="Arial"/>
              </w:rPr>
              <w:t xml:space="preserve"> </w:t>
            </w:r>
            <w:r w:rsidRPr="00BE4E34">
              <w:rPr>
                <w:rFonts w:ascii="Verdana" w:eastAsia="Calibri" w:hAnsi="Verdana" w:cs="Arial"/>
              </w:rPr>
              <w:t>jurídicos unilaterales de derecho privado.</w:t>
            </w:r>
          </w:p>
          <w:p w14:paraId="632307E4" w14:textId="77777777" w:rsidR="0018485D" w:rsidRDefault="0018485D" w:rsidP="004364CD">
            <w:pPr>
              <w:spacing w:before="120" w:line="276" w:lineRule="auto"/>
              <w:ind w:firstLine="709"/>
              <w:jc w:val="both"/>
              <w:rPr>
                <w:rFonts w:ascii="Verdana" w:hAnsi="Verdana" w:cs="Arial"/>
                <w:bCs/>
                <w:color w:val="000000" w:themeColor="text1"/>
                <w:lang w:val="es-ES"/>
              </w:rPr>
            </w:pPr>
            <w:r>
              <w:rPr>
                <w:rFonts w:ascii="Verdana" w:eastAsia="Calibri" w:hAnsi="Verdana" w:cs="Arial"/>
                <w:color w:val="000000" w:themeColor="text1"/>
              </w:rPr>
              <w:t>En ese orden de ideas, las entidades exceptuadas del EGCAP pueden hacer uso de la autonomía de la voluntad estableciendo estipulaciones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w:t>
            </w:r>
            <w:r w:rsidRPr="00D81E8E">
              <w:rPr>
                <w:rFonts w:ascii="Verdana" w:hAnsi="Verdana" w:cs="Arial"/>
                <w:bCs/>
                <w:color w:val="000000" w:themeColor="text1"/>
                <w:lang w:val="es-ES"/>
              </w:rPr>
              <w:t xml:space="preserve"> </w:t>
            </w:r>
          </w:p>
          <w:p w14:paraId="51F2A46C" w14:textId="77777777" w:rsidR="0018485D" w:rsidRPr="00DC1356" w:rsidRDefault="0018485D" w:rsidP="004364CD">
            <w:pPr>
              <w:spacing w:before="120" w:line="276" w:lineRule="auto"/>
              <w:jc w:val="both"/>
              <w:rPr>
                <w:rFonts w:ascii="Verdana" w:eastAsia="Calibri" w:hAnsi="Verdana" w:cs="Arial"/>
                <w:color w:val="000000" w:themeColor="text1"/>
              </w:rPr>
            </w:pPr>
          </w:p>
          <w:p w14:paraId="649AA0F8" w14:textId="77777777" w:rsidR="0018485D" w:rsidRDefault="0018485D" w:rsidP="004364CD">
            <w:pPr>
              <w:autoSpaceDE w:val="0"/>
              <w:autoSpaceDN w:val="0"/>
              <w:adjustRightInd w:val="0"/>
              <w:spacing w:after="120" w:line="276" w:lineRule="auto"/>
              <w:jc w:val="both"/>
              <w:rPr>
                <w:rFonts w:ascii="Verdana" w:hAnsi="Verdana" w:cs="CIDFont+F2"/>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Pr>
                <w:rFonts w:ascii="Verdana" w:hAnsi="Verdana" w:cs="CIDFont+F2"/>
              </w:rPr>
              <w:t>La posibilidad de pactar la terminación unilateral, así como la liquidación unilateral son válidas, porque no contienen el ejercicio de facultades o potestades exorbitantes, por el contrario, bajo el principio de autonomía de la voluntad es posible su estipulación, teniendo en cuenta las posturas jurisprudenciales más recientes del Consejo de Estado, que así lo respaldan en las razones de la presente respuesta.</w:t>
            </w:r>
          </w:p>
          <w:p w14:paraId="1B1E2CDA" w14:textId="77777777" w:rsidR="0018485D" w:rsidRDefault="0018485D" w:rsidP="004364CD">
            <w:pPr>
              <w:autoSpaceDE w:val="0"/>
              <w:autoSpaceDN w:val="0"/>
              <w:adjustRightInd w:val="0"/>
              <w:spacing w:line="276" w:lineRule="auto"/>
              <w:ind w:firstLine="709"/>
              <w:jc w:val="both"/>
              <w:rPr>
                <w:rFonts w:ascii="Verdana" w:hAnsi="Verdana" w:cs="Arial"/>
                <w:bCs/>
                <w:iCs/>
                <w:color w:val="000000" w:themeColor="text1"/>
              </w:rPr>
            </w:pPr>
            <w:r>
              <w:rPr>
                <w:rFonts w:ascii="Verdana" w:hAnsi="Verdana" w:cs="CIDFont+F2"/>
              </w:rPr>
              <w:t xml:space="preserve">Dicha posición se </w:t>
            </w:r>
            <w:r>
              <w:rPr>
                <w:rFonts w:ascii="Verdana" w:hAnsi="Verdana" w:cs="Arial"/>
                <w:bCs/>
                <w:color w:val="000000" w:themeColor="text1"/>
                <w:lang w:val="es-ES"/>
              </w:rPr>
              <w:t xml:space="preserve">ha terminado de consolidar con la Sentencia de Unificación del 9 de mayo de 2024, en la que se expresa que es válido que las empresas de servicios públicos domiciliarios como </w:t>
            </w:r>
            <w:r w:rsidRPr="0066674D">
              <w:rPr>
                <w:rFonts w:ascii="Verdana" w:hAnsi="Verdana" w:cs="Arial"/>
                <w:bCs/>
                <w:iCs/>
                <w:color w:val="000000" w:themeColor="text1"/>
              </w:rPr>
              <w:t xml:space="preserve">entidades estatales exceptuadas del EGCAP, ejerzan la autonomía de la voluntad estableciendo potestades de ejercicio unilateral, estableciendo los mecanismos para </w:t>
            </w:r>
            <w:r w:rsidRPr="0066674D">
              <w:rPr>
                <w:rFonts w:ascii="Verdana" w:hAnsi="Verdana" w:cs="Arial"/>
                <w:bCs/>
                <w:iCs/>
                <w:color w:val="000000" w:themeColor="text1"/>
              </w:rPr>
              <w:lastRenderedPageBreak/>
              <w:t xml:space="preserve">hacerlas efectivas. </w:t>
            </w:r>
            <w:r>
              <w:rPr>
                <w:rFonts w:ascii="Verdana" w:hAnsi="Verdana" w:cs="Arial"/>
                <w:bCs/>
                <w:iCs/>
                <w:color w:val="000000" w:themeColor="text1"/>
              </w:rPr>
              <w:t>Así es que, los actos que se expidan en ejercicio de esta facultad son actos contractuales –propios del régimen jurídico privado- y no actos administrativos.</w:t>
            </w:r>
          </w:p>
          <w:p w14:paraId="6FAB6A1B" w14:textId="77777777" w:rsidR="0018485D" w:rsidRDefault="0018485D" w:rsidP="004364CD">
            <w:pPr>
              <w:autoSpaceDE w:val="0"/>
              <w:autoSpaceDN w:val="0"/>
              <w:adjustRightInd w:val="0"/>
              <w:spacing w:line="276" w:lineRule="auto"/>
              <w:ind w:firstLine="709"/>
              <w:jc w:val="both"/>
              <w:rPr>
                <w:rFonts w:ascii="Verdana" w:hAnsi="Verdana" w:cs="Arial"/>
                <w:bCs/>
                <w:iCs/>
                <w:color w:val="000000" w:themeColor="text1"/>
              </w:rPr>
            </w:pPr>
          </w:p>
          <w:p w14:paraId="1E126F84" w14:textId="77777777" w:rsidR="0018485D" w:rsidRDefault="0018485D" w:rsidP="004364CD">
            <w:pPr>
              <w:autoSpaceDE w:val="0"/>
              <w:autoSpaceDN w:val="0"/>
              <w:adjustRightInd w:val="0"/>
              <w:spacing w:line="276" w:lineRule="auto"/>
              <w:jc w:val="both"/>
              <w:rPr>
                <w:rFonts w:ascii="Verdana" w:hAnsi="Verdana" w:cs="CIDFont+F2"/>
              </w:rPr>
            </w:pPr>
            <w:proofErr w:type="spellStart"/>
            <w:r>
              <w:rPr>
                <w:rFonts w:ascii="Verdana" w:hAnsi="Verdana" w:cs="Arial"/>
                <w:bCs/>
                <w:iCs/>
                <w:color w:val="000000" w:themeColor="text1"/>
              </w:rPr>
              <w:t>iii</w:t>
            </w:r>
            <w:proofErr w:type="spellEnd"/>
            <w:r>
              <w:rPr>
                <w:rFonts w:ascii="Verdana" w:hAnsi="Verdana" w:cs="Arial"/>
                <w:bCs/>
                <w:iCs/>
                <w:color w:val="000000" w:themeColor="text1"/>
              </w:rPr>
              <w:t>.</w:t>
            </w:r>
            <w:r>
              <w:rPr>
                <w:rFonts w:ascii="Verdana" w:hAnsi="Verdana" w:cs="CIDFont+F2"/>
              </w:rPr>
              <w:t xml:space="preserve"> </w:t>
            </w:r>
            <w:r>
              <w:rPr>
                <w:rFonts w:ascii="Verdana" w:hAnsi="Verdana" w:cs="Arial"/>
                <w:bCs/>
                <w:color w:val="000000" w:themeColor="text1"/>
                <w:lang w:val="es-ES"/>
              </w:rPr>
              <w:t>En torno al procedimiento administrativo aplicable para las entidades de régimen especial, hay que precisar que e</w:t>
            </w:r>
            <w:r w:rsidRPr="00352BE9">
              <w:rPr>
                <w:rFonts w:ascii="Verdana" w:hAnsi="Verdana" w:cs="CIDFont+F2"/>
              </w:rPr>
              <w:t>l procedimiento sancionatorio establecido en el artículo 86 de la Ley 1474 de 2011 está dirigido exclusivamente a las entidades estatales regidas por el Estatuto General de Contratación de la Administración Pública, a efectos de garantizar el debido proceso en el marco de la declaratoria unilateral de incumplimiento, con arreglo a lo dispuesto en el artículo 17 de la Ley 1150 de 2007. En ese sentido, las entidades exceptuadas de la aplicación del régimen general de contratación pública al no tener atribuida potestad sancionatoria para la declaratoria de incumplimientos contractuales no tienen la posibilidad de acudir al procedimiento reglado en el artículo 86 de Ley 1474 de 2011. Esto sin perjuicio de que, cuando estas entidades pacten el ejercicio de potestades unilaterales con fundamento en la autonomía de la voluntad, determinen el mecanismo o procedimiento para hac</w:t>
            </w:r>
            <w:r>
              <w:rPr>
                <w:rFonts w:ascii="Verdana" w:hAnsi="Verdana" w:cs="CIDFont+F2"/>
              </w:rPr>
              <w:t xml:space="preserve">er efectivas dichas cláusulas. </w:t>
            </w:r>
          </w:p>
          <w:p w14:paraId="444CEF66" w14:textId="77777777" w:rsidR="0018485D" w:rsidRDefault="0018485D" w:rsidP="004364CD">
            <w:pPr>
              <w:spacing w:before="120" w:line="276" w:lineRule="auto"/>
              <w:jc w:val="both"/>
              <w:rPr>
                <w:rFonts w:ascii="Verdana" w:hAnsi="Verdana" w:cs="CIDFont+F2"/>
              </w:rPr>
            </w:pPr>
          </w:p>
          <w:p w14:paraId="5688EABA" w14:textId="77777777" w:rsidR="0018485D" w:rsidRDefault="0018485D" w:rsidP="004364CD">
            <w:pPr>
              <w:spacing w:after="120" w:line="276" w:lineRule="auto"/>
              <w:jc w:val="both"/>
              <w:rPr>
                <w:rFonts w:ascii="Verdana" w:eastAsia="Calibri" w:hAnsi="Verdana" w:cs="Arial"/>
                <w:iCs/>
                <w:color w:val="000000" w:themeColor="text1"/>
              </w:rPr>
            </w:pPr>
            <w:proofErr w:type="spellStart"/>
            <w:r>
              <w:rPr>
                <w:rFonts w:ascii="Verdana" w:hAnsi="Verdana" w:cs="CIDFont+F2"/>
              </w:rPr>
              <w:t>iv</w:t>
            </w:r>
            <w:proofErr w:type="spellEnd"/>
            <w:r>
              <w:rPr>
                <w:rFonts w:ascii="Verdana" w:hAnsi="Verdana" w:cs="CIDFont+F2"/>
              </w:rPr>
              <w:t>.</w:t>
            </w:r>
            <w:r>
              <w:rPr>
                <w:rFonts w:ascii="Verdana" w:eastAsia="Calibri" w:hAnsi="Verdana" w:cs="Arial"/>
                <w:color w:val="000000" w:themeColor="text1"/>
                <w:lang w:val="es-ES"/>
              </w:rPr>
              <w:t xml:space="preserve">Ahora bien, es importante precisar que no hay una postura consolidada sobre la posibilidad de las entidades de régimen especial de contratación de pactar cláusulas excepcionales, salvo lo expresado en la Sentencia de Unificación del 9 de mayo de 2024, en la que permite que las Empresas de Servicios Públicos puedan pactarlo y ejercerlo, tal como se expuso en el Concepto 062 del 21 de febrero de 2025, en la que se detalló el alcance de dicha providencia: “[…] </w:t>
            </w:r>
            <w:r w:rsidRPr="00AF5B8F">
              <w:rPr>
                <w:rFonts w:ascii="Verdana" w:eastAsia="Calibri" w:hAnsi="Verdana" w:cs="Arial"/>
                <w:iCs/>
                <w:color w:val="000000" w:themeColor="text1"/>
              </w:rPr>
              <w:t xml:space="preserve">salvo las excepciones legales, los actos jurídicos adoptados por los prestadores de servicios públicos domiciliarios con motivo de su actividad contractual, no son actos administrativos y se rigen por la normatividad civil y comercial, así como por las reglas atinentes a su régimen especial: por tal razón, para controvertirlos a través del medio de control de controversias contractuales, el demandante no tiene la carga de solicitar su anulación. </w:t>
            </w:r>
            <w:r w:rsidRPr="00AF5B8F">
              <w:rPr>
                <w:rFonts w:ascii="Verdana" w:eastAsia="Calibri" w:hAnsi="Verdana" w:cs="Arial"/>
                <w:i/>
                <w:color w:val="000000" w:themeColor="text1"/>
              </w:rPr>
              <w:t>Asimismo</w:t>
            </w:r>
            <w:r w:rsidRPr="00AF5B8F">
              <w:rPr>
                <w:rFonts w:ascii="Verdana" w:eastAsia="Calibri" w:hAnsi="Verdana" w:cs="Arial"/>
                <w:iCs/>
                <w:color w:val="000000" w:themeColor="text1"/>
              </w:rPr>
              <w:t xml:space="preserve">, en los asuntos pendientes de solución bajo los que se hubiere solicitado la nulidad de tales actos por considerarlos actos administrativos, no podrá declararse la inepta demanda ni los jueces pueden inhibirse de emitir una decisión de fondo: en garantía del derecho de acceso a la administración de justicia y la aplicación del principio </w:t>
            </w:r>
            <w:proofErr w:type="spellStart"/>
            <w:r w:rsidRPr="00AF5B8F">
              <w:rPr>
                <w:rFonts w:ascii="Verdana" w:eastAsia="Calibri" w:hAnsi="Verdana" w:cs="Arial"/>
                <w:i/>
                <w:color w:val="000000" w:themeColor="text1"/>
              </w:rPr>
              <w:t>iura</w:t>
            </w:r>
            <w:proofErr w:type="spellEnd"/>
            <w:r w:rsidRPr="00AF5B8F">
              <w:rPr>
                <w:rFonts w:ascii="Verdana" w:eastAsia="Calibri" w:hAnsi="Verdana" w:cs="Arial"/>
                <w:i/>
                <w:color w:val="000000" w:themeColor="text1"/>
              </w:rPr>
              <w:t xml:space="preserve"> </w:t>
            </w:r>
            <w:proofErr w:type="spellStart"/>
            <w:r w:rsidRPr="00AF5B8F">
              <w:rPr>
                <w:rFonts w:ascii="Verdana" w:eastAsia="Calibri" w:hAnsi="Verdana" w:cs="Arial"/>
                <w:i/>
                <w:color w:val="000000" w:themeColor="text1"/>
              </w:rPr>
              <w:t>novit</w:t>
            </w:r>
            <w:proofErr w:type="spellEnd"/>
            <w:r w:rsidRPr="00AF5B8F">
              <w:rPr>
                <w:rFonts w:ascii="Verdana" w:eastAsia="Calibri" w:hAnsi="Verdana" w:cs="Arial"/>
                <w:i/>
                <w:color w:val="000000" w:themeColor="text1"/>
              </w:rPr>
              <w:t xml:space="preserve"> curia</w:t>
            </w:r>
            <w:r w:rsidRPr="00AF5B8F">
              <w:rPr>
                <w:rFonts w:ascii="Verdana" w:eastAsia="Calibri" w:hAnsi="Verdana" w:cs="Arial"/>
                <w:iCs/>
                <w:color w:val="000000" w:themeColor="text1"/>
              </w:rPr>
              <w:t xml:space="preserve">, </w:t>
            </w:r>
            <w:r w:rsidRPr="00AF5B8F">
              <w:rPr>
                <w:rFonts w:ascii="Verdana" w:eastAsia="Calibri" w:hAnsi="Verdana" w:cs="Arial"/>
                <w:iCs/>
                <w:color w:val="000000" w:themeColor="text1"/>
              </w:rPr>
              <w:lastRenderedPageBreak/>
              <w:t>debe adecuarse e interpretarse la demanda y reconducirla para fallarla de fondo</w:t>
            </w:r>
            <w:r>
              <w:rPr>
                <w:rFonts w:ascii="Verdana" w:eastAsia="Calibri" w:hAnsi="Verdana" w:cs="Arial"/>
                <w:iCs/>
                <w:color w:val="000000" w:themeColor="text1"/>
              </w:rPr>
              <w:t>”</w:t>
            </w:r>
            <w:r w:rsidRPr="00AF5B8F">
              <w:rPr>
                <w:rFonts w:ascii="Verdana" w:eastAsia="Calibri" w:hAnsi="Verdana" w:cs="Arial"/>
                <w:iCs/>
                <w:color w:val="000000" w:themeColor="text1"/>
              </w:rPr>
              <w:t xml:space="preserve">.  </w:t>
            </w:r>
          </w:p>
          <w:p w14:paraId="5DA1D722" w14:textId="77777777" w:rsidR="0018485D" w:rsidRPr="0089671A" w:rsidRDefault="0018485D" w:rsidP="004364CD">
            <w:pPr>
              <w:spacing w:after="120" w:line="276" w:lineRule="auto"/>
              <w:jc w:val="both"/>
              <w:rPr>
                <w:rFonts w:ascii="Verdana" w:eastAsia="Calibri" w:hAnsi="Verdana" w:cs="Arial"/>
                <w:iCs/>
                <w:color w:val="000000" w:themeColor="text1"/>
                <w:lang w:val="es-ES"/>
              </w:rPr>
            </w:pPr>
            <w:r>
              <w:rPr>
                <w:rFonts w:ascii="Verdana" w:eastAsia="Calibri" w:hAnsi="Verdana" w:cs="Arial"/>
                <w:iCs/>
                <w:color w:val="000000" w:themeColor="text1"/>
              </w:rPr>
              <w:tab/>
              <w:t xml:space="preserve">A partir de estas precisiones, puede afirmarse que hay una posición predominante dentro del Consejo de Estado que permite la estipulación y ejercicio de cláusulas excepcionales por parte de entidades de régimen especial, excepto la aplicación del procedimiento sancionatorio contractual establecido en el artículo 86 de la Ley 1474 de 2011. Esto, sin perjuicio de otra postura, en la que se afirma que pactar y ejercer dichas cláusulas contrarían el principio de legalidad, al no existir norma expresa que lo habilite, como si ocurre con las Empresas Sociales del Estado, las cuales </w:t>
            </w:r>
            <w:r>
              <w:rPr>
                <w:rFonts w:ascii="Verdana" w:eastAsia="Calibri" w:hAnsi="Verdana" w:cs="Arial"/>
                <w:iCs/>
                <w:color w:val="000000" w:themeColor="text1"/>
                <w:lang w:val="es-ES"/>
              </w:rPr>
              <w:t xml:space="preserve">pueden usar </w:t>
            </w:r>
            <w:r w:rsidRPr="00277037">
              <w:rPr>
                <w:rFonts w:ascii="Verdana" w:eastAsia="Calibri" w:hAnsi="Verdana" w:cs="Arial"/>
                <w:iCs/>
                <w:color w:val="000000" w:themeColor="text1"/>
                <w:lang w:val="es-ES"/>
              </w:rPr>
              <w:t>las cláusulas exorbitantes previstas en el estatuto general de contratación de la administración públic</w:t>
            </w:r>
            <w:r>
              <w:rPr>
                <w:rFonts w:ascii="Verdana" w:eastAsia="Calibri" w:hAnsi="Verdana" w:cs="Arial"/>
                <w:iCs/>
                <w:color w:val="000000" w:themeColor="text1"/>
                <w:lang w:val="es-ES"/>
              </w:rPr>
              <w:t xml:space="preserve">a, así como la posibilidad de que se le otorgó a las </w:t>
            </w:r>
            <w:r w:rsidRPr="00277037">
              <w:rPr>
                <w:rFonts w:ascii="Verdana" w:eastAsia="Calibri" w:hAnsi="Verdana" w:cs="Arial"/>
                <w:iCs/>
                <w:color w:val="000000" w:themeColor="text1"/>
                <w:lang w:val="es-ES"/>
              </w:rPr>
              <w:t xml:space="preserve">Comisiones de Regulación </w:t>
            </w:r>
            <w:r>
              <w:rPr>
                <w:rFonts w:ascii="Verdana" w:eastAsia="Calibri" w:hAnsi="Verdana" w:cs="Arial"/>
                <w:iCs/>
                <w:color w:val="000000" w:themeColor="text1"/>
                <w:lang w:val="es-ES"/>
              </w:rPr>
              <w:t xml:space="preserve">de hacer </w:t>
            </w:r>
            <w:r w:rsidRPr="00277037">
              <w:rPr>
                <w:rFonts w:ascii="Verdana" w:eastAsia="Calibri" w:hAnsi="Verdana" w:cs="Arial"/>
                <w:iCs/>
                <w:color w:val="000000" w:themeColor="text1"/>
                <w:lang w:val="es-ES"/>
              </w:rPr>
              <w:t>obligatoria la inclusión, en ciertos tipos de contratos de cualquier empresa de servicios públicos, de cláusulas exorbitantes y p</w:t>
            </w:r>
            <w:r>
              <w:rPr>
                <w:rFonts w:ascii="Verdana" w:eastAsia="Calibri" w:hAnsi="Verdana" w:cs="Arial"/>
                <w:iCs/>
                <w:color w:val="000000" w:themeColor="text1"/>
                <w:lang w:val="es-ES"/>
              </w:rPr>
              <w:t>osibilitan la facultad</w:t>
            </w:r>
            <w:r w:rsidRPr="00277037">
              <w:rPr>
                <w:rFonts w:ascii="Verdana" w:eastAsia="Calibri" w:hAnsi="Verdana" w:cs="Arial"/>
                <w:iCs/>
                <w:color w:val="000000" w:themeColor="text1"/>
                <w:lang w:val="es-ES"/>
              </w:rPr>
              <w:t>, previa consulta expresa por parte de las</w:t>
            </w:r>
            <w:r>
              <w:rPr>
                <w:rFonts w:ascii="Verdana" w:eastAsia="Calibri" w:hAnsi="Verdana" w:cs="Arial"/>
                <w:iCs/>
                <w:color w:val="000000" w:themeColor="text1"/>
                <w:lang w:val="es-ES"/>
              </w:rPr>
              <w:t xml:space="preserve"> estas empresas</w:t>
            </w:r>
            <w:r w:rsidRPr="00277037">
              <w:rPr>
                <w:rFonts w:ascii="Verdana" w:eastAsia="Calibri" w:hAnsi="Verdana" w:cs="Arial"/>
                <w:iCs/>
                <w:color w:val="000000" w:themeColor="text1"/>
                <w:lang w:val="es-ES"/>
              </w:rPr>
              <w:t>, que se incluyan en los demás.</w:t>
            </w:r>
          </w:p>
          <w:p w14:paraId="24C70CF8" w14:textId="77777777" w:rsidR="0018485D" w:rsidRPr="009B542F" w:rsidRDefault="0018485D" w:rsidP="004364CD">
            <w:pPr>
              <w:spacing w:line="276" w:lineRule="auto"/>
              <w:ind w:firstLine="709"/>
              <w:jc w:val="both"/>
              <w:rPr>
                <w:rFonts w:ascii="Verdana" w:hAnsi="Verdana" w:cs="Arial"/>
                <w:lang w:val="es-ES" w:eastAsia="es-ES"/>
              </w:rPr>
            </w:pP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1DCD4F4" w14:textId="7E952E6C" w:rsidR="0018485D" w:rsidRDefault="0018485D" w:rsidP="0018485D">
      <w:pPr>
        <w:spacing w:after="0" w:line="276" w:lineRule="auto"/>
        <w:jc w:val="both"/>
        <w:rPr>
          <w:rFonts w:ascii="Verdana" w:eastAsia="Calibri" w:hAnsi="Verdana" w:cs="Arial"/>
          <w:bCs/>
          <w:color w:val="000000" w:themeColor="text1"/>
        </w:rPr>
      </w:pPr>
    </w:p>
    <w:p w14:paraId="7FE25B98" w14:textId="77777777" w:rsidR="0018485D" w:rsidRPr="003F4BAF" w:rsidRDefault="0018485D" w:rsidP="0018485D">
      <w:pPr>
        <w:numPr>
          <w:ilvl w:val="0"/>
          <w:numId w:val="19"/>
        </w:numPr>
        <w:spacing w:after="0" w:line="25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29E0D6F2" w14:textId="77777777" w:rsidR="0018485D" w:rsidRPr="003F4BAF" w:rsidRDefault="0018485D" w:rsidP="0018485D">
      <w:pPr>
        <w:spacing w:after="0" w:line="256" w:lineRule="auto"/>
        <w:rPr>
          <w:rFonts w:ascii="Verdana" w:eastAsia="Calibri" w:hAnsi="Verdana" w:cs="Times New Roman"/>
          <w:b/>
          <w:bCs/>
          <w:lang w:val="es-ES"/>
        </w:rPr>
      </w:pPr>
    </w:p>
    <w:p w14:paraId="31A2DE27" w14:textId="77777777" w:rsidR="0018485D" w:rsidRPr="003F4BAF" w:rsidRDefault="0018485D" w:rsidP="0018485D">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503148A5" w14:textId="77777777" w:rsidR="0018485D" w:rsidRPr="00415608" w:rsidRDefault="0018485D" w:rsidP="0018485D">
      <w:pPr>
        <w:spacing w:after="0" w:line="276" w:lineRule="auto"/>
        <w:jc w:val="both"/>
        <w:rPr>
          <w:rFonts w:ascii="Verdana" w:eastAsia="Calibri" w:hAnsi="Verdana" w:cs="Arial"/>
          <w:lang w:val="es-ES"/>
        </w:rPr>
      </w:pPr>
    </w:p>
    <w:p w14:paraId="0DBCD0EA" w14:textId="77777777" w:rsidR="0018485D" w:rsidRPr="00501E29" w:rsidRDefault="0018485D" w:rsidP="0018485D">
      <w:pPr>
        <w:spacing w:after="120" w:line="276" w:lineRule="auto"/>
        <w:jc w:val="both"/>
        <w:rPr>
          <w:rFonts w:ascii="Verdana" w:hAnsi="Verdana" w:cs="Arial"/>
        </w:rPr>
      </w:pPr>
      <w:r w:rsidRPr="00501E29">
        <w:rPr>
          <w:rFonts w:ascii="Verdana" w:eastAsia="Calibri" w:hAnsi="Verdana" w:cs="Arial"/>
          <w:bCs/>
          <w:lang w:val="es-ES_tradnl"/>
        </w:rPr>
        <w:t xml:space="preserve">i. </w:t>
      </w:r>
      <w:r w:rsidRPr="00501E29">
        <w:rPr>
          <w:rFonts w:ascii="Verdana" w:eastAsia="Calibri" w:hAnsi="Verdana" w:cs="Arial"/>
          <w:lang w:val="es-ES"/>
        </w:rPr>
        <w:t>Respecto al régimen jurídico</w:t>
      </w:r>
      <w:r>
        <w:rPr>
          <w:rFonts w:ascii="Verdana" w:eastAsia="Calibri" w:hAnsi="Verdana" w:cs="Arial"/>
          <w:lang w:val="es-ES"/>
        </w:rPr>
        <w:t xml:space="preserve"> de las </w:t>
      </w:r>
      <w:r w:rsidRPr="0089671A">
        <w:rPr>
          <w:rFonts w:ascii="Verdana" w:eastAsia="Calibri" w:hAnsi="Verdana" w:cs="Arial"/>
          <w:lang w:val="es-ES"/>
        </w:rPr>
        <w:t>Entidades Estatales</w:t>
      </w:r>
      <w:r w:rsidRPr="00501E29">
        <w:rPr>
          <w:rFonts w:ascii="Verdana" w:eastAsia="Calibri" w:hAnsi="Verdana" w:cs="Arial"/>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501E29">
        <w:rPr>
          <w:rFonts w:ascii="Verdana" w:hAnsi="Verdana" w:cs="Arial"/>
        </w:rPr>
        <w:t xml:space="preserve">el inciso primero del artículo 13 dispone que “Los contratos que celebren las entidades a que se refiere el artículo 2o. del </w:t>
      </w:r>
      <w:r w:rsidRPr="00501E29">
        <w:rPr>
          <w:rFonts w:ascii="Verdana" w:hAnsi="Verdana" w:cs="Arial"/>
        </w:rPr>
        <w:lastRenderedPageBreak/>
        <w:t xml:space="preserve">presente estatuto se regirán por las disposiciones comerciales y civiles pertinentes, salvo en las materias particularmente reguladas en esta ley”. </w:t>
      </w:r>
    </w:p>
    <w:p w14:paraId="1FA754DC" w14:textId="77777777" w:rsidR="0018485D" w:rsidRPr="00501E29" w:rsidRDefault="0018485D" w:rsidP="0018485D">
      <w:pPr>
        <w:spacing w:after="120" w:line="276" w:lineRule="auto"/>
        <w:ind w:firstLine="709"/>
        <w:jc w:val="both"/>
        <w:rPr>
          <w:rFonts w:ascii="Verdana" w:hAnsi="Verdana" w:cs="Arial"/>
        </w:rPr>
      </w:pPr>
      <w:r w:rsidRPr="00501E29">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w:t>
      </w:r>
      <w:r>
        <w:rPr>
          <w:rFonts w:ascii="Verdana" w:hAnsi="Verdana" w:cs="Arial"/>
        </w:rPr>
        <w:t>tonomía de la voluntad” –art. 32</w:t>
      </w:r>
      <w:r w:rsidRPr="00501E29">
        <w:rPr>
          <w:rFonts w:ascii="Verdana" w:hAnsi="Verdana" w:cs="Arial"/>
        </w:rPr>
        <w:t>, inciso primero–. Asimismo, dispone que “Las estipulaciones de los contratos serán las que</w:t>
      </w:r>
      <w:r>
        <w:rPr>
          <w:rFonts w:ascii="Verdana" w:hAnsi="Verdana" w:cs="Arial"/>
        </w:rPr>
        <w:t>,</w:t>
      </w:r>
      <w:r w:rsidRPr="00501E29">
        <w:rPr>
          <w:rFonts w:ascii="Verdana" w:hAnsi="Verdana" w:cs="Arial"/>
        </w:rPr>
        <w:t xml:space="preserve"> de acuerdo con las normas civiles, comerciales y las previstas en esta ley, correspondan a su esencia y naturaleza” –art. 40, inciso primero–.</w:t>
      </w:r>
    </w:p>
    <w:p w14:paraId="716F4A12" w14:textId="77777777" w:rsidR="0018485D" w:rsidRPr="00501E29" w:rsidRDefault="0018485D" w:rsidP="0018485D">
      <w:pPr>
        <w:spacing w:after="0" w:line="276" w:lineRule="auto"/>
        <w:ind w:firstLine="708"/>
        <w:jc w:val="both"/>
        <w:rPr>
          <w:rFonts w:ascii="Verdana" w:hAnsi="Verdana" w:cs="Arial"/>
        </w:rPr>
      </w:pPr>
      <w:r w:rsidRPr="00501E29">
        <w:rPr>
          <w:rFonts w:ascii="Verdana" w:hAnsi="Verdana" w:cs="Arial"/>
        </w:rPr>
        <w:t>De esta manera, los contratos de las entidades s</w:t>
      </w:r>
      <w:r>
        <w:rPr>
          <w:rFonts w:ascii="Verdana" w:hAnsi="Verdana" w:cs="Arial"/>
        </w:rPr>
        <w:t>ujetas</w:t>
      </w:r>
      <w:r w:rsidRPr="00501E29">
        <w:rPr>
          <w:rFonts w:ascii="Verdana" w:hAnsi="Verdana" w:cs="Arial"/>
        </w:rPr>
        <w:t xml:space="preserve"> al Estatuto General de Contratación se rigen generalmente por el derecho privado y excepcionalmente por el derecho público, pues las normas civiles y comerciales son el derecho común de los contratos estatales</w:t>
      </w:r>
      <w:r w:rsidRPr="00501E29">
        <w:rPr>
          <w:rStyle w:val="Refdenotaalpie"/>
          <w:rFonts w:ascii="Verdana" w:hAnsi="Verdana" w:cs="Arial"/>
        </w:rPr>
        <w:footnoteReference w:id="2"/>
      </w:r>
      <w:r w:rsidRPr="00501E29">
        <w:rPr>
          <w:rFonts w:ascii="Verdana" w:hAnsi="Verdana" w:cs="Arial"/>
        </w:rPr>
        <w:t>. Para la doctrina, la mixtura del régimen contractual:</w:t>
      </w:r>
    </w:p>
    <w:p w14:paraId="55797FB0" w14:textId="77777777" w:rsidR="0018485D" w:rsidRPr="00501E29" w:rsidRDefault="0018485D" w:rsidP="0018485D">
      <w:pPr>
        <w:spacing w:after="0" w:line="276" w:lineRule="auto"/>
        <w:ind w:firstLine="709"/>
        <w:jc w:val="both"/>
        <w:rPr>
          <w:rFonts w:ascii="Verdana" w:hAnsi="Verdana" w:cs="Arial"/>
        </w:rPr>
      </w:pPr>
    </w:p>
    <w:p w14:paraId="31245330" w14:textId="77777777" w:rsidR="0018485D" w:rsidRDefault="0018485D" w:rsidP="0018485D">
      <w:pPr>
        <w:spacing w:after="0" w:line="240" w:lineRule="auto"/>
        <w:ind w:left="709" w:right="709"/>
        <w:jc w:val="both"/>
        <w:rPr>
          <w:rFonts w:ascii="Verdana" w:hAnsi="Verdana" w:cs="Arial"/>
          <w:sz w:val="21"/>
          <w:szCs w:val="21"/>
        </w:rPr>
      </w:pPr>
      <w:r w:rsidRPr="00501E29">
        <w:rPr>
          <w:rFonts w:ascii="Verdana" w:hAnsi="Verdana" w:cs="Arial"/>
          <w:sz w:val="21"/>
          <w:szCs w:val="21"/>
        </w:rPr>
        <w:t xml:space="preserve">“[…] no hace otra cosa que aprovechar ciertos principios rectores de la contratación general </w:t>
      </w:r>
      <w:proofErr w:type="gramStart"/>
      <w:r w:rsidRPr="00501E29">
        <w:rPr>
          <w:rFonts w:ascii="Verdana" w:hAnsi="Verdana" w:cs="Arial"/>
          <w:sz w:val="21"/>
          <w:szCs w:val="21"/>
        </w:rPr>
        <w:t>que</w:t>
      </w:r>
      <w:proofErr w:type="gramEnd"/>
      <w:r w:rsidRPr="00501E29">
        <w:rPr>
          <w:rFonts w:ascii="Verdana" w:hAnsi="Verdana" w:cs="Arial"/>
          <w:sz w:val="21"/>
          <w:szCs w:val="21"/>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9982084" w14:textId="77777777" w:rsidR="0018485D" w:rsidRDefault="0018485D" w:rsidP="0018485D">
      <w:pPr>
        <w:spacing w:after="0" w:line="240" w:lineRule="auto"/>
        <w:ind w:left="709" w:right="709"/>
        <w:jc w:val="both"/>
        <w:rPr>
          <w:rFonts w:ascii="Verdana" w:hAnsi="Verdana" w:cs="Arial"/>
          <w:sz w:val="21"/>
          <w:szCs w:val="21"/>
        </w:rPr>
      </w:pPr>
    </w:p>
    <w:p w14:paraId="3C245E1E" w14:textId="77777777" w:rsidR="0018485D" w:rsidRPr="000876F0" w:rsidRDefault="0018485D" w:rsidP="0018485D">
      <w:pPr>
        <w:spacing w:after="0" w:line="240" w:lineRule="auto"/>
        <w:ind w:left="709" w:right="709"/>
        <w:jc w:val="both"/>
        <w:rPr>
          <w:rFonts w:ascii="Verdana" w:hAnsi="Verdana" w:cs="Arial"/>
          <w:sz w:val="21"/>
          <w:szCs w:val="21"/>
        </w:rPr>
      </w:pPr>
      <w:r w:rsidRPr="00501E29">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501E29">
        <w:rPr>
          <w:rStyle w:val="Refdenotaalpie"/>
          <w:rFonts w:ascii="Verdana" w:hAnsi="Verdana" w:cs="Arial"/>
          <w:sz w:val="21"/>
          <w:szCs w:val="21"/>
        </w:rPr>
        <w:footnoteReference w:id="3"/>
      </w:r>
      <w:r w:rsidRPr="00501E29">
        <w:rPr>
          <w:rFonts w:ascii="Verdana" w:hAnsi="Verdana" w:cs="Arial"/>
          <w:sz w:val="21"/>
          <w:szCs w:val="21"/>
        </w:rPr>
        <w:t xml:space="preserve">. </w:t>
      </w:r>
    </w:p>
    <w:p w14:paraId="5A3B6988" w14:textId="77777777" w:rsidR="0018485D" w:rsidRPr="00501E29" w:rsidRDefault="0018485D" w:rsidP="0018485D">
      <w:pPr>
        <w:spacing w:after="0" w:line="276" w:lineRule="auto"/>
        <w:ind w:left="709" w:right="709"/>
        <w:jc w:val="both"/>
        <w:rPr>
          <w:rFonts w:ascii="Verdana" w:hAnsi="Verdana" w:cs="Arial"/>
        </w:rPr>
      </w:pPr>
      <w:r w:rsidRPr="00501E29">
        <w:rPr>
          <w:rFonts w:ascii="Verdana" w:hAnsi="Verdana" w:cs="Arial"/>
        </w:rPr>
        <w:t xml:space="preserve"> </w:t>
      </w:r>
    </w:p>
    <w:p w14:paraId="344C6EEF" w14:textId="77777777" w:rsidR="0018485D" w:rsidRDefault="0018485D" w:rsidP="0018485D">
      <w:pPr>
        <w:spacing w:after="120" w:line="276" w:lineRule="auto"/>
        <w:jc w:val="both"/>
        <w:rPr>
          <w:rFonts w:ascii="Verdana" w:hAnsi="Verdana" w:cs="Arial"/>
        </w:rPr>
      </w:pPr>
      <w:r w:rsidRPr="00501E29">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w:t>
      </w:r>
      <w:r w:rsidRPr="00501E29">
        <w:rPr>
          <w:rFonts w:ascii="Verdana" w:hAnsi="Verdana" w:cs="Arial"/>
        </w:rPr>
        <w:lastRenderedPageBreak/>
        <w:t>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73488935" w14:textId="77777777" w:rsidR="0018485D" w:rsidRPr="00D4240A" w:rsidRDefault="0018485D" w:rsidP="0018485D">
      <w:pPr>
        <w:spacing w:after="120" w:line="276" w:lineRule="auto"/>
        <w:ind w:firstLine="709"/>
        <w:jc w:val="both"/>
        <w:rPr>
          <w:rFonts w:ascii="Verdana" w:hAnsi="Verdana" w:cs="Arial"/>
        </w:rPr>
      </w:pPr>
      <w:r w:rsidRPr="00D4240A">
        <w:rPr>
          <w:rFonts w:ascii="Verdana" w:hAnsi="Verdana" w:cs="Arial"/>
        </w:rPr>
        <w:t xml:space="preserve">No obstante, aunque tenga una influencia limitada, las </w:t>
      </w:r>
      <w:r w:rsidRPr="00D4240A">
        <w:rPr>
          <w:rFonts w:ascii="Verdana" w:hAnsi="Verdana" w:cs="Arial"/>
          <w:i/>
          <w:iCs/>
        </w:rPr>
        <w:t>entidades del régimen exceptuado</w:t>
      </w:r>
      <w:r w:rsidRPr="00D4240A">
        <w:rPr>
          <w:rFonts w:ascii="Verdana" w:hAnsi="Verdana" w:cs="Aria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0C4B3E9" w14:textId="77777777" w:rsidR="0018485D" w:rsidRDefault="0018485D" w:rsidP="0018485D">
      <w:pPr>
        <w:spacing w:after="0" w:line="276" w:lineRule="auto"/>
        <w:ind w:firstLine="708"/>
        <w:jc w:val="both"/>
        <w:rPr>
          <w:rFonts w:ascii="Verdana" w:hAnsi="Verdana" w:cs="Arial"/>
        </w:rPr>
      </w:pPr>
      <w:r w:rsidRPr="00D4240A">
        <w:rPr>
          <w:rFonts w:ascii="Verdana" w:hAnsi="Verdana" w:cs="Aria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D4240A">
        <w:rPr>
          <w:rFonts w:ascii="Verdana" w:hAnsi="Verdana" w:cs="Arial"/>
        </w:rPr>
        <w:t>ii</w:t>
      </w:r>
      <w:proofErr w:type="spellEnd"/>
      <w:r w:rsidRPr="00D4240A">
        <w:rPr>
          <w:rFonts w:ascii="Verdana" w:hAnsi="Verdana" w:cs="Arial"/>
        </w:rPr>
        <w:t xml:space="preserve">) flexibilizar el ejercicio de la función administrativa –como en los contratos del Banco de la República o los de ciencia y tecnología– o </w:t>
      </w:r>
      <w:proofErr w:type="spellStart"/>
      <w:r w:rsidRPr="00D4240A">
        <w:rPr>
          <w:rFonts w:ascii="Verdana" w:hAnsi="Verdana" w:cs="Arial"/>
        </w:rPr>
        <w:t>iii</w:t>
      </w:r>
      <w:proofErr w:type="spellEnd"/>
      <w:r w:rsidRPr="00D4240A">
        <w:rPr>
          <w:rFonts w:ascii="Verdana" w:hAnsi="Verdana" w:cs="Arial"/>
        </w:rPr>
        <w:t>) establecer un régimen especial sin excluir por completo la aplicación de la Ley 80 de 1993 –como ocurre en la operaciones del crédito público–</w:t>
      </w:r>
      <w:r w:rsidRPr="00D4240A">
        <w:rPr>
          <w:rStyle w:val="Refdenotaalpie"/>
          <w:rFonts w:ascii="Verdana" w:hAnsi="Verdana" w:cs="Arial"/>
        </w:rPr>
        <w:footnoteReference w:id="4"/>
      </w:r>
      <w:r w:rsidRPr="00D4240A">
        <w:rPr>
          <w:rFonts w:ascii="Verdana" w:hAnsi="Verdana" w:cs="Arial"/>
        </w:rPr>
        <w:t xml:space="preserve">.  Para estos efectos, la doctrina ha identificado 171 entidades y contratos que manejan un régimen excepcional, los cuales se clasifican de acuerdo i) al sector económico, </w:t>
      </w:r>
      <w:proofErr w:type="spellStart"/>
      <w:r w:rsidRPr="00D4240A">
        <w:rPr>
          <w:rFonts w:ascii="Verdana" w:hAnsi="Verdana" w:cs="Arial"/>
        </w:rPr>
        <w:t>ii</w:t>
      </w:r>
      <w:proofErr w:type="spellEnd"/>
      <w:r w:rsidRPr="00D4240A">
        <w:rPr>
          <w:rFonts w:ascii="Verdana" w:hAnsi="Verdana" w:cs="Arial"/>
        </w:rPr>
        <w:t xml:space="preserve">) la asignación de un esquema legal especial, </w:t>
      </w:r>
      <w:proofErr w:type="spellStart"/>
      <w:r w:rsidRPr="00D4240A">
        <w:rPr>
          <w:rFonts w:ascii="Verdana" w:hAnsi="Verdana" w:cs="Arial"/>
        </w:rPr>
        <w:t>iii</w:t>
      </w:r>
      <w:proofErr w:type="spellEnd"/>
      <w:r w:rsidRPr="00D4240A">
        <w:rPr>
          <w:rFonts w:ascii="Verdana" w:hAnsi="Verdana" w:cs="Arial"/>
        </w:rPr>
        <w:t xml:space="preserve">) el objeto del contrato celebrado y </w:t>
      </w:r>
      <w:proofErr w:type="spellStart"/>
      <w:r w:rsidRPr="00D4240A">
        <w:rPr>
          <w:rFonts w:ascii="Verdana" w:hAnsi="Verdana" w:cs="Arial"/>
        </w:rPr>
        <w:t>iv</w:t>
      </w:r>
      <w:proofErr w:type="spellEnd"/>
      <w:r w:rsidRPr="00D4240A">
        <w:rPr>
          <w:rFonts w:ascii="Verdana" w:hAnsi="Verdana" w:cs="Arial"/>
        </w:rPr>
        <w:t>) la existencia de fondos que administran recursos públicos</w:t>
      </w:r>
      <w:r w:rsidRPr="00D4240A">
        <w:rPr>
          <w:rStyle w:val="Refdenotaalpie"/>
          <w:rFonts w:ascii="Verdana" w:hAnsi="Verdana" w:cs="Arial"/>
        </w:rPr>
        <w:footnoteReference w:id="5"/>
      </w:r>
      <w:r w:rsidRPr="00D4240A">
        <w:rPr>
          <w:rFonts w:ascii="Verdana" w:hAnsi="Verdana" w:cs="Arial"/>
        </w:rPr>
        <w:t>.</w:t>
      </w:r>
    </w:p>
    <w:p w14:paraId="5536BCA6" w14:textId="77777777" w:rsidR="0018485D" w:rsidRDefault="0018485D" w:rsidP="0018485D">
      <w:pPr>
        <w:spacing w:after="0" w:line="276" w:lineRule="auto"/>
        <w:jc w:val="both"/>
        <w:rPr>
          <w:rFonts w:ascii="Verdana" w:hAnsi="Verdana" w:cs="Arial"/>
          <w:bCs/>
          <w:lang w:val="es-MX"/>
        </w:rPr>
      </w:pPr>
    </w:p>
    <w:p w14:paraId="2FEFFF54" w14:textId="77777777" w:rsidR="0018485D" w:rsidRPr="00CC7195" w:rsidRDefault="0018485D" w:rsidP="0018485D">
      <w:pPr>
        <w:tabs>
          <w:tab w:val="left" w:pos="426"/>
        </w:tabs>
        <w:spacing w:line="276" w:lineRule="auto"/>
        <w:jc w:val="both"/>
        <w:rPr>
          <w:rFonts w:ascii="Verdana" w:eastAsia="Calibri" w:hAnsi="Verdana" w:cs="Arial"/>
          <w:b/>
          <w:color w:val="000000" w:themeColor="text1"/>
          <w:lang w:val="es-ES_tradnl"/>
        </w:rPr>
      </w:pPr>
      <w:proofErr w:type="spellStart"/>
      <w:r>
        <w:rPr>
          <w:rFonts w:ascii="Verdana" w:eastAsia="Arial MT" w:hAnsi="Verdana" w:cs="Arial MT"/>
          <w:lang w:val="es-ES"/>
        </w:rPr>
        <w:t>ii</w:t>
      </w:r>
      <w:proofErr w:type="spellEnd"/>
      <w:r>
        <w:rPr>
          <w:rFonts w:ascii="Verdana" w:eastAsia="Arial MT" w:hAnsi="Verdana" w:cs="Arial MT"/>
          <w:lang w:val="es-ES"/>
        </w:rPr>
        <w:t xml:space="preserve">. </w:t>
      </w:r>
      <w:r>
        <w:rPr>
          <w:rFonts w:ascii="Verdana" w:hAnsi="Verdana" w:cs="Arial"/>
          <w:lang w:val="es-MX"/>
        </w:rPr>
        <w:t>Las</w:t>
      </w:r>
      <w:r w:rsidRPr="00CC7195">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w:t>
      </w:r>
      <w:proofErr w:type="gramStart"/>
      <w:r w:rsidRPr="00CC7195">
        <w:rPr>
          <w:rFonts w:ascii="Verdana" w:eastAsia="Calibri" w:hAnsi="Verdana" w:cs="Arial"/>
          <w:color w:val="000000" w:themeColor="text1"/>
          <w:lang w:val="es-ES_tradnl"/>
        </w:rPr>
        <w:t>y</w:t>
      </w:r>
      <w:proofErr w:type="gramEnd"/>
      <w:r w:rsidRPr="00CC7195">
        <w:rPr>
          <w:rFonts w:ascii="Verdana" w:eastAsia="Calibri" w:hAnsi="Verdana" w:cs="Arial"/>
          <w:color w:val="000000" w:themeColor="text1"/>
          <w:lang w:val="es-ES_tradnl"/>
        </w:rPr>
        <w:t xml:space="preserve"> por ende</w:t>
      </w:r>
      <w:r>
        <w:rPr>
          <w:rFonts w:ascii="Verdana" w:eastAsia="Calibri" w:hAnsi="Verdana" w:cs="Arial"/>
          <w:color w:val="000000" w:themeColor="text1"/>
          <w:lang w:val="es-ES_tradnl"/>
        </w:rPr>
        <w:t>,</w:t>
      </w:r>
      <w:r w:rsidRPr="00CC7195">
        <w:rPr>
          <w:rFonts w:ascii="Verdana" w:eastAsia="Calibri" w:hAnsi="Verdana" w:cs="Arial"/>
          <w:color w:val="000000" w:themeColor="text1"/>
          <w:lang w:val="es-ES_tradnl"/>
        </w:rPr>
        <w:t xml:space="preserve"> sus procedimientos contractuales tienen su normativa para su desarrollo, esto es, el derecho privado, lo cual está determinado en las </w:t>
      </w:r>
      <w:r w:rsidRPr="00CC7195">
        <w:rPr>
          <w:rFonts w:ascii="Verdana" w:eastAsia="Calibri" w:hAnsi="Verdana" w:cs="Arial"/>
          <w:color w:val="000000" w:themeColor="text1"/>
          <w:lang w:val="es-ES_tradnl"/>
        </w:rPr>
        <w:lastRenderedPageBreak/>
        <w:t>normas de creación de las entidades de régimen especial y en sus manuales de contratación.</w:t>
      </w:r>
    </w:p>
    <w:p w14:paraId="2522F6E2" w14:textId="77777777" w:rsidR="0018485D" w:rsidRPr="00CC7195" w:rsidRDefault="0018485D" w:rsidP="0018485D">
      <w:pPr>
        <w:spacing w:before="120" w:after="120" w:line="276" w:lineRule="auto"/>
        <w:jc w:val="both"/>
        <w:rPr>
          <w:rFonts w:ascii="Verdana" w:eastAsia="Calibri" w:hAnsi="Verdana" w:cs="Arial"/>
          <w:color w:val="000000" w:themeColor="text1"/>
          <w:lang w:val="es-ES"/>
        </w:rPr>
      </w:pPr>
      <w:r w:rsidRPr="00CC7195">
        <w:rPr>
          <w:rFonts w:ascii="Verdana" w:eastAsia="Calibri" w:hAnsi="Verdana" w:cs="Arial"/>
          <w:color w:val="000000" w:themeColor="text1"/>
          <w:lang w:val="es-ES_tradnl"/>
        </w:rPr>
        <w:tab/>
      </w:r>
      <w:r w:rsidRPr="3957B322">
        <w:rPr>
          <w:rFonts w:ascii="Verdana" w:eastAsia="Calibri" w:hAnsi="Verdana" w:cs="Arial"/>
          <w:color w:val="000000" w:themeColor="text1"/>
          <w:lang w:val="es-ES"/>
        </w:rPr>
        <w:t>Teniendo en cuenta que las entidades de régimen especial están facultadas legalmente para aplicar reglas distintas a la Ley 80 de 1993 y sus normas complementarias, ello estará definido en la no</w:t>
      </w:r>
      <w:r>
        <w:rPr>
          <w:rFonts w:ascii="Verdana" w:eastAsia="Calibri" w:hAnsi="Verdana" w:cs="Arial"/>
          <w:color w:val="000000" w:themeColor="text1"/>
          <w:lang w:val="es-ES"/>
        </w:rPr>
        <w:t>r</w:t>
      </w:r>
      <w:r w:rsidRPr="3957B322">
        <w:rPr>
          <w:rFonts w:ascii="Verdana" w:eastAsia="Calibri" w:hAnsi="Verdana" w:cs="Arial"/>
          <w:color w:val="000000" w:themeColor="text1"/>
          <w:lang w:val="es-ES"/>
        </w:rPr>
        <w:t>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3957B322">
        <w:rPr>
          <w:rStyle w:val="Refdenotaalpie"/>
          <w:rFonts w:ascii="Verdana" w:eastAsia="Calibri" w:hAnsi="Verdana" w:cs="Arial"/>
          <w:color w:val="000000" w:themeColor="text1"/>
          <w:lang w:val="es-ES"/>
        </w:rPr>
        <w:footnoteReference w:id="6"/>
      </w:r>
      <w:r w:rsidRPr="3957B322">
        <w:rPr>
          <w:rFonts w:ascii="Verdana" w:eastAsia="Calibri" w:hAnsi="Verdana" w:cs="Arial"/>
          <w:color w:val="000000" w:themeColor="text1"/>
          <w:lang w:val="es-ES"/>
        </w:rPr>
        <w:t>.</w:t>
      </w:r>
    </w:p>
    <w:p w14:paraId="49660CE0" w14:textId="77777777" w:rsidR="0018485D" w:rsidRPr="00CC7195" w:rsidRDefault="0018485D" w:rsidP="0018485D">
      <w:pPr>
        <w:spacing w:line="276" w:lineRule="auto"/>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ab/>
        <w:t>No obstante, las entidades de régimen especial cumplen una finalidad pública y utilizan recursos públicos para lograrlo, por lo que no son ajenas a los principios de la func</w:t>
      </w:r>
      <w:r>
        <w:rPr>
          <w:rFonts w:ascii="Verdana" w:eastAsia="Calibri" w:hAnsi="Verdana" w:cs="Arial"/>
          <w:color w:val="000000" w:themeColor="text1"/>
          <w:lang w:val="es-ES_tradnl"/>
        </w:rPr>
        <w:t>ión administrativa y la gestión fiscal</w:t>
      </w:r>
      <w:r w:rsidRPr="00CC7195">
        <w:rPr>
          <w:rFonts w:ascii="Verdana" w:eastAsia="Calibri" w:hAnsi="Verdana" w:cs="Arial"/>
          <w:color w:val="000000" w:themeColor="text1"/>
          <w:lang w:val="es-ES_tradnl"/>
        </w:rPr>
        <w:t>, entre otras reglas dispuestas en la normativa de contratación pública que son trasversales a todas las entidades, sin importar su régimen legal, como el régimen de inhabilidades e incompatibilidades previsto para la contratación estatal. Lo anterior es reafirmado por el Consejo de Estado, que destaca las reglas que sigue la contratación de las entidades de régimen especial:</w:t>
      </w:r>
    </w:p>
    <w:p w14:paraId="6B08BFDE" w14:textId="77777777" w:rsidR="0018485D" w:rsidRDefault="0018485D" w:rsidP="0018485D">
      <w:pPr>
        <w:spacing w:after="0"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49B5A753" w14:textId="77777777" w:rsidR="0018485D" w:rsidRPr="003E2347" w:rsidRDefault="0018485D" w:rsidP="0018485D">
      <w:pPr>
        <w:spacing w:after="0" w:line="240" w:lineRule="auto"/>
        <w:ind w:left="709" w:right="709"/>
        <w:jc w:val="both"/>
        <w:rPr>
          <w:rFonts w:ascii="Verdana" w:eastAsia="Calibri" w:hAnsi="Verdana" w:cs="Arial"/>
          <w:color w:val="000000" w:themeColor="text1"/>
          <w:sz w:val="20"/>
          <w:szCs w:val="20"/>
          <w:lang w:val="es-ES_tradnl"/>
        </w:rPr>
      </w:pPr>
    </w:p>
    <w:p w14:paraId="58E108C5" w14:textId="77777777" w:rsidR="0018485D" w:rsidRDefault="0018485D" w:rsidP="0018485D">
      <w:pPr>
        <w:spacing w:after="0" w:line="240" w:lineRule="auto"/>
        <w:ind w:left="709" w:right="709"/>
        <w:jc w:val="both"/>
        <w:rPr>
          <w:rFonts w:ascii="Verdana" w:eastAsia="Calibri" w:hAnsi="Verdana" w:cs="Arial"/>
          <w:color w:val="000000" w:themeColor="text1"/>
          <w:sz w:val="20"/>
          <w:szCs w:val="20"/>
          <w:lang w:val="es-ES"/>
        </w:rPr>
      </w:pPr>
      <w:r w:rsidRPr="003E2347">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003E2347">
        <w:rPr>
          <w:rFonts w:ascii="Verdana" w:eastAsia="Calibri" w:hAnsi="Verdana" w:cs="Arial"/>
          <w:color w:val="000000" w:themeColor="text1"/>
          <w:sz w:val="20"/>
          <w:szCs w:val="20"/>
          <w:lang w:val="es-ES"/>
        </w:rPr>
        <w:t>interpretar</w:t>
      </w:r>
      <w:proofErr w:type="gramEnd"/>
      <w:r w:rsidRPr="003E2347">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4C1A63CE" w14:textId="77777777" w:rsidR="0018485D" w:rsidRPr="003E2347" w:rsidRDefault="0018485D" w:rsidP="0018485D">
      <w:pPr>
        <w:spacing w:after="0" w:line="240" w:lineRule="auto"/>
        <w:ind w:left="709" w:right="709"/>
        <w:jc w:val="both"/>
        <w:rPr>
          <w:rFonts w:ascii="Verdana" w:eastAsia="Calibri" w:hAnsi="Verdana" w:cs="Arial"/>
          <w:color w:val="000000" w:themeColor="text1"/>
          <w:sz w:val="20"/>
          <w:szCs w:val="20"/>
          <w:lang w:val="es-ES"/>
        </w:rPr>
      </w:pPr>
    </w:p>
    <w:p w14:paraId="2B73A171" w14:textId="77777777" w:rsidR="0018485D" w:rsidRDefault="0018485D" w:rsidP="0018485D">
      <w:pPr>
        <w:spacing w:after="0"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 xml:space="preserve">La función que cumplen los principios públicos también se representa en la necesidad práctica —normalmente no por orden de una norma— de expedir un reglamento interno de contratación que concrete la mayor </w:t>
      </w:r>
      <w:r w:rsidRPr="003E2347">
        <w:rPr>
          <w:rFonts w:ascii="Verdana" w:eastAsia="Calibri" w:hAnsi="Verdana" w:cs="Arial"/>
          <w:color w:val="000000" w:themeColor="text1"/>
          <w:sz w:val="20"/>
          <w:szCs w:val="20"/>
          <w:lang w:val="es-ES_tradnl"/>
        </w:rPr>
        <w:lastRenderedPageBreak/>
        <w:t>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E2347">
        <w:rPr>
          <w:rStyle w:val="Refdenotaalpie"/>
          <w:rFonts w:ascii="Verdana" w:eastAsia="Calibri" w:hAnsi="Verdana" w:cs="Arial"/>
          <w:color w:val="000000" w:themeColor="text1"/>
          <w:sz w:val="20"/>
          <w:szCs w:val="20"/>
          <w:lang w:val="es-ES_tradnl"/>
        </w:rPr>
        <w:footnoteReference w:id="7"/>
      </w:r>
      <w:r w:rsidRPr="003E2347">
        <w:rPr>
          <w:rFonts w:ascii="Verdana" w:eastAsia="Calibri" w:hAnsi="Verdana" w:cs="Arial"/>
          <w:color w:val="000000" w:themeColor="text1"/>
          <w:sz w:val="20"/>
          <w:szCs w:val="20"/>
          <w:lang w:val="es-ES_tradnl"/>
        </w:rPr>
        <w:t>.</w:t>
      </w:r>
    </w:p>
    <w:p w14:paraId="0E052A18" w14:textId="77777777" w:rsidR="0018485D" w:rsidRPr="003E2347" w:rsidRDefault="0018485D" w:rsidP="0018485D">
      <w:pPr>
        <w:spacing w:after="0" w:line="240" w:lineRule="auto"/>
        <w:ind w:left="709" w:right="709"/>
        <w:jc w:val="both"/>
        <w:rPr>
          <w:rFonts w:ascii="Verdana" w:eastAsia="Calibri" w:hAnsi="Verdana" w:cs="Arial"/>
          <w:color w:val="000000" w:themeColor="text1"/>
          <w:sz w:val="20"/>
          <w:szCs w:val="20"/>
          <w:lang w:val="es-ES_tradnl"/>
        </w:rPr>
      </w:pPr>
    </w:p>
    <w:p w14:paraId="772C9D7A" w14:textId="77777777" w:rsidR="0018485D" w:rsidRPr="00CC7195" w:rsidRDefault="0018485D" w:rsidP="0018485D">
      <w:pPr>
        <w:spacing w:line="276" w:lineRule="auto"/>
        <w:ind w:firstLine="708"/>
        <w:jc w:val="both"/>
        <w:rPr>
          <w:rFonts w:ascii="Verdana" w:eastAsia="Calibri" w:hAnsi="Verdana" w:cs="Arial"/>
          <w:color w:val="000000" w:themeColor="text1"/>
          <w:lang w:val="es-ES"/>
        </w:rPr>
      </w:pPr>
      <w:r w:rsidRPr="463523FE">
        <w:rPr>
          <w:rFonts w:ascii="Verdana" w:eastAsia="Calibri" w:hAnsi="Verdana" w:cs="Arial"/>
          <w:color w:val="000000" w:themeColor="text1"/>
          <w:lang w:val="es-ES"/>
        </w:rPr>
        <w:t>Visto lo anterior, se reitera que, toda vez que las entidades de régimen especial administran recursos públicos, sus manuales de contratación deben ceñirse a unas reglas mínimas que garanticen el cumplimiento de los principios de la función pública,</w:t>
      </w:r>
      <w:r>
        <w:rPr>
          <w:rFonts w:ascii="Verdana" w:eastAsia="Calibri" w:hAnsi="Verdana" w:cs="Arial"/>
          <w:color w:val="000000" w:themeColor="text1"/>
          <w:lang w:val="es-ES"/>
        </w:rPr>
        <w:t xml:space="preserve"> la gestión fiscal y el régimen de inhabilidades e incompatibilidades</w:t>
      </w:r>
      <w:r w:rsidRPr="463523FE">
        <w:rPr>
          <w:rFonts w:ascii="Verdana" w:eastAsia="Calibri" w:hAnsi="Verdana" w:cs="Arial"/>
          <w:color w:val="000000" w:themeColor="text1"/>
          <w:lang w:val="es-ES"/>
        </w:rPr>
        <w:t>.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05A24B75" w14:textId="77777777" w:rsidR="0018485D" w:rsidRPr="00CC7195" w:rsidRDefault="0018485D" w:rsidP="0018485D">
      <w:pPr>
        <w:spacing w:before="120" w:after="120" w:line="276" w:lineRule="auto"/>
        <w:ind w:firstLine="708"/>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3E357DFA" w14:textId="77777777" w:rsidR="0018485D" w:rsidRPr="00CC7195" w:rsidRDefault="0018485D" w:rsidP="0018485D">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Ahora bien, en torno a la aplicabilidad de las cláusulas excepcionales</w:t>
      </w:r>
      <w:r w:rsidRPr="3957B322">
        <w:rPr>
          <w:rFonts w:ascii="Verdana" w:eastAsia="Calibri" w:hAnsi="Verdana" w:cs="Arial"/>
          <w:color w:val="000000" w:themeColor="text1"/>
          <w:lang w:val="es-ES"/>
        </w:rPr>
        <w:t xml:space="preserve">, se debe tener en cuenta que </w:t>
      </w:r>
      <w:r>
        <w:rPr>
          <w:rFonts w:ascii="Verdana" w:eastAsia="Calibri" w:hAnsi="Verdana" w:cs="Arial"/>
          <w:color w:val="000000" w:themeColor="text1"/>
          <w:lang w:val="es-ES"/>
        </w:rPr>
        <w:t>dichas cláusulas no están</w:t>
      </w:r>
      <w:r w:rsidRPr="3957B322">
        <w:rPr>
          <w:rFonts w:ascii="Verdana" w:eastAsia="Calibri" w:hAnsi="Verdana" w:cs="Arial"/>
          <w:color w:val="000000" w:themeColor="text1"/>
          <w:lang w:val="es-ES"/>
        </w:rPr>
        <w:t xml:space="preserve">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p>
    <w:p w14:paraId="252EBBAF" w14:textId="77777777" w:rsidR="0018485D" w:rsidRPr="00FD4874" w:rsidRDefault="0018485D" w:rsidP="0018485D">
      <w:pPr>
        <w:spacing w:before="120" w:line="276" w:lineRule="auto"/>
        <w:ind w:right="49" w:firstLine="709"/>
        <w:jc w:val="both"/>
        <w:rPr>
          <w:rFonts w:ascii="Verdana" w:hAnsi="Verdana" w:cs="Arial"/>
          <w:iCs/>
          <w:color w:val="000000" w:themeColor="text1"/>
        </w:rPr>
      </w:pPr>
      <w:r w:rsidRPr="00FD4874">
        <w:rPr>
          <w:rFonts w:ascii="Verdana" w:eastAsia="Calibri" w:hAnsi="Verdana" w:cs="Arial"/>
          <w:color w:val="000000" w:themeColor="text1"/>
          <w:lang w:val="es-ES"/>
        </w:rPr>
        <w:t xml:space="preserve">El hecho de que dichos entes tengan un régimen de contratación especial implica que en los contratos que celebren no resulta viable incorporar las cláusulas  exorbitantes o excepcionales, </w:t>
      </w:r>
      <w:r w:rsidRPr="003E2347">
        <w:rPr>
          <w:rFonts w:ascii="Verdana" w:hAnsi="Verdana" w:cs="Arial"/>
          <w:iCs/>
          <w:color w:val="000000" w:themeColor="text1"/>
        </w:rPr>
        <w:t xml:space="preserve">con base en las cuales la entidades sometidas al EGCAP ejercen la dirección general del contrato y realizan las </w:t>
      </w:r>
      <w:r w:rsidRPr="003E2347">
        <w:rPr>
          <w:rFonts w:ascii="Verdana" w:hAnsi="Verdana" w:cs="Arial"/>
          <w:iCs/>
          <w:color w:val="000000" w:themeColor="text1"/>
        </w:rPr>
        <w:lastRenderedPageBreak/>
        <w:t xml:space="preserve">actividades propias de vigilancia y control, entre las que se encuentran: i) las cláusulas excepcionales del artículo 14 de la Ley 80 de 1993, donde se encuentran la terminación unilateral, la interpretación unilateral, la modificación unilateral, la caducidad y la reversión, las cuales se desarrollan en los artículos 15 a 19 </w:t>
      </w:r>
      <w:r w:rsidRPr="003E2347">
        <w:rPr>
          <w:rFonts w:ascii="Verdana" w:hAnsi="Verdana" w:cs="Arial"/>
          <w:i/>
          <w:color w:val="000000" w:themeColor="text1"/>
        </w:rPr>
        <w:t>ibidem</w:t>
      </w:r>
      <w:r w:rsidRPr="003E2347">
        <w:rPr>
          <w:rFonts w:ascii="Verdana" w:hAnsi="Verdana" w:cs="Arial"/>
          <w:iCs/>
          <w:color w:val="000000" w:themeColor="text1"/>
        </w:rPr>
        <w:t xml:space="preserve">; </w:t>
      </w:r>
      <w:proofErr w:type="spellStart"/>
      <w:r w:rsidRPr="003E2347">
        <w:rPr>
          <w:rFonts w:ascii="Verdana" w:hAnsi="Verdana" w:cs="Arial"/>
          <w:iCs/>
          <w:color w:val="000000" w:themeColor="text1"/>
        </w:rPr>
        <w:t>ii</w:t>
      </w:r>
      <w:proofErr w:type="spellEnd"/>
      <w:r w:rsidRPr="003E2347">
        <w:rPr>
          <w:rFonts w:ascii="Verdana" w:hAnsi="Verdana" w:cs="Arial"/>
          <w:iCs/>
          <w:color w:val="000000" w:themeColor="text1"/>
        </w:rPr>
        <w:t xml:space="preserve">) en otras disposiciones también se encuentran establecidas otras potestades exorbitantes, como la liquidación unilateral y la declaratoria unilateral del siniestro; y </w:t>
      </w:r>
      <w:proofErr w:type="spellStart"/>
      <w:r w:rsidRPr="003E2347">
        <w:rPr>
          <w:rFonts w:ascii="Verdana" w:hAnsi="Verdana" w:cs="Arial"/>
          <w:iCs/>
          <w:color w:val="000000" w:themeColor="text1"/>
        </w:rPr>
        <w:t>iii</w:t>
      </w:r>
      <w:proofErr w:type="spellEnd"/>
      <w:r w:rsidRPr="003E2347">
        <w:rPr>
          <w:rFonts w:ascii="Verdana" w:hAnsi="Verdana" w:cs="Arial"/>
          <w:iCs/>
          <w:color w:val="000000" w:themeColor="text1"/>
        </w:rPr>
        <w:t xml:space="preserve">) las cláusulas excepcionales de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las cláusulas penales y de multas, cuya exorbitancia se refiere a su imposición unilateral</w:t>
      </w:r>
      <w:r w:rsidRPr="00FD4874">
        <w:rPr>
          <w:rFonts w:ascii="Verdana" w:hAnsi="Verdana" w:cs="Arial"/>
          <w:iCs/>
          <w:color w:val="000000" w:themeColor="text1"/>
        </w:rPr>
        <w:t xml:space="preserve">. </w:t>
      </w:r>
    </w:p>
    <w:p w14:paraId="0CE2F694" w14:textId="77777777" w:rsidR="0018485D" w:rsidRPr="003E2347" w:rsidRDefault="0018485D" w:rsidP="0018485D">
      <w:pPr>
        <w:spacing w:before="120" w:line="276" w:lineRule="auto"/>
        <w:ind w:right="142" w:firstLine="709"/>
        <w:jc w:val="both"/>
        <w:rPr>
          <w:rFonts w:ascii="Verdana" w:hAnsi="Verdana" w:cs="Arial"/>
          <w:iCs/>
          <w:color w:val="000000" w:themeColor="text1"/>
        </w:rPr>
      </w:pPr>
      <w:r w:rsidRPr="003E2347">
        <w:rPr>
          <w:rFonts w:ascii="Verdana" w:hAnsi="Verdana" w:cs="Arial"/>
          <w:iCs/>
          <w:color w:val="000000" w:themeColor="text1"/>
        </w:rPr>
        <w:t>Este último grupo de potestades excepcionales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 multa o la cláusula penal– cuenta con una particular combinación entre el principio de legalidad y la autonomía de la voluntad, de tal suerte </w:t>
      </w:r>
      <w:proofErr w:type="gramStart"/>
      <w:r w:rsidRPr="003E2347">
        <w:rPr>
          <w:rFonts w:ascii="Verdana" w:hAnsi="Verdana" w:cs="Arial"/>
          <w:iCs/>
          <w:color w:val="000000" w:themeColor="text1"/>
        </w:rPr>
        <w:t>que</w:t>
      </w:r>
      <w:proofErr w:type="gramEnd"/>
      <w:r w:rsidRPr="003E2347">
        <w:rPr>
          <w:rFonts w:ascii="Verdana" w:hAnsi="Verdana" w:cs="Arial"/>
          <w:iCs/>
          <w:color w:val="000000" w:themeColor="text1"/>
        </w:rPr>
        <w:t xml:space="preserv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3E2347">
        <w:rPr>
          <w:rFonts w:ascii="Verdana" w:hAnsi="Verdana" w:cs="Arial"/>
          <w:color w:val="000000" w:themeColor="text1"/>
          <w:vertAlign w:val="superscript"/>
        </w:rPr>
        <w:footnoteReference w:id="8"/>
      </w:r>
      <w:r w:rsidRPr="003E2347">
        <w:rPr>
          <w:rFonts w:ascii="Verdana" w:hAnsi="Verdana" w:cs="Arial"/>
          <w:iCs/>
          <w:color w:val="000000" w:themeColor="text1"/>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7A1A429C" w14:textId="77777777" w:rsidR="0018485D" w:rsidRPr="003E2347" w:rsidRDefault="0018485D" w:rsidP="0018485D">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Para el ejercicio de estas potestades exorbitantes en particular,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9"/>
      </w:r>
      <w:r w:rsidRPr="003E2347">
        <w:rPr>
          <w:rFonts w:ascii="Verdana" w:eastAsia="Calibri" w:hAnsi="Verdana" w:cs="Arial"/>
          <w:color w:val="000000" w:themeColor="text1"/>
          <w:lang w:val="es-ES_tradnl"/>
        </w:rPr>
        <w:t xml:space="preserve">. Así se desprende del primer inciso de aquel artículo, que </w:t>
      </w:r>
      <w:r w:rsidRPr="003E2347">
        <w:rPr>
          <w:rFonts w:ascii="Verdana" w:eastAsia="Calibri" w:hAnsi="Verdana" w:cs="Arial"/>
          <w:color w:val="000000" w:themeColor="text1"/>
          <w:lang w:val="es-ES_tradnl"/>
        </w:rPr>
        <w:lastRenderedPageBreak/>
        <w:t>dice: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w:t>
      </w:r>
      <w:proofErr w:type="gramStart"/>
      <w:r w:rsidRPr="003E2347">
        <w:rPr>
          <w:rFonts w:ascii="Verdana" w:eastAsia="Calibri" w:hAnsi="Verdana" w:cs="Arial"/>
          <w:color w:val="000000" w:themeColor="text1"/>
          <w:lang w:val="es-ES_tradnl"/>
        </w:rPr>
        <w:t>del mismo</w:t>
      </w:r>
      <w:proofErr w:type="gramEnd"/>
      <w:r w:rsidRPr="003E2347">
        <w:rPr>
          <w:rFonts w:ascii="Verdana" w:eastAsia="Calibri" w:hAnsi="Verdana" w:cs="Arial"/>
          <w:color w:val="000000" w:themeColor="text1"/>
          <w:lang w:val="es-ES_tradnl"/>
        </w:rPr>
        <w:t>, imponer las multas y sanciones pactadas en el contrato, y hacer efectiva la cláusula penal. Para tal efecto observarán el siguiente procedimiento […]”. De ahí que, solo por esta razón, sea fácil concluir que las entidades de régimen especial en materia contractual –entre ellas las universidades públicas – no pueden aplicar el procedimiento administrativo sancionatorio regulado en el artículo 86 de la Ley 1474 de 2011, al no ser entidades sometidas al Estatuto General de Contratación de la Administración Pública</w:t>
      </w:r>
      <w:r w:rsidRPr="003E2347">
        <w:rPr>
          <w:rStyle w:val="Refdenotaalpie"/>
          <w:rFonts w:ascii="Verdana" w:eastAsia="Calibri" w:hAnsi="Verdana" w:cs="Arial"/>
          <w:color w:val="000000" w:themeColor="text1"/>
          <w:lang w:val="es-ES_tradnl"/>
        </w:rPr>
        <w:footnoteReference w:id="10"/>
      </w:r>
      <w:r w:rsidRPr="003E2347">
        <w:rPr>
          <w:rFonts w:ascii="Verdana" w:eastAsia="Calibri" w:hAnsi="Verdana" w:cs="Arial"/>
          <w:color w:val="000000" w:themeColor="text1"/>
          <w:lang w:val="es-ES_tradnl"/>
        </w:rPr>
        <w:t xml:space="preserve">, sino, por el contrario, entidades exceptuadas de este. </w:t>
      </w:r>
      <w:r>
        <w:rPr>
          <w:rFonts w:ascii="Verdana" w:eastAsia="Calibri" w:hAnsi="Verdana" w:cs="Arial"/>
          <w:color w:val="000000" w:themeColor="text1"/>
          <w:lang w:val="es-ES_tradnl"/>
        </w:rPr>
        <w:t>Así pues</w:t>
      </w:r>
      <w:r w:rsidRPr="003E2347">
        <w:rPr>
          <w:rFonts w:ascii="Verdana" w:eastAsia="Calibri" w:hAnsi="Verdana" w:cs="Arial"/>
          <w:color w:val="000000" w:themeColor="text1"/>
          <w:lang w:val="es-ES_tradnl"/>
        </w:rPr>
        <w:t xml:space="preserve">, si bien, hay entidades de régimen especial que tienen la competencia para hacer uso de cláusulas excepcionales, como las empresas prestadoras de servicios públicos </w:t>
      </w:r>
      <w:r w:rsidRPr="003E2347">
        <w:rPr>
          <w:rFonts w:ascii="Verdana" w:eastAsia="Calibri" w:hAnsi="Verdana" w:cs="Arial"/>
          <w:color w:val="000000" w:themeColor="text1"/>
          <w:lang w:val="es-ES_tradnl"/>
        </w:rPr>
        <w:lastRenderedPageBreak/>
        <w:t>domiciliarios</w:t>
      </w:r>
      <w:r w:rsidRPr="003E2347">
        <w:rPr>
          <w:rStyle w:val="Refdenotaalpie"/>
          <w:rFonts w:ascii="Verdana" w:eastAsia="Calibri" w:hAnsi="Verdana" w:cs="Arial"/>
          <w:color w:val="000000" w:themeColor="text1"/>
          <w:lang w:val="es-ES_tradnl"/>
        </w:rPr>
        <w:footnoteReference w:id="11"/>
      </w:r>
      <w:r w:rsidRPr="003E2347">
        <w:rPr>
          <w:rFonts w:ascii="Verdana" w:eastAsia="Calibri" w:hAnsi="Verdana" w:cs="Arial"/>
          <w:color w:val="000000" w:themeColor="text1"/>
          <w:lang w:val="es-ES_tradnl"/>
        </w:rPr>
        <w:t xml:space="preserve"> y las empresas sociales del Estado</w:t>
      </w:r>
      <w:r w:rsidRPr="003E2347">
        <w:rPr>
          <w:rStyle w:val="Refdenotaalpie"/>
          <w:rFonts w:ascii="Verdana" w:eastAsia="Calibri" w:hAnsi="Verdana" w:cs="Arial"/>
          <w:color w:val="000000" w:themeColor="text1"/>
          <w:lang w:val="es-ES_tradnl"/>
        </w:rPr>
        <w:footnoteReference w:id="12"/>
      </w:r>
      <w:r w:rsidRPr="003E2347">
        <w:rPr>
          <w:rFonts w:ascii="Verdana" w:eastAsia="Calibri" w:hAnsi="Verdana" w:cs="Arial"/>
          <w:color w:val="000000" w:themeColor="text1"/>
          <w:lang w:val="es-ES_tradnl"/>
        </w:rPr>
        <w:t>, no es este el caso de los entes universitarios autónomos, ya que la Ley 30 de 1992 no les otorga esta potestad.</w:t>
      </w:r>
    </w:p>
    <w:p w14:paraId="5C7A5960" w14:textId="77777777" w:rsidR="0018485D" w:rsidRPr="003E2347" w:rsidRDefault="0018485D" w:rsidP="0018485D">
      <w:pPr>
        <w:spacing w:before="120" w:line="276" w:lineRule="auto"/>
        <w:ind w:right="49" w:firstLine="709"/>
        <w:jc w:val="both"/>
        <w:rPr>
          <w:rFonts w:ascii="Verdana" w:eastAsia="Calibri" w:hAnsi="Verdana" w:cs="Arial"/>
          <w:color w:val="000000" w:themeColor="text1"/>
          <w:lang w:val="es-ES_tradnl"/>
        </w:rPr>
      </w:pPr>
      <w:r w:rsidRPr="003E2347">
        <w:rPr>
          <w:rFonts w:ascii="Verdana" w:eastAsia="Calibri" w:hAnsi="Verdana" w:cs="Arial"/>
          <w:color w:val="000000" w:themeColor="text1"/>
          <w:lang w:val="es-ES_tradnl"/>
        </w:rPr>
        <w:t>Desde hace cierto tiempo se ha presentado un intenso debate al interior de la Sección Tercera del Consejo de Estado, acerca de la posibilidad de que las entidades con régimen especial de contratación pacten clausulas unilaterales y ejerzan autotutela declarativa, imponiendo las sanciones pactadas en el contrato</w:t>
      </w:r>
      <w:r w:rsidRPr="003E2347">
        <w:rPr>
          <w:rStyle w:val="Refdenotaalpie"/>
          <w:rFonts w:ascii="Verdana" w:eastAsia="Calibri" w:hAnsi="Verdana" w:cs="Arial"/>
          <w:color w:val="000000" w:themeColor="text1"/>
          <w:lang w:val="es-ES_tradnl"/>
        </w:rPr>
        <w:footnoteReference w:id="13"/>
      </w:r>
      <w:r w:rsidRPr="003E2347">
        <w:rPr>
          <w:rFonts w:ascii="Verdana" w:eastAsia="Calibri" w:hAnsi="Verdana" w:cs="Arial"/>
          <w:color w:val="000000" w:themeColor="text1"/>
          <w:lang w:val="es-ES_tradnl"/>
        </w:rPr>
        <w:t xml:space="preserve">. No obstante, dicho debate se ha ido zanjando en la jurisprudencia reciente, la cual ha reconocido la validez de pactar cláusulas de ejercicio unilateral, conforme indica la Sentencia de Unificación del 9 de mayo de 2024 expedida por la Sección Tercera de la referida corporación judicial, en la que se realizaron las siguientes consideraciones: </w:t>
      </w:r>
    </w:p>
    <w:p w14:paraId="5CC397B5" w14:textId="77777777" w:rsidR="0018485D" w:rsidRDefault="0018485D" w:rsidP="0018485D">
      <w:pPr>
        <w:spacing w:after="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si así lo convienen, la liquidación por parte de una de ellas, sin que se advierta en el ordenamiento jurídico algún impedimento para llegar a un pacto en tal sentido. Este tipo de acuerdos entre sujetos de derecho </w:t>
      </w:r>
      <w:r w:rsidRPr="003E2347">
        <w:rPr>
          <w:rFonts w:ascii="Verdana" w:eastAsia="Calibri" w:hAnsi="Verdana" w:cs="Arial"/>
          <w:color w:val="000000" w:themeColor="text1"/>
          <w:sz w:val="20"/>
          <w:szCs w:val="20"/>
        </w:rPr>
        <w:lastRenderedPageBreak/>
        <w:t xml:space="preserve">privado es válido, de manera que cuando la Administración funge como tal, es decir, cuando su actividad se sujeta a las normas de derecho civil o comercial, está en posibilidad de estipular estas cláusulas y las demás que autoriza el ejercicio de la autonomía de la voluntad, como cualquier otro sujeto que actúa en el ámbito de la </w:t>
      </w:r>
      <w:r w:rsidRPr="003E2347">
        <w:rPr>
          <w:rFonts w:ascii="Verdana" w:eastAsia="Calibri" w:hAnsi="Verdana" w:cs="Arial"/>
          <w:i/>
          <w:iCs/>
          <w:color w:val="000000" w:themeColor="text1"/>
          <w:sz w:val="20"/>
          <w:szCs w:val="20"/>
        </w:rPr>
        <w:t xml:space="preserve">lex </w:t>
      </w:r>
      <w:proofErr w:type="spellStart"/>
      <w:r w:rsidRPr="003E2347">
        <w:rPr>
          <w:rFonts w:ascii="Verdana" w:eastAsia="Calibri" w:hAnsi="Verdana" w:cs="Arial"/>
          <w:i/>
          <w:iCs/>
          <w:color w:val="000000" w:themeColor="text1"/>
          <w:sz w:val="20"/>
          <w:szCs w:val="20"/>
        </w:rPr>
        <w:t>privata</w:t>
      </w:r>
      <w:proofErr w:type="spellEnd"/>
      <w:r w:rsidRPr="003E2347">
        <w:rPr>
          <w:rFonts w:ascii="Verdana" w:eastAsia="Calibri" w:hAnsi="Verdana" w:cs="Arial"/>
          <w:color w:val="000000" w:themeColor="text1"/>
          <w:sz w:val="20"/>
          <w:szCs w:val="20"/>
        </w:rPr>
        <w:t xml:space="preserve">. </w:t>
      </w:r>
    </w:p>
    <w:p w14:paraId="569FE0CE" w14:textId="77777777" w:rsidR="0018485D" w:rsidRPr="003E2347" w:rsidRDefault="0018485D" w:rsidP="0018485D">
      <w:pPr>
        <w:spacing w:after="0" w:line="240" w:lineRule="auto"/>
        <w:ind w:left="709" w:right="709"/>
        <w:jc w:val="both"/>
        <w:rPr>
          <w:rFonts w:ascii="Verdana" w:eastAsia="Calibri" w:hAnsi="Verdana" w:cs="Arial"/>
          <w:color w:val="000000" w:themeColor="text1"/>
          <w:sz w:val="20"/>
          <w:szCs w:val="20"/>
        </w:rPr>
      </w:pPr>
    </w:p>
    <w:p w14:paraId="4E8027CF" w14:textId="77777777" w:rsidR="0018485D" w:rsidRDefault="0018485D" w:rsidP="0018485D">
      <w:pPr>
        <w:spacing w:after="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3E2347">
        <w:rPr>
          <w:rFonts w:ascii="Verdana" w:eastAsia="Calibri" w:hAnsi="Verdana" w:cs="Arial"/>
          <w:i/>
          <w:iCs/>
          <w:color w:val="000000" w:themeColor="text1"/>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3E2347">
        <w:rPr>
          <w:rFonts w:ascii="Verdana" w:eastAsia="Calibri" w:hAnsi="Verdana" w:cs="Arial"/>
          <w:color w:val="000000" w:themeColor="text1"/>
          <w:sz w:val="20"/>
          <w:szCs w:val="20"/>
        </w:rPr>
        <w:t xml:space="preserve">[por lo que] </w:t>
      </w:r>
      <w:r w:rsidRPr="003E2347">
        <w:rPr>
          <w:rFonts w:ascii="Verdana" w:eastAsia="Calibri" w:hAnsi="Verdana" w:cs="Arial"/>
          <w:i/>
          <w:iCs/>
          <w:color w:val="000000" w:themeColor="text1"/>
          <w:sz w:val="20"/>
          <w:szCs w:val="20"/>
        </w:rPr>
        <w:t>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sidRPr="003E2347">
        <w:rPr>
          <w:rFonts w:ascii="Verdana" w:eastAsia="Calibri" w:hAnsi="Verdana" w:cs="Arial"/>
          <w:color w:val="000000" w:themeColor="text1"/>
          <w:sz w:val="20"/>
          <w:szCs w:val="20"/>
        </w:rPr>
        <w:t xml:space="preserve">” </w:t>
      </w:r>
    </w:p>
    <w:p w14:paraId="25841C66" w14:textId="77777777" w:rsidR="0018485D" w:rsidRPr="003E2347" w:rsidRDefault="0018485D" w:rsidP="0018485D">
      <w:pPr>
        <w:spacing w:after="0" w:line="240" w:lineRule="auto"/>
        <w:ind w:left="709" w:right="709"/>
        <w:jc w:val="both"/>
        <w:rPr>
          <w:rFonts w:ascii="Verdana" w:eastAsia="Calibri" w:hAnsi="Verdana" w:cs="Arial"/>
          <w:color w:val="000000" w:themeColor="text1"/>
          <w:sz w:val="20"/>
          <w:szCs w:val="20"/>
        </w:rPr>
      </w:pPr>
    </w:p>
    <w:p w14:paraId="5842339E" w14:textId="77777777" w:rsidR="0018485D" w:rsidRDefault="0018485D" w:rsidP="0018485D">
      <w:pPr>
        <w:spacing w:after="0" w:line="240" w:lineRule="auto"/>
        <w:ind w:left="709" w:right="709"/>
        <w:jc w:val="both"/>
        <w:rPr>
          <w:rFonts w:ascii="Verdana" w:eastAsia="Calibri" w:hAnsi="Verdana" w:cs="Arial"/>
          <w:i/>
          <w:iCs/>
          <w:color w:val="000000" w:themeColor="text1"/>
          <w:sz w:val="20"/>
          <w:szCs w:val="20"/>
        </w:rPr>
      </w:pPr>
      <w:r w:rsidRPr="003E2347">
        <w:rPr>
          <w:rFonts w:ascii="Verdana" w:eastAsia="Calibri" w:hAnsi="Verdana" w:cs="Arial"/>
          <w:color w:val="000000" w:themeColor="text1"/>
          <w:sz w:val="20"/>
          <w:szCs w:val="20"/>
        </w:rPr>
        <w:t>54. De manera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Pr>
          <w:rStyle w:val="Refdenotaalpie"/>
          <w:rFonts w:ascii="Verdana" w:eastAsia="Calibri" w:hAnsi="Verdana" w:cs="Arial"/>
          <w:color w:val="000000" w:themeColor="text1"/>
          <w:sz w:val="20"/>
          <w:szCs w:val="20"/>
        </w:rPr>
        <w:footnoteReference w:id="14"/>
      </w:r>
      <w:r w:rsidRPr="003E2347">
        <w:rPr>
          <w:rFonts w:ascii="Verdana" w:eastAsia="Calibri" w:hAnsi="Verdana" w:cs="Arial"/>
          <w:i/>
          <w:iCs/>
          <w:color w:val="000000" w:themeColor="text1"/>
          <w:sz w:val="20"/>
          <w:szCs w:val="20"/>
        </w:rPr>
        <w:t>.</w:t>
      </w:r>
    </w:p>
    <w:p w14:paraId="7EC327EF" w14:textId="77777777" w:rsidR="0018485D" w:rsidRPr="003E2347" w:rsidRDefault="0018485D" w:rsidP="0018485D">
      <w:pPr>
        <w:spacing w:after="0" w:line="240" w:lineRule="auto"/>
        <w:ind w:left="709" w:right="709"/>
        <w:jc w:val="both"/>
        <w:rPr>
          <w:rFonts w:ascii="Verdana" w:eastAsia="Calibri" w:hAnsi="Verdana" w:cs="Arial"/>
          <w:color w:val="000000" w:themeColor="text1"/>
          <w:lang w:val="es-ES_tradnl"/>
        </w:rPr>
      </w:pPr>
    </w:p>
    <w:p w14:paraId="1FDFFF7A" w14:textId="77777777" w:rsidR="0018485D" w:rsidRDefault="0018485D" w:rsidP="0018485D">
      <w:pPr>
        <w:spacing w:before="120" w:line="276" w:lineRule="auto"/>
        <w:ind w:right="49" w:firstLine="709"/>
        <w:jc w:val="both"/>
        <w:rPr>
          <w:rFonts w:ascii="Verdana" w:hAnsi="Verdana" w:cs="Arial"/>
          <w:iCs/>
          <w:color w:val="000000" w:themeColor="text1"/>
        </w:rPr>
      </w:pPr>
      <w:r>
        <w:rPr>
          <w:rFonts w:ascii="Verdana" w:hAnsi="Verdana" w:cs="Arial"/>
          <w:iCs/>
          <w:color w:val="000000" w:themeColor="text1"/>
        </w:rPr>
        <w:t xml:space="preserve">De acuerdo con el criterio establecido en la providencia en cita, resulta claro que las entidades estatales sometidas a regímenes especiales de contratación, como es el caso de las empresas de servicios públicos domiciliarios, si bien no tienen potestad sancionatoria por mérito de la ley, tienen la posibilidad de acudir a la autonomía de la voluntad para pactar el ejercicio de potestades unilaterales. Sin embargo, los actos a través de los cuales se materialice el ejercicio de potestades unilaterales emanadas del ejercicio de la autonomía de la voluntad, en el marco de contratos estatales </w:t>
      </w:r>
      <w:r>
        <w:rPr>
          <w:rFonts w:ascii="Verdana" w:hAnsi="Verdana" w:cs="Arial"/>
          <w:iCs/>
          <w:color w:val="000000" w:themeColor="text1"/>
        </w:rPr>
        <w:lastRenderedPageBreak/>
        <w:t xml:space="preserve">exceptuados del EGCAP, no pueden ser equiparados a actos administrativos, conforme lo precisa la providencia de unificación en cita al indicar que: </w:t>
      </w:r>
    </w:p>
    <w:p w14:paraId="6F58A457" w14:textId="77777777" w:rsidR="0018485D" w:rsidRDefault="0018485D" w:rsidP="0018485D">
      <w:pPr>
        <w:spacing w:after="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 xml:space="preserve">“55. En esta línea, conviene enfatizar que </w:t>
      </w:r>
      <w:r w:rsidRPr="003E2347">
        <w:rPr>
          <w:rFonts w:ascii="Verdana" w:hAnsi="Verdana" w:cs="Arial"/>
          <w:i/>
          <w:iCs/>
          <w:color w:val="000000" w:themeColor="text1"/>
          <w:sz w:val="20"/>
          <w:szCs w:val="20"/>
        </w:rPr>
        <w:t>“[l]o que no puede pactarse es la facultad de proferir un acto administrativo … [l]a liquidación unilateral del contrato mediante acto administrativo comporta el establecimiento de una potestad prevista solo para las entidades estatales en los contratos 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3E2347">
        <w:rPr>
          <w:rFonts w:ascii="Verdana" w:hAnsi="Verdana" w:cs="Arial"/>
          <w:iCs/>
          <w:color w:val="000000" w:themeColor="text1"/>
          <w:sz w:val="20"/>
          <w:szCs w:val="20"/>
        </w:rPr>
        <w:t xml:space="preserve">”. </w:t>
      </w:r>
    </w:p>
    <w:p w14:paraId="36A58036" w14:textId="77777777" w:rsidR="0018485D" w:rsidRPr="003E2347" w:rsidRDefault="0018485D" w:rsidP="0018485D">
      <w:pPr>
        <w:spacing w:after="0" w:line="240" w:lineRule="auto"/>
        <w:ind w:left="709" w:right="709"/>
        <w:jc w:val="both"/>
        <w:rPr>
          <w:rFonts w:ascii="Verdana" w:hAnsi="Verdana" w:cs="Arial"/>
          <w:iCs/>
          <w:color w:val="000000" w:themeColor="text1"/>
          <w:sz w:val="20"/>
          <w:szCs w:val="20"/>
        </w:rPr>
      </w:pPr>
    </w:p>
    <w:p w14:paraId="063472F5" w14:textId="77777777" w:rsidR="0018485D" w:rsidRDefault="0018485D" w:rsidP="0018485D">
      <w:pPr>
        <w:spacing w:after="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56. Como fruto de tal entendimiento, esta Corporación puntualizó que “</w:t>
      </w:r>
      <w:r w:rsidRPr="003E2347">
        <w:rPr>
          <w:rFonts w:ascii="Verdana" w:hAnsi="Verdana" w:cs="Arial"/>
          <w:i/>
          <w:iCs/>
          <w:color w:val="000000" w:themeColor="text1"/>
          <w:sz w:val="20"/>
          <w:szCs w:val="20"/>
        </w:rPr>
        <w:t>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5"/>
      </w:r>
      <w:r w:rsidRPr="003E2347">
        <w:rPr>
          <w:rFonts w:ascii="Verdana" w:hAnsi="Verdana" w:cs="Arial"/>
          <w:iCs/>
          <w:color w:val="000000" w:themeColor="text1"/>
          <w:sz w:val="20"/>
          <w:szCs w:val="20"/>
        </w:rPr>
        <w:t>; postura que ha venido siendo reiterada</w:t>
      </w:r>
      <w:r w:rsidRPr="003E2347">
        <w:rPr>
          <w:rStyle w:val="Refdenotaalpie"/>
          <w:rFonts w:ascii="Verdana" w:hAnsi="Verdana" w:cs="Arial"/>
          <w:iCs/>
          <w:color w:val="000000" w:themeColor="text1"/>
          <w:sz w:val="20"/>
          <w:szCs w:val="20"/>
        </w:rPr>
        <w:footnoteReference w:id="16"/>
      </w:r>
      <w:r w:rsidRPr="003E2347">
        <w:rPr>
          <w:rFonts w:ascii="Verdana" w:hAnsi="Verdana" w:cs="Arial"/>
          <w:iCs/>
          <w:color w:val="000000" w:themeColor="text1"/>
          <w:sz w:val="20"/>
          <w:szCs w:val="20"/>
        </w:rPr>
        <w:t xml:space="preserve"> y bajo la cual es posible indicar que la naturaleza de los actos unilaterales que emite una entidad estatal en desarrollo de contratos regidos por el derecho privado, se afilia a la categoría de actos contractuales y no a la de actos administrativos</w:t>
      </w:r>
      <w:r w:rsidRPr="003E2347">
        <w:rPr>
          <w:rStyle w:val="Refdenotaalpie"/>
          <w:rFonts w:ascii="Verdana" w:hAnsi="Verdana" w:cs="Arial"/>
          <w:iCs/>
          <w:color w:val="000000" w:themeColor="text1"/>
          <w:sz w:val="20"/>
          <w:szCs w:val="20"/>
        </w:rPr>
        <w:footnoteReference w:id="17"/>
      </w:r>
      <w:r w:rsidRPr="003E2347">
        <w:rPr>
          <w:rFonts w:ascii="Verdana" w:hAnsi="Verdana" w:cs="Arial"/>
          <w:iCs/>
          <w:color w:val="000000" w:themeColor="text1"/>
          <w:sz w:val="20"/>
          <w:szCs w:val="20"/>
        </w:rPr>
        <w:t>39. En estos términos, cuando una entidad pública está sometida al régimen de derecho común debe “</w:t>
      </w:r>
      <w:r w:rsidRPr="003E2347">
        <w:rPr>
          <w:rFonts w:ascii="Verdana" w:hAnsi="Verdana" w:cs="Arial"/>
          <w:i/>
          <w:iCs/>
          <w:color w:val="000000" w:themeColor="text1"/>
          <w:sz w:val="20"/>
          <w:szCs w:val="20"/>
        </w:rPr>
        <w:t>actuar en las mismas condiciones que un particular, por lo cual no estaba habilitada para expedir un acto administrativo</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8"/>
      </w:r>
      <w:r w:rsidRPr="003E2347">
        <w:rPr>
          <w:rFonts w:ascii="Verdana" w:hAnsi="Verdana" w:cs="Arial"/>
          <w:iCs/>
          <w:color w:val="000000" w:themeColor="text1"/>
          <w:sz w:val="20"/>
          <w:szCs w:val="20"/>
        </w:rPr>
        <w:t>, ni puede adjudicarse, por sí misma, competencias que son de rango legal</w:t>
      </w:r>
      <w:r w:rsidRPr="003E2347">
        <w:rPr>
          <w:rStyle w:val="Refdenotaalpie"/>
          <w:rFonts w:ascii="Verdana" w:hAnsi="Verdana" w:cs="Arial"/>
          <w:iCs/>
          <w:color w:val="000000" w:themeColor="text1"/>
          <w:sz w:val="20"/>
          <w:szCs w:val="20"/>
        </w:rPr>
        <w:footnoteReference w:id="19"/>
      </w:r>
      <w:r w:rsidRPr="003E2347">
        <w:rPr>
          <w:rFonts w:ascii="Verdana" w:hAnsi="Verdana" w:cs="Arial"/>
          <w:iCs/>
          <w:color w:val="000000" w:themeColor="text1"/>
          <w:sz w:val="20"/>
          <w:szCs w:val="20"/>
        </w:rPr>
        <w:t xml:space="preserve"> -sin perjuicio de aquellas hipótesis en que el legislador ha autorizado de manera excepcional la posibilidad de que las ESP puedan expedir actos administrativos</w:t>
      </w:r>
      <w:proofErr w:type="gramStart"/>
      <w:r w:rsidRPr="003E2347">
        <w:rPr>
          <w:rFonts w:ascii="Verdana" w:hAnsi="Verdana" w:cs="Arial"/>
          <w:iCs/>
          <w:color w:val="000000" w:themeColor="text1"/>
          <w:sz w:val="20"/>
          <w:szCs w:val="20"/>
        </w:rPr>
        <w:t>-“</w:t>
      </w:r>
      <w:proofErr w:type="gramEnd"/>
      <w:r>
        <w:rPr>
          <w:rStyle w:val="Refdenotaalpie"/>
          <w:rFonts w:ascii="Verdana" w:hAnsi="Verdana" w:cs="Arial"/>
          <w:iCs/>
          <w:color w:val="000000" w:themeColor="text1"/>
          <w:sz w:val="20"/>
          <w:szCs w:val="20"/>
        </w:rPr>
        <w:footnoteReference w:id="20"/>
      </w:r>
      <w:r>
        <w:rPr>
          <w:rFonts w:ascii="Verdana" w:hAnsi="Verdana" w:cs="Arial"/>
          <w:iCs/>
          <w:color w:val="000000" w:themeColor="text1"/>
          <w:sz w:val="20"/>
          <w:szCs w:val="20"/>
        </w:rPr>
        <w:t xml:space="preserve">. </w:t>
      </w:r>
    </w:p>
    <w:p w14:paraId="252AE497" w14:textId="77777777" w:rsidR="0018485D" w:rsidRPr="003E2347" w:rsidRDefault="0018485D" w:rsidP="0018485D">
      <w:pPr>
        <w:spacing w:after="0" w:line="240" w:lineRule="auto"/>
        <w:ind w:left="709" w:right="709"/>
        <w:jc w:val="both"/>
        <w:rPr>
          <w:rFonts w:ascii="Verdana" w:hAnsi="Verdana" w:cs="Arial"/>
          <w:iCs/>
          <w:color w:val="000000" w:themeColor="text1"/>
        </w:rPr>
      </w:pPr>
      <w:r w:rsidRPr="003E2347">
        <w:rPr>
          <w:rFonts w:ascii="Verdana" w:hAnsi="Verdana" w:cs="Arial"/>
          <w:iCs/>
          <w:color w:val="000000" w:themeColor="text1"/>
          <w:sz w:val="20"/>
          <w:szCs w:val="20"/>
        </w:rPr>
        <w:t xml:space="preserve"> </w:t>
      </w:r>
      <w:r>
        <w:rPr>
          <w:rFonts w:ascii="Verdana" w:hAnsi="Verdana" w:cs="Arial"/>
          <w:iCs/>
          <w:color w:val="000000" w:themeColor="text1"/>
        </w:rPr>
        <w:t xml:space="preserve"> </w:t>
      </w:r>
    </w:p>
    <w:p w14:paraId="7990488C" w14:textId="77777777" w:rsidR="0018485D" w:rsidRDefault="0018485D" w:rsidP="0018485D">
      <w:pPr>
        <w:spacing w:after="120" w:line="276" w:lineRule="auto"/>
        <w:ind w:firstLine="708"/>
        <w:jc w:val="both"/>
        <w:rPr>
          <w:rFonts w:ascii="Verdana" w:eastAsia="Calibri" w:hAnsi="Verdana" w:cs="Arial"/>
        </w:rPr>
      </w:pPr>
      <w:r w:rsidRPr="003E2347">
        <w:rPr>
          <w:rFonts w:ascii="Verdana" w:hAnsi="Verdana" w:cs="Arial"/>
          <w:iCs/>
          <w:color w:val="000000" w:themeColor="text1"/>
        </w:rPr>
        <w:t xml:space="preserve"> Conforme a lo anterior, es claro que, de acuerdo con la jurisprudencia de la Sección Tercera del Consejo de Estado, es viable que entidades estatales exceptuadas del EGCAP, ejerzan la autonomía de la voluntad estableciendo </w:t>
      </w:r>
      <w:r w:rsidRPr="003E2347">
        <w:rPr>
          <w:rFonts w:ascii="Verdana" w:hAnsi="Verdana" w:cs="Arial"/>
          <w:iCs/>
          <w:color w:val="000000" w:themeColor="text1"/>
        </w:rPr>
        <w:lastRenderedPageBreak/>
        <w:t xml:space="preserve">potestades de ejercicio unilateral, estableciendo los mecanismos para hacerlas efectivas. No obstante, a diferencia de lo que sucede con los actos que se expiden como consecuencia del procedimiento establecido en el artículo 86 de la Ley 1474 de 2011, los actos </w:t>
      </w:r>
      <w:r>
        <w:rPr>
          <w:rFonts w:ascii="Verdana" w:hAnsi="Verdana" w:cs="Arial"/>
          <w:iCs/>
          <w:color w:val="000000" w:themeColor="text1"/>
        </w:rPr>
        <w:t xml:space="preserve">contractuales </w:t>
      </w:r>
      <w:r w:rsidRPr="003E2347">
        <w:rPr>
          <w:rFonts w:ascii="Verdana" w:hAnsi="Verdana" w:cs="Arial"/>
          <w:iCs/>
          <w:color w:val="000000" w:themeColor="text1"/>
        </w:rPr>
        <w:t>que resultan del ejercicio de estas potestades no son considerados actos administrativos</w:t>
      </w:r>
      <w:r>
        <w:rPr>
          <w:rFonts w:ascii="Verdana" w:hAnsi="Verdana" w:cs="Arial"/>
          <w:iCs/>
          <w:color w:val="000000" w:themeColor="text1"/>
        </w:rPr>
        <w:t>,</w:t>
      </w:r>
      <w:r w:rsidRPr="003E2347">
        <w:rPr>
          <w:rFonts w:ascii="Verdana" w:hAnsi="Verdana" w:cs="Arial"/>
          <w:iCs/>
          <w:color w:val="000000" w:themeColor="text1"/>
        </w:rPr>
        <w:t xml:space="preserve"> sino contractuales</w:t>
      </w:r>
      <w:r>
        <w:rPr>
          <w:rFonts w:ascii="Verdana" w:hAnsi="Verdana" w:cs="Arial"/>
          <w:iCs/>
          <w:color w:val="000000" w:themeColor="text1"/>
        </w:rPr>
        <w:t xml:space="preserve">. </w:t>
      </w:r>
      <w:r>
        <w:rPr>
          <w:rFonts w:ascii="Verdana" w:eastAsia="Calibri" w:hAnsi="Verdana" w:cs="Arial"/>
          <w:lang w:val="es-ES_tradnl"/>
        </w:rPr>
        <w:t>Esto resulta coherente con la jurisprudencia de</w:t>
      </w:r>
      <w:r w:rsidRPr="00BE4E34">
        <w:rPr>
          <w:rFonts w:ascii="Verdana" w:eastAsia="Calibri" w:hAnsi="Verdana" w:cs="Arial"/>
          <w:lang w:val="es-ES_tradnl"/>
        </w:rPr>
        <w:t xml:space="preserve"> </w:t>
      </w:r>
      <w:r w:rsidRPr="00BE4E34">
        <w:rPr>
          <w:rFonts w:ascii="Verdana" w:eastAsia="Calibri" w:hAnsi="Verdana" w:cs="Arial"/>
        </w:rPr>
        <w:t xml:space="preserve">la </w:t>
      </w:r>
      <w:r>
        <w:rPr>
          <w:rFonts w:ascii="Verdana" w:eastAsia="Calibri" w:hAnsi="Verdana" w:cs="Arial"/>
        </w:rPr>
        <w:t xml:space="preserve">Sala de Casación Civil de la </w:t>
      </w:r>
      <w:r w:rsidRPr="00BE4E34">
        <w:rPr>
          <w:rFonts w:ascii="Verdana" w:eastAsia="Calibri" w:hAnsi="Verdana" w:cs="Arial"/>
        </w:rPr>
        <w:t xml:space="preserve">Corte Suprema de Justicia </w:t>
      </w:r>
      <w:r>
        <w:rPr>
          <w:rFonts w:ascii="Verdana" w:eastAsia="Calibri" w:hAnsi="Verdana" w:cs="Arial"/>
        </w:rPr>
        <w:t xml:space="preserve">que </w:t>
      </w:r>
      <w:r w:rsidRPr="00BE4E34">
        <w:rPr>
          <w:rFonts w:ascii="Verdana" w:eastAsia="Calibri" w:hAnsi="Verdana" w:cs="Arial"/>
        </w:rPr>
        <w:t>confirm</w:t>
      </w:r>
      <w:r>
        <w:rPr>
          <w:rFonts w:ascii="Verdana" w:eastAsia="Calibri" w:hAnsi="Verdana" w:cs="Arial"/>
        </w:rPr>
        <w:t>a</w:t>
      </w:r>
      <w:r w:rsidRPr="00BE4E34">
        <w:rPr>
          <w:rFonts w:ascii="Verdana" w:eastAsia="Calibri" w:hAnsi="Verdana" w:cs="Arial"/>
        </w:rPr>
        <w:t xml:space="preserve"> la validez del pacto de poderes unilaterales en el marco de los contratos de derecho privado, </w:t>
      </w:r>
      <w:r>
        <w:rPr>
          <w:rFonts w:ascii="Verdana" w:eastAsia="Calibri" w:hAnsi="Verdana" w:cs="Arial"/>
        </w:rPr>
        <w:t xml:space="preserve">como expresión de </w:t>
      </w:r>
      <w:r w:rsidRPr="00BE4E34">
        <w:rPr>
          <w:rFonts w:ascii="Verdana" w:eastAsia="Calibri" w:hAnsi="Verdana" w:cs="Arial"/>
        </w:rPr>
        <w:t xml:space="preserve">la capacidad negocial de las partes </w:t>
      </w:r>
      <w:r>
        <w:rPr>
          <w:rFonts w:ascii="Verdana" w:eastAsia="Calibri" w:hAnsi="Verdana" w:cs="Arial"/>
        </w:rPr>
        <w:t>amparada</w:t>
      </w:r>
      <w:r w:rsidRPr="00BE4E34">
        <w:rPr>
          <w:rFonts w:ascii="Verdana" w:eastAsia="Calibri" w:hAnsi="Verdana" w:cs="Arial"/>
        </w:rPr>
        <w:t xml:space="preserve"> su autonomía de la voluntad</w:t>
      </w:r>
      <w:r>
        <w:rPr>
          <w:rFonts w:ascii="Verdana" w:eastAsia="Calibri" w:hAnsi="Verdana" w:cs="Arial"/>
        </w:rPr>
        <w:t xml:space="preserve">, que se materializa a través </w:t>
      </w:r>
      <w:r w:rsidRPr="00BE4E34">
        <w:rPr>
          <w:rFonts w:ascii="Verdana" w:eastAsia="Calibri" w:hAnsi="Verdana" w:cs="Arial"/>
        </w:rPr>
        <w:t>actos</w:t>
      </w:r>
      <w:r>
        <w:rPr>
          <w:rFonts w:ascii="Verdana" w:eastAsia="Calibri" w:hAnsi="Verdana" w:cs="Arial"/>
        </w:rPr>
        <w:t xml:space="preserve"> </w:t>
      </w:r>
      <w:r w:rsidRPr="00BE4E34">
        <w:rPr>
          <w:rFonts w:ascii="Verdana" w:eastAsia="Calibri" w:hAnsi="Verdana" w:cs="Arial"/>
        </w:rPr>
        <w:t>jurídicos unilaterales de derecho privado</w:t>
      </w:r>
      <w:r w:rsidRPr="00BE4E34">
        <w:rPr>
          <w:rStyle w:val="Refdenotaalpie"/>
          <w:rFonts w:ascii="Verdana" w:eastAsia="Calibri" w:hAnsi="Verdana" w:cs="Arial"/>
        </w:rPr>
        <w:footnoteReference w:id="21"/>
      </w:r>
      <w:r w:rsidRPr="00BE4E34">
        <w:rPr>
          <w:rFonts w:ascii="Verdana" w:eastAsia="Calibri" w:hAnsi="Verdana" w:cs="Arial"/>
        </w:rPr>
        <w:t>.</w:t>
      </w:r>
    </w:p>
    <w:p w14:paraId="2F3C1EF1" w14:textId="77777777" w:rsidR="0018485D" w:rsidRPr="009E1B49" w:rsidRDefault="0018485D" w:rsidP="0018485D">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ese orden de ideas, las entidades exceptuadas del EGCAP pueden hacer uso de la autonomía de la voluntad estableciendo estipulaciones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w:t>
      </w:r>
    </w:p>
    <w:p w14:paraId="307BD599" w14:textId="77777777" w:rsidR="0018485D" w:rsidRDefault="0018485D" w:rsidP="0018485D">
      <w:pPr>
        <w:spacing w:before="120" w:after="120" w:line="276" w:lineRule="auto"/>
        <w:jc w:val="both"/>
        <w:rPr>
          <w:rFonts w:ascii="Verdana" w:hAnsi="Verdana" w:cs="Arial"/>
          <w:bCs/>
          <w:color w:val="000000" w:themeColor="text1"/>
          <w:lang w:val="es-ES"/>
        </w:rPr>
      </w:pPr>
      <w:r w:rsidRPr="00D81E8E">
        <w:rPr>
          <w:rFonts w:ascii="Verdana" w:hAnsi="Verdana" w:cs="Arial"/>
          <w:bCs/>
          <w:color w:val="000000" w:themeColor="text1"/>
        </w:rPr>
        <w:tab/>
      </w:r>
      <w:r w:rsidRPr="00685A0D">
        <w:rPr>
          <w:rFonts w:ascii="Verdana" w:hAnsi="Verdana" w:cs="Arial"/>
          <w:bCs/>
          <w:lang w:val="es-ES_tradnl" w:eastAsia="es-ES"/>
        </w:rPr>
        <w:t>En</w:t>
      </w:r>
      <w:r>
        <w:rPr>
          <w:rFonts w:ascii="Verdana" w:hAnsi="Verdana" w:cs="Arial"/>
          <w:bCs/>
          <w:lang w:val="es-ES_tradnl" w:eastAsia="es-ES"/>
        </w:rPr>
        <w:t xml:space="preserve"> todo caso</w:t>
      </w:r>
      <w:r w:rsidRPr="00685A0D">
        <w:rPr>
          <w:rFonts w:ascii="Verdana" w:hAnsi="Verdana" w:cs="Arial"/>
          <w:bCs/>
          <w:lang w:val="es-ES_tradnl" w:eastAsia="es-ES"/>
        </w:rPr>
        <w:t xml:space="preserve">, </w:t>
      </w:r>
      <w:r w:rsidRPr="00685A0D">
        <w:rPr>
          <w:rFonts w:ascii="Verdana" w:hAnsi="Verdana" w:cs="Arial"/>
          <w:bCs/>
          <w:lang w:eastAsia="es-E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r>
        <w:rPr>
          <w:rFonts w:ascii="Verdana" w:hAnsi="Verdana" w:cs="Arial"/>
          <w:bCs/>
          <w:lang w:eastAsia="es-ES"/>
        </w:rPr>
        <w:t>.</w:t>
      </w:r>
      <w:r w:rsidRPr="00D81E8E">
        <w:rPr>
          <w:rFonts w:ascii="Verdana" w:hAnsi="Verdana" w:cs="Arial"/>
          <w:bCs/>
          <w:color w:val="000000" w:themeColor="text1"/>
          <w:lang w:val="es-ES"/>
        </w:rPr>
        <w:t xml:space="preserve"> </w:t>
      </w:r>
    </w:p>
    <w:p w14:paraId="19BE2474" w14:textId="77777777" w:rsidR="0018485D" w:rsidRDefault="0018485D" w:rsidP="0018485D">
      <w:pPr>
        <w:spacing w:before="120" w:after="120" w:line="276" w:lineRule="auto"/>
        <w:jc w:val="both"/>
        <w:rPr>
          <w:rFonts w:ascii="Verdana" w:hAnsi="Verdana" w:cs="Arial"/>
          <w:bCs/>
          <w:color w:val="000000" w:themeColor="text1"/>
          <w:lang w:val="es-ES"/>
        </w:rPr>
      </w:pPr>
    </w:p>
    <w:p w14:paraId="2E892FC3" w14:textId="77777777" w:rsidR="0018485D" w:rsidRDefault="0018485D" w:rsidP="0018485D">
      <w:pPr>
        <w:spacing w:before="120" w:after="120" w:line="276" w:lineRule="auto"/>
        <w:jc w:val="both"/>
        <w:rPr>
          <w:rFonts w:ascii="Verdana" w:hAnsi="Verdana" w:cs="Arial"/>
          <w:bCs/>
          <w:iCs/>
          <w:color w:val="000000" w:themeColor="text1"/>
        </w:rPr>
      </w:pPr>
      <w:proofErr w:type="spellStart"/>
      <w:r>
        <w:rPr>
          <w:rFonts w:ascii="Verdana" w:hAnsi="Verdana" w:cs="Arial"/>
          <w:bCs/>
          <w:color w:val="000000" w:themeColor="text1"/>
          <w:lang w:val="es-ES"/>
        </w:rPr>
        <w:t>iii</w:t>
      </w:r>
      <w:proofErr w:type="spellEnd"/>
      <w:r>
        <w:rPr>
          <w:rFonts w:ascii="Verdana" w:hAnsi="Verdana" w:cs="Arial"/>
          <w:bCs/>
          <w:color w:val="000000" w:themeColor="text1"/>
          <w:lang w:val="es-ES"/>
        </w:rPr>
        <w:t xml:space="preserve">. </w:t>
      </w:r>
      <w:r w:rsidRPr="00CF50A3">
        <w:rPr>
          <w:rFonts w:ascii="Verdana" w:hAnsi="Verdana" w:cs="Arial"/>
          <w:bCs/>
          <w:i/>
          <w:color w:val="000000" w:themeColor="text1"/>
        </w:rPr>
        <w:t>Respecto a la terminación unilateral</w:t>
      </w:r>
      <w:r w:rsidRPr="00CF50A3">
        <w:rPr>
          <w:rFonts w:ascii="Verdana" w:hAnsi="Verdana" w:cs="Arial"/>
          <w:bCs/>
          <w:iCs/>
          <w:color w:val="000000" w:themeColor="text1"/>
        </w:rPr>
        <w:t xml:space="preserve">, el artículo 1602 del Código Civil –aplicable a las relaciones mercantiles conforme al artículo 822 del Código de Comercio– dispone que “Todo contrato legalmente celebrado es una ley para los contratantes, y no puede ser invalidado sino por su consentimiento mutuo o por causas legales”. Dentro de estas últimas, algunos contratos típicos del derecho privado incorporan esta facultad de terminación unilateral como un </w:t>
      </w:r>
      <w:r w:rsidRPr="00CF50A3">
        <w:rPr>
          <w:rFonts w:ascii="Verdana" w:hAnsi="Verdana" w:cs="Arial"/>
          <w:bCs/>
          <w:i/>
          <w:color w:val="000000" w:themeColor="text1"/>
        </w:rPr>
        <w:t xml:space="preserve">elemento de </w:t>
      </w:r>
      <w:r w:rsidRPr="00CF50A3">
        <w:rPr>
          <w:rFonts w:ascii="Verdana" w:hAnsi="Verdana" w:cs="Arial"/>
          <w:bCs/>
          <w:i/>
          <w:color w:val="000000" w:themeColor="text1"/>
        </w:rPr>
        <w:lastRenderedPageBreak/>
        <w:t>la naturaleza</w:t>
      </w:r>
      <w:r w:rsidRPr="00CF50A3">
        <w:rPr>
          <w:rFonts w:ascii="Verdana" w:hAnsi="Verdana" w:cs="Arial"/>
          <w:bCs/>
          <w:i/>
          <w:color w:val="000000" w:themeColor="text1"/>
          <w:vertAlign w:val="superscript"/>
        </w:rPr>
        <w:footnoteReference w:id="22"/>
      </w:r>
      <w:r w:rsidRPr="00CF50A3">
        <w:rPr>
          <w:rFonts w:ascii="Verdana" w:hAnsi="Verdana" w:cs="Arial"/>
          <w:bCs/>
          <w:iCs/>
          <w:color w:val="000000" w:themeColor="text1"/>
        </w:rPr>
        <w:t xml:space="preserve">. No obstante, la dificultad surge al momento de pactarla como </w:t>
      </w:r>
      <w:r w:rsidRPr="00CF50A3">
        <w:rPr>
          <w:rFonts w:ascii="Verdana" w:hAnsi="Verdana" w:cs="Arial"/>
          <w:bCs/>
          <w:i/>
          <w:color w:val="000000" w:themeColor="text1"/>
        </w:rPr>
        <w:t>elemento accidental</w:t>
      </w:r>
      <w:r w:rsidRPr="00CF50A3">
        <w:rPr>
          <w:rFonts w:ascii="Verdana" w:hAnsi="Verdana" w:cs="Arial"/>
          <w:bCs/>
          <w:iCs/>
          <w:color w:val="000000" w:themeColor="text1"/>
        </w:rPr>
        <w:t xml:space="preserve"> fuera de las tipologías donde la terminación está prevista legalmente. Si bien ésta última no corresponde a una causa legal en los términos del artículo 1602 del Código Civil, la discusión se plantea en el ámbito del mutuo consentimiento como criterio para determinar la fuerza obligatoria del contrato. </w:t>
      </w:r>
    </w:p>
    <w:p w14:paraId="5FFA1977" w14:textId="77777777" w:rsidR="0018485D" w:rsidRDefault="0018485D" w:rsidP="0018485D">
      <w:pPr>
        <w:spacing w:before="120" w:after="120" w:line="276" w:lineRule="auto"/>
        <w:ind w:firstLine="708"/>
        <w:jc w:val="both"/>
        <w:rPr>
          <w:rFonts w:ascii="Verdana" w:hAnsi="Verdana" w:cs="Arial"/>
          <w:bCs/>
          <w:color w:val="000000" w:themeColor="text1"/>
          <w:lang w:val="es-ES"/>
        </w:rPr>
      </w:pPr>
      <w:r>
        <w:rPr>
          <w:rFonts w:ascii="Verdana" w:hAnsi="Verdana" w:cs="Arial"/>
          <w:bCs/>
          <w:color w:val="000000" w:themeColor="text1"/>
          <w:lang w:val="es-ES"/>
        </w:rPr>
        <w:t xml:space="preserve">Uno de los temas más debatidos dentro de la jurisprudencia del Consejo de Estado está relacionado con la atribución de la entidad de terminar unilateralmente el contrato en caso de incumplimiento grave o esencial del negocio jurídico. Al respecto, se han establecido dos posturas frente al tema: i) la terminación unilateral como una potestad exorbitante no autorizada por la ley; </w:t>
      </w:r>
      <w:proofErr w:type="spellStart"/>
      <w:r>
        <w:rPr>
          <w:rFonts w:ascii="Verdana" w:hAnsi="Verdana" w:cs="Arial"/>
          <w:bCs/>
          <w:color w:val="000000" w:themeColor="text1"/>
          <w:lang w:val="es-ES"/>
        </w:rPr>
        <w:t>ii</w:t>
      </w:r>
      <w:proofErr w:type="spellEnd"/>
      <w:r>
        <w:rPr>
          <w:rFonts w:ascii="Verdana" w:hAnsi="Verdana" w:cs="Arial"/>
          <w:bCs/>
          <w:color w:val="000000" w:themeColor="text1"/>
          <w:lang w:val="es-ES"/>
        </w:rPr>
        <w:t xml:space="preserve">) la posibilidad de pactar la terminación unilateral, fundado en la autonomía de la voluntad. </w:t>
      </w:r>
    </w:p>
    <w:p w14:paraId="18AFCAF7" w14:textId="77777777" w:rsidR="0018485D" w:rsidRDefault="0018485D" w:rsidP="0018485D">
      <w:pPr>
        <w:spacing w:before="120" w:after="0" w:line="276" w:lineRule="auto"/>
        <w:ind w:firstLine="708"/>
        <w:jc w:val="both"/>
        <w:rPr>
          <w:rFonts w:ascii="Verdana" w:hAnsi="Verdana" w:cs="Arial"/>
          <w:bCs/>
          <w:color w:val="000000" w:themeColor="text1"/>
          <w:lang w:val="es-ES"/>
        </w:rPr>
      </w:pPr>
      <w:r>
        <w:rPr>
          <w:rFonts w:ascii="Verdana" w:hAnsi="Verdana" w:cs="Arial"/>
          <w:bCs/>
          <w:color w:val="000000" w:themeColor="text1"/>
          <w:lang w:val="es-ES"/>
        </w:rPr>
        <w:t xml:space="preserve">La primera postura se funda en que la terminación unilateral es una cláusula excepcional del derecho privado, por lo que pactarla implicaría una nulidad absoluta del contrato estatal. Por tanto, dichas cláusulas deben ampararse bajo el principio de legalidad, esto es, “lo que está expresamente permitido, se entiendo de prohibido”. En su momento, la Subsección C de la Sección Tercera del Consejo de Estado expresó: </w:t>
      </w:r>
    </w:p>
    <w:p w14:paraId="2B0A2C51" w14:textId="77777777" w:rsidR="0018485D" w:rsidRDefault="0018485D" w:rsidP="0018485D">
      <w:pPr>
        <w:spacing w:before="120" w:after="120"/>
        <w:jc w:val="both"/>
        <w:rPr>
          <w:rFonts w:ascii="Verdana" w:hAnsi="Verdana" w:cs="Arial"/>
          <w:bCs/>
          <w:color w:val="000000" w:themeColor="text1"/>
          <w:lang w:val="es-ES"/>
        </w:rPr>
      </w:pPr>
    </w:p>
    <w:p w14:paraId="4052D6F3" w14:textId="77777777" w:rsidR="0018485D" w:rsidRPr="00D90FFF" w:rsidRDefault="0018485D" w:rsidP="0018485D">
      <w:pPr>
        <w:spacing w:before="120" w:after="0" w:line="240" w:lineRule="auto"/>
        <w:ind w:left="709" w:right="709"/>
        <w:jc w:val="both"/>
        <w:rPr>
          <w:rFonts w:ascii="Verdana" w:hAnsi="Verdana" w:cs="Arial"/>
          <w:bCs/>
          <w:color w:val="000000" w:themeColor="text1"/>
          <w:sz w:val="21"/>
          <w:szCs w:val="21"/>
          <w:lang w:val="es-ES"/>
        </w:rPr>
      </w:pPr>
      <w:r>
        <w:rPr>
          <w:rFonts w:ascii="Verdana" w:hAnsi="Verdana" w:cs="Arial"/>
          <w:bCs/>
          <w:color w:val="000000" w:themeColor="text1"/>
          <w:sz w:val="21"/>
          <w:szCs w:val="21"/>
          <w:lang w:val="es-ES"/>
        </w:rPr>
        <w:t>“</w:t>
      </w:r>
      <w:r w:rsidRPr="00D90FFF">
        <w:rPr>
          <w:rFonts w:ascii="Verdana" w:hAnsi="Verdana" w:cs="Arial"/>
          <w:bCs/>
          <w:color w:val="000000" w:themeColor="text1"/>
          <w:sz w:val="21"/>
          <w:szCs w:val="21"/>
          <w:lang w:val="es-ES"/>
        </w:rPr>
        <w:t xml:space="preserve">[…] como para dar por terminado unilateralmente el contrato, la Administración debe proferir un acto administrativo que así lo disponga, se sigue que si la cláusula que prevé la potestad de terminación unilateral es nula por haberse pactado contra expresa prohibición legal, también es nulo el acto administrativo que se fundamentó en ella como aquel acto administrativo que lo confirmó. Luego, no se puede aducir que la </w:t>
      </w:r>
      <w:r w:rsidRPr="00D90FFF">
        <w:rPr>
          <w:rFonts w:ascii="Verdana" w:hAnsi="Verdana" w:cs="Arial"/>
          <w:bCs/>
          <w:i/>
          <w:color w:val="000000" w:themeColor="text1"/>
          <w:sz w:val="21"/>
          <w:szCs w:val="21"/>
          <w:lang w:val="es-ES"/>
        </w:rPr>
        <w:t xml:space="preserve">“autonomía de la voluntad” </w:t>
      </w:r>
      <w:r w:rsidRPr="00D90FFF">
        <w:rPr>
          <w:rFonts w:ascii="Verdana" w:hAnsi="Verdana" w:cs="Arial"/>
          <w:bCs/>
          <w:color w:val="000000" w:themeColor="text1"/>
          <w:sz w:val="21"/>
          <w:szCs w:val="21"/>
          <w:lang w:val="es-ES"/>
        </w:rPr>
        <w:t>convalida semejante pacto y actuación, pues admitir esto, equivale a aceptar que la voluntad de los destinatarios de las normas prevalece sobre el querer imperativo de la ley</w:t>
      </w:r>
      <w:r>
        <w:rPr>
          <w:rStyle w:val="Refdenotaalpie"/>
          <w:rFonts w:ascii="Verdana" w:hAnsi="Verdana" w:cs="Arial"/>
          <w:bCs/>
          <w:color w:val="000000" w:themeColor="text1"/>
          <w:sz w:val="21"/>
          <w:szCs w:val="21"/>
          <w:lang w:val="es-ES"/>
        </w:rPr>
        <w:footnoteReference w:id="23"/>
      </w:r>
      <w:r w:rsidRPr="00D90FFF">
        <w:rPr>
          <w:rFonts w:ascii="Verdana" w:hAnsi="Verdana" w:cs="Arial"/>
          <w:bCs/>
          <w:color w:val="000000" w:themeColor="text1"/>
          <w:sz w:val="21"/>
          <w:szCs w:val="21"/>
          <w:lang w:val="es-ES"/>
        </w:rPr>
        <w:t>.</w:t>
      </w:r>
    </w:p>
    <w:p w14:paraId="450CF29B" w14:textId="77777777" w:rsidR="0018485D" w:rsidRDefault="0018485D" w:rsidP="0018485D">
      <w:pPr>
        <w:spacing w:after="0"/>
        <w:rPr>
          <w:rFonts w:ascii="Verdana" w:hAnsi="Verdana" w:cs="Arial"/>
          <w:bCs/>
          <w:color w:val="000000" w:themeColor="text1"/>
          <w:lang w:val="es-MX"/>
        </w:rPr>
      </w:pPr>
    </w:p>
    <w:p w14:paraId="1CC40558" w14:textId="77777777" w:rsidR="0018485D" w:rsidRPr="00540EFF" w:rsidRDefault="0018485D" w:rsidP="0018485D">
      <w:pPr>
        <w:spacing w:before="120" w:after="0" w:line="276" w:lineRule="auto"/>
        <w:ind w:firstLine="708"/>
        <w:jc w:val="both"/>
        <w:rPr>
          <w:rFonts w:ascii="Verdana" w:hAnsi="Verdana" w:cs="Arial"/>
          <w:bCs/>
          <w:color w:val="000000" w:themeColor="text1"/>
          <w:lang w:val="es-MX"/>
        </w:rPr>
      </w:pPr>
      <w:r>
        <w:rPr>
          <w:rFonts w:ascii="Verdana" w:hAnsi="Verdana" w:cs="Arial"/>
          <w:bCs/>
          <w:color w:val="000000" w:themeColor="text1"/>
          <w:lang w:val="es-MX"/>
        </w:rPr>
        <w:t xml:space="preserve">La segunda postura </w:t>
      </w:r>
      <w:r w:rsidRPr="00540EFF">
        <w:rPr>
          <w:rFonts w:ascii="Verdana" w:hAnsi="Verdana" w:cs="Arial"/>
          <w:bCs/>
          <w:color w:val="000000" w:themeColor="text1"/>
          <w:lang w:val="es-MX"/>
        </w:rPr>
        <w:t>ha permitido que se pacte en el contrato la terminación unilateral por incumplimiento y su procedimiento en entidades de régimen especial</w:t>
      </w:r>
      <w:r>
        <w:rPr>
          <w:rFonts w:ascii="Verdana" w:hAnsi="Verdana" w:cs="Arial"/>
          <w:bCs/>
          <w:color w:val="000000" w:themeColor="text1"/>
          <w:lang w:val="es-MX"/>
        </w:rPr>
        <w:t xml:space="preserve"> bajo el principio de autonomía de la voluntad de las partes, salvo que viole el orden público y las buenas costumbres o cuando implique un abuso del derecho. En efecto, no debe analizarse desde la perspectiva de la competencia, del acto administrativo o de la nulidad, sino del ejercicio de la autonomía de la voluntad. Al respecto, el Consejo de estado expresa:</w:t>
      </w:r>
    </w:p>
    <w:p w14:paraId="270DBD10" w14:textId="77777777" w:rsidR="0018485D" w:rsidRPr="00540EFF" w:rsidRDefault="0018485D" w:rsidP="0018485D">
      <w:pPr>
        <w:spacing w:after="0" w:line="276" w:lineRule="auto"/>
        <w:jc w:val="both"/>
        <w:rPr>
          <w:rFonts w:ascii="Verdana" w:hAnsi="Verdana" w:cs="Arial"/>
          <w:bCs/>
          <w:color w:val="000000" w:themeColor="text1"/>
        </w:rPr>
      </w:pPr>
    </w:p>
    <w:p w14:paraId="551ADC36" w14:textId="77777777" w:rsidR="0018485D" w:rsidRPr="00540EFF" w:rsidRDefault="0018485D" w:rsidP="0018485D">
      <w:pPr>
        <w:spacing w:after="120" w:line="240" w:lineRule="auto"/>
        <w:ind w:left="709" w:right="709"/>
        <w:jc w:val="both"/>
        <w:rPr>
          <w:rFonts w:ascii="Verdana" w:hAnsi="Verdana" w:cs="Arial"/>
          <w:bCs/>
          <w:color w:val="000000" w:themeColor="text1"/>
        </w:rPr>
      </w:pPr>
      <w:r>
        <w:rPr>
          <w:rFonts w:ascii="Verdana" w:hAnsi="Verdana" w:cs="Arial"/>
          <w:bCs/>
          <w:color w:val="000000" w:themeColor="text1"/>
          <w:sz w:val="21"/>
          <w:szCs w:val="21"/>
        </w:rPr>
        <w:t>“</w:t>
      </w:r>
      <w:r w:rsidRPr="004C38BC">
        <w:rPr>
          <w:rFonts w:ascii="Verdana" w:hAnsi="Verdana" w:cs="Arial"/>
          <w:bCs/>
          <w:color w:val="000000" w:themeColor="text1"/>
          <w:sz w:val="21"/>
          <w:szCs w:val="21"/>
        </w:rPr>
        <w:t>De manera que, aunque el pacto de estas figuras puede aparecer como un elemento de carácter sancionatorio, ello por sí mismo no las ubica en el ámbito de la exorbitancia o arbitrariedad y, mucho menos, en el terreno del derecho contractual administrativo, porque su fuente es el de la autónoma regulación de las relaciones negociables que cada una de las partes contratantes tiene conforme a los principios del Derecho privado para la estructur</w:t>
      </w:r>
      <w:r>
        <w:rPr>
          <w:rFonts w:ascii="Verdana" w:hAnsi="Verdana" w:cs="Arial"/>
          <w:bCs/>
          <w:color w:val="000000" w:themeColor="text1"/>
          <w:sz w:val="21"/>
          <w:szCs w:val="21"/>
        </w:rPr>
        <w:t>ación de sus negocios jurídicos”</w:t>
      </w:r>
      <w:r w:rsidRPr="00540EFF">
        <w:rPr>
          <w:rFonts w:ascii="Verdana" w:hAnsi="Verdana" w:cs="Arial"/>
          <w:bCs/>
          <w:color w:val="000000" w:themeColor="text1"/>
          <w:vertAlign w:val="superscript"/>
        </w:rPr>
        <w:footnoteReference w:id="24"/>
      </w:r>
      <w:r w:rsidRPr="00540EFF">
        <w:rPr>
          <w:rFonts w:ascii="Verdana" w:hAnsi="Verdana" w:cs="Arial"/>
          <w:bCs/>
          <w:color w:val="000000" w:themeColor="text1"/>
        </w:rPr>
        <w:t xml:space="preserve">. </w:t>
      </w:r>
    </w:p>
    <w:p w14:paraId="027EF5D0" w14:textId="77777777" w:rsidR="0018485D" w:rsidRDefault="0018485D" w:rsidP="0018485D">
      <w:pPr>
        <w:spacing w:after="0" w:line="276" w:lineRule="auto"/>
        <w:jc w:val="both"/>
        <w:rPr>
          <w:rFonts w:ascii="Verdana" w:hAnsi="Verdana" w:cs="Arial"/>
          <w:bCs/>
          <w:color w:val="000000" w:themeColor="text1"/>
        </w:rPr>
      </w:pPr>
    </w:p>
    <w:p w14:paraId="5BA8D925" w14:textId="77777777" w:rsidR="0018485D" w:rsidRDefault="0018485D" w:rsidP="0018485D">
      <w:pPr>
        <w:spacing w:after="120" w:line="276" w:lineRule="auto"/>
        <w:jc w:val="both"/>
        <w:rPr>
          <w:rFonts w:ascii="Verdana" w:hAnsi="Verdana" w:cs="Arial"/>
          <w:bCs/>
          <w:color w:val="000000" w:themeColor="text1"/>
          <w:lang w:val="es-ES"/>
        </w:rPr>
      </w:pPr>
      <w:r w:rsidRPr="00540EFF">
        <w:rPr>
          <w:rFonts w:ascii="Verdana" w:hAnsi="Verdana" w:cs="Arial"/>
          <w:bCs/>
          <w:color w:val="000000" w:themeColor="text1"/>
        </w:rPr>
        <w:tab/>
        <w:t xml:space="preserve">Esta postura implica entender que la terminación unilateral por incumplimiento puede aplicarse a todos los tipos contractuales, </w:t>
      </w:r>
      <w:r>
        <w:rPr>
          <w:rFonts w:ascii="Verdana" w:hAnsi="Verdana" w:cs="Arial"/>
          <w:bCs/>
          <w:color w:val="000000" w:themeColor="text1"/>
        </w:rPr>
        <w:t>sin necesidad de una habilitación legal, al fundarse bajo el principio de la autonomía de la voluntad de las partes. Es decir, la posibilidad de estipular este tipo de cláusulas como elementos accidentales, y no propiamente depender de los dispuesto en los diferentes</w:t>
      </w:r>
      <w:r>
        <w:rPr>
          <w:rFonts w:ascii="Verdana" w:hAnsi="Verdana" w:cs="Arial"/>
          <w:bCs/>
          <w:color w:val="000000" w:themeColor="text1"/>
          <w:lang w:val="es-ES"/>
        </w:rPr>
        <w:t xml:space="preserve"> tipos contractuales, donde es</w:t>
      </w:r>
      <w:r w:rsidRPr="002641E9">
        <w:rPr>
          <w:rFonts w:ascii="Verdana" w:hAnsi="Verdana" w:cs="Arial"/>
          <w:bCs/>
          <w:color w:val="000000" w:themeColor="text1"/>
          <w:lang w:val="es-ES"/>
        </w:rPr>
        <w:t xml:space="preserve"> una manifestación del poder de </w:t>
      </w:r>
      <w:r w:rsidRPr="002641E9">
        <w:rPr>
          <w:rFonts w:ascii="Verdana" w:hAnsi="Verdana" w:cs="Arial"/>
          <w:bCs/>
          <w:i/>
          <w:color w:val="000000" w:themeColor="text1"/>
          <w:lang w:val="es-ES"/>
        </w:rPr>
        <w:t>autotutela</w:t>
      </w:r>
      <w:r w:rsidRPr="002641E9">
        <w:rPr>
          <w:rFonts w:ascii="Verdana" w:hAnsi="Verdana" w:cs="Arial"/>
          <w:bCs/>
          <w:color w:val="000000" w:themeColor="text1"/>
          <w:lang w:val="es-ES"/>
        </w:rPr>
        <w:t xml:space="preserve"> en el Derecho privado. Al respecto, el doctrinante italiano Massimo Bianca expresa que la </w:t>
      </w:r>
      <w:r w:rsidRPr="002641E9">
        <w:rPr>
          <w:rFonts w:ascii="Verdana" w:hAnsi="Verdana" w:cs="Arial"/>
          <w:bCs/>
          <w:i/>
          <w:color w:val="000000" w:themeColor="text1"/>
          <w:lang w:val="es-ES"/>
        </w:rPr>
        <w:t>resolución negocial</w:t>
      </w:r>
      <w:r w:rsidRPr="002641E9">
        <w:rPr>
          <w:rFonts w:ascii="Verdana" w:hAnsi="Verdana" w:cs="Arial"/>
          <w:bCs/>
          <w:color w:val="000000" w:themeColor="text1"/>
          <w:lang w:val="es-ES"/>
        </w:rPr>
        <w:t xml:space="preserve"> es la extinción del contrato por un acto de autonomía, que se evidencia con la revocación o el desistimiento</w:t>
      </w:r>
      <w:r w:rsidRPr="002641E9">
        <w:rPr>
          <w:rFonts w:ascii="Verdana" w:hAnsi="Verdana" w:cs="Arial"/>
          <w:bCs/>
          <w:color w:val="000000" w:themeColor="text1"/>
          <w:vertAlign w:val="superscript"/>
          <w:lang w:val="es-ES"/>
        </w:rPr>
        <w:footnoteReference w:id="25"/>
      </w:r>
      <w:r w:rsidRPr="002641E9">
        <w:rPr>
          <w:rFonts w:ascii="Verdana" w:hAnsi="Verdana" w:cs="Arial"/>
          <w:bCs/>
          <w:color w:val="000000" w:themeColor="text1"/>
          <w:lang w:val="es-ES"/>
        </w:rPr>
        <w:t xml:space="preserve">. </w:t>
      </w:r>
    </w:p>
    <w:p w14:paraId="779F3D34" w14:textId="77777777" w:rsidR="0018485D" w:rsidRPr="002641E9" w:rsidRDefault="0018485D" w:rsidP="0018485D">
      <w:pPr>
        <w:spacing w:before="120" w:after="0" w:line="276" w:lineRule="auto"/>
        <w:jc w:val="both"/>
        <w:rPr>
          <w:rFonts w:ascii="Verdana" w:hAnsi="Verdana" w:cs="Arial"/>
          <w:bCs/>
          <w:color w:val="000000" w:themeColor="text1"/>
          <w:lang w:val="es-ES"/>
        </w:rPr>
      </w:pPr>
      <w:r>
        <w:rPr>
          <w:rFonts w:ascii="Verdana" w:hAnsi="Verdana" w:cs="Arial"/>
          <w:bCs/>
          <w:color w:val="000000" w:themeColor="text1"/>
          <w:lang w:val="es-ES"/>
        </w:rPr>
        <w:tab/>
        <w:t xml:space="preserve">Esta segunda postura es la tesis predominante dentro del Consejo de Estado, que se ha terminado de consolidar con la Sentencia de Unificación del 9 de mayo de 2024, en la que se expresa que es válido que las empresas de servicios públicos domiciliarios que son </w:t>
      </w:r>
      <w:r w:rsidRPr="0066674D">
        <w:rPr>
          <w:rFonts w:ascii="Verdana" w:hAnsi="Verdana" w:cs="Arial"/>
          <w:bCs/>
          <w:iCs/>
          <w:color w:val="000000" w:themeColor="text1"/>
        </w:rPr>
        <w:t xml:space="preserve">entidades estatales exceptuadas del EGCAP, ejerzan la autonomía de la voluntad estableciendo potestades de </w:t>
      </w:r>
      <w:r w:rsidRPr="0066674D">
        <w:rPr>
          <w:rFonts w:ascii="Verdana" w:hAnsi="Verdana" w:cs="Arial"/>
          <w:bCs/>
          <w:iCs/>
          <w:color w:val="000000" w:themeColor="text1"/>
        </w:rPr>
        <w:lastRenderedPageBreak/>
        <w:t xml:space="preserve">ejercicio unilateral, estableciendo los mecanismos para hacerlas efectivas. </w:t>
      </w:r>
      <w:r>
        <w:rPr>
          <w:rFonts w:ascii="Verdana" w:hAnsi="Verdana" w:cs="Arial"/>
          <w:bCs/>
          <w:iCs/>
          <w:color w:val="000000" w:themeColor="text1"/>
        </w:rPr>
        <w:t xml:space="preserve">Por tanto, los actos </w:t>
      </w:r>
      <w:r w:rsidRPr="0066674D">
        <w:rPr>
          <w:rFonts w:ascii="Verdana" w:hAnsi="Verdana" w:cs="Arial"/>
          <w:bCs/>
          <w:iCs/>
          <w:color w:val="000000" w:themeColor="text1"/>
        </w:rPr>
        <w:t>que resultan del ejercicio de estas potestades no son considerados actos administrativos</w:t>
      </w:r>
      <w:r>
        <w:rPr>
          <w:rFonts w:ascii="Verdana" w:hAnsi="Verdana" w:cs="Arial"/>
          <w:bCs/>
          <w:iCs/>
          <w:color w:val="000000" w:themeColor="text1"/>
        </w:rPr>
        <w:t>,</w:t>
      </w:r>
      <w:r w:rsidRPr="0066674D">
        <w:rPr>
          <w:rFonts w:ascii="Verdana" w:hAnsi="Verdana" w:cs="Arial"/>
          <w:bCs/>
          <w:iCs/>
          <w:color w:val="000000" w:themeColor="text1"/>
        </w:rPr>
        <w:t xml:space="preserve"> sino contractuales</w:t>
      </w:r>
      <w:r>
        <w:rPr>
          <w:rFonts w:ascii="Verdana" w:hAnsi="Verdana" w:cs="Arial"/>
          <w:bCs/>
          <w:iCs/>
          <w:color w:val="000000" w:themeColor="text1"/>
        </w:rPr>
        <w:t>, en el marco de la autonomía de la voluntad.</w:t>
      </w:r>
    </w:p>
    <w:p w14:paraId="32FBDFCA" w14:textId="77777777" w:rsidR="0018485D" w:rsidRDefault="0018485D" w:rsidP="0018485D">
      <w:pPr>
        <w:spacing w:before="120" w:after="120" w:line="276" w:lineRule="auto"/>
        <w:jc w:val="both"/>
        <w:rPr>
          <w:rFonts w:ascii="Verdana" w:eastAsia="Times New Roman" w:hAnsi="Verdana" w:cs="Arial"/>
          <w:color w:val="000000"/>
          <w:lang w:val="es-ES"/>
        </w:rPr>
      </w:pPr>
      <w:proofErr w:type="spellStart"/>
      <w:r w:rsidRPr="00032F30">
        <w:rPr>
          <w:rFonts w:ascii="Verdana" w:hAnsi="Verdana" w:cs="Arial"/>
          <w:bCs/>
          <w:color w:val="000000" w:themeColor="text1"/>
        </w:rPr>
        <w:t>iv</w:t>
      </w:r>
      <w:proofErr w:type="spellEnd"/>
      <w:r w:rsidRPr="00032F30">
        <w:rPr>
          <w:rFonts w:ascii="Verdana" w:hAnsi="Verdana" w:cs="Arial"/>
          <w:bCs/>
          <w:color w:val="000000" w:themeColor="text1"/>
        </w:rPr>
        <w:t xml:space="preserve">. </w:t>
      </w:r>
      <w:r>
        <w:rPr>
          <w:rFonts w:ascii="Verdana" w:eastAsia="Times New Roman" w:hAnsi="Verdana" w:cs="Arial"/>
          <w:color w:val="000000"/>
        </w:rPr>
        <w:t>L</w:t>
      </w:r>
      <w:r w:rsidRPr="00BF0E12">
        <w:rPr>
          <w:rFonts w:ascii="Verdana" w:eastAsia="Times New Roman" w:hAnsi="Verdana" w:cs="Arial"/>
          <w:color w:val="000000"/>
          <w:lang w:val="es-ES"/>
        </w:rPr>
        <w:t xml:space="preserve">a liquidación unilateral </w:t>
      </w:r>
      <w:r w:rsidRPr="00BF0E12">
        <w:rPr>
          <w:rFonts w:ascii="Verdana" w:eastAsia="Times New Roman" w:hAnsi="Verdana" w:cs="Arial"/>
          <w:color w:val="000000"/>
          <w:lang w:val="es-ES_tradnl"/>
        </w:rPr>
        <w:t>es una habilitación legal que no requiere una estipulación contractual para ejercerla en los contratos estatales sometidos al EGCAP en que sea procedente</w:t>
      </w:r>
      <w:r w:rsidRPr="00BF0E12">
        <w:rPr>
          <w:rFonts w:ascii="Verdana" w:eastAsia="Times New Roman" w:hAnsi="Verdana" w:cs="Arial"/>
          <w:color w:val="000000"/>
          <w:lang w:val="es-ES"/>
        </w:rPr>
        <w:t xml:space="preserve">, es decir, en </w:t>
      </w:r>
      <w:r w:rsidRPr="00BF0E12">
        <w:rPr>
          <w:rFonts w:ascii="Verdana" w:eastAsia="Times New Roman" w:hAnsi="Verdana" w:cs="Arial"/>
          <w:color w:val="000000"/>
          <w:lang w:val="es-ES_tradnl"/>
        </w:rPr>
        <w:t>los contratos de tracto sucesivo, aquellos cuyo cumplimiento o ejecución se prolongue en el tiempo y los demás que lo requieran, conforme al artículo 60 de la Ley 80 de 1993.</w:t>
      </w:r>
      <w:r w:rsidRPr="00BF0E12">
        <w:rPr>
          <w:rFonts w:ascii="Verdana" w:eastAsia="Times New Roman" w:hAnsi="Verdana" w:cs="Arial"/>
          <w:color w:val="000000"/>
          <w:lang w:val="es-ES"/>
        </w:rPr>
        <w:t xml:space="preserve"> De esta manera, liquidación unilateral es </w:t>
      </w:r>
      <w:proofErr w:type="spellStart"/>
      <w:r w:rsidRPr="00BF0E12">
        <w:rPr>
          <w:rFonts w:ascii="Verdana" w:eastAsia="Times New Roman" w:hAnsi="Verdana" w:cs="Arial"/>
          <w:color w:val="000000"/>
          <w:lang w:val="es-ES"/>
        </w:rPr>
        <w:t>subsidiria</w:t>
      </w:r>
      <w:proofErr w:type="spellEnd"/>
      <w:r w:rsidRPr="00BF0E12">
        <w:rPr>
          <w:rFonts w:ascii="Verdana" w:eastAsia="Times New Roman" w:hAnsi="Verdana" w:cs="Arial"/>
          <w:color w:val="000000"/>
          <w:lang w:val="es-ES"/>
        </w:rPr>
        <w:t xml:space="preserve"> del intento de la liquidación bilateral, como manifestación de la garantía del debido proceso, puesto que la primera solo procede si el contratista particular no se presenta, previo requerimiento de la entidad, o si las partes no tienen un acuerdo sobre el contenido. En efecto, la entidad expedirá un acto administrativo previamente motivado, que contenga la liquidación del contrato.</w:t>
      </w:r>
    </w:p>
    <w:p w14:paraId="03C51171" w14:textId="77777777" w:rsidR="0018485D" w:rsidRPr="00032F30" w:rsidRDefault="0018485D" w:rsidP="0018485D">
      <w:pPr>
        <w:spacing w:after="120" w:line="276" w:lineRule="auto"/>
        <w:jc w:val="both"/>
        <w:rPr>
          <w:rFonts w:ascii="Verdana" w:hAnsi="Verdana" w:cs="CIDFont+F2"/>
        </w:rPr>
      </w:pPr>
      <w:r>
        <w:rPr>
          <w:rFonts w:ascii="Verdana" w:eastAsia="Times New Roman" w:hAnsi="Verdana" w:cs="Arial"/>
          <w:color w:val="000000"/>
          <w:lang w:val="es-ES_tradnl"/>
        </w:rPr>
        <w:t xml:space="preserve"> </w:t>
      </w:r>
      <w:r>
        <w:rPr>
          <w:rFonts w:ascii="Verdana" w:eastAsia="Times New Roman" w:hAnsi="Verdana" w:cs="Arial"/>
          <w:color w:val="000000"/>
          <w:lang w:val="es-ES_tradnl"/>
        </w:rPr>
        <w:tab/>
        <w:t xml:space="preserve">En tal sentido, </w:t>
      </w:r>
      <w:r>
        <w:rPr>
          <w:rFonts w:ascii="Verdana" w:hAnsi="Verdana" w:cs="CIDFont+F2"/>
        </w:rPr>
        <w:t xml:space="preserve">la liquidación unilateral es procedente </w:t>
      </w:r>
      <w:r w:rsidRPr="00032F30">
        <w:rPr>
          <w:rFonts w:ascii="Verdana" w:hAnsi="Verdana" w:cs="CIDFont+F8"/>
        </w:rPr>
        <w:t>cuando el contratista no concurre a la</w:t>
      </w:r>
      <w:r>
        <w:rPr>
          <w:rFonts w:ascii="Verdana" w:hAnsi="Verdana" w:cs="CIDFont+F2"/>
        </w:rPr>
        <w:t xml:space="preserve"> </w:t>
      </w:r>
      <w:r w:rsidRPr="00032F30">
        <w:rPr>
          <w:rFonts w:ascii="Verdana" w:hAnsi="Verdana" w:cs="CIDFont+F8"/>
        </w:rPr>
        <w:t xml:space="preserve">liquidación de común acuerdo o ésta no se intenta o fracasa, </w:t>
      </w:r>
      <w:r>
        <w:rPr>
          <w:rFonts w:ascii="Verdana" w:hAnsi="Verdana" w:cs="CIDFont+F8"/>
        </w:rPr>
        <w:t xml:space="preserve">evento que le otorga a </w:t>
      </w:r>
      <w:r w:rsidRPr="00032F30">
        <w:rPr>
          <w:rFonts w:ascii="Verdana" w:hAnsi="Verdana" w:cs="CIDFont+F8"/>
        </w:rPr>
        <w:t>la</w:t>
      </w:r>
      <w:r>
        <w:rPr>
          <w:rFonts w:ascii="Verdana" w:hAnsi="Verdana" w:cs="CIDFont+F2"/>
        </w:rPr>
        <w:t xml:space="preserve"> </w:t>
      </w:r>
      <w:r w:rsidRPr="00032F30">
        <w:rPr>
          <w:rFonts w:ascii="Verdana" w:hAnsi="Verdana" w:cs="CIDFont+F8"/>
        </w:rPr>
        <w:t xml:space="preserve">entidad la facultad </w:t>
      </w:r>
      <w:r>
        <w:rPr>
          <w:rFonts w:ascii="Verdana" w:hAnsi="Verdana" w:cs="CIDFont+F8"/>
        </w:rPr>
        <w:t>de liquidar en forma unilateral</w:t>
      </w:r>
      <w:r w:rsidRPr="00032F30">
        <w:rPr>
          <w:rFonts w:ascii="Verdana" w:hAnsi="Verdana" w:cs="CIDFont+F8"/>
        </w:rPr>
        <w:t xml:space="preserve"> el contrato mediante acto administrativo con</w:t>
      </w:r>
      <w:r>
        <w:rPr>
          <w:rFonts w:ascii="Verdana" w:hAnsi="Verdana" w:cs="CIDFont+F2"/>
        </w:rPr>
        <w:t xml:space="preserve"> </w:t>
      </w:r>
      <w:r w:rsidRPr="00032F30">
        <w:rPr>
          <w:rFonts w:ascii="Verdana" w:hAnsi="Verdana" w:cs="CIDFont+F8"/>
        </w:rPr>
        <w:t>carácter ejecutivo y ejecutorio, disponiendo un término de dos (2) meses, contados a</w:t>
      </w:r>
      <w:r>
        <w:rPr>
          <w:rFonts w:ascii="Verdana" w:hAnsi="Verdana" w:cs="CIDFont+F2"/>
        </w:rPr>
        <w:t xml:space="preserve"> </w:t>
      </w:r>
      <w:r w:rsidRPr="00032F30">
        <w:rPr>
          <w:rFonts w:ascii="Verdana" w:hAnsi="Verdana" w:cs="CIDFont+F8"/>
        </w:rPr>
        <w:t xml:space="preserve">partir del vencimiento del plazo convenido por las partes para </w:t>
      </w:r>
      <w:r>
        <w:rPr>
          <w:rFonts w:ascii="Verdana" w:hAnsi="Verdana" w:cs="CIDFont+F8"/>
        </w:rPr>
        <w:t xml:space="preserve">celebrar </w:t>
      </w:r>
      <w:r w:rsidRPr="00032F30">
        <w:rPr>
          <w:rFonts w:ascii="Verdana" w:hAnsi="Verdana" w:cs="CIDFont+F8"/>
        </w:rPr>
        <w:t>la liquidación bilateral</w:t>
      </w:r>
      <w:r>
        <w:rPr>
          <w:rFonts w:ascii="Verdana" w:hAnsi="Verdana" w:cs="CIDFont+F2"/>
        </w:rPr>
        <w:t xml:space="preserve"> </w:t>
      </w:r>
      <w:r w:rsidRPr="00032F30">
        <w:rPr>
          <w:rFonts w:ascii="Verdana" w:hAnsi="Verdana" w:cs="CIDFont+F8"/>
        </w:rPr>
        <w:t xml:space="preserve">o, en su defecto, </w:t>
      </w:r>
      <w:r>
        <w:rPr>
          <w:rFonts w:ascii="Verdana" w:hAnsi="Verdana" w:cs="CIDFont+F8"/>
        </w:rPr>
        <w:t xml:space="preserve">el término supletivo </w:t>
      </w:r>
      <w:r w:rsidRPr="00032F30">
        <w:rPr>
          <w:rFonts w:ascii="Verdana" w:hAnsi="Verdana" w:cs="CIDFont+F8"/>
        </w:rPr>
        <w:t>de los cuatro (4) meses siguientes previstos en la ley para efectuar la liquidación</w:t>
      </w:r>
      <w:r>
        <w:rPr>
          <w:rFonts w:ascii="Verdana" w:hAnsi="Verdana" w:cs="CIDFont+F2"/>
        </w:rPr>
        <w:t xml:space="preserve"> </w:t>
      </w:r>
      <w:r w:rsidRPr="00032F30">
        <w:rPr>
          <w:rFonts w:ascii="Verdana" w:hAnsi="Verdana" w:cs="CIDFont+F8"/>
        </w:rPr>
        <w:t>voluntaria o de común acuerdo</w:t>
      </w:r>
      <w:r>
        <w:rPr>
          <w:rStyle w:val="Refdenotaalpie"/>
          <w:rFonts w:ascii="Verdana" w:hAnsi="Verdana" w:cs="CIDFont+F2"/>
        </w:rPr>
        <w:footnoteReference w:id="26"/>
      </w:r>
      <w:r w:rsidRPr="00032F30">
        <w:rPr>
          <w:rFonts w:ascii="Verdana" w:hAnsi="Verdana" w:cs="CIDFont+F2"/>
        </w:rPr>
        <w:t>.</w:t>
      </w:r>
    </w:p>
    <w:p w14:paraId="3A3AD359" w14:textId="77777777" w:rsidR="0018485D" w:rsidRDefault="0018485D" w:rsidP="0018485D">
      <w:pPr>
        <w:autoSpaceDE w:val="0"/>
        <w:autoSpaceDN w:val="0"/>
        <w:adjustRightInd w:val="0"/>
        <w:spacing w:after="120" w:line="276" w:lineRule="auto"/>
        <w:ind w:firstLine="708"/>
        <w:jc w:val="both"/>
        <w:rPr>
          <w:rFonts w:ascii="Verdana" w:hAnsi="Verdana" w:cs="CIDFont+F2"/>
        </w:rPr>
      </w:pPr>
      <w:proofErr w:type="gramStart"/>
      <w:r>
        <w:rPr>
          <w:rFonts w:ascii="Verdana" w:hAnsi="Verdana" w:cs="CIDFont+F2"/>
        </w:rPr>
        <w:t>De acuerdo a</w:t>
      </w:r>
      <w:proofErr w:type="gramEnd"/>
      <w:r>
        <w:rPr>
          <w:rFonts w:ascii="Verdana" w:hAnsi="Verdana" w:cs="CIDFont+F2"/>
        </w:rPr>
        <w:t xml:space="preserve"> lo expuesto, es menester preguntarse si la liquidación unilateral pueda pactarse en pleno uso de la autonomía de la voluntad, en particular, en entidades de régimen especial. Al respecto, hay que señalar que el Consejo de Estado ha posibilitado la estipulación de la liquidación unilateral en convenios interadministrativo, </w:t>
      </w:r>
      <w:proofErr w:type="gramStart"/>
      <w:r>
        <w:rPr>
          <w:rFonts w:ascii="Verdana" w:hAnsi="Verdana" w:cs="CIDFont+F2"/>
        </w:rPr>
        <w:t>a pesar que</w:t>
      </w:r>
      <w:proofErr w:type="gramEnd"/>
      <w:r>
        <w:rPr>
          <w:rFonts w:ascii="Verdana" w:hAnsi="Verdana" w:cs="CIDFont+F2"/>
        </w:rPr>
        <w:t xml:space="preserve"> no le aplica el EGCAP, puede pactarse y deberá tenerse en cuenta para efectos de la caducidad judicial. En </w:t>
      </w:r>
      <w:r>
        <w:rPr>
          <w:rFonts w:ascii="Verdana" w:hAnsi="Verdana" w:cs="CIDFont+F2"/>
        </w:rPr>
        <w:lastRenderedPageBreak/>
        <w:t xml:space="preserve">ese mismo criterio, la Agencia expidió el Concepto C-605 del 27 de junio de 2025, en la que estableció la posibilidad de pactar la liquidación unilateral en convenios interadministrativos, y que se tendrán en cuenta para el término de oportunidad judicial para la presentación de la demanda. </w:t>
      </w:r>
    </w:p>
    <w:p w14:paraId="7DCAD91E" w14:textId="77777777" w:rsidR="0018485D" w:rsidRDefault="0018485D" w:rsidP="0018485D">
      <w:pPr>
        <w:autoSpaceDE w:val="0"/>
        <w:autoSpaceDN w:val="0"/>
        <w:adjustRightInd w:val="0"/>
        <w:spacing w:after="120" w:line="276" w:lineRule="auto"/>
        <w:ind w:firstLine="708"/>
        <w:jc w:val="both"/>
        <w:rPr>
          <w:rFonts w:ascii="Verdana" w:hAnsi="Verdana" w:cs="CIDFont+F2"/>
        </w:rPr>
      </w:pPr>
      <w:r>
        <w:rPr>
          <w:rFonts w:ascii="Verdana" w:hAnsi="Verdana" w:cs="CIDFont+F2"/>
        </w:rPr>
        <w:t>En torno a la liquidación unilateral para entidades de régimen especial, se encuentran dos posturas: i) la liquidación unilateral no procede en los contratos suscritos por entidades de régimen especial de contratación, al ser una facultad o potestad que debe estar conferida por la ley, es decir, las partes no pueden pactar una prerrogativa ni mucho menos imponerla</w:t>
      </w:r>
      <w:r>
        <w:rPr>
          <w:rStyle w:val="Refdenotaalpie"/>
          <w:rFonts w:ascii="Verdana" w:hAnsi="Verdana" w:cs="CIDFont+F2"/>
        </w:rPr>
        <w:footnoteReference w:id="27"/>
      </w:r>
      <w:r>
        <w:rPr>
          <w:rFonts w:ascii="Verdana" w:hAnsi="Verdana" w:cs="CIDFont+F2"/>
        </w:rPr>
        <w:t xml:space="preserve">; </w:t>
      </w:r>
      <w:proofErr w:type="spellStart"/>
      <w:r>
        <w:rPr>
          <w:rFonts w:ascii="Verdana" w:hAnsi="Verdana" w:cs="CIDFont+F2"/>
        </w:rPr>
        <w:t>ii</w:t>
      </w:r>
      <w:proofErr w:type="spellEnd"/>
      <w:r>
        <w:rPr>
          <w:rFonts w:ascii="Verdana" w:hAnsi="Verdana" w:cs="CIDFont+F2"/>
        </w:rPr>
        <w:t>) la liquidación unilateral es válido porque no contiene el ejercicio de una facultad exorbitante, por el contrario, bajo el principio de autonomía de la voluntad es posible su estipulación</w:t>
      </w:r>
      <w:r>
        <w:rPr>
          <w:rStyle w:val="Refdenotaalpie"/>
          <w:rFonts w:ascii="Verdana" w:hAnsi="Verdana" w:cs="CIDFont+F2"/>
        </w:rPr>
        <w:footnoteReference w:id="28"/>
      </w:r>
      <w:r>
        <w:rPr>
          <w:rFonts w:ascii="Verdana" w:hAnsi="Verdana" w:cs="CIDFont+F2"/>
        </w:rPr>
        <w:t xml:space="preserve">.  </w:t>
      </w:r>
    </w:p>
    <w:p w14:paraId="69F8414B" w14:textId="77777777" w:rsidR="0018485D" w:rsidRDefault="0018485D" w:rsidP="0018485D">
      <w:pPr>
        <w:spacing w:before="120" w:after="120" w:line="276" w:lineRule="auto"/>
        <w:ind w:firstLine="708"/>
        <w:jc w:val="both"/>
        <w:rPr>
          <w:rFonts w:ascii="Verdana" w:hAnsi="Verdana" w:cs="Arial"/>
          <w:bCs/>
          <w:iCs/>
          <w:color w:val="000000" w:themeColor="text1"/>
        </w:rPr>
      </w:pPr>
      <w:r>
        <w:rPr>
          <w:rFonts w:ascii="Verdana" w:hAnsi="Verdana" w:cs="Arial"/>
          <w:bCs/>
          <w:color w:val="000000" w:themeColor="text1"/>
          <w:lang w:val="es-ES"/>
        </w:rPr>
        <w:t xml:space="preserve">Esta segunda postura es la tesis predominante dentro del Consejo de Estado, que se ha terminado de consolidar con la Sentencia de Unificación del 9 de mayo de 2024, en la que se expresa que es válido que las empresas de servicios públicos domiciliarios como </w:t>
      </w:r>
      <w:r w:rsidRPr="0066674D">
        <w:rPr>
          <w:rFonts w:ascii="Verdana" w:hAnsi="Verdana" w:cs="Arial"/>
          <w:bCs/>
          <w:iCs/>
          <w:color w:val="000000" w:themeColor="text1"/>
        </w:rPr>
        <w:t xml:space="preserve">entidades estatales exceptuadas del EGCAP, ejerzan la autonomía de la voluntad estableciendo potestades de ejercicio unilateral, estableciendo los mecanismos para hacerlas efectivas. </w:t>
      </w:r>
      <w:r>
        <w:rPr>
          <w:rFonts w:ascii="Verdana" w:hAnsi="Verdana" w:cs="Arial"/>
          <w:bCs/>
          <w:iCs/>
          <w:color w:val="000000" w:themeColor="text1"/>
        </w:rPr>
        <w:t xml:space="preserve">Así es que, los actos que se expidan en ejercicio de esta facultad son actos contractuales y no actos administrativos.  </w:t>
      </w:r>
    </w:p>
    <w:p w14:paraId="73EDBB93" w14:textId="77777777" w:rsidR="0018485D" w:rsidRPr="001D3426" w:rsidRDefault="0018485D" w:rsidP="0018485D">
      <w:pPr>
        <w:spacing w:before="120" w:after="120" w:line="276" w:lineRule="auto"/>
        <w:jc w:val="both"/>
        <w:rPr>
          <w:rFonts w:ascii="Verdana" w:hAnsi="Verdana" w:cs="Arial"/>
          <w:bCs/>
          <w:color w:val="000000" w:themeColor="text1"/>
        </w:rPr>
      </w:pPr>
    </w:p>
    <w:p w14:paraId="0241F4BC" w14:textId="77777777" w:rsidR="0018485D" w:rsidRDefault="0018485D" w:rsidP="0018485D">
      <w:pPr>
        <w:spacing w:before="120" w:after="120" w:line="276" w:lineRule="auto"/>
        <w:jc w:val="both"/>
        <w:rPr>
          <w:rFonts w:ascii="Verdana" w:hAnsi="Verdana" w:cs="CIDFont+F2"/>
        </w:rPr>
      </w:pPr>
      <w:r>
        <w:rPr>
          <w:rFonts w:ascii="Verdana" w:hAnsi="Verdana" w:cs="Arial"/>
          <w:bCs/>
          <w:color w:val="000000" w:themeColor="text1"/>
          <w:lang w:val="es-ES"/>
        </w:rPr>
        <w:t>v. En torno al procedimiento administrativo aplicable para las entidades de régimen especial, hay que precisar que e</w:t>
      </w:r>
      <w:r w:rsidRPr="00352BE9">
        <w:rPr>
          <w:rFonts w:ascii="Verdana" w:hAnsi="Verdana" w:cs="CIDFont+F2"/>
        </w:rPr>
        <w:t>l procedimiento sancionatorio establecido en el artículo 86 de la Ley 1474 de 2011 está dirigido exclusivamente a las entidades estatales regidas por el Estatuto General de Contratación de la Administración Pública, a efectos de garantizar el debido proceso en el marco de la declaratoria unilateral de incumplimi</w:t>
      </w:r>
      <w:r>
        <w:rPr>
          <w:rFonts w:ascii="Verdana" w:hAnsi="Verdana" w:cs="CIDFont+F2"/>
        </w:rPr>
        <w:t>ento, con arreglo a lo prescrito</w:t>
      </w:r>
      <w:r w:rsidRPr="00352BE9">
        <w:rPr>
          <w:rFonts w:ascii="Verdana" w:hAnsi="Verdana" w:cs="CIDFont+F2"/>
        </w:rPr>
        <w:t xml:space="preserve"> en el artículo 17 de la Ley 1150 de 2007. En ese sentido, las entidades exceptuadas de la aplicación del régimen general de contratación pública al no tener atribuida potestad sancionatoria para la declaratoria de incumplimientos contractuales no </w:t>
      </w:r>
      <w:r w:rsidRPr="00352BE9">
        <w:rPr>
          <w:rFonts w:ascii="Verdana" w:hAnsi="Verdana" w:cs="CIDFont+F2"/>
        </w:rPr>
        <w:lastRenderedPageBreak/>
        <w:t>tienen la posibilidad de acudir al procedimiento reglado en el artículo 86 de Ley 1474 de 2011. Esto sin perjuicio de que, cuando estas entidades pacten el ejercicio de potestades unilaterales con fundamento en la autonomía de la voluntad, determinen el mecanismo o procedimiento para hac</w:t>
      </w:r>
      <w:r>
        <w:rPr>
          <w:rFonts w:ascii="Verdana" w:hAnsi="Verdana" w:cs="CIDFont+F2"/>
        </w:rPr>
        <w:t xml:space="preserve">er efectivas dichas cláusulas. </w:t>
      </w:r>
    </w:p>
    <w:p w14:paraId="37568D5D" w14:textId="77777777" w:rsidR="0018485D" w:rsidRPr="00B54F01" w:rsidRDefault="0018485D" w:rsidP="0018485D">
      <w:pPr>
        <w:spacing w:before="120" w:after="120" w:line="276" w:lineRule="auto"/>
        <w:jc w:val="both"/>
        <w:rPr>
          <w:rFonts w:ascii="Verdana" w:hAnsi="Verdana" w:cs="CIDFont+F2"/>
        </w:rPr>
      </w:pPr>
      <w:r>
        <w:rPr>
          <w:rFonts w:ascii="Verdana" w:hAnsi="Verdana" w:cs="CIDFont+F2"/>
        </w:rPr>
        <w:tab/>
        <w:t>En efecto, teniendo en cuenta esta precisión, es importante revisar que el procedimiento administrativo aplicable en la terminación unilateral y la liquidación unilateral de entidades de régimen especial serán las partes las que definan</w:t>
      </w:r>
      <w:r w:rsidRPr="00B54F01">
        <w:rPr>
          <w:rFonts w:ascii="Verdana" w:hAnsi="Verdana" w:cs="CIDFont+F2"/>
        </w:rPr>
        <w:t xml:space="preserve"> el mecanismo o procedimiento para hacer efectivas dichas cláusulas</w:t>
      </w:r>
      <w:r>
        <w:rPr>
          <w:rFonts w:ascii="Verdana" w:hAnsi="Verdana" w:cs="CIDFont+F2"/>
        </w:rPr>
        <w:t xml:space="preserve">, teniendo en cuenta que sus actuaciones no son </w:t>
      </w:r>
      <w:proofErr w:type="gramStart"/>
      <w:r>
        <w:rPr>
          <w:rFonts w:ascii="Verdana" w:hAnsi="Verdana" w:cs="CIDFont+F2"/>
        </w:rPr>
        <w:t>considerados</w:t>
      </w:r>
      <w:proofErr w:type="gramEnd"/>
      <w:r>
        <w:rPr>
          <w:rFonts w:ascii="Verdana" w:hAnsi="Verdana" w:cs="CIDFont+F2"/>
        </w:rPr>
        <w:t xml:space="preserve"> actos administrativos, sino actos contractuales propios del régimen jurídico privado</w:t>
      </w:r>
      <w:r w:rsidRPr="00B54F01">
        <w:rPr>
          <w:rFonts w:ascii="Verdana" w:hAnsi="Verdana" w:cs="CIDFont+F2"/>
        </w:rPr>
        <w:t xml:space="preserve">. </w:t>
      </w:r>
      <w:r>
        <w:rPr>
          <w:rFonts w:ascii="Verdana" w:hAnsi="Verdana" w:cs="CIDFont+F2"/>
        </w:rPr>
        <w:t xml:space="preserve">Es decir, no es procedente aplicar las reglas del procedimiento administrativo de la Ley 1437 de 2011 cuando se evidencia que no se está ante actos administrativos, sino contractuales –propios del régimen jurídico privado-.  </w:t>
      </w:r>
    </w:p>
    <w:p w14:paraId="0E7A040E" w14:textId="77777777" w:rsidR="0018485D" w:rsidRDefault="0018485D" w:rsidP="0018485D">
      <w:pPr>
        <w:autoSpaceDE w:val="0"/>
        <w:autoSpaceDN w:val="0"/>
        <w:adjustRightInd w:val="0"/>
        <w:spacing w:after="0" w:line="240" w:lineRule="auto"/>
        <w:jc w:val="both"/>
        <w:rPr>
          <w:rFonts w:ascii="Verdana" w:hAnsi="Verdana" w:cs="CIDFont+F2"/>
        </w:rPr>
      </w:pPr>
    </w:p>
    <w:p w14:paraId="79FA3A57" w14:textId="77777777" w:rsidR="0018485D" w:rsidRDefault="0018485D" w:rsidP="0018485D">
      <w:pPr>
        <w:spacing w:after="120" w:line="276" w:lineRule="auto"/>
        <w:jc w:val="both"/>
        <w:rPr>
          <w:rFonts w:ascii="Verdana" w:eastAsia="Calibri" w:hAnsi="Verdana" w:cs="Arial"/>
          <w:iCs/>
          <w:color w:val="000000" w:themeColor="text1"/>
        </w:rPr>
      </w:pPr>
      <w:r>
        <w:rPr>
          <w:rFonts w:ascii="Verdana" w:eastAsia="Calibri" w:hAnsi="Verdana" w:cs="Arial"/>
          <w:color w:val="000000" w:themeColor="text1"/>
        </w:rPr>
        <w:t>v</w:t>
      </w:r>
      <w:r>
        <w:rPr>
          <w:rFonts w:ascii="Verdana" w:eastAsia="Calibri" w:hAnsi="Verdana" w:cs="Arial"/>
          <w:color w:val="000000" w:themeColor="text1"/>
          <w:lang w:val="es-ES"/>
        </w:rPr>
        <w:t xml:space="preserve">i. Ahora bien, es importante precisar que no hay una postura consolidada sobre la posibilidad de las entidades de régimen especial de contratación de pactar cláusulas excepcionales, salvo lo expresado en la Sentencia de Unificación del 9 de mayo de 2024, en la que permite que las Empresas de Servicios Públicos puedan pactarlo y ejercerlo, tal como se expuso en el Concepto 062 del 21 de febrero de 2025, en la que se detalló el alcance de dicha providencia: “[…] </w:t>
      </w:r>
      <w:r w:rsidRPr="00AF5B8F">
        <w:rPr>
          <w:rFonts w:ascii="Verdana" w:eastAsia="Calibri" w:hAnsi="Verdana" w:cs="Arial"/>
          <w:iCs/>
          <w:color w:val="000000" w:themeColor="text1"/>
        </w:rPr>
        <w:t xml:space="preserve">salvo las excepciones legales, los actos jurídicos adoptados por los prestadores de servicios públicos domiciliarios con motivo de su actividad contractual, no son actos administrativos y se rigen por la normatividad civil y comercial, así como por las reglas atinentes a su régimen especial: por tal razón, para controvertirlos a través del medio de control de controversias contractuales, el demandante no tiene la carga de solicitar su anulación. </w:t>
      </w:r>
      <w:r w:rsidRPr="00AF5B8F">
        <w:rPr>
          <w:rFonts w:ascii="Verdana" w:eastAsia="Calibri" w:hAnsi="Verdana" w:cs="Arial"/>
          <w:i/>
          <w:color w:val="000000" w:themeColor="text1"/>
        </w:rPr>
        <w:t>Asimismo</w:t>
      </w:r>
      <w:r w:rsidRPr="00AF5B8F">
        <w:rPr>
          <w:rFonts w:ascii="Verdana" w:eastAsia="Calibri" w:hAnsi="Verdana" w:cs="Arial"/>
          <w:iCs/>
          <w:color w:val="000000" w:themeColor="text1"/>
        </w:rPr>
        <w:t xml:space="preserve">, en los asuntos pendientes de solución bajo los que se hubiere solicitado la nulidad de tales actos por considerarlos actos administrativos, no podrá declararse la inepta demanda ni los jueces pueden inhibirse de emitir una decisión de fondo: en garantía del derecho de acceso a la administración de justicia y la aplicación del principio </w:t>
      </w:r>
      <w:proofErr w:type="spellStart"/>
      <w:r w:rsidRPr="00AF5B8F">
        <w:rPr>
          <w:rFonts w:ascii="Verdana" w:eastAsia="Calibri" w:hAnsi="Verdana" w:cs="Arial"/>
          <w:i/>
          <w:color w:val="000000" w:themeColor="text1"/>
        </w:rPr>
        <w:t>iura</w:t>
      </w:r>
      <w:proofErr w:type="spellEnd"/>
      <w:r w:rsidRPr="00AF5B8F">
        <w:rPr>
          <w:rFonts w:ascii="Verdana" w:eastAsia="Calibri" w:hAnsi="Verdana" w:cs="Arial"/>
          <w:i/>
          <w:color w:val="000000" w:themeColor="text1"/>
        </w:rPr>
        <w:t xml:space="preserve"> </w:t>
      </w:r>
      <w:proofErr w:type="spellStart"/>
      <w:r w:rsidRPr="00AF5B8F">
        <w:rPr>
          <w:rFonts w:ascii="Verdana" w:eastAsia="Calibri" w:hAnsi="Verdana" w:cs="Arial"/>
          <w:i/>
          <w:color w:val="000000" w:themeColor="text1"/>
        </w:rPr>
        <w:t>novit</w:t>
      </w:r>
      <w:proofErr w:type="spellEnd"/>
      <w:r w:rsidRPr="00AF5B8F">
        <w:rPr>
          <w:rFonts w:ascii="Verdana" w:eastAsia="Calibri" w:hAnsi="Verdana" w:cs="Arial"/>
          <w:i/>
          <w:color w:val="000000" w:themeColor="text1"/>
        </w:rPr>
        <w:t xml:space="preserve"> curia</w:t>
      </w:r>
      <w:r w:rsidRPr="00AF5B8F">
        <w:rPr>
          <w:rFonts w:ascii="Verdana" w:eastAsia="Calibri" w:hAnsi="Verdana" w:cs="Arial"/>
          <w:iCs/>
          <w:color w:val="000000" w:themeColor="text1"/>
        </w:rPr>
        <w:t>, debe adecuarse e interpretarse la demanda y reconducirla para fallarla de fondo</w:t>
      </w:r>
      <w:r>
        <w:rPr>
          <w:rFonts w:ascii="Verdana" w:eastAsia="Calibri" w:hAnsi="Verdana" w:cs="Arial"/>
          <w:iCs/>
          <w:color w:val="000000" w:themeColor="text1"/>
        </w:rPr>
        <w:t>”</w:t>
      </w:r>
      <w:r w:rsidRPr="00AF5B8F">
        <w:rPr>
          <w:rFonts w:ascii="Verdana" w:eastAsia="Calibri" w:hAnsi="Verdana" w:cs="Arial"/>
          <w:iCs/>
          <w:color w:val="000000" w:themeColor="text1"/>
        </w:rPr>
        <w:t xml:space="preserve">.  </w:t>
      </w:r>
    </w:p>
    <w:p w14:paraId="0F9D10B9" w14:textId="77777777" w:rsidR="0018485D" w:rsidRPr="0089671A" w:rsidRDefault="0018485D" w:rsidP="0018485D">
      <w:pPr>
        <w:spacing w:after="120" w:line="276" w:lineRule="auto"/>
        <w:jc w:val="both"/>
        <w:rPr>
          <w:rFonts w:ascii="Verdana" w:eastAsia="Calibri" w:hAnsi="Verdana" w:cs="Arial"/>
          <w:iCs/>
          <w:color w:val="000000" w:themeColor="text1"/>
          <w:lang w:val="es-ES"/>
        </w:rPr>
      </w:pPr>
      <w:r>
        <w:rPr>
          <w:rFonts w:ascii="Verdana" w:eastAsia="Calibri" w:hAnsi="Verdana" w:cs="Arial"/>
          <w:iCs/>
          <w:color w:val="000000" w:themeColor="text1"/>
        </w:rPr>
        <w:tab/>
        <w:t xml:space="preserve">A partir de estas precisiones, puede afirmarse que hay una posición predominante dentro del Consejo de Estado que permite la estipulación y ejercicio de cláusulas excepcionales por parte de entidades de régimen especial. Esto, sin perjuicio de otra postura, en la que se afirma que pactar y ejercer </w:t>
      </w:r>
      <w:r>
        <w:rPr>
          <w:rFonts w:ascii="Verdana" w:eastAsia="Calibri" w:hAnsi="Verdana" w:cs="Arial"/>
          <w:iCs/>
          <w:color w:val="000000" w:themeColor="text1"/>
        </w:rPr>
        <w:lastRenderedPageBreak/>
        <w:t xml:space="preserve">dichas cláusulas contrarían el principio de legalidad, al no existir norma expresa que lo habilite, como si ocurre con las Empresas Sociales del Estado, las cuales </w:t>
      </w:r>
      <w:r>
        <w:rPr>
          <w:rFonts w:ascii="Verdana" w:eastAsia="Calibri" w:hAnsi="Verdana" w:cs="Arial"/>
          <w:iCs/>
          <w:color w:val="000000" w:themeColor="text1"/>
          <w:lang w:val="es-ES"/>
        </w:rPr>
        <w:t xml:space="preserve">pueden usar </w:t>
      </w:r>
      <w:r w:rsidRPr="00277037">
        <w:rPr>
          <w:rFonts w:ascii="Verdana" w:eastAsia="Calibri" w:hAnsi="Verdana" w:cs="Arial"/>
          <w:iCs/>
          <w:color w:val="000000" w:themeColor="text1"/>
          <w:lang w:val="es-ES"/>
        </w:rPr>
        <w:t>las cláusulas exorbitantes previstas en el estatuto general de contratación de la administración públic</w:t>
      </w:r>
      <w:r>
        <w:rPr>
          <w:rFonts w:ascii="Verdana" w:eastAsia="Calibri" w:hAnsi="Verdana" w:cs="Arial"/>
          <w:iCs/>
          <w:color w:val="000000" w:themeColor="text1"/>
          <w:lang w:val="es-ES"/>
        </w:rPr>
        <w:t xml:space="preserve">a, así como la posibilidad de que se le otorgó a las </w:t>
      </w:r>
      <w:r w:rsidRPr="00277037">
        <w:rPr>
          <w:rFonts w:ascii="Verdana" w:eastAsia="Calibri" w:hAnsi="Verdana" w:cs="Arial"/>
          <w:iCs/>
          <w:color w:val="000000" w:themeColor="text1"/>
          <w:lang w:val="es-ES"/>
        </w:rPr>
        <w:t xml:space="preserve">Comisiones de Regulación </w:t>
      </w:r>
      <w:r>
        <w:rPr>
          <w:rFonts w:ascii="Verdana" w:eastAsia="Calibri" w:hAnsi="Verdana" w:cs="Arial"/>
          <w:iCs/>
          <w:color w:val="000000" w:themeColor="text1"/>
          <w:lang w:val="es-ES"/>
        </w:rPr>
        <w:t xml:space="preserve">de hacer </w:t>
      </w:r>
      <w:r w:rsidRPr="00277037">
        <w:rPr>
          <w:rFonts w:ascii="Verdana" w:eastAsia="Calibri" w:hAnsi="Verdana" w:cs="Arial"/>
          <w:iCs/>
          <w:color w:val="000000" w:themeColor="text1"/>
          <w:lang w:val="es-ES"/>
        </w:rPr>
        <w:t>obligatoria la inclusión, en ciertos tipos de contratos de cualquier empresa de servicios públicos, de cláusulas exorbitantes y p</w:t>
      </w:r>
      <w:r>
        <w:rPr>
          <w:rFonts w:ascii="Verdana" w:eastAsia="Calibri" w:hAnsi="Verdana" w:cs="Arial"/>
          <w:iCs/>
          <w:color w:val="000000" w:themeColor="text1"/>
          <w:lang w:val="es-ES"/>
        </w:rPr>
        <w:t>osibilitan la facultad</w:t>
      </w:r>
      <w:r w:rsidRPr="00277037">
        <w:rPr>
          <w:rFonts w:ascii="Verdana" w:eastAsia="Calibri" w:hAnsi="Verdana" w:cs="Arial"/>
          <w:iCs/>
          <w:color w:val="000000" w:themeColor="text1"/>
          <w:lang w:val="es-ES"/>
        </w:rPr>
        <w:t>, previa consulta expresa por parte de las</w:t>
      </w:r>
      <w:r>
        <w:rPr>
          <w:rFonts w:ascii="Verdana" w:eastAsia="Calibri" w:hAnsi="Verdana" w:cs="Arial"/>
          <w:iCs/>
          <w:color w:val="000000" w:themeColor="text1"/>
          <w:lang w:val="es-ES"/>
        </w:rPr>
        <w:t xml:space="preserve"> estas empresas</w:t>
      </w:r>
      <w:r w:rsidRPr="00277037">
        <w:rPr>
          <w:rFonts w:ascii="Verdana" w:eastAsia="Calibri" w:hAnsi="Verdana" w:cs="Arial"/>
          <w:iCs/>
          <w:color w:val="000000" w:themeColor="text1"/>
          <w:lang w:val="es-ES"/>
        </w:rPr>
        <w:t>, que se incluyan en los demás.</w:t>
      </w:r>
    </w:p>
    <w:p w14:paraId="17973917" w14:textId="77777777" w:rsidR="0018485D" w:rsidRPr="00021F4E" w:rsidRDefault="0018485D" w:rsidP="0018485D">
      <w:pPr>
        <w:spacing w:after="120" w:line="276" w:lineRule="auto"/>
        <w:ind w:firstLine="708"/>
        <w:jc w:val="both"/>
        <w:rPr>
          <w:rFonts w:ascii="Verdana" w:eastAsia="Times New Roman" w:hAnsi="Verdana" w:cs="Arial"/>
          <w:iCs/>
          <w:color w:val="000000"/>
          <w:szCs w:val="24"/>
          <w:lang w:eastAsia="es-ES_tradnl"/>
        </w:rPr>
      </w:pPr>
      <w:r w:rsidRPr="00462654">
        <w:rPr>
          <w:rFonts w:ascii="Verdana" w:hAnsi="Verdana" w:cs="Arial"/>
          <w:lang w:val="es-ES_tradnl" w:eastAsia="es-ES"/>
        </w:rPr>
        <w:t xml:space="preserve">Al margen de la explicación precedente debe advertirse que el análisis requerido para resolver problemas específicos en torno </w:t>
      </w:r>
      <w:r>
        <w:rPr>
          <w:rFonts w:ascii="Verdana" w:hAnsi="Verdana" w:cs="Arial"/>
          <w:lang w:val="es-ES_tradnl" w:eastAsia="es-ES"/>
        </w:rPr>
        <w:t>al clausulado contractual</w:t>
      </w:r>
      <w:r w:rsidRPr="00462654">
        <w:rPr>
          <w:rFonts w:ascii="Verdana" w:hAnsi="Verdana" w:cs="Arial"/>
          <w:lang w:val="es-ES_tradnl" w:eastAsia="es-ES"/>
        </w:rPr>
        <w:t xml:space="preserve"> debe ser realizado por quienes tengan interés en ello, de acuerdo con lo explicado 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75DD75" w14:textId="77777777" w:rsidR="0018485D" w:rsidRPr="00462654" w:rsidRDefault="0018485D" w:rsidP="0018485D">
      <w:pPr>
        <w:spacing w:after="0" w:line="276" w:lineRule="auto"/>
        <w:ind w:firstLine="709"/>
        <w:jc w:val="both"/>
        <w:rPr>
          <w:rFonts w:ascii="Verdana" w:hAnsi="Verdana" w:cs="Arial"/>
          <w:lang w:val="es-ES" w:eastAsia="es-ES"/>
        </w:rPr>
      </w:pP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7BD8A87" w14:textId="77777777" w:rsidR="0018485D" w:rsidRPr="006C2545" w:rsidRDefault="0018485D" w:rsidP="0018485D">
      <w:pPr>
        <w:spacing w:after="0" w:line="276" w:lineRule="auto"/>
        <w:jc w:val="both"/>
        <w:rPr>
          <w:rFonts w:ascii="Verdana" w:eastAsia="Calibri" w:hAnsi="Verdana" w:cs="Arial"/>
          <w:bCs/>
          <w:color w:val="000000" w:themeColor="text1"/>
          <w:lang w:val="es-ES"/>
        </w:rPr>
      </w:pPr>
    </w:p>
    <w:p w14:paraId="0D78194A" w14:textId="77777777" w:rsidR="0018485D" w:rsidRPr="004D657F" w:rsidRDefault="0018485D" w:rsidP="0018485D">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Re</w:t>
      </w:r>
      <w:r w:rsidRPr="004D657F">
        <w:rPr>
          <w:rFonts w:ascii="Verdana" w:eastAsia="Century Gothic" w:hAnsi="Verdana" w:cs="Century Gothic"/>
          <w:b/>
          <w:bCs/>
        </w:rPr>
        <w:t>ferencias normativas</w:t>
      </w:r>
      <w:r>
        <w:rPr>
          <w:rFonts w:ascii="Verdana" w:eastAsia="Century Gothic" w:hAnsi="Verdana" w:cs="Century Gothic"/>
          <w:b/>
          <w:bCs/>
        </w:rPr>
        <w:t>, jurisprudenciales y otras fuentes</w:t>
      </w:r>
      <w:r w:rsidRPr="004D657F">
        <w:rPr>
          <w:rFonts w:ascii="Verdana" w:eastAsia="Century Gothic" w:hAnsi="Verdana" w:cs="Century Gothic"/>
          <w:b/>
          <w:bCs/>
        </w:rPr>
        <w:t>:</w:t>
      </w:r>
    </w:p>
    <w:p w14:paraId="536EE0DB" w14:textId="77777777" w:rsidR="0018485D" w:rsidRPr="00593A5F" w:rsidRDefault="0018485D" w:rsidP="0018485D">
      <w:pPr>
        <w:widowControl w:val="0"/>
        <w:autoSpaceDE w:val="0"/>
        <w:autoSpaceDN w:val="0"/>
        <w:spacing w:after="0" w:line="276" w:lineRule="auto"/>
        <w:jc w:val="both"/>
        <w:rPr>
          <w:rFonts w:ascii="Verdana" w:hAnsi="Verdana" w:cs="Arial"/>
        </w:rPr>
      </w:pPr>
      <w:r>
        <w:rPr>
          <w:rFonts w:ascii="Verdana" w:hAnsi="Verdana" w:cs="Aria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485D" w:rsidRPr="002407CE" w14:paraId="7EE65A06" w14:textId="77777777" w:rsidTr="004364CD">
        <w:trPr>
          <w:trHeight w:val="870"/>
          <w:jc w:val="center"/>
        </w:trPr>
        <w:tc>
          <w:tcPr>
            <w:tcW w:w="8647" w:type="dxa"/>
          </w:tcPr>
          <w:p w14:paraId="5FB51B81" w14:textId="77777777" w:rsidR="0018485D"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sidRPr="008C6F30">
              <w:rPr>
                <w:rFonts w:ascii="Verdana" w:hAnsi="Verdana" w:cs="Arial"/>
              </w:rPr>
              <w:t xml:space="preserve">Constitución </w:t>
            </w:r>
            <w:r>
              <w:rPr>
                <w:rFonts w:ascii="Verdana" w:hAnsi="Verdana" w:cs="Arial"/>
              </w:rPr>
              <w:t>Política de 1991, artículos 209 y 267</w:t>
            </w:r>
            <w:r w:rsidRPr="008C6F30">
              <w:rPr>
                <w:rFonts w:ascii="Verdana" w:hAnsi="Verdana" w:cs="Arial"/>
              </w:rPr>
              <w:t>.</w:t>
            </w:r>
          </w:p>
          <w:p w14:paraId="41ED1DEC" w14:textId="77777777" w:rsidR="0018485D" w:rsidRPr="00706793"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Código Civil, artículos 1501 y 1602. </w:t>
            </w:r>
          </w:p>
          <w:p w14:paraId="40A1BC74" w14:textId="77777777" w:rsidR="0018485D"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sidRPr="008C6F30">
              <w:rPr>
                <w:rFonts w:ascii="Verdana" w:hAnsi="Verdana" w:cs="Arial"/>
              </w:rPr>
              <w:t xml:space="preserve">Ley 80 de 1993, artículos </w:t>
            </w:r>
            <w:r>
              <w:rPr>
                <w:rFonts w:ascii="Verdana" w:hAnsi="Verdana" w:cs="Arial"/>
              </w:rPr>
              <w:t xml:space="preserve">2, 13, 14, 32, </w:t>
            </w:r>
            <w:r w:rsidRPr="008C6F30">
              <w:rPr>
                <w:rFonts w:ascii="Verdana" w:hAnsi="Verdana" w:cs="Arial"/>
              </w:rPr>
              <w:t>40</w:t>
            </w:r>
            <w:r>
              <w:rPr>
                <w:rFonts w:ascii="Verdana" w:hAnsi="Verdana" w:cs="Arial"/>
              </w:rPr>
              <w:t>, 60 y 61</w:t>
            </w:r>
            <w:r w:rsidRPr="008C6F30">
              <w:rPr>
                <w:rFonts w:ascii="Verdana" w:hAnsi="Verdana" w:cs="Arial"/>
              </w:rPr>
              <w:t>.</w:t>
            </w:r>
          </w:p>
          <w:p w14:paraId="17C78031" w14:textId="77777777" w:rsidR="0018485D"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100 de 1993, artículo 195. </w:t>
            </w:r>
          </w:p>
          <w:p w14:paraId="5B8D874E" w14:textId="77777777" w:rsidR="0018485D"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142 de 2994, artículo 31. </w:t>
            </w:r>
          </w:p>
          <w:p w14:paraId="5F8C9B51" w14:textId="77777777" w:rsidR="0018485D" w:rsidRDefault="0018485D" w:rsidP="0018485D">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lastRenderedPageBreak/>
              <w:t xml:space="preserve">Ley 1150 de 2007, artículos 13 y 14. </w:t>
            </w:r>
          </w:p>
          <w:p w14:paraId="302F666B" w14:textId="77777777" w:rsidR="0018485D"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Pr>
                <w:rFonts w:ascii="Verdana" w:hAnsi="Verdana"/>
              </w:rPr>
              <w:t xml:space="preserve">Ley 1474 de 2011, artículo 86. </w:t>
            </w:r>
          </w:p>
          <w:p w14:paraId="2578D13E"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BARRETO MORENO, Antonio Alejandro. El derecho de la compra pública: estudio jurídico de un mercado imperfecto. Bogotá: Legis, 2019.</w:t>
            </w:r>
          </w:p>
          <w:p w14:paraId="26FFFE1C" w14:textId="77777777" w:rsidR="0018485D"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BENAVIDES, José Luis. El contrato estatal: entre el derecho público y el derecho privado. Segunda edición. Bogotá: Universidad Externado de Colombia, 2009. </w:t>
            </w:r>
          </w:p>
          <w:p w14:paraId="45C42FB2" w14:textId="77777777" w:rsidR="0018485D" w:rsidRPr="00041187" w:rsidRDefault="0018485D" w:rsidP="0018485D">
            <w:pPr>
              <w:pStyle w:val="Prrafodelista"/>
              <w:numPr>
                <w:ilvl w:val="0"/>
                <w:numId w:val="34"/>
              </w:numPr>
              <w:spacing w:line="276" w:lineRule="auto"/>
              <w:jc w:val="both"/>
              <w:rPr>
                <w:rFonts w:ascii="Verdana" w:hAnsi="Verdana"/>
              </w:rPr>
            </w:pPr>
            <w:r w:rsidRPr="00041187">
              <w:rPr>
                <w:rFonts w:ascii="Verdana" w:hAnsi="Verdana"/>
              </w:rPr>
              <w:t>BETANCUR JARAMILLO, Carlos. Derecho procesal administrativo. Octava edición. Medellín: Señal Editora, 2013.</w:t>
            </w:r>
          </w:p>
          <w:p w14:paraId="126689FF"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BIANCA, Massimo. Derecho Civil. 3. El contrato. Bogotá: Universidad Externado de Colombia, 2007. </w:t>
            </w:r>
          </w:p>
          <w:p w14:paraId="02C8B64F"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JOJOA BOLAÑOS, Alexander. Los regímenes exceptuados en los contratos estatales. Bogotá: Grupo Editorial Ibáñez, 2012. </w:t>
            </w:r>
          </w:p>
          <w:p w14:paraId="6906B0CA"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A. Sentencia del 24 de octubre de 2016. C.P. María Nubia Velásquez Rico. </w:t>
            </w:r>
            <w:proofErr w:type="spellStart"/>
            <w:r w:rsidRPr="0095533A">
              <w:rPr>
                <w:rFonts w:ascii="Verdana" w:hAnsi="Verdana"/>
              </w:rPr>
              <w:t>Exp</w:t>
            </w:r>
            <w:proofErr w:type="spellEnd"/>
            <w:r w:rsidRPr="0095533A">
              <w:rPr>
                <w:rFonts w:ascii="Verdana" w:hAnsi="Verdana"/>
              </w:rPr>
              <w:t xml:space="preserve">. 45607.  </w:t>
            </w:r>
          </w:p>
          <w:p w14:paraId="40B92926"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A. Sentencia del 27 de febrero de 2013. C.P. Mauricio Fajardo Gómez. </w:t>
            </w:r>
            <w:proofErr w:type="spellStart"/>
            <w:r w:rsidRPr="0095533A">
              <w:rPr>
                <w:rFonts w:ascii="Verdana" w:hAnsi="Verdana"/>
              </w:rPr>
              <w:t>Exp</w:t>
            </w:r>
            <w:proofErr w:type="spellEnd"/>
            <w:r w:rsidRPr="0095533A">
              <w:rPr>
                <w:rFonts w:ascii="Verdana" w:hAnsi="Verdana"/>
              </w:rPr>
              <w:t>. 25.590.</w:t>
            </w:r>
          </w:p>
          <w:p w14:paraId="1A6C79A3"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CONSEJO DE ESTADO. Sección Tercera. Subsección B. Sentencia del 26 de junio de 2015. C.P. Stella Conto Díaz del Castillo. Expo 34367.</w:t>
            </w:r>
          </w:p>
          <w:p w14:paraId="4E832C18"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3 de septiembre de 2015. C.P. Olga </w:t>
            </w:r>
            <w:proofErr w:type="spellStart"/>
            <w:r w:rsidRPr="0095533A">
              <w:rPr>
                <w:rFonts w:ascii="Verdana" w:hAnsi="Verdana"/>
              </w:rPr>
              <w:t>Melida</w:t>
            </w:r>
            <w:proofErr w:type="spellEnd"/>
            <w:r w:rsidRPr="0095533A">
              <w:rPr>
                <w:rFonts w:ascii="Verdana" w:hAnsi="Verdana"/>
              </w:rPr>
              <w:t xml:space="preserve"> Valle de </w:t>
            </w:r>
            <w:proofErr w:type="spellStart"/>
            <w:r w:rsidRPr="0095533A">
              <w:rPr>
                <w:rFonts w:ascii="Verdana" w:hAnsi="Verdana"/>
              </w:rPr>
              <w:t>De</w:t>
            </w:r>
            <w:proofErr w:type="spellEnd"/>
            <w:r w:rsidRPr="0095533A">
              <w:rPr>
                <w:rFonts w:ascii="Verdana" w:hAnsi="Verdana"/>
              </w:rPr>
              <w:t xml:space="preserve"> la Hoz. </w:t>
            </w:r>
            <w:proofErr w:type="spellStart"/>
            <w:r w:rsidRPr="0095533A">
              <w:rPr>
                <w:rFonts w:ascii="Verdana" w:hAnsi="Verdana"/>
              </w:rPr>
              <w:t>Exp</w:t>
            </w:r>
            <w:proofErr w:type="spellEnd"/>
            <w:r w:rsidRPr="0095533A">
              <w:rPr>
                <w:rFonts w:ascii="Verdana" w:hAnsi="Verdana"/>
              </w:rPr>
              <w:t xml:space="preserve">. 38.247. </w:t>
            </w:r>
          </w:p>
          <w:p w14:paraId="193F724F"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24 de agosto de 2016. C.P. Jaime Orlando Santofimio Gamboa. </w:t>
            </w:r>
            <w:proofErr w:type="spellStart"/>
            <w:r w:rsidRPr="0095533A">
              <w:rPr>
                <w:rFonts w:ascii="Verdana" w:hAnsi="Verdana"/>
              </w:rPr>
              <w:t>Exp</w:t>
            </w:r>
            <w:proofErr w:type="spellEnd"/>
            <w:r w:rsidRPr="0095533A">
              <w:rPr>
                <w:rFonts w:ascii="Verdana" w:hAnsi="Verdana"/>
              </w:rPr>
              <w:t>. 41.783.</w:t>
            </w:r>
          </w:p>
          <w:p w14:paraId="3210EF28" w14:textId="77777777" w:rsidR="0018485D" w:rsidRPr="0095533A"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20 de febrero de 2017. C.P. Jaime Orlando Santofimio Gamboa. </w:t>
            </w:r>
            <w:proofErr w:type="spellStart"/>
            <w:r w:rsidRPr="0095533A">
              <w:rPr>
                <w:rFonts w:ascii="Verdana" w:hAnsi="Verdana"/>
              </w:rPr>
              <w:t>Exp</w:t>
            </w:r>
            <w:proofErr w:type="spellEnd"/>
            <w:r w:rsidRPr="0095533A">
              <w:rPr>
                <w:rFonts w:ascii="Verdana" w:hAnsi="Verdana"/>
              </w:rPr>
              <w:t>. 56562.</w:t>
            </w:r>
          </w:p>
          <w:p w14:paraId="4EB39CAF"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19 de julio de 2017. C.P. Jaime Orlando Santofimio Gamboa. </w:t>
            </w:r>
            <w:proofErr w:type="spellStart"/>
            <w:r w:rsidRPr="0095533A">
              <w:rPr>
                <w:rFonts w:ascii="Verdana" w:hAnsi="Verdana"/>
              </w:rPr>
              <w:t>Exp</w:t>
            </w:r>
            <w:proofErr w:type="spellEnd"/>
            <w:r w:rsidRPr="0095533A">
              <w:rPr>
                <w:rFonts w:ascii="Verdana" w:hAnsi="Verdana"/>
              </w:rPr>
              <w:t>. 57.394.</w:t>
            </w:r>
          </w:p>
          <w:p w14:paraId="5B8EC688"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lastRenderedPageBreak/>
              <w:t xml:space="preserve">CONSEJO DE ESTADO. Sección Tercera. Sentencia del 29 de noviembre de 2017. Sentencia del 29 de noviembre de 2017. C.P. Ramiro Pazos Guerrero. </w:t>
            </w:r>
            <w:proofErr w:type="spellStart"/>
            <w:r w:rsidRPr="0095533A">
              <w:rPr>
                <w:rFonts w:ascii="Verdana" w:hAnsi="Verdana"/>
              </w:rPr>
              <w:t>Exp</w:t>
            </w:r>
            <w:proofErr w:type="spellEnd"/>
            <w:r w:rsidRPr="0095533A">
              <w:rPr>
                <w:rFonts w:ascii="Verdana" w:hAnsi="Verdana"/>
              </w:rPr>
              <w:t xml:space="preserve">. 35271. </w:t>
            </w:r>
          </w:p>
          <w:p w14:paraId="0F632AE6"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B. Sentencia del 1 de agosto de 2018. C.P. Stella Conto Díaz del Castillo. </w:t>
            </w:r>
            <w:proofErr w:type="spellStart"/>
            <w:r w:rsidRPr="0095533A">
              <w:rPr>
                <w:rFonts w:ascii="Verdana" w:hAnsi="Verdana"/>
              </w:rPr>
              <w:t>Exp</w:t>
            </w:r>
            <w:proofErr w:type="spellEnd"/>
            <w:r w:rsidRPr="0095533A">
              <w:rPr>
                <w:rFonts w:ascii="Verdana" w:hAnsi="Verdana"/>
              </w:rPr>
              <w:t xml:space="preserve">. 39.277.  </w:t>
            </w:r>
          </w:p>
          <w:p w14:paraId="6A7164B6"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CONSEJO DE ESTADO, Sección Tercera, Subsección B, sentencia del 19 de ju</w:t>
            </w:r>
            <w:r>
              <w:rPr>
                <w:rFonts w:ascii="Verdana" w:hAnsi="Verdana"/>
              </w:rPr>
              <w:t xml:space="preserve">nio de 2019, </w:t>
            </w:r>
            <w:proofErr w:type="spellStart"/>
            <w:r>
              <w:rPr>
                <w:rFonts w:ascii="Verdana" w:hAnsi="Verdana"/>
              </w:rPr>
              <w:t>Exp</w:t>
            </w:r>
            <w:proofErr w:type="spellEnd"/>
            <w:r>
              <w:rPr>
                <w:rFonts w:ascii="Verdana" w:hAnsi="Verdana"/>
              </w:rPr>
              <w:t xml:space="preserve">. No. 39.800.  </w:t>
            </w:r>
          </w:p>
          <w:p w14:paraId="1B318BF0"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18 de agosto de 2020. C.P. Guillermo Sánchez Luque. </w:t>
            </w:r>
            <w:proofErr w:type="spellStart"/>
            <w:r w:rsidRPr="0095533A">
              <w:rPr>
                <w:rFonts w:ascii="Verdana" w:hAnsi="Verdana"/>
              </w:rPr>
              <w:t>Exp</w:t>
            </w:r>
            <w:proofErr w:type="spellEnd"/>
            <w:r w:rsidRPr="0095533A">
              <w:rPr>
                <w:rFonts w:ascii="Verdana" w:hAnsi="Verdana"/>
              </w:rPr>
              <w:t xml:space="preserve">. 36875.  </w:t>
            </w:r>
          </w:p>
          <w:p w14:paraId="56D2264A"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A, Sentencia del 24 de septiembre de 2020. C.P. José Roberto Sáchica Méndez. </w:t>
            </w:r>
            <w:proofErr w:type="spellStart"/>
            <w:r w:rsidRPr="0095533A">
              <w:rPr>
                <w:rFonts w:ascii="Verdana" w:hAnsi="Verdana"/>
              </w:rPr>
              <w:t>Exp</w:t>
            </w:r>
            <w:proofErr w:type="spellEnd"/>
            <w:r w:rsidRPr="0095533A">
              <w:rPr>
                <w:rFonts w:ascii="Verdana" w:hAnsi="Verdana"/>
              </w:rPr>
              <w:t xml:space="preserve">. No. 44707.  </w:t>
            </w:r>
          </w:p>
          <w:p w14:paraId="5713D640"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C, Sentencia del 21 de octubre de 2021. C.P. Guillermo Sánchez Luque. </w:t>
            </w:r>
            <w:proofErr w:type="spellStart"/>
            <w:r w:rsidRPr="0095533A">
              <w:rPr>
                <w:rFonts w:ascii="Verdana" w:hAnsi="Verdana"/>
              </w:rPr>
              <w:t>Exp</w:t>
            </w:r>
            <w:proofErr w:type="spellEnd"/>
            <w:r w:rsidRPr="0095533A">
              <w:rPr>
                <w:rFonts w:ascii="Verdana" w:hAnsi="Verdana"/>
              </w:rPr>
              <w:t>. No. 36697.</w:t>
            </w:r>
          </w:p>
          <w:p w14:paraId="2F0F2846"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A, Sentencia del 21 de mayo de 2021. C.P. José Roberto Sáchica Méndez. </w:t>
            </w:r>
            <w:proofErr w:type="spellStart"/>
            <w:r w:rsidRPr="0095533A">
              <w:rPr>
                <w:rFonts w:ascii="Verdana" w:hAnsi="Verdana"/>
              </w:rPr>
              <w:t>Exp</w:t>
            </w:r>
            <w:proofErr w:type="spellEnd"/>
            <w:r w:rsidRPr="0095533A">
              <w:rPr>
                <w:rFonts w:ascii="Verdana" w:hAnsi="Verdana"/>
              </w:rPr>
              <w:t xml:space="preserve">. No. 57822.  </w:t>
            </w:r>
          </w:p>
          <w:p w14:paraId="7388C2CB"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B. Sentencia del 18 de noviembre de 2021. C.P. Martín Bermúdez Muñoz. </w:t>
            </w:r>
            <w:proofErr w:type="spellStart"/>
            <w:r w:rsidRPr="0095533A">
              <w:rPr>
                <w:rFonts w:ascii="Verdana" w:hAnsi="Verdana"/>
              </w:rPr>
              <w:t>Exp</w:t>
            </w:r>
            <w:proofErr w:type="spellEnd"/>
            <w:r w:rsidRPr="0095533A">
              <w:rPr>
                <w:rFonts w:ascii="Verdana" w:hAnsi="Verdana"/>
              </w:rPr>
              <w:t xml:space="preserve"> 57537.</w:t>
            </w:r>
          </w:p>
          <w:p w14:paraId="60A5DCE1"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B, Sentencia del 23 de noviembre de 2022. C.P. Alberto Montaña Plata. </w:t>
            </w:r>
            <w:proofErr w:type="spellStart"/>
            <w:r w:rsidRPr="0095533A">
              <w:rPr>
                <w:rFonts w:ascii="Verdana" w:hAnsi="Verdana"/>
              </w:rPr>
              <w:t>Exp</w:t>
            </w:r>
            <w:proofErr w:type="spellEnd"/>
            <w:r w:rsidRPr="0095533A">
              <w:rPr>
                <w:rFonts w:ascii="Verdana" w:hAnsi="Verdana"/>
              </w:rPr>
              <w:t xml:space="preserve">. No. 66.700. </w:t>
            </w:r>
          </w:p>
          <w:p w14:paraId="56179CBF"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Sala Plena, Sentencia de Unificación del 9 de mayo de 2024, C.P. José Roberto Sáchica Méndez, </w:t>
            </w:r>
            <w:proofErr w:type="spellStart"/>
            <w:r w:rsidRPr="0095533A">
              <w:rPr>
                <w:rFonts w:ascii="Verdana" w:hAnsi="Verdana"/>
              </w:rPr>
              <w:t>Exp</w:t>
            </w:r>
            <w:proofErr w:type="spellEnd"/>
            <w:r w:rsidRPr="0095533A">
              <w:rPr>
                <w:rFonts w:ascii="Verdana" w:hAnsi="Verdana"/>
              </w:rPr>
              <w:t>. No. 53.962.</w:t>
            </w:r>
          </w:p>
          <w:p w14:paraId="62E532A3"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CONSEJO DE ESTADO, Sección Tercera, Subsección B. Sentencia del 20 de mayo de 2024, C.P. Mar</w:t>
            </w:r>
            <w:r>
              <w:rPr>
                <w:rFonts w:ascii="Verdana" w:hAnsi="Verdana"/>
              </w:rPr>
              <w:t xml:space="preserve">tín Bermúdez Muñoz. </w:t>
            </w:r>
            <w:proofErr w:type="spellStart"/>
            <w:r>
              <w:rPr>
                <w:rFonts w:ascii="Verdana" w:hAnsi="Verdana"/>
              </w:rPr>
              <w:t>Exp</w:t>
            </w:r>
            <w:proofErr w:type="spellEnd"/>
            <w:r>
              <w:rPr>
                <w:rFonts w:ascii="Verdana" w:hAnsi="Verdana"/>
              </w:rPr>
              <w:t>. 70086.</w:t>
            </w:r>
          </w:p>
          <w:p w14:paraId="0DD47C99" w14:textId="77777777" w:rsidR="0018485D" w:rsidRPr="00041187"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CONSEJO DE ESTADO, Sección Tercera, Subsección A. Sentencia del 19 de mayo de 2025. C.P. Adriana Marín </w:t>
            </w:r>
            <w:proofErr w:type="spellStart"/>
            <w:r w:rsidRPr="0095533A">
              <w:rPr>
                <w:rFonts w:ascii="Verdana" w:hAnsi="Verdana"/>
              </w:rPr>
              <w:t>Marín</w:t>
            </w:r>
            <w:proofErr w:type="spellEnd"/>
            <w:r w:rsidRPr="0095533A">
              <w:rPr>
                <w:rFonts w:ascii="Verdana" w:hAnsi="Verdana"/>
              </w:rPr>
              <w:t xml:space="preserve">. </w:t>
            </w:r>
            <w:proofErr w:type="spellStart"/>
            <w:r w:rsidRPr="0095533A">
              <w:rPr>
                <w:rFonts w:ascii="Verdana" w:hAnsi="Verdana"/>
              </w:rPr>
              <w:t>Exp</w:t>
            </w:r>
            <w:proofErr w:type="spellEnd"/>
            <w:r w:rsidRPr="0095533A">
              <w:rPr>
                <w:rFonts w:ascii="Verdana" w:hAnsi="Verdana"/>
              </w:rPr>
              <w:t xml:space="preserve">. 70.504. </w:t>
            </w:r>
          </w:p>
          <w:p w14:paraId="2BBCA3D8" w14:textId="77777777" w:rsidR="0018485D" w:rsidRPr="00706793" w:rsidRDefault="0018485D" w:rsidP="0018485D">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CORTE SUPREMA DE JUSTICIA, Sala de Casación Civil, sentencia de 30 de agosto de 2011, expediente 11001-3103-012-1999-01957-01</w:t>
            </w:r>
            <w:r>
              <w:rPr>
                <w:rFonts w:ascii="Verdana" w:hAnsi="Verdana"/>
              </w:rPr>
              <w:t>.</w:t>
            </w:r>
          </w:p>
        </w:tc>
      </w:tr>
    </w:tbl>
    <w:p w14:paraId="6618A019" w14:textId="77777777" w:rsidR="0018485D" w:rsidRPr="00185EE9" w:rsidRDefault="0018485D" w:rsidP="0018485D">
      <w:pPr>
        <w:spacing w:after="0" w:line="276" w:lineRule="auto"/>
        <w:ind w:right="709"/>
        <w:jc w:val="both"/>
        <w:rPr>
          <w:rFonts w:ascii="Verdana" w:hAnsi="Verdana" w:cs="Arial"/>
          <w:color w:val="000000" w:themeColor="text1"/>
          <w:lang w:val="es-ES_tradnl"/>
        </w:rPr>
      </w:pPr>
    </w:p>
    <w:p w14:paraId="59C2CC1A" w14:textId="77777777" w:rsidR="0018485D" w:rsidRPr="00185EE9" w:rsidRDefault="0018485D" w:rsidP="0018485D">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lastRenderedPageBreak/>
        <w:t>Doctrina de la Agencia Nacional de Contratación Pública:</w:t>
      </w:r>
    </w:p>
    <w:p w14:paraId="211CE64D" w14:textId="77777777" w:rsidR="0018485D" w:rsidRPr="003F4BAF" w:rsidRDefault="0018485D" w:rsidP="0018485D">
      <w:pPr>
        <w:widowControl w:val="0"/>
        <w:autoSpaceDE w:val="0"/>
        <w:autoSpaceDN w:val="0"/>
        <w:spacing w:after="0" w:line="276" w:lineRule="auto"/>
        <w:jc w:val="both"/>
        <w:rPr>
          <w:rFonts w:ascii="Verdana" w:hAnsi="Verdana" w:cs="Arial"/>
          <w:bCs/>
          <w:shd w:val="clear" w:color="auto" w:fill="FFFFFF"/>
        </w:rPr>
      </w:pPr>
    </w:p>
    <w:p w14:paraId="6CBBDE2E" w14:textId="77777777" w:rsidR="0018485D" w:rsidRPr="00041187" w:rsidRDefault="0018485D" w:rsidP="0018485D">
      <w:pPr>
        <w:widowControl w:val="0"/>
        <w:autoSpaceDE w:val="0"/>
        <w:autoSpaceDN w:val="0"/>
        <w:spacing w:after="0" w:line="276" w:lineRule="auto"/>
        <w:jc w:val="both"/>
        <w:rPr>
          <w:rFonts w:ascii="Verdana" w:hAnsi="Verdana" w:cs="Arial"/>
          <w:bCs/>
          <w:shd w:val="clear" w:color="auto" w:fill="FFFFFF"/>
        </w:rPr>
      </w:pPr>
      <w:r>
        <w:rPr>
          <w:rFonts w:ascii="Verdana" w:hAnsi="Verdana" w:cs="Arial"/>
          <w:bCs/>
          <w:shd w:val="clear" w:color="auto" w:fill="FFFFFF"/>
        </w:rPr>
        <w:t>La</w:t>
      </w:r>
      <w:r w:rsidRPr="00041187">
        <w:rPr>
          <w:rFonts w:ascii="Verdana" w:hAnsi="Verdana" w:cs="Arial"/>
          <w:bCs/>
          <w:shd w:val="clear" w:color="auto" w:fill="FFFFFF"/>
        </w:rPr>
        <w:t xml:space="preserve">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 C-227 del 07 de julio del 2023 y C-047 del 25 de abril de 2024</w:t>
      </w:r>
      <w:r w:rsidRPr="00041187">
        <w:rPr>
          <w:rFonts w:ascii="Verdana" w:hAnsi="Verdana" w:cs="Arial"/>
          <w:bCs/>
          <w:shd w:val="clear" w:color="auto" w:fill="FFFFFF"/>
          <w:lang w:val="es-ES"/>
        </w:rPr>
        <w:t xml:space="preserve">. Asimismo, </w:t>
      </w:r>
      <w:r>
        <w:rPr>
          <w:rFonts w:ascii="Verdana" w:hAnsi="Verdana" w:cs="Arial"/>
          <w:bCs/>
          <w:shd w:val="clear" w:color="auto" w:fill="FFFFFF"/>
          <w:lang w:val="es-ES"/>
        </w:rPr>
        <w:t>en los</w:t>
      </w:r>
      <w:r w:rsidRPr="00041187">
        <w:rPr>
          <w:rFonts w:ascii="Verdana" w:hAnsi="Verdana" w:cs="Arial"/>
          <w:bCs/>
          <w:shd w:val="clear" w:color="auto" w:fill="FFFFFF"/>
          <w:lang w:val="es-ES"/>
        </w:rPr>
        <w:t xml:space="preserve"> concepto</w:t>
      </w:r>
      <w:r>
        <w:rPr>
          <w:rFonts w:ascii="Verdana" w:hAnsi="Verdana" w:cs="Arial"/>
          <w:bCs/>
          <w:shd w:val="clear" w:color="auto" w:fill="FFFFFF"/>
          <w:lang w:val="es-ES"/>
        </w:rPr>
        <w:t>s</w:t>
      </w:r>
      <w:r w:rsidRPr="00041187">
        <w:rPr>
          <w:rFonts w:ascii="Verdana" w:hAnsi="Verdana" w:cs="Arial"/>
          <w:bCs/>
          <w:shd w:val="clear" w:color="auto" w:fill="FFFFFF"/>
          <w:lang w:val="es-ES"/>
        </w:rPr>
        <w:t xml:space="preserve"> C-492 del 9 de octubre de 2024</w:t>
      </w:r>
      <w:r>
        <w:rPr>
          <w:rFonts w:ascii="Verdana" w:hAnsi="Verdana" w:cs="Arial"/>
          <w:bCs/>
          <w:shd w:val="clear" w:color="auto" w:fill="FFFFFF"/>
          <w:lang w:val="es-ES"/>
        </w:rPr>
        <w:t xml:space="preserve"> y C-1005 del 13 de enero de 2025,</w:t>
      </w:r>
      <w:r w:rsidRPr="00041187">
        <w:rPr>
          <w:rFonts w:ascii="Verdana" w:hAnsi="Verdana" w:cs="Arial"/>
          <w:bCs/>
          <w:shd w:val="clear" w:color="auto" w:fill="FFFFFF"/>
          <w:lang w:val="es-ES"/>
        </w:rPr>
        <w:t xml:space="preserve"> se analizó el régimen sancionatorio </w:t>
      </w:r>
      <w:r w:rsidRPr="00041187">
        <w:rPr>
          <w:rFonts w:ascii="Verdana" w:hAnsi="Verdana" w:cs="Arial"/>
          <w:bCs/>
          <w:shd w:val="clear" w:color="auto" w:fill="FFFFFF"/>
        </w:rPr>
        <w:t>en entidades de régimen especial</w:t>
      </w:r>
      <w:r w:rsidRPr="00041187">
        <w:rPr>
          <w:rFonts w:ascii="Verdana" w:hAnsi="Verdana" w:cs="Arial"/>
          <w:bCs/>
          <w:shd w:val="clear" w:color="auto" w:fill="FFFFFF"/>
          <w:lang w:val="es-ES"/>
        </w:rPr>
        <w:t xml:space="preserve"> con fundamento</w:t>
      </w:r>
      <w:r>
        <w:rPr>
          <w:rFonts w:ascii="Verdana" w:hAnsi="Verdana" w:cs="Arial"/>
          <w:bCs/>
          <w:shd w:val="clear" w:color="auto" w:fill="FFFFFF"/>
          <w:lang w:val="es-ES"/>
        </w:rPr>
        <w:t xml:space="preserve"> en la autonomía de la voluntad, </w:t>
      </w:r>
      <w:r w:rsidRPr="00041187">
        <w:rPr>
          <w:rFonts w:ascii="Verdana" w:hAnsi="Verdana" w:cs="Arial"/>
          <w:bCs/>
          <w:shd w:val="clear" w:color="auto" w:fill="FFFFFF"/>
          <w:lang w:val="es-ES"/>
        </w:rPr>
        <w:t>a propósito de las sentencias recientes del Consejo de Estado.</w:t>
      </w:r>
      <w:r>
        <w:rPr>
          <w:rFonts w:ascii="Verdana" w:hAnsi="Verdana" w:cs="Arial"/>
          <w:bCs/>
          <w:shd w:val="clear" w:color="auto" w:fill="FFFFFF"/>
          <w:lang w:val="es-ES"/>
        </w:rPr>
        <w:t xml:space="preserve"> En tal sentido, recoge los conceptos expuestos, sin perjuicio de otras consideraciones.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E476C1D" w14:textId="77777777" w:rsidR="0018485D" w:rsidRPr="00185EE9" w:rsidRDefault="0018485D" w:rsidP="0018485D">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150B99D6" w14:textId="77777777" w:rsidR="0018485D" w:rsidRPr="0089599E" w:rsidRDefault="0018485D" w:rsidP="0018485D">
      <w:pPr>
        <w:spacing w:after="0" w:line="256" w:lineRule="auto"/>
        <w:jc w:val="both"/>
        <w:rPr>
          <w:rFonts w:ascii="Verdana" w:eastAsia="Calibri" w:hAnsi="Verdana" w:cs="Times New Roman"/>
        </w:rPr>
      </w:pPr>
    </w:p>
    <w:p w14:paraId="79195F9C" w14:textId="77777777" w:rsidR="0018485D" w:rsidRPr="00EC0E3F" w:rsidRDefault="0018485D" w:rsidP="0018485D">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5D75DEB4" w14:textId="77777777" w:rsidR="0018485D" w:rsidRDefault="0018485D" w:rsidP="0018485D">
      <w:pPr>
        <w:spacing w:after="0"/>
        <w:jc w:val="both"/>
        <w:rPr>
          <w:rFonts w:ascii="Verdana" w:hAnsi="Verdana"/>
        </w:rPr>
      </w:pPr>
    </w:p>
    <w:p w14:paraId="0DED8320" w14:textId="77777777" w:rsidR="0018485D" w:rsidRPr="0044528D" w:rsidRDefault="0018485D" w:rsidP="0018485D">
      <w:pPr>
        <w:spacing w:after="0"/>
        <w:jc w:val="both"/>
        <w:rPr>
          <w:rFonts w:ascii="Verdana" w:hAnsi="Verdana"/>
        </w:rPr>
      </w:pPr>
      <w:r w:rsidRPr="0044528D">
        <w:rPr>
          <w:rFonts w:ascii="Verdana" w:hAnsi="Verdana"/>
        </w:rPr>
        <w:lastRenderedPageBreak/>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BCC0D08" w14:textId="77777777" w:rsidR="0018485D" w:rsidRPr="0044528D" w:rsidRDefault="0018485D" w:rsidP="0018485D">
      <w:pPr>
        <w:spacing w:after="0" w:line="240" w:lineRule="auto"/>
        <w:jc w:val="both"/>
        <w:rPr>
          <w:rFonts w:ascii="Verdana" w:hAnsi="Verdana"/>
        </w:rPr>
      </w:pPr>
    </w:p>
    <w:p w14:paraId="0E1CE4C5" w14:textId="77777777" w:rsidR="0018485D" w:rsidRPr="0044528D" w:rsidRDefault="0018485D" w:rsidP="0018485D">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05810C99" w14:textId="77777777" w:rsidR="0018485D" w:rsidRPr="0044528D" w:rsidRDefault="0018485D" w:rsidP="0018485D">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42CCF172" w14:textId="77777777" w:rsidR="0018485D" w:rsidRPr="0044528D" w:rsidRDefault="0018485D" w:rsidP="0018485D">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4B576E2B" w14:textId="77777777" w:rsidR="0018485D" w:rsidRPr="0044528D" w:rsidRDefault="0018485D" w:rsidP="0018485D">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4" w:history="1">
        <w:r w:rsidRPr="0044528D">
          <w:rPr>
            <w:rStyle w:val="Hipervnculo"/>
            <w:rFonts w:ascii="Verdana" w:hAnsi="Verdana"/>
          </w:rPr>
          <w:t>www.colombiacompra.gov.co</w:t>
        </w:r>
      </w:hyperlink>
    </w:p>
    <w:p w14:paraId="742A3398" w14:textId="77777777" w:rsidR="0018485D" w:rsidRPr="0044528D" w:rsidRDefault="0018485D" w:rsidP="0018485D">
      <w:pPr>
        <w:pStyle w:val="Prrafodelista"/>
        <w:spacing w:after="0" w:line="240" w:lineRule="auto"/>
        <w:ind w:left="785"/>
        <w:jc w:val="both"/>
        <w:rPr>
          <w:rFonts w:ascii="Verdana" w:hAnsi="Verdana"/>
        </w:rPr>
      </w:pPr>
    </w:p>
    <w:p w14:paraId="120A5578" w14:textId="77777777" w:rsidR="0018485D" w:rsidRPr="0044528D" w:rsidRDefault="0018485D" w:rsidP="0018485D">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317D8AD3" w14:textId="77777777" w:rsidR="0018485D" w:rsidRPr="0044528D" w:rsidRDefault="0018485D" w:rsidP="0018485D">
      <w:pPr>
        <w:spacing w:after="0" w:line="240" w:lineRule="auto"/>
        <w:jc w:val="both"/>
        <w:rPr>
          <w:rFonts w:ascii="Verdana" w:hAnsi="Verdana"/>
        </w:rPr>
      </w:pPr>
    </w:p>
    <w:p w14:paraId="38439D44" w14:textId="77777777" w:rsidR="0018485D" w:rsidRPr="0044528D" w:rsidRDefault="0018485D" w:rsidP="0018485D">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14F500AA" w14:textId="77777777" w:rsidR="0018485D" w:rsidRPr="0044528D" w:rsidRDefault="0018485D" w:rsidP="0018485D">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16272DC3" w14:textId="77777777" w:rsidR="0018485D" w:rsidRPr="0044528D" w:rsidRDefault="0018485D" w:rsidP="0018485D">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7813478F" w14:textId="77777777" w:rsidR="0018485D" w:rsidRPr="0044528D" w:rsidRDefault="0018485D" w:rsidP="0018485D">
      <w:pPr>
        <w:spacing w:after="0" w:line="240" w:lineRule="auto"/>
        <w:jc w:val="both"/>
        <w:rPr>
          <w:rFonts w:ascii="Verdana" w:hAnsi="Verdana"/>
        </w:rPr>
      </w:pPr>
    </w:p>
    <w:p w14:paraId="16AD4238" w14:textId="77777777" w:rsidR="0018485D" w:rsidRPr="00185EE9" w:rsidRDefault="0018485D" w:rsidP="0018485D">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FD22F32" w14:textId="77777777" w:rsidR="0018485D" w:rsidRPr="00185EE9" w:rsidRDefault="0018485D" w:rsidP="0018485D">
      <w:pPr>
        <w:spacing w:after="0" w:line="256" w:lineRule="auto"/>
        <w:jc w:val="both"/>
        <w:rPr>
          <w:rFonts w:ascii="Verdana" w:eastAsia="Calibri" w:hAnsi="Verdana" w:cs="Times New Roman"/>
        </w:rPr>
      </w:pPr>
    </w:p>
    <w:p w14:paraId="0D694445" w14:textId="77777777" w:rsidR="0018485D" w:rsidRPr="00EA7E76" w:rsidRDefault="0018485D" w:rsidP="0018485D">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1A6CB9E6" w14:textId="77777777" w:rsidR="0018485D" w:rsidRDefault="0018485D" w:rsidP="0018485D">
      <w:pPr>
        <w:spacing w:after="0" w:line="256" w:lineRule="auto"/>
        <w:rPr>
          <w:rFonts w:ascii="Century Gothic" w:hAnsi="Century Gothic"/>
          <w:noProof/>
          <w:lang w:val="en-US"/>
        </w:rPr>
      </w:pPr>
    </w:p>
    <w:p w14:paraId="5824742F" w14:textId="73D7C8CE" w:rsidR="0018485D" w:rsidRDefault="00D3404A" w:rsidP="0018485D">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383F8757" wp14:editId="7837DBD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098A21CB" w14:textId="77777777" w:rsidR="0018485D" w:rsidRDefault="0018485D" w:rsidP="0018485D">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8485D" w:rsidRPr="00D81E8E" w14:paraId="0E730A3F" w14:textId="77777777" w:rsidTr="004364CD">
        <w:trPr>
          <w:trHeight w:val="409"/>
        </w:trPr>
        <w:tc>
          <w:tcPr>
            <w:tcW w:w="817" w:type="dxa"/>
            <w:tcBorders>
              <w:top w:val="nil"/>
              <w:left w:val="nil"/>
              <w:bottom w:val="nil"/>
              <w:right w:val="nil"/>
            </w:tcBorders>
            <w:vAlign w:val="center"/>
            <w:hideMark/>
          </w:tcPr>
          <w:p w14:paraId="133F1FBF"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7B1A24C"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74AC3B7C"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18485D" w:rsidRPr="00D81E8E" w14:paraId="7085E47C" w14:textId="77777777" w:rsidTr="004364CD">
        <w:trPr>
          <w:trHeight w:val="409"/>
        </w:trPr>
        <w:tc>
          <w:tcPr>
            <w:tcW w:w="817" w:type="dxa"/>
            <w:tcBorders>
              <w:top w:val="nil"/>
              <w:left w:val="nil"/>
              <w:bottom w:val="nil"/>
              <w:right w:val="nil"/>
            </w:tcBorders>
            <w:vAlign w:val="center"/>
            <w:hideMark/>
          </w:tcPr>
          <w:p w14:paraId="6E5CD2A6"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A0A1A3F"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Alejandro Sarmiento Cantillo</w:t>
            </w:r>
          </w:p>
          <w:p w14:paraId="709DCB1C"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18485D" w:rsidRPr="00D81E8E" w14:paraId="3B4E04D9" w14:textId="77777777" w:rsidTr="004364CD">
        <w:trPr>
          <w:trHeight w:val="389"/>
        </w:trPr>
        <w:tc>
          <w:tcPr>
            <w:tcW w:w="817" w:type="dxa"/>
            <w:tcBorders>
              <w:top w:val="nil"/>
              <w:left w:val="nil"/>
              <w:bottom w:val="nil"/>
              <w:right w:val="nil"/>
            </w:tcBorders>
            <w:vAlign w:val="center"/>
            <w:hideMark/>
          </w:tcPr>
          <w:p w14:paraId="5B9B57DD"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186ABFF"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Carolina Quintero </w:t>
            </w:r>
            <w:proofErr w:type="spellStart"/>
            <w:r w:rsidRPr="00D81E8E">
              <w:rPr>
                <w:rFonts w:ascii="Verdana" w:eastAsia="Calibri" w:hAnsi="Verdana" w:cs="Times New Roman"/>
                <w:sz w:val="16"/>
                <w:szCs w:val="16"/>
              </w:rPr>
              <w:t>Gacharná</w:t>
            </w:r>
            <w:proofErr w:type="spellEnd"/>
          </w:p>
          <w:p w14:paraId="5681595C" w14:textId="77777777" w:rsidR="0018485D" w:rsidRPr="00D81E8E" w:rsidRDefault="0018485D" w:rsidP="004364CD">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bookmarkEnd w:id="0"/>
    </w:tbl>
    <w:p w14:paraId="3B1CDE49" w14:textId="77777777" w:rsidR="0018485D" w:rsidRPr="0044528D" w:rsidRDefault="0018485D" w:rsidP="0018485D">
      <w:pPr>
        <w:spacing w:after="0" w:line="240" w:lineRule="auto"/>
        <w:textAlignment w:val="baseline"/>
        <w:rPr>
          <w:rFonts w:ascii="Verdana" w:eastAsia="Times New Roman" w:hAnsi="Verdana" w:cs="Segoe UI"/>
          <w:b/>
          <w:bCs/>
          <w:color w:val="46589C"/>
          <w:lang w:val="es-ES" w:eastAsia="es-CO"/>
        </w:rPr>
      </w:pPr>
    </w:p>
    <w:p w14:paraId="549C8A29" w14:textId="77777777" w:rsidR="007B5D8B" w:rsidRPr="0018485D" w:rsidRDefault="007B5D8B" w:rsidP="0018485D">
      <w:pPr>
        <w:rPr>
          <w:lang w:val="es-ES"/>
        </w:rPr>
      </w:pPr>
    </w:p>
    <w:sectPr w:rsidR="007B5D8B" w:rsidRPr="0018485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04D2" w14:textId="77777777" w:rsidR="00494B08" w:rsidRDefault="00494B08" w:rsidP="004A1847">
      <w:pPr>
        <w:spacing w:after="0" w:line="240" w:lineRule="auto"/>
      </w:pPr>
      <w:r>
        <w:separator/>
      </w:r>
    </w:p>
  </w:endnote>
  <w:endnote w:type="continuationSeparator" w:id="0">
    <w:p w14:paraId="5A311B4D" w14:textId="77777777" w:rsidR="00494B08" w:rsidRDefault="00494B08" w:rsidP="004A1847">
      <w:pPr>
        <w:spacing w:after="0" w:line="240" w:lineRule="auto"/>
      </w:pPr>
      <w:r>
        <w:continuationSeparator/>
      </w:r>
    </w:p>
  </w:endnote>
  <w:endnote w:type="continuationNotice" w:id="1">
    <w:p w14:paraId="4B8A00F4" w14:textId="77777777" w:rsidR="00494B08" w:rsidRDefault="00494B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IDFont+F8">
    <w:panose1 w:val="00000000000000000000"/>
    <w:charset w:val="00"/>
    <w:family w:val="auto"/>
    <w:notTrueType/>
    <w:pitch w:val="default"/>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EC0E3F" w:rsidRDefault="00EC0E3F">
    <w:pPr>
      <w:pStyle w:val="Piedepgina"/>
    </w:pPr>
  </w:p>
  <w:p w14:paraId="594D6D9F" w14:textId="2C68DC93" w:rsidR="00EC0E3F" w:rsidRPr="00174B77" w:rsidRDefault="00EC0E3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D2400">
      <w:rPr>
        <w:rFonts w:ascii="Verdana" w:eastAsia="MS Gothic" w:hAnsi="Verdana" w:cs="Times New Roman"/>
        <w:b/>
        <w:bCs/>
        <w:sz w:val="16"/>
        <w:szCs w:val="16"/>
        <w:lang w:val="es-ES"/>
      </w:rPr>
      <w:t xml:space="preserve">pág. </w:t>
    </w:r>
    <w:r w:rsidRPr="00FD2400">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FD2400">
      <w:rPr>
        <w:rFonts w:ascii="Verdana" w:eastAsia="MS Mincho" w:hAnsi="Verdana"/>
        <w:b/>
        <w:bCs/>
        <w:sz w:val="16"/>
        <w:szCs w:val="16"/>
      </w:rPr>
      <w:fldChar w:fldCharType="separate"/>
    </w:r>
    <w:r w:rsidR="00D3404A" w:rsidRPr="00D3404A">
      <w:rPr>
        <w:rFonts w:ascii="Verdana" w:eastAsia="MS Mincho" w:hAnsi="Verdana"/>
        <w:b/>
        <w:bCs/>
        <w:noProof/>
        <w:sz w:val="16"/>
        <w:szCs w:val="16"/>
      </w:rPr>
      <w:t>8</w:t>
    </w:r>
    <w:r w:rsidRPr="00FD2400">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EC0E3F" w:rsidRDefault="00EC0E3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EC0E3F" w:rsidRPr="00E41027" w:rsidRDefault="00EC0E3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EC0E3F" w:rsidRDefault="00EC0E3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D0CD5" w14:textId="77777777" w:rsidR="00494B08" w:rsidRDefault="00494B08" w:rsidP="004A1847">
      <w:pPr>
        <w:spacing w:after="0" w:line="240" w:lineRule="auto"/>
      </w:pPr>
      <w:r>
        <w:separator/>
      </w:r>
    </w:p>
  </w:footnote>
  <w:footnote w:type="continuationSeparator" w:id="0">
    <w:p w14:paraId="399547B5" w14:textId="77777777" w:rsidR="00494B08" w:rsidRDefault="00494B08" w:rsidP="004A1847">
      <w:pPr>
        <w:spacing w:after="0" w:line="240" w:lineRule="auto"/>
      </w:pPr>
      <w:r>
        <w:continuationSeparator/>
      </w:r>
    </w:p>
  </w:footnote>
  <w:footnote w:type="continuationNotice" w:id="1">
    <w:p w14:paraId="4D418140" w14:textId="77777777" w:rsidR="00494B08" w:rsidRDefault="00494B08">
      <w:pPr>
        <w:spacing w:after="0" w:line="240" w:lineRule="auto"/>
      </w:pPr>
    </w:p>
  </w:footnote>
  <w:footnote w:id="2">
    <w:p w14:paraId="354C4864" w14:textId="77777777" w:rsidR="0018485D" w:rsidRPr="00A46386" w:rsidRDefault="0018485D" w:rsidP="0018485D">
      <w:pPr>
        <w:pStyle w:val="Textonotapie"/>
        <w:ind w:firstLine="708"/>
        <w:jc w:val="both"/>
        <w:rPr>
          <w:rFonts w:ascii="Verdana" w:hAnsi="Verdana" w:cs="Arial"/>
          <w:sz w:val="16"/>
          <w:szCs w:val="16"/>
          <w:lang w:val="es-ES"/>
        </w:rPr>
      </w:pPr>
      <w:r w:rsidRPr="00A46386">
        <w:rPr>
          <w:rStyle w:val="Refdenotaalpie"/>
          <w:rFonts w:ascii="Verdana" w:hAnsi="Verdana" w:cs="Arial"/>
          <w:sz w:val="16"/>
          <w:szCs w:val="16"/>
          <w:vertAlign w:val="baseline"/>
        </w:rPr>
        <w:footnoteRef/>
      </w:r>
      <w:r w:rsidRPr="00A46386">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4A81E750" w14:textId="77777777" w:rsidR="0018485D" w:rsidRPr="00A46386" w:rsidRDefault="0018485D" w:rsidP="0018485D">
      <w:pPr>
        <w:pStyle w:val="Textonotapie"/>
        <w:ind w:firstLine="708"/>
        <w:jc w:val="both"/>
        <w:rPr>
          <w:rFonts w:ascii="Verdana" w:hAnsi="Verdana" w:cs="Arial"/>
          <w:sz w:val="16"/>
          <w:szCs w:val="16"/>
          <w:lang w:val="es-ES"/>
        </w:rPr>
      </w:pPr>
      <w:r w:rsidRPr="00A46386">
        <w:rPr>
          <w:rStyle w:val="Refdenotaalpie"/>
          <w:rFonts w:ascii="Verdana" w:hAnsi="Verdana" w:cs="Arial"/>
          <w:sz w:val="16"/>
          <w:szCs w:val="16"/>
          <w:vertAlign w:val="baseline"/>
        </w:rPr>
        <w:footnoteRef/>
      </w:r>
      <w:r w:rsidRPr="00A46386">
        <w:rPr>
          <w:rFonts w:ascii="Verdana" w:hAnsi="Verdana" w:cs="Arial"/>
          <w:sz w:val="16"/>
          <w:szCs w:val="16"/>
        </w:rPr>
        <w:t xml:space="preserve"> BETANCUR JARAMILLO, Carlos. Derecho procesal administrativo. Octava edición. Medellín: Señal Editora, 2013. p. 627. </w:t>
      </w:r>
    </w:p>
  </w:footnote>
  <w:footnote w:id="4">
    <w:p w14:paraId="7493D0BC" w14:textId="77777777" w:rsidR="0018485D" w:rsidRPr="00A46386" w:rsidRDefault="0018485D" w:rsidP="0018485D">
      <w:pPr>
        <w:pStyle w:val="Textonotapie"/>
        <w:ind w:firstLine="708"/>
        <w:jc w:val="both"/>
        <w:rPr>
          <w:rFonts w:ascii="Verdana" w:hAnsi="Verdana" w:cs="Arial"/>
          <w:sz w:val="16"/>
          <w:szCs w:val="16"/>
        </w:rPr>
      </w:pPr>
      <w:r w:rsidRPr="00A46386">
        <w:rPr>
          <w:rStyle w:val="Refdenotaalpie"/>
          <w:rFonts w:ascii="Verdana" w:hAnsi="Verdana" w:cs="Arial"/>
          <w:sz w:val="16"/>
          <w:szCs w:val="16"/>
          <w:vertAlign w:val="baseline"/>
        </w:rPr>
        <w:footnoteRef/>
      </w:r>
      <w:r w:rsidRPr="00A46386">
        <w:rPr>
          <w:rFonts w:ascii="Verdana" w:hAnsi="Verdana" w:cs="Arial"/>
          <w:sz w:val="16"/>
          <w:szCs w:val="16"/>
        </w:rPr>
        <w:t xml:space="preserve"> JOJOA BOLAÑOS, Alexander. Los regímenes exceptuados en los contratos estatales. Bogotá: Grupo Editorial Ibáñez, 2012. p. 89.</w:t>
      </w:r>
    </w:p>
  </w:footnote>
  <w:footnote w:id="5">
    <w:p w14:paraId="65BBB2FB" w14:textId="77777777" w:rsidR="0018485D" w:rsidRPr="00A46386" w:rsidRDefault="0018485D" w:rsidP="0018485D">
      <w:pPr>
        <w:pStyle w:val="Textonotapie"/>
        <w:ind w:firstLine="708"/>
        <w:jc w:val="both"/>
        <w:rPr>
          <w:rFonts w:ascii="Verdana" w:hAnsi="Verdana" w:cs="Arial"/>
          <w:sz w:val="16"/>
          <w:szCs w:val="16"/>
        </w:rPr>
      </w:pPr>
      <w:r w:rsidRPr="00A46386">
        <w:rPr>
          <w:rStyle w:val="Refdenotaalpie"/>
          <w:rFonts w:ascii="Verdana" w:hAnsi="Verdana" w:cs="Arial"/>
          <w:sz w:val="16"/>
          <w:szCs w:val="16"/>
          <w:vertAlign w:val="baseline"/>
        </w:rPr>
        <w:footnoteRef/>
      </w:r>
      <w:r w:rsidRPr="00A46386">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6CCE3C98" w14:textId="77777777" w:rsidR="0018485D" w:rsidRPr="00A46386" w:rsidRDefault="0018485D" w:rsidP="0018485D">
      <w:pPr>
        <w:pStyle w:val="Textonotapie"/>
        <w:ind w:firstLine="709"/>
        <w:jc w:val="both"/>
        <w:rPr>
          <w:rFonts w:ascii="Verdana" w:hAnsi="Verdana" w:cs="Arial"/>
          <w:color w:val="000000" w:themeColor="text1"/>
          <w:sz w:val="16"/>
          <w:szCs w:val="16"/>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EF78543"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p>
  </w:footnote>
  <w:footnote w:id="7">
    <w:p w14:paraId="38C02080" w14:textId="77777777" w:rsidR="0018485D" w:rsidRPr="007825B1" w:rsidRDefault="0018485D" w:rsidP="0018485D">
      <w:pPr>
        <w:pStyle w:val="Textonotapie"/>
        <w:ind w:firstLine="709"/>
        <w:jc w:val="both"/>
        <w:rPr>
          <w:rFonts w:ascii="Verdana" w:hAnsi="Verdana" w:cs="Arial"/>
          <w:color w:val="000000" w:themeColor="text1"/>
          <w:sz w:val="16"/>
          <w:szCs w:val="16"/>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bookmarkStart w:id="1" w:name="_Hlk178103192"/>
      <w:r w:rsidRPr="00A46386">
        <w:rPr>
          <w:rFonts w:ascii="Verdana" w:hAnsi="Verdana" w:cs="Arial"/>
          <w:color w:val="000000" w:themeColor="text1"/>
          <w:sz w:val="16"/>
          <w:szCs w:val="16"/>
        </w:rPr>
        <w:t xml:space="preserve">CONSEJO DE ESTADO. Sección Tercera. </w:t>
      </w:r>
      <w:r>
        <w:rPr>
          <w:rFonts w:ascii="Verdana" w:hAnsi="Verdana" w:cs="Arial"/>
          <w:color w:val="000000" w:themeColor="text1"/>
          <w:sz w:val="16"/>
          <w:szCs w:val="16"/>
        </w:rPr>
        <w:t xml:space="preserve">Subsección A. Sentencia del </w:t>
      </w:r>
      <w:r w:rsidRPr="00A46386">
        <w:rPr>
          <w:rFonts w:ascii="Verdana" w:hAnsi="Verdana" w:cs="Arial"/>
          <w:color w:val="000000" w:themeColor="text1"/>
          <w:sz w:val="16"/>
          <w:szCs w:val="16"/>
        </w:rPr>
        <w:t>24 de oct</w:t>
      </w:r>
      <w:r>
        <w:rPr>
          <w:rFonts w:ascii="Verdana" w:hAnsi="Verdana" w:cs="Arial"/>
          <w:color w:val="000000" w:themeColor="text1"/>
          <w:sz w:val="16"/>
          <w:szCs w:val="16"/>
        </w:rPr>
        <w:t>ubre de 2016. C.P.</w:t>
      </w:r>
      <w:r w:rsidRPr="00A46386">
        <w:rPr>
          <w:rFonts w:ascii="Verdana" w:hAnsi="Verdana" w:cs="Arial"/>
          <w:color w:val="000000" w:themeColor="text1"/>
          <w:sz w:val="16"/>
          <w:szCs w:val="16"/>
        </w:rPr>
        <w:t xml:space="preserve"> María Nubia Velásquez Rico.</w:t>
      </w:r>
      <w:r>
        <w:rPr>
          <w:rFonts w:ascii="Verdana" w:hAnsi="Verdana" w:cs="Arial"/>
          <w:color w:val="000000" w:themeColor="text1"/>
          <w:sz w:val="16"/>
          <w:szCs w:val="16"/>
        </w:rPr>
        <w:t xml:space="preserve"> Exp. 45607.</w:t>
      </w:r>
    </w:p>
    <w:bookmarkEnd w:id="1"/>
    <w:p w14:paraId="3DAB9B14"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p>
  </w:footnote>
  <w:footnote w:id="8">
    <w:p w14:paraId="7B691A2A" w14:textId="77777777" w:rsidR="0018485D" w:rsidRPr="00A46386" w:rsidRDefault="0018485D" w:rsidP="0018485D">
      <w:pPr>
        <w:pStyle w:val="Textonotapie"/>
        <w:jc w:val="both"/>
        <w:rPr>
          <w:rFonts w:ascii="Verdana" w:hAnsi="Verdana" w:cs="Arial"/>
          <w:color w:val="000000" w:themeColor="text1"/>
          <w:sz w:val="16"/>
          <w:szCs w:val="16"/>
        </w:rPr>
      </w:pPr>
      <w:r w:rsidRPr="00A46386">
        <w:rPr>
          <w:rFonts w:ascii="Verdana" w:hAnsi="Verdana" w:cs="Arial"/>
          <w:iCs/>
          <w:color w:val="000000" w:themeColor="text1"/>
          <w:sz w:val="16"/>
          <w:szCs w:val="16"/>
        </w:rPr>
        <w:tab/>
      </w:r>
      <w:r w:rsidRPr="00A46386">
        <w:rPr>
          <w:rFonts w:ascii="Verdana" w:hAnsi="Verdana" w:cs="Arial"/>
          <w:iCs/>
          <w:color w:val="000000" w:themeColor="text1"/>
          <w:sz w:val="16"/>
          <w:szCs w:val="16"/>
        </w:rPr>
        <w:footnoteRef/>
      </w:r>
      <w:r w:rsidRPr="00A46386">
        <w:rPr>
          <w:rFonts w:ascii="Verdana" w:hAnsi="Verdana" w:cs="Arial"/>
          <w:iCs/>
          <w:color w:val="000000" w:themeColor="text1"/>
          <w:sz w:val="16"/>
          <w:szCs w:val="16"/>
        </w:rPr>
        <w:t xml:space="preserve"> Motivo por el cual son típicas cláusulas accidentales dentro de los contratos estatales, en los términos del artículo 1501 del Código Civil.</w:t>
      </w:r>
    </w:p>
  </w:footnote>
  <w:footnote w:id="9">
    <w:p w14:paraId="0A1DBD8A"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r w:rsidRPr="00A46386">
        <w:rPr>
          <w:rFonts w:ascii="Verdana" w:hAnsi="Verdana" w:cs="Arial"/>
          <w:color w:val="000000" w:themeColor="text1"/>
          <w:sz w:val="16"/>
          <w:szCs w:val="16"/>
          <w:lang w:val="es-ES"/>
        </w:rPr>
        <w:t>En efecto, el artículo 86 de la Ley 1474 de 2011 dispone: “</w:t>
      </w:r>
      <w:r w:rsidRPr="00A46386">
        <w:rPr>
          <w:rFonts w:ascii="Verdana" w:hAnsi="Verdana" w:cs="Arial"/>
          <w:i/>
          <w:color w:val="000000" w:themeColor="text1"/>
          <w:sz w:val="16"/>
          <w:szCs w:val="16"/>
          <w:lang w:val="es-ES"/>
        </w:rPr>
        <w:t>Las entidades sometidas al Estatuto General de Contratación de la Administración Pública</w:t>
      </w:r>
      <w:r w:rsidRPr="00A46386">
        <w:rPr>
          <w:rFonts w:ascii="Verdana" w:hAnsi="Verdana" w:cs="Arial"/>
          <w:color w:val="000000" w:themeColor="text1"/>
          <w:sz w:val="16"/>
          <w:szCs w:val="16"/>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31FD0969"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535ED669"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8546F1B"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5A374D67"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16A14628"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p>
  </w:footnote>
  <w:footnote w:id="10">
    <w:p w14:paraId="440D28EC"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r w:rsidRPr="00A46386">
        <w:rPr>
          <w:rFonts w:ascii="Verdana" w:hAnsi="Verdana" w:cs="Arial"/>
          <w:color w:val="000000" w:themeColor="text1"/>
          <w:sz w:val="16"/>
          <w:szCs w:val="16"/>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47E7CF02"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1o. Se denominan entidades estatales:</w:t>
      </w:r>
    </w:p>
    <w:p w14:paraId="22FD616F"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A46386">
        <w:rPr>
          <w:rFonts w:ascii="Verdana" w:hAnsi="Verdana"/>
          <w:sz w:val="16"/>
          <w:szCs w:val="16"/>
        </w:rPr>
        <w:t>i</w:t>
      </w:r>
      <w:r w:rsidRPr="00A46386">
        <w:rPr>
          <w:rFonts w:ascii="Verdana" w:hAnsi="Verdana" w:cs="Arial"/>
          <w:color w:val="000000" w:themeColor="text1"/>
          <w:sz w:val="16"/>
          <w:szCs w:val="16"/>
          <w:lang w:val="es-ES"/>
        </w:rPr>
        <w:t>cha participación pública mayoritaria, cualquiera sea la denominación que ellas adopten, en todos los órdenes y niveles.</w:t>
      </w:r>
    </w:p>
    <w:p w14:paraId="6D8FB3C4"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CF05B3E"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p>
  </w:footnote>
  <w:footnote w:id="11">
    <w:p w14:paraId="6BE928DF"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r w:rsidRPr="00A46386">
        <w:rPr>
          <w:rFonts w:ascii="Verdana" w:hAnsi="Verdana" w:cs="Arial"/>
          <w:color w:val="000000" w:themeColor="text1"/>
          <w:sz w:val="16"/>
          <w:szCs w:val="16"/>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6AD1DA8F"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0FBAA15B"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Fonts w:ascii="Verdana" w:hAnsi="Verdana" w:cs="Arial"/>
          <w:color w:val="000000" w:themeColor="text1"/>
          <w:sz w:val="16"/>
          <w:szCs w:val="16"/>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12">
    <w:p w14:paraId="05CCC7D9" w14:textId="77777777" w:rsidR="0018485D" w:rsidRPr="00A46386" w:rsidRDefault="0018485D" w:rsidP="0018485D">
      <w:pPr>
        <w:pStyle w:val="Textonotapie"/>
        <w:ind w:firstLine="709"/>
        <w:jc w:val="both"/>
        <w:rPr>
          <w:rFonts w:ascii="Verdana" w:hAnsi="Verdana" w:cs="Arial"/>
          <w:color w:val="000000" w:themeColor="text1"/>
          <w:sz w:val="16"/>
          <w:szCs w:val="16"/>
          <w:lang w:val="es-ES"/>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r w:rsidRPr="00A46386">
        <w:rPr>
          <w:rFonts w:ascii="Verdana" w:hAnsi="Verdana" w:cs="Arial"/>
          <w:color w:val="000000" w:themeColor="text1"/>
          <w:sz w:val="16"/>
          <w:szCs w:val="16"/>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footnote>
  <w:footnote w:id="13">
    <w:p w14:paraId="1C1B949E" w14:textId="77777777" w:rsidR="0018485D" w:rsidRPr="00A46386" w:rsidRDefault="0018485D" w:rsidP="0018485D">
      <w:pPr>
        <w:ind w:firstLine="709"/>
        <w:jc w:val="both"/>
        <w:rPr>
          <w:rFonts w:ascii="Verdana" w:hAnsi="Verdana" w:cs="Arial"/>
          <w:color w:val="000000" w:themeColor="text1"/>
          <w:sz w:val="16"/>
          <w:szCs w:val="16"/>
          <w:lang w:val="es-ES_tradnl"/>
        </w:rPr>
      </w:pPr>
      <w:r w:rsidRPr="00A46386">
        <w:rPr>
          <w:rStyle w:val="Refdenotaalpie"/>
          <w:rFonts w:ascii="Verdana" w:hAnsi="Verdana" w:cs="Arial"/>
          <w:color w:val="000000" w:themeColor="text1"/>
          <w:sz w:val="16"/>
          <w:szCs w:val="16"/>
          <w:vertAlign w:val="baseline"/>
        </w:rPr>
        <w:footnoteRef/>
      </w:r>
      <w:r w:rsidRPr="00A46386">
        <w:rPr>
          <w:rFonts w:ascii="Verdana" w:hAnsi="Verdana" w:cs="Arial"/>
          <w:color w:val="000000" w:themeColor="text1"/>
          <w:sz w:val="16"/>
          <w:szCs w:val="16"/>
        </w:rPr>
        <w:t xml:space="preserve"> </w:t>
      </w:r>
      <w:r w:rsidRPr="00A46386">
        <w:rPr>
          <w:rFonts w:ascii="Verdana" w:hAnsi="Verdana" w:cs="Arial"/>
          <w:color w:val="000000" w:themeColor="text1"/>
          <w:sz w:val="16"/>
          <w:szCs w:val="16"/>
          <w:lang w:val="es-ES"/>
        </w:rPr>
        <w:t xml:space="preserve">Providencias que avalaron dicha tesis fueron las siguientes: Consejo de Estado. Sección Tercera. Subsección C. Sentencias del 20 de febrero de 2017. C.P. Jaime Orlando Santofimio Gamboa. Expedientes: </w:t>
      </w:r>
      <w:r w:rsidRPr="00A46386">
        <w:rPr>
          <w:rFonts w:ascii="Verdana" w:hAnsi="Verdana" w:cs="Arial"/>
          <w:color w:val="000000" w:themeColor="text1"/>
          <w:sz w:val="16"/>
          <w:szCs w:val="16"/>
          <w:lang w:val="es-ES_tradnl"/>
        </w:rPr>
        <w:t>56939 y 56562. En cambio, la consideración de que las entidades de régimen especial, por regla general, no pueden ejercer esta potestad sancionatoria, se plantea en las sentencias del Consejo de Estado. Sección Tercera. 1 de agosto de 2018. C.P. Stella Conto Díaz del Castillo. Exp. 39277 y</w:t>
      </w:r>
      <w:r w:rsidRPr="00A46386">
        <w:rPr>
          <w:rFonts w:ascii="Verdana" w:hAnsi="Verdana"/>
          <w:sz w:val="16"/>
          <w:szCs w:val="16"/>
        </w:rPr>
        <w:t xml:space="preserve"> </w:t>
      </w:r>
      <w:r w:rsidRPr="00A46386">
        <w:rPr>
          <w:rFonts w:ascii="Verdana" w:hAnsi="Verdana" w:cs="Arial"/>
          <w:color w:val="000000" w:themeColor="text1"/>
          <w:sz w:val="16"/>
          <w:szCs w:val="16"/>
          <w:lang w:val="es-ES_tradnl"/>
        </w:rPr>
        <w:t>del 14 de febrero de 2019. C.P. Carlos Alberto Zambrano Barrera. Exp. 38937.</w:t>
      </w:r>
    </w:p>
    <w:p w14:paraId="6921417F" w14:textId="77777777" w:rsidR="0018485D" w:rsidRPr="00A46386" w:rsidRDefault="0018485D" w:rsidP="0018485D">
      <w:pPr>
        <w:pStyle w:val="Textonotapie"/>
        <w:jc w:val="both"/>
        <w:rPr>
          <w:rFonts w:ascii="Verdana" w:hAnsi="Verdana" w:cs="Arial"/>
          <w:color w:val="000000" w:themeColor="text1"/>
          <w:sz w:val="16"/>
          <w:szCs w:val="16"/>
          <w:lang w:val="es-ES_tradnl"/>
        </w:rPr>
      </w:pPr>
    </w:p>
  </w:footnote>
  <w:footnote w:id="14">
    <w:p w14:paraId="3BDA85A5"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CONSEJO DE ESTADO. Sección Tercera, Sala Plena, Sentencia de Unificación del 9 de mayo de 2024, C.P. José Roberto Sáchica Méndez, Exp. No. 53.962.</w:t>
      </w:r>
    </w:p>
    <w:p w14:paraId="4945E2FB" w14:textId="77777777" w:rsidR="0018485D" w:rsidRPr="00A46386" w:rsidRDefault="0018485D" w:rsidP="0018485D">
      <w:pPr>
        <w:pStyle w:val="Textonotapie"/>
        <w:ind w:firstLine="708"/>
        <w:jc w:val="both"/>
        <w:rPr>
          <w:rFonts w:ascii="Verdana" w:hAnsi="Verdana"/>
          <w:sz w:val="16"/>
          <w:szCs w:val="16"/>
        </w:rPr>
      </w:pPr>
      <w:r w:rsidRPr="00A46386">
        <w:rPr>
          <w:rFonts w:ascii="Verdana" w:hAnsi="Verdana"/>
          <w:sz w:val="16"/>
          <w:szCs w:val="16"/>
        </w:rPr>
        <w:t xml:space="preserve">  </w:t>
      </w:r>
    </w:p>
  </w:footnote>
  <w:footnote w:id="15">
    <w:p w14:paraId="1921A16F"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 xml:space="preserve">CONSEJO DE ESTADO, Sección Tercera, Subsección B, sentencia del 19 de junio de 2019, Exp. No. 39.800.  </w:t>
      </w:r>
      <w:r w:rsidRPr="00A46386">
        <w:rPr>
          <w:rFonts w:ascii="Verdana" w:hAnsi="Verdana"/>
          <w:sz w:val="16"/>
          <w:szCs w:val="16"/>
        </w:rPr>
        <w:t xml:space="preserve"> </w:t>
      </w:r>
    </w:p>
  </w:footnote>
  <w:footnote w:id="16">
    <w:p w14:paraId="3A3AE888"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 xml:space="preserve"> CONSEJO DE ESTADO, Sección Tercera, Subsección B, Sentencia del 23 de novie</w:t>
      </w:r>
      <w:r>
        <w:rPr>
          <w:rFonts w:ascii="Verdana" w:hAnsi="Verdana"/>
          <w:sz w:val="16"/>
          <w:szCs w:val="16"/>
          <w:lang w:val="es-CO"/>
        </w:rPr>
        <w:t xml:space="preserve">mbre de 2022. C.P. Alberto Montaña Plata. Exp. No. 66.700. </w:t>
      </w:r>
    </w:p>
  </w:footnote>
  <w:footnote w:id="17">
    <w:p w14:paraId="00F76EA5"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CONSEJO DE ESTADO, Sección Tercera, Subsección C, Sentencia del 21 de o</w:t>
      </w:r>
      <w:r>
        <w:rPr>
          <w:rFonts w:ascii="Verdana" w:hAnsi="Verdana"/>
          <w:sz w:val="16"/>
          <w:szCs w:val="16"/>
          <w:lang w:val="es-CO"/>
        </w:rPr>
        <w:t>ctubre de 2021. C.P. Guillermo Sánchez Luque. Exp. No. 36697.</w:t>
      </w:r>
    </w:p>
  </w:footnote>
  <w:footnote w:id="18">
    <w:p w14:paraId="2F5C5D20"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CONSEJO DE ESTADO, Sección Tercera, Subsección A, Sentencia del 24 de septiembre de 2020</w:t>
      </w:r>
      <w:r>
        <w:rPr>
          <w:rFonts w:ascii="Verdana" w:hAnsi="Verdana"/>
          <w:sz w:val="16"/>
          <w:szCs w:val="16"/>
          <w:lang w:val="es-CO"/>
        </w:rPr>
        <w:t>. C.P. José Roberto Sáchica Méndez.</w:t>
      </w:r>
      <w:r w:rsidRPr="00A46386">
        <w:rPr>
          <w:rFonts w:ascii="Verdana" w:hAnsi="Verdana"/>
          <w:sz w:val="16"/>
          <w:szCs w:val="16"/>
          <w:lang w:val="es-CO"/>
        </w:rPr>
        <w:t xml:space="preserve"> Exp. No. 44707.  </w:t>
      </w:r>
    </w:p>
  </w:footnote>
  <w:footnote w:id="19">
    <w:p w14:paraId="056D5C69" w14:textId="77777777" w:rsidR="0018485D" w:rsidRPr="00A46386" w:rsidRDefault="0018485D" w:rsidP="0018485D">
      <w:pPr>
        <w:pStyle w:val="Textonotapie"/>
        <w:ind w:firstLine="708"/>
        <w:jc w:val="both"/>
        <w:rPr>
          <w:rFonts w:ascii="Verdana" w:hAnsi="Verdana"/>
          <w:sz w:val="16"/>
          <w:szCs w:val="16"/>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CONSEJO DE ESTADO, Sección Tercera, Subsección A, S</w:t>
      </w:r>
      <w:r>
        <w:rPr>
          <w:rFonts w:ascii="Verdana" w:hAnsi="Verdana"/>
          <w:sz w:val="16"/>
          <w:szCs w:val="16"/>
          <w:lang w:val="es-CO"/>
        </w:rPr>
        <w:t>entencia del 21 de mayo de 2021. C.P. José Roberto Sáchica Méndez.</w:t>
      </w:r>
      <w:r w:rsidRPr="00A46386">
        <w:rPr>
          <w:rFonts w:ascii="Verdana" w:hAnsi="Verdana"/>
          <w:sz w:val="16"/>
          <w:szCs w:val="16"/>
          <w:lang w:val="es-CO"/>
        </w:rPr>
        <w:t xml:space="preserve"> Exp. No. 57822.  </w:t>
      </w:r>
    </w:p>
  </w:footnote>
  <w:footnote w:id="20">
    <w:p w14:paraId="4F7EE792" w14:textId="77777777" w:rsidR="0018485D" w:rsidRPr="00A46386" w:rsidRDefault="0018485D" w:rsidP="0018485D">
      <w:pPr>
        <w:pStyle w:val="Textonotapie"/>
        <w:jc w:val="both"/>
        <w:rPr>
          <w:rFonts w:ascii="Verdana" w:hAnsi="Verdana"/>
          <w:sz w:val="16"/>
          <w:szCs w:val="16"/>
        </w:rPr>
      </w:pPr>
    </w:p>
  </w:footnote>
  <w:footnote w:id="21">
    <w:p w14:paraId="5286AFCE" w14:textId="77777777" w:rsidR="0018485D" w:rsidRPr="00A46386" w:rsidRDefault="0018485D" w:rsidP="0018485D">
      <w:pPr>
        <w:pStyle w:val="Textonotapie"/>
        <w:ind w:firstLine="709"/>
        <w:jc w:val="both"/>
        <w:rPr>
          <w:rFonts w:ascii="Verdana" w:hAnsi="Verdana" w:cs="Arial"/>
          <w:sz w:val="16"/>
          <w:szCs w:val="16"/>
        </w:rPr>
      </w:pPr>
      <w:r w:rsidRPr="00A46386">
        <w:rPr>
          <w:rStyle w:val="Refdenotaalpie"/>
          <w:rFonts w:ascii="Verdana" w:hAnsi="Verdana" w:cs="Arial"/>
          <w:sz w:val="16"/>
          <w:szCs w:val="16"/>
          <w:vertAlign w:val="baseline"/>
        </w:rPr>
        <w:footnoteRef/>
      </w:r>
      <w:r w:rsidRPr="00A46386">
        <w:rPr>
          <w:rFonts w:ascii="Verdana" w:hAnsi="Verdana" w:cs="Arial"/>
          <w:sz w:val="16"/>
          <w:szCs w:val="16"/>
        </w:rPr>
        <w:t xml:space="preserve"> CORTE SUPREMA DE JUSTICIA, Sala de Casación Civil, sentencia de 30 de agosto de 2011, expediente 11001-3103-012-1999-01957-01</w:t>
      </w:r>
    </w:p>
  </w:footnote>
  <w:footnote w:id="22">
    <w:p w14:paraId="1413593D" w14:textId="77777777" w:rsidR="0018485D" w:rsidRPr="00A46386" w:rsidRDefault="0018485D" w:rsidP="0018485D">
      <w:pPr>
        <w:pStyle w:val="Textonotapie"/>
        <w:ind w:firstLine="708"/>
        <w:jc w:val="both"/>
        <w:rPr>
          <w:rFonts w:ascii="Verdana" w:hAnsi="Verdana"/>
          <w:sz w:val="16"/>
          <w:szCs w:val="16"/>
          <w:lang w:val="es-CO"/>
        </w:rPr>
      </w:pPr>
      <w:r w:rsidRPr="00A46386">
        <w:rPr>
          <w:rStyle w:val="Refdenotaalpie"/>
          <w:rFonts w:ascii="Verdana" w:hAnsi="Verdana"/>
          <w:sz w:val="16"/>
          <w:szCs w:val="16"/>
          <w:vertAlign w:val="baseline"/>
        </w:rPr>
        <w:footnoteRef/>
      </w:r>
      <w:r w:rsidRPr="00A46386">
        <w:rPr>
          <w:rFonts w:ascii="Verdana" w:hAnsi="Verdana"/>
          <w:sz w:val="16"/>
          <w:szCs w:val="16"/>
        </w:rPr>
        <w:t xml:space="preserve"> A manera de ejemplo, sin perjuicio de las dudas que suscitan algunas causales, el derecho civil lo permite discrecionalmente en el arrendamiento de bienes y servicios inmateriales –arts. 2009 y 2066–, en la confección de obra material –art. 2056– y en el mandato –arts. 2191 y 2193–; igualmente, el derecho comercial habilita la potestad en el pacto de arras –art. 977–, en el contrato de suministro –art. 977–, seguro –arts. 1071 y 1159–, fiducia –art. 1240–, mandato –art. 1279–, agencia –art. 1324–, entre otros; pero la terminación también puede fundamentarse en el incumplimiento de las obligaciones, como está consagrado en contratos como el de compraventa –art. 1882 del Código Civil–, arrendamiento de cosas –arts. 1983 y 1984 del Código Civil–, mandato –art. 2185 del Código Civil–, suministro –art. 973 del Código de Comercio–, seguro –art. 1068 del Código de Comercio–, entre otros.</w:t>
      </w:r>
    </w:p>
  </w:footnote>
  <w:footnote w:id="23">
    <w:p w14:paraId="4553461D" w14:textId="77777777" w:rsidR="0018485D" w:rsidRPr="00A46386" w:rsidRDefault="0018485D" w:rsidP="0018485D">
      <w:pPr>
        <w:pStyle w:val="Textonotapie"/>
        <w:ind w:firstLine="708"/>
        <w:jc w:val="both"/>
        <w:rPr>
          <w:rFonts w:ascii="Verdana" w:hAnsi="Verdana"/>
          <w:sz w:val="16"/>
          <w:szCs w:val="16"/>
          <w:lang w:val="es-ES"/>
        </w:rPr>
      </w:pPr>
      <w:r w:rsidRPr="00A46386">
        <w:rPr>
          <w:rStyle w:val="Refdenotaalpie"/>
          <w:rFonts w:ascii="Verdana" w:hAnsi="Verdana"/>
          <w:sz w:val="16"/>
          <w:szCs w:val="16"/>
          <w:vertAlign w:val="baseline"/>
        </w:rPr>
        <w:footnoteRef/>
      </w:r>
      <w:r w:rsidRPr="00A46386">
        <w:rPr>
          <w:rFonts w:ascii="Verdana" w:hAnsi="Verdana"/>
          <w:sz w:val="16"/>
          <w:szCs w:val="16"/>
        </w:rPr>
        <w:t xml:space="preserve"> CONSEJO DE ESTADO. Sección Tercera. Subsección C. Sentencia del 3 de septiembre de 2015. C.P. Olga Melida Valle de De la Hoz. Exp. 38.247. En esta misma línea, se encuentran las siguientes sentencias: CONSEJO DE ESTADO. Sección Tercera. Subsección A. Sentencia del 27 de febrero de 2013. C.P. Mauricio Fajardo Gómez. Exp. 25.590; CONSEJO DE ESTADO. Sección Tercera. Subsección B. Sentencia del 1 de agosto de 2018. C.P. Stella Conto Díaz del Castillo. Exp. 39.277.  </w:t>
      </w:r>
    </w:p>
  </w:footnote>
  <w:footnote w:id="24">
    <w:p w14:paraId="26B58EEB" w14:textId="77777777" w:rsidR="0018485D" w:rsidRPr="00A46386" w:rsidRDefault="0018485D" w:rsidP="0018485D">
      <w:pPr>
        <w:pStyle w:val="Textonotapie"/>
        <w:ind w:firstLine="708"/>
        <w:jc w:val="both"/>
        <w:rPr>
          <w:rFonts w:ascii="Verdana" w:hAnsi="Verdana"/>
          <w:sz w:val="16"/>
          <w:szCs w:val="16"/>
          <w:lang w:val="es-CO"/>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 xml:space="preserve">CONSEJO DE ESTADO. Sección Tercera. Subsección C. Sentencia del 24 de agosto de 2016. </w:t>
      </w:r>
      <w:r w:rsidRPr="00974592">
        <w:rPr>
          <w:rFonts w:ascii="Verdana" w:hAnsi="Verdana"/>
          <w:sz w:val="16"/>
          <w:szCs w:val="16"/>
          <w:lang w:val="pt-BR"/>
        </w:rPr>
        <w:t xml:space="preserve">C.P. Jaime Orlando Santofimio Gamboa. Exp. 41.783.; CONSEJO DE ESTADO. </w:t>
      </w:r>
      <w:r w:rsidRPr="00A46386">
        <w:rPr>
          <w:rFonts w:ascii="Verdana" w:hAnsi="Verdana"/>
          <w:sz w:val="16"/>
          <w:szCs w:val="16"/>
          <w:lang w:val="es-CO"/>
        </w:rPr>
        <w:t xml:space="preserve">Sección Tercera. Subsección C. Sentencia del 19 de julio de 2017. C.P. Jaime Orlando Santofimio Gamboa. Exp. 57.394; CONSEJO DE ESTADO. Sección Tercera. Subsección C. Sentencia del 18 de agosto de 2020. C.P. Guillermo Sánchez Luque. Exp. 36875.  </w:t>
      </w:r>
    </w:p>
  </w:footnote>
  <w:footnote w:id="25">
    <w:p w14:paraId="1E3892AF" w14:textId="77777777" w:rsidR="0018485D" w:rsidRPr="00A46386" w:rsidRDefault="0018485D" w:rsidP="0018485D">
      <w:pPr>
        <w:pStyle w:val="Textonotapie"/>
        <w:ind w:firstLine="708"/>
        <w:jc w:val="both"/>
        <w:rPr>
          <w:rFonts w:ascii="Verdana" w:hAnsi="Verdana"/>
          <w:sz w:val="16"/>
          <w:szCs w:val="16"/>
          <w:lang w:val="es-CO"/>
        </w:rPr>
      </w:pPr>
      <w:r w:rsidRPr="00A46386">
        <w:rPr>
          <w:rStyle w:val="Refdenotaalpie"/>
          <w:rFonts w:ascii="Verdana" w:hAnsi="Verdana"/>
          <w:sz w:val="16"/>
          <w:szCs w:val="16"/>
          <w:vertAlign w:val="baseline"/>
        </w:rPr>
        <w:footnoteRef/>
      </w:r>
      <w:r w:rsidRPr="00A46386">
        <w:rPr>
          <w:rFonts w:ascii="Verdana" w:hAnsi="Verdana"/>
          <w:sz w:val="16"/>
          <w:szCs w:val="16"/>
        </w:rPr>
        <w:t xml:space="preserve"> </w:t>
      </w:r>
      <w:r w:rsidRPr="00A46386">
        <w:rPr>
          <w:rFonts w:ascii="Verdana" w:hAnsi="Verdana"/>
          <w:sz w:val="16"/>
          <w:szCs w:val="16"/>
          <w:lang w:val="es-CO"/>
        </w:rPr>
        <w:t xml:space="preserve">BIANCA, Massimo. Derecho Civil. 3. El contrato. Bogotá: Universidad Externado de Colombia, 2007. p. 755. </w:t>
      </w:r>
    </w:p>
  </w:footnote>
  <w:footnote w:id="26">
    <w:p w14:paraId="7B5FF7B9" w14:textId="77777777" w:rsidR="0018485D" w:rsidRPr="007B21D7" w:rsidRDefault="0018485D" w:rsidP="0018485D">
      <w:pPr>
        <w:pStyle w:val="Textonotapie"/>
        <w:ind w:firstLine="708"/>
        <w:jc w:val="both"/>
        <w:rPr>
          <w:rFonts w:ascii="Verdana" w:hAnsi="Verdana"/>
          <w:sz w:val="16"/>
          <w:szCs w:val="16"/>
          <w:lang w:val="es-CO"/>
        </w:rPr>
      </w:pPr>
      <w:r>
        <w:rPr>
          <w:rStyle w:val="Refdenotaalpie"/>
        </w:rPr>
        <w:footnoteRef/>
      </w:r>
      <w:r>
        <w:t xml:space="preserve"> </w:t>
      </w:r>
      <w:r w:rsidRPr="00E13584">
        <w:rPr>
          <w:rFonts w:ascii="Verdana" w:hAnsi="Verdana"/>
          <w:sz w:val="16"/>
          <w:szCs w:val="16"/>
        </w:rPr>
        <w:t>CONSEJO DE ESTADO, Sección Tercera, Subsección A. Sentencia del 19 de mayo de 202</w:t>
      </w:r>
      <w:r>
        <w:rPr>
          <w:rFonts w:ascii="Verdana" w:hAnsi="Verdana"/>
          <w:sz w:val="16"/>
          <w:szCs w:val="16"/>
        </w:rPr>
        <w:t xml:space="preserve">5. C.P. Adriana Marín Marín. Exp. </w:t>
      </w:r>
      <w:r>
        <w:rPr>
          <w:rFonts w:ascii="Verdana" w:hAnsi="Verdana"/>
          <w:bCs/>
          <w:sz w:val="16"/>
          <w:szCs w:val="16"/>
          <w:lang w:val="es-CO"/>
        </w:rPr>
        <w:t>70.504</w:t>
      </w:r>
      <w:r w:rsidRPr="00E13584">
        <w:rPr>
          <w:rFonts w:ascii="Verdana" w:hAnsi="Verdana"/>
          <w:bCs/>
          <w:sz w:val="16"/>
          <w:szCs w:val="16"/>
          <w:lang w:val="es-CO"/>
        </w:rPr>
        <w:t>. Al respecto,</w:t>
      </w:r>
      <w:r w:rsidRPr="00E13584">
        <w:rPr>
          <w:rFonts w:ascii="Verdana" w:hAnsi="Verdana"/>
          <w:b/>
          <w:bCs/>
          <w:sz w:val="16"/>
          <w:szCs w:val="16"/>
          <w:lang w:val="es-CO"/>
        </w:rPr>
        <w:t xml:space="preserve"> </w:t>
      </w:r>
      <w:r w:rsidRPr="00E13584">
        <w:rPr>
          <w:rFonts w:ascii="Verdana" w:hAnsi="Verdana"/>
          <w:sz w:val="16"/>
          <w:szCs w:val="16"/>
          <w:lang w:val="es-CO"/>
        </w:rPr>
        <w:t xml:space="preserve">La Subsección B de la Sección Tercera expresó: </w:t>
      </w:r>
      <w:r w:rsidRPr="00E13584">
        <w:rPr>
          <w:rFonts w:ascii="Verdana" w:hAnsi="Verdana"/>
          <w:iCs/>
          <w:sz w:val="16"/>
          <w:szCs w:val="16"/>
          <w:lang w:val="es-CO"/>
        </w:rPr>
        <w:t>“12.- Por su naturaleza, los convenios interadministrativos no se encuentran sujetos a las normas de la Ley 80 de 1993 sobre liquidación de los contratos. Así las cosas, para definir desde cuándo se computa el término de caducidad, debe verificarse si las partes regularon cómo hacer la liquidación en las estipulaciones del convenio. // 12.1.- Teniendo en cuenta lo anterior, la Sala estima necesario precisar que, en los casos de este tipo de convenios, así como en los contratos no sometidos a la Ley 80 de 1993, el cómputo del término de caducidad previsto en el aparte v del literal j) del numeral 2 del artículo 164 del CPACA, debe sujetarse a la forma en que las partes hayan regulado la liquidación en el convenio o contrato”</w:t>
      </w:r>
      <w:r w:rsidRPr="00E13584">
        <w:rPr>
          <w:rFonts w:ascii="Verdana" w:hAnsi="Verdana"/>
          <w:i/>
          <w:iCs/>
          <w:sz w:val="16"/>
          <w:szCs w:val="16"/>
          <w:lang w:val="es-CO"/>
        </w:rPr>
        <w:t xml:space="preserve"> </w:t>
      </w:r>
      <w:r w:rsidRPr="00E13584">
        <w:rPr>
          <w:rFonts w:ascii="Verdana" w:hAnsi="Verdana"/>
          <w:sz w:val="16"/>
          <w:szCs w:val="16"/>
          <w:lang w:val="es-CO"/>
        </w:rPr>
        <w:t>(CONSEJO DE ESTADO, Sección Tercera, Subsección B. Sentencia del 20 de mayo de 2024,</w:t>
      </w:r>
      <w:r>
        <w:rPr>
          <w:rFonts w:ascii="Verdana" w:hAnsi="Verdana"/>
          <w:sz w:val="16"/>
          <w:szCs w:val="16"/>
          <w:lang w:val="es-CO"/>
        </w:rPr>
        <w:t xml:space="preserve"> C.P. Martín Bermúdez Muñoz. Exp. 70086)</w:t>
      </w:r>
      <w:r w:rsidRPr="00E13584">
        <w:rPr>
          <w:rFonts w:ascii="Verdana" w:hAnsi="Verdana"/>
          <w:sz w:val="16"/>
          <w:szCs w:val="16"/>
          <w:lang w:val="es-CO"/>
        </w:rPr>
        <w:t>.</w:t>
      </w:r>
    </w:p>
  </w:footnote>
  <w:footnote w:id="27">
    <w:p w14:paraId="2BAF5E3B" w14:textId="77777777" w:rsidR="0018485D" w:rsidRPr="00A46386" w:rsidRDefault="0018485D" w:rsidP="0018485D">
      <w:pPr>
        <w:pStyle w:val="Textonotapie"/>
        <w:ind w:firstLine="708"/>
        <w:jc w:val="both"/>
        <w:rPr>
          <w:rFonts w:ascii="Verdana" w:hAnsi="Verdana"/>
          <w:sz w:val="16"/>
          <w:szCs w:val="16"/>
          <w:lang w:val="es-ES"/>
        </w:rPr>
      </w:pPr>
      <w:r w:rsidRPr="00A46386">
        <w:rPr>
          <w:rStyle w:val="Refdenotaalpie"/>
          <w:rFonts w:ascii="Verdana" w:hAnsi="Verdana"/>
          <w:sz w:val="16"/>
          <w:szCs w:val="16"/>
        </w:rPr>
        <w:footnoteRef/>
      </w:r>
      <w:r w:rsidRPr="00A46386">
        <w:rPr>
          <w:rFonts w:ascii="Verdana" w:hAnsi="Verdana"/>
          <w:sz w:val="16"/>
          <w:szCs w:val="16"/>
        </w:rPr>
        <w:t xml:space="preserve"> CONSEJO DE ESTADO. Sección Tercera. Subsección B. Sentencia del 26 de junio de 2015. C.P. Stella Conto Díaz del Castillo. Expo 34367; CONSEJO DE ESTADO. Sección Tercera. Sentencia del 29 de noviembre de 2017. Sentencia del 29 de noviembre de 2017. C.P. Ramiro Pazos Guerrero. Exp. 35271. </w:t>
      </w:r>
    </w:p>
  </w:footnote>
  <w:footnote w:id="28">
    <w:p w14:paraId="01BED82D" w14:textId="77777777" w:rsidR="0018485D" w:rsidRPr="00696999" w:rsidRDefault="0018485D" w:rsidP="0018485D">
      <w:pPr>
        <w:pStyle w:val="Textonotapie"/>
        <w:ind w:firstLine="708"/>
        <w:jc w:val="both"/>
        <w:rPr>
          <w:lang w:val="es-ES"/>
        </w:rPr>
      </w:pPr>
      <w:r w:rsidRPr="00A46386">
        <w:rPr>
          <w:rStyle w:val="Refdenotaalpie"/>
          <w:rFonts w:ascii="Verdana" w:hAnsi="Verdana"/>
          <w:sz w:val="16"/>
          <w:szCs w:val="16"/>
        </w:rPr>
        <w:footnoteRef/>
      </w:r>
      <w:r w:rsidRPr="00A46386">
        <w:rPr>
          <w:rFonts w:ascii="Verdana" w:hAnsi="Verdana"/>
          <w:sz w:val="16"/>
          <w:szCs w:val="16"/>
        </w:rPr>
        <w:t xml:space="preserve"> CONSEJO DE ESTADO. Sección Tercera. Subsección C. Sentencia del 20 de febrero de 2017. </w:t>
      </w:r>
      <w:r w:rsidRPr="00974592">
        <w:rPr>
          <w:rFonts w:ascii="Verdana" w:hAnsi="Verdana"/>
          <w:sz w:val="16"/>
          <w:szCs w:val="16"/>
          <w:lang w:val="pt-BR"/>
        </w:rPr>
        <w:t xml:space="preserve">C.P. Jaime Orlando Santofimio Gamboa. Exp. 56562; CONSEJO DE ESTADO. </w:t>
      </w:r>
      <w:r w:rsidRPr="00A46386">
        <w:rPr>
          <w:rFonts w:ascii="Verdana" w:hAnsi="Verdana"/>
          <w:sz w:val="16"/>
          <w:szCs w:val="16"/>
        </w:rPr>
        <w:t xml:space="preserve">Sección Tercera. Subsección C. Sentencia del 19 de julio de 2017. C.P. Jaime Orlando Santofimio Gamboa. Expo 57394; CONSEJO DE ESTADO. Sección Tercera. Subsección B. Sentencia del 18 de noviembre de 2021. C.P. Martín Bermúdez Muñoz. Exp 57537.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EC0E3F" w:rsidRDefault="00EC0E3F">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EC0E3F" w:rsidRDefault="00EC0E3F">
    <w:pPr>
      <w:pStyle w:val="Encabezado"/>
    </w:pPr>
  </w:p>
  <w:p w14:paraId="3079FC11" w14:textId="77777777" w:rsidR="00EC0E3F" w:rsidRDefault="00EC0E3F" w:rsidP="004A305D">
    <w:pPr>
      <w:spacing w:after="0"/>
      <w:rPr>
        <w:rFonts w:ascii="Verdana" w:hAnsi="Verdana"/>
        <w:b/>
        <w:bCs/>
      </w:rPr>
    </w:pPr>
  </w:p>
  <w:p w14:paraId="5E18350A" w14:textId="705F7B76" w:rsidR="00EC0E3F" w:rsidRPr="004A305D" w:rsidRDefault="00EC0E3F" w:rsidP="00B01B1A">
    <w:pPr>
      <w:spacing w:after="0" w:line="120" w:lineRule="auto"/>
      <w:rPr>
        <w:rFonts w:ascii="Century Gothic" w:eastAsia="Geo" w:hAnsi="Century Gothic" w:cs="Geo"/>
        <w:sz w:val="16"/>
        <w:szCs w:val="16"/>
        <w:lang w:eastAsia="es-CO"/>
      </w:rPr>
    </w:pPr>
  </w:p>
  <w:p w14:paraId="1FD1C243" w14:textId="6D74A3CF" w:rsidR="00EC0E3F" w:rsidRDefault="00EC0E3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90472F2"/>
    <w:multiLevelType w:val="hybridMultilevel"/>
    <w:tmpl w:val="167ABF28"/>
    <w:lvl w:ilvl="0" w:tplc="0AC2F006">
      <w:numFmt w:val="bullet"/>
      <w:lvlText w:val=""/>
      <w:lvlJc w:val="left"/>
      <w:pPr>
        <w:ind w:left="1181" w:hanging="360"/>
      </w:pPr>
      <w:rPr>
        <w:rFonts w:ascii="Symbol" w:eastAsia="Symbol" w:hAnsi="Symbol" w:cs="Symbol" w:hint="default"/>
        <w:b w:val="0"/>
        <w:bCs w:val="0"/>
        <w:i w:val="0"/>
        <w:iCs w:val="0"/>
        <w:spacing w:val="0"/>
        <w:w w:val="100"/>
        <w:sz w:val="22"/>
        <w:szCs w:val="22"/>
        <w:lang w:val="es-ES" w:eastAsia="en-US" w:bidi="ar-SA"/>
      </w:rPr>
    </w:lvl>
    <w:lvl w:ilvl="1" w:tplc="B3B6F79E">
      <w:numFmt w:val="bullet"/>
      <w:lvlText w:val="•"/>
      <w:lvlJc w:val="left"/>
      <w:pPr>
        <w:ind w:left="1998" w:hanging="360"/>
      </w:pPr>
      <w:rPr>
        <w:rFonts w:hint="default"/>
        <w:lang w:val="es-ES" w:eastAsia="en-US" w:bidi="ar-SA"/>
      </w:rPr>
    </w:lvl>
    <w:lvl w:ilvl="2" w:tplc="0B3C5E0E">
      <w:numFmt w:val="bullet"/>
      <w:lvlText w:val="•"/>
      <w:lvlJc w:val="left"/>
      <w:pPr>
        <w:ind w:left="2816" w:hanging="360"/>
      </w:pPr>
      <w:rPr>
        <w:rFonts w:hint="default"/>
        <w:lang w:val="es-ES" w:eastAsia="en-US" w:bidi="ar-SA"/>
      </w:rPr>
    </w:lvl>
    <w:lvl w:ilvl="3" w:tplc="B7862390">
      <w:numFmt w:val="bullet"/>
      <w:lvlText w:val="•"/>
      <w:lvlJc w:val="left"/>
      <w:pPr>
        <w:ind w:left="3634" w:hanging="360"/>
      </w:pPr>
      <w:rPr>
        <w:rFonts w:hint="default"/>
        <w:lang w:val="es-ES" w:eastAsia="en-US" w:bidi="ar-SA"/>
      </w:rPr>
    </w:lvl>
    <w:lvl w:ilvl="4" w:tplc="90E87D84">
      <w:numFmt w:val="bullet"/>
      <w:lvlText w:val="•"/>
      <w:lvlJc w:val="left"/>
      <w:pPr>
        <w:ind w:left="4452" w:hanging="360"/>
      </w:pPr>
      <w:rPr>
        <w:rFonts w:hint="default"/>
        <w:lang w:val="es-ES" w:eastAsia="en-US" w:bidi="ar-SA"/>
      </w:rPr>
    </w:lvl>
    <w:lvl w:ilvl="5" w:tplc="9BE638DC">
      <w:numFmt w:val="bullet"/>
      <w:lvlText w:val="•"/>
      <w:lvlJc w:val="left"/>
      <w:pPr>
        <w:ind w:left="5270" w:hanging="360"/>
      </w:pPr>
      <w:rPr>
        <w:rFonts w:hint="default"/>
        <w:lang w:val="es-ES" w:eastAsia="en-US" w:bidi="ar-SA"/>
      </w:rPr>
    </w:lvl>
    <w:lvl w:ilvl="6" w:tplc="994A4E1C">
      <w:numFmt w:val="bullet"/>
      <w:lvlText w:val="•"/>
      <w:lvlJc w:val="left"/>
      <w:pPr>
        <w:ind w:left="6088" w:hanging="360"/>
      </w:pPr>
      <w:rPr>
        <w:rFonts w:hint="default"/>
        <w:lang w:val="es-ES" w:eastAsia="en-US" w:bidi="ar-SA"/>
      </w:rPr>
    </w:lvl>
    <w:lvl w:ilvl="7" w:tplc="1E40C10C">
      <w:numFmt w:val="bullet"/>
      <w:lvlText w:val="•"/>
      <w:lvlJc w:val="left"/>
      <w:pPr>
        <w:ind w:left="6906" w:hanging="360"/>
      </w:pPr>
      <w:rPr>
        <w:rFonts w:hint="default"/>
        <w:lang w:val="es-ES" w:eastAsia="en-US" w:bidi="ar-SA"/>
      </w:rPr>
    </w:lvl>
    <w:lvl w:ilvl="8" w:tplc="9874411C">
      <w:numFmt w:val="bullet"/>
      <w:lvlText w:val="•"/>
      <w:lvlJc w:val="left"/>
      <w:pPr>
        <w:ind w:left="7724" w:hanging="360"/>
      </w:pPr>
      <w:rPr>
        <w:rFonts w:hint="default"/>
        <w:lang w:val="es-ES" w:eastAsia="en-US" w:bidi="ar-SA"/>
      </w:rPr>
    </w:lvl>
  </w:abstractNum>
  <w:abstractNum w:abstractNumId="1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711A51"/>
    <w:multiLevelType w:val="hybridMultilevel"/>
    <w:tmpl w:val="A518028C"/>
    <w:lvl w:ilvl="0" w:tplc="063EE9EE">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E3C4932E">
      <w:start w:val="1"/>
      <w:numFmt w:val="lowerLetter"/>
      <w:lvlText w:val="%2)"/>
      <w:lvlJc w:val="left"/>
      <w:pPr>
        <w:ind w:left="261" w:hanging="383"/>
      </w:pPr>
      <w:rPr>
        <w:rFonts w:ascii="Verdana" w:eastAsia="Verdana" w:hAnsi="Verdana" w:cs="Verdana" w:hint="default"/>
        <w:b w:val="0"/>
        <w:bCs w:val="0"/>
        <w:i w:val="0"/>
        <w:iCs w:val="0"/>
        <w:spacing w:val="-1"/>
        <w:w w:val="99"/>
        <w:sz w:val="22"/>
        <w:szCs w:val="22"/>
        <w:lang w:val="es-ES" w:eastAsia="en-US" w:bidi="ar-SA"/>
      </w:rPr>
    </w:lvl>
    <w:lvl w:ilvl="2" w:tplc="B1BCF86C">
      <w:start w:val="1"/>
      <w:numFmt w:val="lowerLetter"/>
      <w:lvlText w:val="%3)"/>
      <w:lvlJc w:val="left"/>
      <w:pPr>
        <w:ind w:left="981" w:hanging="360"/>
      </w:pPr>
      <w:rPr>
        <w:rFonts w:ascii="Verdana" w:eastAsia="Verdana" w:hAnsi="Verdana" w:cs="Verdana" w:hint="default"/>
        <w:b w:val="0"/>
        <w:bCs w:val="0"/>
        <w:i w:val="0"/>
        <w:iCs w:val="0"/>
        <w:spacing w:val="-1"/>
        <w:w w:val="99"/>
        <w:sz w:val="22"/>
        <w:szCs w:val="22"/>
        <w:lang w:val="es-ES" w:eastAsia="en-US" w:bidi="ar-SA"/>
      </w:rPr>
    </w:lvl>
    <w:lvl w:ilvl="3" w:tplc="DA86040E">
      <w:numFmt w:val="bullet"/>
      <w:lvlText w:val="•"/>
      <w:lvlJc w:val="left"/>
      <w:pPr>
        <w:ind w:left="2072" w:hanging="360"/>
      </w:pPr>
      <w:rPr>
        <w:rFonts w:hint="default"/>
        <w:lang w:val="es-ES" w:eastAsia="en-US" w:bidi="ar-SA"/>
      </w:rPr>
    </w:lvl>
    <w:lvl w:ilvl="4" w:tplc="CE88E080">
      <w:numFmt w:val="bullet"/>
      <w:lvlText w:val="•"/>
      <w:lvlJc w:val="left"/>
      <w:pPr>
        <w:ind w:left="3165" w:hanging="360"/>
      </w:pPr>
      <w:rPr>
        <w:rFonts w:hint="default"/>
        <w:lang w:val="es-ES" w:eastAsia="en-US" w:bidi="ar-SA"/>
      </w:rPr>
    </w:lvl>
    <w:lvl w:ilvl="5" w:tplc="1B5AB794">
      <w:numFmt w:val="bullet"/>
      <w:lvlText w:val="•"/>
      <w:lvlJc w:val="left"/>
      <w:pPr>
        <w:ind w:left="4257" w:hanging="360"/>
      </w:pPr>
      <w:rPr>
        <w:rFonts w:hint="default"/>
        <w:lang w:val="es-ES" w:eastAsia="en-US" w:bidi="ar-SA"/>
      </w:rPr>
    </w:lvl>
    <w:lvl w:ilvl="6" w:tplc="57C474B0">
      <w:numFmt w:val="bullet"/>
      <w:lvlText w:val="•"/>
      <w:lvlJc w:val="left"/>
      <w:pPr>
        <w:ind w:left="5350" w:hanging="360"/>
      </w:pPr>
      <w:rPr>
        <w:rFonts w:hint="default"/>
        <w:lang w:val="es-ES" w:eastAsia="en-US" w:bidi="ar-SA"/>
      </w:rPr>
    </w:lvl>
    <w:lvl w:ilvl="7" w:tplc="ED962E92">
      <w:numFmt w:val="bullet"/>
      <w:lvlText w:val="•"/>
      <w:lvlJc w:val="left"/>
      <w:pPr>
        <w:ind w:left="6442" w:hanging="360"/>
      </w:pPr>
      <w:rPr>
        <w:rFonts w:hint="default"/>
        <w:lang w:val="es-ES" w:eastAsia="en-US" w:bidi="ar-SA"/>
      </w:rPr>
    </w:lvl>
    <w:lvl w:ilvl="8" w:tplc="E7EC06B6">
      <w:numFmt w:val="bullet"/>
      <w:lvlText w:val="•"/>
      <w:lvlJc w:val="left"/>
      <w:pPr>
        <w:ind w:left="7535" w:hanging="360"/>
      </w:pPr>
      <w:rPr>
        <w:rFonts w:hint="default"/>
        <w:lang w:val="es-ES" w:eastAsia="en-US" w:bidi="ar-SA"/>
      </w:rPr>
    </w:lvl>
  </w:abstractNum>
  <w:abstractNum w:abstractNumId="25" w15:restartNumberingAfterBreak="0">
    <w:nsid w:val="61E905C1"/>
    <w:multiLevelType w:val="hybridMultilevel"/>
    <w:tmpl w:val="84F880E2"/>
    <w:lvl w:ilvl="0" w:tplc="60586CCE">
      <w:start w:val="4"/>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040858946">
    <w:abstractNumId w:val="13"/>
  </w:num>
  <w:num w:numId="2" w16cid:durableId="1315187146">
    <w:abstractNumId w:val="2"/>
  </w:num>
  <w:num w:numId="3" w16cid:durableId="1383870253">
    <w:abstractNumId w:val="11"/>
  </w:num>
  <w:num w:numId="4" w16cid:durableId="1745440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0959205">
    <w:abstractNumId w:val="2"/>
  </w:num>
  <w:num w:numId="6" w16cid:durableId="500507789">
    <w:abstractNumId w:val="30"/>
  </w:num>
  <w:num w:numId="7" w16cid:durableId="59645979">
    <w:abstractNumId w:val="12"/>
  </w:num>
  <w:num w:numId="8" w16cid:durableId="1143276103">
    <w:abstractNumId w:val="29"/>
  </w:num>
  <w:num w:numId="9" w16cid:durableId="878012126">
    <w:abstractNumId w:val="14"/>
  </w:num>
  <w:num w:numId="10" w16cid:durableId="792361858">
    <w:abstractNumId w:val="27"/>
  </w:num>
  <w:num w:numId="11" w16cid:durableId="840580267">
    <w:abstractNumId w:val="15"/>
  </w:num>
  <w:num w:numId="12" w16cid:durableId="1853495442">
    <w:abstractNumId w:val="1"/>
  </w:num>
  <w:num w:numId="13" w16cid:durableId="1294019158">
    <w:abstractNumId w:val="7"/>
  </w:num>
  <w:num w:numId="14" w16cid:durableId="2062359538">
    <w:abstractNumId w:val="31"/>
  </w:num>
  <w:num w:numId="15" w16cid:durableId="704792293">
    <w:abstractNumId w:val="26"/>
  </w:num>
  <w:num w:numId="16" w16cid:durableId="15764281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2047157">
    <w:abstractNumId w:val="5"/>
  </w:num>
  <w:num w:numId="18" w16cid:durableId="848833651">
    <w:abstractNumId w:val="22"/>
  </w:num>
  <w:num w:numId="19" w16cid:durableId="1823959552">
    <w:abstractNumId w:val="9"/>
  </w:num>
  <w:num w:numId="20" w16cid:durableId="172691219">
    <w:abstractNumId w:val="16"/>
  </w:num>
  <w:num w:numId="21" w16cid:durableId="437606859">
    <w:abstractNumId w:val="32"/>
  </w:num>
  <w:num w:numId="22" w16cid:durableId="987443613">
    <w:abstractNumId w:val="18"/>
  </w:num>
  <w:num w:numId="23" w16cid:durableId="174536666">
    <w:abstractNumId w:val="0"/>
  </w:num>
  <w:num w:numId="24" w16cid:durableId="1391659988">
    <w:abstractNumId w:val="23"/>
  </w:num>
  <w:num w:numId="25" w16cid:durableId="356277091">
    <w:abstractNumId w:val="20"/>
  </w:num>
  <w:num w:numId="26" w16cid:durableId="760031091">
    <w:abstractNumId w:val="19"/>
  </w:num>
  <w:num w:numId="27" w16cid:durableId="422337151">
    <w:abstractNumId w:val="6"/>
  </w:num>
  <w:num w:numId="28" w16cid:durableId="965818209">
    <w:abstractNumId w:val="8"/>
  </w:num>
  <w:num w:numId="29" w16cid:durableId="2104764055">
    <w:abstractNumId w:val="3"/>
  </w:num>
  <w:num w:numId="30" w16cid:durableId="1741632932">
    <w:abstractNumId w:val="4"/>
  </w:num>
  <w:num w:numId="31" w16cid:durableId="542986825">
    <w:abstractNumId w:val="21"/>
  </w:num>
  <w:num w:numId="32" w16cid:durableId="1868834822">
    <w:abstractNumId w:val="28"/>
  </w:num>
  <w:num w:numId="33" w16cid:durableId="320933919">
    <w:abstractNumId w:val="24"/>
  </w:num>
  <w:num w:numId="34" w16cid:durableId="2071494270">
    <w:abstractNumId w:val="10"/>
  </w:num>
  <w:num w:numId="35" w16cid:durableId="1839811630">
    <w:abstractNumId w:val="25"/>
  </w:num>
  <w:num w:numId="36" w16cid:durableId="7080716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27D"/>
    <w:rsid w:val="000025A3"/>
    <w:rsid w:val="000039A2"/>
    <w:rsid w:val="000062F3"/>
    <w:rsid w:val="0000797D"/>
    <w:rsid w:val="0001328B"/>
    <w:rsid w:val="00021052"/>
    <w:rsid w:val="000224F2"/>
    <w:rsid w:val="00023C3E"/>
    <w:rsid w:val="0002653B"/>
    <w:rsid w:val="00026DFC"/>
    <w:rsid w:val="00032821"/>
    <w:rsid w:val="00032F30"/>
    <w:rsid w:val="00036498"/>
    <w:rsid w:val="00040F37"/>
    <w:rsid w:val="00041187"/>
    <w:rsid w:val="00041860"/>
    <w:rsid w:val="0004434A"/>
    <w:rsid w:val="0005281E"/>
    <w:rsid w:val="000539CB"/>
    <w:rsid w:val="0005682C"/>
    <w:rsid w:val="00056D71"/>
    <w:rsid w:val="00061B2A"/>
    <w:rsid w:val="00062BAF"/>
    <w:rsid w:val="000630B9"/>
    <w:rsid w:val="000635D0"/>
    <w:rsid w:val="000643B2"/>
    <w:rsid w:val="00065E80"/>
    <w:rsid w:val="0007022C"/>
    <w:rsid w:val="00071DE6"/>
    <w:rsid w:val="0007232E"/>
    <w:rsid w:val="00077439"/>
    <w:rsid w:val="000774B8"/>
    <w:rsid w:val="00082362"/>
    <w:rsid w:val="0008328D"/>
    <w:rsid w:val="00083B95"/>
    <w:rsid w:val="000876F0"/>
    <w:rsid w:val="00090C58"/>
    <w:rsid w:val="000920CF"/>
    <w:rsid w:val="0009387A"/>
    <w:rsid w:val="0009387B"/>
    <w:rsid w:val="000963C6"/>
    <w:rsid w:val="00096C02"/>
    <w:rsid w:val="0009762F"/>
    <w:rsid w:val="000A31B9"/>
    <w:rsid w:val="000A3330"/>
    <w:rsid w:val="000A3D63"/>
    <w:rsid w:val="000A683A"/>
    <w:rsid w:val="000A683E"/>
    <w:rsid w:val="000B1082"/>
    <w:rsid w:val="000B158F"/>
    <w:rsid w:val="000B19B9"/>
    <w:rsid w:val="000C2889"/>
    <w:rsid w:val="000C53BE"/>
    <w:rsid w:val="000D0152"/>
    <w:rsid w:val="000D0334"/>
    <w:rsid w:val="000D25D7"/>
    <w:rsid w:val="000D3B29"/>
    <w:rsid w:val="000D42B3"/>
    <w:rsid w:val="000E06F4"/>
    <w:rsid w:val="000E0F63"/>
    <w:rsid w:val="000E4CE4"/>
    <w:rsid w:val="000F4D07"/>
    <w:rsid w:val="000F6486"/>
    <w:rsid w:val="000F669F"/>
    <w:rsid w:val="001030B9"/>
    <w:rsid w:val="001063B3"/>
    <w:rsid w:val="00107ACA"/>
    <w:rsid w:val="00110290"/>
    <w:rsid w:val="001114A9"/>
    <w:rsid w:val="00111979"/>
    <w:rsid w:val="00116537"/>
    <w:rsid w:val="00117B68"/>
    <w:rsid w:val="00120766"/>
    <w:rsid w:val="00121EA1"/>
    <w:rsid w:val="001240BD"/>
    <w:rsid w:val="00125105"/>
    <w:rsid w:val="00127233"/>
    <w:rsid w:val="00131D34"/>
    <w:rsid w:val="0013422E"/>
    <w:rsid w:val="00143E81"/>
    <w:rsid w:val="00143FD9"/>
    <w:rsid w:val="00145047"/>
    <w:rsid w:val="001450FF"/>
    <w:rsid w:val="00146C57"/>
    <w:rsid w:val="00147078"/>
    <w:rsid w:val="00150565"/>
    <w:rsid w:val="001514FA"/>
    <w:rsid w:val="00151952"/>
    <w:rsid w:val="00160D5C"/>
    <w:rsid w:val="0016332F"/>
    <w:rsid w:val="00165268"/>
    <w:rsid w:val="001717E9"/>
    <w:rsid w:val="0017238A"/>
    <w:rsid w:val="00172959"/>
    <w:rsid w:val="00180A30"/>
    <w:rsid w:val="0018159B"/>
    <w:rsid w:val="0018485D"/>
    <w:rsid w:val="00185EE9"/>
    <w:rsid w:val="00187F79"/>
    <w:rsid w:val="00191775"/>
    <w:rsid w:val="0019251B"/>
    <w:rsid w:val="00195992"/>
    <w:rsid w:val="00196153"/>
    <w:rsid w:val="00197274"/>
    <w:rsid w:val="001979E2"/>
    <w:rsid w:val="001A237A"/>
    <w:rsid w:val="001A26CF"/>
    <w:rsid w:val="001A2919"/>
    <w:rsid w:val="001B0A41"/>
    <w:rsid w:val="001B2717"/>
    <w:rsid w:val="001B2CFE"/>
    <w:rsid w:val="001C222E"/>
    <w:rsid w:val="001C22F9"/>
    <w:rsid w:val="001D1C29"/>
    <w:rsid w:val="001D318E"/>
    <w:rsid w:val="001D3426"/>
    <w:rsid w:val="001E3C06"/>
    <w:rsid w:val="001E4177"/>
    <w:rsid w:val="001F4EFD"/>
    <w:rsid w:val="001F5E13"/>
    <w:rsid w:val="001F6D11"/>
    <w:rsid w:val="001F7DC6"/>
    <w:rsid w:val="00202886"/>
    <w:rsid w:val="00206A83"/>
    <w:rsid w:val="002133F0"/>
    <w:rsid w:val="00215CEF"/>
    <w:rsid w:val="00217A08"/>
    <w:rsid w:val="00220B77"/>
    <w:rsid w:val="00221D27"/>
    <w:rsid w:val="00222ACF"/>
    <w:rsid w:val="0022564A"/>
    <w:rsid w:val="00227C89"/>
    <w:rsid w:val="002307E9"/>
    <w:rsid w:val="00237233"/>
    <w:rsid w:val="002421BB"/>
    <w:rsid w:val="00246A81"/>
    <w:rsid w:val="00251A5F"/>
    <w:rsid w:val="0025796E"/>
    <w:rsid w:val="002603E5"/>
    <w:rsid w:val="00260FA3"/>
    <w:rsid w:val="00260FD9"/>
    <w:rsid w:val="002638B2"/>
    <w:rsid w:val="002641E9"/>
    <w:rsid w:val="002660F2"/>
    <w:rsid w:val="002664BB"/>
    <w:rsid w:val="00267317"/>
    <w:rsid w:val="002703AA"/>
    <w:rsid w:val="002707A2"/>
    <w:rsid w:val="00270FB6"/>
    <w:rsid w:val="002715B9"/>
    <w:rsid w:val="00273D8D"/>
    <w:rsid w:val="00281E93"/>
    <w:rsid w:val="002835A6"/>
    <w:rsid w:val="002844ED"/>
    <w:rsid w:val="00290EBC"/>
    <w:rsid w:val="002951A0"/>
    <w:rsid w:val="002960D8"/>
    <w:rsid w:val="002962BC"/>
    <w:rsid w:val="002A093D"/>
    <w:rsid w:val="002A0DC4"/>
    <w:rsid w:val="002A0DD0"/>
    <w:rsid w:val="002A2CDE"/>
    <w:rsid w:val="002A49AC"/>
    <w:rsid w:val="002A5BC8"/>
    <w:rsid w:val="002A64FD"/>
    <w:rsid w:val="002A6BBF"/>
    <w:rsid w:val="002B1E57"/>
    <w:rsid w:val="002B1F7F"/>
    <w:rsid w:val="002B290B"/>
    <w:rsid w:val="002B631F"/>
    <w:rsid w:val="002B6519"/>
    <w:rsid w:val="002B73B9"/>
    <w:rsid w:val="002C110E"/>
    <w:rsid w:val="002C379A"/>
    <w:rsid w:val="002C765E"/>
    <w:rsid w:val="002C7A84"/>
    <w:rsid w:val="002D0F6A"/>
    <w:rsid w:val="002D13A1"/>
    <w:rsid w:val="002D3F0D"/>
    <w:rsid w:val="002E1D98"/>
    <w:rsid w:val="002E2C3F"/>
    <w:rsid w:val="002E2F4F"/>
    <w:rsid w:val="002E4FD9"/>
    <w:rsid w:val="002E6F15"/>
    <w:rsid w:val="002F13FD"/>
    <w:rsid w:val="002F533E"/>
    <w:rsid w:val="00303544"/>
    <w:rsid w:val="003039C1"/>
    <w:rsid w:val="00310DBE"/>
    <w:rsid w:val="00311C99"/>
    <w:rsid w:val="0031430F"/>
    <w:rsid w:val="00320BBD"/>
    <w:rsid w:val="00322A85"/>
    <w:rsid w:val="003232A5"/>
    <w:rsid w:val="00324168"/>
    <w:rsid w:val="0033032A"/>
    <w:rsid w:val="00334C6A"/>
    <w:rsid w:val="00336C05"/>
    <w:rsid w:val="00340983"/>
    <w:rsid w:val="00340C6A"/>
    <w:rsid w:val="00342675"/>
    <w:rsid w:val="00342BFA"/>
    <w:rsid w:val="00343512"/>
    <w:rsid w:val="003448F4"/>
    <w:rsid w:val="00345112"/>
    <w:rsid w:val="00345330"/>
    <w:rsid w:val="003528DF"/>
    <w:rsid w:val="00352BE9"/>
    <w:rsid w:val="00352C12"/>
    <w:rsid w:val="003549BD"/>
    <w:rsid w:val="00354BCA"/>
    <w:rsid w:val="00354F33"/>
    <w:rsid w:val="0036594E"/>
    <w:rsid w:val="003665EE"/>
    <w:rsid w:val="0037010E"/>
    <w:rsid w:val="00371EDF"/>
    <w:rsid w:val="003734F4"/>
    <w:rsid w:val="00374F5E"/>
    <w:rsid w:val="00377E2D"/>
    <w:rsid w:val="00377E3E"/>
    <w:rsid w:val="003815E8"/>
    <w:rsid w:val="00382B7C"/>
    <w:rsid w:val="00383902"/>
    <w:rsid w:val="003906F8"/>
    <w:rsid w:val="003907E7"/>
    <w:rsid w:val="00392A49"/>
    <w:rsid w:val="003A26D1"/>
    <w:rsid w:val="003A3B30"/>
    <w:rsid w:val="003A779E"/>
    <w:rsid w:val="003A7B6C"/>
    <w:rsid w:val="003B005A"/>
    <w:rsid w:val="003B0EAC"/>
    <w:rsid w:val="003C1BFE"/>
    <w:rsid w:val="003C1C0E"/>
    <w:rsid w:val="003C3FA5"/>
    <w:rsid w:val="003D0F4D"/>
    <w:rsid w:val="003D29CC"/>
    <w:rsid w:val="003D5B0D"/>
    <w:rsid w:val="003D66C4"/>
    <w:rsid w:val="003E0499"/>
    <w:rsid w:val="003E40F2"/>
    <w:rsid w:val="003E5EDF"/>
    <w:rsid w:val="003E60AE"/>
    <w:rsid w:val="003F3941"/>
    <w:rsid w:val="003F4BAF"/>
    <w:rsid w:val="00400676"/>
    <w:rsid w:val="004008A9"/>
    <w:rsid w:val="00405A3E"/>
    <w:rsid w:val="00406575"/>
    <w:rsid w:val="00407790"/>
    <w:rsid w:val="00407C75"/>
    <w:rsid w:val="00410906"/>
    <w:rsid w:val="00415077"/>
    <w:rsid w:val="0041655A"/>
    <w:rsid w:val="0041694B"/>
    <w:rsid w:val="00426FD7"/>
    <w:rsid w:val="0042722E"/>
    <w:rsid w:val="00427DA0"/>
    <w:rsid w:val="0043485F"/>
    <w:rsid w:val="00440391"/>
    <w:rsid w:val="00441FCF"/>
    <w:rsid w:val="00442AC3"/>
    <w:rsid w:val="00442C7F"/>
    <w:rsid w:val="0044528D"/>
    <w:rsid w:val="00447218"/>
    <w:rsid w:val="00450920"/>
    <w:rsid w:val="00454D48"/>
    <w:rsid w:val="004554F9"/>
    <w:rsid w:val="0046004D"/>
    <w:rsid w:val="004633DE"/>
    <w:rsid w:val="0046513D"/>
    <w:rsid w:val="00465E71"/>
    <w:rsid w:val="00470571"/>
    <w:rsid w:val="004712E0"/>
    <w:rsid w:val="004734BD"/>
    <w:rsid w:val="00474931"/>
    <w:rsid w:val="00482608"/>
    <w:rsid w:val="00483749"/>
    <w:rsid w:val="00484809"/>
    <w:rsid w:val="00484BB1"/>
    <w:rsid w:val="004871C2"/>
    <w:rsid w:val="00494B08"/>
    <w:rsid w:val="004A0980"/>
    <w:rsid w:val="004A0B8B"/>
    <w:rsid w:val="004A1847"/>
    <w:rsid w:val="004A305D"/>
    <w:rsid w:val="004A3312"/>
    <w:rsid w:val="004A6D9B"/>
    <w:rsid w:val="004B0CA2"/>
    <w:rsid w:val="004B6F2F"/>
    <w:rsid w:val="004B703F"/>
    <w:rsid w:val="004B740F"/>
    <w:rsid w:val="004C38BC"/>
    <w:rsid w:val="004C4B37"/>
    <w:rsid w:val="004D026D"/>
    <w:rsid w:val="004D3A9E"/>
    <w:rsid w:val="004D46AB"/>
    <w:rsid w:val="004D5998"/>
    <w:rsid w:val="004D657F"/>
    <w:rsid w:val="004E221E"/>
    <w:rsid w:val="004E2892"/>
    <w:rsid w:val="004E2BAE"/>
    <w:rsid w:val="004E4C0B"/>
    <w:rsid w:val="004E50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3E1B"/>
    <w:rsid w:val="0054043A"/>
    <w:rsid w:val="00540C2D"/>
    <w:rsid w:val="00540EFF"/>
    <w:rsid w:val="00541685"/>
    <w:rsid w:val="00541793"/>
    <w:rsid w:val="00552502"/>
    <w:rsid w:val="005566E8"/>
    <w:rsid w:val="00556D9F"/>
    <w:rsid w:val="00560CB5"/>
    <w:rsid w:val="00564F8B"/>
    <w:rsid w:val="00570DE1"/>
    <w:rsid w:val="00574122"/>
    <w:rsid w:val="00574867"/>
    <w:rsid w:val="0057702A"/>
    <w:rsid w:val="00577D09"/>
    <w:rsid w:val="00580387"/>
    <w:rsid w:val="0058087F"/>
    <w:rsid w:val="00591460"/>
    <w:rsid w:val="00592628"/>
    <w:rsid w:val="00597C75"/>
    <w:rsid w:val="005A0868"/>
    <w:rsid w:val="005A0CFB"/>
    <w:rsid w:val="005A282F"/>
    <w:rsid w:val="005A2AC9"/>
    <w:rsid w:val="005A2D71"/>
    <w:rsid w:val="005B2C3C"/>
    <w:rsid w:val="005B2CCE"/>
    <w:rsid w:val="005B496D"/>
    <w:rsid w:val="005B58C1"/>
    <w:rsid w:val="005B6033"/>
    <w:rsid w:val="005C053C"/>
    <w:rsid w:val="005C3777"/>
    <w:rsid w:val="005C3C16"/>
    <w:rsid w:val="005C5CDC"/>
    <w:rsid w:val="005C6939"/>
    <w:rsid w:val="005C7629"/>
    <w:rsid w:val="005D17C8"/>
    <w:rsid w:val="005D2649"/>
    <w:rsid w:val="005D2B2B"/>
    <w:rsid w:val="005D476C"/>
    <w:rsid w:val="005D5F91"/>
    <w:rsid w:val="005D7B25"/>
    <w:rsid w:val="005F0EE5"/>
    <w:rsid w:val="005F62C2"/>
    <w:rsid w:val="005F7C43"/>
    <w:rsid w:val="0060080C"/>
    <w:rsid w:val="00605004"/>
    <w:rsid w:val="00605A00"/>
    <w:rsid w:val="00610812"/>
    <w:rsid w:val="00612CE7"/>
    <w:rsid w:val="00615297"/>
    <w:rsid w:val="006219F8"/>
    <w:rsid w:val="006227AC"/>
    <w:rsid w:val="00622C6F"/>
    <w:rsid w:val="006238A0"/>
    <w:rsid w:val="00624567"/>
    <w:rsid w:val="0063165E"/>
    <w:rsid w:val="0063166A"/>
    <w:rsid w:val="00632C08"/>
    <w:rsid w:val="00636BF8"/>
    <w:rsid w:val="00642DD4"/>
    <w:rsid w:val="00643577"/>
    <w:rsid w:val="00644072"/>
    <w:rsid w:val="00650FF7"/>
    <w:rsid w:val="006569FB"/>
    <w:rsid w:val="00662133"/>
    <w:rsid w:val="00662B5C"/>
    <w:rsid w:val="00664263"/>
    <w:rsid w:val="00664B4D"/>
    <w:rsid w:val="00665D70"/>
    <w:rsid w:val="0066674D"/>
    <w:rsid w:val="00667199"/>
    <w:rsid w:val="00671BD2"/>
    <w:rsid w:val="00671DAC"/>
    <w:rsid w:val="006747C7"/>
    <w:rsid w:val="006827AC"/>
    <w:rsid w:val="00682AD9"/>
    <w:rsid w:val="006859A3"/>
    <w:rsid w:val="00685A0D"/>
    <w:rsid w:val="006860DA"/>
    <w:rsid w:val="006900D9"/>
    <w:rsid w:val="00696999"/>
    <w:rsid w:val="006A0008"/>
    <w:rsid w:val="006A10DF"/>
    <w:rsid w:val="006A3147"/>
    <w:rsid w:val="006A3226"/>
    <w:rsid w:val="006B0E15"/>
    <w:rsid w:val="006B3285"/>
    <w:rsid w:val="006C0240"/>
    <w:rsid w:val="006C1E81"/>
    <w:rsid w:val="006C2545"/>
    <w:rsid w:val="006C4F24"/>
    <w:rsid w:val="006C5595"/>
    <w:rsid w:val="006C6CA5"/>
    <w:rsid w:val="006D071F"/>
    <w:rsid w:val="006D12F8"/>
    <w:rsid w:val="006F0D40"/>
    <w:rsid w:val="006F2501"/>
    <w:rsid w:val="006F7C51"/>
    <w:rsid w:val="0070023F"/>
    <w:rsid w:val="00704D9B"/>
    <w:rsid w:val="00705E5F"/>
    <w:rsid w:val="00706793"/>
    <w:rsid w:val="00706C16"/>
    <w:rsid w:val="00711A1B"/>
    <w:rsid w:val="00711C85"/>
    <w:rsid w:val="0071287D"/>
    <w:rsid w:val="0071458F"/>
    <w:rsid w:val="0071627C"/>
    <w:rsid w:val="00717903"/>
    <w:rsid w:val="00723A7F"/>
    <w:rsid w:val="007312C3"/>
    <w:rsid w:val="00737C53"/>
    <w:rsid w:val="00737DFA"/>
    <w:rsid w:val="00741FE1"/>
    <w:rsid w:val="00751A8E"/>
    <w:rsid w:val="00752A44"/>
    <w:rsid w:val="0075663D"/>
    <w:rsid w:val="00756841"/>
    <w:rsid w:val="00762AA9"/>
    <w:rsid w:val="007649AB"/>
    <w:rsid w:val="00771D0C"/>
    <w:rsid w:val="007825B1"/>
    <w:rsid w:val="007833AC"/>
    <w:rsid w:val="0078358E"/>
    <w:rsid w:val="00784D58"/>
    <w:rsid w:val="0078648E"/>
    <w:rsid w:val="00786FBF"/>
    <w:rsid w:val="00790AB7"/>
    <w:rsid w:val="00791769"/>
    <w:rsid w:val="007922D3"/>
    <w:rsid w:val="00796340"/>
    <w:rsid w:val="007A23EA"/>
    <w:rsid w:val="007A5189"/>
    <w:rsid w:val="007A53ED"/>
    <w:rsid w:val="007A5796"/>
    <w:rsid w:val="007B0046"/>
    <w:rsid w:val="007B0D88"/>
    <w:rsid w:val="007B21D7"/>
    <w:rsid w:val="007B268C"/>
    <w:rsid w:val="007B59CE"/>
    <w:rsid w:val="007B5D8B"/>
    <w:rsid w:val="007B7171"/>
    <w:rsid w:val="007B7D02"/>
    <w:rsid w:val="007C0C0F"/>
    <w:rsid w:val="007C1E3A"/>
    <w:rsid w:val="007C3DC2"/>
    <w:rsid w:val="007D0457"/>
    <w:rsid w:val="007D1051"/>
    <w:rsid w:val="007D43C9"/>
    <w:rsid w:val="007E5497"/>
    <w:rsid w:val="007F28CA"/>
    <w:rsid w:val="007F4DAD"/>
    <w:rsid w:val="007F52A4"/>
    <w:rsid w:val="007F60FB"/>
    <w:rsid w:val="007F7B94"/>
    <w:rsid w:val="00804981"/>
    <w:rsid w:val="00804BC0"/>
    <w:rsid w:val="008055C8"/>
    <w:rsid w:val="0080567E"/>
    <w:rsid w:val="00806F5F"/>
    <w:rsid w:val="008134A0"/>
    <w:rsid w:val="0081621D"/>
    <w:rsid w:val="008163D7"/>
    <w:rsid w:val="00820278"/>
    <w:rsid w:val="008202D9"/>
    <w:rsid w:val="00834530"/>
    <w:rsid w:val="00834554"/>
    <w:rsid w:val="00834B31"/>
    <w:rsid w:val="00840ADC"/>
    <w:rsid w:val="00843BF7"/>
    <w:rsid w:val="00843CF8"/>
    <w:rsid w:val="008449B3"/>
    <w:rsid w:val="00845809"/>
    <w:rsid w:val="00845869"/>
    <w:rsid w:val="00846276"/>
    <w:rsid w:val="00850E23"/>
    <w:rsid w:val="00851137"/>
    <w:rsid w:val="00853978"/>
    <w:rsid w:val="0085432F"/>
    <w:rsid w:val="00856E14"/>
    <w:rsid w:val="00864209"/>
    <w:rsid w:val="008647A2"/>
    <w:rsid w:val="0086568C"/>
    <w:rsid w:val="00866586"/>
    <w:rsid w:val="0087325B"/>
    <w:rsid w:val="00881ABA"/>
    <w:rsid w:val="008843B6"/>
    <w:rsid w:val="00884709"/>
    <w:rsid w:val="00886C89"/>
    <w:rsid w:val="00891928"/>
    <w:rsid w:val="00894B8B"/>
    <w:rsid w:val="0089556C"/>
    <w:rsid w:val="0089599E"/>
    <w:rsid w:val="00897635"/>
    <w:rsid w:val="008A00A4"/>
    <w:rsid w:val="008A24A2"/>
    <w:rsid w:val="008A446D"/>
    <w:rsid w:val="008A4709"/>
    <w:rsid w:val="008A7A64"/>
    <w:rsid w:val="008A7F08"/>
    <w:rsid w:val="008B2F0E"/>
    <w:rsid w:val="008B5A2E"/>
    <w:rsid w:val="008C538A"/>
    <w:rsid w:val="008C6F30"/>
    <w:rsid w:val="008C7645"/>
    <w:rsid w:val="008C7651"/>
    <w:rsid w:val="008D180B"/>
    <w:rsid w:val="008D4D57"/>
    <w:rsid w:val="008D53B6"/>
    <w:rsid w:val="008D7227"/>
    <w:rsid w:val="008E1F92"/>
    <w:rsid w:val="008E7333"/>
    <w:rsid w:val="008E7B09"/>
    <w:rsid w:val="008F0322"/>
    <w:rsid w:val="008F0EA7"/>
    <w:rsid w:val="008F2A3E"/>
    <w:rsid w:val="008F7BB9"/>
    <w:rsid w:val="009029F9"/>
    <w:rsid w:val="00904692"/>
    <w:rsid w:val="00910097"/>
    <w:rsid w:val="00911C7C"/>
    <w:rsid w:val="00913A75"/>
    <w:rsid w:val="00913DBA"/>
    <w:rsid w:val="0091561E"/>
    <w:rsid w:val="00923EEF"/>
    <w:rsid w:val="009316AD"/>
    <w:rsid w:val="009317CE"/>
    <w:rsid w:val="009348A6"/>
    <w:rsid w:val="009411F5"/>
    <w:rsid w:val="009419F9"/>
    <w:rsid w:val="00953AA4"/>
    <w:rsid w:val="00955305"/>
    <w:rsid w:val="0095533A"/>
    <w:rsid w:val="009560B8"/>
    <w:rsid w:val="0095685E"/>
    <w:rsid w:val="00956E12"/>
    <w:rsid w:val="009572D9"/>
    <w:rsid w:val="009600D2"/>
    <w:rsid w:val="00961409"/>
    <w:rsid w:val="00961B09"/>
    <w:rsid w:val="00962300"/>
    <w:rsid w:val="00965334"/>
    <w:rsid w:val="00967DCC"/>
    <w:rsid w:val="0097093E"/>
    <w:rsid w:val="00971705"/>
    <w:rsid w:val="00971B6B"/>
    <w:rsid w:val="009754ED"/>
    <w:rsid w:val="00976025"/>
    <w:rsid w:val="00977A51"/>
    <w:rsid w:val="009800BE"/>
    <w:rsid w:val="00982BD4"/>
    <w:rsid w:val="00982E41"/>
    <w:rsid w:val="00983862"/>
    <w:rsid w:val="00984649"/>
    <w:rsid w:val="009858BE"/>
    <w:rsid w:val="00987FE0"/>
    <w:rsid w:val="009A0DFA"/>
    <w:rsid w:val="009A3C2C"/>
    <w:rsid w:val="009A4A40"/>
    <w:rsid w:val="009A6D43"/>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1B49"/>
    <w:rsid w:val="009E5A30"/>
    <w:rsid w:val="009E6C11"/>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46FA"/>
    <w:rsid w:val="00A332DD"/>
    <w:rsid w:val="00A3385D"/>
    <w:rsid w:val="00A339A9"/>
    <w:rsid w:val="00A33C78"/>
    <w:rsid w:val="00A34B38"/>
    <w:rsid w:val="00A34D87"/>
    <w:rsid w:val="00A35538"/>
    <w:rsid w:val="00A37BC4"/>
    <w:rsid w:val="00A42050"/>
    <w:rsid w:val="00A43292"/>
    <w:rsid w:val="00A445C0"/>
    <w:rsid w:val="00A46386"/>
    <w:rsid w:val="00A466EE"/>
    <w:rsid w:val="00A50E16"/>
    <w:rsid w:val="00A56FCA"/>
    <w:rsid w:val="00A6004A"/>
    <w:rsid w:val="00A613C2"/>
    <w:rsid w:val="00A74DE6"/>
    <w:rsid w:val="00A8086A"/>
    <w:rsid w:val="00A80F32"/>
    <w:rsid w:val="00A87F7D"/>
    <w:rsid w:val="00A9244C"/>
    <w:rsid w:val="00A94D14"/>
    <w:rsid w:val="00AA5784"/>
    <w:rsid w:val="00AB0ADB"/>
    <w:rsid w:val="00AB3FD1"/>
    <w:rsid w:val="00AB6C82"/>
    <w:rsid w:val="00AC0EAB"/>
    <w:rsid w:val="00AC1435"/>
    <w:rsid w:val="00AC4701"/>
    <w:rsid w:val="00AC49A2"/>
    <w:rsid w:val="00AC6FA5"/>
    <w:rsid w:val="00AD73E2"/>
    <w:rsid w:val="00AE2631"/>
    <w:rsid w:val="00AF1BEC"/>
    <w:rsid w:val="00B009B8"/>
    <w:rsid w:val="00B01B1A"/>
    <w:rsid w:val="00B109FC"/>
    <w:rsid w:val="00B14E03"/>
    <w:rsid w:val="00B225EE"/>
    <w:rsid w:val="00B24457"/>
    <w:rsid w:val="00B26B98"/>
    <w:rsid w:val="00B26F3E"/>
    <w:rsid w:val="00B306A0"/>
    <w:rsid w:val="00B31124"/>
    <w:rsid w:val="00B35ADC"/>
    <w:rsid w:val="00B37C24"/>
    <w:rsid w:val="00B40FBC"/>
    <w:rsid w:val="00B46F27"/>
    <w:rsid w:val="00B47FD7"/>
    <w:rsid w:val="00B51F75"/>
    <w:rsid w:val="00B52CDB"/>
    <w:rsid w:val="00B53E27"/>
    <w:rsid w:val="00B54F01"/>
    <w:rsid w:val="00B558AF"/>
    <w:rsid w:val="00B6105C"/>
    <w:rsid w:val="00B615BA"/>
    <w:rsid w:val="00B62D8B"/>
    <w:rsid w:val="00B72CD3"/>
    <w:rsid w:val="00B72FFF"/>
    <w:rsid w:val="00B76CEB"/>
    <w:rsid w:val="00B81466"/>
    <w:rsid w:val="00B8257D"/>
    <w:rsid w:val="00B828EF"/>
    <w:rsid w:val="00B82B8B"/>
    <w:rsid w:val="00B86FE2"/>
    <w:rsid w:val="00B87278"/>
    <w:rsid w:val="00B878ED"/>
    <w:rsid w:val="00B87F69"/>
    <w:rsid w:val="00B91186"/>
    <w:rsid w:val="00B93423"/>
    <w:rsid w:val="00BA2EF4"/>
    <w:rsid w:val="00BB08C0"/>
    <w:rsid w:val="00BC0036"/>
    <w:rsid w:val="00BC05A6"/>
    <w:rsid w:val="00BC34E2"/>
    <w:rsid w:val="00BC3D36"/>
    <w:rsid w:val="00BC4B34"/>
    <w:rsid w:val="00BC7DBD"/>
    <w:rsid w:val="00BD3612"/>
    <w:rsid w:val="00BD7F72"/>
    <w:rsid w:val="00BE03BC"/>
    <w:rsid w:val="00BE0A18"/>
    <w:rsid w:val="00BE12F9"/>
    <w:rsid w:val="00BE175E"/>
    <w:rsid w:val="00BE2120"/>
    <w:rsid w:val="00BF0E12"/>
    <w:rsid w:val="00BF1201"/>
    <w:rsid w:val="00BF1D4A"/>
    <w:rsid w:val="00BF20DB"/>
    <w:rsid w:val="00BF230F"/>
    <w:rsid w:val="00BF6160"/>
    <w:rsid w:val="00C002E3"/>
    <w:rsid w:val="00C012CC"/>
    <w:rsid w:val="00C04FB3"/>
    <w:rsid w:val="00C10179"/>
    <w:rsid w:val="00C10FA6"/>
    <w:rsid w:val="00C147D0"/>
    <w:rsid w:val="00C159C1"/>
    <w:rsid w:val="00C16346"/>
    <w:rsid w:val="00C21B15"/>
    <w:rsid w:val="00C30417"/>
    <w:rsid w:val="00C32523"/>
    <w:rsid w:val="00C32EE5"/>
    <w:rsid w:val="00C330EB"/>
    <w:rsid w:val="00C371C9"/>
    <w:rsid w:val="00C40E9F"/>
    <w:rsid w:val="00C41481"/>
    <w:rsid w:val="00C42469"/>
    <w:rsid w:val="00C455FF"/>
    <w:rsid w:val="00C46D91"/>
    <w:rsid w:val="00C47A07"/>
    <w:rsid w:val="00C57281"/>
    <w:rsid w:val="00C65D65"/>
    <w:rsid w:val="00C67703"/>
    <w:rsid w:val="00C7173F"/>
    <w:rsid w:val="00C730B6"/>
    <w:rsid w:val="00C754BE"/>
    <w:rsid w:val="00C76466"/>
    <w:rsid w:val="00C76B1C"/>
    <w:rsid w:val="00C84561"/>
    <w:rsid w:val="00C915DD"/>
    <w:rsid w:val="00C91B94"/>
    <w:rsid w:val="00CA6A9D"/>
    <w:rsid w:val="00CA7F6B"/>
    <w:rsid w:val="00CA7FB6"/>
    <w:rsid w:val="00CB6357"/>
    <w:rsid w:val="00CB6BA4"/>
    <w:rsid w:val="00CC0FA3"/>
    <w:rsid w:val="00CC1B26"/>
    <w:rsid w:val="00CC49F7"/>
    <w:rsid w:val="00CC54DB"/>
    <w:rsid w:val="00CC733A"/>
    <w:rsid w:val="00CD087D"/>
    <w:rsid w:val="00CD41CB"/>
    <w:rsid w:val="00CD5EE0"/>
    <w:rsid w:val="00CE3676"/>
    <w:rsid w:val="00CE41B0"/>
    <w:rsid w:val="00CE509A"/>
    <w:rsid w:val="00CE5414"/>
    <w:rsid w:val="00CF1121"/>
    <w:rsid w:val="00CF1287"/>
    <w:rsid w:val="00CF50A3"/>
    <w:rsid w:val="00CF5D8C"/>
    <w:rsid w:val="00CF77E1"/>
    <w:rsid w:val="00CF7826"/>
    <w:rsid w:val="00D0157A"/>
    <w:rsid w:val="00D036D8"/>
    <w:rsid w:val="00D038ED"/>
    <w:rsid w:val="00D06D26"/>
    <w:rsid w:val="00D10B75"/>
    <w:rsid w:val="00D13351"/>
    <w:rsid w:val="00D15E25"/>
    <w:rsid w:val="00D20368"/>
    <w:rsid w:val="00D21D0B"/>
    <w:rsid w:val="00D22361"/>
    <w:rsid w:val="00D22598"/>
    <w:rsid w:val="00D23BF1"/>
    <w:rsid w:val="00D26924"/>
    <w:rsid w:val="00D3404A"/>
    <w:rsid w:val="00D345EC"/>
    <w:rsid w:val="00D413F6"/>
    <w:rsid w:val="00D4231B"/>
    <w:rsid w:val="00D423A2"/>
    <w:rsid w:val="00D50708"/>
    <w:rsid w:val="00D520D8"/>
    <w:rsid w:val="00D52961"/>
    <w:rsid w:val="00D55048"/>
    <w:rsid w:val="00D55978"/>
    <w:rsid w:val="00D57FA4"/>
    <w:rsid w:val="00D62DE7"/>
    <w:rsid w:val="00D63AC2"/>
    <w:rsid w:val="00D665B4"/>
    <w:rsid w:val="00D7383B"/>
    <w:rsid w:val="00D7460A"/>
    <w:rsid w:val="00D7609E"/>
    <w:rsid w:val="00D81A63"/>
    <w:rsid w:val="00D81D25"/>
    <w:rsid w:val="00D85C60"/>
    <w:rsid w:val="00D908FC"/>
    <w:rsid w:val="00D90FFF"/>
    <w:rsid w:val="00D94C40"/>
    <w:rsid w:val="00DA231B"/>
    <w:rsid w:val="00DA23A0"/>
    <w:rsid w:val="00DA2DB3"/>
    <w:rsid w:val="00DA7F66"/>
    <w:rsid w:val="00DB186F"/>
    <w:rsid w:val="00DB322A"/>
    <w:rsid w:val="00DC1356"/>
    <w:rsid w:val="00DC1E5D"/>
    <w:rsid w:val="00DC39FC"/>
    <w:rsid w:val="00DC4385"/>
    <w:rsid w:val="00DC484F"/>
    <w:rsid w:val="00DC4C27"/>
    <w:rsid w:val="00DC51BC"/>
    <w:rsid w:val="00DC793F"/>
    <w:rsid w:val="00DE4629"/>
    <w:rsid w:val="00DF11FD"/>
    <w:rsid w:val="00DF5254"/>
    <w:rsid w:val="00E12426"/>
    <w:rsid w:val="00E12432"/>
    <w:rsid w:val="00E16408"/>
    <w:rsid w:val="00E1678E"/>
    <w:rsid w:val="00E2060E"/>
    <w:rsid w:val="00E20894"/>
    <w:rsid w:val="00E245AB"/>
    <w:rsid w:val="00E25729"/>
    <w:rsid w:val="00E26239"/>
    <w:rsid w:val="00E2764C"/>
    <w:rsid w:val="00E27F2E"/>
    <w:rsid w:val="00E34597"/>
    <w:rsid w:val="00E377A2"/>
    <w:rsid w:val="00E40FA9"/>
    <w:rsid w:val="00E413EA"/>
    <w:rsid w:val="00E42046"/>
    <w:rsid w:val="00E47F28"/>
    <w:rsid w:val="00E50AFE"/>
    <w:rsid w:val="00E52E4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47D2"/>
    <w:rsid w:val="00E85A9C"/>
    <w:rsid w:val="00E85AA8"/>
    <w:rsid w:val="00E870E5"/>
    <w:rsid w:val="00E875F3"/>
    <w:rsid w:val="00E8772A"/>
    <w:rsid w:val="00E90F6B"/>
    <w:rsid w:val="00E91079"/>
    <w:rsid w:val="00E92C27"/>
    <w:rsid w:val="00E92E10"/>
    <w:rsid w:val="00EA0E3D"/>
    <w:rsid w:val="00EA1CD8"/>
    <w:rsid w:val="00EA393B"/>
    <w:rsid w:val="00EA39A5"/>
    <w:rsid w:val="00EA5980"/>
    <w:rsid w:val="00EB185D"/>
    <w:rsid w:val="00EB2C4B"/>
    <w:rsid w:val="00EB5836"/>
    <w:rsid w:val="00EB5F37"/>
    <w:rsid w:val="00EB7E00"/>
    <w:rsid w:val="00EC0E3F"/>
    <w:rsid w:val="00EC1A2C"/>
    <w:rsid w:val="00EC1FE1"/>
    <w:rsid w:val="00EC38A7"/>
    <w:rsid w:val="00ED042A"/>
    <w:rsid w:val="00ED0D4A"/>
    <w:rsid w:val="00ED77BC"/>
    <w:rsid w:val="00EE1AA8"/>
    <w:rsid w:val="00EF26C3"/>
    <w:rsid w:val="00EF419E"/>
    <w:rsid w:val="00EF489F"/>
    <w:rsid w:val="00EF753D"/>
    <w:rsid w:val="00F07875"/>
    <w:rsid w:val="00F11213"/>
    <w:rsid w:val="00F11BAA"/>
    <w:rsid w:val="00F1445A"/>
    <w:rsid w:val="00F177C1"/>
    <w:rsid w:val="00F23592"/>
    <w:rsid w:val="00F238F2"/>
    <w:rsid w:val="00F260AA"/>
    <w:rsid w:val="00F27B26"/>
    <w:rsid w:val="00F31EDC"/>
    <w:rsid w:val="00F34D02"/>
    <w:rsid w:val="00F34E84"/>
    <w:rsid w:val="00F40BAD"/>
    <w:rsid w:val="00F410B6"/>
    <w:rsid w:val="00F4491A"/>
    <w:rsid w:val="00F462B3"/>
    <w:rsid w:val="00F51119"/>
    <w:rsid w:val="00F5184B"/>
    <w:rsid w:val="00F5261F"/>
    <w:rsid w:val="00F55081"/>
    <w:rsid w:val="00F55168"/>
    <w:rsid w:val="00F5664F"/>
    <w:rsid w:val="00F626C4"/>
    <w:rsid w:val="00F62A57"/>
    <w:rsid w:val="00F64D9E"/>
    <w:rsid w:val="00F665D0"/>
    <w:rsid w:val="00F666C4"/>
    <w:rsid w:val="00F7684C"/>
    <w:rsid w:val="00F76AFC"/>
    <w:rsid w:val="00F80CBE"/>
    <w:rsid w:val="00F85198"/>
    <w:rsid w:val="00F85A91"/>
    <w:rsid w:val="00F87AB9"/>
    <w:rsid w:val="00F939CB"/>
    <w:rsid w:val="00F9479C"/>
    <w:rsid w:val="00F965EE"/>
    <w:rsid w:val="00F97949"/>
    <w:rsid w:val="00FA0A8F"/>
    <w:rsid w:val="00FA1110"/>
    <w:rsid w:val="00FA358D"/>
    <w:rsid w:val="00FA47C0"/>
    <w:rsid w:val="00FA52E6"/>
    <w:rsid w:val="00FB4425"/>
    <w:rsid w:val="00FB5615"/>
    <w:rsid w:val="00FB5DD1"/>
    <w:rsid w:val="00FB5F87"/>
    <w:rsid w:val="00FC07B5"/>
    <w:rsid w:val="00FC2B5D"/>
    <w:rsid w:val="00FD00E9"/>
    <w:rsid w:val="00FD03E3"/>
    <w:rsid w:val="00FD07E4"/>
    <w:rsid w:val="00FD2400"/>
    <w:rsid w:val="00FE122A"/>
    <w:rsid w:val="00FE20E6"/>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paragraph" w:styleId="Sinespaciado">
    <w:name w:val="No Spacing"/>
    <w:uiPriority w:val="1"/>
    <w:qFormat/>
    <w:rsid w:val="00191775"/>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54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4344376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0542314">
      <w:bodyDiv w:val="1"/>
      <w:marLeft w:val="0"/>
      <w:marRight w:val="0"/>
      <w:marTop w:val="0"/>
      <w:marBottom w:val="0"/>
      <w:divBdr>
        <w:top w:val="none" w:sz="0" w:space="0" w:color="auto"/>
        <w:left w:val="none" w:sz="0" w:space="0" w:color="auto"/>
        <w:bottom w:val="none" w:sz="0" w:space="0" w:color="auto"/>
        <w:right w:val="none" w:sz="0" w:space="0" w:color="auto"/>
      </w:divBdr>
      <w:divsChild>
        <w:div w:id="961616185">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281915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48216786">
      <w:bodyDiv w:val="1"/>
      <w:marLeft w:val="0"/>
      <w:marRight w:val="0"/>
      <w:marTop w:val="0"/>
      <w:marBottom w:val="0"/>
      <w:divBdr>
        <w:top w:val="none" w:sz="0" w:space="0" w:color="auto"/>
        <w:left w:val="none" w:sz="0" w:space="0" w:color="auto"/>
        <w:bottom w:val="none" w:sz="0" w:space="0" w:color="auto"/>
        <w:right w:val="none" w:sz="0" w:space="0" w:color="auto"/>
      </w:divBdr>
    </w:div>
    <w:div w:id="1362366812">
      <w:bodyDiv w:val="1"/>
      <w:marLeft w:val="0"/>
      <w:marRight w:val="0"/>
      <w:marTop w:val="0"/>
      <w:marBottom w:val="0"/>
      <w:divBdr>
        <w:top w:val="none" w:sz="0" w:space="0" w:color="auto"/>
        <w:left w:val="none" w:sz="0" w:space="0" w:color="auto"/>
        <w:bottom w:val="none" w:sz="0" w:space="0" w:color="auto"/>
        <w:right w:val="none" w:sz="0" w:space="0" w:color="auto"/>
      </w:divBdr>
      <w:divsChild>
        <w:div w:id="1933707204">
          <w:marLeft w:val="0"/>
          <w:marRight w:val="0"/>
          <w:marTop w:val="0"/>
          <w:marBottom w:val="0"/>
          <w:divBdr>
            <w:top w:val="none" w:sz="0" w:space="0" w:color="auto"/>
            <w:left w:val="none" w:sz="0" w:space="0" w:color="auto"/>
            <w:bottom w:val="none" w:sz="0" w:space="0" w:color="auto"/>
            <w:right w:val="none" w:sz="0" w:space="0" w:color="auto"/>
          </w:divBdr>
        </w:div>
        <w:div w:id="2124493292">
          <w:marLeft w:val="0"/>
          <w:marRight w:val="0"/>
          <w:marTop w:val="0"/>
          <w:marBottom w:val="0"/>
          <w:divBdr>
            <w:top w:val="none" w:sz="0" w:space="0" w:color="auto"/>
            <w:left w:val="none" w:sz="0" w:space="0" w:color="auto"/>
            <w:bottom w:val="none" w:sz="0" w:space="0" w:color="auto"/>
            <w:right w:val="none" w:sz="0" w:space="0" w:color="auto"/>
          </w:divBdr>
        </w:div>
        <w:div w:id="993290630">
          <w:marLeft w:val="0"/>
          <w:marRight w:val="0"/>
          <w:marTop w:val="0"/>
          <w:marBottom w:val="0"/>
          <w:divBdr>
            <w:top w:val="none" w:sz="0" w:space="0" w:color="auto"/>
            <w:left w:val="none" w:sz="0" w:space="0" w:color="auto"/>
            <w:bottom w:val="none" w:sz="0" w:space="0" w:color="auto"/>
            <w:right w:val="none" w:sz="0" w:space="0" w:color="auto"/>
          </w:divBdr>
        </w:div>
      </w:divsChild>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61134819">
      <w:bodyDiv w:val="1"/>
      <w:marLeft w:val="0"/>
      <w:marRight w:val="0"/>
      <w:marTop w:val="0"/>
      <w:marBottom w:val="0"/>
      <w:divBdr>
        <w:top w:val="none" w:sz="0" w:space="0" w:color="auto"/>
        <w:left w:val="none" w:sz="0" w:space="0" w:color="auto"/>
        <w:bottom w:val="none" w:sz="0" w:space="0" w:color="auto"/>
        <w:right w:val="none" w:sz="0" w:space="0" w:color="auto"/>
      </w:divBdr>
      <w:divsChild>
        <w:div w:id="854223492">
          <w:marLeft w:val="0"/>
          <w:marRight w:val="0"/>
          <w:marTop w:val="0"/>
          <w:marBottom w:val="0"/>
          <w:divBdr>
            <w:top w:val="none" w:sz="0" w:space="0" w:color="auto"/>
            <w:left w:val="none" w:sz="0" w:space="0" w:color="auto"/>
            <w:bottom w:val="none" w:sz="0" w:space="0" w:color="auto"/>
            <w:right w:val="none" w:sz="0" w:space="0" w:color="auto"/>
          </w:divBdr>
        </w:div>
        <w:div w:id="2102289317">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63146418">
      <w:bodyDiv w:val="1"/>
      <w:marLeft w:val="0"/>
      <w:marRight w:val="0"/>
      <w:marTop w:val="0"/>
      <w:marBottom w:val="0"/>
      <w:divBdr>
        <w:top w:val="none" w:sz="0" w:space="0" w:color="auto"/>
        <w:left w:val="none" w:sz="0" w:space="0" w:color="auto"/>
        <w:bottom w:val="none" w:sz="0" w:space="0" w:color="auto"/>
        <w:right w:val="none" w:sz="0" w:space="0" w:color="auto"/>
      </w:divBdr>
    </w:div>
    <w:div w:id="198882665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72265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gjunior01@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F1149B-4EA7-4B6B-9DE7-3FED7EB9E36C}">
  <ds:schemaRefs>
    <ds:schemaRef ds:uri="http://schemas.openxmlformats.org/officeDocument/2006/bibliography"/>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9570</Words>
  <Characters>52638</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2025-08-20T20:50:00Z</dcterms:created>
  <dcterms:modified xsi:type="dcterms:W3CDTF">2025-08-20T20:50:00Z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