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A8B8E" w14:textId="77777777" w:rsidR="00C82232" w:rsidRPr="00123DAA" w:rsidRDefault="00C82232" w:rsidP="00C82232">
      <w:pPr>
        <w:spacing w:after="0" w:line="240" w:lineRule="auto"/>
        <w:jc w:val="both"/>
        <w:rPr>
          <w:rFonts w:ascii="Verdana" w:eastAsia="Calibri" w:hAnsi="Verdana" w:cs="Arial"/>
          <w:sz w:val="20"/>
          <w:szCs w:val="20"/>
          <w:lang w:val="es-ES_tradnl" w:eastAsia="es-ES"/>
        </w:rPr>
      </w:pPr>
    </w:p>
    <w:p w14:paraId="56989C14" w14:textId="77777777" w:rsidR="00C82232" w:rsidRPr="00123DAA" w:rsidRDefault="00C82232" w:rsidP="00C82232">
      <w:pPr>
        <w:spacing w:after="0" w:line="240" w:lineRule="auto"/>
        <w:jc w:val="both"/>
        <w:rPr>
          <w:rFonts w:ascii="Verdana" w:eastAsia="Calibri" w:hAnsi="Verdana" w:cs="Arial"/>
          <w:b/>
          <w:bCs/>
          <w:lang w:val="es-ES_tradnl" w:eastAsia="es-ES"/>
        </w:rPr>
      </w:pPr>
      <w:r w:rsidRPr="00123DAA">
        <w:rPr>
          <w:rFonts w:ascii="Verdana" w:eastAsia="Calibri" w:hAnsi="Verdana" w:cs="Arial"/>
          <w:b/>
          <w:bCs/>
          <w:lang w:val="es-ES_tradnl" w:eastAsia="es-ES"/>
        </w:rPr>
        <w:t>CONTRATO DE OBRA PÚBLICA – Concepto – Sentido restringido</w:t>
      </w:r>
    </w:p>
    <w:p w14:paraId="37A88EC5" w14:textId="77777777" w:rsidR="00C82232" w:rsidRPr="00123DAA" w:rsidRDefault="00C82232" w:rsidP="00C82232">
      <w:pPr>
        <w:spacing w:after="0" w:line="240" w:lineRule="auto"/>
        <w:jc w:val="both"/>
        <w:rPr>
          <w:rFonts w:ascii="Verdana" w:eastAsia="Calibri" w:hAnsi="Verdana" w:cs="Arial"/>
          <w:sz w:val="20"/>
          <w:szCs w:val="20"/>
          <w:lang w:val="es-ES_tradnl" w:eastAsia="es-ES"/>
        </w:rPr>
      </w:pPr>
    </w:p>
    <w:p w14:paraId="5879FDCC" w14:textId="77777777" w:rsidR="00C82232" w:rsidRPr="00123DAA" w:rsidRDefault="00C82232" w:rsidP="00C82232">
      <w:pPr>
        <w:spacing w:after="0" w:line="240" w:lineRule="auto"/>
        <w:jc w:val="both"/>
        <w:rPr>
          <w:rFonts w:ascii="Verdana" w:eastAsia="Calibri" w:hAnsi="Verdana" w:cs="Arial"/>
          <w:sz w:val="20"/>
          <w:szCs w:val="20"/>
          <w:lang w:val="es-ES_tradnl" w:eastAsia="es-ES"/>
        </w:rPr>
      </w:pPr>
      <w:r w:rsidRPr="00123DAA">
        <w:rPr>
          <w:rFonts w:ascii="Verdana" w:eastAsia="Calibri" w:hAnsi="Verdana" w:cs="Arial"/>
          <w:sz w:val="20"/>
          <w:szCs w:val="20"/>
          <w:lang w:val="es-ES_tradnl" w:eastAsia="es-ES"/>
        </w:rPr>
        <w:t xml:space="preserve">En </w:t>
      </w:r>
      <w:r w:rsidRPr="00123DAA">
        <w:rPr>
          <w:rFonts w:ascii="Verdana" w:eastAsia="Calibri" w:hAnsi="Verdana" w:cs="Arial"/>
          <w:i/>
          <w:iCs/>
          <w:sz w:val="20"/>
          <w:szCs w:val="20"/>
          <w:lang w:val="es-ES_tradnl" w:eastAsia="es-ES"/>
        </w:rPr>
        <w:t>sentido amplio</w:t>
      </w:r>
      <w:r w:rsidRPr="00123DAA">
        <w:rPr>
          <w:rFonts w:ascii="Verdana" w:eastAsia="Calibri" w:hAnsi="Verdana" w:cs="Arial"/>
          <w:sz w:val="20"/>
          <w:szCs w:val="20"/>
          <w:lang w:val="es-ES_tradnl" w:eastAsia="es-ES"/>
        </w:rPr>
        <w:t xml:space="preserve">, dado que la “obra” es un bien que crea la actividad humana, el hecho de que sea “pública” significa que es todo trabajo material en cuya creación o realización interviene el Estado. No obstante, el numeral 1 del artículo 32 de la Ley 80 de 1993 opta por un </w:t>
      </w:r>
      <w:r w:rsidRPr="00123DAA">
        <w:rPr>
          <w:rFonts w:ascii="Verdana" w:eastAsia="Calibri" w:hAnsi="Verdana" w:cs="Arial"/>
          <w:i/>
          <w:iCs/>
          <w:sz w:val="20"/>
          <w:szCs w:val="20"/>
          <w:lang w:val="es-ES_tradnl" w:eastAsia="es-ES"/>
        </w:rPr>
        <w:t>sentido restringido</w:t>
      </w:r>
      <w:r w:rsidRPr="00123DAA">
        <w:rPr>
          <w:rFonts w:ascii="Verdana" w:eastAsia="Calibri" w:hAnsi="Verdana" w:cs="Arial"/>
          <w:sz w:val="20"/>
          <w:szCs w:val="20"/>
          <w:lang w:val="es-ES_tradnl" w:eastAsia="es-ES"/>
        </w:rPr>
        <w:t>,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w:t>
      </w:r>
    </w:p>
    <w:p w14:paraId="5B0A59F8" w14:textId="77777777" w:rsidR="00C82232" w:rsidRPr="00123DAA" w:rsidRDefault="00C82232" w:rsidP="00C82232">
      <w:pPr>
        <w:spacing w:after="0" w:line="240" w:lineRule="auto"/>
        <w:jc w:val="both"/>
        <w:rPr>
          <w:rFonts w:ascii="Verdana" w:eastAsia="Calibri" w:hAnsi="Verdana" w:cs="Arial"/>
          <w:sz w:val="20"/>
          <w:szCs w:val="20"/>
          <w:lang w:val="es-ES_tradnl" w:eastAsia="es-ES"/>
        </w:rPr>
      </w:pPr>
    </w:p>
    <w:p w14:paraId="372A5749" w14:textId="77777777" w:rsidR="00C82232" w:rsidRPr="00123DAA" w:rsidRDefault="00C82232" w:rsidP="00C82232">
      <w:pPr>
        <w:spacing w:after="0" w:line="240" w:lineRule="auto"/>
        <w:jc w:val="both"/>
        <w:rPr>
          <w:rFonts w:ascii="Verdana" w:eastAsia="Calibri" w:hAnsi="Verdana" w:cs="Arial"/>
          <w:sz w:val="20"/>
          <w:szCs w:val="20"/>
          <w:lang w:val="es-ES_tradnl" w:eastAsia="es-ES"/>
        </w:rPr>
      </w:pPr>
      <w:r w:rsidRPr="00B73955">
        <w:rPr>
          <w:rFonts w:ascii="Verdana" w:eastAsia="Calibri" w:hAnsi="Verdana" w:cs="Arial"/>
          <w:b/>
          <w:bCs/>
          <w:lang w:val="es-ES_tradnl" w:eastAsia="es-ES"/>
        </w:rPr>
        <w:t>DISEÑOS, ESTUDIOS Y OBRA – Contratación – Viabilidad del proyecto</w:t>
      </w:r>
    </w:p>
    <w:p w14:paraId="6E635D57" w14:textId="77777777" w:rsidR="00C82232" w:rsidRDefault="00C82232" w:rsidP="00C82232">
      <w:pPr>
        <w:spacing w:after="0" w:line="240" w:lineRule="auto"/>
        <w:jc w:val="both"/>
        <w:rPr>
          <w:rFonts w:ascii="Verdana" w:eastAsia="Calibri" w:hAnsi="Verdana" w:cs="Arial"/>
          <w:sz w:val="20"/>
          <w:szCs w:val="20"/>
          <w:lang w:val="es-ES_tradnl" w:eastAsia="es-ES"/>
        </w:rPr>
      </w:pPr>
    </w:p>
    <w:p w14:paraId="7500B9EE" w14:textId="77777777" w:rsidR="00C82232" w:rsidRDefault="00C82232" w:rsidP="00C82232">
      <w:pPr>
        <w:spacing w:after="0" w:line="240" w:lineRule="auto"/>
        <w:jc w:val="both"/>
        <w:rPr>
          <w:rFonts w:ascii="Verdana" w:eastAsia="Calibri" w:hAnsi="Verdana" w:cs="Arial"/>
          <w:sz w:val="20"/>
          <w:szCs w:val="20"/>
          <w:lang w:val="es-ES_tradnl" w:eastAsia="es-ES"/>
        </w:rPr>
      </w:pPr>
      <w:r w:rsidRPr="00B73955">
        <w:rPr>
          <w:rFonts w:ascii="Verdana" w:eastAsia="Calibri" w:hAnsi="Verdana" w:cs="Arial"/>
          <w:sz w:val="20"/>
          <w:szCs w:val="20"/>
          <w:lang w:val="es-ES_tradnl" w:eastAsia="es-ES"/>
        </w:rPr>
        <w:t xml:space="preserve">Previo al inicio de un proceso de selección para la contratación de una obra pública, la entidad estatal debe contar con “los estudios y diseños que permitan establecer la viabilidad del proyecto y su impacto social, económico y ambiental” en los términos del numeral 12 del artículo 25 de la Ley 80 de 1993, modificado por el artículo 87 de la Ley 1474 de 2011. Incluso, el numeral 3 del artículo 26 del Estatuto General de Contratación de la Administración Pública prescribe que las entidades y los servidores públicos responderán cuando hubieren iniciado procedimientos de selección sin haber elaborado los diseños correspondientes. </w:t>
      </w:r>
    </w:p>
    <w:p w14:paraId="37E9CBE2" w14:textId="77777777" w:rsidR="00C82232" w:rsidRPr="00B73955" w:rsidRDefault="00C82232" w:rsidP="00C82232">
      <w:pPr>
        <w:spacing w:after="0" w:line="240" w:lineRule="auto"/>
        <w:jc w:val="both"/>
        <w:rPr>
          <w:rFonts w:ascii="Verdana" w:eastAsia="Calibri" w:hAnsi="Verdana" w:cs="Arial"/>
          <w:sz w:val="20"/>
          <w:szCs w:val="20"/>
          <w:lang w:val="es-ES_tradnl" w:eastAsia="es-ES"/>
        </w:rPr>
      </w:pPr>
    </w:p>
    <w:p w14:paraId="1F3F70A6" w14:textId="77777777" w:rsidR="00C82232" w:rsidRDefault="00C82232" w:rsidP="00C82232">
      <w:pPr>
        <w:spacing w:after="0" w:line="240" w:lineRule="auto"/>
        <w:jc w:val="both"/>
        <w:rPr>
          <w:rFonts w:ascii="Verdana" w:eastAsia="Calibri" w:hAnsi="Verdana" w:cs="Arial"/>
          <w:sz w:val="20"/>
          <w:szCs w:val="20"/>
          <w:lang w:val="es-ES_tradnl" w:eastAsia="es-ES"/>
        </w:rPr>
      </w:pPr>
      <w:r w:rsidRPr="00B73955">
        <w:rPr>
          <w:rFonts w:ascii="Verdana" w:eastAsia="Calibri" w:hAnsi="Verdana" w:cs="Arial"/>
          <w:sz w:val="20"/>
          <w:szCs w:val="20"/>
          <w:lang w:val="es-ES_tradnl" w:eastAsia="es-ES"/>
        </w:rPr>
        <w:t>Igualmente, para los procesos de licitación pública, el numeral primero del artículo 30 ibidem prescribe que “De conformidad con lo previsto en el numeral 12 del artículo 25 de esta ley, la resolución de apertura debe estar precedida de un estudio realizado por la entidad respectiva en el cual se analice la conveniencia y oportunidad del contrato y su adecuación a los planes de inversión, de adquisición o compras, presupuesto y ley de apropiaciones, según el caso. Cuando sea necesario, el estudio deberá estar acompañado, además, de los diseños, planos y evaluaciones de prefactibilidad o factibilidad</w:t>
      </w:r>
      <w:r>
        <w:rPr>
          <w:rFonts w:ascii="Verdana" w:eastAsia="Calibri" w:hAnsi="Verdana" w:cs="Arial"/>
          <w:sz w:val="20"/>
          <w:szCs w:val="20"/>
          <w:lang w:val="es-ES_tradnl" w:eastAsia="es-ES"/>
        </w:rPr>
        <w:t>”</w:t>
      </w:r>
      <w:r w:rsidRPr="00123DAA">
        <w:rPr>
          <w:rFonts w:ascii="Verdana" w:eastAsia="Calibri" w:hAnsi="Verdana" w:cs="Arial"/>
          <w:sz w:val="20"/>
          <w:szCs w:val="20"/>
          <w:lang w:val="es-ES_tradnl" w:eastAsia="es-ES"/>
        </w:rPr>
        <w:t>.</w:t>
      </w:r>
    </w:p>
    <w:p w14:paraId="5FD15816" w14:textId="77777777" w:rsidR="00C82232" w:rsidRPr="00123DAA" w:rsidRDefault="00C82232" w:rsidP="00C82232">
      <w:pPr>
        <w:spacing w:after="0" w:line="240" w:lineRule="auto"/>
        <w:jc w:val="both"/>
        <w:rPr>
          <w:rFonts w:ascii="Verdana" w:eastAsia="Calibri" w:hAnsi="Verdana" w:cs="Arial"/>
          <w:sz w:val="20"/>
          <w:szCs w:val="20"/>
          <w:lang w:val="es-ES_tradnl" w:eastAsia="es-ES"/>
        </w:rPr>
      </w:pPr>
    </w:p>
    <w:p w14:paraId="7D2D1E47" w14:textId="77777777" w:rsidR="00C82232" w:rsidRPr="00123DAA" w:rsidRDefault="00C82232" w:rsidP="00C82232">
      <w:pPr>
        <w:spacing w:after="0" w:line="240" w:lineRule="auto"/>
        <w:jc w:val="both"/>
        <w:rPr>
          <w:rFonts w:ascii="Verdana" w:eastAsia="Calibri" w:hAnsi="Verdana" w:cs="Arial"/>
          <w:sz w:val="20"/>
          <w:szCs w:val="20"/>
          <w:lang w:val="es-ES_tradnl" w:eastAsia="es-ES"/>
        </w:rPr>
      </w:pPr>
      <w:r w:rsidRPr="00B73955">
        <w:rPr>
          <w:rFonts w:ascii="Verdana" w:eastAsia="Calibri" w:hAnsi="Verdana" w:cs="Arial"/>
          <w:b/>
          <w:bCs/>
          <w:lang w:val="es-ES_tradnl" w:eastAsia="es-ES"/>
        </w:rPr>
        <w:t>DISEÑOS</w:t>
      </w:r>
      <w:r>
        <w:rPr>
          <w:rFonts w:ascii="Verdana" w:eastAsia="Calibri" w:hAnsi="Verdana" w:cs="Arial"/>
          <w:b/>
          <w:bCs/>
          <w:lang w:val="es-ES_tradnl" w:eastAsia="es-ES"/>
        </w:rPr>
        <w:t xml:space="preserve"> Y</w:t>
      </w:r>
      <w:r w:rsidRPr="00B73955">
        <w:rPr>
          <w:rFonts w:ascii="Verdana" w:eastAsia="Calibri" w:hAnsi="Verdana" w:cs="Arial"/>
          <w:b/>
          <w:bCs/>
          <w:lang w:val="es-ES_tradnl" w:eastAsia="es-ES"/>
        </w:rPr>
        <w:t xml:space="preserve"> ESTUDIOS </w:t>
      </w:r>
      <w:r>
        <w:rPr>
          <w:rFonts w:ascii="Verdana" w:eastAsia="Calibri" w:hAnsi="Verdana" w:cs="Arial"/>
          <w:b/>
          <w:bCs/>
          <w:lang w:val="es-ES_tradnl" w:eastAsia="es-ES"/>
        </w:rPr>
        <w:t>DE LA</w:t>
      </w:r>
      <w:r w:rsidRPr="00B73955">
        <w:rPr>
          <w:rFonts w:ascii="Verdana" w:eastAsia="Calibri" w:hAnsi="Verdana" w:cs="Arial"/>
          <w:b/>
          <w:bCs/>
          <w:lang w:val="es-ES_tradnl" w:eastAsia="es-ES"/>
        </w:rPr>
        <w:t xml:space="preserve"> OBRA – </w:t>
      </w:r>
      <w:r>
        <w:rPr>
          <w:rFonts w:ascii="Verdana" w:eastAsia="Calibri" w:hAnsi="Verdana" w:cs="Arial"/>
          <w:b/>
          <w:bCs/>
          <w:lang w:val="es-ES_tradnl" w:eastAsia="es-ES"/>
        </w:rPr>
        <w:t>Ejecución conjunta –</w:t>
      </w:r>
      <w:r w:rsidRPr="00B73955">
        <w:rPr>
          <w:rFonts w:ascii="Verdana" w:eastAsia="Calibri" w:hAnsi="Verdana" w:cs="Arial"/>
          <w:b/>
          <w:bCs/>
          <w:lang w:val="es-ES_tradnl" w:eastAsia="es-ES"/>
        </w:rPr>
        <w:t xml:space="preserve"> </w:t>
      </w:r>
      <w:r>
        <w:rPr>
          <w:rFonts w:ascii="Verdana" w:eastAsia="Calibri" w:hAnsi="Verdana" w:cs="Arial"/>
          <w:b/>
          <w:bCs/>
          <w:lang w:val="es-ES_tradnl" w:eastAsia="es-ES"/>
        </w:rPr>
        <w:t>Contrato de llave en mano</w:t>
      </w:r>
      <w:r w:rsidRPr="00B73955">
        <w:rPr>
          <w:rFonts w:ascii="Verdana" w:eastAsia="Calibri" w:hAnsi="Verdana" w:cs="Arial"/>
          <w:b/>
          <w:bCs/>
          <w:lang w:val="es-ES_tradnl" w:eastAsia="es-ES"/>
        </w:rPr>
        <w:t xml:space="preserve"> </w:t>
      </w:r>
    </w:p>
    <w:p w14:paraId="46EF8546" w14:textId="77777777" w:rsidR="00C82232" w:rsidRDefault="00C82232" w:rsidP="00C82232">
      <w:pPr>
        <w:spacing w:after="0" w:line="240" w:lineRule="auto"/>
        <w:jc w:val="both"/>
        <w:rPr>
          <w:rFonts w:ascii="Verdana" w:eastAsia="Calibri" w:hAnsi="Verdana" w:cs="Arial"/>
          <w:sz w:val="20"/>
          <w:szCs w:val="20"/>
          <w:lang w:val="es-ES_tradnl" w:eastAsia="es-ES"/>
        </w:rPr>
      </w:pPr>
    </w:p>
    <w:p w14:paraId="6DD8B574" w14:textId="77777777" w:rsidR="00C82232" w:rsidRDefault="00C82232" w:rsidP="00C82232">
      <w:pPr>
        <w:spacing w:after="0" w:line="240" w:lineRule="auto"/>
        <w:jc w:val="both"/>
        <w:rPr>
          <w:rFonts w:ascii="Verdana" w:eastAsia="Calibri" w:hAnsi="Verdana" w:cs="Arial"/>
          <w:sz w:val="20"/>
          <w:szCs w:val="20"/>
          <w:lang w:val="es-ES_tradnl" w:eastAsia="es-ES"/>
        </w:rPr>
      </w:pPr>
      <w:r>
        <w:rPr>
          <w:rFonts w:ascii="Verdana" w:eastAsia="Calibri" w:hAnsi="Verdana" w:cs="Arial"/>
          <w:sz w:val="20"/>
          <w:szCs w:val="20"/>
          <w:lang w:val="es-ES_tradnl" w:eastAsia="es-ES"/>
        </w:rPr>
        <w:t>E</w:t>
      </w:r>
      <w:r w:rsidRPr="00683DFF">
        <w:rPr>
          <w:rFonts w:ascii="Verdana" w:eastAsia="Calibri" w:hAnsi="Verdana" w:cs="Arial"/>
          <w:sz w:val="20"/>
          <w:szCs w:val="20"/>
          <w:lang w:val="es-ES_tradnl" w:eastAsia="es-ES"/>
        </w:rPr>
        <w:t xml:space="preserve">l artículo 2.2.1.1.2.1.1 del Decreto 1082 de 2015, el cual señala que, dentro de los estudios previos, cuando el objeto de contratación incluye el diseño y construcción, se requiere los documentos técnicos del proyecto. Dichos documentos perfilan las características generales de la obra respecto a su ubicación, dimensiones, especificaciones, etc. Para estos efectos, es posible la suscripción de contratos de obra de llave en mano. Éstos no se agotan en la labor constructiva típica, pues incluye tanto la elaboración de los diseños como la puesta en funcionamiento de la obra contratada, lo que justifica una contraprestación a precio global y alzado. Es decir, al margen de la fuente de los recursos que financien la ejecución, las actividades de diseño y de construcción se cuantifican de forma conjunta. </w:t>
      </w:r>
    </w:p>
    <w:p w14:paraId="7CA941A6" w14:textId="77777777" w:rsidR="00C82232" w:rsidRDefault="00C82232" w:rsidP="0015359A">
      <w:pPr>
        <w:spacing w:after="0" w:line="240" w:lineRule="auto"/>
        <w:rPr>
          <w:rFonts w:ascii="Verdana" w:eastAsia="Geomanist Light" w:hAnsi="Verdana" w:cs="Arial"/>
          <w:color w:val="000000" w:themeColor="text1"/>
          <w:lang w:val="es-ES_tradnl"/>
        </w:rPr>
      </w:pPr>
    </w:p>
    <w:p w14:paraId="267CE453" w14:textId="52009D8E" w:rsidR="0015359A" w:rsidRPr="00C82232" w:rsidRDefault="0015359A" w:rsidP="0015359A">
      <w:pPr>
        <w:spacing w:after="0" w:line="240" w:lineRule="auto"/>
        <w:rPr>
          <w:rFonts w:ascii="Verdana" w:eastAsia="Geomanist Light" w:hAnsi="Verdana" w:cs="Arial"/>
          <w:color w:val="201F1E"/>
        </w:rPr>
      </w:pPr>
      <w:r w:rsidRPr="00593A5F">
        <w:rPr>
          <w:rFonts w:ascii="Verdana" w:eastAsia="Geomanist Light" w:hAnsi="Verdana" w:cs="Arial"/>
          <w:color w:val="000000" w:themeColor="text1"/>
          <w:lang w:val="es-MX"/>
        </w:rPr>
        <w:lastRenderedPageBreak/>
        <w:t>Bogotá D.C., </w:t>
      </w:r>
      <w:r w:rsidR="00C82232" w:rsidRPr="00C82232">
        <w:rPr>
          <w:rFonts w:ascii="Verdana" w:eastAsia="Geomanist Light" w:hAnsi="Verdana" w:cs="Arial"/>
          <w:color w:val="000000" w:themeColor="text1"/>
          <w:lang w:val="es-MX"/>
        </w:rPr>
        <w:t>15 de Julio de 2025</w:t>
      </w:r>
    </w:p>
    <w:p w14:paraId="20501DFE" w14:textId="77777777" w:rsidR="0015359A" w:rsidRDefault="0015359A" w:rsidP="0015359A">
      <w:pPr>
        <w:spacing w:after="0" w:line="240" w:lineRule="auto"/>
        <w:jc w:val="both"/>
        <w:rPr>
          <w:rFonts w:ascii="Verdana" w:eastAsia="Calibri" w:hAnsi="Verdana" w:cs="Arial"/>
          <w:color w:val="000000"/>
        </w:rPr>
      </w:pPr>
    </w:p>
    <w:p w14:paraId="0488F3FF" w14:textId="39C06581" w:rsidR="00C82232" w:rsidRPr="00C82232" w:rsidRDefault="00C82232" w:rsidP="00C82232">
      <w:pPr>
        <w:spacing w:after="0" w:line="240" w:lineRule="auto"/>
        <w:jc w:val="right"/>
        <w:rPr>
          <w:rFonts w:ascii="Verdana" w:eastAsia="Calibri" w:hAnsi="Verdana" w:cs="Arial"/>
          <w:color w:val="000000"/>
        </w:rPr>
      </w:pPr>
      <w:r w:rsidRPr="00C82232">
        <w:rPr>
          <w:rFonts w:ascii="Verdana" w:eastAsia="Calibri" w:hAnsi="Verdana" w:cs="Arial"/>
          <w:color w:val="000000"/>
        </w:rPr>
        <w:drawing>
          <wp:inline distT="0" distB="0" distL="0" distR="0" wp14:anchorId="2502D3DE" wp14:editId="7886A27E">
            <wp:extent cx="2400300" cy="622300"/>
            <wp:effectExtent l="0" t="0" r="0" b="0"/>
            <wp:docPr id="20943372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337208" name=""/>
                    <pic:cNvPicPr/>
                  </pic:nvPicPr>
                  <pic:blipFill>
                    <a:blip r:embed="rId10"/>
                    <a:stretch>
                      <a:fillRect/>
                    </a:stretch>
                  </pic:blipFill>
                  <pic:spPr>
                    <a:xfrm>
                      <a:off x="0" y="0"/>
                      <a:ext cx="2400300" cy="622300"/>
                    </a:xfrm>
                    <a:prstGeom prst="rect">
                      <a:avLst/>
                    </a:prstGeom>
                  </pic:spPr>
                </pic:pic>
              </a:graphicData>
            </a:graphic>
          </wp:inline>
        </w:drawing>
      </w:r>
    </w:p>
    <w:p w14:paraId="3C9B6AF2" w14:textId="77777777" w:rsidR="0015359A" w:rsidRPr="00593A5F" w:rsidRDefault="0015359A" w:rsidP="0015359A">
      <w:pPr>
        <w:spacing w:after="0" w:line="240" w:lineRule="auto"/>
        <w:jc w:val="both"/>
        <w:rPr>
          <w:rFonts w:ascii="Verdana" w:eastAsia="Calibri" w:hAnsi="Verdana" w:cs="Arial"/>
          <w:color w:val="000000"/>
          <w:lang w:val="es-ES"/>
        </w:rPr>
      </w:pPr>
    </w:p>
    <w:p w14:paraId="31629F4E" w14:textId="77777777" w:rsidR="0015359A" w:rsidRPr="000C555D" w:rsidRDefault="0015359A" w:rsidP="0015359A">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2F864190" w14:textId="77777777" w:rsidR="0015359A" w:rsidRPr="00583C7F" w:rsidRDefault="0015359A" w:rsidP="0015359A">
      <w:pPr>
        <w:spacing w:after="0" w:line="240" w:lineRule="auto"/>
        <w:rPr>
          <w:rFonts w:ascii="Verdana" w:eastAsia="Calibri" w:hAnsi="Verdana" w:cs="Arial"/>
          <w:b/>
          <w:lang w:val="es-ES" w:eastAsia="es-ES"/>
        </w:rPr>
      </w:pPr>
      <w:r w:rsidRPr="00331580">
        <w:rPr>
          <w:rFonts w:ascii="Verdana" w:eastAsia="Calibri" w:hAnsi="Verdana" w:cs="Arial"/>
          <w:b/>
          <w:lang w:val="es-ES" w:eastAsia="es-ES"/>
        </w:rPr>
        <w:t>Julián Mauricio Acero Morales</w:t>
      </w:r>
      <w:r w:rsidRPr="56F3586C">
        <w:rPr>
          <w:rFonts w:ascii="Verdana" w:eastAsia="Calibri" w:hAnsi="Verdana" w:cs="Arial"/>
          <w:b/>
          <w:lang w:val="es-ES" w:eastAsia="es-ES"/>
        </w:rPr>
        <w:t xml:space="preserve"> </w:t>
      </w:r>
    </w:p>
    <w:p w14:paraId="4C8DFD11" w14:textId="77777777" w:rsidR="0015359A" w:rsidRPr="00331580" w:rsidRDefault="0015359A" w:rsidP="0015359A">
      <w:pPr>
        <w:spacing w:after="0" w:line="240" w:lineRule="auto"/>
        <w:rPr>
          <w:rFonts w:ascii="Verdana" w:eastAsia="Calibri" w:hAnsi="Verdana" w:cs="Arial"/>
          <w:lang w:val="es-ES" w:eastAsia="es-ES"/>
        </w:rPr>
      </w:pPr>
      <w:hyperlink r:id="rId11" w:history="1">
        <w:r w:rsidRPr="00581EC6">
          <w:rPr>
            <w:rStyle w:val="Hipervnculo"/>
            <w:rFonts w:ascii="Verdana" w:hAnsi="Verdana"/>
          </w:rPr>
          <w:t>julian.acero@unimilitar.edu.co</w:t>
        </w:r>
      </w:hyperlink>
      <w:r>
        <w:rPr>
          <w:rFonts w:ascii="Verdana" w:hAnsi="Verdana"/>
        </w:rPr>
        <w:t xml:space="preserve"> </w:t>
      </w:r>
      <w:r w:rsidRPr="00331580">
        <w:rPr>
          <w:rFonts w:ascii="Verdana" w:hAnsi="Verdana"/>
        </w:rPr>
        <w:t xml:space="preserve">            </w:t>
      </w:r>
      <w:r w:rsidRPr="00331580">
        <w:rPr>
          <w:rFonts w:ascii="Verdana" w:eastAsia="Calibri" w:hAnsi="Verdana" w:cs="Arial"/>
          <w:lang w:val="es-ES" w:eastAsia="es-ES"/>
        </w:rPr>
        <w:t xml:space="preserve">    </w:t>
      </w:r>
    </w:p>
    <w:p w14:paraId="7E324126" w14:textId="77777777" w:rsidR="0015359A" w:rsidRDefault="0015359A" w:rsidP="0015359A">
      <w:pPr>
        <w:spacing w:after="0" w:line="240" w:lineRule="auto"/>
        <w:rPr>
          <w:rFonts w:ascii="Verdana" w:eastAsia="Calibri" w:hAnsi="Verdana" w:cs="Arial"/>
          <w:lang w:val="es-ES" w:eastAsia="es-ES"/>
        </w:rPr>
      </w:pPr>
      <w:r w:rsidRPr="00331580">
        <w:rPr>
          <w:rFonts w:ascii="Verdana" w:eastAsia="Calibri" w:hAnsi="Verdana" w:cs="Arial"/>
          <w:lang w:val="es-ES" w:eastAsia="es-ES"/>
        </w:rPr>
        <w:t>Bogotá D.C.</w:t>
      </w:r>
      <w:r>
        <w:rPr>
          <w:rFonts w:ascii="Verdana" w:eastAsia="Calibri" w:hAnsi="Verdana" w:cs="Arial"/>
          <w:lang w:val="es-ES" w:eastAsia="es-ES"/>
        </w:rPr>
        <w:t xml:space="preserve"> </w:t>
      </w:r>
    </w:p>
    <w:p w14:paraId="68FA560C" w14:textId="77777777" w:rsidR="0015359A" w:rsidRPr="00593A5F" w:rsidRDefault="0015359A" w:rsidP="0015359A">
      <w:pPr>
        <w:spacing w:after="0" w:line="240" w:lineRule="auto"/>
        <w:rPr>
          <w:rFonts w:ascii="Verdana" w:eastAsia="Calibri" w:hAnsi="Verdana" w:cs="Arial"/>
          <w:b/>
          <w:bCs/>
          <w:color w:val="000000"/>
          <w:lang w:val="es-ES_tradnl" w:eastAsia="es-ES_tradnl"/>
        </w:rPr>
      </w:pPr>
    </w:p>
    <w:p w14:paraId="66C40551" w14:textId="77777777" w:rsidR="0015359A" w:rsidRPr="00593A5F" w:rsidRDefault="0015359A" w:rsidP="0015359A">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5359A" w:rsidRPr="00593A5F" w14:paraId="0E140239" w14:textId="77777777" w:rsidTr="00013DE6">
        <w:trPr>
          <w:trHeight w:val="884"/>
        </w:trPr>
        <w:tc>
          <w:tcPr>
            <w:tcW w:w="2689" w:type="dxa"/>
          </w:tcPr>
          <w:p w14:paraId="090CD10A" w14:textId="77777777" w:rsidR="0015359A" w:rsidRPr="00C00976" w:rsidRDefault="0015359A" w:rsidP="00013DE6">
            <w:pPr>
              <w:jc w:val="both"/>
              <w:rPr>
                <w:rFonts w:ascii="Verdana" w:eastAsia="Calibri" w:hAnsi="Verdana" w:cs="Arial"/>
                <w:b/>
                <w:bCs/>
                <w:color w:val="7030A0"/>
                <w:lang w:val="es-ES_tradnl" w:eastAsia="es-ES_tradnl"/>
              </w:rPr>
            </w:pPr>
          </w:p>
        </w:tc>
        <w:tc>
          <w:tcPr>
            <w:tcW w:w="6100" w:type="dxa"/>
          </w:tcPr>
          <w:p w14:paraId="4BBC3397" w14:textId="26AE22B9" w:rsidR="0015359A" w:rsidRPr="00C00976" w:rsidRDefault="0015359A" w:rsidP="00013DE6">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sidR="009A3D0C">
              <w:rPr>
                <w:rFonts w:ascii="Verdana" w:eastAsia="Calibri" w:hAnsi="Verdana" w:cs="Arial"/>
                <w:b/>
                <w:bCs/>
                <w:lang w:val="es-ES" w:eastAsia="es-ES"/>
              </w:rPr>
              <w:t>915</w:t>
            </w:r>
            <w:r>
              <w:rPr>
                <w:rFonts w:ascii="Verdana" w:eastAsia="Calibri" w:hAnsi="Verdana" w:cs="Arial"/>
                <w:b/>
                <w:bCs/>
                <w:lang w:val="es-ES" w:eastAsia="es-ES"/>
              </w:rPr>
              <w:t xml:space="preserve">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15359A" w:rsidRPr="00593A5F" w14:paraId="18FE329B" w14:textId="77777777" w:rsidTr="00013DE6">
        <w:trPr>
          <w:trHeight w:val="884"/>
        </w:trPr>
        <w:tc>
          <w:tcPr>
            <w:tcW w:w="2689" w:type="dxa"/>
          </w:tcPr>
          <w:p w14:paraId="30A5FA6F" w14:textId="77777777" w:rsidR="0015359A" w:rsidRPr="00593A5F" w:rsidRDefault="0015359A" w:rsidP="00013DE6">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6A8530DD" w14:textId="77777777" w:rsidR="0015359A" w:rsidRPr="00A11406" w:rsidRDefault="0015359A" w:rsidP="00013DE6">
            <w:pPr>
              <w:spacing w:line="276" w:lineRule="auto"/>
              <w:jc w:val="both"/>
              <w:rPr>
                <w:rFonts w:ascii="Verdana" w:eastAsia="Calibri" w:hAnsi="Verdana" w:cs="Arial"/>
                <w:lang w:val="es-ES" w:eastAsia="es-ES"/>
              </w:rPr>
            </w:pPr>
            <w:r w:rsidRPr="00B73955">
              <w:rPr>
                <w:rFonts w:ascii="Verdana" w:eastAsia="Calibri" w:hAnsi="Verdana" w:cs="Arial"/>
                <w:lang w:val="es-ES" w:eastAsia="es-ES"/>
              </w:rPr>
              <w:t>CONTRATO DE OBRA PÚBLICA – Concepto – Sentido restringido</w:t>
            </w:r>
            <w:r>
              <w:rPr>
                <w:rFonts w:ascii="Verdana" w:eastAsia="Calibri" w:hAnsi="Verdana" w:cs="Arial"/>
                <w:lang w:val="es-ES" w:eastAsia="es-ES"/>
              </w:rPr>
              <w:t xml:space="preserve"> / </w:t>
            </w:r>
            <w:r w:rsidRPr="00B73955">
              <w:rPr>
                <w:rFonts w:ascii="Verdana" w:eastAsia="Calibri" w:hAnsi="Verdana" w:cs="Arial"/>
                <w:lang w:val="es-ES" w:eastAsia="es-ES"/>
              </w:rPr>
              <w:t>DISEÑOS, ESTUDIOS Y OBRA – Contratación – Viabilidad del proyecto</w:t>
            </w:r>
            <w:r>
              <w:rPr>
                <w:rFonts w:ascii="Verdana" w:eastAsia="Calibri" w:hAnsi="Verdana" w:cs="Arial"/>
                <w:lang w:val="es-ES" w:eastAsia="es-ES"/>
              </w:rPr>
              <w:t xml:space="preserve"> / </w:t>
            </w:r>
            <w:r w:rsidRPr="00683DFF">
              <w:rPr>
                <w:rFonts w:ascii="Verdana" w:eastAsia="Calibri" w:hAnsi="Verdana" w:cs="Arial"/>
                <w:lang w:val="es-ES" w:eastAsia="es-ES"/>
              </w:rPr>
              <w:t xml:space="preserve">DISEÑOS Y ESTUDIOS DE LA OBRA – Ejecución conjunta – Contrato de llave en mano </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12B08580" w14:textId="77777777" w:rsidR="0015359A" w:rsidRPr="00593A5F" w:rsidRDefault="0015359A" w:rsidP="00013DE6">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15359A" w:rsidRPr="008E6AD9" w14:paraId="1687F979" w14:textId="77777777" w:rsidTr="00013DE6">
        <w:tc>
          <w:tcPr>
            <w:tcW w:w="2689" w:type="dxa"/>
          </w:tcPr>
          <w:p w14:paraId="6AE81323" w14:textId="77777777" w:rsidR="0015359A" w:rsidRPr="008E6AD9" w:rsidRDefault="0015359A" w:rsidP="00013DE6">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643313B5" w14:textId="77777777" w:rsidR="0015359A" w:rsidRPr="00B92340" w:rsidRDefault="0015359A" w:rsidP="00013DE6">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w:t>
            </w:r>
            <w:r>
              <w:rPr>
                <w:rFonts w:ascii="Verdana" w:eastAsia="Calibri" w:hAnsi="Verdana" w:cs="Arial"/>
                <w:lang w:val="es-ES_tradnl" w:eastAsia="es-ES_tradnl"/>
              </w:rPr>
              <w:t xml:space="preserve"> </w:t>
            </w:r>
            <w:r w:rsidRPr="008E6AD9">
              <w:rPr>
                <w:rFonts w:ascii="Verdana" w:eastAsia="Calibri" w:hAnsi="Verdana" w:cs="Arial"/>
                <w:lang w:val="es-ES_tradnl" w:eastAsia="es-ES_tradnl"/>
              </w:rPr>
              <w:t>No.</w:t>
            </w:r>
            <w:r>
              <w:rPr>
                <w:rFonts w:ascii="Verdana" w:eastAsia="Calibri" w:hAnsi="Verdana" w:cs="Arial"/>
                <w:lang w:val="es-ES_tradnl" w:eastAsia="es-ES_tradnl"/>
              </w:rPr>
              <w:t xml:space="preserve"> </w:t>
            </w:r>
            <w:r w:rsidRPr="00CE2C55">
              <w:rPr>
                <w:rFonts w:ascii="Verdana" w:eastAsia="Calibri" w:hAnsi="Verdana" w:cs="Arial"/>
                <w:lang w:val="es-ES_tradnl" w:eastAsia="es-ES_tradnl"/>
              </w:rPr>
              <w:t>1_2025_07_11_007013</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797A4DF4" w14:textId="77777777" w:rsidR="0015359A" w:rsidRPr="00593A5F" w:rsidRDefault="0015359A" w:rsidP="0015359A">
      <w:pPr>
        <w:spacing w:after="0" w:line="240" w:lineRule="auto"/>
        <w:jc w:val="both"/>
        <w:rPr>
          <w:rFonts w:ascii="Verdana" w:eastAsia="Calibri" w:hAnsi="Verdana" w:cs="Arial"/>
          <w:color w:val="000000"/>
          <w:lang w:val="es-ES_tradnl" w:eastAsia="es-ES_tradnl"/>
        </w:rPr>
      </w:pPr>
    </w:p>
    <w:p w14:paraId="640D6FEA" w14:textId="77777777" w:rsidR="0015359A" w:rsidRPr="00593A5F" w:rsidRDefault="0015359A" w:rsidP="0015359A">
      <w:pPr>
        <w:spacing w:after="0" w:line="240" w:lineRule="auto"/>
        <w:jc w:val="both"/>
        <w:rPr>
          <w:rFonts w:ascii="Verdana" w:eastAsia="Calibri" w:hAnsi="Verdana" w:cs="Arial"/>
          <w:color w:val="000000"/>
          <w:lang w:val="es-ES_tradnl" w:eastAsia="es-ES_tradnl"/>
        </w:rPr>
      </w:pPr>
    </w:p>
    <w:p w14:paraId="728B61F6" w14:textId="77777777" w:rsidR="0015359A" w:rsidRPr="008E6AD9" w:rsidRDefault="0015359A" w:rsidP="0015359A">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r w:rsidRPr="00331580">
        <w:rPr>
          <w:rFonts w:ascii="Verdana" w:eastAsia="Calibri" w:hAnsi="Verdana" w:cs="Arial"/>
          <w:lang w:val="es-ES" w:eastAsia="es-ES"/>
        </w:rPr>
        <w:t>Acero Morales</w:t>
      </w:r>
      <w:r w:rsidRPr="008E6AD9">
        <w:rPr>
          <w:rFonts w:ascii="Verdana" w:eastAsia="Calibri" w:hAnsi="Verdana" w:cs="Arial"/>
          <w:lang w:val="es-ES" w:eastAsia="es-ES"/>
        </w:rPr>
        <w:t xml:space="preserve">: </w:t>
      </w:r>
    </w:p>
    <w:p w14:paraId="683A012B" w14:textId="77777777" w:rsidR="0015359A" w:rsidRDefault="0015359A" w:rsidP="0015359A">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144BB08E" w14:textId="77777777" w:rsidR="0015359A" w:rsidRPr="00593A5F" w:rsidRDefault="0015359A" w:rsidP="0015359A">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3 de julio de 2025 realizada al Departamento Nacional de Planeación, la cual –conforme al artículo 21 de la Ley 1437 de 2011– fue remitida por competencia a esta entidad mediante correo electrónico del 9 de julio de la presente anualidad, </w:t>
      </w:r>
      <w:r w:rsidRPr="008E6AD9">
        <w:rPr>
          <w:rFonts w:ascii="Verdana" w:eastAsia="Calibri" w:hAnsi="Verdana" w:cs="Arial"/>
          <w:lang w:val="es-ES" w:eastAsia="es-ES"/>
        </w:rPr>
        <w:t xml:space="preserve">en </w:t>
      </w:r>
      <w:r>
        <w:rPr>
          <w:rFonts w:ascii="Verdana" w:eastAsia="Calibri" w:hAnsi="Verdana" w:cs="Arial"/>
          <w:lang w:val="es-ES" w:eastAsia="es-ES"/>
        </w:rPr>
        <w:t>la que manifiesta lo siguiente</w:t>
      </w:r>
      <w:r w:rsidRPr="008E6AD9">
        <w:rPr>
          <w:rFonts w:ascii="Verdana" w:eastAsia="Calibri" w:hAnsi="Verdana" w:cs="Arial"/>
          <w:lang w:val="es-ES" w:eastAsia="es-ES"/>
        </w:rPr>
        <w:t xml:space="preserve">: </w:t>
      </w:r>
    </w:p>
    <w:p w14:paraId="36C0FA93" w14:textId="77777777" w:rsidR="0015359A" w:rsidRPr="00272A7B" w:rsidRDefault="0015359A" w:rsidP="0015359A">
      <w:pPr>
        <w:pStyle w:val="Prrafodelista"/>
        <w:tabs>
          <w:tab w:val="left" w:pos="142"/>
          <w:tab w:val="left" w:pos="284"/>
        </w:tabs>
        <w:spacing w:after="0" w:line="276" w:lineRule="auto"/>
        <w:ind w:left="0"/>
        <w:jc w:val="both"/>
        <w:rPr>
          <w:rFonts w:ascii="Verdana" w:eastAsia="Century Gothic" w:hAnsi="Verdana" w:cs="Century Gothic"/>
          <w:b/>
          <w:bCs/>
        </w:rPr>
      </w:pPr>
    </w:p>
    <w:p w14:paraId="24599BB7" w14:textId="77777777" w:rsidR="0015359A" w:rsidRPr="00331580" w:rsidRDefault="0015359A" w:rsidP="0015359A">
      <w:pPr>
        <w:spacing w:after="120" w:line="240" w:lineRule="auto"/>
        <w:ind w:left="709" w:right="709"/>
        <w:jc w:val="both"/>
        <w:rPr>
          <w:rFonts w:ascii="Verdana" w:eastAsia="Century Gothic" w:hAnsi="Verdana" w:cs="Century Gothic"/>
          <w:sz w:val="21"/>
          <w:szCs w:val="21"/>
          <w:lang w:val="es-ES"/>
        </w:rPr>
      </w:pPr>
      <w:bookmarkStart w:id="0" w:name="_Hlk95313578"/>
      <w:r w:rsidRPr="006E7258">
        <w:rPr>
          <w:rFonts w:ascii="Verdana" w:eastAsia="Century Gothic" w:hAnsi="Verdana" w:cs="Century Gothic"/>
          <w:sz w:val="21"/>
          <w:szCs w:val="21"/>
          <w:lang w:val="es-ES"/>
        </w:rPr>
        <w:t>“</w:t>
      </w:r>
      <w:bookmarkEnd w:id="0"/>
      <w:r w:rsidRPr="00331580">
        <w:rPr>
          <w:rFonts w:ascii="Verdana" w:eastAsia="Century Gothic" w:hAnsi="Verdana" w:cs="Century Gothic"/>
          <w:sz w:val="21"/>
          <w:szCs w:val="21"/>
          <w:lang w:val="es-ES"/>
        </w:rPr>
        <w:t xml:space="preserve">De acuerdo con lo relacionado en el artículo 2.2.1.1.2.1.1. sobre </w:t>
      </w:r>
      <w:r>
        <w:rPr>
          <w:rFonts w:ascii="Verdana" w:eastAsia="Century Gothic" w:hAnsi="Verdana" w:cs="Century Gothic"/>
          <w:sz w:val="21"/>
          <w:szCs w:val="21"/>
          <w:lang w:val="es-ES"/>
        </w:rPr>
        <w:t>‘</w:t>
      </w:r>
      <w:r w:rsidRPr="00331580">
        <w:rPr>
          <w:rFonts w:ascii="Verdana" w:eastAsia="Century Gothic" w:hAnsi="Verdana" w:cs="Century Gothic"/>
          <w:sz w:val="21"/>
          <w:szCs w:val="21"/>
          <w:lang w:val="es-ES"/>
        </w:rPr>
        <w:t>Estudios y documentos</w:t>
      </w:r>
      <w:r>
        <w:rPr>
          <w:rFonts w:ascii="Verdana" w:eastAsia="Century Gothic" w:hAnsi="Verdana" w:cs="Century Gothic"/>
          <w:sz w:val="21"/>
          <w:szCs w:val="21"/>
          <w:lang w:val="es-ES"/>
        </w:rPr>
        <w:t xml:space="preserve"> </w:t>
      </w:r>
      <w:r w:rsidRPr="00331580">
        <w:rPr>
          <w:rFonts w:ascii="Verdana" w:eastAsia="Century Gothic" w:hAnsi="Verdana" w:cs="Century Gothic"/>
          <w:sz w:val="21"/>
          <w:szCs w:val="21"/>
          <w:lang w:val="es-ES"/>
        </w:rPr>
        <w:t>previos</w:t>
      </w:r>
      <w:r>
        <w:rPr>
          <w:rFonts w:ascii="Verdana" w:eastAsia="Century Gothic" w:hAnsi="Verdana" w:cs="Century Gothic"/>
          <w:sz w:val="21"/>
          <w:szCs w:val="21"/>
          <w:lang w:val="es-ES"/>
        </w:rPr>
        <w:t>’</w:t>
      </w:r>
      <w:r w:rsidRPr="00331580">
        <w:rPr>
          <w:rFonts w:ascii="Verdana" w:eastAsia="Century Gothic" w:hAnsi="Verdana" w:cs="Century Gothic"/>
          <w:sz w:val="21"/>
          <w:szCs w:val="21"/>
          <w:lang w:val="es-ES"/>
        </w:rPr>
        <w:t xml:space="preserve"> del decreto 1082 de 2015, numeral 2, uno de los elementos que debe contener los</w:t>
      </w:r>
      <w:r>
        <w:rPr>
          <w:rFonts w:ascii="Verdana" w:eastAsia="Century Gothic" w:hAnsi="Verdana" w:cs="Century Gothic"/>
          <w:sz w:val="21"/>
          <w:szCs w:val="21"/>
          <w:lang w:val="es-ES"/>
        </w:rPr>
        <w:t xml:space="preserve"> </w:t>
      </w:r>
      <w:r w:rsidRPr="00331580">
        <w:rPr>
          <w:rFonts w:ascii="Verdana" w:eastAsia="Century Gothic" w:hAnsi="Verdana" w:cs="Century Gothic"/>
          <w:sz w:val="21"/>
          <w:szCs w:val="21"/>
          <w:lang w:val="es-ES"/>
        </w:rPr>
        <w:t xml:space="preserve">estudios y documentos </w:t>
      </w:r>
      <w:r w:rsidRPr="00331580">
        <w:rPr>
          <w:rFonts w:ascii="Verdana" w:eastAsia="Century Gothic" w:hAnsi="Verdana" w:cs="Century Gothic"/>
          <w:sz w:val="21"/>
          <w:szCs w:val="21"/>
          <w:lang w:val="es-ES"/>
        </w:rPr>
        <w:lastRenderedPageBreak/>
        <w:t xml:space="preserve">previos es el </w:t>
      </w:r>
      <w:r>
        <w:rPr>
          <w:rFonts w:ascii="Verdana" w:eastAsia="Century Gothic" w:hAnsi="Verdana" w:cs="Century Gothic"/>
          <w:sz w:val="21"/>
          <w:szCs w:val="21"/>
          <w:lang w:val="es-ES"/>
        </w:rPr>
        <w:t>‘</w:t>
      </w:r>
      <w:r w:rsidRPr="00331580">
        <w:rPr>
          <w:rFonts w:ascii="Verdana" w:eastAsia="Century Gothic" w:hAnsi="Verdana" w:cs="Century Gothic"/>
          <w:sz w:val="21"/>
          <w:szCs w:val="21"/>
          <w:lang w:val="es-ES"/>
        </w:rPr>
        <w:t>el objeto a contratar, con sus especificaciones, las</w:t>
      </w:r>
      <w:r>
        <w:rPr>
          <w:rFonts w:ascii="Verdana" w:eastAsia="Century Gothic" w:hAnsi="Verdana" w:cs="Century Gothic"/>
          <w:sz w:val="21"/>
          <w:szCs w:val="21"/>
          <w:lang w:val="es-ES"/>
        </w:rPr>
        <w:t xml:space="preserve"> </w:t>
      </w:r>
      <w:r w:rsidRPr="00331580">
        <w:rPr>
          <w:rFonts w:ascii="Verdana" w:eastAsia="Century Gothic" w:hAnsi="Verdana" w:cs="Century Gothic"/>
          <w:sz w:val="21"/>
          <w:szCs w:val="21"/>
          <w:lang w:val="es-ES"/>
        </w:rPr>
        <w:t xml:space="preserve">autorizaciones, permisos y licencias requeridos para su ejecución, y </w:t>
      </w:r>
      <w:r w:rsidRPr="00331580">
        <w:rPr>
          <w:rFonts w:ascii="Verdana" w:eastAsia="Century Gothic" w:hAnsi="Verdana" w:cs="Century Gothic"/>
          <w:b/>
          <w:bCs/>
          <w:sz w:val="21"/>
          <w:szCs w:val="21"/>
          <w:lang w:val="es-ES"/>
        </w:rPr>
        <w:t>cuando el contrato incluye diseño y construcción</w:t>
      </w:r>
      <w:r w:rsidRPr="00331580">
        <w:rPr>
          <w:rFonts w:ascii="Verdana" w:eastAsia="Century Gothic" w:hAnsi="Verdana" w:cs="Century Gothic"/>
          <w:sz w:val="21"/>
          <w:szCs w:val="21"/>
          <w:lang w:val="es-ES"/>
        </w:rPr>
        <w:t>, los documentos técnicos para el desarrollo del proyecto</w:t>
      </w:r>
      <w:r>
        <w:rPr>
          <w:rFonts w:ascii="Verdana" w:eastAsia="Century Gothic" w:hAnsi="Verdana" w:cs="Century Gothic"/>
          <w:sz w:val="21"/>
          <w:szCs w:val="21"/>
          <w:lang w:val="es-ES"/>
        </w:rPr>
        <w:t xml:space="preserve">’ </w:t>
      </w:r>
      <w:r w:rsidRPr="00331580">
        <w:rPr>
          <w:rFonts w:ascii="Verdana" w:eastAsia="Century Gothic" w:hAnsi="Verdana" w:cs="Century Gothic"/>
          <w:sz w:val="21"/>
          <w:szCs w:val="21"/>
          <w:lang w:val="es-ES"/>
        </w:rPr>
        <w:t>(negritas fuera de texto).</w:t>
      </w:r>
    </w:p>
    <w:p w14:paraId="1CB78BCE" w14:textId="77777777" w:rsidR="0015359A" w:rsidRPr="00331580" w:rsidRDefault="0015359A" w:rsidP="0015359A">
      <w:pPr>
        <w:spacing w:after="120" w:line="240" w:lineRule="auto"/>
        <w:ind w:left="709" w:right="709"/>
        <w:jc w:val="both"/>
        <w:rPr>
          <w:rFonts w:ascii="Verdana" w:eastAsia="Century Gothic" w:hAnsi="Verdana" w:cs="Century Gothic"/>
          <w:sz w:val="21"/>
          <w:szCs w:val="21"/>
          <w:lang w:val="es-ES"/>
        </w:rPr>
      </w:pPr>
      <w:r w:rsidRPr="00331580">
        <w:rPr>
          <w:rFonts w:ascii="Verdana" w:eastAsia="Century Gothic" w:hAnsi="Verdana" w:cs="Century Gothic"/>
          <w:sz w:val="21"/>
          <w:szCs w:val="21"/>
          <w:lang w:val="es-ES"/>
        </w:rPr>
        <w:t>De acuerdo con lo anterior, se solicita concepto sobre las siguientes dudas:</w:t>
      </w:r>
    </w:p>
    <w:p w14:paraId="487B2CE3" w14:textId="77777777" w:rsidR="0015359A" w:rsidRDefault="0015359A" w:rsidP="0015359A">
      <w:pPr>
        <w:pStyle w:val="Prrafodelista"/>
        <w:numPr>
          <w:ilvl w:val="0"/>
          <w:numId w:val="18"/>
        </w:numPr>
        <w:spacing w:after="0" w:line="240" w:lineRule="auto"/>
        <w:ind w:left="993" w:right="709" w:hanging="284"/>
        <w:jc w:val="both"/>
        <w:rPr>
          <w:rFonts w:ascii="Verdana" w:eastAsia="Century Gothic" w:hAnsi="Verdana" w:cs="Century Gothic"/>
          <w:sz w:val="21"/>
          <w:szCs w:val="21"/>
        </w:rPr>
      </w:pPr>
      <w:r w:rsidRPr="00331580">
        <w:rPr>
          <w:rFonts w:ascii="Verdana" w:eastAsia="Century Gothic" w:hAnsi="Verdana" w:cs="Century Gothic"/>
          <w:sz w:val="21"/>
          <w:szCs w:val="21"/>
        </w:rPr>
        <w:t xml:space="preserve">¿En la normatividad de contratación </w:t>
      </w:r>
      <w:proofErr w:type="gramStart"/>
      <w:r w:rsidRPr="00331580">
        <w:rPr>
          <w:rFonts w:ascii="Verdana" w:eastAsia="Century Gothic" w:hAnsi="Verdana" w:cs="Century Gothic"/>
          <w:sz w:val="21"/>
          <w:szCs w:val="21"/>
        </w:rPr>
        <w:t>Colombiana</w:t>
      </w:r>
      <w:proofErr w:type="gramEnd"/>
      <w:r w:rsidRPr="00331580">
        <w:rPr>
          <w:rFonts w:ascii="Verdana" w:eastAsia="Century Gothic" w:hAnsi="Verdana" w:cs="Century Gothic"/>
          <w:sz w:val="21"/>
          <w:szCs w:val="21"/>
        </w:rPr>
        <w:t>, es posible contratar consultoría y obra en un solo documento, con un solo contratista?</w:t>
      </w:r>
    </w:p>
    <w:p w14:paraId="3875CC25" w14:textId="77777777" w:rsidR="0015359A" w:rsidRPr="00460F5A" w:rsidRDefault="0015359A" w:rsidP="0015359A">
      <w:pPr>
        <w:pStyle w:val="Prrafodelista"/>
        <w:spacing w:after="0" w:line="240" w:lineRule="auto"/>
        <w:ind w:left="1416" w:right="709"/>
        <w:jc w:val="both"/>
        <w:rPr>
          <w:rFonts w:ascii="Verdana" w:eastAsia="Century Gothic" w:hAnsi="Verdana" w:cs="Century Gothic"/>
          <w:sz w:val="12"/>
          <w:szCs w:val="12"/>
        </w:rPr>
      </w:pPr>
    </w:p>
    <w:p w14:paraId="1A256C74" w14:textId="77777777" w:rsidR="0015359A" w:rsidRDefault="0015359A" w:rsidP="0015359A">
      <w:pPr>
        <w:pStyle w:val="Prrafodelista"/>
        <w:numPr>
          <w:ilvl w:val="0"/>
          <w:numId w:val="18"/>
        </w:numPr>
        <w:spacing w:after="0" w:line="240" w:lineRule="auto"/>
        <w:ind w:left="993" w:right="709" w:hanging="284"/>
        <w:jc w:val="both"/>
        <w:rPr>
          <w:rFonts w:ascii="Verdana" w:eastAsia="Century Gothic" w:hAnsi="Verdana" w:cs="Century Gothic"/>
          <w:sz w:val="21"/>
          <w:szCs w:val="21"/>
        </w:rPr>
      </w:pPr>
      <w:r w:rsidRPr="00331580">
        <w:rPr>
          <w:rFonts w:ascii="Verdana" w:eastAsia="Century Gothic" w:hAnsi="Verdana" w:cs="Century Gothic"/>
          <w:sz w:val="21"/>
          <w:szCs w:val="21"/>
        </w:rPr>
        <w:t>¿</w:t>
      </w:r>
      <w:proofErr w:type="gramStart"/>
      <w:r w:rsidRPr="00331580">
        <w:rPr>
          <w:rFonts w:ascii="Verdana" w:eastAsia="Century Gothic" w:hAnsi="Verdana" w:cs="Century Gothic"/>
          <w:sz w:val="21"/>
          <w:szCs w:val="21"/>
        </w:rPr>
        <w:t>En caso que</w:t>
      </w:r>
      <w:proofErr w:type="gramEnd"/>
      <w:r w:rsidRPr="00331580">
        <w:rPr>
          <w:rFonts w:ascii="Verdana" w:eastAsia="Century Gothic" w:hAnsi="Verdana" w:cs="Century Gothic"/>
          <w:sz w:val="21"/>
          <w:szCs w:val="21"/>
        </w:rPr>
        <w:t xml:space="preserve"> lo anterior sea viable, cómo se puede cuantificar el valor del contrato, que incluye la consultoría y la obra, si el costo de la construcción no es claro pues aún no se cuenta con los estudios y diseños?</w:t>
      </w:r>
    </w:p>
    <w:p w14:paraId="28BE5CC8" w14:textId="77777777" w:rsidR="0015359A" w:rsidRPr="00460F5A" w:rsidRDefault="0015359A" w:rsidP="0015359A">
      <w:pPr>
        <w:spacing w:after="0" w:line="240" w:lineRule="auto"/>
        <w:ind w:left="708" w:right="709"/>
        <w:jc w:val="both"/>
        <w:rPr>
          <w:rFonts w:ascii="Verdana" w:eastAsia="Century Gothic" w:hAnsi="Verdana" w:cs="Century Gothic"/>
          <w:sz w:val="12"/>
          <w:szCs w:val="12"/>
        </w:rPr>
      </w:pPr>
    </w:p>
    <w:p w14:paraId="29FA38CD" w14:textId="77777777" w:rsidR="0015359A" w:rsidRDefault="0015359A" w:rsidP="0015359A">
      <w:pPr>
        <w:pStyle w:val="Prrafodelista"/>
        <w:numPr>
          <w:ilvl w:val="0"/>
          <w:numId w:val="18"/>
        </w:numPr>
        <w:spacing w:after="0" w:line="240" w:lineRule="auto"/>
        <w:ind w:left="993" w:right="709" w:hanging="284"/>
        <w:jc w:val="both"/>
        <w:rPr>
          <w:rFonts w:ascii="Verdana" w:eastAsia="Century Gothic" w:hAnsi="Verdana" w:cs="Century Gothic"/>
          <w:sz w:val="21"/>
          <w:szCs w:val="21"/>
        </w:rPr>
      </w:pPr>
      <w:r w:rsidRPr="00331580">
        <w:rPr>
          <w:rFonts w:ascii="Verdana" w:eastAsia="Century Gothic" w:hAnsi="Verdana" w:cs="Century Gothic"/>
          <w:sz w:val="21"/>
          <w:szCs w:val="21"/>
        </w:rPr>
        <w:t>¿Los proyectos financiados con recursos del Sistema General de Regalías, pueden contemplar este tipo de contratos?</w:t>
      </w:r>
    </w:p>
    <w:p w14:paraId="7F61E9A2" w14:textId="77777777" w:rsidR="0015359A" w:rsidRPr="00460F5A" w:rsidRDefault="0015359A" w:rsidP="0015359A">
      <w:pPr>
        <w:spacing w:after="0" w:line="240" w:lineRule="auto"/>
        <w:ind w:left="708" w:right="709"/>
        <w:jc w:val="both"/>
        <w:rPr>
          <w:rFonts w:ascii="Verdana" w:eastAsia="Century Gothic" w:hAnsi="Verdana" w:cs="Century Gothic"/>
          <w:sz w:val="12"/>
          <w:szCs w:val="12"/>
        </w:rPr>
      </w:pPr>
    </w:p>
    <w:p w14:paraId="6A4CF1E5" w14:textId="77777777" w:rsidR="0015359A" w:rsidRPr="00331580" w:rsidRDefault="0015359A" w:rsidP="0015359A">
      <w:pPr>
        <w:pStyle w:val="Prrafodelista"/>
        <w:numPr>
          <w:ilvl w:val="0"/>
          <w:numId w:val="18"/>
        </w:numPr>
        <w:spacing w:after="120" w:line="240" w:lineRule="auto"/>
        <w:ind w:left="993" w:right="709" w:hanging="284"/>
        <w:jc w:val="both"/>
        <w:rPr>
          <w:rFonts w:ascii="Verdana" w:eastAsia="Century Gothic" w:hAnsi="Verdana" w:cs="Century Gothic"/>
          <w:sz w:val="21"/>
          <w:szCs w:val="21"/>
        </w:rPr>
      </w:pPr>
      <w:proofErr w:type="gramStart"/>
      <w:r w:rsidRPr="00331580">
        <w:rPr>
          <w:rFonts w:ascii="Verdana" w:eastAsia="Century Gothic" w:hAnsi="Verdana" w:cs="Century Gothic"/>
          <w:sz w:val="21"/>
          <w:szCs w:val="21"/>
        </w:rPr>
        <w:t>¿A qué documentos técnicos se refiere el literal 2 del artículo 2.</w:t>
      </w:r>
      <w:proofErr w:type="gramEnd"/>
      <w:r w:rsidRPr="00331580">
        <w:rPr>
          <w:rFonts w:ascii="Verdana" w:eastAsia="Century Gothic" w:hAnsi="Verdana" w:cs="Century Gothic"/>
          <w:sz w:val="21"/>
          <w:szCs w:val="21"/>
        </w:rPr>
        <w:t>2.1.1.2.1.1 del decreto 1082 de 2015, teniendo en cuenta que los estudios y diseños que se estarían incluyendo como parte de los productos del contrato son los que definen las especificaciones técnicas del provecto?”.</w:t>
      </w:r>
    </w:p>
    <w:p w14:paraId="24E8DCBF" w14:textId="77777777" w:rsidR="0015359A" w:rsidRPr="008E6AD9" w:rsidRDefault="0015359A" w:rsidP="0015359A">
      <w:pPr>
        <w:pStyle w:val="Prrafodelista"/>
        <w:tabs>
          <w:tab w:val="left" w:pos="142"/>
          <w:tab w:val="left" w:pos="284"/>
        </w:tabs>
        <w:spacing w:after="0" w:line="276" w:lineRule="auto"/>
        <w:ind w:left="0"/>
        <w:jc w:val="both"/>
        <w:rPr>
          <w:rFonts w:ascii="Verdana" w:eastAsia="Century Gothic" w:hAnsi="Verdana" w:cs="Century Gothic"/>
          <w:b/>
          <w:bCs/>
        </w:rPr>
      </w:pPr>
    </w:p>
    <w:p w14:paraId="14695D36" w14:textId="77777777" w:rsidR="0015359A" w:rsidRPr="00A652FF" w:rsidRDefault="0015359A" w:rsidP="0015359A">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2929A195" w14:textId="77777777" w:rsidR="0015359A" w:rsidRDefault="0015359A" w:rsidP="0015359A">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3D28971D" w14:textId="77777777" w:rsidR="0015359A" w:rsidRPr="00593A5F" w:rsidRDefault="0015359A" w:rsidP="0015359A">
      <w:pPr>
        <w:spacing w:after="0" w:line="276" w:lineRule="auto"/>
        <w:ind w:firstLine="709"/>
        <w:jc w:val="both"/>
        <w:rPr>
          <w:rFonts w:ascii="Verdana" w:eastAsia="Calibri" w:hAnsi="Verdana" w:cs="Arial"/>
          <w:color w:val="000000"/>
          <w:lang w:val="es-ES" w:eastAsia="es-ES"/>
        </w:rPr>
      </w:pPr>
    </w:p>
    <w:p w14:paraId="593A0009" w14:textId="77777777" w:rsidR="0015359A" w:rsidRPr="00593A5F" w:rsidRDefault="0015359A" w:rsidP="0015359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21204492" w14:textId="77777777" w:rsidR="0015359A" w:rsidRPr="00593A5F" w:rsidRDefault="0015359A" w:rsidP="0015359A">
      <w:pPr>
        <w:tabs>
          <w:tab w:val="left" w:pos="426"/>
        </w:tabs>
        <w:spacing w:after="0" w:line="276" w:lineRule="auto"/>
        <w:jc w:val="both"/>
        <w:rPr>
          <w:rFonts w:ascii="Verdana" w:eastAsia="Century Gothic" w:hAnsi="Verdana" w:cs="Century Gothic"/>
          <w:lang w:val="es-ES"/>
        </w:rPr>
      </w:pPr>
    </w:p>
    <w:p w14:paraId="6DF34CB5" w14:textId="77777777" w:rsidR="0015359A" w:rsidRPr="00593A5F" w:rsidRDefault="0015359A" w:rsidP="0015359A">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 xml:space="preserve">problema jurídico: </w:t>
      </w:r>
      <w:r w:rsidRPr="00411C6D">
        <w:rPr>
          <w:rFonts w:ascii="Verdana" w:eastAsia="Century Gothic" w:hAnsi="Verdana" w:cs="Century Gothic"/>
        </w:rPr>
        <w:t>¿</w:t>
      </w:r>
      <w:r>
        <w:rPr>
          <w:rFonts w:ascii="Verdana" w:eastAsia="Century Gothic" w:hAnsi="Verdana" w:cs="Century Gothic"/>
        </w:rPr>
        <w:t xml:space="preserve">cuál es marco jurídico de los diseños en el contrato de obra pública? </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29D2BA62" w14:textId="77777777" w:rsidR="0015359A" w:rsidRPr="004B140F" w:rsidRDefault="0015359A" w:rsidP="0015359A">
      <w:pPr>
        <w:spacing w:after="0" w:line="276" w:lineRule="auto"/>
        <w:jc w:val="both"/>
        <w:rPr>
          <w:rFonts w:ascii="Verdana" w:eastAsia="Calibri" w:hAnsi="Verdana" w:cs="Arial"/>
          <w:color w:val="7030A0"/>
        </w:rPr>
      </w:pPr>
    </w:p>
    <w:p w14:paraId="14451A65" w14:textId="77777777" w:rsidR="0015359A" w:rsidRPr="00593A5F" w:rsidRDefault="0015359A" w:rsidP="0015359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3A125189" w14:textId="77777777" w:rsidR="0015359A" w:rsidRPr="00593A5F" w:rsidRDefault="0015359A" w:rsidP="0015359A">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5359A" w:rsidRPr="00593A5F" w14:paraId="43B3B001" w14:textId="77777777" w:rsidTr="00013DE6">
        <w:trPr>
          <w:jc w:val="center"/>
        </w:trPr>
        <w:tc>
          <w:tcPr>
            <w:tcW w:w="8828" w:type="dxa"/>
            <w:shd w:val="clear" w:color="auto" w:fill="auto"/>
          </w:tcPr>
          <w:p w14:paraId="6BCEBB20" w14:textId="77777777" w:rsidR="0015359A" w:rsidRPr="000A1B8E" w:rsidRDefault="0015359A" w:rsidP="00013DE6">
            <w:pPr>
              <w:pStyle w:val="Textoindependiente"/>
              <w:spacing w:after="120" w:line="276" w:lineRule="auto"/>
              <w:jc w:val="both"/>
            </w:pPr>
            <w:bookmarkStart w:id="1" w:name="_Hlk171694685"/>
            <w:r>
              <w:rPr>
                <w:rFonts w:eastAsia="Arial" w:cs="Arial"/>
                <w:color w:val="000000" w:themeColor="text1"/>
              </w:rPr>
              <w:t xml:space="preserve">Conforme a la interpretación general de las normas del sistema de compras públicas, </w:t>
            </w:r>
            <w:r w:rsidRPr="000A1B8E">
              <w:rPr>
                <w:bCs/>
                <w:color w:val="000000" w:themeColor="text1"/>
                <w:lang w:val="es-ES_tradnl"/>
              </w:rPr>
              <w:t xml:space="preserve">el numeral 12 del artículo 25 de la Ley 80 de 1993 </w:t>
            </w:r>
            <w:r w:rsidRPr="000A1B8E">
              <w:t xml:space="preserve">no impide que en un mismo proceso de contratación se adelante de forma conjunta el proceso de construcción de la obra y la elaboración de los estudios y diseños que expliquen con mayor detalle a las obras y estructuras que se requieran, de tal forma que un constructor pueda materializar el proyecto, ya que sólo se requiere que existan unos estudios de viabilidad. Lo anterior se reitera con lo previsto en el artículo 2.2.1.1.2.1.1 del Decreto 1082 de 2015, el cual señala que, dentro de los estudios previos, cuando el objeto de contratación incluye el diseño y construcción, se requiere los documentos técnicos del proyecto. </w:t>
            </w:r>
            <w:r>
              <w:t>Dichos documentos perfilan las características generales de la obra respecto a su ubicación, dimensiones, especificaciones, etc. (Respuesta a las preguntas 1 y 4)</w:t>
            </w:r>
          </w:p>
          <w:p w14:paraId="74EDA9F7" w14:textId="77777777" w:rsidR="0015359A" w:rsidRDefault="0015359A" w:rsidP="00013DE6">
            <w:pPr>
              <w:spacing w:after="120" w:line="276" w:lineRule="auto"/>
              <w:ind w:firstLine="737"/>
              <w:jc w:val="both"/>
              <w:rPr>
                <w:rFonts w:ascii="Verdana" w:eastAsia="Arial" w:hAnsi="Verdana" w:cs="Arial"/>
                <w:color w:val="000000" w:themeColor="text1"/>
                <w:lang w:val="es-ES"/>
              </w:rPr>
            </w:pPr>
            <w:r>
              <w:rPr>
                <w:rFonts w:ascii="Verdana" w:eastAsia="Arial" w:hAnsi="Verdana" w:cs="Arial"/>
                <w:color w:val="000000" w:themeColor="text1"/>
                <w:lang w:val="es-ES"/>
              </w:rPr>
              <w:t xml:space="preserve">Para estos efectos, es posible la suscripción de contratos de obra de llave en mano. Éstos </w:t>
            </w:r>
            <w:r w:rsidRPr="00603958">
              <w:rPr>
                <w:rFonts w:ascii="Verdana" w:eastAsia="Arial" w:hAnsi="Verdana" w:cs="Arial"/>
                <w:color w:val="000000" w:themeColor="text1"/>
              </w:rPr>
              <w:t>no se agota</w:t>
            </w:r>
            <w:r>
              <w:rPr>
                <w:rFonts w:ascii="Verdana" w:eastAsia="Arial" w:hAnsi="Verdana" w:cs="Arial"/>
                <w:color w:val="000000" w:themeColor="text1"/>
              </w:rPr>
              <w:t>n</w:t>
            </w:r>
            <w:r w:rsidRPr="00603958">
              <w:rPr>
                <w:rFonts w:ascii="Verdana" w:eastAsia="Arial" w:hAnsi="Verdana" w:cs="Arial"/>
                <w:color w:val="000000" w:themeColor="text1"/>
              </w:rPr>
              <w:t xml:space="preserve"> en la labor constructiva típica, pues incluye tanto la elaboración de los diseños como la puesta en funcionamiento de la obra contratada, lo que justifica una contraprestación a precio global y alzado</w:t>
            </w:r>
            <w:r>
              <w:rPr>
                <w:rFonts w:ascii="Verdana" w:eastAsia="Arial" w:hAnsi="Verdana" w:cs="Arial"/>
                <w:color w:val="000000" w:themeColor="text1"/>
              </w:rPr>
              <w:t>. Es decir, al margen de la fuente de los recursos que financien la ejecución, las actividades de diseño y de construcción se cuantifican de forma conjunta.</w:t>
            </w:r>
            <w:r>
              <w:rPr>
                <w:rFonts w:ascii="Verdana" w:eastAsia="Arial" w:hAnsi="Verdana" w:cs="Arial"/>
                <w:color w:val="000000" w:themeColor="text1"/>
                <w:lang w:val="es-ES"/>
              </w:rPr>
              <w:t xml:space="preserve"> (Respuesta a las preguntas 2 y 3) </w:t>
            </w:r>
          </w:p>
          <w:p w14:paraId="5C9E65C9" w14:textId="77777777" w:rsidR="0015359A" w:rsidRPr="001941FD" w:rsidRDefault="0015359A" w:rsidP="00013DE6">
            <w:pPr>
              <w:spacing w:line="276" w:lineRule="auto"/>
              <w:ind w:right="51" w:firstLine="737"/>
              <w:jc w:val="both"/>
              <w:rPr>
                <w:rFonts w:ascii="Verdana" w:eastAsia="Calibri" w:hAnsi="Verdana" w:cs="Arial"/>
                <w:bCs/>
                <w:color w:val="000000" w:themeColor="text1"/>
              </w:rPr>
            </w:pPr>
            <w:r w:rsidRPr="001941FD">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w:t>
            </w:r>
            <w:r w:rsidRPr="001941FD">
              <w:rPr>
                <w:rStyle w:val="apple-converted-space"/>
                <w:rFonts w:ascii="Verdana" w:hAnsi="Verdana"/>
                <w:color w:val="000000"/>
              </w:rPr>
              <w:t> </w:t>
            </w:r>
            <w:r w:rsidRPr="001941FD">
              <w:rPr>
                <w:rStyle w:val="s15"/>
                <w:rFonts w:ascii="Verdana" w:hAnsi="Verdana"/>
                <w:color w:val="000000"/>
              </w:rPr>
              <w:t>Por lo anterior, previo</w:t>
            </w:r>
            <w:r w:rsidRPr="001941FD">
              <w:rPr>
                <w:rStyle w:val="apple-converted-space"/>
                <w:rFonts w:ascii="Verdana" w:hAnsi="Verdana"/>
                <w:color w:val="000000"/>
              </w:rPr>
              <w:t> </w:t>
            </w:r>
            <w:r w:rsidRPr="001941FD">
              <w:rPr>
                <w:rStyle w:val="s15"/>
                <w:rFonts w:ascii="Verdana" w:hAnsi="Verdana"/>
                <w:color w:val="000000"/>
              </w:rPr>
              <w:t xml:space="preserve">concepto de sus asesores, la solución de situaciones particulares corresponde a los interesados adoptar la decisión correspondiente y, en caso de conflicto, a las autoridades judiciales, fiscales </w:t>
            </w:r>
            <w:r w:rsidRPr="001941FD">
              <w:rPr>
                <w:rStyle w:val="s15"/>
                <w:rFonts w:ascii="Verdana" w:hAnsi="Verdana"/>
                <w:color w:val="000000"/>
              </w:rPr>
              <w:lastRenderedPageBreak/>
              <w:t>y disciplinarias. Así, cada entidad definirá la forma de adelantar su gestión contractual, sin que sea atribución de Colombia Compra Eficiente validar sus actuaciones.</w:t>
            </w:r>
          </w:p>
        </w:tc>
      </w:tr>
    </w:tbl>
    <w:p w14:paraId="5F73E3FD" w14:textId="77777777" w:rsidR="0015359A" w:rsidRPr="00593A5F" w:rsidRDefault="0015359A" w:rsidP="0015359A">
      <w:pPr>
        <w:tabs>
          <w:tab w:val="left" w:pos="142"/>
          <w:tab w:val="left" w:pos="284"/>
        </w:tabs>
        <w:spacing w:after="0" w:line="276" w:lineRule="auto"/>
        <w:jc w:val="both"/>
        <w:rPr>
          <w:rFonts w:ascii="Verdana" w:eastAsia="Century Gothic" w:hAnsi="Verdana" w:cs="Century Gothic"/>
          <w:b/>
          <w:bCs/>
          <w:lang w:val="es-ES"/>
        </w:rPr>
      </w:pPr>
    </w:p>
    <w:bookmarkEnd w:id="1"/>
    <w:p w14:paraId="7BFE41A4" w14:textId="77777777" w:rsidR="0015359A" w:rsidRPr="00593A5F" w:rsidRDefault="0015359A" w:rsidP="0015359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64291D86" w14:textId="77777777" w:rsidR="0015359A" w:rsidRPr="00593A5F" w:rsidRDefault="0015359A" w:rsidP="0015359A">
      <w:pPr>
        <w:spacing w:after="0" w:line="276" w:lineRule="auto"/>
        <w:jc w:val="both"/>
        <w:rPr>
          <w:rFonts w:ascii="Verdana" w:eastAsia="Calibri" w:hAnsi="Verdana" w:cs="Arial"/>
          <w:color w:val="7030A0"/>
          <w:lang w:val="es-ES"/>
        </w:rPr>
      </w:pPr>
    </w:p>
    <w:p w14:paraId="185E7B91" w14:textId="77777777" w:rsidR="0015359A" w:rsidRDefault="0015359A" w:rsidP="0015359A">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7BB73400" w14:textId="77777777" w:rsidR="0015359A" w:rsidRDefault="0015359A" w:rsidP="0015359A">
      <w:pPr>
        <w:spacing w:after="0" w:line="276" w:lineRule="auto"/>
        <w:jc w:val="both"/>
        <w:rPr>
          <w:rFonts w:ascii="Verdana" w:eastAsia="Calibri" w:hAnsi="Verdana" w:cs="Arial"/>
          <w:lang w:val="es-ES"/>
        </w:rPr>
      </w:pPr>
    </w:p>
    <w:p w14:paraId="3E52EB65" w14:textId="77777777" w:rsidR="0015359A" w:rsidRPr="00EC5368" w:rsidRDefault="0015359A" w:rsidP="0015359A">
      <w:pPr>
        <w:widowControl w:val="0"/>
        <w:autoSpaceDE w:val="0"/>
        <w:autoSpaceDN w:val="0"/>
        <w:spacing w:line="276" w:lineRule="auto"/>
        <w:jc w:val="both"/>
        <w:rPr>
          <w:rFonts w:ascii="Verdana" w:eastAsia="Calibri" w:hAnsi="Verdana" w:cs="Arial"/>
          <w:color w:val="000000"/>
          <w:lang w:val="es-ES_tradnl" w:eastAsia="es-ES" w:bidi="es-ES"/>
        </w:rPr>
      </w:pPr>
      <w:r w:rsidRPr="00462654">
        <w:rPr>
          <w:rFonts w:ascii="Verdana" w:hAnsi="Verdana" w:cs="Arial"/>
          <w:lang w:val="es-ES_tradnl"/>
        </w:rPr>
        <w:t>i.</w:t>
      </w:r>
      <w:r>
        <w:rPr>
          <w:rFonts w:ascii="Verdana" w:hAnsi="Verdana" w:cs="Arial"/>
          <w:lang w:val="es-ES_tradnl"/>
        </w:rPr>
        <w:t xml:space="preserve"> </w:t>
      </w:r>
      <w:r w:rsidRPr="00EC5368">
        <w:rPr>
          <w:rFonts w:ascii="Verdana" w:eastAsia="Calibri" w:hAnsi="Verdana" w:cs="Arial"/>
          <w:lang w:val="es-MX"/>
        </w:rPr>
        <w:t>La</w:t>
      </w:r>
      <w:r w:rsidRPr="00EC5368">
        <w:rPr>
          <w:rFonts w:ascii="Verdana" w:eastAsia="Calibri" w:hAnsi="Verdana" w:cs="Arial"/>
          <w:color w:val="000000"/>
          <w:lang w:val="es-ES_tradnl" w:eastAsia="es-ES" w:bidi="es-ES"/>
        </w:rPr>
        <w:t xml:space="preserve"> obra pública es una tipología de los contratos estatales, entendidos estos últimos como los actos jurídicos generadores de obligaciones que han sido celebrados por alguna de las entidades estatales enlistadas en el artículo 2 de la Ley 80 de 1993.  Lo anterior resulta de especial relevancia, en la medida en que dicho tipo contractual se diferencia de la definición y regulación prevista en el derecho privado para el contrato de confección de obra material regulado en el Código Civil.   </w:t>
      </w:r>
    </w:p>
    <w:p w14:paraId="0E1D643A" w14:textId="77777777" w:rsidR="0015359A" w:rsidRPr="00EC5368" w:rsidRDefault="0015359A" w:rsidP="0015359A">
      <w:pPr>
        <w:widowControl w:val="0"/>
        <w:autoSpaceDE w:val="0"/>
        <w:autoSpaceDN w:val="0"/>
        <w:spacing w:before="120" w:after="0" w:line="276" w:lineRule="auto"/>
        <w:ind w:firstLine="708"/>
        <w:jc w:val="both"/>
        <w:rPr>
          <w:rFonts w:ascii="Verdana" w:eastAsia="Calibri" w:hAnsi="Verdana" w:cs="Arial"/>
          <w:color w:val="000000"/>
          <w:lang w:val="es-ES" w:eastAsia="es-ES" w:bidi="es-ES"/>
        </w:rPr>
      </w:pPr>
      <w:r w:rsidRPr="418CF8A0">
        <w:rPr>
          <w:rFonts w:ascii="Verdana" w:eastAsia="Calibri" w:hAnsi="Verdana" w:cs="Arial"/>
          <w:color w:val="000000" w:themeColor="text1"/>
          <w:lang w:val="es-ES" w:eastAsia="es-ES" w:bidi="es-ES"/>
        </w:rPr>
        <w:t xml:space="preserve">En efecto, </w:t>
      </w:r>
      <w:bookmarkStart w:id="2" w:name="_Hlk81432298"/>
      <w:r w:rsidRPr="418CF8A0">
        <w:rPr>
          <w:rFonts w:ascii="Verdana" w:eastAsia="Calibri" w:hAnsi="Verdana" w:cs="Arial"/>
          <w:color w:val="000000" w:themeColor="text1"/>
          <w:lang w:val="es-ES" w:eastAsia="es-ES" w:bidi="es-ES"/>
        </w:rPr>
        <w:t xml:space="preserve">en el derecho privado brilla por la ausencia una definición del contrato de obra. El artículo 2053 del Código Civil lo tipifica como una de las clases de arrendamiento, y establece reglas para diferenciarlo de la compraventa, para lo cual dispone que “Si al artífice suministra la materia para la confección de una obra material, el contrato es de venta; pero no se perfecciona sino por la aprobación del que ordenó la obra”. Por el contrario, “Si la materia es suministrada por la persona que encargó la obra, el contrato es de arrendamiento”; pero “Si la materia principal es suministrada por el que ha ordenado la obra, poniendo el artífice lo demás, el contrato es de arrendamiento; en el caso contrario, de venta”. En todo caso, en la medida en que los artículos 2060 y 2061 del Código disponen reglas especiales para los contratos de construcción y de arquitectura, es claro que la realización de trabajos materiales recae tanto sobre bienes muebles como inmuebles. </w:t>
      </w:r>
      <w:bookmarkEnd w:id="2"/>
      <w:r w:rsidRPr="418CF8A0">
        <w:rPr>
          <w:rFonts w:ascii="Verdana" w:eastAsia="Calibri" w:hAnsi="Verdana" w:cs="Arial"/>
          <w:color w:val="000000" w:themeColor="text1"/>
          <w:lang w:val="es-ES" w:eastAsia="es-ES" w:bidi="es-ES"/>
        </w:rPr>
        <w:t>Así, la doctrina considera que:</w:t>
      </w:r>
    </w:p>
    <w:p w14:paraId="189AB314" w14:textId="77777777" w:rsidR="0015359A" w:rsidRPr="00EC5368" w:rsidRDefault="0015359A" w:rsidP="0015359A">
      <w:pPr>
        <w:widowControl w:val="0"/>
        <w:autoSpaceDE w:val="0"/>
        <w:autoSpaceDN w:val="0"/>
        <w:spacing w:after="0" w:line="276" w:lineRule="auto"/>
        <w:ind w:firstLine="708"/>
        <w:jc w:val="both"/>
        <w:rPr>
          <w:rFonts w:ascii="Verdana" w:eastAsia="Calibri" w:hAnsi="Verdana" w:cs="Arial"/>
          <w:color w:val="000000"/>
          <w:lang w:val="es-ES_tradnl" w:eastAsia="es-ES" w:bidi="es-ES"/>
        </w:rPr>
      </w:pPr>
    </w:p>
    <w:p w14:paraId="01D4CDFA" w14:textId="77777777" w:rsidR="0015359A" w:rsidRPr="00EC5368" w:rsidRDefault="0015359A" w:rsidP="0015359A">
      <w:pPr>
        <w:widowControl w:val="0"/>
        <w:autoSpaceDE w:val="0"/>
        <w:autoSpaceDN w:val="0"/>
        <w:spacing w:after="120" w:line="240" w:lineRule="auto"/>
        <w:ind w:left="709" w:right="709"/>
        <w:jc w:val="both"/>
        <w:rPr>
          <w:rFonts w:ascii="Verdana" w:eastAsia="Calibri" w:hAnsi="Verdana" w:cs="Arial"/>
          <w:color w:val="000000"/>
          <w:sz w:val="21"/>
          <w:szCs w:val="21"/>
          <w:lang w:val="es-ES_tradnl" w:eastAsia="es-ES" w:bidi="es-ES"/>
        </w:rPr>
      </w:pPr>
      <w:r w:rsidRPr="00EC5368">
        <w:rPr>
          <w:rFonts w:ascii="Verdana" w:eastAsia="Calibri" w:hAnsi="Verdana" w:cs="Arial"/>
          <w:color w:val="000000"/>
          <w:sz w:val="21"/>
          <w:szCs w:val="21"/>
          <w:lang w:val="es-ES_tradnl" w:eastAsia="es-ES" w:bidi="es-ES"/>
        </w:rPr>
        <w:t>“Puede definirse el arrendamiento de obra o contrato de confección de obra material como aquél por el cual una persona llamada artífice, se obliga, mediante cierto precio, a ejecutar una obra material. Los elementos de este contrato, fuera del consentimiento indispensable en todo contrato, son la ejecución de la obra y el precio.</w:t>
      </w:r>
    </w:p>
    <w:p w14:paraId="5BEE9CC7" w14:textId="77777777" w:rsidR="0015359A" w:rsidRPr="00EC5368" w:rsidRDefault="0015359A" w:rsidP="0015359A">
      <w:pPr>
        <w:widowControl w:val="0"/>
        <w:autoSpaceDE w:val="0"/>
        <w:autoSpaceDN w:val="0"/>
        <w:spacing w:before="120" w:after="0" w:line="240" w:lineRule="auto"/>
        <w:ind w:left="709" w:right="709"/>
        <w:jc w:val="both"/>
        <w:rPr>
          <w:rFonts w:ascii="Verdana" w:eastAsia="Calibri" w:hAnsi="Verdana" w:cs="Arial"/>
          <w:color w:val="000000"/>
          <w:sz w:val="21"/>
          <w:szCs w:val="21"/>
          <w:lang w:val="es-ES_tradnl" w:eastAsia="es-ES" w:bidi="es-ES"/>
        </w:rPr>
      </w:pPr>
      <w:r w:rsidRPr="00EC5368">
        <w:rPr>
          <w:rFonts w:ascii="Verdana" w:eastAsia="Calibri" w:hAnsi="Verdana" w:cs="Arial"/>
          <w:color w:val="000000"/>
          <w:sz w:val="21"/>
          <w:szCs w:val="21"/>
          <w:lang w:val="es-ES_tradnl" w:eastAsia="es-ES" w:bidi="es-ES"/>
        </w:rPr>
        <w:t xml:space="preserve">Así como en el arrendamiento de cosas, el arrendador es obligado a suministrar el goce de la cosa, en el arrendamiento de obras es </w:t>
      </w:r>
      <w:r w:rsidRPr="00EC5368">
        <w:rPr>
          <w:rFonts w:ascii="Verdana" w:eastAsia="Calibri" w:hAnsi="Verdana" w:cs="Arial"/>
          <w:color w:val="000000"/>
          <w:sz w:val="21"/>
          <w:szCs w:val="21"/>
          <w:lang w:val="es-ES_tradnl" w:eastAsia="es-ES" w:bidi="es-ES"/>
        </w:rPr>
        <w:lastRenderedPageBreak/>
        <w:t>obligado a la ejecución de una obra material; mediante este contrato, el arrendador va a poner su trabajo al servicio de otro para transformar una sustancia en una obra nueva, que puede ser mueble o inmueble; cabe dentro de este contrato los más variados trabajos: el del sastre, del carpintero, del arquitecto, del ingeniero, etc. Lo que caracteriza entonces este contrato es que se haga una obra nueva con una sustancia mediante la transformación de ella por el trabajo del hombre”</w:t>
      </w:r>
      <w:r w:rsidRPr="00EC5368">
        <w:rPr>
          <w:rFonts w:ascii="Verdana" w:eastAsia="Calibri" w:hAnsi="Verdana" w:cs="Arial"/>
          <w:color w:val="000000"/>
          <w:sz w:val="21"/>
          <w:szCs w:val="21"/>
          <w:vertAlign w:val="superscript"/>
          <w:lang w:val="es-ES_tradnl" w:eastAsia="es-ES" w:bidi="es-ES"/>
        </w:rPr>
        <w:footnoteReference w:id="1"/>
      </w:r>
      <w:r w:rsidRPr="00EC5368">
        <w:rPr>
          <w:rFonts w:ascii="Verdana" w:eastAsia="Calibri" w:hAnsi="Verdana" w:cs="Arial"/>
          <w:color w:val="000000"/>
          <w:sz w:val="21"/>
          <w:szCs w:val="21"/>
          <w:lang w:val="es-ES_tradnl" w:eastAsia="es-ES" w:bidi="es-ES"/>
        </w:rPr>
        <w:t xml:space="preserve">.  </w:t>
      </w:r>
    </w:p>
    <w:p w14:paraId="6C015788" w14:textId="77777777" w:rsidR="0015359A" w:rsidRPr="006E15C6" w:rsidRDefault="0015359A" w:rsidP="0015359A">
      <w:pPr>
        <w:widowControl w:val="0"/>
        <w:autoSpaceDE w:val="0"/>
        <w:autoSpaceDN w:val="0"/>
        <w:spacing w:after="0" w:line="276" w:lineRule="auto"/>
        <w:ind w:left="709" w:right="709"/>
        <w:jc w:val="both"/>
        <w:rPr>
          <w:rFonts w:ascii="Verdana" w:eastAsia="Calibri" w:hAnsi="Verdana" w:cs="Arial"/>
          <w:color w:val="000000"/>
          <w:lang w:val="es-ES_tradnl" w:eastAsia="es-ES" w:bidi="es-ES"/>
        </w:rPr>
      </w:pPr>
      <w:r w:rsidRPr="00EC5368">
        <w:rPr>
          <w:rFonts w:ascii="Verdana" w:eastAsia="Calibri" w:hAnsi="Verdana" w:cs="Arial"/>
          <w:color w:val="000000"/>
          <w:sz w:val="21"/>
          <w:szCs w:val="21"/>
          <w:lang w:val="es-ES_tradnl" w:eastAsia="es-ES" w:bidi="es-ES"/>
        </w:rPr>
        <w:t xml:space="preserve">    </w:t>
      </w:r>
    </w:p>
    <w:p w14:paraId="0A87FA11" w14:textId="77777777" w:rsidR="0015359A" w:rsidRDefault="0015359A" w:rsidP="0015359A">
      <w:pPr>
        <w:widowControl w:val="0"/>
        <w:autoSpaceDE w:val="0"/>
        <w:autoSpaceDN w:val="0"/>
        <w:spacing w:after="120" w:line="276" w:lineRule="auto"/>
        <w:ind w:firstLine="709"/>
        <w:jc w:val="both"/>
        <w:rPr>
          <w:rFonts w:ascii="Verdana" w:eastAsia="Calibri" w:hAnsi="Verdana" w:cs="Arial"/>
          <w:color w:val="000000"/>
          <w:lang w:val="es-ES_tradnl" w:eastAsia="es-ES" w:bidi="es-ES"/>
        </w:rPr>
      </w:pPr>
      <w:bookmarkStart w:id="3" w:name="_Hlk35420344"/>
      <w:r w:rsidRPr="00EC5368">
        <w:rPr>
          <w:rFonts w:ascii="Verdana" w:eastAsia="Calibri" w:hAnsi="Verdana" w:cs="Arial"/>
          <w:color w:val="000000"/>
          <w:lang w:val="es-ES_tradnl" w:eastAsia="es-ES" w:bidi="es-ES"/>
        </w:rPr>
        <w:t xml:space="preserve">En </w:t>
      </w:r>
      <w:r w:rsidRPr="00EC5368">
        <w:rPr>
          <w:rFonts w:ascii="Verdana" w:eastAsia="Calibri" w:hAnsi="Verdana" w:cs="Arial"/>
          <w:i/>
          <w:iCs/>
          <w:color w:val="000000"/>
          <w:lang w:val="es-ES_tradnl" w:eastAsia="es-ES" w:bidi="es-ES"/>
        </w:rPr>
        <w:t>sentido amplio</w:t>
      </w:r>
      <w:r w:rsidRPr="00EC5368">
        <w:rPr>
          <w:rFonts w:ascii="Verdana" w:eastAsia="Calibri" w:hAnsi="Verdana" w:cs="Arial"/>
          <w:color w:val="000000"/>
          <w:lang w:val="es-ES_tradnl" w:eastAsia="es-ES" w:bidi="es-ES"/>
        </w:rPr>
        <w:t xml:space="preserve">, dado que la “obra” es un bien que crea la actividad humana, el hecho de que sea “pública” significa que es todo trabajo material en cuya creación o realización interviene el Estado. No obstante, </w:t>
      </w:r>
      <w:bookmarkStart w:id="4" w:name="_Hlk81428563"/>
      <w:r w:rsidRPr="00EC5368">
        <w:rPr>
          <w:rFonts w:ascii="Verdana" w:eastAsia="Calibri" w:hAnsi="Verdana" w:cs="Arial"/>
          <w:color w:val="000000"/>
          <w:lang w:val="es-ES_tradnl" w:eastAsia="es-ES" w:bidi="es-ES"/>
        </w:rPr>
        <w:t xml:space="preserve">el numeral 1 del artículo 32 de la Ley 80 de 1993 opta por un </w:t>
      </w:r>
      <w:r w:rsidRPr="00EC5368">
        <w:rPr>
          <w:rFonts w:ascii="Verdana" w:eastAsia="Calibri" w:hAnsi="Verdana" w:cs="Arial"/>
          <w:i/>
          <w:iCs/>
          <w:color w:val="000000"/>
          <w:lang w:val="es-ES_tradnl" w:eastAsia="es-ES" w:bidi="es-ES"/>
        </w:rPr>
        <w:t>sentido restringido</w:t>
      </w:r>
      <w:r w:rsidRPr="00EC5368">
        <w:rPr>
          <w:rFonts w:ascii="Verdana" w:eastAsia="Calibri" w:hAnsi="Verdana" w:cs="Arial"/>
          <w:color w:val="000000"/>
          <w:lang w:val="es-ES_tradnl" w:eastAsia="es-ES" w:bidi="es-ES"/>
        </w:rPr>
        <w:t xml:space="preserve">, al disponer que “Son contratos de obra los que celebren las entidades estatales para la </w:t>
      </w:r>
      <w:bookmarkStart w:id="5" w:name="_Hlk171668266"/>
      <w:r w:rsidRPr="00EC5368">
        <w:rPr>
          <w:rFonts w:ascii="Verdana" w:eastAsia="Calibri" w:hAnsi="Verdana" w:cs="Arial"/>
          <w:color w:val="000000"/>
          <w:lang w:val="es-ES_tradnl" w:eastAsia="es-ES" w:bidi="es-ES"/>
        </w:rPr>
        <w:t>construcción, mantenimiento, instalación</w:t>
      </w:r>
      <w:bookmarkEnd w:id="5"/>
      <w:r w:rsidRPr="00EC5368">
        <w:rPr>
          <w:rFonts w:ascii="Verdana" w:eastAsia="Calibri" w:hAnsi="Verdana" w:cs="Arial"/>
          <w:color w:val="000000"/>
          <w:lang w:val="es-ES_tradnl" w:eastAsia="es-ES" w:bidi="es-ES"/>
        </w:rPr>
        <w:t xml:space="preserve"> y, en general, para la realización de cualquier otro trabajo material sobre bienes inmuebles, </w:t>
      </w:r>
      <w:bookmarkStart w:id="6" w:name="_Hlk171667437"/>
      <w:r w:rsidRPr="00EC5368">
        <w:rPr>
          <w:rFonts w:ascii="Verdana" w:eastAsia="Calibri" w:hAnsi="Verdana" w:cs="Arial"/>
          <w:color w:val="000000"/>
          <w:lang w:val="es-ES_tradnl" w:eastAsia="es-ES" w:bidi="es-ES"/>
        </w:rPr>
        <w:t>cualquiera que sea la modalidad de ejecución y pago</w:t>
      </w:r>
      <w:bookmarkEnd w:id="6"/>
      <w:r w:rsidRPr="00EC5368">
        <w:rPr>
          <w:rFonts w:ascii="Verdana" w:eastAsia="Calibri" w:hAnsi="Verdana" w:cs="Arial"/>
          <w:color w:val="000000"/>
          <w:lang w:val="es-ES_tradnl" w:eastAsia="es-ES" w:bidi="es-ES"/>
        </w:rPr>
        <w:t>”, de manera que este tipo de contrato no aplica a los trabajos materiales realizados sobre bienes muebles</w:t>
      </w:r>
      <w:r w:rsidRPr="00EC5368">
        <w:rPr>
          <w:rStyle w:val="Refdenotaalpie"/>
          <w:rFonts w:ascii="Verdana" w:eastAsia="Calibri" w:hAnsi="Verdana" w:cs="Arial"/>
          <w:color w:val="000000"/>
          <w:lang w:val="es-ES_tradnl" w:eastAsia="es-ES" w:bidi="es-ES"/>
        </w:rPr>
        <w:footnoteReference w:id="2"/>
      </w:r>
      <w:r w:rsidRPr="00EC5368">
        <w:rPr>
          <w:rFonts w:ascii="Verdana" w:eastAsia="Calibri" w:hAnsi="Verdana" w:cs="Arial"/>
          <w:color w:val="000000"/>
          <w:lang w:val="es-ES_tradnl" w:eastAsia="es-ES" w:bidi="es-ES"/>
        </w:rPr>
        <w:t xml:space="preserve">. </w:t>
      </w:r>
    </w:p>
    <w:p w14:paraId="1D9102D1" w14:textId="77777777" w:rsidR="0015359A" w:rsidRPr="00EC5368" w:rsidRDefault="0015359A" w:rsidP="0015359A">
      <w:pPr>
        <w:widowControl w:val="0"/>
        <w:autoSpaceDE w:val="0"/>
        <w:autoSpaceDN w:val="0"/>
        <w:spacing w:after="0" w:line="276" w:lineRule="auto"/>
        <w:ind w:firstLine="708"/>
        <w:jc w:val="both"/>
        <w:rPr>
          <w:rFonts w:ascii="Verdana" w:eastAsia="Calibri" w:hAnsi="Verdana" w:cs="Arial"/>
          <w:color w:val="000000"/>
          <w:lang w:val="es-ES_tradnl" w:eastAsia="es-ES" w:bidi="es-ES"/>
        </w:rPr>
      </w:pPr>
      <w:r w:rsidRPr="00EC5368">
        <w:rPr>
          <w:rFonts w:ascii="Verdana" w:eastAsia="Calibri" w:hAnsi="Verdana" w:cs="Arial"/>
          <w:color w:val="000000"/>
          <w:lang w:val="es-ES_tradnl" w:eastAsia="es-ES" w:bidi="es-ES"/>
        </w:rPr>
        <w:t>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bookmarkEnd w:id="3"/>
      <w:bookmarkEnd w:id="4"/>
      <w:r w:rsidRPr="00EC5368">
        <w:rPr>
          <w:rFonts w:ascii="Verdana" w:eastAsia="Calibri" w:hAnsi="Verdana" w:cs="Arial"/>
          <w:color w:val="000000"/>
          <w:vertAlign w:val="superscript"/>
          <w:lang w:val="es-ES_tradnl" w:eastAsia="es-ES" w:bidi="es-ES"/>
        </w:rPr>
        <w:footnoteReference w:id="3"/>
      </w:r>
      <w:r w:rsidRPr="00EC5368">
        <w:rPr>
          <w:rFonts w:ascii="Verdana" w:eastAsia="Calibri" w:hAnsi="Verdana" w:cs="Arial"/>
          <w:color w:val="000000"/>
          <w:lang w:val="es-ES_tradnl" w:eastAsia="es-ES" w:bidi="es-ES"/>
        </w:rPr>
        <w:t>. De esta manera:</w:t>
      </w:r>
    </w:p>
    <w:p w14:paraId="5F25DEF2" w14:textId="77777777" w:rsidR="0015359A" w:rsidRPr="00EC5368" w:rsidRDefault="0015359A" w:rsidP="0015359A">
      <w:pPr>
        <w:widowControl w:val="0"/>
        <w:autoSpaceDE w:val="0"/>
        <w:autoSpaceDN w:val="0"/>
        <w:spacing w:after="0" w:line="276" w:lineRule="auto"/>
        <w:ind w:firstLine="709"/>
        <w:jc w:val="both"/>
        <w:rPr>
          <w:rFonts w:ascii="Verdana" w:eastAsia="Calibri" w:hAnsi="Verdana" w:cs="Arial"/>
          <w:color w:val="000000"/>
          <w:lang w:val="es-ES_tradnl" w:eastAsia="es-ES" w:bidi="es-ES"/>
        </w:rPr>
      </w:pPr>
    </w:p>
    <w:p w14:paraId="4AE6CDA5" w14:textId="77777777" w:rsidR="0015359A" w:rsidRPr="00EC5368" w:rsidRDefault="0015359A" w:rsidP="0015359A">
      <w:pPr>
        <w:widowControl w:val="0"/>
        <w:autoSpaceDE w:val="0"/>
        <w:autoSpaceDN w:val="0"/>
        <w:spacing w:line="240" w:lineRule="auto"/>
        <w:ind w:left="709" w:right="709"/>
        <w:jc w:val="both"/>
        <w:rPr>
          <w:rFonts w:ascii="Verdana" w:eastAsia="Calibri" w:hAnsi="Verdana" w:cs="Arial"/>
          <w:color w:val="000000"/>
          <w:sz w:val="21"/>
          <w:szCs w:val="21"/>
          <w:lang w:val="es-ES_tradnl" w:eastAsia="es-ES" w:bidi="es-ES"/>
        </w:rPr>
      </w:pPr>
      <w:r w:rsidRPr="00EC5368">
        <w:rPr>
          <w:rFonts w:ascii="Verdana" w:eastAsia="Calibri" w:hAnsi="Verdana" w:cs="Arial"/>
          <w:color w:val="000000"/>
          <w:sz w:val="21"/>
          <w:szCs w:val="21"/>
          <w:lang w:val="es-ES_tradnl" w:eastAsia="es-ES" w:bidi="es-ES"/>
        </w:rPr>
        <w:t xml:space="preserve">“[…] el legislador limitó la naturaleza de los contratos de obra a las actividades de trabajos materiales exclusivamente sobre bienes inmuebles, independientemente de su modalidad de ejecución y pago. De esta forma, acogió la posición de una parte de la doctrina y del derecho comparado, que vinculan la tipificación del contrato de obra a aquellas actividades realizadas sobre bienes inmuebles. </w:t>
      </w:r>
    </w:p>
    <w:p w14:paraId="136C03B8" w14:textId="77777777" w:rsidR="0015359A" w:rsidRPr="00EC5368" w:rsidRDefault="0015359A" w:rsidP="0015359A">
      <w:pPr>
        <w:widowControl w:val="0"/>
        <w:autoSpaceDE w:val="0"/>
        <w:autoSpaceDN w:val="0"/>
        <w:spacing w:before="120" w:after="0" w:line="240" w:lineRule="auto"/>
        <w:ind w:left="709" w:right="709"/>
        <w:jc w:val="both"/>
        <w:rPr>
          <w:rFonts w:ascii="Verdana" w:eastAsia="Calibri" w:hAnsi="Verdana" w:cs="Arial"/>
          <w:color w:val="000000"/>
          <w:sz w:val="21"/>
          <w:szCs w:val="21"/>
          <w:lang w:val="es-ES_tradnl" w:eastAsia="es-ES" w:bidi="es-ES"/>
        </w:rPr>
      </w:pPr>
      <w:r w:rsidRPr="00EC5368">
        <w:rPr>
          <w:rFonts w:ascii="Verdana" w:eastAsia="Calibri" w:hAnsi="Verdana" w:cs="Arial"/>
          <w:color w:val="000000"/>
          <w:sz w:val="21"/>
          <w:szCs w:val="21"/>
          <w:lang w:val="es-ES_tradnl" w:eastAsia="es-ES" w:bidi="es-ES"/>
        </w:rPr>
        <w:t xml:space="preserve">La ejecución de obras sobre otro tipo de bienes, no estarán regulados </w:t>
      </w:r>
      <w:r w:rsidRPr="00EC5368">
        <w:rPr>
          <w:rFonts w:ascii="Verdana" w:eastAsia="Calibri" w:hAnsi="Verdana" w:cs="Arial"/>
          <w:color w:val="000000"/>
          <w:sz w:val="21"/>
          <w:szCs w:val="21"/>
          <w:lang w:val="es-ES_tradnl" w:eastAsia="es-ES" w:bidi="es-ES"/>
        </w:rPr>
        <w:lastRenderedPageBreak/>
        <w:t>por el contrato estatal de obra y podrán corresponder a una prestación de servicios general, o a cualquier otra modalidad típica o atípica, nominada o innominada que pueda celebrarse entre la entidad estatal y un contratista, en los términos de la autonomía de la voluntad de las partes, de acuerdo con lo previsto en los artículos 32 y 40 de la ley 80 de 1993”</w:t>
      </w:r>
      <w:r w:rsidRPr="00EC5368">
        <w:rPr>
          <w:rFonts w:ascii="Verdana" w:eastAsia="Calibri" w:hAnsi="Verdana" w:cs="Arial"/>
          <w:color w:val="000000"/>
          <w:sz w:val="21"/>
          <w:szCs w:val="21"/>
          <w:vertAlign w:val="superscript"/>
          <w:lang w:val="es-ES_tradnl" w:eastAsia="es-ES" w:bidi="es-ES"/>
        </w:rPr>
        <w:footnoteReference w:id="4"/>
      </w:r>
      <w:r w:rsidRPr="00EC5368">
        <w:rPr>
          <w:rFonts w:ascii="Verdana" w:eastAsia="Calibri" w:hAnsi="Verdana" w:cs="Arial"/>
          <w:color w:val="000000"/>
          <w:sz w:val="21"/>
          <w:szCs w:val="21"/>
          <w:lang w:val="es-ES_tradnl" w:eastAsia="es-ES" w:bidi="es-ES"/>
        </w:rPr>
        <w:t>.</w:t>
      </w:r>
    </w:p>
    <w:p w14:paraId="31D755FA" w14:textId="77777777" w:rsidR="0015359A" w:rsidRPr="00EC5368" w:rsidRDefault="0015359A" w:rsidP="0015359A">
      <w:pPr>
        <w:widowControl w:val="0"/>
        <w:autoSpaceDE w:val="0"/>
        <w:autoSpaceDN w:val="0"/>
        <w:spacing w:after="0" w:line="276" w:lineRule="auto"/>
        <w:ind w:left="709" w:right="709"/>
        <w:jc w:val="both"/>
        <w:rPr>
          <w:rFonts w:ascii="Verdana" w:eastAsia="Calibri" w:hAnsi="Verdana" w:cs="Arial"/>
          <w:color w:val="000000"/>
          <w:lang w:val="es-ES_tradnl" w:eastAsia="es-ES" w:bidi="es-ES"/>
        </w:rPr>
      </w:pPr>
    </w:p>
    <w:p w14:paraId="2D0A3123" w14:textId="77777777" w:rsidR="0015359A" w:rsidRDefault="0015359A" w:rsidP="0015359A">
      <w:pPr>
        <w:widowControl w:val="0"/>
        <w:autoSpaceDE w:val="0"/>
        <w:autoSpaceDN w:val="0"/>
        <w:spacing w:after="0" w:line="276" w:lineRule="auto"/>
        <w:ind w:firstLine="709"/>
        <w:jc w:val="both"/>
        <w:rPr>
          <w:rFonts w:ascii="Verdana" w:eastAsia="Calibri" w:hAnsi="Verdana" w:cs="Arial"/>
          <w:color w:val="000000"/>
          <w:lang w:val="es-ES_tradnl" w:eastAsia="es-ES" w:bidi="es-ES"/>
        </w:rPr>
      </w:pPr>
      <w:r w:rsidRPr="00EC5368">
        <w:rPr>
          <w:rFonts w:ascii="Verdana" w:eastAsia="Calibri" w:hAnsi="Verdana" w:cs="Arial"/>
          <w:color w:val="000000"/>
          <w:lang w:val="es-ES_tradnl" w:eastAsia="es-ES" w:bidi="es-ES"/>
        </w:rPr>
        <w:t>En la disposición citada, el contrato de obra pública no se limita a la construcción de inmuebles, pues la definición se extiende a las actividades de mantenimiento e instalación, lo cual supone un bien preexistente. Para la Real Academia Española “construir” significa fabricar, erigir, edificar y hacer de nueva planta una cosa; en tanto que “mantener” significa conservar una cosa en su ser, darle vigor y permanencia; y, finalmente, “instalar” es poner o colocar algo en su lugar debido. Igualmente, el concepto se extiende a cualquier trabajo material realizado sobre bienes inmuebles, tales como la reforma y la demolición.</w:t>
      </w:r>
    </w:p>
    <w:p w14:paraId="7B0BD2F8" w14:textId="77777777" w:rsidR="0015359A" w:rsidRPr="006E15C6" w:rsidRDefault="0015359A" w:rsidP="0015359A">
      <w:pPr>
        <w:spacing w:after="0" w:line="276" w:lineRule="auto"/>
        <w:jc w:val="both"/>
        <w:rPr>
          <w:rFonts w:ascii="Verdana" w:eastAsia="Calibri" w:hAnsi="Verdana" w:cs="Arial"/>
          <w:lang w:val="es-ES_tradnl"/>
        </w:rPr>
      </w:pPr>
    </w:p>
    <w:p w14:paraId="0FA96A55" w14:textId="77777777" w:rsidR="0015359A" w:rsidRDefault="0015359A" w:rsidP="0015359A">
      <w:pPr>
        <w:spacing w:after="120" w:line="276" w:lineRule="auto"/>
        <w:jc w:val="both"/>
        <w:rPr>
          <w:rFonts w:ascii="Verdana" w:hAnsi="Verdana"/>
        </w:rPr>
      </w:pPr>
      <w:proofErr w:type="spellStart"/>
      <w:r w:rsidRPr="000A1B8E">
        <w:rPr>
          <w:rFonts w:ascii="Verdana" w:eastAsia="Calibri" w:hAnsi="Verdana" w:cs="Arial"/>
          <w:lang w:val="es-ES"/>
        </w:rPr>
        <w:t>ii</w:t>
      </w:r>
      <w:proofErr w:type="spellEnd"/>
      <w:r w:rsidRPr="000A1B8E">
        <w:rPr>
          <w:rFonts w:ascii="Verdana" w:eastAsia="Calibri" w:hAnsi="Verdana" w:cs="Arial"/>
          <w:lang w:val="es-ES"/>
        </w:rPr>
        <w:t xml:space="preserve">. </w:t>
      </w:r>
      <w:r w:rsidRPr="000A1B8E">
        <w:rPr>
          <w:rFonts w:ascii="Verdana" w:hAnsi="Verdana" w:cs="Arial"/>
          <w:bCs/>
          <w:color w:val="000000" w:themeColor="text1"/>
          <w:lang w:val="es-ES_tradnl"/>
        </w:rPr>
        <w:t xml:space="preserve">Previo al inicio de un proceso de selección para la contratación de una obra pública, la entidad estatal debe contar con </w:t>
      </w:r>
      <w:r>
        <w:rPr>
          <w:rFonts w:ascii="Verdana" w:hAnsi="Verdana" w:cs="Arial"/>
          <w:bCs/>
          <w:color w:val="000000" w:themeColor="text1"/>
          <w:lang w:val="es-ES_tradnl"/>
        </w:rPr>
        <w:t>“</w:t>
      </w:r>
      <w:r w:rsidRPr="000A1B8E">
        <w:rPr>
          <w:rFonts w:ascii="Verdana" w:hAnsi="Verdana" w:cs="Arial"/>
          <w:bCs/>
          <w:color w:val="000000" w:themeColor="text1"/>
          <w:lang w:val="es-ES_tradnl"/>
        </w:rPr>
        <w:t>los estudios y diseños que permitan establecer la viabilidad del proyecto y su impacto social, económico y ambiental</w:t>
      </w:r>
      <w:r>
        <w:rPr>
          <w:rFonts w:ascii="Verdana" w:hAnsi="Verdana" w:cs="Arial"/>
          <w:bCs/>
          <w:color w:val="000000" w:themeColor="text1"/>
          <w:lang w:val="es-ES_tradnl"/>
        </w:rPr>
        <w:t>”</w:t>
      </w:r>
      <w:r w:rsidRPr="000A1B8E">
        <w:rPr>
          <w:rFonts w:ascii="Verdana" w:hAnsi="Verdana" w:cs="Arial"/>
          <w:bCs/>
          <w:color w:val="000000" w:themeColor="text1"/>
          <w:lang w:val="es-ES_tradnl"/>
        </w:rPr>
        <w:t xml:space="preserve"> en los términos del numeral 12 del artículo 25 de la Ley 80 de 1993, modificado por el artículo 87 de la Ley 1474 de 2011</w:t>
      </w:r>
      <w:r>
        <w:rPr>
          <w:rStyle w:val="Refdenotaalpie"/>
          <w:rFonts w:ascii="Verdana" w:hAnsi="Verdana" w:cs="Arial"/>
          <w:bCs/>
          <w:color w:val="000000" w:themeColor="text1"/>
          <w:lang w:val="es-ES_tradnl"/>
        </w:rPr>
        <w:footnoteReference w:id="5"/>
      </w:r>
      <w:r w:rsidRPr="000A1B8E">
        <w:rPr>
          <w:rFonts w:ascii="Verdana" w:hAnsi="Verdana"/>
        </w:rPr>
        <w:t>. Incluso, el numeral 3 del artículo 26 de</w:t>
      </w:r>
      <w:r>
        <w:rPr>
          <w:rFonts w:ascii="Verdana" w:hAnsi="Verdana"/>
        </w:rPr>
        <w:t>l Estatuto General de Contratación de la Administración Pública prescribe</w:t>
      </w:r>
      <w:r w:rsidRPr="000A1B8E">
        <w:rPr>
          <w:rFonts w:ascii="Verdana" w:hAnsi="Verdana"/>
        </w:rPr>
        <w:t xml:space="preserve"> que las entidades y los servidores públicos responderán cuando hubieren iniciado procedimientos de selección sin haber elaborado los diseños correspondientes</w:t>
      </w:r>
      <w:r w:rsidRPr="000A1B8E">
        <w:rPr>
          <w:rStyle w:val="Refdenotaalpie"/>
          <w:rFonts w:ascii="Verdana" w:hAnsi="Verdana"/>
        </w:rPr>
        <w:footnoteReference w:id="6"/>
      </w:r>
      <w:r w:rsidRPr="000A1B8E">
        <w:rPr>
          <w:rFonts w:ascii="Verdana" w:hAnsi="Verdana"/>
        </w:rPr>
        <w:t xml:space="preserve">. </w:t>
      </w:r>
    </w:p>
    <w:p w14:paraId="71610A7B" w14:textId="77777777" w:rsidR="0015359A" w:rsidRPr="00222C6C" w:rsidRDefault="0015359A" w:rsidP="0015359A">
      <w:pPr>
        <w:spacing w:after="120" w:line="276" w:lineRule="auto"/>
        <w:ind w:firstLine="708"/>
        <w:jc w:val="both"/>
        <w:rPr>
          <w:rFonts w:ascii="Verdana" w:hAnsi="Verdana" w:cs="Arial"/>
          <w:sz w:val="21"/>
          <w:szCs w:val="21"/>
        </w:rPr>
      </w:pPr>
      <w:r w:rsidRPr="000A1B8E">
        <w:rPr>
          <w:rFonts w:ascii="Verdana" w:hAnsi="Verdana"/>
        </w:rPr>
        <w:t xml:space="preserve">Igualmente, para los procesos de licitación pública, el numeral primero del artículo 30 </w:t>
      </w:r>
      <w:r w:rsidRPr="000A1B8E">
        <w:rPr>
          <w:rFonts w:ascii="Verdana" w:hAnsi="Verdana"/>
          <w:i/>
          <w:iCs/>
        </w:rPr>
        <w:t>ibidem</w:t>
      </w:r>
      <w:r w:rsidRPr="000A1B8E">
        <w:rPr>
          <w:rFonts w:ascii="Verdana" w:hAnsi="Verdana"/>
        </w:rPr>
        <w:t xml:space="preserve"> prescribe que </w:t>
      </w:r>
      <w:r>
        <w:t>“</w:t>
      </w:r>
      <w:r w:rsidRPr="000A1B8E">
        <w:rPr>
          <w:rFonts w:ascii="Verdana" w:hAnsi="Verdana"/>
          <w:lang w:val="es-MX"/>
        </w:rPr>
        <w:t xml:space="preserve">De conformidad con lo previsto en el </w:t>
      </w:r>
      <w:r w:rsidRPr="000A1B8E">
        <w:rPr>
          <w:rFonts w:ascii="Verdana" w:hAnsi="Verdana"/>
          <w:lang w:val="es-MX"/>
        </w:rPr>
        <w:lastRenderedPageBreak/>
        <w:t xml:space="preserve">numeral 12 del artículo 25 de esta ley, la resolución de apertura debe estar precedida de un estudio realizado por la entidad respectiva en el cual se analice la conveniencia y oportunidad del contrato y su adecuación a los planes de inversión, de adquisición o compras, presupuesto y ley de apropiaciones, según el caso. </w:t>
      </w:r>
      <w:r w:rsidRPr="000A1B8E">
        <w:rPr>
          <w:rFonts w:ascii="Verdana" w:hAnsi="Verdana"/>
          <w:i/>
          <w:iCs/>
          <w:lang w:val="es-MX"/>
        </w:rPr>
        <w:t>Cuando sea necesario, el estudio deberá estar acompañado, además, de los diseños, planos y evaluaciones de prefactibilidad o factibilidad</w:t>
      </w:r>
      <w:r>
        <w:rPr>
          <w:lang w:val="es-MX"/>
        </w:rPr>
        <w:t>”</w:t>
      </w:r>
      <w:r w:rsidRPr="000A1B8E">
        <w:rPr>
          <w:rFonts w:ascii="Verdana" w:hAnsi="Verdana"/>
          <w:lang w:val="es-MX"/>
        </w:rPr>
        <w:t xml:space="preserve"> (Énfasis fuera de texto).</w:t>
      </w:r>
    </w:p>
    <w:p w14:paraId="32DBF517" w14:textId="77777777" w:rsidR="0015359A" w:rsidRPr="000A1B8E" w:rsidRDefault="0015359A" w:rsidP="0015359A">
      <w:pPr>
        <w:pStyle w:val="Textoindependiente"/>
        <w:spacing w:after="120" w:line="276" w:lineRule="auto"/>
        <w:ind w:firstLine="708"/>
        <w:jc w:val="both"/>
      </w:pPr>
      <w:r w:rsidRPr="000A1B8E">
        <w:t xml:space="preserve">No obstante, </w:t>
      </w:r>
      <w:r w:rsidRPr="000A1B8E">
        <w:rPr>
          <w:bCs/>
          <w:color w:val="000000" w:themeColor="text1"/>
          <w:lang w:val="es-ES_tradnl"/>
        </w:rPr>
        <w:t xml:space="preserve">el numeral 12 del artículo 25 de la Ley 80 de 1993 </w:t>
      </w:r>
      <w:r w:rsidRPr="000A1B8E">
        <w:t>no impide que en un mismo proceso de contratación se adelante de forma conjunta el proceso de construcción de la obra y la elaboración de los estudios y diseños que expliquen con mayor detalle a las obras y estructuras que se requieran, de tal forma que un constructor pueda materializar el proyecto, ya que sólo se requiere que existan unos estudios de viabilidad. Lo anterior se reitera con lo previsto en el artículo 2.2.1.1.2.1.1 del Decreto 1082 de 2015, el cual señala que, dentro de los estudios previos, cuando el objeto de contratación incluye el diseño y construcción, se requiere los documentos técnicos del proyecto</w:t>
      </w:r>
      <w:r w:rsidRPr="000A1B8E">
        <w:rPr>
          <w:rStyle w:val="Refdenotaalpie"/>
        </w:rPr>
        <w:footnoteReference w:id="7"/>
      </w:r>
      <w:r w:rsidRPr="000A1B8E">
        <w:t xml:space="preserve">. </w:t>
      </w:r>
      <w:r>
        <w:t>Dichos documentos perfilan las características generales de la obra respecto a su ubicación, dimensiones, especificaciones, etc.</w:t>
      </w:r>
    </w:p>
    <w:p w14:paraId="3B56361E" w14:textId="77777777" w:rsidR="0015359A" w:rsidRPr="000A1B8E" w:rsidRDefault="0015359A" w:rsidP="0015359A">
      <w:pPr>
        <w:pStyle w:val="Textoindependiente"/>
        <w:spacing w:after="120" w:line="276" w:lineRule="auto"/>
        <w:ind w:firstLine="708"/>
        <w:jc w:val="both"/>
      </w:pPr>
      <w:r w:rsidRPr="000A1B8E">
        <w:t>En este sentido, de</w:t>
      </w:r>
      <w:r w:rsidRPr="000A1B8E">
        <w:rPr>
          <w:spacing w:val="47"/>
        </w:rPr>
        <w:t xml:space="preserve"> </w:t>
      </w:r>
      <w:r w:rsidRPr="000A1B8E">
        <w:t>forma expresa, se prevé la posibilidad que en un mismo proceso de contratación se adelante la elaboración de los diseños y la construcción de una obra. En otras palabras, debe quedar claro que la consagración de la obligación contractual a cargo del contratista de obra de realizar los estudios y diseños para la obra pública constituye una forma en la que se satisface plenamente el deber legal de contar, de manera p</w:t>
      </w:r>
      <w:r w:rsidRPr="000A1B8E">
        <w:rPr>
          <w:bCs/>
          <w:color w:val="000000" w:themeColor="text1"/>
        </w:rPr>
        <w:t>revia</w:t>
      </w:r>
      <w:r w:rsidRPr="000A1B8E">
        <w:rPr>
          <w:bCs/>
          <w:color w:val="000000" w:themeColor="text1"/>
          <w:lang w:val="es-ES_tradnl"/>
        </w:rPr>
        <w:t xml:space="preserve"> a la apertura de un procedimiento de licitación pública para la contratación de una obra pública, con los estudios y diseños que permitan establecer la viabilidad del proyecto y su impacto social, económico y ambiental</w:t>
      </w:r>
      <w:r w:rsidRPr="000A1B8E">
        <w:rPr>
          <w:rStyle w:val="Refdenotaalpie"/>
          <w:bCs/>
          <w:color w:val="000000" w:themeColor="text1"/>
          <w:lang w:val="es-ES_tradnl"/>
        </w:rPr>
        <w:footnoteReference w:id="8"/>
      </w:r>
      <w:r w:rsidRPr="000A1B8E">
        <w:rPr>
          <w:bCs/>
          <w:color w:val="000000" w:themeColor="text1"/>
          <w:lang w:val="es-ES_tradnl"/>
        </w:rPr>
        <w:t>.</w:t>
      </w:r>
    </w:p>
    <w:p w14:paraId="7566F0AA" w14:textId="77777777" w:rsidR="0015359A" w:rsidRPr="000A1B8E" w:rsidRDefault="0015359A" w:rsidP="0015359A">
      <w:pPr>
        <w:pStyle w:val="Textoindependiente"/>
        <w:spacing w:before="120" w:line="276" w:lineRule="auto"/>
        <w:ind w:firstLine="709"/>
        <w:jc w:val="both"/>
      </w:pPr>
      <w:r w:rsidRPr="000A1B8E">
        <w:lastRenderedPageBreak/>
        <w:t xml:space="preserve">Ahora bien, es importante subrayar que en nuestro ordenamiento jurídico existen distintas fases para la elaboración y contratación de los estudios de viabilidad de un proyecto de construcción. En efecto, el artículo 12 de la Ley 1862 de 2013 define y clasifica los diversos estudios de ingeniería que se adelantan para la ejecución de los proyectos de infraestructura de transporte en: i) fase I- prefactibilidad, </w:t>
      </w:r>
      <w:proofErr w:type="spellStart"/>
      <w:r w:rsidRPr="000A1B8E">
        <w:t>ii</w:t>
      </w:r>
      <w:proofErr w:type="spellEnd"/>
      <w:r w:rsidRPr="000A1B8E">
        <w:t xml:space="preserve">) fase II- factibilidad y </w:t>
      </w:r>
      <w:proofErr w:type="spellStart"/>
      <w:r w:rsidRPr="000A1B8E">
        <w:t>iii</w:t>
      </w:r>
      <w:proofErr w:type="spellEnd"/>
      <w:r w:rsidRPr="000A1B8E">
        <w:t>) fase III- estudios y diseños</w:t>
      </w:r>
      <w:r w:rsidRPr="000A1B8E">
        <w:rPr>
          <w:spacing w:val="-1"/>
        </w:rPr>
        <w:t xml:space="preserve"> </w:t>
      </w:r>
      <w:r w:rsidRPr="000A1B8E">
        <w:t>definitivos.</w:t>
      </w:r>
    </w:p>
    <w:p w14:paraId="092BACD0" w14:textId="77777777" w:rsidR="0015359A" w:rsidRPr="000A1B8E" w:rsidRDefault="0015359A" w:rsidP="0015359A">
      <w:pPr>
        <w:pStyle w:val="Textoindependiente"/>
        <w:spacing w:before="120" w:after="120" w:line="276" w:lineRule="auto"/>
        <w:ind w:firstLine="709"/>
        <w:jc w:val="both"/>
      </w:pPr>
      <w:r w:rsidRPr="000A1B8E">
        <w:t xml:space="preserve">El estudio de </w:t>
      </w:r>
      <w:r>
        <w:t>“</w:t>
      </w:r>
      <w:r w:rsidRPr="000A1B8E">
        <w:t>Fase 1. Prefactibilidad</w:t>
      </w:r>
      <w:r>
        <w:t>”</w:t>
      </w:r>
      <w:r w:rsidRPr="000A1B8E">
        <w:t xml:space="preserve"> es el que se realiza el prediseño aproximado del proyecto, presentando alternativas y realizar la evaluación económica preliminar recurriendo a costos obtenidos en proyectos con condiciones similares, utilizando modelos de simulación debidamente aprobados por las entidades solicitantes. En el estudio de </w:t>
      </w:r>
      <w:r>
        <w:t>“</w:t>
      </w:r>
      <w:r w:rsidRPr="000A1B8E">
        <w:t>Fase 2. Factibilidad</w:t>
      </w:r>
      <w:r>
        <w:t>”</w:t>
      </w:r>
      <w:r w:rsidRPr="000A1B8E">
        <w:t xml:space="preserve"> se debe diseñar el proyecto y efectuar la evaluación económica final, y, además, tiene por finalidad establecer si el proyecto es factible para su ejecución, considerando todos los aspectos relacionados con el mismo. Finalmente, en el estudio de </w:t>
      </w:r>
      <w:r>
        <w:t>“</w:t>
      </w:r>
      <w:r w:rsidRPr="000A1B8E">
        <w:t>Fase 3. Estudios y diseños definitivos</w:t>
      </w:r>
      <w:r>
        <w:t>”</w:t>
      </w:r>
      <w:r w:rsidRPr="000A1B8E">
        <w:t xml:space="preserve"> se deben elaborar los diseños detallados tanto geométrico como de todas las estructuras y obras que se requieran, de tal forma que un constructor pueda materializar el proyecto</w:t>
      </w:r>
      <w:r w:rsidRPr="000A1B8E">
        <w:rPr>
          <w:rStyle w:val="Refdenotaalpie"/>
        </w:rPr>
        <w:footnoteReference w:id="9"/>
      </w:r>
      <w:r w:rsidRPr="000A1B8E">
        <w:t xml:space="preserve">. De acuerdo con las </w:t>
      </w:r>
      <w:r w:rsidRPr="000A1B8E">
        <w:lastRenderedPageBreak/>
        <w:t>definiciones de los estudios de ingeniería es posible concluir que, para adelantar el proceso de contratación, cuyo objeto consiste en la construcción de una obra pública, se requerirá contar con los estudios de prefactibilidad y estudios de factibilidad, porque a través de estos se verifica la viabilidad del</w:t>
      </w:r>
      <w:r w:rsidRPr="000A1B8E">
        <w:rPr>
          <w:spacing w:val="-9"/>
        </w:rPr>
        <w:t xml:space="preserve"> </w:t>
      </w:r>
      <w:r w:rsidRPr="000A1B8E">
        <w:t>proyecto.</w:t>
      </w:r>
    </w:p>
    <w:p w14:paraId="6B914F32" w14:textId="77777777" w:rsidR="0015359A" w:rsidRPr="000A1B8E" w:rsidRDefault="0015359A" w:rsidP="0015359A">
      <w:pPr>
        <w:spacing w:after="0" w:line="276" w:lineRule="auto"/>
        <w:ind w:firstLine="708"/>
        <w:jc w:val="both"/>
        <w:rPr>
          <w:rFonts w:ascii="Verdana" w:hAnsi="Verdana" w:cs="Arial"/>
        </w:rPr>
      </w:pPr>
      <w:r w:rsidRPr="000A1B8E">
        <w:rPr>
          <w:rFonts w:ascii="Verdana" w:hAnsi="Verdana" w:cs="Arial"/>
          <w:bCs/>
          <w:color w:val="000000" w:themeColor="text1"/>
          <w:lang w:val="es-ES_tradnl"/>
        </w:rPr>
        <w:t xml:space="preserve">Inclusive, en el evento en que la entidad estatal ya cuente con estudios y diseños para la obra pública, siempre en cumplimiento del principio de planeación y con el fin de corroborar la </w:t>
      </w:r>
      <w:r>
        <w:rPr>
          <w:rFonts w:ascii="Verdana" w:hAnsi="Verdana" w:cs="Arial"/>
          <w:bCs/>
          <w:color w:val="000000" w:themeColor="text1"/>
          <w:lang w:val="es-ES_tradnl"/>
        </w:rPr>
        <w:t>“</w:t>
      </w:r>
      <w:r w:rsidRPr="000A1B8E">
        <w:rPr>
          <w:rFonts w:ascii="Verdana" w:hAnsi="Verdana" w:cs="Arial"/>
          <w:bCs/>
          <w:color w:val="000000" w:themeColor="text1"/>
          <w:lang w:val="es-ES_tradnl"/>
        </w:rPr>
        <w:t>viabilidad</w:t>
      </w:r>
      <w:r>
        <w:rPr>
          <w:rFonts w:ascii="Verdana" w:hAnsi="Verdana" w:cs="Arial"/>
        </w:rPr>
        <w:t>”</w:t>
      </w:r>
      <w:r w:rsidRPr="000A1B8E">
        <w:rPr>
          <w:rFonts w:ascii="Verdana" w:hAnsi="Verdana" w:cs="Arial"/>
        </w:rPr>
        <w:t xml:space="preserve"> del proyecto, puede modificarlos o ajustarlos. Precisamente, en relación con este supuesto, la Sala de Consulta y Servicio Civil del Consejo de Estado considera que: </w:t>
      </w:r>
    </w:p>
    <w:p w14:paraId="409834BD" w14:textId="77777777" w:rsidR="0015359A" w:rsidRPr="000A1B8E" w:rsidRDefault="0015359A" w:rsidP="0015359A">
      <w:pPr>
        <w:spacing w:after="0" w:line="276" w:lineRule="auto"/>
        <w:ind w:firstLine="708"/>
        <w:jc w:val="both"/>
        <w:rPr>
          <w:rFonts w:ascii="Verdana" w:hAnsi="Verdana" w:cs="Arial"/>
        </w:rPr>
      </w:pPr>
    </w:p>
    <w:p w14:paraId="2A2C0F01" w14:textId="77777777" w:rsidR="0015359A" w:rsidRPr="000A1B8E" w:rsidRDefault="0015359A" w:rsidP="0015359A">
      <w:pPr>
        <w:spacing w:line="240" w:lineRule="auto"/>
        <w:ind w:left="709" w:right="709"/>
        <w:jc w:val="both"/>
        <w:rPr>
          <w:rFonts w:ascii="Verdana" w:hAnsi="Verdana" w:cs="Arial"/>
          <w:sz w:val="21"/>
          <w:szCs w:val="21"/>
        </w:rPr>
      </w:pPr>
      <w:r>
        <w:rPr>
          <w:rFonts w:ascii="Verdana" w:hAnsi="Verdana" w:cs="Arial"/>
          <w:sz w:val="21"/>
          <w:szCs w:val="21"/>
        </w:rPr>
        <w:t>“</w:t>
      </w:r>
      <w:r w:rsidRPr="000A1B8E">
        <w:rPr>
          <w:rFonts w:ascii="Verdana" w:hAnsi="Verdana" w:cs="Arial"/>
          <w:sz w:val="21"/>
          <w:szCs w:val="21"/>
        </w:rPr>
        <w:t xml:space="preserve">La contratación, entendida como un instrumento para alcanzar los fines estatales y satisfacer el interés público, </w:t>
      </w:r>
      <w:r w:rsidRPr="000A1B8E">
        <w:rPr>
          <w:rFonts w:ascii="Verdana" w:hAnsi="Verdana" w:cs="Arial"/>
          <w:i/>
          <w:sz w:val="21"/>
          <w:szCs w:val="21"/>
        </w:rPr>
        <w:t>hace que la administración se encuentre facultada para modificar los diseños y estudios previstos inicialmente para la ejecución de una obra pública, cuando éstos adolezcan de errores o sean insuficientes o inadecuados</w:t>
      </w:r>
      <w:r w:rsidRPr="000A1B8E">
        <w:rPr>
          <w:rFonts w:ascii="Verdana" w:hAnsi="Verdana" w:cs="Arial"/>
          <w:b/>
          <w:bCs/>
          <w:sz w:val="21"/>
          <w:szCs w:val="21"/>
        </w:rPr>
        <w:t>,</w:t>
      </w:r>
      <w:r w:rsidRPr="000A1B8E">
        <w:rPr>
          <w:rFonts w:ascii="Verdana" w:hAnsi="Verdana" w:cs="Arial"/>
          <w:sz w:val="21"/>
          <w:szCs w:val="21"/>
        </w:rPr>
        <w:t xml:space="preserve"> independientemente de la responsabilidad que ello pueda</w:t>
      </w:r>
      <w:r w:rsidRPr="000A1B8E">
        <w:rPr>
          <w:rFonts w:ascii="Verdana" w:hAnsi="Verdana" w:cs="Arial"/>
          <w:spacing w:val="-5"/>
          <w:sz w:val="21"/>
          <w:szCs w:val="21"/>
        </w:rPr>
        <w:t xml:space="preserve"> </w:t>
      </w:r>
      <w:r w:rsidRPr="000A1B8E">
        <w:rPr>
          <w:rFonts w:ascii="Verdana" w:hAnsi="Verdana" w:cs="Arial"/>
          <w:sz w:val="21"/>
          <w:szCs w:val="21"/>
        </w:rPr>
        <w:t xml:space="preserve">generar. </w:t>
      </w:r>
    </w:p>
    <w:p w14:paraId="774852C1" w14:textId="77777777" w:rsidR="0015359A" w:rsidRPr="000A1B8E" w:rsidRDefault="0015359A" w:rsidP="0015359A">
      <w:pPr>
        <w:spacing w:before="121" w:line="240" w:lineRule="auto"/>
        <w:ind w:left="709" w:right="709"/>
        <w:jc w:val="both"/>
        <w:rPr>
          <w:rFonts w:ascii="Verdana" w:hAnsi="Verdana" w:cs="Arial"/>
          <w:sz w:val="21"/>
          <w:szCs w:val="21"/>
        </w:rPr>
      </w:pPr>
      <w:r w:rsidRPr="000A1B8E">
        <w:rPr>
          <w:rFonts w:ascii="Verdana" w:hAnsi="Verdana" w:cs="Arial"/>
          <w:sz w:val="21"/>
          <w:szCs w:val="21"/>
        </w:rPr>
        <w:t>Por consiguiente, si para alcanzar el objeto contractual se hace necesario corregir errores de diseño o buscar soluciones técnicas alternativas frente a eventos no previstos</w:t>
      </w:r>
      <w:r w:rsidRPr="000A1B8E">
        <w:rPr>
          <w:rFonts w:ascii="Verdana" w:hAnsi="Verdana" w:cs="Arial"/>
          <w:b/>
          <w:sz w:val="21"/>
          <w:szCs w:val="21"/>
        </w:rPr>
        <w:t xml:space="preserve">, </w:t>
      </w:r>
      <w:r w:rsidRPr="000A1B8E">
        <w:rPr>
          <w:rFonts w:ascii="Verdana" w:hAnsi="Verdana" w:cs="Arial"/>
          <w:i/>
          <w:sz w:val="21"/>
          <w:szCs w:val="21"/>
        </w:rPr>
        <w:t xml:space="preserve">la administración está en la posibilidad, y en el deber jurídico, de adecuar los diseños y estudios, así ello implique la ejecución de una mayor cantidad de obra y el desarrollo de obras adicionales al objeto </w:t>
      </w:r>
      <w:r w:rsidRPr="000A1B8E">
        <w:rPr>
          <w:rFonts w:ascii="Verdana" w:hAnsi="Verdana" w:cs="Arial"/>
          <w:sz w:val="21"/>
          <w:szCs w:val="21"/>
        </w:rPr>
        <w:t>contractual, máxime si, como en el caso que nos ocupa, actuar de una manera distinta puede comprometer la estabilidad misma de los trabajos.</w:t>
      </w:r>
    </w:p>
    <w:p w14:paraId="2C9BBB90" w14:textId="77777777" w:rsidR="0015359A" w:rsidRPr="000A1B8E" w:rsidRDefault="0015359A" w:rsidP="0015359A">
      <w:pPr>
        <w:spacing w:before="120" w:after="0" w:line="240" w:lineRule="auto"/>
        <w:ind w:left="709" w:right="709"/>
        <w:jc w:val="both"/>
        <w:rPr>
          <w:rFonts w:ascii="Verdana" w:hAnsi="Verdana" w:cs="Arial"/>
          <w:sz w:val="21"/>
          <w:szCs w:val="21"/>
        </w:rPr>
      </w:pPr>
      <w:r w:rsidRPr="000A1B8E">
        <w:rPr>
          <w:rFonts w:ascii="Verdana" w:hAnsi="Verdana" w:cs="Arial"/>
          <w:i/>
          <w:sz w:val="21"/>
          <w:szCs w:val="21"/>
        </w:rPr>
        <w:t xml:space="preserve">De lo anterior resulta claro que es un deber de la administración ordenar las modificaciones necesarias para responder por la buena ejecución </w:t>
      </w:r>
      <w:r w:rsidRPr="000A1B8E">
        <w:rPr>
          <w:rFonts w:ascii="Verdana" w:hAnsi="Verdana" w:cs="Arial"/>
          <w:sz w:val="21"/>
          <w:szCs w:val="21"/>
        </w:rPr>
        <w:t>de los trabajos y el logro del fin perseguido con la contratación; es un imperativo de su gestión, al cual no puede sustraerse so pena de incurrir en responsabilidad por omisión, pues iría en contra de lo previsto en el artículo 3º de la Ley 80 de 1993</w:t>
      </w:r>
      <w:r>
        <w:rPr>
          <w:rFonts w:ascii="Verdana" w:hAnsi="Verdana" w:cs="Arial"/>
          <w:sz w:val="21"/>
          <w:szCs w:val="21"/>
        </w:rPr>
        <w:t>”</w:t>
      </w:r>
      <w:r w:rsidRPr="000A1B8E">
        <w:rPr>
          <w:rStyle w:val="Refdenotaalpie"/>
          <w:rFonts w:ascii="Verdana" w:hAnsi="Verdana" w:cs="Arial"/>
          <w:sz w:val="21"/>
          <w:szCs w:val="21"/>
        </w:rPr>
        <w:footnoteReference w:id="10"/>
      </w:r>
      <w:r w:rsidRPr="000A1B8E">
        <w:rPr>
          <w:rFonts w:ascii="Verdana" w:hAnsi="Verdana" w:cs="Arial"/>
          <w:sz w:val="21"/>
          <w:szCs w:val="21"/>
        </w:rPr>
        <w:t>. (Énfasis fuera del texto)</w:t>
      </w:r>
    </w:p>
    <w:p w14:paraId="6D774A1E" w14:textId="77777777" w:rsidR="0015359A" w:rsidRPr="000A1B8E" w:rsidRDefault="0015359A" w:rsidP="0015359A">
      <w:pPr>
        <w:pStyle w:val="Textoindependiente"/>
      </w:pPr>
    </w:p>
    <w:p w14:paraId="146353B1" w14:textId="77777777" w:rsidR="0015359A" w:rsidRPr="000A1B8E" w:rsidRDefault="0015359A" w:rsidP="0015359A">
      <w:pPr>
        <w:pStyle w:val="Textoindependiente"/>
        <w:spacing w:line="276" w:lineRule="auto"/>
        <w:ind w:firstLine="709"/>
        <w:jc w:val="both"/>
      </w:pPr>
      <w:r w:rsidRPr="000A1B8E">
        <w:t xml:space="preserve">Dicho lo anterior, es un deber jurídico de la entidad estatal adecuar los diseños y estudios, con el fin de procurar que la ejecución de la obra cumpla con </w:t>
      </w:r>
      <w:r w:rsidRPr="000A1B8E">
        <w:lastRenderedPageBreak/>
        <w:t>las finalidades previstas. En este sentido, se corrobora que el alcance del objeto del contrato de obra pública permitiría que una de las obligaciones del contratista sea ajustar, revisar y/o modificar los estudios con que cuenta la entidad pública contratante. De hecho, esta situación se prevé en los documentos tipo para la licitación de obra pública de infraestructura de transporte</w:t>
      </w:r>
      <w:r w:rsidRPr="000A1B8E">
        <w:rPr>
          <w:rStyle w:val="Refdenotaalpie"/>
        </w:rPr>
        <w:footnoteReference w:id="11"/>
      </w:r>
      <w:r w:rsidRPr="000A1B8E">
        <w:t>. En el mismo sentido, la doctrina considera lo siguiente:</w:t>
      </w:r>
    </w:p>
    <w:p w14:paraId="418E6B44" w14:textId="77777777" w:rsidR="0015359A" w:rsidRPr="000A1B8E" w:rsidRDefault="0015359A" w:rsidP="0015359A">
      <w:pPr>
        <w:pStyle w:val="Textoindependiente"/>
        <w:spacing w:line="276" w:lineRule="auto"/>
        <w:ind w:firstLine="709"/>
        <w:jc w:val="both"/>
      </w:pPr>
    </w:p>
    <w:p w14:paraId="0FB5F1DD" w14:textId="77777777" w:rsidR="0015359A" w:rsidRPr="000A1B8E" w:rsidRDefault="0015359A" w:rsidP="0015359A">
      <w:pPr>
        <w:spacing w:after="0" w:line="240" w:lineRule="auto"/>
        <w:ind w:left="709" w:right="709"/>
        <w:jc w:val="both"/>
        <w:rPr>
          <w:rFonts w:ascii="Verdana" w:hAnsi="Verdana" w:cs="Arial"/>
          <w:sz w:val="21"/>
        </w:rPr>
      </w:pPr>
      <w:r>
        <w:rPr>
          <w:rFonts w:ascii="Verdana" w:hAnsi="Verdana" w:cs="Arial"/>
          <w:sz w:val="21"/>
        </w:rPr>
        <w:t>“</w:t>
      </w:r>
      <w:r w:rsidRPr="000A1B8E">
        <w:rPr>
          <w:rFonts w:ascii="Verdana" w:hAnsi="Verdana" w:cs="Arial"/>
          <w:sz w:val="21"/>
        </w:rPr>
        <w:t xml:space="preserve">A menos de que el contrato se ordene, el constructor no está obligado a revisar ni a completar los diseños constitutivos del proyecto, porque el diseño y la construcción son actividades especializadas. </w:t>
      </w:r>
      <w:r w:rsidRPr="000A1B8E">
        <w:rPr>
          <w:rFonts w:ascii="Verdana" w:hAnsi="Verdana" w:cs="Arial"/>
          <w:i/>
          <w:sz w:val="21"/>
        </w:rPr>
        <w:t xml:space="preserve">Pero en ocasiones el constructor es llamado a verificar y al complementar los diseños, e incluso adoptarlos como suyos. Entonces el dueño le traslada verdaderas obligaciones profesionales tocantes con la concepción misma del proyecto cuya ejecución le ha confiado </w:t>
      </w:r>
      <w:r w:rsidRPr="000A1B8E">
        <w:rPr>
          <w:rFonts w:ascii="Verdana" w:hAnsi="Verdana" w:cs="Arial"/>
          <w:sz w:val="21"/>
        </w:rPr>
        <w:t>[…]</w:t>
      </w:r>
      <w:r>
        <w:rPr>
          <w:rFonts w:ascii="Verdana" w:hAnsi="Verdana" w:cs="Arial"/>
          <w:sz w:val="21"/>
        </w:rPr>
        <w:t>”</w:t>
      </w:r>
      <w:r w:rsidRPr="000A1B8E">
        <w:rPr>
          <w:rStyle w:val="Refdenotaalpie"/>
          <w:rFonts w:ascii="Verdana" w:hAnsi="Verdana" w:cs="Arial"/>
          <w:sz w:val="21"/>
        </w:rPr>
        <w:footnoteReference w:id="12"/>
      </w:r>
      <w:r w:rsidRPr="000A1B8E">
        <w:rPr>
          <w:rFonts w:ascii="Verdana" w:hAnsi="Verdana" w:cs="Arial"/>
          <w:sz w:val="21"/>
        </w:rPr>
        <w:t>. (Énfasis fuera de</w:t>
      </w:r>
      <w:r w:rsidRPr="000A1B8E">
        <w:rPr>
          <w:rFonts w:ascii="Verdana" w:hAnsi="Verdana" w:cs="Arial"/>
          <w:spacing w:val="-10"/>
          <w:sz w:val="21"/>
        </w:rPr>
        <w:t xml:space="preserve"> </w:t>
      </w:r>
      <w:r w:rsidRPr="000A1B8E">
        <w:rPr>
          <w:rFonts w:ascii="Verdana" w:hAnsi="Verdana" w:cs="Arial"/>
          <w:sz w:val="21"/>
        </w:rPr>
        <w:t>texto)</w:t>
      </w:r>
    </w:p>
    <w:p w14:paraId="520C5CD0" w14:textId="77777777" w:rsidR="0015359A" w:rsidRPr="000A1B8E" w:rsidRDefault="0015359A" w:rsidP="0015359A">
      <w:pPr>
        <w:tabs>
          <w:tab w:val="left" w:pos="426"/>
        </w:tabs>
        <w:spacing w:after="0" w:line="276" w:lineRule="auto"/>
        <w:jc w:val="both"/>
        <w:rPr>
          <w:rFonts w:ascii="Verdana" w:hAnsi="Verdana" w:cs="Arial"/>
          <w:b/>
          <w:bCs/>
        </w:rPr>
      </w:pPr>
    </w:p>
    <w:p w14:paraId="3F5173E0" w14:textId="77777777" w:rsidR="0015359A" w:rsidRPr="000A1B8E" w:rsidRDefault="0015359A" w:rsidP="0015359A">
      <w:pPr>
        <w:spacing w:after="120" w:line="276" w:lineRule="auto"/>
        <w:ind w:firstLine="707"/>
        <w:jc w:val="both"/>
        <w:rPr>
          <w:rFonts w:ascii="Verdana" w:hAnsi="Verdana"/>
        </w:rPr>
      </w:pPr>
      <w:r w:rsidRPr="000A1B8E">
        <w:rPr>
          <w:rFonts w:ascii="Verdana" w:hAnsi="Verdana" w:cs="Arial"/>
          <w:bCs/>
          <w:color w:val="000000" w:themeColor="text1"/>
          <w:lang w:val="es-ES_tradnl"/>
        </w:rPr>
        <w:t xml:space="preserve">Otra de las opciones jurídicas previstas en nuestro ordenamiento jurídico para la elaboración de los estudios y diseños se encuentra en la tipología contractual denominada </w:t>
      </w:r>
      <w:r>
        <w:rPr>
          <w:rFonts w:ascii="Verdana" w:hAnsi="Verdana" w:cs="Arial"/>
          <w:bCs/>
          <w:color w:val="000000" w:themeColor="text1"/>
          <w:lang w:val="es-ES_tradnl"/>
        </w:rPr>
        <w:t>“</w:t>
      </w:r>
      <w:r w:rsidRPr="000A1B8E">
        <w:rPr>
          <w:rFonts w:ascii="Verdana" w:hAnsi="Verdana" w:cs="Arial"/>
          <w:bCs/>
          <w:color w:val="000000" w:themeColor="text1"/>
          <w:lang w:val="es-ES_tradnl"/>
        </w:rPr>
        <w:t>llave en mano</w:t>
      </w:r>
      <w:r>
        <w:rPr>
          <w:rFonts w:ascii="Verdana" w:hAnsi="Verdana" w:cs="Arial"/>
          <w:bCs/>
          <w:color w:val="000000" w:themeColor="text1"/>
          <w:lang w:val="es-ES_tradnl"/>
        </w:rPr>
        <w:t>”</w:t>
      </w:r>
      <w:r w:rsidRPr="000A1B8E">
        <w:rPr>
          <w:rFonts w:ascii="Verdana" w:hAnsi="Verdana" w:cs="Arial"/>
          <w:bCs/>
          <w:color w:val="000000" w:themeColor="text1"/>
          <w:lang w:val="es-ES_tradnl"/>
        </w:rPr>
        <w:t xml:space="preserve">. En efecto, según la Guía de obra pública, en esta tipología contractual </w:t>
      </w:r>
      <w:r>
        <w:rPr>
          <w:rFonts w:ascii="Verdana" w:hAnsi="Verdana" w:cs="Arial"/>
          <w:bCs/>
          <w:color w:val="000000" w:themeColor="text1"/>
          <w:lang w:val="es-ES_tradnl"/>
        </w:rPr>
        <w:t>“</w:t>
      </w:r>
      <w:bookmarkStart w:id="7" w:name="_Hlk69292474"/>
      <w:r w:rsidRPr="000A1B8E">
        <w:rPr>
          <w:rFonts w:ascii="Verdana" w:hAnsi="Verdana" w:cs="Arial"/>
          <w:bCs/>
          <w:color w:val="000000" w:themeColor="text1"/>
          <w:lang w:val="es-ES_tradnl"/>
        </w:rPr>
        <w:t>el contratista se compromete a realizar todas las labores relacionadas con la obra incluyendo los diseños, estudios de factibilidad, construcción, contratación del personal, instalaciones y suministros y la contraprestación a cargo del contratista es la obra terminada y en funcionamiento</w:t>
      </w:r>
      <w:bookmarkEnd w:id="7"/>
      <w:r>
        <w:rPr>
          <w:rFonts w:ascii="Verdana" w:eastAsia="Calibri" w:hAnsi="Verdana" w:cs="Arial"/>
          <w:color w:val="000000" w:themeColor="text1"/>
          <w:lang w:val="es-ES"/>
        </w:rPr>
        <w:t>”</w:t>
      </w:r>
      <w:r w:rsidRPr="000A1B8E">
        <w:rPr>
          <w:rStyle w:val="Refdenotaalpie"/>
          <w:rFonts w:ascii="Verdana" w:eastAsia="Calibri" w:hAnsi="Verdana" w:cs="Arial"/>
          <w:color w:val="000000" w:themeColor="text1"/>
          <w:lang w:val="es-ES"/>
        </w:rPr>
        <w:footnoteReference w:id="13"/>
      </w:r>
      <w:r w:rsidRPr="000A1B8E">
        <w:rPr>
          <w:rFonts w:ascii="Verdana" w:eastAsia="Calibri" w:hAnsi="Verdana" w:cs="Arial"/>
          <w:color w:val="000000" w:themeColor="text1"/>
          <w:lang w:val="es-ES"/>
        </w:rPr>
        <w:t>.</w:t>
      </w:r>
      <w:r w:rsidRPr="000A1B8E">
        <w:rPr>
          <w:rFonts w:ascii="Verdana" w:hAnsi="Verdana"/>
        </w:rPr>
        <w:t xml:space="preserve"> </w:t>
      </w:r>
      <w:r w:rsidRPr="000A1B8E">
        <w:rPr>
          <w:rFonts w:ascii="Verdana" w:hAnsi="Verdana" w:cs="Arial"/>
        </w:rPr>
        <w:t xml:space="preserve">De este modo, resulta claro que el contrato </w:t>
      </w:r>
      <w:r>
        <w:rPr>
          <w:rFonts w:ascii="Verdana" w:hAnsi="Verdana" w:cs="Arial"/>
        </w:rPr>
        <w:t>“</w:t>
      </w:r>
      <w:r w:rsidRPr="000A1B8E">
        <w:rPr>
          <w:rFonts w:ascii="Verdana" w:hAnsi="Verdana" w:cs="Arial"/>
        </w:rPr>
        <w:t>llave en mano</w:t>
      </w:r>
      <w:r>
        <w:rPr>
          <w:rFonts w:ascii="Verdana" w:hAnsi="Verdana" w:cs="Arial"/>
        </w:rPr>
        <w:t>”</w:t>
      </w:r>
      <w:r w:rsidRPr="000A1B8E">
        <w:rPr>
          <w:rFonts w:ascii="Verdana" w:hAnsi="Verdana" w:cs="Arial"/>
        </w:rPr>
        <w:t xml:space="preserve"> </w:t>
      </w:r>
      <w:r w:rsidRPr="000A1B8E">
        <w:rPr>
          <w:rFonts w:ascii="Verdana" w:hAnsi="Verdana" w:cs="Arial"/>
        </w:rPr>
        <w:lastRenderedPageBreak/>
        <w:t>es un sistema de contratación para construcción de obras, en el que el contratista se compromete a ejecutar la totalidad de prestaciones, incluyendo estudios previos, diseños, suministro de equipos, ejecución de la obra en condiciones tales que, al finalizar la labor, permita a la entidad contratante la puesta en marcha de obra en el momento en que se efectúe su</w:t>
      </w:r>
      <w:r w:rsidRPr="000A1B8E">
        <w:rPr>
          <w:rFonts w:ascii="Verdana" w:hAnsi="Verdana" w:cs="Arial"/>
          <w:spacing w:val="-16"/>
        </w:rPr>
        <w:t xml:space="preserve"> </w:t>
      </w:r>
      <w:r w:rsidRPr="000A1B8E">
        <w:rPr>
          <w:rFonts w:ascii="Verdana" w:hAnsi="Verdana" w:cs="Arial"/>
        </w:rPr>
        <w:t>entrega.</w:t>
      </w:r>
    </w:p>
    <w:p w14:paraId="32D729D3" w14:textId="77777777" w:rsidR="0015359A" w:rsidRDefault="0015359A" w:rsidP="0015359A">
      <w:pPr>
        <w:pStyle w:val="Textoindependiente"/>
        <w:spacing w:before="121" w:line="276" w:lineRule="auto"/>
        <w:ind w:firstLine="707"/>
        <w:jc w:val="both"/>
      </w:pPr>
      <w:r w:rsidRPr="000A1B8E">
        <w:t xml:space="preserve">Por lo tanto, el contrato de obra de llave en mano no se agota en la labor constructiva típica, pues incluye tanto la elaboración de los diseños como la puesta en funcionamiento de la obra contratada, lo que justifica una contraprestación a precio global y alzado. En esta forma de contratación, la obra </w:t>
      </w:r>
      <w:r>
        <w:t>“</w:t>
      </w:r>
      <w:r w:rsidRPr="000A1B8E">
        <w:t>[…] debe estar provista de todo lo que fuere necesario, según las normas técnicas aplicables, para operar en condiciones de eficiencia y seguridad […]</w:t>
      </w:r>
      <w:r>
        <w:t>”</w:t>
      </w:r>
      <w:r w:rsidRPr="000A1B8E">
        <w:rPr>
          <w:rStyle w:val="Refdenotaalpie"/>
        </w:rPr>
        <w:footnoteReference w:id="14"/>
      </w:r>
      <w:r w:rsidRPr="000A1B8E">
        <w:t xml:space="preserve">. Además, </w:t>
      </w:r>
      <w:r>
        <w:t>“</w:t>
      </w:r>
      <w:r w:rsidRPr="000A1B8E">
        <w:t>[…] El contrato llave en mano incluye el diseño básico y de detalle, la construcción, la adquisición e instalación de los equipos y sistemas necesarios, la transferencia al propietario de tecnología, las pruebas de funcionamiento previas a la recepción y, en algunos casos, el entrenamiento del personal del comitente y la puesta en marcha comercial […]</w:t>
      </w:r>
      <w:r>
        <w:t>”</w:t>
      </w:r>
      <w:r w:rsidRPr="000A1B8E">
        <w:rPr>
          <w:rStyle w:val="Refdenotaalpie"/>
        </w:rPr>
        <w:footnoteReference w:id="15"/>
      </w:r>
      <w:r w:rsidRPr="000A1B8E">
        <w:t xml:space="preserve">. </w:t>
      </w:r>
    </w:p>
    <w:p w14:paraId="036C4824" w14:textId="77777777" w:rsidR="0015359A" w:rsidRPr="000A1B8E" w:rsidRDefault="0015359A" w:rsidP="0015359A">
      <w:pPr>
        <w:pStyle w:val="Textoindependiente"/>
        <w:spacing w:before="121" w:line="276" w:lineRule="auto"/>
        <w:ind w:firstLine="707"/>
        <w:jc w:val="both"/>
      </w:pPr>
      <w:r w:rsidRPr="00683DFF">
        <w:rPr>
          <w:rFonts w:eastAsia="Arial" w:cs="Arial"/>
          <w:color w:val="000000" w:themeColor="text1"/>
        </w:rPr>
        <w:t>Es decir, al margen de la fuente de los recursos que financien la ejecución, las actividades de diseño y de construcción se cuantifican de forma conjunta</w:t>
      </w:r>
      <w:r>
        <w:rPr>
          <w:rFonts w:eastAsia="Arial" w:cs="Arial"/>
          <w:color w:val="000000" w:themeColor="text1"/>
        </w:rPr>
        <w:t xml:space="preserve">. </w:t>
      </w:r>
      <w:r w:rsidRPr="000A1B8E">
        <w:t xml:space="preserve">Estas características especiales del contrato son una solución eficaz para reducir costos y plazos de transacción en la licitación de obras, ya que en un solo proceso se lleva a cabo la licitación del diseño de las obras y su construcción, responsabilizando al contratante de la planeación de la obra y reduciendo los riesgos asociados con </w:t>
      </w:r>
      <w:r>
        <w:t>“</w:t>
      </w:r>
      <w:r w:rsidRPr="000A1B8E">
        <w:t>errores de diseño</w:t>
      </w:r>
      <w:r>
        <w:t>”</w:t>
      </w:r>
      <w:r w:rsidRPr="000A1B8E">
        <w:t xml:space="preserve"> que son una causa normal sobrecostos. </w:t>
      </w:r>
    </w:p>
    <w:p w14:paraId="6C18414D" w14:textId="77777777" w:rsidR="0015359A" w:rsidRPr="000A1B8E" w:rsidRDefault="0015359A" w:rsidP="0015359A">
      <w:pPr>
        <w:pStyle w:val="Textoindependiente"/>
        <w:spacing w:before="120" w:line="276" w:lineRule="auto"/>
        <w:ind w:firstLine="709"/>
        <w:jc w:val="both"/>
        <w:rPr>
          <w:lang w:val="es-CO"/>
        </w:rPr>
      </w:pPr>
      <w:r w:rsidRPr="000A1B8E">
        <w:t xml:space="preserve">Conforme al alcance normativo del objeto del contrato de obra, en dicha tipología contractual es posible establecer cláusulas para realización de los diseños. De lo anterior se desprende que la entidad pública contratante, en ejercicio de su discrecionalidad, también puede contratar los diseños mediante un contrato de consultoría que sea resultado de un concurso de méritos, pues dicha actividad se enmarca en el alcance del artículo 32.2 de la Ley 80 de 1993. De esta manera, </w:t>
      </w:r>
      <w:r>
        <w:t>“</w:t>
      </w:r>
      <w:r w:rsidRPr="000A1B8E">
        <w:t xml:space="preserve">[…] si la necesidad […] es </w:t>
      </w:r>
      <w:r>
        <w:t>‘</w:t>
      </w:r>
      <w:r w:rsidRPr="000A1B8E">
        <w:t>diseñar y construir</w:t>
      </w:r>
      <w:r>
        <w:t>’</w:t>
      </w:r>
      <w:r w:rsidRPr="000A1B8E">
        <w:t xml:space="preserve">, la misma se satisface contratando ambas cosas. Si por el contrario es solo </w:t>
      </w:r>
      <w:r>
        <w:t>‘</w:t>
      </w:r>
      <w:r w:rsidRPr="000A1B8E">
        <w:t>diseñar</w:t>
      </w:r>
      <w:r>
        <w:t>’</w:t>
      </w:r>
      <w:r w:rsidRPr="000A1B8E">
        <w:t xml:space="preserve">, se entiende contratado únicamente el diseño. Por lo dicho, los </w:t>
      </w:r>
      <w:r>
        <w:t>‘</w:t>
      </w:r>
      <w:r w:rsidRPr="000A1B8E">
        <w:t>diseños</w:t>
      </w:r>
      <w:r>
        <w:t>’</w:t>
      </w:r>
      <w:r w:rsidRPr="000A1B8E">
        <w:t xml:space="preserve"> que se </w:t>
      </w:r>
      <w:r w:rsidRPr="000A1B8E">
        <w:lastRenderedPageBreak/>
        <w:t>requieren previamente son los proporcionales a la necesidad a satisfacer</w:t>
      </w:r>
      <w:r>
        <w:t>”</w:t>
      </w:r>
      <w:r w:rsidRPr="000A1B8E">
        <w:rPr>
          <w:rStyle w:val="Refdenotaalpie"/>
        </w:rPr>
        <w:footnoteReference w:id="16"/>
      </w:r>
      <w:r w:rsidRPr="000A1B8E">
        <w:t xml:space="preserve">. </w:t>
      </w:r>
    </w:p>
    <w:p w14:paraId="798E17F6" w14:textId="77777777" w:rsidR="0015359A" w:rsidRPr="000A1B8E" w:rsidRDefault="0015359A" w:rsidP="0015359A">
      <w:pPr>
        <w:spacing w:after="0" w:line="276" w:lineRule="auto"/>
        <w:jc w:val="both"/>
        <w:rPr>
          <w:rFonts w:ascii="Verdana" w:eastAsia="Calibri" w:hAnsi="Verdana" w:cs="Arial"/>
        </w:rPr>
      </w:pPr>
    </w:p>
    <w:p w14:paraId="5B3A3545" w14:textId="77777777" w:rsidR="0015359A" w:rsidRPr="008415A2" w:rsidRDefault="0015359A" w:rsidP="0015359A">
      <w:pPr>
        <w:spacing w:after="120" w:line="276" w:lineRule="auto"/>
        <w:jc w:val="both"/>
        <w:rPr>
          <w:rFonts w:ascii="Verdana" w:hAnsi="Verdana"/>
        </w:rPr>
      </w:pPr>
      <w:proofErr w:type="spellStart"/>
      <w:r>
        <w:rPr>
          <w:rFonts w:ascii="Verdana" w:eastAsia="Calibri" w:hAnsi="Verdana" w:cs="Arial"/>
          <w:bCs/>
          <w:color w:val="000000" w:themeColor="text1"/>
        </w:rPr>
        <w:t>iii</w:t>
      </w:r>
      <w:proofErr w:type="spellEnd"/>
      <w:r>
        <w:rPr>
          <w:rFonts w:ascii="Verdana" w:eastAsia="Calibri" w:hAnsi="Verdana" w:cs="Arial"/>
          <w:bCs/>
          <w:color w:val="000000" w:themeColor="text1"/>
        </w:rPr>
        <w:t xml:space="preserve">. </w:t>
      </w: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31A9079" w14:textId="77777777" w:rsidR="0015359A" w:rsidRPr="00185EE9" w:rsidRDefault="0015359A" w:rsidP="0015359A">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0D256E31" w14:textId="77777777" w:rsidR="0015359A" w:rsidRPr="008415A2" w:rsidRDefault="0015359A" w:rsidP="0015359A">
      <w:pPr>
        <w:spacing w:after="0" w:line="276" w:lineRule="auto"/>
        <w:jc w:val="both"/>
        <w:rPr>
          <w:rFonts w:ascii="Verdana" w:hAnsi="Verdana"/>
        </w:rPr>
      </w:pPr>
      <w:r>
        <w:rPr>
          <w:rFonts w:ascii="Verdana" w:hAnsi="Verdana"/>
        </w:rPr>
        <w:t xml:space="preserve"> </w:t>
      </w:r>
    </w:p>
    <w:p w14:paraId="7001076B" w14:textId="77777777" w:rsidR="0015359A" w:rsidRPr="00593A5F" w:rsidRDefault="0015359A" w:rsidP="0015359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728687DB" w14:textId="77777777" w:rsidR="0015359A" w:rsidRPr="00593A5F" w:rsidRDefault="0015359A" w:rsidP="0015359A">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5359A" w:rsidRPr="002407CE" w14:paraId="1ACAB50D" w14:textId="77777777" w:rsidTr="00013DE6">
        <w:trPr>
          <w:trHeight w:val="870"/>
          <w:jc w:val="center"/>
        </w:trPr>
        <w:tc>
          <w:tcPr>
            <w:tcW w:w="8647" w:type="dxa"/>
          </w:tcPr>
          <w:p w14:paraId="2E16E3A8" w14:textId="77777777" w:rsidR="0015359A" w:rsidRDefault="0015359A" w:rsidP="00013DE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artículos 2, 25, 26, 30 y 32.</w:t>
            </w:r>
          </w:p>
          <w:p w14:paraId="3F286AB0" w14:textId="77777777" w:rsidR="0015359A" w:rsidRDefault="0015359A" w:rsidP="00013DE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1862 de 2013, artículo 12.</w:t>
            </w:r>
          </w:p>
          <w:p w14:paraId="0C91C6CB" w14:textId="77777777" w:rsidR="0015359A" w:rsidRDefault="0015359A" w:rsidP="00013DE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Decreto 1082 de 2015, artículo </w:t>
            </w:r>
            <w:r w:rsidRPr="004221F1">
              <w:rPr>
                <w:rFonts w:ascii="Verdana" w:hAnsi="Verdana" w:cs="Arial"/>
              </w:rPr>
              <w:t>2.2.1.1.2.1.1</w:t>
            </w:r>
            <w:r>
              <w:rPr>
                <w:rFonts w:ascii="Verdana" w:hAnsi="Verdana" w:cs="Arial"/>
              </w:rPr>
              <w:t>.</w:t>
            </w:r>
          </w:p>
          <w:p w14:paraId="4F841FF4" w14:textId="77777777" w:rsidR="0015359A" w:rsidRPr="004221F1" w:rsidRDefault="0015359A" w:rsidP="00013DE6">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Código Civil, artículos 2053, 2060 y 2061.</w:t>
            </w:r>
          </w:p>
        </w:tc>
      </w:tr>
    </w:tbl>
    <w:p w14:paraId="6D906C4B" w14:textId="77777777" w:rsidR="0015359A" w:rsidRPr="002407CE" w:rsidRDefault="0015359A" w:rsidP="0015359A">
      <w:pPr>
        <w:widowControl w:val="0"/>
        <w:autoSpaceDE w:val="0"/>
        <w:autoSpaceDN w:val="0"/>
        <w:spacing w:after="0" w:line="276" w:lineRule="auto"/>
        <w:jc w:val="both"/>
        <w:rPr>
          <w:rFonts w:ascii="Verdana" w:hAnsi="Verdana" w:cs="Arial"/>
        </w:rPr>
      </w:pPr>
    </w:p>
    <w:p w14:paraId="58975867" w14:textId="77777777" w:rsidR="0015359A" w:rsidRPr="00593A5F" w:rsidRDefault="0015359A" w:rsidP="0015359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1275B7B" w14:textId="77777777" w:rsidR="0015359A" w:rsidRPr="00593A5F" w:rsidRDefault="0015359A" w:rsidP="0015359A">
      <w:pPr>
        <w:widowControl w:val="0"/>
        <w:autoSpaceDE w:val="0"/>
        <w:autoSpaceDN w:val="0"/>
        <w:spacing w:after="0" w:line="276" w:lineRule="auto"/>
        <w:jc w:val="both"/>
        <w:rPr>
          <w:rFonts w:ascii="Verdana" w:hAnsi="Verdana" w:cs="Arial"/>
        </w:rPr>
      </w:pPr>
    </w:p>
    <w:p w14:paraId="1DED6563" w14:textId="77777777" w:rsidR="0015359A" w:rsidRPr="00ED0098" w:rsidRDefault="0015359A" w:rsidP="0015359A">
      <w:pPr>
        <w:widowControl w:val="0"/>
        <w:autoSpaceDE w:val="0"/>
        <w:autoSpaceDN w:val="0"/>
        <w:spacing w:after="0" w:line="276" w:lineRule="auto"/>
        <w:jc w:val="both"/>
        <w:rPr>
          <w:rStyle w:val="normaltextrun"/>
          <w:rFonts w:ascii="Verdana" w:hAnsi="Verdana" w:cs="Arial"/>
          <w:shd w:val="clear" w:color="auto" w:fill="FFFFFF"/>
        </w:rPr>
      </w:pPr>
      <w:r w:rsidRPr="00326117">
        <w:rPr>
          <w:rFonts w:ascii="Verdana" w:hAnsi="Verdana" w:cs="Arial"/>
          <w:shd w:val="clear" w:color="auto" w:fill="FFFFFF"/>
        </w:rPr>
        <w:t xml:space="preserve">Esta Subdirección se ha pronunciado sobre el objeto y las características del contrato de obra pública en los </w:t>
      </w:r>
      <w:r>
        <w:rPr>
          <w:rFonts w:ascii="Verdana" w:hAnsi="Verdana" w:cs="Arial"/>
          <w:shd w:val="clear" w:color="auto" w:fill="FFFFFF"/>
        </w:rPr>
        <w:t>C</w:t>
      </w:r>
      <w:r w:rsidRPr="00326117">
        <w:rPr>
          <w:rFonts w:ascii="Verdana" w:hAnsi="Verdana" w:cs="Arial"/>
          <w:shd w:val="clear" w:color="auto" w:fill="FFFFFF"/>
        </w:rPr>
        <w:t xml:space="preserve">onceptos 4201913000008014 del 24 de diciembre del año 2019, C-530 del 13 de agosto de 2020 y C-038 del 5 de abril </w:t>
      </w:r>
      <w:r w:rsidRPr="00326117">
        <w:rPr>
          <w:rFonts w:ascii="Verdana" w:hAnsi="Verdana" w:cs="Arial"/>
          <w:shd w:val="clear" w:color="auto" w:fill="FFFFFF"/>
        </w:rPr>
        <w:lastRenderedPageBreak/>
        <w:t>de 2021. Por otra parte, en los Conceptos 4201912000005784 del 7 de octubre de 2019, C-702 del 11 de diciembre de 2020, C-177 del 26 de abril de 2021, C-255 del 1 de junio de 2021, C-284 del 11 de mayo de 2022, C-359 del 21 de julio de 2022</w:t>
      </w:r>
      <w:r>
        <w:rPr>
          <w:rFonts w:ascii="Verdana" w:hAnsi="Verdana" w:cs="Arial"/>
          <w:shd w:val="clear" w:color="auto" w:fill="FFFFFF"/>
        </w:rPr>
        <w:t xml:space="preserve">, </w:t>
      </w:r>
      <w:r w:rsidRPr="00326117">
        <w:rPr>
          <w:rFonts w:ascii="Verdana" w:hAnsi="Verdana" w:cs="Arial"/>
          <w:shd w:val="clear" w:color="auto" w:fill="FFFFFF"/>
        </w:rPr>
        <w:t>C-174 del 16 de mayo de 2023</w:t>
      </w:r>
      <w:r>
        <w:rPr>
          <w:rFonts w:ascii="Verdana" w:hAnsi="Verdana" w:cs="Arial"/>
          <w:shd w:val="clear" w:color="auto" w:fill="FFFFFF"/>
        </w:rPr>
        <w:t xml:space="preserve"> y C-735 del 20 de junio de 2025</w:t>
      </w:r>
      <w:r w:rsidRPr="00326117">
        <w:rPr>
          <w:rFonts w:ascii="Verdana" w:hAnsi="Verdana" w:cs="Arial"/>
          <w:shd w:val="clear" w:color="auto" w:fill="FFFFFF"/>
        </w:rPr>
        <w:t>, estudió la figura del contrato llave en mano</w:t>
      </w:r>
      <w:r>
        <w:rPr>
          <w:rFonts w:ascii="Verdana" w:hAnsi="Verdana"/>
        </w:rPr>
        <w:t>.</w:t>
      </w:r>
      <w:r>
        <w:rPr>
          <w:rFonts w:ascii="Verdana" w:hAnsi="Verdana" w:cs="Arial"/>
          <w:shd w:val="clear" w:color="auto" w:fill="FFFFFF"/>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3757496D" w14:textId="77777777" w:rsidR="0015359A" w:rsidRPr="00096788" w:rsidRDefault="0015359A" w:rsidP="0015359A">
      <w:pPr>
        <w:widowControl w:val="0"/>
        <w:autoSpaceDE w:val="0"/>
        <w:autoSpaceDN w:val="0"/>
        <w:spacing w:after="0" w:line="276" w:lineRule="auto"/>
        <w:jc w:val="both"/>
        <w:rPr>
          <w:rFonts w:ascii="Verdana" w:hAnsi="Verdana" w:cs="Arial"/>
          <w:color w:val="000000" w:themeColor="text1"/>
          <w:shd w:val="clear" w:color="auto" w:fill="FFFFFF"/>
        </w:rPr>
      </w:pPr>
    </w:p>
    <w:p w14:paraId="2AA8B8DC" w14:textId="77777777" w:rsidR="0015359A" w:rsidRPr="001205D1" w:rsidRDefault="0015359A" w:rsidP="0015359A">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sidRPr="00032009">
        <w:rPr>
          <w:rFonts w:ascii="Verdana" w:hAnsi="Verdana"/>
          <w:color w:val="000000"/>
          <w:u w:val="single"/>
        </w:rPr>
        <w:t>"</w:t>
      </w:r>
      <w:r>
        <w:rPr>
          <w:rFonts w:ascii="Verdana" w:hAnsi="Verdana"/>
          <w:color w:val="000000"/>
          <w:u w:val="single"/>
        </w:rPr>
        <w:t>.</w:t>
      </w:r>
    </w:p>
    <w:p w14:paraId="25C896BB" w14:textId="77777777" w:rsidR="0015359A" w:rsidRPr="009C4035" w:rsidRDefault="0015359A" w:rsidP="0015359A">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1B4B505D" w14:textId="77777777" w:rsidR="0015359A" w:rsidRPr="00593A5F" w:rsidRDefault="0015359A" w:rsidP="0015359A">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3356BDC1" w14:textId="77777777" w:rsidR="0015359A" w:rsidRPr="00593A5F" w:rsidRDefault="0015359A" w:rsidP="0015359A">
      <w:pPr>
        <w:widowControl w:val="0"/>
        <w:autoSpaceDE w:val="0"/>
        <w:autoSpaceDN w:val="0"/>
        <w:spacing w:after="0" w:line="276" w:lineRule="auto"/>
        <w:jc w:val="both"/>
        <w:rPr>
          <w:rFonts w:ascii="Verdana" w:hAnsi="Verdana" w:cs="Arial"/>
        </w:rPr>
      </w:pPr>
    </w:p>
    <w:p w14:paraId="21BA50E9" w14:textId="77777777" w:rsidR="0015359A" w:rsidRPr="00593A5F" w:rsidRDefault="0015359A" w:rsidP="0015359A">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03BEAC2D" w14:textId="5E5365D7" w:rsidR="0015359A" w:rsidRPr="00593A5F" w:rsidRDefault="00FB3AA8" w:rsidP="0015359A">
      <w:pPr>
        <w:spacing w:line="276" w:lineRule="auto"/>
        <w:jc w:val="center"/>
        <w:rPr>
          <w:rFonts w:ascii="Verdana" w:hAnsi="Verdana" w:cs="Arial"/>
          <w:color w:val="000000"/>
          <w:lang w:val="es-ES_tradnl" w:eastAsia="es-CO"/>
        </w:rPr>
      </w:pPr>
      <w:r>
        <w:rPr>
          <w:noProof/>
        </w:rPr>
        <w:drawing>
          <wp:inline distT="0" distB="0" distL="0" distR="0" wp14:anchorId="4076CE1C" wp14:editId="28CDDC51">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5359A" w:rsidRPr="00593A5F" w14:paraId="76190F69" w14:textId="77777777" w:rsidTr="00013DE6">
        <w:trPr>
          <w:trHeight w:val="315"/>
        </w:trPr>
        <w:tc>
          <w:tcPr>
            <w:tcW w:w="893" w:type="dxa"/>
            <w:vAlign w:val="center"/>
            <w:hideMark/>
          </w:tcPr>
          <w:p w14:paraId="44DFF04C" w14:textId="77777777" w:rsidR="0015359A" w:rsidRPr="003751C7" w:rsidRDefault="0015359A" w:rsidP="00013DE6">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E12650E" w14:textId="77777777" w:rsidR="0015359A" w:rsidRPr="00254A7A" w:rsidRDefault="0015359A" w:rsidP="00013DE6">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02BBB4F0" w14:textId="77777777" w:rsidR="0015359A" w:rsidRPr="00254A7A" w:rsidRDefault="0015359A" w:rsidP="00013DE6">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15359A" w:rsidRPr="00593A5F" w14:paraId="4C62A9B8" w14:textId="77777777" w:rsidTr="00013DE6">
        <w:trPr>
          <w:trHeight w:val="330"/>
        </w:trPr>
        <w:tc>
          <w:tcPr>
            <w:tcW w:w="893" w:type="dxa"/>
            <w:vAlign w:val="center"/>
            <w:hideMark/>
          </w:tcPr>
          <w:p w14:paraId="3A712024" w14:textId="77777777" w:rsidR="0015359A" w:rsidRPr="003751C7" w:rsidRDefault="0015359A" w:rsidP="00013DE6">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0EACC30" w14:textId="77777777" w:rsidR="0015359A" w:rsidRPr="001B6B73" w:rsidRDefault="0015359A" w:rsidP="00013DE6">
            <w:pPr>
              <w:pStyle w:val="paragraph"/>
              <w:spacing w:after="0"/>
              <w:contextualSpacing/>
              <w:textAlignment w:val="baseline"/>
              <w:rPr>
                <w:rStyle w:val="normaltextrun"/>
                <w:rFonts w:ascii="Verdana" w:hAnsi="Verdana" w:cs="Arial"/>
                <w:sz w:val="16"/>
                <w:szCs w:val="16"/>
                <w:lang w:val="es-ES_tradnl"/>
              </w:rPr>
            </w:pPr>
            <w:r w:rsidRPr="001B6B73">
              <w:rPr>
                <w:rStyle w:val="normaltextrun"/>
                <w:rFonts w:ascii="Verdana" w:hAnsi="Verdana" w:cs="Arial"/>
                <w:sz w:val="16"/>
                <w:szCs w:val="16"/>
                <w:lang w:val="es-ES_tradnl"/>
              </w:rPr>
              <w:t>Alejandro Sarmiento Cantillo</w:t>
            </w:r>
          </w:p>
          <w:p w14:paraId="6AA80F5F" w14:textId="77777777" w:rsidR="0015359A" w:rsidRPr="00254A7A" w:rsidRDefault="0015359A" w:rsidP="00013DE6">
            <w:pPr>
              <w:pStyle w:val="paragraph"/>
              <w:spacing w:before="0" w:beforeAutospacing="0" w:after="0" w:afterAutospacing="0"/>
              <w:contextualSpacing/>
              <w:textAlignment w:val="baseline"/>
              <w:rPr>
                <w:rFonts w:ascii="Verdana" w:hAnsi="Verdana" w:cs="Segoe UI"/>
                <w:sz w:val="16"/>
                <w:szCs w:val="16"/>
              </w:rPr>
            </w:pPr>
            <w:r w:rsidRPr="001B6B73">
              <w:rPr>
                <w:rStyle w:val="normaltextrun"/>
                <w:rFonts w:ascii="Verdana" w:hAnsi="Verdana" w:cs="Arial"/>
                <w:sz w:val="16"/>
                <w:szCs w:val="16"/>
                <w:lang w:val="es-ES_tradnl"/>
              </w:rPr>
              <w:t>Gestor T1 ‒ 15 de la Subdirección de Gestión Contractual</w:t>
            </w:r>
          </w:p>
        </w:tc>
      </w:tr>
      <w:tr w:rsidR="0015359A" w:rsidRPr="00593A5F" w14:paraId="19B52438" w14:textId="77777777" w:rsidTr="00013DE6">
        <w:trPr>
          <w:trHeight w:val="300"/>
        </w:trPr>
        <w:tc>
          <w:tcPr>
            <w:tcW w:w="893" w:type="dxa"/>
            <w:vAlign w:val="center"/>
          </w:tcPr>
          <w:p w14:paraId="0015DB81" w14:textId="77777777" w:rsidR="0015359A" w:rsidRPr="003751C7" w:rsidRDefault="0015359A" w:rsidP="00013DE6">
            <w:pPr>
              <w:contextualSpacing/>
              <w:rPr>
                <w:rFonts w:ascii="Verdana" w:hAnsi="Verdana" w:cs="Arial"/>
                <w:sz w:val="16"/>
                <w:szCs w:val="16"/>
                <w:lang w:val="es-ES" w:eastAsia="es-ES"/>
              </w:rPr>
            </w:pPr>
            <w:r w:rsidRPr="003751C7">
              <w:rPr>
                <w:rFonts w:ascii="Verdana" w:hAnsi="Verdana" w:cs="Arial"/>
                <w:sz w:val="16"/>
                <w:szCs w:val="16"/>
                <w:lang w:val="es-ES" w:eastAsia="es-ES"/>
              </w:rPr>
              <w:lastRenderedPageBreak/>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192874D" w14:textId="77777777" w:rsidR="0015359A" w:rsidRPr="003751C7" w:rsidRDefault="0015359A" w:rsidP="00013DE6">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4D5D91F4" w14:textId="77777777" w:rsidR="0015359A" w:rsidRPr="003751C7" w:rsidRDefault="0015359A" w:rsidP="00013DE6">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553B455E" w14:textId="77777777" w:rsidR="0015359A" w:rsidRPr="00543BFE" w:rsidRDefault="0015359A" w:rsidP="0015359A"/>
    <w:p w14:paraId="3900974D" w14:textId="77777777" w:rsidR="003D5B0D" w:rsidRPr="00136468" w:rsidRDefault="003D5B0D" w:rsidP="00136468"/>
    <w:sectPr w:rsidR="003D5B0D" w:rsidRPr="00136468"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36B13" w14:textId="77777777" w:rsidR="00C92F0E" w:rsidRDefault="00C92F0E" w:rsidP="004A1847">
      <w:pPr>
        <w:spacing w:after="0" w:line="240" w:lineRule="auto"/>
      </w:pPr>
      <w:r>
        <w:separator/>
      </w:r>
    </w:p>
  </w:endnote>
  <w:endnote w:type="continuationSeparator" w:id="0">
    <w:p w14:paraId="12107B43" w14:textId="77777777" w:rsidR="00C92F0E" w:rsidRDefault="00C92F0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13919" w14:textId="77777777" w:rsidR="00C92F0E" w:rsidRDefault="00C92F0E" w:rsidP="004A1847">
      <w:pPr>
        <w:spacing w:after="0" w:line="240" w:lineRule="auto"/>
      </w:pPr>
      <w:r>
        <w:separator/>
      </w:r>
    </w:p>
  </w:footnote>
  <w:footnote w:type="continuationSeparator" w:id="0">
    <w:p w14:paraId="28B1BAAF" w14:textId="77777777" w:rsidR="00C92F0E" w:rsidRDefault="00C92F0E" w:rsidP="004A1847">
      <w:pPr>
        <w:spacing w:after="0" w:line="240" w:lineRule="auto"/>
      </w:pPr>
      <w:r>
        <w:continuationSeparator/>
      </w:r>
    </w:p>
  </w:footnote>
  <w:footnote w:id="1">
    <w:p w14:paraId="6BC373F8" w14:textId="77777777" w:rsidR="0015359A" w:rsidRPr="0082704B" w:rsidRDefault="0015359A" w:rsidP="0015359A">
      <w:pPr>
        <w:pStyle w:val="Textonotapie"/>
        <w:ind w:firstLine="709"/>
        <w:jc w:val="both"/>
        <w:rPr>
          <w:rFonts w:ascii="Verdana" w:hAnsi="Verdana" w:cs="Arial"/>
          <w:color w:val="000000"/>
          <w:sz w:val="16"/>
          <w:szCs w:val="16"/>
        </w:rPr>
      </w:pPr>
      <w:r w:rsidRPr="0082704B">
        <w:rPr>
          <w:rStyle w:val="Refdenotaalpie"/>
          <w:rFonts w:ascii="Verdana" w:hAnsi="Verdana" w:cs="Arial"/>
          <w:color w:val="000000"/>
          <w:sz w:val="16"/>
          <w:szCs w:val="16"/>
        </w:rPr>
        <w:footnoteRef/>
      </w:r>
      <w:r w:rsidRPr="0082704B">
        <w:rPr>
          <w:rFonts w:ascii="Verdana" w:hAnsi="Verdana" w:cs="Arial"/>
          <w:color w:val="000000"/>
          <w:sz w:val="16"/>
          <w:szCs w:val="16"/>
        </w:rPr>
        <w:t xml:space="preserve"> ALESSANDRI RODRÍGUEZ, Arturo. De los contratos. Santiago de Chile: Editorial Jurídica EDIAR-CONOCSUR LTDA, 1988. p. 182. </w:t>
      </w:r>
    </w:p>
  </w:footnote>
  <w:footnote w:id="2">
    <w:p w14:paraId="4444DD84" w14:textId="77777777" w:rsidR="0015359A" w:rsidRPr="0082704B" w:rsidRDefault="0015359A" w:rsidP="0015359A">
      <w:pPr>
        <w:pStyle w:val="Textonotapie"/>
        <w:ind w:firstLine="708"/>
        <w:jc w:val="both"/>
        <w:rPr>
          <w:rFonts w:ascii="Verdana" w:hAnsi="Verdana" w:cs="Arial"/>
          <w:sz w:val="16"/>
          <w:szCs w:val="16"/>
          <w:lang w:val="es-ES_tradnl"/>
        </w:rPr>
      </w:pPr>
      <w:r w:rsidRPr="0082704B">
        <w:rPr>
          <w:rStyle w:val="Refdenotaalpie"/>
          <w:rFonts w:ascii="Verdana" w:hAnsi="Verdana" w:cs="Arial"/>
          <w:sz w:val="16"/>
          <w:szCs w:val="16"/>
        </w:rPr>
        <w:footnoteRef/>
      </w:r>
      <w:r w:rsidRPr="0082704B">
        <w:rPr>
          <w:rFonts w:ascii="Verdana" w:hAnsi="Verdana" w:cs="Arial"/>
          <w:sz w:val="16"/>
          <w:szCs w:val="16"/>
        </w:rPr>
        <w:t xml:space="preserve"> </w:t>
      </w:r>
      <w:r w:rsidRPr="0082704B">
        <w:rPr>
          <w:rFonts w:ascii="Verdana" w:hAnsi="Verdana" w:cs="Arial"/>
          <w:sz w:val="16"/>
          <w:szCs w:val="16"/>
          <w:lang w:val="es-ES_tradnl"/>
        </w:rPr>
        <w:t xml:space="preserve">Respecto a la referencia a los bienes inmuebles, debe considerarse la definición de los artículos 656 y 658 del Código Civil, que incluye en esa categoría tanto a los inmuebles por adhesión como por destinación. De esta manera, la referencia contenida en el numeral 1 del artículo 32 la Ley 80 de 1993 a inmuebles debe entenderse que se extiende a los inmuebles anteriormente mencionados, razón por la cual la tipicidad del contrato de obra incluye cualquier clase de trabajo sobre inmuebles por adhesión o por destinación. </w:t>
      </w:r>
    </w:p>
  </w:footnote>
  <w:footnote w:id="3">
    <w:p w14:paraId="20F2E480" w14:textId="77777777" w:rsidR="0015359A" w:rsidRPr="0082704B" w:rsidRDefault="0015359A" w:rsidP="0015359A">
      <w:pPr>
        <w:pStyle w:val="Textonotapie"/>
        <w:ind w:firstLine="709"/>
        <w:jc w:val="both"/>
        <w:rPr>
          <w:rFonts w:ascii="Verdana" w:hAnsi="Verdana" w:cs="Arial"/>
          <w:color w:val="000000"/>
          <w:sz w:val="16"/>
          <w:szCs w:val="16"/>
        </w:rPr>
      </w:pPr>
      <w:r w:rsidRPr="0082704B">
        <w:rPr>
          <w:rStyle w:val="Refdenotaalpie"/>
          <w:rFonts w:ascii="Verdana" w:hAnsi="Verdana" w:cs="Arial"/>
          <w:color w:val="000000"/>
          <w:sz w:val="16"/>
          <w:szCs w:val="16"/>
        </w:rPr>
        <w:footnoteRef/>
      </w:r>
      <w:r w:rsidRPr="0082704B">
        <w:rPr>
          <w:rFonts w:ascii="Verdana" w:hAnsi="Verdana" w:cs="Arial"/>
          <w:color w:val="000000"/>
          <w:sz w:val="16"/>
          <w:szCs w:val="16"/>
        </w:rPr>
        <w:t xml:space="preserve"> OSPINA MENA, Jesús Marino. Régimen de la Contratación Estatal. Un salto a la contratación liquida. Bogotá: Dike, 2020. p. 168.</w:t>
      </w:r>
    </w:p>
  </w:footnote>
  <w:footnote w:id="4">
    <w:p w14:paraId="2134CA49" w14:textId="77777777" w:rsidR="0015359A" w:rsidRPr="0082704B" w:rsidRDefault="0015359A" w:rsidP="0015359A">
      <w:pPr>
        <w:pStyle w:val="Textonotapie"/>
        <w:ind w:firstLine="709"/>
        <w:jc w:val="both"/>
        <w:rPr>
          <w:rFonts w:ascii="Verdana" w:hAnsi="Verdana" w:cs="Arial"/>
          <w:color w:val="000000"/>
          <w:sz w:val="16"/>
          <w:szCs w:val="16"/>
        </w:rPr>
      </w:pPr>
      <w:r w:rsidRPr="0082704B">
        <w:rPr>
          <w:rStyle w:val="Refdenotaalpie"/>
          <w:rFonts w:ascii="Verdana" w:hAnsi="Verdana" w:cs="Arial"/>
          <w:color w:val="000000"/>
          <w:sz w:val="16"/>
          <w:szCs w:val="16"/>
        </w:rPr>
        <w:footnoteRef/>
      </w:r>
      <w:r w:rsidRPr="0082704B">
        <w:rPr>
          <w:rFonts w:ascii="Verdana" w:hAnsi="Verdana" w:cs="Arial"/>
          <w:color w:val="000000"/>
          <w:sz w:val="16"/>
          <w:szCs w:val="16"/>
        </w:rPr>
        <w:t xml:space="preserve"> CONSEJO DE ESTADO. Sala de Consulta y Servicio Civil. Concepto del 5 de septiembre de 2018. Rad. 2.386. C.P. Edgar González López.</w:t>
      </w:r>
    </w:p>
  </w:footnote>
  <w:footnote w:id="5">
    <w:p w14:paraId="01410673" w14:textId="77777777" w:rsidR="0015359A" w:rsidRPr="00222C6C" w:rsidRDefault="0015359A" w:rsidP="0015359A">
      <w:pPr>
        <w:pStyle w:val="Textonotapie"/>
        <w:ind w:firstLine="708"/>
        <w:jc w:val="both"/>
        <w:rPr>
          <w:rFonts w:ascii="Verdana" w:hAnsi="Verdana"/>
          <w:sz w:val="16"/>
          <w:szCs w:val="16"/>
        </w:rPr>
      </w:pPr>
      <w:r w:rsidRPr="00222C6C">
        <w:rPr>
          <w:rStyle w:val="Refdenotaalpie"/>
          <w:rFonts w:ascii="Verdana" w:hAnsi="Verdana"/>
          <w:sz w:val="16"/>
          <w:szCs w:val="16"/>
        </w:rPr>
        <w:footnoteRef/>
      </w:r>
      <w:r w:rsidRPr="00222C6C">
        <w:rPr>
          <w:rFonts w:ascii="Verdana" w:hAnsi="Verdana"/>
          <w:sz w:val="16"/>
          <w:szCs w:val="16"/>
        </w:rPr>
        <w:t xml:space="preserve"> De acuerdo con la norma citada: “Artículo 87. Maduración de proyectos. El numeral 12 del artículo 25 de la Ley 80 de 1993 quedará así:</w:t>
      </w:r>
    </w:p>
    <w:p w14:paraId="36A11889" w14:textId="77777777" w:rsidR="0015359A" w:rsidRPr="00222C6C" w:rsidRDefault="0015359A" w:rsidP="0015359A">
      <w:pPr>
        <w:pStyle w:val="Textonotapie"/>
        <w:ind w:firstLine="708"/>
        <w:jc w:val="both"/>
        <w:rPr>
          <w:rFonts w:ascii="Verdana" w:hAnsi="Verdana"/>
          <w:sz w:val="16"/>
          <w:szCs w:val="16"/>
        </w:rPr>
      </w:pPr>
      <w:r w:rsidRPr="00222C6C">
        <w:rPr>
          <w:rFonts w:ascii="Verdana" w:hAnsi="Verdana"/>
          <w:sz w:val="16"/>
          <w:szCs w:val="16"/>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5D37006F" w14:textId="77777777" w:rsidR="0015359A" w:rsidRPr="00222C6C" w:rsidRDefault="0015359A" w:rsidP="0015359A">
      <w:pPr>
        <w:pStyle w:val="Textonotapie"/>
        <w:ind w:firstLine="708"/>
        <w:jc w:val="both"/>
        <w:rPr>
          <w:rFonts w:ascii="Verdana" w:hAnsi="Verdana"/>
          <w:sz w:val="16"/>
          <w:szCs w:val="16"/>
        </w:rPr>
      </w:pPr>
      <w:r w:rsidRPr="00222C6C">
        <w:rPr>
          <w:rFonts w:ascii="Verdana" w:hAnsi="Verdana"/>
          <w:sz w:val="16"/>
          <w:szCs w:val="16"/>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footnote>
  <w:footnote w:id="6">
    <w:p w14:paraId="22187E43" w14:textId="77777777" w:rsidR="0015359A" w:rsidRPr="000A1B8E" w:rsidRDefault="0015359A" w:rsidP="0015359A">
      <w:pPr>
        <w:pStyle w:val="Textonotapie"/>
        <w:ind w:firstLine="708"/>
        <w:jc w:val="both"/>
        <w:rPr>
          <w:rFonts w:ascii="Verdana" w:hAnsi="Verdana" w:cs="Arial"/>
          <w:sz w:val="16"/>
          <w:szCs w:val="16"/>
        </w:rPr>
      </w:pPr>
      <w:r w:rsidRPr="000A1B8E">
        <w:rPr>
          <w:rStyle w:val="Refdenotaalpie"/>
          <w:rFonts w:ascii="Verdana" w:hAnsi="Verdana" w:cs="Arial"/>
          <w:sz w:val="16"/>
          <w:szCs w:val="16"/>
        </w:rPr>
        <w:footnoteRef/>
      </w:r>
      <w:r w:rsidRPr="000A1B8E">
        <w:rPr>
          <w:rFonts w:ascii="Verdana" w:hAnsi="Verdana" w:cs="Arial"/>
          <w:sz w:val="16"/>
          <w:szCs w:val="16"/>
        </w:rPr>
        <w:t xml:space="preserve"> El artículo 26.3 de la Ley 80 de 1993 dispone que </w:t>
      </w:r>
      <w:r>
        <w:rPr>
          <w:rFonts w:ascii="Verdana" w:hAnsi="Verdana" w:cs="Arial"/>
          <w:sz w:val="16"/>
          <w:szCs w:val="16"/>
        </w:rPr>
        <w:t>“</w:t>
      </w:r>
      <w:r w:rsidRPr="000A1B8E">
        <w:rPr>
          <w:rFonts w:ascii="Verdana" w:hAnsi="Verdana" w:cs="Arial"/>
          <w:sz w:val="16"/>
          <w:szCs w:val="16"/>
        </w:rPr>
        <w:t>Las entidades y los servidores públicos, responderán cuando hubieren abierto licitaciones o concursos sin haber elaborado previamente los correspondientes pliegos de condiciones, diseños, estudios, planos y evaluaciones que fueren necesarios, o cuando los pliegos de condiciones hayan sido elaborados en forma incompleta, ambigua o confusa que conduzcan a interpretaciones o decisiones de carácter subjetivo por parte de aquellos</w:t>
      </w:r>
      <w:r>
        <w:rPr>
          <w:rFonts w:ascii="Verdana" w:hAnsi="Verdana" w:cs="Arial"/>
          <w:sz w:val="16"/>
          <w:szCs w:val="16"/>
        </w:rPr>
        <w:t>”.</w:t>
      </w:r>
    </w:p>
  </w:footnote>
  <w:footnote w:id="7">
    <w:p w14:paraId="20B0A550" w14:textId="77777777" w:rsidR="0015359A" w:rsidRPr="000A1B8E" w:rsidRDefault="0015359A" w:rsidP="0015359A">
      <w:pPr>
        <w:spacing w:after="0"/>
        <w:ind w:firstLine="709"/>
        <w:jc w:val="both"/>
        <w:rPr>
          <w:rFonts w:ascii="Verdana" w:hAnsi="Verdana" w:cs="Arial"/>
          <w:sz w:val="16"/>
          <w:szCs w:val="16"/>
        </w:rPr>
      </w:pPr>
      <w:r w:rsidRPr="000A1B8E">
        <w:rPr>
          <w:rStyle w:val="Refdenotaalpie"/>
          <w:rFonts w:ascii="Verdana" w:hAnsi="Verdana" w:cs="Arial"/>
          <w:sz w:val="16"/>
          <w:szCs w:val="16"/>
        </w:rPr>
        <w:footnoteRef/>
      </w:r>
      <w:r w:rsidRPr="000A1B8E">
        <w:rPr>
          <w:rFonts w:ascii="Verdana" w:hAnsi="Verdana" w:cs="Arial"/>
          <w:sz w:val="16"/>
          <w:szCs w:val="16"/>
        </w:rPr>
        <w:t xml:space="preserve"> Decreto 1082 de 2015: </w:t>
      </w:r>
      <w:r>
        <w:rPr>
          <w:rFonts w:ascii="Verdana" w:hAnsi="Verdana" w:cs="Arial"/>
          <w:sz w:val="16"/>
          <w:szCs w:val="16"/>
        </w:rPr>
        <w:t>“</w:t>
      </w:r>
      <w:r w:rsidRPr="000A1B8E">
        <w:rPr>
          <w:rFonts w:ascii="Verdana" w:hAnsi="Verdana" w:cs="Arial"/>
          <w:sz w:val="16"/>
          <w:szCs w:val="16"/>
        </w:rPr>
        <w:t>Artículo 2.2.1.1.2.1.1</w:t>
      </w:r>
      <w:r w:rsidRPr="000A1B8E">
        <w:rPr>
          <w:rFonts w:ascii="Verdana" w:hAnsi="Verdana" w:cs="Arial"/>
          <w:b/>
          <w:sz w:val="16"/>
          <w:szCs w:val="16"/>
        </w:rPr>
        <w:t xml:space="preserve">. </w:t>
      </w:r>
      <w:r w:rsidRPr="000A1B8E">
        <w:rPr>
          <w:rFonts w:ascii="Verdana" w:hAnsi="Verdana" w:cs="Arial"/>
          <w:sz w:val="16"/>
          <w:szCs w:val="16"/>
        </w:rPr>
        <w:t>Estudios y documentos previos</w:t>
      </w:r>
      <w:r w:rsidRPr="000A1B8E">
        <w:rPr>
          <w:rFonts w:ascii="Verdana" w:hAnsi="Verdana" w:cs="Arial"/>
          <w:b/>
          <w:i/>
          <w:sz w:val="16"/>
          <w:szCs w:val="16"/>
        </w:rPr>
        <w:t xml:space="preserve">. </w:t>
      </w:r>
      <w:r w:rsidRPr="000A1B8E">
        <w:rPr>
          <w:rFonts w:ascii="Verdana" w:hAnsi="Verdana" w:cs="Arial"/>
          <w:sz w:val="16"/>
          <w:szCs w:val="16"/>
        </w:rPr>
        <w:t xml:space="preserve">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r>
        <w:rPr>
          <w:rFonts w:ascii="Verdana" w:hAnsi="Verdana" w:cs="Arial"/>
          <w:sz w:val="16"/>
          <w:szCs w:val="16"/>
        </w:rPr>
        <w:t>“</w:t>
      </w:r>
      <w:r w:rsidRPr="000A1B8E">
        <w:rPr>
          <w:rFonts w:ascii="Verdana" w:hAnsi="Verdana" w:cs="Arial"/>
          <w:sz w:val="16"/>
          <w:szCs w:val="16"/>
        </w:rPr>
        <w:t>[…] 2. El objeto a contratar, con sus especificaciones, las autorizaciones, permisos y licencias requeridos para su ejecución, y cuando el contrato incluye diseño y construcción, los documentos técnicos para el desarrollo del proyecto [...]</w:t>
      </w:r>
      <w:r>
        <w:rPr>
          <w:rFonts w:ascii="Verdana" w:hAnsi="Verdana" w:cs="Arial"/>
          <w:sz w:val="16"/>
          <w:szCs w:val="16"/>
        </w:rPr>
        <w:t>”</w:t>
      </w:r>
      <w:r w:rsidRPr="000A1B8E">
        <w:rPr>
          <w:rFonts w:ascii="Verdana" w:hAnsi="Verdana" w:cs="Arial"/>
          <w:sz w:val="16"/>
          <w:szCs w:val="16"/>
        </w:rPr>
        <w:t>.</w:t>
      </w:r>
    </w:p>
  </w:footnote>
  <w:footnote w:id="8">
    <w:p w14:paraId="33C2A0CA" w14:textId="77777777" w:rsidR="0015359A" w:rsidRPr="000A1B8E" w:rsidRDefault="0015359A" w:rsidP="0015359A">
      <w:pPr>
        <w:pStyle w:val="Textonotapie"/>
        <w:ind w:firstLine="708"/>
        <w:jc w:val="both"/>
        <w:rPr>
          <w:rFonts w:ascii="Verdana" w:hAnsi="Verdana" w:cs="Arial"/>
          <w:sz w:val="16"/>
          <w:szCs w:val="16"/>
        </w:rPr>
      </w:pPr>
      <w:r w:rsidRPr="000A1B8E">
        <w:rPr>
          <w:rStyle w:val="Refdenotaalpie"/>
          <w:rFonts w:ascii="Verdana" w:hAnsi="Verdana" w:cs="Arial"/>
          <w:sz w:val="16"/>
          <w:szCs w:val="16"/>
        </w:rPr>
        <w:footnoteRef/>
      </w:r>
      <w:r w:rsidRPr="000A1B8E">
        <w:rPr>
          <w:rFonts w:ascii="Verdana" w:hAnsi="Verdana" w:cs="Arial"/>
          <w:sz w:val="16"/>
          <w:szCs w:val="16"/>
        </w:rPr>
        <w:t xml:space="preserve"> Al respecto, la doctrina considera que </w:t>
      </w:r>
      <w:r>
        <w:rPr>
          <w:rFonts w:ascii="Verdana" w:hAnsi="Verdana" w:cs="Arial"/>
          <w:sz w:val="16"/>
          <w:szCs w:val="16"/>
        </w:rPr>
        <w:t>“</w:t>
      </w:r>
      <w:r w:rsidRPr="000A1B8E">
        <w:rPr>
          <w:rFonts w:ascii="Verdana" w:hAnsi="Verdana" w:cs="Arial"/>
          <w:sz w:val="16"/>
          <w:szCs w:val="16"/>
        </w:rPr>
        <w:t>[…] resulta legalmente posible que se contrate en un mismo proceso el diseño de la obra y su ejecución, en la medida que los estudios previos realizados por la entidad soporten esa necesidad, lo que resulta consistente con la frase final del numeral 2° del artículo 20 del Decreto 1510 de 2013, al disponer que cuando el objeto a contratar comprenda el diseño y construcción de la obra, deberán publicarse los documentos técnicos para el desarrollo del proyecto […]</w:t>
      </w:r>
      <w:r>
        <w:rPr>
          <w:rFonts w:ascii="Verdana" w:hAnsi="Verdana" w:cs="Arial"/>
          <w:sz w:val="16"/>
          <w:szCs w:val="16"/>
        </w:rPr>
        <w:t>”</w:t>
      </w:r>
      <w:r w:rsidRPr="000A1B8E">
        <w:rPr>
          <w:rFonts w:ascii="Verdana" w:hAnsi="Verdana" w:cs="Arial"/>
          <w:sz w:val="16"/>
          <w:szCs w:val="16"/>
        </w:rPr>
        <w:t xml:space="preserve"> (Cfr. SUÁREZ BELTRÁN, Gonzalo. Estudios de derecho público contractual: Bogotá: Legis, 2014. p. 6).  </w:t>
      </w:r>
    </w:p>
  </w:footnote>
  <w:footnote w:id="9">
    <w:p w14:paraId="4C9F3E19" w14:textId="77777777" w:rsidR="0015359A" w:rsidRPr="000A1B8E" w:rsidRDefault="0015359A" w:rsidP="0015359A">
      <w:pPr>
        <w:spacing w:after="0"/>
        <w:ind w:firstLine="709"/>
        <w:jc w:val="both"/>
        <w:rPr>
          <w:rFonts w:ascii="Verdana" w:hAnsi="Verdana"/>
          <w:sz w:val="16"/>
          <w:szCs w:val="16"/>
        </w:rPr>
      </w:pPr>
      <w:r w:rsidRPr="000A1B8E">
        <w:rPr>
          <w:rStyle w:val="Refdenotaalpie"/>
          <w:rFonts w:ascii="Verdana" w:hAnsi="Verdana" w:cs="Arial"/>
          <w:sz w:val="16"/>
          <w:szCs w:val="16"/>
        </w:rPr>
        <w:footnoteRef/>
      </w:r>
      <w:r w:rsidRPr="000A1B8E">
        <w:rPr>
          <w:rFonts w:ascii="Verdana" w:hAnsi="Verdana" w:cs="Arial"/>
          <w:sz w:val="16"/>
          <w:szCs w:val="16"/>
        </w:rPr>
        <w:t xml:space="preserve"> Ley 1682 de 2013: </w:t>
      </w:r>
      <w:r>
        <w:rPr>
          <w:rFonts w:ascii="Verdana" w:hAnsi="Verdana" w:cs="Arial"/>
          <w:sz w:val="16"/>
          <w:szCs w:val="16"/>
        </w:rPr>
        <w:t>“</w:t>
      </w:r>
      <w:r w:rsidRPr="000A1B8E">
        <w:rPr>
          <w:rFonts w:ascii="Verdana" w:hAnsi="Verdana" w:cs="Arial"/>
          <w:sz w:val="16"/>
          <w:szCs w:val="16"/>
        </w:rPr>
        <w:t>Artículo 12. En lo que se refiere a la infraestructura de transporte terrestre, aeronáutica, aeroportuaria y acuática, se tendrán en cuenta las siguientes definiciones:</w:t>
      </w:r>
    </w:p>
    <w:p w14:paraId="141E2152" w14:textId="77777777" w:rsidR="0015359A" w:rsidRPr="000A1B8E" w:rsidRDefault="0015359A" w:rsidP="0015359A">
      <w:pPr>
        <w:spacing w:after="0"/>
        <w:ind w:firstLine="709"/>
        <w:jc w:val="both"/>
        <w:rPr>
          <w:rFonts w:ascii="Verdana" w:hAnsi="Verdana"/>
          <w:sz w:val="16"/>
          <w:szCs w:val="16"/>
        </w:rPr>
      </w:pPr>
      <w:r w:rsidRPr="000A1B8E">
        <w:rPr>
          <w:rFonts w:ascii="Verdana" w:hAnsi="Verdana" w:cs="Arial"/>
          <w:sz w:val="16"/>
          <w:szCs w:val="16"/>
        </w:rPr>
        <w:t>Estudios de Ingeniería. Sin perjuicio de lo previsto en la Ley</w:t>
      </w:r>
      <w:hyperlink r:id="rId1" w:anchor="Inicio">
        <w:r w:rsidRPr="000A1B8E">
          <w:rPr>
            <w:rFonts w:ascii="Verdana" w:hAnsi="Verdana" w:cs="Arial"/>
            <w:sz w:val="16"/>
            <w:szCs w:val="16"/>
          </w:rPr>
          <w:t xml:space="preserve"> 1508 </w:t>
        </w:r>
      </w:hyperlink>
      <w:r w:rsidRPr="000A1B8E">
        <w:rPr>
          <w:rFonts w:ascii="Verdana" w:hAnsi="Verdana" w:cs="Arial"/>
          <w:sz w:val="16"/>
          <w:szCs w:val="16"/>
        </w:rPr>
        <w:t>de 2012 y sus decretos reglamentarios, las siguientes definiciones deben tenerse en cuenta en la preparación de los diversos estudios de ingeniería que se adelanten para la ejecución de los proyectos de</w:t>
      </w:r>
      <w:r w:rsidRPr="000A1B8E">
        <w:rPr>
          <w:rFonts w:ascii="Verdana" w:hAnsi="Verdana" w:cs="Arial"/>
          <w:spacing w:val="-10"/>
          <w:sz w:val="16"/>
          <w:szCs w:val="16"/>
        </w:rPr>
        <w:t xml:space="preserve"> </w:t>
      </w:r>
      <w:r w:rsidRPr="000A1B8E">
        <w:rPr>
          <w:rFonts w:ascii="Verdana" w:hAnsi="Verdana" w:cs="Arial"/>
          <w:sz w:val="16"/>
          <w:szCs w:val="16"/>
        </w:rPr>
        <w:t>infraestructura:</w:t>
      </w:r>
    </w:p>
    <w:p w14:paraId="62F11144" w14:textId="77777777" w:rsidR="0015359A" w:rsidRPr="000A1B8E" w:rsidRDefault="0015359A" w:rsidP="0015359A">
      <w:pPr>
        <w:spacing w:after="0"/>
        <w:ind w:firstLine="709"/>
        <w:jc w:val="both"/>
        <w:rPr>
          <w:rFonts w:ascii="Verdana" w:hAnsi="Verdana"/>
          <w:sz w:val="16"/>
          <w:szCs w:val="16"/>
        </w:rPr>
      </w:pPr>
      <w:r w:rsidRPr="000A1B8E">
        <w:rPr>
          <w:rFonts w:ascii="Verdana" w:hAnsi="Verdana" w:cs="Arial"/>
          <w:sz w:val="16"/>
          <w:szCs w:val="16"/>
        </w:rPr>
        <w:t>Fase 1. Prefactibilidad. Es la fase en la cual se debe realizar el prediseño aproximado del proyecto, presentando alternativas y realizar la evaluación económica preliminar recurriendo a costos obtenidos en proyectos con condiciones similares, utilizando modelos de simulación debidamente aprobados por las entidades solicitantes. En esta fase se debe consultar la herramienta o base de datos que determine el Ministerio de Ambiente y Desarrollo Sostenible para tal fin, dentro de la Ventanilla Integral de Trámites Ambientales en Línea (Vital). El objetivo de la fase 1 es surtir el proceso para establecer la alternativa de trazado que a este nivel satisface en mayor medida los requisitos técnicos y financieros.</w:t>
      </w:r>
    </w:p>
    <w:p w14:paraId="55304CAC" w14:textId="77777777" w:rsidR="0015359A" w:rsidRPr="000A1B8E" w:rsidRDefault="0015359A" w:rsidP="0015359A">
      <w:pPr>
        <w:spacing w:after="0"/>
        <w:ind w:firstLine="709"/>
        <w:jc w:val="both"/>
        <w:rPr>
          <w:rFonts w:ascii="Verdana" w:hAnsi="Verdana"/>
          <w:sz w:val="16"/>
          <w:szCs w:val="16"/>
        </w:rPr>
      </w:pPr>
      <w:r w:rsidRPr="000A1B8E">
        <w:rPr>
          <w:rFonts w:ascii="Verdana" w:hAnsi="Verdana" w:cs="Arial"/>
          <w:sz w:val="16"/>
          <w:szCs w:val="16"/>
        </w:rPr>
        <w:t>Fase 2. Factibilidad. Es la fase en la cual se debe diseñar el proyecto y efectuar la evaluación económica final, mediante la simulación con el modelo aprobado por las entidades contratantes. Tiene por finalidad establecer si el proyecto es factible para su ejecución, considerando todos los aspectos relacionados con el mismo.</w:t>
      </w:r>
    </w:p>
    <w:p w14:paraId="38FA3CB3" w14:textId="77777777" w:rsidR="0015359A" w:rsidRPr="000A1B8E" w:rsidRDefault="0015359A" w:rsidP="0015359A">
      <w:pPr>
        <w:spacing w:after="0"/>
        <w:ind w:firstLine="709"/>
        <w:jc w:val="both"/>
        <w:rPr>
          <w:rFonts w:ascii="Verdana" w:hAnsi="Verdana"/>
          <w:sz w:val="16"/>
          <w:szCs w:val="16"/>
        </w:rPr>
      </w:pPr>
      <w:r w:rsidRPr="000A1B8E">
        <w:rPr>
          <w:rFonts w:ascii="Verdana" w:hAnsi="Verdana" w:cs="Arial"/>
          <w:sz w:val="16"/>
          <w:szCs w:val="16"/>
        </w:rPr>
        <w:t>En esta fase se identifican las redes, infraestructuras y activos existentes, las comunidades étnicas y el patrimonio urbano, arquitectónico, cultural y arqueológico que puedan impactar el proyecto, así como títulos mineros en procesos de adjudicación, otorgados, existentes y en explotación.</w:t>
      </w:r>
    </w:p>
    <w:p w14:paraId="72F76D2D" w14:textId="77777777" w:rsidR="0015359A" w:rsidRPr="000A1B8E" w:rsidRDefault="0015359A" w:rsidP="0015359A">
      <w:pPr>
        <w:spacing w:after="0"/>
        <w:ind w:firstLine="709"/>
        <w:jc w:val="both"/>
        <w:rPr>
          <w:rFonts w:ascii="Verdana" w:hAnsi="Verdana"/>
          <w:sz w:val="16"/>
          <w:szCs w:val="16"/>
        </w:rPr>
      </w:pPr>
      <w:r w:rsidRPr="000A1B8E">
        <w:rPr>
          <w:rFonts w:ascii="Verdana" w:hAnsi="Verdana" w:cs="Arial"/>
          <w:sz w:val="16"/>
          <w:szCs w:val="16"/>
        </w:rPr>
        <w:t>Desarrollados los estudios de factibilidad del proyecto, podrá la entidad pública o el responsable del diseño si ya fue adjudicado el proyecto, continuar con la elaboración de los diseños definitivos.</w:t>
      </w:r>
    </w:p>
    <w:p w14:paraId="1924427F" w14:textId="77777777" w:rsidR="0015359A" w:rsidRPr="000A1B8E" w:rsidRDefault="0015359A" w:rsidP="0015359A">
      <w:pPr>
        <w:spacing w:after="0"/>
        <w:ind w:firstLine="709"/>
        <w:jc w:val="both"/>
        <w:rPr>
          <w:rFonts w:ascii="Verdana" w:hAnsi="Verdana"/>
          <w:sz w:val="16"/>
          <w:szCs w:val="16"/>
        </w:rPr>
      </w:pPr>
      <w:r w:rsidRPr="000A1B8E">
        <w:rPr>
          <w:rFonts w:ascii="Verdana" w:hAnsi="Verdana" w:cs="Arial"/>
          <w:sz w:val="16"/>
          <w:szCs w:val="16"/>
        </w:rPr>
        <w:t>Finalizada esta fase de factibilidad, la entidad pública o el contratista, si ya fue adjudicado el proyecto de infraestructura de transporte, adelantará el estudio de impacto ambiental, el cual será sometido a aprobación de la autoridad ambiental quien otorgará la licencia</w:t>
      </w:r>
      <w:r w:rsidRPr="000A1B8E">
        <w:rPr>
          <w:rFonts w:ascii="Verdana" w:hAnsi="Verdana" w:cs="Arial"/>
          <w:spacing w:val="-6"/>
          <w:sz w:val="16"/>
          <w:szCs w:val="16"/>
        </w:rPr>
        <w:t xml:space="preserve"> </w:t>
      </w:r>
      <w:r w:rsidRPr="000A1B8E">
        <w:rPr>
          <w:rFonts w:ascii="Verdana" w:hAnsi="Verdana" w:cs="Arial"/>
          <w:sz w:val="16"/>
          <w:szCs w:val="16"/>
        </w:rPr>
        <w:t>respectiva.</w:t>
      </w:r>
    </w:p>
    <w:p w14:paraId="1F17D23D" w14:textId="77777777" w:rsidR="0015359A" w:rsidRPr="000A1B8E" w:rsidRDefault="0015359A" w:rsidP="0015359A">
      <w:pPr>
        <w:spacing w:after="0"/>
        <w:ind w:firstLine="708"/>
        <w:jc w:val="both"/>
        <w:rPr>
          <w:rFonts w:ascii="Verdana" w:hAnsi="Verdana" w:cs="Arial"/>
          <w:sz w:val="16"/>
          <w:szCs w:val="16"/>
        </w:rPr>
      </w:pPr>
      <w:r w:rsidRPr="000A1B8E">
        <w:rPr>
          <w:rFonts w:ascii="Verdana" w:hAnsi="Verdana" w:cs="Arial"/>
          <w:sz w:val="16"/>
          <w:szCs w:val="16"/>
        </w:rPr>
        <w:t>Fase 3. Estudios y diseños definitivos. Es la fase en la cual se deben elaborar los diseños detallados tanto geométricos como de todas las estructuras y obras que se requieran, de tal forma que un constructor pueda materializar el proyecto. El objetivo de esta fase es materializar en campo el proyecto definitivo y diseñar todos sus componentes de tal manera que se pueda dar inicio a su construcción</w:t>
      </w:r>
      <w:r>
        <w:rPr>
          <w:rFonts w:ascii="Verdana" w:hAnsi="Verdana" w:cs="Arial"/>
          <w:sz w:val="16"/>
          <w:szCs w:val="16"/>
        </w:rPr>
        <w:t>”</w:t>
      </w:r>
      <w:r w:rsidRPr="000A1B8E">
        <w:rPr>
          <w:rFonts w:ascii="Verdana" w:hAnsi="Verdana" w:cs="Arial"/>
          <w:sz w:val="16"/>
          <w:szCs w:val="16"/>
        </w:rPr>
        <w:t>.</w:t>
      </w:r>
    </w:p>
  </w:footnote>
  <w:footnote w:id="10">
    <w:p w14:paraId="6FE9284D" w14:textId="77777777" w:rsidR="0015359A" w:rsidRPr="00222C6C" w:rsidRDefault="0015359A" w:rsidP="0015359A">
      <w:pPr>
        <w:pStyle w:val="Textonotapie"/>
        <w:ind w:firstLine="709"/>
        <w:jc w:val="both"/>
        <w:rPr>
          <w:rFonts w:ascii="Verdana" w:hAnsi="Verdana" w:cs="Arial"/>
          <w:sz w:val="16"/>
          <w:szCs w:val="16"/>
        </w:rPr>
      </w:pPr>
      <w:r w:rsidRPr="000A1B8E">
        <w:rPr>
          <w:rStyle w:val="Refdenotaalpie"/>
          <w:rFonts w:ascii="Verdana" w:hAnsi="Verdana" w:cs="Arial"/>
          <w:sz w:val="16"/>
          <w:szCs w:val="16"/>
        </w:rPr>
        <w:footnoteRef/>
      </w:r>
      <w:r w:rsidRPr="000A1B8E">
        <w:rPr>
          <w:rFonts w:ascii="Verdana" w:hAnsi="Verdana" w:cs="Arial"/>
          <w:sz w:val="16"/>
          <w:szCs w:val="16"/>
        </w:rPr>
        <w:t xml:space="preserve"> Consejo de Estado, Sala de Consulta y Servicio Civil, Concepto 1439 del 18 de julio de 2002. Consejera Ponente: Susana Montes de Echeverri.</w:t>
      </w:r>
    </w:p>
  </w:footnote>
  <w:footnote w:id="11">
    <w:p w14:paraId="5EBC1060" w14:textId="77777777" w:rsidR="0015359A" w:rsidRPr="000A1B8E" w:rsidRDefault="0015359A" w:rsidP="0015359A">
      <w:pPr>
        <w:spacing w:after="0"/>
        <w:ind w:firstLine="709"/>
        <w:jc w:val="both"/>
        <w:rPr>
          <w:rFonts w:ascii="Verdana" w:hAnsi="Verdana" w:cs="Arial"/>
          <w:sz w:val="16"/>
          <w:szCs w:val="16"/>
        </w:rPr>
      </w:pPr>
      <w:r w:rsidRPr="000A1B8E">
        <w:rPr>
          <w:rStyle w:val="Refdenotaalpie"/>
          <w:rFonts w:ascii="Verdana" w:hAnsi="Verdana" w:cs="Arial"/>
          <w:sz w:val="16"/>
          <w:szCs w:val="16"/>
        </w:rPr>
        <w:footnoteRef/>
      </w:r>
      <w:r w:rsidRPr="000A1B8E">
        <w:rPr>
          <w:rFonts w:ascii="Verdana" w:hAnsi="Verdana" w:cs="Arial"/>
          <w:sz w:val="16"/>
          <w:szCs w:val="16"/>
        </w:rPr>
        <w:t xml:space="preserve"> En efecto, en el Anexo Técnico 1 de la Resolución </w:t>
      </w:r>
      <w:r>
        <w:rPr>
          <w:rFonts w:ascii="Verdana" w:hAnsi="Verdana" w:cs="Arial"/>
          <w:sz w:val="16"/>
          <w:szCs w:val="16"/>
        </w:rPr>
        <w:t>465</w:t>
      </w:r>
      <w:r w:rsidRPr="000A1B8E">
        <w:rPr>
          <w:rFonts w:ascii="Verdana" w:hAnsi="Verdana" w:cs="Arial"/>
          <w:sz w:val="16"/>
          <w:szCs w:val="16"/>
        </w:rPr>
        <w:t xml:space="preserve"> de 202</w:t>
      </w:r>
      <w:r>
        <w:rPr>
          <w:rFonts w:ascii="Verdana" w:hAnsi="Verdana" w:cs="Arial"/>
          <w:sz w:val="16"/>
          <w:szCs w:val="16"/>
        </w:rPr>
        <w:t>4</w:t>
      </w:r>
      <w:r w:rsidRPr="000A1B8E">
        <w:rPr>
          <w:rFonts w:ascii="Verdana" w:hAnsi="Verdana" w:cs="Arial"/>
          <w:sz w:val="16"/>
          <w:szCs w:val="16"/>
        </w:rPr>
        <w:t xml:space="preserve">, </w:t>
      </w:r>
      <w:r>
        <w:rPr>
          <w:rFonts w:ascii="Verdana" w:hAnsi="Verdana" w:cs="Arial"/>
          <w:sz w:val="16"/>
          <w:szCs w:val="16"/>
        </w:rPr>
        <w:t>“</w:t>
      </w:r>
      <w:r w:rsidRPr="003C569C">
        <w:rPr>
          <w:rFonts w:ascii="Verdana" w:hAnsi="Verdana" w:cs="Arial"/>
          <w:sz w:val="16"/>
          <w:szCs w:val="16"/>
        </w:rPr>
        <w:t>Poda cual se adopta la versión -4- de los Documentos Tipo para los procesos de selección de</w:t>
      </w:r>
      <w:r>
        <w:rPr>
          <w:rFonts w:ascii="Verdana" w:hAnsi="Verdana" w:cs="Arial"/>
          <w:sz w:val="16"/>
          <w:szCs w:val="16"/>
        </w:rPr>
        <w:t xml:space="preserve"> </w:t>
      </w:r>
      <w:r w:rsidRPr="003C569C">
        <w:rPr>
          <w:rFonts w:ascii="Verdana" w:hAnsi="Verdana" w:cs="Arial"/>
          <w:sz w:val="16"/>
          <w:szCs w:val="16"/>
        </w:rPr>
        <w:t>licitación de obra pública del sector de infraestructura de transporte y se deroga la Resolución 240</w:t>
      </w:r>
      <w:r>
        <w:rPr>
          <w:rFonts w:ascii="Verdana" w:hAnsi="Verdana" w:cs="Arial"/>
          <w:sz w:val="16"/>
          <w:szCs w:val="16"/>
        </w:rPr>
        <w:t xml:space="preserve"> </w:t>
      </w:r>
      <w:r w:rsidRPr="003C569C">
        <w:rPr>
          <w:rFonts w:ascii="Verdana" w:hAnsi="Verdana" w:cs="Arial"/>
          <w:sz w:val="16"/>
          <w:szCs w:val="16"/>
        </w:rPr>
        <w:t>de 2020</w:t>
      </w:r>
      <w:r>
        <w:rPr>
          <w:rFonts w:ascii="Verdana" w:hAnsi="Verdana" w:cs="Arial"/>
          <w:sz w:val="16"/>
          <w:szCs w:val="16"/>
        </w:rPr>
        <w:t>”</w:t>
      </w:r>
      <w:r w:rsidRPr="000A1B8E">
        <w:rPr>
          <w:rFonts w:ascii="Verdana" w:hAnsi="Verdana" w:cs="Arial"/>
          <w:sz w:val="16"/>
          <w:szCs w:val="16"/>
        </w:rPr>
        <w:t>, dispone que dentro de los documentos que la entidad entrega para la ejecución del contrato se encuentran los estudios y diseños que ésta posea. En este sentido, en el literal b del numeral 6 se indica lo siguiente:</w:t>
      </w:r>
    </w:p>
    <w:p w14:paraId="6FCD1D32" w14:textId="77777777" w:rsidR="0015359A" w:rsidRPr="00B83570" w:rsidRDefault="0015359A" w:rsidP="0015359A">
      <w:pPr>
        <w:spacing w:after="0"/>
        <w:ind w:firstLine="709"/>
        <w:jc w:val="both"/>
        <w:rPr>
          <w:rFonts w:ascii="Verdana" w:hAnsi="Verdana" w:cs="Arial"/>
          <w:sz w:val="16"/>
          <w:szCs w:val="16"/>
        </w:rPr>
      </w:pPr>
      <w:r>
        <w:rPr>
          <w:rFonts w:ascii="Verdana" w:hAnsi="Verdana" w:cs="Arial"/>
          <w:sz w:val="16"/>
          <w:szCs w:val="16"/>
        </w:rPr>
        <w:t>“</w:t>
      </w:r>
      <w:r w:rsidRPr="00B83570">
        <w:rPr>
          <w:rFonts w:ascii="Verdana" w:hAnsi="Verdana" w:cs="Arial"/>
          <w:sz w:val="16"/>
          <w:szCs w:val="16"/>
        </w:rPr>
        <w:t>El contratista deberá realizar lo necesario y suficiente en orden a conocer, revisar y estudiar completamente los estudios y diseños que la entidad entregue para la ejecución de las obras objeto de este contrato. En consecuencia, finalizado el plazo previsto por la entidad para la revisión de estudios y diseños [cuando aplique], si el contratista no se pronuncia en sentido contrario, se entiende que ha aceptado los estudios y diseños presentados por la entidad y asume toda la responsabilidad de los resultados para la implementación de los mismos y la ejecución de la obra contratada, con la debida calidad, garantizando la durabilidad, resistencia, estabilidad y funcionalidad de tales obras.</w:t>
      </w:r>
    </w:p>
    <w:p w14:paraId="2AE5FDB4" w14:textId="77777777" w:rsidR="0015359A" w:rsidRPr="000A1B8E" w:rsidRDefault="0015359A" w:rsidP="0015359A">
      <w:pPr>
        <w:spacing w:after="0"/>
        <w:ind w:firstLine="709"/>
        <w:jc w:val="both"/>
        <w:rPr>
          <w:rFonts w:ascii="Verdana" w:hAnsi="Verdana" w:cs="Arial"/>
          <w:color w:val="000000" w:themeColor="text1"/>
          <w:sz w:val="16"/>
          <w:szCs w:val="16"/>
        </w:rPr>
      </w:pPr>
      <w:r w:rsidRPr="00B83570">
        <w:rPr>
          <w:rFonts w:ascii="Verdana" w:hAnsi="Verdana" w:cs="Arial"/>
          <w:sz w:val="16"/>
          <w:szCs w:val="16"/>
        </w:rPr>
        <w:t>Cualquier modificación y/o adaptación y/o complementación que el contratista pretenda efectuar a los estudios y diseños deberán ser tramitadas por el contratista para su aprobación por la Interventoría, sin que ello se constituya en causa de demora en la ejecución del proyecto</w:t>
      </w:r>
      <w:r>
        <w:rPr>
          <w:rFonts w:ascii="Verdana" w:hAnsi="Verdana" w:cs="Arial"/>
          <w:color w:val="000000" w:themeColor="text1"/>
          <w:sz w:val="16"/>
          <w:szCs w:val="16"/>
        </w:rPr>
        <w:t>”</w:t>
      </w:r>
      <w:r w:rsidRPr="000A1B8E">
        <w:rPr>
          <w:rFonts w:ascii="Verdana" w:hAnsi="Verdana" w:cs="Arial"/>
          <w:color w:val="000000" w:themeColor="text1"/>
          <w:sz w:val="16"/>
          <w:szCs w:val="16"/>
        </w:rPr>
        <w:t xml:space="preserve">. </w:t>
      </w:r>
    </w:p>
  </w:footnote>
  <w:footnote w:id="12">
    <w:p w14:paraId="5442A381" w14:textId="77777777" w:rsidR="0015359A" w:rsidRPr="000A1B8E" w:rsidRDefault="0015359A" w:rsidP="0015359A">
      <w:pPr>
        <w:spacing w:after="0"/>
        <w:ind w:firstLine="707"/>
        <w:jc w:val="both"/>
        <w:rPr>
          <w:rFonts w:ascii="Verdana" w:hAnsi="Verdana" w:cs="Arial"/>
          <w:color w:val="000000" w:themeColor="text1"/>
          <w:sz w:val="16"/>
          <w:szCs w:val="16"/>
        </w:rPr>
      </w:pPr>
      <w:r w:rsidRPr="000A1B8E">
        <w:rPr>
          <w:rStyle w:val="Refdenotaalpie"/>
          <w:rFonts w:ascii="Verdana" w:hAnsi="Verdana" w:cs="Arial"/>
          <w:color w:val="000000" w:themeColor="text1"/>
          <w:sz w:val="16"/>
          <w:szCs w:val="16"/>
        </w:rPr>
        <w:footnoteRef/>
      </w:r>
      <w:r w:rsidRPr="000A1B8E">
        <w:rPr>
          <w:rFonts w:ascii="Verdana" w:hAnsi="Verdana" w:cs="Arial"/>
          <w:color w:val="000000" w:themeColor="text1"/>
          <w:sz w:val="16"/>
          <w:szCs w:val="16"/>
        </w:rPr>
        <w:t xml:space="preserve"> VALLEJO, Felipe. Responsabilidad profesional en la construcción de obras. Revista Derecho Del Estado, n.º 20 (1), 97-120. </w:t>
      </w:r>
      <w:hyperlink r:id="rId2">
        <w:r w:rsidRPr="000A1B8E">
          <w:rPr>
            <w:rFonts w:ascii="Verdana" w:hAnsi="Verdana" w:cs="Arial"/>
            <w:color w:val="000000" w:themeColor="text1"/>
            <w:sz w:val="16"/>
            <w:szCs w:val="16"/>
            <w:u w:val="single" w:color="F1F1F1"/>
          </w:rPr>
          <w:t>https://revistas.uexternado.edu.co/index.php/derest/article/view/706</w:t>
        </w:r>
        <w:r w:rsidRPr="000A1B8E">
          <w:rPr>
            <w:rFonts w:ascii="Verdana" w:hAnsi="Verdana" w:cs="Arial"/>
            <w:color w:val="000000" w:themeColor="text1"/>
            <w:sz w:val="16"/>
            <w:szCs w:val="16"/>
          </w:rPr>
          <w:t xml:space="preserve">. </w:t>
        </w:r>
      </w:hyperlink>
      <w:r w:rsidRPr="000A1B8E">
        <w:rPr>
          <w:rFonts w:ascii="Verdana" w:hAnsi="Verdana" w:cs="Arial"/>
          <w:color w:val="000000" w:themeColor="text1"/>
          <w:sz w:val="16"/>
          <w:szCs w:val="16"/>
        </w:rPr>
        <w:t>pp.</w:t>
      </w:r>
      <w:r>
        <w:rPr>
          <w:rFonts w:ascii="Verdana" w:hAnsi="Verdana" w:cs="Arial"/>
          <w:color w:val="000000" w:themeColor="text1"/>
          <w:sz w:val="16"/>
          <w:szCs w:val="16"/>
        </w:rPr>
        <w:t xml:space="preserve"> </w:t>
      </w:r>
      <w:r w:rsidRPr="000A1B8E">
        <w:rPr>
          <w:rFonts w:ascii="Verdana" w:hAnsi="Verdana" w:cs="Arial"/>
          <w:color w:val="000000" w:themeColor="text1"/>
          <w:sz w:val="16"/>
          <w:szCs w:val="16"/>
        </w:rPr>
        <w:t>106-107.</w:t>
      </w:r>
    </w:p>
  </w:footnote>
  <w:footnote w:id="13">
    <w:p w14:paraId="1B875FC9" w14:textId="77777777" w:rsidR="0015359A" w:rsidRPr="000A1B8E" w:rsidRDefault="0015359A" w:rsidP="0015359A">
      <w:pPr>
        <w:pStyle w:val="Textonotapie"/>
        <w:ind w:firstLine="709"/>
        <w:jc w:val="both"/>
        <w:rPr>
          <w:rFonts w:ascii="Verdana" w:hAnsi="Verdana" w:cs="Arial"/>
          <w:sz w:val="16"/>
          <w:szCs w:val="16"/>
          <w:lang w:val="es-ES"/>
        </w:rPr>
      </w:pPr>
      <w:r w:rsidRPr="000A1B8E">
        <w:rPr>
          <w:rStyle w:val="Refdenotaalpie"/>
          <w:rFonts w:ascii="Verdana" w:hAnsi="Verdana" w:cs="Arial"/>
          <w:sz w:val="16"/>
          <w:szCs w:val="16"/>
        </w:rPr>
        <w:footnoteRef/>
      </w:r>
      <w:r w:rsidRPr="000A1B8E">
        <w:rPr>
          <w:rFonts w:ascii="Verdana" w:hAnsi="Verdana" w:cs="Arial"/>
          <w:sz w:val="16"/>
          <w:szCs w:val="16"/>
        </w:rPr>
        <w:t xml:space="preserve"> </w:t>
      </w:r>
      <w:r w:rsidRPr="000A1B8E">
        <w:rPr>
          <w:rFonts w:ascii="Verdana" w:hAnsi="Verdana" w:cs="Arial"/>
          <w:sz w:val="16"/>
          <w:szCs w:val="16"/>
          <w:lang w:val="es-ES"/>
        </w:rPr>
        <w:t xml:space="preserve">Guía para los procesos de contratación de obra pública, expedida por Colombia Compra Eficiente. Pág 9. </w:t>
      </w:r>
    </w:p>
  </w:footnote>
  <w:footnote w:id="14">
    <w:p w14:paraId="33726648" w14:textId="77777777" w:rsidR="0015359A" w:rsidRPr="000A1B8E" w:rsidRDefault="0015359A" w:rsidP="0015359A">
      <w:pPr>
        <w:spacing w:after="0"/>
        <w:ind w:firstLine="709"/>
        <w:jc w:val="both"/>
        <w:rPr>
          <w:rFonts w:ascii="Verdana" w:hAnsi="Verdana" w:cs="Arial"/>
          <w:color w:val="000000" w:themeColor="text1"/>
          <w:sz w:val="16"/>
          <w:szCs w:val="16"/>
        </w:rPr>
      </w:pPr>
      <w:r w:rsidRPr="000A1B8E">
        <w:rPr>
          <w:rStyle w:val="Refdenotaalpie"/>
          <w:rFonts w:ascii="Verdana" w:hAnsi="Verdana" w:cs="Arial"/>
          <w:color w:val="000000" w:themeColor="text1"/>
          <w:sz w:val="16"/>
          <w:szCs w:val="16"/>
        </w:rPr>
        <w:footnoteRef/>
      </w:r>
      <w:r w:rsidRPr="000A1B8E">
        <w:rPr>
          <w:rFonts w:ascii="Verdana" w:hAnsi="Verdana" w:cs="Arial"/>
          <w:color w:val="000000" w:themeColor="text1"/>
          <w:sz w:val="16"/>
          <w:szCs w:val="16"/>
        </w:rPr>
        <w:t xml:space="preserve"> PODETTI, Humberto. El contrato de construcción. Buenos Aires: Editorial Astrea, 2004, p. 248.</w:t>
      </w:r>
    </w:p>
  </w:footnote>
  <w:footnote w:id="15">
    <w:p w14:paraId="46CA9DD7" w14:textId="77777777" w:rsidR="0015359A" w:rsidRPr="000A1B8E" w:rsidRDefault="0015359A" w:rsidP="0015359A">
      <w:pPr>
        <w:spacing w:after="0"/>
        <w:ind w:firstLine="709"/>
        <w:jc w:val="both"/>
        <w:rPr>
          <w:rFonts w:ascii="Verdana" w:hAnsi="Verdana" w:cs="Arial"/>
          <w:color w:val="000000" w:themeColor="text1"/>
          <w:sz w:val="16"/>
          <w:szCs w:val="16"/>
        </w:rPr>
      </w:pPr>
      <w:r w:rsidRPr="000A1B8E">
        <w:rPr>
          <w:rStyle w:val="Refdenotaalpie"/>
          <w:rFonts w:ascii="Verdana" w:hAnsi="Verdana" w:cs="Arial"/>
          <w:color w:val="000000" w:themeColor="text1"/>
          <w:sz w:val="16"/>
          <w:szCs w:val="16"/>
        </w:rPr>
        <w:footnoteRef/>
      </w:r>
      <w:r w:rsidRPr="000A1B8E">
        <w:rPr>
          <w:rFonts w:ascii="Verdana" w:hAnsi="Verdana" w:cs="Arial"/>
          <w:color w:val="000000" w:themeColor="text1"/>
          <w:sz w:val="16"/>
          <w:szCs w:val="16"/>
        </w:rPr>
        <w:t xml:space="preserve"> </w:t>
      </w:r>
      <w:r w:rsidRPr="000A1B8E">
        <w:rPr>
          <w:rFonts w:ascii="Verdana" w:hAnsi="Verdana" w:cs="Arial"/>
          <w:i/>
          <w:color w:val="000000" w:themeColor="text1"/>
          <w:sz w:val="16"/>
          <w:szCs w:val="16"/>
        </w:rPr>
        <w:t>Ibidem</w:t>
      </w:r>
      <w:r w:rsidRPr="000A1B8E">
        <w:rPr>
          <w:rFonts w:ascii="Verdana" w:hAnsi="Verdana" w:cs="Arial"/>
          <w:color w:val="000000" w:themeColor="text1"/>
          <w:sz w:val="16"/>
          <w:szCs w:val="16"/>
        </w:rPr>
        <w:t xml:space="preserve">., pp. 248-249. </w:t>
      </w:r>
    </w:p>
  </w:footnote>
  <w:footnote w:id="16">
    <w:p w14:paraId="66161818" w14:textId="77777777" w:rsidR="0015359A" w:rsidRPr="000A1B8E" w:rsidRDefault="0015359A" w:rsidP="0015359A">
      <w:pPr>
        <w:pStyle w:val="Textonotapie"/>
        <w:ind w:firstLine="708"/>
        <w:jc w:val="both"/>
        <w:rPr>
          <w:rFonts w:ascii="Verdana" w:hAnsi="Verdana" w:cs="Arial"/>
          <w:sz w:val="16"/>
          <w:szCs w:val="16"/>
        </w:rPr>
      </w:pPr>
      <w:r w:rsidRPr="000A1B8E">
        <w:rPr>
          <w:rStyle w:val="Refdenotaalpie"/>
          <w:rFonts w:ascii="Verdana" w:hAnsi="Verdana" w:cs="Arial"/>
          <w:sz w:val="16"/>
          <w:szCs w:val="16"/>
        </w:rPr>
        <w:footnoteRef/>
      </w:r>
      <w:r w:rsidRPr="000A1B8E">
        <w:rPr>
          <w:rFonts w:ascii="Verdana" w:hAnsi="Verdana" w:cs="Arial"/>
          <w:sz w:val="16"/>
          <w:szCs w:val="16"/>
        </w:rPr>
        <w:t xml:space="preserve"> SUÁREZ BELTRÁN, Ob. cit., p. 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1.4pt;height:11.4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BBB04B8"/>
    <w:multiLevelType w:val="hybridMultilevel"/>
    <w:tmpl w:val="8FB6A4AC"/>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1330140246">
    <w:abstractNumId w:val="0"/>
  </w:num>
  <w:num w:numId="17" w16cid:durableId="679089576">
    <w:abstractNumId w:val="10"/>
  </w:num>
  <w:num w:numId="18" w16cid:durableId="7784559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F71"/>
    <w:rsid w:val="00016F78"/>
    <w:rsid w:val="00046945"/>
    <w:rsid w:val="00061B2A"/>
    <w:rsid w:val="00082362"/>
    <w:rsid w:val="00097272"/>
    <w:rsid w:val="000A683E"/>
    <w:rsid w:val="000B19B9"/>
    <w:rsid w:val="000D0334"/>
    <w:rsid w:val="000F6486"/>
    <w:rsid w:val="00125105"/>
    <w:rsid w:val="00127233"/>
    <w:rsid w:val="00136468"/>
    <w:rsid w:val="001511A0"/>
    <w:rsid w:val="0015359A"/>
    <w:rsid w:val="001E1BDB"/>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685F"/>
    <w:rsid w:val="005566E8"/>
    <w:rsid w:val="00574867"/>
    <w:rsid w:val="00591460"/>
    <w:rsid w:val="005A221F"/>
    <w:rsid w:val="005B3816"/>
    <w:rsid w:val="005C3777"/>
    <w:rsid w:val="005C5CDC"/>
    <w:rsid w:val="005D476C"/>
    <w:rsid w:val="006219F8"/>
    <w:rsid w:val="00665D70"/>
    <w:rsid w:val="006875FE"/>
    <w:rsid w:val="006900D9"/>
    <w:rsid w:val="00706C16"/>
    <w:rsid w:val="007103C4"/>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05486"/>
    <w:rsid w:val="00923EEF"/>
    <w:rsid w:val="009419F9"/>
    <w:rsid w:val="0094536C"/>
    <w:rsid w:val="0095685E"/>
    <w:rsid w:val="00961B09"/>
    <w:rsid w:val="00965334"/>
    <w:rsid w:val="0097093E"/>
    <w:rsid w:val="00986AC5"/>
    <w:rsid w:val="009A0DFA"/>
    <w:rsid w:val="009A3D0C"/>
    <w:rsid w:val="009B2D26"/>
    <w:rsid w:val="009C71FA"/>
    <w:rsid w:val="009C72E7"/>
    <w:rsid w:val="009D3058"/>
    <w:rsid w:val="009F3A13"/>
    <w:rsid w:val="00A122D3"/>
    <w:rsid w:val="00A17F13"/>
    <w:rsid w:val="00A20739"/>
    <w:rsid w:val="00A33C78"/>
    <w:rsid w:val="00AB0ADB"/>
    <w:rsid w:val="00B01B1A"/>
    <w:rsid w:val="00B66319"/>
    <w:rsid w:val="00B72CD3"/>
    <w:rsid w:val="00B72FFF"/>
    <w:rsid w:val="00BC3D36"/>
    <w:rsid w:val="00BD7F72"/>
    <w:rsid w:val="00BE0BD5"/>
    <w:rsid w:val="00C04FB3"/>
    <w:rsid w:val="00C330EB"/>
    <w:rsid w:val="00C41061"/>
    <w:rsid w:val="00C754BE"/>
    <w:rsid w:val="00C76B1C"/>
    <w:rsid w:val="00C82232"/>
    <w:rsid w:val="00C92F0E"/>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3AA8"/>
    <w:rsid w:val="00FB5DD1"/>
    <w:rsid w:val="00FC2B5D"/>
    <w:rsid w:val="00FF1449"/>
    <w:rsid w:val="00FF700C"/>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5359A"/>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15359A"/>
    <w:rPr>
      <w:rFonts w:ascii="Geomanist Light" w:hAnsi="Geomanist Light"/>
      <w:lang w:val="es-ES"/>
    </w:rPr>
  </w:style>
  <w:style w:type="character" w:customStyle="1" w:styleId="s15">
    <w:name w:val="s15"/>
    <w:basedOn w:val="Fuentedeprrafopredeter"/>
    <w:rsid w:val="0015359A"/>
  </w:style>
  <w:style w:type="character" w:customStyle="1" w:styleId="apple-converted-space">
    <w:name w:val="apple-converted-space"/>
    <w:basedOn w:val="Fuentedeprrafopredeter"/>
    <w:rsid w:val="0015359A"/>
  </w:style>
  <w:style w:type="paragraph" w:styleId="Textoindependiente">
    <w:name w:val="Body Text"/>
    <w:basedOn w:val="Normal"/>
    <w:link w:val="TextoindependienteCar"/>
    <w:uiPriority w:val="1"/>
    <w:qFormat/>
    <w:rsid w:val="0015359A"/>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15359A"/>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06939">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lian.acero@unimilitar.edu.c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revistas.uexternado.edu.co/index.php/derest/article/view/706" TargetMode="External"/><Relationship Id="rId1" Type="http://schemas.openxmlformats.org/officeDocument/2006/relationships/hyperlink" Target="http://www.secretariasenado.gov.co/senado/basedoc/ley_1508_2012.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592fe157-d5c2-474d-aeb4-2e8e8fcba8d3"/>
    <ds:schemaRef ds:uri="8ae15d26-076e-464e-81a7-6f76a0fb3917"/>
  </ds:schemaRefs>
</ds:datastoreItem>
</file>

<file path=customXml/itemProps3.xml><?xml version="1.0" encoding="utf-8"?>
<ds:datastoreItem xmlns:ds="http://schemas.openxmlformats.org/officeDocument/2006/customXml" ds:itemID="{E35B6D3E-69D1-4DF4-A136-47050A2DFC84}"/>
</file>

<file path=docProps/app.xml><?xml version="1.0" encoding="utf-8"?>
<Properties xmlns="http://schemas.openxmlformats.org/officeDocument/2006/extended-properties" xmlns:vt="http://schemas.openxmlformats.org/officeDocument/2006/docPropsVTypes">
  <Template>Normal.dotm</Template>
  <TotalTime>3</TotalTime>
  <Pages>15</Pages>
  <Words>4509</Words>
  <Characters>24805</Characters>
  <Application>Microsoft Office Word</Application>
  <DocSecurity>0</DocSecurity>
  <Lines>206</Lines>
  <Paragraphs>58</Paragraphs>
  <ScaleCrop>false</ScaleCrop>
  <Company/>
  <LinksUpToDate>false</LinksUpToDate>
  <CharactersWithSpaces>29256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4</cp:revision>
  <cp:lastPrinted>2023-01-10T21:18:00Z</cp:lastPrinted>
  <dcterms:created xsi:type="dcterms:W3CDTF">2025-07-16T03:05:00Z</dcterms:created>
  <dcterms:modified xsi:type="dcterms:W3CDTF">2025-07-16T12:43:00Z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