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AB44" w14:textId="77777777" w:rsidR="008F4E35" w:rsidRPr="00BB73C5" w:rsidRDefault="008F4E35" w:rsidP="008F4E35">
      <w:pPr>
        <w:spacing w:after="0" w:line="240" w:lineRule="auto"/>
        <w:jc w:val="both"/>
        <w:rPr>
          <w:rFonts w:ascii="Verdana" w:hAnsi="Verdana" w:cs="Arial"/>
          <w:b/>
          <w:lang w:val="es-MX"/>
        </w:rPr>
      </w:pPr>
      <w:bookmarkStart w:id="0" w:name="_Hlk143780582"/>
      <w:r w:rsidRPr="00BB73C5">
        <w:rPr>
          <w:rFonts w:ascii="Verdana" w:hAnsi="Verdana" w:cs="Arial"/>
          <w:b/>
          <w:lang w:val="es-MX"/>
        </w:rPr>
        <w:t xml:space="preserve">INHABILIDADES E INCOMPATIBILIDADES ─ Definición ─ fundamento – clases </w:t>
      </w:r>
    </w:p>
    <w:p w14:paraId="0F182533" w14:textId="77777777" w:rsidR="008F4E35" w:rsidRDefault="008F4E35" w:rsidP="008F4E35">
      <w:pPr>
        <w:spacing w:after="0" w:line="240" w:lineRule="auto"/>
        <w:jc w:val="both"/>
        <w:rPr>
          <w:rFonts w:ascii="Verdana" w:hAnsi="Verdana" w:cs="Arial"/>
          <w:b/>
          <w:lang w:val="es-MX"/>
        </w:rPr>
      </w:pPr>
    </w:p>
    <w:p w14:paraId="2C57D2AC" w14:textId="77777777" w:rsidR="008F4E35" w:rsidRPr="00BB73C5" w:rsidRDefault="008F4E35" w:rsidP="008F4E35">
      <w:pPr>
        <w:spacing w:after="0" w:line="240" w:lineRule="auto"/>
        <w:jc w:val="both"/>
        <w:rPr>
          <w:rFonts w:ascii="Verdana" w:hAnsi="Verdana" w:cs="Arial"/>
          <w:sz w:val="20"/>
          <w:lang w:val="es-MX"/>
        </w:rPr>
      </w:pPr>
      <w:r w:rsidRPr="00BB73C5">
        <w:rPr>
          <w:rFonts w:ascii="Verdana" w:hAnsi="Verdana" w:cs="Arial"/>
          <w:sz w:val="20"/>
          <w:lang w:val="es-MX"/>
        </w:rPr>
        <w:t>Las inhabilidades e incompatibilidades pueden enfocarse en varios asuntos: en primer lugar, se encuentran las inhabilidades e incompatibilidades que impiden que u</w:t>
      </w:r>
      <w:proofErr w:type="spellStart"/>
      <w:r w:rsidRPr="00BB73C5">
        <w:rPr>
          <w:rFonts w:ascii="Verdana" w:hAnsi="Verdana" w:cs="Arial"/>
          <w:sz w:val="20"/>
        </w:rPr>
        <w:t>na</w:t>
      </w:r>
      <w:proofErr w:type="spellEnd"/>
      <w:r w:rsidRPr="00BB73C5">
        <w:rPr>
          <w:rFonts w:ascii="Verdana" w:hAnsi="Verdana" w:cs="Arial"/>
          <w:sz w:val="20"/>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BB73C5">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sidRPr="00BB73C5">
        <w:rPr>
          <w:rFonts w:ascii="Verdana" w:hAnsi="Verdana" w:cs="Arial"/>
          <w:sz w:val="20"/>
          <w:lang w:val="es-MX"/>
        </w:rPr>
        <w:t>De acuerdo a</w:t>
      </w:r>
      <w:proofErr w:type="gramEnd"/>
      <w:r w:rsidRPr="00BB73C5">
        <w:rPr>
          <w:rFonts w:ascii="Verdana" w:hAnsi="Verdana" w:cs="Arial"/>
          <w:sz w:val="20"/>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4039CC5A" w14:textId="77777777" w:rsidR="008F4E35" w:rsidRPr="00BB73C5" w:rsidRDefault="008F4E35" w:rsidP="008F4E35">
      <w:pPr>
        <w:spacing w:after="0" w:line="240" w:lineRule="auto"/>
        <w:jc w:val="both"/>
        <w:rPr>
          <w:rFonts w:ascii="Verdana" w:hAnsi="Verdana" w:cs="Arial"/>
          <w:b/>
          <w:lang w:val="es-MX"/>
        </w:rPr>
      </w:pPr>
    </w:p>
    <w:p w14:paraId="0461778F" w14:textId="77777777" w:rsidR="008F4E35" w:rsidRPr="00BB73C5" w:rsidRDefault="008F4E35" w:rsidP="008F4E35">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Finalidad ─ Limitación capacidad contractual </w:t>
      </w:r>
    </w:p>
    <w:p w14:paraId="2A345AC7" w14:textId="77777777" w:rsidR="008F4E35" w:rsidRDefault="008F4E35" w:rsidP="008F4E35">
      <w:pPr>
        <w:spacing w:after="0" w:line="240" w:lineRule="auto"/>
        <w:jc w:val="both"/>
        <w:rPr>
          <w:rFonts w:ascii="Verdana" w:hAnsi="Verdana" w:cs="Arial"/>
          <w:b/>
          <w:lang w:val="es-MX"/>
        </w:rPr>
      </w:pPr>
    </w:p>
    <w:p w14:paraId="358B561E" w14:textId="77777777" w:rsidR="008F4E35" w:rsidRPr="00B23D14" w:rsidRDefault="008F4E35" w:rsidP="008F4E35">
      <w:pPr>
        <w:spacing w:after="0" w:line="240" w:lineRule="auto"/>
        <w:jc w:val="both"/>
        <w:rPr>
          <w:rFonts w:ascii="Verdana" w:eastAsia="Calibri" w:hAnsi="Verdana" w:cs="Arial"/>
          <w:sz w:val="20"/>
          <w:lang w:val="es-MX"/>
        </w:rPr>
      </w:pPr>
      <w:r w:rsidRPr="00B23D14">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3D737DDD" w14:textId="77777777" w:rsidR="008F4E35" w:rsidRPr="00BB73C5" w:rsidRDefault="008F4E35" w:rsidP="008F4E35">
      <w:pPr>
        <w:spacing w:after="0" w:line="240" w:lineRule="auto"/>
        <w:jc w:val="both"/>
        <w:rPr>
          <w:rFonts w:ascii="Verdana" w:hAnsi="Verdana" w:cs="Arial"/>
          <w:b/>
          <w:lang w:val="es-MX"/>
        </w:rPr>
      </w:pPr>
    </w:p>
    <w:p w14:paraId="12B04D45" w14:textId="77777777" w:rsidR="008F4E35" w:rsidRPr="00BB73C5" w:rsidRDefault="008F4E35" w:rsidP="008F4E35">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10911C92" w14:textId="77777777" w:rsidR="008F4E35" w:rsidRDefault="008F4E35" w:rsidP="008F4E35">
      <w:pPr>
        <w:spacing w:after="0" w:line="240" w:lineRule="auto"/>
        <w:jc w:val="both"/>
        <w:rPr>
          <w:rFonts w:ascii="Verdana" w:hAnsi="Verdana" w:cs="Arial"/>
          <w:b/>
          <w:lang w:val="es-ES_tradnl"/>
        </w:rPr>
      </w:pPr>
    </w:p>
    <w:p w14:paraId="2A01D1FA" w14:textId="77777777" w:rsidR="008F4E35" w:rsidRDefault="008F4E35" w:rsidP="008F4E35">
      <w:pPr>
        <w:spacing w:after="0" w:line="240" w:lineRule="auto"/>
        <w:jc w:val="both"/>
        <w:rPr>
          <w:rFonts w:ascii="Verdana" w:hAnsi="Verdana" w:cs="Arial"/>
          <w:sz w:val="20"/>
          <w:lang w:val="es-ES_tradnl"/>
        </w:rPr>
      </w:pPr>
      <w:r w:rsidRPr="00B23D14">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B23D14">
        <w:rPr>
          <w:rFonts w:ascii="Verdana" w:hAnsi="Verdana" w:cs="Arial"/>
          <w:i/>
          <w:iCs/>
          <w:sz w:val="20"/>
          <w:lang w:val="es-ES_tradnl"/>
        </w:rPr>
        <w:t xml:space="preserve">restrictiva, </w:t>
      </w:r>
      <w:r w:rsidRPr="00B23D14">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22E11B7E" w14:textId="77777777" w:rsidR="008F4E35" w:rsidRPr="00B23D14" w:rsidRDefault="008F4E35" w:rsidP="008F4E35">
      <w:pPr>
        <w:spacing w:after="0" w:line="240" w:lineRule="auto"/>
        <w:jc w:val="both"/>
        <w:rPr>
          <w:rFonts w:ascii="Verdana" w:hAnsi="Verdana" w:cs="Arial"/>
          <w:sz w:val="20"/>
          <w:lang w:val="es-ES_tradnl"/>
        </w:rPr>
      </w:pPr>
    </w:p>
    <w:p w14:paraId="30E8890A" w14:textId="77777777" w:rsidR="008F4E35" w:rsidRDefault="008F4E35" w:rsidP="008F4E35">
      <w:pPr>
        <w:spacing w:after="0" w:line="240" w:lineRule="auto"/>
        <w:jc w:val="both"/>
        <w:rPr>
          <w:rFonts w:ascii="Verdana" w:hAnsi="Verdana" w:cs="Arial"/>
          <w:sz w:val="20"/>
          <w:lang w:val="es-ES_tradnl"/>
        </w:rPr>
      </w:pPr>
      <w:r w:rsidRPr="00B23D14">
        <w:rPr>
          <w:rFonts w:ascii="Verdana" w:hAnsi="Verdana" w:cs="Arial"/>
          <w:sz w:val="20"/>
          <w:lang w:val="es-ES_tradnl"/>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w:t>
      </w:r>
      <w:r w:rsidRPr="00B23D14">
        <w:rPr>
          <w:rFonts w:ascii="Verdana" w:hAnsi="Verdana" w:cs="Arial"/>
          <w:sz w:val="20"/>
          <w:lang w:val="es-ES_tradnl"/>
        </w:rPr>
        <w:lastRenderedPageBreak/>
        <w:t>enunciados normativos, sin que pueda acudir prima facie a criterios interpretativos tales como la analogía, la interpretación extensiva para ampliar el alcance de las causales legalmente fijadas”</w:t>
      </w:r>
      <w:r>
        <w:rPr>
          <w:rFonts w:ascii="Verdana" w:hAnsi="Verdana" w:cs="Arial"/>
          <w:sz w:val="20"/>
          <w:lang w:val="es-ES_tradnl"/>
        </w:rPr>
        <w:t>.</w:t>
      </w:r>
    </w:p>
    <w:p w14:paraId="6B522831" w14:textId="10BF0CE0" w:rsidR="008F4E35" w:rsidRPr="008F4E35" w:rsidRDefault="008F4E35" w:rsidP="008F4E35">
      <w:pPr>
        <w:spacing w:after="0"/>
        <w:jc w:val="both"/>
        <w:rPr>
          <w:rFonts w:ascii="Verdana" w:hAnsi="Verdana"/>
          <w:b/>
        </w:rPr>
      </w:pPr>
    </w:p>
    <w:p w14:paraId="696C70D5" w14:textId="77777777" w:rsidR="008F4E35" w:rsidRPr="008F4E35" w:rsidRDefault="008F4E35" w:rsidP="008F4E35">
      <w:pPr>
        <w:spacing w:after="0"/>
        <w:jc w:val="both"/>
        <w:rPr>
          <w:rFonts w:ascii="Verdana" w:hAnsi="Verdana" w:cs="Arial"/>
          <w:b/>
        </w:rPr>
      </w:pPr>
      <w:r w:rsidRPr="008F4E35">
        <w:rPr>
          <w:rFonts w:ascii="Verdana" w:hAnsi="Verdana" w:cs="Arial"/>
          <w:b/>
        </w:rPr>
        <w:t xml:space="preserve">RÉGIMEN DE INHABILIDADES – Registro nacional de medidas correctivas – No pago de multas – Limitación para contratar </w:t>
      </w:r>
    </w:p>
    <w:p w14:paraId="57351A85" w14:textId="77777777" w:rsidR="008F4E35" w:rsidRDefault="008F4E35" w:rsidP="008F4E35">
      <w:pPr>
        <w:widowControl w:val="0"/>
        <w:autoSpaceDE w:val="0"/>
        <w:autoSpaceDN w:val="0"/>
        <w:spacing w:after="0" w:line="240" w:lineRule="auto"/>
        <w:jc w:val="both"/>
        <w:rPr>
          <w:rFonts w:ascii="Verdana" w:hAnsi="Verdana" w:cs="Arial"/>
          <w:sz w:val="20"/>
        </w:rPr>
      </w:pPr>
    </w:p>
    <w:p w14:paraId="5CFDF4BE" w14:textId="5CE1A2F3" w:rsidR="008F4E35" w:rsidRPr="008F4E35" w:rsidRDefault="008F4E35" w:rsidP="008F4E35">
      <w:pPr>
        <w:widowControl w:val="0"/>
        <w:autoSpaceDE w:val="0"/>
        <w:autoSpaceDN w:val="0"/>
        <w:spacing w:after="0" w:line="240" w:lineRule="auto"/>
        <w:jc w:val="both"/>
        <w:rPr>
          <w:rFonts w:ascii="Verdana" w:eastAsia="Calibri" w:hAnsi="Verdana" w:cs="Arial"/>
          <w:sz w:val="20"/>
          <w:shd w:val="clear" w:color="auto" w:fill="FFFFFF"/>
        </w:rPr>
      </w:pPr>
      <w:r w:rsidRPr="008F4E35">
        <w:rPr>
          <w:rFonts w:ascii="Verdana" w:hAnsi="Verdana" w:cs="Arial"/>
          <w:sz w:val="20"/>
        </w:rPr>
        <w:t xml:space="preserve">[…] </w:t>
      </w:r>
      <w:r w:rsidRPr="008F4E35">
        <w:rPr>
          <w:rFonts w:ascii="Verdana" w:eastAsia="Calibri" w:hAnsi="Verdana" w:cs="Arial"/>
          <w:sz w:val="20"/>
          <w:shd w:val="clear" w:color="auto" w:fill="FFFFFF"/>
        </w:rPr>
        <w:t>es preciso indicar que, al analizarse el régimen de inhabilidades, se observa que el solo reporte en el Registro Nacional de Medidas Correctivas no genera per se una causal inhabilidad para celebrar contratos con las entidades públicas, puesto que, de acuerdo con el artículo 2.2.8.3.1 del Decreto 1070 de 2015 adicionado por el Decreto 1284 de 2017 “</w:t>
      </w:r>
      <w:r w:rsidRPr="008F4E35">
        <w:rPr>
          <w:rFonts w:ascii="Verdana" w:eastAsia="Calibri" w:hAnsi="Verdana" w:cs="Arial"/>
          <w:bCs/>
          <w:sz w:val="20"/>
          <w:shd w:val="clear" w:color="auto" w:fill="FFFFFF"/>
        </w:rPr>
        <w:t>por medio del cual se adiciona el Título 8 a la Parte 2 del Libro 2 del Decreto 1070 de 2015 ´Decreto Único Reglamentario del Sector Administrativo de Defensa´, para reglamentar parcialmente el Código Nacional de Policía y Convivencia</w:t>
      </w:r>
      <w:r w:rsidRPr="008F4E35">
        <w:rPr>
          <w:rFonts w:ascii="Verdana" w:eastAsia="Calibri" w:hAnsi="Verdana" w:cs="Arial"/>
          <w:sz w:val="20"/>
        </w:rPr>
        <w:t>”, es un sistema a cargo de la Policía Nacional que tiene como objetivo recolectar información sobre la persona infractora de un comportamiento contrario a la convivencia, el tipo de medida correctiva impuesta, el estado de pago de la multa o el cumplimiento de la medida correctiva.</w:t>
      </w:r>
    </w:p>
    <w:p w14:paraId="6768E0EF" w14:textId="77777777" w:rsidR="008F4E35" w:rsidRDefault="008F4E35" w:rsidP="008F4E35">
      <w:pPr>
        <w:widowControl w:val="0"/>
        <w:autoSpaceDE w:val="0"/>
        <w:autoSpaceDN w:val="0"/>
        <w:spacing w:after="0" w:line="240" w:lineRule="auto"/>
        <w:jc w:val="both"/>
        <w:rPr>
          <w:rFonts w:ascii="Verdana" w:eastAsia="Calibri" w:hAnsi="Verdana" w:cs="Arial"/>
          <w:sz w:val="20"/>
        </w:rPr>
      </w:pPr>
    </w:p>
    <w:p w14:paraId="15A30FE4" w14:textId="1990E9DF" w:rsidR="008F4E35" w:rsidRPr="008F4E35" w:rsidRDefault="008F4E35" w:rsidP="008F4E35">
      <w:pPr>
        <w:widowControl w:val="0"/>
        <w:autoSpaceDE w:val="0"/>
        <w:autoSpaceDN w:val="0"/>
        <w:spacing w:after="0" w:line="240" w:lineRule="auto"/>
        <w:jc w:val="both"/>
        <w:rPr>
          <w:rFonts w:ascii="Verdana" w:eastAsia="Calibri" w:hAnsi="Verdana" w:cs="Arial"/>
          <w:sz w:val="20"/>
        </w:rPr>
      </w:pPr>
      <w:r w:rsidRPr="008F4E35">
        <w:rPr>
          <w:rFonts w:ascii="Verdana" w:eastAsia="Calibri" w:hAnsi="Verdana" w:cs="Arial"/>
          <w:sz w:val="20"/>
        </w:rPr>
        <w:t xml:space="preserve">Sin embargo, debe precisarse que, en caso de que la persona a la cual se le haya impuesto como medida correctiva el pago de multas y esta se encuentre en mora por un término de seis (6) meses, el numeral 4 del artículo 183 de la Ley 1801 de 2016 por la cual se expide el Código Nacional de Seguridad y Convivencia Ciudadana, establece como consecuencia de dicha mora en el pago, que “hasta tanto no se ponga al día la persona no podrá: […] Contratar o renovar contrato con cualquier entidad del Estado”. Entonces se constituye, lo anterior, como una causal de inhabilidad prevista en la ley para celebrar o renovar contratos con las entidades públicas. </w:t>
      </w:r>
    </w:p>
    <w:p w14:paraId="2ACA9FB7" w14:textId="31A7372F" w:rsidR="008F4E35" w:rsidRPr="008F4E35" w:rsidRDefault="008F4E35" w:rsidP="008F4E35">
      <w:pPr>
        <w:spacing w:after="0"/>
        <w:rPr>
          <w:rFonts w:ascii="Verdana" w:eastAsia="Calibri" w:hAnsi="Verdana" w:cs="Arial"/>
          <w:b/>
        </w:rPr>
      </w:pPr>
    </w:p>
    <w:p w14:paraId="0C5DB3D0" w14:textId="0488BCA9" w:rsidR="008F4E35" w:rsidRDefault="008F4E35" w:rsidP="008F4E35">
      <w:pPr>
        <w:spacing w:after="0"/>
        <w:rPr>
          <w:rFonts w:ascii="Verdana" w:hAnsi="Verdana" w:cs="Arial"/>
          <w:b/>
        </w:rPr>
      </w:pPr>
      <w:r w:rsidRPr="008F4E35">
        <w:rPr>
          <w:rFonts w:ascii="Verdana" w:hAnsi="Verdana" w:cs="Arial"/>
          <w:b/>
        </w:rPr>
        <w:t>MEDIDA CORRECTI</w:t>
      </w:r>
      <w:r>
        <w:rPr>
          <w:rFonts w:ascii="Verdana" w:hAnsi="Verdana" w:cs="Arial"/>
          <w:b/>
        </w:rPr>
        <w:t>VA – Interpretación restrictiva</w:t>
      </w:r>
    </w:p>
    <w:p w14:paraId="0CBA43F7" w14:textId="5918EFD3" w:rsidR="008F4E35" w:rsidRDefault="008F4E35" w:rsidP="008F4E35">
      <w:pPr>
        <w:spacing w:after="0"/>
        <w:rPr>
          <w:rFonts w:ascii="Verdana" w:hAnsi="Verdana"/>
          <w:b/>
        </w:rPr>
      </w:pPr>
    </w:p>
    <w:p w14:paraId="3AF20913" w14:textId="330E0A6A" w:rsidR="008F4E35" w:rsidRPr="008F4E35" w:rsidRDefault="008F4E35" w:rsidP="008F4E35">
      <w:pPr>
        <w:spacing w:after="0" w:line="240" w:lineRule="auto"/>
        <w:jc w:val="both"/>
        <w:rPr>
          <w:rFonts w:ascii="Verdana" w:hAnsi="Verdana"/>
          <w:sz w:val="20"/>
        </w:rPr>
      </w:pPr>
      <w:r w:rsidRPr="008F4E35">
        <w:rPr>
          <w:rFonts w:ascii="Verdana" w:hAnsi="Verdana"/>
          <w:sz w:val="20"/>
        </w:rPr>
        <w:t xml:space="preserve">[…] la inhabilidad para contratar con las entidades estatales se limita al no pago de la multa transcurridos seis meses desde la fecha de imposición de esta, con sus debidos intereses, </w:t>
      </w:r>
      <w:proofErr w:type="gramStart"/>
      <w:r w:rsidRPr="008F4E35">
        <w:rPr>
          <w:rFonts w:ascii="Verdana" w:hAnsi="Verdana"/>
          <w:sz w:val="20"/>
        </w:rPr>
        <w:t>y</w:t>
      </w:r>
      <w:proofErr w:type="gramEnd"/>
      <w:r w:rsidRPr="008F4E35">
        <w:rPr>
          <w:rFonts w:ascii="Verdana" w:hAnsi="Verdana"/>
          <w:sz w:val="20"/>
        </w:rPr>
        <w:t xml:space="preserve"> por tanto, no es posible aplicar estos mismos efectos a las diferentes medidas correctivas prescritas en la Ley 1801 de 2016. En efecto</w:t>
      </w:r>
      <w:r w:rsidRPr="008F4E35">
        <w:rPr>
          <w:rFonts w:ascii="Verdana" w:hAnsi="Verdana"/>
          <w:bCs/>
          <w:sz w:val="20"/>
        </w:rPr>
        <w:t>, es importante recordar que no es permitido hacer una interpretación extensiva de los efectos jurídicos de inhabilidades e incompatibilidades, en cuanto a las medidas correctivas diferentes a la multa, para la celebración de contratos estatales, 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medida correctiva implica restricciones para contratar con el Estado.</w:t>
      </w:r>
    </w:p>
    <w:p w14:paraId="2CB558E8" w14:textId="62DEA109" w:rsidR="008F4E35" w:rsidRDefault="008F4E35" w:rsidP="008F4E35">
      <w:pPr>
        <w:spacing w:after="0"/>
        <w:rPr>
          <w:rFonts w:ascii="Verdana" w:hAnsi="Verdana"/>
          <w:b/>
        </w:rPr>
      </w:pPr>
    </w:p>
    <w:p w14:paraId="11D4C82A" w14:textId="0E5910C7" w:rsidR="008F4E35" w:rsidRDefault="008F4E35" w:rsidP="008F4E35">
      <w:pPr>
        <w:spacing w:after="0"/>
        <w:rPr>
          <w:rFonts w:ascii="Verdana" w:hAnsi="Verdana"/>
          <w:b/>
        </w:rPr>
      </w:pPr>
    </w:p>
    <w:p w14:paraId="09E567AE" w14:textId="13D8740D" w:rsidR="008F4E35" w:rsidRDefault="008F4E35" w:rsidP="008F4E35">
      <w:pPr>
        <w:spacing w:after="0"/>
        <w:rPr>
          <w:rFonts w:ascii="Verdana" w:hAnsi="Verdana"/>
          <w:b/>
        </w:rPr>
      </w:pPr>
    </w:p>
    <w:p w14:paraId="71E8BFDB" w14:textId="675137BF" w:rsidR="008F4E35" w:rsidRDefault="008F4E35" w:rsidP="008F4E35">
      <w:pPr>
        <w:spacing w:after="0"/>
        <w:rPr>
          <w:rFonts w:ascii="Verdana" w:hAnsi="Verdana"/>
          <w:b/>
        </w:rPr>
      </w:pPr>
    </w:p>
    <w:p w14:paraId="31D48B9B" w14:textId="77777777" w:rsidR="008F4E35" w:rsidRPr="008F4E35" w:rsidRDefault="008F4E35" w:rsidP="008F4E35">
      <w:pPr>
        <w:spacing w:after="0"/>
        <w:rPr>
          <w:rFonts w:ascii="Verdana" w:hAnsi="Verdana"/>
          <w:b/>
        </w:rPr>
      </w:pPr>
    </w:p>
    <w:p w14:paraId="1A497B05" w14:textId="545DD041" w:rsidR="00344AF0" w:rsidRPr="0044528D" w:rsidRDefault="008F4E35" w:rsidP="00344AF0">
      <w:pPr>
        <w:spacing w:after="0"/>
        <w:rPr>
          <w:rFonts w:ascii="Verdana" w:hAnsi="Verdana"/>
        </w:rPr>
      </w:pPr>
      <w:r w:rsidRPr="008F4E35">
        <w:rPr>
          <w:rFonts w:ascii="Verdana" w:hAnsi="Verdana"/>
          <w:noProof/>
          <w:lang w:val="en-US"/>
        </w:rPr>
        <w:lastRenderedPageBreak/>
        <w:drawing>
          <wp:anchor distT="0" distB="0" distL="114300" distR="114300" simplePos="0" relativeHeight="251658240" behindDoc="0" locked="0" layoutInCell="1" allowOverlap="1" wp14:anchorId="7B8DB138" wp14:editId="2BE0C875">
            <wp:simplePos x="0" y="0"/>
            <wp:positionH relativeFrom="column">
              <wp:posOffset>2823845</wp:posOffset>
            </wp:positionH>
            <wp:positionV relativeFrom="paragraph">
              <wp:posOffset>100330</wp:posOffset>
            </wp:positionV>
            <wp:extent cx="2755265" cy="749935"/>
            <wp:effectExtent l="0" t="0" r="698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5265" cy="749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AF0" w:rsidRPr="0044528D">
        <w:rPr>
          <w:rFonts w:ascii="Verdana" w:hAnsi="Verdana"/>
        </w:rPr>
        <w:t>Bogotá D.C.,</w:t>
      </w:r>
      <w:r>
        <w:rPr>
          <w:rFonts w:ascii="Verdana" w:hAnsi="Verdana"/>
        </w:rPr>
        <w:t xml:space="preserve"> 14 de agosto de 2025 </w:t>
      </w:r>
      <w:r w:rsidR="00344AF0" w:rsidRPr="0044528D">
        <w:rPr>
          <w:rFonts w:ascii="Verdana" w:hAnsi="Verdana"/>
        </w:rPr>
        <w:tab/>
      </w:r>
    </w:p>
    <w:p w14:paraId="10012238" w14:textId="77777777" w:rsidR="00344AF0" w:rsidRPr="008D01FC" w:rsidRDefault="00344AF0" w:rsidP="00344AF0">
      <w:pPr>
        <w:spacing w:after="0"/>
        <w:rPr>
          <w:rFonts w:ascii="Verdana" w:hAnsi="Verdana"/>
        </w:rPr>
      </w:pPr>
    </w:p>
    <w:p w14:paraId="168A890D" w14:textId="77777777" w:rsidR="00344AF0" w:rsidRPr="0060163E" w:rsidRDefault="00344AF0" w:rsidP="00344AF0">
      <w:pPr>
        <w:spacing w:after="0"/>
        <w:rPr>
          <w:rFonts w:ascii="Verdana" w:hAnsi="Verdana"/>
        </w:rPr>
      </w:pPr>
    </w:p>
    <w:p w14:paraId="5BB86EDE" w14:textId="77777777" w:rsidR="00344AF0" w:rsidRPr="0060163E" w:rsidRDefault="00344AF0" w:rsidP="00344AF0">
      <w:pPr>
        <w:spacing w:after="0" w:line="240" w:lineRule="auto"/>
        <w:rPr>
          <w:rFonts w:ascii="Verdana" w:eastAsia="Calibri" w:hAnsi="Verdana" w:cs="Times New Roman"/>
          <w:lang w:val="es-MX"/>
        </w:rPr>
      </w:pPr>
      <w:r w:rsidRPr="0060163E">
        <w:rPr>
          <w:rFonts w:ascii="Verdana" w:eastAsia="Calibri" w:hAnsi="Verdana" w:cs="Times New Roman"/>
          <w:lang w:val="es-MX"/>
        </w:rPr>
        <w:t>Señor</w:t>
      </w:r>
    </w:p>
    <w:p w14:paraId="4D822EDD" w14:textId="77777777" w:rsidR="00344AF0" w:rsidRPr="008D2C61" w:rsidRDefault="00344AF0" w:rsidP="00344AF0">
      <w:pPr>
        <w:spacing w:after="0" w:line="240" w:lineRule="auto"/>
        <w:rPr>
          <w:rFonts w:ascii="Verdana" w:eastAsia="Calibri" w:hAnsi="Verdana" w:cs="Times New Roman"/>
          <w:b/>
        </w:rPr>
      </w:pPr>
      <w:r>
        <w:rPr>
          <w:rFonts w:ascii="Verdana" w:eastAsia="Calibri" w:hAnsi="Verdana" w:cs="Times New Roman"/>
          <w:b/>
        </w:rPr>
        <w:t>Leandro Arturo Valle Henao</w:t>
      </w:r>
    </w:p>
    <w:p w14:paraId="164CA390" w14:textId="77777777" w:rsidR="00344AF0" w:rsidRPr="001E701A" w:rsidRDefault="00344AF0" w:rsidP="00344AF0">
      <w:pPr>
        <w:spacing w:after="0" w:line="240" w:lineRule="auto"/>
        <w:rPr>
          <w:rFonts w:ascii="Verdana" w:eastAsia="Calibri" w:hAnsi="Verdana" w:cs="Times New Roman"/>
        </w:rPr>
      </w:pPr>
      <w:hyperlink r:id="rId12" w:history="1">
        <w:r w:rsidRPr="001E701A">
          <w:rPr>
            <w:rStyle w:val="Hipervnculo"/>
            <w:rFonts w:ascii="Verdana" w:eastAsia="Calibri" w:hAnsi="Verdana" w:cs="Times New Roman"/>
          </w:rPr>
          <w:t>leandro.valle.h@gmail.com</w:t>
        </w:r>
      </w:hyperlink>
      <w:r w:rsidRPr="001E701A">
        <w:rPr>
          <w:rFonts w:ascii="Verdana" w:eastAsia="Calibri" w:hAnsi="Verdana" w:cs="Times New Roman"/>
        </w:rPr>
        <w:t xml:space="preserve"> </w:t>
      </w:r>
    </w:p>
    <w:p w14:paraId="152B8589" w14:textId="77777777" w:rsidR="00344AF0" w:rsidRPr="007521C8" w:rsidRDefault="00344AF0" w:rsidP="00344AF0">
      <w:pPr>
        <w:spacing w:after="0" w:line="240" w:lineRule="auto"/>
        <w:rPr>
          <w:rFonts w:ascii="Verdana" w:eastAsia="Calibri" w:hAnsi="Verdana" w:cs="Times New Roman"/>
        </w:rPr>
      </w:pPr>
      <w:r w:rsidRPr="007521C8">
        <w:rPr>
          <w:rFonts w:ascii="Verdana" w:eastAsia="Calibri" w:hAnsi="Verdana" w:cs="Times New Roman"/>
        </w:rPr>
        <w:t xml:space="preserve">Bogotá D.C. </w:t>
      </w:r>
    </w:p>
    <w:p w14:paraId="41AE916A" w14:textId="77777777" w:rsidR="00344AF0" w:rsidRPr="007521C8" w:rsidRDefault="00344AF0" w:rsidP="00344AF0">
      <w:pPr>
        <w:spacing w:after="0" w:line="240" w:lineRule="auto"/>
        <w:rPr>
          <w:rFonts w:ascii="Verdana" w:eastAsia="Calibri" w:hAnsi="Verdana" w:cs="Times New Roman"/>
        </w:rPr>
      </w:pPr>
    </w:p>
    <w:p w14:paraId="610D75A2" w14:textId="77777777" w:rsidR="00344AF0" w:rsidRPr="007521C8" w:rsidRDefault="00344AF0" w:rsidP="00344AF0">
      <w:pPr>
        <w:spacing w:after="0" w:line="240" w:lineRule="auto"/>
        <w:rPr>
          <w:rFonts w:ascii="Verdana" w:eastAsia="Calibri" w:hAnsi="Verdana" w:cs="Times New Roman"/>
        </w:rPr>
      </w:pPr>
    </w:p>
    <w:p w14:paraId="5C66B7CB" w14:textId="77777777" w:rsidR="00344AF0" w:rsidRPr="0060163E" w:rsidRDefault="00344AF0" w:rsidP="00344AF0">
      <w:pPr>
        <w:spacing w:after="0" w:line="240" w:lineRule="auto"/>
        <w:rPr>
          <w:rFonts w:ascii="Verdana" w:eastAsia="Calibri" w:hAnsi="Verdana" w:cs="Times New Roman"/>
          <w:b/>
          <w:bCs/>
          <w:lang w:val="es-ES"/>
        </w:rPr>
      </w:pPr>
      <w:r w:rsidRPr="007521C8">
        <w:rPr>
          <w:rFonts w:ascii="Verdana" w:eastAsia="Calibri" w:hAnsi="Verdana" w:cs="Times New Roman"/>
          <w:b/>
          <w:bCs/>
        </w:rPr>
        <w:t xml:space="preserve">                                    </w:t>
      </w:r>
      <w:r>
        <w:rPr>
          <w:rFonts w:ascii="Verdana" w:eastAsia="Calibri" w:hAnsi="Verdana" w:cs="Times New Roman"/>
          <w:b/>
          <w:bCs/>
          <w:lang w:val="es-ES"/>
        </w:rPr>
        <w:t>Concepto C– 916</w:t>
      </w:r>
      <w:r w:rsidRPr="0060163E">
        <w:rPr>
          <w:rFonts w:ascii="Verdana" w:eastAsia="Calibri" w:hAnsi="Verdana" w:cs="Times New Roman"/>
          <w:b/>
          <w:bCs/>
          <w:lang w:val="es-ES"/>
        </w:rPr>
        <w:t xml:space="preserve"> de 2025</w:t>
      </w:r>
    </w:p>
    <w:p w14:paraId="6BA5CED2" w14:textId="77777777" w:rsidR="00344AF0" w:rsidRPr="0060163E" w:rsidRDefault="00344AF0" w:rsidP="00344AF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44AF0" w:rsidRPr="0060163E" w14:paraId="77171018" w14:textId="77777777" w:rsidTr="00705DBF">
        <w:trPr>
          <w:trHeight w:val="884"/>
        </w:trPr>
        <w:tc>
          <w:tcPr>
            <w:tcW w:w="2685" w:type="dxa"/>
            <w:hideMark/>
          </w:tcPr>
          <w:p w14:paraId="52FC3397" w14:textId="77777777" w:rsidR="00344AF0" w:rsidRPr="0060163E" w:rsidRDefault="00344AF0" w:rsidP="00705DBF">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305417E0" w14:textId="77777777" w:rsidR="00344AF0" w:rsidRPr="006D2BEC" w:rsidRDefault="00344AF0" w:rsidP="00705DBF">
            <w:pPr>
              <w:spacing w:line="276" w:lineRule="auto"/>
              <w:jc w:val="both"/>
              <w:rPr>
                <w:rFonts w:ascii="Verdana" w:hAnsi="Verdana" w:cs="Arial"/>
                <w:lang w:val="es-MX"/>
              </w:rPr>
            </w:pPr>
            <w:r w:rsidRPr="006D2BEC">
              <w:rPr>
                <w:rFonts w:ascii="Verdana" w:hAnsi="Verdana" w:cs="Arial"/>
                <w:lang w:val="es-MX"/>
              </w:rPr>
              <w:t xml:space="preserve">INHABILIDADES E INCOMPATIBILIDADES ─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320A10">
              <w:rPr>
                <w:rFonts w:ascii="Verdana" w:hAnsi="Verdana" w:cs="Arial"/>
              </w:rPr>
              <w:t>RÉGIMEN DE INHABILIDADES – Registro nacional de medidas correctivas – No pago de multas – Limitación para contratar</w:t>
            </w:r>
            <w:r>
              <w:rPr>
                <w:rFonts w:ascii="Verdana" w:hAnsi="Verdana" w:cs="Arial"/>
              </w:rPr>
              <w:t xml:space="preserve"> / MEDIDA CORRECTIVA – Interpretación restrictiva. </w:t>
            </w:r>
          </w:p>
          <w:p w14:paraId="2524B50F" w14:textId="77777777" w:rsidR="00344AF0" w:rsidRPr="007521C8" w:rsidRDefault="00344AF0" w:rsidP="00705DBF">
            <w:pPr>
              <w:jc w:val="both"/>
              <w:rPr>
                <w:rFonts w:ascii="Verdana" w:hAnsi="Verdana" w:cs="Arial"/>
                <w:lang w:val="es-MX"/>
              </w:rPr>
            </w:pPr>
          </w:p>
        </w:tc>
        <w:tc>
          <w:tcPr>
            <w:tcW w:w="6237" w:type="dxa"/>
          </w:tcPr>
          <w:p w14:paraId="0C42BB45" w14:textId="77777777" w:rsidR="00344AF0" w:rsidRPr="006D2BEC" w:rsidRDefault="00344AF0" w:rsidP="00705DBF">
            <w:pPr>
              <w:rPr>
                <w:rFonts w:ascii="Verdana" w:hAnsi="Verdana"/>
              </w:rPr>
            </w:pPr>
          </w:p>
        </w:tc>
      </w:tr>
      <w:tr w:rsidR="00344AF0" w:rsidRPr="0060163E" w14:paraId="48291F92" w14:textId="77777777" w:rsidTr="00705DBF">
        <w:tc>
          <w:tcPr>
            <w:tcW w:w="2685" w:type="dxa"/>
          </w:tcPr>
          <w:p w14:paraId="4AD1543E" w14:textId="77777777" w:rsidR="00344AF0" w:rsidRPr="0060163E" w:rsidRDefault="00344AF0" w:rsidP="00705DBF">
            <w:pPr>
              <w:rPr>
                <w:rFonts w:ascii="Verdana" w:hAnsi="Verdana"/>
                <w:lang w:val="es-ES_tradnl"/>
              </w:rPr>
            </w:pPr>
          </w:p>
          <w:p w14:paraId="5B999B2C" w14:textId="77777777" w:rsidR="00344AF0" w:rsidRPr="0060163E" w:rsidRDefault="00344AF0" w:rsidP="00705DBF">
            <w:pPr>
              <w:rPr>
                <w:rFonts w:ascii="Verdana" w:hAnsi="Verdana"/>
                <w:b/>
                <w:bCs/>
                <w:lang w:val="es-ES_tradnl"/>
              </w:rPr>
            </w:pPr>
            <w:r w:rsidRPr="0060163E">
              <w:rPr>
                <w:rFonts w:ascii="Verdana" w:hAnsi="Verdana"/>
                <w:b/>
                <w:bCs/>
                <w:lang w:val="es-ES_tradnl"/>
              </w:rPr>
              <w:t xml:space="preserve">Radicación:               </w:t>
            </w:r>
          </w:p>
        </w:tc>
        <w:tc>
          <w:tcPr>
            <w:tcW w:w="6241" w:type="dxa"/>
          </w:tcPr>
          <w:p w14:paraId="2EE2E038" w14:textId="77777777" w:rsidR="00344AF0" w:rsidRPr="0060163E" w:rsidRDefault="00344AF0" w:rsidP="00705DBF">
            <w:pPr>
              <w:jc w:val="both"/>
              <w:rPr>
                <w:rFonts w:ascii="Verdana" w:hAnsi="Verdana"/>
                <w:lang w:val="es-ES_tradnl"/>
              </w:rPr>
            </w:pPr>
          </w:p>
          <w:p w14:paraId="50C09A23" w14:textId="77777777" w:rsidR="00344AF0" w:rsidRPr="0060163E" w:rsidRDefault="00344AF0" w:rsidP="00705DBF">
            <w:pPr>
              <w:jc w:val="both"/>
              <w:rPr>
                <w:rFonts w:ascii="Verdana" w:hAnsi="Verdana"/>
                <w:lang w:val="es-ES_tradnl"/>
              </w:rPr>
            </w:pPr>
            <w:r w:rsidRPr="0060163E">
              <w:rPr>
                <w:rFonts w:ascii="Verdana" w:hAnsi="Verdana"/>
                <w:lang w:val="es-ES_tradnl"/>
              </w:rPr>
              <w:t>Respue</w:t>
            </w:r>
            <w:r>
              <w:rPr>
                <w:rFonts w:ascii="Verdana" w:hAnsi="Verdana"/>
                <w:lang w:val="es-ES_tradnl"/>
              </w:rPr>
              <w:t xml:space="preserve">sta a consulta con radicado No. </w:t>
            </w:r>
            <w:r w:rsidRPr="00632C2F">
              <w:rPr>
                <w:rFonts w:ascii="Verdana" w:hAnsi="Verdana"/>
              </w:rPr>
              <w:t>1_2025_07_11_007014</w:t>
            </w:r>
          </w:p>
          <w:p w14:paraId="07E609BC" w14:textId="77777777" w:rsidR="00344AF0" w:rsidRPr="0060163E" w:rsidRDefault="00344AF0" w:rsidP="00705DBF">
            <w:pPr>
              <w:jc w:val="both"/>
              <w:rPr>
                <w:rFonts w:ascii="Verdana" w:hAnsi="Verdana"/>
              </w:rPr>
            </w:pPr>
          </w:p>
        </w:tc>
        <w:tc>
          <w:tcPr>
            <w:tcW w:w="6237" w:type="dxa"/>
          </w:tcPr>
          <w:p w14:paraId="1F101CAF" w14:textId="77777777" w:rsidR="00344AF0" w:rsidRPr="0060163E" w:rsidRDefault="00344AF0" w:rsidP="00705DBF">
            <w:pPr>
              <w:rPr>
                <w:rFonts w:ascii="Verdana" w:hAnsi="Verdana"/>
                <w:lang w:val="es-ES_tradnl"/>
              </w:rPr>
            </w:pPr>
          </w:p>
        </w:tc>
      </w:tr>
      <w:tr w:rsidR="00344AF0" w:rsidRPr="0060163E" w14:paraId="33BF2E6A" w14:textId="77777777" w:rsidTr="00705DBF">
        <w:tc>
          <w:tcPr>
            <w:tcW w:w="2685" w:type="dxa"/>
          </w:tcPr>
          <w:p w14:paraId="6CACEE24" w14:textId="77777777" w:rsidR="00344AF0" w:rsidRPr="0060163E" w:rsidRDefault="00344AF0" w:rsidP="00705DBF">
            <w:pPr>
              <w:rPr>
                <w:rFonts w:ascii="Verdana" w:hAnsi="Verdana"/>
                <w:lang w:val="es-ES_tradnl"/>
              </w:rPr>
            </w:pPr>
          </w:p>
        </w:tc>
        <w:tc>
          <w:tcPr>
            <w:tcW w:w="6241" w:type="dxa"/>
          </w:tcPr>
          <w:p w14:paraId="4138CD92" w14:textId="77777777" w:rsidR="00344AF0" w:rsidRPr="0060163E" w:rsidRDefault="00344AF0" w:rsidP="00705DBF">
            <w:pPr>
              <w:jc w:val="both"/>
              <w:rPr>
                <w:rFonts w:ascii="Verdana" w:hAnsi="Verdana"/>
                <w:lang w:val="es-ES_tradnl"/>
              </w:rPr>
            </w:pPr>
          </w:p>
        </w:tc>
        <w:tc>
          <w:tcPr>
            <w:tcW w:w="6237" w:type="dxa"/>
          </w:tcPr>
          <w:p w14:paraId="3B33227F" w14:textId="77777777" w:rsidR="00344AF0" w:rsidRPr="0060163E" w:rsidRDefault="00344AF0" w:rsidP="00705DBF">
            <w:pPr>
              <w:rPr>
                <w:rFonts w:ascii="Verdana" w:hAnsi="Verdana"/>
                <w:lang w:val="es-ES_tradnl"/>
              </w:rPr>
            </w:pPr>
          </w:p>
        </w:tc>
      </w:tr>
    </w:tbl>
    <w:p w14:paraId="48646EE6" w14:textId="77777777" w:rsidR="00344AF0" w:rsidRPr="0060163E" w:rsidRDefault="00344AF0" w:rsidP="00344AF0">
      <w:pPr>
        <w:spacing w:after="0" w:line="256" w:lineRule="auto"/>
        <w:rPr>
          <w:rFonts w:ascii="Verdana" w:eastAsia="Calibri" w:hAnsi="Verdana" w:cs="Times New Roman"/>
          <w:lang w:val="es-ES"/>
        </w:rPr>
      </w:pPr>
      <w:r>
        <w:rPr>
          <w:rFonts w:ascii="Verdana" w:eastAsia="Calibri" w:hAnsi="Verdana" w:cs="Times New Roman"/>
          <w:lang w:val="es-ES"/>
        </w:rPr>
        <w:t>Estimado Señor Leandro</w:t>
      </w:r>
      <w:r w:rsidRPr="0060163E">
        <w:rPr>
          <w:rFonts w:ascii="Verdana" w:eastAsia="Calibri" w:hAnsi="Verdana" w:cs="Times New Roman"/>
          <w:lang w:val="es-ES"/>
        </w:rPr>
        <w:t xml:space="preserve">: </w:t>
      </w:r>
    </w:p>
    <w:p w14:paraId="4FFF57F4" w14:textId="77777777" w:rsidR="00344AF0" w:rsidRPr="0060163E" w:rsidRDefault="00344AF0" w:rsidP="00344AF0">
      <w:pPr>
        <w:spacing w:after="0" w:line="276" w:lineRule="auto"/>
        <w:rPr>
          <w:rFonts w:ascii="Verdana" w:eastAsia="Calibri" w:hAnsi="Verdana" w:cs="Times New Roman"/>
          <w:lang w:val="es-ES"/>
        </w:rPr>
      </w:pPr>
    </w:p>
    <w:p w14:paraId="11DE02C9" w14:textId="77777777" w:rsidR="00344AF0" w:rsidRPr="0060163E" w:rsidRDefault="00344AF0" w:rsidP="00344AF0">
      <w:pPr>
        <w:spacing w:after="0" w:line="276" w:lineRule="auto"/>
        <w:jc w:val="both"/>
        <w:rPr>
          <w:rFonts w:ascii="Verdana" w:eastAsia="Calibri" w:hAnsi="Verdana" w:cs="Times New Roman"/>
          <w:lang w:val="es-ES"/>
        </w:rPr>
      </w:pPr>
      <w:r w:rsidRPr="00EC0E3F">
        <w:rPr>
          <w:rFonts w:ascii="Verdana" w:hAnsi="Verdana" w:cs="Arial"/>
          <w:bCs/>
          <w:lang w:val="es-ES" w:eastAsia="es-ES" w:bidi="es-ES"/>
        </w:rPr>
        <w:t xml:space="preserve">En ejercicio de la competencia otorgada por los artículos 3, numeral 5º, y 11, numeral 8º, del Decreto Ley 4170 de 2011, </w:t>
      </w:r>
      <w:r w:rsidRPr="00EC0E3F">
        <w:rPr>
          <w:rFonts w:ascii="Verdana" w:hAnsi="Verdana" w:cs="Arial"/>
          <w:bCs/>
          <w:lang w:eastAsia="es-ES" w:bidi="es-ES"/>
        </w:rPr>
        <w:t xml:space="preserve">así como lo establecido por la Resolución 469 de 2025 expedida por esta Entidad, </w:t>
      </w:r>
      <w:r w:rsidRPr="00EC0E3F">
        <w:rPr>
          <w:rFonts w:ascii="Verdana" w:hAnsi="Verdana" w:cs="Arial"/>
          <w:bCs/>
          <w:lang w:val="es-ES" w:eastAsia="es-ES" w:bidi="es-ES"/>
        </w:rPr>
        <w:t>la Agencia Nacional de Contratación Pública – Colombia Compra Eficiente– responde su solicitud de consulta de fecha del</w:t>
      </w:r>
      <w:r>
        <w:rPr>
          <w:rFonts w:ascii="Verdana" w:hAnsi="Verdana" w:cs="Arial"/>
          <w:bCs/>
          <w:lang w:val="es-ES" w:eastAsia="es-ES" w:bidi="es-ES"/>
        </w:rPr>
        <w:t xml:space="preserve"> </w:t>
      </w:r>
      <w:r>
        <w:rPr>
          <w:rFonts w:ascii="Verdana" w:eastAsia="Calibri" w:hAnsi="Verdana" w:cs="Times New Roman"/>
          <w:lang w:val="es-ES"/>
        </w:rPr>
        <w:t>11 de julio de 2025, en la cual pregunta</w:t>
      </w:r>
      <w:r w:rsidRPr="0060163E">
        <w:rPr>
          <w:rFonts w:ascii="Verdana" w:eastAsia="Calibri" w:hAnsi="Verdana" w:cs="Times New Roman"/>
          <w:lang w:val="es-ES"/>
        </w:rPr>
        <w:t>:</w:t>
      </w:r>
    </w:p>
    <w:p w14:paraId="0D1D9604" w14:textId="77777777" w:rsidR="00344AF0" w:rsidRPr="0060163E" w:rsidRDefault="00344AF0" w:rsidP="00344AF0">
      <w:pPr>
        <w:spacing w:after="0" w:line="276" w:lineRule="auto"/>
        <w:jc w:val="both"/>
        <w:rPr>
          <w:rFonts w:ascii="Verdana" w:eastAsia="Calibri" w:hAnsi="Verdana" w:cs="Times New Roman"/>
          <w:lang w:val="es-ES"/>
        </w:rPr>
      </w:pPr>
    </w:p>
    <w:p w14:paraId="4310C562" w14:textId="77777777" w:rsidR="00344AF0" w:rsidRPr="00632C2F" w:rsidRDefault="00344AF0" w:rsidP="00344AF0">
      <w:pPr>
        <w:spacing w:after="0" w:line="240" w:lineRule="auto"/>
        <w:ind w:left="709" w:right="709"/>
        <w:jc w:val="both"/>
        <w:rPr>
          <w:rFonts w:ascii="Verdana" w:eastAsia="Calibri" w:hAnsi="Verdana" w:cs="Times New Roman"/>
          <w:bCs/>
          <w:sz w:val="20"/>
          <w:szCs w:val="20"/>
        </w:rPr>
      </w:pPr>
      <w:r w:rsidRPr="00632C2F">
        <w:rPr>
          <w:rFonts w:ascii="Verdana" w:eastAsia="Calibri" w:hAnsi="Verdana" w:cs="Times New Roman"/>
          <w:bCs/>
          <w:sz w:val="20"/>
          <w:szCs w:val="20"/>
        </w:rPr>
        <w:t>“Las consecuencias de que habla el artículo 183 de la ley 1801 de 2016, por el no pago de las MULTAS, aplica también para el no cumplimiento de las demás medidas correctivas, cómo por ejemplo la Participación en programa comunitario o actividad pedagógica de convivencia, a sabiendas de que dichas sanciones han de ser taxativas, no pidiendo aplicarse por analogía.</w:t>
      </w:r>
    </w:p>
    <w:p w14:paraId="757127B3" w14:textId="77777777" w:rsidR="00344AF0" w:rsidRPr="008D01FC" w:rsidRDefault="00344AF0" w:rsidP="00344AF0">
      <w:pPr>
        <w:spacing w:after="0" w:line="240" w:lineRule="auto"/>
        <w:ind w:left="709" w:right="709"/>
        <w:jc w:val="both"/>
        <w:rPr>
          <w:rFonts w:ascii="Verdana" w:eastAsia="Calibri" w:hAnsi="Verdana" w:cs="Times New Roman"/>
          <w:bCs/>
          <w:i/>
          <w:iCs/>
          <w:sz w:val="20"/>
          <w:szCs w:val="20"/>
        </w:rPr>
      </w:pPr>
      <w:r w:rsidRPr="00632C2F">
        <w:rPr>
          <w:rFonts w:ascii="Verdana" w:eastAsia="Calibri" w:hAnsi="Verdana" w:cs="Times New Roman"/>
          <w:bCs/>
          <w:sz w:val="20"/>
          <w:szCs w:val="20"/>
        </w:rPr>
        <w:t>- Genera inhabilidad para contratar con entidades públicas el incumplimiento de una medida correctiva</w:t>
      </w:r>
      <w:r>
        <w:rPr>
          <w:rFonts w:ascii="Verdana" w:eastAsia="Calibri" w:hAnsi="Verdana" w:cs="Times New Roman"/>
          <w:bCs/>
          <w:sz w:val="20"/>
          <w:szCs w:val="20"/>
        </w:rPr>
        <w:t xml:space="preserve"> </w:t>
      </w:r>
      <w:r w:rsidRPr="00632C2F">
        <w:rPr>
          <w:rFonts w:ascii="Verdana" w:eastAsia="Calibri" w:hAnsi="Verdana" w:cs="Times New Roman"/>
          <w:bCs/>
          <w:sz w:val="20"/>
          <w:szCs w:val="20"/>
        </w:rPr>
        <w:t>diferente a la medida de MULTA?”.</w:t>
      </w:r>
    </w:p>
    <w:p w14:paraId="110CFBD6" w14:textId="77777777" w:rsidR="00344AF0" w:rsidRPr="0060163E" w:rsidRDefault="00344AF0" w:rsidP="00344AF0">
      <w:pPr>
        <w:spacing w:after="0" w:line="276" w:lineRule="auto"/>
        <w:rPr>
          <w:rFonts w:ascii="Verdana" w:eastAsia="Calibri" w:hAnsi="Verdana" w:cs="Times New Roman"/>
          <w:lang w:val="es-ES"/>
        </w:rPr>
      </w:pPr>
    </w:p>
    <w:p w14:paraId="3A25F352" w14:textId="77777777" w:rsidR="00344AF0" w:rsidRPr="0060163E" w:rsidRDefault="00344AF0" w:rsidP="00344AF0">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CF45B91" w14:textId="77777777" w:rsidR="00344AF0" w:rsidRPr="0060163E" w:rsidRDefault="00344AF0" w:rsidP="00344AF0">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569AE28" w14:textId="77777777" w:rsidR="00344AF0" w:rsidRPr="0060163E" w:rsidRDefault="00344AF0" w:rsidP="00344AF0">
      <w:pPr>
        <w:spacing w:after="0" w:line="276" w:lineRule="auto"/>
        <w:rPr>
          <w:rFonts w:ascii="Verdana" w:eastAsia="Calibri" w:hAnsi="Verdana" w:cs="Times New Roman"/>
          <w:lang w:val="es-ES"/>
        </w:rPr>
      </w:pPr>
    </w:p>
    <w:p w14:paraId="624AFE42" w14:textId="77777777" w:rsidR="00344AF0" w:rsidRPr="0060163E" w:rsidRDefault="00344AF0" w:rsidP="00344AF0">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72091FFC" w14:textId="77777777" w:rsidR="00344AF0" w:rsidRPr="0060163E" w:rsidRDefault="00344AF0" w:rsidP="00344AF0">
      <w:pPr>
        <w:spacing w:after="0" w:line="276" w:lineRule="auto"/>
        <w:rPr>
          <w:rFonts w:ascii="Verdana" w:eastAsia="Calibri" w:hAnsi="Verdana" w:cs="Times New Roman"/>
        </w:rPr>
      </w:pPr>
    </w:p>
    <w:p w14:paraId="631D09F8" w14:textId="77777777" w:rsidR="00344AF0" w:rsidRPr="001606CD" w:rsidRDefault="00344AF0" w:rsidP="00344AF0">
      <w:pPr>
        <w:spacing w:after="0" w:line="276" w:lineRule="auto"/>
        <w:jc w:val="both"/>
        <w:rPr>
          <w:rFonts w:ascii="Verdana" w:eastAsia="Calibri" w:hAnsi="Verdana" w:cs="Times New Roman"/>
          <w:bCs/>
        </w:rPr>
      </w:pPr>
      <w:r w:rsidRPr="0060163E">
        <w:rPr>
          <w:rFonts w:ascii="Verdana" w:eastAsia="Calibri" w:hAnsi="Verdana" w:cs="Times New Roman"/>
        </w:rPr>
        <w:t>De acuerdo con el contenido de su solicitud, esta Agencia procede a r</w:t>
      </w:r>
      <w:r>
        <w:rPr>
          <w:rFonts w:ascii="Verdana" w:eastAsia="Calibri" w:hAnsi="Verdana" w:cs="Times New Roman"/>
        </w:rPr>
        <w:t>esolver el siguiente problema jurídico: ¿</w:t>
      </w:r>
      <w:r>
        <w:rPr>
          <w:rFonts w:ascii="Verdana" w:eastAsia="Calibri" w:hAnsi="Verdana" w:cs="Times New Roman"/>
          <w:bCs/>
        </w:rPr>
        <w:t xml:space="preserve">Es procedente aplicar la inhabilidad para </w:t>
      </w:r>
      <w:r w:rsidRPr="001606CD">
        <w:rPr>
          <w:rFonts w:ascii="Verdana" w:eastAsia="Calibri" w:hAnsi="Verdana" w:cs="Times New Roman"/>
          <w:bCs/>
        </w:rPr>
        <w:t xml:space="preserve">contratar con entidades públicas el incumplimiento de una medida correctiva diferente a la </w:t>
      </w:r>
      <w:r>
        <w:rPr>
          <w:rFonts w:ascii="Verdana" w:eastAsia="Calibri" w:hAnsi="Verdana" w:cs="Times New Roman"/>
          <w:bCs/>
        </w:rPr>
        <w:t xml:space="preserve">sanción de </w:t>
      </w:r>
      <w:r w:rsidRPr="001606CD">
        <w:rPr>
          <w:rFonts w:ascii="Verdana" w:eastAsia="Calibri" w:hAnsi="Verdana" w:cs="Times New Roman"/>
          <w:bCs/>
        </w:rPr>
        <w:t>MULTA?</w:t>
      </w:r>
    </w:p>
    <w:p w14:paraId="6C146002" w14:textId="77777777" w:rsidR="00344AF0" w:rsidRPr="0060163E" w:rsidRDefault="00344AF0" w:rsidP="00344AF0">
      <w:pPr>
        <w:spacing w:after="0" w:line="276" w:lineRule="auto"/>
        <w:rPr>
          <w:rFonts w:ascii="Verdana" w:eastAsia="Calibri" w:hAnsi="Verdana" w:cs="Times New Roman"/>
        </w:rPr>
      </w:pPr>
    </w:p>
    <w:p w14:paraId="64B422A9" w14:textId="77777777" w:rsidR="00344AF0" w:rsidRPr="0060163E" w:rsidRDefault="00344AF0" w:rsidP="00344AF0">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 </w:t>
      </w:r>
      <w:r w:rsidRPr="0060163E">
        <w:rPr>
          <w:rFonts w:ascii="Verdana" w:eastAsia="Calibri" w:hAnsi="Verdana" w:cs="Times New Roman"/>
          <w:b/>
          <w:bCs/>
          <w:lang w:val="es-ES"/>
        </w:rPr>
        <w:t>Respuesta:</w:t>
      </w:r>
    </w:p>
    <w:p w14:paraId="6DA2A9FF" w14:textId="77777777" w:rsidR="00344AF0" w:rsidRPr="0060163E" w:rsidRDefault="00344AF0" w:rsidP="00344AF0">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44AF0" w:rsidRPr="0060163E" w14:paraId="0C0109AE" w14:textId="77777777" w:rsidTr="00705DBF">
        <w:trPr>
          <w:trHeight w:val="870"/>
          <w:jc w:val="center"/>
        </w:trPr>
        <w:tc>
          <w:tcPr>
            <w:tcW w:w="8647" w:type="dxa"/>
          </w:tcPr>
          <w:p w14:paraId="14609E77" w14:textId="77777777" w:rsidR="00344AF0" w:rsidRPr="00320A10" w:rsidRDefault="00344AF0" w:rsidP="00705DBF">
            <w:pPr>
              <w:widowControl w:val="0"/>
              <w:autoSpaceDE w:val="0"/>
              <w:autoSpaceDN w:val="0"/>
              <w:spacing w:before="120" w:after="120" w:line="276" w:lineRule="auto"/>
              <w:jc w:val="both"/>
              <w:rPr>
                <w:rFonts w:ascii="Verdana" w:eastAsia="Calibri" w:hAnsi="Verdana" w:cs="Arial"/>
                <w:shd w:val="clear" w:color="auto" w:fill="FFFFFF"/>
              </w:rPr>
            </w:pPr>
            <w:r w:rsidRPr="00320A10">
              <w:rPr>
                <w:rFonts w:ascii="Verdana" w:eastAsia="Calibri" w:hAnsi="Verdana" w:cs="Arial"/>
                <w:shd w:val="clear" w:color="auto" w:fill="FFFFFF"/>
              </w:rPr>
              <w:t xml:space="preserve">Al analizarse el régimen de inhabilidades, se observa que el solo reporte en el Registro Nacional de Medidas Correctivas no genera per se una causal inhabilidad para celebrar contratos con las entidades públicas, puesto que, puesto que, de acuerdo con el artículo 2.2.8.3.1 del Decreto </w:t>
            </w:r>
            <w:r>
              <w:rPr>
                <w:rFonts w:ascii="Verdana" w:eastAsia="Calibri" w:hAnsi="Verdana" w:cs="Arial"/>
                <w:shd w:val="clear" w:color="auto" w:fill="FFFFFF"/>
              </w:rPr>
              <w:t xml:space="preserve">1070 de 2015 adicionado por el Decreto </w:t>
            </w:r>
            <w:r w:rsidRPr="00320A10">
              <w:rPr>
                <w:rFonts w:ascii="Verdana" w:eastAsia="Calibri" w:hAnsi="Verdana" w:cs="Arial"/>
                <w:shd w:val="clear" w:color="auto" w:fill="FFFFFF"/>
              </w:rPr>
              <w:t>1284 de 2017 “</w:t>
            </w:r>
            <w:r w:rsidRPr="101288F9">
              <w:rPr>
                <w:rFonts w:ascii="Verdana" w:eastAsia="Calibri" w:hAnsi="Verdana" w:cs="Arial"/>
                <w:shd w:val="clear" w:color="auto" w:fill="FFFFFF"/>
              </w:rPr>
              <w:t xml:space="preserve">por medio del cual se adiciona el Título 8 a la Parte 2 del Libro 2 del Decreto 1070 de 2015 ´Decreto Único Reglamentario del Sector Administrativo de Defensa´, para reglamentar </w:t>
            </w:r>
            <w:r w:rsidRPr="101288F9">
              <w:rPr>
                <w:rFonts w:ascii="Verdana" w:eastAsia="Calibri" w:hAnsi="Verdana" w:cs="Arial"/>
                <w:shd w:val="clear" w:color="auto" w:fill="FFFFFF"/>
              </w:rPr>
              <w:lastRenderedPageBreak/>
              <w:t>parcialmente el Código Nacional de Policía y Convivencia</w:t>
            </w:r>
            <w:r w:rsidRPr="004745AC">
              <w:rPr>
                <w:rFonts w:ascii="Verdana" w:eastAsia="Calibri" w:hAnsi="Verdana" w:cs="Arial"/>
              </w:rPr>
              <w:t>”</w:t>
            </w:r>
            <w:r w:rsidRPr="00320A10">
              <w:rPr>
                <w:rFonts w:ascii="Verdana" w:eastAsia="Calibri" w:hAnsi="Verdana" w:cs="Arial"/>
                <w:shd w:val="clear" w:color="auto" w:fill="FFFFFF"/>
              </w:rPr>
              <w:t xml:space="preserve">, </w:t>
            </w:r>
            <w:r w:rsidRPr="00320A10">
              <w:rPr>
                <w:rFonts w:ascii="Verdana" w:eastAsia="Calibri" w:hAnsi="Verdana" w:cs="Arial"/>
              </w:rPr>
              <w:t>es un sistema a cargo de la Policía Nacional que tiene como objetivo recolectar información sobre la persona infractora de un comportamiento contrario a la convivencia, el tipo de medida correctiva impuesta, el estado de pago de la multa o el cumplimiento de la medida correctiva.</w:t>
            </w:r>
          </w:p>
          <w:p w14:paraId="59ABF466" w14:textId="77777777" w:rsidR="00344AF0" w:rsidRPr="00320A10" w:rsidRDefault="00344AF0" w:rsidP="00705DBF">
            <w:pPr>
              <w:widowControl w:val="0"/>
              <w:autoSpaceDE w:val="0"/>
              <w:autoSpaceDN w:val="0"/>
              <w:spacing w:before="120" w:after="120" w:line="276" w:lineRule="auto"/>
              <w:ind w:firstLine="709"/>
              <w:jc w:val="both"/>
              <w:rPr>
                <w:rFonts w:ascii="Verdana" w:eastAsia="Calibri" w:hAnsi="Verdana" w:cs="Arial"/>
              </w:rPr>
            </w:pPr>
            <w:r w:rsidRPr="00320A10">
              <w:rPr>
                <w:rFonts w:ascii="Verdana" w:eastAsia="Calibri" w:hAnsi="Verdana" w:cs="Arial"/>
              </w:rPr>
              <w:t>Sin embargo, debe precisarse que, en caso de que la persona a la cual se le haya impuesto como medida correctiva el pago de multas y esta se encuentre en mora por un término de seis (6) meses, el numeral 4 del artí</w:t>
            </w:r>
            <w:r>
              <w:rPr>
                <w:rFonts w:ascii="Verdana" w:eastAsia="Calibri" w:hAnsi="Verdana" w:cs="Arial"/>
              </w:rPr>
              <w:t>culo 183 de la Ley 1801 de 2016, “</w:t>
            </w:r>
            <w:r w:rsidRPr="00320A10">
              <w:rPr>
                <w:rFonts w:ascii="Verdana" w:eastAsia="Calibri" w:hAnsi="Verdana" w:cs="Arial"/>
              </w:rPr>
              <w:t>por la cual se expide el Código Nacional de Seguridad y Convivencia Ciudadana</w:t>
            </w:r>
            <w:r>
              <w:rPr>
                <w:rFonts w:ascii="Verdana" w:eastAsia="Calibri" w:hAnsi="Verdana" w:cs="Arial"/>
              </w:rPr>
              <w:t>”</w:t>
            </w:r>
            <w:r w:rsidRPr="00320A10">
              <w:rPr>
                <w:rFonts w:ascii="Verdana" w:eastAsia="Calibri" w:hAnsi="Verdana" w:cs="Arial"/>
              </w:rPr>
              <w:t>, establece como consecuencia de dicha mora en el pago, que “hasta tanto no se ponga al día la persona no podrá: […] Contratar o renovar contrato con cualquier entidad del Estado”.</w:t>
            </w:r>
            <w:r>
              <w:rPr>
                <w:rFonts w:ascii="Verdana" w:eastAsia="Calibri" w:hAnsi="Verdana" w:cs="Arial"/>
              </w:rPr>
              <w:t xml:space="preserve"> Entonces se constituye</w:t>
            </w:r>
            <w:r w:rsidRPr="00320A10">
              <w:rPr>
                <w:rFonts w:ascii="Verdana" w:eastAsia="Calibri" w:hAnsi="Verdana" w:cs="Arial"/>
              </w:rPr>
              <w:t>, lo anterior, como una causal de inhabilidad prevista en la ley para celebrar o renovar contratos con las entidades públicas.</w:t>
            </w:r>
            <w:r>
              <w:rPr>
                <w:rFonts w:ascii="Verdana" w:eastAsia="Calibri" w:hAnsi="Verdana" w:cs="Arial"/>
              </w:rPr>
              <w:t xml:space="preserve"> </w:t>
            </w:r>
          </w:p>
          <w:p w14:paraId="34CBDD99" w14:textId="77777777" w:rsidR="00344AF0" w:rsidRPr="004745AC" w:rsidRDefault="00344AF0" w:rsidP="00705DBF">
            <w:pPr>
              <w:widowControl w:val="0"/>
              <w:autoSpaceDE w:val="0"/>
              <w:autoSpaceDN w:val="0"/>
              <w:spacing w:after="120" w:line="276" w:lineRule="auto"/>
              <w:ind w:firstLine="708"/>
              <w:jc w:val="both"/>
              <w:rPr>
                <w:rFonts w:ascii="Verdana" w:eastAsia="Aptos" w:hAnsi="Verdana" w:cs="Arial"/>
                <w:bCs/>
              </w:rPr>
            </w:pPr>
            <w:r>
              <w:rPr>
                <w:rFonts w:ascii="Verdana" w:eastAsia="Aptos" w:hAnsi="Verdana" w:cs="Arial"/>
              </w:rPr>
              <w:t xml:space="preserve">De este modo, la inhabilidad para contratar con las entidades estatales se limita al no pago de la multa transcurridos seis meses desde la fecha de imposición de esta, con sus debidos intereses, </w:t>
            </w:r>
            <w:proofErr w:type="gramStart"/>
            <w:r>
              <w:rPr>
                <w:rFonts w:ascii="Verdana" w:eastAsia="Aptos" w:hAnsi="Verdana" w:cs="Arial"/>
              </w:rPr>
              <w:t>y</w:t>
            </w:r>
            <w:proofErr w:type="gramEnd"/>
            <w:r>
              <w:rPr>
                <w:rFonts w:ascii="Verdana" w:eastAsia="Aptos" w:hAnsi="Verdana" w:cs="Arial"/>
              </w:rPr>
              <w:t xml:space="preserve"> por tanto, no es posible aplicar estos mismos efectos a las diferentes medidas correctivas prescritas en la Ley 1801 de 2016. En efecto</w:t>
            </w:r>
            <w:r w:rsidRPr="007521C8">
              <w:rPr>
                <w:rFonts w:ascii="Verdana" w:eastAsia="Aptos" w:hAnsi="Verdana" w:cs="Arial"/>
                <w:bCs/>
              </w:rPr>
              <w:t>, es importante recordar que no es permitido hacer una interpretación extensiva de los efectos jurídicos de inhabilidades e inco</w:t>
            </w:r>
            <w:r>
              <w:rPr>
                <w:rFonts w:ascii="Verdana" w:eastAsia="Aptos" w:hAnsi="Verdana" w:cs="Arial"/>
                <w:bCs/>
              </w:rPr>
              <w:t>mpatibilidades, en cuanto a las medidas correctivas diferentes a la multa</w:t>
            </w:r>
            <w:r w:rsidRPr="007521C8">
              <w:rPr>
                <w:rFonts w:ascii="Verdana" w:eastAsia="Aptos" w:hAnsi="Verdana" w:cs="Arial"/>
                <w:bCs/>
              </w:rPr>
              <w:t>, para la celebración de contratos estatales, 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w:t>
            </w:r>
            <w:r>
              <w:rPr>
                <w:rFonts w:ascii="Verdana" w:eastAsia="Aptos" w:hAnsi="Verdana" w:cs="Arial"/>
                <w:bCs/>
              </w:rPr>
              <w:t xml:space="preserve">a medida correctiva </w:t>
            </w:r>
            <w:r w:rsidRPr="007521C8">
              <w:rPr>
                <w:rFonts w:ascii="Verdana" w:eastAsia="Aptos" w:hAnsi="Verdana" w:cs="Arial"/>
                <w:bCs/>
              </w:rPr>
              <w:t>implica restricciones para contratar con el Estado.</w:t>
            </w:r>
          </w:p>
        </w:tc>
      </w:tr>
    </w:tbl>
    <w:p w14:paraId="1EDD1C8C" w14:textId="77777777" w:rsidR="00344AF0" w:rsidRDefault="00344AF0" w:rsidP="00344AF0">
      <w:pPr>
        <w:spacing w:after="0" w:line="276" w:lineRule="auto"/>
        <w:contextualSpacing/>
        <w:rPr>
          <w:rFonts w:ascii="Verdana" w:eastAsia="Calibri" w:hAnsi="Verdana" w:cs="Times New Roman"/>
          <w:b/>
          <w:bCs/>
          <w:lang w:val="es-ES"/>
        </w:rPr>
      </w:pPr>
    </w:p>
    <w:p w14:paraId="239CF383" w14:textId="77777777" w:rsidR="00344AF0" w:rsidRPr="0060163E" w:rsidRDefault="00344AF0" w:rsidP="00344AF0">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5736BB76" w14:textId="77777777" w:rsidR="00344AF0" w:rsidRPr="0060163E" w:rsidRDefault="00344AF0" w:rsidP="00344AF0">
      <w:pPr>
        <w:spacing w:after="0" w:line="276" w:lineRule="auto"/>
        <w:rPr>
          <w:rFonts w:ascii="Verdana" w:eastAsia="Calibri" w:hAnsi="Verdana" w:cs="Times New Roman"/>
          <w:b/>
          <w:bCs/>
          <w:lang w:val="es-ES"/>
        </w:rPr>
      </w:pPr>
    </w:p>
    <w:p w14:paraId="69C273A8" w14:textId="77777777" w:rsidR="00344AF0" w:rsidRPr="0060163E" w:rsidRDefault="00344AF0" w:rsidP="00344AF0">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63DBF368" w14:textId="77777777" w:rsidR="00344AF0" w:rsidRPr="0060163E" w:rsidRDefault="00344AF0" w:rsidP="00344AF0">
      <w:pPr>
        <w:spacing w:after="0" w:line="276" w:lineRule="auto"/>
        <w:jc w:val="both"/>
        <w:rPr>
          <w:rFonts w:ascii="Verdana" w:eastAsia="Calibri" w:hAnsi="Verdana" w:cs="Arial"/>
          <w:lang w:val="es-MX"/>
        </w:rPr>
      </w:pPr>
    </w:p>
    <w:p w14:paraId="0815D4E5" w14:textId="77777777" w:rsidR="00344AF0" w:rsidRDefault="00344AF0" w:rsidP="00344AF0">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lastRenderedPageBreak/>
        <w:t xml:space="preserve">De igual modo, en torno a la incompatibilidad, la Corte Constitucional ha señalado: </w:t>
      </w:r>
    </w:p>
    <w:p w14:paraId="48950F30" w14:textId="77777777" w:rsidR="00344AF0" w:rsidRDefault="00344AF0" w:rsidP="00344AF0">
      <w:pPr>
        <w:spacing w:after="0" w:line="276" w:lineRule="auto"/>
        <w:jc w:val="both"/>
        <w:rPr>
          <w:rFonts w:ascii="Verdana" w:eastAsia="Calibri" w:hAnsi="Verdana" w:cs="Arial"/>
          <w:lang w:val="es-MX"/>
        </w:rPr>
      </w:pPr>
    </w:p>
    <w:p w14:paraId="19746E8B" w14:textId="77777777" w:rsidR="00344AF0" w:rsidRDefault="00344AF0" w:rsidP="00344AF0">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2"/>
      </w:r>
      <w:r w:rsidRPr="000B4D9F">
        <w:rPr>
          <w:rFonts w:ascii="Verdana" w:eastAsia="Calibri" w:hAnsi="Verdana" w:cs="Arial"/>
          <w:bCs/>
          <w:iCs/>
          <w:sz w:val="21"/>
          <w:szCs w:val="21"/>
          <w:lang w:val="es-ES"/>
        </w:rPr>
        <w:t>.</w:t>
      </w:r>
    </w:p>
    <w:p w14:paraId="22C196A0" w14:textId="77777777" w:rsidR="00344AF0" w:rsidRPr="000B4D9F" w:rsidRDefault="00344AF0" w:rsidP="00344AF0">
      <w:pPr>
        <w:spacing w:after="0" w:line="240" w:lineRule="auto"/>
        <w:ind w:left="709" w:right="709"/>
        <w:jc w:val="both"/>
        <w:rPr>
          <w:rFonts w:ascii="Verdana" w:eastAsia="Calibri" w:hAnsi="Verdana" w:cs="Arial"/>
          <w:bCs/>
          <w:iCs/>
          <w:sz w:val="21"/>
          <w:szCs w:val="21"/>
          <w:lang w:val="es-ES_tradnl"/>
        </w:rPr>
      </w:pPr>
    </w:p>
    <w:p w14:paraId="77BC4094" w14:textId="77777777" w:rsidR="00344AF0" w:rsidRDefault="00344AF0" w:rsidP="00344AF0">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7218AE">
        <w:rPr>
          <w:rFonts w:ascii="Verdana" w:eastAsia="Calibri" w:hAnsi="Verdana" w:cs="Arial"/>
        </w:rPr>
        <w:t>na</w:t>
      </w:r>
      <w:proofErr w:type="spellEnd"/>
      <w:r w:rsidRPr="007218AE">
        <w:rPr>
          <w:rFonts w:ascii="Verdana" w:eastAsia="Calibri" w:hAnsi="Verdana" w:cs="Arial"/>
        </w:rPr>
        <w:t xml:space="preserve">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Pr>
          <w:rFonts w:ascii="Verdana" w:eastAsia="Calibri" w:hAnsi="Verdana" w:cs="Arial"/>
          <w:lang w:val="es-MX"/>
        </w:rPr>
        <w:t>De acuerdo a</w:t>
      </w:r>
      <w:proofErr w:type="gramEnd"/>
      <w:r>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0C066069" w14:textId="77777777" w:rsidR="00344AF0" w:rsidRPr="0060163E" w:rsidRDefault="00344AF0" w:rsidP="00344AF0">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w:t>
      </w:r>
      <w:r w:rsidRPr="0060163E">
        <w:rPr>
          <w:rFonts w:ascii="Verdana" w:eastAsia="Calibri" w:hAnsi="Verdana" w:cs="Arial"/>
          <w:lang w:val="es-MX"/>
        </w:rPr>
        <w:lastRenderedPageBreak/>
        <w:t>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3"/>
      </w:r>
    </w:p>
    <w:p w14:paraId="6BAD4C52" w14:textId="77777777" w:rsidR="00344AF0" w:rsidRPr="0060163E" w:rsidRDefault="00344AF0" w:rsidP="00344AF0">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7255DE1F" w14:textId="77777777" w:rsidR="00344AF0" w:rsidRPr="0060163E" w:rsidRDefault="00344AF0" w:rsidP="00344AF0">
      <w:pPr>
        <w:spacing w:after="0" w:line="276" w:lineRule="auto"/>
        <w:jc w:val="both"/>
        <w:rPr>
          <w:rFonts w:ascii="Verdana" w:eastAsia="Calibri" w:hAnsi="Verdana" w:cs="Arial"/>
          <w:lang w:val="es-MX"/>
        </w:rPr>
      </w:pPr>
    </w:p>
    <w:p w14:paraId="633740AC" w14:textId="77777777" w:rsidR="00344AF0" w:rsidRPr="004218E1" w:rsidRDefault="00344AF0" w:rsidP="00344AF0">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9B8F899" w14:textId="77777777" w:rsidR="00344AF0" w:rsidRPr="004218E1" w:rsidRDefault="00344AF0" w:rsidP="00344AF0">
      <w:pPr>
        <w:shd w:val="clear" w:color="auto" w:fill="FFFFFF"/>
        <w:spacing w:after="0" w:line="240" w:lineRule="auto"/>
        <w:ind w:left="709" w:right="709"/>
        <w:jc w:val="both"/>
        <w:rPr>
          <w:rFonts w:ascii="Verdana" w:eastAsia="Calibri" w:hAnsi="Verdana" w:cs="Arial"/>
          <w:sz w:val="21"/>
          <w:szCs w:val="21"/>
          <w:lang w:val="es-ES"/>
        </w:rPr>
      </w:pPr>
    </w:p>
    <w:p w14:paraId="2825F7ED" w14:textId="77777777" w:rsidR="00344AF0" w:rsidRPr="004218E1" w:rsidRDefault="00344AF0" w:rsidP="00344AF0">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18E1">
        <w:rPr>
          <w:rFonts w:ascii="Verdana" w:eastAsia="Calibri" w:hAnsi="Verdana" w:cs="Arial"/>
          <w:sz w:val="21"/>
          <w:szCs w:val="21"/>
          <w:vertAlign w:val="superscript"/>
          <w:lang w:val="es-ES"/>
        </w:rPr>
        <w:footnoteReference w:id="4"/>
      </w:r>
    </w:p>
    <w:p w14:paraId="53A4F99E" w14:textId="77777777" w:rsidR="00344AF0" w:rsidRPr="0060163E" w:rsidRDefault="00344AF0" w:rsidP="00344AF0">
      <w:pPr>
        <w:shd w:val="clear" w:color="auto" w:fill="FFFFFF"/>
        <w:spacing w:after="0" w:line="240" w:lineRule="auto"/>
        <w:ind w:left="709" w:right="709"/>
        <w:jc w:val="both"/>
        <w:rPr>
          <w:rFonts w:ascii="Verdana" w:eastAsia="Calibri" w:hAnsi="Verdana" w:cs="Arial"/>
          <w:lang w:val="es-ES"/>
        </w:rPr>
      </w:pPr>
    </w:p>
    <w:p w14:paraId="7B08F6EA" w14:textId="77777777" w:rsidR="00344AF0" w:rsidRPr="0060163E" w:rsidRDefault="00344AF0" w:rsidP="00344AF0">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21F56B04" w14:textId="77777777" w:rsidR="00344AF0" w:rsidRPr="004218E1" w:rsidRDefault="00344AF0" w:rsidP="00344AF0">
      <w:pPr>
        <w:spacing w:after="0" w:line="276" w:lineRule="auto"/>
        <w:rPr>
          <w:rFonts w:ascii="Verdana" w:eastAsia="Times New Roman" w:hAnsi="Verdana" w:cs="Arial"/>
          <w:sz w:val="21"/>
          <w:szCs w:val="21"/>
          <w:shd w:val="clear" w:color="auto" w:fill="FFFFFF"/>
          <w:lang w:eastAsia="es-ES_tradnl"/>
        </w:rPr>
      </w:pPr>
    </w:p>
    <w:p w14:paraId="5F17439B"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se erige en causal de nulidad del contrato celebrado en esas condiciones (ley 80 de 1993, art. 44).</w:t>
      </w:r>
    </w:p>
    <w:p w14:paraId="1A897245"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p>
    <w:p w14:paraId="25F17631"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 xml:space="preserve">. </w:t>
      </w:r>
    </w:p>
    <w:p w14:paraId="3B500753" w14:textId="77777777" w:rsidR="00344AF0" w:rsidRPr="0060163E" w:rsidRDefault="00344AF0" w:rsidP="00344AF0">
      <w:pPr>
        <w:spacing w:after="0" w:line="276" w:lineRule="auto"/>
        <w:ind w:right="709"/>
        <w:jc w:val="both"/>
        <w:rPr>
          <w:rFonts w:ascii="Verdana" w:eastAsia="Calibri" w:hAnsi="Verdana" w:cs="Arial"/>
          <w:lang w:val="es-MX"/>
        </w:rPr>
      </w:pPr>
    </w:p>
    <w:p w14:paraId="0835C69C" w14:textId="77777777" w:rsidR="00344AF0" w:rsidRPr="0060163E" w:rsidRDefault="00344AF0" w:rsidP="00344AF0">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1210FEC7" w14:textId="77777777" w:rsidR="00344AF0" w:rsidRPr="0060163E" w:rsidRDefault="00344AF0" w:rsidP="00344AF0">
      <w:pPr>
        <w:tabs>
          <w:tab w:val="left" w:pos="1532"/>
        </w:tabs>
        <w:spacing w:after="0" w:line="276" w:lineRule="auto"/>
        <w:jc w:val="both"/>
        <w:rPr>
          <w:rFonts w:ascii="Verdana" w:eastAsia="Calibri" w:hAnsi="Verdana" w:cs="Arial"/>
          <w:lang w:val="es-MX"/>
        </w:rPr>
      </w:pPr>
    </w:p>
    <w:p w14:paraId="310AE34C"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4218E1">
        <w:rPr>
          <w:rFonts w:ascii="Verdana" w:eastAsia="Calibri" w:hAnsi="Verdana" w:cs="Arial"/>
          <w:sz w:val="21"/>
          <w:szCs w:val="21"/>
          <w:lang w:val="es-MX"/>
        </w:rPr>
        <w:t>libertate</w:t>
      </w:r>
      <w:proofErr w:type="spellEnd"/>
      <w:r w:rsidRPr="004218E1">
        <w:rPr>
          <w:rFonts w:ascii="Verdana" w:eastAsia="Calibri" w:hAnsi="Verdana" w:cs="Arial"/>
          <w:sz w:val="21"/>
          <w:szCs w:val="21"/>
          <w:lang w:val="es-MX"/>
        </w:rPr>
        <w:t xml:space="preserve">, sino el de legalidad, el que ordena que </w:t>
      </w:r>
      <w:r w:rsidRPr="004218E1">
        <w:rPr>
          <w:rFonts w:ascii="Verdana" w:eastAsia="Calibri" w:hAnsi="Verdana" w:cs="Arial"/>
          <w:sz w:val="21"/>
          <w:szCs w:val="21"/>
          <w:lang w:val="es-MX"/>
        </w:rPr>
        <w:lastRenderedPageBreak/>
        <w:t xml:space="preserve">la función pública debe someterse estrictamente a lo que disponga la Constitución y la ley (CP art. 6). </w:t>
      </w:r>
    </w:p>
    <w:p w14:paraId="09BEADA2"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 </w:t>
      </w:r>
    </w:p>
    <w:p w14:paraId="7317DD37" w14:textId="77777777" w:rsidR="00344AF0" w:rsidRPr="004218E1" w:rsidRDefault="00344AF0" w:rsidP="00344AF0">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Se comprende con facilidad que 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4218E1">
        <w:rPr>
          <w:rFonts w:ascii="Verdana" w:eastAsia="Calibri" w:hAnsi="Verdana" w:cs="Arial"/>
          <w:sz w:val="21"/>
          <w:szCs w:val="21"/>
          <w:vertAlign w:val="superscript"/>
          <w:lang w:val="es-MX"/>
        </w:rPr>
        <w:footnoteReference w:id="6"/>
      </w:r>
      <w:r w:rsidRPr="004218E1">
        <w:rPr>
          <w:rFonts w:ascii="Verdana" w:eastAsia="Calibri" w:hAnsi="Verdana" w:cs="Arial"/>
          <w:sz w:val="21"/>
          <w:szCs w:val="21"/>
          <w:lang w:val="es-MX"/>
        </w:rPr>
        <w:t>.</w:t>
      </w:r>
    </w:p>
    <w:p w14:paraId="758E7E1D" w14:textId="77777777" w:rsidR="00344AF0" w:rsidRPr="0060163E" w:rsidRDefault="00344AF0" w:rsidP="00344AF0">
      <w:pPr>
        <w:spacing w:after="0" w:line="276" w:lineRule="auto"/>
        <w:ind w:left="709" w:right="709"/>
        <w:jc w:val="both"/>
        <w:rPr>
          <w:rFonts w:ascii="Verdana" w:eastAsia="Calibri" w:hAnsi="Verdana" w:cs="Arial"/>
          <w:lang w:val="es-MX"/>
        </w:rPr>
      </w:pPr>
    </w:p>
    <w:p w14:paraId="7689178B" w14:textId="77777777" w:rsidR="00344AF0" w:rsidRPr="0060163E" w:rsidRDefault="00344AF0" w:rsidP="00344AF0">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7"/>
      </w:r>
      <w:r w:rsidRPr="0060163E">
        <w:rPr>
          <w:rFonts w:ascii="Verdana" w:eastAsia="Calibri" w:hAnsi="Verdana" w:cs="Arial"/>
          <w:lang w:val="es-MX"/>
        </w:rPr>
        <w:t>.</w:t>
      </w:r>
    </w:p>
    <w:p w14:paraId="045916D4" w14:textId="77777777" w:rsidR="00344AF0" w:rsidRPr="0060163E" w:rsidRDefault="00344AF0" w:rsidP="00344AF0">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8"/>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68CD62B5" w14:textId="77777777" w:rsidR="00344AF0" w:rsidRPr="0060163E" w:rsidRDefault="00344AF0" w:rsidP="00344AF0">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2A50B397" w14:textId="77777777" w:rsidR="00344AF0" w:rsidRPr="0060163E" w:rsidRDefault="00344AF0" w:rsidP="00344AF0">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w:t>
      </w:r>
      <w:r w:rsidRPr="0060163E">
        <w:rPr>
          <w:rFonts w:ascii="Verdana" w:eastAsia="Calibri" w:hAnsi="Verdana" w:cs="Arial"/>
          <w:lang w:val="es-ES_tradnl"/>
        </w:rPr>
        <w:lastRenderedPageBreak/>
        <w:t xml:space="preserve">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9"/>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750668AA" w14:textId="77777777" w:rsidR="00344AF0" w:rsidRPr="0060163E" w:rsidRDefault="00344AF0" w:rsidP="00344AF0">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xml:space="preserve">. </w:t>
      </w:r>
    </w:p>
    <w:p w14:paraId="11EA4689" w14:textId="77777777" w:rsidR="00344AF0" w:rsidRPr="0060163E" w:rsidRDefault="00344AF0" w:rsidP="00344AF0">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1"/>
      </w:r>
      <w:r w:rsidRPr="0060163E">
        <w:rPr>
          <w:rFonts w:ascii="Verdana" w:eastAsia="Calibri" w:hAnsi="Verdana" w:cs="Arial"/>
          <w:lang w:val="es-ES_tradnl"/>
        </w:rPr>
        <w:t>. En tal sentido, la Sección Tercera ha señalado que:</w:t>
      </w:r>
    </w:p>
    <w:p w14:paraId="63A0A426" w14:textId="77777777" w:rsidR="00344AF0" w:rsidRPr="0060163E" w:rsidRDefault="00344AF0" w:rsidP="00344AF0">
      <w:pPr>
        <w:spacing w:after="0" w:line="276" w:lineRule="auto"/>
        <w:ind w:firstLine="709"/>
        <w:jc w:val="both"/>
        <w:rPr>
          <w:rFonts w:ascii="Verdana" w:eastAsia="Calibri" w:hAnsi="Verdana" w:cs="Arial"/>
          <w:lang w:val="es-ES_tradnl"/>
        </w:rPr>
      </w:pPr>
    </w:p>
    <w:p w14:paraId="24C6305B" w14:textId="77777777" w:rsidR="00344AF0" w:rsidRPr="004218E1" w:rsidRDefault="00344AF0" w:rsidP="00344AF0">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18E1">
        <w:rPr>
          <w:rFonts w:ascii="Verdana" w:eastAsia="Calibri" w:hAnsi="Verdana" w:cs="Arial"/>
          <w:sz w:val="21"/>
          <w:szCs w:val="21"/>
          <w:vertAlign w:val="superscript"/>
          <w:lang w:val="es-ES_tradnl"/>
        </w:rPr>
        <w:footnoteReference w:id="12"/>
      </w:r>
      <w:r w:rsidRPr="004218E1">
        <w:rPr>
          <w:rFonts w:ascii="Verdana" w:eastAsia="Calibri" w:hAnsi="Verdana" w:cs="Arial"/>
          <w:sz w:val="21"/>
          <w:szCs w:val="21"/>
          <w:lang w:val="es-ES_tradnl"/>
        </w:rPr>
        <w:t>.</w:t>
      </w:r>
    </w:p>
    <w:p w14:paraId="6239D1C6" w14:textId="77777777" w:rsidR="00344AF0" w:rsidRPr="004218E1" w:rsidRDefault="00344AF0" w:rsidP="00344AF0">
      <w:pPr>
        <w:spacing w:after="0" w:line="240" w:lineRule="auto"/>
        <w:ind w:firstLine="709"/>
        <w:jc w:val="both"/>
        <w:rPr>
          <w:rFonts w:ascii="Verdana" w:eastAsia="Calibri" w:hAnsi="Verdana" w:cs="Arial"/>
          <w:sz w:val="21"/>
          <w:szCs w:val="21"/>
          <w:lang w:val="es-ES_tradnl"/>
        </w:rPr>
      </w:pPr>
    </w:p>
    <w:p w14:paraId="5F31740A" w14:textId="77777777" w:rsidR="00344AF0" w:rsidRPr="004218E1" w:rsidRDefault="00344AF0" w:rsidP="00344AF0">
      <w:pPr>
        <w:spacing w:after="0" w:line="240" w:lineRule="auto"/>
        <w:ind w:firstLine="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También ha dicho que:</w:t>
      </w:r>
    </w:p>
    <w:p w14:paraId="073D9F0B" w14:textId="77777777" w:rsidR="00344AF0" w:rsidRPr="004218E1" w:rsidRDefault="00344AF0" w:rsidP="00344AF0">
      <w:pPr>
        <w:spacing w:after="0" w:line="240" w:lineRule="auto"/>
        <w:ind w:left="709" w:right="616"/>
        <w:jc w:val="both"/>
        <w:rPr>
          <w:rFonts w:ascii="Verdana" w:eastAsia="Calibri" w:hAnsi="Verdana" w:cs="Arial"/>
          <w:sz w:val="21"/>
          <w:szCs w:val="21"/>
          <w:lang w:val="es-ES"/>
        </w:rPr>
      </w:pPr>
      <w:r w:rsidRPr="004218E1">
        <w:rPr>
          <w:rFonts w:ascii="Verdana" w:eastAsia="Calibri" w:hAnsi="Verdana" w:cs="Arial"/>
          <w:sz w:val="21"/>
          <w:szCs w:val="21"/>
          <w:lang w:val="es-ES"/>
        </w:rPr>
        <w:lastRenderedPageBreak/>
        <w:t xml:space="preserve">[…] la aplicación de estos preceptos exige una interpretación restrictiva, dado que según el principio hermenéutico </w:t>
      </w:r>
      <w:r w:rsidRPr="004218E1">
        <w:rPr>
          <w:rFonts w:ascii="Verdana" w:eastAsia="Calibri" w:hAnsi="Verdana" w:cs="Arial"/>
          <w:i/>
          <w:iCs/>
          <w:sz w:val="21"/>
          <w:szCs w:val="21"/>
          <w:lang w:val="es-ES"/>
        </w:rPr>
        <w:t xml:space="preserve">pro </w:t>
      </w:r>
      <w:proofErr w:type="spellStart"/>
      <w:r w:rsidRPr="004218E1">
        <w:rPr>
          <w:rFonts w:ascii="Verdana" w:eastAsia="Calibri" w:hAnsi="Verdana" w:cs="Arial"/>
          <w:i/>
          <w:iCs/>
          <w:sz w:val="21"/>
          <w:szCs w:val="21"/>
          <w:lang w:val="es-ES"/>
        </w:rPr>
        <w:t>libertate</w:t>
      </w:r>
      <w:proofErr w:type="spellEnd"/>
      <w:r w:rsidRPr="004218E1">
        <w:rPr>
          <w:rFonts w:ascii="Verdana" w:eastAsia="Calibri"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18E1">
        <w:rPr>
          <w:rFonts w:ascii="Verdana" w:eastAsia="Calibri" w:hAnsi="Verdana" w:cs="Arial"/>
          <w:sz w:val="21"/>
          <w:szCs w:val="21"/>
          <w:vertAlign w:val="superscript"/>
          <w:lang w:val="es-ES"/>
        </w:rPr>
        <w:footnoteReference w:id="13"/>
      </w:r>
      <w:r w:rsidRPr="004218E1">
        <w:rPr>
          <w:rFonts w:ascii="Verdana" w:eastAsia="Calibri" w:hAnsi="Verdana" w:cs="Arial"/>
          <w:sz w:val="21"/>
          <w:szCs w:val="21"/>
          <w:lang w:val="es-ES"/>
        </w:rPr>
        <w:t>.</w:t>
      </w:r>
    </w:p>
    <w:p w14:paraId="620B22B0" w14:textId="77777777" w:rsidR="00344AF0" w:rsidRPr="0060163E" w:rsidRDefault="00344AF0" w:rsidP="00344AF0">
      <w:pPr>
        <w:spacing w:after="0" w:line="276" w:lineRule="auto"/>
        <w:jc w:val="both"/>
        <w:rPr>
          <w:rFonts w:ascii="Verdana" w:eastAsia="Arial" w:hAnsi="Verdana" w:cs="Arial"/>
          <w:color w:val="000000"/>
          <w:lang w:val="es-ES_tradnl"/>
        </w:rPr>
      </w:pPr>
    </w:p>
    <w:p w14:paraId="603EB4E5" w14:textId="77777777" w:rsidR="00344AF0" w:rsidRPr="0060163E" w:rsidRDefault="00344AF0" w:rsidP="00344AF0">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4"/>
      </w:r>
    </w:p>
    <w:p w14:paraId="60AE91CD" w14:textId="77777777" w:rsidR="00344AF0" w:rsidRPr="0060163E" w:rsidRDefault="00344AF0" w:rsidP="00344AF0">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5"/>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6"/>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 xml:space="preserve">existe consenso, incluso como lo ha </w:t>
      </w:r>
      <w:r w:rsidRPr="0060163E">
        <w:rPr>
          <w:rFonts w:ascii="Verdana" w:eastAsia="MS Mincho" w:hAnsi="Verdana" w:cs="Arial"/>
          <w:color w:val="000000"/>
          <w:shd w:val="clear" w:color="auto" w:fill="FFFFFF"/>
        </w:rPr>
        <w:lastRenderedPageBreak/>
        <w:t>expresado esta Agencia en ocasiones anteriores, que la creación de inhabilidades o incompatibilidades está reservada al constituyente o al legislador.</w:t>
      </w:r>
    </w:p>
    <w:p w14:paraId="241C52CC" w14:textId="77777777" w:rsidR="00344AF0" w:rsidRPr="00FF2FD4" w:rsidRDefault="00344AF0" w:rsidP="00344AF0">
      <w:pPr>
        <w:spacing w:after="0" w:line="276" w:lineRule="auto"/>
        <w:jc w:val="both"/>
        <w:rPr>
          <w:rFonts w:ascii="Verdana" w:eastAsia="Calibri" w:hAnsi="Verdana" w:cs="Arial"/>
          <w:b/>
          <w:lang w:val="es-ES_tradnl"/>
        </w:rPr>
      </w:pPr>
    </w:p>
    <w:p w14:paraId="6DA1101B" w14:textId="77777777" w:rsidR="00344AF0" w:rsidRPr="00320A10" w:rsidRDefault="00344AF0" w:rsidP="00344AF0">
      <w:pPr>
        <w:widowControl w:val="0"/>
        <w:autoSpaceDE w:val="0"/>
        <w:autoSpaceDN w:val="0"/>
        <w:spacing w:before="120" w:after="0" w:line="276" w:lineRule="auto"/>
        <w:jc w:val="both"/>
        <w:rPr>
          <w:rFonts w:ascii="Verdana" w:eastAsia="Arial MT" w:hAnsi="Verdana" w:cs="Arial"/>
        </w:rPr>
      </w:pPr>
      <w:proofErr w:type="spellStart"/>
      <w:r w:rsidRPr="7A6FFA76">
        <w:rPr>
          <w:rFonts w:ascii="Verdana" w:eastAsia="Calibri" w:hAnsi="Verdana" w:cs="Arial"/>
          <w:lang w:val="es-ES"/>
        </w:rPr>
        <w:t>ii</w:t>
      </w:r>
      <w:proofErr w:type="spellEnd"/>
      <w:r w:rsidRPr="7A6FFA76">
        <w:rPr>
          <w:rFonts w:ascii="Verdana" w:eastAsia="Calibri" w:hAnsi="Verdana" w:cs="Arial"/>
          <w:lang w:val="es-ES"/>
        </w:rPr>
        <w:t xml:space="preserve">. </w:t>
      </w:r>
      <w:r w:rsidRPr="00320A10">
        <w:rPr>
          <w:rFonts w:ascii="Verdana" w:eastAsia="Arial" w:hAnsi="Verdana" w:cs="Arial"/>
          <w:color w:val="000000"/>
          <w:lang w:val="es-MX" w:eastAsia="es-CO"/>
        </w:rPr>
        <w:t xml:space="preserve">En esta medida, la Corte Constitucional explica que </w:t>
      </w:r>
      <w:r w:rsidRPr="00320A10">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20A10">
        <w:rPr>
          <w:rFonts w:ascii="Verdana" w:eastAsia="Aptos" w:hAnsi="Verdana" w:cs="Arial"/>
          <w:i/>
          <w:iCs/>
          <w:vertAlign w:val="superscript"/>
          <w:lang w:val="es-ES"/>
        </w:rPr>
        <w:footnoteReference w:id="17"/>
      </w:r>
      <w:r w:rsidRPr="00320A10">
        <w:rPr>
          <w:rFonts w:ascii="Verdana" w:eastAsia="Aptos" w:hAnsi="Verdana" w:cs="Arial"/>
          <w:i/>
          <w:iCs/>
          <w:lang w:val="es-ES"/>
        </w:rPr>
        <w:t xml:space="preserve">. </w:t>
      </w:r>
      <w:r w:rsidRPr="00320A10">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56F3DE42" w14:textId="77777777" w:rsidR="00344AF0" w:rsidRPr="00320A10" w:rsidRDefault="00344AF0" w:rsidP="00344AF0">
      <w:pPr>
        <w:widowControl w:val="0"/>
        <w:autoSpaceDE w:val="0"/>
        <w:autoSpaceDN w:val="0"/>
        <w:spacing w:before="120" w:after="0" w:line="276" w:lineRule="auto"/>
        <w:ind w:firstLine="708"/>
        <w:jc w:val="both"/>
        <w:rPr>
          <w:rFonts w:ascii="Verdana" w:eastAsia="Calibri" w:hAnsi="Verdana" w:cs="Arial"/>
        </w:rPr>
      </w:pPr>
      <w:r w:rsidRPr="00320A10">
        <w:rPr>
          <w:rFonts w:ascii="Verdana" w:eastAsia="Calibri" w:hAnsi="Verdana" w:cs="Arial"/>
        </w:rPr>
        <w:t>Así pues, debe precisarse que las inhabilidades resultan ser límites especiales a la capacidad para presentar ofertas y celebrar contratos estatales y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64A26CF4" w14:textId="77777777" w:rsidR="00344AF0" w:rsidRPr="00320A10" w:rsidRDefault="00344AF0" w:rsidP="00344AF0">
      <w:pPr>
        <w:widowControl w:val="0"/>
        <w:autoSpaceDE w:val="0"/>
        <w:autoSpaceDN w:val="0"/>
        <w:spacing w:before="120" w:after="0" w:line="276" w:lineRule="auto"/>
        <w:ind w:firstLine="708"/>
        <w:jc w:val="both"/>
        <w:rPr>
          <w:rFonts w:ascii="Verdana" w:eastAsia="Calibri" w:hAnsi="Verdana" w:cs="Arial"/>
          <w:shd w:val="clear" w:color="auto" w:fill="FFFFFF"/>
        </w:rPr>
      </w:pPr>
      <w:r w:rsidRPr="00320A10">
        <w:rPr>
          <w:rFonts w:ascii="Verdana" w:eastAsia="Calibri" w:hAnsi="Verdana" w:cs="Arial"/>
          <w:shd w:val="clear" w:color="auto" w:fill="FFFFFF"/>
        </w:rPr>
        <w:t xml:space="preserve">Ahora bien, con el fin de atender el objeto de su consulta, es preciso indicar que, al analizarse el régimen de inhabilidades, se observa que el solo reporte en el Registro Nacional de Medidas Correctivas no genera per se una causal inhabilidad para celebrar contratos con las entidades públicas, puesto que, de acuerdo con el artículo 2.2.8.3.1 del Decreto </w:t>
      </w:r>
      <w:r>
        <w:rPr>
          <w:rFonts w:ascii="Verdana" w:eastAsia="Calibri" w:hAnsi="Verdana" w:cs="Arial"/>
          <w:shd w:val="clear" w:color="auto" w:fill="FFFFFF"/>
        </w:rPr>
        <w:t xml:space="preserve">1070 de 2015 adicionado por el Decreto </w:t>
      </w:r>
      <w:r w:rsidRPr="00320A10">
        <w:rPr>
          <w:rFonts w:ascii="Verdana" w:eastAsia="Calibri" w:hAnsi="Verdana" w:cs="Arial"/>
          <w:shd w:val="clear" w:color="auto" w:fill="FFFFFF"/>
        </w:rPr>
        <w:t>1284 de 2017 “</w:t>
      </w:r>
      <w:r w:rsidRPr="004745AC">
        <w:rPr>
          <w:rFonts w:ascii="Verdana" w:eastAsia="Calibri" w:hAnsi="Verdana" w:cs="Arial"/>
          <w:bCs/>
          <w:shd w:val="clear" w:color="auto" w:fill="FFFFFF"/>
        </w:rPr>
        <w:t>por medio del cual se adiciona el Título 8 a la Parte 2 del Libro 2 del Decreto 1070 de 2015 ´Decreto Único Reglamentario del Sector Administrativo de Defensa´, para reglamentar parcialmente el Código Nacional de Policía y Convivencia</w:t>
      </w:r>
      <w:r w:rsidRPr="004745AC">
        <w:rPr>
          <w:rFonts w:ascii="Verdana" w:eastAsia="Calibri" w:hAnsi="Verdana" w:cs="Arial"/>
        </w:rPr>
        <w:t xml:space="preserve">”, </w:t>
      </w:r>
      <w:r w:rsidRPr="00320A10">
        <w:rPr>
          <w:rFonts w:ascii="Verdana" w:eastAsia="Calibri" w:hAnsi="Verdana" w:cs="Arial"/>
        </w:rPr>
        <w:t>es un sistema a cargo de la Policía Nacional que tiene como objetivo recolectar información sobre la persona infractora de un comportamiento contrario a la convivencia, el tipo de medida correctiva impuesta</w:t>
      </w:r>
      <w:r>
        <w:rPr>
          <w:rStyle w:val="Refdenotaalpie"/>
          <w:rFonts w:ascii="Verdana" w:eastAsia="Calibri" w:hAnsi="Verdana" w:cs="Arial"/>
        </w:rPr>
        <w:footnoteReference w:id="18"/>
      </w:r>
      <w:r w:rsidRPr="00320A10">
        <w:rPr>
          <w:rFonts w:ascii="Verdana" w:eastAsia="Calibri" w:hAnsi="Verdana" w:cs="Arial"/>
        </w:rPr>
        <w:t xml:space="preserve">, el estado de pago de la multa o el cumplimiento de la medida </w:t>
      </w:r>
      <w:r w:rsidRPr="00320A10">
        <w:rPr>
          <w:rFonts w:ascii="Verdana" w:eastAsia="Calibri" w:hAnsi="Verdana" w:cs="Arial"/>
        </w:rPr>
        <w:lastRenderedPageBreak/>
        <w:t>correctiva.</w:t>
      </w:r>
    </w:p>
    <w:p w14:paraId="463ACAD2" w14:textId="77777777" w:rsidR="00344AF0" w:rsidRDefault="00344AF0" w:rsidP="00344AF0">
      <w:pPr>
        <w:widowControl w:val="0"/>
        <w:autoSpaceDE w:val="0"/>
        <w:autoSpaceDN w:val="0"/>
        <w:spacing w:before="120" w:after="120" w:line="276" w:lineRule="auto"/>
        <w:ind w:firstLine="709"/>
        <w:jc w:val="both"/>
        <w:rPr>
          <w:rFonts w:ascii="Verdana" w:eastAsia="Calibri" w:hAnsi="Verdana" w:cs="Arial"/>
        </w:rPr>
      </w:pPr>
      <w:r w:rsidRPr="00320A10">
        <w:rPr>
          <w:rFonts w:ascii="Verdana" w:eastAsia="Calibri" w:hAnsi="Verdana" w:cs="Arial"/>
        </w:rPr>
        <w:t>Sin embargo, debe precisarse que, en caso de que la persona a la cual se le haya impuesto como medida correctiva el pago de multas y esta se encuentre en mora por un término de seis (6) meses, el numeral 4 del artículo 183 de la Ley 1801 de 2016 por la cual se expide el Código Nacional de Seguridad y Convivencia Ciudadana, establece como consecuencia de dicha mora en el pago, que “hasta tanto no se ponga al día la persona no podrá: […] Contratar o renovar contrato con cualquier entidad del Estado”.</w:t>
      </w:r>
      <w:r>
        <w:rPr>
          <w:rFonts w:ascii="Verdana" w:eastAsia="Calibri" w:hAnsi="Verdana" w:cs="Arial"/>
        </w:rPr>
        <w:t xml:space="preserve"> Entonces se constituye</w:t>
      </w:r>
      <w:r w:rsidRPr="00320A10">
        <w:rPr>
          <w:rFonts w:ascii="Verdana" w:eastAsia="Calibri" w:hAnsi="Verdana" w:cs="Arial"/>
        </w:rPr>
        <w:t>, lo anterior, como una causal de inhabilidad prevista en la ley para celebrar o renovar contratos con las entidades públicas.</w:t>
      </w:r>
      <w:r>
        <w:rPr>
          <w:rFonts w:ascii="Verdana" w:eastAsia="Calibri" w:hAnsi="Verdana" w:cs="Arial"/>
        </w:rPr>
        <w:t xml:space="preserve"> </w:t>
      </w:r>
    </w:p>
    <w:p w14:paraId="5883AFA2" w14:textId="77777777" w:rsidR="00344AF0" w:rsidRDefault="00344AF0" w:rsidP="00344AF0">
      <w:pPr>
        <w:widowControl w:val="0"/>
        <w:autoSpaceDE w:val="0"/>
        <w:autoSpaceDN w:val="0"/>
        <w:spacing w:before="120" w:after="120" w:line="276" w:lineRule="auto"/>
        <w:ind w:firstLine="709"/>
        <w:jc w:val="both"/>
        <w:rPr>
          <w:rFonts w:ascii="Verdana" w:eastAsia="Calibri" w:hAnsi="Verdana" w:cs="Arial"/>
        </w:rPr>
      </w:pPr>
      <w:r w:rsidRPr="00320A10">
        <w:rPr>
          <w:rFonts w:ascii="Verdana" w:eastAsia="Calibri" w:hAnsi="Verdana" w:cs="Arial"/>
        </w:rPr>
        <w:t>De otra parte, resulta necesario tener en cuenta que el literal a) del artículo 8 de la Ley 80 de 1993, establece la siguiente causal de inhabilidad para suscribir contratos con el estado: “a) Las personas que se hallen inhabilitadas para contratar po</w:t>
      </w:r>
      <w:r>
        <w:rPr>
          <w:rFonts w:ascii="Verdana" w:eastAsia="Calibri" w:hAnsi="Verdana" w:cs="Arial"/>
        </w:rPr>
        <w:t xml:space="preserve">r la Constitución y las leyes”. A partir de una interpretación sistemática con el numeral 4° del artículo 183 de la Ley 1801 de 2016, se encuentra que existe una inhabilidad para celebrar o renovar contratos con el Estado cuando </w:t>
      </w:r>
      <w:r w:rsidRPr="0048633F">
        <w:rPr>
          <w:rFonts w:ascii="Verdana" w:eastAsia="Calibri" w:hAnsi="Verdana" w:cs="Arial"/>
        </w:rPr>
        <w:t>transcurridos seis meses desde la fecha de imposición de la multa, esta no ha sido pagada con sus debidos intereses</w:t>
      </w:r>
      <w:r>
        <w:rPr>
          <w:rFonts w:ascii="Verdana" w:eastAsia="Calibri" w:hAnsi="Verdana" w:cs="Arial"/>
        </w:rPr>
        <w:t xml:space="preserve">. En torno a esta causal, la Corte Constitucional en la Sentencia C-054 de 2019 expresa: </w:t>
      </w:r>
    </w:p>
    <w:p w14:paraId="4EF5AF6B" w14:textId="77777777" w:rsidR="00344AF0" w:rsidRDefault="00344AF0" w:rsidP="00344AF0">
      <w:pPr>
        <w:widowControl w:val="0"/>
        <w:autoSpaceDE w:val="0"/>
        <w:autoSpaceDN w:val="0"/>
        <w:spacing w:after="0" w:line="240" w:lineRule="auto"/>
        <w:ind w:left="709" w:right="709" w:firstLine="709"/>
        <w:jc w:val="both"/>
        <w:rPr>
          <w:rFonts w:ascii="Verdana" w:eastAsia="Calibri" w:hAnsi="Verdana" w:cs="Arial"/>
        </w:rPr>
      </w:pPr>
    </w:p>
    <w:p w14:paraId="42578658" w14:textId="77777777" w:rsidR="00344AF0" w:rsidRDefault="00344AF0" w:rsidP="00344AF0">
      <w:pPr>
        <w:widowControl w:val="0"/>
        <w:autoSpaceDE w:val="0"/>
        <w:autoSpaceDN w:val="0"/>
        <w:spacing w:after="0" w:line="240" w:lineRule="auto"/>
        <w:ind w:left="709" w:right="709"/>
        <w:jc w:val="both"/>
        <w:rPr>
          <w:rFonts w:ascii="Verdana" w:hAnsi="Verdana" w:cs="Arial"/>
          <w:sz w:val="21"/>
          <w:szCs w:val="21"/>
        </w:rPr>
      </w:pPr>
      <w:r w:rsidRPr="003B5178">
        <w:rPr>
          <w:rFonts w:ascii="Verdana" w:hAnsi="Verdana" w:cs="Arial"/>
          <w:sz w:val="21"/>
          <w:szCs w:val="21"/>
        </w:rPr>
        <w:t xml:space="preserve">La Sala acudió al juicio de proporcionalidad, con miras a verificar la idoneidad, necesidad y proporcionalidad en sentido estricto de las consecuencias previstas en los dos numerales acusados. Tras su aplicación, concluyó que: (i) los numerales 4 (que impide contratar o renovar contrato con cualquier entidad del Estado) y 5 (que restringe la obtención o renovación del registro mercantil en las cámaras de comercio) son exequibles, dado que son medidas idóneas para obtener </w:t>
      </w:r>
      <w:r w:rsidRPr="003B5178">
        <w:rPr>
          <w:rFonts w:ascii="Verdana" w:hAnsi="Verdana" w:cs="Arial"/>
          <w:sz w:val="21"/>
          <w:szCs w:val="21"/>
        </w:rPr>
        <w:lastRenderedPageBreak/>
        <w:t>el pago de las multas, necesarias, ante la ausencia de otras que evidentemente afecten con menor intensidad otros principios, y proporcionadas en sentido estricto, puesto que restringen principios </w:t>
      </w:r>
      <w:r w:rsidRPr="003B5178">
        <w:rPr>
          <w:rFonts w:ascii="Verdana" w:hAnsi="Verdana" w:cs="Arial"/>
          <w:i/>
          <w:iCs/>
          <w:sz w:val="21"/>
          <w:szCs w:val="21"/>
        </w:rPr>
        <w:t>prima facie </w:t>
      </w:r>
      <w:r w:rsidRPr="003B5178">
        <w:rPr>
          <w:rFonts w:ascii="Verdana" w:hAnsi="Verdana" w:cs="Arial"/>
          <w:sz w:val="21"/>
          <w:szCs w:val="21"/>
        </w:rPr>
        <w:t>menos relevantes, como el ejercicio del comercio y la libertad negocial</w:t>
      </w:r>
      <w:r>
        <w:rPr>
          <w:rStyle w:val="Refdenotaalpie"/>
          <w:rFonts w:ascii="Verdana" w:hAnsi="Verdana" w:cs="Arial"/>
          <w:sz w:val="21"/>
          <w:szCs w:val="21"/>
        </w:rPr>
        <w:footnoteReference w:id="19"/>
      </w:r>
      <w:r w:rsidRPr="003B5178">
        <w:rPr>
          <w:rFonts w:ascii="Verdana" w:hAnsi="Verdana" w:cs="Arial"/>
          <w:sz w:val="21"/>
          <w:szCs w:val="21"/>
        </w:rPr>
        <w:t>.</w:t>
      </w:r>
    </w:p>
    <w:p w14:paraId="32C9BC14" w14:textId="77777777" w:rsidR="00344AF0" w:rsidRPr="00320A10" w:rsidRDefault="00344AF0" w:rsidP="00344AF0">
      <w:pPr>
        <w:widowControl w:val="0"/>
        <w:autoSpaceDE w:val="0"/>
        <w:autoSpaceDN w:val="0"/>
        <w:spacing w:after="0" w:line="240" w:lineRule="auto"/>
        <w:ind w:left="709" w:right="709"/>
        <w:jc w:val="both"/>
        <w:rPr>
          <w:rFonts w:ascii="Verdana" w:hAnsi="Verdana" w:cs="Arial"/>
          <w:sz w:val="21"/>
          <w:szCs w:val="21"/>
        </w:rPr>
      </w:pPr>
    </w:p>
    <w:p w14:paraId="00412A81" w14:textId="77777777" w:rsidR="00344AF0" w:rsidRDefault="00344AF0" w:rsidP="00344AF0">
      <w:pPr>
        <w:widowControl w:val="0"/>
        <w:autoSpaceDE w:val="0"/>
        <w:autoSpaceDN w:val="0"/>
        <w:spacing w:after="120" w:line="276" w:lineRule="auto"/>
        <w:ind w:firstLine="708"/>
        <w:jc w:val="both"/>
        <w:rPr>
          <w:rFonts w:ascii="Verdana" w:eastAsia="Aptos" w:hAnsi="Verdana" w:cs="Arial"/>
        </w:rPr>
      </w:pPr>
      <w:r>
        <w:rPr>
          <w:rFonts w:ascii="Verdana" w:eastAsia="Aptos" w:hAnsi="Verdana" w:cs="Arial"/>
        </w:rPr>
        <w:t xml:space="preserve">De este modo, la inhabilidad para contratar con las entidades estatales se limita al no pago de la multa transcurridos seis meses desde la fecha de imposición de esta, con sus debidos intereses, </w:t>
      </w:r>
      <w:proofErr w:type="gramStart"/>
      <w:r>
        <w:rPr>
          <w:rFonts w:ascii="Verdana" w:eastAsia="Aptos" w:hAnsi="Verdana" w:cs="Arial"/>
        </w:rPr>
        <w:t>y</w:t>
      </w:r>
      <w:proofErr w:type="gramEnd"/>
      <w:r>
        <w:rPr>
          <w:rFonts w:ascii="Verdana" w:eastAsia="Aptos" w:hAnsi="Verdana" w:cs="Arial"/>
        </w:rPr>
        <w:t xml:space="preserve"> por tanto, no es posible aplicar estos mismos efectos a las diferentes medidas correctivas prescritas en la Ley 1801 de 2016. En efecto</w:t>
      </w:r>
      <w:r w:rsidRPr="007521C8">
        <w:rPr>
          <w:rFonts w:ascii="Verdana" w:eastAsia="Aptos" w:hAnsi="Verdana" w:cs="Arial"/>
          <w:bCs/>
        </w:rPr>
        <w:t>, es importante recordar que no es permitido hacer una interpretación extensiva de los efectos jurídicos de inhabilidades e inco</w:t>
      </w:r>
      <w:r>
        <w:rPr>
          <w:rFonts w:ascii="Verdana" w:eastAsia="Aptos" w:hAnsi="Verdana" w:cs="Arial"/>
          <w:bCs/>
        </w:rPr>
        <w:t>mpatibilidades, en cuanto a las medidas correctivas diferentes a la multa</w:t>
      </w:r>
      <w:r w:rsidRPr="007521C8">
        <w:rPr>
          <w:rFonts w:ascii="Verdana" w:eastAsia="Aptos" w:hAnsi="Verdana" w:cs="Arial"/>
          <w:bCs/>
        </w:rPr>
        <w:t>, para la celebración de contratos estatales, 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w:t>
      </w:r>
      <w:r>
        <w:rPr>
          <w:rFonts w:ascii="Verdana" w:eastAsia="Aptos" w:hAnsi="Verdana" w:cs="Arial"/>
          <w:bCs/>
        </w:rPr>
        <w:t xml:space="preserve">a medida correctiva </w:t>
      </w:r>
      <w:r w:rsidRPr="007521C8">
        <w:rPr>
          <w:rFonts w:ascii="Verdana" w:eastAsia="Aptos" w:hAnsi="Verdana" w:cs="Arial"/>
          <w:bCs/>
        </w:rPr>
        <w:t>implica restricciones para contratar con el Estado.</w:t>
      </w:r>
    </w:p>
    <w:p w14:paraId="5F08452B" w14:textId="77777777" w:rsidR="00344AF0" w:rsidRPr="00E908AA" w:rsidRDefault="00344AF0" w:rsidP="00344AF0">
      <w:pPr>
        <w:spacing w:after="120" w:line="276" w:lineRule="auto"/>
        <w:ind w:firstLine="709"/>
        <w:jc w:val="both"/>
        <w:rPr>
          <w:rFonts w:ascii="Verdana" w:eastAsia="Calibri" w:hAnsi="Verdana" w:cs="Arial"/>
          <w:bCs/>
          <w:lang w:val="es-ES"/>
        </w:rPr>
      </w:pPr>
      <w:r>
        <w:rPr>
          <w:rFonts w:ascii="Verdana" w:eastAsia="Calibri" w:hAnsi="Verdana" w:cs="Arial"/>
          <w:bCs/>
          <w:lang w:val="es-ES_tradnl"/>
        </w:rPr>
        <w:t xml:space="preserve">En tal sentido, </w:t>
      </w:r>
      <w:r w:rsidRPr="00E908AA">
        <w:rPr>
          <w:rFonts w:ascii="Verdana" w:eastAsia="Calibri" w:hAnsi="Verdana" w:cs="Arial"/>
          <w:bC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5B526633" w14:textId="0EAD91B6" w:rsidR="00344AF0" w:rsidRDefault="00344AF0" w:rsidP="00344AF0">
      <w:pPr>
        <w:spacing w:after="0" w:line="276" w:lineRule="auto"/>
        <w:jc w:val="both"/>
        <w:rPr>
          <w:rFonts w:ascii="Verdana" w:eastAsia="Arial" w:hAnsi="Verdana" w:cs="Arial"/>
          <w:lang w:val="es-ES_tradnl"/>
        </w:rPr>
      </w:pPr>
    </w:p>
    <w:p w14:paraId="33BBAFF6" w14:textId="568DA308" w:rsidR="008F4E35" w:rsidRDefault="008F4E35" w:rsidP="00344AF0">
      <w:pPr>
        <w:spacing w:after="0" w:line="276" w:lineRule="auto"/>
        <w:jc w:val="both"/>
        <w:rPr>
          <w:rFonts w:ascii="Verdana" w:eastAsia="Arial" w:hAnsi="Verdana" w:cs="Arial"/>
          <w:lang w:val="es-ES_tradnl"/>
        </w:rPr>
      </w:pPr>
    </w:p>
    <w:p w14:paraId="12B453DC" w14:textId="77777777" w:rsidR="008F4E35" w:rsidRPr="00FF2FD4" w:rsidRDefault="008F4E35" w:rsidP="00344AF0">
      <w:pPr>
        <w:spacing w:after="0" w:line="276" w:lineRule="auto"/>
        <w:jc w:val="both"/>
        <w:rPr>
          <w:rFonts w:ascii="Verdana" w:eastAsia="Arial" w:hAnsi="Verdana" w:cs="Arial"/>
          <w:lang w:val="es-ES_tradnl"/>
        </w:rPr>
      </w:pPr>
    </w:p>
    <w:p w14:paraId="0327AA1E" w14:textId="77777777" w:rsidR="00344AF0" w:rsidRPr="0060163E" w:rsidRDefault="00344AF0" w:rsidP="00344AF0">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23B5F07B" w14:textId="77777777" w:rsidR="00344AF0" w:rsidRPr="0060163E" w:rsidRDefault="00344AF0" w:rsidP="00344AF0">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44AF0" w:rsidRPr="0060163E" w14:paraId="512A5FCE" w14:textId="77777777" w:rsidTr="00705DBF">
        <w:trPr>
          <w:trHeight w:val="487"/>
          <w:jc w:val="center"/>
        </w:trPr>
        <w:tc>
          <w:tcPr>
            <w:tcW w:w="8647" w:type="dxa"/>
          </w:tcPr>
          <w:p w14:paraId="15D75F47" w14:textId="77777777" w:rsidR="00344AF0"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Ley 80 de 1993, artículos </w:t>
            </w:r>
            <w:r>
              <w:rPr>
                <w:rFonts w:ascii="Verdana" w:hAnsi="Verdana" w:cs="Arial"/>
                <w:lang w:val="es-ES"/>
              </w:rPr>
              <w:t xml:space="preserve">8 y 9. </w:t>
            </w:r>
          </w:p>
          <w:p w14:paraId="026EE0F1" w14:textId="77777777" w:rsidR="00344AF0" w:rsidRDefault="00344AF0" w:rsidP="00344AF0">
            <w:pPr>
              <w:numPr>
                <w:ilvl w:val="0"/>
                <w:numId w:val="26"/>
              </w:numPr>
              <w:spacing w:before="120" w:after="120" w:line="276" w:lineRule="auto"/>
              <w:ind w:left="640" w:hanging="357"/>
              <w:jc w:val="both"/>
              <w:rPr>
                <w:rFonts w:ascii="Verdana" w:hAnsi="Verdana" w:cs="Arial"/>
                <w:lang w:val="es-ES"/>
              </w:rPr>
            </w:pPr>
            <w:r w:rsidRPr="00011DE3">
              <w:rPr>
                <w:rFonts w:ascii="Verdana" w:hAnsi="Verdana" w:cs="Arial"/>
                <w:lang w:val="es-ES"/>
              </w:rPr>
              <w:t xml:space="preserve">Ley 1801 de 2016. Artículos </w:t>
            </w:r>
            <w:r>
              <w:rPr>
                <w:rFonts w:ascii="Verdana" w:hAnsi="Verdana" w:cs="Arial"/>
                <w:lang w:val="es-ES"/>
              </w:rPr>
              <w:t xml:space="preserve">173, </w:t>
            </w:r>
            <w:r w:rsidRPr="00011DE3">
              <w:rPr>
                <w:rFonts w:ascii="Verdana" w:hAnsi="Verdana" w:cs="Arial"/>
                <w:lang w:val="es-ES"/>
              </w:rPr>
              <w:t>183 y 184</w:t>
            </w:r>
          </w:p>
          <w:p w14:paraId="72B82F3A" w14:textId="77777777" w:rsidR="00344AF0" w:rsidRPr="00011DE3" w:rsidRDefault="00344AF0" w:rsidP="00344AF0">
            <w:pPr>
              <w:numPr>
                <w:ilvl w:val="0"/>
                <w:numId w:val="26"/>
              </w:numPr>
              <w:spacing w:before="120" w:after="120" w:line="276" w:lineRule="auto"/>
              <w:ind w:left="640" w:hanging="357"/>
              <w:jc w:val="both"/>
              <w:rPr>
                <w:rFonts w:ascii="Verdana" w:hAnsi="Verdana" w:cs="Arial"/>
                <w:lang w:val="es-ES"/>
              </w:rPr>
            </w:pPr>
            <w:r>
              <w:rPr>
                <w:rFonts w:ascii="Verdana" w:hAnsi="Verdana" w:cs="Arial"/>
                <w:lang w:val="es-ES"/>
              </w:rPr>
              <w:lastRenderedPageBreak/>
              <w:t>Decreto 1072 de 2015, a</w:t>
            </w:r>
            <w:r w:rsidRPr="00011DE3">
              <w:rPr>
                <w:rFonts w:ascii="Verdana" w:hAnsi="Verdana" w:cs="Arial"/>
                <w:lang w:val="es-ES"/>
              </w:rPr>
              <w:t>rtículo 2.2.8.3.1</w:t>
            </w:r>
            <w:r>
              <w:rPr>
                <w:rFonts w:ascii="Verdana" w:hAnsi="Verdana" w:cs="Arial"/>
                <w:lang w:val="es-ES"/>
              </w:rPr>
              <w:t xml:space="preserve"> adicionado por el Decreto 1284 de 2017. </w:t>
            </w:r>
          </w:p>
          <w:p w14:paraId="1EF8AE53"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CONSEJO DE ESTADO. Sala de Consulta y Servicio Civil. Concepto del 29 de abril de 1998. Rad. 1097. C.P. Augusto Trejos Jaramillo.</w:t>
            </w:r>
          </w:p>
          <w:p w14:paraId="45446012"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Sala de Consulta y Servicio Civil. Concepto del 10 de agosto de 2006. </w:t>
            </w:r>
            <w:proofErr w:type="spellStart"/>
            <w:r w:rsidRPr="000A7D76">
              <w:rPr>
                <w:rFonts w:ascii="Verdana" w:hAnsi="Verdana" w:cs="Arial"/>
                <w:lang w:val="es-ES"/>
              </w:rPr>
              <w:t>Exp</w:t>
            </w:r>
            <w:proofErr w:type="spellEnd"/>
            <w:r w:rsidRPr="000A7D76">
              <w:rPr>
                <w:rFonts w:ascii="Verdana" w:hAnsi="Verdana" w:cs="Arial"/>
                <w:lang w:val="es-ES"/>
              </w:rPr>
              <w:t xml:space="preserve">. 1.767. C.P. Luis Fernando Álvarez Jaramillo. </w:t>
            </w:r>
          </w:p>
          <w:p w14:paraId="6B267C09"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Concepto del 23 de marzo de 2011. </w:t>
            </w:r>
            <w:proofErr w:type="spellStart"/>
            <w:r w:rsidRPr="000A7D76">
              <w:rPr>
                <w:rFonts w:ascii="Verdana" w:hAnsi="Verdana" w:cs="Arial"/>
                <w:lang w:val="es-ES"/>
              </w:rPr>
              <w:t>Exp</w:t>
            </w:r>
            <w:proofErr w:type="spellEnd"/>
            <w:r w:rsidRPr="000A7D76">
              <w:rPr>
                <w:rFonts w:ascii="Verdana" w:hAnsi="Verdana" w:cs="Arial"/>
                <w:lang w:val="es-ES"/>
              </w:rPr>
              <w:t xml:space="preserve">. 2.045. C.P. Enrique José Arboleda Perdomo. </w:t>
            </w:r>
          </w:p>
          <w:p w14:paraId="3E715BE2"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Sección Tercera. Subsección C. Sentencia del 22 de mayo de 2013. Rad. 24.057. C.P. Olga Mélida Valle De </w:t>
            </w:r>
            <w:proofErr w:type="spellStart"/>
            <w:r w:rsidRPr="000A7D76">
              <w:rPr>
                <w:rFonts w:ascii="Verdana" w:hAnsi="Verdana" w:cs="Arial"/>
                <w:lang w:val="es-ES"/>
              </w:rPr>
              <w:t>De</w:t>
            </w:r>
            <w:proofErr w:type="spellEnd"/>
            <w:r w:rsidRPr="000A7D76">
              <w:rPr>
                <w:rFonts w:ascii="Verdana" w:hAnsi="Verdana" w:cs="Arial"/>
                <w:lang w:val="es-ES"/>
              </w:rPr>
              <w:t xml:space="preserve"> La Hoz.</w:t>
            </w:r>
          </w:p>
          <w:p w14:paraId="1DDEB543"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Sección Tercera. Subsección A. Sentencia del 13 de noviembre de 2013. Rad. 25.646. C.P. Mauricio Fajardo Gómez.  </w:t>
            </w:r>
          </w:p>
          <w:p w14:paraId="03DC7BBF"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Sala de Consulta y Servicio Civil. Concepto del 30 de abril de 2015. </w:t>
            </w:r>
            <w:proofErr w:type="spellStart"/>
            <w:r w:rsidRPr="000A7D76">
              <w:rPr>
                <w:rFonts w:ascii="Verdana" w:hAnsi="Verdana" w:cs="Arial"/>
                <w:lang w:val="es-ES"/>
              </w:rPr>
              <w:t>Exp</w:t>
            </w:r>
            <w:proofErr w:type="spellEnd"/>
            <w:r w:rsidRPr="000A7D76">
              <w:rPr>
                <w:rFonts w:ascii="Verdana" w:hAnsi="Verdana" w:cs="Arial"/>
                <w:lang w:val="es-ES"/>
              </w:rPr>
              <w:t xml:space="preserve">. 2251. C.P. Álvaro </w:t>
            </w:r>
            <w:proofErr w:type="spellStart"/>
            <w:r w:rsidRPr="000A7D76">
              <w:rPr>
                <w:rFonts w:ascii="Verdana" w:hAnsi="Verdana" w:cs="Arial"/>
                <w:lang w:val="es-ES"/>
              </w:rPr>
              <w:t>Namén</w:t>
            </w:r>
            <w:proofErr w:type="spellEnd"/>
            <w:r w:rsidRPr="000A7D76">
              <w:rPr>
                <w:rFonts w:ascii="Verdana" w:hAnsi="Verdana" w:cs="Arial"/>
                <w:lang w:val="es-ES"/>
              </w:rPr>
              <w:t xml:space="preserve"> Vargas.</w:t>
            </w:r>
          </w:p>
          <w:p w14:paraId="3C840EE7"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Sección Tercera. Subsección A. Sentencia del 24 de junio de 2015. </w:t>
            </w:r>
            <w:proofErr w:type="spellStart"/>
            <w:r w:rsidRPr="000A7D76">
              <w:rPr>
                <w:rFonts w:ascii="Verdana" w:hAnsi="Verdana" w:cs="Arial"/>
                <w:lang w:val="es-ES"/>
              </w:rPr>
              <w:t>Exp</w:t>
            </w:r>
            <w:proofErr w:type="spellEnd"/>
            <w:r w:rsidRPr="000A7D76">
              <w:rPr>
                <w:rFonts w:ascii="Verdana" w:hAnsi="Verdana" w:cs="Arial"/>
                <w:lang w:val="es-ES"/>
              </w:rPr>
              <w:t>. 40.635. C.P. Hernán Andrade Rincón (E).</w:t>
            </w:r>
          </w:p>
          <w:p w14:paraId="313C7675" w14:textId="77777777" w:rsidR="00344AF0"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CONSEJO DE ESTADO. Sección Tercera. Subsección B. Sentencia del 12 de diciembre de 2014. </w:t>
            </w:r>
            <w:proofErr w:type="spellStart"/>
            <w:r w:rsidRPr="000A7D76">
              <w:rPr>
                <w:rFonts w:ascii="Verdana" w:hAnsi="Verdana" w:cs="Arial"/>
                <w:lang w:val="es-ES"/>
              </w:rPr>
              <w:t>Exp</w:t>
            </w:r>
            <w:proofErr w:type="spellEnd"/>
            <w:r w:rsidRPr="000A7D76">
              <w:rPr>
                <w:rFonts w:ascii="Verdana" w:hAnsi="Verdana" w:cs="Arial"/>
                <w:lang w:val="es-ES"/>
              </w:rPr>
              <w:t>. 26496. C.P. Ramiro Pazos Guerrero.</w:t>
            </w:r>
          </w:p>
          <w:p w14:paraId="7799255E"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CORTE CONSTITUCIONAL. Sentencia C-415 de 1994. M.P. Eduardo Cifuentes Muñoz.</w:t>
            </w:r>
          </w:p>
          <w:p w14:paraId="493B7033"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CORTE CONSTITUCIONAL. Sentencia C-181 de 1997. M.P. Fabio Morón Díaz. </w:t>
            </w:r>
          </w:p>
          <w:p w14:paraId="084C217C"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CORTE CONSTITUCIONAL. Sentencia C-780 de 2001. M.P. Jaime Córdoba Triviño. </w:t>
            </w:r>
          </w:p>
          <w:p w14:paraId="6BAD3410"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CORTE CONSTITUCIONAL. Sentencia T-1039 de 2006. M.P. Humberto Sierra Porto. </w:t>
            </w:r>
          </w:p>
          <w:p w14:paraId="6EB3357B"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CORTE CONSTITUCIONAL. Sentencia C-903 de 2008. M.P. Jaime Araujo Rentería.</w:t>
            </w:r>
          </w:p>
          <w:p w14:paraId="6C17B0A2" w14:textId="77777777" w:rsidR="00344AF0" w:rsidRPr="000A7D76"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CORTE CONSTITUCIONAL. Sentencia C-1016 de 2012. M.P. Jorge Iván Palacio.</w:t>
            </w:r>
          </w:p>
          <w:p w14:paraId="63E027EB" w14:textId="77777777" w:rsidR="00344AF0"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lastRenderedPageBreak/>
              <w:t>CORTE CONSTITUCIONAL. Sentencia C-101 de 2018. M.P. Gloria Stella Ortiz Delgado.</w:t>
            </w:r>
          </w:p>
          <w:p w14:paraId="29683FF5" w14:textId="77777777" w:rsidR="00344AF0" w:rsidRPr="00011DE3" w:rsidRDefault="00344AF0" w:rsidP="00344AF0">
            <w:pPr>
              <w:numPr>
                <w:ilvl w:val="0"/>
                <w:numId w:val="26"/>
              </w:numPr>
              <w:spacing w:before="120" w:after="120" w:line="276" w:lineRule="auto"/>
              <w:ind w:left="640" w:hanging="357"/>
              <w:jc w:val="both"/>
              <w:rPr>
                <w:rFonts w:ascii="Verdana" w:hAnsi="Verdana" w:cs="Arial"/>
                <w:lang w:val="es-ES"/>
              </w:rPr>
            </w:pPr>
            <w:r w:rsidRPr="00011DE3">
              <w:rPr>
                <w:rFonts w:ascii="Verdana" w:hAnsi="Verdana" w:cs="Arial"/>
              </w:rPr>
              <w:t xml:space="preserve">CORTE CONSTITUCIONAL. Sentencia C- 054 de 2019. M.P. Diana Fajardo Rivera. </w:t>
            </w:r>
          </w:p>
          <w:p w14:paraId="1F6A6ED3" w14:textId="77777777" w:rsidR="00344AF0" w:rsidRPr="0060163E" w:rsidRDefault="00344AF0" w:rsidP="00344AF0">
            <w:pPr>
              <w:numPr>
                <w:ilvl w:val="0"/>
                <w:numId w:val="26"/>
              </w:numPr>
              <w:spacing w:before="120" w:after="120" w:line="276" w:lineRule="auto"/>
              <w:ind w:left="640" w:hanging="357"/>
              <w:jc w:val="both"/>
              <w:rPr>
                <w:rFonts w:ascii="Verdana" w:hAnsi="Verdana" w:cs="Arial"/>
                <w:lang w:val="es-ES"/>
              </w:rPr>
            </w:pPr>
            <w:r w:rsidRPr="000A7D76">
              <w:rPr>
                <w:rFonts w:ascii="Verdana" w:hAnsi="Verdana" w:cs="Arial"/>
                <w:lang w:val="es-ES"/>
              </w:rPr>
              <w:t>DAVILA VINUEZA, Luis Guillermo Régimen jurídico de la contratación estatal: aproximación crítica a Ley 80 de 1993. 3ª ed. Bogotá: Legis, 2016.</w:t>
            </w:r>
          </w:p>
        </w:tc>
      </w:tr>
    </w:tbl>
    <w:p w14:paraId="61AA42CB" w14:textId="77777777" w:rsidR="00344AF0" w:rsidRPr="0060163E" w:rsidRDefault="00344AF0" w:rsidP="00344AF0">
      <w:pPr>
        <w:spacing w:after="0" w:line="276" w:lineRule="auto"/>
        <w:ind w:left="360"/>
        <w:contextualSpacing/>
        <w:rPr>
          <w:rFonts w:ascii="Verdana" w:eastAsia="Calibri" w:hAnsi="Verdana" w:cs="Times New Roman"/>
          <w:b/>
          <w:bCs/>
          <w:lang w:val="es-ES"/>
        </w:rPr>
      </w:pPr>
    </w:p>
    <w:p w14:paraId="5BD1413B" w14:textId="77777777" w:rsidR="00344AF0" w:rsidRPr="0060163E" w:rsidRDefault="00344AF0" w:rsidP="00344AF0">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05C06C53" w14:textId="77777777" w:rsidR="00344AF0" w:rsidRPr="0060163E" w:rsidRDefault="00344AF0" w:rsidP="00344AF0">
      <w:pPr>
        <w:spacing w:after="0" w:line="276" w:lineRule="auto"/>
        <w:rPr>
          <w:rFonts w:ascii="Verdana" w:eastAsia="Calibri" w:hAnsi="Verdana" w:cs="Times New Roman"/>
          <w:lang w:val="es-ES"/>
        </w:rPr>
      </w:pPr>
    </w:p>
    <w:p w14:paraId="4208513E" w14:textId="77777777" w:rsidR="00344AF0" w:rsidRDefault="00344AF0" w:rsidP="00344AF0">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del 19 de marzo de 2025, C-392 del 8 de mayo de 2025, C-632 del 2 de julio de 2025, </w:t>
      </w:r>
      <w:r w:rsidRPr="00640340">
        <w:rPr>
          <w:rFonts w:ascii="Verdana" w:hAnsi="Verdana" w:cs="Arial"/>
          <w:shd w:val="clear" w:color="auto" w:fill="FFFFFF"/>
          <w:lang w:val="es-ES"/>
        </w:rPr>
        <w:t xml:space="preserve">entre otros. </w:t>
      </w:r>
      <w:r>
        <w:rPr>
          <w:rFonts w:ascii="Verdana" w:hAnsi="Verdana" w:cs="Arial"/>
          <w:shd w:val="clear" w:color="auto" w:fill="FFFFFF"/>
          <w:lang w:val="es-ES"/>
        </w:rPr>
        <w:t xml:space="preserve">En cuanto a las medidas correctivas, se expiden los conceptos: C-552 del 16 de octubre de 2024, C-709 </w:t>
      </w:r>
      <w:r>
        <w:rPr>
          <w:rFonts w:ascii="Verdana" w:hAnsi="Verdana" w:cs="Arial"/>
          <w:shd w:val="clear" w:color="auto" w:fill="FFFFFF"/>
          <w:lang w:val="es-ES"/>
        </w:rPr>
        <w:lastRenderedPageBreak/>
        <w:t xml:space="preserve">del 21 de noviembre de 2024, C-395 del 6 de mayo de 2025, entre otros. </w:t>
      </w:r>
    </w:p>
    <w:p w14:paraId="54218DFD" w14:textId="77777777" w:rsidR="00344AF0" w:rsidRPr="00C30833" w:rsidRDefault="00344AF0" w:rsidP="00344AF0">
      <w:pPr>
        <w:widowControl w:val="0"/>
        <w:autoSpaceDE w:val="0"/>
        <w:autoSpaceDN w:val="0"/>
        <w:spacing w:after="0" w:line="276" w:lineRule="auto"/>
        <w:jc w:val="both"/>
        <w:rPr>
          <w:rFonts w:ascii="Verdana" w:eastAsia="Calibri" w:hAnsi="Verdana" w:cs="Times New Roman"/>
          <w:lang w:val="es-ES"/>
        </w:rPr>
      </w:pPr>
    </w:p>
    <w:p w14:paraId="26511447" w14:textId="77777777" w:rsidR="00344AF0" w:rsidRPr="00EC0E3F" w:rsidRDefault="00344AF0" w:rsidP="00344AF0">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0F83BAD1" w14:textId="77777777" w:rsidR="00344AF0" w:rsidRDefault="00344AF0" w:rsidP="00344AF0">
      <w:pPr>
        <w:widowControl w:val="0"/>
        <w:autoSpaceDE w:val="0"/>
        <w:autoSpaceDN w:val="0"/>
        <w:spacing w:after="0" w:line="276" w:lineRule="auto"/>
        <w:jc w:val="both"/>
        <w:rPr>
          <w:rFonts w:ascii="Verdana" w:eastAsia="Calibri" w:hAnsi="Verdana" w:cs="Times New Roman"/>
        </w:rPr>
      </w:pPr>
    </w:p>
    <w:p w14:paraId="4BA2A14B" w14:textId="77777777" w:rsidR="00344AF0" w:rsidRPr="0060163E" w:rsidRDefault="00344AF0" w:rsidP="00344AF0">
      <w:pPr>
        <w:widowControl w:val="0"/>
        <w:autoSpaceDE w:val="0"/>
        <w:autoSpaceDN w:val="0"/>
        <w:spacing w:after="0" w:line="276" w:lineRule="auto"/>
        <w:jc w:val="both"/>
        <w:rPr>
          <w:rFonts w:ascii="Verdana" w:eastAsia="Calibri" w:hAnsi="Verdana" w:cs="Times New Roman"/>
        </w:rPr>
      </w:pP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39128B05" w14:textId="77777777" w:rsidR="00344AF0" w:rsidRPr="0060163E" w:rsidRDefault="00344AF0" w:rsidP="00344AF0">
      <w:pPr>
        <w:spacing w:after="0" w:line="276" w:lineRule="auto"/>
        <w:jc w:val="both"/>
        <w:rPr>
          <w:rFonts w:ascii="Verdana" w:hAnsi="Verdana"/>
        </w:rPr>
      </w:pPr>
    </w:p>
    <w:p w14:paraId="176C1151" w14:textId="77777777" w:rsidR="00344AF0" w:rsidRPr="0060163E" w:rsidRDefault="00344AF0" w:rsidP="00344AF0">
      <w:pPr>
        <w:spacing w:after="0" w:line="276" w:lineRule="auto"/>
        <w:jc w:val="both"/>
        <w:rPr>
          <w:rFonts w:ascii="Verdana" w:hAnsi="Verdana"/>
        </w:rPr>
      </w:pPr>
      <w:r w:rsidRPr="0060163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7E10361" w14:textId="77777777" w:rsidR="00344AF0" w:rsidRPr="0060163E" w:rsidRDefault="00344AF0" w:rsidP="00344AF0">
      <w:pPr>
        <w:spacing w:after="0" w:line="276" w:lineRule="auto"/>
        <w:jc w:val="both"/>
        <w:rPr>
          <w:rFonts w:ascii="Verdana" w:hAnsi="Verdana"/>
        </w:rPr>
      </w:pPr>
    </w:p>
    <w:p w14:paraId="7E4B677E" w14:textId="77777777" w:rsidR="00344AF0" w:rsidRPr="0060163E" w:rsidRDefault="00344AF0" w:rsidP="00344AF0">
      <w:pPr>
        <w:numPr>
          <w:ilvl w:val="0"/>
          <w:numId w:val="15"/>
        </w:numPr>
        <w:spacing w:after="0" w:line="276" w:lineRule="auto"/>
        <w:contextualSpacing/>
        <w:jc w:val="both"/>
        <w:rPr>
          <w:rFonts w:ascii="Verdana" w:hAnsi="Verdana"/>
          <w:lang w:val="es-ES"/>
        </w:rPr>
      </w:pPr>
      <w:r w:rsidRPr="0060163E">
        <w:rPr>
          <w:rFonts w:ascii="Verdana" w:hAnsi="Verdana"/>
          <w:lang w:val="es-ES"/>
        </w:rPr>
        <w:t>Línea nacional gratuita o servicio a la ciudadanía: 01800 0520808</w:t>
      </w:r>
    </w:p>
    <w:p w14:paraId="2DCE4303" w14:textId="77777777" w:rsidR="00344AF0" w:rsidRPr="0060163E" w:rsidRDefault="00344AF0" w:rsidP="00344AF0">
      <w:pPr>
        <w:numPr>
          <w:ilvl w:val="0"/>
          <w:numId w:val="15"/>
        </w:numPr>
        <w:spacing w:after="0" w:line="276" w:lineRule="auto"/>
        <w:contextualSpacing/>
        <w:jc w:val="both"/>
        <w:rPr>
          <w:rFonts w:ascii="Verdana" w:hAnsi="Verdana"/>
          <w:lang w:val="es-ES"/>
        </w:rPr>
      </w:pPr>
      <w:r w:rsidRPr="0060163E">
        <w:rPr>
          <w:rFonts w:ascii="Verdana" w:hAnsi="Verdana"/>
          <w:lang w:val="es-ES"/>
        </w:rPr>
        <w:t>Línea en Bogotá (Mesa de servicio): +57 601 7456788</w:t>
      </w:r>
    </w:p>
    <w:p w14:paraId="5CED95D7" w14:textId="77777777" w:rsidR="00344AF0" w:rsidRPr="0060163E" w:rsidRDefault="00344AF0" w:rsidP="00344AF0">
      <w:pPr>
        <w:numPr>
          <w:ilvl w:val="0"/>
          <w:numId w:val="15"/>
        </w:numPr>
        <w:spacing w:after="0" w:line="276" w:lineRule="auto"/>
        <w:contextualSpacing/>
        <w:jc w:val="both"/>
        <w:rPr>
          <w:rFonts w:ascii="Verdana" w:hAnsi="Verdana"/>
          <w:lang w:val="es-ES"/>
        </w:rPr>
      </w:pPr>
      <w:r w:rsidRPr="0060163E">
        <w:rPr>
          <w:rFonts w:ascii="Verdana" w:hAnsi="Verdana"/>
          <w:lang w:val="es-ES"/>
        </w:rPr>
        <w:t>Línea de servicio y atención al ciudadano: +57 601 7956600</w:t>
      </w:r>
    </w:p>
    <w:p w14:paraId="219A4B73" w14:textId="77777777" w:rsidR="00344AF0" w:rsidRPr="0060163E" w:rsidRDefault="00344AF0" w:rsidP="00344AF0">
      <w:pPr>
        <w:numPr>
          <w:ilvl w:val="0"/>
          <w:numId w:val="15"/>
        </w:numPr>
        <w:spacing w:after="0" w:line="276" w:lineRule="auto"/>
        <w:contextualSpacing/>
        <w:jc w:val="both"/>
        <w:rPr>
          <w:rFonts w:ascii="Verdana" w:hAnsi="Verdana"/>
          <w:lang w:val="es-ES"/>
        </w:rPr>
      </w:pPr>
      <w:r w:rsidRPr="0060163E">
        <w:rPr>
          <w:rFonts w:ascii="Verdana" w:hAnsi="Verdana"/>
          <w:lang w:val="es-ES"/>
        </w:rPr>
        <w:t xml:space="preserve">Página web: </w:t>
      </w:r>
      <w:hyperlink r:id="rId14" w:history="1">
        <w:r w:rsidRPr="0060163E">
          <w:rPr>
            <w:rFonts w:ascii="Verdana" w:hAnsi="Verdana"/>
            <w:color w:val="0000FF"/>
            <w:u w:val="single"/>
            <w:lang w:val="es-ES"/>
          </w:rPr>
          <w:t>www.colombiacompra.gov.co</w:t>
        </w:r>
      </w:hyperlink>
    </w:p>
    <w:p w14:paraId="374D354C" w14:textId="77777777" w:rsidR="00344AF0" w:rsidRPr="0060163E" w:rsidRDefault="00344AF0" w:rsidP="00344AF0">
      <w:pPr>
        <w:spacing w:after="0" w:line="276" w:lineRule="auto"/>
        <w:ind w:left="785"/>
        <w:contextualSpacing/>
        <w:jc w:val="both"/>
        <w:rPr>
          <w:rFonts w:ascii="Verdana" w:hAnsi="Verdana"/>
          <w:lang w:val="es-ES"/>
        </w:rPr>
      </w:pPr>
    </w:p>
    <w:p w14:paraId="28027921" w14:textId="77777777" w:rsidR="00344AF0" w:rsidRPr="0060163E" w:rsidRDefault="00344AF0" w:rsidP="00344AF0">
      <w:pPr>
        <w:spacing w:after="0" w:line="276" w:lineRule="auto"/>
        <w:jc w:val="both"/>
        <w:rPr>
          <w:rFonts w:ascii="Verdana" w:hAnsi="Verdana"/>
        </w:rPr>
      </w:pPr>
      <w:r w:rsidRPr="0060163E">
        <w:rPr>
          <w:rFonts w:ascii="Verdana" w:hAnsi="Verdana"/>
        </w:rPr>
        <w:t xml:space="preserve">Por último, lo invitamos a seguirnos en las redes sociales en las cuales se difunde información institucional: </w:t>
      </w:r>
    </w:p>
    <w:p w14:paraId="01EDBCA3" w14:textId="77777777" w:rsidR="00344AF0" w:rsidRPr="0060163E" w:rsidRDefault="00344AF0" w:rsidP="00344AF0">
      <w:pPr>
        <w:spacing w:after="0" w:line="276" w:lineRule="auto"/>
        <w:jc w:val="both"/>
        <w:rPr>
          <w:rFonts w:ascii="Verdana" w:hAnsi="Verdana"/>
        </w:rPr>
      </w:pPr>
    </w:p>
    <w:p w14:paraId="186A5DEF" w14:textId="77777777" w:rsidR="00344AF0" w:rsidRPr="0060163E" w:rsidRDefault="00344AF0" w:rsidP="00344AF0">
      <w:pPr>
        <w:spacing w:after="0" w:line="276" w:lineRule="auto"/>
        <w:jc w:val="both"/>
        <w:rPr>
          <w:rFonts w:ascii="Verdana" w:hAnsi="Verdana"/>
        </w:rPr>
      </w:pPr>
      <w:r w:rsidRPr="0060163E">
        <w:rPr>
          <w:rFonts w:ascii="Verdana" w:hAnsi="Verdana"/>
        </w:rPr>
        <w:t xml:space="preserve">Twitter: </w:t>
      </w:r>
      <w:r w:rsidRPr="0060163E">
        <w:rPr>
          <w:rFonts w:ascii="Verdana" w:hAnsi="Verdana"/>
          <w:color w:val="0000FF"/>
          <w:u w:val="single"/>
        </w:rPr>
        <w:t>@colombiacompra</w:t>
      </w:r>
      <w:r w:rsidRPr="0060163E">
        <w:rPr>
          <w:rFonts w:ascii="Verdana" w:hAnsi="Verdana"/>
        </w:rPr>
        <w:t xml:space="preserve"> </w:t>
      </w:r>
    </w:p>
    <w:p w14:paraId="43A24D74" w14:textId="77777777" w:rsidR="00344AF0" w:rsidRPr="0060163E" w:rsidRDefault="00344AF0" w:rsidP="00344AF0">
      <w:pPr>
        <w:spacing w:after="0" w:line="276" w:lineRule="auto"/>
        <w:jc w:val="both"/>
        <w:rPr>
          <w:rFonts w:ascii="Verdana" w:hAnsi="Verdana"/>
        </w:rPr>
      </w:pPr>
      <w:r w:rsidRPr="0060163E">
        <w:rPr>
          <w:rFonts w:ascii="Verdana" w:hAnsi="Verdana"/>
        </w:rPr>
        <w:t xml:space="preserve">Facebook: </w:t>
      </w:r>
      <w:proofErr w:type="spellStart"/>
      <w:r w:rsidRPr="0060163E">
        <w:rPr>
          <w:rFonts w:ascii="Verdana" w:hAnsi="Verdana"/>
          <w:color w:val="0000FF"/>
          <w:u w:val="single"/>
        </w:rPr>
        <w:t>ColombiaCompraEficiente</w:t>
      </w:r>
      <w:proofErr w:type="spellEnd"/>
    </w:p>
    <w:p w14:paraId="44822B64" w14:textId="77777777" w:rsidR="00344AF0" w:rsidRPr="0060163E" w:rsidRDefault="00344AF0" w:rsidP="00344AF0">
      <w:pPr>
        <w:spacing w:after="0" w:line="276" w:lineRule="auto"/>
        <w:jc w:val="both"/>
        <w:rPr>
          <w:rFonts w:ascii="Verdana" w:hAnsi="Verdana"/>
        </w:rPr>
      </w:pPr>
      <w:r w:rsidRPr="0060163E">
        <w:rPr>
          <w:rFonts w:ascii="Verdana" w:hAnsi="Verdana"/>
        </w:rPr>
        <w:t xml:space="preserve">LinkedIn: </w:t>
      </w:r>
      <w:r w:rsidRPr="0060163E">
        <w:rPr>
          <w:rFonts w:ascii="Verdana" w:hAnsi="Verdana"/>
          <w:color w:val="0000FF"/>
          <w:u w:val="single"/>
        </w:rPr>
        <w:t>Agencia Nacional de Contratación Pública - Colombia Compra Eficiente</w:t>
      </w:r>
      <w:r w:rsidRPr="0060163E">
        <w:rPr>
          <w:rFonts w:ascii="Verdana" w:hAnsi="Verdana"/>
        </w:rPr>
        <w:t xml:space="preserve"> Instagram: </w:t>
      </w:r>
      <w:r w:rsidRPr="0060163E">
        <w:rPr>
          <w:rFonts w:ascii="Verdana" w:hAnsi="Verdana"/>
          <w:color w:val="0000FF"/>
          <w:u w:val="single"/>
        </w:rPr>
        <w:t>@colombiacompraeficiente_cce</w:t>
      </w:r>
    </w:p>
    <w:p w14:paraId="50C76369" w14:textId="77777777" w:rsidR="00344AF0" w:rsidRPr="0060163E" w:rsidRDefault="00344AF0" w:rsidP="00344AF0">
      <w:pPr>
        <w:spacing w:after="0" w:line="276" w:lineRule="auto"/>
        <w:jc w:val="both"/>
        <w:rPr>
          <w:rFonts w:ascii="Verdana" w:hAnsi="Verdana"/>
        </w:rPr>
      </w:pPr>
    </w:p>
    <w:p w14:paraId="0C3D82F2" w14:textId="77777777" w:rsidR="00344AF0" w:rsidRPr="0060163E" w:rsidRDefault="00344AF0" w:rsidP="00344AF0">
      <w:pPr>
        <w:spacing w:after="0" w:line="276" w:lineRule="auto"/>
        <w:jc w:val="both"/>
        <w:rPr>
          <w:rFonts w:ascii="Verdana" w:eastAsia="Calibri" w:hAnsi="Verdana" w:cs="Times New Roman"/>
          <w:bCs/>
          <w:lang w:val="es-ES_tradnl"/>
        </w:rPr>
      </w:pPr>
      <w:r w:rsidRPr="0060163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ED5428D" w14:textId="77777777" w:rsidR="00344AF0" w:rsidRPr="0060163E" w:rsidRDefault="00344AF0" w:rsidP="00344AF0">
      <w:pPr>
        <w:spacing w:after="0" w:line="276" w:lineRule="auto"/>
        <w:jc w:val="both"/>
        <w:rPr>
          <w:rFonts w:ascii="Verdana" w:eastAsia="Calibri" w:hAnsi="Verdana" w:cs="Times New Roman"/>
          <w:lang w:val="es-ES_tradnl"/>
        </w:rPr>
      </w:pPr>
    </w:p>
    <w:p w14:paraId="4666DD62" w14:textId="77777777" w:rsidR="00344AF0" w:rsidRPr="004745AC" w:rsidRDefault="00344AF0" w:rsidP="00344AF0">
      <w:pPr>
        <w:spacing w:after="0" w:line="276" w:lineRule="auto"/>
        <w:jc w:val="both"/>
        <w:rPr>
          <w:rFonts w:ascii="Verdana" w:hAnsi="Verdana"/>
          <w:lang w:val="es-MX"/>
        </w:rPr>
      </w:pPr>
      <w:r w:rsidRPr="0060163E">
        <w:rPr>
          <w:rFonts w:ascii="Verdana" w:hAnsi="Verdana"/>
          <w:lang w:val="es-MX"/>
        </w:rPr>
        <w:t>Cordialmente,</w:t>
      </w:r>
    </w:p>
    <w:p w14:paraId="7347E159" w14:textId="70D2594A" w:rsidR="00344AF0" w:rsidRDefault="00344AF0" w:rsidP="00344AF0">
      <w:pPr>
        <w:spacing w:after="0" w:line="256" w:lineRule="auto"/>
        <w:jc w:val="center"/>
        <w:rPr>
          <w:noProof/>
          <w:lang w:val="en-US"/>
        </w:rPr>
      </w:pPr>
    </w:p>
    <w:p w14:paraId="50B86F62" w14:textId="56B50FB0" w:rsidR="008F4E35" w:rsidRDefault="008F4E35" w:rsidP="00344AF0">
      <w:pPr>
        <w:spacing w:after="0" w:line="256" w:lineRule="auto"/>
        <w:jc w:val="center"/>
        <w:rPr>
          <w:noProof/>
          <w:lang w:val="en-US"/>
        </w:rPr>
      </w:pPr>
      <w:r w:rsidRPr="002C3AD6">
        <w:rPr>
          <w:rFonts w:ascii="Century Gothic" w:hAnsi="Century Gothic"/>
          <w:noProof/>
          <w:lang w:val="en-US"/>
        </w:rPr>
        <w:drawing>
          <wp:inline distT="0" distB="0" distL="0" distR="0" wp14:anchorId="7B27A43B" wp14:editId="3AD46EB5">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279D10FD" w14:textId="17ED07F1" w:rsidR="00344AF0" w:rsidRPr="00757EE9" w:rsidRDefault="00344AF0" w:rsidP="008F4E35">
      <w:pPr>
        <w:spacing w:after="0" w:line="256" w:lineRule="auto"/>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44AF0" w:rsidRPr="00757EE9" w14:paraId="59FD1634" w14:textId="77777777" w:rsidTr="00705DBF">
        <w:trPr>
          <w:trHeight w:val="409"/>
        </w:trPr>
        <w:tc>
          <w:tcPr>
            <w:tcW w:w="817" w:type="dxa"/>
            <w:tcBorders>
              <w:top w:val="nil"/>
              <w:left w:val="nil"/>
              <w:bottom w:val="nil"/>
              <w:right w:val="nil"/>
            </w:tcBorders>
            <w:vAlign w:val="center"/>
            <w:hideMark/>
          </w:tcPr>
          <w:p w14:paraId="4FA184EA"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274D808"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José Luis Sánchez Cardona</w:t>
            </w:r>
          </w:p>
          <w:p w14:paraId="57906845"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Contratista de la Subdirección de Gestión Contractual</w:t>
            </w:r>
          </w:p>
        </w:tc>
      </w:tr>
      <w:tr w:rsidR="00344AF0" w:rsidRPr="00757EE9" w14:paraId="452DFBC8" w14:textId="77777777" w:rsidTr="00705DBF">
        <w:trPr>
          <w:trHeight w:val="409"/>
        </w:trPr>
        <w:tc>
          <w:tcPr>
            <w:tcW w:w="817" w:type="dxa"/>
            <w:tcBorders>
              <w:top w:val="nil"/>
              <w:left w:val="nil"/>
              <w:bottom w:val="nil"/>
              <w:right w:val="nil"/>
            </w:tcBorders>
            <w:vAlign w:val="center"/>
            <w:hideMark/>
          </w:tcPr>
          <w:p w14:paraId="5D49B263"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F4D7693"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Alejandro Sarmiento Cantillo</w:t>
            </w:r>
          </w:p>
          <w:p w14:paraId="09CAD3DA"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Gestor T1-15 de la Subdirección de Gestión Contractual </w:t>
            </w:r>
          </w:p>
        </w:tc>
      </w:tr>
      <w:tr w:rsidR="00344AF0" w:rsidRPr="00757EE9" w14:paraId="5FC01769" w14:textId="77777777" w:rsidTr="00705DBF">
        <w:trPr>
          <w:trHeight w:val="389"/>
        </w:trPr>
        <w:tc>
          <w:tcPr>
            <w:tcW w:w="817" w:type="dxa"/>
            <w:tcBorders>
              <w:top w:val="nil"/>
              <w:left w:val="nil"/>
              <w:bottom w:val="nil"/>
              <w:right w:val="nil"/>
            </w:tcBorders>
            <w:vAlign w:val="center"/>
            <w:hideMark/>
          </w:tcPr>
          <w:p w14:paraId="1020FA3B"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C2C635A"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 xml:space="preserve">Carolina Quintero </w:t>
            </w:r>
            <w:proofErr w:type="spellStart"/>
            <w:r w:rsidRPr="00757EE9">
              <w:rPr>
                <w:rFonts w:ascii="Verdana" w:eastAsia="Calibri" w:hAnsi="Verdana" w:cs="Times New Roman"/>
                <w:sz w:val="16"/>
                <w:szCs w:val="16"/>
              </w:rPr>
              <w:t>Gacharná</w:t>
            </w:r>
            <w:proofErr w:type="spellEnd"/>
          </w:p>
          <w:p w14:paraId="2DEC5D32" w14:textId="77777777" w:rsidR="00344AF0" w:rsidRPr="00757EE9" w:rsidRDefault="00344AF0" w:rsidP="00705DBF">
            <w:pPr>
              <w:spacing w:after="0" w:line="256" w:lineRule="auto"/>
              <w:rPr>
                <w:rFonts w:ascii="Verdana" w:eastAsia="Calibri" w:hAnsi="Verdana" w:cs="Times New Roman"/>
                <w:sz w:val="16"/>
                <w:szCs w:val="16"/>
              </w:rPr>
            </w:pPr>
            <w:r w:rsidRPr="00757EE9">
              <w:rPr>
                <w:rFonts w:ascii="Verdana" w:eastAsia="Calibri" w:hAnsi="Verdana" w:cs="Times New Roman"/>
                <w:sz w:val="16"/>
                <w:szCs w:val="16"/>
              </w:rPr>
              <w:t>Subdirectora de Gestión Contractual ANCP – CCE</w:t>
            </w:r>
          </w:p>
        </w:tc>
      </w:tr>
    </w:tbl>
    <w:p w14:paraId="674F0596" w14:textId="77777777" w:rsidR="00344AF0" w:rsidRPr="00502A4C" w:rsidRDefault="00344AF0" w:rsidP="00344AF0"/>
    <w:p w14:paraId="5D9641A7" w14:textId="77777777" w:rsidR="00344AF0" w:rsidRPr="0044528D" w:rsidRDefault="00344AF0" w:rsidP="00344AF0">
      <w:pPr>
        <w:spacing w:after="0"/>
        <w:jc w:val="both"/>
        <w:rPr>
          <w:rStyle w:val="Hipervnculo"/>
          <w:rFonts w:ascii="Verdana" w:hAnsi="Verdana"/>
        </w:rPr>
      </w:pPr>
    </w:p>
    <w:bookmarkEnd w:id="0"/>
    <w:p w14:paraId="68618EAA" w14:textId="77777777" w:rsidR="00344AF0" w:rsidRPr="0044528D" w:rsidRDefault="00344AF0" w:rsidP="00344AF0">
      <w:pPr>
        <w:spacing w:after="0" w:line="240" w:lineRule="auto"/>
        <w:textAlignment w:val="baseline"/>
        <w:rPr>
          <w:rFonts w:ascii="Verdana" w:eastAsia="Times New Roman" w:hAnsi="Verdana" w:cs="Segoe UI"/>
          <w:b/>
          <w:bCs/>
          <w:color w:val="46589C"/>
          <w:lang w:val="es-ES" w:eastAsia="es-CO"/>
        </w:rPr>
      </w:pPr>
    </w:p>
    <w:p w14:paraId="0F293BF4" w14:textId="705FA6A7" w:rsidR="00127233" w:rsidRPr="00344AF0" w:rsidRDefault="00127233" w:rsidP="00344AF0">
      <w:pPr>
        <w:rPr>
          <w:lang w:val="es-ES"/>
        </w:rPr>
      </w:pPr>
    </w:p>
    <w:sectPr w:rsidR="00127233" w:rsidRPr="00344AF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C935" w14:textId="77777777" w:rsidR="001203A1" w:rsidRDefault="001203A1" w:rsidP="004A1847">
      <w:pPr>
        <w:spacing w:after="0" w:line="240" w:lineRule="auto"/>
      </w:pPr>
      <w:r>
        <w:separator/>
      </w:r>
    </w:p>
  </w:endnote>
  <w:endnote w:type="continuationSeparator" w:id="0">
    <w:p w14:paraId="0B6C579F" w14:textId="77777777" w:rsidR="001203A1" w:rsidRDefault="001203A1" w:rsidP="004A1847">
      <w:pPr>
        <w:spacing w:after="0" w:line="240" w:lineRule="auto"/>
      </w:pPr>
      <w:r>
        <w:continuationSeparator/>
      </w:r>
    </w:p>
  </w:endnote>
  <w:endnote w:type="continuationNotice" w:id="1">
    <w:p w14:paraId="42373E3E" w14:textId="77777777" w:rsidR="001203A1" w:rsidRDefault="001203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50BE1" w:rsidRDefault="00350BE1">
    <w:pPr>
      <w:pStyle w:val="Piedepgina"/>
    </w:pPr>
  </w:p>
  <w:p w14:paraId="594D6D9F" w14:textId="484E9454" w:rsidR="00350BE1" w:rsidRPr="00174B77" w:rsidRDefault="00350BE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0552">
      <w:rPr>
        <w:rFonts w:ascii="Verdana" w:eastAsia="MS Gothic" w:hAnsi="Verdana" w:cs="Times New Roman"/>
        <w:b/>
        <w:bCs/>
        <w:sz w:val="16"/>
        <w:szCs w:val="16"/>
        <w:lang w:val="es-ES"/>
      </w:rPr>
      <w:t xml:space="preserve">pág. </w:t>
    </w:r>
    <w:r w:rsidRPr="00380552">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380552">
      <w:rPr>
        <w:rFonts w:ascii="Verdana" w:eastAsia="MS Mincho" w:hAnsi="Verdana"/>
        <w:b/>
        <w:bCs/>
        <w:sz w:val="16"/>
        <w:szCs w:val="16"/>
      </w:rPr>
      <w:fldChar w:fldCharType="separate"/>
    </w:r>
    <w:r w:rsidR="008F4E35" w:rsidRPr="008F4E35">
      <w:rPr>
        <w:rFonts w:ascii="Verdana" w:eastAsia="MS Mincho" w:hAnsi="Verdana"/>
        <w:b/>
        <w:bCs/>
        <w:noProof/>
        <w:sz w:val="16"/>
        <w:szCs w:val="16"/>
      </w:rPr>
      <w:t>3</w:t>
    </w:r>
    <w:r w:rsidRPr="00380552">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50BE1" w:rsidRDefault="00350BE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50BE1" w:rsidRPr="00E41027" w:rsidRDefault="00350BE1"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350BE1" w:rsidRDefault="00350BE1"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FEE30" w14:textId="77777777" w:rsidR="001203A1" w:rsidRDefault="001203A1" w:rsidP="004A1847">
      <w:pPr>
        <w:spacing w:after="0" w:line="240" w:lineRule="auto"/>
      </w:pPr>
      <w:r>
        <w:separator/>
      </w:r>
    </w:p>
  </w:footnote>
  <w:footnote w:type="continuationSeparator" w:id="0">
    <w:p w14:paraId="391BB5F5" w14:textId="77777777" w:rsidR="001203A1" w:rsidRDefault="001203A1" w:rsidP="004A1847">
      <w:pPr>
        <w:spacing w:after="0" w:line="240" w:lineRule="auto"/>
      </w:pPr>
      <w:r>
        <w:continuationSeparator/>
      </w:r>
    </w:p>
  </w:footnote>
  <w:footnote w:type="continuationNotice" w:id="1">
    <w:p w14:paraId="2D4FA462" w14:textId="77777777" w:rsidR="001203A1" w:rsidRDefault="001203A1">
      <w:pPr>
        <w:spacing w:after="0" w:line="240" w:lineRule="auto"/>
      </w:pPr>
    </w:p>
  </w:footnote>
  <w:footnote w:id="2">
    <w:p w14:paraId="078BFD94" w14:textId="77777777" w:rsidR="00344AF0" w:rsidRPr="001E701A" w:rsidRDefault="00344AF0" w:rsidP="00344AF0">
      <w:pPr>
        <w:pStyle w:val="Textonotapie"/>
        <w:ind w:firstLine="708"/>
        <w:jc w:val="both"/>
        <w:rPr>
          <w:rFonts w:ascii="Verdana" w:hAnsi="Verdana"/>
          <w:sz w:val="14"/>
          <w:szCs w:val="14"/>
        </w:rPr>
      </w:pPr>
      <w:r w:rsidRPr="001E701A">
        <w:rPr>
          <w:rFonts w:ascii="Verdana" w:hAnsi="Verdana"/>
          <w:sz w:val="14"/>
          <w:szCs w:val="14"/>
          <w:vertAlign w:val="superscript"/>
        </w:rPr>
        <w:footnoteRef/>
      </w:r>
      <w:r w:rsidRPr="001E701A">
        <w:rPr>
          <w:rFonts w:ascii="Verdana" w:hAnsi="Verdana"/>
          <w:sz w:val="14"/>
          <w:szCs w:val="14"/>
        </w:rPr>
        <w:t xml:space="preserve"> CORTE CONSTITUCIONAL. Sentencia C-181 de 1997. M.P. Fabio Morón Díaz. Ver también las Sentencias C-540 de 2001, C-893 de 2003 y C-903 de 2008, entre otras.</w:t>
      </w:r>
    </w:p>
  </w:footnote>
  <w:footnote w:id="3">
    <w:p w14:paraId="208BD256" w14:textId="77777777" w:rsidR="00344AF0" w:rsidRPr="001E701A" w:rsidRDefault="00344AF0" w:rsidP="00344AF0">
      <w:pPr>
        <w:pStyle w:val="Textonotapie"/>
        <w:ind w:firstLine="708"/>
        <w:jc w:val="both"/>
        <w:rPr>
          <w:rFonts w:ascii="Verdana" w:hAnsi="Verdana"/>
          <w:sz w:val="14"/>
          <w:szCs w:val="14"/>
          <w:lang w:val="pt-BR"/>
        </w:rPr>
      </w:pPr>
      <w:r w:rsidRPr="001E701A">
        <w:rPr>
          <w:rStyle w:val="Refdenotaalpie"/>
          <w:rFonts w:ascii="Verdana" w:hAnsi="Verdana"/>
          <w:sz w:val="14"/>
          <w:szCs w:val="14"/>
        </w:rPr>
        <w:footnoteRef/>
      </w:r>
      <w:r w:rsidRPr="001E701A">
        <w:rPr>
          <w:rFonts w:ascii="Verdana" w:hAnsi="Verdana"/>
          <w:sz w:val="14"/>
          <w:szCs w:val="14"/>
          <w:lang w:val="pt-BR"/>
        </w:rPr>
        <w:t xml:space="preserve"> CORTE CONSTITUCIONAL. Sentencia C-1016 de 2012. M.P. Jorge Iván Palacio.</w:t>
      </w:r>
    </w:p>
  </w:footnote>
  <w:footnote w:id="4">
    <w:p w14:paraId="2F10F03B" w14:textId="77777777" w:rsidR="00344AF0" w:rsidRPr="001E701A" w:rsidRDefault="00344AF0" w:rsidP="00344AF0">
      <w:pPr>
        <w:pStyle w:val="Textonotapie"/>
        <w:ind w:firstLine="708"/>
        <w:jc w:val="both"/>
        <w:rPr>
          <w:rFonts w:ascii="Verdana" w:hAnsi="Verdana"/>
          <w:sz w:val="14"/>
          <w:szCs w:val="14"/>
          <w:lang w:val="pt-BR"/>
        </w:rPr>
      </w:pPr>
      <w:r w:rsidRPr="001E701A">
        <w:rPr>
          <w:rStyle w:val="Refdenotaalpie"/>
          <w:rFonts w:ascii="Verdana" w:hAnsi="Verdana"/>
          <w:sz w:val="14"/>
          <w:szCs w:val="14"/>
        </w:rPr>
        <w:footnoteRef/>
      </w:r>
      <w:r w:rsidRPr="001E701A">
        <w:rPr>
          <w:rFonts w:ascii="Verdana" w:hAnsi="Verdana"/>
          <w:sz w:val="14"/>
          <w:szCs w:val="14"/>
        </w:rPr>
        <w:t xml:space="preserve"> CONSEJO DE ESTADO. Sección Tercera. Subsección A. Sentencia del 13 de noviembre de 2013. </w:t>
      </w:r>
      <w:r w:rsidRPr="001E701A">
        <w:rPr>
          <w:rFonts w:ascii="Verdana" w:hAnsi="Verdana"/>
          <w:sz w:val="14"/>
          <w:szCs w:val="14"/>
          <w:lang w:val="pt-BR"/>
        </w:rPr>
        <w:t xml:space="preserve">Rad. 25.646. C.P. Mauricio Fajardo Gómez.  </w:t>
      </w:r>
    </w:p>
    <w:p w14:paraId="37DCC9BF" w14:textId="77777777" w:rsidR="00344AF0" w:rsidRPr="001E701A" w:rsidRDefault="00344AF0" w:rsidP="00344AF0">
      <w:pPr>
        <w:pStyle w:val="Textonotapie"/>
        <w:jc w:val="both"/>
        <w:rPr>
          <w:rFonts w:ascii="Verdana" w:hAnsi="Verdana"/>
          <w:sz w:val="14"/>
          <w:szCs w:val="14"/>
          <w:lang w:val="pt-BR"/>
        </w:rPr>
      </w:pPr>
    </w:p>
  </w:footnote>
  <w:footnote w:id="5">
    <w:p w14:paraId="2C3474B6" w14:textId="77777777" w:rsidR="00344AF0" w:rsidRPr="001E701A" w:rsidRDefault="00344AF0" w:rsidP="00344AF0">
      <w:pPr>
        <w:pStyle w:val="Textonotapie"/>
        <w:ind w:firstLine="708"/>
        <w:jc w:val="both"/>
        <w:rPr>
          <w:rFonts w:ascii="Verdana" w:hAnsi="Verdana"/>
          <w:sz w:val="14"/>
          <w:szCs w:val="14"/>
          <w:lang w:val="pt-BR"/>
        </w:rPr>
      </w:pPr>
      <w:r w:rsidRPr="001E701A">
        <w:rPr>
          <w:rStyle w:val="Refdenotaalpie"/>
          <w:rFonts w:ascii="Verdana" w:hAnsi="Verdana"/>
          <w:sz w:val="14"/>
          <w:szCs w:val="14"/>
        </w:rPr>
        <w:footnoteRef/>
      </w:r>
      <w:r w:rsidRPr="001E701A">
        <w:rPr>
          <w:rFonts w:ascii="Verdana" w:hAnsi="Verdana"/>
          <w:sz w:val="14"/>
          <w:szCs w:val="14"/>
          <w:lang w:val="pt-BR"/>
        </w:rPr>
        <w:t xml:space="preserve"> CORTE CONSTITUCIONAL. Sentencia C-415 de 1994. M.P. Eduardo Cifuentes Muñoz.</w:t>
      </w:r>
    </w:p>
  </w:footnote>
  <w:footnote w:id="6">
    <w:p w14:paraId="736E392A" w14:textId="77777777" w:rsidR="00344AF0" w:rsidRPr="001E701A" w:rsidRDefault="00344AF0" w:rsidP="00344AF0">
      <w:pPr>
        <w:pStyle w:val="Textonotapie"/>
        <w:ind w:firstLine="708"/>
        <w:jc w:val="both"/>
        <w:rPr>
          <w:rFonts w:ascii="Verdana" w:hAnsi="Verdana"/>
          <w:sz w:val="14"/>
          <w:szCs w:val="14"/>
          <w:lang w:val="pt-BR"/>
        </w:rPr>
      </w:pPr>
      <w:r w:rsidRPr="001E701A">
        <w:rPr>
          <w:rStyle w:val="Refdenotaalpie"/>
          <w:rFonts w:ascii="Verdana" w:hAnsi="Verdana"/>
          <w:sz w:val="14"/>
          <w:szCs w:val="14"/>
        </w:rPr>
        <w:footnoteRef/>
      </w:r>
      <w:r w:rsidRPr="001E701A">
        <w:rPr>
          <w:rFonts w:ascii="Verdana" w:hAnsi="Verdana"/>
          <w:sz w:val="14"/>
          <w:szCs w:val="14"/>
          <w:lang w:val="pt-BR"/>
        </w:rPr>
        <w:t xml:space="preserve"> Ibídem.</w:t>
      </w:r>
    </w:p>
    <w:p w14:paraId="6693F24C" w14:textId="77777777" w:rsidR="00344AF0" w:rsidRPr="001E701A" w:rsidRDefault="00344AF0" w:rsidP="00344AF0">
      <w:pPr>
        <w:pStyle w:val="Textonotapie"/>
        <w:jc w:val="both"/>
        <w:rPr>
          <w:rFonts w:ascii="Verdana" w:hAnsi="Verdana"/>
          <w:sz w:val="14"/>
          <w:szCs w:val="14"/>
          <w:lang w:val="pt-BR"/>
        </w:rPr>
      </w:pPr>
    </w:p>
  </w:footnote>
  <w:footnote w:id="7">
    <w:p w14:paraId="54C33921" w14:textId="77777777" w:rsidR="00344AF0" w:rsidRPr="001E701A" w:rsidRDefault="00344AF0" w:rsidP="00344AF0">
      <w:pPr>
        <w:pStyle w:val="Textonotapie"/>
        <w:ind w:firstLine="708"/>
        <w:jc w:val="both"/>
        <w:rPr>
          <w:rFonts w:ascii="Verdana" w:hAnsi="Verdana"/>
          <w:sz w:val="14"/>
          <w:szCs w:val="14"/>
          <w:lang w:val="es-CO"/>
        </w:rPr>
      </w:pPr>
      <w:r w:rsidRPr="001E701A">
        <w:rPr>
          <w:rStyle w:val="Refdenotaalpie"/>
          <w:rFonts w:ascii="Verdana" w:hAnsi="Verdana"/>
          <w:sz w:val="14"/>
          <w:szCs w:val="14"/>
        </w:rPr>
        <w:footnoteRef/>
      </w:r>
      <w:r w:rsidRPr="001E701A">
        <w:rPr>
          <w:rFonts w:ascii="Verdana" w:hAnsi="Verdana"/>
          <w:sz w:val="14"/>
          <w:szCs w:val="14"/>
          <w:lang w:val="pt-BR"/>
        </w:rPr>
        <w:t xml:space="preserve"> CORTE CONSTITUCIONAL. </w:t>
      </w:r>
      <w:r w:rsidRPr="001E701A">
        <w:rPr>
          <w:rFonts w:ascii="Verdana" w:hAnsi="Verdana"/>
          <w:sz w:val="14"/>
          <w:szCs w:val="14"/>
        </w:rPr>
        <w:t xml:space="preserve">Sentencia C-780 de 2001. </w:t>
      </w:r>
      <w:r w:rsidRPr="001E701A">
        <w:rPr>
          <w:rFonts w:ascii="Verdana" w:hAnsi="Verdana"/>
          <w:sz w:val="14"/>
          <w:szCs w:val="14"/>
          <w:lang w:val="es-CO"/>
        </w:rPr>
        <w:t xml:space="preserve">M.P. Jaime Córdoba Triviño. </w:t>
      </w:r>
    </w:p>
    <w:p w14:paraId="607399ED" w14:textId="77777777" w:rsidR="00344AF0" w:rsidRPr="001E701A" w:rsidRDefault="00344AF0" w:rsidP="00344AF0">
      <w:pPr>
        <w:pStyle w:val="Textonotapie"/>
        <w:jc w:val="both"/>
        <w:rPr>
          <w:rFonts w:ascii="Verdana" w:hAnsi="Verdana"/>
          <w:sz w:val="14"/>
          <w:szCs w:val="14"/>
          <w:lang w:val="es-CO"/>
        </w:rPr>
      </w:pPr>
    </w:p>
  </w:footnote>
  <w:footnote w:id="8">
    <w:p w14:paraId="4DE50B5D" w14:textId="77777777" w:rsidR="00344AF0" w:rsidRPr="001E701A" w:rsidRDefault="00344AF0" w:rsidP="00344AF0">
      <w:pPr>
        <w:pStyle w:val="NormalWeb"/>
        <w:spacing w:before="0" w:beforeAutospacing="0" w:after="0" w:afterAutospacing="0"/>
        <w:ind w:firstLine="708"/>
        <w:jc w:val="both"/>
        <w:rPr>
          <w:rFonts w:ascii="Verdana" w:eastAsia="Calibri" w:hAnsi="Verdana" w:cs="Arial"/>
          <w:sz w:val="14"/>
          <w:szCs w:val="14"/>
          <w:lang w:val="es-ES" w:eastAsia="en-US"/>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eastAsia="Calibri" w:hAnsi="Verdana" w:cs="Arial"/>
          <w:sz w:val="14"/>
          <w:szCs w:val="14"/>
          <w:lang w:val="es-ES" w:eastAsia="en-US"/>
        </w:rPr>
        <w:t>Ley 80 de 1993: “Artículo 8: 1o. Son inhábiles para participar en licitaciones o concursos y para celebrar contratos con las entidades estatales: </w:t>
      </w:r>
    </w:p>
    <w:p w14:paraId="66F1C8B2"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a) Las personas que se hallen inhabilitadas para contratar por la Constitución y las leyes. </w:t>
      </w:r>
    </w:p>
    <w:p w14:paraId="64AD53AA"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b) Quienes participaron en las licitaciones o concursos o celebraron los contratos de que trata el literal anterior estando inhabilitados. </w:t>
      </w:r>
    </w:p>
    <w:p w14:paraId="686F9C63"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c) Quienes dieron lugar a la declaratoria de caducidad. </w:t>
      </w:r>
    </w:p>
    <w:p w14:paraId="1CCF76EE"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d) Quienes en sentencia judicial hayan sido condenados a la pena accesoria de interdicción de derechos y funciones públicas y quienes hayan sido sancionados disciplinariamente con destitución. </w:t>
      </w:r>
    </w:p>
    <w:p w14:paraId="5E1250B1"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e) Quienes sin justa causa se abstengan de suscribir el contrato estatal adjudicado. </w:t>
      </w:r>
    </w:p>
    <w:p w14:paraId="7FAE7408"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f) Los servidores públicos. </w:t>
      </w:r>
    </w:p>
    <w:p w14:paraId="62A66006"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23BEAF9B" w14:textId="77777777" w:rsidR="00344AF0" w:rsidRPr="001E701A" w:rsidRDefault="00344AF0" w:rsidP="00344AF0">
      <w:pPr>
        <w:pStyle w:val="NormalWeb"/>
        <w:spacing w:before="0" w:beforeAutospacing="0" w:after="0" w:afterAutospacing="0"/>
        <w:ind w:firstLine="708"/>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65639696"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i) Los socios de sociedades de personas a las cuales se haya declarado la caducidad, así como las sociedades de personas de las que aquellos formen parte con posterioridad a dicha declaratoria. </w:t>
      </w:r>
    </w:p>
    <w:p w14:paraId="3894EB0F"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440A6DE0"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F25F288"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1E701A">
        <w:rPr>
          <w:rFonts w:ascii="Verdana" w:eastAsia="Calibr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1E701A">
        <w:rPr>
          <w:rFonts w:ascii="Verdana" w:eastAsia="Calibr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1E701A">
        <w:rPr>
          <w:rFonts w:ascii="Verdana" w:eastAsia="Calibri" w:hAnsi="Verdana" w:cs="Arial"/>
          <w:sz w:val="14"/>
          <w:szCs w:val="14"/>
          <w:lang w:val="es-ES" w:eastAsia="en-US"/>
        </w:rPr>
        <w:softHyphen/>
        <w:t>nería jurídica en los términos de ley, o cuyos representantes legales, ad</w:t>
      </w:r>
      <w:r w:rsidRPr="001E701A">
        <w:rPr>
          <w:rFonts w:ascii="Verdana" w:eastAsia="Calibr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1E701A">
        <w:rPr>
          <w:rFonts w:ascii="Verdana" w:eastAsia="Calibr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DD6222C"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w:t>
      </w:r>
    </w:p>
    <w:p w14:paraId="2AE9D8DD" w14:textId="77777777" w:rsidR="00344AF0" w:rsidRPr="001E701A" w:rsidRDefault="00344AF0" w:rsidP="00344AF0">
      <w:pPr>
        <w:pStyle w:val="NormalWeb"/>
        <w:spacing w:before="0" w:beforeAutospacing="0" w:after="0" w:afterAutospacing="0"/>
        <w:ind w:firstLine="708"/>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2o. Tampoco podrán participar en licitaciones o concursos ni celebrar contratos estatales con la entidad respectiva: </w:t>
      </w:r>
    </w:p>
    <w:p w14:paraId="683158D2"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8295584"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4C29200"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6767FD2A"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1B681525" w14:textId="77777777" w:rsidR="00344AF0" w:rsidRPr="001E701A" w:rsidRDefault="00344AF0" w:rsidP="00344AF0">
      <w:pPr>
        <w:pStyle w:val="NormalWeb"/>
        <w:spacing w:before="0" w:beforeAutospacing="0" w:after="0" w:afterAutospacing="0"/>
        <w:jc w:val="both"/>
        <w:rPr>
          <w:rFonts w:ascii="Verdana" w:eastAsia="Calibri" w:hAnsi="Verdana" w:cs="Arial"/>
          <w:sz w:val="14"/>
          <w:szCs w:val="14"/>
          <w:lang w:val="es-ES" w:eastAsia="en-US"/>
        </w:rPr>
      </w:pPr>
      <w:r w:rsidRPr="001E701A">
        <w:rPr>
          <w:rFonts w:ascii="Verdana" w:eastAsia="Calibri" w:hAnsi="Verdana" w:cs="Arial"/>
          <w:sz w:val="14"/>
          <w:szCs w:val="14"/>
          <w:lang w:val="es-ES" w:eastAsia="en-US"/>
        </w:rPr>
        <w:t>  </w:t>
      </w:r>
      <w:r w:rsidRPr="001E701A">
        <w:rPr>
          <w:rFonts w:ascii="Verdana" w:eastAsia="Calibri" w:hAnsi="Verdana" w:cs="Arial"/>
          <w:sz w:val="14"/>
          <w:szCs w:val="14"/>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02FFDA9A" w14:textId="77777777" w:rsidR="00344AF0" w:rsidRPr="001E701A" w:rsidRDefault="00344AF0" w:rsidP="00344AF0">
      <w:pPr>
        <w:pStyle w:val="NormalWeb"/>
        <w:spacing w:before="0" w:beforeAutospacing="0" w:after="0" w:afterAutospacing="0"/>
        <w:ind w:firstLine="708"/>
        <w:jc w:val="both"/>
        <w:rPr>
          <w:rFonts w:ascii="Verdana" w:eastAsia="Calibri" w:hAnsi="Verdana" w:cs="Arial"/>
          <w:sz w:val="14"/>
          <w:szCs w:val="14"/>
          <w:lang w:val="pt-BR" w:eastAsia="en-US"/>
        </w:rPr>
      </w:pPr>
      <w:r w:rsidRPr="001E701A">
        <w:rPr>
          <w:rFonts w:ascii="Verdana" w:eastAsia="Calibri" w:hAnsi="Verdana"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1E701A">
        <w:rPr>
          <w:rFonts w:ascii="Verdana" w:eastAsia="Calibri" w:hAnsi="Verdana" w:cs="Arial"/>
          <w:sz w:val="14"/>
          <w:szCs w:val="14"/>
          <w:lang w:val="pt-BR" w:eastAsia="en-US"/>
        </w:rPr>
        <w:t xml:space="preserve">(…). </w:t>
      </w:r>
    </w:p>
    <w:p w14:paraId="2C71F53A" w14:textId="77777777" w:rsidR="00344AF0" w:rsidRPr="001E701A" w:rsidRDefault="00344AF0" w:rsidP="00344AF0">
      <w:pPr>
        <w:pStyle w:val="Textonotapie"/>
        <w:jc w:val="both"/>
        <w:rPr>
          <w:rFonts w:ascii="Verdana" w:hAnsi="Verdana"/>
          <w:sz w:val="14"/>
          <w:szCs w:val="14"/>
          <w:lang w:val="pt-BR"/>
        </w:rPr>
      </w:pPr>
    </w:p>
  </w:footnote>
  <w:footnote w:id="9">
    <w:p w14:paraId="2AD97D27" w14:textId="77777777" w:rsidR="00344AF0" w:rsidRPr="001E701A" w:rsidRDefault="00344AF0" w:rsidP="00344AF0">
      <w:pPr>
        <w:pStyle w:val="Textonotapie"/>
        <w:ind w:firstLine="708"/>
        <w:jc w:val="both"/>
        <w:rPr>
          <w:rFonts w:ascii="Verdana" w:hAnsi="Verdana"/>
          <w:sz w:val="14"/>
          <w:szCs w:val="14"/>
          <w:lang w:val="pt-BR"/>
        </w:rPr>
      </w:pPr>
      <w:r w:rsidRPr="001E701A">
        <w:rPr>
          <w:rStyle w:val="Refdenotaalpie"/>
          <w:rFonts w:ascii="Verdana" w:hAnsi="Verdana"/>
          <w:sz w:val="14"/>
          <w:szCs w:val="14"/>
        </w:rPr>
        <w:footnoteRef/>
      </w:r>
      <w:r w:rsidRPr="001E701A">
        <w:rPr>
          <w:rFonts w:ascii="Verdana" w:hAnsi="Verdana"/>
          <w:sz w:val="14"/>
          <w:szCs w:val="14"/>
          <w:lang w:val="pt-BR"/>
        </w:rPr>
        <w:t xml:space="preserve"> </w:t>
      </w:r>
      <w:r w:rsidRPr="001E701A">
        <w:rPr>
          <w:rFonts w:ascii="Verdana" w:hAnsi="Verdana" w:cs="Arial"/>
          <w:sz w:val="14"/>
          <w:szCs w:val="14"/>
          <w:lang w:val="pt-BR"/>
        </w:rPr>
        <w:t>Ibídem. p. 69.</w:t>
      </w:r>
    </w:p>
  </w:footnote>
  <w:footnote w:id="10">
    <w:p w14:paraId="74A30BCB" w14:textId="77777777" w:rsidR="00344AF0" w:rsidRPr="001E701A" w:rsidRDefault="00344AF0" w:rsidP="00344AF0">
      <w:pPr>
        <w:pStyle w:val="Textonotapie"/>
        <w:ind w:firstLine="708"/>
        <w:jc w:val="both"/>
        <w:rPr>
          <w:rFonts w:ascii="Verdana" w:hAnsi="Verdana" w:cs="Arial"/>
          <w:sz w:val="14"/>
          <w:szCs w:val="14"/>
          <w:lang w:val="es-ES"/>
        </w:rPr>
      </w:pPr>
      <w:r w:rsidRPr="001E701A">
        <w:rPr>
          <w:rStyle w:val="Refdenotaalpie"/>
          <w:rFonts w:ascii="Verdana" w:hAnsi="Verdana"/>
          <w:sz w:val="14"/>
          <w:szCs w:val="14"/>
        </w:rPr>
        <w:footnoteRef/>
      </w:r>
      <w:r w:rsidRPr="001E701A">
        <w:rPr>
          <w:rFonts w:ascii="Verdana" w:hAnsi="Verdana"/>
          <w:sz w:val="14"/>
          <w:szCs w:val="14"/>
          <w:lang w:val="pt-BR"/>
        </w:rPr>
        <w:t xml:space="preserve"> </w:t>
      </w:r>
      <w:r w:rsidRPr="001E701A">
        <w:rPr>
          <w:rFonts w:ascii="Verdana" w:hAnsi="Verdana" w:cs="Arial"/>
          <w:sz w:val="14"/>
          <w:szCs w:val="14"/>
          <w:lang w:val="pt-BR"/>
        </w:rPr>
        <w:t xml:space="preserve">CORTE CONSTITUCIONAL. Sentencia T-1039 de 2006. M.P. Humberto Sierra Porto. </w:t>
      </w:r>
      <w:r w:rsidRPr="001E701A">
        <w:rPr>
          <w:rFonts w:ascii="Verdana" w:hAnsi="Verdana" w:cs="Arial"/>
          <w:sz w:val="14"/>
          <w:szCs w:val="14"/>
          <w:lang w:val="es-ES"/>
        </w:rPr>
        <w:t xml:space="preserve">La Corte Constitucional ha mantenido este criterio en las sentencias: C-903 de 2008. M.P. Jaime Araujo Rentería; C-101 de 2018. M.P. Gloria Stella Ortiz Delgado; entre otras. </w:t>
      </w:r>
    </w:p>
    <w:p w14:paraId="2E0867A7" w14:textId="77777777" w:rsidR="00344AF0" w:rsidRPr="001E701A" w:rsidRDefault="00344AF0" w:rsidP="00344AF0">
      <w:pPr>
        <w:pStyle w:val="Textonotapie"/>
        <w:jc w:val="both"/>
        <w:rPr>
          <w:rFonts w:ascii="Verdana" w:hAnsi="Verdana" w:cs="Arial"/>
          <w:sz w:val="14"/>
          <w:szCs w:val="14"/>
          <w:lang w:val="es-ES"/>
        </w:rPr>
      </w:pPr>
    </w:p>
  </w:footnote>
  <w:footnote w:id="11">
    <w:p w14:paraId="137D43B8" w14:textId="77777777" w:rsidR="00344AF0" w:rsidRPr="001E701A" w:rsidRDefault="00344AF0" w:rsidP="00344AF0">
      <w:pPr>
        <w:pStyle w:val="Textonotapie"/>
        <w:ind w:firstLine="708"/>
        <w:jc w:val="both"/>
        <w:rPr>
          <w:rFonts w:ascii="Verdana" w:hAnsi="Verdana" w:cs="Arial"/>
          <w:sz w:val="14"/>
          <w:szCs w:val="14"/>
          <w:lang w:val="es-ES"/>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hAnsi="Verdana" w:cs="Arial"/>
          <w:sz w:val="14"/>
          <w:szCs w:val="14"/>
          <w:lang w:val="es-ES"/>
        </w:rPr>
        <w:t>CONSEJO DE ESTADO. Sala de Consulta y Servicio Civil. Concepto del 30 de abril de 2015. Exp. 2251. C.P. Álvaro Namén Vargas.</w:t>
      </w:r>
    </w:p>
    <w:p w14:paraId="479B9959" w14:textId="77777777" w:rsidR="00344AF0" w:rsidRPr="001E701A" w:rsidRDefault="00344AF0" w:rsidP="00344AF0">
      <w:pPr>
        <w:pStyle w:val="Textonotapie"/>
        <w:jc w:val="both"/>
        <w:rPr>
          <w:rFonts w:ascii="Verdana" w:hAnsi="Verdana"/>
          <w:sz w:val="14"/>
          <w:szCs w:val="14"/>
          <w:lang w:val="es-ES_tradnl"/>
        </w:rPr>
      </w:pPr>
    </w:p>
  </w:footnote>
  <w:footnote w:id="12">
    <w:p w14:paraId="3756CB51" w14:textId="77777777" w:rsidR="00344AF0" w:rsidRPr="001E701A" w:rsidRDefault="00344AF0" w:rsidP="00344AF0">
      <w:pPr>
        <w:pStyle w:val="Textonotapie"/>
        <w:ind w:firstLine="708"/>
        <w:jc w:val="both"/>
        <w:rPr>
          <w:rFonts w:ascii="Verdana" w:hAnsi="Verdana" w:cs="Arial"/>
          <w:sz w:val="14"/>
          <w:szCs w:val="14"/>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hAnsi="Verdana" w:cs="Arial"/>
          <w:sz w:val="14"/>
          <w:szCs w:val="14"/>
        </w:rPr>
        <w:t>CONSEJO DE ESTADO. Sección Tercera. Subsección A. Sentencia del 24 de junio de 2015. Exp. 40.635. C.P. Hernán Andrade Rincón (E).</w:t>
      </w:r>
    </w:p>
    <w:p w14:paraId="17C2B00E" w14:textId="77777777" w:rsidR="00344AF0" w:rsidRPr="001E701A" w:rsidRDefault="00344AF0" w:rsidP="00344AF0">
      <w:pPr>
        <w:pStyle w:val="Textonotapie"/>
        <w:jc w:val="both"/>
        <w:rPr>
          <w:rFonts w:ascii="Verdana" w:hAnsi="Verdana"/>
          <w:sz w:val="14"/>
          <w:szCs w:val="14"/>
          <w:lang w:val="es-ES_tradnl"/>
        </w:rPr>
      </w:pPr>
    </w:p>
  </w:footnote>
  <w:footnote w:id="13">
    <w:p w14:paraId="22E8C375" w14:textId="77777777" w:rsidR="00344AF0" w:rsidRPr="001E701A" w:rsidRDefault="00344AF0" w:rsidP="00344AF0">
      <w:pPr>
        <w:pStyle w:val="Textonotapie"/>
        <w:ind w:firstLine="708"/>
        <w:jc w:val="both"/>
        <w:rPr>
          <w:rFonts w:ascii="Verdana" w:hAnsi="Verdana"/>
          <w:sz w:val="14"/>
          <w:szCs w:val="14"/>
          <w:lang w:val="es-ES_tradnl"/>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hAnsi="Verdana" w:cs="Arial"/>
          <w:sz w:val="14"/>
          <w:szCs w:val="14"/>
        </w:rPr>
        <w:t>CONSEJO DE ESTADO. Sección Tercera. Subsección C. Sentencia del 22 de mayo de 2013. Rad. 24.057. C.P. Olga Mélida Valle De De La Hoz.</w:t>
      </w:r>
    </w:p>
  </w:footnote>
  <w:footnote w:id="14">
    <w:p w14:paraId="569F2616" w14:textId="77777777" w:rsidR="00344AF0" w:rsidRPr="001E701A" w:rsidRDefault="00344AF0" w:rsidP="00344AF0">
      <w:pPr>
        <w:pStyle w:val="Textonotapie"/>
        <w:ind w:firstLine="708"/>
        <w:jc w:val="both"/>
        <w:rPr>
          <w:rFonts w:ascii="Verdana" w:hAnsi="Verdana" w:cs="Arial"/>
          <w:sz w:val="14"/>
          <w:szCs w:val="14"/>
          <w:lang w:val="pt-BR"/>
        </w:rPr>
      </w:pPr>
      <w:r w:rsidRPr="001E701A">
        <w:rPr>
          <w:rStyle w:val="Refdenotaalpie"/>
          <w:rFonts w:ascii="Verdana" w:hAnsi="Verdana"/>
          <w:sz w:val="14"/>
          <w:szCs w:val="14"/>
        </w:rPr>
        <w:footnoteRef/>
      </w:r>
      <w:r w:rsidRPr="001E701A">
        <w:rPr>
          <w:rFonts w:ascii="Verdana" w:hAnsi="Verdana"/>
          <w:sz w:val="14"/>
          <w:szCs w:val="14"/>
          <w:lang w:val="pt-BR"/>
        </w:rPr>
        <w:t xml:space="preserve"> </w:t>
      </w:r>
      <w:r w:rsidRPr="001E701A">
        <w:rPr>
          <w:rFonts w:ascii="Verdana" w:hAnsi="Verdana" w:cs="Arial"/>
          <w:sz w:val="14"/>
          <w:szCs w:val="14"/>
          <w:lang w:val="pt-BR"/>
        </w:rPr>
        <w:t>CORTE CONSTITUCIONAL. Sentencia C-415 de 1994. M.P. Eduardo Cifuentes Muñoz.</w:t>
      </w:r>
    </w:p>
    <w:p w14:paraId="3284F7E1" w14:textId="77777777" w:rsidR="00344AF0" w:rsidRPr="001E701A" w:rsidRDefault="00344AF0" w:rsidP="00344AF0">
      <w:pPr>
        <w:pStyle w:val="Textonotapie"/>
        <w:jc w:val="both"/>
        <w:rPr>
          <w:rFonts w:ascii="Verdana" w:hAnsi="Verdana"/>
          <w:sz w:val="14"/>
          <w:szCs w:val="14"/>
          <w:lang w:val="pt-BR"/>
        </w:rPr>
      </w:pPr>
    </w:p>
  </w:footnote>
  <w:footnote w:id="15">
    <w:p w14:paraId="32263D11" w14:textId="77777777" w:rsidR="00344AF0" w:rsidRPr="001E701A" w:rsidRDefault="00344AF0" w:rsidP="00344AF0">
      <w:pPr>
        <w:pStyle w:val="Textonotapie"/>
        <w:ind w:firstLine="708"/>
        <w:jc w:val="both"/>
        <w:rPr>
          <w:rFonts w:ascii="Verdana" w:hAnsi="Verdana" w:cs="Arial"/>
          <w:color w:val="000000"/>
          <w:sz w:val="14"/>
          <w:szCs w:val="14"/>
        </w:rPr>
      </w:pPr>
      <w:r w:rsidRPr="001E701A">
        <w:rPr>
          <w:rStyle w:val="Refdenotaalpie"/>
          <w:rFonts w:ascii="Verdana" w:hAnsi="Verdana"/>
          <w:sz w:val="14"/>
          <w:szCs w:val="14"/>
        </w:rPr>
        <w:footnoteRef/>
      </w:r>
      <w:r w:rsidRPr="001E701A">
        <w:rPr>
          <w:rFonts w:ascii="Verdana" w:hAnsi="Verdana"/>
          <w:sz w:val="14"/>
          <w:szCs w:val="14"/>
          <w:lang w:val="pt-BR"/>
        </w:rPr>
        <w:t xml:space="preserve"> </w:t>
      </w:r>
      <w:r w:rsidRPr="001E701A">
        <w:rPr>
          <w:rFonts w:ascii="Verdana" w:hAnsi="Verdana" w:cs="Arial"/>
          <w:color w:val="000000"/>
          <w:sz w:val="14"/>
          <w:szCs w:val="14"/>
          <w:lang w:val="pt-BR"/>
        </w:rPr>
        <w:t xml:space="preserve">CONSEJO DE ESTADO. Sala de lo contencioso administrativo. Sentencia del 12 de diciembre de 2014. Exp. 26496. C.P. Ramiro Pazos Guerrero. </w:t>
      </w:r>
      <w:r w:rsidRPr="001E701A">
        <w:rPr>
          <w:rFonts w:ascii="Verdana" w:hAnsi="Verdana" w:cs="Arial"/>
          <w:color w:val="000000"/>
          <w:sz w:val="14"/>
          <w:szCs w:val="14"/>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0019636" w14:textId="77777777" w:rsidR="00344AF0" w:rsidRPr="001E701A" w:rsidRDefault="00344AF0" w:rsidP="00344AF0">
      <w:pPr>
        <w:pStyle w:val="Textonotapie"/>
        <w:jc w:val="both"/>
        <w:rPr>
          <w:rFonts w:ascii="Verdana" w:hAnsi="Verdana"/>
          <w:sz w:val="14"/>
          <w:szCs w:val="14"/>
          <w:lang w:val="es-ES_tradnl"/>
        </w:rPr>
      </w:pPr>
    </w:p>
  </w:footnote>
  <w:footnote w:id="16">
    <w:p w14:paraId="57EC51B5" w14:textId="77777777" w:rsidR="00344AF0" w:rsidRPr="001E701A" w:rsidRDefault="00344AF0" w:rsidP="00344AF0">
      <w:pPr>
        <w:pStyle w:val="Textonotapie"/>
        <w:ind w:firstLine="708"/>
        <w:jc w:val="both"/>
        <w:rPr>
          <w:rFonts w:ascii="Verdana" w:hAnsi="Verdana"/>
          <w:sz w:val="14"/>
          <w:szCs w:val="14"/>
          <w:lang w:val="es-ES_tradnl"/>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hAnsi="Verdana" w:cs="Arial"/>
          <w:color w:val="000000"/>
          <w:sz w:val="14"/>
          <w:szCs w:val="14"/>
        </w:rPr>
        <w:t>CONSEJO DE ESTADO. Sala de Consulta y Servicio Civil. Concepto del 29 de abril de 1998. Rad. 1097. C.P. Augusto Trejos Jaramillo.</w:t>
      </w:r>
    </w:p>
  </w:footnote>
  <w:footnote w:id="17">
    <w:p w14:paraId="20078086" w14:textId="77777777" w:rsidR="00344AF0" w:rsidRPr="001E701A" w:rsidRDefault="00344AF0" w:rsidP="00344AF0">
      <w:pPr>
        <w:pStyle w:val="Textonotapie"/>
        <w:ind w:firstLine="709"/>
        <w:jc w:val="both"/>
        <w:rPr>
          <w:rFonts w:ascii="Verdana" w:eastAsia="Calibri" w:hAnsi="Verdana" w:cs="Arial"/>
          <w:sz w:val="14"/>
          <w:szCs w:val="14"/>
        </w:rPr>
      </w:pPr>
      <w:r w:rsidRPr="001E701A">
        <w:rPr>
          <w:rStyle w:val="Refdenotaalpie"/>
          <w:rFonts w:ascii="Verdana" w:hAnsi="Verdana" w:cs="Arial"/>
          <w:sz w:val="14"/>
          <w:szCs w:val="14"/>
        </w:rPr>
        <w:footnoteRef/>
      </w:r>
      <w:r w:rsidRPr="001E701A">
        <w:rPr>
          <w:rFonts w:ascii="Verdana" w:hAnsi="Verdana" w:cs="Arial"/>
          <w:sz w:val="14"/>
          <w:szCs w:val="14"/>
        </w:rPr>
        <w:t xml:space="preserve"> CORTE CONSTITUCIONAL. Sentencia C-1016 de 2012. M.P. Jorge Iván Palacio. </w:t>
      </w:r>
    </w:p>
  </w:footnote>
  <w:footnote w:id="18">
    <w:p w14:paraId="5ADA4801" w14:textId="77777777" w:rsidR="00344AF0" w:rsidRPr="001E701A" w:rsidRDefault="00344AF0" w:rsidP="00344AF0">
      <w:pPr>
        <w:pStyle w:val="Textonotapie"/>
        <w:ind w:firstLine="708"/>
        <w:jc w:val="both"/>
        <w:rPr>
          <w:rFonts w:ascii="Verdana" w:hAnsi="Verdana"/>
          <w:sz w:val="14"/>
          <w:szCs w:val="14"/>
          <w:lang w:val="es-CO"/>
        </w:rPr>
      </w:pPr>
      <w:r w:rsidRPr="001E701A">
        <w:rPr>
          <w:rStyle w:val="Refdenotaalpie"/>
          <w:rFonts w:ascii="Verdana" w:hAnsi="Verdana"/>
          <w:sz w:val="14"/>
          <w:szCs w:val="14"/>
        </w:rPr>
        <w:footnoteRef/>
      </w:r>
      <w:r w:rsidRPr="001E701A">
        <w:rPr>
          <w:rFonts w:ascii="Verdana" w:hAnsi="Verdana"/>
          <w:sz w:val="14"/>
          <w:szCs w:val="14"/>
        </w:rPr>
        <w:t xml:space="preserve"> </w:t>
      </w:r>
      <w:r w:rsidRPr="001E701A">
        <w:rPr>
          <w:rFonts w:ascii="Verdana" w:hAnsi="Verdana"/>
          <w:bCs/>
          <w:sz w:val="14"/>
          <w:szCs w:val="14"/>
          <w:lang w:val="es-CO"/>
        </w:rPr>
        <w:t>Artículo 173. </w:t>
      </w:r>
      <w:r w:rsidRPr="001E701A">
        <w:rPr>
          <w:rFonts w:ascii="Verdana" w:hAnsi="Verdana"/>
          <w:bCs/>
          <w:i/>
          <w:iCs/>
          <w:sz w:val="14"/>
          <w:szCs w:val="14"/>
          <w:lang w:val="es-CO"/>
        </w:rPr>
        <w:t>Las medidas correctivas</w:t>
      </w:r>
      <w:r w:rsidRPr="001E701A">
        <w:rPr>
          <w:rFonts w:ascii="Verdana" w:hAnsi="Verdana"/>
          <w:i/>
          <w:iCs/>
          <w:sz w:val="14"/>
          <w:szCs w:val="14"/>
          <w:lang w:val="es-CO"/>
        </w:rPr>
        <w:t>. </w:t>
      </w:r>
      <w:r w:rsidRPr="001E701A">
        <w:rPr>
          <w:rFonts w:ascii="Verdana" w:hAnsi="Verdana"/>
          <w:sz w:val="14"/>
          <w:szCs w:val="14"/>
          <w:lang w:val="es-CO"/>
        </w:rPr>
        <w:t>Las medidas correctivas a aplicar en el marco de este Código por las autoridades de Policía, son las siguientes: </w:t>
      </w:r>
    </w:p>
    <w:p w14:paraId="03093877"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 Amonestación. </w:t>
      </w:r>
    </w:p>
    <w:p w14:paraId="13C7E880"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2. Participación en programa comunitario o actividad pedagógica de convivencia. </w:t>
      </w:r>
    </w:p>
    <w:p w14:paraId="772F43FA"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3. Disolución de reunión o actividad que involucra aglomeraciones de público no complejas. </w:t>
      </w:r>
    </w:p>
    <w:p w14:paraId="6B4FB79E"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4. Expulsión de domicilio. </w:t>
      </w:r>
    </w:p>
    <w:p w14:paraId="6C441485"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5. Prohibición de ingreso a actividad que involucra aglomeraciones de público complejas o no complejas. </w:t>
      </w:r>
    </w:p>
    <w:p w14:paraId="0AD4105B"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6. Decomiso. </w:t>
      </w:r>
    </w:p>
    <w:p w14:paraId="0484250A"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7. Multa General o Especial. </w:t>
      </w:r>
    </w:p>
    <w:p w14:paraId="5C8DAA07"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8. Construcción, cerramiento, reparación o mantenimiento de inmueble. </w:t>
      </w:r>
    </w:p>
    <w:p w14:paraId="41C0ADA1"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9. Remoción de bienes. </w:t>
      </w:r>
    </w:p>
    <w:p w14:paraId="17D1C039"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10. Reparación de daños materiales de muebles o inmuebles. </w:t>
      </w:r>
    </w:p>
    <w:p w14:paraId="64C8102A"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11. Reparación de daños materiales por perturbación a la posesión y tenencia de inmuebles. </w:t>
      </w:r>
    </w:p>
    <w:p w14:paraId="6A2103B5"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12. Restablecimiento del derecho de servidumbre y reparación de daños materiales.</w:t>
      </w:r>
    </w:p>
    <w:p w14:paraId="0F98188A"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13. Restitución y protección de bienes inmuebles. </w:t>
      </w:r>
    </w:p>
    <w:p w14:paraId="58F21B2E"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14. Destrucción de bien. </w:t>
      </w:r>
    </w:p>
    <w:p w14:paraId="5B09A4A0"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15. Demolición de obra. </w:t>
      </w:r>
    </w:p>
    <w:p w14:paraId="1BFD8411"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16. Suspensión de construcción o demolición. </w:t>
      </w:r>
    </w:p>
    <w:p w14:paraId="67C02FE7"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17. Suspensión de actividad que involucre aglomeración de público compleja. </w:t>
      </w:r>
    </w:p>
    <w:p w14:paraId="52FAA5CE"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18. Suspensión temporal de actividad. </w:t>
      </w:r>
    </w:p>
    <w:p w14:paraId="74B7B775"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19. Suspensión definitiva de actividad.</w:t>
      </w:r>
    </w:p>
    <w:p w14:paraId="47060BB9" w14:textId="77777777" w:rsidR="00344AF0" w:rsidRPr="001E701A" w:rsidRDefault="00344AF0" w:rsidP="00344AF0">
      <w:pPr>
        <w:pStyle w:val="Textonotapie"/>
        <w:ind w:firstLine="708"/>
        <w:jc w:val="both"/>
        <w:rPr>
          <w:rFonts w:ascii="Verdana" w:hAnsi="Verdana"/>
          <w:sz w:val="14"/>
          <w:szCs w:val="14"/>
          <w:lang w:val="es-CO"/>
        </w:rPr>
      </w:pPr>
      <w:r w:rsidRPr="001E701A">
        <w:rPr>
          <w:rFonts w:ascii="Verdana" w:hAnsi="Verdana"/>
          <w:sz w:val="14"/>
          <w:szCs w:val="14"/>
          <w:lang w:val="es-CO"/>
        </w:rPr>
        <w:t>20. Inutilización de bienes. </w:t>
      </w:r>
    </w:p>
  </w:footnote>
  <w:footnote w:id="19">
    <w:p w14:paraId="4DFC9ABD" w14:textId="77777777" w:rsidR="00344AF0" w:rsidRPr="003B5178" w:rsidRDefault="00344AF0" w:rsidP="00344AF0">
      <w:pPr>
        <w:pStyle w:val="Textonotapie"/>
        <w:ind w:firstLine="708"/>
        <w:rPr>
          <w:lang w:val="es-ES"/>
        </w:rPr>
      </w:pPr>
      <w:r w:rsidRPr="001E701A">
        <w:rPr>
          <w:rStyle w:val="Refdenotaalpie"/>
          <w:sz w:val="14"/>
          <w:szCs w:val="14"/>
        </w:rPr>
        <w:footnoteRef/>
      </w:r>
      <w:r w:rsidRPr="001E701A">
        <w:rPr>
          <w:sz w:val="14"/>
          <w:szCs w:val="14"/>
        </w:rPr>
        <w:t xml:space="preserve"> CORTE CONSTITUCIONAL. Sentencia C- 054 de 2019. M.P. Diana Fajardo Rivera.</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50BE1" w:rsidRDefault="00350BE1">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50BE1" w:rsidRDefault="00350BE1">
    <w:pPr>
      <w:pStyle w:val="Encabezado"/>
    </w:pPr>
  </w:p>
  <w:p w14:paraId="3079FC11" w14:textId="77777777" w:rsidR="00350BE1" w:rsidRDefault="00350BE1" w:rsidP="004A305D">
    <w:pPr>
      <w:spacing w:after="0"/>
      <w:rPr>
        <w:rFonts w:ascii="Verdana" w:hAnsi="Verdana"/>
        <w:b/>
        <w:bCs/>
      </w:rPr>
    </w:pPr>
  </w:p>
  <w:p w14:paraId="5E18350A" w14:textId="705F7B76" w:rsidR="00350BE1" w:rsidRPr="004A305D" w:rsidRDefault="00350BE1" w:rsidP="00B01B1A">
    <w:pPr>
      <w:spacing w:after="0" w:line="120" w:lineRule="auto"/>
      <w:rPr>
        <w:rFonts w:ascii="Century Gothic" w:eastAsia="Geo" w:hAnsi="Century Gothic" w:cs="Geo"/>
        <w:sz w:val="16"/>
        <w:szCs w:val="16"/>
        <w:lang w:eastAsia="es-CO"/>
      </w:rPr>
    </w:pPr>
  </w:p>
  <w:p w14:paraId="1FD1C243" w14:textId="6D74A3CF" w:rsidR="00350BE1" w:rsidRDefault="00350BE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2671AB"/>
    <w:multiLevelType w:val="multilevel"/>
    <w:tmpl w:val="1D12B4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3C40D6E"/>
    <w:multiLevelType w:val="hybridMultilevel"/>
    <w:tmpl w:val="0A3E26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A27DCB"/>
    <w:multiLevelType w:val="hybridMultilevel"/>
    <w:tmpl w:val="738E6B9C"/>
    <w:lvl w:ilvl="0" w:tplc="FDA4112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B65755"/>
    <w:multiLevelType w:val="hybridMultilevel"/>
    <w:tmpl w:val="608691EE"/>
    <w:lvl w:ilvl="0" w:tplc="B9AA48F0">
      <w:start w:val="1"/>
      <w:numFmt w:val="decimal"/>
      <w:lvlText w:val="%1."/>
      <w:lvlJc w:val="left"/>
      <w:pPr>
        <w:ind w:left="720" w:hanging="360"/>
      </w:pPr>
      <w:rPr>
        <w:b w:val="0"/>
        <w:i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8" w15:restartNumberingAfterBreak="0">
    <w:nsid w:val="548F3FFF"/>
    <w:multiLevelType w:val="hybridMultilevel"/>
    <w:tmpl w:val="78B2E9F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032950293">
    <w:abstractNumId w:val="13"/>
  </w:num>
  <w:num w:numId="2" w16cid:durableId="1241988633">
    <w:abstractNumId w:val="2"/>
  </w:num>
  <w:num w:numId="3" w16cid:durableId="1282687386">
    <w:abstractNumId w:val="10"/>
  </w:num>
  <w:num w:numId="4" w16cid:durableId="652027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3248745">
    <w:abstractNumId w:val="2"/>
  </w:num>
  <w:num w:numId="6" w16cid:durableId="227502828">
    <w:abstractNumId w:val="23"/>
  </w:num>
  <w:num w:numId="7" w16cid:durableId="479032375">
    <w:abstractNumId w:val="12"/>
  </w:num>
  <w:num w:numId="8" w16cid:durableId="24184951">
    <w:abstractNumId w:val="22"/>
  </w:num>
  <w:num w:numId="9" w16cid:durableId="1811702594">
    <w:abstractNumId w:val="14"/>
  </w:num>
  <w:num w:numId="10" w16cid:durableId="920717915">
    <w:abstractNumId w:val="21"/>
  </w:num>
  <w:num w:numId="11" w16cid:durableId="1271277429">
    <w:abstractNumId w:val="15"/>
  </w:num>
  <w:num w:numId="12" w16cid:durableId="975642398">
    <w:abstractNumId w:val="1"/>
  </w:num>
  <w:num w:numId="13" w16cid:durableId="174996986">
    <w:abstractNumId w:val="7"/>
  </w:num>
  <w:num w:numId="14" w16cid:durableId="455611927">
    <w:abstractNumId w:val="24"/>
  </w:num>
  <w:num w:numId="15" w16cid:durableId="724987308">
    <w:abstractNumId w:val="20"/>
  </w:num>
  <w:num w:numId="16" w16cid:durableId="13440946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7200865">
    <w:abstractNumId w:val="5"/>
  </w:num>
  <w:num w:numId="18" w16cid:durableId="359279281">
    <w:abstractNumId w:val="19"/>
  </w:num>
  <w:num w:numId="19" w16cid:durableId="1007175668">
    <w:abstractNumId w:val="9"/>
  </w:num>
  <w:num w:numId="20" w16cid:durableId="615060954">
    <w:abstractNumId w:val="16"/>
  </w:num>
  <w:num w:numId="21" w16cid:durableId="798110969">
    <w:abstractNumId w:val="25"/>
  </w:num>
  <w:num w:numId="22" w16cid:durableId="1992129847">
    <w:abstractNumId w:val="17"/>
  </w:num>
  <w:num w:numId="23" w16cid:durableId="1453207399">
    <w:abstractNumId w:val="18"/>
  </w:num>
  <w:num w:numId="24" w16cid:durableId="262613636">
    <w:abstractNumId w:val="8"/>
  </w:num>
  <w:num w:numId="25" w16cid:durableId="1710955072">
    <w:abstractNumId w:val="11"/>
  </w:num>
  <w:num w:numId="26" w16cid:durableId="460274027">
    <w:abstractNumId w:val="4"/>
  </w:num>
  <w:num w:numId="27" w16cid:durableId="64423447">
    <w:abstractNumId w:val="6"/>
  </w:num>
  <w:num w:numId="28" w16cid:durableId="2121801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FA0"/>
    <w:rsid w:val="000039A2"/>
    <w:rsid w:val="000062F3"/>
    <w:rsid w:val="0000797D"/>
    <w:rsid w:val="00011DE3"/>
    <w:rsid w:val="0001328B"/>
    <w:rsid w:val="00021221"/>
    <w:rsid w:val="000224F2"/>
    <w:rsid w:val="000228B5"/>
    <w:rsid w:val="00023417"/>
    <w:rsid w:val="00023C3E"/>
    <w:rsid w:val="0002653B"/>
    <w:rsid w:val="00041860"/>
    <w:rsid w:val="0004434A"/>
    <w:rsid w:val="0005281E"/>
    <w:rsid w:val="0005682C"/>
    <w:rsid w:val="00056D71"/>
    <w:rsid w:val="00061B2A"/>
    <w:rsid w:val="00062BAF"/>
    <w:rsid w:val="000630B9"/>
    <w:rsid w:val="000635D0"/>
    <w:rsid w:val="000643B2"/>
    <w:rsid w:val="00065E80"/>
    <w:rsid w:val="0007022C"/>
    <w:rsid w:val="000719C7"/>
    <w:rsid w:val="00071DE6"/>
    <w:rsid w:val="00077439"/>
    <w:rsid w:val="000774B8"/>
    <w:rsid w:val="00082362"/>
    <w:rsid w:val="0008328D"/>
    <w:rsid w:val="00087F0C"/>
    <w:rsid w:val="0009387A"/>
    <w:rsid w:val="0009387B"/>
    <w:rsid w:val="000963C6"/>
    <w:rsid w:val="0009762F"/>
    <w:rsid w:val="000A31B9"/>
    <w:rsid w:val="000A3330"/>
    <w:rsid w:val="000A3D63"/>
    <w:rsid w:val="000A67DD"/>
    <w:rsid w:val="000A683A"/>
    <w:rsid w:val="000A683E"/>
    <w:rsid w:val="000A7D76"/>
    <w:rsid w:val="000B19B9"/>
    <w:rsid w:val="000B4D9F"/>
    <w:rsid w:val="000C2889"/>
    <w:rsid w:val="000D0152"/>
    <w:rsid w:val="000D0334"/>
    <w:rsid w:val="000D1D6A"/>
    <w:rsid w:val="000D25D7"/>
    <w:rsid w:val="000D3755"/>
    <w:rsid w:val="000D3B29"/>
    <w:rsid w:val="000D6E6E"/>
    <w:rsid w:val="000E06F4"/>
    <w:rsid w:val="000E4CE4"/>
    <w:rsid w:val="000F6486"/>
    <w:rsid w:val="000F669F"/>
    <w:rsid w:val="001063B3"/>
    <w:rsid w:val="00107ACA"/>
    <w:rsid w:val="001114A9"/>
    <w:rsid w:val="00111979"/>
    <w:rsid w:val="00115584"/>
    <w:rsid w:val="00116537"/>
    <w:rsid w:val="001203A1"/>
    <w:rsid w:val="00120766"/>
    <w:rsid w:val="001240BD"/>
    <w:rsid w:val="00125105"/>
    <w:rsid w:val="00127233"/>
    <w:rsid w:val="00143E81"/>
    <w:rsid w:val="00143FD9"/>
    <w:rsid w:val="00145047"/>
    <w:rsid w:val="00146C57"/>
    <w:rsid w:val="00154A14"/>
    <w:rsid w:val="001565A5"/>
    <w:rsid w:val="001606CD"/>
    <w:rsid w:val="0016332F"/>
    <w:rsid w:val="001717E9"/>
    <w:rsid w:val="0017238A"/>
    <w:rsid w:val="001729F8"/>
    <w:rsid w:val="00180A30"/>
    <w:rsid w:val="00185EE9"/>
    <w:rsid w:val="0018792C"/>
    <w:rsid w:val="00187F79"/>
    <w:rsid w:val="00197274"/>
    <w:rsid w:val="001A237A"/>
    <w:rsid w:val="001A26CF"/>
    <w:rsid w:val="001A2919"/>
    <w:rsid w:val="001B1566"/>
    <w:rsid w:val="001B2CFE"/>
    <w:rsid w:val="001B6EEB"/>
    <w:rsid w:val="001C1C8C"/>
    <w:rsid w:val="001C222E"/>
    <w:rsid w:val="001C22F9"/>
    <w:rsid w:val="001D0BAE"/>
    <w:rsid w:val="001D1C29"/>
    <w:rsid w:val="001E3C06"/>
    <w:rsid w:val="001E4177"/>
    <w:rsid w:val="001F4EFD"/>
    <w:rsid w:val="001F5E13"/>
    <w:rsid w:val="001F6D11"/>
    <w:rsid w:val="001F7DC6"/>
    <w:rsid w:val="00202886"/>
    <w:rsid w:val="00206E49"/>
    <w:rsid w:val="00215CEF"/>
    <w:rsid w:val="00217A08"/>
    <w:rsid w:val="00220B77"/>
    <w:rsid w:val="00221D27"/>
    <w:rsid w:val="00237233"/>
    <w:rsid w:val="002421BB"/>
    <w:rsid w:val="002467FC"/>
    <w:rsid w:val="00246A81"/>
    <w:rsid w:val="0025144B"/>
    <w:rsid w:val="00251A5F"/>
    <w:rsid w:val="002521F5"/>
    <w:rsid w:val="0025796E"/>
    <w:rsid w:val="002603E5"/>
    <w:rsid w:val="00260AC2"/>
    <w:rsid w:val="002638B2"/>
    <w:rsid w:val="002660F2"/>
    <w:rsid w:val="002662B9"/>
    <w:rsid w:val="002664BB"/>
    <w:rsid w:val="002707A2"/>
    <w:rsid w:val="002715B9"/>
    <w:rsid w:val="0027455C"/>
    <w:rsid w:val="002835A6"/>
    <w:rsid w:val="002844ED"/>
    <w:rsid w:val="002951A0"/>
    <w:rsid w:val="002962BC"/>
    <w:rsid w:val="002A0049"/>
    <w:rsid w:val="002A093D"/>
    <w:rsid w:val="002A0DD0"/>
    <w:rsid w:val="002A49AC"/>
    <w:rsid w:val="002A64FD"/>
    <w:rsid w:val="002A6BBF"/>
    <w:rsid w:val="002B0867"/>
    <w:rsid w:val="002B1E57"/>
    <w:rsid w:val="002B1F7F"/>
    <w:rsid w:val="002B290B"/>
    <w:rsid w:val="002C110E"/>
    <w:rsid w:val="002C2C9D"/>
    <w:rsid w:val="002C379A"/>
    <w:rsid w:val="002C398E"/>
    <w:rsid w:val="002C765E"/>
    <w:rsid w:val="002C7A84"/>
    <w:rsid w:val="002D09B5"/>
    <w:rsid w:val="002D13A1"/>
    <w:rsid w:val="002D3F0D"/>
    <w:rsid w:val="002E1D98"/>
    <w:rsid w:val="002E2C3F"/>
    <w:rsid w:val="002E4FD9"/>
    <w:rsid w:val="002E6F15"/>
    <w:rsid w:val="002F13FD"/>
    <w:rsid w:val="002F2041"/>
    <w:rsid w:val="00303544"/>
    <w:rsid w:val="003039C1"/>
    <w:rsid w:val="00304655"/>
    <w:rsid w:val="00306903"/>
    <w:rsid w:val="0030774B"/>
    <w:rsid w:val="00310DBE"/>
    <w:rsid w:val="00313B0C"/>
    <w:rsid w:val="0031430F"/>
    <w:rsid w:val="00320A10"/>
    <w:rsid w:val="00320BBD"/>
    <w:rsid w:val="00322A85"/>
    <w:rsid w:val="00324168"/>
    <w:rsid w:val="0033032A"/>
    <w:rsid w:val="00334C6A"/>
    <w:rsid w:val="00336C05"/>
    <w:rsid w:val="00342675"/>
    <w:rsid w:val="00343512"/>
    <w:rsid w:val="003448F4"/>
    <w:rsid w:val="00344AF0"/>
    <w:rsid w:val="00345330"/>
    <w:rsid w:val="00350BE1"/>
    <w:rsid w:val="003528DF"/>
    <w:rsid w:val="00352C12"/>
    <w:rsid w:val="00354BCA"/>
    <w:rsid w:val="00355897"/>
    <w:rsid w:val="003636FA"/>
    <w:rsid w:val="0036594E"/>
    <w:rsid w:val="003665EE"/>
    <w:rsid w:val="0037010E"/>
    <w:rsid w:val="00370128"/>
    <w:rsid w:val="003734F4"/>
    <w:rsid w:val="00374F5E"/>
    <w:rsid w:val="00377E3E"/>
    <w:rsid w:val="00380552"/>
    <w:rsid w:val="003815E8"/>
    <w:rsid w:val="003900F2"/>
    <w:rsid w:val="00392A49"/>
    <w:rsid w:val="003A26D1"/>
    <w:rsid w:val="003A3B30"/>
    <w:rsid w:val="003A4D1E"/>
    <w:rsid w:val="003A697B"/>
    <w:rsid w:val="003A6DA4"/>
    <w:rsid w:val="003A779E"/>
    <w:rsid w:val="003B005A"/>
    <w:rsid w:val="003B5178"/>
    <w:rsid w:val="003C1BFE"/>
    <w:rsid w:val="003C3FA5"/>
    <w:rsid w:val="003D0F4D"/>
    <w:rsid w:val="003D5B0D"/>
    <w:rsid w:val="003E0499"/>
    <w:rsid w:val="003E31C9"/>
    <w:rsid w:val="003E40F2"/>
    <w:rsid w:val="003F0D71"/>
    <w:rsid w:val="003F3941"/>
    <w:rsid w:val="00400676"/>
    <w:rsid w:val="004008A9"/>
    <w:rsid w:val="00406575"/>
    <w:rsid w:val="00406F3F"/>
    <w:rsid w:val="00407C75"/>
    <w:rsid w:val="00410906"/>
    <w:rsid w:val="0041655A"/>
    <w:rsid w:val="00424FD2"/>
    <w:rsid w:val="00426FD7"/>
    <w:rsid w:val="0042722E"/>
    <w:rsid w:val="00427DA0"/>
    <w:rsid w:val="00440391"/>
    <w:rsid w:val="00442C7F"/>
    <w:rsid w:val="0044528D"/>
    <w:rsid w:val="00450920"/>
    <w:rsid w:val="00454D48"/>
    <w:rsid w:val="004554F9"/>
    <w:rsid w:val="0046004D"/>
    <w:rsid w:val="004633DE"/>
    <w:rsid w:val="00465E71"/>
    <w:rsid w:val="004734BD"/>
    <w:rsid w:val="004745AC"/>
    <w:rsid w:val="00481707"/>
    <w:rsid w:val="00482608"/>
    <w:rsid w:val="00483749"/>
    <w:rsid w:val="00484809"/>
    <w:rsid w:val="00484BB1"/>
    <w:rsid w:val="0048633F"/>
    <w:rsid w:val="00496771"/>
    <w:rsid w:val="004A0980"/>
    <w:rsid w:val="004A0B8B"/>
    <w:rsid w:val="004A1847"/>
    <w:rsid w:val="004A305D"/>
    <w:rsid w:val="004A30F4"/>
    <w:rsid w:val="004A3312"/>
    <w:rsid w:val="004A6135"/>
    <w:rsid w:val="004B089E"/>
    <w:rsid w:val="004B740F"/>
    <w:rsid w:val="004C4B37"/>
    <w:rsid w:val="004D026D"/>
    <w:rsid w:val="004D3A9E"/>
    <w:rsid w:val="004E221E"/>
    <w:rsid w:val="004E2892"/>
    <w:rsid w:val="004E4C0B"/>
    <w:rsid w:val="004E505B"/>
    <w:rsid w:val="004F21C4"/>
    <w:rsid w:val="004F3012"/>
    <w:rsid w:val="004F5559"/>
    <w:rsid w:val="004F685F"/>
    <w:rsid w:val="004F7EC9"/>
    <w:rsid w:val="00502A4C"/>
    <w:rsid w:val="005031CB"/>
    <w:rsid w:val="00504CBE"/>
    <w:rsid w:val="00514598"/>
    <w:rsid w:val="005163B5"/>
    <w:rsid w:val="0052543A"/>
    <w:rsid w:val="0052785C"/>
    <w:rsid w:val="00533E1B"/>
    <w:rsid w:val="005372B2"/>
    <w:rsid w:val="00540C2D"/>
    <w:rsid w:val="00541793"/>
    <w:rsid w:val="00552502"/>
    <w:rsid w:val="005566E8"/>
    <w:rsid w:val="005567AB"/>
    <w:rsid w:val="00560CB5"/>
    <w:rsid w:val="00564F8B"/>
    <w:rsid w:val="00574122"/>
    <w:rsid w:val="00574867"/>
    <w:rsid w:val="00577D09"/>
    <w:rsid w:val="0058087F"/>
    <w:rsid w:val="00583D47"/>
    <w:rsid w:val="0058424B"/>
    <w:rsid w:val="00591460"/>
    <w:rsid w:val="00592628"/>
    <w:rsid w:val="00597C75"/>
    <w:rsid w:val="005A0868"/>
    <w:rsid w:val="005A0CFB"/>
    <w:rsid w:val="005A282F"/>
    <w:rsid w:val="005A2AC9"/>
    <w:rsid w:val="005A4EBD"/>
    <w:rsid w:val="005B2C3C"/>
    <w:rsid w:val="005B2CCE"/>
    <w:rsid w:val="005B496D"/>
    <w:rsid w:val="005B58C1"/>
    <w:rsid w:val="005B6033"/>
    <w:rsid w:val="005C3777"/>
    <w:rsid w:val="005C5CDC"/>
    <w:rsid w:val="005C6832"/>
    <w:rsid w:val="005C7629"/>
    <w:rsid w:val="005D17C8"/>
    <w:rsid w:val="005D2649"/>
    <w:rsid w:val="005D2B2B"/>
    <w:rsid w:val="005D476C"/>
    <w:rsid w:val="005D5F91"/>
    <w:rsid w:val="005D7B25"/>
    <w:rsid w:val="005E42A9"/>
    <w:rsid w:val="005E666F"/>
    <w:rsid w:val="005F1F84"/>
    <w:rsid w:val="005F7C43"/>
    <w:rsid w:val="0060163E"/>
    <w:rsid w:val="00605A00"/>
    <w:rsid w:val="00610812"/>
    <w:rsid w:val="00612CE7"/>
    <w:rsid w:val="006219F8"/>
    <w:rsid w:val="0063165E"/>
    <w:rsid w:val="0063166A"/>
    <w:rsid w:val="00632C08"/>
    <w:rsid w:val="00632C2F"/>
    <w:rsid w:val="00633952"/>
    <w:rsid w:val="00637381"/>
    <w:rsid w:val="00650FF7"/>
    <w:rsid w:val="00655D88"/>
    <w:rsid w:val="00665D70"/>
    <w:rsid w:val="00667199"/>
    <w:rsid w:val="00671DAC"/>
    <w:rsid w:val="006747C7"/>
    <w:rsid w:val="006752CF"/>
    <w:rsid w:val="006827AC"/>
    <w:rsid w:val="006859A3"/>
    <w:rsid w:val="006900D9"/>
    <w:rsid w:val="006A0008"/>
    <w:rsid w:val="006A10DF"/>
    <w:rsid w:val="006A3147"/>
    <w:rsid w:val="006B495A"/>
    <w:rsid w:val="006C0240"/>
    <w:rsid w:val="006C1E81"/>
    <w:rsid w:val="006C3F0F"/>
    <w:rsid w:val="006C5595"/>
    <w:rsid w:val="006D12F8"/>
    <w:rsid w:val="006D2BEC"/>
    <w:rsid w:val="006F0D40"/>
    <w:rsid w:val="006F2501"/>
    <w:rsid w:val="0070266A"/>
    <w:rsid w:val="00704D9B"/>
    <w:rsid w:val="00705E5F"/>
    <w:rsid w:val="00706C16"/>
    <w:rsid w:val="00707E0E"/>
    <w:rsid w:val="00711C85"/>
    <w:rsid w:val="0071458F"/>
    <w:rsid w:val="0071627C"/>
    <w:rsid w:val="007218AE"/>
    <w:rsid w:val="00723A7F"/>
    <w:rsid w:val="00725B23"/>
    <w:rsid w:val="007312C3"/>
    <w:rsid w:val="00737C53"/>
    <w:rsid w:val="00737DFA"/>
    <w:rsid w:val="00742B24"/>
    <w:rsid w:val="00745C0D"/>
    <w:rsid w:val="00747719"/>
    <w:rsid w:val="007521C8"/>
    <w:rsid w:val="00756841"/>
    <w:rsid w:val="00762AA9"/>
    <w:rsid w:val="007649AB"/>
    <w:rsid w:val="00771D0C"/>
    <w:rsid w:val="007833AC"/>
    <w:rsid w:val="0078358E"/>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2EC0"/>
    <w:rsid w:val="007D43C9"/>
    <w:rsid w:val="007E5497"/>
    <w:rsid w:val="007F28CA"/>
    <w:rsid w:val="007F52A4"/>
    <w:rsid w:val="007F60FB"/>
    <w:rsid w:val="007F7B94"/>
    <w:rsid w:val="00800250"/>
    <w:rsid w:val="00804981"/>
    <w:rsid w:val="00806F5F"/>
    <w:rsid w:val="008163D7"/>
    <w:rsid w:val="00820278"/>
    <w:rsid w:val="00820BD4"/>
    <w:rsid w:val="00834554"/>
    <w:rsid w:val="00834B31"/>
    <w:rsid w:val="00840ADC"/>
    <w:rsid w:val="00843BF7"/>
    <w:rsid w:val="00844950"/>
    <w:rsid w:val="008449B3"/>
    <w:rsid w:val="00846276"/>
    <w:rsid w:val="00850E23"/>
    <w:rsid w:val="00851137"/>
    <w:rsid w:val="00853978"/>
    <w:rsid w:val="0085432F"/>
    <w:rsid w:val="008641C4"/>
    <w:rsid w:val="00864209"/>
    <w:rsid w:val="0087325B"/>
    <w:rsid w:val="008777D3"/>
    <w:rsid w:val="00881ABA"/>
    <w:rsid w:val="008843B6"/>
    <w:rsid w:val="00886C89"/>
    <w:rsid w:val="00891928"/>
    <w:rsid w:val="00894B8B"/>
    <w:rsid w:val="0089556C"/>
    <w:rsid w:val="008960CE"/>
    <w:rsid w:val="0089686B"/>
    <w:rsid w:val="008A00A4"/>
    <w:rsid w:val="008A446D"/>
    <w:rsid w:val="008A4637"/>
    <w:rsid w:val="008A7A64"/>
    <w:rsid w:val="008A7AFE"/>
    <w:rsid w:val="008A7F08"/>
    <w:rsid w:val="008B0AE4"/>
    <w:rsid w:val="008B2F0E"/>
    <w:rsid w:val="008B30C2"/>
    <w:rsid w:val="008B5578"/>
    <w:rsid w:val="008B5A2E"/>
    <w:rsid w:val="008D01FC"/>
    <w:rsid w:val="008D180B"/>
    <w:rsid w:val="008D2C61"/>
    <w:rsid w:val="008D7227"/>
    <w:rsid w:val="008D7786"/>
    <w:rsid w:val="008E1F92"/>
    <w:rsid w:val="008E7333"/>
    <w:rsid w:val="008E7B09"/>
    <w:rsid w:val="008F0EA7"/>
    <w:rsid w:val="008F4E35"/>
    <w:rsid w:val="008F6FED"/>
    <w:rsid w:val="008F7BB9"/>
    <w:rsid w:val="009029F9"/>
    <w:rsid w:val="00902F21"/>
    <w:rsid w:val="00904692"/>
    <w:rsid w:val="00910097"/>
    <w:rsid w:val="00911C7C"/>
    <w:rsid w:val="00913DBA"/>
    <w:rsid w:val="0091561E"/>
    <w:rsid w:val="00923EEF"/>
    <w:rsid w:val="009411F5"/>
    <w:rsid w:val="009419F9"/>
    <w:rsid w:val="00950618"/>
    <w:rsid w:val="00953AA4"/>
    <w:rsid w:val="00955305"/>
    <w:rsid w:val="009561EA"/>
    <w:rsid w:val="0095685E"/>
    <w:rsid w:val="009572D9"/>
    <w:rsid w:val="00957AB4"/>
    <w:rsid w:val="009600D2"/>
    <w:rsid w:val="00961409"/>
    <w:rsid w:val="00961B09"/>
    <w:rsid w:val="00962300"/>
    <w:rsid w:val="00962433"/>
    <w:rsid w:val="00965334"/>
    <w:rsid w:val="00966254"/>
    <w:rsid w:val="0097093E"/>
    <w:rsid w:val="00972B33"/>
    <w:rsid w:val="00975B1C"/>
    <w:rsid w:val="00976025"/>
    <w:rsid w:val="00976D9A"/>
    <w:rsid w:val="009800BE"/>
    <w:rsid w:val="00982E41"/>
    <w:rsid w:val="00984649"/>
    <w:rsid w:val="009858BE"/>
    <w:rsid w:val="009A0DFA"/>
    <w:rsid w:val="009A3C2C"/>
    <w:rsid w:val="009A4A40"/>
    <w:rsid w:val="009A5F11"/>
    <w:rsid w:val="009B2D26"/>
    <w:rsid w:val="009B6E29"/>
    <w:rsid w:val="009B76B2"/>
    <w:rsid w:val="009B780F"/>
    <w:rsid w:val="009C00CC"/>
    <w:rsid w:val="009C2DD0"/>
    <w:rsid w:val="009C3AC7"/>
    <w:rsid w:val="009C3C97"/>
    <w:rsid w:val="009C71FA"/>
    <w:rsid w:val="009C72E7"/>
    <w:rsid w:val="009D0555"/>
    <w:rsid w:val="009D3058"/>
    <w:rsid w:val="009D3A11"/>
    <w:rsid w:val="009D44C4"/>
    <w:rsid w:val="009D4993"/>
    <w:rsid w:val="009D67FD"/>
    <w:rsid w:val="009E5A30"/>
    <w:rsid w:val="009E7C05"/>
    <w:rsid w:val="009F3831"/>
    <w:rsid w:val="009F3832"/>
    <w:rsid w:val="009F3A13"/>
    <w:rsid w:val="009F4AB2"/>
    <w:rsid w:val="009F73F7"/>
    <w:rsid w:val="00A02465"/>
    <w:rsid w:val="00A03415"/>
    <w:rsid w:val="00A04A81"/>
    <w:rsid w:val="00A122D3"/>
    <w:rsid w:val="00A14D3D"/>
    <w:rsid w:val="00A153F4"/>
    <w:rsid w:val="00A1702C"/>
    <w:rsid w:val="00A17F13"/>
    <w:rsid w:val="00A20739"/>
    <w:rsid w:val="00A211D0"/>
    <w:rsid w:val="00A23361"/>
    <w:rsid w:val="00A24433"/>
    <w:rsid w:val="00A2443A"/>
    <w:rsid w:val="00A302A1"/>
    <w:rsid w:val="00A332DD"/>
    <w:rsid w:val="00A339A9"/>
    <w:rsid w:val="00A33C78"/>
    <w:rsid w:val="00A34B38"/>
    <w:rsid w:val="00A34D87"/>
    <w:rsid w:val="00A35538"/>
    <w:rsid w:val="00A37BC4"/>
    <w:rsid w:val="00A42050"/>
    <w:rsid w:val="00A43292"/>
    <w:rsid w:val="00A445C0"/>
    <w:rsid w:val="00A56FCA"/>
    <w:rsid w:val="00A6004A"/>
    <w:rsid w:val="00A613C2"/>
    <w:rsid w:val="00A74DE6"/>
    <w:rsid w:val="00A8086A"/>
    <w:rsid w:val="00A80F32"/>
    <w:rsid w:val="00A87F7D"/>
    <w:rsid w:val="00A9244C"/>
    <w:rsid w:val="00A94D14"/>
    <w:rsid w:val="00AB0ADB"/>
    <w:rsid w:val="00AB3FD1"/>
    <w:rsid w:val="00AC0EAB"/>
    <w:rsid w:val="00AC4701"/>
    <w:rsid w:val="00AC49A2"/>
    <w:rsid w:val="00AC6FA5"/>
    <w:rsid w:val="00AD26A6"/>
    <w:rsid w:val="00AD73E2"/>
    <w:rsid w:val="00AE2631"/>
    <w:rsid w:val="00AF0ED2"/>
    <w:rsid w:val="00AF1854"/>
    <w:rsid w:val="00AF1BEC"/>
    <w:rsid w:val="00B009B8"/>
    <w:rsid w:val="00B01B1A"/>
    <w:rsid w:val="00B14E03"/>
    <w:rsid w:val="00B23D14"/>
    <w:rsid w:val="00B26B98"/>
    <w:rsid w:val="00B35ADC"/>
    <w:rsid w:val="00B37C24"/>
    <w:rsid w:val="00B40FBC"/>
    <w:rsid w:val="00B46F27"/>
    <w:rsid w:val="00B47FD7"/>
    <w:rsid w:val="00B51F75"/>
    <w:rsid w:val="00B52674"/>
    <w:rsid w:val="00B53E27"/>
    <w:rsid w:val="00B558AF"/>
    <w:rsid w:val="00B615BA"/>
    <w:rsid w:val="00B62D8B"/>
    <w:rsid w:val="00B64162"/>
    <w:rsid w:val="00B72CD3"/>
    <w:rsid w:val="00B72FFF"/>
    <w:rsid w:val="00B73993"/>
    <w:rsid w:val="00B75F3C"/>
    <w:rsid w:val="00B76CEB"/>
    <w:rsid w:val="00B8257D"/>
    <w:rsid w:val="00B82B8B"/>
    <w:rsid w:val="00B86FE2"/>
    <w:rsid w:val="00B87F69"/>
    <w:rsid w:val="00B91186"/>
    <w:rsid w:val="00B93423"/>
    <w:rsid w:val="00B97D74"/>
    <w:rsid w:val="00BA2EF4"/>
    <w:rsid w:val="00BB73C5"/>
    <w:rsid w:val="00BC0036"/>
    <w:rsid w:val="00BC05A6"/>
    <w:rsid w:val="00BC3D36"/>
    <w:rsid w:val="00BC4B34"/>
    <w:rsid w:val="00BD38E0"/>
    <w:rsid w:val="00BD7F72"/>
    <w:rsid w:val="00BE03BC"/>
    <w:rsid w:val="00BE0A18"/>
    <w:rsid w:val="00BE12F9"/>
    <w:rsid w:val="00BE3C4A"/>
    <w:rsid w:val="00BE6F43"/>
    <w:rsid w:val="00BF1201"/>
    <w:rsid w:val="00BF1D4A"/>
    <w:rsid w:val="00BF230F"/>
    <w:rsid w:val="00BF7BBF"/>
    <w:rsid w:val="00C002E3"/>
    <w:rsid w:val="00C012CC"/>
    <w:rsid w:val="00C015B1"/>
    <w:rsid w:val="00C03510"/>
    <w:rsid w:val="00C04FB3"/>
    <w:rsid w:val="00C10179"/>
    <w:rsid w:val="00C147D0"/>
    <w:rsid w:val="00C159C1"/>
    <w:rsid w:val="00C16346"/>
    <w:rsid w:val="00C20C65"/>
    <w:rsid w:val="00C21B15"/>
    <w:rsid w:val="00C30833"/>
    <w:rsid w:val="00C32523"/>
    <w:rsid w:val="00C330EB"/>
    <w:rsid w:val="00C371C9"/>
    <w:rsid w:val="00C40E9F"/>
    <w:rsid w:val="00C41481"/>
    <w:rsid w:val="00C42469"/>
    <w:rsid w:val="00C46D91"/>
    <w:rsid w:val="00C47A07"/>
    <w:rsid w:val="00C57281"/>
    <w:rsid w:val="00C65D65"/>
    <w:rsid w:val="00C67703"/>
    <w:rsid w:val="00C7173F"/>
    <w:rsid w:val="00C730B6"/>
    <w:rsid w:val="00C74E08"/>
    <w:rsid w:val="00C754BE"/>
    <w:rsid w:val="00C76466"/>
    <w:rsid w:val="00C76B1C"/>
    <w:rsid w:val="00C915DD"/>
    <w:rsid w:val="00C91B94"/>
    <w:rsid w:val="00C95AD9"/>
    <w:rsid w:val="00CA6A9D"/>
    <w:rsid w:val="00CA7F6B"/>
    <w:rsid w:val="00CA7FB6"/>
    <w:rsid w:val="00CB06C2"/>
    <w:rsid w:val="00CB6357"/>
    <w:rsid w:val="00CC0FA3"/>
    <w:rsid w:val="00CC1B26"/>
    <w:rsid w:val="00CC49F7"/>
    <w:rsid w:val="00CC54DB"/>
    <w:rsid w:val="00CD087D"/>
    <w:rsid w:val="00CD41CB"/>
    <w:rsid w:val="00CD5EE0"/>
    <w:rsid w:val="00CE509A"/>
    <w:rsid w:val="00CE5414"/>
    <w:rsid w:val="00CE7426"/>
    <w:rsid w:val="00CF7826"/>
    <w:rsid w:val="00D0157A"/>
    <w:rsid w:val="00D02740"/>
    <w:rsid w:val="00D036D8"/>
    <w:rsid w:val="00D038ED"/>
    <w:rsid w:val="00D06D26"/>
    <w:rsid w:val="00D10B75"/>
    <w:rsid w:val="00D11906"/>
    <w:rsid w:val="00D13351"/>
    <w:rsid w:val="00D13D25"/>
    <w:rsid w:val="00D15E25"/>
    <w:rsid w:val="00D20368"/>
    <w:rsid w:val="00D22361"/>
    <w:rsid w:val="00D22598"/>
    <w:rsid w:val="00D26924"/>
    <w:rsid w:val="00D413F6"/>
    <w:rsid w:val="00D4231B"/>
    <w:rsid w:val="00D423A2"/>
    <w:rsid w:val="00D520D8"/>
    <w:rsid w:val="00D52844"/>
    <w:rsid w:val="00D52961"/>
    <w:rsid w:val="00D55048"/>
    <w:rsid w:val="00D5596D"/>
    <w:rsid w:val="00D55978"/>
    <w:rsid w:val="00D57FA4"/>
    <w:rsid w:val="00D62DE7"/>
    <w:rsid w:val="00D63AC2"/>
    <w:rsid w:val="00D665B4"/>
    <w:rsid w:val="00D7383B"/>
    <w:rsid w:val="00D7609E"/>
    <w:rsid w:val="00D81A63"/>
    <w:rsid w:val="00D81D25"/>
    <w:rsid w:val="00D85C60"/>
    <w:rsid w:val="00D94C40"/>
    <w:rsid w:val="00DA231B"/>
    <w:rsid w:val="00DA23A0"/>
    <w:rsid w:val="00DA7F66"/>
    <w:rsid w:val="00DB186F"/>
    <w:rsid w:val="00DB7B3E"/>
    <w:rsid w:val="00DC39FC"/>
    <w:rsid w:val="00DC4385"/>
    <w:rsid w:val="00DC484F"/>
    <w:rsid w:val="00DC4C27"/>
    <w:rsid w:val="00DC51BC"/>
    <w:rsid w:val="00DC793F"/>
    <w:rsid w:val="00DD049B"/>
    <w:rsid w:val="00DE0856"/>
    <w:rsid w:val="00DE4629"/>
    <w:rsid w:val="00DF11FD"/>
    <w:rsid w:val="00DF5254"/>
    <w:rsid w:val="00E12426"/>
    <w:rsid w:val="00E16408"/>
    <w:rsid w:val="00E20894"/>
    <w:rsid w:val="00E245AB"/>
    <w:rsid w:val="00E24E36"/>
    <w:rsid w:val="00E26239"/>
    <w:rsid w:val="00E2764C"/>
    <w:rsid w:val="00E27F2E"/>
    <w:rsid w:val="00E3176B"/>
    <w:rsid w:val="00E34BBF"/>
    <w:rsid w:val="00E413EA"/>
    <w:rsid w:val="00E4419D"/>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8AA"/>
    <w:rsid w:val="00E90F6B"/>
    <w:rsid w:val="00E91079"/>
    <w:rsid w:val="00E92C27"/>
    <w:rsid w:val="00E92E10"/>
    <w:rsid w:val="00EA0E3D"/>
    <w:rsid w:val="00EA1CD8"/>
    <w:rsid w:val="00EA393B"/>
    <w:rsid w:val="00EA39A5"/>
    <w:rsid w:val="00EB2C4B"/>
    <w:rsid w:val="00EB7E00"/>
    <w:rsid w:val="00EC1A2C"/>
    <w:rsid w:val="00EC1FE1"/>
    <w:rsid w:val="00EC38A7"/>
    <w:rsid w:val="00ED042A"/>
    <w:rsid w:val="00ED0D4A"/>
    <w:rsid w:val="00EE1AA8"/>
    <w:rsid w:val="00EF26C3"/>
    <w:rsid w:val="00EF419E"/>
    <w:rsid w:val="00EF489F"/>
    <w:rsid w:val="00EF63E1"/>
    <w:rsid w:val="00F10A35"/>
    <w:rsid w:val="00F11213"/>
    <w:rsid w:val="00F11BAA"/>
    <w:rsid w:val="00F1445A"/>
    <w:rsid w:val="00F177C1"/>
    <w:rsid w:val="00F238F2"/>
    <w:rsid w:val="00F242E8"/>
    <w:rsid w:val="00F260AA"/>
    <w:rsid w:val="00F27B26"/>
    <w:rsid w:val="00F31EDC"/>
    <w:rsid w:val="00F34D02"/>
    <w:rsid w:val="00F34E84"/>
    <w:rsid w:val="00F36447"/>
    <w:rsid w:val="00F40BAD"/>
    <w:rsid w:val="00F462B3"/>
    <w:rsid w:val="00F46F38"/>
    <w:rsid w:val="00F50F8A"/>
    <w:rsid w:val="00F51119"/>
    <w:rsid w:val="00F5184B"/>
    <w:rsid w:val="00F51862"/>
    <w:rsid w:val="00F5258B"/>
    <w:rsid w:val="00F55081"/>
    <w:rsid w:val="00F55168"/>
    <w:rsid w:val="00F5664F"/>
    <w:rsid w:val="00F626C4"/>
    <w:rsid w:val="00F64D9E"/>
    <w:rsid w:val="00F65C51"/>
    <w:rsid w:val="00F665D0"/>
    <w:rsid w:val="00F666C4"/>
    <w:rsid w:val="00F7684C"/>
    <w:rsid w:val="00F76AFC"/>
    <w:rsid w:val="00F80CBE"/>
    <w:rsid w:val="00F85198"/>
    <w:rsid w:val="00F85A91"/>
    <w:rsid w:val="00F939CB"/>
    <w:rsid w:val="00F9479C"/>
    <w:rsid w:val="00F965EE"/>
    <w:rsid w:val="00F97949"/>
    <w:rsid w:val="00FA1110"/>
    <w:rsid w:val="00FA358D"/>
    <w:rsid w:val="00FA47C0"/>
    <w:rsid w:val="00FB4425"/>
    <w:rsid w:val="00FB5615"/>
    <w:rsid w:val="00FB5DD1"/>
    <w:rsid w:val="00FB5F87"/>
    <w:rsid w:val="00FC07B5"/>
    <w:rsid w:val="00FC2B5D"/>
    <w:rsid w:val="00FD00E9"/>
    <w:rsid w:val="00FD03E3"/>
    <w:rsid w:val="00FE122A"/>
    <w:rsid w:val="00FE20E6"/>
    <w:rsid w:val="00FE429F"/>
    <w:rsid w:val="00FF1187"/>
    <w:rsid w:val="00FF1449"/>
    <w:rsid w:val="00FF2FD4"/>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AF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11">
    <w:name w:val="Tabla con cuadrícula11"/>
    <w:basedOn w:val="Tablanormal"/>
    <w:next w:val="Tablaconcuadrcula"/>
    <w:uiPriority w:val="39"/>
    <w:qFormat/>
    <w:rsid w:val="006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60163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uentedeprrafopredeter"/>
    <w:uiPriority w:val="99"/>
    <w:semiHidden/>
    <w:unhideWhenUsed/>
    <w:rsid w:val="007D2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00642757">
      <w:bodyDiv w:val="1"/>
      <w:marLeft w:val="0"/>
      <w:marRight w:val="0"/>
      <w:marTop w:val="0"/>
      <w:marBottom w:val="0"/>
      <w:divBdr>
        <w:top w:val="none" w:sz="0" w:space="0" w:color="auto"/>
        <w:left w:val="none" w:sz="0" w:space="0" w:color="auto"/>
        <w:bottom w:val="none" w:sz="0" w:space="0" w:color="auto"/>
        <w:right w:val="none" w:sz="0" w:space="0" w:color="auto"/>
      </w:divBdr>
    </w:div>
    <w:div w:id="492333665">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2359619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0881481">
      <w:bodyDiv w:val="1"/>
      <w:marLeft w:val="0"/>
      <w:marRight w:val="0"/>
      <w:marTop w:val="0"/>
      <w:marBottom w:val="0"/>
      <w:divBdr>
        <w:top w:val="none" w:sz="0" w:space="0" w:color="auto"/>
        <w:left w:val="none" w:sz="0" w:space="0" w:color="auto"/>
        <w:bottom w:val="none" w:sz="0" w:space="0" w:color="auto"/>
        <w:right w:val="none" w:sz="0" w:space="0" w:color="auto"/>
      </w:divBdr>
      <w:divsChild>
        <w:div w:id="896011737">
          <w:marLeft w:val="0"/>
          <w:marRight w:val="0"/>
          <w:marTop w:val="0"/>
          <w:marBottom w:val="0"/>
          <w:divBdr>
            <w:top w:val="none" w:sz="0" w:space="0" w:color="auto"/>
            <w:left w:val="none" w:sz="0" w:space="0" w:color="auto"/>
            <w:bottom w:val="none" w:sz="0" w:space="0" w:color="auto"/>
            <w:right w:val="none" w:sz="0" w:space="0" w:color="auto"/>
          </w:divBdr>
          <w:divsChild>
            <w:div w:id="64107881">
              <w:marLeft w:val="0"/>
              <w:marRight w:val="0"/>
              <w:marTop w:val="0"/>
              <w:marBottom w:val="0"/>
              <w:divBdr>
                <w:top w:val="none" w:sz="0" w:space="0" w:color="auto"/>
                <w:left w:val="none" w:sz="0" w:space="0" w:color="auto"/>
                <w:bottom w:val="none" w:sz="0" w:space="0" w:color="auto"/>
                <w:right w:val="none" w:sz="0" w:space="0" w:color="auto"/>
              </w:divBdr>
            </w:div>
            <w:div w:id="1510755268">
              <w:marLeft w:val="0"/>
              <w:marRight w:val="0"/>
              <w:marTop w:val="0"/>
              <w:marBottom w:val="0"/>
              <w:divBdr>
                <w:top w:val="none" w:sz="0" w:space="0" w:color="auto"/>
                <w:left w:val="none" w:sz="0" w:space="0" w:color="auto"/>
                <w:bottom w:val="none" w:sz="0" w:space="0" w:color="auto"/>
                <w:right w:val="none" w:sz="0" w:space="0" w:color="auto"/>
              </w:divBdr>
              <w:divsChild>
                <w:div w:id="1455371637">
                  <w:marLeft w:val="0"/>
                  <w:marRight w:val="0"/>
                  <w:marTop w:val="0"/>
                  <w:marBottom w:val="0"/>
                  <w:divBdr>
                    <w:top w:val="none" w:sz="0" w:space="0" w:color="auto"/>
                    <w:left w:val="none" w:sz="0" w:space="0" w:color="auto"/>
                    <w:bottom w:val="none" w:sz="0" w:space="0" w:color="auto"/>
                    <w:right w:val="none" w:sz="0" w:space="0" w:color="auto"/>
                  </w:divBdr>
                  <w:divsChild>
                    <w:div w:id="5914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67575">
          <w:marLeft w:val="0"/>
          <w:marRight w:val="0"/>
          <w:marTop w:val="0"/>
          <w:marBottom w:val="0"/>
          <w:divBdr>
            <w:top w:val="none" w:sz="0" w:space="0" w:color="auto"/>
            <w:left w:val="none" w:sz="0" w:space="0" w:color="auto"/>
            <w:bottom w:val="none" w:sz="0" w:space="0" w:color="auto"/>
            <w:right w:val="none" w:sz="0" w:space="0" w:color="auto"/>
          </w:divBdr>
          <w:divsChild>
            <w:div w:id="1383560765">
              <w:marLeft w:val="0"/>
              <w:marRight w:val="0"/>
              <w:marTop w:val="0"/>
              <w:marBottom w:val="0"/>
              <w:divBdr>
                <w:top w:val="none" w:sz="0" w:space="0" w:color="auto"/>
                <w:left w:val="none" w:sz="0" w:space="0" w:color="auto"/>
                <w:bottom w:val="none" w:sz="0" w:space="0" w:color="auto"/>
                <w:right w:val="none" w:sz="0" w:space="0" w:color="auto"/>
              </w:divBdr>
            </w:div>
          </w:divsChild>
        </w:div>
        <w:div w:id="1058431667">
          <w:marLeft w:val="0"/>
          <w:marRight w:val="0"/>
          <w:marTop w:val="0"/>
          <w:marBottom w:val="0"/>
          <w:divBdr>
            <w:top w:val="none" w:sz="0" w:space="0" w:color="auto"/>
            <w:left w:val="none" w:sz="0" w:space="0" w:color="auto"/>
            <w:bottom w:val="none" w:sz="0" w:space="0" w:color="auto"/>
            <w:right w:val="none" w:sz="0" w:space="0" w:color="auto"/>
          </w:divBdr>
          <w:divsChild>
            <w:div w:id="770708630">
              <w:marLeft w:val="0"/>
              <w:marRight w:val="0"/>
              <w:marTop w:val="0"/>
              <w:marBottom w:val="0"/>
              <w:divBdr>
                <w:top w:val="none" w:sz="0" w:space="0" w:color="auto"/>
                <w:left w:val="none" w:sz="0" w:space="0" w:color="auto"/>
                <w:bottom w:val="none" w:sz="0" w:space="0" w:color="auto"/>
                <w:right w:val="none" w:sz="0" w:space="0" w:color="auto"/>
              </w:divBdr>
            </w:div>
          </w:divsChild>
        </w:div>
        <w:div w:id="875778212">
          <w:marLeft w:val="0"/>
          <w:marRight w:val="0"/>
          <w:marTop w:val="0"/>
          <w:marBottom w:val="0"/>
          <w:divBdr>
            <w:top w:val="none" w:sz="0" w:space="0" w:color="auto"/>
            <w:left w:val="none" w:sz="0" w:space="0" w:color="auto"/>
            <w:bottom w:val="none" w:sz="0" w:space="0" w:color="auto"/>
            <w:right w:val="none" w:sz="0" w:space="0" w:color="auto"/>
          </w:divBdr>
          <w:divsChild>
            <w:div w:id="3483771">
              <w:marLeft w:val="0"/>
              <w:marRight w:val="0"/>
              <w:marTop w:val="0"/>
              <w:marBottom w:val="0"/>
              <w:divBdr>
                <w:top w:val="none" w:sz="0" w:space="0" w:color="auto"/>
                <w:left w:val="none" w:sz="0" w:space="0" w:color="auto"/>
                <w:bottom w:val="none" w:sz="0" w:space="0" w:color="auto"/>
                <w:right w:val="none" w:sz="0" w:space="0" w:color="auto"/>
              </w:divBdr>
            </w:div>
            <w:div w:id="658195392">
              <w:marLeft w:val="0"/>
              <w:marRight w:val="0"/>
              <w:marTop w:val="0"/>
              <w:marBottom w:val="0"/>
              <w:divBdr>
                <w:top w:val="none" w:sz="0" w:space="0" w:color="auto"/>
                <w:left w:val="none" w:sz="0" w:space="0" w:color="auto"/>
                <w:bottom w:val="none" w:sz="0" w:space="0" w:color="auto"/>
                <w:right w:val="none" w:sz="0" w:space="0" w:color="auto"/>
              </w:divBdr>
              <w:divsChild>
                <w:div w:id="1192763946">
                  <w:marLeft w:val="0"/>
                  <w:marRight w:val="0"/>
                  <w:marTop w:val="0"/>
                  <w:marBottom w:val="0"/>
                  <w:divBdr>
                    <w:top w:val="none" w:sz="0" w:space="0" w:color="auto"/>
                    <w:left w:val="none" w:sz="0" w:space="0" w:color="auto"/>
                    <w:bottom w:val="none" w:sz="0" w:space="0" w:color="auto"/>
                    <w:right w:val="none" w:sz="0" w:space="0" w:color="auto"/>
                  </w:divBdr>
                  <w:divsChild>
                    <w:div w:id="36236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2278">
          <w:marLeft w:val="0"/>
          <w:marRight w:val="0"/>
          <w:marTop w:val="0"/>
          <w:marBottom w:val="0"/>
          <w:divBdr>
            <w:top w:val="none" w:sz="0" w:space="0" w:color="auto"/>
            <w:left w:val="none" w:sz="0" w:space="0" w:color="auto"/>
            <w:bottom w:val="none" w:sz="0" w:space="0" w:color="auto"/>
            <w:right w:val="none" w:sz="0" w:space="0" w:color="auto"/>
          </w:divBdr>
          <w:divsChild>
            <w:div w:id="940141584">
              <w:marLeft w:val="0"/>
              <w:marRight w:val="0"/>
              <w:marTop w:val="0"/>
              <w:marBottom w:val="0"/>
              <w:divBdr>
                <w:top w:val="none" w:sz="0" w:space="0" w:color="auto"/>
                <w:left w:val="none" w:sz="0" w:space="0" w:color="auto"/>
                <w:bottom w:val="none" w:sz="0" w:space="0" w:color="auto"/>
                <w:right w:val="none" w:sz="0" w:space="0" w:color="auto"/>
              </w:divBdr>
            </w:div>
            <w:div w:id="1488790439">
              <w:marLeft w:val="0"/>
              <w:marRight w:val="0"/>
              <w:marTop w:val="0"/>
              <w:marBottom w:val="0"/>
              <w:divBdr>
                <w:top w:val="none" w:sz="0" w:space="0" w:color="auto"/>
                <w:left w:val="none" w:sz="0" w:space="0" w:color="auto"/>
                <w:bottom w:val="none" w:sz="0" w:space="0" w:color="auto"/>
                <w:right w:val="none" w:sz="0" w:space="0" w:color="auto"/>
              </w:divBdr>
              <w:divsChild>
                <w:div w:id="1071388426">
                  <w:marLeft w:val="0"/>
                  <w:marRight w:val="0"/>
                  <w:marTop w:val="0"/>
                  <w:marBottom w:val="0"/>
                  <w:divBdr>
                    <w:top w:val="none" w:sz="0" w:space="0" w:color="auto"/>
                    <w:left w:val="none" w:sz="0" w:space="0" w:color="auto"/>
                    <w:bottom w:val="none" w:sz="0" w:space="0" w:color="auto"/>
                    <w:right w:val="none" w:sz="0" w:space="0" w:color="auto"/>
                  </w:divBdr>
                  <w:divsChild>
                    <w:div w:id="120757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55316785">
      <w:bodyDiv w:val="1"/>
      <w:marLeft w:val="0"/>
      <w:marRight w:val="0"/>
      <w:marTop w:val="0"/>
      <w:marBottom w:val="0"/>
      <w:divBdr>
        <w:top w:val="none" w:sz="0" w:space="0" w:color="auto"/>
        <w:left w:val="none" w:sz="0" w:space="0" w:color="auto"/>
        <w:bottom w:val="none" w:sz="0" w:space="0" w:color="auto"/>
        <w:right w:val="none" w:sz="0" w:space="0" w:color="auto"/>
      </w:divBdr>
      <w:divsChild>
        <w:div w:id="1253121883">
          <w:marLeft w:val="0"/>
          <w:marRight w:val="0"/>
          <w:marTop w:val="0"/>
          <w:marBottom w:val="0"/>
          <w:divBdr>
            <w:top w:val="none" w:sz="0" w:space="0" w:color="auto"/>
            <w:left w:val="none" w:sz="0" w:space="0" w:color="auto"/>
            <w:bottom w:val="none" w:sz="0" w:space="0" w:color="auto"/>
            <w:right w:val="none" w:sz="0" w:space="0" w:color="auto"/>
          </w:divBdr>
          <w:divsChild>
            <w:div w:id="1038436993">
              <w:marLeft w:val="0"/>
              <w:marRight w:val="0"/>
              <w:marTop w:val="0"/>
              <w:marBottom w:val="0"/>
              <w:divBdr>
                <w:top w:val="none" w:sz="0" w:space="0" w:color="auto"/>
                <w:left w:val="none" w:sz="0" w:space="0" w:color="auto"/>
                <w:bottom w:val="none" w:sz="0" w:space="0" w:color="auto"/>
                <w:right w:val="none" w:sz="0" w:space="0" w:color="auto"/>
              </w:divBdr>
            </w:div>
            <w:div w:id="589894739">
              <w:marLeft w:val="0"/>
              <w:marRight w:val="0"/>
              <w:marTop w:val="0"/>
              <w:marBottom w:val="0"/>
              <w:divBdr>
                <w:top w:val="none" w:sz="0" w:space="0" w:color="auto"/>
                <w:left w:val="none" w:sz="0" w:space="0" w:color="auto"/>
                <w:bottom w:val="none" w:sz="0" w:space="0" w:color="auto"/>
                <w:right w:val="none" w:sz="0" w:space="0" w:color="auto"/>
              </w:divBdr>
              <w:divsChild>
                <w:div w:id="1403215916">
                  <w:marLeft w:val="0"/>
                  <w:marRight w:val="0"/>
                  <w:marTop w:val="0"/>
                  <w:marBottom w:val="0"/>
                  <w:divBdr>
                    <w:top w:val="none" w:sz="0" w:space="0" w:color="auto"/>
                    <w:left w:val="none" w:sz="0" w:space="0" w:color="auto"/>
                    <w:bottom w:val="none" w:sz="0" w:space="0" w:color="auto"/>
                    <w:right w:val="none" w:sz="0" w:space="0" w:color="auto"/>
                  </w:divBdr>
                  <w:divsChild>
                    <w:div w:id="151040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9676">
          <w:marLeft w:val="0"/>
          <w:marRight w:val="0"/>
          <w:marTop w:val="0"/>
          <w:marBottom w:val="0"/>
          <w:divBdr>
            <w:top w:val="none" w:sz="0" w:space="0" w:color="auto"/>
            <w:left w:val="none" w:sz="0" w:space="0" w:color="auto"/>
            <w:bottom w:val="none" w:sz="0" w:space="0" w:color="auto"/>
            <w:right w:val="none" w:sz="0" w:space="0" w:color="auto"/>
          </w:divBdr>
          <w:divsChild>
            <w:div w:id="100687961">
              <w:marLeft w:val="0"/>
              <w:marRight w:val="0"/>
              <w:marTop w:val="0"/>
              <w:marBottom w:val="0"/>
              <w:divBdr>
                <w:top w:val="none" w:sz="0" w:space="0" w:color="auto"/>
                <w:left w:val="none" w:sz="0" w:space="0" w:color="auto"/>
                <w:bottom w:val="none" w:sz="0" w:space="0" w:color="auto"/>
                <w:right w:val="none" w:sz="0" w:space="0" w:color="auto"/>
              </w:divBdr>
            </w:div>
          </w:divsChild>
        </w:div>
        <w:div w:id="453250805">
          <w:marLeft w:val="0"/>
          <w:marRight w:val="0"/>
          <w:marTop w:val="0"/>
          <w:marBottom w:val="0"/>
          <w:divBdr>
            <w:top w:val="none" w:sz="0" w:space="0" w:color="auto"/>
            <w:left w:val="none" w:sz="0" w:space="0" w:color="auto"/>
            <w:bottom w:val="none" w:sz="0" w:space="0" w:color="auto"/>
            <w:right w:val="none" w:sz="0" w:space="0" w:color="auto"/>
          </w:divBdr>
          <w:divsChild>
            <w:div w:id="232813660">
              <w:marLeft w:val="0"/>
              <w:marRight w:val="0"/>
              <w:marTop w:val="0"/>
              <w:marBottom w:val="0"/>
              <w:divBdr>
                <w:top w:val="none" w:sz="0" w:space="0" w:color="auto"/>
                <w:left w:val="none" w:sz="0" w:space="0" w:color="auto"/>
                <w:bottom w:val="none" w:sz="0" w:space="0" w:color="auto"/>
                <w:right w:val="none" w:sz="0" w:space="0" w:color="auto"/>
              </w:divBdr>
            </w:div>
          </w:divsChild>
        </w:div>
        <w:div w:id="3167415">
          <w:marLeft w:val="0"/>
          <w:marRight w:val="0"/>
          <w:marTop w:val="0"/>
          <w:marBottom w:val="0"/>
          <w:divBdr>
            <w:top w:val="none" w:sz="0" w:space="0" w:color="auto"/>
            <w:left w:val="none" w:sz="0" w:space="0" w:color="auto"/>
            <w:bottom w:val="none" w:sz="0" w:space="0" w:color="auto"/>
            <w:right w:val="none" w:sz="0" w:space="0" w:color="auto"/>
          </w:divBdr>
          <w:divsChild>
            <w:div w:id="1374622214">
              <w:marLeft w:val="0"/>
              <w:marRight w:val="0"/>
              <w:marTop w:val="0"/>
              <w:marBottom w:val="0"/>
              <w:divBdr>
                <w:top w:val="none" w:sz="0" w:space="0" w:color="auto"/>
                <w:left w:val="none" w:sz="0" w:space="0" w:color="auto"/>
                <w:bottom w:val="none" w:sz="0" w:space="0" w:color="auto"/>
                <w:right w:val="none" w:sz="0" w:space="0" w:color="auto"/>
              </w:divBdr>
            </w:div>
            <w:div w:id="1802306240">
              <w:marLeft w:val="0"/>
              <w:marRight w:val="0"/>
              <w:marTop w:val="0"/>
              <w:marBottom w:val="0"/>
              <w:divBdr>
                <w:top w:val="none" w:sz="0" w:space="0" w:color="auto"/>
                <w:left w:val="none" w:sz="0" w:space="0" w:color="auto"/>
                <w:bottom w:val="none" w:sz="0" w:space="0" w:color="auto"/>
                <w:right w:val="none" w:sz="0" w:space="0" w:color="auto"/>
              </w:divBdr>
              <w:divsChild>
                <w:div w:id="385766769">
                  <w:marLeft w:val="0"/>
                  <w:marRight w:val="0"/>
                  <w:marTop w:val="0"/>
                  <w:marBottom w:val="0"/>
                  <w:divBdr>
                    <w:top w:val="none" w:sz="0" w:space="0" w:color="auto"/>
                    <w:left w:val="none" w:sz="0" w:space="0" w:color="auto"/>
                    <w:bottom w:val="none" w:sz="0" w:space="0" w:color="auto"/>
                    <w:right w:val="none" w:sz="0" w:space="0" w:color="auto"/>
                  </w:divBdr>
                  <w:divsChild>
                    <w:div w:id="200003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762500">
          <w:marLeft w:val="0"/>
          <w:marRight w:val="0"/>
          <w:marTop w:val="0"/>
          <w:marBottom w:val="0"/>
          <w:divBdr>
            <w:top w:val="none" w:sz="0" w:space="0" w:color="auto"/>
            <w:left w:val="none" w:sz="0" w:space="0" w:color="auto"/>
            <w:bottom w:val="none" w:sz="0" w:space="0" w:color="auto"/>
            <w:right w:val="none" w:sz="0" w:space="0" w:color="auto"/>
          </w:divBdr>
          <w:divsChild>
            <w:div w:id="482311609">
              <w:marLeft w:val="0"/>
              <w:marRight w:val="0"/>
              <w:marTop w:val="0"/>
              <w:marBottom w:val="0"/>
              <w:divBdr>
                <w:top w:val="none" w:sz="0" w:space="0" w:color="auto"/>
                <w:left w:val="none" w:sz="0" w:space="0" w:color="auto"/>
                <w:bottom w:val="none" w:sz="0" w:space="0" w:color="auto"/>
                <w:right w:val="none" w:sz="0" w:space="0" w:color="auto"/>
              </w:divBdr>
            </w:div>
            <w:div w:id="650253667">
              <w:marLeft w:val="0"/>
              <w:marRight w:val="0"/>
              <w:marTop w:val="0"/>
              <w:marBottom w:val="0"/>
              <w:divBdr>
                <w:top w:val="none" w:sz="0" w:space="0" w:color="auto"/>
                <w:left w:val="none" w:sz="0" w:space="0" w:color="auto"/>
                <w:bottom w:val="none" w:sz="0" w:space="0" w:color="auto"/>
                <w:right w:val="none" w:sz="0" w:space="0" w:color="auto"/>
              </w:divBdr>
              <w:divsChild>
                <w:div w:id="1640765392">
                  <w:marLeft w:val="0"/>
                  <w:marRight w:val="0"/>
                  <w:marTop w:val="0"/>
                  <w:marBottom w:val="0"/>
                  <w:divBdr>
                    <w:top w:val="none" w:sz="0" w:space="0" w:color="auto"/>
                    <w:left w:val="none" w:sz="0" w:space="0" w:color="auto"/>
                    <w:bottom w:val="none" w:sz="0" w:space="0" w:color="auto"/>
                    <w:right w:val="none" w:sz="0" w:space="0" w:color="auto"/>
                  </w:divBdr>
                  <w:divsChild>
                    <w:div w:id="11985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169375">
      <w:bodyDiv w:val="1"/>
      <w:marLeft w:val="0"/>
      <w:marRight w:val="0"/>
      <w:marTop w:val="0"/>
      <w:marBottom w:val="0"/>
      <w:divBdr>
        <w:top w:val="none" w:sz="0" w:space="0" w:color="auto"/>
        <w:left w:val="none" w:sz="0" w:space="0" w:color="auto"/>
        <w:bottom w:val="none" w:sz="0" w:space="0" w:color="auto"/>
        <w:right w:val="none" w:sz="0" w:space="0" w:color="auto"/>
      </w:divBdr>
    </w:div>
    <w:div w:id="196365748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andro.valle.h@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76F43E47-09EA-4521-863C-C083D423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6037</Words>
  <Characters>33209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2025-08-16T01:03:00Z</dcterms:created>
  <dcterms:modified xsi:type="dcterms:W3CDTF">2025-08-16T01:03:00Z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