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FB63D" w14:textId="77777777" w:rsidR="0090060C" w:rsidRPr="00AF1555" w:rsidRDefault="0090060C" w:rsidP="0090060C">
      <w:pPr>
        <w:tabs>
          <w:tab w:val="left" w:pos="709"/>
        </w:tabs>
        <w:spacing w:after="0" w:line="240" w:lineRule="auto"/>
        <w:jc w:val="both"/>
        <w:rPr>
          <w:rFonts w:ascii="Verdana" w:eastAsia="Calibri" w:hAnsi="Verdana" w:cs="Arial"/>
          <w:bCs/>
          <w:sz w:val="20"/>
          <w:szCs w:val="20"/>
          <w:lang w:val="es-ES_tradnl" w:eastAsia="es-ES_tradnl"/>
        </w:rPr>
      </w:pPr>
    </w:p>
    <w:p w14:paraId="217F188E" w14:textId="77777777" w:rsidR="0090060C" w:rsidRPr="00AF1555" w:rsidRDefault="0090060C" w:rsidP="0090060C">
      <w:pPr>
        <w:spacing w:after="0" w:line="240" w:lineRule="auto"/>
        <w:jc w:val="both"/>
        <w:rPr>
          <w:rFonts w:ascii="Verdana" w:eastAsia="Calibri" w:hAnsi="Verdana" w:cs="Arial"/>
          <w:b/>
          <w:color w:val="000000" w:themeColor="text1"/>
          <w:lang w:val="es-ES"/>
        </w:rPr>
      </w:pPr>
      <w:r w:rsidRPr="00817818">
        <w:rPr>
          <w:rFonts w:ascii="Verdana" w:eastAsia="Calibri" w:hAnsi="Verdana" w:cs="Arial"/>
          <w:b/>
          <w:color w:val="000000" w:themeColor="text1"/>
          <w:lang w:val="es-ES"/>
        </w:rPr>
        <w:t>SISTEMA GENERAL DE REGALÍAS – Fundamento normativo – Acto Legislativo 01 de 2019</w:t>
      </w:r>
      <w:r w:rsidRPr="00AF1555">
        <w:rPr>
          <w:rFonts w:ascii="Verdana" w:eastAsia="Calibri" w:hAnsi="Verdana" w:cs="Arial"/>
          <w:b/>
          <w:color w:val="000000" w:themeColor="text1"/>
          <w:lang w:val="es-ES"/>
        </w:rPr>
        <w:t xml:space="preserve"> </w:t>
      </w:r>
    </w:p>
    <w:p w14:paraId="23DDC39F" w14:textId="77777777" w:rsidR="0090060C" w:rsidRPr="00AF1555" w:rsidRDefault="0090060C" w:rsidP="0090060C">
      <w:pPr>
        <w:spacing w:after="0" w:line="240" w:lineRule="auto"/>
        <w:jc w:val="both"/>
        <w:rPr>
          <w:rFonts w:ascii="Verdana" w:eastAsia="Calibri" w:hAnsi="Verdana" w:cs="Arial"/>
          <w:bCs/>
          <w:color w:val="000000" w:themeColor="text1"/>
          <w:sz w:val="20"/>
          <w:szCs w:val="20"/>
          <w:lang w:val="es-ES"/>
        </w:rPr>
      </w:pPr>
    </w:p>
    <w:p w14:paraId="0DA681E8" w14:textId="77777777" w:rsidR="0090060C" w:rsidRPr="00AF1555" w:rsidRDefault="0090060C" w:rsidP="0090060C">
      <w:pPr>
        <w:spacing w:after="0" w:line="240" w:lineRule="auto"/>
        <w:jc w:val="both"/>
        <w:rPr>
          <w:rFonts w:ascii="Verdana" w:eastAsia="Calibri" w:hAnsi="Verdana" w:cs="Arial"/>
          <w:color w:val="000000" w:themeColor="text1"/>
          <w:sz w:val="20"/>
          <w:szCs w:val="20"/>
          <w:lang w:val="es-ES_tradnl"/>
        </w:rPr>
      </w:pPr>
      <w:r w:rsidRPr="00817818">
        <w:rPr>
          <w:rFonts w:ascii="Verdana" w:eastAsia="Calibri" w:hAnsi="Verdana" w:cs="Arial"/>
          <w:color w:val="000000" w:themeColor="text1"/>
          <w:sz w:val="20"/>
          <w:szCs w:val="20"/>
          <w:lang w:val="es-ES_tradnl" w:eastAsia="es-ES_tradnl"/>
        </w:rPr>
        <w:t>El artículo 360 de la Constitución Política, modificado por el artículo 1 del Acto Legislativo 5 de 2011, define las regalías como una contraprestación económica a favor del Estado, que es causada por la explotación de un recurso natural no renovable. Al respecto, el precitado artículo prescribe: «La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 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p>
    <w:p w14:paraId="47D25E46" w14:textId="77777777" w:rsidR="0090060C" w:rsidRPr="00AF1555" w:rsidRDefault="0090060C" w:rsidP="0090060C">
      <w:pPr>
        <w:spacing w:after="0" w:line="240" w:lineRule="auto"/>
        <w:rPr>
          <w:rFonts w:ascii="Verdana" w:eastAsia="Geomanist Light" w:hAnsi="Verdana" w:cs="Arial"/>
          <w:color w:val="000000" w:themeColor="text1"/>
          <w:sz w:val="20"/>
          <w:szCs w:val="20"/>
          <w:lang w:val="es-ES_tradnl"/>
        </w:rPr>
      </w:pPr>
    </w:p>
    <w:p w14:paraId="6C7777B9" w14:textId="77777777" w:rsidR="0090060C" w:rsidRPr="00AF1555" w:rsidRDefault="0090060C" w:rsidP="0090060C">
      <w:pPr>
        <w:spacing w:after="0" w:line="240" w:lineRule="auto"/>
        <w:jc w:val="both"/>
        <w:rPr>
          <w:rFonts w:ascii="Verdana" w:eastAsia="Calibri" w:hAnsi="Verdana" w:cs="Arial"/>
          <w:b/>
          <w:sz w:val="20"/>
          <w:szCs w:val="20"/>
          <w:lang w:val="es-ES"/>
        </w:rPr>
      </w:pPr>
      <w:r w:rsidRPr="00817818">
        <w:rPr>
          <w:rFonts w:ascii="Verdana" w:eastAsia="Calibri" w:hAnsi="Verdana" w:cs="Arial"/>
          <w:b/>
          <w:lang w:val="es-ES"/>
        </w:rPr>
        <w:t>SISTEMA GENERAL DE REGALÍAS – Ley 2056 de 2020 – Finalidad – Objeto</w:t>
      </w:r>
    </w:p>
    <w:p w14:paraId="3E38DB4F" w14:textId="77777777" w:rsidR="0090060C" w:rsidRDefault="0090060C" w:rsidP="0090060C">
      <w:pPr>
        <w:spacing w:after="0" w:line="240" w:lineRule="auto"/>
        <w:jc w:val="both"/>
        <w:rPr>
          <w:rFonts w:ascii="Verdana" w:eastAsia="Calibri" w:hAnsi="Verdana" w:cs="Arial"/>
          <w:bCs/>
          <w:sz w:val="20"/>
          <w:szCs w:val="20"/>
          <w:lang w:val="es-ES"/>
        </w:rPr>
      </w:pPr>
    </w:p>
    <w:p w14:paraId="26423D24" w14:textId="77777777" w:rsidR="0090060C" w:rsidRDefault="0090060C" w:rsidP="0090060C">
      <w:pPr>
        <w:spacing w:after="0" w:line="240" w:lineRule="auto"/>
        <w:jc w:val="both"/>
        <w:rPr>
          <w:rFonts w:ascii="Verdana" w:eastAsia="Calibri" w:hAnsi="Verdana" w:cs="Arial"/>
          <w:color w:val="000000"/>
          <w:sz w:val="20"/>
          <w:szCs w:val="20"/>
          <w:lang w:val="es-ES_tradnl"/>
        </w:rPr>
      </w:pPr>
      <w:r w:rsidRPr="00817818">
        <w:rPr>
          <w:rFonts w:ascii="Verdana" w:eastAsia="Calibri" w:hAnsi="Verdana" w:cs="Arial"/>
          <w:bCs/>
          <w:sz w:val="20"/>
          <w:szCs w:val="20"/>
          <w:lang w:val="es-ES"/>
        </w:rPr>
        <w:t xml:space="preserve">Con fundamento en los artículos 360 y 361 de la Constitución Política, se expidió la Ley 2056 de 2020, por medio de la cual se deroga, entre otras, la Ley 1530 de 2012, y «Por la cual se regula la organización y el funcionamiento del Sistema General de Regalías». En este sentido, la exposición de motivos de esta Ley expresó que: 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 Incentivar en el territorio nacional el desarrollo de actividades de exploración y explotación de recursos naturales no renovables, en el marco de la normativa vigente. -Fomentar la estructuración y aprobación de proyectos de inversión que permitan la implementación del Acuerdo Final para la Terminación del Conflicto y la Construcción de una Paz Estable y Duradera, en los términos establecidos en las normas vigentes. En concordancia con los artículos 360 y 361 constitucionales, dicha ley tiene como objeto determinar la distribución, objetivos, fines, administración, ejecución, control del uso eficiente y la destinación de los ingresos </w:t>
      </w:r>
      <w:r w:rsidRPr="00817818">
        <w:rPr>
          <w:rFonts w:ascii="Verdana" w:eastAsia="Calibri" w:hAnsi="Verdana" w:cs="Arial"/>
          <w:bCs/>
          <w:sz w:val="20"/>
          <w:szCs w:val="20"/>
          <w:lang w:val="es-ES"/>
        </w:rPr>
        <w:lastRenderedPageBreak/>
        <w:t xml:space="preserve">que se encuadren dentro del concepto de regalías, precisando las condiciones para la participación de los beneficiarios o destinatarios de </w:t>
      </w:r>
      <w:proofErr w:type="gramStart"/>
      <w:r w:rsidRPr="00817818">
        <w:rPr>
          <w:rFonts w:ascii="Verdana" w:eastAsia="Calibri" w:hAnsi="Verdana" w:cs="Arial"/>
          <w:bCs/>
          <w:sz w:val="20"/>
          <w:szCs w:val="20"/>
          <w:lang w:val="es-ES"/>
        </w:rPr>
        <w:t>los mismos</w:t>
      </w:r>
      <w:proofErr w:type="gramEnd"/>
      <w:r w:rsidRPr="00AF1555">
        <w:rPr>
          <w:rFonts w:ascii="Verdana" w:eastAsia="Calibri" w:hAnsi="Verdana" w:cs="Arial"/>
          <w:color w:val="000000"/>
          <w:sz w:val="20"/>
          <w:szCs w:val="20"/>
          <w:lang w:val="es-ES_tradnl"/>
        </w:rPr>
        <w:t>.</w:t>
      </w:r>
    </w:p>
    <w:p w14:paraId="563066F1" w14:textId="77777777" w:rsidR="0090060C" w:rsidRPr="00AF1555" w:rsidRDefault="0090060C" w:rsidP="0090060C">
      <w:pPr>
        <w:spacing w:after="0" w:line="240" w:lineRule="auto"/>
        <w:rPr>
          <w:rFonts w:ascii="Verdana" w:eastAsia="Geomanist Light" w:hAnsi="Verdana" w:cs="Arial"/>
          <w:color w:val="000000" w:themeColor="text1"/>
          <w:sz w:val="20"/>
          <w:szCs w:val="20"/>
          <w:lang w:val="es-ES_tradnl"/>
        </w:rPr>
      </w:pPr>
    </w:p>
    <w:p w14:paraId="19EA15BA" w14:textId="77777777" w:rsidR="0090060C" w:rsidRPr="00AF1555" w:rsidRDefault="0090060C" w:rsidP="0090060C">
      <w:pPr>
        <w:spacing w:after="0" w:line="240" w:lineRule="auto"/>
        <w:jc w:val="both"/>
        <w:rPr>
          <w:rFonts w:ascii="Verdana" w:eastAsia="Calibri" w:hAnsi="Verdana" w:cs="Arial"/>
          <w:b/>
          <w:sz w:val="20"/>
          <w:szCs w:val="20"/>
          <w:lang w:val="es-ES"/>
        </w:rPr>
      </w:pPr>
      <w:r w:rsidRPr="00A94C7E">
        <w:rPr>
          <w:rFonts w:ascii="Verdana" w:eastAsia="Calibri" w:hAnsi="Verdana" w:cs="Arial"/>
          <w:b/>
          <w:lang w:val="es-ES"/>
        </w:rPr>
        <w:t xml:space="preserve">SISTEMA GENERAL DE REGALÍAS </w:t>
      </w:r>
      <w:r>
        <w:rPr>
          <w:rFonts w:ascii="Verdana" w:eastAsia="Calibri" w:hAnsi="Verdana" w:cs="Arial"/>
          <w:b/>
          <w:lang w:val="es-ES"/>
        </w:rPr>
        <w:t>– E</w:t>
      </w:r>
      <w:r w:rsidRPr="00A94C7E">
        <w:rPr>
          <w:rFonts w:ascii="Verdana" w:eastAsia="Calibri" w:hAnsi="Verdana" w:cs="Arial"/>
          <w:b/>
          <w:lang w:val="es-ES"/>
        </w:rPr>
        <w:t xml:space="preserve">valuación del precio ‒ Costo real – </w:t>
      </w:r>
      <w:r>
        <w:rPr>
          <w:rFonts w:ascii="Verdana" w:eastAsia="Calibri" w:hAnsi="Verdana" w:cs="Arial"/>
          <w:b/>
          <w:lang w:val="es-ES"/>
        </w:rPr>
        <w:t>I</w:t>
      </w:r>
      <w:r w:rsidRPr="00A94C7E">
        <w:rPr>
          <w:rFonts w:ascii="Verdana" w:eastAsia="Calibri" w:hAnsi="Verdana" w:cs="Arial"/>
          <w:b/>
          <w:lang w:val="es-ES"/>
        </w:rPr>
        <w:t xml:space="preserve">ncluye </w:t>
      </w:r>
      <w:r>
        <w:rPr>
          <w:rFonts w:ascii="Verdana" w:eastAsia="Calibri" w:hAnsi="Verdana" w:cs="Arial"/>
          <w:b/>
          <w:lang w:val="es-ES"/>
        </w:rPr>
        <w:t>la carga impositiva – Excepciones</w:t>
      </w:r>
    </w:p>
    <w:p w14:paraId="445042CF" w14:textId="77777777" w:rsidR="0090060C" w:rsidRDefault="0090060C" w:rsidP="0090060C">
      <w:pPr>
        <w:spacing w:after="0" w:line="240" w:lineRule="auto"/>
        <w:jc w:val="both"/>
        <w:rPr>
          <w:rFonts w:ascii="Verdana" w:eastAsia="Calibri" w:hAnsi="Verdana" w:cs="Arial"/>
          <w:bCs/>
          <w:sz w:val="20"/>
          <w:szCs w:val="20"/>
          <w:lang w:val="es-ES"/>
        </w:rPr>
      </w:pPr>
    </w:p>
    <w:p w14:paraId="561FC88E" w14:textId="77777777" w:rsidR="0090060C" w:rsidRDefault="0090060C" w:rsidP="0090060C">
      <w:pPr>
        <w:spacing w:after="0" w:line="240" w:lineRule="auto"/>
        <w:jc w:val="both"/>
        <w:rPr>
          <w:rFonts w:ascii="Verdana" w:eastAsia="Calibri" w:hAnsi="Verdana" w:cs="Arial"/>
          <w:bCs/>
          <w:sz w:val="20"/>
          <w:szCs w:val="20"/>
          <w:lang w:val="es-ES"/>
        </w:rPr>
      </w:pPr>
      <w:r>
        <w:rPr>
          <w:rFonts w:ascii="Verdana" w:eastAsia="Calibri" w:hAnsi="Verdana" w:cs="Arial"/>
          <w:bCs/>
          <w:sz w:val="20"/>
          <w:szCs w:val="20"/>
          <w:lang w:val="es-ES"/>
        </w:rPr>
        <w:t>T</w:t>
      </w:r>
      <w:r w:rsidRPr="00F102CB">
        <w:rPr>
          <w:rFonts w:ascii="Verdana" w:eastAsia="Calibri" w:hAnsi="Verdana" w:cs="Arial"/>
          <w:bCs/>
          <w:sz w:val="20"/>
          <w:szCs w:val="20"/>
          <w:lang w:val="es-ES"/>
        </w:rPr>
        <w:t>anto para elaborar el presupuesto oficial como para la presentación de las ofertas, el precio debe considerar los costos en que incurrirá el contratista para cumplir sus obligaciones, lo cual incluye la carga tributaria que afecta el negocio jurídico. La definición del régimen tributario aplicable a los proponentes que se presentan al procedimiento de selección no es realizada por la entidad estatal, sino que es un tema definido por el legislador, quien optó por establecer ciertas cargas a algunos sujetos y a otros no.</w:t>
      </w:r>
    </w:p>
    <w:p w14:paraId="1C5DC2C2" w14:textId="77777777" w:rsidR="0090060C" w:rsidRPr="00F102CB" w:rsidRDefault="0090060C" w:rsidP="0090060C">
      <w:pPr>
        <w:spacing w:after="0" w:line="240" w:lineRule="auto"/>
        <w:jc w:val="both"/>
        <w:rPr>
          <w:rFonts w:ascii="Verdana" w:eastAsia="Calibri" w:hAnsi="Verdana" w:cs="Arial"/>
          <w:bCs/>
          <w:sz w:val="20"/>
          <w:szCs w:val="20"/>
          <w:lang w:val="es-ES"/>
        </w:rPr>
      </w:pPr>
    </w:p>
    <w:p w14:paraId="540557C7" w14:textId="77777777" w:rsidR="0090060C" w:rsidRDefault="0090060C" w:rsidP="0090060C">
      <w:pPr>
        <w:spacing w:after="0" w:line="240" w:lineRule="auto"/>
        <w:jc w:val="both"/>
        <w:rPr>
          <w:rFonts w:ascii="Verdana" w:eastAsia="Calibri" w:hAnsi="Verdana" w:cs="Arial"/>
          <w:bCs/>
          <w:sz w:val="20"/>
          <w:szCs w:val="20"/>
          <w:lang w:val="es-ES"/>
        </w:rPr>
      </w:pPr>
      <w:r w:rsidRPr="00F102CB">
        <w:rPr>
          <w:rFonts w:ascii="Verdana" w:eastAsia="Calibri" w:hAnsi="Verdana" w:cs="Arial"/>
          <w:bCs/>
          <w:sz w:val="20"/>
          <w:szCs w:val="20"/>
          <w:lang w:val="es-ES"/>
        </w:rPr>
        <w:t xml:space="preserve">Los impuestos son parte integral del precio, pues es lo que finalmente terminará pagando la entidad cuando adjudique el contrato, por lo cual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p>
    <w:p w14:paraId="6C055C2F" w14:textId="77777777" w:rsidR="0090060C" w:rsidRPr="00F102CB" w:rsidRDefault="0090060C" w:rsidP="0090060C">
      <w:pPr>
        <w:spacing w:after="0" w:line="240" w:lineRule="auto"/>
        <w:jc w:val="both"/>
        <w:rPr>
          <w:rFonts w:ascii="Verdana" w:eastAsia="Calibri" w:hAnsi="Verdana" w:cs="Arial"/>
          <w:bCs/>
          <w:sz w:val="20"/>
          <w:szCs w:val="20"/>
          <w:lang w:val="es-ES"/>
        </w:rPr>
      </w:pPr>
    </w:p>
    <w:p w14:paraId="24AE70AF" w14:textId="77777777" w:rsidR="0090060C" w:rsidRDefault="0090060C" w:rsidP="0090060C">
      <w:pPr>
        <w:spacing w:after="0" w:line="240" w:lineRule="auto"/>
        <w:jc w:val="both"/>
        <w:rPr>
          <w:rFonts w:ascii="Verdana" w:eastAsia="Calibri" w:hAnsi="Verdana" w:cs="Arial"/>
          <w:color w:val="000000"/>
          <w:sz w:val="20"/>
          <w:szCs w:val="20"/>
          <w:lang w:val="es-ES_tradnl"/>
        </w:rPr>
      </w:pPr>
      <w:r w:rsidRPr="00F102CB">
        <w:rPr>
          <w:rFonts w:ascii="Verdana" w:eastAsia="Calibri" w:hAnsi="Verdana" w:cs="Arial"/>
          <w:bCs/>
          <w:sz w:val="20"/>
          <w:szCs w:val="20"/>
          <w:lang w:val="es-ES"/>
        </w:rPr>
        <w:t xml:space="preserve">Salvo que el ordenamiento defina alguna </w:t>
      </w:r>
      <w:r>
        <w:rPr>
          <w:rFonts w:ascii="Verdana" w:eastAsia="Calibri" w:hAnsi="Verdana" w:cs="Arial"/>
          <w:bCs/>
          <w:sz w:val="20"/>
          <w:szCs w:val="20"/>
          <w:lang w:val="es-ES"/>
        </w:rPr>
        <w:t>exención</w:t>
      </w:r>
      <w:r w:rsidRPr="00F102CB">
        <w:rPr>
          <w:rFonts w:ascii="Verdana" w:eastAsia="Calibri" w:hAnsi="Verdana" w:cs="Arial"/>
          <w:bCs/>
          <w:sz w:val="20"/>
          <w:szCs w:val="20"/>
          <w:lang w:val="es-ES"/>
        </w:rPr>
        <w:t xml:space="preserve"> tributaria para el tema objeto de consulta, esta conclusión es independiente de que el contrato se financie o no cargo al sistema general de regalías. Teniendo en cuenta que, mediante oficio 20253200489381 del 10 de julio de 2025, el Departamento Nacional de Planeación trasladó las preguntas 1, 2, 3 y 6 a la Dirección de Impuestos y Aduanas Nacionales, deberá estarse a lo que disponga la autoridad competente respecto a las excepciones o devoluciones en el pago de tributos territoriales –como el impuesto de </w:t>
      </w:r>
      <w:r>
        <w:rPr>
          <w:rFonts w:ascii="Verdana" w:eastAsia="Calibri" w:hAnsi="Verdana" w:cs="Arial"/>
          <w:bCs/>
          <w:sz w:val="20"/>
          <w:szCs w:val="20"/>
          <w:lang w:val="es-ES"/>
        </w:rPr>
        <w:t>industria</w:t>
      </w:r>
      <w:r w:rsidRPr="00F102CB">
        <w:rPr>
          <w:rFonts w:ascii="Verdana" w:eastAsia="Calibri" w:hAnsi="Verdana" w:cs="Arial"/>
          <w:bCs/>
          <w:sz w:val="20"/>
          <w:szCs w:val="20"/>
          <w:lang w:val="es-ES"/>
        </w:rPr>
        <w:t xml:space="preserve"> y comercio y las estampillas departamentales– en los </w:t>
      </w:r>
      <w:r>
        <w:rPr>
          <w:rFonts w:ascii="Verdana" w:eastAsia="Calibri" w:hAnsi="Verdana" w:cs="Arial"/>
          <w:bCs/>
          <w:sz w:val="20"/>
          <w:szCs w:val="20"/>
          <w:lang w:val="es-ES"/>
        </w:rPr>
        <w:t>contratos</w:t>
      </w:r>
      <w:r w:rsidRPr="00F102CB">
        <w:rPr>
          <w:rFonts w:ascii="Verdana" w:eastAsia="Calibri" w:hAnsi="Verdana" w:cs="Arial"/>
          <w:bCs/>
          <w:sz w:val="20"/>
          <w:szCs w:val="20"/>
          <w:lang w:val="es-ES"/>
        </w:rPr>
        <w:t xml:space="preserve"> suscritos con cargo al Fondo de Ciencia, Tecnología e Innovación del SGR.</w:t>
      </w:r>
    </w:p>
    <w:p w14:paraId="5325BBEB" w14:textId="77777777" w:rsidR="0090060C" w:rsidRDefault="0090060C" w:rsidP="0090060C">
      <w:pPr>
        <w:spacing w:after="0" w:line="240" w:lineRule="auto"/>
        <w:jc w:val="both"/>
        <w:rPr>
          <w:rFonts w:ascii="Verdana" w:eastAsia="Calibri" w:hAnsi="Verdana" w:cs="Arial"/>
          <w:color w:val="000000"/>
          <w:sz w:val="20"/>
          <w:szCs w:val="20"/>
          <w:lang w:val="es-ES_tradnl"/>
        </w:rPr>
      </w:pPr>
    </w:p>
    <w:p w14:paraId="69A7181C" w14:textId="77777777" w:rsidR="0090060C" w:rsidRPr="00AF1555" w:rsidRDefault="0090060C" w:rsidP="0090060C">
      <w:pPr>
        <w:spacing w:after="0" w:line="240" w:lineRule="auto"/>
        <w:rPr>
          <w:rFonts w:ascii="Verdana" w:eastAsia="Geomanist Light" w:hAnsi="Verdana" w:cs="Arial"/>
          <w:color w:val="000000" w:themeColor="text1"/>
          <w:sz w:val="20"/>
          <w:szCs w:val="20"/>
          <w:lang w:val="es-ES_tradnl"/>
        </w:rPr>
      </w:pPr>
    </w:p>
    <w:p w14:paraId="4A54E009" w14:textId="77777777" w:rsidR="0090060C" w:rsidRPr="00CC6757" w:rsidRDefault="0090060C" w:rsidP="0090060C">
      <w:pPr>
        <w:spacing w:after="0" w:line="240" w:lineRule="auto"/>
        <w:jc w:val="both"/>
        <w:rPr>
          <w:rFonts w:ascii="Verdana" w:eastAsia="Times New Roman" w:hAnsi="Verdana" w:cs="Arial"/>
          <w:color w:val="000000"/>
          <w:sz w:val="20"/>
          <w:szCs w:val="20"/>
          <w:lang w:val="es-ES_tradnl" w:eastAsia="es-MX"/>
        </w:rPr>
      </w:pPr>
    </w:p>
    <w:p w14:paraId="35238865" w14:textId="77777777" w:rsidR="0090060C" w:rsidRPr="00DE2AC7" w:rsidRDefault="0090060C" w:rsidP="0090060C">
      <w:pPr>
        <w:spacing w:after="0" w:line="240" w:lineRule="auto"/>
        <w:jc w:val="both"/>
        <w:rPr>
          <w:rFonts w:ascii="Verdana" w:eastAsia="Geomanist Light" w:hAnsi="Verdana" w:cs="Arial"/>
          <w:color w:val="000000" w:themeColor="text1"/>
        </w:rPr>
      </w:pPr>
    </w:p>
    <w:p w14:paraId="2F345D57" w14:textId="77777777" w:rsidR="0090060C" w:rsidRDefault="0090060C" w:rsidP="0090060C">
      <w:pPr>
        <w:spacing w:after="0" w:line="240" w:lineRule="auto"/>
        <w:rPr>
          <w:rFonts w:ascii="Verdana" w:eastAsia="Geomanist Light" w:hAnsi="Verdana" w:cs="Arial"/>
          <w:color w:val="000000" w:themeColor="text1"/>
          <w:lang w:val="es-MX"/>
        </w:rPr>
      </w:pPr>
    </w:p>
    <w:p w14:paraId="06ED937F" w14:textId="77777777" w:rsidR="0090060C" w:rsidRDefault="0090060C" w:rsidP="0090060C">
      <w:pPr>
        <w:spacing w:after="0" w:line="240" w:lineRule="auto"/>
        <w:rPr>
          <w:rFonts w:ascii="Verdana" w:eastAsia="Geomanist Light" w:hAnsi="Verdana" w:cs="Arial"/>
          <w:color w:val="000000" w:themeColor="text1"/>
          <w:lang w:val="es-MX"/>
        </w:rPr>
      </w:pPr>
    </w:p>
    <w:p w14:paraId="63402E26" w14:textId="77777777" w:rsidR="0090060C" w:rsidRDefault="0090060C" w:rsidP="0090060C">
      <w:pPr>
        <w:spacing w:after="0" w:line="240" w:lineRule="auto"/>
        <w:rPr>
          <w:rFonts w:ascii="Verdana" w:eastAsia="Geomanist Light" w:hAnsi="Verdana" w:cs="Arial"/>
          <w:color w:val="000000" w:themeColor="text1"/>
          <w:lang w:val="es-MX"/>
        </w:rPr>
      </w:pPr>
    </w:p>
    <w:p w14:paraId="30375ECB" w14:textId="77777777" w:rsidR="0090060C" w:rsidRDefault="0090060C" w:rsidP="0090060C">
      <w:pPr>
        <w:spacing w:after="0" w:line="240" w:lineRule="auto"/>
        <w:rPr>
          <w:rFonts w:ascii="Verdana" w:eastAsia="Geomanist Light" w:hAnsi="Verdana" w:cs="Arial"/>
          <w:color w:val="000000" w:themeColor="text1"/>
          <w:lang w:val="es-MX"/>
        </w:rPr>
      </w:pPr>
    </w:p>
    <w:p w14:paraId="573C564E" w14:textId="77777777" w:rsidR="0090060C" w:rsidRDefault="0090060C" w:rsidP="0090060C">
      <w:pPr>
        <w:spacing w:after="0" w:line="240" w:lineRule="auto"/>
        <w:rPr>
          <w:rFonts w:ascii="Verdana" w:eastAsia="Geomanist Light" w:hAnsi="Verdana" w:cs="Arial"/>
          <w:color w:val="000000" w:themeColor="text1"/>
          <w:lang w:val="es-MX"/>
        </w:rPr>
      </w:pPr>
    </w:p>
    <w:p w14:paraId="40C7CFE5" w14:textId="77777777" w:rsidR="0090060C" w:rsidRDefault="0090060C" w:rsidP="0090060C">
      <w:pPr>
        <w:spacing w:after="0" w:line="240" w:lineRule="auto"/>
        <w:rPr>
          <w:rFonts w:ascii="Verdana" w:eastAsia="Geomanist Light" w:hAnsi="Verdana" w:cs="Arial"/>
          <w:color w:val="000000" w:themeColor="text1"/>
          <w:lang w:val="es-MX"/>
        </w:rPr>
      </w:pPr>
    </w:p>
    <w:p w14:paraId="4C7F4AB3" w14:textId="77777777" w:rsidR="0090060C" w:rsidRDefault="0090060C" w:rsidP="0090060C">
      <w:pPr>
        <w:spacing w:after="0" w:line="240" w:lineRule="auto"/>
        <w:rPr>
          <w:rFonts w:ascii="Verdana" w:eastAsia="Geomanist Light" w:hAnsi="Verdana" w:cs="Arial"/>
          <w:color w:val="000000" w:themeColor="text1"/>
          <w:lang w:val="es-MX"/>
        </w:rPr>
      </w:pPr>
    </w:p>
    <w:p w14:paraId="4A618BF2" w14:textId="77777777" w:rsidR="0090060C" w:rsidRDefault="0090060C" w:rsidP="0090060C">
      <w:pPr>
        <w:spacing w:after="0" w:line="240" w:lineRule="auto"/>
        <w:rPr>
          <w:rFonts w:ascii="Verdana" w:eastAsia="Geomanist Light" w:hAnsi="Verdana" w:cs="Arial"/>
          <w:color w:val="000000" w:themeColor="text1"/>
          <w:lang w:val="es-MX"/>
        </w:rPr>
      </w:pPr>
    </w:p>
    <w:p w14:paraId="1B42915E" w14:textId="77777777" w:rsidR="0090060C" w:rsidRDefault="0090060C" w:rsidP="0090060C">
      <w:pPr>
        <w:spacing w:after="0" w:line="240" w:lineRule="auto"/>
        <w:rPr>
          <w:rFonts w:ascii="Verdana" w:eastAsia="Geomanist Light" w:hAnsi="Verdana" w:cs="Arial"/>
          <w:color w:val="000000" w:themeColor="text1"/>
          <w:lang w:val="es-MX"/>
        </w:rPr>
      </w:pPr>
    </w:p>
    <w:p w14:paraId="63CF7D71" w14:textId="77777777" w:rsidR="0090060C" w:rsidRDefault="0090060C" w:rsidP="0090060C">
      <w:pPr>
        <w:spacing w:after="0" w:line="240" w:lineRule="auto"/>
        <w:rPr>
          <w:rFonts w:ascii="Verdana" w:eastAsia="Geomanist Light" w:hAnsi="Verdana" w:cs="Arial"/>
          <w:color w:val="000000" w:themeColor="text1"/>
          <w:lang w:val="es-MX"/>
        </w:rPr>
      </w:pPr>
    </w:p>
    <w:p w14:paraId="2A0C3E08" w14:textId="77777777" w:rsidR="0090060C" w:rsidRDefault="0090060C" w:rsidP="0090060C">
      <w:pPr>
        <w:spacing w:after="0" w:line="240" w:lineRule="auto"/>
        <w:rPr>
          <w:rFonts w:ascii="Verdana" w:eastAsia="Geomanist Light" w:hAnsi="Verdana" w:cs="Arial"/>
          <w:color w:val="000000" w:themeColor="text1"/>
          <w:lang w:val="es-MX"/>
        </w:rPr>
      </w:pPr>
    </w:p>
    <w:p w14:paraId="5BC904C1" w14:textId="77777777" w:rsidR="0090060C" w:rsidRDefault="0090060C" w:rsidP="007B47C4">
      <w:pPr>
        <w:spacing w:after="0" w:line="240" w:lineRule="auto"/>
        <w:rPr>
          <w:rFonts w:ascii="Verdana" w:eastAsia="Geomanist Light" w:hAnsi="Verdana" w:cs="Arial"/>
          <w:color w:val="000000" w:themeColor="text1"/>
          <w:lang w:val="es-MX"/>
        </w:rPr>
      </w:pPr>
    </w:p>
    <w:p w14:paraId="1660BFC9" w14:textId="28CD01C1" w:rsidR="007B47C4" w:rsidRPr="00593A5F" w:rsidRDefault="007B47C4" w:rsidP="007B47C4">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DA1347" w:rsidRPr="00DA1347">
        <w:rPr>
          <w:rFonts w:ascii="Verdana" w:eastAsia="Geomanist Light" w:hAnsi="Verdana" w:cs="Arial"/>
          <w:color w:val="000000" w:themeColor="text1"/>
          <w:lang w:val="es-MX"/>
        </w:rPr>
        <w:t>23 de Julio de 2025</w:t>
      </w:r>
    </w:p>
    <w:p w14:paraId="18AA47C8" w14:textId="77777777" w:rsidR="007B47C4" w:rsidRDefault="007B47C4" w:rsidP="007B47C4">
      <w:pPr>
        <w:spacing w:after="0" w:line="240" w:lineRule="auto"/>
        <w:jc w:val="both"/>
        <w:rPr>
          <w:rFonts w:ascii="Verdana" w:eastAsia="Calibri" w:hAnsi="Verdana" w:cs="Arial"/>
          <w:color w:val="000000"/>
          <w:lang w:val="es-ES"/>
        </w:rPr>
      </w:pPr>
    </w:p>
    <w:p w14:paraId="16A2B73C" w14:textId="64AA854B" w:rsidR="00DA1347" w:rsidRDefault="00DA1347" w:rsidP="00DA1347">
      <w:pPr>
        <w:spacing w:after="0" w:line="240" w:lineRule="auto"/>
        <w:jc w:val="right"/>
        <w:rPr>
          <w:rFonts w:ascii="Verdana" w:eastAsia="Calibri" w:hAnsi="Verdana" w:cs="Arial"/>
          <w:color w:val="000000"/>
          <w:lang w:val="es-ES"/>
        </w:rPr>
      </w:pPr>
      <w:r w:rsidRPr="00DA1347">
        <w:rPr>
          <w:rFonts w:ascii="Verdana" w:eastAsia="Calibri" w:hAnsi="Verdana" w:cs="Arial"/>
          <w:color w:val="000000"/>
          <w:lang w:val="es-ES"/>
        </w:rPr>
        <w:drawing>
          <wp:inline distT="0" distB="0" distL="0" distR="0" wp14:anchorId="7CC8799D" wp14:editId="31EE8767">
            <wp:extent cx="2400300" cy="622300"/>
            <wp:effectExtent l="0" t="0" r="0" b="0"/>
            <wp:docPr id="369086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8671" name=""/>
                    <pic:cNvPicPr/>
                  </pic:nvPicPr>
                  <pic:blipFill>
                    <a:blip r:embed="rId10"/>
                    <a:stretch>
                      <a:fillRect/>
                    </a:stretch>
                  </pic:blipFill>
                  <pic:spPr>
                    <a:xfrm>
                      <a:off x="0" y="0"/>
                      <a:ext cx="2400300" cy="622300"/>
                    </a:xfrm>
                    <a:prstGeom prst="rect">
                      <a:avLst/>
                    </a:prstGeom>
                  </pic:spPr>
                </pic:pic>
              </a:graphicData>
            </a:graphic>
          </wp:inline>
        </w:drawing>
      </w:r>
    </w:p>
    <w:p w14:paraId="57907B40" w14:textId="77777777" w:rsidR="007B47C4" w:rsidRPr="00593A5F" w:rsidRDefault="007B47C4" w:rsidP="007B47C4">
      <w:pPr>
        <w:spacing w:after="0" w:line="240" w:lineRule="auto"/>
        <w:jc w:val="both"/>
        <w:rPr>
          <w:rFonts w:ascii="Verdana" w:eastAsia="Calibri" w:hAnsi="Verdana" w:cs="Arial"/>
          <w:color w:val="000000"/>
          <w:lang w:val="es-ES"/>
        </w:rPr>
      </w:pPr>
    </w:p>
    <w:p w14:paraId="5CD53DE9" w14:textId="77777777" w:rsidR="007B47C4" w:rsidRPr="00B96799" w:rsidRDefault="007B47C4" w:rsidP="007B47C4">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7BB4F08D" w14:textId="77777777" w:rsidR="007B47C4" w:rsidRPr="0085423D" w:rsidRDefault="007B47C4" w:rsidP="007B47C4">
      <w:pPr>
        <w:spacing w:after="0" w:line="240" w:lineRule="auto"/>
        <w:rPr>
          <w:rFonts w:ascii="Verdana" w:eastAsia="Calibri" w:hAnsi="Verdana" w:cs="Arial"/>
          <w:b/>
          <w:lang w:val="es-ES" w:eastAsia="es-ES"/>
        </w:rPr>
      </w:pPr>
      <w:bookmarkStart w:id="0" w:name="OLE_LINK1"/>
      <w:r w:rsidRPr="2A56A267">
        <w:rPr>
          <w:rFonts w:ascii="Verdana" w:eastAsia="Calibri" w:hAnsi="Verdana" w:cs="Arial"/>
          <w:b/>
          <w:lang w:val="es-ES" w:eastAsia="es-ES"/>
        </w:rPr>
        <w:t xml:space="preserve">Pablo Daniel Bonaveri  </w:t>
      </w:r>
    </w:p>
    <w:bookmarkEnd w:id="0"/>
    <w:p w14:paraId="677D5A6A" w14:textId="77777777" w:rsidR="007B47C4" w:rsidRPr="00A6315A" w:rsidRDefault="007B47C4" w:rsidP="007B47C4">
      <w:pPr>
        <w:spacing w:after="0" w:line="240" w:lineRule="auto"/>
        <w:rPr>
          <w:rFonts w:ascii="Verdana" w:eastAsia="Calibri" w:hAnsi="Verdana" w:cs="Arial"/>
          <w:lang w:val="es-ES" w:eastAsia="es-ES"/>
        </w:rPr>
      </w:pPr>
      <w:r>
        <w:rPr>
          <w:rFonts w:ascii="Verdana" w:hAnsi="Verdana"/>
        </w:rPr>
        <w:fldChar w:fldCharType="begin"/>
      </w:r>
      <w:r>
        <w:rPr>
          <w:rFonts w:ascii="Verdana" w:hAnsi="Verdana"/>
        </w:rPr>
        <w:instrText>HYPERLINK "mailto:</w:instrText>
      </w:r>
      <w:r w:rsidRPr="00101991">
        <w:rPr>
          <w:rFonts w:ascii="Verdana" w:hAnsi="Verdana"/>
        </w:rPr>
        <w:instrText>pablo.bonaveri@uac.edu.co</w:instrText>
      </w:r>
      <w:r>
        <w:rPr>
          <w:rFonts w:ascii="Verdana" w:hAnsi="Verdana"/>
        </w:rPr>
        <w:instrText>"</w:instrText>
      </w:r>
      <w:r>
        <w:rPr>
          <w:rFonts w:ascii="Verdana" w:hAnsi="Verdana"/>
        </w:rPr>
      </w:r>
      <w:r>
        <w:rPr>
          <w:rFonts w:ascii="Verdana" w:hAnsi="Verdana"/>
        </w:rPr>
        <w:fldChar w:fldCharType="separate"/>
      </w:r>
      <w:r w:rsidRPr="001A662C">
        <w:rPr>
          <w:rStyle w:val="Hipervnculo"/>
          <w:rFonts w:ascii="Verdana" w:hAnsi="Verdana"/>
        </w:rPr>
        <w:t>pablo.bonaveri@uac.edu.co</w:t>
      </w:r>
      <w:r>
        <w:rPr>
          <w:rFonts w:ascii="Verdana" w:hAnsi="Verdana"/>
        </w:rPr>
        <w:fldChar w:fldCharType="end"/>
      </w:r>
      <w:r>
        <w:rPr>
          <w:rFonts w:ascii="Verdana" w:hAnsi="Verdana"/>
        </w:rPr>
        <w:t xml:space="preserve">  </w:t>
      </w:r>
      <w:r w:rsidRPr="00A6315A">
        <w:rPr>
          <w:rFonts w:ascii="Verdana" w:hAnsi="Verdana"/>
        </w:rPr>
        <w:t xml:space="preserve">            </w:t>
      </w:r>
      <w:r w:rsidRPr="00A6315A">
        <w:rPr>
          <w:rFonts w:ascii="Verdana" w:eastAsia="Calibri" w:hAnsi="Verdana" w:cs="Arial"/>
          <w:lang w:val="es-ES" w:eastAsia="es-ES"/>
        </w:rPr>
        <w:t xml:space="preserve">    </w:t>
      </w:r>
    </w:p>
    <w:p w14:paraId="4F0284D3" w14:textId="77777777" w:rsidR="007B47C4" w:rsidRDefault="007B47C4" w:rsidP="007B47C4">
      <w:pPr>
        <w:spacing w:after="0" w:line="240" w:lineRule="auto"/>
        <w:rPr>
          <w:rFonts w:ascii="Verdana" w:eastAsia="Calibri" w:hAnsi="Verdana" w:cs="Arial"/>
          <w:lang w:val="es-ES" w:eastAsia="es-ES"/>
        </w:rPr>
      </w:pPr>
      <w:r w:rsidRPr="00101991">
        <w:rPr>
          <w:rFonts w:ascii="Verdana" w:eastAsia="Calibri" w:hAnsi="Verdana" w:cs="Arial"/>
          <w:lang w:val="es-ES" w:eastAsia="es-ES"/>
        </w:rPr>
        <w:t>Barranquilla</w:t>
      </w:r>
      <w:r>
        <w:rPr>
          <w:rFonts w:ascii="Verdana" w:eastAsia="Calibri" w:hAnsi="Verdana" w:cs="Arial"/>
          <w:lang w:val="es-ES" w:eastAsia="es-ES"/>
        </w:rPr>
        <w:t xml:space="preserve">, Atlántico </w:t>
      </w:r>
    </w:p>
    <w:p w14:paraId="2EAE7735" w14:textId="77777777" w:rsidR="007B47C4" w:rsidRPr="00593A5F" w:rsidRDefault="007B47C4" w:rsidP="007B47C4">
      <w:pPr>
        <w:spacing w:after="0" w:line="240" w:lineRule="auto"/>
        <w:rPr>
          <w:rFonts w:ascii="Verdana" w:eastAsia="Calibri" w:hAnsi="Verdana" w:cs="Arial"/>
          <w:b/>
          <w:bCs/>
          <w:color w:val="000000"/>
          <w:lang w:val="es-ES_tradnl" w:eastAsia="es-ES_tradnl"/>
        </w:rPr>
      </w:pPr>
    </w:p>
    <w:p w14:paraId="761FFCF3" w14:textId="77777777" w:rsidR="007B47C4" w:rsidRPr="00593A5F" w:rsidRDefault="007B47C4" w:rsidP="007B47C4">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B47C4" w:rsidRPr="00593A5F" w14:paraId="3CF9E155" w14:textId="77777777" w:rsidTr="001A29EF">
        <w:trPr>
          <w:trHeight w:val="884"/>
        </w:trPr>
        <w:tc>
          <w:tcPr>
            <w:tcW w:w="2689" w:type="dxa"/>
          </w:tcPr>
          <w:p w14:paraId="4437E82B" w14:textId="77777777" w:rsidR="007B47C4" w:rsidRPr="00C00976" w:rsidRDefault="007B47C4" w:rsidP="001A29EF">
            <w:pPr>
              <w:jc w:val="both"/>
              <w:rPr>
                <w:rFonts w:ascii="Verdana" w:eastAsia="Calibri" w:hAnsi="Verdana" w:cs="Arial"/>
                <w:b/>
                <w:bCs/>
                <w:color w:val="7030A0"/>
                <w:lang w:val="es-ES_tradnl" w:eastAsia="es-ES_tradnl"/>
              </w:rPr>
            </w:pPr>
          </w:p>
        </w:tc>
        <w:tc>
          <w:tcPr>
            <w:tcW w:w="6100" w:type="dxa"/>
          </w:tcPr>
          <w:p w14:paraId="2FD2970F" w14:textId="77777777" w:rsidR="007B47C4" w:rsidRPr="00C00976" w:rsidRDefault="007B47C4" w:rsidP="001A29EF">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917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7B47C4" w:rsidRPr="00593A5F" w14:paraId="0AF9ACD6" w14:textId="77777777" w:rsidTr="001A29EF">
        <w:trPr>
          <w:trHeight w:val="884"/>
        </w:trPr>
        <w:tc>
          <w:tcPr>
            <w:tcW w:w="2689" w:type="dxa"/>
          </w:tcPr>
          <w:p w14:paraId="59464D46" w14:textId="77777777" w:rsidR="007B47C4" w:rsidRPr="00593A5F" w:rsidRDefault="007B47C4" w:rsidP="001A29E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90F56A2" w14:textId="77777777" w:rsidR="007B47C4" w:rsidRPr="00A11406" w:rsidRDefault="007B47C4" w:rsidP="001A29EF">
            <w:pPr>
              <w:spacing w:line="276" w:lineRule="auto"/>
              <w:jc w:val="both"/>
              <w:rPr>
                <w:rFonts w:ascii="Verdana" w:eastAsia="Calibri" w:hAnsi="Verdana" w:cs="Arial"/>
                <w:lang w:val="es-ES" w:eastAsia="es-ES"/>
              </w:rPr>
            </w:pPr>
            <w:r w:rsidRPr="00CC6757">
              <w:rPr>
                <w:rFonts w:ascii="Verdana" w:eastAsia="Calibri" w:hAnsi="Verdana" w:cs="Arial"/>
                <w:lang w:val="es-ES" w:eastAsia="es-ES"/>
              </w:rPr>
              <w:t>SISTEMA GENERAL DE REGALÍAS – Fundamento normativo – Acto Legislativo 01 de 2019 / SISTEMA GENERAL DE REGALÍAS – Ley 2056 de 2020 – Finalidad – Objeto /</w:t>
            </w:r>
            <w:r>
              <w:rPr>
                <w:rFonts w:ascii="Verdana" w:eastAsia="Calibri" w:hAnsi="Verdana" w:cs="Arial"/>
                <w:lang w:val="es-ES" w:eastAsia="es-ES"/>
              </w:rPr>
              <w:t xml:space="preserve"> </w:t>
            </w:r>
            <w:r w:rsidRPr="00A94C7E">
              <w:rPr>
                <w:rFonts w:ascii="Verdana" w:eastAsia="Calibri" w:hAnsi="Verdana" w:cs="Arial"/>
                <w:lang w:val="es-ES" w:eastAsia="es-ES"/>
              </w:rPr>
              <w:t>SISTEMA GENERAL DE REGALÍAS – Evaluación del precio ‒ Costo real – Incluye la carga impositiva – Excepciones</w:t>
            </w:r>
            <w:r w:rsidRPr="006424A3">
              <w:rPr>
                <w:rFonts w:ascii="Verdana" w:eastAsia="Calibri" w:hAnsi="Verdana" w:cs="Arial"/>
                <w:lang w:val="es-ES" w:eastAsia="es-ES"/>
              </w:rPr>
              <w:t xml:space="preserve">   </w:t>
            </w:r>
            <w:r w:rsidRPr="00003886">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5C7B8DBF" w14:textId="77777777" w:rsidR="007B47C4" w:rsidRPr="00593A5F" w:rsidRDefault="007B47C4" w:rsidP="001A29EF">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7B47C4" w:rsidRPr="008E6AD9" w14:paraId="50A27822" w14:textId="77777777" w:rsidTr="001A29EF">
        <w:tc>
          <w:tcPr>
            <w:tcW w:w="2689" w:type="dxa"/>
          </w:tcPr>
          <w:p w14:paraId="2768360E" w14:textId="77777777" w:rsidR="007B47C4" w:rsidRPr="008E6AD9" w:rsidRDefault="007B47C4" w:rsidP="001A29EF">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3EE8649" w14:textId="77777777" w:rsidR="007B47C4" w:rsidRPr="00B92340" w:rsidRDefault="007B47C4" w:rsidP="001A29EF">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101991">
              <w:rPr>
                <w:rFonts w:ascii="Verdana" w:eastAsia="Calibri" w:hAnsi="Verdana" w:cs="Arial"/>
                <w:lang w:val="es-ES_tradnl" w:eastAsia="es-ES_tradnl"/>
              </w:rPr>
              <w:t>1_2025_07_11_007030</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3E7937C" w14:textId="77777777" w:rsidR="007B47C4" w:rsidRPr="00593A5F" w:rsidRDefault="007B47C4" w:rsidP="007B47C4">
      <w:pPr>
        <w:spacing w:after="0" w:line="240" w:lineRule="auto"/>
        <w:jc w:val="both"/>
        <w:rPr>
          <w:rFonts w:ascii="Verdana" w:eastAsia="Calibri" w:hAnsi="Verdana" w:cs="Arial"/>
          <w:color w:val="000000"/>
          <w:lang w:val="es-ES_tradnl" w:eastAsia="es-ES_tradnl"/>
        </w:rPr>
      </w:pPr>
    </w:p>
    <w:p w14:paraId="6611BB6F" w14:textId="77777777" w:rsidR="007B47C4" w:rsidRPr="00593A5F" w:rsidRDefault="007B47C4" w:rsidP="007B47C4">
      <w:pPr>
        <w:spacing w:after="0" w:line="240" w:lineRule="auto"/>
        <w:jc w:val="both"/>
        <w:rPr>
          <w:rFonts w:ascii="Verdana" w:eastAsia="Calibri" w:hAnsi="Verdana" w:cs="Arial"/>
          <w:color w:val="000000"/>
          <w:lang w:val="es-ES_tradnl" w:eastAsia="es-ES_tradnl"/>
        </w:rPr>
      </w:pPr>
    </w:p>
    <w:p w14:paraId="515084CA" w14:textId="77777777" w:rsidR="007B47C4" w:rsidRPr="008E6AD9" w:rsidRDefault="007B47C4" w:rsidP="007B47C4">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proofErr w:type="spellStart"/>
      <w:r w:rsidRPr="00101991">
        <w:rPr>
          <w:rFonts w:ascii="Verdana" w:eastAsia="Calibri" w:hAnsi="Verdana" w:cs="Arial"/>
          <w:lang w:val="es-ES" w:eastAsia="es-ES"/>
        </w:rPr>
        <w:t>Bonaveri</w:t>
      </w:r>
      <w:proofErr w:type="spellEnd"/>
      <w:r w:rsidRPr="008E6AD9">
        <w:rPr>
          <w:rFonts w:ascii="Verdana" w:eastAsia="Calibri" w:hAnsi="Verdana" w:cs="Arial"/>
          <w:lang w:val="es-ES" w:eastAsia="es-ES"/>
        </w:rPr>
        <w:t xml:space="preserve">: </w:t>
      </w:r>
    </w:p>
    <w:p w14:paraId="19030FB4" w14:textId="77777777" w:rsidR="007B47C4" w:rsidRDefault="007B47C4" w:rsidP="007B47C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57E2976" w14:textId="77777777" w:rsidR="007B47C4" w:rsidRPr="00593A5F" w:rsidRDefault="007B47C4" w:rsidP="007B47C4">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w:t>
      </w:r>
      <w:r>
        <w:rPr>
          <w:rFonts w:ascii="Verdana" w:eastAsia="Calibri" w:hAnsi="Verdana" w:cs="Arial"/>
          <w:color w:val="000000" w:themeColor="text1"/>
          <w:lang w:val="es-ES" w:eastAsia="es-ES"/>
        </w:rPr>
        <w:t xml:space="preserve"> el punto 4 de</w:t>
      </w:r>
      <w:r w:rsidRPr="00593A5F">
        <w:rPr>
          <w:rFonts w:ascii="Verdana" w:eastAsia="Calibri" w:hAnsi="Verdana" w:cs="Arial"/>
          <w:color w:val="000000" w:themeColor="text1"/>
          <w:lang w:val="es-ES" w:eastAsia="es-ES"/>
        </w:rPr>
        <w:t xml:space="preserv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26 de junio de 2025 realizada al Departamento Nacional de Planeación, la cual –conforme al artículo 21 de la Ley 1437 de 2011– fue remitida por competencia a esta entidad mediante correo electrónico del 11 de julio de 2025, en la que pregunta lo siguiente</w:t>
      </w:r>
      <w:r w:rsidRPr="008E6AD9">
        <w:rPr>
          <w:rFonts w:ascii="Verdana" w:eastAsia="Calibri" w:hAnsi="Verdana" w:cs="Arial"/>
          <w:lang w:val="es-ES" w:eastAsia="es-ES"/>
        </w:rPr>
        <w:t xml:space="preserve">: </w:t>
      </w:r>
    </w:p>
    <w:p w14:paraId="740948C4" w14:textId="77777777" w:rsidR="007B47C4" w:rsidRPr="00272A7B" w:rsidRDefault="007B47C4" w:rsidP="007B47C4">
      <w:pPr>
        <w:pStyle w:val="Prrafodelista"/>
        <w:tabs>
          <w:tab w:val="left" w:pos="142"/>
          <w:tab w:val="left" w:pos="284"/>
        </w:tabs>
        <w:spacing w:after="0" w:line="276" w:lineRule="auto"/>
        <w:ind w:left="0"/>
        <w:jc w:val="both"/>
        <w:rPr>
          <w:rFonts w:ascii="Verdana" w:eastAsia="Century Gothic" w:hAnsi="Verdana" w:cs="Century Gothic"/>
          <w:b/>
          <w:bCs/>
        </w:rPr>
      </w:pPr>
    </w:p>
    <w:p w14:paraId="23396A2F" w14:textId="77777777" w:rsidR="007B47C4" w:rsidRPr="00A6315A" w:rsidRDefault="007B47C4" w:rsidP="007B47C4">
      <w:pPr>
        <w:spacing w:after="0" w:line="240" w:lineRule="auto"/>
        <w:ind w:left="709" w:right="709"/>
        <w:jc w:val="both"/>
        <w:rPr>
          <w:rFonts w:ascii="Verdana" w:eastAsia="Century Gothic" w:hAnsi="Verdana" w:cs="Century Gothic"/>
          <w:sz w:val="21"/>
          <w:szCs w:val="21"/>
        </w:rPr>
      </w:pPr>
      <w:bookmarkStart w:id="1" w:name="_Hlk95313578"/>
      <w:r w:rsidRPr="006E7258">
        <w:rPr>
          <w:rFonts w:ascii="Verdana" w:eastAsia="Century Gothic" w:hAnsi="Verdana" w:cs="Century Gothic"/>
          <w:sz w:val="21"/>
          <w:szCs w:val="21"/>
          <w:lang w:val="es-ES"/>
        </w:rPr>
        <w:t>“</w:t>
      </w:r>
      <w:bookmarkEnd w:id="1"/>
      <w:r w:rsidRPr="002900E2">
        <w:rPr>
          <w:rFonts w:ascii="Verdana" w:eastAsia="Century Gothic" w:hAnsi="Verdana" w:cs="Century Gothic"/>
          <w:sz w:val="21"/>
          <w:szCs w:val="21"/>
          <w:lang w:val="es-ES"/>
        </w:rPr>
        <w:t xml:space="preserve">4. ¿Cuál es el alcance jurídico de las cláusulas contractuales que obligan a los contratistas a asumir todos los gastos derivados de la </w:t>
      </w:r>
      <w:r w:rsidRPr="002900E2">
        <w:rPr>
          <w:rFonts w:ascii="Verdana" w:eastAsia="Century Gothic" w:hAnsi="Verdana" w:cs="Century Gothic"/>
          <w:sz w:val="21"/>
          <w:szCs w:val="21"/>
          <w:lang w:val="es-ES"/>
        </w:rPr>
        <w:lastRenderedPageBreak/>
        <w:t>ejecución del proyecto, incluyendo tributos territoriales, en el contexto del principio de destinación específica de los recursos del SGR</w:t>
      </w:r>
      <w:r>
        <w:rPr>
          <w:rFonts w:ascii="Verdana" w:eastAsia="Century Gothic" w:hAnsi="Verdana" w:cs="Century Gothic"/>
          <w:sz w:val="21"/>
          <w:szCs w:val="21"/>
          <w:lang w:val="es-ES"/>
        </w:rPr>
        <w:t>?</w:t>
      </w:r>
      <w:r w:rsidRPr="00A6315A">
        <w:rPr>
          <w:rFonts w:ascii="Verdana" w:eastAsia="Century Gothic" w:hAnsi="Verdana" w:cs="Century Gothic"/>
          <w:sz w:val="21"/>
          <w:szCs w:val="21"/>
        </w:rPr>
        <w:t>”.</w:t>
      </w:r>
    </w:p>
    <w:p w14:paraId="6CAB64F6" w14:textId="77777777" w:rsidR="007B47C4" w:rsidRPr="008E6AD9" w:rsidRDefault="007B47C4" w:rsidP="007B47C4">
      <w:pPr>
        <w:pStyle w:val="Prrafodelista"/>
        <w:tabs>
          <w:tab w:val="left" w:pos="142"/>
          <w:tab w:val="left" w:pos="284"/>
        </w:tabs>
        <w:spacing w:after="0" w:line="276" w:lineRule="auto"/>
        <w:ind w:left="0"/>
        <w:jc w:val="both"/>
        <w:rPr>
          <w:rFonts w:ascii="Verdana" w:eastAsia="Century Gothic" w:hAnsi="Verdana" w:cs="Century Gothic"/>
          <w:b/>
          <w:bCs/>
        </w:rPr>
      </w:pPr>
    </w:p>
    <w:p w14:paraId="064D340C" w14:textId="77777777" w:rsidR="007B47C4" w:rsidRPr="00A652FF" w:rsidRDefault="007B47C4" w:rsidP="007B47C4">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AD25B71" w14:textId="77777777" w:rsidR="007B47C4" w:rsidRDefault="007B47C4" w:rsidP="007B47C4">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30AE8E6" w14:textId="77777777" w:rsidR="007B47C4" w:rsidRPr="00593A5F" w:rsidRDefault="007B47C4" w:rsidP="007B47C4">
      <w:pPr>
        <w:spacing w:after="0" w:line="276" w:lineRule="auto"/>
        <w:ind w:firstLine="709"/>
        <w:jc w:val="both"/>
        <w:rPr>
          <w:rFonts w:ascii="Verdana" w:eastAsia="Calibri" w:hAnsi="Verdana" w:cs="Arial"/>
          <w:color w:val="000000"/>
          <w:lang w:val="es-ES" w:eastAsia="es-ES"/>
        </w:rPr>
      </w:pPr>
    </w:p>
    <w:p w14:paraId="64959A24" w14:textId="77777777" w:rsidR="007B47C4" w:rsidRPr="00593A5F" w:rsidRDefault="007B47C4" w:rsidP="007B47C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5A474812" w14:textId="77777777" w:rsidR="007B47C4" w:rsidRPr="00593A5F" w:rsidRDefault="007B47C4" w:rsidP="007B47C4">
      <w:pPr>
        <w:tabs>
          <w:tab w:val="left" w:pos="426"/>
        </w:tabs>
        <w:spacing w:after="0" w:line="276" w:lineRule="auto"/>
        <w:jc w:val="both"/>
        <w:rPr>
          <w:rFonts w:ascii="Verdana" w:eastAsia="Century Gothic" w:hAnsi="Verdana" w:cs="Century Gothic"/>
          <w:lang w:val="es-ES"/>
        </w:rPr>
      </w:pPr>
    </w:p>
    <w:p w14:paraId="7BA4B114" w14:textId="39425162" w:rsidR="007B47C4" w:rsidRPr="00593A5F" w:rsidRDefault="007B47C4" w:rsidP="007B47C4">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 xml:space="preserve">: </w:t>
      </w:r>
      <w:r>
        <w:rPr>
          <w:rFonts w:ascii="Verdana" w:eastAsia="Century Gothic" w:hAnsi="Verdana" w:cs="Century Gothic"/>
        </w:rPr>
        <w:t>i) ¿el precio de los contratos esta</w:t>
      </w:r>
      <w:r w:rsidR="00215402">
        <w:rPr>
          <w:rFonts w:ascii="Verdana" w:eastAsia="Century Gothic" w:hAnsi="Verdana" w:cs="Century Gothic"/>
        </w:rPr>
        <w:t>ta</w:t>
      </w:r>
      <w:r>
        <w:rPr>
          <w:rFonts w:ascii="Verdana" w:eastAsia="Century Gothic" w:hAnsi="Verdana" w:cs="Century Gothic"/>
        </w:rPr>
        <w:t xml:space="preserve">les incluye la carga tributaria de los sujetos obligados al pago de impuestos? y </w:t>
      </w:r>
      <w:proofErr w:type="spellStart"/>
      <w:r>
        <w:rPr>
          <w:rFonts w:ascii="Verdana" w:eastAsia="Century Gothic" w:hAnsi="Verdana" w:cs="Century Gothic"/>
        </w:rPr>
        <w:t>ii</w:t>
      </w:r>
      <w:proofErr w:type="spellEnd"/>
      <w:r>
        <w:rPr>
          <w:rFonts w:ascii="Verdana" w:eastAsia="Century Gothic" w:hAnsi="Verdana" w:cs="Century Gothic"/>
        </w:rPr>
        <w:t xml:space="preserve">) ¿existe un tratamiento diferencial en los negocios jurídicos financiados con cargo al sistema general de regalías?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782A4499" w14:textId="77777777" w:rsidR="007B47C4" w:rsidRPr="004B140F" w:rsidRDefault="007B47C4" w:rsidP="007B47C4">
      <w:pPr>
        <w:spacing w:after="0" w:line="276" w:lineRule="auto"/>
        <w:jc w:val="both"/>
        <w:rPr>
          <w:rFonts w:ascii="Verdana" w:eastAsia="Calibri" w:hAnsi="Verdana" w:cs="Arial"/>
          <w:color w:val="7030A0"/>
        </w:rPr>
      </w:pPr>
    </w:p>
    <w:p w14:paraId="089696D9" w14:textId="77777777" w:rsidR="007B47C4" w:rsidRPr="00593A5F" w:rsidRDefault="007B47C4" w:rsidP="007B47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1425C0A7" w14:textId="77777777" w:rsidR="007B47C4" w:rsidRPr="00593A5F" w:rsidRDefault="007B47C4" w:rsidP="007B47C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B47C4" w:rsidRPr="00593A5F" w14:paraId="35F9DCB2" w14:textId="77777777" w:rsidTr="00DC38B7">
        <w:trPr>
          <w:jc w:val="center"/>
        </w:trPr>
        <w:tc>
          <w:tcPr>
            <w:tcW w:w="8828" w:type="dxa"/>
          </w:tcPr>
          <w:p w14:paraId="075C7487" w14:textId="77777777" w:rsidR="007B47C4" w:rsidRPr="00090CBB" w:rsidRDefault="007B47C4" w:rsidP="001A29EF">
            <w:pPr>
              <w:spacing w:after="120" w:line="276" w:lineRule="auto"/>
              <w:ind w:right="51"/>
              <w:jc w:val="both"/>
              <w:rPr>
                <w:rFonts w:ascii="Verdana" w:eastAsia="Calibri" w:hAnsi="Verdana" w:cs="Arial"/>
                <w:color w:val="000000" w:themeColor="text1"/>
              </w:rPr>
            </w:pPr>
            <w:bookmarkStart w:id="2" w:name="_Hlk171694685"/>
            <w:r>
              <w:rPr>
                <w:rFonts w:ascii="Verdana" w:eastAsia="Calibri" w:hAnsi="Verdana" w:cs="Arial"/>
                <w:bCs/>
                <w:color w:val="000000" w:themeColor="text1"/>
              </w:rPr>
              <w:t xml:space="preserve">Conforme a la interpretación general de las normas del sistema de compras públicas, tanto para elaborar el presupuesto oficial como para la presentación de las ofertas, </w:t>
            </w:r>
            <w:r w:rsidRPr="007E03EB">
              <w:rPr>
                <w:rFonts w:ascii="Verdana" w:eastAsia="Calibri" w:hAnsi="Verdana" w:cs="Arial"/>
                <w:bCs/>
                <w:color w:val="000000" w:themeColor="text1"/>
              </w:rPr>
              <w:t xml:space="preserve">el precio debe </w:t>
            </w:r>
            <w:r>
              <w:rPr>
                <w:rFonts w:ascii="Verdana" w:eastAsia="Calibri" w:hAnsi="Verdana" w:cs="Arial"/>
                <w:bCs/>
                <w:color w:val="000000" w:themeColor="text1"/>
              </w:rPr>
              <w:t>considerar</w:t>
            </w:r>
            <w:r w:rsidRPr="007E03EB">
              <w:rPr>
                <w:rFonts w:ascii="Verdana" w:eastAsia="Calibri" w:hAnsi="Verdana" w:cs="Arial"/>
                <w:bCs/>
                <w:color w:val="000000" w:themeColor="text1"/>
              </w:rPr>
              <w:t xml:space="preserve"> los costos en que incurrirá el contratista para cumplir sus obligaciones</w:t>
            </w:r>
            <w:r>
              <w:rPr>
                <w:rFonts w:ascii="Verdana" w:eastAsia="Calibri" w:hAnsi="Verdana" w:cs="Arial"/>
                <w:bCs/>
                <w:color w:val="000000" w:themeColor="text1"/>
              </w:rPr>
              <w:t>, lo cual incluye la carga tributaria que afecta el negocio jurídico. L</w:t>
            </w:r>
            <w:r w:rsidRPr="00DC39AE">
              <w:rPr>
                <w:rFonts w:ascii="Verdana" w:hAnsi="Verdana" w:cs="Arial"/>
                <w:color w:val="000000" w:themeColor="text1"/>
                <w:lang w:val="es-MX"/>
              </w:rPr>
              <w:t xml:space="preserve">a definición del régimen tributario aplicable a los proponentes que se presentan al procedimiento de selección no es </w:t>
            </w:r>
            <w:r w:rsidRPr="00DC39AE">
              <w:rPr>
                <w:rFonts w:ascii="Verdana" w:hAnsi="Verdana" w:cs="Arial"/>
                <w:color w:val="000000" w:themeColor="text1"/>
                <w:lang w:val="es-MX"/>
              </w:rPr>
              <w:lastRenderedPageBreak/>
              <w:t>realizada por la entidad estatal, sino que es un tema definido por el legislador, quien optó por establecer ciertas cargas a algunos sujetos y a otros no</w:t>
            </w:r>
            <w:r>
              <w:rPr>
                <w:rFonts w:ascii="Verdana" w:hAnsi="Verdana" w:cs="Arial"/>
                <w:color w:val="000000" w:themeColor="text1"/>
                <w:lang w:val="es-MX"/>
              </w:rPr>
              <w:t>.</w:t>
            </w:r>
          </w:p>
          <w:p w14:paraId="00EF18D1" w14:textId="77777777" w:rsidR="007B47C4" w:rsidRDefault="007B47C4" w:rsidP="001A29EF">
            <w:pPr>
              <w:spacing w:before="120" w:after="120" w:line="276" w:lineRule="auto"/>
              <w:ind w:firstLine="709"/>
              <w:jc w:val="both"/>
              <w:rPr>
                <w:rFonts w:ascii="Verdana" w:hAnsi="Verdana" w:cs="Arial"/>
                <w:color w:val="000000" w:themeColor="text1"/>
                <w:lang w:val="es-MX"/>
              </w:rPr>
            </w:pPr>
            <w:r>
              <w:rPr>
                <w:rFonts w:ascii="Verdana" w:hAnsi="Verdana" w:cs="Arial"/>
                <w:color w:val="000000" w:themeColor="text1"/>
                <w:lang w:val="es-MX"/>
              </w:rPr>
              <w:t>L</w:t>
            </w:r>
            <w:r w:rsidRPr="00DC39AE">
              <w:rPr>
                <w:rFonts w:ascii="Verdana" w:hAnsi="Verdana" w:cs="Arial"/>
                <w:color w:val="000000" w:themeColor="text1"/>
                <w:lang w:val="es-MX"/>
              </w:rPr>
              <w:t xml:space="preserve">os impuestos son parte integral del precio, pues es lo que finalmente terminará pagando la entidad cuando adjudique el contrato, por lo cual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p>
          <w:p w14:paraId="6F97BF1F" w14:textId="77777777" w:rsidR="007B47C4" w:rsidRPr="003D4557" w:rsidRDefault="007B47C4" w:rsidP="001A29EF">
            <w:pPr>
              <w:spacing w:after="120" w:line="276" w:lineRule="auto"/>
              <w:ind w:right="51" w:firstLine="733"/>
              <w:jc w:val="both"/>
              <w:rPr>
                <w:rFonts w:ascii="Verdana" w:eastAsia="Calibri" w:hAnsi="Verdana" w:cs="Arial"/>
                <w:color w:val="000000" w:themeColor="text1"/>
              </w:rPr>
            </w:pPr>
            <w:r>
              <w:rPr>
                <w:rFonts w:ascii="Verdana" w:hAnsi="Verdana" w:cs="Arial"/>
                <w:color w:val="000000" w:themeColor="text1"/>
                <w:lang w:val="es-MX"/>
              </w:rPr>
              <w:t xml:space="preserve">Salvo que el ordenamiento defina alguna exención tributaria para el tema objeto de consulta, esta conclusión es independiente de que el contrato se financie o no cargo al sistema general de regalías. Teniendo en cuenta que, mediante oficio </w:t>
            </w:r>
            <w:r w:rsidRPr="00034908">
              <w:rPr>
                <w:rFonts w:ascii="Verdana" w:hAnsi="Verdana" w:cs="Arial"/>
                <w:color w:val="000000" w:themeColor="text1"/>
                <w:lang w:val="es-MX"/>
              </w:rPr>
              <w:t>20253200489381</w:t>
            </w:r>
            <w:r>
              <w:rPr>
                <w:rFonts w:ascii="Verdana" w:hAnsi="Verdana" w:cs="Arial"/>
                <w:color w:val="000000" w:themeColor="text1"/>
                <w:lang w:val="es-MX"/>
              </w:rPr>
              <w:t xml:space="preserve"> del 10 de julio de 2025, el Departamento Nacional de Planeación trasladó las preguntas 1, 2, 3 y 6 a la </w:t>
            </w:r>
            <w:r w:rsidRPr="00422F42">
              <w:rPr>
                <w:rFonts w:ascii="Verdana" w:hAnsi="Verdana" w:cs="Arial"/>
                <w:color w:val="000000" w:themeColor="text1"/>
                <w:lang w:val="es-MX"/>
              </w:rPr>
              <w:t>Dirección de Impuestos y Aduanas Nacionales</w:t>
            </w:r>
            <w:r>
              <w:rPr>
                <w:rFonts w:ascii="Verdana" w:hAnsi="Verdana" w:cs="Arial"/>
                <w:color w:val="000000" w:themeColor="text1"/>
                <w:lang w:val="es-MX"/>
              </w:rPr>
              <w:t xml:space="preserve">, deberá estarse a lo que disponga la autoridad competente respecto a las excepciones o devoluciones en el pago de tributos territoriales –como el impuesto de industria y comercio y las estampillas departamentales– en los contratos suscritos con cargo al </w:t>
            </w:r>
            <w:r w:rsidRPr="00422F42">
              <w:rPr>
                <w:rFonts w:ascii="Verdana" w:hAnsi="Verdana" w:cs="Arial"/>
                <w:color w:val="000000" w:themeColor="text1"/>
                <w:lang w:val="es-MX"/>
              </w:rPr>
              <w:t>Fondo de Ciencia, Tecnología e Innovación</w:t>
            </w:r>
            <w:r>
              <w:rPr>
                <w:rFonts w:ascii="Verdana" w:hAnsi="Verdana" w:cs="Arial"/>
                <w:color w:val="000000" w:themeColor="text1"/>
                <w:lang w:val="es-MX"/>
              </w:rPr>
              <w:t xml:space="preserve"> del SGR.</w:t>
            </w:r>
            <w:r w:rsidRPr="00090CBB">
              <w:rPr>
                <w:rFonts w:ascii="Verdana" w:eastAsia="Calibri" w:hAnsi="Verdana" w:cs="Arial"/>
                <w:color w:val="000000" w:themeColor="text1"/>
              </w:rPr>
              <w:t xml:space="preserve">  </w:t>
            </w:r>
          </w:p>
          <w:p w14:paraId="2B8C071E" w14:textId="77777777" w:rsidR="007B47C4" w:rsidRPr="001941FD" w:rsidRDefault="007B47C4" w:rsidP="001A29EF">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4D94677D" w14:textId="77777777" w:rsidR="007B47C4" w:rsidRPr="00593A5F" w:rsidRDefault="007B47C4" w:rsidP="007B47C4">
      <w:pPr>
        <w:tabs>
          <w:tab w:val="left" w:pos="142"/>
          <w:tab w:val="left" w:pos="284"/>
        </w:tabs>
        <w:spacing w:after="0" w:line="276" w:lineRule="auto"/>
        <w:jc w:val="both"/>
        <w:rPr>
          <w:rFonts w:ascii="Verdana" w:eastAsia="Century Gothic" w:hAnsi="Verdana" w:cs="Century Gothic"/>
          <w:b/>
          <w:bCs/>
          <w:lang w:val="es-ES"/>
        </w:rPr>
      </w:pPr>
    </w:p>
    <w:bookmarkEnd w:id="2"/>
    <w:p w14:paraId="5153038C" w14:textId="77777777" w:rsidR="007B47C4" w:rsidRPr="00593A5F" w:rsidRDefault="007B47C4" w:rsidP="007B47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78BBE33A" w14:textId="77777777" w:rsidR="007B47C4" w:rsidRPr="00593A5F" w:rsidRDefault="007B47C4" w:rsidP="007B47C4">
      <w:pPr>
        <w:spacing w:after="0" w:line="276" w:lineRule="auto"/>
        <w:jc w:val="both"/>
        <w:rPr>
          <w:rFonts w:ascii="Verdana" w:eastAsia="Calibri" w:hAnsi="Verdana" w:cs="Arial"/>
          <w:color w:val="7030A0"/>
          <w:lang w:val="es-ES"/>
        </w:rPr>
      </w:pPr>
    </w:p>
    <w:p w14:paraId="5B093250" w14:textId="77777777" w:rsidR="007B47C4" w:rsidRDefault="007B47C4" w:rsidP="007B47C4">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ADC05DA" w14:textId="77777777" w:rsidR="007B47C4" w:rsidRPr="00415608" w:rsidRDefault="007B47C4" w:rsidP="007B47C4">
      <w:pPr>
        <w:spacing w:after="0" w:line="276" w:lineRule="auto"/>
        <w:jc w:val="both"/>
        <w:rPr>
          <w:rFonts w:ascii="Verdana" w:eastAsia="Calibri" w:hAnsi="Verdana" w:cs="Arial"/>
          <w:lang w:val="es-ES"/>
        </w:rPr>
      </w:pPr>
    </w:p>
    <w:p w14:paraId="35D9270E" w14:textId="77777777" w:rsidR="007B47C4" w:rsidRPr="0055620C" w:rsidRDefault="007B47C4" w:rsidP="007B47C4">
      <w:pPr>
        <w:tabs>
          <w:tab w:val="left" w:pos="426"/>
        </w:tabs>
        <w:spacing w:after="0" w:line="276" w:lineRule="auto"/>
        <w:jc w:val="both"/>
        <w:rPr>
          <w:rFonts w:ascii="Verdana" w:eastAsia="Calibri" w:hAnsi="Verdana" w:cs="Arial"/>
          <w:lang w:val="es-ES_tradnl"/>
        </w:rPr>
      </w:pPr>
      <w:r>
        <w:rPr>
          <w:rFonts w:ascii="Verdana" w:eastAsia="Calibri" w:hAnsi="Verdana" w:cs="Arial"/>
        </w:rPr>
        <w:t xml:space="preserve">i. </w:t>
      </w:r>
      <w:r w:rsidRPr="0055620C">
        <w:rPr>
          <w:rFonts w:ascii="Verdana" w:eastAsia="Calibri" w:hAnsi="Verdana" w:cs="Arial"/>
          <w:lang w:val="es-ES_tradnl"/>
        </w:rPr>
        <w:t xml:space="preserve">El artículo 360 de la Constitución Política, modificado por el artículo 1 del Acto Legislativo 5 de 2011, define las regalías como una contraprestación económica </w:t>
      </w:r>
      <w:r w:rsidRPr="0055620C">
        <w:rPr>
          <w:rFonts w:ascii="Verdana" w:eastAsia="Calibri" w:hAnsi="Verdana" w:cs="Arial"/>
          <w:lang w:val="es-ES_tradnl"/>
        </w:rPr>
        <w:lastRenderedPageBreak/>
        <w:t>a favor del Estado, que es causada por la explotación de un recurso natural no renovable. Al respecto, el precitado artículo prescribe</w:t>
      </w:r>
      <w:r>
        <w:rPr>
          <w:rFonts w:ascii="Verdana" w:eastAsia="Calibri" w:hAnsi="Verdana" w:cs="Arial"/>
          <w:lang w:val="es-ES_tradnl"/>
        </w:rPr>
        <w:t xml:space="preserve"> lo siguiente</w:t>
      </w:r>
      <w:r w:rsidRPr="0055620C">
        <w:rPr>
          <w:rFonts w:ascii="Verdana" w:eastAsia="Calibri" w:hAnsi="Verdana" w:cs="Arial"/>
          <w:lang w:val="es-ES_tradnl"/>
        </w:rPr>
        <w:t>:</w:t>
      </w:r>
    </w:p>
    <w:p w14:paraId="66BC1A07" w14:textId="77777777" w:rsidR="007B47C4" w:rsidRPr="0055620C" w:rsidRDefault="007B47C4" w:rsidP="007B47C4">
      <w:pPr>
        <w:tabs>
          <w:tab w:val="left" w:pos="426"/>
        </w:tabs>
        <w:spacing w:after="0"/>
        <w:jc w:val="both"/>
        <w:rPr>
          <w:rFonts w:ascii="Verdana" w:eastAsia="Calibri" w:hAnsi="Verdana" w:cs="Arial"/>
          <w:lang w:val="es-ES_tradnl"/>
        </w:rPr>
      </w:pPr>
    </w:p>
    <w:p w14:paraId="593F657E" w14:textId="77777777" w:rsidR="007B47C4" w:rsidRPr="0055620C" w:rsidRDefault="007B47C4" w:rsidP="007B47C4">
      <w:pPr>
        <w:spacing w:after="120" w:line="240" w:lineRule="auto"/>
        <w:ind w:left="709" w:right="709"/>
        <w:jc w:val="both"/>
        <w:rPr>
          <w:rFonts w:ascii="Verdana" w:eastAsia="Calibri" w:hAnsi="Verdana" w:cs="Arial"/>
          <w:sz w:val="21"/>
          <w:szCs w:val="21"/>
          <w:lang w:val="es-ES_tradnl"/>
        </w:rPr>
      </w:pPr>
      <w:r>
        <w:rPr>
          <w:rFonts w:ascii="Verdana" w:eastAsia="Calibri" w:hAnsi="Verdana" w:cs="Arial"/>
          <w:sz w:val="21"/>
          <w:szCs w:val="21"/>
          <w:lang w:val="es-ES_tradnl"/>
        </w:rPr>
        <w:t>“</w:t>
      </w:r>
      <w:r w:rsidRPr="0055620C">
        <w:rPr>
          <w:rFonts w:ascii="Verdana" w:eastAsia="Calibri" w:hAnsi="Verdana" w:cs="Arial"/>
          <w:sz w:val="21"/>
          <w:szCs w:val="21"/>
          <w:lang w:val="es-ES_tradnl"/>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 renovables.</w:t>
      </w:r>
    </w:p>
    <w:p w14:paraId="702582A4" w14:textId="77777777" w:rsidR="007B47C4" w:rsidRPr="0055620C" w:rsidRDefault="007B47C4" w:rsidP="007B47C4">
      <w:pPr>
        <w:spacing w:after="0" w:line="240" w:lineRule="auto"/>
        <w:ind w:left="709" w:right="709"/>
        <w:jc w:val="both"/>
        <w:rPr>
          <w:rFonts w:ascii="Verdana" w:eastAsia="Calibri" w:hAnsi="Verdana" w:cs="Arial"/>
          <w:sz w:val="21"/>
          <w:szCs w:val="21"/>
          <w:lang w:val="es-ES_tradnl"/>
        </w:rPr>
      </w:pPr>
      <w:r w:rsidRPr="0055620C">
        <w:rPr>
          <w:rFonts w:ascii="Verdana" w:eastAsia="Calibri" w:hAnsi="Verdana" w:cs="Arial"/>
          <w:sz w:val="21"/>
          <w:szCs w:val="21"/>
          <w:lang w:val="es-ES_tradnl"/>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r>
        <w:rPr>
          <w:rFonts w:ascii="Verdana" w:eastAsia="Calibri" w:hAnsi="Verdana" w:cs="Arial"/>
          <w:sz w:val="21"/>
          <w:szCs w:val="21"/>
          <w:lang w:val="es-ES_tradnl"/>
        </w:rPr>
        <w:t>”</w:t>
      </w:r>
      <w:r w:rsidRPr="0055620C">
        <w:rPr>
          <w:rFonts w:ascii="Verdana" w:eastAsia="Calibri" w:hAnsi="Verdana" w:cs="Arial"/>
          <w:sz w:val="21"/>
          <w:szCs w:val="21"/>
          <w:lang w:val="es-ES_tradnl"/>
        </w:rPr>
        <w:t>.</w:t>
      </w:r>
    </w:p>
    <w:p w14:paraId="6A11AEAF" w14:textId="77777777" w:rsidR="007B47C4" w:rsidRPr="0055620C" w:rsidRDefault="007B47C4" w:rsidP="007B47C4">
      <w:pPr>
        <w:spacing w:after="0" w:line="276" w:lineRule="auto"/>
        <w:ind w:left="709" w:right="709"/>
        <w:jc w:val="both"/>
        <w:rPr>
          <w:rFonts w:ascii="Verdana" w:eastAsia="Calibri" w:hAnsi="Verdana" w:cs="Arial"/>
          <w:lang w:val="es-ES_tradnl"/>
        </w:rPr>
      </w:pPr>
    </w:p>
    <w:p w14:paraId="43675900" w14:textId="77777777" w:rsidR="007B47C4" w:rsidRPr="0055620C" w:rsidRDefault="007B47C4" w:rsidP="007B47C4">
      <w:pPr>
        <w:spacing w:after="120" w:line="276" w:lineRule="auto"/>
        <w:ind w:firstLine="709"/>
        <w:jc w:val="both"/>
        <w:rPr>
          <w:rFonts w:ascii="Verdana" w:hAnsi="Verdana" w:cs="Arial"/>
          <w:noProof/>
          <w:lang w:val="es-ES_tradnl"/>
        </w:rPr>
      </w:pPr>
      <w:r w:rsidRPr="0055620C">
        <w:rPr>
          <w:rFonts w:ascii="Verdana" w:hAnsi="Verdana" w:cs="Arial"/>
          <w:noProof/>
          <w:lang w:val="es-ES_tradnl"/>
        </w:rPr>
        <w:t>En el inciso segundo, el mismo artículo define al Sistema General de Regalías como el conjunto de ingresos, asignaciones, órganos, procedimientos y regulaciones que deberán establecerse y definirse mediante la ley que, por iniciativa previa del Gobierno Nacional, se expida a fin de determinar la distribución, objetivos, fines, administración, ejecución, control, el uso eficiente y la destinación de los ingresos provenientes de la explotación de los recursos naturales no renovables, precisando las condiciones de participación de sus beneficiarios. En ese sentido, la Corte Constitucional define las regalías como una contraprestación recibida a cambio de la concesión de derechos a particulares para la exploración de recursos naturales, diferenciándolas de otros ingresos nacionales como los impuestos, dado que estas carecen del carácter impositivo de los tributos</w:t>
      </w:r>
      <w:r w:rsidRPr="0055620C">
        <w:rPr>
          <w:rFonts w:ascii="Verdana" w:hAnsi="Verdana" w:cs="Arial"/>
          <w:noProof/>
          <w:vertAlign w:val="superscript"/>
          <w:lang w:val="es-ES_tradnl"/>
        </w:rPr>
        <w:footnoteReference w:id="2"/>
      </w:r>
      <w:r w:rsidRPr="0055620C">
        <w:rPr>
          <w:rFonts w:ascii="Verdana" w:hAnsi="Verdana" w:cs="Arial"/>
          <w:noProof/>
          <w:lang w:val="es-ES_tradnl"/>
        </w:rPr>
        <w:t xml:space="preserve">. </w:t>
      </w:r>
    </w:p>
    <w:p w14:paraId="6ECE1E47" w14:textId="77777777" w:rsidR="007B47C4" w:rsidRPr="0055620C" w:rsidRDefault="007B47C4" w:rsidP="007B47C4">
      <w:pPr>
        <w:spacing w:after="120" w:line="276" w:lineRule="auto"/>
        <w:ind w:firstLine="709"/>
        <w:jc w:val="both"/>
        <w:rPr>
          <w:rFonts w:ascii="Verdana" w:hAnsi="Verdana" w:cs="Arial"/>
          <w:noProof/>
          <w:lang w:val="es-ES_tradnl"/>
        </w:rPr>
      </w:pPr>
      <w:r w:rsidRPr="0055620C">
        <w:rPr>
          <w:rFonts w:ascii="Verdana" w:hAnsi="Verdana" w:cs="Arial"/>
          <w:noProof/>
          <w:lang w:val="es-ES_tradnl"/>
        </w:rPr>
        <w:lastRenderedPageBreak/>
        <w:t xml:space="preserve">El artículo 1 del Acto Legislativo 05 de 2019 modificó el artículo 361 de la Constitución, disponiendo que </w:t>
      </w:r>
      <w:r>
        <w:rPr>
          <w:rFonts w:ascii="Verdana" w:hAnsi="Verdana" w:cs="Arial"/>
          <w:noProof/>
          <w:lang w:val="es-ES_tradnl"/>
        </w:rPr>
        <w:t>“</w:t>
      </w:r>
      <w:r w:rsidRPr="0055620C">
        <w:rPr>
          <w:rFonts w:ascii="Verdana" w:hAnsi="Verdana" w:cs="Arial"/>
          <w:noProof/>
          <w:lang w:val="es-ES_tradnl"/>
        </w:rPr>
        <w:t>los ingresos corrientes del Sistema General de Regalías se destinarán a la financiación de proyectos de inversión que contribuyan al desarrollo social, económico y ambiental de las entidades territoriales</w:t>
      </w:r>
      <w:r>
        <w:rPr>
          <w:rFonts w:ascii="Verdana" w:hAnsi="Verdana" w:cs="Arial"/>
          <w:noProof/>
          <w:lang w:val="es-ES_tradnl"/>
        </w:rPr>
        <w:t>”</w:t>
      </w:r>
      <w:r w:rsidRPr="0055620C">
        <w:rPr>
          <w:rFonts w:ascii="Verdana" w:hAnsi="Verdana" w:cs="Arial"/>
          <w:noProof/>
          <w:lang w:val="es-ES_tradnl"/>
        </w:rPr>
        <w:t xml:space="preserve">. </w:t>
      </w:r>
    </w:p>
    <w:p w14:paraId="746C7C5B" w14:textId="77777777" w:rsidR="007B47C4" w:rsidRPr="0055620C" w:rsidRDefault="007B47C4" w:rsidP="007B47C4">
      <w:pPr>
        <w:spacing w:after="0" w:line="276" w:lineRule="auto"/>
        <w:ind w:firstLine="709"/>
        <w:jc w:val="both"/>
        <w:rPr>
          <w:rFonts w:ascii="Verdana" w:hAnsi="Verdana" w:cs="Arial"/>
        </w:rPr>
      </w:pPr>
      <w:r w:rsidRPr="0055620C">
        <w:rPr>
          <w:rFonts w:ascii="Verdana" w:hAnsi="Verdana" w:cs="Arial"/>
          <w:noProof/>
          <w:lang w:val="es-ES_tradnl"/>
        </w:rPr>
        <w:t xml:space="preserve">Con fundamento en los artículos 360 y 361 de la Constitución Política, se expidió la Ley 2056 de 2020, por medio de la cual se deroga, entre otras, la Ley 1530 de 2012, y </w:t>
      </w:r>
      <w:r>
        <w:rPr>
          <w:rFonts w:ascii="Verdana" w:hAnsi="Verdana" w:cs="Arial"/>
          <w:lang w:val="es-ES_tradnl"/>
        </w:rPr>
        <w:t>“</w:t>
      </w:r>
      <w:r w:rsidRPr="0055620C">
        <w:rPr>
          <w:rFonts w:ascii="Verdana" w:hAnsi="Verdana" w:cs="Arial"/>
        </w:rPr>
        <w:t>Por la cual se regula la organización y el funcionamiento del Sistema General de Regalías</w:t>
      </w:r>
      <w:r>
        <w:rPr>
          <w:rFonts w:ascii="Verdana" w:hAnsi="Verdana" w:cs="Arial"/>
          <w:noProof/>
          <w:lang w:val="es-ES_tradnl"/>
        </w:rPr>
        <w:t>”</w:t>
      </w:r>
      <w:r w:rsidRPr="0055620C">
        <w:rPr>
          <w:rFonts w:ascii="Verdana" w:hAnsi="Verdana" w:cs="Arial"/>
        </w:rPr>
        <w:t xml:space="preserve">. En este sentido, la exposición de motivos de esta Ley expresó que: </w:t>
      </w:r>
    </w:p>
    <w:p w14:paraId="00EBA4ED" w14:textId="77777777" w:rsidR="007B47C4" w:rsidRPr="0055620C" w:rsidRDefault="007B47C4" w:rsidP="007B47C4">
      <w:pPr>
        <w:spacing w:after="0" w:line="276" w:lineRule="auto"/>
        <w:jc w:val="both"/>
        <w:rPr>
          <w:rFonts w:ascii="Verdana" w:hAnsi="Verdana" w:cs="Arial"/>
        </w:rPr>
      </w:pPr>
    </w:p>
    <w:p w14:paraId="6B22C0EE" w14:textId="77777777" w:rsidR="007B47C4" w:rsidRPr="0055620C" w:rsidRDefault="007B47C4" w:rsidP="007B47C4">
      <w:pPr>
        <w:spacing w:after="120" w:line="240" w:lineRule="auto"/>
        <w:ind w:left="709" w:right="709"/>
        <w:jc w:val="both"/>
        <w:rPr>
          <w:rFonts w:ascii="Verdana" w:hAnsi="Verdana" w:cs="Arial"/>
          <w:sz w:val="21"/>
          <w:szCs w:val="21"/>
        </w:rPr>
      </w:pPr>
      <w:r>
        <w:rPr>
          <w:rFonts w:ascii="Verdana" w:hAnsi="Verdana" w:cs="Arial"/>
          <w:sz w:val="21"/>
          <w:szCs w:val="21"/>
        </w:rPr>
        <w:t>“</w:t>
      </w:r>
      <w:r w:rsidRPr="0055620C">
        <w:rPr>
          <w:rFonts w:ascii="Verdana" w:hAnsi="Verdana" w:cs="Arial"/>
          <w:sz w:val="21"/>
          <w:szCs w:val="21"/>
        </w:rPr>
        <w:t xml:space="preserve">Para adecuar el funcionamiento del SGR a las disposiciones del Acto Legislativo 01 de 2019, el Título I del proyecto de ley introduce nuevas disposiciones, como las siguientes, en relación con los objetivos y fines del Sistema, adicionales a las que originariamente se hallaban previas en el clausulado de la Ley 1530 de 2012: </w:t>
      </w:r>
    </w:p>
    <w:p w14:paraId="2F506A71" w14:textId="77777777" w:rsidR="007B47C4" w:rsidRDefault="007B47C4" w:rsidP="007B47C4">
      <w:pPr>
        <w:pStyle w:val="Prrafodelista"/>
        <w:numPr>
          <w:ilvl w:val="0"/>
          <w:numId w:val="18"/>
        </w:numPr>
        <w:spacing w:after="120" w:line="240" w:lineRule="auto"/>
        <w:ind w:left="709" w:right="709" w:firstLine="0"/>
        <w:jc w:val="both"/>
        <w:rPr>
          <w:rFonts w:ascii="Verdana" w:hAnsi="Verdana" w:cs="Arial"/>
          <w:sz w:val="21"/>
          <w:szCs w:val="21"/>
        </w:rPr>
      </w:pPr>
      <w:r w:rsidRPr="0055620C">
        <w:rPr>
          <w:rFonts w:ascii="Verdana" w:hAnsi="Verdana" w:cs="Arial"/>
          <w:sz w:val="21"/>
          <w:szCs w:val="21"/>
        </w:rPr>
        <w:t xml:space="preserve">Incentivar en el territorio nacional el desarrollo de actividades de exploración y explotación de recursos naturales no renovables, en el marco de la normativa vigente. </w:t>
      </w:r>
    </w:p>
    <w:p w14:paraId="3B10395B" w14:textId="77777777" w:rsidR="007B47C4" w:rsidRPr="0015567A" w:rsidRDefault="007B47C4" w:rsidP="007B47C4">
      <w:pPr>
        <w:pStyle w:val="Prrafodelista"/>
        <w:spacing w:after="120"/>
        <w:ind w:left="709" w:right="709"/>
        <w:jc w:val="both"/>
        <w:rPr>
          <w:rFonts w:ascii="Verdana" w:hAnsi="Verdana" w:cs="Arial"/>
          <w:sz w:val="12"/>
          <w:szCs w:val="12"/>
        </w:rPr>
      </w:pPr>
    </w:p>
    <w:p w14:paraId="78753CC2" w14:textId="77777777" w:rsidR="007B47C4" w:rsidRPr="0015567A" w:rsidRDefault="007B47C4" w:rsidP="007B47C4">
      <w:pPr>
        <w:pStyle w:val="Prrafodelista"/>
        <w:numPr>
          <w:ilvl w:val="0"/>
          <w:numId w:val="18"/>
        </w:numPr>
        <w:spacing w:after="0" w:line="240" w:lineRule="auto"/>
        <w:ind w:left="709" w:right="709" w:firstLine="0"/>
        <w:jc w:val="both"/>
        <w:rPr>
          <w:rFonts w:ascii="Verdana" w:hAnsi="Verdana" w:cs="Arial"/>
          <w:sz w:val="21"/>
          <w:szCs w:val="21"/>
        </w:rPr>
      </w:pPr>
      <w:r w:rsidRPr="0015567A">
        <w:rPr>
          <w:rFonts w:ascii="Verdana" w:hAnsi="Verdana" w:cs="Arial"/>
          <w:sz w:val="21"/>
          <w:szCs w:val="21"/>
        </w:rPr>
        <w:t>Fomentar la estructuración y aprobación de proyectos de inversión que permitan la implementación del Acuerdo Final para la Terminación del Conflicto y la Construcción de una Paz Estable y Duradera, en los términos establecidos en las normas vigentes”</w:t>
      </w:r>
      <w:r w:rsidRPr="0055620C">
        <w:rPr>
          <w:rStyle w:val="Refdenotaalpie"/>
          <w:rFonts w:ascii="Verdana" w:hAnsi="Verdana" w:cs="Arial"/>
          <w:sz w:val="21"/>
          <w:szCs w:val="21"/>
        </w:rPr>
        <w:footnoteReference w:id="3"/>
      </w:r>
      <w:r w:rsidRPr="0015567A">
        <w:rPr>
          <w:rFonts w:ascii="Verdana" w:hAnsi="Verdana" w:cs="Arial"/>
          <w:sz w:val="21"/>
          <w:szCs w:val="21"/>
        </w:rPr>
        <w:t xml:space="preserve">. </w:t>
      </w:r>
    </w:p>
    <w:p w14:paraId="44A8E379" w14:textId="77777777" w:rsidR="007B47C4" w:rsidRPr="0055620C" w:rsidRDefault="007B47C4" w:rsidP="007B47C4">
      <w:pPr>
        <w:pStyle w:val="Prrafodelista"/>
        <w:spacing w:before="120" w:after="0" w:line="276" w:lineRule="auto"/>
        <w:ind w:left="709" w:right="709"/>
        <w:jc w:val="both"/>
        <w:rPr>
          <w:rFonts w:ascii="Verdana" w:hAnsi="Verdana" w:cs="Arial"/>
        </w:rPr>
      </w:pPr>
    </w:p>
    <w:p w14:paraId="1E2B82AF" w14:textId="77777777" w:rsidR="007B47C4" w:rsidRDefault="007B47C4" w:rsidP="007B47C4">
      <w:pPr>
        <w:spacing w:after="0" w:line="276" w:lineRule="auto"/>
        <w:ind w:firstLine="709"/>
        <w:jc w:val="both"/>
        <w:rPr>
          <w:rFonts w:ascii="Verdana" w:hAnsi="Verdana" w:cs="Arial"/>
          <w:noProof/>
          <w:lang w:val="es-ES_tradnl"/>
        </w:rPr>
      </w:pPr>
      <w:r w:rsidRPr="0055620C">
        <w:rPr>
          <w:rFonts w:ascii="Verdana" w:hAnsi="Verdana" w:cs="Arial"/>
          <w:noProof/>
          <w:lang w:val="es-ES_tradnl"/>
        </w:rPr>
        <w:t xml:space="preserve">En concordancia con los artículos 360 y 361 constitucionales, dicha ley tiene como objeto determinar la distribución, objetivos, fines, administración, ejecución, control del uso eficiente y la destinación de los ingresos que se encuadren dentro del concepto de regalías, precisando las condiciones para la </w:t>
      </w:r>
      <w:r w:rsidRPr="0055620C">
        <w:rPr>
          <w:rFonts w:ascii="Verdana" w:hAnsi="Verdana" w:cs="Arial"/>
          <w:noProof/>
          <w:lang w:val="es-ES_tradnl"/>
        </w:rPr>
        <w:lastRenderedPageBreak/>
        <w:t>participación de los beneficiarios o destinatarios de los mismos</w:t>
      </w:r>
      <w:r w:rsidRPr="0055620C">
        <w:rPr>
          <w:rFonts w:ascii="Verdana" w:hAnsi="Verdana" w:cs="Arial"/>
          <w:noProof/>
          <w:vertAlign w:val="superscript"/>
          <w:lang w:val="es-ES_tradnl"/>
        </w:rPr>
        <w:footnoteReference w:id="4"/>
      </w:r>
      <w:r w:rsidRPr="0055620C">
        <w:rPr>
          <w:rFonts w:ascii="Verdana" w:hAnsi="Verdana" w:cs="Arial"/>
          <w:noProof/>
          <w:lang w:val="es-ES_tradnl"/>
        </w:rPr>
        <w:t xml:space="preserve">. El artículo 3 establece los organos del Estado que hacen parte del SGR, como son </w:t>
      </w:r>
      <w:r w:rsidRPr="0055620C">
        <w:rPr>
          <w:rFonts w:ascii="Verdana" w:hAnsi="Verdana" w:cs="Arial"/>
        </w:rPr>
        <w:t>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w:t>
      </w:r>
      <w:r w:rsidRPr="0055620C">
        <w:rPr>
          <w:rFonts w:ascii="Verdana" w:hAnsi="Verdana" w:cs="Arial"/>
          <w:noProof/>
          <w:lang w:val="es-ES_tradnl"/>
        </w:rPr>
        <w:t xml:space="preserve"> incluyendo dentro de los mismos al Ministerio de Ciencia, Tenoclogía e Innovación</w:t>
      </w:r>
      <w:r w:rsidRPr="0055620C">
        <w:rPr>
          <w:rFonts w:ascii="Verdana" w:hAnsi="Verdana" w:cs="Arial"/>
          <w:noProof/>
          <w:vertAlign w:val="superscript"/>
          <w:lang w:val="es-ES_tradnl"/>
        </w:rPr>
        <w:footnoteReference w:id="5"/>
      </w:r>
      <w:r w:rsidRPr="0055620C">
        <w:rPr>
          <w:rFonts w:ascii="Verdana" w:hAnsi="Verdana" w:cs="Arial"/>
          <w:noProof/>
          <w:lang w:val="es-ES_tradnl"/>
        </w:rPr>
        <w:t>. Estas entidades deben ejercer sus competencias, de acuerdo a lo prescrito en dicha ley y los lineamientos que expida la Comisión Rectora.</w:t>
      </w:r>
      <w:r>
        <w:rPr>
          <w:rFonts w:ascii="Verdana" w:hAnsi="Verdana" w:cs="Arial"/>
          <w:noProof/>
          <w:lang w:val="es-ES_tradnl"/>
        </w:rPr>
        <w:t xml:space="preserve"> </w:t>
      </w:r>
      <w:r w:rsidRPr="0055620C">
        <w:rPr>
          <w:rFonts w:ascii="Verdana" w:hAnsi="Verdana" w:cs="Arial"/>
          <w:noProof/>
        </w:rPr>
        <w:t>E</w:t>
      </w:r>
      <w:r w:rsidRPr="0055620C">
        <w:rPr>
          <w:rFonts w:ascii="Verdana" w:hAnsi="Verdana" w:cs="Arial"/>
          <w:noProof/>
          <w:lang w:val="es-ES_tradnl"/>
        </w:rPr>
        <w:t xml:space="preserve">n el marco de la Ley 2056 de 2020, tambien se expidió el Decreto 1821 de 2020, </w:t>
      </w:r>
      <w:r w:rsidRPr="00E0256C">
        <w:rPr>
          <w:rFonts w:ascii="Verdana" w:hAnsi="Verdana" w:cs="Arial"/>
          <w:noProof/>
          <w:lang w:val="es-ES_tradnl"/>
        </w:rPr>
        <w:t>“</w:t>
      </w:r>
      <w:r w:rsidRPr="00E0256C">
        <w:rPr>
          <w:rStyle w:val="Textoennegrita"/>
          <w:rFonts w:ascii="Verdana" w:hAnsi="Verdana" w:cs="Arial"/>
          <w:b w:val="0"/>
          <w:bCs w:val="0"/>
          <w:shd w:val="clear" w:color="auto" w:fill="FFFFFF"/>
        </w:rPr>
        <w:t>Por el cual se expide el Decreto Único Reglamentario del Sistema General de Regalías</w:t>
      </w:r>
      <w:r w:rsidRPr="00E0256C">
        <w:rPr>
          <w:rFonts w:ascii="Verdana" w:hAnsi="Verdana" w:cs="Arial"/>
          <w:noProof/>
          <w:lang w:val="es-ES_tradnl"/>
        </w:rPr>
        <w:t>”,</w:t>
      </w:r>
      <w:r w:rsidRPr="0055620C">
        <w:rPr>
          <w:rFonts w:ascii="Verdana" w:hAnsi="Verdana" w:cs="Arial"/>
          <w:noProof/>
          <w:lang w:val="es-ES_tradnl"/>
        </w:rPr>
        <w:t xml:space="preserve"> reglamento que regula la ejecución de los proyectos. </w:t>
      </w:r>
    </w:p>
    <w:p w14:paraId="0641325E" w14:textId="77777777" w:rsidR="007B47C4" w:rsidRDefault="007B47C4" w:rsidP="007B47C4">
      <w:pPr>
        <w:spacing w:after="0" w:line="276" w:lineRule="auto"/>
        <w:ind w:firstLine="709"/>
        <w:jc w:val="both"/>
        <w:rPr>
          <w:rFonts w:ascii="Verdana" w:hAnsi="Verdana" w:cs="Arial"/>
          <w:noProof/>
          <w:lang w:val="es-ES_tradnl"/>
        </w:rPr>
      </w:pPr>
    </w:p>
    <w:p w14:paraId="0E35FBDF" w14:textId="77777777" w:rsidR="007B47C4" w:rsidRPr="0015567A" w:rsidRDefault="007B47C4" w:rsidP="007B47C4">
      <w:pPr>
        <w:spacing w:after="120" w:line="276" w:lineRule="auto"/>
        <w:jc w:val="both"/>
        <w:rPr>
          <w:rFonts w:ascii="Verdana" w:hAnsi="Verdana" w:cs="Arial"/>
          <w:noProof/>
        </w:rPr>
      </w:pPr>
      <w:r>
        <w:rPr>
          <w:rFonts w:ascii="Verdana" w:hAnsi="Verdana" w:cs="Arial"/>
          <w:noProof/>
          <w:lang w:val="es-ES_tradnl"/>
        </w:rPr>
        <w:t xml:space="preserve">ii. </w:t>
      </w:r>
      <w:r w:rsidRPr="0015567A">
        <w:rPr>
          <w:rFonts w:ascii="Verdana" w:hAnsi="Verdana" w:cs="Arial"/>
          <w:noProof/>
          <w:lang w:val="es-ES_tradnl"/>
        </w:rPr>
        <w:t xml:space="preserve">En </w:t>
      </w:r>
      <w:r w:rsidRPr="0015567A">
        <w:rPr>
          <w:rFonts w:ascii="Verdana" w:hAnsi="Verdana" w:cs="Arial"/>
          <w:noProof/>
        </w:rPr>
        <w:t xml:space="preserve">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De esta manera, se destacan algunos artículos que regulan aspectos importantes en la materia: </w:t>
      </w:r>
    </w:p>
    <w:p w14:paraId="480C4492" w14:textId="77777777" w:rsidR="007B47C4" w:rsidRPr="0015567A" w:rsidRDefault="007B47C4" w:rsidP="007B47C4">
      <w:pPr>
        <w:spacing w:after="120" w:line="276" w:lineRule="auto"/>
        <w:ind w:firstLine="708"/>
        <w:jc w:val="both"/>
        <w:rPr>
          <w:rFonts w:ascii="Verdana" w:hAnsi="Verdana" w:cs="Arial"/>
          <w:noProof/>
        </w:rPr>
      </w:pPr>
      <w:r w:rsidRPr="0015567A">
        <w:rPr>
          <w:rFonts w:ascii="Verdana" w:hAnsi="Verdana" w:cs="Arial"/>
          <w:noProof/>
        </w:rPr>
        <w:lastRenderedPageBreak/>
        <w:t>E</w:t>
      </w:r>
      <w:r w:rsidRPr="0015567A">
        <w:rPr>
          <w:rFonts w:ascii="Verdana" w:hAnsi="Verdana" w:cs="Arial"/>
          <w:noProof/>
          <w:lang w:val="es-ES_tradnl"/>
        </w:rPr>
        <w:t>l artículo 28 dispone que con este tipo de recursos se financian proyectos de inversión en sus diferentes etapas, con la condición que estén en el horizonte de realización. Asimismo, pueden financiarse estudios y diseños como parte de los proyectos de inversión y sus obras complementarias. Estos proyectos deben basarse en la metodología dispuesta por el Departamento Nacional de Planeación y a su vez, se dispone que estos recursos no podrán financiar gastos permanentes: una vez finalizada la etapa de inversión, la prestación del servicio debe ser sostenible y financiada por recursos diferentes al Sistema General de Regalías</w:t>
      </w:r>
      <w:r w:rsidRPr="0015567A">
        <w:rPr>
          <w:rStyle w:val="Refdenotaalpie"/>
          <w:rFonts w:ascii="Verdana" w:hAnsi="Verdana" w:cs="Arial"/>
          <w:noProof/>
          <w:lang w:val="es-ES_tradnl"/>
        </w:rPr>
        <w:footnoteReference w:id="6"/>
      </w:r>
      <w:r w:rsidRPr="0015567A">
        <w:rPr>
          <w:rFonts w:ascii="Verdana" w:hAnsi="Verdana" w:cs="Arial"/>
          <w:noProof/>
          <w:lang w:val="es-ES_tradnl"/>
        </w:rPr>
        <w:t>.</w:t>
      </w:r>
      <w:r w:rsidRPr="0015567A">
        <w:rPr>
          <w:rFonts w:ascii="Verdana" w:hAnsi="Verdana" w:cs="Arial"/>
          <w:noProof/>
        </w:rPr>
        <w:t xml:space="preserve"> </w:t>
      </w:r>
    </w:p>
    <w:p w14:paraId="19AF7579" w14:textId="77777777" w:rsidR="007B47C4" w:rsidRPr="0015567A" w:rsidRDefault="007B47C4" w:rsidP="007B47C4">
      <w:pPr>
        <w:spacing w:after="120" w:line="276" w:lineRule="auto"/>
        <w:ind w:firstLine="709"/>
        <w:jc w:val="both"/>
        <w:rPr>
          <w:rFonts w:ascii="Verdana" w:hAnsi="Verdana" w:cs="Arial"/>
          <w:noProof/>
        </w:rPr>
      </w:pPr>
      <w:r w:rsidRPr="0015567A">
        <w:rPr>
          <w:rFonts w:ascii="Verdana" w:hAnsi="Verdana" w:cs="Arial"/>
          <w:noProof/>
        </w:rPr>
        <w:t>El artículo 35, parágrafo 2, dispone que los Departamentos y Órganos Colegiados de Administración y Decisión Regionales que trata el artículo citado, en el marco de sus competencia, deben designar una</w:t>
      </w:r>
      <w:r w:rsidRPr="0015567A" w:rsidDel="003822CF">
        <w:rPr>
          <w:rFonts w:ascii="Verdana" w:hAnsi="Verdana" w:cs="Arial"/>
          <w:noProof/>
        </w:rPr>
        <w:t xml:space="preserve"> </w:t>
      </w:r>
      <w:r w:rsidRPr="0015567A">
        <w:rPr>
          <w:rFonts w:ascii="Verdana" w:hAnsi="Verdana" w:cs="Arial"/>
          <w:noProof/>
        </w:rPr>
        <w:t>entidad ejecutora de naturaleza pública, que además debe estar a cargo de la contratación de la interventoría, de acuerdo a lo regulado en dicha ley</w:t>
      </w:r>
      <w:r w:rsidRPr="0015567A">
        <w:rPr>
          <w:rStyle w:val="Refdenotaalpie"/>
          <w:rFonts w:ascii="Verdana" w:hAnsi="Verdana" w:cs="Arial"/>
          <w:noProof/>
        </w:rPr>
        <w:footnoteReference w:id="7"/>
      </w:r>
      <w:r w:rsidRPr="0015567A">
        <w:rPr>
          <w:rFonts w:ascii="Verdana" w:hAnsi="Verdana" w:cs="Arial"/>
          <w:noProof/>
        </w:rPr>
        <w:t xml:space="preserve">. El paragrafo 3 del artículo 6 establece lo siguiente: </w:t>
      </w:r>
      <w:r>
        <w:rPr>
          <w:rFonts w:ascii="Verdana" w:hAnsi="Verdana" w:cs="Arial"/>
          <w:noProof/>
        </w:rPr>
        <w:t>“</w:t>
      </w:r>
      <w:r w:rsidRPr="0015567A">
        <w:rPr>
          <w:rFonts w:ascii="Verdana" w:hAnsi="Verdana" w:cs="Arial"/>
          <w:noProof/>
        </w:rPr>
        <w:t xml:space="preserve">Para la designación del ejecutor, el Órgano Colegiado de Administración y Decisión tendrá en cuenta: i) Las capacidades administrativas y financieras de la entidad propuesta y ii) los resultados del desempeño de la ejecución de los recursos definidos por el Sistema de </w:t>
      </w:r>
      <w:r w:rsidRPr="0015567A">
        <w:rPr>
          <w:rFonts w:ascii="Verdana" w:hAnsi="Verdana" w:cs="Arial"/>
          <w:noProof/>
        </w:rPr>
        <w:lastRenderedPageBreak/>
        <w:t>Seguimiento, Evaluación y Control del Sistema General de Regalías, cuando a esto haya lugar, conforme los lineamientos del Departamento Nacional de Planeación</w:t>
      </w:r>
      <w:r>
        <w:rPr>
          <w:rFonts w:ascii="Verdana" w:hAnsi="Verdana" w:cs="Arial"/>
          <w:noProof/>
        </w:rPr>
        <w:t>”</w:t>
      </w:r>
      <w:r w:rsidRPr="0015567A">
        <w:rPr>
          <w:rFonts w:ascii="Verdana" w:hAnsi="Verdana" w:cs="Arial"/>
          <w:noProof/>
        </w:rPr>
        <w:t>. A su vez la norma indica que,  el ejecutor deberá ser de naturaleza pública y tendrá a su cargo la contratación de la interventoría.</w:t>
      </w:r>
    </w:p>
    <w:p w14:paraId="7B3A7407" w14:textId="77777777" w:rsidR="007B47C4" w:rsidRPr="0015567A" w:rsidRDefault="007B47C4" w:rsidP="007B47C4">
      <w:pPr>
        <w:spacing w:after="120" w:line="276" w:lineRule="auto"/>
        <w:ind w:firstLine="709"/>
        <w:jc w:val="both"/>
        <w:rPr>
          <w:rFonts w:ascii="Verdana" w:hAnsi="Verdana" w:cs="Arial"/>
        </w:rPr>
      </w:pPr>
      <w:r w:rsidRPr="0015567A">
        <w:rPr>
          <w:rFonts w:ascii="Verdana" w:hAnsi="Verdana" w:cs="Arial"/>
          <w:noProof/>
        </w:rPr>
        <w:t xml:space="preserve">El artículo 36 dispone, entre otras cosas, que las entidades territoriales receptoras de asignaciones directas y de la asignación para la inversión local, son las encargadas de priorizar y aprobar los proyectos de inversión que se financian con los recursos del Sistema General de Regalías, </w:t>
      </w:r>
      <w:r w:rsidRPr="0015567A">
        <w:rPr>
          <w:rFonts w:ascii="Verdana" w:hAnsi="Verdana" w:cs="Arial"/>
        </w:rPr>
        <w:t>así como de verificar su disponibilidad, conforme con la metodología del Departamento Nacional de Planeación</w:t>
      </w:r>
      <w:r w:rsidRPr="0015567A">
        <w:rPr>
          <w:rStyle w:val="Refdenotaalpie"/>
          <w:rFonts w:ascii="Verdana" w:hAnsi="Verdana" w:cs="Arial"/>
        </w:rPr>
        <w:footnoteReference w:id="8"/>
      </w:r>
      <w:r w:rsidRPr="0015567A">
        <w:rPr>
          <w:rFonts w:ascii="Verdana" w:hAnsi="Verdana" w:cs="Arial"/>
        </w:rPr>
        <w:t>.</w:t>
      </w:r>
    </w:p>
    <w:p w14:paraId="0C821EEA" w14:textId="77777777" w:rsidR="007B47C4" w:rsidRDefault="007B47C4" w:rsidP="007B47C4">
      <w:pPr>
        <w:spacing w:after="120" w:line="276" w:lineRule="auto"/>
        <w:ind w:firstLine="709"/>
        <w:jc w:val="both"/>
        <w:rPr>
          <w:rFonts w:ascii="Verdana" w:hAnsi="Verdana" w:cs="Arial"/>
        </w:rPr>
      </w:pPr>
      <w:r w:rsidRPr="0015567A">
        <w:rPr>
          <w:rFonts w:ascii="Verdana" w:hAnsi="Verdana" w:cs="Arial"/>
        </w:rPr>
        <w:t xml:space="preserve">El artículo 37 de la Ley 2056 de 2020 dispone que los proyectos de inversión que se financien con cargo al Sistema General de Regalías serán ejecutados por quien designe las entidades u órganos de que tratan los artículos 35 y 36 </w:t>
      </w:r>
      <w:r w:rsidRPr="0015567A">
        <w:rPr>
          <w:rFonts w:ascii="Verdana" w:hAnsi="Verdana" w:cs="Arial"/>
          <w:i/>
          <w:iCs/>
        </w:rPr>
        <w:t>ibidem</w:t>
      </w:r>
      <w:r w:rsidRPr="0015567A">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los mismos, sin perjuicio de las acciones de control a las que haya lugar. </w:t>
      </w:r>
    </w:p>
    <w:p w14:paraId="76E8BFE9" w14:textId="77777777" w:rsidR="007B47C4" w:rsidRDefault="007B47C4" w:rsidP="007B47C4">
      <w:pPr>
        <w:spacing w:after="120" w:line="276" w:lineRule="auto"/>
        <w:ind w:firstLine="709"/>
        <w:jc w:val="both"/>
        <w:rPr>
          <w:rFonts w:ascii="Verdana" w:hAnsi="Verdana" w:cs="Arial"/>
          <w:noProof/>
        </w:rPr>
      </w:pPr>
      <w:r>
        <w:rPr>
          <w:rFonts w:ascii="Verdana" w:hAnsi="Verdana" w:cs="Arial"/>
        </w:rPr>
        <w:t>E</w:t>
      </w:r>
      <w:r w:rsidRPr="00F473B6">
        <w:rPr>
          <w:rFonts w:ascii="Verdana" w:hAnsi="Verdana" w:cs="Arial"/>
        </w:rPr>
        <w:t xml:space="preserve">l parágrafo primero del artículo 37 </w:t>
      </w:r>
      <w:r w:rsidRPr="00F473B6">
        <w:rPr>
          <w:rFonts w:ascii="Verdana" w:hAnsi="Verdana" w:cs="Arial"/>
          <w:i/>
          <w:iCs/>
        </w:rPr>
        <w:t>ibidem</w:t>
      </w:r>
      <w:r w:rsidRPr="00F473B6">
        <w:rPr>
          <w:rFonts w:ascii="Verdana" w:hAnsi="Verdana" w:cs="Arial"/>
        </w:rPr>
        <w:t xml:space="preserve"> dispone</w:t>
      </w:r>
      <w:r>
        <w:rPr>
          <w:rFonts w:ascii="Verdana" w:hAnsi="Verdana" w:cs="Arial"/>
        </w:rPr>
        <w:t xml:space="preserve"> lo siguiente</w:t>
      </w:r>
      <w:r w:rsidRPr="00F473B6">
        <w:rPr>
          <w:rFonts w:ascii="Verdana" w:hAnsi="Verdana" w:cs="Arial"/>
        </w:rPr>
        <w:t xml:space="preserve">: </w:t>
      </w:r>
      <w:r>
        <w:rPr>
          <w:rFonts w:ascii="Verdana" w:hAnsi="Verdana" w:cs="Arial"/>
        </w:rPr>
        <w:t>“</w:t>
      </w:r>
      <w:r w:rsidRPr="00F473B6">
        <w:rPr>
          <w:rFonts w:ascii="Verdana" w:hAnsi="Verdana" w:cs="Arial"/>
        </w:rPr>
        <w:t xml:space="preserve">La ejecución de proyectos de </w:t>
      </w:r>
      <w:proofErr w:type="spellStart"/>
      <w:r w:rsidRPr="00F473B6">
        <w:rPr>
          <w:rFonts w:ascii="Verdana" w:hAnsi="Verdana" w:cs="Arial"/>
        </w:rPr>
        <w:t>que</w:t>
      </w:r>
      <w:proofErr w:type="spellEnd"/>
      <w:r w:rsidRPr="00F473B6">
        <w:rPr>
          <w:rFonts w:ascii="Verdana" w:hAnsi="Verdana" w:cs="Arial"/>
        </w:rPr>
        <w:t xml:space="preserve"> trata este artículo, se adelantará, con estricta sujeción al régimen presupuestal definido en esta ley, al de contratación pública </w:t>
      </w:r>
      <w:r w:rsidRPr="00F473B6">
        <w:rPr>
          <w:rFonts w:ascii="Verdana" w:hAnsi="Verdana" w:cs="Arial"/>
        </w:rPr>
        <w:lastRenderedPageBreak/>
        <w:t>y las demás normas legales vigentes. El ejecutor garantizará la correcta ejecución de los recursos asignados al proyecto de inversión, así como el suministro y registro de la información requerida por el sistema de seguimiento, evaluación y control</w:t>
      </w:r>
      <w:r>
        <w:rPr>
          <w:rFonts w:ascii="Verdana" w:hAnsi="Verdana" w:cs="Arial"/>
        </w:rPr>
        <w:t>”</w:t>
      </w:r>
      <w:r w:rsidRPr="00F473B6">
        <w:rPr>
          <w:rStyle w:val="Refdenotaalpie"/>
          <w:rFonts w:ascii="Verdana" w:hAnsi="Verdana" w:cs="Arial"/>
        </w:rPr>
        <w:footnoteReference w:id="9"/>
      </w:r>
      <w:r w:rsidRPr="00F473B6">
        <w:rPr>
          <w:rFonts w:ascii="Verdana" w:hAnsi="Verdana" w:cs="Arial"/>
        </w:rPr>
        <w:t>.</w:t>
      </w:r>
      <w:r w:rsidRPr="00F473B6">
        <w:rPr>
          <w:rFonts w:ascii="Verdana" w:hAnsi="Verdana" w:cs="Arial"/>
          <w:noProof/>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5A1743BB" w14:textId="77777777" w:rsidR="007B47C4" w:rsidRDefault="007B47C4" w:rsidP="007B47C4">
      <w:pPr>
        <w:spacing w:after="0" w:line="276" w:lineRule="auto"/>
        <w:ind w:firstLine="708"/>
        <w:jc w:val="both"/>
        <w:rPr>
          <w:rFonts w:ascii="Verdana" w:hAnsi="Verdana" w:cs="Arial"/>
          <w:noProof/>
        </w:rPr>
      </w:pPr>
      <w:r w:rsidRPr="00F473B6">
        <w:rPr>
          <w:rFonts w:ascii="Verdana" w:eastAsia="Calibri" w:hAnsi="Verdana" w:cs="Arial"/>
          <w:lang w:val="es-ES_tradnl"/>
        </w:rPr>
        <w:t xml:space="preserve">Igualmente, es importante referenciar lo prescrito en los artículos 85, 99 y 109 de la Ley 2056 de 2020 sobre los recursos del Sistema General de Regalías. </w:t>
      </w:r>
      <w:bookmarkStart w:id="6" w:name="_Hlk66438231"/>
      <w:r w:rsidRPr="00F473B6">
        <w:rPr>
          <w:rFonts w:ascii="Verdana" w:eastAsia="Calibri" w:hAnsi="Verdana" w:cs="Arial"/>
          <w:lang w:val="es-ES_tradnl"/>
        </w:rPr>
        <w:t xml:space="preserve">En efecto, </w:t>
      </w:r>
      <w:r w:rsidRPr="00F473B6">
        <w:rPr>
          <w:rFonts w:ascii="Verdana" w:hAnsi="Verdana" w:cs="Arial"/>
        </w:rPr>
        <w:t xml:space="preserve">conforme a los preceptos citados, </w:t>
      </w:r>
      <w:bookmarkStart w:id="7" w:name="_Hlk71740241"/>
      <w:r w:rsidRPr="00F473B6">
        <w:rPr>
          <w:rFonts w:ascii="Verdana" w:hAnsi="Verdana" w:cs="Arial"/>
        </w:rPr>
        <w:t xml:space="preserve">cuando dichos recursos sean para proyectos de inversión en i) pueblos y </w:t>
      </w:r>
      <w:bookmarkStart w:id="8" w:name="_Hlk66435016"/>
      <w:r w:rsidRPr="00F473B6">
        <w:rPr>
          <w:rFonts w:ascii="Verdana" w:hAnsi="Verdana" w:cs="Arial"/>
        </w:rPr>
        <w:t>comunidades indígenas</w:t>
      </w:r>
      <w:bookmarkEnd w:id="8"/>
      <w:r w:rsidRPr="00F473B6">
        <w:rPr>
          <w:rFonts w:ascii="Verdana" w:hAnsi="Verdana" w:cs="Arial"/>
        </w:rPr>
        <w:t xml:space="preserve">, </w:t>
      </w:r>
      <w:proofErr w:type="spellStart"/>
      <w:r w:rsidRPr="00F473B6">
        <w:rPr>
          <w:rFonts w:ascii="Verdana" w:hAnsi="Verdana" w:cs="Arial"/>
        </w:rPr>
        <w:t>ii</w:t>
      </w:r>
      <w:proofErr w:type="spellEnd"/>
      <w:r w:rsidRPr="00F473B6">
        <w:rPr>
          <w:rFonts w:ascii="Verdana" w:hAnsi="Verdana" w:cs="Arial"/>
        </w:rPr>
        <w:t xml:space="preserve">) comunidades negras, afrocolombiana, raizales y palenqueras y </w:t>
      </w:r>
      <w:proofErr w:type="spellStart"/>
      <w:r w:rsidRPr="00F473B6">
        <w:rPr>
          <w:rFonts w:ascii="Verdana" w:hAnsi="Verdana" w:cs="Arial"/>
        </w:rPr>
        <w:t>iii</w:t>
      </w:r>
      <w:proofErr w:type="spellEnd"/>
      <w:r w:rsidRPr="00F473B6">
        <w:rPr>
          <w:rFonts w:ascii="Verdana" w:hAnsi="Verdana" w:cs="Arial"/>
        </w:rPr>
        <w:t xml:space="preserve">) el pueblo </w:t>
      </w:r>
      <w:proofErr w:type="spellStart"/>
      <w:r w:rsidRPr="00F473B6">
        <w:rPr>
          <w:rFonts w:ascii="Verdana" w:hAnsi="Verdana" w:cs="Arial"/>
        </w:rPr>
        <w:t>Rrom</w:t>
      </w:r>
      <w:proofErr w:type="spellEnd"/>
      <w:r w:rsidRPr="00F473B6">
        <w:rPr>
          <w:rFonts w:ascii="Verdana" w:hAnsi="Verdana" w:cs="Arial"/>
        </w:rPr>
        <w:t xml:space="preserve"> o gitano, </w:t>
      </w:r>
      <w:r>
        <w:rPr>
          <w:rFonts w:ascii="Verdana" w:hAnsi="Verdana" w:cs="Arial"/>
          <w:sz w:val="20"/>
          <w:szCs w:val="20"/>
        </w:rPr>
        <w:t>“</w:t>
      </w:r>
      <w:r w:rsidRPr="00F473B6">
        <w:rPr>
          <w:rFonts w:ascii="Verdana" w:hAnsi="Verdana" w:cs="Arial"/>
        </w:rPr>
        <w:t xml:space="preserve">los actos o contratos que expidan o celebren los ejecutores se </w:t>
      </w:r>
      <w:r w:rsidRPr="00F473B6">
        <w:rPr>
          <w:rFonts w:ascii="Verdana" w:hAnsi="Verdana" w:cs="Arial"/>
        </w:rPr>
        <w:lastRenderedPageBreak/>
        <w:t>regirán por las normas presupuestales contenidas en la presente ley, el Estatuto de Contratación Estatal, las normas contables que para este efecto defina la Contaduría General de la Nación y las demás disposiciones complementarias</w:t>
      </w:r>
      <w:r>
        <w:rPr>
          <w:rFonts w:ascii="Verdana" w:hAnsi="Verdana" w:cs="Arial"/>
        </w:rPr>
        <w:t>”</w:t>
      </w:r>
      <w:r w:rsidRPr="00F473B6">
        <w:rPr>
          <w:rFonts w:ascii="Verdana" w:hAnsi="Verdana" w:cs="Arial"/>
        </w:rPr>
        <w:t>.</w:t>
      </w:r>
      <w:bookmarkEnd w:id="6"/>
      <w:r w:rsidRPr="00F473B6">
        <w:rPr>
          <w:rFonts w:ascii="Verdana" w:hAnsi="Verdana" w:cs="Arial"/>
        </w:rPr>
        <w:t xml:space="preserve"> </w:t>
      </w:r>
      <w:bookmarkEnd w:id="7"/>
      <w:r w:rsidRPr="00F473B6">
        <w:rPr>
          <w:rFonts w:ascii="Verdana" w:hAnsi="Verdana" w:cs="Arial"/>
        </w:rPr>
        <w:t xml:space="preserve">Por su parte, los artículos 83, 98 y 108 de la Ley 2056 de 2020 determinan que la designación del ejecutor de los recursos corresponde tanto a las instancias de decisión de las comunidades indígenas, negras, afrocolombiana, raizales y palenqueras como la Comisión Nacional de Diálogo del Pueblo </w:t>
      </w:r>
      <w:proofErr w:type="spellStart"/>
      <w:r w:rsidRPr="00F473B6">
        <w:rPr>
          <w:rFonts w:ascii="Verdana" w:hAnsi="Verdana" w:cs="Arial"/>
        </w:rPr>
        <w:t>Rrom</w:t>
      </w:r>
      <w:proofErr w:type="spellEnd"/>
      <w:r w:rsidRPr="00F473B6">
        <w:rPr>
          <w:rFonts w:ascii="Verdana" w:hAnsi="Verdana" w:cs="Arial"/>
        </w:rPr>
        <w:t xml:space="preserve"> o Gitano. </w:t>
      </w:r>
      <w:r w:rsidRPr="00F473B6">
        <w:rPr>
          <w:rFonts w:ascii="Verdana" w:eastAsia="Calibri" w:hAnsi="Verdana" w:cs="Arial"/>
        </w:rPr>
        <w:t xml:space="preserve">Esto, sin </w:t>
      </w:r>
      <w:r w:rsidRPr="00F473B6">
        <w:rPr>
          <w:rFonts w:ascii="Verdana" w:hAnsi="Verdana" w:cs="Arial"/>
        </w:rPr>
        <w:t>perjuicio de lo previsto en los artículos 87 y 101 de la Ley 2056 de 2020 para los proyectos financiables con recursos de la asignación directa, es relevante resaltar que los actos o contratos que celebren los ejecutores están sometidos a la Ley 80 de 1993.</w:t>
      </w:r>
    </w:p>
    <w:p w14:paraId="498E40F6" w14:textId="77777777" w:rsidR="007B47C4" w:rsidRDefault="007B47C4" w:rsidP="007B47C4">
      <w:pPr>
        <w:spacing w:after="0" w:line="276" w:lineRule="auto"/>
        <w:ind w:firstLine="708"/>
        <w:jc w:val="both"/>
        <w:rPr>
          <w:rFonts w:ascii="Verdana" w:hAnsi="Verdana" w:cs="Arial"/>
          <w:noProof/>
        </w:rPr>
      </w:pPr>
    </w:p>
    <w:p w14:paraId="715F0A03" w14:textId="77777777" w:rsidR="007B47C4" w:rsidRPr="00DC39AE" w:rsidRDefault="007B47C4" w:rsidP="007B47C4">
      <w:pPr>
        <w:spacing w:after="120" w:line="276" w:lineRule="auto"/>
        <w:jc w:val="both"/>
        <w:rPr>
          <w:rFonts w:ascii="Verdana" w:hAnsi="Verdana" w:cs="Arial"/>
          <w:color w:val="000000" w:themeColor="text1"/>
          <w:spacing w:val="4"/>
        </w:rPr>
      </w:pPr>
      <w:r>
        <w:rPr>
          <w:rFonts w:ascii="Verdana" w:hAnsi="Verdana" w:cs="Arial"/>
          <w:noProof/>
        </w:rPr>
        <w:t xml:space="preserve">iii. </w:t>
      </w:r>
      <w:r w:rsidRPr="00DC39AE">
        <w:rPr>
          <w:rFonts w:ascii="Verdana" w:hAnsi="Verdana" w:cs="Arial"/>
          <w:color w:val="000000" w:themeColor="text1"/>
          <w:spacing w:val="4"/>
        </w:rPr>
        <w:t xml:space="preserve">Las actuaciones de quienes intervengan en la contratación estatal se desarrollarán con arreglo al deber de </w:t>
      </w:r>
      <w:r w:rsidRPr="00DC39AE">
        <w:rPr>
          <w:rFonts w:ascii="Verdana" w:hAnsi="Verdana" w:cs="Arial"/>
          <w:bCs/>
          <w:color w:val="000000" w:themeColor="text1"/>
          <w:lang w:val="es-ES"/>
        </w:rPr>
        <w:t>selección objetiva, el cual debe interpretarse de manera conjunta e integrada con los principios orientadores de la actividad contractual, como lo son el de transparencia, economía y responsabilidad, consagrados en los artículos 24, 25 y 26 de la Ley 80 de 1993.</w:t>
      </w:r>
    </w:p>
    <w:p w14:paraId="660FFD77" w14:textId="77777777" w:rsidR="007B47C4" w:rsidRPr="00DC39AE" w:rsidRDefault="007B47C4" w:rsidP="007B47C4">
      <w:pPr>
        <w:spacing w:after="120" w:line="276" w:lineRule="auto"/>
        <w:ind w:firstLine="709"/>
        <w:jc w:val="both"/>
        <w:rPr>
          <w:rFonts w:ascii="Verdana" w:hAnsi="Verdana" w:cs="Arial"/>
          <w:color w:val="000000" w:themeColor="text1"/>
          <w:spacing w:val="4"/>
        </w:rPr>
      </w:pPr>
      <w:r w:rsidRPr="00DC39AE">
        <w:rPr>
          <w:rFonts w:ascii="Verdana" w:hAnsi="Verdana" w:cs="Arial"/>
          <w:bCs/>
          <w:color w:val="000000" w:themeColor="text1"/>
          <w:lang w:val="es-ES"/>
        </w:rPr>
        <w:t xml:space="preserve">El artículo 5º de la Ley 1150 de 2007, mediante la cual se introdujeron algunas modificaciones a la Ley 80 de 1993, se refiere a la </w:t>
      </w:r>
      <w:r w:rsidRPr="00DC39AE">
        <w:rPr>
          <w:rFonts w:ascii="Verdana" w:hAnsi="Verdana" w:cs="Arial"/>
          <w:bCs/>
          <w:i/>
          <w:iCs/>
          <w:color w:val="000000" w:themeColor="text1"/>
          <w:lang w:val="es-ES"/>
        </w:rPr>
        <w:t>“</w:t>
      </w:r>
      <w:r w:rsidRPr="00A04392">
        <w:rPr>
          <w:rFonts w:ascii="Verdana" w:hAnsi="Verdana" w:cs="Arial"/>
          <w:bCs/>
          <w:color w:val="000000" w:themeColor="text1"/>
          <w:lang w:val="es-ES"/>
        </w:rPr>
        <w:t>selección objetiva</w:t>
      </w:r>
      <w:r w:rsidRPr="00DC39AE">
        <w:rPr>
          <w:rFonts w:ascii="Verdana" w:hAnsi="Verdana" w:cs="Arial"/>
          <w:bCs/>
          <w:i/>
          <w:iCs/>
          <w:color w:val="000000" w:themeColor="text1"/>
          <w:lang w:val="es-ES"/>
        </w:rPr>
        <w:t>”</w:t>
      </w:r>
      <w:r w:rsidRPr="00DC39AE">
        <w:rPr>
          <w:rFonts w:ascii="Verdana" w:hAnsi="Verdana" w:cs="Arial"/>
          <w:bCs/>
          <w:color w:val="000000" w:themeColor="text1"/>
          <w:lang w:val="es-ES"/>
        </w:rPr>
        <w:t xml:space="preserve"> y la define como oferta más favorable aquella que resulte ser más ventajosa para la entidad, después de haber sido aplicados los criterios de escogencia y su ponderación, determinados de manera precisa y detallada en el pliego de condiciones, sin que tal favorabilidad la constituyan elementos extraños a los factores contemplados en ellos.</w:t>
      </w:r>
      <w:r>
        <w:rPr>
          <w:rFonts w:ascii="Verdana" w:hAnsi="Verdana" w:cs="Arial"/>
          <w:color w:val="000000" w:themeColor="text1"/>
          <w:lang w:val="es-ES"/>
        </w:rPr>
        <w:t xml:space="preserve"> </w:t>
      </w:r>
      <w:r w:rsidRPr="00DC39AE">
        <w:rPr>
          <w:rFonts w:ascii="Verdana" w:hAnsi="Verdana" w:cs="Arial"/>
          <w:color w:val="000000" w:themeColor="text1"/>
          <w:spacing w:val="4"/>
        </w:rPr>
        <w:t>En ese sentido, no cabe duda de que la selección objetiva se fundamenta en aplicar rigurosamente los requisitos de selección de los oferentes y los criterios o factores de evaluación o calificación de las ofertas de forma precisa, detallada y concreta, que permitan a la entidad seleccionar una óptima propuesta o la más ventajosa para la entidad.</w:t>
      </w:r>
    </w:p>
    <w:p w14:paraId="0E7B991F" w14:textId="77777777" w:rsidR="007B47C4" w:rsidRDefault="007B47C4" w:rsidP="007B47C4">
      <w:pPr>
        <w:spacing w:after="0" w:line="276" w:lineRule="auto"/>
        <w:ind w:firstLine="709"/>
        <w:jc w:val="both"/>
        <w:rPr>
          <w:rFonts w:ascii="Verdana" w:hAnsi="Verdana" w:cs="Arial"/>
          <w:color w:val="000000" w:themeColor="text1"/>
          <w:lang w:val="es-MX"/>
        </w:rPr>
      </w:pPr>
      <w:bookmarkStart w:id="9" w:name="_Hlk108685728"/>
      <w:bookmarkStart w:id="10" w:name="_Hlk108448882"/>
      <w:r w:rsidRPr="00DC39AE">
        <w:rPr>
          <w:rFonts w:ascii="Verdana" w:hAnsi="Verdana" w:cs="Arial"/>
          <w:color w:val="000000" w:themeColor="text1"/>
          <w:lang w:val="es-MX"/>
        </w:rPr>
        <w:t>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w:t>
      </w:r>
      <w:r>
        <w:rPr>
          <w:rFonts w:ascii="Verdana" w:hAnsi="Verdana" w:cs="Arial"/>
          <w:color w:val="000000" w:themeColor="text1"/>
          <w:lang w:val="es-MX"/>
        </w:rPr>
        <w:t>n</w:t>
      </w:r>
      <w:r w:rsidRPr="00DC39AE">
        <w:rPr>
          <w:rFonts w:ascii="Verdana" w:hAnsi="Verdana" w:cs="Arial"/>
          <w:color w:val="000000" w:themeColor="text1"/>
          <w:lang w:val="es-MX"/>
        </w:rPr>
        <w:t xml:space="preserve"> incluido</w:t>
      </w:r>
      <w:r>
        <w:rPr>
          <w:rFonts w:ascii="Verdana" w:hAnsi="Verdana" w:cs="Arial"/>
          <w:color w:val="000000" w:themeColor="text1"/>
          <w:lang w:val="es-MX"/>
        </w:rPr>
        <w:t>s</w:t>
      </w:r>
      <w:r w:rsidRPr="00DC39AE">
        <w:rPr>
          <w:rFonts w:ascii="Verdana" w:hAnsi="Verdana" w:cs="Arial"/>
          <w:color w:val="000000" w:themeColor="text1"/>
          <w:lang w:val="es-MX"/>
        </w:rPr>
        <w:t xml:space="preserve"> </w:t>
      </w:r>
      <w:bookmarkEnd w:id="9"/>
      <w:r>
        <w:rPr>
          <w:rFonts w:ascii="Verdana" w:hAnsi="Verdana" w:cs="Arial"/>
          <w:color w:val="000000" w:themeColor="text1"/>
          <w:lang w:val="es-MX"/>
        </w:rPr>
        <w:t>los impuestos aplicables</w:t>
      </w:r>
      <w:r w:rsidRPr="00DC39AE">
        <w:rPr>
          <w:rFonts w:ascii="Verdana" w:hAnsi="Verdana" w:cs="Arial"/>
          <w:color w:val="000000" w:themeColor="text1"/>
          <w:lang w:val="es-MX"/>
        </w:rPr>
        <w:t xml:space="preserve">. De esta manera, el principio de selección objetiva, antes que permitir que la entidad compare las ofertas económicas sin </w:t>
      </w:r>
      <w:r w:rsidRPr="00DC39AE">
        <w:rPr>
          <w:rFonts w:ascii="Verdana" w:hAnsi="Verdana" w:cs="Arial"/>
          <w:color w:val="000000" w:themeColor="text1"/>
          <w:lang w:val="es-MX"/>
        </w:rPr>
        <w:lastRenderedPageBreak/>
        <w:t xml:space="preserve">tener en cuenta </w:t>
      </w:r>
      <w:r>
        <w:rPr>
          <w:rFonts w:ascii="Verdana" w:hAnsi="Verdana" w:cs="Arial"/>
          <w:color w:val="000000" w:themeColor="text1"/>
          <w:lang w:val="es-MX"/>
        </w:rPr>
        <w:t>la carga tributaria</w:t>
      </w:r>
      <w:r w:rsidRPr="00DC39AE">
        <w:rPr>
          <w:rFonts w:ascii="Verdana" w:hAnsi="Verdana" w:cs="Arial"/>
          <w:color w:val="000000" w:themeColor="text1"/>
          <w:lang w:val="es-MX"/>
        </w:rPr>
        <w:t xml:space="preserve">, busca que la comparación se haga sobre la realidad de lo ofrecido por cada proponente, es decir, el valor total de lo que terminará pagando la entidad cuando adjudique el contrato. </w:t>
      </w:r>
      <w:r>
        <w:rPr>
          <w:rFonts w:ascii="Verdana" w:hAnsi="Verdana" w:cs="Arial"/>
          <w:color w:val="000000" w:themeColor="text1"/>
          <w:lang w:val="es-MX"/>
        </w:rPr>
        <w:t>Para la doctrina:</w:t>
      </w:r>
    </w:p>
    <w:p w14:paraId="36ADFA67" w14:textId="77777777" w:rsidR="007B47C4" w:rsidRDefault="007B47C4" w:rsidP="007B47C4">
      <w:pPr>
        <w:spacing w:after="0" w:line="276" w:lineRule="auto"/>
        <w:ind w:firstLine="709"/>
        <w:jc w:val="both"/>
        <w:rPr>
          <w:rFonts w:ascii="Verdana" w:hAnsi="Verdana" w:cs="Arial"/>
          <w:color w:val="000000" w:themeColor="text1"/>
          <w:lang w:val="es-MX"/>
        </w:rPr>
      </w:pPr>
    </w:p>
    <w:p w14:paraId="4B6C077A" w14:textId="77777777" w:rsidR="007B47C4" w:rsidRPr="00AA6EF9" w:rsidRDefault="007B47C4" w:rsidP="007B47C4">
      <w:pPr>
        <w:spacing w:after="120" w:line="240" w:lineRule="auto"/>
        <w:ind w:left="709" w:right="709"/>
        <w:jc w:val="both"/>
        <w:rPr>
          <w:rFonts w:ascii="Verdana" w:hAnsi="Verdana" w:cs="Arial"/>
          <w:color w:val="000000" w:themeColor="text1"/>
          <w:sz w:val="20"/>
          <w:szCs w:val="20"/>
          <w:lang w:val="es-MX"/>
        </w:rPr>
      </w:pPr>
      <w:r w:rsidRPr="00AA6EF9">
        <w:rPr>
          <w:rFonts w:ascii="Verdana" w:hAnsi="Verdana" w:cs="Arial"/>
          <w:color w:val="000000" w:themeColor="text1"/>
          <w:sz w:val="20"/>
          <w:szCs w:val="20"/>
          <w:lang w:val="es-MX"/>
        </w:rPr>
        <w:t>“[…] el precio debe incluir los costos en que incurrirá el contratista para cumplir sus obligaciones y obtener la utilidad que espera del negocio. Esto significa que hacen parte del precio las inversiones y gastos que deba hacer, más la utilidad que espera.</w:t>
      </w:r>
    </w:p>
    <w:p w14:paraId="0A67A6CB" w14:textId="77777777" w:rsidR="007B47C4" w:rsidRPr="00AA6EF9" w:rsidRDefault="007B47C4" w:rsidP="007B47C4">
      <w:pPr>
        <w:spacing w:after="0" w:line="240" w:lineRule="auto"/>
        <w:ind w:left="709" w:right="709"/>
        <w:jc w:val="both"/>
        <w:rPr>
          <w:rFonts w:ascii="Verdana" w:hAnsi="Verdana" w:cs="Arial"/>
          <w:color w:val="000000" w:themeColor="text1"/>
          <w:sz w:val="20"/>
          <w:szCs w:val="20"/>
          <w:lang w:val="es-MX"/>
        </w:rPr>
      </w:pPr>
      <w:r w:rsidRPr="00AA6EF9">
        <w:rPr>
          <w:rFonts w:ascii="Verdana" w:hAnsi="Verdana" w:cs="Arial"/>
          <w:color w:val="000000" w:themeColor="text1"/>
          <w:sz w:val="20"/>
          <w:szCs w:val="20"/>
          <w:lang w:val="es-MX"/>
        </w:rPr>
        <w:t>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el,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 en que incurrirá el proponente.</w:t>
      </w:r>
    </w:p>
    <w:p w14:paraId="45767A8F" w14:textId="77777777" w:rsidR="007B47C4" w:rsidRPr="00AA6EF9" w:rsidRDefault="007B47C4" w:rsidP="007B47C4">
      <w:pPr>
        <w:spacing w:after="120" w:line="240" w:lineRule="auto"/>
        <w:ind w:left="709" w:right="709"/>
        <w:jc w:val="both"/>
        <w:rPr>
          <w:rFonts w:ascii="Verdana" w:hAnsi="Verdana" w:cs="Arial"/>
          <w:color w:val="000000" w:themeColor="text1"/>
          <w:sz w:val="20"/>
          <w:szCs w:val="20"/>
          <w:lang w:val="es-MX"/>
        </w:rPr>
      </w:pPr>
      <w:r w:rsidRPr="00AA6EF9">
        <w:rPr>
          <w:rFonts w:ascii="Verdana" w:hAnsi="Verdana" w:cs="Arial"/>
          <w:color w:val="000000" w:themeColor="text1"/>
          <w:sz w:val="20"/>
          <w:szCs w:val="20"/>
          <w:lang w:val="es-MX"/>
        </w:rPr>
        <w:t>[…]</w:t>
      </w:r>
    </w:p>
    <w:p w14:paraId="6D489E5B" w14:textId="77777777" w:rsidR="007B47C4" w:rsidRPr="00AA6EF9" w:rsidRDefault="007B47C4" w:rsidP="007B47C4">
      <w:pPr>
        <w:spacing w:after="0" w:line="240" w:lineRule="auto"/>
        <w:ind w:left="709" w:right="709"/>
        <w:jc w:val="both"/>
        <w:rPr>
          <w:rFonts w:ascii="Verdana" w:hAnsi="Verdana" w:cs="Arial"/>
          <w:color w:val="000000" w:themeColor="text1"/>
          <w:sz w:val="20"/>
          <w:szCs w:val="20"/>
          <w:lang w:val="es-MX"/>
        </w:rPr>
      </w:pPr>
      <w:r w:rsidRPr="00AA6EF9">
        <w:rPr>
          <w:rFonts w:ascii="Verdana" w:hAnsi="Verdana" w:cs="Arial"/>
          <w:color w:val="000000" w:themeColor="text1"/>
          <w:sz w:val="20"/>
          <w:szCs w:val="20"/>
          <w:lang w:val="es-MX"/>
        </w:rPr>
        <w:t>Esta misma idea aplica para elaborar el presupuesto oficial del contrato estatal, e igualmente para obtener el certificado de disponibilidad presupuestal, porque la entidad, cuando calcula los costos probables del contrato, naturalmente debe incluir los impuestos que gravan los productos o servicios que desea adquirir, pues en el mercado no se los venderán sin ellos. Acaso comprará un vehículo sin IVA o una carretera sin el impuesto de guerra o contribución especial? Del mismo modo, la disponibilidad presupuestal debe incluir el impuesto, pues de no hacerlo el contrato quedará desfinanciado, y la entidad asumiría compromisos económicos sin tener la cobertura económica suficiente para no incurrir en mora”</w:t>
      </w:r>
      <w:r w:rsidRPr="00AA6EF9">
        <w:rPr>
          <w:rStyle w:val="Refdenotaalpie"/>
          <w:rFonts w:ascii="Verdana" w:hAnsi="Verdana" w:cs="Arial"/>
          <w:color w:val="000000" w:themeColor="text1"/>
          <w:sz w:val="20"/>
          <w:szCs w:val="20"/>
          <w:lang w:val="es-MX"/>
        </w:rPr>
        <w:footnoteReference w:id="10"/>
      </w:r>
      <w:r w:rsidRPr="00AA6EF9">
        <w:rPr>
          <w:rFonts w:ascii="Verdana" w:hAnsi="Verdana" w:cs="Arial"/>
          <w:color w:val="000000" w:themeColor="text1"/>
          <w:sz w:val="20"/>
          <w:szCs w:val="20"/>
          <w:lang w:val="es-MX"/>
        </w:rPr>
        <w:t>.</w:t>
      </w:r>
    </w:p>
    <w:p w14:paraId="15F0042B" w14:textId="77777777" w:rsidR="007B47C4" w:rsidRDefault="007B47C4" w:rsidP="007B47C4">
      <w:pPr>
        <w:spacing w:after="0" w:line="276" w:lineRule="auto"/>
        <w:jc w:val="both"/>
        <w:rPr>
          <w:rFonts w:ascii="Verdana" w:hAnsi="Verdana" w:cs="Arial"/>
          <w:color w:val="000000" w:themeColor="text1"/>
          <w:lang w:val="es-MX"/>
        </w:rPr>
      </w:pPr>
    </w:p>
    <w:p w14:paraId="33DCA9E2" w14:textId="77777777" w:rsidR="007B47C4" w:rsidRPr="00DC39AE" w:rsidRDefault="007B47C4" w:rsidP="007B47C4">
      <w:pPr>
        <w:spacing w:after="120" w:line="276" w:lineRule="auto"/>
        <w:ind w:firstLine="708"/>
        <w:jc w:val="both"/>
        <w:rPr>
          <w:rFonts w:ascii="Verdana" w:hAnsi="Verdana" w:cs="Arial"/>
          <w:color w:val="000000" w:themeColor="text1"/>
          <w:lang w:val="es-MX"/>
        </w:rPr>
      </w:pPr>
      <w:r w:rsidRPr="00DC39AE">
        <w:rPr>
          <w:rFonts w:ascii="Verdana" w:hAnsi="Verdana" w:cs="Arial"/>
          <w:color w:val="000000" w:themeColor="text1"/>
          <w:lang w:val="es-MX"/>
        </w:rPr>
        <w:t xml:space="preserve">De otro lado, el principio de igualdad consagrado en el artículo 13 de la Constitución Política es un pilar fundamental, no solo de la contratación estatal </w:t>
      </w:r>
      <w:r w:rsidRPr="00DC39AE">
        <w:rPr>
          <w:rFonts w:ascii="Verdana" w:hAnsi="Verdana" w:cs="Arial"/>
          <w:color w:val="000000" w:themeColor="text1"/>
          <w:lang w:val="es-MX"/>
        </w:rPr>
        <w:lastRenderedPageBreak/>
        <w:t>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Pr="00DC39AE">
        <w:rPr>
          <w:rFonts w:ascii="Verdana" w:hAnsi="Verdana" w:cs="Arial"/>
          <w:color w:val="000000" w:themeColor="text1"/>
          <w:vertAlign w:val="superscript"/>
          <w:lang w:val="es-MX"/>
        </w:rPr>
        <w:footnoteReference w:id="11"/>
      </w:r>
      <w:r w:rsidRPr="00DC39AE">
        <w:rPr>
          <w:rFonts w:ascii="Verdana" w:hAnsi="Verdana" w:cs="Arial"/>
          <w:color w:val="000000" w:themeColor="text1"/>
          <w:lang w:val="es-MX"/>
        </w:rPr>
        <w:t xml:space="preserve">. 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336E08C9" w14:textId="77777777" w:rsidR="007B47C4" w:rsidRPr="00DC39AE" w:rsidRDefault="007B47C4" w:rsidP="007B47C4">
      <w:pPr>
        <w:spacing w:before="120" w:after="0" w:line="276" w:lineRule="auto"/>
        <w:ind w:firstLine="709"/>
        <w:jc w:val="both"/>
        <w:rPr>
          <w:rFonts w:ascii="Verdana" w:hAnsi="Verdana" w:cs="Arial"/>
          <w:color w:val="000000" w:themeColor="text1"/>
          <w:lang w:val="es-MX"/>
        </w:rPr>
      </w:pPr>
      <w:r w:rsidRPr="00DC39AE">
        <w:rPr>
          <w:rFonts w:ascii="Verdana" w:hAnsi="Verdana" w:cs="Arial"/>
          <w:color w:val="000000" w:themeColor="text1"/>
          <w:lang w:val="es-MX"/>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Por ello el Consejo de Estado ha determinado que la aplicación del principio de igualdad en la contratación pública materializa otros principios de similar importancia como la selección objetiva y la transparencia: </w:t>
      </w:r>
    </w:p>
    <w:p w14:paraId="1F53DE03" w14:textId="77777777" w:rsidR="007B47C4" w:rsidRPr="00DC39AE" w:rsidRDefault="007B47C4" w:rsidP="007B47C4">
      <w:pPr>
        <w:spacing w:after="0" w:line="276" w:lineRule="auto"/>
        <w:ind w:left="709"/>
        <w:contextualSpacing/>
        <w:jc w:val="both"/>
        <w:rPr>
          <w:rFonts w:ascii="Verdana" w:hAnsi="Verdana" w:cs="Arial"/>
          <w:color w:val="000000" w:themeColor="text1"/>
          <w:lang w:val="es-MX"/>
        </w:rPr>
      </w:pPr>
    </w:p>
    <w:p w14:paraId="6F78EE81" w14:textId="77777777" w:rsidR="007B47C4" w:rsidRPr="00AA6EF9" w:rsidRDefault="007B47C4" w:rsidP="007B47C4">
      <w:pPr>
        <w:spacing w:line="240" w:lineRule="auto"/>
        <w:ind w:left="709" w:right="709"/>
        <w:contextualSpacing/>
        <w:jc w:val="both"/>
        <w:rPr>
          <w:rFonts w:ascii="Verdana" w:hAnsi="Verdana" w:cs="Arial"/>
          <w:color w:val="000000" w:themeColor="text1"/>
          <w:sz w:val="20"/>
          <w:szCs w:val="20"/>
          <w:lang w:val="es-MX"/>
        </w:rPr>
      </w:pPr>
      <w:r w:rsidRPr="00AA6EF9">
        <w:rPr>
          <w:rFonts w:ascii="Verdana" w:hAnsi="Verdana" w:cs="Arial"/>
          <w:color w:val="000000" w:themeColor="text1"/>
          <w:sz w:val="20"/>
          <w:szCs w:val="20"/>
          <w:lang w:val="es-MX"/>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AA6EF9">
        <w:rPr>
          <w:rFonts w:ascii="Verdana" w:hAnsi="Verdana" w:cs="Arial"/>
          <w:color w:val="000000" w:themeColor="text1"/>
          <w:sz w:val="20"/>
          <w:szCs w:val="20"/>
          <w:vertAlign w:val="superscript"/>
          <w:lang w:val="es-MX"/>
        </w:rPr>
        <w:footnoteReference w:id="12"/>
      </w:r>
      <w:r w:rsidRPr="00AA6EF9">
        <w:rPr>
          <w:rFonts w:ascii="Verdana" w:hAnsi="Verdana" w:cs="Arial"/>
          <w:color w:val="000000" w:themeColor="text1"/>
          <w:sz w:val="20"/>
          <w:szCs w:val="20"/>
          <w:lang w:val="es-MX"/>
        </w:rPr>
        <w:t>.</w:t>
      </w:r>
    </w:p>
    <w:p w14:paraId="0D62CDC4" w14:textId="77777777" w:rsidR="007B47C4" w:rsidRPr="00DC39AE" w:rsidRDefault="007B47C4" w:rsidP="007B47C4">
      <w:pPr>
        <w:spacing w:line="276" w:lineRule="auto"/>
        <w:contextualSpacing/>
        <w:jc w:val="both"/>
        <w:rPr>
          <w:rFonts w:ascii="Verdana" w:hAnsi="Verdana" w:cs="Arial"/>
          <w:color w:val="000000" w:themeColor="text1"/>
          <w:lang w:val="es-MX"/>
        </w:rPr>
      </w:pPr>
    </w:p>
    <w:p w14:paraId="227C9845" w14:textId="77777777" w:rsidR="007B47C4" w:rsidRPr="00DC39AE" w:rsidRDefault="007B47C4" w:rsidP="007B47C4">
      <w:pPr>
        <w:spacing w:before="120" w:after="120" w:line="276" w:lineRule="auto"/>
        <w:ind w:firstLine="709"/>
        <w:jc w:val="both"/>
        <w:rPr>
          <w:rFonts w:ascii="Verdana" w:hAnsi="Verdana" w:cs="Arial"/>
          <w:color w:val="000000" w:themeColor="text1"/>
          <w:lang w:val="es-MX"/>
        </w:rPr>
      </w:pPr>
      <w:bookmarkStart w:id="12" w:name="_Hlk108689460"/>
      <w:bookmarkStart w:id="13" w:name="_Hlk108448910"/>
      <w:r>
        <w:rPr>
          <w:rFonts w:ascii="Verdana" w:hAnsi="Verdana" w:cs="Arial"/>
          <w:color w:val="000000" w:themeColor="text1"/>
          <w:lang w:val="es-MX"/>
        </w:rPr>
        <w:t>Por tanto, n</w:t>
      </w:r>
      <w:r w:rsidRPr="00DC39AE">
        <w:rPr>
          <w:rFonts w:ascii="Verdana" w:hAnsi="Verdana" w:cs="Arial"/>
          <w:color w:val="000000" w:themeColor="text1"/>
          <w:lang w:val="es-MX"/>
        </w:rPr>
        <w:t xml:space="preserve">o puede alegarse la violación del principio de igualdad cuando una entidad compara el precio real que ofrece cada proponente, pues la </w:t>
      </w:r>
      <w:r w:rsidRPr="00DC39AE">
        <w:rPr>
          <w:rFonts w:ascii="Verdana" w:hAnsi="Verdana" w:cs="Arial"/>
          <w:color w:val="000000" w:themeColor="text1"/>
          <w:lang w:val="es-MX"/>
        </w:rPr>
        <w:lastRenderedPageBreak/>
        <w:t xml:space="preserve">jurisprudencia constitucional ha determinado que la igualdad de trato se predica entre iguales. En otras palabras, para que se pueda exigir el respeto de la igualdad hay que demostrar que se está en la misma situación de hecho y de derecho. </w:t>
      </w:r>
    </w:p>
    <w:bookmarkEnd w:id="12"/>
    <w:p w14:paraId="20EA4E29" w14:textId="77777777" w:rsidR="007B47C4" w:rsidRPr="00DC39AE" w:rsidRDefault="007B47C4" w:rsidP="007B47C4">
      <w:pPr>
        <w:spacing w:before="120" w:after="120" w:line="276" w:lineRule="auto"/>
        <w:ind w:firstLine="709"/>
        <w:jc w:val="both"/>
        <w:rPr>
          <w:rFonts w:ascii="Verdana" w:hAnsi="Verdana" w:cs="Arial"/>
          <w:color w:val="000000" w:themeColor="text1"/>
          <w:lang w:val="es-MX"/>
        </w:rPr>
      </w:pPr>
      <w:r w:rsidRPr="00DC39AE">
        <w:rPr>
          <w:rFonts w:ascii="Verdana" w:hAnsi="Verdana" w:cs="Arial"/>
          <w:color w:val="000000" w:themeColor="text1"/>
          <w:lang w:val="es-MX"/>
        </w:rPr>
        <w:t xml:space="preserve">Además, debe tenerse presente que la definición del régimen tributario aplicable a los proponentes que se presentan al procedimiento de selección no es realizada por la entidad estatal, sino que es un tema definido por el legislador, quien optó por establecer ciertas cargas a algunos sujetos y a otros no. Es decir que la distinción o discriminación fue realizada por el legislador. </w:t>
      </w:r>
    </w:p>
    <w:bookmarkEnd w:id="13"/>
    <w:p w14:paraId="57C52C1F" w14:textId="77777777" w:rsidR="007B47C4" w:rsidRPr="00DC39AE" w:rsidRDefault="007B47C4" w:rsidP="007B47C4">
      <w:pPr>
        <w:spacing w:before="120" w:after="120" w:line="276" w:lineRule="auto"/>
        <w:ind w:firstLine="709"/>
        <w:jc w:val="both"/>
        <w:rPr>
          <w:rFonts w:ascii="Verdana" w:hAnsi="Verdana" w:cs="Arial"/>
          <w:color w:val="000000" w:themeColor="text1"/>
          <w:lang w:val="es-MX"/>
        </w:rPr>
      </w:pPr>
      <w:r w:rsidRPr="00DC39AE">
        <w:rPr>
          <w:rFonts w:ascii="Verdana" w:hAnsi="Verdana" w:cs="Arial"/>
          <w:color w:val="000000" w:themeColor="text1"/>
          <w:lang w:val="es-MX"/>
        </w:rPr>
        <w:t xml:space="preserve">Por ello, la Corte Constitucional ha señalado que un correcto entendimiento del derecho a la igualdad parte de la consideración de tratar igual a quienes estén en situaciones esencialmente similares y desigual a quienes estén en situaciones diferentes: De esta manera, </w:t>
      </w:r>
      <w:r>
        <w:rPr>
          <w:rFonts w:ascii="Verdana" w:hAnsi="Verdana" w:cs="Arial"/>
          <w:color w:val="000000" w:themeColor="text1"/>
          <w:lang w:val="es-MX"/>
        </w:rPr>
        <w:t>“</w:t>
      </w:r>
      <w:r w:rsidRPr="00DC39AE">
        <w:rPr>
          <w:rFonts w:ascii="Verdana" w:hAnsi="Verdana" w:cs="Arial"/>
          <w:color w:val="000000" w:themeColor="text1"/>
          <w:lang w:val="es-MX"/>
        </w:rPr>
        <w:t>La correcta aplicación del derecho a la igualdad no sólo supone la igualdad de trato respecto de los privilegios, oportunidades y cargas entre los iguales, sino también el tratamiento desigual entre supuestos disímiles</w:t>
      </w:r>
      <w:r>
        <w:rPr>
          <w:rFonts w:ascii="Verdana" w:hAnsi="Verdana" w:cs="Arial"/>
          <w:color w:val="000000" w:themeColor="text1"/>
          <w:lang w:val="es-MX"/>
        </w:rPr>
        <w:t>”</w:t>
      </w:r>
      <w:r w:rsidRPr="00DC39AE">
        <w:rPr>
          <w:rFonts w:ascii="Verdana" w:hAnsi="Verdana" w:cs="Arial"/>
          <w:color w:val="000000" w:themeColor="text1"/>
          <w:vertAlign w:val="superscript"/>
          <w:lang w:val="es-MX"/>
        </w:rPr>
        <w:footnoteReference w:id="13"/>
      </w:r>
      <w:r w:rsidRPr="00DC39AE">
        <w:rPr>
          <w:rFonts w:ascii="Verdana" w:hAnsi="Verdana" w:cs="Arial"/>
          <w:color w:val="000000" w:themeColor="text1"/>
          <w:lang w:val="es-MX"/>
        </w:rPr>
        <w:t xml:space="preserve">. </w:t>
      </w:r>
    </w:p>
    <w:p w14:paraId="423A8810" w14:textId="77777777" w:rsidR="007B47C4" w:rsidRDefault="007B47C4" w:rsidP="007B47C4">
      <w:pPr>
        <w:spacing w:before="120" w:after="120" w:line="276" w:lineRule="auto"/>
        <w:ind w:firstLine="709"/>
        <w:jc w:val="both"/>
        <w:rPr>
          <w:rFonts w:ascii="Verdana" w:hAnsi="Verdana" w:cs="Arial"/>
          <w:color w:val="000000" w:themeColor="text1"/>
          <w:lang w:val="es-MX"/>
        </w:rPr>
      </w:pPr>
      <w:bookmarkStart w:id="14" w:name="_Hlk108448954"/>
      <w:r>
        <w:rPr>
          <w:rFonts w:ascii="Verdana" w:hAnsi="Verdana" w:cs="Arial"/>
          <w:color w:val="000000" w:themeColor="text1"/>
          <w:lang w:val="es-MX"/>
        </w:rPr>
        <w:t>L</w:t>
      </w:r>
      <w:r w:rsidRPr="00DC39AE">
        <w:rPr>
          <w:rFonts w:ascii="Verdana" w:hAnsi="Verdana" w:cs="Arial"/>
          <w:color w:val="000000" w:themeColor="text1"/>
          <w:lang w:val="es-MX"/>
        </w:rPr>
        <w:t xml:space="preserve">os impuestos son parte integral del precio, pues es lo que finalmente terminará pagando la entidad cuando adjudique el contrato, por lo cual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bookmarkEnd w:id="14"/>
    </w:p>
    <w:p w14:paraId="5A82AFBE" w14:textId="77777777" w:rsidR="007B47C4" w:rsidRDefault="007B47C4" w:rsidP="007B47C4">
      <w:pPr>
        <w:spacing w:before="120" w:after="0" w:line="276" w:lineRule="auto"/>
        <w:ind w:firstLine="709"/>
        <w:jc w:val="both"/>
        <w:rPr>
          <w:rFonts w:ascii="Verdana" w:hAnsi="Verdana" w:cs="Arial"/>
          <w:color w:val="000000" w:themeColor="text1"/>
          <w:lang w:val="es-MX"/>
        </w:rPr>
      </w:pPr>
      <w:r>
        <w:rPr>
          <w:rFonts w:ascii="Verdana" w:hAnsi="Verdana" w:cs="Arial"/>
          <w:color w:val="000000" w:themeColor="text1"/>
          <w:lang w:val="es-MX"/>
        </w:rPr>
        <w:t xml:space="preserve">Salvo que el ordenamiento defina alguna exención tributaria para el tema objeto de consulta, esta conclusión es independiente de que el contrato se financie o no cargo al sistema general de regalías. Teniendo en cuenta que, mediante oficio </w:t>
      </w:r>
      <w:r w:rsidRPr="00034908">
        <w:rPr>
          <w:rFonts w:ascii="Verdana" w:hAnsi="Verdana" w:cs="Arial"/>
          <w:color w:val="000000" w:themeColor="text1"/>
          <w:lang w:val="es-MX"/>
        </w:rPr>
        <w:t>20253200489381</w:t>
      </w:r>
      <w:r>
        <w:rPr>
          <w:rFonts w:ascii="Verdana" w:hAnsi="Verdana" w:cs="Arial"/>
          <w:color w:val="000000" w:themeColor="text1"/>
          <w:lang w:val="es-MX"/>
        </w:rPr>
        <w:t xml:space="preserve"> del 10 de julio de 2025, el Departamento Nacional de Planeación trasladó las preguntas 1, 2, 3 y 6 a la </w:t>
      </w:r>
      <w:r w:rsidRPr="00422F42">
        <w:rPr>
          <w:rFonts w:ascii="Verdana" w:hAnsi="Verdana" w:cs="Arial"/>
          <w:color w:val="000000" w:themeColor="text1"/>
          <w:lang w:val="es-MX"/>
        </w:rPr>
        <w:t>Dirección de Impuestos y Aduanas Nacionales</w:t>
      </w:r>
      <w:r>
        <w:rPr>
          <w:rFonts w:ascii="Verdana" w:hAnsi="Verdana" w:cs="Arial"/>
          <w:color w:val="000000" w:themeColor="text1"/>
          <w:lang w:val="es-MX"/>
        </w:rPr>
        <w:t xml:space="preserve">, deberá estarse a lo que disponga la autoridad competente respecto a las excepciones o devoluciones en el pago de tributos territoriales –como el impuesto de industria y comercio y las estampillas departamentales– en los contratos suscritos con cargo al </w:t>
      </w:r>
      <w:r w:rsidRPr="00422F42">
        <w:rPr>
          <w:rFonts w:ascii="Verdana" w:hAnsi="Verdana" w:cs="Arial"/>
          <w:color w:val="000000" w:themeColor="text1"/>
          <w:lang w:val="es-MX"/>
        </w:rPr>
        <w:t>Fondo de Ciencia, Tecnología e Innovación</w:t>
      </w:r>
      <w:r>
        <w:rPr>
          <w:rFonts w:ascii="Verdana" w:hAnsi="Verdana" w:cs="Arial"/>
          <w:color w:val="000000" w:themeColor="text1"/>
          <w:lang w:val="es-MX"/>
        </w:rPr>
        <w:t xml:space="preserve"> del SGR</w:t>
      </w:r>
      <w:r>
        <w:rPr>
          <w:rStyle w:val="Refdenotaalpie"/>
          <w:rFonts w:ascii="Verdana" w:hAnsi="Verdana" w:cs="Arial"/>
          <w:color w:val="000000" w:themeColor="text1"/>
          <w:lang w:val="es-MX"/>
        </w:rPr>
        <w:footnoteReference w:id="14"/>
      </w:r>
      <w:r>
        <w:rPr>
          <w:rFonts w:ascii="Verdana" w:hAnsi="Verdana" w:cs="Arial"/>
          <w:color w:val="000000" w:themeColor="text1"/>
          <w:lang w:val="es-MX"/>
        </w:rPr>
        <w:t xml:space="preserve">. </w:t>
      </w:r>
      <w:bookmarkEnd w:id="10"/>
    </w:p>
    <w:p w14:paraId="629CF55F" w14:textId="77777777" w:rsidR="007B47C4" w:rsidRPr="007E03EB" w:rsidRDefault="007B47C4" w:rsidP="007B47C4">
      <w:pPr>
        <w:spacing w:after="0" w:line="276" w:lineRule="auto"/>
        <w:ind w:firstLine="709"/>
        <w:jc w:val="both"/>
        <w:rPr>
          <w:rFonts w:ascii="Verdana" w:hAnsi="Verdana" w:cs="Arial"/>
          <w:color w:val="000000" w:themeColor="text1"/>
          <w:lang w:val="es-MX"/>
        </w:rPr>
      </w:pPr>
    </w:p>
    <w:p w14:paraId="3A7E2630" w14:textId="77777777" w:rsidR="007B47C4" w:rsidRDefault="007B47C4" w:rsidP="007B47C4">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48BCFC3" w14:textId="77777777" w:rsidR="007B47C4" w:rsidRPr="00185EE9" w:rsidRDefault="007B47C4" w:rsidP="007B47C4">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52AE3AE3" w14:textId="77777777" w:rsidR="007B47C4" w:rsidRPr="00182C89" w:rsidRDefault="007B47C4" w:rsidP="007B47C4">
      <w:pPr>
        <w:tabs>
          <w:tab w:val="left" w:pos="709"/>
        </w:tabs>
        <w:spacing w:after="0" w:line="276" w:lineRule="auto"/>
        <w:jc w:val="both"/>
        <w:rPr>
          <w:rFonts w:ascii="Verdana" w:eastAsia="Calibri" w:hAnsi="Verdana" w:cs="Arial"/>
          <w:color w:val="000000" w:themeColor="text1"/>
        </w:rPr>
      </w:pPr>
    </w:p>
    <w:p w14:paraId="4633A8C4" w14:textId="61AFA3C4" w:rsidR="00053779" w:rsidRPr="00053779" w:rsidRDefault="007B47C4" w:rsidP="0005377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551283C" w14:textId="77777777" w:rsidR="007B47C4" w:rsidRPr="00593A5F" w:rsidRDefault="007B47C4" w:rsidP="007B47C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B47C4" w:rsidRPr="002407CE" w14:paraId="4EC7293E" w14:textId="77777777" w:rsidTr="001A29EF">
        <w:trPr>
          <w:trHeight w:val="870"/>
          <w:jc w:val="center"/>
        </w:trPr>
        <w:tc>
          <w:tcPr>
            <w:tcW w:w="8647" w:type="dxa"/>
          </w:tcPr>
          <w:p w14:paraId="55816ACD" w14:textId="77777777" w:rsidR="007B47C4" w:rsidRDefault="007B47C4" w:rsidP="001A29EF">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Constitución Política de 1991, artículos 13, 209, 360 y 361.</w:t>
            </w:r>
          </w:p>
          <w:p w14:paraId="60EB1A14" w14:textId="77777777" w:rsidR="007B47C4" w:rsidRPr="00783CDA" w:rsidRDefault="007B47C4" w:rsidP="001A29EF">
            <w:pPr>
              <w:pStyle w:val="Prrafodelista"/>
              <w:widowControl w:val="0"/>
              <w:autoSpaceDE w:val="0"/>
              <w:autoSpaceDN w:val="0"/>
              <w:spacing w:line="276" w:lineRule="auto"/>
              <w:jc w:val="both"/>
              <w:rPr>
                <w:rFonts w:ascii="Verdana" w:hAnsi="Verdana" w:cs="Arial"/>
                <w:sz w:val="12"/>
                <w:szCs w:val="12"/>
              </w:rPr>
            </w:pPr>
            <w:r>
              <w:rPr>
                <w:rFonts w:ascii="Verdana" w:hAnsi="Verdana" w:cs="Arial"/>
              </w:rPr>
              <w:t xml:space="preserve"> </w:t>
            </w:r>
          </w:p>
          <w:p w14:paraId="365468C7" w14:textId="77777777" w:rsidR="007B47C4" w:rsidRDefault="007B47C4" w:rsidP="001A29EF">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80 de 1993, artículos 24, 25 y 26.</w:t>
            </w:r>
          </w:p>
          <w:p w14:paraId="5F446944" w14:textId="77777777" w:rsidR="007B47C4" w:rsidRPr="00783CDA" w:rsidRDefault="007B47C4" w:rsidP="001A29EF">
            <w:pPr>
              <w:widowControl w:val="0"/>
              <w:autoSpaceDE w:val="0"/>
              <w:autoSpaceDN w:val="0"/>
              <w:spacing w:line="276" w:lineRule="auto"/>
              <w:jc w:val="both"/>
              <w:rPr>
                <w:rFonts w:ascii="Verdana" w:hAnsi="Verdana" w:cs="Arial"/>
                <w:sz w:val="12"/>
                <w:szCs w:val="12"/>
              </w:rPr>
            </w:pPr>
          </w:p>
          <w:p w14:paraId="5E8740C6" w14:textId="77777777" w:rsidR="007B47C4" w:rsidRDefault="007B47C4" w:rsidP="001A29EF">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t>Ley 1150 de 2007, artículo 5.</w:t>
            </w:r>
          </w:p>
          <w:p w14:paraId="05CCDB6D" w14:textId="77777777" w:rsidR="007B47C4" w:rsidRPr="00783CDA" w:rsidRDefault="007B47C4" w:rsidP="001A29EF">
            <w:pPr>
              <w:widowControl w:val="0"/>
              <w:autoSpaceDE w:val="0"/>
              <w:autoSpaceDN w:val="0"/>
              <w:spacing w:line="276" w:lineRule="auto"/>
              <w:jc w:val="both"/>
              <w:rPr>
                <w:rFonts w:ascii="Verdana" w:hAnsi="Verdana" w:cs="Arial"/>
                <w:sz w:val="12"/>
                <w:szCs w:val="12"/>
              </w:rPr>
            </w:pPr>
          </w:p>
          <w:p w14:paraId="1F0AA2DE" w14:textId="77777777" w:rsidR="007B47C4" w:rsidRDefault="007B47C4" w:rsidP="001A29EF">
            <w:pPr>
              <w:pStyle w:val="Prrafodelista"/>
              <w:widowControl w:val="0"/>
              <w:numPr>
                <w:ilvl w:val="0"/>
                <w:numId w:val="17"/>
              </w:numPr>
              <w:autoSpaceDE w:val="0"/>
              <w:autoSpaceDN w:val="0"/>
              <w:spacing w:line="276" w:lineRule="auto"/>
              <w:jc w:val="both"/>
              <w:rPr>
                <w:rFonts w:ascii="Verdana" w:hAnsi="Verdana" w:cs="Arial"/>
              </w:rPr>
            </w:pPr>
            <w:r>
              <w:rPr>
                <w:rFonts w:ascii="Verdana" w:hAnsi="Verdana" w:cs="Arial"/>
              </w:rPr>
              <w:lastRenderedPageBreak/>
              <w:t>Ley 1437 de 2011, artículo 3.</w:t>
            </w:r>
          </w:p>
          <w:p w14:paraId="7616CFF3" w14:textId="77777777" w:rsidR="007B47C4" w:rsidRPr="00B478FA" w:rsidRDefault="007B47C4" w:rsidP="001A29EF">
            <w:pPr>
              <w:pStyle w:val="Prrafodelista"/>
              <w:widowControl w:val="0"/>
              <w:autoSpaceDE w:val="0"/>
              <w:autoSpaceDN w:val="0"/>
              <w:spacing w:line="276" w:lineRule="auto"/>
              <w:jc w:val="both"/>
              <w:rPr>
                <w:rFonts w:ascii="Verdana" w:hAnsi="Verdana" w:cs="Arial"/>
                <w:sz w:val="12"/>
                <w:szCs w:val="12"/>
              </w:rPr>
            </w:pPr>
          </w:p>
          <w:p w14:paraId="64348B0C" w14:textId="77777777" w:rsidR="007B47C4" w:rsidRPr="00FF09AA" w:rsidRDefault="007B47C4" w:rsidP="001A29EF">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sidRPr="00EA612E">
              <w:rPr>
                <w:rFonts w:ascii="Verdana" w:hAnsi="Verdana" w:cs="Arial"/>
              </w:rPr>
              <w:t xml:space="preserve">Ley </w:t>
            </w:r>
            <w:r>
              <w:rPr>
                <w:rFonts w:ascii="Verdana" w:hAnsi="Verdana" w:cs="Arial"/>
              </w:rPr>
              <w:t>2056 de 2020</w:t>
            </w:r>
            <w:r w:rsidRPr="00EA612E">
              <w:rPr>
                <w:rFonts w:ascii="Verdana" w:hAnsi="Verdana" w:cs="Arial"/>
              </w:rPr>
              <w:t>, artículo</w:t>
            </w:r>
            <w:r>
              <w:rPr>
                <w:rFonts w:ascii="Verdana" w:hAnsi="Verdana" w:cs="Arial"/>
              </w:rPr>
              <w:t>s 28 a 37, 83, 87, 98, 99, 101, 108 y 109</w:t>
            </w:r>
            <w:r w:rsidRPr="00EA612E">
              <w:rPr>
                <w:rFonts w:ascii="Verdana" w:hAnsi="Verdana" w:cs="Arial"/>
              </w:rPr>
              <w:t>.</w:t>
            </w:r>
          </w:p>
        </w:tc>
      </w:tr>
    </w:tbl>
    <w:p w14:paraId="49862037" w14:textId="77777777" w:rsidR="007B47C4" w:rsidRPr="002407CE" w:rsidRDefault="007B47C4" w:rsidP="007B47C4">
      <w:pPr>
        <w:widowControl w:val="0"/>
        <w:autoSpaceDE w:val="0"/>
        <w:autoSpaceDN w:val="0"/>
        <w:spacing w:after="0" w:line="276" w:lineRule="auto"/>
        <w:jc w:val="both"/>
        <w:rPr>
          <w:rFonts w:ascii="Verdana" w:hAnsi="Verdana" w:cs="Arial"/>
        </w:rPr>
      </w:pPr>
    </w:p>
    <w:p w14:paraId="398EBF03" w14:textId="77777777" w:rsidR="007B47C4" w:rsidRPr="00593A5F" w:rsidRDefault="007B47C4" w:rsidP="007B47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442B88C" w14:textId="77777777" w:rsidR="007B47C4" w:rsidRPr="00593A5F" w:rsidRDefault="007B47C4" w:rsidP="007B47C4">
      <w:pPr>
        <w:widowControl w:val="0"/>
        <w:autoSpaceDE w:val="0"/>
        <w:autoSpaceDN w:val="0"/>
        <w:spacing w:after="0" w:line="276" w:lineRule="auto"/>
        <w:jc w:val="both"/>
        <w:rPr>
          <w:rFonts w:ascii="Verdana" w:hAnsi="Verdana" w:cs="Arial"/>
        </w:rPr>
      </w:pPr>
    </w:p>
    <w:p w14:paraId="7EAEA042" w14:textId="77777777" w:rsidR="007B47C4" w:rsidRPr="00003886" w:rsidRDefault="007B47C4" w:rsidP="007B47C4">
      <w:pPr>
        <w:widowControl w:val="0"/>
        <w:autoSpaceDE w:val="0"/>
        <w:autoSpaceDN w:val="0"/>
        <w:spacing w:after="0" w:line="276" w:lineRule="auto"/>
        <w:jc w:val="both"/>
        <w:rPr>
          <w:rStyle w:val="normaltextrun"/>
          <w:rFonts w:ascii="Verdana" w:hAnsi="Verdana" w:cs="Arial"/>
          <w:shd w:val="clear" w:color="auto" w:fill="FFFFFF"/>
        </w:rPr>
      </w:pPr>
      <w:r w:rsidRPr="005344DB">
        <w:rPr>
          <w:rStyle w:val="normaltextrun"/>
          <w:rFonts w:ascii="Verdana" w:hAnsi="Verdana" w:cs="Arial"/>
          <w:shd w:val="clear" w:color="auto" w:fill="FFFFFF"/>
        </w:rPr>
        <w:t xml:space="preserve">Esta Subdirección se ha pronunciado sobre </w:t>
      </w:r>
      <w:r>
        <w:rPr>
          <w:rStyle w:val="normaltextrun"/>
          <w:rFonts w:ascii="Verdana" w:hAnsi="Verdana" w:cs="Arial"/>
          <w:shd w:val="clear" w:color="auto" w:fill="FFFFFF"/>
        </w:rPr>
        <w:t xml:space="preserve">las particularidades del Sistema General de Regalías en los Conceptos </w:t>
      </w:r>
      <w:r w:rsidRPr="006F5818">
        <w:rPr>
          <w:rStyle w:val="normaltextrun"/>
          <w:rFonts w:ascii="Verdana" w:hAnsi="Verdana" w:cs="Arial"/>
          <w:shd w:val="clear" w:color="auto" w:fill="FFFFFF"/>
        </w:rPr>
        <w:t>C-604 del 09 de septiembre de 2020,</w:t>
      </w:r>
      <w:r>
        <w:rPr>
          <w:rStyle w:val="normaltextrun"/>
          <w:rFonts w:ascii="Verdana" w:hAnsi="Verdana" w:cs="Arial"/>
          <w:shd w:val="clear" w:color="auto" w:fill="FFFFFF"/>
        </w:rPr>
        <w:t xml:space="preserve"> </w:t>
      </w:r>
      <w:r w:rsidRPr="006F5818">
        <w:rPr>
          <w:rStyle w:val="normaltextrun"/>
          <w:rFonts w:ascii="Verdana" w:hAnsi="Verdana" w:cs="Arial"/>
          <w:shd w:val="clear" w:color="auto" w:fill="FFFFFF"/>
        </w:rPr>
        <w:t>C-370 del 28 de julio de 2021, C-095 del 22 de marzo de 2022, C-353 del 2 de junio de 2022</w:t>
      </w:r>
      <w:r>
        <w:rPr>
          <w:rStyle w:val="normaltextrun"/>
          <w:rFonts w:ascii="Verdana" w:hAnsi="Verdana" w:cs="Arial"/>
          <w:shd w:val="clear" w:color="auto" w:fill="FFFFFF"/>
        </w:rPr>
        <w:t>,</w:t>
      </w:r>
      <w:r w:rsidRPr="00102CE7">
        <w:rPr>
          <w:rStyle w:val="normaltextrun"/>
          <w:rFonts w:ascii="Verdana" w:hAnsi="Verdana" w:cs="Arial"/>
          <w:shd w:val="clear" w:color="auto" w:fill="FFFFFF"/>
        </w:rPr>
        <w:t xml:space="preserve"> C-489 del 1˚ de agosto de 2022</w:t>
      </w:r>
      <w:r>
        <w:rPr>
          <w:rStyle w:val="normaltextrun"/>
          <w:rFonts w:ascii="Verdana" w:hAnsi="Verdana" w:cs="Arial"/>
          <w:shd w:val="clear" w:color="auto" w:fill="FFFFFF"/>
        </w:rPr>
        <w:t xml:space="preserve">, C-823 del 21 de noviembre de 2024, 918 del 9 de diciembre de 2024 y C-951 del 19 de diciembre de 2024 </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1"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0C46F62C" w14:textId="77777777" w:rsidR="007B47C4" w:rsidRPr="00096788" w:rsidRDefault="007B47C4" w:rsidP="007B47C4">
      <w:pPr>
        <w:widowControl w:val="0"/>
        <w:autoSpaceDE w:val="0"/>
        <w:autoSpaceDN w:val="0"/>
        <w:spacing w:after="0" w:line="276" w:lineRule="auto"/>
        <w:jc w:val="both"/>
        <w:rPr>
          <w:rFonts w:ascii="Verdana" w:hAnsi="Verdana" w:cs="Arial"/>
          <w:color w:val="000000" w:themeColor="text1"/>
          <w:shd w:val="clear" w:color="auto" w:fill="FFFFFF"/>
        </w:rPr>
      </w:pPr>
    </w:p>
    <w:p w14:paraId="195EA292" w14:textId="77777777" w:rsidR="007B47C4" w:rsidRPr="001205D1" w:rsidRDefault="007B47C4" w:rsidP="007B47C4">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5E8F716F" w14:textId="77777777" w:rsidR="007B47C4" w:rsidRPr="009C4035" w:rsidRDefault="007B47C4" w:rsidP="007B47C4">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3FFFAA95" w14:textId="77777777" w:rsidR="007B47C4" w:rsidRPr="00593A5F" w:rsidRDefault="007B47C4" w:rsidP="007B47C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862657C" w14:textId="77777777" w:rsidR="00F22848" w:rsidRPr="00593A5F" w:rsidRDefault="00F22848" w:rsidP="007B47C4">
      <w:pPr>
        <w:widowControl w:val="0"/>
        <w:autoSpaceDE w:val="0"/>
        <w:autoSpaceDN w:val="0"/>
        <w:spacing w:after="0" w:line="276" w:lineRule="auto"/>
        <w:jc w:val="both"/>
        <w:rPr>
          <w:rFonts w:ascii="Verdana" w:hAnsi="Verdana" w:cs="Arial"/>
        </w:rPr>
      </w:pPr>
    </w:p>
    <w:p w14:paraId="04BDBC17" w14:textId="77777777" w:rsidR="007B47C4" w:rsidRPr="00593A5F" w:rsidRDefault="007B47C4" w:rsidP="007B47C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BE2C467" w14:textId="4861B254" w:rsidR="0C9DD66A" w:rsidRDefault="00F22848" w:rsidP="00F22848">
      <w:pPr>
        <w:spacing w:after="0" w:line="240" w:lineRule="auto"/>
        <w:jc w:val="center"/>
        <w:rPr>
          <w:rFonts w:ascii="Verdana" w:hAnsi="Verdana" w:cs="Arial"/>
          <w:lang w:eastAsia="es-CO"/>
        </w:rPr>
      </w:pPr>
      <w:r w:rsidRPr="00C07C60">
        <w:rPr>
          <w:rFonts w:ascii="Verdana" w:hAnsi="Verdana" w:cs="Arial"/>
          <w:noProof/>
          <w:lang w:eastAsia="es-CO"/>
        </w:rPr>
        <w:lastRenderedPageBreak/>
        <w:drawing>
          <wp:inline distT="0" distB="0" distL="0" distR="0" wp14:anchorId="67032D16" wp14:editId="7FE58665">
            <wp:extent cx="4241800" cy="1778000"/>
            <wp:effectExtent l="0" t="0" r="0" b="0"/>
            <wp:docPr id="10848952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95296" name=""/>
                    <pic:cNvPicPr/>
                  </pic:nvPicPr>
                  <pic:blipFill>
                    <a:blip r:embed="rId13"/>
                    <a:stretch>
                      <a:fillRect/>
                    </a:stretch>
                  </pic:blipFill>
                  <pic:spPr>
                    <a:xfrm>
                      <a:off x="0" y="0"/>
                      <a:ext cx="4241800" cy="1778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B47C4" w:rsidRPr="00593A5F" w14:paraId="77D01171" w14:textId="77777777" w:rsidTr="001A29EF">
        <w:trPr>
          <w:trHeight w:val="315"/>
        </w:trPr>
        <w:tc>
          <w:tcPr>
            <w:tcW w:w="893" w:type="dxa"/>
            <w:vAlign w:val="center"/>
            <w:hideMark/>
          </w:tcPr>
          <w:p w14:paraId="669A668F" w14:textId="77777777" w:rsidR="007B47C4" w:rsidRPr="003751C7" w:rsidRDefault="007B47C4" w:rsidP="001A29E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C5D593C" w14:textId="77777777" w:rsidR="007B47C4" w:rsidRPr="00254A7A" w:rsidRDefault="007B47C4" w:rsidP="001A29E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3435321B" w14:textId="77777777" w:rsidR="007B47C4" w:rsidRPr="00254A7A" w:rsidRDefault="007B47C4" w:rsidP="001A29E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7B47C4" w:rsidRPr="00593A5F" w14:paraId="1E511014" w14:textId="77777777" w:rsidTr="001A29EF">
        <w:trPr>
          <w:trHeight w:val="330"/>
        </w:trPr>
        <w:tc>
          <w:tcPr>
            <w:tcW w:w="893" w:type="dxa"/>
            <w:vAlign w:val="center"/>
            <w:hideMark/>
          </w:tcPr>
          <w:p w14:paraId="043A21E0" w14:textId="77777777" w:rsidR="007B47C4" w:rsidRPr="003751C7" w:rsidRDefault="007B47C4" w:rsidP="001A29E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5325196" w14:textId="77777777" w:rsidR="007B47C4" w:rsidRPr="001B6B73" w:rsidRDefault="007B47C4" w:rsidP="001A29EF">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3670BEB6" w14:textId="77777777" w:rsidR="007B47C4" w:rsidRPr="00254A7A" w:rsidRDefault="007B47C4" w:rsidP="001A29EF">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7B47C4" w:rsidRPr="00593A5F" w14:paraId="288436F9" w14:textId="77777777" w:rsidTr="001A29EF">
        <w:trPr>
          <w:trHeight w:val="300"/>
        </w:trPr>
        <w:tc>
          <w:tcPr>
            <w:tcW w:w="893" w:type="dxa"/>
            <w:vAlign w:val="center"/>
          </w:tcPr>
          <w:p w14:paraId="26E29F71" w14:textId="77777777" w:rsidR="007B47C4" w:rsidRPr="003751C7" w:rsidRDefault="007B47C4" w:rsidP="001A29E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0B7329" w14:textId="77777777" w:rsidR="007B47C4" w:rsidRPr="00C0556B" w:rsidRDefault="007B47C4" w:rsidP="001A29EF">
            <w:pPr>
              <w:contextualSpacing/>
              <w:rPr>
                <w:rFonts w:ascii="Verdana" w:eastAsia="Calibri" w:hAnsi="Verdana" w:cs="Arial"/>
                <w:sz w:val="16"/>
                <w:szCs w:val="16"/>
                <w:lang w:val="es-ES_tradnl" w:eastAsia="es-ES"/>
              </w:rPr>
            </w:pPr>
            <w:r w:rsidRPr="00C0556B">
              <w:rPr>
                <w:rFonts w:ascii="Verdana" w:eastAsia="Calibri" w:hAnsi="Verdana" w:cs="Arial"/>
                <w:sz w:val="16"/>
                <w:szCs w:val="16"/>
                <w:lang w:val="es-ES_tradnl" w:eastAsia="es-ES"/>
              </w:rPr>
              <w:t>Ana María Tolosa Rico</w:t>
            </w:r>
          </w:p>
          <w:p w14:paraId="554DE62D" w14:textId="77777777" w:rsidR="007B47C4" w:rsidRPr="003751C7" w:rsidRDefault="007B47C4" w:rsidP="001A29EF">
            <w:pPr>
              <w:contextualSpacing/>
              <w:rPr>
                <w:rFonts w:ascii="Verdana" w:eastAsia="Calibri" w:hAnsi="Verdana" w:cs="Arial"/>
                <w:sz w:val="16"/>
                <w:szCs w:val="16"/>
                <w:lang w:val="pt-BR" w:eastAsia="es-ES"/>
              </w:rPr>
            </w:pPr>
            <w:r w:rsidRPr="00C0556B">
              <w:rPr>
                <w:rFonts w:ascii="Verdana" w:eastAsia="Calibri" w:hAnsi="Verdana" w:cs="Arial"/>
                <w:sz w:val="16"/>
                <w:szCs w:val="16"/>
                <w:lang w:val="es-ES_tradnl" w:eastAsia="es-ES"/>
              </w:rPr>
              <w:t>Subdirectora de Gestión Contractual (E)</w:t>
            </w:r>
          </w:p>
        </w:tc>
      </w:tr>
    </w:tbl>
    <w:p w14:paraId="733DB423" w14:textId="77777777" w:rsidR="007B47C4" w:rsidRPr="00543BFE" w:rsidRDefault="007B47C4" w:rsidP="007B47C4"/>
    <w:p w14:paraId="2134A012" w14:textId="77777777" w:rsidR="007B47C4" w:rsidRPr="00543BFE" w:rsidRDefault="007B47C4" w:rsidP="007B47C4"/>
    <w:p w14:paraId="3900974D" w14:textId="77777777" w:rsidR="003D5B0D" w:rsidRPr="007B47C4" w:rsidRDefault="003D5B0D" w:rsidP="007B47C4"/>
    <w:sectPr w:rsidR="003D5B0D" w:rsidRPr="007B47C4"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7E241" w14:textId="77777777" w:rsidR="003C36A8" w:rsidRDefault="003C36A8" w:rsidP="004A1847">
      <w:pPr>
        <w:spacing w:after="0" w:line="240" w:lineRule="auto"/>
      </w:pPr>
      <w:r>
        <w:separator/>
      </w:r>
    </w:p>
  </w:endnote>
  <w:endnote w:type="continuationSeparator" w:id="0">
    <w:p w14:paraId="5D4BE65F" w14:textId="77777777" w:rsidR="003C36A8" w:rsidRDefault="003C36A8" w:rsidP="004A1847">
      <w:pPr>
        <w:spacing w:after="0" w:line="240" w:lineRule="auto"/>
      </w:pPr>
      <w:r>
        <w:continuationSeparator/>
      </w:r>
    </w:p>
  </w:endnote>
  <w:endnote w:type="continuationNotice" w:id="1">
    <w:p w14:paraId="6018DA25" w14:textId="77777777" w:rsidR="003C36A8" w:rsidRDefault="003C36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F81FB" w14:textId="77777777" w:rsidR="003C36A8" w:rsidRDefault="003C36A8" w:rsidP="004A1847">
      <w:pPr>
        <w:spacing w:after="0" w:line="240" w:lineRule="auto"/>
      </w:pPr>
      <w:r>
        <w:separator/>
      </w:r>
    </w:p>
  </w:footnote>
  <w:footnote w:type="continuationSeparator" w:id="0">
    <w:p w14:paraId="6E0117B2" w14:textId="77777777" w:rsidR="003C36A8" w:rsidRDefault="003C36A8" w:rsidP="004A1847">
      <w:pPr>
        <w:spacing w:after="0" w:line="240" w:lineRule="auto"/>
      </w:pPr>
      <w:r>
        <w:continuationSeparator/>
      </w:r>
    </w:p>
  </w:footnote>
  <w:footnote w:type="continuationNotice" w:id="1">
    <w:p w14:paraId="2E60AA94" w14:textId="77777777" w:rsidR="003C36A8" w:rsidRDefault="003C36A8">
      <w:pPr>
        <w:spacing w:after="0" w:line="240" w:lineRule="auto"/>
      </w:pPr>
    </w:p>
  </w:footnote>
  <w:footnote w:id="2">
    <w:p w14:paraId="7AEDA807" w14:textId="77777777" w:rsidR="007B47C4" w:rsidRPr="00F473B6" w:rsidRDefault="007B47C4" w:rsidP="007B47C4">
      <w:pPr>
        <w:pStyle w:val="Textonotapie"/>
        <w:ind w:firstLine="708"/>
        <w:jc w:val="both"/>
        <w:rPr>
          <w:rFonts w:ascii="Verdana" w:hAnsi="Verdana" w:cs="Arial"/>
          <w:sz w:val="16"/>
          <w:szCs w:val="16"/>
          <w:shd w:val="clear" w:color="auto" w:fill="FFFFFF"/>
        </w:rPr>
      </w:pPr>
      <w:r w:rsidRPr="00F473B6">
        <w:rPr>
          <w:rStyle w:val="Refdenotaalpie"/>
          <w:rFonts w:ascii="Verdana" w:hAnsi="Verdana" w:cs="Arial"/>
          <w:sz w:val="16"/>
          <w:szCs w:val="16"/>
        </w:rPr>
        <w:footnoteRef/>
      </w:r>
      <w:r w:rsidRPr="00F473B6">
        <w:rPr>
          <w:rFonts w:ascii="Verdana" w:hAnsi="Verdana" w:cs="Arial"/>
          <w:sz w:val="16"/>
          <w:szCs w:val="16"/>
        </w:rPr>
        <w:t xml:space="preserve"> Al respecto, la Corte indicó: “</w:t>
      </w:r>
      <w:r w:rsidRPr="00F473B6">
        <w:rPr>
          <w:rFonts w:ascii="Verdana" w:hAnsi="Verdana" w:cs="Arial"/>
          <w:sz w:val="16"/>
          <w:szCs w:val="16"/>
          <w:shd w:val="clear" w:color="auto" w:fill="FFFFFF"/>
        </w:rPr>
        <w:t>Las regalías son comprendidas por el derecho constitucional como una </w:t>
      </w:r>
      <w:r w:rsidRPr="00F473B6">
        <w:rPr>
          <w:rFonts w:ascii="Verdana" w:hAnsi="Verdana" w:cs="Arial"/>
          <w:i/>
          <w:iCs/>
          <w:sz w:val="16"/>
          <w:szCs w:val="16"/>
          <w:shd w:val="clear" w:color="auto" w:fill="FFFFFF"/>
        </w:rPr>
        <w:t>contraprestación económica </w:t>
      </w:r>
      <w:r w:rsidRPr="00F473B6">
        <w:rPr>
          <w:rFonts w:ascii="Verdana" w:hAnsi="Verdana" w:cs="Arial"/>
          <w:sz w:val="16"/>
          <w:szCs w:val="16"/>
          <w:shd w:val="clear" w:color="auto" w:fill="FFFFFF"/>
        </w:rPr>
        <w:t>que recibe el Estado, en razón de la extracción de recursos naturales no renovables existentes en el subsuelo.  Como lo ha explicado la jurisprudencia reiterada, este concepto refiere a la </w:t>
      </w:r>
      <w:r w:rsidRPr="00F473B6">
        <w:rPr>
          <w:rFonts w:ascii="Verdana" w:hAnsi="Verdana" w:cs="Arial"/>
          <w:i/>
          <w:iCs/>
          <w:sz w:val="16"/>
          <w:szCs w:val="16"/>
          <w:shd w:val="clear" w:color="auto" w:fill="FFFFFF"/>
        </w:rPr>
        <w:t>“c</w:t>
      </w:r>
      <w:r w:rsidRPr="00F473B6">
        <w:rPr>
          <w:rFonts w:ascii="Verdana" w:hAnsi="Verdana" w:cs="Arial"/>
          <w:i/>
          <w:iCs/>
          <w:spacing w:val="-3"/>
          <w:sz w:val="16"/>
          <w:szCs w:val="16"/>
          <w:shd w:val="clear" w:color="auto" w:fill="FFFFFF"/>
        </w:rPr>
        <w:t>ontraprestación económica que percibe el Estado de las personas a quienes se les concede el derecho a explotar los recursos naturales no renovables en determinado porcentaje sobre el producto bruto explotado.</w:t>
      </w:r>
      <w:r w:rsidRPr="00F473B6">
        <w:rPr>
          <w:rFonts w:ascii="Verdana" w:hAnsi="Verdana" w:cs="Arial"/>
          <w:spacing w:val="-3"/>
          <w:sz w:val="16"/>
          <w:szCs w:val="16"/>
          <w:shd w:val="clear" w:color="auto" w:fill="FFFFFF"/>
        </w:rPr>
        <w:t xml:space="preserve"> A su vez, de acuerdo con el mismo precedente, en lo que respecta al derecho a las compensaciones, este </w:t>
      </w:r>
      <w:r w:rsidRPr="00F473B6">
        <w:rPr>
          <w:rFonts w:ascii="Verdana" w:hAnsi="Verdana" w:cs="Arial"/>
          <w:sz w:val="16"/>
          <w:szCs w:val="16"/>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0A541E6A" w14:textId="77777777" w:rsidR="007B47C4" w:rsidRPr="00F473B6" w:rsidRDefault="007B47C4" w:rsidP="007B47C4">
      <w:pPr>
        <w:pStyle w:val="Textonotapie"/>
        <w:ind w:firstLine="708"/>
        <w:jc w:val="both"/>
        <w:rPr>
          <w:rFonts w:ascii="Verdana" w:hAnsi="Verdana" w:cs="Arial"/>
          <w:sz w:val="16"/>
          <w:szCs w:val="16"/>
          <w:shd w:val="clear" w:color="auto" w:fill="FFFFFF"/>
        </w:rPr>
      </w:pPr>
      <w:r w:rsidRPr="00F473B6">
        <w:rPr>
          <w:rFonts w:ascii="Verdana" w:hAnsi="Verdana" w:cs="Arial"/>
          <w:sz w:val="16"/>
          <w:szCs w:val="16"/>
          <w:shd w:val="clear" w:color="auto" w:fill="FFFFFF"/>
        </w:rPr>
        <w:t>Así lo ha explicado la Corte al prever que las regalías carecen de naturaleza tributaria, ya que </w:t>
      </w:r>
      <w:r w:rsidRPr="00F473B6">
        <w:rPr>
          <w:rFonts w:ascii="Verdana" w:hAnsi="Verdana" w:cs="Arial"/>
          <w:i/>
          <w:iCs/>
          <w:sz w:val="16"/>
          <w:szCs w:val="16"/>
          <w:shd w:val="clear" w:color="auto" w:fill="FFFFFF"/>
        </w:rPr>
        <w:t>“</w:t>
      </w:r>
      <w:r w:rsidRPr="00F473B6">
        <w:rPr>
          <w:rFonts w:ascii="Verdana" w:hAnsi="Verdana" w:cs="Arial"/>
          <w:sz w:val="16"/>
          <w:szCs w:val="16"/>
          <w:shd w:val="clear" w:color="auto" w:fill="FFFFFF"/>
        </w:rPr>
        <w:t>[a]</w:t>
      </w:r>
      <w:r w:rsidRPr="00F473B6">
        <w:rPr>
          <w:rFonts w:ascii="Verdana" w:hAnsi="Verdana" w:cs="Arial"/>
          <w:i/>
          <w:iCs/>
          <w:sz w:val="16"/>
          <w:szCs w:val="16"/>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F473B6">
        <w:rPr>
          <w:rFonts w:ascii="Verdana" w:hAnsi="Verdana" w:cs="Arial"/>
          <w:sz w:val="16"/>
          <w:szCs w:val="16"/>
          <w:lang w:val="es-CO"/>
        </w:rPr>
        <w:t>Corte Constitucional. Sentencias C-748 de 2012 y C-010 de 2013. M.P. Luis Ernesto Vargas Silva</w:t>
      </w:r>
    </w:p>
  </w:footnote>
  <w:footnote w:id="3">
    <w:p w14:paraId="581F8460" w14:textId="77777777" w:rsidR="007B47C4" w:rsidRPr="00F473B6" w:rsidRDefault="007B47C4" w:rsidP="007B47C4">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CÁMARA DE REPRESENTANTES. Exposición de motivos del Proyecto de Ley No 311 de 2020. Gaceta No 638 de 2020. </w:t>
      </w:r>
    </w:p>
  </w:footnote>
  <w:footnote w:id="4">
    <w:p w14:paraId="4C2635BC" w14:textId="77777777" w:rsidR="007B47C4" w:rsidRPr="00F473B6" w:rsidRDefault="007B47C4" w:rsidP="007B47C4">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“Artículo 1°. Objeto. Conforme con lo dispuesto por el artículo 360 y 361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  </w:t>
      </w:r>
    </w:p>
  </w:footnote>
  <w:footnote w:id="5">
    <w:p w14:paraId="70E8457C" w14:textId="77777777" w:rsidR="007B47C4" w:rsidRPr="00F473B6" w:rsidRDefault="007B47C4" w:rsidP="007B47C4">
      <w:pPr>
        <w:pStyle w:val="Textonotapie"/>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“Artículo 3. Órganos. Son órganos del Sistema General de Regalías, la Comisión Rectora, el Departamento Nacional de Planeación, el Ministerio de Minas y Energía, así como sus entidades adscritas y vinculadas que cumplan funciones en el ciclo de las regalías, el Ministerio de Hacienda y Crédito Público, el Ministerio de Ciencia, Tecnología e Innovación, el Ministerio de Ambiente y Desarrollo Sostenible y los Órganos Colegiados de Administración y Decisión Paz, de Inversión Regional y de Ciencia, Tecnología e Innovación, los cuales ejercerán sus atribuciones y competencias conforme con lo dispuesto por la presente Ley y demás lineamientos que expida la Comisión Rectora para el funcionamiento del Sistema General de Regalías”. </w:t>
      </w:r>
    </w:p>
  </w:footnote>
  <w:footnote w:id="6">
    <w:p w14:paraId="19BE9E3C"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w:t>
      </w:r>
      <w:r w:rsidRPr="00F473B6">
        <w:rPr>
          <w:rFonts w:ascii="Verdana" w:hAnsi="Verdana" w:cs="Arial"/>
          <w:color w:val="000000" w:themeColor="text1"/>
          <w:sz w:val="16"/>
          <w:szCs w:val="16"/>
          <w:lang w:val="es-ES_tradnl"/>
        </w:rPr>
        <w:t>“</w:t>
      </w:r>
      <w:r w:rsidRPr="00F473B6">
        <w:rPr>
          <w:rFonts w:ascii="Verdana" w:hAnsi="Verdana" w:cs="Arial"/>
          <w:bCs/>
          <w:sz w:val="16"/>
          <w:szCs w:val="16"/>
        </w:rPr>
        <w:t>Artículo 28. Destinación.</w:t>
      </w:r>
      <w:r w:rsidRPr="00F473B6">
        <w:rPr>
          <w:rFonts w:ascii="Verdana" w:hAnsi="Verdana" w:cs="Arial"/>
          <w:sz w:val="16"/>
          <w:szCs w:val="16"/>
        </w:rPr>
        <w:t xml:space="preserve"> Con los recursos del Sistema General de Regalías se financiarán proyectos de inversión en sus diferentes etapas, siempre y cuando esté definido en los mismos el horizonte de realización.</w:t>
      </w:r>
    </w:p>
    <w:p w14:paraId="40C924C3"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Igualmente, se podrán financiar estudios y diseños como parte de los proyectos de inversión, que deberán contener la estimación de los costos del proyecto en cada una de sus fases subsiguientes, con el fin de que se pueda garantizar la financiación de estas. Así mismo, se podrán financiar las obras complementarias que permitan la puesta en marcha de un proyecto de inversión.</w:t>
      </w:r>
    </w:p>
    <w:p w14:paraId="7F9412D2"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Lo anterior de conformidad con la metodología para la formulación de los proyectos de inversión establecida por el Departamento Nacional de Planeación.</w:t>
      </w:r>
    </w:p>
    <w:p w14:paraId="6EA2F527"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En todo caso, no podrán financiarse gastos permanentes y, una vez terminada la etapa de inversión, la prestación del servicio debe ser sostenible y financiada por recursos diferentes al Sistema General de Regalías.</w:t>
      </w:r>
    </w:p>
    <w:p w14:paraId="7CA3C489"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w:t>
      </w:r>
      <w:r w:rsidRPr="00F473B6">
        <w:rPr>
          <w:rFonts w:ascii="Verdana" w:hAnsi="Verdana" w:cs="Arial"/>
          <w:sz w:val="16"/>
          <w:szCs w:val="16"/>
        </w:rPr>
        <w:t> Los recursos de que trata este artículo podrán ser usados para financiar parte del Programa de Alimentación Escolar (PAE) y del programa de transporte escolar</w:t>
      </w:r>
      <w:r w:rsidRPr="00F473B6">
        <w:rPr>
          <w:rFonts w:ascii="Verdana" w:hAnsi="Verdana" w:cs="Arial"/>
          <w:color w:val="000000" w:themeColor="text1"/>
          <w:sz w:val="16"/>
          <w:szCs w:val="16"/>
          <w:lang w:val="es-ES_tradnl"/>
        </w:rPr>
        <w:t>”</w:t>
      </w:r>
      <w:r w:rsidRPr="00F473B6">
        <w:rPr>
          <w:rFonts w:ascii="Verdana" w:hAnsi="Verdana" w:cs="Arial"/>
          <w:sz w:val="16"/>
          <w:szCs w:val="16"/>
        </w:rPr>
        <w:t>.</w:t>
      </w:r>
    </w:p>
  </w:footnote>
  <w:footnote w:id="7">
    <w:p w14:paraId="31B7C736"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w:t>
      </w:r>
      <w:bookmarkStart w:id="3" w:name="35"/>
      <w:r w:rsidRPr="00F473B6">
        <w:rPr>
          <w:rFonts w:ascii="Verdana" w:hAnsi="Verdana" w:cs="Arial"/>
          <w:sz w:val="16"/>
          <w:szCs w:val="16"/>
        </w:rPr>
        <w:t>“</w:t>
      </w:r>
      <w:r w:rsidRPr="00F473B6">
        <w:rPr>
          <w:rFonts w:ascii="Verdana" w:hAnsi="Verdana" w:cs="Arial"/>
          <w:bCs/>
          <w:sz w:val="16"/>
          <w:szCs w:val="16"/>
        </w:rPr>
        <w:t>Artículo 35. Priorización y aprobación de los proyectos de inversión de la asignación para la inversión regional.</w:t>
      </w:r>
      <w:bookmarkEnd w:id="3"/>
      <w:r w:rsidRPr="00F473B6">
        <w:rPr>
          <w:rFonts w:ascii="Verdana" w:hAnsi="Verdana" w:cs="Arial"/>
          <w:sz w:val="16"/>
          <w:szCs w:val="16"/>
        </w:rPr>
        <w:t> La priorización y aprobación de los proyectos de inversión de la Asignación para la Inversión Regional en cabeza de los departamentos estará a cargo de los respectivos departamentos.</w:t>
      </w:r>
    </w:p>
    <w:p w14:paraId="72623DCD"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La aprobación de los proyectos de inversión de la Asignación para la Inversión Regional en cabeza de las regiones se realizará por parte de los Órganos Colegiados de Administración y Decisión Regionales, previa priorización del proyecto, proceso que estará a cargo del Departamento Nacional de Planeación y un miembro de la entidad territorial designado por el OCAD, de conformidad con la reglamentación que se expida para el efecto.</w:t>
      </w:r>
    </w:p>
    <w:p w14:paraId="3DE9E3D9"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w:t>
      </w:r>
    </w:p>
    <w:p w14:paraId="50D6D7C5"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 1o.</w:t>
      </w:r>
      <w:r w:rsidRPr="00F473B6">
        <w:rPr>
          <w:rFonts w:ascii="Verdana" w:hAnsi="Verdana" w:cs="Arial"/>
          <w:sz w:val="16"/>
          <w:szCs w:val="16"/>
        </w:rPr>
        <w:t> En las zonas no interconectadas del país, tendrán especial consideración los proyectos de energización, conectividad e infraestructura vial.</w:t>
      </w:r>
    </w:p>
    <w:p w14:paraId="5D207589"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 2o.</w:t>
      </w:r>
      <w:r w:rsidRPr="00F473B6">
        <w:rPr>
          <w:rFonts w:ascii="Verdana" w:hAnsi="Verdana" w:cs="Arial"/>
          <w:sz w:val="16"/>
          <w:szCs w:val="16"/>
        </w:rPr>
        <w:t> Los Departamentos y Órganos Colegiados de Administración y Decisión Regionales de que trata el presente artículo, en el marco de sus competencias, designarán al ejecutor el cual deberá ser de naturaleza pública; quien además estará a cargo de la contratación de la interventoría, de conformidad con lo previsto en la presente ley</w:t>
      </w:r>
      <w:r w:rsidRPr="00F473B6">
        <w:rPr>
          <w:rFonts w:ascii="Verdana" w:hAnsi="Verdana" w:cs="Arial"/>
          <w:sz w:val="16"/>
          <w:szCs w:val="16"/>
          <w:lang w:val="es-ES"/>
        </w:rPr>
        <w:t>”</w:t>
      </w:r>
      <w:r w:rsidRPr="00F473B6">
        <w:rPr>
          <w:rFonts w:ascii="Verdana" w:hAnsi="Verdana" w:cs="Arial"/>
          <w:sz w:val="16"/>
          <w:szCs w:val="16"/>
        </w:rPr>
        <w:t>.</w:t>
      </w:r>
    </w:p>
  </w:footnote>
  <w:footnote w:id="8">
    <w:p w14:paraId="4149E1DC"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Style w:val="Refdenotaalpie"/>
          <w:rFonts w:ascii="Verdana" w:hAnsi="Verdana" w:cs="Arial"/>
          <w:sz w:val="16"/>
          <w:szCs w:val="16"/>
        </w:rPr>
        <w:footnoteRef/>
      </w:r>
      <w:r w:rsidRPr="00F473B6">
        <w:rPr>
          <w:rFonts w:ascii="Verdana" w:hAnsi="Verdana" w:cs="Arial"/>
          <w:sz w:val="16"/>
          <w:szCs w:val="16"/>
        </w:rPr>
        <w:t xml:space="preserve"> “</w:t>
      </w:r>
      <w:bookmarkStart w:id="4" w:name="36"/>
      <w:r w:rsidRPr="00F473B6">
        <w:rPr>
          <w:rFonts w:ascii="Verdana" w:hAnsi="Verdana" w:cs="Arial"/>
          <w:sz w:val="16"/>
          <w:szCs w:val="16"/>
        </w:rPr>
        <w:t xml:space="preserve">Artículo 36. </w:t>
      </w:r>
      <w:r w:rsidRPr="00F473B6">
        <w:rPr>
          <w:rFonts w:ascii="Verdana" w:hAnsi="Verdana" w:cs="Arial"/>
          <w:bCs/>
          <w:sz w:val="16"/>
          <w:szCs w:val="16"/>
        </w:rPr>
        <w:t>Priorización y aprobación de proyectos de inversión para las asignaciones directas y asignación para la inversión local.</w:t>
      </w:r>
      <w:bookmarkEnd w:id="4"/>
      <w:r w:rsidRPr="00F473B6">
        <w:rPr>
          <w:rFonts w:ascii="Verdana" w:hAnsi="Verdana" w:cs="Arial"/>
          <w:sz w:val="16"/>
          <w:szCs w:val="16"/>
        </w:rPr>
        <w:t xml:space="preserve"> Las entidades territoriales receptoras de Asignaciones Directas y de la Asignación para la Inversión Local, serán las encargadas de priorizar y aprobar los proyectos de inversión que se financiarán con cargo a los recursos que le sean asignados por el Sistema General de Regalías, así como de verificar su disponibilidad, conforme con la metodología del Departamento Nacional de Planeación.</w:t>
      </w:r>
    </w:p>
    <w:p w14:paraId="4A6A8DA3"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Style w:val="baj"/>
          <w:rFonts w:ascii="Verdana" w:hAnsi="Verdana" w:cs="Arial"/>
          <w:bCs/>
          <w:sz w:val="16"/>
          <w:szCs w:val="16"/>
        </w:rPr>
        <w:t>Parágrafo.</w:t>
      </w:r>
      <w:r w:rsidRPr="00F473B6">
        <w:rPr>
          <w:rFonts w:ascii="Verdana" w:hAnsi="Verdana" w:cs="Arial"/>
          <w:sz w:val="16"/>
          <w:szCs w:val="16"/>
        </w:rPr>
        <w:t xml:space="preserve"> Las entidades territoriales receptoras de la Asignación para la Inversión Local deberán priorizar la inversión de los recursos de esta asignación en sectores que contribuyan y produzcan mayores cambios positivos al cierre de brechas territoriales de desarrollo económico, social, ambiental, agropecuario y para la infraestructura vial.</w:t>
      </w:r>
    </w:p>
    <w:p w14:paraId="74C88273"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Para tal efecto, el Departamento Nacional de Planeación establecerá la metodología para la priorización de sectores de inversión para el cierre de brechas de desarrollo económico, social, ambiental, agropecuario y para la infraestructura vial, entre otros, la cual podrá incluir una estrategia de implementación dirigida a las entidades territoriales.</w:t>
      </w:r>
    </w:p>
    <w:p w14:paraId="4B41669E" w14:textId="77777777" w:rsidR="007B47C4" w:rsidRPr="00F473B6" w:rsidRDefault="007B47C4" w:rsidP="007B47C4">
      <w:pPr>
        <w:pStyle w:val="NormalWeb"/>
        <w:spacing w:before="0" w:beforeAutospacing="0" w:after="0" w:afterAutospacing="0"/>
        <w:ind w:firstLine="708"/>
        <w:jc w:val="both"/>
        <w:rPr>
          <w:rFonts w:ascii="Verdana" w:hAnsi="Verdana" w:cs="Arial"/>
          <w:sz w:val="16"/>
          <w:szCs w:val="16"/>
        </w:rPr>
      </w:pPr>
      <w:r w:rsidRPr="00F473B6">
        <w:rPr>
          <w:rFonts w:ascii="Verdana" w:hAnsi="Verdana" w:cs="Arial"/>
          <w:sz w:val="16"/>
          <w:szCs w:val="16"/>
        </w:rPr>
        <w:t>Cuando las entidades territoriales hayan reducido las brechas de desarrollo económico, social, ambiental, agropecuario y para la infraestructura vial en el rango de porcentaje o nivel establecido por la metodología de la que trata el inciso anterior, podrán invertir los recursos en otros sectores.</w:t>
      </w:r>
    </w:p>
    <w:p w14:paraId="270AAA5E" w14:textId="77777777" w:rsidR="007B47C4" w:rsidRPr="00F473B6" w:rsidRDefault="007B47C4" w:rsidP="007B47C4">
      <w:pPr>
        <w:pStyle w:val="Textonotapie"/>
        <w:ind w:firstLine="708"/>
        <w:jc w:val="both"/>
        <w:rPr>
          <w:rFonts w:ascii="Verdana" w:hAnsi="Verdana"/>
          <w:sz w:val="16"/>
          <w:szCs w:val="16"/>
          <w:lang w:val="es-CO"/>
        </w:rPr>
      </w:pPr>
      <w:r w:rsidRPr="00F473B6">
        <w:rPr>
          <w:rStyle w:val="baj"/>
          <w:rFonts w:ascii="Verdana" w:hAnsi="Verdana" w:cs="Arial"/>
          <w:bCs/>
          <w:sz w:val="16"/>
          <w:szCs w:val="16"/>
        </w:rPr>
        <w:t>Parágrafo transitorio.</w:t>
      </w:r>
      <w:r w:rsidRPr="00F473B6">
        <w:rPr>
          <w:rFonts w:ascii="Verdana" w:hAnsi="Verdana" w:cs="Arial"/>
          <w:sz w:val="16"/>
          <w:szCs w:val="16"/>
        </w:rPr>
        <w:t> Para el año 2021 no aplicará la metodología de cierre de brechas de que trata el parágrafo anterior dirigida a las entidades territoriales receptoras de la Asignación para la Inversión Local</w:t>
      </w:r>
      <w:r w:rsidRPr="00F473B6">
        <w:rPr>
          <w:rFonts w:ascii="Verdana" w:hAnsi="Verdana" w:cs="Arial"/>
          <w:sz w:val="16"/>
          <w:szCs w:val="16"/>
          <w:lang w:val="es-ES"/>
        </w:rPr>
        <w:t>”</w:t>
      </w:r>
      <w:r w:rsidRPr="00F473B6">
        <w:rPr>
          <w:rFonts w:ascii="Verdana" w:hAnsi="Verdana" w:cs="Arial"/>
          <w:sz w:val="16"/>
          <w:szCs w:val="16"/>
        </w:rPr>
        <w:t>.</w:t>
      </w:r>
    </w:p>
  </w:footnote>
  <w:footnote w:id="9">
    <w:p w14:paraId="5F36B25C" w14:textId="77777777" w:rsidR="007B47C4" w:rsidRPr="00F473B6" w:rsidRDefault="007B47C4" w:rsidP="007B47C4">
      <w:pPr>
        <w:spacing w:after="0"/>
        <w:ind w:firstLine="708"/>
        <w:jc w:val="both"/>
        <w:rPr>
          <w:rFonts w:ascii="Verdana" w:hAnsi="Verdana" w:cs="Arial"/>
          <w:sz w:val="16"/>
          <w:szCs w:val="16"/>
        </w:rPr>
      </w:pPr>
      <w:r w:rsidRPr="00F473B6">
        <w:rPr>
          <w:rStyle w:val="Refdenotaalpie"/>
          <w:rFonts w:ascii="Verdana" w:hAnsi="Verdana" w:cs="Arial"/>
          <w:sz w:val="16"/>
          <w:szCs w:val="16"/>
        </w:rPr>
        <w:footnoteRef/>
      </w:r>
      <w:r>
        <w:rPr>
          <w:rFonts w:ascii="Verdana" w:hAnsi="Verdana" w:cs="Arial"/>
          <w:sz w:val="16"/>
          <w:szCs w:val="16"/>
        </w:rPr>
        <w:t xml:space="preserve"> </w:t>
      </w:r>
      <w:bookmarkStart w:id="5" w:name="37"/>
      <w:r>
        <w:rPr>
          <w:rFonts w:ascii="Verdana" w:hAnsi="Verdana" w:cs="Arial"/>
          <w:sz w:val="16"/>
          <w:szCs w:val="16"/>
        </w:rPr>
        <w:t>“</w:t>
      </w:r>
      <w:r w:rsidRPr="00F473B6">
        <w:rPr>
          <w:rFonts w:ascii="Verdana" w:hAnsi="Verdana" w:cs="Arial"/>
          <w:bCs/>
          <w:sz w:val="16"/>
          <w:szCs w:val="16"/>
        </w:rPr>
        <w:t>Artículo 37. ejecución de proyectos de inversión.</w:t>
      </w:r>
      <w:bookmarkEnd w:id="5"/>
      <w:r w:rsidRPr="00F473B6">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F473B6">
          <w:rPr>
            <w:rFonts w:ascii="Verdana" w:hAnsi="Verdana" w:cs="Arial"/>
            <w:sz w:val="16"/>
            <w:szCs w:val="16"/>
          </w:rPr>
          <w:t>35</w:t>
        </w:r>
      </w:hyperlink>
      <w:r w:rsidRPr="00F473B6">
        <w:rPr>
          <w:rFonts w:ascii="Verdana" w:hAnsi="Verdana" w:cs="Arial"/>
          <w:sz w:val="16"/>
          <w:szCs w:val="16"/>
        </w:rPr>
        <w:t> y </w:t>
      </w:r>
      <w:hyperlink r:id="rId2" w:anchor="36" w:history="1">
        <w:r w:rsidRPr="00F473B6">
          <w:rPr>
            <w:rFonts w:ascii="Verdana" w:hAnsi="Verdana" w:cs="Arial"/>
            <w:sz w:val="16"/>
            <w:szCs w:val="16"/>
          </w:rPr>
          <w:t>36</w:t>
        </w:r>
      </w:hyperlink>
      <w:r w:rsidRPr="00F473B6">
        <w:rPr>
          <w:rFonts w:ascii="Verdana" w:hAnsi="Verdana" w:cs="Arial"/>
          <w:sz w:val="16"/>
          <w:szCs w:val="16"/>
        </w:rPr>
        <w:t> de la presente ley. así mismo, la entidad ejecutora estará a cargo de la contratación de la interventoría, de conformidad con lo previsto en la presente ley.</w:t>
      </w:r>
    </w:p>
    <w:p w14:paraId="506567EF" w14:textId="77777777" w:rsidR="007B47C4" w:rsidRPr="00F473B6" w:rsidRDefault="007B47C4" w:rsidP="007B47C4">
      <w:pPr>
        <w:spacing w:after="0"/>
        <w:ind w:firstLine="708"/>
        <w:jc w:val="both"/>
        <w:rPr>
          <w:rFonts w:ascii="Verdana" w:hAnsi="Verdana" w:cs="Arial"/>
          <w:sz w:val="16"/>
          <w:szCs w:val="16"/>
        </w:rPr>
      </w:pPr>
      <w:r w:rsidRPr="00F473B6">
        <w:rPr>
          <w:rFonts w:ascii="Verdana" w:hAnsi="Verdana" w:cs="Arial"/>
          <w:sz w:val="16"/>
          <w:szCs w:val="16"/>
        </w:rPr>
        <w:t>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los mismos, sin perjuicio de las acciones de control a las que haya lugar.</w:t>
      </w:r>
    </w:p>
    <w:p w14:paraId="5D5126F8" w14:textId="77777777" w:rsidR="007B47C4" w:rsidRPr="00F473B6" w:rsidRDefault="007B47C4" w:rsidP="007B47C4">
      <w:pPr>
        <w:spacing w:after="0"/>
        <w:ind w:firstLine="708"/>
        <w:jc w:val="both"/>
        <w:rPr>
          <w:rFonts w:ascii="Verdana" w:hAnsi="Verdana" w:cs="Arial"/>
          <w:sz w:val="16"/>
          <w:szCs w:val="16"/>
        </w:rPr>
      </w:pPr>
      <w:r w:rsidRPr="00F473B6">
        <w:rPr>
          <w:rFonts w:ascii="Verdana" w:hAnsi="Verdana" w:cs="Arial"/>
          <w:bCs/>
          <w:sz w:val="16"/>
          <w:szCs w:val="16"/>
        </w:rPr>
        <w:t>Parágrafo 1o.</w:t>
      </w:r>
      <w:r w:rsidRPr="00F473B6">
        <w:rPr>
          <w:rFonts w:ascii="Verdana" w:hAnsi="Verdana" w:cs="Arial"/>
          <w:sz w:val="16"/>
          <w:szCs w:val="16"/>
        </w:rPr>
        <w:t xml:space="preserve"> La ejecución de proyectos de que trata este artículo,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0D50EE8F" w14:textId="77777777" w:rsidR="007B47C4" w:rsidRPr="00F473B6" w:rsidRDefault="007B47C4" w:rsidP="007B47C4">
      <w:pPr>
        <w:spacing w:after="0"/>
        <w:ind w:firstLine="708"/>
        <w:jc w:val="both"/>
        <w:rPr>
          <w:rFonts w:ascii="Verdana" w:hAnsi="Verdana" w:cs="Arial"/>
          <w:sz w:val="16"/>
          <w:szCs w:val="16"/>
        </w:rPr>
      </w:pPr>
      <w:r w:rsidRPr="00F473B6">
        <w:rPr>
          <w:rFonts w:ascii="Verdana" w:hAnsi="Verdana" w:cs="Arial"/>
          <w:bCs/>
          <w:sz w:val="16"/>
          <w:szCs w:val="16"/>
        </w:rPr>
        <w:t>Parágrafo 2o.</w:t>
      </w:r>
      <w:r w:rsidRPr="00F473B6">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74DC9E17" w14:textId="77777777" w:rsidR="007B47C4" w:rsidRPr="00F473B6" w:rsidRDefault="007B47C4" w:rsidP="007B47C4">
      <w:pPr>
        <w:spacing w:after="0"/>
        <w:ind w:firstLine="708"/>
        <w:jc w:val="both"/>
        <w:rPr>
          <w:rFonts w:ascii="Verdana" w:hAnsi="Verdana" w:cs="Arial"/>
          <w:sz w:val="16"/>
          <w:szCs w:val="16"/>
        </w:rPr>
      </w:pPr>
      <w:r w:rsidRPr="00F473B6">
        <w:rPr>
          <w:rFonts w:ascii="Verdana" w:hAnsi="Verdana" w:cs="Arial"/>
          <w:bCs/>
          <w:sz w:val="16"/>
          <w:szCs w:val="16"/>
        </w:rPr>
        <w:t>Parágrafo 3o.</w:t>
      </w:r>
      <w:r w:rsidRPr="00F473B6">
        <w:rPr>
          <w:rFonts w:ascii="Verdana" w:hAnsi="Verdana" w:cs="Arial"/>
          <w:sz w:val="16"/>
          <w:szCs w:val="16"/>
        </w:rPr>
        <w:t xml:space="preserve"> La entidad designada ejecutora por las entidades u órganos de que tratan los artículos </w:t>
      </w:r>
      <w:hyperlink r:id="rId3" w:anchor="35" w:history="1">
        <w:r w:rsidRPr="00F473B6">
          <w:rPr>
            <w:rFonts w:ascii="Verdana" w:hAnsi="Verdana" w:cs="Arial"/>
            <w:sz w:val="16"/>
            <w:szCs w:val="16"/>
          </w:rPr>
          <w:t>35</w:t>
        </w:r>
      </w:hyperlink>
      <w:r w:rsidRPr="00F473B6">
        <w:rPr>
          <w:rFonts w:ascii="Verdana" w:hAnsi="Verdana" w:cs="Arial"/>
          <w:sz w:val="16"/>
          <w:szCs w:val="16"/>
        </w:rPr>
        <w:t xml:space="preserve"> y </w:t>
      </w:r>
      <w:hyperlink r:id="rId4" w:anchor="36" w:history="1">
        <w:r w:rsidRPr="00F473B6">
          <w:rPr>
            <w:rFonts w:ascii="Verdana" w:hAnsi="Verdana" w:cs="Arial"/>
            <w:sz w:val="16"/>
            <w:szCs w:val="16"/>
          </w:rPr>
          <w:t>36</w:t>
        </w:r>
      </w:hyperlink>
      <w:r w:rsidRPr="00F473B6">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4EA9D6C2" w14:textId="77777777" w:rsidR="007B47C4" w:rsidRPr="00F473B6" w:rsidRDefault="007B47C4" w:rsidP="007B47C4">
      <w:pPr>
        <w:spacing w:after="0"/>
        <w:ind w:firstLine="708"/>
        <w:jc w:val="both"/>
        <w:rPr>
          <w:rFonts w:ascii="Verdana" w:hAnsi="Verdana" w:cs="Arial"/>
          <w:sz w:val="16"/>
          <w:szCs w:val="16"/>
        </w:rPr>
      </w:pPr>
      <w:r w:rsidRPr="00F473B6">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64A0BACC" w14:textId="77777777" w:rsidR="007B47C4" w:rsidRPr="00F473B6" w:rsidRDefault="007B47C4" w:rsidP="007B47C4">
      <w:pPr>
        <w:spacing w:after="0"/>
        <w:ind w:firstLine="708"/>
        <w:jc w:val="both"/>
        <w:rPr>
          <w:rFonts w:ascii="Verdana" w:hAnsi="Verdana"/>
          <w:sz w:val="16"/>
          <w:szCs w:val="16"/>
        </w:rPr>
      </w:pPr>
      <w:r w:rsidRPr="00F473B6">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Pr>
          <w:rFonts w:ascii="Verdana" w:hAnsi="Verdana" w:cs="Arial"/>
          <w:sz w:val="16"/>
          <w:szCs w:val="16"/>
          <w:lang w:val="es-ES"/>
        </w:rPr>
        <w:t>”</w:t>
      </w:r>
      <w:r w:rsidRPr="00F473B6">
        <w:rPr>
          <w:rFonts w:ascii="Verdana" w:hAnsi="Verdana" w:cs="Arial"/>
          <w:sz w:val="16"/>
          <w:szCs w:val="16"/>
        </w:rPr>
        <w:t>.</w:t>
      </w:r>
    </w:p>
  </w:footnote>
  <w:footnote w:id="10">
    <w:p w14:paraId="052B1AA6" w14:textId="77777777" w:rsidR="007B47C4" w:rsidRPr="009100BB" w:rsidRDefault="007B47C4" w:rsidP="007B47C4">
      <w:pPr>
        <w:pStyle w:val="Textonotapie"/>
        <w:ind w:firstLine="708"/>
        <w:jc w:val="both"/>
        <w:rPr>
          <w:rFonts w:ascii="Verdana" w:hAnsi="Verdana"/>
          <w:sz w:val="16"/>
          <w:szCs w:val="16"/>
          <w:lang w:val="es-CO"/>
        </w:rPr>
      </w:pPr>
      <w:r w:rsidRPr="009100BB">
        <w:rPr>
          <w:rStyle w:val="Refdenotaalpie"/>
          <w:rFonts w:ascii="Verdana" w:hAnsi="Verdana"/>
          <w:sz w:val="16"/>
          <w:szCs w:val="16"/>
        </w:rPr>
        <w:footnoteRef/>
      </w:r>
      <w:r w:rsidRPr="009100BB">
        <w:rPr>
          <w:rFonts w:ascii="Verdana" w:hAnsi="Verdana"/>
          <w:sz w:val="16"/>
          <w:szCs w:val="16"/>
        </w:rPr>
        <w:t xml:space="preserve"> MAR</w:t>
      </w:r>
      <w:r>
        <w:rPr>
          <w:rFonts w:ascii="Verdana" w:hAnsi="Verdana"/>
          <w:sz w:val="16"/>
          <w:szCs w:val="16"/>
        </w:rPr>
        <w:t>ÍN CORTÉS, Fabián G. El precio. Medellín: Editorial Jurídica Sánchez R LTDA y Centro de Estudios de Derecho Administrativo, 2012. pp. 59-63.</w:t>
      </w:r>
    </w:p>
  </w:footnote>
  <w:footnote w:id="11">
    <w:p w14:paraId="61AA136A" w14:textId="77777777" w:rsidR="007B47C4" w:rsidRPr="00D87760" w:rsidRDefault="007B47C4" w:rsidP="007B47C4">
      <w:pPr>
        <w:pStyle w:val="Textonotapie"/>
        <w:ind w:firstLine="708"/>
        <w:contextualSpacing/>
        <w:jc w:val="both"/>
        <w:rPr>
          <w:rFonts w:ascii="Verdana" w:eastAsia="Times New Roman" w:hAnsi="Verdana" w:cs="Arial"/>
          <w:color w:val="000000" w:themeColor="text1"/>
          <w:sz w:val="16"/>
          <w:szCs w:val="16"/>
          <w:lang w:eastAsia="es-ES_tradnl"/>
        </w:rPr>
      </w:pPr>
      <w:r w:rsidRPr="00D87760">
        <w:rPr>
          <w:rStyle w:val="Refdenotaalpie"/>
          <w:rFonts w:ascii="Verdana" w:hAnsi="Verdana" w:cs="Arial"/>
          <w:color w:val="000000" w:themeColor="text1"/>
          <w:sz w:val="16"/>
          <w:szCs w:val="16"/>
        </w:rPr>
        <w:footnoteRef/>
      </w:r>
      <w:r w:rsidRPr="00D87760">
        <w:rPr>
          <w:rFonts w:ascii="Verdana" w:hAnsi="Verdana" w:cs="Arial"/>
          <w:color w:val="000000" w:themeColor="text1"/>
          <w:sz w:val="16"/>
          <w:szCs w:val="16"/>
        </w:rPr>
        <w:t xml:space="preserve"> </w:t>
      </w:r>
      <w:r>
        <w:rPr>
          <w:rFonts w:ascii="Verdana" w:eastAsia="Times New Roman" w:hAnsi="Verdana" w:cs="Arial"/>
          <w:color w:val="000000" w:themeColor="text1"/>
          <w:sz w:val="16"/>
          <w:szCs w:val="16"/>
          <w:lang w:eastAsia="es-ES_tradnl"/>
        </w:rPr>
        <w:t>“</w:t>
      </w:r>
      <w:r w:rsidRPr="00D87760">
        <w:rPr>
          <w:rFonts w:ascii="Verdana" w:eastAsia="Times New Roman" w:hAnsi="Verdana" w:cs="Arial"/>
          <w:color w:val="000000" w:themeColor="text1"/>
          <w:sz w:val="16"/>
          <w:szCs w:val="16"/>
          <w:lang w:eastAsia="es-ES_tradnl"/>
        </w:rPr>
        <w:t>La igualdad tiene un triple rol en el ordenamiento constitucional: el de valor, el de principio y el de derecho</w:t>
      </w:r>
      <w:bookmarkStart w:id="11" w:name="_ftnref57"/>
      <w:bookmarkEnd w:id="11"/>
      <w:r w:rsidRPr="00D87760">
        <w:rPr>
          <w:rFonts w:ascii="Verdana" w:eastAsia="Times New Roman" w:hAnsi="Verdana" w:cs="Arial"/>
          <w:color w:val="000000" w:themeColor="text1"/>
          <w:sz w:val="16"/>
          <w:szCs w:val="16"/>
          <w:lang w:eastAsia="es-ES_tradnl"/>
        </w:rPr>
        <w:t>.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w:t>
      </w:r>
      <w:r>
        <w:rPr>
          <w:rFonts w:ascii="Verdana" w:eastAsia="Times New Roman" w:hAnsi="Verdana" w:cs="Arial"/>
          <w:color w:val="000000" w:themeColor="text1"/>
          <w:sz w:val="16"/>
          <w:szCs w:val="16"/>
          <w:lang w:eastAsia="es-ES_tradnl"/>
        </w:rPr>
        <w:t>”</w:t>
      </w:r>
      <w:r w:rsidRPr="00D87760">
        <w:rPr>
          <w:rFonts w:ascii="Verdana" w:eastAsia="Times New Roman" w:hAnsi="Verdana" w:cs="Arial"/>
          <w:color w:val="000000" w:themeColor="text1"/>
          <w:sz w:val="16"/>
          <w:szCs w:val="16"/>
          <w:lang w:eastAsia="es-ES_tradnl"/>
        </w:rPr>
        <w:t xml:space="preserve">. Corte Constitucional. Sentencia C-811 de 2014. M.P. Mauricio González Cuervo. </w:t>
      </w:r>
    </w:p>
  </w:footnote>
  <w:footnote w:id="12">
    <w:p w14:paraId="54B7C3CA" w14:textId="77777777" w:rsidR="007B47C4" w:rsidRPr="00D87760" w:rsidRDefault="007B47C4" w:rsidP="007B47C4">
      <w:pPr>
        <w:pStyle w:val="Textonotapie"/>
        <w:ind w:firstLine="708"/>
        <w:contextualSpacing/>
        <w:jc w:val="both"/>
        <w:rPr>
          <w:rFonts w:ascii="Verdana" w:eastAsia="Times New Roman" w:hAnsi="Verdana" w:cs="Arial"/>
          <w:color w:val="000000" w:themeColor="text1"/>
          <w:sz w:val="16"/>
          <w:szCs w:val="16"/>
          <w:lang w:eastAsia="es-ES_tradnl"/>
        </w:rPr>
      </w:pPr>
      <w:r w:rsidRPr="00D87760">
        <w:rPr>
          <w:rStyle w:val="Refdenotaalpie"/>
          <w:rFonts w:ascii="Verdana" w:hAnsi="Verdana" w:cs="Arial"/>
          <w:color w:val="000000" w:themeColor="text1"/>
          <w:sz w:val="16"/>
          <w:szCs w:val="16"/>
        </w:rPr>
        <w:footnoteRef/>
      </w:r>
      <w:r w:rsidRPr="00D87760">
        <w:rPr>
          <w:rFonts w:ascii="Verdana" w:hAnsi="Verdana" w:cs="Arial"/>
          <w:color w:val="000000" w:themeColor="text1"/>
          <w:sz w:val="16"/>
          <w:szCs w:val="16"/>
        </w:rPr>
        <w:t xml:space="preserve"> </w:t>
      </w:r>
      <w:r w:rsidRPr="00D87760">
        <w:rPr>
          <w:rFonts w:ascii="Verdana" w:eastAsia="Times New Roman" w:hAnsi="Verdana" w:cs="Arial"/>
          <w:color w:val="000000" w:themeColor="text1"/>
          <w:sz w:val="16"/>
          <w:szCs w:val="16"/>
          <w:lang w:eastAsia="es-ES_tradnl"/>
        </w:rPr>
        <w:t xml:space="preserve">Consejo de Estado. Sección Tercera. Sentencia del 19 de julio de 2001. Rad. 1996-3771-01 (12.037). C.P. Alier Eduardo Hernández Enríquez. </w:t>
      </w:r>
    </w:p>
  </w:footnote>
  <w:footnote w:id="13">
    <w:p w14:paraId="28DF0702" w14:textId="77777777" w:rsidR="007B47C4" w:rsidRPr="00D87760" w:rsidRDefault="007B47C4" w:rsidP="007B47C4">
      <w:pPr>
        <w:pStyle w:val="Textonotapie"/>
        <w:ind w:firstLine="708"/>
        <w:contextualSpacing/>
        <w:jc w:val="both"/>
        <w:rPr>
          <w:rFonts w:ascii="Verdana" w:hAnsi="Verdana" w:cs="Arial"/>
          <w:color w:val="000000" w:themeColor="text1"/>
          <w:sz w:val="16"/>
          <w:szCs w:val="16"/>
        </w:rPr>
      </w:pPr>
      <w:r w:rsidRPr="00D87760">
        <w:rPr>
          <w:rStyle w:val="Refdenotaalpie"/>
          <w:rFonts w:ascii="Verdana" w:hAnsi="Verdana" w:cs="Arial"/>
          <w:color w:val="000000" w:themeColor="text1"/>
          <w:sz w:val="16"/>
          <w:szCs w:val="16"/>
        </w:rPr>
        <w:footnoteRef/>
      </w:r>
      <w:r w:rsidRPr="00D87760">
        <w:rPr>
          <w:rFonts w:ascii="Verdana" w:hAnsi="Verdana" w:cs="Arial"/>
          <w:color w:val="000000" w:themeColor="text1"/>
          <w:sz w:val="16"/>
          <w:szCs w:val="16"/>
        </w:rPr>
        <w:t xml:space="preserve"> </w:t>
      </w:r>
      <w:r w:rsidRPr="00D87760">
        <w:rPr>
          <w:rFonts w:ascii="Verdana" w:eastAsia="Times New Roman" w:hAnsi="Verdana" w:cs="Arial"/>
          <w:color w:val="000000" w:themeColor="text1"/>
          <w:sz w:val="16"/>
          <w:szCs w:val="16"/>
          <w:lang w:eastAsia="es-ES_tradnl"/>
        </w:rPr>
        <w:t>Corte Constitucional. Sentencia C-862 de 2008. M.P. Marco Gerardo Monroy Cabra.</w:t>
      </w:r>
      <w:r w:rsidRPr="00D87760">
        <w:rPr>
          <w:rFonts w:ascii="Verdana" w:hAnsi="Verdana" w:cs="Arial"/>
          <w:color w:val="000000" w:themeColor="text1"/>
          <w:sz w:val="16"/>
          <w:szCs w:val="16"/>
        </w:rPr>
        <w:t xml:space="preserve"> </w:t>
      </w:r>
    </w:p>
  </w:footnote>
  <w:footnote w:id="14">
    <w:p w14:paraId="0F1C9D6A" w14:textId="77777777" w:rsidR="007B47C4" w:rsidRDefault="007B47C4" w:rsidP="007B47C4">
      <w:pPr>
        <w:pStyle w:val="Textonotapie"/>
        <w:ind w:firstLine="708"/>
        <w:jc w:val="both"/>
        <w:rPr>
          <w:rFonts w:ascii="Verdana" w:hAnsi="Verdana"/>
          <w:sz w:val="16"/>
          <w:szCs w:val="16"/>
        </w:rPr>
      </w:pPr>
      <w:r w:rsidRPr="009B343E">
        <w:rPr>
          <w:rStyle w:val="Refdenotaalpie"/>
          <w:rFonts w:ascii="Verdana" w:hAnsi="Verdana"/>
          <w:sz w:val="16"/>
          <w:szCs w:val="16"/>
        </w:rPr>
        <w:footnoteRef/>
      </w:r>
      <w:r w:rsidRPr="009B343E">
        <w:rPr>
          <w:rFonts w:ascii="Verdana" w:hAnsi="Verdana"/>
          <w:sz w:val="16"/>
          <w:szCs w:val="16"/>
        </w:rPr>
        <w:t xml:space="preserve"> </w:t>
      </w:r>
      <w:r>
        <w:rPr>
          <w:rFonts w:ascii="Verdana" w:hAnsi="Verdana"/>
          <w:sz w:val="16"/>
          <w:szCs w:val="16"/>
        </w:rPr>
        <w:t xml:space="preserve">De acuerdo con el </w:t>
      </w:r>
      <w:r w:rsidRPr="009B343E">
        <w:rPr>
          <w:rFonts w:ascii="Verdana" w:hAnsi="Verdana"/>
          <w:sz w:val="16"/>
          <w:szCs w:val="16"/>
        </w:rPr>
        <w:t>oficio 20253200489381 del 10 de julio de 2025</w:t>
      </w:r>
      <w:r>
        <w:rPr>
          <w:rFonts w:ascii="Verdana" w:hAnsi="Verdana"/>
          <w:sz w:val="16"/>
          <w:szCs w:val="16"/>
        </w:rPr>
        <w:t xml:space="preserve">, el DPN trasladó a la DIAN las siguientes preguntas: </w:t>
      </w:r>
    </w:p>
    <w:p w14:paraId="57CF9C23" w14:textId="77777777" w:rsidR="007B47C4" w:rsidRPr="007E03EB" w:rsidRDefault="007B47C4" w:rsidP="007B47C4">
      <w:pPr>
        <w:pStyle w:val="Textonotapie"/>
        <w:ind w:firstLine="708"/>
        <w:jc w:val="both"/>
        <w:rPr>
          <w:rFonts w:ascii="Verdana" w:hAnsi="Verdana"/>
          <w:sz w:val="16"/>
          <w:szCs w:val="16"/>
          <w:lang w:val="es-CO"/>
        </w:rPr>
      </w:pPr>
      <w:r w:rsidRPr="007E03EB">
        <w:rPr>
          <w:rFonts w:ascii="Verdana" w:hAnsi="Verdana"/>
          <w:sz w:val="16"/>
          <w:szCs w:val="16"/>
          <w:lang w:val="es-CO"/>
        </w:rPr>
        <w:t xml:space="preserve">“1. ¿Procede el cobro de estampillas departamentales en convenios o contratos financiados exclusivamente con recursos del Fondo de Ciencia, Tecnología e Innovación del Sistema General de Regalías (SGR)? </w:t>
      </w:r>
    </w:p>
    <w:p w14:paraId="52A5C022" w14:textId="77777777" w:rsidR="007B47C4" w:rsidRPr="007E03EB" w:rsidRDefault="007B47C4" w:rsidP="007B47C4">
      <w:pPr>
        <w:pStyle w:val="Textonotapie"/>
        <w:ind w:firstLine="708"/>
        <w:jc w:val="both"/>
        <w:rPr>
          <w:rFonts w:ascii="Verdana" w:hAnsi="Verdana"/>
          <w:sz w:val="16"/>
          <w:szCs w:val="16"/>
          <w:lang w:val="es-CO"/>
        </w:rPr>
      </w:pPr>
      <w:r w:rsidRPr="007E03EB">
        <w:rPr>
          <w:rFonts w:ascii="Verdana" w:hAnsi="Verdana"/>
          <w:sz w:val="16"/>
          <w:szCs w:val="16"/>
          <w:lang w:val="es-CO"/>
        </w:rPr>
        <w:t xml:space="preserve">2. ¿Resulta procedente el cobro del Impuesto de Industria y Comercio (ICA) cuando el conveniente del proyecto es una entidad sin ánimo de lucro que no desarrolla actividades industriales, comerciales ni de servicios? </w:t>
      </w:r>
    </w:p>
    <w:p w14:paraId="3BC8B4E3" w14:textId="77777777" w:rsidR="007B47C4" w:rsidRDefault="007B47C4" w:rsidP="007B47C4">
      <w:pPr>
        <w:pStyle w:val="Textonotapie"/>
        <w:ind w:firstLine="708"/>
        <w:jc w:val="both"/>
        <w:rPr>
          <w:rFonts w:ascii="Verdana" w:hAnsi="Verdana"/>
          <w:sz w:val="16"/>
          <w:szCs w:val="16"/>
          <w:lang w:val="es-CO"/>
        </w:rPr>
      </w:pPr>
      <w:r w:rsidRPr="007E03EB">
        <w:rPr>
          <w:rFonts w:ascii="Verdana" w:hAnsi="Verdana"/>
          <w:sz w:val="16"/>
          <w:szCs w:val="16"/>
          <w:lang w:val="es-CO"/>
        </w:rPr>
        <w:t>3. ¿Existe alguna disposición legal que exima explícitamente del pago de tributos territoriales (impuestos o estampillas departamentales/municipales) a los proyectos financiados con recursos del Sistema General de Regalías?</w:t>
      </w:r>
    </w:p>
    <w:p w14:paraId="1DD04ED2" w14:textId="77777777" w:rsidR="007B47C4" w:rsidRPr="007E03EB" w:rsidRDefault="007B47C4" w:rsidP="007B47C4">
      <w:pPr>
        <w:pStyle w:val="Textonotapie"/>
        <w:ind w:firstLine="708"/>
        <w:jc w:val="both"/>
        <w:rPr>
          <w:rFonts w:ascii="Verdana" w:hAnsi="Verdana"/>
          <w:sz w:val="16"/>
          <w:szCs w:val="16"/>
          <w:lang w:val="es-CO"/>
        </w:rPr>
      </w:pPr>
      <w:r w:rsidRPr="007E03EB">
        <w:rPr>
          <w:rFonts w:ascii="Verdana" w:hAnsi="Verdana"/>
          <w:sz w:val="16"/>
          <w:szCs w:val="16"/>
          <w:lang w:val="es-CO"/>
        </w:rPr>
        <w:t xml:space="preserve">(…) </w:t>
      </w:r>
    </w:p>
    <w:p w14:paraId="5B6C8669" w14:textId="77777777" w:rsidR="007B47C4" w:rsidRPr="009B343E" w:rsidRDefault="007B47C4" w:rsidP="007B47C4">
      <w:pPr>
        <w:pStyle w:val="Textonotapie"/>
        <w:ind w:firstLine="708"/>
        <w:jc w:val="both"/>
        <w:rPr>
          <w:rFonts w:ascii="Verdana" w:hAnsi="Verdana"/>
          <w:sz w:val="16"/>
          <w:szCs w:val="16"/>
          <w:lang w:val="es-CO"/>
        </w:rPr>
      </w:pPr>
      <w:r w:rsidRPr="007E03EB">
        <w:rPr>
          <w:rFonts w:ascii="Verdana" w:hAnsi="Verdana"/>
          <w:sz w:val="16"/>
          <w:szCs w:val="16"/>
          <w:lang w:val="es-CO"/>
        </w:rPr>
        <w:t>6. En caso de que ya se hayan realizado descuentos por estampillas u otros impuestos sobre los giros del proyecto, ¿existe algún mecanismo para solicitar su devolución o reintegro a fin de no afectar la ejecución?”.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7.35pt;height:7.3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679089576">
    <w:abstractNumId w:val="10"/>
  </w:num>
  <w:num w:numId="18" w16cid:durableId="1910656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779"/>
    <w:rsid w:val="00061B2A"/>
    <w:rsid w:val="00082362"/>
    <w:rsid w:val="000A683E"/>
    <w:rsid w:val="000B19B9"/>
    <w:rsid w:val="000D0334"/>
    <w:rsid w:val="000F6486"/>
    <w:rsid w:val="00125105"/>
    <w:rsid w:val="00127233"/>
    <w:rsid w:val="001511A0"/>
    <w:rsid w:val="001E4177"/>
    <w:rsid w:val="001F7DC6"/>
    <w:rsid w:val="00215402"/>
    <w:rsid w:val="002421BB"/>
    <w:rsid w:val="0025796E"/>
    <w:rsid w:val="002707A2"/>
    <w:rsid w:val="002951A0"/>
    <w:rsid w:val="002962BC"/>
    <w:rsid w:val="002A093D"/>
    <w:rsid w:val="002A0DD0"/>
    <w:rsid w:val="002A49AC"/>
    <w:rsid w:val="002A64FD"/>
    <w:rsid w:val="002A6838"/>
    <w:rsid w:val="002B7293"/>
    <w:rsid w:val="002C7A84"/>
    <w:rsid w:val="002E4FD9"/>
    <w:rsid w:val="00322A85"/>
    <w:rsid w:val="00324168"/>
    <w:rsid w:val="003448F4"/>
    <w:rsid w:val="00374F5E"/>
    <w:rsid w:val="00377E3E"/>
    <w:rsid w:val="003A1D1E"/>
    <w:rsid w:val="003A779E"/>
    <w:rsid w:val="003C36A8"/>
    <w:rsid w:val="003C767C"/>
    <w:rsid w:val="003D0F4D"/>
    <w:rsid w:val="003D5B0D"/>
    <w:rsid w:val="003D63D2"/>
    <w:rsid w:val="003E0499"/>
    <w:rsid w:val="003F3941"/>
    <w:rsid w:val="00406575"/>
    <w:rsid w:val="00414C74"/>
    <w:rsid w:val="00421618"/>
    <w:rsid w:val="0042722E"/>
    <w:rsid w:val="0044477F"/>
    <w:rsid w:val="0044528D"/>
    <w:rsid w:val="004A1847"/>
    <w:rsid w:val="004A305D"/>
    <w:rsid w:val="004A3E99"/>
    <w:rsid w:val="004C4458"/>
    <w:rsid w:val="004F21C4"/>
    <w:rsid w:val="004F685F"/>
    <w:rsid w:val="005566E8"/>
    <w:rsid w:val="00574867"/>
    <w:rsid w:val="00591460"/>
    <w:rsid w:val="005B3816"/>
    <w:rsid w:val="005C3777"/>
    <w:rsid w:val="005C5CDC"/>
    <w:rsid w:val="005D476C"/>
    <w:rsid w:val="00615B9F"/>
    <w:rsid w:val="006219F8"/>
    <w:rsid w:val="0062436B"/>
    <w:rsid w:val="00665D70"/>
    <w:rsid w:val="006900D9"/>
    <w:rsid w:val="00706C16"/>
    <w:rsid w:val="00756841"/>
    <w:rsid w:val="007649AB"/>
    <w:rsid w:val="00771D0C"/>
    <w:rsid w:val="007833AC"/>
    <w:rsid w:val="007A31D0"/>
    <w:rsid w:val="007A41F4"/>
    <w:rsid w:val="007B268C"/>
    <w:rsid w:val="007B47C4"/>
    <w:rsid w:val="007B7171"/>
    <w:rsid w:val="007C0C0F"/>
    <w:rsid w:val="007C3DC2"/>
    <w:rsid w:val="007E5497"/>
    <w:rsid w:val="00806F5F"/>
    <w:rsid w:val="00820278"/>
    <w:rsid w:val="00867F95"/>
    <w:rsid w:val="008843B6"/>
    <w:rsid w:val="00891928"/>
    <w:rsid w:val="008A446D"/>
    <w:rsid w:val="008D180B"/>
    <w:rsid w:val="008F0502"/>
    <w:rsid w:val="008F0EA7"/>
    <w:rsid w:val="008F73CE"/>
    <w:rsid w:val="0090060C"/>
    <w:rsid w:val="00923EEF"/>
    <w:rsid w:val="00930804"/>
    <w:rsid w:val="009419F9"/>
    <w:rsid w:val="0095685E"/>
    <w:rsid w:val="00961B09"/>
    <w:rsid w:val="00965334"/>
    <w:rsid w:val="0097093E"/>
    <w:rsid w:val="00986AC5"/>
    <w:rsid w:val="009A0DFA"/>
    <w:rsid w:val="009A1D28"/>
    <w:rsid w:val="009B2D26"/>
    <w:rsid w:val="009C71FA"/>
    <w:rsid w:val="009C72E7"/>
    <w:rsid w:val="009D3058"/>
    <w:rsid w:val="009F3A13"/>
    <w:rsid w:val="00A05CB7"/>
    <w:rsid w:val="00A122D3"/>
    <w:rsid w:val="00A17F13"/>
    <w:rsid w:val="00A20739"/>
    <w:rsid w:val="00A33C78"/>
    <w:rsid w:val="00AA6EF9"/>
    <w:rsid w:val="00AB0ADB"/>
    <w:rsid w:val="00B01B1A"/>
    <w:rsid w:val="00B15A5D"/>
    <w:rsid w:val="00B66319"/>
    <w:rsid w:val="00B72CD3"/>
    <w:rsid w:val="00B72FFF"/>
    <w:rsid w:val="00BC3D36"/>
    <w:rsid w:val="00BD7F72"/>
    <w:rsid w:val="00BF7B4F"/>
    <w:rsid w:val="00C04FB3"/>
    <w:rsid w:val="00C330EB"/>
    <w:rsid w:val="00C41061"/>
    <w:rsid w:val="00C43451"/>
    <w:rsid w:val="00C754BE"/>
    <w:rsid w:val="00C76B1C"/>
    <w:rsid w:val="00CB6357"/>
    <w:rsid w:val="00CC1B26"/>
    <w:rsid w:val="00D2003E"/>
    <w:rsid w:val="00D423A2"/>
    <w:rsid w:val="00D520D8"/>
    <w:rsid w:val="00D63AC2"/>
    <w:rsid w:val="00D7383B"/>
    <w:rsid w:val="00DA1347"/>
    <w:rsid w:val="00DA231B"/>
    <w:rsid w:val="00DC38B7"/>
    <w:rsid w:val="00DC39FC"/>
    <w:rsid w:val="00DF5254"/>
    <w:rsid w:val="00E16408"/>
    <w:rsid w:val="00E164CF"/>
    <w:rsid w:val="00E20894"/>
    <w:rsid w:val="00E245AB"/>
    <w:rsid w:val="00E2764C"/>
    <w:rsid w:val="00E27F2E"/>
    <w:rsid w:val="00E50AFE"/>
    <w:rsid w:val="00E570D1"/>
    <w:rsid w:val="00E75C92"/>
    <w:rsid w:val="00E771DC"/>
    <w:rsid w:val="00E8772A"/>
    <w:rsid w:val="00E90F6B"/>
    <w:rsid w:val="00E92C27"/>
    <w:rsid w:val="00E93247"/>
    <w:rsid w:val="00EA0E3D"/>
    <w:rsid w:val="00EC38A7"/>
    <w:rsid w:val="00ED7384"/>
    <w:rsid w:val="00EE1AA8"/>
    <w:rsid w:val="00F22848"/>
    <w:rsid w:val="00F27221"/>
    <w:rsid w:val="00F31EDC"/>
    <w:rsid w:val="00F462B3"/>
    <w:rsid w:val="00F5664F"/>
    <w:rsid w:val="00F666C4"/>
    <w:rsid w:val="00F76AFC"/>
    <w:rsid w:val="00F823EE"/>
    <w:rsid w:val="00F851B7"/>
    <w:rsid w:val="00FA47C0"/>
    <w:rsid w:val="00FB5DD1"/>
    <w:rsid w:val="00FC2B5D"/>
    <w:rsid w:val="00FF1449"/>
    <w:rsid w:val="0C9DD66A"/>
    <w:rsid w:val="165E9519"/>
    <w:rsid w:val="2A56A267"/>
    <w:rsid w:val="382536D9"/>
    <w:rsid w:val="3ECC7E25"/>
    <w:rsid w:val="4F7F49E1"/>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B47C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47C4"/>
    <w:rPr>
      <w:rFonts w:ascii="Geomanist Light" w:hAnsi="Geomanist Light"/>
      <w:lang w:val="es-ES"/>
    </w:rPr>
  </w:style>
  <w:style w:type="character" w:customStyle="1" w:styleId="s15">
    <w:name w:val="s15"/>
    <w:basedOn w:val="Fuentedeprrafopredeter"/>
    <w:rsid w:val="007B47C4"/>
  </w:style>
  <w:style w:type="character" w:customStyle="1" w:styleId="apple-converted-space">
    <w:name w:val="apple-converted-space"/>
    <w:basedOn w:val="Fuentedeprrafopredeter"/>
    <w:rsid w:val="007B47C4"/>
  </w:style>
  <w:style w:type="character" w:styleId="Textoennegrita">
    <w:name w:val="Strong"/>
    <w:basedOn w:val="Fuentedeprrafopredeter"/>
    <w:uiPriority w:val="22"/>
    <w:qFormat/>
    <w:rsid w:val="007B47C4"/>
    <w:rPr>
      <w:b/>
      <w:bCs/>
    </w:rPr>
  </w:style>
  <w:style w:type="character" w:customStyle="1" w:styleId="NormalWebCar">
    <w:name w:val="Normal (Web) Car"/>
    <w:link w:val="NormalWeb"/>
    <w:uiPriority w:val="99"/>
    <w:rsid w:val="007B47C4"/>
    <w:rPr>
      <w:rFonts w:ascii="Times New Roman" w:eastAsia="Times New Roman" w:hAnsi="Times New Roman" w:cs="Times New Roman"/>
      <w:sz w:val="24"/>
      <w:szCs w:val="24"/>
      <w:lang w:eastAsia="es-CO"/>
    </w:rPr>
  </w:style>
  <w:style w:type="character" w:customStyle="1" w:styleId="baj">
    <w:name w:val="b_aj"/>
    <w:basedOn w:val="Fuentedeprrafopredeter"/>
    <w:rsid w:val="007B4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ACD7CAA-79D2-480E-BBBC-75015E4433BA}"/>
</file>

<file path=docProps/app.xml><?xml version="1.0" encoding="utf-8"?>
<Properties xmlns="http://schemas.openxmlformats.org/officeDocument/2006/extended-properties" xmlns:vt="http://schemas.openxmlformats.org/officeDocument/2006/docPropsVTypes">
  <Template>Normal.dotm</Template>
  <TotalTime>2</TotalTime>
  <Pages>18</Pages>
  <Words>5403</Words>
  <Characters>29722</Characters>
  <Application>Microsoft Office Word</Application>
  <DocSecurity>0</DocSecurity>
  <Lines>247</Lines>
  <Paragraphs>70</Paragraphs>
  <ScaleCrop>false</ScaleCrop>
  <Company/>
  <LinksUpToDate>false</LinksUpToDate>
  <CharactersWithSpaces>35055</CharactersWithSpaces>
  <SharedDoc>false</SharedDoc>
  <HLinks>
    <vt:vector size="42" baseType="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3997710</vt:i4>
      </vt:variant>
      <vt:variant>
        <vt:i4>0</vt:i4>
      </vt:variant>
      <vt:variant>
        <vt:i4>0</vt:i4>
      </vt:variant>
      <vt:variant>
        <vt:i4>5</vt:i4>
      </vt:variant>
      <vt:variant>
        <vt:lpwstr>mailto:pablo.bonaveri@uac.edu.co</vt:lpwstr>
      </vt:variant>
      <vt:variant>
        <vt:lpwstr/>
      </vt:variant>
      <vt:variant>
        <vt:i4>65552</vt:i4>
      </vt:variant>
      <vt:variant>
        <vt:i4>9</vt:i4>
      </vt:variant>
      <vt:variant>
        <vt:i4>0</vt:i4>
      </vt:variant>
      <vt:variant>
        <vt:i4>5</vt:i4>
      </vt:variant>
      <vt:variant>
        <vt:lpwstr>http://www.secretariasenado.gov.co/senado/basedoc/ley_2056_2020.html</vt:lpwstr>
      </vt:variant>
      <vt:variant>
        <vt:lpwstr>36</vt:lpwstr>
      </vt:variant>
      <vt:variant>
        <vt:i4>131088</vt:i4>
      </vt:variant>
      <vt:variant>
        <vt:i4>6</vt:i4>
      </vt:variant>
      <vt:variant>
        <vt:i4>0</vt:i4>
      </vt:variant>
      <vt:variant>
        <vt:i4>5</vt:i4>
      </vt:variant>
      <vt:variant>
        <vt:lpwstr>http://www.secretariasenado.gov.co/senado/basedoc/ley_2056_2020.html</vt:lpwstr>
      </vt:variant>
      <vt:variant>
        <vt:lpwstr>35</vt:lpwstr>
      </vt:variant>
      <vt:variant>
        <vt:i4>65552</vt:i4>
      </vt:variant>
      <vt:variant>
        <vt:i4>3</vt:i4>
      </vt:variant>
      <vt:variant>
        <vt:i4>0</vt:i4>
      </vt:variant>
      <vt:variant>
        <vt:i4>5</vt:i4>
      </vt:variant>
      <vt:variant>
        <vt:lpwstr>http://www.secretariasenado.gov.co/senado/basedoc/ley_2056_2020.html</vt:lpwstr>
      </vt:variant>
      <vt:variant>
        <vt:lpwstr>36</vt:lpwstr>
      </vt:variant>
      <vt:variant>
        <vt:i4>131088</vt:i4>
      </vt:variant>
      <vt:variant>
        <vt:i4>0</vt:i4>
      </vt:variant>
      <vt:variant>
        <vt:i4>0</vt:i4>
      </vt:variant>
      <vt:variant>
        <vt:i4>5</vt:i4>
      </vt:variant>
      <vt:variant>
        <vt:lpwstr>http://www.secretariasenado.gov.co/senado/basedoc/ley_2056_2020.html</vt:lpwstr>
      </vt:variant>
      <vt:variant>
        <vt:lpwstr>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7</cp:revision>
  <cp:lastPrinted>2023-01-10T21:18:00Z</cp:lastPrinted>
  <dcterms:created xsi:type="dcterms:W3CDTF">2025-07-23T13:32:00Z</dcterms:created>
  <dcterms:modified xsi:type="dcterms:W3CDTF">2025-07-23T14:44:00Z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