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FC26" w14:textId="77777777" w:rsidR="00BF604C" w:rsidRDefault="00BF604C" w:rsidP="00BF604C">
      <w:pPr>
        <w:spacing w:after="0"/>
        <w:jc w:val="both"/>
        <w:rPr>
          <w:rFonts w:ascii="Verdana" w:eastAsia="Verdana" w:hAnsi="Verdana" w:cs="Verdana"/>
          <w:b/>
          <w:bCs/>
        </w:rPr>
      </w:pPr>
      <w:bookmarkStart w:id="0" w:name="_Hlk143780582"/>
      <w:r w:rsidRPr="00BF604C">
        <w:rPr>
          <w:rFonts w:ascii="Verdana" w:eastAsia="Verdana" w:hAnsi="Verdana" w:cs="Verdana"/>
          <w:b/>
          <w:bCs/>
        </w:rPr>
        <w:t>ENTIDADES CON RÉGIMEN ESPECIAL DE CONTRATACIÓN – Deber de publicidad – Secop II – Actividad contractual – Ejecución de recursos públicos</w:t>
      </w:r>
    </w:p>
    <w:p w14:paraId="4493D3C1" w14:textId="77777777" w:rsidR="00BF604C" w:rsidRPr="00BF604C" w:rsidRDefault="00BF604C" w:rsidP="00BF604C">
      <w:pPr>
        <w:spacing w:after="0"/>
        <w:jc w:val="both"/>
        <w:rPr>
          <w:rFonts w:ascii="Verdana" w:eastAsia="Verdana" w:hAnsi="Verdana" w:cs="Verdana"/>
        </w:rPr>
      </w:pPr>
    </w:p>
    <w:p w14:paraId="675C0848" w14:textId="77777777" w:rsidR="00BF604C" w:rsidRPr="006B13DC" w:rsidRDefault="00BF604C" w:rsidP="00BF604C">
      <w:pPr>
        <w:spacing w:after="0"/>
        <w:jc w:val="both"/>
        <w:rPr>
          <w:rFonts w:ascii="Verdana" w:eastAsia="Verdana" w:hAnsi="Verdana" w:cs="Verdana"/>
          <w:sz w:val="20"/>
          <w:szCs w:val="20"/>
        </w:rPr>
      </w:pPr>
      <w:r w:rsidRPr="006B13DC">
        <w:rPr>
          <w:rFonts w:ascii="Verdana" w:eastAsia="Verdana" w:hAnsi="Verdana" w:cs="Verdana"/>
          <w:sz w:val="20"/>
          <w:szCs w:val="20"/>
        </w:rPr>
        <w:t>[…] de conformidad con el artículo 13 de la Ley 1150 de 2007, modificado por el artículo 53 de la Ley 2195 de 2022, las entidades de régimen especial se encuentran obligadas a realizar la publicación de la actividad contractual que se financie con recursos públicos a través del SECOP II. Es decir, en virtud de que la obligación de publicidad establecida en dicha norma se predica únicamente de la actividad contractual financiada con recursos estatales, resulta meramente potestativa o facultativa la decisión de realizar o no la publicación de la actividad contractual financiada con otro tipo de recursos en dicha plataforma.</w:t>
      </w:r>
    </w:p>
    <w:p w14:paraId="303BC903" w14:textId="77777777" w:rsidR="00BF604C" w:rsidRDefault="00BF604C" w:rsidP="00BF604C">
      <w:pPr>
        <w:spacing w:after="0"/>
        <w:jc w:val="both"/>
        <w:rPr>
          <w:rFonts w:ascii="Verdana" w:eastAsia="Verdana" w:hAnsi="Verdana" w:cs="Verdana"/>
        </w:rPr>
      </w:pPr>
    </w:p>
    <w:p w14:paraId="56B829A6" w14:textId="77777777" w:rsidR="00BF604C" w:rsidRPr="00BF604C" w:rsidRDefault="00BF604C" w:rsidP="00BF604C">
      <w:pPr>
        <w:spacing w:after="0"/>
        <w:jc w:val="both"/>
        <w:rPr>
          <w:rFonts w:ascii="Verdana" w:eastAsia="Verdana" w:hAnsi="Verdana" w:cs="Verdana"/>
        </w:rPr>
      </w:pPr>
    </w:p>
    <w:p w14:paraId="50B6A120" w14:textId="77777777" w:rsidR="00BF604C" w:rsidRDefault="00BF604C" w:rsidP="00BF604C">
      <w:pPr>
        <w:spacing w:after="0"/>
        <w:jc w:val="both"/>
        <w:rPr>
          <w:rFonts w:ascii="Verdana" w:eastAsia="Verdana" w:hAnsi="Verdana" w:cs="Verdana"/>
          <w:b/>
          <w:bCs/>
        </w:rPr>
      </w:pPr>
      <w:r w:rsidRPr="00BF604C">
        <w:rPr>
          <w:rFonts w:ascii="Verdana" w:eastAsia="Verdana" w:hAnsi="Verdana" w:cs="Verdana"/>
          <w:b/>
          <w:bCs/>
        </w:rPr>
        <w:t>RESERVA LEGAL DE INFORMACIÓN PÚBLICA – Fundamento normativo – Aplicación en Procesos contractuales</w:t>
      </w:r>
    </w:p>
    <w:p w14:paraId="119F3EE8" w14:textId="77777777" w:rsidR="00BF604C" w:rsidRPr="00BF604C" w:rsidRDefault="00BF604C" w:rsidP="00BF604C">
      <w:pPr>
        <w:spacing w:after="0"/>
        <w:jc w:val="both"/>
        <w:rPr>
          <w:rFonts w:ascii="Verdana" w:eastAsia="Verdana" w:hAnsi="Verdana" w:cs="Verdana"/>
        </w:rPr>
      </w:pPr>
    </w:p>
    <w:p w14:paraId="095022D8" w14:textId="77777777" w:rsidR="00BF604C" w:rsidRPr="006B13DC" w:rsidRDefault="00BF604C" w:rsidP="00BF604C">
      <w:pPr>
        <w:spacing w:after="0"/>
        <w:jc w:val="both"/>
        <w:rPr>
          <w:rFonts w:ascii="Verdana" w:eastAsia="Verdana" w:hAnsi="Verdana" w:cs="Verdana"/>
          <w:sz w:val="20"/>
          <w:szCs w:val="20"/>
        </w:rPr>
      </w:pPr>
      <w:r w:rsidRPr="006B13DC">
        <w:rPr>
          <w:rFonts w:ascii="Verdana" w:eastAsia="Verdana" w:hAnsi="Verdana" w:cs="Verdana"/>
          <w:sz w:val="20"/>
          <w:szCs w:val="20"/>
        </w:rPr>
        <w:t>[…] en desarrollo de cualquier proceso contractual independientemente de la modalidad de selección, es posible que algunos documentos del proceso contengan información sometida a reserva, de acuerdo con las causales establecidas en la Constitución o en la ley, caso en el cual dicha información no debe publicarse en el SECOP, precisamente por tratarse de información reservada. En los casos en que esto suceda, debe procederse conforme a lo establecido en la Ley 1712 de 2014, particularmente cumpliendo las obligaciones y los deberes establecidos en el título III “Excepciones acceso a la información”.</w:t>
      </w:r>
      <w:r w:rsidRPr="006B13DC">
        <w:rPr>
          <w:rFonts w:ascii="Verdana" w:eastAsia="Verdana" w:hAnsi="Verdana" w:cs="Verdana"/>
          <w:sz w:val="20"/>
          <w:szCs w:val="20"/>
        </w:rPr>
        <w:br/>
        <w:t>Por lo tanto, para determinar los documentos sometidos a reserva, la entidad contratante y los responsables de adelantar la contratación deben verificar las normas que dispongan la reserva de la información y proceder a su cumplimiento en el marco del proceso de selección.</w:t>
      </w:r>
    </w:p>
    <w:p w14:paraId="5A6A715D" w14:textId="77777777" w:rsidR="00BF604C" w:rsidRDefault="00BF604C" w:rsidP="00BF604C">
      <w:pPr>
        <w:spacing w:after="0"/>
        <w:rPr>
          <w:rFonts w:ascii="Verdana" w:eastAsia="Verdana" w:hAnsi="Verdana" w:cs="Verdana"/>
        </w:rPr>
      </w:pPr>
    </w:p>
    <w:p w14:paraId="50454354" w14:textId="77777777" w:rsidR="00BF604C" w:rsidRDefault="00BF604C" w:rsidP="00BF604C">
      <w:pPr>
        <w:spacing w:after="0"/>
        <w:rPr>
          <w:rFonts w:ascii="Verdana" w:eastAsia="Verdana" w:hAnsi="Verdana" w:cs="Verdana"/>
        </w:rPr>
      </w:pPr>
    </w:p>
    <w:p w14:paraId="635D16DD" w14:textId="77777777" w:rsidR="00BF604C" w:rsidRDefault="00BF604C" w:rsidP="00BF604C">
      <w:pPr>
        <w:spacing w:after="0"/>
        <w:rPr>
          <w:rFonts w:ascii="Verdana" w:eastAsia="Verdana" w:hAnsi="Verdana" w:cs="Verdana"/>
        </w:rPr>
      </w:pPr>
    </w:p>
    <w:p w14:paraId="75283873" w14:textId="77777777" w:rsidR="00BF604C" w:rsidRDefault="00BF604C" w:rsidP="00BF604C">
      <w:pPr>
        <w:spacing w:after="0"/>
        <w:rPr>
          <w:rFonts w:ascii="Verdana" w:eastAsia="Verdana" w:hAnsi="Verdana" w:cs="Verdana"/>
        </w:rPr>
      </w:pPr>
    </w:p>
    <w:p w14:paraId="6CDE6D44" w14:textId="77777777" w:rsidR="000B1C53" w:rsidRDefault="000B1C53" w:rsidP="00BF604C">
      <w:pPr>
        <w:spacing w:after="0"/>
        <w:rPr>
          <w:rFonts w:ascii="Verdana" w:eastAsia="Verdana" w:hAnsi="Verdana" w:cs="Verdana"/>
        </w:rPr>
      </w:pPr>
    </w:p>
    <w:p w14:paraId="674041F5" w14:textId="77777777" w:rsidR="000B1C53" w:rsidRDefault="000B1C53" w:rsidP="00BF604C">
      <w:pPr>
        <w:spacing w:after="0"/>
        <w:rPr>
          <w:rFonts w:ascii="Verdana" w:eastAsia="Verdana" w:hAnsi="Verdana" w:cs="Verdana"/>
        </w:rPr>
      </w:pPr>
    </w:p>
    <w:p w14:paraId="5840A62A" w14:textId="77777777" w:rsidR="000B1C53" w:rsidRDefault="000B1C53" w:rsidP="00BF604C">
      <w:pPr>
        <w:spacing w:after="0"/>
        <w:rPr>
          <w:rFonts w:ascii="Verdana" w:eastAsia="Verdana" w:hAnsi="Verdana" w:cs="Verdana"/>
        </w:rPr>
      </w:pPr>
    </w:p>
    <w:p w14:paraId="65B3EEC2" w14:textId="77777777" w:rsidR="00BF604C" w:rsidRDefault="00BF604C" w:rsidP="00BF604C">
      <w:pPr>
        <w:spacing w:after="0"/>
        <w:rPr>
          <w:rFonts w:ascii="Verdana" w:eastAsia="Verdana" w:hAnsi="Verdana" w:cs="Verdana"/>
        </w:rPr>
      </w:pPr>
    </w:p>
    <w:p w14:paraId="79E97A75" w14:textId="77777777" w:rsidR="00BF604C" w:rsidRDefault="00BF604C" w:rsidP="00BF604C">
      <w:pPr>
        <w:spacing w:after="0"/>
        <w:rPr>
          <w:rFonts w:ascii="Verdana" w:eastAsia="Verdana" w:hAnsi="Verdana" w:cs="Verdana"/>
        </w:rPr>
      </w:pPr>
    </w:p>
    <w:p w14:paraId="60CA4200" w14:textId="77777777" w:rsidR="00BF604C" w:rsidRPr="00BF604C" w:rsidRDefault="00BF604C" w:rsidP="00BF604C">
      <w:pPr>
        <w:spacing w:after="0"/>
        <w:rPr>
          <w:rFonts w:ascii="Verdana" w:eastAsia="Verdana" w:hAnsi="Verdana" w:cs="Verdana"/>
        </w:rPr>
      </w:pPr>
    </w:p>
    <w:p w14:paraId="410E53F0" w14:textId="77777777" w:rsidR="006B13DC" w:rsidRDefault="006B13DC" w:rsidP="002B7ECD">
      <w:pPr>
        <w:spacing w:after="0"/>
        <w:rPr>
          <w:rFonts w:ascii="Verdana" w:eastAsia="Verdana" w:hAnsi="Verdana" w:cs="Verdana"/>
        </w:rPr>
      </w:pPr>
    </w:p>
    <w:p w14:paraId="7C9026E2" w14:textId="38C5421C" w:rsidR="002A0DD0" w:rsidRPr="006870A3" w:rsidRDefault="00C15139" w:rsidP="002B7ECD">
      <w:pPr>
        <w:spacing w:after="0"/>
        <w:rPr>
          <w:rFonts w:ascii="Verdana" w:eastAsia="Verdana" w:hAnsi="Verdana" w:cs="Verdana"/>
          <w:lang w:val="es-MX"/>
        </w:rPr>
      </w:pPr>
      <w:r w:rsidRPr="006870A3">
        <w:rPr>
          <w:rFonts w:ascii="Verdana" w:eastAsia="Verdana" w:hAnsi="Verdana" w:cs="Verdana"/>
        </w:rPr>
        <w:lastRenderedPageBreak/>
        <w:t>Bogotá D.C.,</w:t>
      </w:r>
      <w:r w:rsidR="00942F04" w:rsidRPr="006870A3">
        <w:rPr>
          <w:rFonts w:ascii="Verdana" w:eastAsia="Verdana" w:hAnsi="Verdana" w:cs="Verdana"/>
        </w:rPr>
        <w:t xml:space="preserve"> </w:t>
      </w:r>
      <w:r w:rsidR="00217C3B">
        <w:rPr>
          <w:rFonts w:ascii="Verdana" w:eastAsia="Times New Roman" w:hAnsi="Verdana" w:cs="Arial"/>
          <w:lang w:val="es-ES" w:eastAsia="es-ES"/>
        </w:rPr>
        <w:t xml:space="preserve">8 </w:t>
      </w:r>
      <w:r w:rsidR="006B13DC">
        <w:rPr>
          <w:rFonts w:ascii="Verdana" w:eastAsia="Times New Roman" w:hAnsi="Verdana" w:cs="Arial"/>
          <w:lang w:val="es-ES" w:eastAsia="es-ES"/>
        </w:rPr>
        <w:t>de j</w:t>
      </w:r>
      <w:r w:rsidR="00217C3B">
        <w:rPr>
          <w:rFonts w:ascii="Verdana" w:eastAsia="Times New Roman" w:hAnsi="Verdana" w:cs="Arial"/>
          <w:lang w:val="es-ES" w:eastAsia="es-ES"/>
        </w:rPr>
        <w:t>ulio</w:t>
      </w:r>
      <w:r w:rsidR="006B13DC">
        <w:rPr>
          <w:rFonts w:ascii="Verdana" w:eastAsia="Times New Roman" w:hAnsi="Verdana" w:cs="Arial"/>
          <w:lang w:val="es-ES" w:eastAsia="es-ES"/>
        </w:rPr>
        <w:t xml:space="preserve"> de</w:t>
      </w:r>
      <w:r w:rsidR="00217C3B">
        <w:rPr>
          <w:rFonts w:ascii="Verdana" w:eastAsia="Times New Roman" w:hAnsi="Verdana" w:cs="Arial"/>
          <w:lang w:val="es-ES" w:eastAsia="es-ES"/>
        </w:rPr>
        <w:t xml:space="preserve"> </w:t>
      </w:r>
      <w:r w:rsidR="00FE4CFC">
        <w:rPr>
          <w:rFonts w:ascii="Verdana" w:eastAsia="Times New Roman" w:hAnsi="Verdana" w:cs="Arial"/>
          <w:lang w:val="es-ES" w:eastAsia="es-ES"/>
        </w:rPr>
        <w:t>2026</w:t>
      </w:r>
      <w:r w:rsidRPr="006870A3">
        <w:tab/>
      </w:r>
    </w:p>
    <w:p w14:paraId="4450F6D8" w14:textId="77777777" w:rsidR="00D00BD3" w:rsidRPr="006870A3" w:rsidRDefault="00D00BD3" w:rsidP="00CC425D">
      <w:pPr>
        <w:spacing w:after="0" w:line="240" w:lineRule="auto"/>
        <w:jc w:val="both"/>
        <w:rPr>
          <w:rFonts w:ascii="Verdana" w:eastAsia="Calibri" w:hAnsi="Verdana" w:cs="Arial"/>
          <w:b/>
          <w:bCs/>
          <w:lang w:val="es-ES" w:eastAsia="es-ES"/>
        </w:rPr>
      </w:pPr>
    </w:p>
    <w:p w14:paraId="73B6B85E" w14:textId="7FC6FD3C" w:rsidR="00FC285E" w:rsidRPr="006870A3" w:rsidRDefault="006B13DC" w:rsidP="00CC425D">
      <w:pPr>
        <w:spacing w:after="0" w:line="240" w:lineRule="auto"/>
        <w:jc w:val="both"/>
        <w:rPr>
          <w:rFonts w:ascii="Verdana" w:eastAsia="Calibri" w:hAnsi="Verdana" w:cs="Arial"/>
          <w:b/>
          <w:bCs/>
          <w:lang w:val="es-ES" w:eastAsia="es-ES"/>
        </w:rPr>
      </w:pPr>
      <w:r w:rsidRPr="00FE4CFC">
        <w:rPr>
          <w:rFonts w:ascii="Verdana" w:eastAsia="Calibri" w:hAnsi="Verdana" w:cs="Arial"/>
          <w:b/>
          <w:bCs/>
          <w:noProof/>
          <w:color w:val="000000"/>
          <w:lang w:val="es-ES_tradnl" w:eastAsia="es-ES_tradnl"/>
        </w:rPr>
        <w:drawing>
          <wp:anchor distT="0" distB="0" distL="114300" distR="114300" simplePos="0" relativeHeight="251658240" behindDoc="0" locked="0" layoutInCell="1" allowOverlap="1" wp14:anchorId="6CA01F76" wp14:editId="337C08DD">
            <wp:simplePos x="0" y="0"/>
            <wp:positionH relativeFrom="margin">
              <wp:posOffset>3801745</wp:posOffset>
            </wp:positionH>
            <wp:positionV relativeFrom="paragraph">
              <wp:posOffset>5715</wp:posOffset>
            </wp:positionV>
            <wp:extent cx="2098675" cy="770890"/>
            <wp:effectExtent l="0" t="0" r="0" b="0"/>
            <wp:wrapSquare wrapText="bothSides"/>
            <wp:docPr id="859358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358891" name=""/>
                    <pic:cNvPicPr/>
                  </pic:nvPicPr>
                  <pic:blipFill>
                    <a:blip r:embed="rId11">
                      <a:extLst>
                        <a:ext uri="{28A0092B-C50C-407E-A947-70E740481C1C}">
                          <a14:useLocalDpi xmlns:a14="http://schemas.microsoft.com/office/drawing/2010/main" val="0"/>
                        </a:ext>
                      </a:extLst>
                    </a:blip>
                    <a:stretch>
                      <a:fillRect/>
                    </a:stretch>
                  </pic:blipFill>
                  <pic:spPr>
                    <a:xfrm>
                      <a:off x="0" y="0"/>
                      <a:ext cx="2098675" cy="770890"/>
                    </a:xfrm>
                    <a:prstGeom prst="rect">
                      <a:avLst/>
                    </a:prstGeom>
                  </pic:spPr>
                </pic:pic>
              </a:graphicData>
            </a:graphic>
            <wp14:sizeRelH relativeFrom="margin">
              <wp14:pctWidth>0</wp14:pctWidth>
            </wp14:sizeRelH>
            <wp14:sizeRelV relativeFrom="margin">
              <wp14:pctHeight>0</wp14:pctHeight>
            </wp14:sizeRelV>
          </wp:anchor>
        </w:drawing>
      </w:r>
      <w:r w:rsidR="00D00BD3" w:rsidRPr="006870A3">
        <w:rPr>
          <w:rFonts w:ascii="Verdana" w:eastAsia="Calibri" w:hAnsi="Verdana" w:cs="Arial"/>
          <w:b/>
          <w:bCs/>
          <w:lang w:val="es-ES" w:eastAsia="es-ES"/>
        </w:rPr>
        <w:t>Doctora</w:t>
      </w:r>
    </w:p>
    <w:p w14:paraId="34099038" w14:textId="3DAB7EAB" w:rsidR="00CC425D" w:rsidRPr="006870A3" w:rsidRDefault="00CC425D" w:rsidP="00CC425D">
      <w:pPr>
        <w:spacing w:after="0" w:line="240" w:lineRule="auto"/>
        <w:jc w:val="both"/>
        <w:rPr>
          <w:rFonts w:ascii="Verdana" w:eastAsia="Calibri" w:hAnsi="Verdana" w:cs="Arial"/>
          <w:b/>
          <w:bCs/>
          <w:lang w:val="es-ES" w:eastAsia="es-ES"/>
        </w:rPr>
      </w:pPr>
      <w:r w:rsidRPr="006870A3">
        <w:rPr>
          <w:rFonts w:ascii="Verdana" w:eastAsia="Calibri" w:hAnsi="Verdana" w:cs="Arial"/>
          <w:b/>
          <w:bCs/>
          <w:lang w:val="es-ES" w:eastAsia="es-ES"/>
        </w:rPr>
        <w:t>Yuly S</w:t>
      </w:r>
      <w:r w:rsidR="00C44748" w:rsidRPr="006870A3">
        <w:rPr>
          <w:rFonts w:ascii="Verdana" w:eastAsia="Calibri" w:hAnsi="Verdana" w:cs="Arial"/>
          <w:b/>
          <w:bCs/>
          <w:lang w:val="es-ES" w:eastAsia="es-ES"/>
        </w:rPr>
        <w:t>thephany Llano Henao</w:t>
      </w:r>
    </w:p>
    <w:p w14:paraId="4F56AA6E" w14:textId="1291DF52" w:rsidR="00C44748" w:rsidRPr="006870A3" w:rsidRDefault="00C44748" w:rsidP="00CC425D">
      <w:pPr>
        <w:spacing w:after="0" w:line="240" w:lineRule="auto"/>
        <w:jc w:val="both"/>
        <w:rPr>
          <w:rFonts w:ascii="Verdana" w:eastAsia="Calibri" w:hAnsi="Verdana" w:cs="Arial"/>
          <w:b/>
          <w:bCs/>
          <w:lang w:val="es-ES" w:eastAsia="es-ES"/>
        </w:rPr>
      </w:pPr>
      <w:r w:rsidRPr="006870A3">
        <w:rPr>
          <w:rFonts w:ascii="Verdana" w:eastAsia="Calibri" w:hAnsi="Verdana" w:cs="Arial"/>
          <w:b/>
          <w:bCs/>
          <w:lang w:val="es-ES" w:eastAsia="es-ES"/>
        </w:rPr>
        <w:t xml:space="preserve">Gerente Hospital San Vicente de Paul Circasia </w:t>
      </w:r>
    </w:p>
    <w:p w14:paraId="00A3788F" w14:textId="0F6BC9E4" w:rsidR="00C44748" w:rsidRPr="006870A3" w:rsidRDefault="00D00BD3" w:rsidP="00CC425D">
      <w:pPr>
        <w:spacing w:after="0" w:line="240" w:lineRule="auto"/>
        <w:jc w:val="both"/>
        <w:rPr>
          <w:rFonts w:ascii="Verdana" w:eastAsia="Calibri" w:hAnsi="Verdana" w:cs="Arial"/>
          <w:lang w:val="es-ES" w:eastAsia="es-ES"/>
        </w:rPr>
      </w:pPr>
      <w:hyperlink r:id="rId12" w:history="1">
        <w:r w:rsidRPr="006870A3">
          <w:rPr>
            <w:rStyle w:val="Hipervnculo"/>
            <w:rFonts w:ascii="Verdana" w:eastAsia="Calibri" w:hAnsi="Verdana" w:cs="Arial"/>
            <w:b/>
            <w:bCs/>
            <w:lang w:val="es-ES" w:eastAsia="es-ES"/>
          </w:rPr>
          <w:t>juridica@esehsvp-circasia-quindio.gov.co</w:t>
        </w:r>
      </w:hyperlink>
      <w:r w:rsidRPr="006870A3">
        <w:rPr>
          <w:rFonts w:ascii="Verdana" w:eastAsia="Calibri" w:hAnsi="Verdana" w:cs="Arial"/>
          <w:b/>
          <w:bCs/>
          <w:lang w:val="es-ES" w:eastAsia="es-ES"/>
        </w:rPr>
        <w:t xml:space="preserve"> </w:t>
      </w:r>
    </w:p>
    <w:p w14:paraId="2FF98BAE" w14:textId="77777777" w:rsidR="00761CC9" w:rsidRPr="006870A3" w:rsidRDefault="00761CC9" w:rsidP="00331CC4">
      <w:pPr>
        <w:spacing w:after="0" w:line="240" w:lineRule="auto"/>
        <w:jc w:val="both"/>
        <w:rPr>
          <w:rFonts w:ascii="Verdana" w:eastAsia="Calibri" w:hAnsi="Verdana" w:cs="Arial"/>
          <w:lang w:val="es-ES" w:eastAsia="es-ES"/>
        </w:rPr>
      </w:pPr>
    </w:p>
    <w:p w14:paraId="22C420A6" w14:textId="7656ECCA" w:rsidR="00054748" w:rsidRDefault="00054748" w:rsidP="00FE4CFC">
      <w:pPr>
        <w:spacing w:after="0" w:line="240" w:lineRule="auto"/>
        <w:jc w:val="right"/>
        <w:rPr>
          <w:rFonts w:ascii="Verdana" w:eastAsia="Calibri" w:hAnsi="Verdana" w:cs="Arial"/>
          <w:b/>
          <w:bCs/>
          <w:color w:val="000000"/>
          <w:lang w:val="es-ES_tradnl" w:eastAsia="es-ES_tradnl"/>
        </w:rPr>
      </w:pPr>
    </w:p>
    <w:p w14:paraId="23ED6295" w14:textId="77777777" w:rsidR="00FE4CFC" w:rsidRPr="006870A3" w:rsidRDefault="00FE4CFC" w:rsidP="00FE4CFC">
      <w:pPr>
        <w:spacing w:after="0" w:line="240" w:lineRule="auto"/>
        <w:jc w:val="right"/>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54748" w:rsidRPr="006870A3" w14:paraId="33933D6E" w14:textId="77777777" w:rsidTr="00CB1843">
        <w:trPr>
          <w:trHeight w:val="884"/>
        </w:trPr>
        <w:tc>
          <w:tcPr>
            <w:tcW w:w="2689" w:type="dxa"/>
          </w:tcPr>
          <w:p w14:paraId="5925453D" w14:textId="77777777" w:rsidR="00054748" w:rsidRPr="006870A3" w:rsidRDefault="00054748" w:rsidP="00CB1843">
            <w:pPr>
              <w:jc w:val="both"/>
              <w:rPr>
                <w:rFonts w:ascii="Verdana" w:eastAsia="Calibri" w:hAnsi="Verdana" w:cs="Arial"/>
                <w:b/>
                <w:bCs/>
                <w:color w:val="7030A0"/>
                <w:lang w:val="es-ES_tradnl" w:eastAsia="es-ES_tradnl"/>
              </w:rPr>
            </w:pPr>
          </w:p>
        </w:tc>
        <w:tc>
          <w:tcPr>
            <w:tcW w:w="6100" w:type="dxa"/>
          </w:tcPr>
          <w:p w14:paraId="05DE1333" w14:textId="0BC681B6" w:rsidR="00054748" w:rsidRPr="006870A3" w:rsidRDefault="00054748" w:rsidP="00CB1843">
            <w:pPr>
              <w:jc w:val="both"/>
              <w:rPr>
                <w:rFonts w:ascii="Verdana" w:eastAsia="Calibri" w:hAnsi="Verdana" w:cs="Arial"/>
                <w:b/>
                <w:bCs/>
                <w:lang w:val="es-ES" w:eastAsia="es-ES"/>
              </w:rPr>
            </w:pPr>
            <w:r w:rsidRPr="006870A3">
              <w:rPr>
                <w:rFonts w:ascii="Verdana" w:eastAsia="Calibri" w:hAnsi="Verdana" w:cs="Arial"/>
                <w:b/>
                <w:bCs/>
                <w:lang w:val="es-ES" w:eastAsia="es-ES"/>
              </w:rPr>
              <w:t xml:space="preserve"> </w:t>
            </w:r>
            <w:r w:rsidR="004F518D" w:rsidRPr="006870A3">
              <w:rPr>
                <w:rFonts w:ascii="Verdana" w:eastAsia="Calibri" w:hAnsi="Verdana" w:cs="Arial"/>
                <w:b/>
                <w:bCs/>
                <w:lang w:val="es-ES" w:eastAsia="es-ES"/>
              </w:rPr>
              <w:t xml:space="preserve">Concepto </w:t>
            </w:r>
            <w:r w:rsidRPr="006870A3">
              <w:rPr>
                <w:rFonts w:ascii="Verdana" w:eastAsia="Calibri" w:hAnsi="Verdana" w:cs="Arial"/>
                <w:b/>
                <w:bCs/>
                <w:lang w:eastAsia="es-ES"/>
              </w:rPr>
              <w:t>C-</w:t>
            </w:r>
            <w:r w:rsidR="004A4608" w:rsidRPr="006870A3">
              <w:rPr>
                <w:rFonts w:ascii="Verdana" w:eastAsia="Calibri" w:hAnsi="Verdana" w:cs="Arial"/>
                <w:b/>
                <w:bCs/>
                <w:lang w:eastAsia="es-ES"/>
              </w:rPr>
              <w:t>917</w:t>
            </w:r>
            <w:r w:rsidR="00210F23" w:rsidRPr="006870A3">
              <w:rPr>
                <w:rFonts w:ascii="Verdana" w:eastAsia="Calibri" w:hAnsi="Verdana" w:cs="Arial"/>
                <w:b/>
                <w:bCs/>
                <w:lang w:eastAsia="es-ES"/>
              </w:rPr>
              <w:t xml:space="preserve"> </w:t>
            </w:r>
            <w:r w:rsidRPr="006870A3">
              <w:rPr>
                <w:rFonts w:ascii="Verdana" w:eastAsia="Calibri" w:hAnsi="Verdana" w:cs="Arial"/>
                <w:b/>
                <w:bCs/>
                <w:lang w:val="es-ES" w:eastAsia="es-ES"/>
              </w:rPr>
              <w:t>de 2026</w:t>
            </w:r>
            <w:r w:rsidR="00DA4941" w:rsidRPr="006870A3">
              <w:rPr>
                <w:rFonts w:ascii="Verdana" w:eastAsia="Calibri" w:hAnsi="Verdana" w:cs="Arial"/>
                <w:b/>
                <w:bCs/>
                <w:lang w:val="es-ES" w:eastAsia="es-ES"/>
              </w:rPr>
              <w:t xml:space="preserve"> </w:t>
            </w:r>
          </w:p>
        </w:tc>
      </w:tr>
      <w:tr w:rsidR="00054748" w:rsidRPr="006870A3" w14:paraId="67527AC3" w14:textId="77777777" w:rsidTr="00CB1843">
        <w:trPr>
          <w:trHeight w:val="884"/>
        </w:trPr>
        <w:tc>
          <w:tcPr>
            <w:tcW w:w="2689" w:type="dxa"/>
          </w:tcPr>
          <w:p w14:paraId="32A87DC1" w14:textId="77777777" w:rsidR="00054748" w:rsidRPr="006870A3" w:rsidRDefault="00054748" w:rsidP="00CB1843">
            <w:pPr>
              <w:jc w:val="both"/>
              <w:rPr>
                <w:rFonts w:ascii="Verdana" w:eastAsia="Calibri" w:hAnsi="Verdana" w:cs="Arial"/>
                <w:color w:val="000000"/>
                <w:lang w:val="es-ES_tradnl" w:eastAsia="es-ES_tradnl"/>
              </w:rPr>
            </w:pPr>
            <w:r w:rsidRPr="006870A3">
              <w:rPr>
                <w:rFonts w:ascii="Verdana" w:eastAsia="Calibri" w:hAnsi="Verdana" w:cs="Arial"/>
                <w:b/>
                <w:color w:val="000000"/>
                <w:lang w:val="es-ES_tradnl" w:eastAsia="es-ES_tradnl"/>
              </w:rPr>
              <w:t>Temas:</w:t>
            </w:r>
            <w:r w:rsidRPr="006870A3">
              <w:rPr>
                <w:rFonts w:ascii="Verdana" w:eastAsia="Calibri" w:hAnsi="Verdana" w:cs="Arial"/>
                <w:color w:val="000000"/>
                <w:lang w:val="es-ES_tradnl" w:eastAsia="es-ES_tradnl"/>
              </w:rPr>
              <w:t xml:space="preserve">                   </w:t>
            </w:r>
          </w:p>
        </w:tc>
        <w:tc>
          <w:tcPr>
            <w:tcW w:w="6100" w:type="dxa"/>
          </w:tcPr>
          <w:p w14:paraId="4E837FE2" w14:textId="4E3446FB" w:rsidR="00CC55E8" w:rsidRPr="006870A3" w:rsidRDefault="00EB0847" w:rsidP="00CC55E8">
            <w:pPr>
              <w:spacing w:line="276" w:lineRule="auto"/>
              <w:jc w:val="both"/>
              <w:rPr>
                <w:rFonts w:ascii="Verdana" w:eastAsia="Calibri" w:hAnsi="Verdana" w:cs="Arial"/>
                <w:lang w:eastAsia="es-ES"/>
              </w:rPr>
            </w:pPr>
            <w:r w:rsidRPr="006870A3">
              <w:rPr>
                <w:rFonts w:ascii="Verdana" w:eastAsia="Calibri" w:hAnsi="Verdana" w:cs="Arial"/>
                <w:lang w:eastAsia="es-ES"/>
              </w:rPr>
              <w:t xml:space="preserve">ENTIDADES CON RÉGIMEN ESPECIAL DE CONTRATACIÓN – Deber de publicidad </w:t>
            </w:r>
            <w:r w:rsidR="0019363C" w:rsidRPr="006870A3">
              <w:rPr>
                <w:rFonts w:ascii="Verdana" w:eastAsia="Calibri" w:hAnsi="Verdana" w:cs="Arial"/>
                <w:lang w:eastAsia="es-ES"/>
              </w:rPr>
              <w:t xml:space="preserve">– Secop II – Actividad contractual – Ejecución de recursos públicos </w:t>
            </w:r>
            <w:r w:rsidR="00114C76" w:rsidRPr="006870A3">
              <w:rPr>
                <w:rFonts w:ascii="Verdana" w:eastAsia="Calibri" w:hAnsi="Verdana" w:cs="Arial"/>
                <w:lang w:eastAsia="es-ES"/>
              </w:rPr>
              <w:t xml:space="preserve">/ RESERVA LEGAL DE INFORMACIÓN PÚBLICA – Fundamento normativo – Aplicación en Procesos contractuales </w:t>
            </w:r>
          </w:p>
          <w:p w14:paraId="15D6AA5D" w14:textId="008856E3" w:rsidR="00054748" w:rsidRPr="006870A3" w:rsidRDefault="00054748" w:rsidP="00DF4613">
            <w:pPr>
              <w:spacing w:line="276" w:lineRule="auto"/>
              <w:jc w:val="both"/>
              <w:rPr>
                <w:rFonts w:ascii="Verdana" w:eastAsia="Calibri" w:hAnsi="Verdana" w:cs="Arial"/>
                <w:lang w:val="es-ES" w:eastAsia="es-ES"/>
              </w:rPr>
            </w:pPr>
          </w:p>
        </w:tc>
      </w:tr>
      <w:tr w:rsidR="00054748" w:rsidRPr="006870A3" w14:paraId="06AC781B" w14:textId="77777777" w:rsidTr="004A4608">
        <w:trPr>
          <w:trHeight w:val="328"/>
        </w:trPr>
        <w:tc>
          <w:tcPr>
            <w:tcW w:w="2689" w:type="dxa"/>
          </w:tcPr>
          <w:p w14:paraId="623C87E5" w14:textId="77777777" w:rsidR="00054748" w:rsidRPr="006870A3" w:rsidRDefault="00054748" w:rsidP="00CB1843">
            <w:pPr>
              <w:jc w:val="both"/>
              <w:rPr>
                <w:rFonts w:ascii="Verdana" w:eastAsia="Calibri" w:hAnsi="Verdana" w:cs="Arial"/>
                <w:b/>
                <w:lang w:val="es-ES_tradnl" w:eastAsia="es-ES_tradnl"/>
              </w:rPr>
            </w:pPr>
            <w:r w:rsidRPr="006870A3">
              <w:rPr>
                <w:rFonts w:ascii="Verdana" w:eastAsia="Calibri" w:hAnsi="Verdana" w:cs="Arial"/>
                <w:b/>
                <w:lang w:val="es-ES_tradnl" w:eastAsia="es-ES_tradnl"/>
              </w:rPr>
              <w:t>Radicación:</w:t>
            </w:r>
            <w:r w:rsidRPr="006870A3">
              <w:rPr>
                <w:rFonts w:ascii="Verdana" w:eastAsia="Calibri" w:hAnsi="Verdana" w:cs="Arial"/>
                <w:lang w:val="es-ES_tradnl" w:eastAsia="es-ES_tradnl"/>
              </w:rPr>
              <w:t xml:space="preserve">               </w:t>
            </w:r>
          </w:p>
        </w:tc>
        <w:tc>
          <w:tcPr>
            <w:tcW w:w="6100" w:type="dxa"/>
          </w:tcPr>
          <w:p w14:paraId="47363C19" w14:textId="386CE5E5" w:rsidR="00054748" w:rsidRPr="006870A3" w:rsidRDefault="00054748" w:rsidP="00CB1843">
            <w:pPr>
              <w:jc w:val="both"/>
              <w:rPr>
                <w:rFonts w:ascii="Verdana" w:eastAsia="Calibri" w:hAnsi="Verdana" w:cs="Arial"/>
                <w:lang w:val="es-ES_tradnl" w:eastAsia="es-ES_tradnl"/>
              </w:rPr>
            </w:pPr>
            <w:r w:rsidRPr="006870A3">
              <w:rPr>
                <w:rFonts w:ascii="Verdana" w:eastAsia="Calibri" w:hAnsi="Verdana" w:cs="Arial"/>
                <w:lang w:val="es-ES_tradnl" w:eastAsia="es-ES_tradnl"/>
              </w:rPr>
              <w:t>Respuesta a consulta con radicado No.</w:t>
            </w:r>
            <w:r w:rsidR="00192F16" w:rsidRPr="006870A3">
              <w:rPr>
                <w:rFonts w:ascii="Verdana" w:hAnsi="Verdana"/>
              </w:rPr>
              <w:t xml:space="preserve"> </w:t>
            </w:r>
            <w:r w:rsidR="004A4608" w:rsidRPr="006870A3">
              <w:rPr>
                <w:rFonts w:ascii="Verdana" w:hAnsi="Verdana"/>
              </w:rPr>
              <w:t>1_2026_06_02_007446</w:t>
            </w:r>
            <w:r w:rsidR="00C5070A" w:rsidRPr="006870A3">
              <w:rPr>
                <w:rFonts w:ascii="Verdana" w:eastAsia="Calibri" w:hAnsi="Verdana" w:cs="Arial"/>
                <w:lang w:eastAsia="es-ES_tradnl"/>
              </w:rPr>
              <w:t xml:space="preserve"> </w:t>
            </w:r>
            <w:r w:rsidR="003C4840" w:rsidRPr="006870A3">
              <w:rPr>
                <w:rFonts w:ascii="Verdana" w:eastAsia="Calibri" w:hAnsi="Verdana" w:cs="Arial"/>
                <w:lang w:eastAsia="es-ES_tradnl"/>
              </w:rPr>
              <w:t>&amp; 1_2026_06_02_007448 (Acumuladas)</w:t>
            </w:r>
          </w:p>
        </w:tc>
      </w:tr>
    </w:tbl>
    <w:p w14:paraId="2188624D" w14:textId="77777777" w:rsidR="00054748" w:rsidRPr="006870A3" w:rsidRDefault="00054748" w:rsidP="00054748">
      <w:pPr>
        <w:spacing w:after="0" w:line="240" w:lineRule="auto"/>
        <w:jc w:val="both"/>
        <w:rPr>
          <w:rFonts w:ascii="Verdana" w:eastAsia="Calibri" w:hAnsi="Verdana" w:cs="Arial"/>
          <w:lang w:val="es-ES_tradnl" w:eastAsia="es-ES_tradnl"/>
        </w:rPr>
      </w:pPr>
    </w:p>
    <w:p w14:paraId="082FEA2F" w14:textId="77777777" w:rsidR="00054748" w:rsidRPr="006870A3" w:rsidRDefault="00054748" w:rsidP="00054748">
      <w:pPr>
        <w:spacing w:after="0" w:line="240" w:lineRule="auto"/>
        <w:jc w:val="both"/>
        <w:rPr>
          <w:rFonts w:ascii="Verdana" w:eastAsia="Calibri" w:hAnsi="Verdana" w:cs="Arial"/>
          <w:color w:val="000000"/>
          <w:lang w:val="es-ES_tradnl" w:eastAsia="es-ES_tradnl"/>
        </w:rPr>
      </w:pPr>
    </w:p>
    <w:p w14:paraId="3137C81E" w14:textId="393F8784" w:rsidR="00054748" w:rsidRPr="006870A3" w:rsidRDefault="00054748" w:rsidP="00054748">
      <w:pPr>
        <w:spacing w:after="0" w:line="276" w:lineRule="auto"/>
        <w:jc w:val="both"/>
        <w:rPr>
          <w:rFonts w:ascii="Verdana" w:eastAsia="Calibri" w:hAnsi="Verdana" w:cs="Arial"/>
          <w:color w:val="000000" w:themeColor="text1"/>
          <w:lang w:val="es-ES" w:eastAsia="es-ES"/>
        </w:rPr>
      </w:pPr>
      <w:r w:rsidRPr="006870A3">
        <w:rPr>
          <w:rFonts w:ascii="Verdana" w:eastAsia="Calibri" w:hAnsi="Verdana" w:cs="Arial"/>
          <w:color w:val="000000" w:themeColor="text1"/>
          <w:lang w:val="es-ES" w:eastAsia="es-ES"/>
        </w:rPr>
        <w:t>Estimad</w:t>
      </w:r>
      <w:r w:rsidR="00D903A5" w:rsidRPr="006870A3">
        <w:rPr>
          <w:rFonts w:ascii="Verdana" w:eastAsia="Calibri" w:hAnsi="Verdana" w:cs="Arial"/>
          <w:color w:val="000000" w:themeColor="text1"/>
          <w:lang w:val="es-ES" w:eastAsia="es-ES"/>
        </w:rPr>
        <w:t>a</w:t>
      </w:r>
      <w:r w:rsidR="0009582C" w:rsidRPr="006870A3">
        <w:rPr>
          <w:rFonts w:ascii="Verdana" w:eastAsia="Calibri" w:hAnsi="Verdana" w:cs="Arial"/>
          <w:color w:val="000000" w:themeColor="text1"/>
          <w:lang w:val="es-ES" w:eastAsia="es-ES"/>
        </w:rPr>
        <w:t xml:space="preserve"> </w:t>
      </w:r>
      <w:r w:rsidR="00D903A5" w:rsidRPr="006870A3">
        <w:rPr>
          <w:rFonts w:ascii="Verdana" w:eastAsia="Calibri" w:hAnsi="Verdana" w:cs="Arial"/>
          <w:color w:val="000000" w:themeColor="text1"/>
          <w:lang w:val="es-ES" w:eastAsia="es-ES"/>
        </w:rPr>
        <w:t xml:space="preserve">Doctora Llano Henao, </w:t>
      </w:r>
      <w:r w:rsidRPr="006870A3">
        <w:rPr>
          <w:rFonts w:ascii="Verdana" w:eastAsia="Calibri" w:hAnsi="Verdana" w:cs="Arial"/>
          <w:color w:val="000000" w:themeColor="text1"/>
          <w:lang w:val="es-ES" w:eastAsia="es-ES"/>
        </w:rPr>
        <w:t xml:space="preserve">cordial saludo, </w:t>
      </w:r>
    </w:p>
    <w:p w14:paraId="440505D5" w14:textId="77777777" w:rsidR="00054748" w:rsidRPr="006870A3" w:rsidRDefault="00054748" w:rsidP="00054748">
      <w:pPr>
        <w:spacing w:after="0" w:line="276" w:lineRule="auto"/>
        <w:jc w:val="both"/>
        <w:rPr>
          <w:rFonts w:ascii="Verdana" w:eastAsia="Calibri" w:hAnsi="Verdana" w:cs="Arial"/>
          <w:color w:val="000000" w:themeColor="text1"/>
          <w:lang w:val="es-ES" w:eastAsia="es-ES"/>
        </w:rPr>
      </w:pPr>
    </w:p>
    <w:p w14:paraId="0FBD9B8B" w14:textId="37EF16D2" w:rsidR="00054748" w:rsidRPr="006870A3" w:rsidRDefault="00054748" w:rsidP="00054748">
      <w:pPr>
        <w:spacing w:after="0" w:line="276" w:lineRule="auto"/>
        <w:jc w:val="both"/>
        <w:rPr>
          <w:rFonts w:ascii="Verdana" w:eastAsia="Calibri" w:hAnsi="Verdana" w:cs="Arial"/>
          <w:lang w:val="es-ES" w:eastAsia="es-ES"/>
        </w:rPr>
      </w:pPr>
      <w:r w:rsidRPr="006870A3">
        <w:rPr>
          <w:rFonts w:ascii="Verdana" w:eastAsia="Calibri" w:hAnsi="Verdana" w:cs="Arial"/>
          <w:color w:val="000000" w:themeColor="text1"/>
          <w:lang w:val="es-ES" w:eastAsia="es-ES"/>
        </w:rPr>
        <w:t>En ejercicio de la competencia otorgada por los artículos 3, numeral 5º, y 11, numeral 8º, del Decreto Ley 4170 de 2011,</w:t>
      </w:r>
      <w:r w:rsidRPr="006870A3">
        <w:rPr>
          <w:rFonts w:ascii="Verdana" w:eastAsia="Arial MT" w:hAnsi="Verdana" w:cs="Arial MT"/>
          <w:lang w:val="es-ES" w:eastAsia="es-ES"/>
        </w:rPr>
        <w:t xml:space="preserve"> </w:t>
      </w:r>
      <w:r w:rsidRPr="006870A3">
        <w:rPr>
          <w:rFonts w:ascii="Verdana" w:hAnsi="Verdana" w:cs="Arial"/>
        </w:rPr>
        <w:t xml:space="preserve">así como lo establecido la </w:t>
      </w:r>
      <w:r w:rsidRPr="006870A3">
        <w:rPr>
          <w:rFonts w:ascii="Verdana" w:eastAsia="Verdana" w:hAnsi="Verdana" w:cs="Verdana"/>
          <w:color w:val="000000" w:themeColor="text1"/>
        </w:rPr>
        <w:t>Resolución 469 de 2025</w:t>
      </w:r>
      <w:r w:rsidRPr="006870A3">
        <w:rPr>
          <w:rFonts w:ascii="Verdana" w:hAnsi="Verdana" w:cs="Arial"/>
        </w:rPr>
        <w:t xml:space="preserve"> expedida por esta Entidad, </w:t>
      </w:r>
      <w:r w:rsidRPr="006870A3">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600D5C" w:rsidRPr="006870A3">
        <w:rPr>
          <w:rFonts w:ascii="Verdana" w:eastAsia="Calibri" w:hAnsi="Verdana" w:cs="Arial"/>
          <w:lang w:val="es-ES" w:eastAsia="es-ES"/>
        </w:rPr>
        <w:t>02 de junio</w:t>
      </w:r>
      <w:r w:rsidRPr="006870A3">
        <w:rPr>
          <w:rFonts w:ascii="Verdana" w:eastAsia="Calibri" w:hAnsi="Verdana" w:cs="Arial"/>
          <w:lang w:val="es-ES" w:eastAsia="es-ES"/>
        </w:rPr>
        <w:t xml:space="preserve"> de 2026, en la cual manifiesta lo siguiente: </w:t>
      </w:r>
    </w:p>
    <w:p w14:paraId="7804CAD5" w14:textId="77777777" w:rsidR="00054748" w:rsidRPr="006870A3" w:rsidRDefault="00054748" w:rsidP="00054748">
      <w:pPr>
        <w:spacing w:after="0" w:line="276" w:lineRule="auto"/>
        <w:jc w:val="both"/>
        <w:rPr>
          <w:rFonts w:ascii="Verdana" w:eastAsia="Calibri" w:hAnsi="Verdana" w:cs="Arial"/>
          <w:color w:val="7030A0"/>
          <w:lang w:val="es-ES" w:eastAsia="es-ES"/>
        </w:rPr>
      </w:pPr>
    </w:p>
    <w:p w14:paraId="2F57FD31" w14:textId="36EE3396" w:rsidR="00092AAE" w:rsidRPr="006870A3" w:rsidRDefault="00054748" w:rsidP="001279A7">
      <w:pPr>
        <w:spacing w:after="0" w:line="240" w:lineRule="auto"/>
        <w:ind w:left="709" w:right="709"/>
        <w:jc w:val="both"/>
        <w:rPr>
          <w:rFonts w:ascii="Verdana" w:eastAsia="Calibri" w:hAnsi="Verdana" w:cs="Arial"/>
          <w:i/>
          <w:color w:val="000000"/>
          <w:sz w:val="20"/>
          <w:szCs w:val="20"/>
          <w:lang w:val="es-ES" w:eastAsia="es-ES"/>
        </w:rPr>
      </w:pPr>
      <w:r w:rsidRPr="006870A3">
        <w:rPr>
          <w:rFonts w:ascii="Verdana" w:eastAsia="Calibri" w:hAnsi="Verdana" w:cs="Arial"/>
          <w:i/>
          <w:color w:val="000000"/>
          <w:sz w:val="20"/>
          <w:szCs w:val="20"/>
          <w:lang w:val="es-ES" w:eastAsia="es-ES"/>
        </w:rPr>
        <w:t>“</w:t>
      </w:r>
      <w:r w:rsidR="00092AAE" w:rsidRPr="006870A3">
        <w:rPr>
          <w:rFonts w:ascii="Verdana" w:eastAsia="Calibri" w:hAnsi="Verdana" w:cs="Arial"/>
          <w:i/>
          <w:color w:val="000000"/>
          <w:sz w:val="20"/>
          <w:szCs w:val="20"/>
          <w:lang w:val="es-ES" w:eastAsia="es-ES"/>
        </w:rPr>
        <w:t xml:space="preserve"> […]</w:t>
      </w:r>
    </w:p>
    <w:p w14:paraId="680E3026" w14:textId="6DA25A09" w:rsidR="00B257BF" w:rsidRPr="006870A3" w:rsidRDefault="00092AAE" w:rsidP="00B257BF">
      <w:pPr>
        <w:spacing w:after="0" w:line="240" w:lineRule="auto"/>
        <w:ind w:left="709" w:right="709"/>
        <w:jc w:val="both"/>
        <w:rPr>
          <w:rFonts w:ascii="Verdana" w:eastAsia="Calibri" w:hAnsi="Verdana" w:cs="Arial"/>
          <w:i/>
          <w:color w:val="000000"/>
          <w:sz w:val="20"/>
          <w:szCs w:val="20"/>
          <w:lang w:val="es-ES" w:eastAsia="es-ES"/>
        </w:rPr>
      </w:pPr>
      <w:r w:rsidRPr="006870A3">
        <w:rPr>
          <w:rFonts w:ascii="Verdana" w:eastAsia="Calibri" w:hAnsi="Verdana" w:cs="Arial"/>
          <w:i/>
          <w:color w:val="000000"/>
          <w:sz w:val="20"/>
          <w:szCs w:val="20"/>
          <w:lang w:val="es-ES" w:eastAsia="es-ES"/>
        </w:rPr>
        <w:t>La E.S.E. Hospital San</w:t>
      </w:r>
      <w:r w:rsidR="00251736" w:rsidRPr="006870A3">
        <w:rPr>
          <w:rFonts w:ascii="Verdana" w:eastAsia="Calibri" w:hAnsi="Verdana" w:cs="Arial"/>
          <w:i/>
          <w:color w:val="000000"/>
          <w:sz w:val="20"/>
          <w:szCs w:val="20"/>
          <w:lang w:val="es-ES" w:eastAsia="es-ES"/>
        </w:rPr>
        <w:t xml:space="preserve"> Vicente de Paúl de Circasia, en cumplimiento de los principios de transparencia, publicidad y responsabilidad administrativa que or</w:t>
      </w:r>
      <w:r w:rsidR="00035221" w:rsidRPr="006870A3">
        <w:rPr>
          <w:rFonts w:ascii="Verdana" w:eastAsia="Calibri" w:hAnsi="Verdana" w:cs="Arial"/>
          <w:i/>
          <w:color w:val="000000"/>
          <w:sz w:val="20"/>
          <w:szCs w:val="20"/>
          <w:lang w:val="es-ES" w:eastAsia="es-ES"/>
        </w:rPr>
        <w:t xml:space="preserve">ientan la gestión contractual </w:t>
      </w:r>
      <w:r w:rsidR="00B257BF" w:rsidRPr="006870A3">
        <w:rPr>
          <w:rFonts w:ascii="Verdana" w:eastAsia="Calibri" w:hAnsi="Verdana" w:cs="Arial"/>
          <w:i/>
          <w:color w:val="000000"/>
          <w:sz w:val="20"/>
          <w:szCs w:val="20"/>
          <w:lang w:val="es-ES" w:eastAsia="es-ES"/>
        </w:rPr>
        <w:t xml:space="preserve">de las entidades públicas, se permite elevar consulta respecto del alcance de la obligación de publicación documental en la plataforma SECOP. </w:t>
      </w:r>
    </w:p>
    <w:p w14:paraId="5122D4BB" w14:textId="6BB91799" w:rsidR="00140533" w:rsidRPr="006870A3" w:rsidRDefault="00140533" w:rsidP="00B257BF">
      <w:pPr>
        <w:spacing w:after="0" w:line="240" w:lineRule="auto"/>
        <w:ind w:left="709" w:right="709"/>
        <w:jc w:val="both"/>
        <w:rPr>
          <w:rFonts w:ascii="Verdana" w:eastAsia="Calibri" w:hAnsi="Verdana" w:cs="Arial"/>
          <w:i/>
          <w:color w:val="000000"/>
          <w:sz w:val="20"/>
          <w:szCs w:val="20"/>
          <w:lang w:val="es-ES" w:eastAsia="es-ES"/>
        </w:rPr>
      </w:pPr>
      <w:r w:rsidRPr="006870A3">
        <w:rPr>
          <w:rFonts w:ascii="Verdana" w:eastAsia="Calibri" w:hAnsi="Verdana" w:cs="Arial"/>
          <w:i/>
          <w:color w:val="000000"/>
          <w:sz w:val="20"/>
          <w:szCs w:val="20"/>
          <w:lang w:val="es-ES" w:eastAsia="es-ES"/>
        </w:rPr>
        <w:t xml:space="preserve">Es pertinente precisar que esta Empresa Social del Estado </w:t>
      </w:r>
      <w:r w:rsidR="00767587" w:rsidRPr="006870A3">
        <w:rPr>
          <w:rFonts w:ascii="Verdana" w:eastAsia="Calibri" w:hAnsi="Verdana" w:cs="Arial"/>
          <w:i/>
          <w:color w:val="000000"/>
          <w:sz w:val="20"/>
          <w:szCs w:val="20"/>
          <w:lang w:val="es-ES" w:eastAsia="es-ES"/>
        </w:rPr>
        <w:t xml:space="preserve">realiza de manera oportuna y completa el cargue de la información contractual </w:t>
      </w:r>
      <w:r w:rsidR="00767587" w:rsidRPr="006870A3">
        <w:rPr>
          <w:rFonts w:ascii="Verdana" w:eastAsia="Calibri" w:hAnsi="Verdana" w:cs="Arial"/>
          <w:i/>
          <w:color w:val="000000"/>
          <w:sz w:val="20"/>
          <w:szCs w:val="20"/>
          <w:lang w:val="es-ES" w:eastAsia="es-ES"/>
        </w:rPr>
        <w:lastRenderedPageBreak/>
        <w:t xml:space="preserve">exigida en la plataforma SIA Observa, atendiendo los lineamientos y requerimientos establecidos por los organismos de control fiscal para efectos de seguimiento, vigilancia y control. </w:t>
      </w:r>
    </w:p>
    <w:p w14:paraId="40456F43" w14:textId="580C8C2A" w:rsidR="006A3C37" w:rsidRPr="006870A3" w:rsidRDefault="006A3C37" w:rsidP="00B257BF">
      <w:pPr>
        <w:spacing w:after="0" w:line="240" w:lineRule="auto"/>
        <w:ind w:left="709" w:right="709"/>
        <w:jc w:val="both"/>
        <w:rPr>
          <w:rFonts w:ascii="Verdana" w:eastAsia="Calibri" w:hAnsi="Verdana" w:cs="Arial"/>
          <w:i/>
          <w:color w:val="000000"/>
          <w:sz w:val="20"/>
          <w:szCs w:val="20"/>
          <w:lang w:val="es-ES" w:eastAsia="es-ES"/>
        </w:rPr>
      </w:pPr>
      <w:r w:rsidRPr="006870A3">
        <w:rPr>
          <w:rFonts w:ascii="Verdana" w:eastAsia="Calibri" w:hAnsi="Verdana" w:cs="Arial"/>
          <w:i/>
          <w:color w:val="000000"/>
          <w:sz w:val="20"/>
          <w:szCs w:val="20"/>
          <w:lang w:val="es-ES" w:eastAsia="es-ES"/>
        </w:rPr>
        <w:t xml:space="preserve">No obstante, surge la inquietud frente a la obligación de publicar en SECOP la totalidad de los mismos documentos que reposan en dicha plataforma de control, teniendo en cuenta que la publicación realizada por la E.S.E. en SECOP tiene un carácter </w:t>
      </w:r>
      <w:r w:rsidR="00AC3564" w:rsidRPr="006870A3">
        <w:rPr>
          <w:rFonts w:ascii="Verdana" w:eastAsia="Calibri" w:hAnsi="Verdana" w:cs="Arial"/>
          <w:i/>
          <w:color w:val="000000"/>
          <w:sz w:val="20"/>
          <w:szCs w:val="20"/>
          <w:lang w:val="es-ES" w:eastAsia="es-ES"/>
        </w:rPr>
        <w:t xml:space="preserve">estrictamente publicitario y no transaccional, lo cual implica que determinados documentos quedan expuestos al acceso </w:t>
      </w:r>
      <w:r w:rsidR="00A17872" w:rsidRPr="006870A3">
        <w:rPr>
          <w:rFonts w:ascii="Verdana" w:eastAsia="Calibri" w:hAnsi="Verdana" w:cs="Arial"/>
          <w:i/>
          <w:color w:val="000000"/>
          <w:sz w:val="20"/>
          <w:szCs w:val="20"/>
          <w:lang w:val="es-ES" w:eastAsia="es-ES"/>
        </w:rPr>
        <w:t xml:space="preserve">público general, pudiendo contener información susceptible de reserva, confidencialidad o tratamiento especial </w:t>
      </w:r>
      <w:r w:rsidR="00DD3A26" w:rsidRPr="006870A3">
        <w:rPr>
          <w:rFonts w:ascii="Verdana" w:eastAsia="Calibri" w:hAnsi="Verdana" w:cs="Arial"/>
          <w:i/>
          <w:color w:val="000000"/>
          <w:sz w:val="20"/>
          <w:szCs w:val="20"/>
          <w:lang w:val="es-ES" w:eastAsia="es-ES"/>
        </w:rPr>
        <w:t>conforme el ordenamiento jurídico, puntualmente lo que corresponde a informe de actividades</w:t>
      </w:r>
      <w:r w:rsidR="007B37FF" w:rsidRPr="006870A3">
        <w:rPr>
          <w:rFonts w:ascii="Verdana" w:eastAsia="Calibri" w:hAnsi="Verdana" w:cs="Arial"/>
          <w:i/>
          <w:color w:val="000000"/>
          <w:sz w:val="20"/>
          <w:szCs w:val="20"/>
          <w:lang w:val="es-ES" w:eastAsia="es-ES"/>
        </w:rPr>
        <w:t xml:space="preserve">, actas de supervisión, cuentas de cobro y comprobantes de egreso. </w:t>
      </w:r>
    </w:p>
    <w:p w14:paraId="7AC0FE27" w14:textId="33ACFD32" w:rsidR="00D57661" w:rsidRPr="006870A3" w:rsidRDefault="00D57661" w:rsidP="00D57661">
      <w:pPr>
        <w:spacing w:after="0" w:line="240" w:lineRule="auto"/>
        <w:ind w:left="709" w:right="709"/>
        <w:jc w:val="both"/>
        <w:rPr>
          <w:rFonts w:ascii="Verdana" w:eastAsia="Calibri" w:hAnsi="Verdana" w:cs="Arial"/>
          <w:i/>
          <w:color w:val="000000"/>
          <w:sz w:val="20"/>
          <w:szCs w:val="20"/>
          <w:lang w:val="es-ES" w:eastAsia="es-ES"/>
        </w:rPr>
      </w:pPr>
      <w:r w:rsidRPr="006870A3">
        <w:rPr>
          <w:rFonts w:ascii="Verdana" w:eastAsia="Calibri" w:hAnsi="Verdana" w:cs="Arial"/>
          <w:i/>
          <w:color w:val="000000"/>
          <w:sz w:val="20"/>
          <w:szCs w:val="20"/>
          <w:lang w:val="es-ES" w:eastAsia="es-ES"/>
        </w:rPr>
        <w:t>En ese sentido, respetuosamente solicitamos se emita orientación jurídica frente a los siguientes interrogantes:</w:t>
      </w:r>
    </w:p>
    <w:p w14:paraId="7F67FFB6" w14:textId="77777777" w:rsidR="00D57661" w:rsidRPr="006870A3" w:rsidRDefault="00D57661" w:rsidP="00D57661">
      <w:pPr>
        <w:spacing w:after="0" w:line="240" w:lineRule="auto"/>
        <w:ind w:left="709" w:right="709"/>
        <w:jc w:val="both"/>
        <w:rPr>
          <w:rFonts w:ascii="Verdana" w:eastAsia="Calibri" w:hAnsi="Verdana" w:cs="Arial"/>
          <w:i/>
          <w:color w:val="000000"/>
          <w:sz w:val="20"/>
          <w:szCs w:val="20"/>
          <w:lang w:val="es-ES" w:eastAsia="es-ES"/>
        </w:rPr>
      </w:pPr>
    </w:p>
    <w:p w14:paraId="09417271" w14:textId="5D991CF6" w:rsidR="00A06FFF" w:rsidRPr="006870A3" w:rsidRDefault="00247655" w:rsidP="00D57661">
      <w:pPr>
        <w:pStyle w:val="Prrafodelista"/>
        <w:numPr>
          <w:ilvl w:val="0"/>
          <w:numId w:val="24"/>
        </w:numPr>
        <w:spacing w:after="0" w:line="240" w:lineRule="auto"/>
        <w:ind w:right="709"/>
        <w:jc w:val="both"/>
        <w:rPr>
          <w:rFonts w:ascii="Verdana" w:eastAsia="Calibri" w:hAnsi="Verdana" w:cs="Arial"/>
          <w:i/>
          <w:color w:val="000000"/>
          <w:sz w:val="20"/>
          <w:szCs w:val="20"/>
          <w:lang w:eastAsia="es-ES"/>
        </w:rPr>
      </w:pPr>
      <w:r w:rsidRPr="006870A3">
        <w:rPr>
          <w:rFonts w:ascii="Verdana" w:eastAsia="Calibri" w:hAnsi="Verdana" w:cs="Arial"/>
          <w:i/>
          <w:color w:val="000000"/>
          <w:sz w:val="20"/>
          <w:szCs w:val="20"/>
          <w:lang w:eastAsia="es-ES"/>
        </w:rPr>
        <w:t>Existe disposición normativa expresa que imponga a las Empresas Sociales del Estado la obligación de publicar en el Sistema Electrónico para la contratación pública (SECOP)</w:t>
      </w:r>
      <w:r w:rsidR="00092AAE" w:rsidRPr="006870A3">
        <w:rPr>
          <w:rFonts w:ascii="Verdana" w:eastAsia="Calibri" w:hAnsi="Verdana" w:cs="Arial"/>
          <w:i/>
          <w:color w:val="000000"/>
          <w:sz w:val="20"/>
          <w:szCs w:val="20"/>
          <w:lang w:eastAsia="es-ES"/>
        </w:rPr>
        <w:t xml:space="preserve">, de manera integral, los informes de actividades, actas de supervisión, cuentas de cobro y comprobantes de egreso que se generen dentro de cada proceso contractual, aun cuando dicha información ya haya sido reportada íntegramente en el Sistema Integral de Auditoria – SIA Observa? </w:t>
      </w:r>
    </w:p>
    <w:p w14:paraId="18F99862" w14:textId="53FA8515" w:rsidR="00D57661" w:rsidRPr="006870A3" w:rsidRDefault="00D57661" w:rsidP="00D57661">
      <w:pPr>
        <w:pStyle w:val="Prrafodelista"/>
        <w:numPr>
          <w:ilvl w:val="0"/>
          <w:numId w:val="24"/>
        </w:numPr>
        <w:spacing w:after="0" w:line="240" w:lineRule="auto"/>
        <w:ind w:right="709"/>
        <w:jc w:val="both"/>
        <w:rPr>
          <w:rFonts w:ascii="Verdana" w:eastAsia="Calibri" w:hAnsi="Verdana" w:cs="Arial"/>
          <w:i/>
          <w:color w:val="000000"/>
          <w:sz w:val="20"/>
          <w:szCs w:val="20"/>
          <w:lang w:eastAsia="es-ES"/>
        </w:rPr>
      </w:pPr>
      <w:r w:rsidRPr="006870A3">
        <w:rPr>
          <w:rFonts w:ascii="Verdana" w:eastAsia="Calibri" w:hAnsi="Verdana" w:cs="Arial"/>
          <w:i/>
          <w:color w:val="000000"/>
          <w:sz w:val="20"/>
          <w:szCs w:val="20"/>
          <w:lang w:eastAsia="es-ES"/>
        </w:rPr>
        <w:t xml:space="preserve">Considerando que la finalidad del cargue en SECOP para esta entidad corresponde exclusivamente al cumplimiento del principio de publicidad, ¿es jurídicamente procedente limitar la publicación de aquellos documentos que contengan información sometida a reserva legal, datos personales sensibles </w:t>
      </w:r>
      <w:r w:rsidR="00A021E3" w:rsidRPr="006870A3">
        <w:rPr>
          <w:rFonts w:ascii="Verdana" w:eastAsia="Calibri" w:hAnsi="Verdana" w:cs="Arial"/>
          <w:i/>
          <w:color w:val="000000"/>
          <w:sz w:val="20"/>
          <w:szCs w:val="20"/>
          <w:lang w:eastAsia="es-ES"/>
        </w:rPr>
        <w:t>y/o información confidencial?</w:t>
      </w:r>
    </w:p>
    <w:p w14:paraId="6FD9AFAF" w14:textId="3BE2186E" w:rsidR="00A021E3" w:rsidRPr="006870A3" w:rsidRDefault="00A021E3" w:rsidP="00D57661">
      <w:pPr>
        <w:pStyle w:val="Prrafodelista"/>
        <w:numPr>
          <w:ilvl w:val="0"/>
          <w:numId w:val="24"/>
        </w:numPr>
        <w:spacing w:after="0" w:line="240" w:lineRule="auto"/>
        <w:ind w:right="709"/>
        <w:jc w:val="both"/>
        <w:rPr>
          <w:rFonts w:ascii="Verdana" w:eastAsia="Calibri" w:hAnsi="Verdana" w:cs="Arial"/>
          <w:i/>
          <w:color w:val="000000"/>
          <w:sz w:val="20"/>
          <w:szCs w:val="20"/>
          <w:lang w:eastAsia="es-ES"/>
        </w:rPr>
      </w:pPr>
      <w:r w:rsidRPr="006870A3">
        <w:rPr>
          <w:rFonts w:ascii="Verdana" w:eastAsia="Calibri" w:hAnsi="Verdana" w:cs="Arial"/>
          <w:i/>
          <w:color w:val="000000"/>
          <w:sz w:val="20"/>
          <w:szCs w:val="20"/>
          <w:lang w:eastAsia="es-ES"/>
        </w:rPr>
        <w:t xml:space="preserve">¿Resulta jurídicamente procedente que la entidad publique en el SECOP únicamente los documentos esenciales </w:t>
      </w:r>
      <w:r w:rsidR="00745B9A" w:rsidRPr="006870A3">
        <w:rPr>
          <w:rFonts w:ascii="Verdana" w:eastAsia="Calibri" w:hAnsi="Verdana" w:cs="Arial"/>
          <w:i/>
          <w:color w:val="000000"/>
          <w:sz w:val="20"/>
          <w:szCs w:val="20"/>
          <w:lang w:eastAsia="es-ES"/>
        </w:rPr>
        <w:t>que garan</w:t>
      </w:r>
      <w:r w:rsidR="003D3A74" w:rsidRPr="006870A3">
        <w:rPr>
          <w:rFonts w:ascii="Verdana" w:eastAsia="Calibri" w:hAnsi="Verdana" w:cs="Arial"/>
          <w:i/>
          <w:color w:val="000000"/>
          <w:sz w:val="20"/>
          <w:szCs w:val="20"/>
          <w:lang w:eastAsia="es-ES"/>
        </w:rPr>
        <w:t>ticen la transparencia y trazabilidad del proceso contractual, omitiendo, suprimiendo o restringiendo la p</w:t>
      </w:r>
      <w:r w:rsidR="00040944" w:rsidRPr="006870A3">
        <w:rPr>
          <w:rFonts w:ascii="Verdana" w:eastAsia="Calibri" w:hAnsi="Verdana" w:cs="Arial"/>
          <w:i/>
          <w:color w:val="000000"/>
          <w:sz w:val="20"/>
          <w:szCs w:val="20"/>
          <w:lang w:eastAsia="es-ES"/>
        </w:rPr>
        <w:t xml:space="preserve">ublicación de aquellos anexos o soportes documentales – tales como comprobantes de egreso, cuentas de cobro, informes de actividades y actas de supervisión – cuya divulgación pueda comprometer información protegida </w:t>
      </w:r>
      <w:r w:rsidR="00962DF3" w:rsidRPr="006870A3">
        <w:rPr>
          <w:rFonts w:ascii="Verdana" w:eastAsia="Calibri" w:hAnsi="Verdana" w:cs="Arial"/>
          <w:i/>
          <w:color w:val="000000"/>
          <w:sz w:val="20"/>
          <w:szCs w:val="20"/>
          <w:lang w:eastAsia="es-ES"/>
        </w:rPr>
        <w:t xml:space="preserve">o reservada conforme a la normatividad vigente? </w:t>
      </w:r>
    </w:p>
    <w:p w14:paraId="2480C7BF" w14:textId="4DC3DEDC" w:rsidR="00962DF3" w:rsidRPr="006870A3" w:rsidRDefault="00962DF3" w:rsidP="00D57661">
      <w:pPr>
        <w:pStyle w:val="Prrafodelista"/>
        <w:numPr>
          <w:ilvl w:val="0"/>
          <w:numId w:val="24"/>
        </w:numPr>
        <w:spacing w:after="0" w:line="240" w:lineRule="auto"/>
        <w:ind w:right="709"/>
        <w:jc w:val="both"/>
        <w:rPr>
          <w:rFonts w:ascii="Verdana" w:eastAsia="Calibri" w:hAnsi="Verdana" w:cs="Arial"/>
          <w:i/>
          <w:color w:val="000000"/>
          <w:sz w:val="20"/>
          <w:szCs w:val="20"/>
          <w:lang w:eastAsia="es-ES"/>
        </w:rPr>
      </w:pPr>
      <w:r w:rsidRPr="006870A3">
        <w:rPr>
          <w:rFonts w:ascii="Verdana" w:eastAsia="Calibri" w:hAnsi="Verdana" w:cs="Arial"/>
          <w:i/>
          <w:color w:val="000000"/>
          <w:sz w:val="20"/>
          <w:szCs w:val="20"/>
          <w:lang w:eastAsia="es-ES"/>
        </w:rPr>
        <w:t xml:space="preserve">Puede entenderse satisfecha la obligación de publicidad contractual en el SECOP </w:t>
      </w:r>
      <w:r w:rsidR="00045B1F" w:rsidRPr="006870A3">
        <w:rPr>
          <w:rFonts w:ascii="Verdana" w:eastAsia="Calibri" w:hAnsi="Verdana" w:cs="Arial"/>
          <w:i/>
          <w:color w:val="000000"/>
          <w:sz w:val="20"/>
          <w:szCs w:val="20"/>
          <w:lang w:eastAsia="es-ES"/>
        </w:rPr>
        <w:t>mediante la publicación de la información general y de los documentos principales del proceso contractual</w:t>
      </w:r>
      <w:r w:rsidR="00C17927" w:rsidRPr="006870A3">
        <w:rPr>
          <w:rFonts w:ascii="Verdana" w:eastAsia="Calibri" w:hAnsi="Verdana" w:cs="Arial"/>
          <w:i/>
          <w:color w:val="000000"/>
          <w:sz w:val="20"/>
          <w:szCs w:val="20"/>
          <w:lang w:eastAsia="es-ES"/>
        </w:rPr>
        <w:t>, así como de los soportes que acrediten su ejecución – tales como informes de actividades, actas de supervisión, cuentas de cobro y comprobantes de egreso – sin que ello implique rep</w:t>
      </w:r>
      <w:r w:rsidR="00373F27" w:rsidRPr="006870A3">
        <w:rPr>
          <w:rFonts w:ascii="Verdana" w:eastAsia="Calibri" w:hAnsi="Verdana" w:cs="Arial"/>
          <w:i/>
          <w:color w:val="000000"/>
          <w:sz w:val="20"/>
          <w:szCs w:val="20"/>
          <w:lang w:eastAsia="es-ES"/>
        </w:rPr>
        <w:t xml:space="preserve">licar de manera exacta e integral la totalidad de los documentos reportados en la plataforma SIA Observa? </w:t>
      </w:r>
    </w:p>
    <w:p w14:paraId="156D5AB1" w14:textId="7295CDBA" w:rsidR="005D37AF" w:rsidRPr="006870A3" w:rsidRDefault="005D37AF" w:rsidP="005D37AF">
      <w:pPr>
        <w:pStyle w:val="Prrafodelista"/>
        <w:spacing w:after="0" w:line="240" w:lineRule="auto"/>
        <w:ind w:left="1069" w:right="709"/>
        <w:jc w:val="both"/>
        <w:rPr>
          <w:rFonts w:ascii="Verdana" w:eastAsia="Calibri" w:hAnsi="Verdana" w:cs="Arial"/>
          <w:i/>
          <w:color w:val="000000"/>
          <w:sz w:val="20"/>
          <w:szCs w:val="20"/>
          <w:lang w:eastAsia="es-ES"/>
        </w:rPr>
      </w:pPr>
      <w:r w:rsidRPr="006870A3">
        <w:rPr>
          <w:rFonts w:ascii="Verdana" w:eastAsia="Calibri" w:hAnsi="Verdana" w:cs="Arial"/>
          <w:i/>
          <w:color w:val="000000"/>
          <w:sz w:val="20"/>
          <w:szCs w:val="20"/>
          <w:lang w:eastAsia="es-ES"/>
        </w:rPr>
        <w:t>[…]”</w:t>
      </w:r>
    </w:p>
    <w:p w14:paraId="1AFEB55D" w14:textId="77777777" w:rsidR="00752103" w:rsidRPr="006870A3" w:rsidRDefault="00752103" w:rsidP="00856E3E">
      <w:pPr>
        <w:spacing w:after="0" w:line="240" w:lineRule="auto"/>
        <w:ind w:right="709"/>
        <w:jc w:val="both"/>
        <w:rPr>
          <w:rFonts w:ascii="Verdana" w:eastAsia="Calibri" w:hAnsi="Verdana" w:cs="Arial"/>
          <w:i/>
          <w:color w:val="000000"/>
          <w:sz w:val="20"/>
          <w:szCs w:val="20"/>
          <w:lang w:val="es-ES" w:eastAsia="es-ES"/>
        </w:rPr>
      </w:pPr>
    </w:p>
    <w:p w14:paraId="6A8ACAB6" w14:textId="77777777" w:rsidR="00054748" w:rsidRPr="006870A3" w:rsidRDefault="00054748" w:rsidP="00054748">
      <w:pPr>
        <w:spacing w:after="120" w:line="276" w:lineRule="auto"/>
        <w:ind w:firstLine="709"/>
        <w:jc w:val="both"/>
        <w:rPr>
          <w:rFonts w:ascii="Verdana" w:eastAsia="Calibri" w:hAnsi="Verdana" w:cs="Arial"/>
          <w:color w:val="000000"/>
          <w:szCs w:val="24"/>
          <w:lang w:val="es-ES_tradnl" w:eastAsia="es-ES_tradnl"/>
        </w:rPr>
      </w:pPr>
      <w:r w:rsidRPr="006870A3">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870A3">
        <w:rPr>
          <w:rFonts w:ascii="Verdana" w:eastAsia="Calibri" w:hAnsi="Verdana" w:cs="Arial"/>
          <w:color w:val="000000"/>
          <w:szCs w:val="24"/>
          <w:lang w:val="es-ES_tradnl" w:eastAsia="es-ES_tradnl"/>
        </w:rPr>
        <w:tab/>
      </w:r>
    </w:p>
    <w:p w14:paraId="698F94B0" w14:textId="77777777" w:rsidR="00054748" w:rsidRPr="006870A3" w:rsidRDefault="00054748" w:rsidP="00054748">
      <w:pPr>
        <w:spacing w:after="0" w:line="276" w:lineRule="auto"/>
        <w:ind w:firstLine="709"/>
        <w:jc w:val="both"/>
        <w:rPr>
          <w:rFonts w:ascii="Verdana" w:eastAsia="Calibri" w:hAnsi="Verdana" w:cs="Arial"/>
          <w:color w:val="000000"/>
          <w:lang w:val="es-ES" w:eastAsia="es-ES"/>
        </w:rPr>
      </w:pPr>
      <w:r w:rsidRPr="006870A3">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6870A3">
        <w:rPr>
          <w:rFonts w:ascii="Verdana" w:eastAsia="Calibri" w:hAnsi="Verdana" w:cs="Arial"/>
          <w:lang w:val="es-ES" w:eastAsia="es-ES"/>
        </w:rPr>
        <w:t xml:space="preserve">el problema </w:t>
      </w:r>
      <w:r w:rsidRPr="006870A3">
        <w:rPr>
          <w:rFonts w:ascii="Verdana" w:eastAsia="Calibri" w:hAnsi="Verdana" w:cs="Arial"/>
          <w:color w:val="000000"/>
          <w:lang w:val="es-ES" w:eastAsia="es-ES"/>
        </w:rPr>
        <w:t xml:space="preserve">jurídico de su consulta. </w:t>
      </w:r>
    </w:p>
    <w:p w14:paraId="44480558" w14:textId="77777777" w:rsidR="00054748" w:rsidRPr="006870A3" w:rsidRDefault="00054748" w:rsidP="00054748">
      <w:pPr>
        <w:spacing w:after="0" w:line="276" w:lineRule="auto"/>
        <w:ind w:firstLine="709"/>
        <w:jc w:val="both"/>
        <w:rPr>
          <w:rFonts w:ascii="Verdana" w:eastAsia="Calibri" w:hAnsi="Verdana" w:cs="Arial"/>
          <w:color w:val="000000"/>
          <w:lang w:val="es-ES" w:eastAsia="es-ES"/>
        </w:rPr>
      </w:pPr>
    </w:p>
    <w:p w14:paraId="1A01DFE8" w14:textId="77777777" w:rsidR="00054748" w:rsidRPr="006870A3" w:rsidRDefault="00054748" w:rsidP="0005474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870A3">
        <w:rPr>
          <w:rFonts w:ascii="Verdana" w:eastAsia="Century Gothic" w:hAnsi="Verdana" w:cs="Century Gothic"/>
          <w:b/>
          <w:bCs/>
        </w:rPr>
        <w:t>Problema planteado:</w:t>
      </w:r>
    </w:p>
    <w:p w14:paraId="54F78013" w14:textId="77777777" w:rsidR="00054748" w:rsidRPr="006870A3" w:rsidRDefault="00054748" w:rsidP="00054748">
      <w:pPr>
        <w:spacing w:after="0" w:line="276" w:lineRule="auto"/>
        <w:jc w:val="both"/>
        <w:rPr>
          <w:rFonts w:ascii="Verdana" w:eastAsia="Century Gothic" w:hAnsi="Verdana" w:cs="Century Gothic"/>
        </w:rPr>
      </w:pPr>
    </w:p>
    <w:p w14:paraId="2202E835" w14:textId="1C63FDEC" w:rsidR="003F1BCC" w:rsidRPr="006870A3" w:rsidRDefault="00054748" w:rsidP="00CF0A77">
      <w:pPr>
        <w:spacing w:after="0" w:line="276" w:lineRule="auto"/>
        <w:jc w:val="both"/>
        <w:rPr>
          <w:rFonts w:ascii="Verdana" w:eastAsia="Century Gothic" w:hAnsi="Verdana" w:cs="Century Gothic"/>
        </w:rPr>
      </w:pPr>
      <w:r w:rsidRPr="006870A3">
        <w:rPr>
          <w:rFonts w:ascii="Verdana" w:eastAsia="Century Gothic" w:hAnsi="Verdana" w:cs="Century Gothic"/>
        </w:rPr>
        <w:t xml:space="preserve">De acuerdo con el contenido de su solicitud, esta Agencia abordará </w:t>
      </w:r>
      <w:r w:rsidR="00740F02" w:rsidRPr="006870A3">
        <w:rPr>
          <w:rFonts w:ascii="Verdana" w:eastAsia="Century Gothic" w:hAnsi="Verdana" w:cs="Century Gothic"/>
        </w:rPr>
        <w:t xml:space="preserve">el siguiente problema jurídico: </w:t>
      </w:r>
      <w:r w:rsidR="00D03FCD" w:rsidRPr="006870A3">
        <w:rPr>
          <w:rFonts w:ascii="Verdana" w:eastAsia="Century Gothic" w:hAnsi="Verdana" w:cs="Century Gothic"/>
        </w:rPr>
        <w:t>¿Las Empresas Sociales del Estado sometidas a régimen especial de contratación están obligadas a publicar en el SECOP la totalidad de los documentos e información relacionados con la ejecución contractual que ya han sido reportados en el SIA Observa? En ese contexto ¿pueden limitar la publicación de aquellos documentos que contengan información sometida a reserva legal, confidencialidad o protección especial, sin afectar el cumplimiento de los principios de publicidad y transparencia de la actividad contractual?</w:t>
      </w:r>
    </w:p>
    <w:p w14:paraId="64382BDE" w14:textId="77777777" w:rsidR="00C138F9" w:rsidRDefault="00C138F9" w:rsidP="00CF0A77">
      <w:pPr>
        <w:spacing w:after="0" w:line="276" w:lineRule="auto"/>
        <w:jc w:val="both"/>
        <w:rPr>
          <w:rFonts w:ascii="Verdana" w:eastAsia="Century Gothic" w:hAnsi="Verdana" w:cs="Century Gothic"/>
        </w:rPr>
      </w:pPr>
    </w:p>
    <w:p w14:paraId="6972FCCB" w14:textId="77777777" w:rsidR="00FE4CFC" w:rsidRDefault="00FE4CFC" w:rsidP="00CF0A77">
      <w:pPr>
        <w:spacing w:after="0" w:line="276" w:lineRule="auto"/>
        <w:jc w:val="both"/>
        <w:rPr>
          <w:rFonts w:ascii="Verdana" w:eastAsia="Century Gothic" w:hAnsi="Verdana" w:cs="Century Gothic"/>
        </w:rPr>
      </w:pPr>
    </w:p>
    <w:p w14:paraId="1EC29BBD" w14:textId="77777777" w:rsidR="00FE4CFC" w:rsidRDefault="00FE4CFC" w:rsidP="00CF0A77">
      <w:pPr>
        <w:spacing w:after="0" w:line="276" w:lineRule="auto"/>
        <w:jc w:val="both"/>
        <w:rPr>
          <w:rFonts w:ascii="Verdana" w:eastAsia="Century Gothic" w:hAnsi="Verdana" w:cs="Century Gothic"/>
        </w:rPr>
      </w:pPr>
    </w:p>
    <w:p w14:paraId="07E433B8" w14:textId="77777777" w:rsidR="00FE4CFC" w:rsidRPr="006870A3" w:rsidRDefault="00FE4CFC" w:rsidP="00CF0A77">
      <w:pPr>
        <w:spacing w:after="0" w:line="276" w:lineRule="auto"/>
        <w:jc w:val="both"/>
        <w:rPr>
          <w:rFonts w:ascii="Verdana" w:eastAsia="Century Gothic" w:hAnsi="Verdana" w:cs="Century Gothic"/>
        </w:rPr>
      </w:pPr>
    </w:p>
    <w:p w14:paraId="757812DB" w14:textId="77777777" w:rsidR="00054748" w:rsidRPr="006870A3" w:rsidRDefault="00054748" w:rsidP="000547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870A3">
        <w:rPr>
          <w:rFonts w:ascii="Verdana" w:eastAsia="Century Gothic" w:hAnsi="Verdana" w:cs="Century Gothic"/>
          <w:b/>
          <w:bCs/>
        </w:rPr>
        <w:t>Respuesta:</w:t>
      </w:r>
    </w:p>
    <w:p w14:paraId="1A786415" w14:textId="77777777" w:rsidR="00054748" w:rsidRPr="006870A3" w:rsidRDefault="00054748" w:rsidP="0005474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54748" w:rsidRPr="006870A3" w14:paraId="4B5AFF77" w14:textId="77777777" w:rsidTr="00CB1843">
        <w:tc>
          <w:tcPr>
            <w:tcW w:w="8828" w:type="dxa"/>
          </w:tcPr>
          <w:p w14:paraId="1493AEBE" w14:textId="62AF4191" w:rsidR="003F1F50" w:rsidRPr="006870A3" w:rsidRDefault="00AF247C" w:rsidP="00AF247C">
            <w:pPr>
              <w:spacing w:after="120" w:line="276" w:lineRule="auto"/>
              <w:jc w:val="both"/>
              <w:rPr>
                <w:rFonts w:ascii="Verdana" w:eastAsia="Calibri" w:hAnsi="Verdana" w:cs="Arial"/>
                <w:bCs/>
                <w:color w:val="000000" w:themeColor="text1"/>
              </w:rPr>
            </w:pPr>
            <w:r w:rsidRPr="006870A3">
              <w:rPr>
                <w:rFonts w:ascii="Verdana" w:eastAsia="Calibri" w:hAnsi="Verdana" w:cs="Arial"/>
                <w:bCs/>
                <w:color w:val="000000" w:themeColor="text1"/>
              </w:rPr>
              <w:lastRenderedPageBreak/>
              <w:t xml:space="preserve">Para responder el problema jurídico planteado, es importante precisar </w:t>
            </w:r>
            <w:r w:rsidR="003F1F50" w:rsidRPr="006870A3">
              <w:rPr>
                <w:rFonts w:ascii="Verdana" w:eastAsia="Calibri" w:hAnsi="Verdana" w:cs="Arial"/>
                <w:bCs/>
                <w:color w:val="000000" w:themeColor="text1"/>
              </w:rPr>
              <w:t xml:space="preserve">que de conformidad con el </w:t>
            </w:r>
            <w:r w:rsidR="00AA146E" w:rsidRPr="006870A3">
              <w:rPr>
                <w:rFonts w:ascii="Verdana" w:eastAsia="Calibri" w:hAnsi="Verdana" w:cs="Arial"/>
                <w:bCs/>
                <w:color w:val="000000" w:themeColor="text1"/>
              </w:rPr>
              <w:t xml:space="preserve">artículo </w:t>
            </w:r>
            <w:r w:rsidR="00147AAE" w:rsidRPr="006870A3">
              <w:rPr>
                <w:rFonts w:ascii="Verdana" w:eastAsia="Calibri" w:hAnsi="Verdana" w:cs="Arial"/>
                <w:bCs/>
                <w:color w:val="000000" w:themeColor="text1"/>
              </w:rPr>
              <w:t xml:space="preserve">13 de la Ley 1150 de 2007, modificado por el artículo 53 de la Ley 2195 de 2022, las entidades de régimen especial se encuentran obligadas a realizar la publicación </w:t>
            </w:r>
            <w:r w:rsidR="00401396" w:rsidRPr="006870A3">
              <w:rPr>
                <w:rFonts w:ascii="Verdana" w:eastAsia="Calibri" w:hAnsi="Verdana" w:cs="Arial"/>
                <w:lang w:val="es-ES"/>
              </w:rPr>
              <w:t>de la actividad contractual que se financie con recursos públicos a través del SECOP II.</w:t>
            </w:r>
            <w:r w:rsidR="00C57676" w:rsidRPr="006870A3">
              <w:rPr>
                <w:rFonts w:ascii="Verdana" w:eastAsia="Calibri" w:hAnsi="Verdana" w:cs="Arial"/>
                <w:lang w:val="es-ES"/>
              </w:rPr>
              <w:t xml:space="preserve"> </w:t>
            </w:r>
            <w:r w:rsidR="00F20E17" w:rsidRPr="006870A3">
              <w:rPr>
                <w:rFonts w:ascii="Verdana" w:eastAsia="Calibri" w:hAnsi="Verdana" w:cs="Arial"/>
                <w:lang w:val="es-ES"/>
              </w:rPr>
              <w:t xml:space="preserve">Es decir, en virtud de que la obligación de publicidad establecida en dicha norma se predica únicamente de la actividad contractual financiada con recursos </w:t>
            </w:r>
            <w:r w:rsidR="00CB757B" w:rsidRPr="006870A3">
              <w:rPr>
                <w:rFonts w:ascii="Verdana" w:eastAsia="Calibri" w:hAnsi="Verdana" w:cs="Arial"/>
                <w:lang w:val="es-ES"/>
              </w:rPr>
              <w:t>estatales</w:t>
            </w:r>
            <w:r w:rsidR="00F20E17" w:rsidRPr="006870A3">
              <w:rPr>
                <w:rFonts w:ascii="Verdana" w:eastAsia="Calibri" w:hAnsi="Verdana" w:cs="Arial"/>
                <w:lang w:val="es-ES"/>
              </w:rPr>
              <w:t>, resulta meramente potestativa o facultativa la decisión de realizar o no la publicación de la actividad contractual financiada con otro tipo de recursos en dicha plataforma.</w:t>
            </w:r>
          </w:p>
          <w:p w14:paraId="7205B463" w14:textId="64132A65" w:rsidR="008041D5" w:rsidRPr="006870A3" w:rsidRDefault="00196868" w:rsidP="008041D5">
            <w:pPr>
              <w:spacing w:after="120" w:line="276" w:lineRule="auto"/>
              <w:ind w:firstLine="709"/>
              <w:jc w:val="both"/>
              <w:rPr>
                <w:rFonts w:ascii="Verdana" w:eastAsia="Arial" w:hAnsi="Verdana" w:cs="Arial"/>
                <w:lang w:val="es-ES" w:eastAsia="es-ES_tradnl"/>
              </w:rPr>
            </w:pPr>
            <w:r w:rsidRPr="006870A3">
              <w:rPr>
                <w:rFonts w:ascii="Verdana" w:eastAsia="Calibri" w:hAnsi="Verdana" w:cs="Arial"/>
              </w:rPr>
              <w:t>Respecto de los documentos que se deben publicar y el término para publicar la actividad contractual, e</w:t>
            </w:r>
            <w:r w:rsidRPr="006870A3">
              <w:rPr>
                <w:rFonts w:ascii="Verdana" w:eastAsia="Calibri" w:hAnsi="Verdana" w:cs="Arial"/>
                <w:lang w:val="es-ES" w:eastAsia="es-ES"/>
              </w:rPr>
              <w:t>sta Agencia considera que, la obligación de publicar en el SECOP II todos los documentos relacionados con la actividad contractual de las entidades con regímenes especiales contenida en el artículo 53 de la</w:t>
            </w:r>
            <w:r w:rsidR="0037595A" w:rsidRPr="006870A3">
              <w:rPr>
                <w:rFonts w:ascii="Verdana" w:eastAsia="Calibri" w:hAnsi="Verdana" w:cs="Arial"/>
                <w:lang w:val="es-ES" w:eastAsia="es-ES"/>
              </w:rPr>
              <w:t xml:space="preserve"> Ley 2195 de 2022 debe interpretarse de forma sistemática con los preceptos que existen sobre la materia, </w:t>
            </w:r>
            <w:r w:rsidR="0037595A" w:rsidRPr="006870A3">
              <w:rPr>
                <w:rFonts w:ascii="Verdana" w:eastAsia="Calibri" w:hAnsi="Verdana" w:cs="Arial"/>
                <w:shd w:val="clear" w:color="auto" w:fill="FFFFFF"/>
              </w:rPr>
              <w:t>que menciona</w:t>
            </w:r>
            <w:r w:rsidR="00F127BB" w:rsidRPr="006870A3">
              <w:rPr>
                <w:rFonts w:ascii="Verdana" w:eastAsia="Calibri" w:hAnsi="Verdana" w:cs="Arial"/>
                <w:shd w:val="clear" w:color="auto" w:fill="FFFFFF"/>
              </w:rPr>
              <w:t>n</w:t>
            </w:r>
            <w:r w:rsidR="0037595A" w:rsidRPr="006870A3">
              <w:rPr>
                <w:rFonts w:ascii="Verdana" w:eastAsia="Calibri" w:hAnsi="Verdana" w:cs="Arial"/>
                <w:shd w:val="clear" w:color="auto" w:fill="FFFFFF"/>
              </w:rPr>
              <w:t xml:space="preserve"> que tienen la obligación de publicar en el SECOP “[…] los Documentos del Proceso y los actos administrativos del Proceso de Contratación, dentro de los tres (3) días </w:t>
            </w:r>
            <w:r w:rsidR="0037595A" w:rsidRPr="006870A3">
              <w:rPr>
                <w:rFonts w:ascii="Verdana" w:eastAsia="Calibri" w:hAnsi="Verdana" w:cs="Arial"/>
                <w:lang w:val="es-ES"/>
              </w:rPr>
              <w:t>siguientes</w:t>
            </w:r>
            <w:r w:rsidR="0037595A" w:rsidRPr="006870A3">
              <w:rPr>
                <w:rFonts w:ascii="Verdana" w:eastAsia="Calibri" w:hAnsi="Verdana" w:cs="Arial"/>
                <w:shd w:val="clear" w:color="auto" w:fill="FFFFFF"/>
              </w:rPr>
              <w:t xml:space="preserve"> a su expedición […]. </w:t>
            </w:r>
            <w:r w:rsidR="0037595A" w:rsidRPr="006870A3">
              <w:rPr>
                <w:rFonts w:ascii="Verdana" w:eastAsia="Arial" w:hAnsi="Verdana" w:cs="Arial"/>
                <w:lang w:val="es-ES" w:eastAsia="es-ES_tradnl"/>
              </w:rPr>
              <w:t xml:space="preserve">La expresión </w:t>
            </w:r>
            <w:r w:rsidR="0037595A" w:rsidRPr="006870A3">
              <w:rPr>
                <w:rFonts w:ascii="Verdana" w:eastAsia="Arial" w:hAnsi="Verdana" w:cs="Arial"/>
                <w:i/>
                <w:iCs/>
                <w:lang w:val="es-ES" w:eastAsia="es-ES_tradnl"/>
              </w:rPr>
              <w:t>Documentos del Proceso</w:t>
            </w:r>
            <w:r w:rsidR="0037595A" w:rsidRPr="006870A3">
              <w:rPr>
                <w:rFonts w:ascii="Verdana" w:eastAsia="Arial" w:hAnsi="Verdana" w:cs="Arial"/>
                <w:lang w:val="es-ES" w:eastAsia="es-ES_tradnl"/>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71D1EF5" w14:textId="77777777" w:rsidR="007A1512" w:rsidRPr="006870A3" w:rsidRDefault="008041D5" w:rsidP="007A1512">
            <w:pPr>
              <w:spacing w:after="120" w:line="276" w:lineRule="auto"/>
              <w:ind w:firstLine="709"/>
              <w:jc w:val="both"/>
              <w:rPr>
                <w:rFonts w:ascii="Verdana" w:eastAsia="Arial" w:hAnsi="Verdana" w:cs="Arial"/>
                <w:lang w:val="es-ES" w:eastAsia="es-ES_tradnl"/>
              </w:rPr>
            </w:pPr>
            <w:r w:rsidRPr="006870A3">
              <w:rPr>
                <w:rFonts w:ascii="Verdana" w:eastAsia="Arial" w:hAnsi="Verdana" w:cs="Arial"/>
                <w:lang w:val="es-ES" w:eastAsia="es-ES_tradnl"/>
              </w:rPr>
              <w:t xml:space="preserve">No obstante,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r w:rsidRPr="006870A3">
              <w:rPr>
                <w:rFonts w:ascii="Verdana" w:eastAsia="Arial" w:hAnsi="Verdana" w:cs="Arial"/>
                <w:i/>
                <w:iCs/>
                <w:lang w:val="es-ES" w:eastAsia="es-ES_tradnl"/>
              </w:rPr>
              <w:t>Ibidem</w:t>
            </w:r>
            <w:r w:rsidRPr="006870A3">
              <w:rPr>
                <w:rFonts w:ascii="Verdana" w:eastAsia="Arial" w:hAnsi="Verdana" w:cs="Arial"/>
                <w:lang w:val="es-ES" w:eastAsia="es-ES_tradnl"/>
              </w:rPr>
              <w:t xml:space="preserve"> recoge en la noción de </w:t>
            </w:r>
            <w:r w:rsidRPr="006870A3">
              <w:rPr>
                <w:rFonts w:ascii="Verdana" w:eastAsia="Arial" w:hAnsi="Verdana" w:cs="Arial"/>
                <w:i/>
                <w:iCs/>
                <w:lang w:val="es-ES" w:eastAsia="es-ES_tradnl"/>
              </w:rPr>
              <w:t>Documentos del Proceso</w:t>
            </w:r>
            <w:r w:rsidRPr="006870A3">
              <w:rPr>
                <w:rFonts w:ascii="Verdana" w:eastAsia="Arial" w:hAnsi="Verdana" w:cs="Arial"/>
                <w:lang w:val="es-ES" w:eastAsia="es-ES_tradnl"/>
              </w:rPr>
              <w:t xml:space="preserve"> “cualquier otro documento expedido por la Entidad Estatal durante el </w:t>
            </w:r>
            <w:r w:rsidRPr="006870A3">
              <w:rPr>
                <w:rFonts w:ascii="Verdana" w:eastAsia="Arial" w:hAnsi="Verdana" w:cs="Arial"/>
                <w:i/>
                <w:iCs/>
                <w:lang w:val="es-ES" w:eastAsia="es-ES_tradnl"/>
              </w:rPr>
              <w:t>Proceso de Contratación”</w:t>
            </w:r>
            <w:r w:rsidRPr="006870A3">
              <w:rPr>
                <w:rFonts w:ascii="Verdana" w:eastAsia="Arial" w:hAnsi="Verdana" w:cs="Arial"/>
                <w:lang w:val="es-ES" w:eastAsia="es-ES_tradnl"/>
              </w:rPr>
              <w:t xml:space="preserve">. Este mismo artículo define la expresión </w:t>
            </w:r>
            <w:r w:rsidRPr="006870A3">
              <w:rPr>
                <w:rFonts w:ascii="Verdana" w:eastAsia="Arial" w:hAnsi="Verdana" w:cs="Arial"/>
                <w:i/>
                <w:iCs/>
                <w:lang w:val="es-ES" w:eastAsia="es-ES_tradnl"/>
              </w:rPr>
              <w:t>Proceso de Contratación</w:t>
            </w:r>
            <w:r w:rsidRPr="006870A3">
              <w:rPr>
                <w:rFonts w:ascii="Verdana" w:eastAsia="Arial" w:hAnsi="Verdana" w:cs="Arial"/>
                <w:lang w:val="es-ES" w:eastAsia="es-ES_tradnl"/>
              </w:rPr>
              <w:t xml:space="preserve"> como el “Conjunto de actos y actividades, y su secuencia, adelantadas por la Entidad Estatal desde la planeación hasta el vencimiento de las garantías de calidad, estabilidad y mantenimiento, o las condiciones de </w:t>
            </w:r>
            <w:r w:rsidRPr="006870A3">
              <w:rPr>
                <w:rFonts w:ascii="Verdana" w:eastAsia="Arial" w:hAnsi="Verdana" w:cs="Arial"/>
                <w:lang w:val="es-ES" w:eastAsia="es-ES_tradnl"/>
              </w:rPr>
              <w:lastRenderedPageBreak/>
              <w:t>disposición final o recuperación ambiental de las obras o bienes o el vencimiento del plazo, lo que ocurra más tarde”. </w:t>
            </w:r>
          </w:p>
          <w:p w14:paraId="2F4B31F6" w14:textId="77777777" w:rsidR="007A1512" w:rsidRPr="006870A3" w:rsidRDefault="001E2AF9" w:rsidP="007A1512">
            <w:pPr>
              <w:spacing w:after="120" w:line="276" w:lineRule="auto"/>
              <w:ind w:firstLine="709"/>
              <w:jc w:val="both"/>
              <w:rPr>
                <w:rFonts w:ascii="Verdana" w:eastAsia="Arial" w:hAnsi="Verdana" w:cs="Arial"/>
                <w:lang w:val="es-ES" w:eastAsia="es-ES_tradnl"/>
              </w:rPr>
            </w:pPr>
            <w:r w:rsidRPr="006870A3">
              <w:rPr>
                <w:rFonts w:ascii="Verdana" w:eastAsia="Arial" w:hAnsi="Verdana" w:cs="Arial"/>
                <w:lang w:val="es-ES" w:eastAsia="es-ES_tradnl"/>
              </w:rPr>
              <w:t xml:space="preserve">Nótese que la norma hace referencia a los documentos “expedidos por la entidad estatal” durante el proceso de contratación, excluyendo de la noción de </w:t>
            </w:r>
            <w:r w:rsidRPr="006870A3">
              <w:rPr>
                <w:rFonts w:ascii="Verdana" w:eastAsia="Arial" w:hAnsi="Verdana" w:cs="Arial"/>
                <w:i/>
                <w:iCs/>
                <w:lang w:val="es-ES" w:eastAsia="es-ES_tradnl"/>
              </w:rPr>
              <w:t>Documentos del Proceso</w:t>
            </w:r>
            <w:r w:rsidRPr="006870A3">
              <w:rPr>
                <w:rFonts w:ascii="Verdana" w:eastAsia="Arial" w:hAnsi="Verdana" w:cs="Arial"/>
                <w:lang w:val="es-ES" w:eastAsia="es-ES_tradnl"/>
              </w:rPr>
              <w:t xml:space="preserve"> los expedidos por un sujeto distinto a la entidad, salvo la oferta, la cual se incluye expresamente en el artículo 2.2.1.1.1.3.1. </w:t>
            </w:r>
          </w:p>
          <w:p w14:paraId="6E854C55" w14:textId="324229D2" w:rsidR="00532915" w:rsidRPr="006870A3" w:rsidRDefault="001E2AF9" w:rsidP="007A1512">
            <w:pPr>
              <w:spacing w:after="120" w:line="276" w:lineRule="auto"/>
              <w:ind w:firstLine="709"/>
              <w:jc w:val="both"/>
              <w:rPr>
                <w:rFonts w:ascii="Verdana" w:eastAsia="Arial" w:hAnsi="Verdana" w:cs="Arial"/>
                <w:lang w:val="es-ES" w:eastAsia="es-ES_tradnl"/>
              </w:rPr>
            </w:pPr>
            <w:r w:rsidRPr="006870A3">
              <w:rPr>
                <w:rFonts w:ascii="Verdana" w:eastAsia="Arial" w:hAnsi="Verdana" w:cs="Arial"/>
                <w:lang w:val="es-ES" w:eastAsia="es-ES_tradnl"/>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6870A3">
              <w:rPr>
                <w:rFonts w:ascii="Verdana" w:eastAsia="Arial" w:hAnsi="Verdana" w:cs="Arial"/>
                <w:i/>
                <w:iCs/>
                <w:lang w:val="es-ES" w:eastAsia="es-ES_tradnl"/>
              </w:rPr>
              <w:t>Proceso de Contratación</w:t>
            </w:r>
            <w:r w:rsidRPr="006870A3">
              <w:rPr>
                <w:rFonts w:ascii="Verdana" w:eastAsia="Arial" w:hAnsi="Verdana" w:cs="Arial"/>
                <w:lang w:val="es-ES" w:eastAsia="es-ES_tradnl"/>
              </w:rPr>
              <w:t>.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w:t>
            </w:r>
            <w:r w:rsidR="00F27E81" w:rsidRPr="006870A3">
              <w:rPr>
                <w:rFonts w:ascii="Verdana" w:eastAsia="Arial" w:hAnsi="Verdana" w:cs="Arial"/>
                <w:lang w:val="es-ES" w:eastAsia="es-ES_tradnl"/>
              </w:rPr>
              <w:t xml:space="preserve"> en SECOP dentro de los tres (3) días siguientes a su expedición, para  cumplir el deber de publicidad regulado por el artículo 2.2.1.1.1.7.1. del Decreto 1082 de 2015.</w:t>
            </w:r>
          </w:p>
          <w:p w14:paraId="20231213" w14:textId="76BD95BC" w:rsidR="00285255" w:rsidRPr="006870A3" w:rsidRDefault="002770E1" w:rsidP="00C04D07">
            <w:pPr>
              <w:widowControl w:val="0"/>
              <w:autoSpaceDE w:val="0"/>
              <w:autoSpaceDN w:val="0"/>
              <w:spacing w:after="120" w:line="276" w:lineRule="auto"/>
              <w:ind w:firstLine="709"/>
              <w:jc w:val="both"/>
              <w:rPr>
                <w:rFonts w:ascii="Verdana" w:eastAsia="Calibri" w:hAnsi="Verdana" w:cs="Arial"/>
              </w:rPr>
            </w:pPr>
            <w:r w:rsidRPr="006870A3">
              <w:rPr>
                <w:rFonts w:ascii="Verdana" w:eastAsia="Calibri" w:hAnsi="Verdana" w:cs="Arial"/>
              </w:rPr>
              <w:t>Así las cosas,</w:t>
            </w:r>
            <w:r w:rsidR="00532915" w:rsidRPr="006870A3">
              <w:rPr>
                <w:rFonts w:ascii="Verdana" w:eastAsia="Calibri" w:hAnsi="Verdana" w:cs="Arial"/>
              </w:rPr>
              <w:t xml:space="preserve"> en virtud de que el SECOP se compone de las plataformas SECOP I y SECOP II, resulta importante señalar que, para cada una de ellas, el procedimiento de publicación podría resultar distinto, habida cuenta que, en el caso de las entidades estatales que aún publiquen su actividad contractual en el SECOP I, esta plataforma funciona como medio de publicidad, sin que exija la publicación inmediata de los documentos precontractuales y contractuales. En ese sentido, La Entidad Estatal podrá publicar tales documentos dentro del término previsto por el artículo citado. No obstante, la plataforma SECOP II es una plataforma esencialmente transaccional, de contratación en línea, donde se gestionan todas las etapas del Proceso de Contratación, lo cual supone que los documentos que se expidan en el marco de cada una de las etapas, deberán publicarse al tiempo en que se realiza la gestión transaccional, lo que ameritaría una publicación inmediata, en la medida en que deben ser puestos en conocimiento de los partícipes del </w:t>
            </w:r>
            <w:r w:rsidR="00532915" w:rsidRPr="006870A3">
              <w:rPr>
                <w:rFonts w:ascii="Verdana" w:eastAsia="Calibri" w:hAnsi="Verdana" w:cs="Arial"/>
                <w:lang w:val="es-ES"/>
              </w:rPr>
              <w:t>Sistema</w:t>
            </w:r>
            <w:r w:rsidR="00532915" w:rsidRPr="006870A3">
              <w:rPr>
                <w:rFonts w:ascii="Verdana" w:eastAsia="Calibri" w:hAnsi="Verdana" w:cs="Arial"/>
              </w:rPr>
              <w:t xml:space="preserve"> de Compra Pública, interesados en consultarlos. </w:t>
            </w:r>
          </w:p>
          <w:p w14:paraId="4C005D0C" w14:textId="389356DF" w:rsidR="00285255" w:rsidRPr="006870A3" w:rsidRDefault="00285255" w:rsidP="00285255">
            <w:pPr>
              <w:widowControl w:val="0"/>
              <w:autoSpaceDE w:val="0"/>
              <w:autoSpaceDN w:val="0"/>
              <w:spacing w:after="120" w:line="276" w:lineRule="auto"/>
              <w:ind w:firstLine="709"/>
              <w:jc w:val="both"/>
              <w:rPr>
                <w:rFonts w:ascii="Verdana" w:eastAsia="Calibri" w:hAnsi="Verdana" w:cs="Arial"/>
                <w:lang w:val="es-ES_tradnl" w:eastAsia="es-ES"/>
              </w:rPr>
            </w:pPr>
            <w:r w:rsidRPr="006870A3">
              <w:rPr>
                <w:rFonts w:ascii="Verdana" w:eastAsia="Calibri" w:hAnsi="Verdana" w:cs="Arial"/>
              </w:rPr>
              <w:t>Ahora</w:t>
            </w:r>
            <w:r w:rsidR="00C04D07" w:rsidRPr="006870A3">
              <w:rPr>
                <w:rFonts w:ascii="Verdana" w:eastAsia="Calibri" w:hAnsi="Verdana" w:cs="Arial"/>
              </w:rPr>
              <w:t xml:space="preserve"> bien,</w:t>
            </w:r>
            <w:r w:rsidRPr="006870A3">
              <w:rPr>
                <w:rFonts w:ascii="Verdana" w:eastAsia="Calibri" w:hAnsi="Verdana" w:cs="Arial"/>
              </w:rPr>
              <w:t xml:space="preserve"> abordando </w:t>
            </w:r>
            <w:r w:rsidR="00814EBC" w:rsidRPr="006870A3">
              <w:rPr>
                <w:rFonts w:ascii="Verdana" w:eastAsia="Calibri" w:hAnsi="Verdana" w:cs="Arial"/>
              </w:rPr>
              <w:t>lo</w:t>
            </w:r>
            <w:r w:rsidRPr="006870A3">
              <w:rPr>
                <w:rFonts w:ascii="Verdana" w:eastAsia="Calibri" w:hAnsi="Verdana" w:cs="Arial"/>
              </w:rPr>
              <w:t xml:space="preserve"> relacionado a la reserva </w:t>
            </w:r>
            <w:r w:rsidR="004F3285" w:rsidRPr="006870A3">
              <w:rPr>
                <w:rFonts w:ascii="Verdana" w:eastAsia="Calibri" w:hAnsi="Verdana" w:cs="Arial"/>
              </w:rPr>
              <w:t xml:space="preserve">documental frente al principio de publicidad, es importante mencionar que, </w:t>
            </w:r>
            <w:r w:rsidR="0070782B" w:rsidRPr="006870A3">
              <w:rPr>
                <w:rFonts w:ascii="Verdana" w:eastAsia="Calibri" w:hAnsi="Verdana" w:cs="Arial"/>
                <w:lang w:val="es-ES_tradnl" w:eastAsia="es-ES"/>
              </w:rPr>
              <w:t xml:space="preserve">en desarrollo de </w:t>
            </w:r>
            <w:r w:rsidR="0070782B" w:rsidRPr="006870A3">
              <w:rPr>
                <w:rFonts w:ascii="Verdana" w:eastAsia="Calibri" w:hAnsi="Verdana" w:cs="Arial"/>
                <w:lang w:val="es-ES_tradnl" w:eastAsia="es-ES"/>
              </w:rPr>
              <w:lastRenderedPageBreak/>
              <w:t xml:space="preserve">cualquier proceso contractual independientemente de la modalidad de selección, es posible que </w:t>
            </w:r>
            <w:r w:rsidR="00814EBC" w:rsidRPr="006870A3">
              <w:rPr>
                <w:rFonts w:ascii="Verdana" w:eastAsia="Calibri" w:hAnsi="Verdana" w:cs="Arial"/>
                <w:lang w:val="es-ES_tradnl" w:eastAsia="es-ES"/>
              </w:rPr>
              <w:t>algunos</w:t>
            </w:r>
            <w:r w:rsidR="0070782B" w:rsidRPr="006870A3">
              <w:rPr>
                <w:rFonts w:ascii="Verdana" w:eastAsia="Calibri" w:hAnsi="Verdana" w:cs="Arial"/>
                <w:lang w:val="es-ES_tradnl" w:eastAsia="es-ES"/>
              </w:rPr>
              <w:t xml:space="preserve"> documentos del proceso contengan información sometida a reserva, de acuerdo con las causales establecidas en la Constitución o en la ley, caso en el cual dicha información no debe publicarse en el SECOP, precisamente por tratarse de información reservada</w:t>
            </w:r>
            <w:r w:rsidR="004C1ADD" w:rsidRPr="006870A3">
              <w:rPr>
                <w:rFonts w:ascii="Verdana" w:eastAsia="Calibri" w:hAnsi="Verdana" w:cs="Arial"/>
                <w:lang w:val="es-ES_tradnl" w:eastAsia="es-ES"/>
              </w:rPr>
              <w:t>. En los casos en que esto suceda, debe procederse conforme a lo establecido en la Ley 1712 de 2014, particularmente cumpliendo las obligaciones y los deberes establecidos en el título III “Excepciones acceso a la información”</w:t>
            </w:r>
            <w:r w:rsidR="00814EBC" w:rsidRPr="006870A3">
              <w:rPr>
                <w:rFonts w:ascii="Verdana" w:eastAsia="Calibri" w:hAnsi="Verdana" w:cs="Arial"/>
                <w:lang w:val="es-ES_tradnl" w:eastAsia="es-ES"/>
              </w:rPr>
              <w:t>.</w:t>
            </w:r>
          </w:p>
          <w:p w14:paraId="01D7A51D" w14:textId="77777777" w:rsidR="003A00AF" w:rsidRPr="006870A3" w:rsidRDefault="003A00AF" w:rsidP="003A00AF">
            <w:pPr>
              <w:widowControl w:val="0"/>
              <w:autoSpaceDE w:val="0"/>
              <w:autoSpaceDN w:val="0"/>
              <w:spacing w:after="120" w:line="276" w:lineRule="auto"/>
              <w:ind w:firstLine="709"/>
              <w:jc w:val="both"/>
              <w:rPr>
                <w:rFonts w:ascii="Verdana" w:eastAsia="Calibri" w:hAnsi="Verdana" w:cs="Arial"/>
                <w:lang w:val="es-ES_tradnl"/>
              </w:rPr>
            </w:pPr>
            <w:r w:rsidRPr="006870A3">
              <w:rPr>
                <w:rFonts w:ascii="Verdana" w:eastAsia="Calibri" w:hAnsi="Verdana" w:cs="Arial"/>
                <w:lang w:val="es-ES_tradnl"/>
              </w:rPr>
              <w:t xml:space="preserve">Por lo tanto, para determinar los documentos sometidos a reserva, la entidad contratante y los responsables de adelantar la contratación deben verificar las normas que dispongan la reserva de la información y proceder a su </w:t>
            </w:r>
            <w:r w:rsidRPr="006870A3">
              <w:rPr>
                <w:rFonts w:ascii="Verdana" w:eastAsia="Calibri" w:hAnsi="Verdana" w:cs="Arial"/>
                <w:lang w:val="es-ES"/>
              </w:rPr>
              <w:t>cumplimiento</w:t>
            </w:r>
            <w:r w:rsidRPr="006870A3">
              <w:rPr>
                <w:rFonts w:ascii="Verdana" w:eastAsia="Calibri" w:hAnsi="Verdana" w:cs="Arial"/>
                <w:lang w:val="es-ES_tradnl"/>
              </w:rPr>
              <w:t xml:space="preserve"> en el marco del proceso de selección. </w:t>
            </w:r>
          </w:p>
          <w:p w14:paraId="48965C2D" w14:textId="42819FAE" w:rsidR="00054748" w:rsidRPr="006870A3" w:rsidRDefault="00054748" w:rsidP="003A00AF">
            <w:pPr>
              <w:widowControl w:val="0"/>
              <w:autoSpaceDE w:val="0"/>
              <w:autoSpaceDN w:val="0"/>
              <w:spacing w:after="120" w:line="276" w:lineRule="auto"/>
              <w:ind w:firstLine="709"/>
              <w:jc w:val="both"/>
              <w:rPr>
                <w:rFonts w:ascii="Verdana" w:eastAsia="Arial" w:hAnsi="Verdana" w:cs="Arial"/>
                <w:lang w:val="es-ES" w:eastAsia="es-ES_tradnl"/>
              </w:rPr>
            </w:pPr>
            <w:r w:rsidRPr="006870A3">
              <w:rPr>
                <w:rFonts w:ascii="Verdana" w:eastAsia="Calibri" w:hAnsi="Verdana" w:cs="Arial"/>
              </w:rPr>
              <w:t>Al margen de la explicación planteada,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9F05FAC" w14:textId="77777777" w:rsidR="001D5D34" w:rsidRPr="006870A3" w:rsidRDefault="001D5D34" w:rsidP="00054748">
      <w:pPr>
        <w:tabs>
          <w:tab w:val="left" w:pos="142"/>
          <w:tab w:val="left" w:pos="284"/>
        </w:tabs>
        <w:spacing w:after="0" w:line="276" w:lineRule="auto"/>
        <w:jc w:val="both"/>
        <w:rPr>
          <w:rFonts w:ascii="Verdana" w:eastAsia="Century Gothic" w:hAnsi="Verdana" w:cs="Century Gothic"/>
          <w:b/>
          <w:bCs/>
          <w:lang w:val="es-ES"/>
        </w:rPr>
      </w:pPr>
    </w:p>
    <w:p w14:paraId="7B1875EC" w14:textId="77777777" w:rsidR="00054748" w:rsidRPr="006870A3" w:rsidRDefault="00054748" w:rsidP="001005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870A3">
        <w:rPr>
          <w:rFonts w:ascii="Verdana" w:eastAsia="Century Gothic" w:hAnsi="Verdana" w:cs="Century Gothic"/>
          <w:b/>
          <w:bCs/>
        </w:rPr>
        <w:t>Razones de la respuesta:</w:t>
      </w:r>
    </w:p>
    <w:p w14:paraId="7470DF29" w14:textId="77777777" w:rsidR="00054748" w:rsidRPr="006870A3" w:rsidRDefault="00054748" w:rsidP="00054748">
      <w:pPr>
        <w:spacing w:after="0" w:line="276" w:lineRule="auto"/>
        <w:jc w:val="both"/>
        <w:rPr>
          <w:rFonts w:ascii="Verdana" w:eastAsia="Calibri" w:hAnsi="Verdana" w:cs="Arial"/>
          <w:color w:val="7030A0"/>
          <w:lang w:val="es-ES"/>
        </w:rPr>
      </w:pPr>
    </w:p>
    <w:p w14:paraId="292E0E9F" w14:textId="77777777" w:rsidR="00054748" w:rsidRPr="006870A3" w:rsidRDefault="00054748" w:rsidP="00054748">
      <w:pPr>
        <w:spacing w:after="0" w:line="276" w:lineRule="auto"/>
        <w:jc w:val="both"/>
        <w:rPr>
          <w:rFonts w:ascii="Verdana" w:eastAsia="Calibri" w:hAnsi="Verdana" w:cs="Arial"/>
          <w:lang w:val="es-ES"/>
        </w:rPr>
      </w:pPr>
      <w:r w:rsidRPr="006870A3">
        <w:rPr>
          <w:rFonts w:ascii="Verdana" w:eastAsia="Calibri" w:hAnsi="Verdana" w:cs="Arial"/>
          <w:lang w:val="es-ES"/>
        </w:rPr>
        <w:t xml:space="preserve">Lo anterior se sustenta en las siguientes consideraciones: </w:t>
      </w:r>
    </w:p>
    <w:p w14:paraId="74B006AC" w14:textId="77777777" w:rsidR="003F1BCC" w:rsidRPr="006870A3" w:rsidRDefault="003F1BCC">
      <w:pPr>
        <w:spacing w:after="0" w:line="276" w:lineRule="auto"/>
        <w:jc w:val="both"/>
        <w:rPr>
          <w:rFonts w:ascii="Verdana" w:eastAsia="Calibri" w:hAnsi="Verdana" w:cs="Arial"/>
          <w:lang w:val="es-ES"/>
        </w:rPr>
      </w:pPr>
    </w:p>
    <w:p w14:paraId="4E6327CC" w14:textId="1D3B6B3C" w:rsidR="00AE595A" w:rsidRPr="006870A3" w:rsidRDefault="00054748" w:rsidP="009C11BC">
      <w:pPr>
        <w:spacing w:after="0" w:line="276" w:lineRule="auto"/>
        <w:ind w:firstLine="709"/>
        <w:jc w:val="both"/>
        <w:rPr>
          <w:rFonts w:ascii="Verdana" w:eastAsia="Calibri" w:hAnsi="Verdana" w:cs="Arial"/>
          <w:lang w:val="es-ES"/>
        </w:rPr>
      </w:pPr>
      <w:r w:rsidRPr="006870A3">
        <w:rPr>
          <w:rFonts w:ascii="Verdana" w:eastAsia="Arial" w:hAnsi="Verdana" w:cs="Arial"/>
          <w:b/>
          <w:color w:val="000000" w:themeColor="text1"/>
        </w:rPr>
        <w:t>i.</w:t>
      </w:r>
      <w:r w:rsidRPr="006870A3">
        <w:rPr>
          <w:rFonts w:ascii="Verdana" w:eastAsia="Arial" w:hAnsi="Verdana" w:cs="Arial"/>
          <w:bCs/>
          <w:color w:val="000000" w:themeColor="text1"/>
        </w:rPr>
        <w:t xml:space="preserve"> </w:t>
      </w:r>
      <w:r w:rsidR="000675E2" w:rsidRPr="006870A3">
        <w:rPr>
          <w:rFonts w:ascii="Verdana" w:eastAsia="Arial" w:hAnsi="Verdana" w:cs="Arial"/>
          <w:bCs/>
          <w:color w:val="000000" w:themeColor="text1"/>
        </w:rPr>
        <w:t xml:space="preserve">En primer lugar, </w:t>
      </w:r>
      <w:r w:rsidR="00730229" w:rsidRPr="006870A3">
        <w:rPr>
          <w:rFonts w:ascii="Verdana" w:eastAsia="Aptos" w:hAnsi="Verdana" w:cs="Arial"/>
          <w:bCs/>
        </w:rPr>
        <w:t xml:space="preserve">es preciso indicar que </w:t>
      </w:r>
      <w:r w:rsidR="00730229" w:rsidRPr="006870A3">
        <w:rPr>
          <w:rFonts w:ascii="Verdana" w:eastAsia="Calibri" w:hAnsi="Verdana" w:cs="Arial"/>
          <w:shd w:val="clear" w:color="auto" w:fill="FFFFFF"/>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w:t>
      </w:r>
      <w:r w:rsidR="00730229" w:rsidRPr="006870A3">
        <w:rPr>
          <w:rFonts w:ascii="Verdana" w:eastAsia="Calibri" w:hAnsi="Verdana" w:cs="Arial"/>
          <w:i/>
          <w:iCs/>
          <w:shd w:val="clear" w:color="auto" w:fill="FFFFFF"/>
        </w:rPr>
        <w:lastRenderedPageBreak/>
        <w:t>realizada con dineros públicos</w:t>
      </w:r>
      <w:r w:rsidR="00730229" w:rsidRPr="006870A3">
        <w:rPr>
          <w:rFonts w:ascii="Verdana" w:eastAsia="Calibri" w:hAnsi="Verdana" w:cs="Arial"/>
          <w:shd w:val="clear" w:color="auto" w:fill="FFFFFF"/>
        </w:rPr>
        <w:t>, para lo cual establecerá los patrones a que haya lugar y se</w:t>
      </w:r>
      <w:r w:rsidR="007B1069" w:rsidRPr="006870A3">
        <w:rPr>
          <w:rFonts w:ascii="Verdana" w:eastAsia="Calibri" w:hAnsi="Verdana" w:cs="Arial"/>
          <w:shd w:val="clear" w:color="auto" w:fill="FFFFFF"/>
        </w:rPr>
        <w:t xml:space="preserve"> encargará de su difusión a través de canales electrónicos”</w:t>
      </w:r>
      <w:r w:rsidR="007B1069" w:rsidRPr="006870A3">
        <w:rPr>
          <w:rFonts w:ascii="Aptos" w:eastAsia="Aptos" w:hAnsi="Aptos" w:cs="Times New Roman"/>
          <w:color w:val="000000"/>
          <w:vertAlign w:val="superscript"/>
          <w:lang w:val="es-ES_tradnl"/>
        </w:rPr>
        <w:footnoteReference w:id="1"/>
      </w:r>
      <w:r w:rsidR="007B1069" w:rsidRPr="006870A3">
        <w:rPr>
          <w:rFonts w:ascii="Verdana" w:eastAsia="Calibri" w:hAnsi="Verdana" w:cs="Arial"/>
          <w:color w:val="000000"/>
          <w:lang w:val="es-ES_tradnl"/>
        </w:rPr>
        <w:t>.</w:t>
      </w:r>
    </w:p>
    <w:p w14:paraId="7823C546" w14:textId="77777777" w:rsidR="00E7693C" w:rsidRPr="006870A3" w:rsidRDefault="006512A0" w:rsidP="003148E3">
      <w:pPr>
        <w:spacing w:after="0" w:line="276" w:lineRule="auto"/>
        <w:ind w:firstLine="709"/>
        <w:jc w:val="both"/>
        <w:rPr>
          <w:rFonts w:ascii="Verdana" w:eastAsia="Calibri" w:hAnsi="Verdana" w:cs="Arial"/>
          <w:color w:val="000000"/>
          <w:lang w:val="es-ES_tradnl"/>
        </w:rPr>
      </w:pPr>
      <w:r w:rsidRPr="006870A3">
        <w:rPr>
          <w:rFonts w:ascii="Verdana" w:eastAsia="Calibri" w:hAnsi="Verdana" w:cs="Arial"/>
          <w:shd w:val="clear" w:color="auto" w:fill="FFFFFF"/>
        </w:rPr>
        <w:t>En ese sentido, la Ley 1712 de 2014 –ley estatutaria que regula la transparencia y el derecho de acceso a la información y a los documentos públicos–; identifica como principios que orientan el derecho de acceso a la información pública, el</w:t>
      </w:r>
      <w:r w:rsidRPr="006870A3">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870A3">
        <w:rPr>
          <w:rFonts w:ascii="Aptos" w:eastAsia="Aptos" w:hAnsi="Aptos" w:cs="Times New Roman"/>
          <w:color w:val="000000"/>
          <w:vertAlign w:val="superscript"/>
          <w:lang w:val="es-ES_tradnl"/>
        </w:rPr>
        <w:footnoteReference w:id="2"/>
      </w:r>
      <w:r w:rsidRPr="006870A3">
        <w:rPr>
          <w:rFonts w:ascii="Verdana" w:eastAsia="Calibri" w:hAnsi="Verdana" w:cs="Arial"/>
          <w:color w:val="000000"/>
          <w:lang w:val="es-ES_tradnl"/>
        </w:rPr>
        <w:t>.</w:t>
      </w:r>
      <w:r w:rsidR="007D174A" w:rsidRPr="006870A3">
        <w:rPr>
          <w:rFonts w:ascii="Verdana" w:eastAsia="Calibri" w:hAnsi="Verdana" w:cs="Arial"/>
          <w:color w:val="000000"/>
          <w:lang w:val="es-ES_tradnl"/>
        </w:rPr>
        <w:t xml:space="preserve">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007D174A" w:rsidRPr="006870A3">
        <w:rPr>
          <w:rFonts w:ascii="Aptos" w:eastAsia="Aptos" w:hAnsi="Aptos" w:cs="Times New Roman"/>
          <w:color w:val="000000"/>
          <w:vertAlign w:val="superscript"/>
          <w:lang w:val="es-ES_tradnl"/>
        </w:rPr>
        <w:footnoteReference w:id="3"/>
      </w:r>
      <w:r w:rsidR="007D174A" w:rsidRPr="006870A3">
        <w:rPr>
          <w:rFonts w:ascii="Verdana" w:eastAsia="Calibri" w:hAnsi="Verdana" w:cs="Arial"/>
          <w:color w:val="000000"/>
          <w:lang w:val="es-ES_tradnl"/>
        </w:rPr>
        <w:t>, deben publicar la información relativa a su contratación.</w:t>
      </w:r>
    </w:p>
    <w:p w14:paraId="265AB342" w14:textId="77777777" w:rsidR="00E7693C" w:rsidRPr="006870A3" w:rsidRDefault="00E7693C" w:rsidP="003148E3">
      <w:pPr>
        <w:spacing w:after="0" w:line="276" w:lineRule="auto"/>
        <w:ind w:firstLine="709"/>
        <w:jc w:val="both"/>
        <w:rPr>
          <w:rFonts w:ascii="Verdana" w:eastAsia="Calibri" w:hAnsi="Verdana" w:cs="Arial"/>
          <w:color w:val="000000"/>
          <w:lang w:val="es-ES_tradnl"/>
        </w:rPr>
      </w:pPr>
    </w:p>
    <w:p w14:paraId="721ADE1F" w14:textId="77777777" w:rsidR="00E339EE" w:rsidRPr="006870A3" w:rsidRDefault="00E7693C" w:rsidP="00E339EE">
      <w:pPr>
        <w:spacing w:before="120" w:after="120" w:line="276" w:lineRule="auto"/>
        <w:ind w:firstLine="709"/>
        <w:jc w:val="both"/>
        <w:rPr>
          <w:rFonts w:ascii="Verdana" w:eastAsia="Calibri" w:hAnsi="Verdana" w:cs="Arial"/>
          <w:color w:val="000000"/>
          <w:lang w:val="es-ES_tradnl"/>
        </w:rPr>
      </w:pPr>
      <w:r w:rsidRPr="006870A3">
        <w:rPr>
          <w:rFonts w:ascii="Verdana" w:eastAsia="Calibri" w:hAnsi="Verdana" w:cs="Arial"/>
          <w:color w:val="000000"/>
          <w:lang w:val="es-ES_tradnl"/>
        </w:rPr>
        <w:t>Esta obligación fue desarrollada por el Decreto Único Reglamentario 1082 de 2015</w:t>
      </w:r>
      <w:r w:rsidRPr="006870A3">
        <w:rPr>
          <w:rFonts w:ascii="Aptos" w:eastAsia="Aptos" w:hAnsi="Aptos" w:cs="Times New Roman"/>
          <w:color w:val="000000"/>
          <w:vertAlign w:val="superscript"/>
          <w:lang w:val="es-ES_tradnl"/>
        </w:rPr>
        <w:footnoteReference w:id="4"/>
      </w:r>
      <w:r w:rsidRPr="006870A3">
        <w:rPr>
          <w:rFonts w:ascii="Verdana" w:eastAsia="Calibri" w:hAnsi="Verdana" w:cs="Arial"/>
          <w:color w:val="000000"/>
          <w:lang w:val="es-ES_tradnl"/>
        </w:rPr>
        <w:t>,</w:t>
      </w:r>
      <w:r w:rsidR="00E339EE" w:rsidRPr="006870A3">
        <w:rPr>
          <w:rFonts w:ascii="Verdana" w:eastAsia="Calibri" w:hAnsi="Verdana" w:cs="Arial"/>
          <w:color w:val="000000"/>
          <w:lang w:val="es-ES_tradnl"/>
        </w:rPr>
        <w:t xml:space="preserve"> el cual dispuso que la publicación de la información contractual de los </w:t>
      </w:r>
      <w:r w:rsidR="00E339EE" w:rsidRPr="006870A3">
        <w:rPr>
          <w:rFonts w:ascii="Verdana" w:eastAsia="Calibri" w:hAnsi="Verdana" w:cs="Arial"/>
          <w:color w:val="000000"/>
          <w:lang w:val="es-ES_tradnl"/>
        </w:rPr>
        <w:lastRenderedPageBreak/>
        <w:t>sujetos obligados, que contratan con cargo a recursos públicos, debe hacerse en el SECOP.</w:t>
      </w:r>
    </w:p>
    <w:p w14:paraId="7F8A3B64" w14:textId="77777777" w:rsidR="00C31D08" w:rsidRPr="006870A3" w:rsidRDefault="00C31D08" w:rsidP="00C31D08">
      <w:pPr>
        <w:spacing w:before="120" w:after="0" w:line="276" w:lineRule="auto"/>
        <w:ind w:firstLine="708"/>
        <w:contextualSpacing/>
        <w:jc w:val="both"/>
        <w:rPr>
          <w:rFonts w:ascii="Verdana" w:eastAsia="Calibri" w:hAnsi="Verdana" w:cs="Arial"/>
          <w:color w:val="000000"/>
          <w:szCs w:val="24"/>
          <w:lang w:val="es-ES_tradnl" w:eastAsia="es-ES_tradnl"/>
        </w:rPr>
      </w:pPr>
      <w:r w:rsidRPr="006870A3">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6870A3">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6870A3">
        <w:rPr>
          <w:rFonts w:ascii="Aptos" w:eastAsia="Calibri" w:hAnsi="Aptos" w:cs="Times New Roman"/>
          <w:vertAlign w:val="superscript"/>
          <w:lang w:val="es-ES_tradnl" w:eastAsia="es-ES_tradnl"/>
        </w:rPr>
        <w:footnoteReference w:id="5"/>
      </w:r>
      <w:r w:rsidRPr="006870A3">
        <w:rPr>
          <w:rFonts w:ascii="Verdana" w:eastAsia="Calibri" w:hAnsi="Verdana" w:cs="Arial"/>
          <w:color w:val="000000"/>
          <w:szCs w:val="24"/>
          <w:lang w:val="es-ES_tradnl" w:eastAsia="es-ES_tradnl"/>
        </w:rPr>
        <w:t>.</w:t>
      </w:r>
    </w:p>
    <w:p w14:paraId="3003704C" w14:textId="77777777" w:rsidR="00DC5B62" w:rsidRPr="006870A3" w:rsidRDefault="00DC5B62" w:rsidP="00C31D08">
      <w:pPr>
        <w:spacing w:before="120" w:after="0" w:line="276" w:lineRule="auto"/>
        <w:ind w:firstLine="708"/>
        <w:contextualSpacing/>
        <w:jc w:val="both"/>
        <w:rPr>
          <w:rFonts w:ascii="Verdana" w:eastAsia="Times New Roman" w:hAnsi="Verdana" w:cs="Arial"/>
          <w:color w:val="000000"/>
          <w:szCs w:val="24"/>
          <w:lang w:val="es-ES_tradnl" w:eastAsia="es-ES_tradnl"/>
        </w:rPr>
      </w:pPr>
    </w:p>
    <w:p w14:paraId="0AB791E5" w14:textId="19A6FF50" w:rsidR="00C27470" w:rsidRPr="006870A3" w:rsidRDefault="00DC5B62" w:rsidP="003148E3">
      <w:pPr>
        <w:spacing w:after="0" w:line="276" w:lineRule="auto"/>
        <w:ind w:firstLine="709"/>
        <w:jc w:val="both"/>
        <w:rPr>
          <w:rFonts w:ascii="Verdana" w:eastAsia="Calibri" w:hAnsi="Verdana" w:cs="Arial"/>
          <w:color w:val="000000"/>
          <w:lang w:val="es-ES_tradnl"/>
        </w:rPr>
      </w:pPr>
      <w:r w:rsidRPr="006870A3">
        <w:rPr>
          <w:rFonts w:ascii="Verdana" w:eastAsia="Calibri" w:hAnsi="Verdana" w:cs="Arial"/>
          <w:shd w:val="clear" w:color="auto" w:fill="FFFFFF"/>
        </w:rPr>
        <w:t xml:space="preserve">En ese contexto, las Entidades Estatales, conforme al artículo 2.2.1.1.1.7.1 del Decreto 1082 de 2015, tienen la obligación de publicar en el SECOP </w:t>
      </w:r>
      <w:r w:rsidRPr="006870A3">
        <w:rPr>
          <w:rFonts w:ascii="Verdana" w:eastAsia="Calibri" w:hAnsi="Verdana" w:cs="Arial"/>
          <w:i/>
          <w:iCs/>
          <w:shd w:val="clear" w:color="auto" w:fill="FFFFFF"/>
        </w:rPr>
        <w:t>“[…] los Documentos del Proceso y los actos administrativos del Proceso de Contratación, dentro de los tres (3) días siguientes a su expedición […]”.</w:t>
      </w:r>
      <w:r w:rsidRPr="006870A3">
        <w:rPr>
          <w:rFonts w:ascii="Verdana" w:eastAsia="Calibri" w:hAnsi="Verdana" w:cs="Arial"/>
          <w:shd w:val="clear" w:color="auto" w:fill="FFFFFF"/>
        </w:rPr>
        <w:t xml:space="preserve"> Sin embargo, en lo referente a las Entidades exceptuadas del EGCAP, es decir aquellas que se rigen por disposiciones especiales y el derecho privado, debe señalarse que en virtud de lo dispuesto en el artículo 53 de la Ley 2195 de 2022</w:t>
      </w:r>
      <w:r w:rsidRPr="006870A3">
        <w:rPr>
          <w:rFonts w:ascii="Aptos" w:eastAsia="Aptos" w:hAnsi="Aptos" w:cs="Times New Roman"/>
          <w:shd w:val="clear" w:color="auto" w:fill="FFFFFF"/>
          <w:vertAlign w:val="superscript"/>
        </w:rPr>
        <w:footnoteReference w:id="6"/>
      </w:r>
      <w:r w:rsidRPr="006870A3">
        <w:rPr>
          <w:rFonts w:ascii="Verdana" w:eastAsia="Calibri" w:hAnsi="Verdana" w:cs="Arial"/>
          <w:shd w:val="clear" w:color="auto" w:fill="FFFFFF"/>
        </w:rPr>
        <w:t xml:space="preserve">, </w:t>
      </w:r>
      <w:r w:rsidRPr="006870A3">
        <w:rPr>
          <w:rFonts w:ascii="Verdana" w:eastAsia="Calibri" w:hAnsi="Verdana" w:cs="Arial"/>
          <w:shd w:val="clear" w:color="auto" w:fill="FFFFFF"/>
        </w:rPr>
        <w:lastRenderedPageBreak/>
        <w:t>mediante el cual se adiciona el artículo 13 a la Ley 1150 de 2007, asigna a dichas entidades la obligación de publicar los documentos relacionados con su actividad contractual en el SECOP II o la plataforma transaccional que haga sus veces.</w:t>
      </w:r>
    </w:p>
    <w:p w14:paraId="37B33FEE" w14:textId="683BB1A7" w:rsidR="006512A0" w:rsidRPr="006870A3" w:rsidRDefault="00D36955" w:rsidP="003148E3">
      <w:pPr>
        <w:spacing w:after="0" w:line="276" w:lineRule="auto"/>
        <w:ind w:firstLine="709"/>
        <w:jc w:val="both"/>
        <w:rPr>
          <w:rFonts w:ascii="Verdana" w:eastAsia="Calibri" w:hAnsi="Verdana" w:cs="Arial"/>
          <w:color w:val="000000"/>
          <w:lang w:val="es-ES_tradnl"/>
        </w:rPr>
      </w:pPr>
      <w:r w:rsidRPr="006870A3">
        <w:rPr>
          <w:rFonts w:ascii="Verdana" w:eastAsia="Calibri" w:hAnsi="Verdana" w:cs="Arial"/>
          <w:bCs/>
          <w:lang w:val="es-MX"/>
        </w:rPr>
        <w:t>En ese orden, y atendiendo al objeto de la consulta, debe analizarse el alcance de esta obligación para determinar si esta aplica a toda la actividad contractual desarrollada por este tipo de entidades. De esta forma, se tiene que e</w:t>
      </w:r>
      <w:r w:rsidRPr="006870A3">
        <w:rPr>
          <w:rFonts w:ascii="Verdana" w:eastAsia="Calibri" w:hAnsi="Verdana" w:cs="Arial"/>
          <w:lang w:val="es-ES_tradnl" w:eastAsia="es-ES_tradnl"/>
        </w:rPr>
        <w:t>l artículo 53 de la Ley 2195 de 2022 dispone que las entidades con regímenes especiales “deberán publicar los documentos relacionados con su actividad contractual en el Sistema Electrónico para la Contratación Pública (SECOP II) o la plataforma transaccional que haga sus veces”.</w:t>
      </w:r>
      <w:r w:rsidR="006E01C5" w:rsidRPr="006870A3">
        <w:rPr>
          <w:rFonts w:ascii="Verdana" w:eastAsia="Calibri" w:hAnsi="Verdana" w:cs="Arial"/>
          <w:lang w:val="es-ES_tradnl" w:eastAsia="es-ES_tradnl"/>
        </w:rPr>
        <w:t xml:space="preserve"> Como puede observarse, la disposición objeto de estudio no señala de forma expresa si el deber de las entidades exceptuadas de publicar todos los documentos relacionados con su actividad contractual aplica para todos los contratos que se celebren o si, por el contrario, esta obligación sólo se impone respecto de aquellos contratos cuya fuente de financiación proviene de recursos públicos.</w:t>
      </w:r>
    </w:p>
    <w:p w14:paraId="1BB87B53" w14:textId="77777777" w:rsidR="00D36955" w:rsidRPr="006870A3" w:rsidRDefault="00D36955" w:rsidP="003148E3">
      <w:pPr>
        <w:spacing w:after="0" w:line="276" w:lineRule="auto"/>
        <w:ind w:firstLine="709"/>
        <w:jc w:val="both"/>
        <w:rPr>
          <w:rFonts w:ascii="Verdana" w:eastAsia="Calibri" w:hAnsi="Verdana" w:cs="Arial"/>
          <w:color w:val="000000"/>
          <w:lang w:val="es-ES_tradnl"/>
        </w:rPr>
      </w:pPr>
    </w:p>
    <w:p w14:paraId="2BB4F459" w14:textId="53F7E47F" w:rsidR="00D36955" w:rsidRPr="006870A3" w:rsidRDefault="00A371B3" w:rsidP="00C12965">
      <w:pPr>
        <w:spacing w:after="0" w:line="276" w:lineRule="auto"/>
        <w:ind w:firstLine="709"/>
        <w:jc w:val="both"/>
        <w:rPr>
          <w:rFonts w:ascii="Verdana" w:eastAsia="Calibri" w:hAnsi="Verdana" w:cs="Arial"/>
          <w:color w:val="000000"/>
          <w:lang w:val="es-ES_tradnl"/>
        </w:rPr>
      </w:pPr>
      <w:r w:rsidRPr="006870A3">
        <w:rPr>
          <w:rFonts w:ascii="Verdana" w:eastAsia="Calibri" w:hAnsi="Verdana" w:cs="Arial"/>
          <w:color w:val="000000"/>
          <w:lang w:val="es-ES_tradnl"/>
        </w:rPr>
        <w:t xml:space="preserve">Al respecto, </w:t>
      </w:r>
      <w:r w:rsidRPr="006870A3">
        <w:rPr>
          <w:rFonts w:ascii="Verdana" w:eastAsia="Calibri" w:hAnsi="Verdana" w:cs="Arial"/>
          <w:lang w:val="es-ES" w:eastAsia="es-ES"/>
        </w:rPr>
        <w:t>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ii) el artículo 3, literal c) de la Ley 1150 de 2007, iii) los artículos 3, 9, literal e) y 11, literal g), de la Ley 1712 de 2014, y iv) los</w:t>
      </w:r>
      <w:r w:rsidR="00B71D21" w:rsidRPr="006870A3">
        <w:rPr>
          <w:rFonts w:ascii="Verdana" w:eastAsia="Calibri" w:hAnsi="Verdana" w:cs="Arial"/>
          <w:lang w:val="es-ES" w:eastAsia="es-ES"/>
        </w:rPr>
        <w:t xml:space="preserve"> artículos 7 al 10 del Decreto 103 de 2015 –compilado en los artículos 2.1.1.1.1. al 2.1.1.6.1. del Decreto 1081 de 2015–.</w:t>
      </w:r>
      <w:r w:rsidR="00C12965" w:rsidRPr="006870A3">
        <w:rPr>
          <w:rFonts w:ascii="Verdana" w:eastAsia="Calibri" w:hAnsi="Verdana" w:cs="Arial"/>
          <w:color w:val="000000"/>
          <w:lang w:val="es-ES_tradnl"/>
        </w:rPr>
        <w:t xml:space="preserve"> </w:t>
      </w:r>
      <w:r w:rsidR="003F665C" w:rsidRPr="006870A3">
        <w:rPr>
          <w:rFonts w:ascii="Verdana" w:eastAsia="Calibri" w:hAnsi="Verdana" w:cs="Arial"/>
          <w:noProof/>
          <w:lang w:val="es-ES_tradnl"/>
        </w:rPr>
        <w:t xml:space="preserve">Así las cosas, dado que el artículo 53 de la Ley 2195 de 2022 complementó las disposiciones ya establecidas en la Ley 1150 de 2007, la lectura que se haga de dicho artículo debe efectuarse de forma </w:t>
      </w:r>
      <w:r w:rsidR="003F665C" w:rsidRPr="006870A3">
        <w:rPr>
          <w:rFonts w:ascii="Verdana" w:eastAsia="Calibri" w:hAnsi="Verdana" w:cs="Arial"/>
          <w:i/>
          <w:iCs/>
          <w:noProof/>
          <w:lang w:val="es-ES_tradnl"/>
        </w:rPr>
        <w:t xml:space="preserve">sistemática. </w:t>
      </w:r>
      <w:r w:rsidR="003F665C" w:rsidRPr="006870A3">
        <w:rPr>
          <w:rFonts w:ascii="Verdana" w:eastAsia="Calibri" w:hAnsi="Verdana" w:cs="Arial"/>
          <w:noProof/>
          <w:lang w:val="es-ES_tradnl"/>
        </w:rPr>
        <w:t xml:space="preserve">En ese sentido, debe señalarse que la </w:t>
      </w:r>
      <w:r w:rsidR="003F665C" w:rsidRPr="006870A3">
        <w:rPr>
          <w:rFonts w:ascii="Verdana" w:eastAsia="Calibri" w:hAnsi="Verdana" w:cs="Arial"/>
          <w:lang w:val="es-ES_tradnl" w:eastAsia="es-CO"/>
        </w:rPr>
        <w:t>contratación con cargo a recursos públicos es un concepto al que alude expresamente la Ley 1150 de 2007</w:t>
      </w:r>
      <w:r w:rsidR="00C12965" w:rsidRPr="006870A3">
        <w:rPr>
          <w:rFonts w:ascii="Verdana" w:eastAsia="Calibri" w:hAnsi="Verdana" w:cs="Arial"/>
          <w:lang w:val="es-ES_tradnl" w:eastAsia="es-CO"/>
        </w:rPr>
        <w:t>.</w:t>
      </w:r>
    </w:p>
    <w:p w14:paraId="730F343E" w14:textId="77777777" w:rsidR="00C12965" w:rsidRPr="006870A3" w:rsidRDefault="00C12965" w:rsidP="003148E3">
      <w:pPr>
        <w:spacing w:after="0" w:line="276" w:lineRule="auto"/>
        <w:ind w:firstLine="709"/>
        <w:jc w:val="both"/>
        <w:rPr>
          <w:rFonts w:ascii="Verdana" w:eastAsia="Calibri" w:hAnsi="Verdana" w:cs="Arial"/>
          <w:lang w:val="es-ES_tradnl" w:eastAsia="es-CO"/>
        </w:rPr>
      </w:pPr>
    </w:p>
    <w:p w14:paraId="28538463" w14:textId="77777777" w:rsidR="00901EAB" w:rsidRPr="006870A3" w:rsidRDefault="00C12965" w:rsidP="00901EAB">
      <w:pPr>
        <w:spacing w:after="0" w:line="276" w:lineRule="auto"/>
        <w:ind w:firstLine="708"/>
        <w:contextualSpacing/>
        <w:jc w:val="both"/>
        <w:rPr>
          <w:rFonts w:ascii="Verdana" w:eastAsia="Calibri" w:hAnsi="Verdana" w:cs="Arial"/>
        </w:rPr>
      </w:pPr>
      <w:r w:rsidRPr="006870A3">
        <w:rPr>
          <w:rFonts w:ascii="Verdana" w:eastAsia="Calibri" w:hAnsi="Verdana" w:cs="Arial"/>
          <w:lang w:val="es-ES_tradnl" w:eastAsia="es-CO"/>
        </w:rPr>
        <w:t xml:space="preserve">Por otro lado, </w:t>
      </w:r>
      <w:r w:rsidR="00901EAB" w:rsidRPr="006870A3">
        <w:rPr>
          <w:rFonts w:ascii="Verdana" w:eastAsia="Calibri" w:hAnsi="Verdana" w:cs="Arial"/>
        </w:rPr>
        <w:t xml:space="preserve">el Decreto 103 de 2015, mediante el cual se reglamentó la Ley 1712 de 2014, y que fue compilado </w:t>
      </w:r>
      <w:r w:rsidR="00901EAB" w:rsidRPr="006870A3">
        <w:rPr>
          <w:rFonts w:ascii="Verdana" w:eastAsia="Calibri" w:hAnsi="Verdana" w:cs="Arial"/>
          <w:shd w:val="clear" w:color="auto" w:fill="FFFFFF"/>
        </w:rPr>
        <w:t xml:space="preserve">en los artículos 2.1.1.1.1. al 2.1.1.6.1. del Decreto 1081 de 2015–.  </w:t>
      </w:r>
      <w:r w:rsidR="00901EAB" w:rsidRPr="006870A3">
        <w:rPr>
          <w:rFonts w:ascii="Verdana" w:eastAsia="Calibri" w:hAnsi="Verdana" w:cs="Arial"/>
        </w:rPr>
        <w:t>señala:</w:t>
      </w:r>
    </w:p>
    <w:p w14:paraId="270A986B" w14:textId="77777777" w:rsidR="00901EAB" w:rsidRPr="006870A3" w:rsidRDefault="00901EAB" w:rsidP="00901EAB">
      <w:pPr>
        <w:spacing w:after="0" w:line="276" w:lineRule="auto"/>
        <w:ind w:firstLine="784"/>
        <w:contextualSpacing/>
        <w:jc w:val="both"/>
        <w:rPr>
          <w:rFonts w:ascii="Verdana" w:eastAsia="Calibri" w:hAnsi="Verdana" w:cs="Arial"/>
        </w:rPr>
      </w:pPr>
    </w:p>
    <w:p w14:paraId="5C85FB2A" w14:textId="77777777" w:rsidR="00901EAB" w:rsidRPr="006870A3" w:rsidRDefault="00901EAB" w:rsidP="00901EAB">
      <w:pPr>
        <w:spacing w:after="0" w:line="240" w:lineRule="auto"/>
        <w:ind w:left="709" w:right="709"/>
        <w:jc w:val="both"/>
        <w:rPr>
          <w:rFonts w:ascii="Verdana" w:eastAsia="Times New Roman" w:hAnsi="Verdana" w:cs="Arial"/>
          <w:sz w:val="21"/>
          <w:szCs w:val="21"/>
          <w:lang w:eastAsia="es-CO"/>
        </w:rPr>
      </w:pPr>
      <w:r w:rsidRPr="006870A3">
        <w:rPr>
          <w:rFonts w:ascii="Verdana" w:eastAsia="Times New Roman" w:hAnsi="Verdana" w:cs="Arial"/>
          <w:sz w:val="21"/>
          <w:szCs w:val="21"/>
          <w:lang w:eastAsia="es-CO"/>
        </w:rPr>
        <w:t>“Artículo 7°.</w:t>
      </w:r>
      <w:r w:rsidRPr="006870A3">
        <w:rPr>
          <w:rFonts w:ascii="Verdana" w:eastAsia="Times New Roman" w:hAnsi="Verdana" w:cs="Arial"/>
          <w:i/>
          <w:iCs/>
          <w:sz w:val="21"/>
          <w:szCs w:val="21"/>
          <w:lang w:eastAsia="es-CO"/>
        </w:rPr>
        <w:t xml:space="preserve"> Publicación de la información contractual. </w:t>
      </w:r>
      <w:r w:rsidRPr="006870A3">
        <w:rPr>
          <w:rFonts w:ascii="Verdana" w:eastAsia="Times New Roman" w:hAnsi="Verdana" w:cs="Arial"/>
          <w:sz w:val="21"/>
          <w:szCs w:val="21"/>
          <w:lang w:eastAsia="es-CO"/>
        </w:rPr>
        <w:t xml:space="preserve">De conformidad con el literal (c) del artículo 3° de la Ley 1150 de 2007, el sistema de información del Estado en el cual los sujetos obligados que contratan </w:t>
      </w:r>
      <w:r w:rsidRPr="006870A3">
        <w:rPr>
          <w:rFonts w:ascii="Verdana" w:eastAsia="Times New Roman" w:hAnsi="Verdana" w:cs="Arial"/>
          <w:i/>
          <w:iCs/>
          <w:sz w:val="21"/>
          <w:szCs w:val="21"/>
          <w:lang w:eastAsia="es-CO"/>
        </w:rPr>
        <w:t>con cargo a recursos públicos</w:t>
      </w:r>
      <w:r w:rsidRPr="006870A3">
        <w:rPr>
          <w:rFonts w:ascii="Verdana" w:eastAsia="Times New Roman" w:hAnsi="Verdana" w:cs="Arial"/>
          <w:sz w:val="21"/>
          <w:szCs w:val="21"/>
          <w:lang w:eastAsia="es-CO"/>
        </w:rPr>
        <w:t xml:space="preserve"> deben cumplir la obligación de publicar la información de su gestión contractual es el Sistema Electrónico para la Contratación Pública (Secop). </w:t>
      </w:r>
    </w:p>
    <w:p w14:paraId="7ECDAD97" w14:textId="77777777" w:rsidR="00D02AA3" w:rsidRPr="006870A3" w:rsidRDefault="00901EAB" w:rsidP="00D02AA3">
      <w:pPr>
        <w:spacing w:before="120" w:after="0" w:line="240" w:lineRule="auto"/>
        <w:ind w:left="709" w:right="709"/>
        <w:jc w:val="both"/>
        <w:rPr>
          <w:rFonts w:ascii="Verdana" w:eastAsia="Times New Roman" w:hAnsi="Verdana" w:cs="Arial"/>
          <w:sz w:val="21"/>
          <w:szCs w:val="21"/>
          <w:lang w:eastAsia="es-CO"/>
        </w:rPr>
      </w:pPr>
      <w:r w:rsidRPr="006870A3">
        <w:rPr>
          <w:rFonts w:ascii="Verdana" w:eastAsia="Times New Roman" w:hAnsi="Verdana" w:cs="Arial"/>
          <w:sz w:val="21"/>
          <w:szCs w:val="21"/>
          <w:lang w:eastAsia="es-CO"/>
        </w:rPr>
        <w:t xml:space="preserve">Los sujetos obligados que contratan </w:t>
      </w:r>
      <w:r w:rsidRPr="006870A3">
        <w:rPr>
          <w:rFonts w:ascii="Verdana" w:eastAsia="Times New Roman" w:hAnsi="Verdana" w:cs="Arial"/>
          <w:i/>
          <w:iCs/>
          <w:sz w:val="21"/>
          <w:szCs w:val="21"/>
          <w:lang w:eastAsia="es-CO"/>
        </w:rPr>
        <w:t>con cargo a recursos públicos</w:t>
      </w:r>
      <w:r w:rsidRPr="006870A3">
        <w:rPr>
          <w:rFonts w:ascii="Verdana" w:eastAsia="Times New Roman" w:hAnsi="Verdana" w:cs="Arial"/>
          <w:sz w:val="21"/>
          <w:szCs w:val="21"/>
          <w:lang w:eastAsia="es-CO"/>
        </w:rPr>
        <w:t xml:space="preserve"> deben publicar la información de su gestión contractual en el plazo previsto en el artículo 19 del Decreto 1510 de 2013, o el que lo modifique, sustituya o adicione. </w:t>
      </w:r>
    </w:p>
    <w:p w14:paraId="1B01603D" w14:textId="3AE7B37C" w:rsidR="00901EAB" w:rsidRPr="006870A3" w:rsidRDefault="00D02AA3" w:rsidP="000C30D4">
      <w:pPr>
        <w:spacing w:before="120" w:after="0" w:line="240" w:lineRule="auto"/>
        <w:ind w:left="709" w:right="709"/>
        <w:jc w:val="both"/>
        <w:rPr>
          <w:rFonts w:ascii="Verdana" w:eastAsia="Times New Roman" w:hAnsi="Verdana" w:cs="Arial"/>
          <w:sz w:val="21"/>
          <w:szCs w:val="21"/>
          <w:lang w:eastAsia="es-CO"/>
        </w:rPr>
      </w:pPr>
      <w:r w:rsidRPr="006870A3">
        <w:rPr>
          <w:rFonts w:ascii="Verdana" w:eastAsia="Times New Roman" w:hAnsi="Verdana" w:cs="Arial"/>
          <w:sz w:val="21"/>
          <w:szCs w:val="21"/>
          <w:lang w:eastAsia="es-CO"/>
        </w:rPr>
        <w:t xml:space="preserve">Los sujetos obligados que contratan con recursos públicos y recursos </w:t>
      </w:r>
      <w:proofErr w:type="gramStart"/>
      <w:r w:rsidRPr="006870A3">
        <w:rPr>
          <w:rFonts w:ascii="Verdana" w:eastAsia="Times New Roman" w:hAnsi="Verdana" w:cs="Arial"/>
          <w:sz w:val="21"/>
          <w:szCs w:val="21"/>
          <w:lang w:eastAsia="es-CO"/>
        </w:rPr>
        <w:t>privados,</w:t>
      </w:r>
      <w:proofErr w:type="gramEnd"/>
      <w:r w:rsidRPr="006870A3">
        <w:rPr>
          <w:rFonts w:ascii="Verdana" w:eastAsia="Times New Roman" w:hAnsi="Verdana" w:cs="Arial"/>
          <w:sz w:val="21"/>
          <w:szCs w:val="21"/>
          <w:lang w:eastAsia="es-CO"/>
        </w:rPr>
        <w:t xml:space="preserve"> deben publicar la información de su gestión contractual con cargo a recursos públicos en el Sistema Electrónico para la Contratación Pública (Secop)”. </w:t>
      </w:r>
    </w:p>
    <w:p w14:paraId="3CF338CB" w14:textId="77777777" w:rsidR="001D5FA9" w:rsidRPr="006870A3" w:rsidRDefault="00FE7D26" w:rsidP="001D5FA9">
      <w:pPr>
        <w:spacing w:before="120" w:after="120" w:line="276" w:lineRule="auto"/>
        <w:ind w:firstLine="709"/>
        <w:jc w:val="both"/>
        <w:rPr>
          <w:rFonts w:ascii="Verdana" w:eastAsia="Calibri" w:hAnsi="Verdana" w:cs="Arial"/>
          <w:lang w:val="es-ES_tradnl" w:eastAsia="es-ES_tradnl"/>
        </w:rPr>
      </w:pPr>
      <w:bookmarkStart w:id="1" w:name="_Hlk110869205"/>
      <w:r w:rsidRPr="006870A3">
        <w:rPr>
          <w:rFonts w:ascii="Verdana" w:eastAsia="Calibri" w:hAnsi="Verdana"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de la Ley 2195 de 2022 –al ampliar la obligación de las entidades con regímenes especiales de publicar su actividad contractual en el SECOP II– se refiere a aquella actividad contractual cuya fuente de financiación </w:t>
      </w:r>
      <w:r w:rsidRPr="006870A3">
        <w:rPr>
          <w:rFonts w:ascii="Verdana" w:eastAsia="Calibri" w:hAnsi="Verdana" w:cs="Arial"/>
          <w:shd w:val="clear" w:color="auto" w:fill="FFFFFF"/>
        </w:rPr>
        <w:t>provenga</w:t>
      </w:r>
      <w:r w:rsidRPr="006870A3">
        <w:rPr>
          <w:rFonts w:ascii="Verdana" w:eastAsia="Calibri" w:hAnsi="Verdana" w:cs="Arial"/>
          <w:lang w:val="es-ES_tradnl" w:eastAsia="es-ES_tradnl"/>
        </w:rPr>
        <w:t xml:space="preserve"> de recursos públicos</w:t>
      </w:r>
      <w:r w:rsidR="004B1FCB" w:rsidRPr="006870A3">
        <w:rPr>
          <w:rFonts w:ascii="Verdana" w:eastAsia="Calibri" w:hAnsi="Verdana" w:cs="Arial"/>
          <w:lang w:val="es-ES_tradnl" w:eastAsia="es-ES_tradnl"/>
        </w:rPr>
        <w:t>, deviniendo en potestativa la publicación de la contratación desarrollada con otro tipo de recursos.</w:t>
      </w:r>
      <w:bookmarkEnd w:id="1"/>
    </w:p>
    <w:p w14:paraId="70842B34" w14:textId="2AC0AE80" w:rsidR="001D5FA9" w:rsidRPr="006870A3" w:rsidRDefault="001D5FA9" w:rsidP="001D5FA9">
      <w:pPr>
        <w:spacing w:before="120" w:after="120" w:line="276" w:lineRule="auto"/>
        <w:ind w:firstLine="709"/>
        <w:jc w:val="both"/>
        <w:rPr>
          <w:rFonts w:ascii="Verdana" w:eastAsia="Calibri" w:hAnsi="Verdana" w:cs="Arial"/>
          <w:lang w:val="es-ES_tradnl" w:eastAsia="es-ES_tradnl"/>
        </w:rPr>
      </w:pPr>
      <w:r w:rsidRPr="006870A3">
        <w:rPr>
          <w:rFonts w:ascii="Verdana" w:eastAsia="Aptos" w:hAnsi="Verdana" w:cs="Arial"/>
          <w:shd w:val="clear" w:color="auto" w:fill="FFFFFF"/>
        </w:rPr>
        <w:t xml:space="preserve">En todo caso, corresponde a cada entidad de régimen especial de contratación dar cumplimiento al deber de publicación que les asiste en relación con su actividad contractual en cumplimiento del artículo 53 de la Ley 2195 de 2022. </w:t>
      </w:r>
    </w:p>
    <w:p w14:paraId="5605BDB7" w14:textId="2B364A5D" w:rsidR="00C50A4D" w:rsidRPr="006870A3" w:rsidRDefault="000C30D4" w:rsidP="00C50A4D">
      <w:pPr>
        <w:spacing w:after="120" w:line="276" w:lineRule="auto"/>
        <w:ind w:firstLine="709"/>
        <w:jc w:val="both"/>
        <w:rPr>
          <w:rFonts w:ascii="Verdana" w:eastAsia="Times New Roman" w:hAnsi="Verdana" w:cs="Arial"/>
          <w:lang w:val="es-ES" w:eastAsia="es-ES_tradnl"/>
        </w:rPr>
      </w:pPr>
      <w:r w:rsidRPr="006870A3">
        <w:rPr>
          <w:rFonts w:ascii="Verdana" w:eastAsia="Times New Roman" w:hAnsi="Verdana" w:cs="Arial"/>
          <w:b/>
          <w:bCs/>
          <w:lang w:val="es-ES" w:eastAsia="es-ES_tradnl"/>
        </w:rPr>
        <w:t>ii.</w:t>
      </w:r>
      <w:r w:rsidRPr="006870A3">
        <w:rPr>
          <w:rFonts w:ascii="Verdana" w:eastAsia="Times New Roman" w:hAnsi="Verdana" w:cs="Arial"/>
          <w:lang w:val="es-ES" w:eastAsia="es-ES_tradnl"/>
        </w:rPr>
        <w:t xml:space="preserve"> </w:t>
      </w:r>
      <w:r w:rsidR="001D5FA9" w:rsidRPr="006870A3">
        <w:rPr>
          <w:rFonts w:ascii="Verdana" w:eastAsia="Times New Roman" w:hAnsi="Verdana" w:cs="Arial"/>
          <w:lang w:val="es-ES" w:eastAsia="es-ES_tradnl"/>
        </w:rPr>
        <w:t>Sin perjuicio de lo anterior, no debe perderse de vista que, en virtud del principio de transparencia, específicamente por cuenta de lo dispuesto en el numeral 4 del artículo 24 de la Ley 80 de 1993</w:t>
      </w:r>
      <w:r w:rsidR="001D5FA9" w:rsidRPr="006870A3">
        <w:rPr>
          <w:rFonts w:ascii="Verdana" w:eastAsia="Times New Roman" w:hAnsi="Verdana" w:cs="Arial"/>
          <w:vertAlign w:val="superscript"/>
          <w:lang w:val="es-ES" w:eastAsia="es-ES_tradnl"/>
        </w:rPr>
        <w:footnoteReference w:id="7"/>
      </w:r>
      <w:r w:rsidR="001D5FA9" w:rsidRPr="006870A3">
        <w:rPr>
          <w:rFonts w:ascii="Verdana" w:eastAsia="Times New Roman" w:hAnsi="Verdana" w:cs="Arial"/>
          <w:lang w:val="es-ES" w:eastAsia="es-ES_tradnl"/>
        </w:rPr>
        <w:t xml:space="preserve">, así como por el principio de </w:t>
      </w:r>
      <w:r w:rsidR="001D5FA9" w:rsidRPr="006870A3">
        <w:rPr>
          <w:rFonts w:ascii="Verdana" w:eastAsia="Times New Roman" w:hAnsi="Verdana" w:cs="Arial"/>
          <w:lang w:val="es-ES" w:eastAsia="es-ES_tradnl"/>
        </w:rPr>
        <w:lastRenderedPageBreak/>
        <w:t>máxima publicidad establecido en el artículo 2 de la Ley 1712 de 2014</w:t>
      </w:r>
      <w:r w:rsidR="001D5FA9" w:rsidRPr="006870A3">
        <w:rPr>
          <w:rFonts w:ascii="Verdana" w:eastAsia="Times New Roman" w:hAnsi="Verdana" w:cs="Arial"/>
          <w:vertAlign w:val="superscript"/>
          <w:lang w:val="es-ES" w:eastAsia="es-ES_tradnl"/>
        </w:rPr>
        <w:footnoteReference w:id="8"/>
      </w:r>
      <w:r w:rsidR="001D5FA9" w:rsidRPr="006870A3">
        <w:rPr>
          <w:rFonts w:ascii="Verdana" w:eastAsia="Times New Roman" w:hAnsi="Verdana" w:cs="Arial"/>
          <w:lang w:val="es-ES" w:eastAsia="es-ES_tradnl"/>
        </w:rPr>
        <w:t>, el contenido del expediente en el que reposa la actuación es información pública, independientemente de si se trata de documentos que deban ser 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w:t>
      </w:r>
      <w:r w:rsidR="001D5FA9" w:rsidRPr="006870A3">
        <w:rPr>
          <w:rFonts w:ascii="Verdana" w:eastAsia="Times New Roman" w:hAnsi="Verdana" w:cs="Arial"/>
          <w:vertAlign w:val="superscript"/>
          <w:lang w:val="es-ES" w:eastAsia="es-ES_tradnl"/>
        </w:rPr>
        <w:footnoteReference w:id="9"/>
      </w:r>
      <w:r w:rsidR="001D5FA9" w:rsidRPr="006870A3">
        <w:rPr>
          <w:rFonts w:ascii="Verdana" w:eastAsia="Times New Roman" w:hAnsi="Verdana" w:cs="Arial"/>
          <w:lang w:val="es-ES" w:eastAsia="es-ES_tradnl"/>
        </w:rPr>
        <w:t>. Esta posibilidad solo se encuentra limitada respecto de la documentación que tenga la calidad de reservada</w:t>
      </w:r>
      <w:r w:rsidR="001D5FA9" w:rsidRPr="006870A3">
        <w:rPr>
          <w:rFonts w:ascii="Verdana" w:eastAsia="Times New Roman" w:hAnsi="Verdana" w:cs="Arial"/>
          <w:vertAlign w:val="superscript"/>
          <w:lang w:val="es-ES" w:eastAsia="es-ES_tradnl"/>
        </w:rPr>
        <w:footnoteReference w:id="10"/>
      </w:r>
      <w:r w:rsidR="001D5FA9" w:rsidRPr="006870A3">
        <w:rPr>
          <w:rFonts w:ascii="Verdana" w:eastAsia="Times New Roman" w:hAnsi="Verdana" w:cs="Arial"/>
          <w:lang w:val="es-ES" w:eastAsia="es-ES_tradnl"/>
        </w:rPr>
        <w:t>, que deberá</w:t>
      </w:r>
      <w:r w:rsidR="00C50A4D" w:rsidRPr="006870A3">
        <w:rPr>
          <w:rFonts w:ascii="Verdana" w:eastAsia="Times New Roman" w:hAnsi="Verdana" w:cs="Arial"/>
          <w:lang w:val="es-ES" w:eastAsia="es-ES_tradnl"/>
        </w:rPr>
        <w:t xml:space="preserve"> someterse al tratamiento establecido en el artículo 36 del CPACA, en lo relativo a la formación de cuadernos separados</w:t>
      </w:r>
      <w:r w:rsidR="00C50A4D" w:rsidRPr="006870A3">
        <w:rPr>
          <w:rFonts w:ascii="Verdana" w:eastAsia="Times New Roman" w:hAnsi="Verdana" w:cs="Arial"/>
          <w:vertAlign w:val="superscript"/>
          <w:lang w:val="es-ES" w:eastAsia="es-ES_tradnl"/>
        </w:rPr>
        <w:footnoteReference w:id="11"/>
      </w:r>
      <w:r w:rsidR="00C50A4D" w:rsidRPr="006870A3">
        <w:rPr>
          <w:rFonts w:ascii="Verdana" w:eastAsia="Times New Roman" w:hAnsi="Verdana" w:cs="Arial"/>
          <w:lang w:val="es-ES" w:eastAsia="es-ES_tradnl"/>
        </w:rPr>
        <w:t>.</w:t>
      </w:r>
    </w:p>
    <w:p w14:paraId="35F4B524" w14:textId="77777777" w:rsidR="00344511" w:rsidRPr="006870A3" w:rsidRDefault="00344511" w:rsidP="00344511">
      <w:pPr>
        <w:tabs>
          <w:tab w:val="left" w:pos="426"/>
        </w:tabs>
        <w:spacing w:after="120" w:line="276" w:lineRule="auto"/>
        <w:ind w:firstLine="425"/>
        <w:jc w:val="both"/>
        <w:rPr>
          <w:rFonts w:ascii="Verdana" w:eastAsia="Calibri" w:hAnsi="Verdana" w:cs="Arial"/>
          <w:lang w:val="es-ES" w:eastAsia="es-ES_tradnl"/>
        </w:rPr>
      </w:pPr>
      <w:r w:rsidRPr="006870A3">
        <w:rPr>
          <w:rFonts w:ascii="Verdana" w:eastAsia="Calibri" w:hAnsi="Verdana" w:cs="Arial"/>
          <w:lang w:val="es-ES" w:eastAsia="es-ES_tradnl"/>
        </w:rPr>
        <w:lastRenderedPageBreak/>
        <w:t xml:space="preserve">No obstante, lo expresado,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actuar de conformidad con el tratamiento que impongan tales normas, absteniéndose, de ser el caso, de publicar los documentos del proceso, algunos de ellos o algunos apartes de dichos documentos en los que se evidencie este tipo de información. </w:t>
      </w:r>
    </w:p>
    <w:p w14:paraId="1DDD4067" w14:textId="77777777" w:rsidR="00152E6F" w:rsidRPr="006870A3" w:rsidRDefault="00676264" w:rsidP="00152E6F">
      <w:pPr>
        <w:spacing w:after="120" w:line="276" w:lineRule="auto"/>
        <w:ind w:firstLine="709"/>
        <w:jc w:val="both"/>
        <w:rPr>
          <w:rFonts w:ascii="Verdana" w:eastAsia="Calibri" w:hAnsi="Verdana" w:cs="Arial"/>
          <w:color w:val="000000"/>
          <w:lang w:val="es-ES" w:eastAsia="en-GB"/>
        </w:rPr>
      </w:pPr>
      <w:r w:rsidRPr="006870A3">
        <w:rPr>
          <w:rFonts w:ascii="Verdana" w:eastAsia="Calibri" w:hAnsi="Verdana" w:cs="Arial"/>
          <w:color w:val="000000" w:themeColor="text1"/>
          <w:lang w:val="es-ES" w:eastAsia="en-GB"/>
        </w:rPr>
        <w:t xml:space="preserve">En otras palabras, aunque el artículo 74 de la Constitución establezca que la información pública debe ser dada a conocer a la ciudadanía y así los documentos que hagan parte de la actividad contractual puedan catalogarse, </w:t>
      </w:r>
      <w:r w:rsidRPr="006870A3">
        <w:rPr>
          <w:rFonts w:ascii="Verdana" w:eastAsia="Calibri" w:hAnsi="Verdana" w:cs="Arial"/>
          <w:i/>
          <w:color w:val="000000" w:themeColor="text1"/>
          <w:lang w:val="es-ES" w:eastAsia="en-GB"/>
        </w:rPr>
        <w:t>prima facie,</w:t>
      </w:r>
      <w:r w:rsidRPr="006870A3">
        <w:rPr>
          <w:rFonts w:ascii="Verdana" w:eastAsia="Calibri" w:hAnsi="Verdana" w:cs="Arial"/>
          <w:color w:val="000000" w:themeColor="text1"/>
          <w:lang w:val="es-ES" w:eastAsia="en-GB"/>
        </w:rPr>
        <w:t xml:space="preserve"> como información pública, cuando dicha documentación contenga información sometida a alguna reserva, que establezca la Constitución o la ley, operan algunas restricciones a su publicidad. Sin embargo, esto no</w:t>
      </w:r>
      <w:r w:rsidR="00152E6F" w:rsidRPr="006870A3">
        <w:rPr>
          <w:rFonts w:ascii="Verdana" w:eastAsia="Calibri" w:hAnsi="Verdana" w:cs="Arial"/>
          <w:color w:val="000000" w:themeColor="text1"/>
          <w:lang w:val="es-ES" w:eastAsia="en-GB"/>
        </w:rPr>
        <w:t xml:space="preserve"> necesariamente convierte el documento completo en reservado, es decir, en un documento que no puede publicarse. </w:t>
      </w:r>
    </w:p>
    <w:p w14:paraId="4BFC7CD2" w14:textId="77777777" w:rsidR="00152E6F" w:rsidRPr="006870A3" w:rsidRDefault="00152E6F" w:rsidP="00152E6F">
      <w:pPr>
        <w:spacing w:after="120" w:line="276" w:lineRule="auto"/>
        <w:ind w:firstLine="709"/>
        <w:jc w:val="both"/>
        <w:rPr>
          <w:rFonts w:ascii="Verdana" w:eastAsia="Calibri" w:hAnsi="Verdana" w:cs="Arial"/>
          <w:color w:val="000000"/>
          <w:lang w:val="es-ES" w:eastAsia="en-GB"/>
        </w:rPr>
      </w:pPr>
      <w:r w:rsidRPr="006870A3">
        <w:rPr>
          <w:rFonts w:ascii="Verdana" w:eastAsia="Calibri" w:hAnsi="Verdana" w:cs="Arial"/>
          <w:color w:val="000000"/>
          <w:lang w:val="es-ES" w:eastAsia="en-GB"/>
        </w:rPr>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006870A3">
        <w:rPr>
          <w:rFonts w:ascii="Verdana" w:eastAsia="Calibri" w:hAnsi="Verdana" w:cs="Arial"/>
          <w:color w:val="000000"/>
          <w:vertAlign w:val="superscript"/>
          <w:lang w:val="es-ES" w:eastAsia="en-GB"/>
        </w:rPr>
        <w:footnoteReference w:id="12"/>
      </w:r>
      <w:r w:rsidRPr="006870A3">
        <w:rPr>
          <w:rFonts w:ascii="Verdana" w:eastAsia="Calibri" w:hAnsi="Verdana" w:cs="Arial"/>
          <w:color w:val="000000"/>
          <w:lang w:val="es-ES" w:eastAsia="en-GB"/>
        </w:rPr>
        <w:t xml:space="preserve">. Sin perjuicio de lo anterior, es posible que el contenido de todo el documento o expediente no deba ser objeto de publicidad </w:t>
      </w:r>
      <w:r w:rsidRPr="006870A3">
        <w:rPr>
          <w:rFonts w:ascii="Verdana" w:eastAsia="Calibri" w:hAnsi="Verdana" w:cs="Arial"/>
          <w:color w:val="000000"/>
          <w:lang w:val="es-ES" w:eastAsia="en-GB"/>
        </w:rPr>
        <w:lastRenderedPageBreak/>
        <w:t>por estar amparado de forma íntegra por la reserva, dada su conexión con las causales establecidas en la Constitución o la ley.</w:t>
      </w:r>
    </w:p>
    <w:p w14:paraId="1AE93BE0" w14:textId="7321877D" w:rsidR="00676264" w:rsidRPr="006870A3" w:rsidRDefault="00CB46EB" w:rsidP="0020730A">
      <w:pPr>
        <w:tabs>
          <w:tab w:val="left" w:pos="426"/>
        </w:tabs>
        <w:spacing w:after="120" w:line="276" w:lineRule="auto"/>
        <w:ind w:firstLine="709"/>
        <w:jc w:val="both"/>
        <w:rPr>
          <w:rFonts w:ascii="Verdana" w:eastAsia="Calibri" w:hAnsi="Verdana" w:cs="Arial"/>
          <w:color w:val="000000"/>
          <w:lang w:val="es-ES_tradnl" w:eastAsia="en-GB"/>
        </w:rPr>
      </w:pPr>
      <w:r w:rsidRPr="006870A3">
        <w:rPr>
          <w:rFonts w:ascii="Verdana" w:eastAsia="Calibri" w:hAnsi="Verdana" w:cs="Arial"/>
          <w:color w:val="000000"/>
          <w:lang w:val="es-ES_tradnl" w:eastAsia="en-GB"/>
        </w:rPr>
        <w:t>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artículo 2.2.2.25.1.3., numeral 3 –que compiló al Decreto 1377 de 2013 (art. 3)–, solo podrá divulgarse según las reglas establecidas en dichas normas.</w:t>
      </w:r>
    </w:p>
    <w:p w14:paraId="7DB1FBCD" w14:textId="77777777" w:rsidR="0020730A" w:rsidRPr="006870A3" w:rsidRDefault="0020730A" w:rsidP="0020730A">
      <w:pPr>
        <w:tabs>
          <w:tab w:val="left" w:pos="426"/>
        </w:tabs>
        <w:spacing w:after="120" w:line="276" w:lineRule="auto"/>
        <w:ind w:firstLine="709"/>
        <w:jc w:val="both"/>
        <w:rPr>
          <w:rFonts w:ascii="Verdana" w:eastAsia="Calibri" w:hAnsi="Verdana" w:cs="Arial"/>
          <w:color w:val="000000"/>
          <w:lang w:val="es-ES_tradnl" w:eastAsia="en-GB"/>
        </w:rPr>
      </w:pPr>
      <w:r w:rsidRPr="006870A3">
        <w:rPr>
          <w:rFonts w:ascii="Verdana" w:eastAsia="Calibri" w:hAnsi="Verdana" w:cs="Arial"/>
          <w:color w:val="000000"/>
          <w:lang w:val="es-ES_tradnl" w:eastAsia="en-GB"/>
        </w:rPr>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3D482766" w14:textId="77777777" w:rsidR="00C27470" w:rsidRPr="006870A3" w:rsidRDefault="00C27470" w:rsidP="006B0734">
      <w:pPr>
        <w:spacing w:after="0" w:line="276" w:lineRule="auto"/>
        <w:jc w:val="both"/>
        <w:rPr>
          <w:rFonts w:ascii="Verdana" w:hAnsi="Verdana" w:cs="Arial"/>
        </w:rPr>
      </w:pPr>
    </w:p>
    <w:p w14:paraId="7BA3EC3D" w14:textId="748F52A5" w:rsidR="00054748" w:rsidRPr="006870A3" w:rsidRDefault="006870A3" w:rsidP="003148E3">
      <w:pPr>
        <w:spacing w:after="0" w:line="276" w:lineRule="auto"/>
        <w:ind w:firstLine="709"/>
        <w:jc w:val="both"/>
        <w:rPr>
          <w:rFonts w:ascii="Verdana" w:eastAsia="Calibri" w:hAnsi="Verdana" w:cs="Arial"/>
          <w:bCs/>
          <w:color w:val="000000" w:themeColor="text1"/>
        </w:rPr>
      </w:pPr>
      <w:r w:rsidRPr="006870A3">
        <w:rPr>
          <w:rFonts w:ascii="Verdana" w:eastAsia="Calibri" w:hAnsi="Verdana" w:cs="Arial"/>
          <w:b/>
          <w:color w:val="000000" w:themeColor="text1"/>
        </w:rPr>
        <w:t>iii.</w:t>
      </w:r>
      <w:r w:rsidR="00301B67" w:rsidRPr="006870A3">
        <w:rPr>
          <w:rFonts w:ascii="Verdana" w:eastAsia="Calibri" w:hAnsi="Verdana" w:cs="Arial"/>
          <w:bCs/>
          <w:color w:val="000000" w:themeColor="text1"/>
        </w:rPr>
        <w:t xml:space="preserve"> </w:t>
      </w:r>
      <w:r w:rsidR="00054748" w:rsidRPr="006870A3">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w:t>
      </w:r>
      <w:r w:rsidR="00054748" w:rsidRPr="006870A3">
        <w:rPr>
          <w:rFonts w:ascii="Verdana" w:eastAsia="Calibri" w:hAnsi="Verdana" w:cs="Arial"/>
          <w:bCs/>
          <w:color w:val="000000" w:themeColor="text1"/>
        </w:rPr>
        <w:lastRenderedPageBreak/>
        <w:t>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DD8B0EF" w14:textId="77777777" w:rsidR="003148E3" w:rsidRPr="006870A3" w:rsidRDefault="003148E3" w:rsidP="003148E3">
      <w:pPr>
        <w:spacing w:after="0" w:line="276" w:lineRule="auto"/>
        <w:ind w:firstLine="709"/>
        <w:jc w:val="both"/>
        <w:rPr>
          <w:rFonts w:ascii="Verdana" w:hAnsi="Verdana" w:cs="Arial"/>
        </w:rPr>
      </w:pPr>
    </w:p>
    <w:p w14:paraId="5AAAE635" w14:textId="77777777" w:rsidR="00054748" w:rsidRPr="006870A3" w:rsidRDefault="00054748" w:rsidP="00054748">
      <w:pPr>
        <w:spacing w:after="0" w:line="276" w:lineRule="auto"/>
        <w:ind w:firstLine="708"/>
        <w:jc w:val="both"/>
        <w:rPr>
          <w:rFonts w:ascii="Verdana" w:eastAsia="Calibri" w:hAnsi="Verdana" w:cs="Arial"/>
          <w:bCs/>
          <w:color w:val="000000" w:themeColor="text1"/>
        </w:rPr>
      </w:pPr>
      <w:r w:rsidRPr="006870A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94E5771" w14:textId="77777777" w:rsidR="00054748" w:rsidRPr="006870A3" w:rsidRDefault="00054748" w:rsidP="00054748">
      <w:pPr>
        <w:widowControl w:val="0"/>
        <w:autoSpaceDE w:val="0"/>
        <w:autoSpaceDN w:val="0"/>
        <w:spacing w:after="0" w:line="276" w:lineRule="auto"/>
        <w:jc w:val="both"/>
        <w:rPr>
          <w:rFonts w:ascii="Verdana" w:hAnsi="Verdana" w:cs="Arial"/>
        </w:rPr>
      </w:pPr>
    </w:p>
    <w:p w14:paraId="52FA1F1F" w14:textId="39337FA1" w:rsidR="00054748" w:rsidRPr="006870A3" w:rsidRDefault="00054748" w:rsidP="001005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870A3">
        <w:rPr>
          <w:rFonts w:ascii="Verdana" w:eastAsia="Century Gothic" w:hAnsi="Verdana" w:cs="Century Gothic"/>
          <w:b/>
          <w:bCs/>
        </w:rPr>
        <w:t>Referencias normativas, jurisprudenciales y otras fuentes:</w:t>
      </w:r>
    </w:p>
    <w:p w14:paraId="07B41696" w14:textId="77777777" w:rsidR="008A08C2" w:rsidRPr="006870A3" w:rsidRDefault="008A08C2" w:rsidP="00027F9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54748" w:rsidRPr="006870A3" w14:paraId="05CB934C" w14:textId="77777777" w:rsidTr="00CB1843">
        <w:trPr>
          <w:trHeight w:val="870"/>
        </w:trPr>
        <w:tc>
          <w:tcPr>
            <w:tcW w:w="8647" w:type="dxa"/>
          </w:tcPr>
          <w:p w14:paraId="419C2F63" w14:textId="77777777" w:rsidR="00133789" w:rsidRPr="00133789" w:rsidRDefault="00133789" w:rsidP="00133789">
            <w:pPr>
              <w:numPr>
                <w:ilvl w:val="0"/>
                <w:numId w:val="18"/>
              </w:numPr>
              <w:spacing w:before="100" w:beforeAutospacing="1" w:after="100" w:afterAutospacing="1" w:line="276" w:lineRule="auto"/>
              <w:rPr>
                <w:rFonts w:ascii="Verdana" w:eastAsia="Times New Roman" w:hAnsi="Verdana" w:cs="Times New Roman"/>
                <w:lang w:eastAsia="es-CO"/>
              </w:rPr>
            </w:pPr>
            <w:r w:rsidRPr="00133789">
              <w:rPr>
                <w:rFonts w:ascii="Verdana" w:eastAsia="Times New Roman" w:hAnsi="Verdana" w:cs="Times New Roman"/>
                <w:lang w:eastAsia="es-CO"/>
              </w:rPr>
              <w:t>Ley 1150 de 2007, artículo 3, 13.</w:t>
            </w:r>
          </w:p>
          <w:p w14:paraId="1FD2CBCC" w14:textId="77777777" w:rsidR="00133789" w:rsidRPr="00133789" w:rsidRDefault="00133789" w:rsidP="00133789">
            <w:pPr>
              <w:numPr>
                <w:ilvl w:val="0"/>
                <w:numId w:val="18"/>
              </w:numPr>
              <w:spacing w:before="100" w:beforeAutospacing="1" w:after="100" w:afterAutospacing="1" w:line="276" w:lineRule="auto"/>
              <w:rPr>
                <w:rFonts w:ascii="Verdana" w:eastAsia="Times New Roman" w:hAnsi="Verdana" w:cs="Times New Roman"/>
                <w:lang w:eastAsia="es-CO"/>
              </w:rPr>
            </w:pPr>
            <w:r w:rsidRPr="00133789">
              <w:rPr>
                <w:rFonts w:ascii="Verdana" w:eastAsia="Times New Roman" w:hAnsi="Verdana" w:cs="Times New Roman"/>
                <w:lang w:eastAsia="es-CO"/>
              </w:rPr>
              <w:t>Ley 2195 de 2022, artículo 53.</w:t>
            </w:r>
          </w:p>
          <w:p w14:paraId="74E11AFC" w14:textId="77777777" w:rsidR="00133789" w:rsidRPr="00133789" w:rsidRDefault="00133789" w:rsidP="00133789">
            <w:pPr>
              <w:numPr>
                <w:ilvl w:val="0"/>
                <w:numId w:val="18"/>
              </w:numPr>
              <w:spacing w:before="100" w:beforeAutospacing="1" w:after="100" w:afterAutospacing="1" w:line="276" w:lineRule="auto"/>
              <w:rPr>
                <w:rFonts w:ascii="Verdana" w:eastAsia="Times New Roman" w:hAnsi="Verdana" w:cs="Times New Roman"/>
                <w:lang w:eastAsia="es-CO"/>
              </w:rPr>
            </w:pPr>
            <w:r w:rsidRPr="00133789">
              <w:rPr>
                <w:rFonts w:ascii="Verdana" w:eastAsia="Times New Roman" w:hAnsi="Verdana" w:cs="Times New Roman"/>
                <w:lang w:eastAsia="es-CO"/>
              </w:rPr>
              <w:t>Decreto 1082 de 2015, artículo 2.2.1.1.1.3.1, 2.2.1.1.1.7.1.</w:t>
            </w:r>
          </w:p>
          <w:p w14:paraId="7AD5397E" w14:textId="77777777" w:rsidR="00133789" w:rsidRPr="00133789" w:rsidRDefault="00133789" w:rsidP="00133789">
            <w:pPr>
              <w:numPr>
                <w:ilvl w:val="0"/>
                <w:numId w:val="18"/>
              </w:numPr>
              <w:spacing w:before="100" w:beforeAutospacing="1" w:after="100" w:afterAutospacing="1" w:line="276" w:lineRule="auto"/>
              <w:rPr>
                <w:rFonts w:ascii="Verdana" w:eastAsia="Times New Roman" w:hAnsi="Verdana" w:cs="Times New Roman"/>
                <w:lang w:eastAsia="es-CO"/>
              </w:rPr>
            </w:pPr>
            <w:r w:rsidRPr="00133789">
              <w:rPr>
                <w:rFonts w:ascii="Verdana" w:eastAsia="Times New Roman" w:hAnsi="Verdana" w:cs="Times New Roman"/>
                <w:lang w:eastAsia="es-CO"/>
              </w:rPr>
              <w:t>Ley 1712 de 2014.</w:t>
            </w:r>
          </w:p>
          <w:p w14:paraId="610B9207" w14:textId="77777777" w:rsidR="00133789" w:rsidRPr="00133789" w:rsidRDefault="00133789" w:rsidP="00133789">
            <w:pPr>
              <w:numPr>
                <w:ilvl w:val="0"/>
                <w:numId w:val="18"/>
              </w:numPr>
              <w:spacing w:before="100" w:beforeAutospacing="1" w:after="100" w:afterAutospacing="1" w:line="276" w:lineRule="auto"/>
              <w:rPr>
                <w:rFonts w:ascii="Verdana" w:eastAsia="Times New Roman" w:hAnsi="Verdana" w:cs="Times New Roman"/>
                <w:lang w:eastAsia="es-CO"/>
              </w:rPr>
            </w:pPr>
            <w:r w:rsidRPr="00133789">
              <w:rPr>
                <w:rFonts w:ascii="Verdana" w:eastAsia="Times New Roman" w:hAnsi="Verdana" w:cs="Times New Roman"/>
                <w:lang w:eastAsia="es-CO"/>
              </w:rPr>
              <w:t>Decreto 103 de 2015</w:t>
            </w:r>
          </w:p>
          <w:p w14:paraId="13EE0F1B" w14:textId="77777777" w:rsidR="00133789" w:rsidRPr="00133789" w:rsidRDefault="00133789" w:rsidP="00133789">
            <w:pPr>
              <w:numPr>
                <w:ilvl w:val="0"/>
                <w:numId w:val="18"/>
              </w:numPr>
              <w:spacing w:before="100" w:beforeAutospacing="1" w:after="100" w:afterAutospacing="1" w:line="276" w:lineRule="auto"/>
              <w:rPr>
                <w:rFonts w:ascii="Verdana" w:eastAsia="Times New Roman" w:hAnsi="Verdana" w:cs="Times New Roman"/>
                <w:lang w:eastAsia="es-CO"/>
              </w:rPr>
            </w:pPr>
            <w:r w:rsidRPr="00133789">
              <w:rPr>
                <w:rFonts w:ascii="Verdana" w:eastAsia="Times New Roman" w:hAnsi="Verdana" w:cs="Times New Roman"/>
                <w:lang w:eastAsia="es-CO"/>
              </w:rPr>
              <w:t>Ley 80 de 1993, artículo 24</w:t>
            </w:r>
          </w:p>
          <w:p w14:paraId="2EC63C40" w14:textId="77777777" w:rsidR="00133789" w:rsidRPr="00133789" w:rsidRDefault="00133789" w:rsidP="00133789">
            <w:pPr>
              <w:numPr>
                <w:ilvl w:val="0"/>
                <w:numId w:val="18"/>
              </w:numPr>
              <w:spacing w:before="100" w:beforeAutospacing="1" w:after="100" w:afterAutospacing="1" w:line="276" w:lineRule="auto"/>
              <w:rPr>
                <w:rFonts w:ascii="Verdana" w:eastAsia="Times New Roman" w:hAnsi="Verdana" w:cs="Times New Roman"/>
                <w:lang w:eastAsia="es-CO"/>
              </w:rPr>
            </w:pPr>
            <w:r w:rsidRPr="00133789">
              <w:rPr>
                <w:rFonts w:ascii="Verdana" w:eastAsia="Times New Roman" w:hAnsi="Verdana" w:cs="Times New Roman"/>
                <w:lang w:eastAsia="es-CO"/>
              </w:rPr>
              <w:t>Ley 1437 de 2011, artículo 36</w:t>
            </w:r>
          </w:p>
          <w:p w14:paraId="4385F9C3" w14:textId="6DCD985D" w:rsidR="00054748" w:rsidRPr="00133789" w:rsidRDefault="00133789" w:rsidP="00133789">
            <w:pPr>
              <w:numPr>
                <w:ilvl w:val="0"/>
                <w:numId w:val="18"/>
              </w:numPr>
              <w:spacing w:before="100" w:beforeAutospacing="1" w:after="100" w:afterAutospacing="1" w:line="276" w:lineRule="auto"/>
              <w:rPr>
                <w:rFonts w:ascii="Verdana" w:eastAsia="Times New Roman" w:hAnsi="Verdana" w:cs="Times New Roman"/>
                <w:lang w:eastAsia="es-CO"/>
              </w:rPr>
            </w:pPr>
            <w:r w:rsidRPr="00133789">
              <w:rPr>
                <w:rFonts w:ascii="Verdana" w:eastAsia="Times New Roman" w:hAnsi="Verdana" w:cs="Times New Roman"/>
                <w:lang w:eastAsia="es-CO"/>
              </w:rPr>
              <w:t>Constitución Política de Colombia, artículo 74</w:t>
            </w:r>
          </w:p>
        </w:tc>
      </w:tr>
    </w:tbl>
    <w:p w14:paraId="6DDE7BD6" w14:textId="77777777" w:rsidR="00054748" w:rsidRPr="006870A3" w:rsidRDefault="00054748" w:rsidP="00054748">
      <w:pPr>
        <w:widowControl w:val="0"/>
        <w:autoSpaceDE w:val="0"/>
        <w:autoSpaceDN w:val="0"/>
        <w:spacing w:after="0" w:line="276" w:lineRule="auto"/>
        <w:jc w:val="both"/>
        <w:rPr>
          <w:rFonts w:ascii="Verdana" w:hAnsi="Verdana" w:cs="Arial"/>
        </w:rPr>
      </w:pPr>
    </w:p>
    <w:p w14:paraId="0B41A78C" w14:textId="77777777" w:rsidR="00054748" w:rsidRPr="006870A3" w:rsidRDefault="00054748" w:rsidP="001005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870A3">
        <w:rPr>
          <w:rFonts w:ascii="Verdana" w:eastAsia="Century Gothic" w:hAnsi="Verdana" w:cs="Century Gothic"/>
          <w:b/>
          <w:bCs/>
        </w:rPr>
        <w:t>Doctrina de la Agencia Nacional de Contratación Pública:</w:t>
      </w:r>
    </w:p>
    <w:p w14:paraId="70C5616D" w14:textId="77777777" w:rsidR="00054748" w:rsidRPr="006870A3" w:rsidRDefault="00054748" w:rsidP="00054748">
      <w:pPr>
        <w:widowControl w:val="0"/>
        <w:autoSpaceDE w:val="0"/>
        <w:autoSpaceDN w:val="0"/>
        <w:spacing w:after="0" w:line="276" w:lineRule="auto"/>
        <w:jc w:val="both"/>
        <w:rPr>
          <w:rFonts w:ascii="Verdana" w:hAnsi="Verdana" w:cs="Arial"/>
        </w:rPr>
      </w:pPr>
    </w:p>
    <w:p w14:paraId="00F7FF84" w14:textId="0724F761" w:rsidR="00AD6C77" w:rsidRPr="006870A3" w:rsidRDefault="00AD6C77" w:rsidP="00AD6C77">
      <w:pPr>
        <w:widowControl w:val="0"/>
        <w:autoSpaceDE w:val="0"/>
        <w:autoSpaceDN w:val="0"/>
        <w:spacing w:after="0" w:line="276" w:lineRule="auto"/>
        <w:jc w:val="both"/>
        <w:rPr>
          <w:rFonts w:ascii="Verdana" w:hAnsi="Verdana" w:cs="Arial"/>
          <w:shd w:val="clear" w:color="auto" w:fill="FFFFFF"/>
          <w:lang w:val="es-ES"/>
        </w:rPr>
      </w:pPr>
      <w:r w:rsidRPr="006870A3">
        <w:rPr>
          <w:rFonts w:ascii="Verdana" w:eastAsia="Calibri" w:hAnsi="Verdana" w:cs="Arial"/>
          <w:lang w:eastAsia="es-MX"/>
        </w:rPr>
        <w:t>S</w:t>
      </w:r>
      <w:r w:rsidRPr="006870A3">
        <w:rPr>
          <w:rFonts w:ascii="Verdana" w:eastAsia="Calibri" w:hAnsi="Verdana" w:cs="Arial"/>
          <w:lang w:val="es-ES_tradnl" w:eastAsia="es-MX"/>
        </w:rPr>
        <w:t>obre la interpretación del artículo 53 de la Ley 2195 de 2022</w:t>
      </w:r>
      <w:r w:rsidRPr="006870A3">
        <w:rPr>
          <w:rFonts w:ascii="Verdana" w:hAnsi="Verdana" w:cs="Arial"/>
          <w:shd w:val="clear" w:color="auto" w:fill="FFFFFF"/>
          <w:lang w:val="es-ES"/>
        </w:rPr>
        <w:t xml:space="preserve"> se pronunció esta Subdirección en los conceptos</w:t>
      </w:r>
      <w:r w:rsidRPr="006870A3">
        <w:rPr>
          <w:rFonts w:ascii="Verdana" w:hAnsi="Verdana" w:cs="Calibri"/>
          <w:shd w:val="clear" w:color="auto" w:fill="FFFFFF"/>
        </w:rPr>
        <w:t xml:space="preserve"> </w:t>
      </w:r>
      <w:r w:rsidRPr="006870A3">
        <w:rPr>
          <w:rFonts w:ascii="Verdana" w:eastAsia="Calibri" w:hAnsi="Verdana" w:cs="Arial"/>
          <w:lang w:val="es-ES_tradnl" w:eastAsia="es-MX"/>
        </w:rPr>
        <w:t xml:space="preserve">C-049 del 7 de marzo de 2022, C-120 del 22 de marzo de 2022, C-124 del 22 de marzo de 2022, C-132 del 28 de marzo de 2022, C-337 del 25 de mayo de 2022, C-348 del 13 de junio de 2022, C-480 del 18 de julio de 2022, C- 544 del 29 de agosto de 2022, C-555 del 6 de septiembre </w:t>
      </w:r>
      <w:r w:rsidRPr="006870A3">
        <w:rPr>
          <w:rFonts w:ascii="Verdana" w:eastAsia="Calibri" w:hAnsi="Verdana" w:cs="Arial"/>
          <w:lang w:val="es-ES_tradnl" w:eastAsia="es-MX"/>
        </w:rPr>
        <w:lastRenderedPageBreak/>
        <w:t>de 2022, C- 821 de 29 de noviembre de 2022, C-071 del 28 de marzo de 2023</w:t>
      </w:r>
      <w:r w:rsidRPr="006870A3">
        <w:rPr>
          <w:rFonts w:ascii="Verdana" w:eastAsia="Aptos" w:hAnsi="Verdana" w:cs="Arial"/>
          <w:shd w:val="clear" w:color="auto" w:fill="FFFFFF"/>
          <w:lang w:val="es-ES"/>
        </w:rPr>
        <w:t xml:space="preserve">, </w:t>
      </w:r>
      <w:r w:rsidRPr="006870A3">
        <w:rPr>
          <w:rFonts w:ascii="Verdana" w:eastAsia="Aptos" w:hAnsi="Verdana" w:cs="Arial"/>
          <w:shd w:val="clear" w:color="auto" w:fill="FFFFFF"/>
          <w:lang w:val="es-ES"/>
        </w:rPr>
        <w:br/>
        <w:t>C-540 del 7 de octubre de 2024, C-710 del 20 de noviembre de 2024, C-058 del 24 de febrero de 2025, C-402 del 7 de mayo de 2025, entre otros</w:t>
      </w:r>
      <w:r w:rsidRPr="006870A3">
        <w:rPr>
          <w:rFonts w:ascii="Verdana" w:hAnsi="Verdana" w:cs="Arial"/>
          <w:shd w:val="clear" w:color="auto" w:fill="FFFFFF"/>
          <w:lang w:val="es-ES"/>
        </w:rPr>
        <w:t>. Es</w:t>
      </w:r>
      <w:r w:rsidRPr="006870A3">
        <w:rPr>
          <w:rFonts w:ascii="Verdana" w:hAnsi="Verdana"/>
        </w:rPr>
        <w:t>tos y otros conceptos se encuentran disponibles para consulta en el Sistema de relatoría de la Agencia, al cual se puede acceder a través del siguiente enlace:</w:t>
      </w:r>
      <w:r w:rsidRPr="006870A3">
        <w:rPr>
          <w:rFonts w:ascii="Verdana" w:hAnsi="Verdana" w:cs="Arial"/>
          <w:shd w:val="clear" w:color="auto" w:fill="FFFFFF"/>
          <w:lang w:val="es-ES"/>
        </w:rPr>
        <w:t xml:space="preserve"> </w:t>
      </w:r>
    </w:p>
    <w:p w14:paraId="268B87B1" w14:textId="3AFFC366" w:rsidR="00054748" w:rsidRPr="006870A3" w:rsidRDefault="00AC5DA8" w:rsidP="00AC5DA8">
      <w:pPr>
        <w:widowControl w:val="0"/>
        <w:autoSpaceDE w:val="0"/>
        <w:autoSpaceDN w:val="0"/>
        <w:spacing w:after="0" w:line="276" w:lineRule="auto"/>
        <w:jc w:val="both"/>
        <w:rPr>
          <w:rFonts w:ascii="Verdana" w:hAnsi="Verdana" w:cs="Arial"/>
          <w:color w:val="FF0000"/>
          <w:shd w:val="clear" w:color="auto" w:fill="FFFFFF"/>
          <w:lang w:val="es-ES"/>
        </w:rPr>
      </w:pPr>
      <w:hyperlink r:id="rId13" w:history="1">
        <w:r w:rsidRPr="006870A3">
          <w:rPr>
            <w:rStyle w:val="Hipervnculo"/>
            <w:rFonts w:ascii="Verdana" w:hAnsi="Verdana" w:cs="Arial"/>
            <w:shd w:val="clear" w:color="auto" w:fill="FFFFFF"/>
            <w:lang w:val="es-ES"/>
          </w:rPr>
          <w:t>https://relatoria.colombiacompra.gov.co/busqueda/conceptos</w:t>
        </w:r>
      </w:hyperlink>
      <w:r w:rsidRPr="006870A3">
        <w:rPr>
          <w:rStyle w:val="normaltextrun"/>
          <w:rFonts w:ascii="Verdana" w:hAnsi="Verdana" w:cs="Arial"/>
          <w:color w:val="FF0000"/>
          <w:shd w:val="clear" w:color="auto" w:fill="FFFFFF"/>
          <w:lang w:val="es-ES"/>
        </w:rPr>
        <w:t xml:space="preserve"> </w:t>
      </w:r>
    </w:p>
    <w:p w14:paraId="311BF936" w14:textId="77777777" w:rsidR="00AD6C77" w:rsidRPr="006870A3" w:rsidRDefault="00AD6C77" w:rsidP="00027F95">
      <w:pPr>
        <w:spacing w:after="0" w:line="276" w:lineRule="auto"/>
        <w:jc w:val="both"/>
        <w:rPr>
          <w:rFonts w:ascii="Verdana" w:hAnsi="Verdana"/>
        </w:rPr>
      </w:pPr>
    </w:p>
    <w:p w14:paraId="51E16BAA" w14:textId="30330A39" w:rsidR="00054748" w:rsidRPr="006870A3" w:rsidRDefault="00054748" w:rsidP="00027F95">
      <w:pPr>
        <w:spacing w:after="0" w:line="276" w:lineRule="auto"/>
        <w:jc w:val="both"/>
        <w:rPr>
          <w:rFonts w:ascii="Verdana" w:hAnsi="Verdana"/>
        </w:rPr>
      </w:pPr>
      <w:r w:rsidRPr="006870A3">
        <w:rPr>
          <w:rFonts w:ascii="Verdana" w:hAnsi="Verdana"/>
        </w:rPr>
        <w:t xml:space="preserve">Por último, lo invitamos a seguirnos en las redes sociales en las cuales se difunde información institucional: </w:t>
      </w:r>
    </w:p>
    <w:p w14:paraId="4FEC34D8" w14:textId="77777777" w:rsidR="00054748" w:rsidRPr="006870A3" w:rsidRDefault="00054748" w:rsidP="00027F95">
      <w:pPr>
        <w:spacing w:after="0" w:line="276" w:lineRule="auto"/>
        <w:jc w:val="both"/>
        <w:rPr>
          <w:rFonts w:ascii="Verdana" w:hAnsi="Verdana"/>
        </w:rPr>
      </w:pPr>
    </w:p>
    <w:p w14:paraId="33B42560" w14:textId="77777777" w:rsidR="00054748" w:rsidRPr="006870A3" w:rsidRDefault="00054748" w:rsidP="00027F95">
      <w:pPr>
        <w:spacing w:after="0" w:line="276" w:lineRule="auto"/>
        <w:jc w:val="both"/>
        <w:rPr>
          <w:rFonts w:ascii="Verdana" w:hAnsi="Verdana"/>
        </w:rPr>
      </w:pPr>
      <w:r w:rsidRPr="006870A3">
        <w:rPr>
          <w:rFonts w:ascii="Verdana" w:hAnsi="Verdana"/>
        </w:rPr>
        <w:t xml:space="preserve">Twitter: </w:t>
      </w:r>
      <w:r w:rsidRPr="006870A3">
        <w:rPr>
          <w:rStyle w:val="Hipervnculo"/>
          <w:rFonts w:ascii="Verdana" w:hAnsi="Verdana"/>
        </w:rPr>
        <w:t>@colombiacompra</w:t>
      </w:r>
      <w:r w:rsidRPr="006870A3">
        <w:rPr>
          <w:rFonts w:ascii="Verdana" w:hAnsi="Verdana"/>
          <w:color w:val="0000FF"/>
        </w:rPr>
        <w:t xml:space="preserve"> </w:t>
      </w:r>
    </w:p>
    <w:p w14:paraId="210AA4BA" w14:textId="77777777" w:rsidR="00054748" w:rsidRPr="006870A3" w:rsidRDefault="00054748" w:rsidP="00027F95">
      <w:pPr>
        <w:spacing w:after="0" w:line="276" w:lineRule="auto"/>
        <w:jc w:val="both"/>
        <w:rPr>
          <w:rFonts w:ascii="Verdana" w:hAnsi="Verdana"/>
        </w:rPr>
      </w:pPr>
      <w:r w:rsidRPr="006870A3">
        <w:rPr>
          <w:rFonts w:ascii="Verdana" w:hAnsi="Verdana"/>
        </w:rPr>
        <w:t xml:space="preserve">Facebook: </w:t>
      </w:r>
      <w:proofErr w:type="spellStart"/>
      <w:r w:rsidRPr="006870A3">
        <w:rPr>
          <w:rStyle w:val="Hipervnculo"/>
          <w:rFonts w:ascii="Verdana" w:hAnsi="Verdana"/>
        </w:rPr>
        <w:t>ColombiaCompraEficiente</w:t>
      </w:r>
      <w:proofErr w:type="spellEnd"/>
    </w:p>
    <w:p w14:paraId="305E26AC" w14:textId="77777777" w:rsidR="00054748" w:rsidRPr="006870A3" w:rsidRDefault="00054748" w:rsidP="00027F95">
      <w:pPr>
        <w:spacing w:after="0" w:line="276" w:lineRule="auto"/>
        <w:jc w:val="both"/>
        <w:rPr>
          <w:rFonts w:ascii="Verdana" w:hAnsi="Verdana"/>
        </w:rPr>
      </w:pPr>
      <w:r w:rsidRPr="006870A3">
        <w:rPr>
          <w:rFonts w:ascii="Verdana" w:hAnsi="Verdana"/>
        </w:rPr>
        <w:t xml:space="preserve">LinkedIn: </w:t>
      </w:r>
      <w:r w:rsidRPr="006870A3">
        <w:rPr>
          <w:rStyle w:val="Hipervnculo"/>
          <w:rFonts w:ascii="Verdana" w:hAnsi="Verdana"/>
        </w:rPr>
        <w:t>Agencia Nacional de Contratación Pública - Colombia Compra Eficiente</w:t>
      </w:r>
      <w:r w:rsidRPr="006870A3">
        <w:rPr>
          <w:rFonts w:ascii="Verdana" w:hAnsi="Verdana"/>
          <w:color w:val="0000FF"/>
        </w:rPr>
        <w:t xml:space="preserve"> </w:t>
      </w:r>
      <w:r w:rsidRPr="006870A3">
        <w:rPr>
          <w:rFonts w:ascii="Verdana" w:hAnsi="Verdana"/>
        </w:rPr>
        <w:t xml:space="preserve">Instagram: </w:t>
      </w:r>
      <w:r w:rsidRPr="006870A3">
        <w:rPr>
          <w:rStyle w:val="Hipervnculo"/>
          <w:rFonts w:ascii="Verdana" w:hAnsi="Verdana"/>
        </w:rPr>
        <w:t>@colombiacompraeficiente_cce</w:t>
      </w:r>
    </w:p>
    <w:p w14:paraId="26FE69AE" w14:textId="77777777" w:rsidR="00054748" w:rsidRPr="006870A3" w:rsidRDefault="00054748" w:rsidP="00054748">
      <w:pPr>
        <w:widowControl w:val="0"/>
        <w:autoSpaceDE w:val="0"/>
        <w:autoSpaceDN w:val="0"/>
        <w:spacing w:after="0" w:line="276" w:lineRule="auto"/>
        <w:jc w:val="both"/>
        <w:rPr>
          <w:rFonts w:ascii="Verdana" w:hAnsi="Verdana" w:cs="Arial"/>
        </w:rPr>
      </w:pPr>
    </w:p>
    <w:p w14:paraId="0928FFD9" w14:textId="77777777" w:rsidR="00054748" w:rsidRPr="006870A3" w:rsidRDefault="00054748" w:rsidP="00054748">
      <w:pPr>
        <w:widowControl w:val="0"/>
        <w:autoSpaceDE w:val="0"/>
        <w:autoSpaceDN w:val="0"/>
        <w:spacing w:after="0" w:line="276" w:lineRule="auto"/>
        <w:jc w:val="both"/>
        <w:rPr>
          <w:rFonts w:ascii="Verdana" w:hAnsi="Verdana" w:cs="Arial"/>
          <w:lang w:val="es-ES_tradnl"/>
        </w:rPr>
      </w:pPr>
      <w:r w:rsidRPr="006870A3">
        <w:rPr>
          <w:rFonts w:ascii="Verdana" w:hAnsi="Verdana" w:cs="Arial"/>
        </w:rPr>
        <w:t xml:space="preserve">Este concepto tiene el alcance previsto en el artículo 28 del Código de Procedimiento Administrativo y de lo Contencioso Administrativo </w:t>
      </w:r>
      <w:r w:rsidRPr="006870A3">
        <w:rPr>
          <w:rFonts w:ascii="Verdana" w:hAnsi="Verdana" w:cs="Arial"/>
          <w:lang w:val="es-ES_tradnl"/>
        </w:rPr>
        <w:t>y las expresiones aquí utilizadas con mayúscula inicial deben ser entendidas con el significado que les otorga el artículo 2.2.1.1.1.3.1. del Decreto 1082 de 2015.</w:t>
      </w:r>
    </w:p>
    <w:p w14:paraId="04EBCDD3" w14:textId="77777777" w:rsidR="00054748" w:rsidRPr="006870A3" w:rsidRDefault="00054748" w:rsidP="00054748">
      <w:pPr>
        <w:widowControl w:val="0"/>
        <w:autoSpaceDE w:val="0"/>
        <w:autoSpaceDN w:val="0"/>
        <w:spacing w:after="0" w:line="276" w:lineRule="auto"/>
        <w:jc w:val="both"/>
        <w:rPr>
          <w:rFonts w:ascii="Verdana" w:hAnsi="Verdana" w:cs="Arial"/>
        </w:rPr>
      </w:pPr>
    </w:p>
    <w:p w14:paraId="6543CEA6" w14:textId="77777777" w:rsidR="00054748" w:rsidRPr="006870A3" w:rsidRDefault="00054748" w:rsidP="00027F95">
      <w:pPr>
        <w:spacing w:after="0" w:line="276" w:lineRule="auto"/>
        <w:rPr>
          <w:rFonts w:ascii="Verdana" w:hAnsi="Verdana" w:cs="Arial"/>
          <w:lang w:eastAsia="es-CO"/>
        </w:rPr>
      </w:pPr>
      <w:r w:rsidRPr="006870A3">
        <w:rPr>
          <w:rFonts w:ascii="Verdana" w:eastAsia="Times New Roman" w:hAnsi="Verdana" w:cs="Arial"/>
          <w:lang w:eastAsia="es-CO"/>
        </w:rPr>
        <w:t>Atentamente,</w:t>
      </w:r>
      <w:r w:rsidRPr="006870A3">
        <w:rPr>
          <w:rFonts w:ascii="Verdana" w:hAnsi="Verdana" w:cs="Arial"/>
          <w:lang w:eastAsia="es-CO"/>
        </w:rPr>
        <w:t xml:space="preserve"> </w:t>
      </w:r>
    </w:p>
    <w:p w14:paraId="5692D7A5" w14:textId="449E7661" w:rsidR="00054748" w:rsidRPr="006870A3" w:rsidRDefault="009A0AC1" w:rsidP="00967D67">
      <w:pPr>
        <w:spacing w:line="276" w:lineRule="auto"/>
        <w:jc w:val="center"/>
        <w:rPr>
          <w:rFonts w:ascii="Verdana" w:hAnsi="Verdana" w:cs="Arial"/>
          <w:color w:val="000000"/>
          <w:lang w:eastAsia="es-CO"/>
        </w:rPr>
      </w:pPr>
      <w:r>
        <w:rPr>
          <w:rFonts w:ascii="Verdana" w:hAnsi="Verdana" w:cs="Arial"/>
          <w:noProof/>
          <w:color w:val="000000"/>
          <w:lang w:eastAsia="es-CO"/>
        </w:rPr>
        <w:drawing>
          <wp:inline distT="0" distB="0" distL="0" distR="0" wp14:anchorId="0E303624" wp14:editId="01EC6364">
            <wp:extent cx="3771900" cy="1400175"/>
            <wp:effectExtent l="0" t="0" r="0" b="9525"/>
            <wp:docPr id="1875625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2509" name="Imagen 187562509"/>
                    <pic:cNvPicPr/>
                  </pic:nvPicPr>
                  <pic:blipFill>
                    <a:blip r:embed="rId14">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54748" w:rsidRPr="006870A3" w14:paraId="1170F5BB" w14:textId="77777777" w:rsidTr="00CB1843">
        <w:trPr>
          <w:trHeight w:val="315"/>
        </w:trPr>
        <w:tc>
          <w:tcPr>
            <w:tcW w:w="893" w:type="dxa"/>
            <w:vAlign w:val="center"/>
            <w:hideMark/>
          </w:tcPr>
          <w:p w14:paraId="5A67B4C6" w14:textId="77777777" w:rsidR="00054748" w:rsidRPr="006870A3" w:rsidRDefault="00054748" w:rsidP="00CB1843">
            <w:pPr>
              <w:contextualSpacing/>
              <w:rPr>
                <w:rFonts w:ascii="Verdana" w:hAnsi="Verdana" w:cs="Arial"/>
                <w:sz w:val="16"/>
                <w:szCs w:val="16"/>
                <w:lang w:val="es-ES" w:eastAsia="es-ES"/>
              </w:rPr>
            </w:pPr>
            <w:r w:rsidRPr="006870A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78EF5FB" w14:textId="77777777" w:rsidR="00054748" w:rsidRPr="006870A3" w:rsidRDefault="00054748" w:rsidP="00CB1843">
            <w:pPr>
              <w:contextualSpacing/>
              <w:rPr>
                <w:rFonts w:ascii="Verdana" w:eastAsia="Arial" w:hAnsi="Verdana" w:cs="Arial"/>
                <w:sz w:val="16"/>
                <w:szCs w:val="16"/>
              </w:rPr>
            </w:pPr>
            <w:r w:rsidRPr="006870A3">
              <w:rPr>
                <w:rFonts w:ascii="Verdana" w:eastAsia="Arial" w:hAnsi="Verdana" w:cs="Arial"/>
                <w:sz w:val="16"/>
                <w:szCs w:val="16"/>
              </w:rPr>
              <w:t>Andrea Camila Polo Paz</w:t>
            </w:r>
          </w:p>
          <w:p w14:paraId="227F8729" w14:textId="77777777" w:rsidR="00054748" w:rsidRPr="006870A3" w:rsidRDefault="00054748" w:rsidP="00CB1843">
            <w:pPr>
              <w:contextualSpacing/>
              <w:rPr>
                <w:rFonts w:ascii="Verdana" w:eastAsia="Arial" w:hAnsi="Verdana" w:cs="Arial"/>
                <w:sz w:val="16"/>
                <w:szCs w:val="16"/>
              </w:rPr>
            </w:pPr>
            <w:r w:rsidRPr="006870A3">
              <w:rPr>
                <w:rStyle w:val="normaltextrun"/>
                <w:rFonts w:ascii="Verdana" w:eastAsia="Arial" w:hAnsi="Verdana" w:cs="Arial"/>
                <w:sz w:val="16"/>
                <w:szCs w:val="16"/>
              </w:rPr>
              <w:t>Analista T02-1 de la Subdirección de Gestión Contractual</w:t>
            </w:r>
          </w:p>
        </w:tc>
      </w:tr>
      <w:tr w:rsidR="00054748" w:rsidRPr="006870A3" w14:paraId="244745AA" w14:textId="77777777" w:rsidTr="00CB1843">
        <w:trPr>
          <w:trHeight w:val="330"/>
        </w:trPr>
        <w:tc>
          <w:tcPr>
            <w:tcW w:w="893" w:type="dxa"/>
            <w:vAlign w:val="center"/>
            <w:hideMark/>
          </w:tcPr>
          <w:p w14:paraId="358FC580" w14:textId="77777777" w:rsidR="00054748" w:rsidRPr="006870A3" w:rsidRDefault="00054748" w:rsidP="00CB1843">
            <w:pPr>
              <w:contextualSpacing/>
              <w:rPr>
                <w:rFonts w:ascii="Verdana" w:hAnsi="Verdana" w:cs="Arial"/>
                <w:sz w:val="16"/>
                <w:szCs w:val="16"/>
                <w:lang w:val="es-ES" w:eastAsia="es-ES"/>
              </w:rPr>
            </w:pPr>
            <w:r w:rsidRPr="006870A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7988CAD" w14:textId="0BD9DA9D" w:rsidR="00054748" w:rsidRPr="006870A3" w:rsidRDefault="007937B7" w:rsidP="00CB1843">
            <w:pPr>
              <w:pStyle w:val="paragraph"/>
              <w:spacing w:before="0" w:beforeAutospacing="0" w:after="0" w:afterAutospacing="0"/>
              <w:contextualSpacing/>
              <w:textAlignment w:val="baseline"/>
              <w:rPr>
                <w:rStyle w:val="normaltextrun"/>
                <w:rFonts w:ascii="Verdana" w:hAnsi="Verdana" w:cs="Arial"/>
                <w:sz w:val="16"/>
                <w:szCs w:val="16"/>
                <w:lang w:val="es-ES"/>
              </w:rPr>
            </w:pPr>
            <w:r w:rsidRPr="006870A3">
              <w:rPr>
                <w:rStyle w:val="normaltextrun"/>
                <w:rFonts w:ascii="Verdana" w:hAnsi="Verdana" w:cs="Arial"/>
                <w:sz w:val="16"/>
                <w:szCs w:val="16"/>
                <w:lang w:val="es-ES"/>
              </w:rPr>
              <w:t xml:space="preserve">Adriana </w:t>
            </w:r>
            <w:r w:rsidR="005F3F7B" w:rsidRPr="006870A3">
              <w:rPr>
                <w:rStyle w:val="normaltextrun"/>
                <w:rFonts w:ascii="Verdana" w:hAnsi="Verdana" w:cs="Arial"/>
                <w:sz w:val="16"/>
                <w:szCs w:val="16"/>
                <w:lang w:val="es-ES"/>
              </w:rPr>
              <w:t xml:space="preserve">Katerine </w:t>
            </w:r>
            <w:r w:rsidRPr="006870A3">
              <w:rPr>
                <w:rStyle w:val="normaltextrun"/>
                <w:rFonts w:ascii="Verdana" w:hAnsi="Verdana" w:cs="Arial"/>
                <w:sz w:val="16"/>
                <w:szCs w:val="16"/>
                <w:lang w:val="es-ES"/>
              </w:rPr>
              <w:t xml:space="preserve">López </w:t>
            </w:r>
            <w:r w:rsidR="005F3F7B" w:rsidRPr="006870A3">
              <w:rPr>
                <w:rStyle w:val="normaltextrun"/>
                <w:rFonts w:ascii="Verdana" w:hAnsi="Verdana" w:cs="Arial"/>
                <w:sz w:val="16"/>
                <w:szCs w:val="16"/>
                <w:lang w:val="es-ES"/>
              </w:rPr>
              <w:t xml:space="preserve">Rodríguez  </w:t>
            </w:r>
          </w:p>
          <w:p w14:paraId="6259A622" w14:textId="77777777" w:rsidR="00054748" w:rsidRPr="006870A3" w:rsidRDefault="00054748" w:rsidP="00CB1843">
            <w:pPr>
              <w:pStyle w:val="paragraph"/>
              <w:spacing w:before="0" w:beforeAutospacing="0" w:after="0" w:afterAutospacing="0"/>
              <w:contextualSpacing/>
              <w:textAlignment w:val="baseline"/>
              <w:rPr>
                <w:rFonts w:ascii="Verdana" w:hAnsi="Verdana" w:cs="Arial"/>
                <w:sz w:val="16"/>
                <w:szCs w:val="16"/>
                <w:lang w:val="es-ES"/>
              </w:rPr>
            </w:pPr>
            <w:r w:rsidRPr="006870A3">
              <w:rPr>
                <w:rStyle w:val="normaltextrun"/>
                <w:rFonts w:ascii="Verdana" w:hAnsi="Verdana" w:cs="Arial"/>
                <w:sz w:val="16"/>
                <w:szCs w:val="16"/>
                <w:lang w:val="es-ES"/>
              </w:rPr>
              <w:t>Contratista de la Subdirección de Gestión Contractual</w:t>
            </w:r>
            <w:r w:rsidRPr="006870A3">
              <w:rPr>
                <w:rStyle w:val="eop"/>
                <w:rFonts w:ascii="Verdana" w:hAnsi="Verdana" w:cs="Arial"/>
                <w:sz w:val="16"/>
                <w:szCs w:val="16"/>
              </w:rPr>
              <w:t> </w:t>
            </w:r>
          </w:p>
        </w:tc>
      </w:tr>
      <w:tr w:rsidR="00054748" w:rsidRPr="005C170B" w14:paraId="03D0D7A4" w14:textId="77777777" w:rsidTr="00CB1843">
        <w:trPr>
          <w:trHeight w:val="300"/>
        </w:trPr>
        <w:tc>
          <w:tcPr>
            <w:tcW w:w="893" w:type="dxa"/>
            <w:vAlign w:val="center"/>
          </w:tcPr>
          <w:p w14:paraId="5D484008" w14:textId="77777777" w:rsidR="00054748" w:rsidRPr="006870A3" w:rsidRDefault="00054748" w:rsidP="00CB1843">
            <w:pPr>
              <w:contextualSpacing/>
              <w:rPr>
                <w:rFonts w:ascii="Verdana" w:hAnsi="Verdana" w:cs="Arial"/>
                <w:sz w:val="16"/>
                <w:szCs w:val="16"/>
                <w:lang w:val="es-ES" w:eastAsia="es-ES"/>
              </w:rPr>
            </w:pPr>
            <w:r w:rsidRPr="006870A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7CD525E" w14:textId="77777777" w:rsidR="00054748" w:rsidRPr="006870A3" w:rsidRDefault="00054748" w:rsidP="00CB1843">
            <w:pPr>
              <w:contextualSpacing/>
              <w:rPr>
                <w:rFonts w:ascii="Verdana" w:eastAsia="Calibri" w:hAnsi="Verdana" w:cs="Arial"/>
                <w:sz w:val="16"/>
                <w:szCs w:val="16"/>
                <w:lang w:val="pt-BR" w:eastAsia="es-ES"/>
              </w:rPr>
            </w:pPr>
            <w:r w:rsidRPr="006870A3">
              <w:rPr>
                <w:rFonts w:ascii="Verdana" w:eastAsia="Calibri" w:hAnsi="Verdana" w:cs="Arial"/>
                <w:sz w:val="16"/>
                <w:szCs w:val="16"/>
                <w:lang w:val="pt-BR" w:eastAsia="es-ES"/>
              </w:rPr>
              <w:t>Carolina Quintero Gacharná</w:t>
            </w:r>
          </w:p>
          <w:p w14:paraId="5ADDA35C" w14:textId="77777777" w:rsidR="00054748" w:rsidRPr="005C170B" w:rsidRDefault="00054748" w:rsidP="00CB1843">
            <w:pPr>
              <w:contextualSpacing/>
              <w:rPr>
                <w:rFonts w:ascii="Verdana" w:eastAsia="Calibri" w:hAnsi="Verdana" w:cs="Arial"/>
                <w:sz w:val="16"/>
                <w:szCs w:val="16"/>
                <w:lang w:val="pt-BR" w:eastAsia="es-ES"/>
              </w:rPr>
            </w:pPr>
            <w:r w:rsidRPr="006870A3">
              <w:rPr>
                <w:rFonts w:ascii="Verdana" w:eastAsia="Calibri" w:hAnsi="Verdana" w:cs="Arial"/>
                <w:sz w:val="16"/>
                <w:szCs w:val="16"/>
                <w:lang w:eastAsia="es-ES"/>
              </w:rPr>
              <w:t>Subdirectora</w:t>
            </w:r>
            <w:r w:rsidRPr="006870A3">
              <w:rPr>
                <w:rFonts w:ascii="Verdana" w:eastAsia="Calibri" w:hAnsi="Verdana" w:cs="Arial"/>
                <w:sz w:val="16"/>
                <w:szCs w:val="16"/>
                <w:lang w:val="pt-BR" w:eastAsia="es-ES"/>
              </w:rPr>
              <w:t xml:space="preserve"> de Gestión Contractual ANCP – CCE</w:t>
            </w:r>
          </w:p>
        </w:tc>
      </w:tr>
    </w:tbl>
    <w:p w14:paraId="16C1D256" w14:textId="77777777" w:rsidR="002B7ECD" w:rsidRPr="002B7ECD" w:rsidRDefault="002B7ECD" w:rsidP="002B7ECD">
      <w:pPr>
        <w:spacing w:after="0"/>
        <w:rPr>
          <w:rFonts w:ascii="Verdana" w:eastAsia="Verdana" w:hAnsi="Verdana" w:cs="Verdana"/>
          <w:lang w:val="es-MX"/>
        </w:rPr>
      </w:pPr>
    </w:p>
    <w:bookmarkEnd w:id="0"/>
    <w:p w14:paraId="0F293BF4" w14:textId="5C54F50B" w:rsidR="00127233" w:rsidRPr="0015699B" w:rsidRDefault="00127233" w:rsidP="002B7ECD">
      <w:pPr>
        <w:spacing w:after="0" w:line="240" w:lineRule="auto"/>
        <w:textAlignment w:val="baseline"/>
        <w:rPr>
          <w:rFonts w:ascii="Verdana" w:eastAsia="Verdana" w:hAnsi="Verdana" w:cs="Verdana"/>
          <w:lang w:eastAsia="es-CO"/>
        </w:rPr>
      </w:pPr>
    </w:p>
    <w:sectPr w:rsidR="00127233" w:rsidRPr="0015699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F8FFB" w14:textId="77777777" w:rsidR="00206E16" w:rsidRDefault="00206E16" w:rsidP="004A1847">
      <w:pPr>
        <w:spacing w:after="0" w:line="240" w:lineRule="auto"/>
      </w:pPr>
      <w:r>
        <w:separator/>
      </w:r>
    </w:p>
  </w:endnote>
  <w:endnote w:type="continuationSeparator" w:id="0">
    <w:p w14:paraId="79E651A5" w14:textId="77777777" w:rsidR="00206E16" w:rsidRDefault="00206E1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7C871" w14:textId="77777777" w:rsidR="00206E16" w:rsidRDefault="00206E16" w:rsidP="004A1847">
      <w:pPr>
        <w:spacing w:after="0" w:line="240" w:lineRule="auto"/>
      </w:pPr>
      <w:r>
        <w:separator/>
      </w:r>
    </w:p>
  </w:footnote>
  <w:footnote w:type="continuationSeparator" w:id="0">
    <w:p w14:paraId="5558555E" w14:textId="77777777" w:rsidR="00206E16" w:rsidRDefault="00206E16" w:rsidP="004A1847">
      <w:pPr>
        <w:spacing w:after="0" w:line="240" w:lineRule="auto"/>
      </w:pPr>
      <w:r>
        <w:continuationSeparator/>
      </w:r>
    </w:p>
  </w:footnote>
  <w:footnote w:id="1">
    <w:p w14:paraId="0B8D90F3" w14:textId="77777777" w:rsidR="007B1069" w:rsidRDefault="007B1069" w:rsidP="007B1069">
      <w:pPr>
        <w:pStyle w:val="Textonotapie"/>
        <w:ind w:firstLine="709"/>
        <w:jc w:val="both"/>
        <w:rPr>
          <w:rFonts w:ascii="Verdana" w:hAnsi="Verdana" w:cs="Arial"/>
          <w:color w:val="000000"/>
          <w:sz w:val="16"/>
          <w:szCs w:val="16"/>
        </w:rPr>
      </w:pPr>
    </w:p>
    <w:p w14:paraId="50FE7DF0" w14:textId="77777777" w:rsidR="007B1069" w:rsidRPr="006870A3" w:rsidRDefault="007B1069" w:rsidP="007B1069">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w:t>
      </w:r>
      <w:r w:rsidRPr="006870A3">
        <w:rPr>
          <w:rFonts w:ascii="Verdana" w:hAnsi="Verdana" w:cs="Arial"/>
          <w:color w:val="000000"/>
          <w:sz w:val="16"/>
          <w:szCs w:val="16"/>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E323ADA" w14:textId="77777777" w:rsidR="007B1069" w:rsidRPr="005C10BE" w:rsidRDefault="007B1069" w:rsidP="007B1069">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Lo anterior, sin perjuicio de las publicaciones previstas en el numeral 3 del artículo 30 de la Ley 80 de 1993.</w:t>
      </w:r>
    </w:p>
    <w:p w14:paraId="78088ECA" w14:textId="77777777" w:rsidR="007B1069" w:rsidRPr="005C10BE" w:rsidRDefault="007B1069" w:rsidP="007B1069">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7B5AD42A" w14:textId="77777777" w:rsidR="007B1069" w:rsidRPr="005C10BE" w:rsidRDefault="007B1069" w:rsidP="007B1069">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w:t>
      </w:r>
    </w:p>
    <w:p w14:paraId="668A47F7" w14:textId="77777777" w:rsidR="007B1069" w:rsidRPr="005C10BE" w:rsidRDefault="007B1069" w:rsidP="007B1069">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61F7C08B" w14:textId="77777777" w:rsidR="007B1069" w:rsidRPr="005C10BE" w:rsidRDefault="007B1069" w:rsidP="007B1069">
      <w:pPr>
        <w:pStyle w:val="Textonotapie"/>
        <w:ind w:firstLine="709"/>
        <w:jc w:val="both"/>
        <w:rPr>
          <w:rFonts w:ascii="Verdana" w:hAnsi="Verdana" w:cs="Arial"/>
          <w:color w:val="000000"/>
          <w:sz w:val="16"/>
          <w:szCs w:val="16"/>
          <w:lang w:val="es-CO"/>
        </w:rPr>
      </w:pPr>
    </w:p>
  </w:footnote>
  <w:footnote w:id="2">
    <w:p w14:paraId="53B95A7D" w14:textId="77777777" w:rsidR="006512A0" w:rsidRPr="005C10BE" w:rsidRDefault="006512A0" w:rsidP="006512A0">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8D14BE6" w14:textId="77777777" w:rsidR="006512A0" w:rsidRPr="005C10BE" w:rsidRDefault="006512A0" w:rsidP="006512A0">
      <w:pPr>
        <w:pStyle w:val="Textonotapie"/>
        <w:ind w:firstLine="709"/>
        <w:jc w:val="both"/>
        <w:rPr>
          <w:rFonts w:ascii="Verdana" w:hAnsi="Verdana" w:cs="Arial"/>
          <w:color w:val="000000"/>
          <w:sz w:val="16"/>
          <w:szCs w:val="16"/>
          <w:lang w:val="es-CO"/>
        </w:rPr>
      </w:pPr>
    </w:p>
  </w:footnote>
  <w:footnote w:id="3">
    <w:p w14:paraId="12BB955F" w14:textId="77777777" w:rsidR="007D174A" w:rsidRPr="005C10BE" w:rsidRDefault="007D174A" w:rsidP="007D174A">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5. Ámbito de aplicación. Las disposiciones de esta ley serán aplicables a las siguientes personas en calidad de sujetos obligados: </w:t>
      </w:r>
    </w:p>
    <w:p w14:paraId="415E1136" w14:textId="77777777" w:rsidR="007D174A" w:rsidRPr="005C10BE" w:rsidRDefault="007D174A" w:rsidP="007D174A">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0C72B31" w14:textId="77777777" w:rsidR="007D174A" w:rsidRPr="005C10BE" w:rsidRDefault="007D174A" w:rsidP="007D174A">
      <w:pPr>
        <w:pStyle w:val="Textonotapie"/>
        <w:ind w:firstLine="709"/>
        <w:jc w:val="both"/>
        <w:rPr>
          <w:rFonts w:ascii="Verdana" w:hAnsi="Verdana" w:cs="Arial"/>
          <w:color w:val="000000"/>
          <w:sz w:val="16"/>
          <w:szCs w:val="16"/>
          <w:lang w:val="es-CO"/>
        </w:rPr>
      </w:pPr>
    </w:p>
  </w:footnote>
  <w:footnote w:id="4">
    <w:p w14:paraId="76148600" w14:textId="77777777" w:rsidR="00E7693C" w:rsidRPr="005C10BE" w:rsidRDefault="00E7693C" w:rsidP="00E7693C">
      <w:pPr>
        <w:pStyle w:val="Textonotapie"/>
        <w:ind w:firstLine="709"/>
        <w:jc w:val="both"/>
        <w:rPr>
          <w:rFonts w:ascii="Verdana" w:hAnsi="Verdana" w:cs="Arial"/>
          <w:color w:val="000000"/>
          <w:sz w:val="16"/>
          <w:szCs w:val="16"/>
        </w:rPr>
      </w:pPr>
      <w:r w:rsidRPr="005C10BE">
        <w:rPr>
          <w:rFonts w:ascii="Verdana" w:eastAsia="Times New Roman" w:hAnsi="Verdana" w:cs="Arial"/>
          <w:color w:val="000000"/>
          <w:sz w:val="16"/>
          <w:szCs w:val="16"/>
          <w:vertAlign w:val="superscript"/>
          <w:lang w:val="es-ES" w:eastAsia="es-ES"/>
        </w:rPr>
        <w:footnoteRef/>
      </w:r>
      <w:r w:rsidRPr="005C10BE">
        <w:rPr>
          <w:rFonts w:ascii="Verdana" w:eastAsia="Times New Roman" w:hAnsi="Verdana" w:cs="Arial"/>
          <w:color w:val="000000"/>
          <w:sz w:val="16"/>
          <w:szCs w:val="16"/>
          <w:vertAlign w:val="superscript"/>
          <w:lang w:val="es-ES" w:eastAsia="es-ES"/>
        </w:rPr>
        <w:t xml:space="preserve"> </w:t>
      </w:r>
      <w:r w:rsidRPr="005C10BE">
        <w:rPr>
          <w:rFonts w:ascii="Verdana" w:eastAsia="Times New Roman" w:hAnsi="Verdana" w:cs="Arial"/>
          <w:color w:val="000000"/>
          <w:sz w:val="16"/>
          <w:szCs w:val="16"/>
          <w:lang w:val="es-ES" w:eastAsia="es-ES"/>
        </w:rPr>
        <w:t>“</w:t>
      </w:r>
      <w:r w:rsidRPr="005C10BE">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C65B121" w14:textId="77777777" w:rsidR="00E7693C" w:rsidRPr="005C10BE" w:rsidRDefault="00E7693C" w:rsidP="00E7693C">
      <w:pPr>
        <w:pStyle w:val="Textonotapie"/>
        <w:ind w:firstLine="709"/>
        <w:jc w:val="both"/>
        <w:rPr>
          <w:rFonts w:ascii="Verdana" w:eastAsia="Times New Roman" w:hAnsi="Verdana" w:cs="Arial"/>
          <w:color w:val="000000"/>
          <w:sz w:val="16"/>
          <w:szCs w:val="16"/>
          <w:lang w:val="es-ES" w:eastAsia="es-ES"/>
        </w:rPr>
      </w:pPr>
      <w:r w:rsidRPr="005C10BE">
        <w:rPr>
          <w:rFonts w:ascii="Verdana" w:hAnsi="Verdana" w:cs="Arial"/>
          <w:color w:val="000000"/>
          <w:sz w:val="16"/>
          <w:szCs w:val="16"/>
        </w:rPr>
        <w:t>[…].</w:t>
      </w:r>
    </w:p>
    <w:p w14:paraId="3448F90F" w14:textId="77777777" w:rsidR="00E7693C" w:rsidRPr="005C10BE" w:rsidRDefault="00E7693C" w:rsidP="00E7693C">
      <w:pPr>
        <w:pStyle w:val="Textonotapie"/>
        <w:ind w:firstLine="709"/>
        <w:jc w:val="both"/>
        <w:rPr>
          <w:rFonts w:ascii="Verdana" w:eastAsia="Times New Roman" w:hAnsi="Verdana" w:cs="Arial"/>
          <w:color w:val="000000"/>
          <w:sz w:val="16"/>
          <w:szCs w:val="16"/>
          <w:lang w:val="es-ES" w:eastAsia="es-ES"/>
        </w:rPr>
      </w:pPr>
      <w:r w:rsidRPr="005C10BE">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E878585" w14:textId="77777777" w:rsidR="00E7693C" w:rsidRPr="005C10BE" w:rsidRDefault="00E7693C" w:rsidP="00E7693C">
      <w:pPr>
        <w:pStyle w:val="Textonotapie"/>
        <w:ind w:firstLine="709"/>
        <w:jc w:val="both"/>
        <w:rPr>
          <w:rFonts w:ascii="Verdana" w:eastAsia="Times New Roman" w:hAnsi="Verdana" w:cs="Arial"/>
          <w:color w:val="000000"/>
          <w:sz w:val="16"/>
          <w:szCs w:val="16"/>
          <w:lang w:val="es-ES" w:eastAsia="es-ES"/>
        </w:rPr>
      </w:pPr>
    </w:p>
  </w:footnote>
  <w:footnote w:id="5">
    <w:p w14:paraId="751578DD" w14:textId="77777777" w:rsidR="00C31D08" w:rsidRPr="005C10BE" w:rsidRDefault="00C31D08" w:rsidP="00C31D08">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C</w:t>
      </w:r>
      <w:proofErr w:type="spellStart"/>
      <w:r w:rsidRPr="005C10BE">
        <w:rPr>
          <w:rFonts w:ascii="Verdana" w:eastAsia="Times New Roman" w:hAnsi="Verdana" w:cs="Arial"/>
          <w:color w:val="000000"/>
          <w:sz w:val="16"/>
          <w:szCs w:val="16"/>
          <w:lang w:val="es-ES" w:eastAsia="es-ES"/>
        </w:rPr>
        <w:t>orte</w:t>
      </w:r>
      <w:proofErr w:type="spellEnd"/>
      <w:r w:rsidRPr="005C10BE">
        <w:rPr>
          <w:rFonts w:ascii="Verdana" w:eastAsia="Times New Roman" w:hAnsi="Verdana" w:cs="Arial"/>
          <w:color w:val="000000"/>
          <w:sz w:val="16"/>
          <w:szCs w:val="16"/>
          <w:lang w:val="es-ES" w:eastAsia="es-ES"/>
        </w:rPr>
        <w:t xml:space="preserve"> Constitucional. Sentencia C‒274 de 9 de mayo de 2013. M.P. Mar</w:t>
      </w:r>
      <w:r w:rsidRPr="005C10BE">
        <w:rPr>
          <w:rFonts w:ascii="Verdana" w:eastAsia="Times New Roman" w:hAnsi="Verdana" w:cs="Century Gothic"/>
          <w:color w:val="000000"/>
          <w:sz w:val="16"/>
          <w:szCs w:val="16"/>
          <w:lang w:val="es-ES" w:eastAsia="es-ES"/>
        </w:rPr>
        <w:t>í</w:t>
      </w:r>
      <w:r w:rsidRPr="005C10BE">
        <w:rPr>
          <w:rFonts w:ascii="Verdana" w:eastAsia="Times New Roman" w:hAnsi="Verdana" w:cs="Arial"/>
          <w:color w:val="000000"/>
          <w:sz w:val="16"/>
          <w:szCs w:val="16"/>
          <w:lang w:val="es-ES" w:eastAsia="es-ES"/>
        </w:rPr>
        <w:t xml:space="preserve">a Victoria Calle Correa. </w:t>
      </w:r>
    </w:p>
    <w:p w14:paraId="53CABB22" w14:textId="77777777" w:rsidR="00C31D08" w:rsidRPr="005C10BE" w:rsidRDefault="00C31D08" w:rsidP="00C31D08">
      <w:pPr>
        <w:pStyle w:val="Textonotapie"/>
        <w:ind w:firstLine="709"/>
        <w:jc w:val="both"/>
        <w:rPr>
          <w:rFonts w:ascii="Verdana" w:hAnsi="Verdana" w:cs="Arial"/>
          <w:color w:val="000000"/>
          <w:sz w:val="16"/>
          <w:szCs w:val="16"/>
          <w:lang w:val="es-CO"/>
        </w:rPr>
      </w:pPr>
    </w:p>
  </w:footnote>
  <w:footnote w:id="6">
    <w:p w14:paraId="369D6E37" w14:textId="77777777" w:rsidR="00DC5B62" w:rsidRPr="005C10BE" w:rsidRDefault="00DC5B62" w:rsidP="00DC5B62">
      <w:pPr>
        <w:pStyle w:val="Textonotapie"/>
        <w:ind w:firstLine="708"/>
        <w:jc w:val="both"/>
        <w:rPr>
          <w:rFonts w:ascii="Verdana" w:hAnsi="Verdana"/>
          <w:sz w:val="16"/>
          <w:szCs w:val="16"/>
        </w:rPr>
      </w:pPr>
      <w:r w:rsidRPr="005C10BE">
        <w:rPr>
          <w:rStyle w:val="Refdenotaalpie"/>
          <w:rFonts w:ascii="Verdana" w:hAnsi="Verdana"/>
          <w:sz w:val="16"/>
          <w:szCs w:val="16"/>
        </w:rPr>
        <w:footnoteRef/>
      </w:r>
      <w:r w:rsidRPr="005C10BE">
        <w:rPr>
          <w:rFonts w:ascii="Verdana" w:hAnsi="Verdana"/>
          <w:sz w:val="16"/>
          <w:szCs w:val="16"/>
        </w:rPr>
        <w:t xml:space="preserve"> Adiciónese los siguientes incisos al artículo 13 de la Ley 1150 de 2007, el cual quedará así:</w:t>
      </w:r>
    </w:p>
    <w:p w14:paraId="5099F8C4" w14:textId="77777777" w:rsidR="00DC5B62" w:rsidRPr="005C10BE" w:rsidRDefault="00DC5B62" w:rsidP="00DC5B62">
      <w:pPr>
        <w:pStyle w:val="Textonotapie"/>
        <w:ind w:firstLine="708"/>
        <w:jc w:val="both"/>
        <w:rPr>
          <w:rFonts w:ascii="Verdana" w:hAnsi="Verdana"/>
          <w:sz w:val="16"/>
          <w:szCs w:val="16"/>
        </w:rPr>
      </w:pPr>
    </w:p>
    <w:p w14:paraId="3DE9474D" w14:textId="77777777" w:rsidR="00DC5B62" w:rsidRPr="005C10BE" w:rsidRDefault="00DC5B62" w:rsidP="00DC5B62">
      <w:pPr>
        <w:pStyle w:val="Textonotapie"/>
        <w:ind w:firstLine="708"/>
        <w:jc w:val="both"/>
        <w:rPr>
          <w:rFonts w:ascii="Verdana" w:hAnsi="Verdana"/>
          <w:sz w:val="16"/>
          <w:szCs w:val="16"/>
        </w:rPr>
      </w:pPr>
      <w:r w:rsidRPr="005C10BE">
        <w:rPr>
          <w:rFonts w:ascii="Verdana" w:hAnsi="Verdana"/>
          <w:sz w:val="16"/>
          <w:szCs w:val="16"/>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961357B" w14:textId="77777777" w:rsidR="00DC5B62" w:rsidRPr="005C10BE" w:rsidRDefault="00DC5B62" w:rsidP="00DC5B62">
      <w:pPr>
        <w:pStyle w:val="Textonotapie"/>
        <w:ind w:firstLine="708"/>
        <w:jc w:val="both"/>
        <w:rPr>
          <w:rFonts w:ascii="Verdana" w:hAnsi="Verdana"/>
          <w:sz w:val="16"/>
          <w:szCs w:val="16"/>
        </w:rPr>
      </w:pPr>
    </w:p>
    <w:p w14:paraId="614D87B9" w14:textId="77777777" w:rsidR="00DC5B62" w:rsidRPr="005C10BE" w:rsidRDefault="00DC5B62" w:rsidP="00DC5B62">
      <w:pPr>
        <w:pStyle w:val="Textonotapie"/>
        <w:ind w:firstLine="708"/>
        <w:jc w:val="both"/>
        <w:rPr>
          <w:rFonts w:ascii="Verdana" w:hAnsi="Verdana"/>
          <w:sz w:val="16"/>
          <w:szCs w:val="16"/>
        </w:rPr>
      </w:pPr>
      <w:r w:rsidRPr="005C10BE">
        <w:rPr>
          <w:rFonts w:ascii="Verdana" w:hAnsi="Verdana"/>
          <w:sz w:val="16"/>
          <w:szCs w:val="16"/>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765CAE74" w14:textId="77777777" w:rsidR="00DC5B62" w:rsidRPr="005C10BE" w:rsidRDefault="00DC5B62" w:rsidP="00DC5B62">
      <w:pPr>
        <w:pStyle w:val="Textonotapie"/>
        <w:ind w:firstLine="708"/>
        <w:jc w:val="both"/>
        <w:rPr>
          <w:rFonts w:ascii="Verdana" w:hAnsi="Verdana"/>
          <w:sz w:val="16"/>
          <w:szCs w:val="16"/>
        </w:rPr>
      </w:pPr>
    </w:p>
    <w:p w14:paraId="5C9D87B5" w14:textId="77777777" w:rsidR="00DC5B62" w:rsidRPr="005C10BE" w:rsidRDefault="00DC5B62" w:rsidP="00DC5B62">
      <w:pPr>
        <w:pStyle w:val="Textonotapie"/>
        <w:ind w:firstLine="708"/>
        <w:jc w:val="both"/>
        <w:rPr>
          <w:rFonts w:ascii="Verdana" w:hAnsi="Verdana"/>
          <w:sz w:val="16"/>
          <w:szCs w:val="16"/>
          <w:lang w:val="es-CO"/>
        </w:rPr>
      </w:pPr>
      <w:r w:rsidRPr="005C10BE">
        <w:rPr>
          <w:rFonts w:ascii="Verdana" w:hAnsi="Verdana"/>
          <w:sz w:val="16"/>
          <w:szCs w:val="16"/>
        </w:rPr>
        <w:t xml:space="preserve">A partir de la </w:t>
      </w:r>
      <w:proofErr w:type="gramStart"/>
      <w:r w:rsidRPr="005C10BE">
        <w:rPr>
          <w:rFonts w:ascii="Verdana" w:hAnsi="Verdana"/>
          <w:sz w:val="16"/>
          <w:szCs w:val="16"/>
        </w:rPr>
        <w:t>entrada en vigencia</w:t>
      </w:r>
      <w:proofErr w:type="gramEnd"/>
      <w:r w:rsidRPr="005C10BE">
        <w:rPr>
          <w:rFonts w:ascii="Verdana" w:hAnsi="Verdana"/>
          <w:sz w:val="16"/>
          <w:szCs w:val="16"/>
        </w:rPr>
        <w:t xml:space="preserve"> de la presente Ley, se establecerá un periodo de transición de seis (6) meses, para que las entidades den cumplimiento efectivo a lo aquí establecido.</w:t>
      </w:r>
    </w:p>
  </w:footnote>
  <w:footnote w:id="7">
    <w:p w14:paraId="04231C10" w14:textId="77777777" w:rsidR="001D5FA9" w:rsidRPr="006870A3" w:rsidRDefault="001D5FA9" w:rsidP="001D5FA9">
      <w:pPr>
        <w:pStyle w:val="Textonotapie"/>
        <w:ind w:firstLine="708"/>
        <w:contextualSpacing/>
        <w:jc w:val="both"/>
        <w:rPr>
          <w:rFonts w:ascii="Verdana" w:hAnsi="Verdana" w:cs="Arial"/>
          <w:sz w:val="16"/>
          <w:szCs w:val="16"/>
        </w:rPr>
      </w:pPr>
      <w:r w:rsidRPr="00424097">
        <w:rPr>
          <w:rStyle w:val="Refdenotaalpie"/>
          <w:rFonts w:ascii="Verdana" w:hAnsi="Verdana" w:cs="Arial"/>
          <w:sz w:val="18"/>
          <w:szCs w:val="18"/>
        </w:rPr>
        <w:footnoteRef/>
      </w:r>
      <w:r w:rsidRPr="00424097">
        <w:rPr>
          <w:rFonts w:ascii="Verdana" w:hAnsi="Verdana" w:cs="Arial"/>
          <w:sz w:val="18"/>
          <w:szCs w:val="18"/>
        </w:rPr>
        <w:t xml:space="preserve"> </w:t>
      </w:r>
      <w:r w:rsidRPr="006870A3">
        <w:rPr>
          <w:rFonts w:ascii="Verdana" w:hAnsi="Verdana" w:cs="Arial"/>
          <w:sz w:val="16"/>
          <w:szCs w:val="16"/>
        </w:rPr>
        <w:t xml:space="preserve">Ley 80 de 1993 “Artículo 24. Del principio de transparencia. En virtud de este principio: </w:t>
      </w:r>
    </w:p>
    <w:p w14:paraId="51F839D3"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w:t>
      </w:r>
    </w:p>
    <w:p w14:paraId="3ACF2D58"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4o. Las autoridades expedirán a costa de aquellas personas que demuestren interés legítimo, copias de las actuaciones y propuestas recibidas, respetando la reserva de que gocen legalmente las patentes, procedimientos y privilegios”.</w:t>
      </w:r>
    </w:p>
    <w:p w14:paraId="390B4CB4" w14:textId="77777777" w:rsidR="001D5FA9" w:rsidRPr="006870A3" w:rsidRDefault="001D5FA9" w:rsidP="001D5FA9">
      <w:pPr>
        <w:pStyle w:val="Textonotapie"/>
        <w:ind w:firstLine="708"/>
        <w:contextualSpacing/>
        <w:jc w:val="both"/>
        <w:rPr>
          <w:rFonts w:ascii="Verdana" w:hAnsi="Verdana" w:cs="Arial"/>
          <w:sz w:val="16"/>
          <w:szCs w:val="16"/>
          <w:lang w:val="es-CO"/>
        </w:rPr>
      </w:pPr>
    </w:p>
  </w:footnote>
  <w:footnote w:id="8">
    <w:p w14:paraId="018A7707" w14:textId="77777777" w:rsidR="001D5FA9" w:rsidRPr="00424097" w:rsidRDefault="001D5FA9" w:rsidP="001D5FA9">
      <w:pPr>
        <w:pStyle w:val="Textonotapie"/>
        <w:ind w:firstLine="708"/>
        <w:contextualSpacing/>
        <w:jc w:val="both"/>
        <w:rPr>
          <w:rFonts w:ascii="Verdana" w:hAnsi="Verdana" w:cs="Arial"/>
          <w:sz w:val="18"/>
          <w:szCs w:val="18"/>
        </w:rPr>
      </w:pPr>
      <w:r w:rsidRPr="006870A3">
        <w:rPr>
          <w:rStyle w:val="Refdenotaalpie"/>
          <w:rFonts w:ascii="Verdana" w:hAnsi="Verdana" w:cs="Arial"/>
          <w:sz w:val="16"/>
          <w:szCs w:val="16"/>
        </w:rPr>
        <w:footnoteRef/>
      </w:r>
      <w:r w:rsidRPr="006870A3">
        <w:rPr>
          <w:rFonts w:ascii="Verdana" w:hAnsi="Verdana" w:cs="Arial"/>
          <w:sz w:val="16"/>
          <w:szCs w:val="16"/>
        </w:rPr>
        <w:t xml:space="preserve">  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9">
    <w:p w14:paraId="3804EEA8" w14:textId="77777777" w:rsidR="001D5FA9" w:rsidRPr="006870A3" w:rsidRDefault="001D5FA9" w:rsidP="001D5FA9">
      <w:pPr>
        <w:pStyle w:val="Textonotapie"/>
        <w:ind w:firstLine="708"/>
        <w:contextualSpacing/>
        <w:jc w:val="both"/>
        <w:rPr>
          <w:rFonts w:ascii="Verdana" w:hAnsi="Verdana" w:cs="Arial"/>
          <w:sz w:val="16"/>
          <w:szCs w:val="16"/>
        </w:rPr>
      </w:pPr>
      <w:r w:rsidRPr="00424097">
        <w:rPr>
          <w:rStyle w:val="Refdenotaalpie"/>
          <w:rFonts w:ascii="Verdana" w:hAnsi="Verdana" w:cs="Arial"/>
          <w:sz w:val="18"/>
          <w:szCs w:val="18"/>
        </w:rPr>
        <w:footnoteRef/>
      </w:r>
      <w:r w:rsidRPr="00424097">
        <w:rPr>
          <w:rFonts w:ascii="Verdana" w:hAnsi="Verdana" w:cs="Arial"/>
          <w:sz w:val="18"/>
          <w:szCs w:val="18"/>
        </w:rPr>
        <w:t xml:space="preserve"> </w:t>
      </w:r>
      <w:r w:rsidRPr="006870A3">
        <w:rPr>
          <w:rFonts w:ascii="Verdana" w:hAnsi="Verdana" w:cs="Arial"/>
          <w:sz w:val="16"/>
          <w:szCs w:val="16"/>
        </w:rPr>
        <w:t xml:space="preserve">MATALLANA CAMACHO Ernesto. Manual de Contratación de la Administración Pública. Reforma a la Ley 80 de 1993. Universidad Externado de Colombia, Cuarta edición, 2015, </w:t>
      </w:r>
      <w:proofErr w:type="spellStart"/>
      <w:r w:rsidRPr="006870A3">
        <w:rPr>
          <w:rFonts w:ascii="Verdana" w:hAnsi="Verdana" w:cs="Arial"/>
          <w:sz w:val="16"/>
          <w:szCs w:val="16"/>
        </w:rPr>
        <w:t>pp</w:t>
      </w:r>
      <w:proofErr w:type="spellEnd"/>
      <w:r w:rsidRPr="006870A3">
        <w:rPr>
          <w:rFonts w:ascii="Verdana" w:hAnsi="Verdana" w:cs="Arial"/>
          <w:sz w:val="16"/>
          <w:szCs w:val="16"/>
        </w:rPr>
        <w:t xml:space="preserve"> 139.</w:t>
      </w:r>
    </w:p>
  </w:footnote>
  <w:footnote w:id="10">
    <w:p w14:paraId="304475D4" w14:textId="77777777" w:rsidR="001D5FA9" w:rsidRPr="006870A3" w:rsidRDefault="001D5FA9" w:rsidP="001D5FA9">
      <w:pPr>
        <w:pStyle w:val="Textonotapie"/>
        <w:ind w:firstLine="708"/>
        <w:contextualSpacing/>
        <w:jc w:val="both"/>
        <w:rPr>
          <w:rFonts w:ascii="Verdana" w:hAnsi="Verdana" w:cs="Arial"/>
          <w:sz w:val="16"/>
          <w:szCs w:val="16"/>
        </w:rPr>
      </w:pPr>
    </w:p>
    <w:p w14:paraId="4D69204E"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Style w:val="Refdenotaalpie"/>
          <w:rFonts w:ascii="Verdana" w:hAnsi="Verdana" w:cs="Arial"/>
          <w:sz w:val="16"/>
          <w:szCs w:val="16"/>
        </w:rPr>
        <w:footnoteRef/>
      </w:r>
      <w:r w:rsidRPr="006870A3">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55092574"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1. Los relacionados con la defensa o seguridad nacionales.  </w:t>
      </w:r>
    </w:p>
    <w:p w14:paraId="5AEEBA2A"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2. Las instrucciones en materia diplomática o sobre negociaciones reservadas.  </w:t>
      </w:r>
    </w:p>
    <w:p w14:paraId="1368D419"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379D79B5"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F52D831"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5. Los datos referentes a la información financiera y comercial, en los términos de la Ley Estatutaria 1266 de 2008.  </w:t>
      </w:r>
    </w:p>
    <w:p w14:paraId="183C9590"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6. Los protegidos por el secreto comercial o industrial, así como los planes estratégicos de las empresas públicas de servicios públicos.  </w:t>
      </w:r>
    </w:p>
    <w:p w14:paraId="67426CE8"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7. Los amparados por el secreto profesional.  </w:t>
      </w:r>
    </w:p>
    <w:p w14:paraId="7A58F7F0"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8. Los datos genéticos humanos.  </w:t>
      </w:r>
    </w:p>
    <w:p w14:paraId="422CB576" w14:textId="77777777" w:rsidR="001D5FA9" w:rsidRPr="006870A3" w:rsidRDefault="001D5FA9" w:rsidP="001D5FA9">
      <w:pPr>
        <w:pStyle w:val="Textonotapie"/>
        <w:ind w:firstLine="708"/>
        <w:contextualSpacing/>
        <w:jc w:val="both"/>
        <w:rPr>
          <w:rFonts w:ascii="Verdana" w:hAnsi="Verdana" w:cs="Arial"/>
          <w:sz w:val="16"/>
          <w:szCs w:val="16"/>
        </w:rPr>
      </w:pPr>
      <w:r w:rsidRPr="006870A3">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1">
    <w:p w14:paraId="3F31370E" w14:textId="77777777" w:rsidR="00C50A4D" w:rsidRPr="006870A3" w:rsidRDefault="00C50A4D" w:rsidP="00C50A4D">
      <w:pPr>
        <w:pStyle w:val="Textonotapie"/>
        <w:ind w:firstLine="708"/>
        <w:contextualSpacing/>
        <w:jc w:val="both"/>
        <w:rPr>
          <w:rFonts w:ascii="Verdana" w:hAnsi="Verdana" w:cs="Arial"/>
          <w:sz w:val="16"/>
          <w:szCs w:val="16"/>
        </w:rPr>
      </w:pPr>
    </w:p>
    <w:p w14:paraId="5E19DC77" w14:textId="77777777" w:rsidR="00C50A4D" w:rsidRPr="00424097" w:rsidRDefault="00C50A4D" w:rsidP="00C50A4D">
      <w:pPr>
        <w:pStyle w:val="Textonotapie"/>
        <w:ind w:firstLine="708"/>
        <w:contextualSpacing/>
        <w:jc w:val="both"/>
        <w:rPr>
          <w:rFonts w:ascii="Verdana" w:eastAsia="Calibri" w:hAnsi="Verdana" w:cs="Arial"/>
          <w:sz w:val="18"/>
          <w:szCs w:val="18"/>
        </w:rPr>
      </w:pPr>
      <w:r w:rsidRPr="006870A3">
        <w:rPr>
          <w:rStyle w:val="Refdenotaalpie"/>
          <w:rFonts w:ascii="Verdana" w:hAnsi="Verdana" w:cs="Arial"/>
          <w:sz w:val="16"/>
          <w:szCs w:val="16"/>
        </w:rPr>
        <w:footnoteRef/>
      </w:r>
      <w:r w:rsidRPr="006870A3">
        <w:rPr>
          <w:rFonts w:ascii="Verdana" w:hAnsi="Verdana" w:cs="Arial"/>
          <w:sz w:val="16"/>
          <w:szCs w:val="16"/>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6870A3">
        <w:rPr>
          <w:rFonts w:ascii="Verdana" w:eastAsia="Calibri" w:hAnsi="Verdana" w:cs="Arial"/>
          <w:sz w:val="16"/>
          <w:szCs w:val="16"/>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12">
    <w:p w14:paraId="210761D9" w14:textId="77777777" w:rsidR="00152E6F" w:rsidRPr="006870A3" w:rsidRDefault="00152E6F" w:rsidP="00152E6F">
      <w:pPr>
        <w:pStyle w:val="Textonotapie"/>
        <w:ind w:firstLine="708"/>
        <w:contextualSpacing/>
        <w:jc w:val="both"/>
        <w:rPr>
          <w:rFonts w:ascii="Verdana" w:hAnsi="Verdana" w:cs="Arial"/>
          <w:sz w:val="16"/>
          <w:szCs w:val="16"/>
        </w:rPr>
      </w:pPr>
      <w:r w:rsidRPr="00424097">
        <w:rPr>
          <w:rStyle w:val="Refdenotaalpie"/>
          <w:rFonts w:ascii="Verdana" w:hAnsi="Verdana" w:cs="Arial"/>
          <w:sz w:val="18"/>
          <w:szCs w:val="18"/>
        </w:rPr>
        <w:footnoteRef/>
      </w:r>
      <w:r w:rsidRPr="00424097">
        <w:rPr>
          <w:rFonts w:ascii="Verdana" w:hAnsi="Verdana" w:cs="Arial"/>
          <w:sz w:val="18"/>
          <w:szCs w:val="18"/>
        </w:rPr>
        <w:t xml:space="preserve"> </w:t>
      </w:r>
      <w:r w:rsidRPr="006870A3">
        <w:rPr>
          <w:rFonts w:ascii="Verdana" w:hAnsi="Verdana" w:cs="Arial"/>
          <w:sz w:val="16"/>
          <w:szCs w:val="16"/>
        </w:rPr>
        <w:t>“Artículo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3341783B" w14:textId="77777777" w:rsidR="00152E6F" w:rsidRPr="006870A3" w:rsidRDefault="00152E6F" w:rsidP="00152E6F">
      <w:pPr>
        <w:pStyle w:val="Textonotapie"/>
        <w:ind w:firstLine="708"/>
        <w:contextualSpacing/>
        <w:jc w:val="both"/>
        <w:rPr>
          <w:rFonts w:ascii="Verdana" w:hAnsi="Verdana" w:cs="Arial"/>
          <w:sz w:val="16"/>
          <w:szCs w:val="16"/>
        </w:rPr>
      </w:pPr>
      <w:r w:rsidRPr="006870A3">
        <w:rPr>
          <w:rFonts w:ascii="Verdana" w:hAnsi="Verdana" w:cs="Arial"/>
          <w:sz w:val="16"/>
          <w:szCs w:val="16"/>
        </w:rPr>
        <w:t>Ninguna autoridad pública puede negarse a indicar si un documento obra o no en su poder o negar la divulgación de un documento, salvo que el daño causado al interés protegido sea mayor al interés público de obtener acceso a la información.</w:t>
      </w:r>
    </w:p>
    <w:p w14:paraId="71AE4453" w14:textId="77777777" w:rsidR="00152E6F" w:rsidRPr="00424097" w:rsidRDefault="00152E6F" w:rsidP="00152E6F">
      <w:pPr>
        <w:pStyle w:val="Textonotapie"/>
        <w:ind w:firstLine="708"/>
        <w:contextualSpacing/>
        <w:jc w:val="both"/>
        <w:rPr>
          <w:rFonts w:ascii="Verdana" w:hAnsi="Verdana" w:cs="Arial"/>
          <w:sz w:val="18"/>
          <w:szCs w:val="18"/>
          <w:lang w:val="es-CO"/>
        </w:rPr>
      </w:pPr>
      <w:r w:rsidRPr="006870A3">
        <w:rPr>
          <w:rFonts w:ascii="Verdana" w:hAnsi="Verdana" w:cs="Arial"/>
          <w:sz w:val="16"/>
          <w:szCs w:val="16"/>
        </w:rPr>
        <w:t>Las excepciones de acceso a la información contenidas en la presente ley no aplican en casos de violación de derechos humanos o delitos de lesa humanidad, y en todo caso deberán protegerse los derechos de las víctimas de dichas violaciones”.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165"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436F40"/>
    <w:multiLevelType w:val="hybridMultilevel"/>
    <w:tmpl w:val="78CA59A0"/>
    <w:lvl w:ilvl="0" w:tplc="BBCCFF8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95F4281"/>
    <w:multiLevelType w:val="hybridMultilevel"/>
    <w:tmpl w:val="CCF8BE0A"/>
    <w:lvl w:ilvl="0" w:tplc="26BC6B42">
      <w:start w:val="1"/>
      <w:numFmt w:val="lowerLetter"/>
      <w:lvlText w:val="%1)"/>
      <w:lvlJc w:val="left"/>
      <w:pPr>
        <w:ind w:left="1069" w:hanging="360"/>
      </w:pPr>
      <w:rPr>
        <w:rFonts w:hint="default"/>
        <w:i/>
        <w:iCs/>
        <w:sz w:val="18"/>
        <w:szCs w:val="18"/>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0E3A713D"/>
    <w:multiLevelType w:val="hybridMultilevel"/>
    <w:tmpl w:val="25522004"/>
    <w:lvl w:ilvl="0" w:tplc="CF48BA1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273EF8"/>
    <w:multiLevelType w:val="multilevel"/>
    <w:tmpl w:val="CC50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4F31B4"/>
    <w:multiLevelType w:val="hybridMultilevel"/>
    <w:tmpl w:val="5E6CCB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2F1C37"/>
    <w:multiLevelType w:val="hybridMultilevel"/>
    <w:tmpl w:val="21F624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1071440"/>
    <w:multiLevelType w:val="hybridMultilevel"/>
    <w:tmpl w:val="23E8CFD2"/>
    <w:lvl w:ilvl="0" w:tplc="1C08DDA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1"/>
  </w:num>
  <w:num w:numId="2" w16cid:durableId="19822139">
    <w:abstractNumId w:val="3"/>
  </w:num>
  <w:num w:numId="3" w16cid:durableId="876742304">
    <w:abstractNumId w:val="9"/>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9"/>
  </w:num>
  <w:num w:numId="7" w16cid:durableId="1946422806">
    <w:abstractNumId w:val="10"/>
  </w:num>
  <w:num w:numId="8" w16cid:durableId="152644682">
    <w:abstractNumId w:val="18"/>
  </w:num>
  <w:num w:numId="9" w16cid:durableId="1317221377">
    <w:abstractNumId w:val="12"/>
  </w:num>
  <w:num w:numId="10" w16cid:durableId="1471245386">
    <w:abstractNumId w:val="17"/>
  </w:num>
  <w:num w:numId="11" w16cid:durableId="289172385">
    <w:abstractNumId w:val="13"/>
  </w:num>
  <w:num w:numId="12" w16cid:durableId="1470781324">
    <w:abstractNumId w:val="2"/>
  </w:num>
  <w:num w:numId="13" w16cid:durableId="1512908409">
    <w:abstractNumId w:val="6"/>
  </w:num>
  <w:num w:numId="14" w16cid:durableId="895897244">
    <w:abstractNumId w:val="20"/>
  </w:num>
  <w:num w:numId="15" w16cid:durableId="390349800">
    <w:abstractNumId w:val="16"/>
  </w:num>
  <w:num w:numId="16" w16cid:durableId="1227110730">
    <w:abstractNumId w:val="0"/>
  </w:num>
  <w:num w:numId="17" w16cid:durableId="2068841316">
    <w:abstractNumId w:val="4"/>
  </w:num>
  <w:num w:numId="18" w16cid:durableId="1144280152">
    <w:abstractNumId w:val="21"/>
  </w:num>
  <w:num w:numId="19" w16cid:durableId="1602300139">
    <w:abstractNumId w:val="5"/>
  </w:num>
  <w:num w:numId="20" w16cid:durableId="1397629488">
    <w:abstractNumId w:val="14"/>
  </w:num>
  <w:num w:numId="21" w16cid:durableId="861283267">
    <w:abstractNumId w:val="8"/>
  </w:num>
  <w:num w:numId="22" w16cid:durableId="1235579301">
    <w:abstractNumId w:val="7"/>
  </w:num>
  <w:num w:numId="23" w16cid:durableId="545802288">
    <w:abstractNumId w:val="15"/>
  </w:num>
  <w:num w:numId="24" w16cid:durableId="236864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541"/>
    <w:rsid w:val="0001041A"/>
    <w:rsid w:val="00016F78"/>
    <w:rsid w:val="00017468"/>
    <w:rsid w:val="0001755B"/>
    <w:rsid w:val="00024220"/>
    <w:rsid w:val="00027F95"/>
    <w:rsid w:val="00034FE9"/>
    <w:rsid w:val="00035221"/>
    <w:rsid w:val="00040944"/>
    <w:rsid w:val="00045A4D"/>
    <w:rsid w:val="00045B1F"/>
    <w:rsid w:val="00046945"/>
    <w:rsid w:val="00054748"/>
    <w:rsid w:val="000612FD"/>
    <w:rsid w:val="00061B2A"/>
    <w:rsid w:val="00063B8B"/>
    <w:rsid w:val="000642C7"/>
    <w:rsid w:val="000675E2"/>
    <w:rsid w:val="00071AD1"/>
    <w:rsid w:val="00082362"/>
    <w:rsid w:val="00083164"/>
    <w:rsid w:val="00085500"/>
    <w:rsid w:val="00092AAE"/>
    <w:rsid w:val="0009582C"/>
    <w:rsid w:val="00097845"/>
    <w:rsid w:val="000A0B60"/>
    <w:rsid w:val="000A683E"/>
    <w:rsid w:val="000B19B9"/>
    <w:rsid w:val="000B1C53"/>
    <w:rsid w:val="000C30D4"/>
    <w:rsid w:val="000D0334"/>
    <w:rsid w:val="000D5DA7"/>
    <w:rsid w:val="000E06D3"/>
    <w:rsid w:val="000F6486"/>
    <w:rsid w:val="0010054E"/>
    <w:rsid w:val="0010594F"/>
    <w:rsid w:val="00114C76"/>
    <w:rsid w:val="00116491"/>
    <w:rsid w:val="00116940"/>
    <w:rsid w:val="00116E26"/>
    <w:rsid w:val="00125105"/>
    <w:rsid w:val="001268C0"/>
    <w:rsid w:val="00127233"/>
    <w:rsid w:val="001279A7"/>
    <w:rsid w:val="00132271"/>
    <w:rsid w:val="00133789"/>
    <w:rsid w:val="00140533"/>
    <w:rsid w:val="00144F0A"/>
    <w:rsid w:val="00147AAE"/>
    <w:rsid w:val="00152E6F"/>
    <w:rsid w:val="0015699B"/>
    <w:rsid w:val="00165403"/>
    <w:rsid w:val="00175917"/>
    <w:rsid w:val="0018173F"/>
    <w:rsid w:val="00192F16"/>
    <w:rsid w:val="00193637"/>
    <w:rsid w:val="0019363C"/>
    <w:rsid w:val="00194792"/>
    <w:rsid w:val="00196868"/>
    <w:rsid w:val="001A05CA"/>
    <w:rsid w:val="001A1C4B"/>
    <w:rsid w:val="001A33BF"/>
    <w:rsid w:val="001B7BFE"/>
    <w:rsid w:val="001C1E35"/>
    <w:rsid w:val="001D5D34"/>
    <w:rsid w:val="001D5FA9"/>
    <w:rsid w:val="001E0D84"/>
    <w:rsid w:val="001E2AF9"/>
    <w:rsid w:val="001E4177"/>
    <w:rsid w:val="001F0B24"/>
    <w:rsid w:val="001F7DC6"/>
    <w:rsid w:val="0020050D"/>
    <w:rsid w:val="0020672F"/>
    <w:rsid w:val="00206E16"/>
    <w:rsid w:val="0020730A"/>
    <w:rsid w:val="00210F23"/>
    <w:rsid w:val="00211AE1"/>
    <w:rsid w:val="002144E5"/>
    <w:rsid w:val="00217C3B"/>
    <w:rsid w:val="0022400B"/>
    <w:rsid w:val="0023261B"/>
    <w:rsid w:val="002421BB"/>
    <w:rsid w:val="002422E4"/>
    <w:rsid w:val="00247655"/>
    <w:rsid w:val="00251736"/>
    <w:rsid w:val="00254843"/>
    <w:rsid w:val="002576DC"/>
    <w:rsid w:val="0025796E"/>
    <w:rsid w:val="00267882"/>
    <w:rsid w:val="002707A2"/>
    <w:rsid w:val="00275975"/>
    <w:rsid w:val="002770E1"/>
    <w:rsid w:val="00282002"/>
    <w:rsid w:val="00282862"/>
    <w:rsid w:val="00282D17"/>
    <w:rsid w:val="00285255"/>
    <w:rsid w:val="002951A0"/>
    <w:rsid w:val="002962BC"/>
    <w:rsid w:val="002A093D"/>
    <w:rsid w:val="002A0DD0"/>
    <w:rsid w:val="002A49AC"/>
    <w:rsid w:val="002A64FD"/>
    <w:rsid w:val="002A7D0D"/>
    <w:rsid w:val="002B1D63"/>
    <w:rsid w:val="002B4237"/>
    <w:rsid w:val="002B7ECD"/>
    <w:rsid w:val="002C1D40"/>
    <w:rsid w:val="002C2DF2"/>
    <w:rsid w:val="002C376B"/>
    <w:rsid w:val="002C7A84"/>
    <w:rsid w:val="002E2BF8"/>
    <w:rsid w:val="002E37B2"/>
    <w:rsid w:val="002E4FD9"/>
    <w:rsid w:val="00301B67"/>
    <w:rsid w:val="0030657A"/>
    <w:rsid w:val="003144F7"/>
    <w:rsid w:val="003148E3"/>
    <w:rsid w:val="00321D63"/>
    <w:rsid w:val="00322A85"/>
    <w:rsid w:val="00324168"/>
    <w:rsid w:val="00327136"/>
    <w:rsid w:val="00330834"/>
    <w:rsid w:val="00331CC4"/>
    <w:rsid w:val="00332110"/>
    <w:rsid w:val="00344511"/>
    <w:rsid w:val="003448F4"/>
    <w:rsid w:val="00344D47"/>
    <w:rsid w:val="003568BE"/>
    <w:rsid w:val="00361D7C"/>
    <w:rsid w:val="003652FF"/>
    <w:rsid w:val="00373C2A"/>
    <w:rsid w:val="00373DB2"/>
    <w:rsid w:val="00373F27"/>
    <w:rsid w:val="00374F5E"/>
    <w:rsid w:val="0037595A"/>
    <w:rsid w:val="00377E3E"/>
    <w:rsid w:val="003A00AF"/>
    <w:rsid w:val="003A779E"/>
    <w:rsid w:val="003C1DE4"/>
    <w:rsid w:val="003C20F3"/>
    <w:rsid w:val="003C4840"/>
    <w:rsid w:val="003D0F4D"/>
    <w:rsid w:val="003D2711"/>
    <w:rsid w:val="003D3A74"/>
    <w:rsid w:val="003D5B0D"/>
    <w:rsid w:val="003E0499"/>
    <w:rsid w:val="003E4F80"/>
    <w:rsid w:val="003E6439"/>
    <w:rsid w:val="003E7CF4"/>
    <w:rsid w:val="003F1BCC"/>
    <w:rsid w:val="003F1F50"/>
    <w:rsid w:val="003F3941"/>
    <w:rsid w:val="003F47D7"/>
    <w:rsid w:val="003F665C"/>
    <w:rsid w:val="00401396"/>
    <w:rsid w:val="00403964"/>
    <w:rsid w:val="00406424"/>
    <w:rsid w:val="00406575"/>
    <w:rsid w:val="00411024"/>
    <w:rsid w:val="00414C74"/>
    <w:rsid w:val="00425D4E"/>
    <w:rsid w:val="0042722E"/>
    <w:rsid w:val="00427DE5"/>
    <w:rsid w:val="0043641A"/>
    <w:rsid w:val="004373B4"/>
    <w:rsid w:val="00441E4A"/>
    <w:rsid w:val="0044528D"/>
    <w:rsid w:val="00457A70"/>
    <w:rsid w:val="00461A0A"/>
    <w:rsid w:val="004630E5"/>
    <w:rsid w:val="00466A1C"/>
    <w:rsid w:val="00466E39"/>
    <w:rsid w:val="00471DAE"/>
    <w:rsid w:val="00477A70"/>
    <w:rsid w:val="004819DB"/>
    <w:rsid w:val="00495476"/>
    <w:rsid w:val="004A1847"/>
    <w:rsid w:val="004A305D"/>
    <w:rsid w:val="004A4608"/>
    <w:rsid w:val="004B1FCB"/>
    <w:rsid w:val="004B4BBB"/>
    <w:rsid w:val="004C1ADD"/>
    <w:rsid w:val="004C1F3D"/>
    <w:rsid w:val="004E5211"/>
    <w:rsid w:val="004F21C4"/>
    <w:rsid w:val="004F3285"/>
    <w:rsid w:val="004F518D"/>
    <w:rsid w:val="004F685F"/>
    <w:rsid w:val="00503E8D"/>
    <w:rsid w:val="0052473B"/>
    <w:rsid w:val="00527383"/>
    <w:rsid w:val="00532915"/>
    <w:rsid w:val="0054008D"/>
    <w:rsid w:val="005566E8"/>
    <w:rsid w:val="00570B99"/>
    <w:rsid w:val="00574867"/>
    <w:rsid w:val="00591460"/>
    <w:rsid w:val="00593A2E"/>
    <w:rsid w:val="005A65E0"/>
    <w:rsid w:val="005B0A81"/>
    <w:rsid w:val="005B5E1E"/>
    <w:rsid w:val="005C2AE6"/>
    <w:rsid w:val="005C2D83"/>
    <w:rsid w:val="005C3777"/>
    <w:rsid w:val="005C5CDC"/>
    <w:rsid w:val="005C79E1"/>
    <w:rsid w:val="005D0AA9"/>
    <w:rsid w:val="005D37AF"/>
    <w:rsid w:val="005D476C"/>
    <w:rsid w:val="005E247F"/>
    <w:rsid w:val="005F379F"/>
    <w:rsid w:val="005F3F7B"/>
    <w:rsid w:val="00600D5C"/>
    <w:rsid w:val="00613205"/>
    <w:rsid w:val="00616FA1"/>
    <w:rsid w:val="00617CDD"/>
    <w:rsid w:val="006200BF"/>
    <w:rsid w:val="00621157"/>
    <w:rsid w:val="006219F8"/>
    <w:rsid w:val="00627DD0"/>
    <w:rsid w:val="006302F7"/>
    <w:rsid w:val="00635CDF"/>
    <w:rsid w:val="00640E35"/>
    <w:rsid w:val="006446CE"/>
    <w:rsid w:val="00646B9F"/>
    <w:rsid w:val="006512A0"/>
    <w:rsid w:val="00665D70"/>
    <w:rsid w:val="00670E33"/>
    <w:rsid w:val="006724F0"/>
    <w:rsid w:val="00676264"/>
    <w:rsid w:val="006870A3"/>
    <w:rsid w:val="006900D9"/>
    <w:rsid w:val="006A193A"/>
    <w:rsid w:val="006A3C37"/>
    <w:rsid w:val="006B0734"/>
    <w:rsid w:val="006B13DC"/>
    <w:rsid w:val="006B4AB2"/>
    <w:rsid w:val="006D4CFA"/>
    <w:rsid w:val="006E01C5"/>
    <w:rsid w:val="006E2FD3"/>
    <w:rsid w:val="006E3A2D"/>
    <w:rsid w:val="006E3CD9"/>
    <w:rsid w:val="006E64D4"/>
    <w:rsid w:val="00706C16"/>
    <w:rsid w:val="0070782B"/>
    <w:rsid w:val="00724D03"/>
    <w:rsid w:val="00730229"/>
    <w:rsid w:val="007340C3"/>
    <w:rsid w:val="00740F02"/>
    <w:rsid w:val="00745B9A"/>
    <w:rsid w:val="00751E4C"/>
    <w:rsid w:val="00752103"/>
    <w:rsid w:val="0075235A"/>
    <w:rsid w:val="00756841"/>
    <w:rsid w:val="00761CC9"/>
    <w:rsid w:val="007622DD"/>
    <w:rsid w:val="007649AB"/>
    <w:rsid w:val="00767587"/>
    <w:rsid w:val="007706DC"/>
    <w:rsid w:val="00771D0C"/>
    <w:rsid w:val="00775C16"/>
    <w:rsid w:val="007833AC"/>
    <w:rsid w:val="00787E3D"/>
    <w:rsid w:val="007937B7"/>
    <w:rsid w:val="007A059E"/>
    <w:rsid w:val="007A1512"/>
    <w:rsid w:val="007B1069"/>
    <w:rsid w:val="007B268C"/>
    <w:rsid w:val="007B3388"/>
    <w:rsid w:val="007B37FF"/>
    <w:rsid w:val="007B42C8"/>
    <w:rsid w:val="007B5340"/>
    <w:rsid w:val="007B7171"/>
    <w:rsid w:val="007B7B08"/>
    <w:rsid w:val="007C0C0F"/>
    <w:rsid w:val="007C3DC2"/>
    <w:rsid w:val="007D174A"/>
    <w:rsid w:val="007D63CC"/>
    <w:rsid w:val="007D6933"/>
    <w:rsid w:val="007E1A66"/>
    <w:rsid w:val="007E5019"/>
    <w:rsid w:val="007E5497"/>
    <w:rsid w:val="008041D5"/>
    <w:rsid w:val="008047AC"/>
    <w:rsid w:val="00806F5F"/>
    <w:rsid w:val="00814EBC"/>
    <w:rsid w:val="00820278"/>
    <w:rsid w:val="0082340A"/>
    <w:rsid w:val="008258C9"/>
    <w:rsid w:val="0083635B"/>
    <w:rsid w:val="00843EB6"/>
    <w:rsid w:val="00844A6B"/>
    <w:rsid w:val="00844AE9"/>
    <w:rsid w:val="00847BC0"/>
    <w:rsid w:val="00856E3E"/>
    <w:rsid w:val="008576E2"/>
    <w:rsid w:val="0086480A"/>
    <w:rsid w:val="00865247"/>
    <w:rsid w:val="00867F95"/>
    <w:rsid w:val="008813A3"/>
    <w:rsid w:val="008843B6"/>
    <w:rsid w:val="00891928"/>
    <w:rsid w:val="008A08C2"/>
    <w:rsid w:val="008A2A93"/>
    <w:rsid w:val="008A446D"/>
    <w:rsid w:val="008A7784"/>
    <w:rsid w:val="008B25F1"/>
    <w:rsid w:val="008B5A0C"/>
    <w:rsid w:val="008C0348"/>
    <w:rsid w:val="008C2148"/>
    <w:rsid w:val="008D180B"/>
    <w:rsid w:val="008D1C1D"/>
    <w:rsid w:val="008D34F2"/>
    <w:rsid w:val="008E73E1"/>
    <w:rsid w:val="008F0EA7"/>
    <w:rsid w:val="008F297F"/>
    <w:rsid w:val="008F6CB9"/>
    <w:rsid w:val="008F7DFC"/>
    <w:rsid w:val="00901EAB"/>
    <w:rsid w:val="00904F2B"/>
    <w:rsid w:val="00917D08"/>
    <w:rsid w:val="00923EEF"/>
    <w:rsid w:val="009419F9"/>
    <w:rsid w:val="00942F04"/>
    <w:rsid w:val="00947764"/>
    <w:rsid w:val="00952228"/>
    <w:rsid w:val="0095685E"/>
    <w:rsid w:val="00961B09"/>
    <w:rsid w:val="00962DF3"/>
    <w:rsid w:val="00965334"/>
    <w:rsid w:val="0096783E"/>
    <w:rsid w:val="00967D67"/>
    <w:rsid w:val="0097093E"/>
    <w:rsid w:val="009712CF"/>
    <w:rsid w:val="00976CEB"/>
    <w:rsid w:val="0098514C"/>
    <w:rsid w:val="009A0AC1"/>
    <w:rsid w:val="009A0DFA"/>
    <w:rsid w:val="009A1C6F"/>
    <w:rsid w:val="009A6D45"/>
    <w:rsid w:val="009B0163"/>
    <w:rsid w:val="009B2D26"/>
    <w:rsid w:val="009C11BC"/>
    <w:rsid w:val="009C4DE6"/>
    <w:rsid w:val="009C5ADB"/>
    <w:rsid w:val="009C71FA"/>
    <w:rsid w:val="009C72E7"/>
    <w:rsid w:val="009C7F7E"/>
    <w:rsid w:val="009D3058"/>
    <w:rsid w:val="009E28AD"/>
    <w:rsid w:val="009E75C5"/>
    <w:rsid w:val="009F0380"/>
    <w:rsid w:val="009F1284"/>
    <w:rsid w:val="009F3A13"/>
    <w:rsid w:val="009F6918"/>
    <w:rsid w:val="00A021E3"/>
    <w:rsid w:val="00A06FFF"/>
    <w:rsid w:val="00A122D3"/>
    <w:rsid w:val="00A14468"/>
    <w:rsid w:val="00A15754"/>
    <w:rsid w:val="00A17872"/>
    <w:rsid w:val="00A17F13"/>
    <w:rsid w:val="00A20739"/>
    <w:rsid w:val="00A23AF9"/>
    <w:rsid w:val="00A27052"/>
    <w:rsid w:val="00A33C78"/>
    <w:rsid w:val="00A371B3"/>
    <w:rsid w:val="00A54A64"/>
    <w:rsid w:val="00A575B5"/>
    <w:rsid w:val="00A67369"/>
    <w:rsid w:val="00A8192E"/>
    <w:rsid w:val="00A858CF"/>
    <w:rsid w:val="00A859B6"/>
    <w:rsid w:val="00A97A39"/>
    <w:rsid w:val="00AA146E"/>
    <w:rsid w:val="00AA6777"/>
    <w:rsid w:val="00AB0ADB"/>
    <w:rsid w:val="00AC3564"/>
    <w:rsid w:val="00AC5DA8"/>
    <w:rsid w:val="00AD2ACC"/>
    <w:rsid w:val="00AD55D9"/>
    <w:rsid w:val="00AD6C77"/>
    <w:rsid w:val="00AE189B"/>
    <w:rsid w:val="00AE329C"/>
    <w:rsid w:val="00AE574C"/>
    <w:rsid w:val="00AE595A"/>
    <w:rsid w:val="00AE6D51"/>
    <w:rsid w:val="00AF247C"/>
    <w:rsid w:val="00AF3A3E"/>
    <w:rsid w:val="00B00C0E"/>
    <w:rsid w:val="00B01B1A"/>
    <w:rsid w:val="00B0381D"/>
    <w:rsid w:val="00B11F11"/>
    <w:rsid w:val="00B121F7"/>
    <w:rsid w:val="00B13E8D"/>
    <w:rsid w:val="00B147A4"/>
    <w:rsid w:val="00B14EED"/>
    <w:rsid w:val="00B257BF"/>
    <w:rsid w:val="00B36AF7"/>
    <w:rsid w:val="00B37401"/>
    <w:rsid w:val="00B44A47"/>
    <w:rsid w:val="00B44E76"/>
    <w:rsid w:val="00B5789D"/>
    <w:rsid w:val="00B57B01"/>
    <w:rsid w:val="00B66AA8"/>
    <w:rsid w:val="00B66E67"/>
    <w:rsid w:val="00B71D21"/>
    <w:rsid w:val="00B72CD3"/>
    <w:rsid w:val="00B72FFF"/>
    <w:rsid w:val="00B93F50"/>
    <w:rsid w:val="00BA310B"/>
    <w:rsid w:val="00BC3D36"/>
    <w:rsid w:val="00BC7C12"/>
    <w:rsid w:val="00BD0BDC"/>
    <w:rsid w:val="00BD54A6"/>
    <w:rsid w:val="00BD6409"/>
    <w:rsid w:val="00BD7F72"/>
    <w:rsid w:val="00BE2378"/>
    <w:rsid w:val="00BE68E7"/>
    <w:rsid w:val="00BE6D2E"/>
    <w:rsid w:val="00BF590D"/>
    <w:rsid w:val="00BF604C"/>
    <w:rsid w:val="00BF7425"/>
    <w:rsid w:val="00C04D07"/>
    <w:rsid w:val="00C04FB3"/>
    <w:rsid w:val="00C11D8B"/>
    <w:rsid w:val="00C12965"/>
    <w:rsid w:val="00C138F9"/>
    <w:rsid w:val="00C15139"/>
    <w:rsid w:val="00C17927"/>
    <w:rsid w:val="00C26510"/>
    <w:rsid w:val="00C27470"/>
    <w:rsid w:val="00C31D08"/>
    <w:rsid w:val="00C330EB"/>
    <w:rsid w:val="00C40E96"/>
    <w:rsid w:val="00C416B1"/>
    <w:rsid w:val="00C44748"/>
    <w:rsid w:val="00C5070A"/>
    <w:rsid w:val="00C50A4D"/>
    <w:rsid w:val="00C50D69"/>
    <w:rsid w:val="00C50E70"/>
    <w:rsid w:val="00C5365C"/>
    <w:rsid w:val="00C55450"/>
    <w:rsid w:val="00C57676"/>
    <w:rsid w:val="00C645F4"/>
    <w:rsid w:val="00C67E80"/>
    <w:rsid w:val="00C70581"/>
    <w:rsid w:val="00C754BE"/>
    <w:rsid w:val="00C76B1C"/>
    <w:rsid w:val="00C82AEE"/>
    <w:rsid w:val="00C925AC"/>
    <w:rsid w:val="00CA2A60"/>
    <w:rsid w:val="00CB2DFB"/>
    <w:rsid w:val="00CB46EB"/>
    <w:rsid w:val="00CB4E73"/>
    <w:rsid w:val="00CB6357"/>
    <w:rsid w:val="00CB757B"/>
    <w:rsid w:val="00CC028B"/>
    <w:rsid w:val="00CC0DB5"/>
    <w:rsid w:val="00CC1B26"/>
    <w:rsid w:val="00CC2530"/>
    <w:rsid w:val="00CC424E"/>
    <w:rsid w:val="00CC425D"/>
    <w:rsid w:val="00CC55E8"/>
    <w:rsid w:val="00CC6EA4"/>
    <w:rsid w:val="00CD09A7"/>
    <w:rsid w:val="00CF0A77"/>
    <w:rsid w:val="00D0091F"/>
    <w:rsid w:val="00D00BD3"/>
    <w:rsid w:val="00D02AA3"/>
    <w:rsid w:val="00D03FCD"/>
    <w:rsid w:val="00D05962"/>
    <w:rsid w:val="00D14672"/>
    <w:rsid w:val="00D34887"/>
    <w:rsid w:val="00D361FD"/>
    <w:rsid w:val="00D36955"/>
    <w:rsid w:val="00D375A2"/>
    <w:rsid w:val="00D423A2"/>
    <w:rsid w:val="00D44E26"/>
    <w:rsid w:val="00D47A94"/>
    <w:rsid w:val="00D47E0F"/>
    <w:rsid w:val="00D520D8"/>
    <w:rsid w:val="00D52A6D"/>
    <w:rsid w:val="00D57661"/>
    <w:rsid w:val="00D6057E"/>
    <w:rsid w:val="00D63AC2"/>
    <w:rsid w:val="00D7383B"/>
    <w:rsid w:val="00D7788A"/>
    <w:rsid w:val="00D9012C"/>
    <w:rsid w:val="00D903A5"/>
    <w:rsid w:val="00D93290"/>
    <w:rsid w:val="00DA0544"/>
    <w:rsid w:val="00DA0612"/>
    <w:rsid w:val="00DA231B"/>
    <w:rsid w:val="00DA3B71"/>
    <w:rsid w:val="00DA4941"/>
    <w:rsid w:val="00DB62F2"/>
    <w:rsid w:val="00DC39FC"/>
    <w:rsid w:val="00DC5B62"/>
    <w:rsid w:val="00DD3A26"/>
    <w:rsid w:val="00DF4613"/>
    <w:rsid w:val="00DF51B8"/>
    <w:rsid w:val="00DF5254"/>
    <w:rsid w:val="00E00EC8"/>
    <w:rsid w:val="00E02524"/>
    <w:rsid w:val="00E03BB4"/>
    <w:rsid w:val="00E12F1D"/>
    <w:rsid w:val="00E16408"/>
    <w:rsid w:val="00E20894"/>
    <w:rsid w:val="00E22A31"/>
    <w:rsid w:val="00E245AB"/>
    <w:rsid w:val="00E2764C"/>
    <w:rsid w:val="00E27F2E"/>
    <w:rsid w:val="00E339EE"/>
    <w:rsid w:val="00E33E17"/>
    <w:rsid w:val="00E372B8"/>
    <w:rsid w:val="00E37D67"/>
    <w:rsid w:val="00E41A71"/>
    <w:rsid w:val="00E50AFE"/>
    <w:rsid w:val="00E56386"/>
    <w:rsid w:val="00E60756"/>
    <w:rsid w:val="00E6428D"/>
    <w:rsid w:val="00E65215"/>
    <w:rsid w:val="00E75C92"/>
    <w:rsid w:val="00E7693C"/>
    <w:rsid w:val="00E771DC"/>
    <w:rsid w:val="00E85D19"/>
    <w:rsid w:val="00E863A3"/>
    <w:rsid w:val="00E8772A"/>
    <w:rsid w:val="00E90F6B"/>
    <w:rsid w:val="00E91CA9"/>
    <w:rsid w:val="00E92C27"/>
    <w:rsid w:val="00EA0E3D"/>
    <w:rsid w:val="00EA71F6"/>
    <w:rsid w:val="00EB0847"/>
    <w:rsid w:val="00EC38A7"/>
    <w:rsid w:val="00EC3DCF"/>
    <w:rsid w:val="00ED2182"/>
    <w:rsid w:val="00EE1AA8"/>
    <w:rsid w:val="00EE2ECC"/>
    <w:rsid w:val="00EE6152"/>
    <w:rsid w:val="00EF0894"/>
    <w:rsid w:val="00EF3663"/>
    <w:rsid w:val="00F072DC"/>
    <w:rsid w:val="00F127BB"/>
    <w:rsid w:val="00F151FA"/>
    <w:rsid w:val="00F20E17"/>
    <w:rsid w:val="00F23FEA"/>
    <w:rsid w:val="00F27E81"/>
    <w:rsid w:val="00F31166"/>
    <w:rsid w:val="00F31EDC"/>
    <w:rsid w:val="00F4564D"/>
    <w:rsid w:val="00F462B3"/>
    <w:rsid w:val="00F52B54"/>
    <w:rsid w:val="00F5664F"/>
    <w:rsid w:val="00F63CDC"/>
    <w:rsid w:val="00F666C4"/>
    <w:rsid w:val="00F76AFC"/>
    <w:rsid w:val="00F82EBA"/>
    <w:rsid w:val="00F8463E"/>
    <w:rsid w:val="00FA47C0"/>
    <w:rsid w:val="00FB44C9"/>
    <w:rsid w:val="00FB5DD1"/>
    <w:rsid w:val="00FB7209"/>
    <w:rsid w:val="00FC021D"/>
    <w:rsid w:val="00FC285E"/>
    <w:rsid w:val="00FC2B5D"/>
    <w:rsid w:val="00FC7F7A"/>
    <w:rsid w:val="00FD0113"/>
    <w:rsid w:val="00FE029B"/>
    <w:rsid w:val="00FE1C78"/>
    <w:rsid w:val="00FE4CFC"/>
    <w:rsid w:val="00FE7D26"/>
    <w:rsid w:val="00FF1116"/>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474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ridica@esehsvp-circasia-quindio.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customXml/itemProps2.xml><?xml version="1.0" encoding="utf-8"?>
<ds:datastoreItem xmlns:ds="http://schemas.openxmlformats.org/officeDocument/2006/customXml" ds:itemID="{0202A32A-7823-4F23-A739-B0E5AA41A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1220</TotalTime>
  <Pages>16</Pages>
  <Words>4693</Words>
  <Characters>25816</Characters>
  <Application>Microsoft Office Word</Application>
  <DocSecurity>0</DocSecurity>
  <Lines>215</Lines>
  <Paragraphs>60</Paragraphs>
  <ScaleCrop>false</ScaleCrop>
  <Company/>
  <LinksUpToDate>false</LinksUpToDate>
  <CharactersWithSpaces>30449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369</cp:revision>
  <cp:lastPrinted>2023-01-10T21:18:00Z</cp:lastPrinted>
  <dcterms:created xsi:type="dcterms:W3CDTF">2026-05-25T13:41:00Z</dcterms:created>
  <dcterms:modified xsi:type="dcterms:W3CDTF">2026-07-08T23:10:00Z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