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91F1F" w14:textId="77777777" w:rsidR="00DF4861" w:rsidRPr="00AF1555" w:rsidRDefault="00DF4861" w:rsidP="00DF4861">
      <w:pPr>
        <w:tabs>
          <w:tab w:val="left" w:pos="709"/>
        </w:tabs>
        <w:spacing w:after="0" w:line="240" w:lineRule="auto"/>
        <w:jc w:val="both"/>
        <w:rPr>
          <w:rFonts w:ascii="Verdana" w:eastAsia="Calibri" w:hAnsi="Verdana" w:cs="Arial"/>
          <w:bCs/>
          <w:sz w:val="20"/>
          <w:szCs w:val="20"/>
          <w:lang w:val="es-ES_tradnl" w:eastAsia="es-ES_tradnl"/>
        </w:rPr>
      </w:pPr>
    </w:p>
    <w:p w14:paraId="776BA806" w14:textId="77777777" w:rsidR="00DF4861" w:rsidRPr="00AF1555" w:rsidRDefault="00DF4861" w:rsidP="00DF4861">
      <w:pPr>
        <w:spacing w:after="0" w:line="240" w:lineRule="auto"/>
        <w:jc w:val="both"/>
        <w:rPr>
          <w:rFonts w:ascii="Verdana" w:eastAsia="Calibri" w:hAnsi="Verdana" w:cs="Arial"/>
          <w:b/>
          <w:color w:val="000000" w:themeColor="text1"/>
          <w:lang w:val="es-ES"/>
        </w:rPr>
      </w:pPr>
      <w:r w:rsidRPr="00817818">
        <w:rPr>
          <w:rFonts w:ascii="Verdana" w:eastAsia="Calibri" w:hAnsi="Verdana" w:cs="Arial"/>
          <w:b/>
          <w:color w:val="000000" w:themeColor="text1"/>
          <w:lang w:val="es-ES"/>
        </w:rPr>
        <w:t>SISTEMA GENERAL DE REGALÍAS – Fundamento normativo – Acto Legislativo 01 de 2019</w:t>
      </w:r>
      <w:r w:rsidRPr="00AF1555">
        <w:rPr>
          <w:rFonts w:ascii="Verdana" w:eastAsia="Calibri" w:hAnsi="Verdana" w:cs="Arial"/>
          <w:b/>
          <w:color w:val="000000" w:themeColor="text1"/>
          <w:lang w:val="es-ES"/>
        </w:rPr>
        <w:t xml:space="preserve"> </w:t>
      </w:r>
    </w:p>
    <w:p w14:paraId="7819DE1F" w14:textId="77777777" w:rsidR="00DF4861" w:rsidRPr="00AF1555" w:rsidRDefault="00DF4861" w:rsidP="00DF4861">
      <w:pPr>
        <w:spacing w:after="0" w:line="240" w:lineRule="auto"/>
        <w:jc w:val="both"/>
        <w:rPr>
          <w:rFonts w:ascii="Verdana" w:eastAsia="Calibri" w:hAnsi="Verdana" w:cs="Arial"/>
          <w:bCs/>
          <w:color w:val="000000" w:themeColor="text1"/>
          <w:sz w:val="20"/>
          <w:szCs w:val="20"/>
          <w:lang w:val="es-ES"/>
        </w:rPr>
      </w:pPr>
    </w:p>
    <w:p w14:paraId="136B3357" w14:textId="77777777" w:rsidR="00DF4861" w:rsidRPr="00AF1555" w:rsidRDefault="00DF4861" w:rsidP="00DF4861">
      <w:pPr>
        <w:spacing w:after="0" w:line="240" w:lineRule="auto"/>
        <w:jc w:val="both"/>
        <w:rPr>
          <w:rFonts w:ascii="Verdana" w:eastAsia="Calibri" w:hAnsi="Verdana" w:cs="Arial"/>
          <w:color w:val="000000" w:themeColor="text1"/>
          <w:sz w:val="20"/>
          <w:szCs w:val="20"/>
          <w:lang w:val="es-ES_tradnl"/>
        </w:rPr>
      </w:pPr>
      <w:r w:rsidRPr="00817818">
        <w:rPr>
          <w:rFonts w:ascii="Verdana" w:eastAsia="Calibri" w:hAnsi="Verdana" w:cs="Arial"/>
          <w:color w:val="000000" w:themeColor="text1"/>
          <w:sz w:val="20"/>
          <w:szCs w:val="20"/>
          <w:lang w:val="es-ES_tradnl" w:eastAsia="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p>
    <w:p w14:paraId="129D4FA0" w14:textId="77777777" w:rsidR="00DF4861" w:rsidRPr="00AF1555" w:rsidRDefault="00DF4861" w:rsidP="00DF4861">
      <w:pPr>
        <w:spacing w:after="0" w:line="240" w:lineRule="auto"/>
        <w:rPr>
          <w:rFonts w:ascii="Verdana" w:eastAsia="Geomanist Light" w:hAnsi="Verdana" w:cs="Arial"/>
          <w:color w:val="000000" w:themeColor="text1"/>
          <w:sz w:val="20"/>
          <w:szCs w:val="20"/>
          <w:lang w:val="es-ES_tradnl"/>
        </w:rPr>
      </w:pPr>
    </w:p>
    <w:p w14:paraId="38045763" w14:textId="77777777" w:rsidR="00DF4861" w:rsidRPr="00AF1555" w:rsidRDefault="00DF4861" w:rsidP="00DF4861">
      <w:pPr>
        <w:spacing w:after="0" w:line="240" w:lineRule="auto"/>
        <w:jc w:val="both"/>
        <w:rPr>
          <w:rFonts w:ascii="Verdana" w:eastAsia="Calibri" w:hAnsi="Verdana" w:cs="Arial"/>
          <w:b/>
          <w:sz w:val="20"/>
          <w:szCs w:val="20"/>
          <w:lang w:val="es-ES"/>
        </w:rPr>
      </w:pPr>
      <w:r w:rsidRPr="00817818">
        <w:rPr>
          <w:rFonts w:ascii="Verdana" w:eastAsia="Calibri" w:hAnsi="Verdana" w:cs="Arial"/>
          <w:b/>
          <w:lang w:val="es-ES"/>
        </w:rPr>
        <w:t>SISTEMA GENERAL DE REGALÍAS – Ley 2056 de 2020 – Finalidad – Objeto</w:t>
      </w:r>
    </w:p>
    <w:p w14:paraId="19993587" w14:textId="77777777" w:rsidR="00DF4861" w:rsidRDefault="00DF4861" w:rsidP="00DF4861">
      <w:pPr>
        <w:spacing w:after="0" w:line="240" w:lineRule="auto"/>
        <w:jc w:val="both"/>
        <w:rPr>
          <w:rFonts w:ascii="Verdana" w:eastAsia="Calibri" w:hAnsi="Verdana" w:cs="Arial"/>
          <w:bCs/>
          <w:sz w:val="20"/>
          <w:szCs w:val="20"/>
          <w:lang w:val="es-ES"/>
        </w:rPr>
      </w:pPr>
    </w:p>
    <w:p w14:paraId="25A7373D" w14:textId="77777777" w:rsidR="00DF4861" w:rsidRDefault="00DF4861" w:rsidP="00DF4861">
      <w:pPr>
        <w:spacing w:after="0" w:line="240" w:lineRule="auto"/>
        <w:jc w:val="both"/>
        <w:rPr>
          <w:rFonts w:ascii="Verdana" w:eastAsia="Calibri" w:hAnsi="Verdana" w:cs="Arial"/>
          <w:color w:val="000000"/>
          <w:sz w:val="20"/>
          <w:szCs w:val="20"/>
          <w:lang w:val="es-ES_tradnl"/>
        </w:rPr>
      </w:pPr>
      <w:r w:rsidRPr="00817818">
        <w:rPr>
          <w:rFonts w:ascii="Verdana" w:eastAsia="Calibri" w:hAnsi="Verdana" w:cs="Arial"/>
          <w:bCs/>
          <w:sz w:val="20"/>
          <w:szCs w:val="20"/>
          <w:lang w:val="es-ES"/>
        </w:rPr>
        <w:t xml:space="preserve">Con fundamento en los artículos 360 y 361 de la Constitución Política, se expidió la Ley 2056 de 2020, por medio de la cual se deroga, entre otras, la Ley 1530 de 2012, y «Por la cual se regula la organización y el funcionamiento del Sistema General de Regalías».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w:t>
      </w:r>
      <w:r w:rsidRPr="00817818">
        <w:rPr>
          <w:rFonts w:ascii="Verdana" w:eastAsia="Calibri" w:hAnsi="Verdana" w:cs="Arial"/>
          <w:bCs/>
          <w:sz w:val="20"/>
          <w:szCs w:val="20"/>
          <w:lang w:val="es-ES"/>
        </w:rPr>
        <w:lastRenderedPageBreak/>
        <w:t xml:space="preserve">que se encuadren dentro del concepto de regalías, precisando las condiciones para la participación de los beneficiarios o destinatarios de </w:t>
      </w:r>
      <w:proofErr w:type="gramStart"/>
      <w:r w:rsidRPr="00817818">
        <w:rPr>
          <w:rFonts w:ascii="Verdana" w:eastAsia="Calibri" w:hAnsi="Verdana" w:cs="Arial"/>
          <w:bCs/>
          <w:sz w:val="20"/>
          <w:szCs w:val="20"/>
          <w:lang w:val="es-ES"/>
        </w:rPr>
        <w:t>los mismos</w:t>
      </w:r>
      <w:proofErr w:type="gramEnd"/>
      <w:r w:rsidRPr="00AF1555">
        <w:rPr>
          <w:rFonts w:ascii="Verdana" w:eastAsia="Calibri" w:hAnsi="Verdana" w:cs="Arial"/>
          <w:color w:val="000000"/>
          <w:sz w:val="20"/>
          <w:szCs w:val="20"/>
          <w:lang w:val="es-ES_tradnl"/>
        </w:rPr>
        <w:t>.</w:t>
      </w:r>
    </w:p>
    <w:p w14:paraId="1AFEE5AC" w14:textId="77777777" w:rsidR="00DF4861" w:rsidRPr="00AF1555" w:rsidRDefault="00DF4861" w:rsidP="00DF4861">
      <w:pPr>
        <w:spacing w:after="0" w:line="240" w:lineRule="auto"/>
        <w:rPr>
          <w:rFonts w:ascii="Verdana" w:eastAsia="Geomanist Light" w:hAnsi="Verdana" w:cs="Arial"/>
          <w:color w:val="000000" w:themeColor="text1"/>
          <w:sz w:val="20"/>
          <w:szCs w:val="20"/>
          <w:lang w:val="es-ES_tradnl"/>
        </w:rPr>
      </w:pPr>
    </w:p>
    <w:p w14:paraId="3FBDA80A" w14:textId="77777777" w:rsidR="00DF4861" w:rsidRPr="00AF1555" w:rsidRDefault="00DF4861" w:rsidP="00DF4861">
      <w:pPr>
        <w:tabs>
          <w:tab w:val="left" w:pos="426"/>
        </w:tabs>
        <w:spacing w:after="0" w:line="240" w:lineRule="auto"/>
        <w:jc w:val="both"/>
        <w:rPr>
          <w:rFonts w:ascii="Verdana" w:hAnsi="Verdana" w:cs="Arial"/>
          <w:b/>
          <w:lang w:eastAsia="es-CO"/>
        </w:rPr>
      </w:pPr>
      <w:r w:rsidRPr="00817818">
        <w:rPr>
          <w:rFonts w:ascii="Verdana" w:hAnsi="Verdana" w:cs="Arial"/>
          <w:b/>
          <w:lang w:val="es-ES_tradnl" w:eastAsia="es-CO"/>
        </w:rPr>
        <w:t xml:space="preserve">RÉGIMEN CONTRACTUAL – Entidades ejecutoras – Aplicación del Estatuto General de Contratación de la Administración Pública </w:t>
      </w:r>
      <w:r>
        <w:rPr>
          <w:rFonts w:ascii="Verdana" w:hAnsi="Verdana" w:cs="Arial"/>
          <w:b/>
          <w:lang w:eastAsia="es-CO"/>
        </w:rPr>
        <w:t xml:space="preserve"> </w:t>
      </w:r>
    </w:p>
    <w:p w14:paraId="69E45615" w14:textId="77777777" w:rsidR="00DF4861" w:rsidRPr="00817818" w:rsidRDefault="00DF4861" w:rsidP="00DF4861">
      <w:pPr>
        <w:tabs>
          <w:tab w:val="left" w:pos="426"/>
        </w:tabs>
        <w:spacing w:after="0" w:line="240" w:lineRule="auto"/>
        <w:jc w:val="both"/>
        <w:rPr>
          <w:rFonts w:ascii="Verdana" w:hAnsi="Verdana" w:cs="Arial"/>
          <w:b/>
          <w:sz w:val="20"/>
          <w:szCs w:val="20"/>
          <w:lang w:eastAsia="es-CO"/>
        </w:rPr>
      </w:pPr>
    </w:p>
    <w:p w14:paraId="77C74449" w14:textId="77777777" w:rsidR="00DF4861" w:rsidRPr="00817818" w:rsidRDefault="00DF4861" w:rsidP="00DF4861">
      <w:pPr>
        <w:spacing w:after="0" w:line="240" w:lineRule="auto"/>
        <w:jc w:val="both"/>
        <w:rPr>
          <w:rFonts w:ascii="Verdana" w:eastAsia="Geomanist Light" w:hAnsi="Verdana" w:cs="Arial"/>
          <w:color w:val="000000" w:themeColor="text1"/>
          <w:sz w:val="20"/>
          <w:szCs w:val="20"/>
        </w:rPr>
      </w:pPr>
      <w:r w:rsidRPr="00817818">
        <w:rPr>
          <w:rFonts w:ascii="Verdana" w:hAnsi="Verdana" w:cs="Arial"/>
          <w:bCs/>
          <w:sz w:val="20"/>
          <w:szCs w:val="20"/>
          <w:lang w:eastAsia="es-CO"/>
        </w:rPr>
        <w:t xml:space="preserve">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En esta línea, el parágrafo primero del artículo 37 dispone: </w:t>
      </w:r>
      <w:r>
        <w:rPr>
          <w:rFonts w:ascii="Verdana" w:hAnsi="Verdana" w:cs="Arial"/>
          <w:bCs/>
          <w:sz w:val="18"/>
          <w:szCs w:val="18"/>
          <w:lang w:eastAsia="es-CO"/>
        </w:rPr>
        <w:t>“</w:t>
      </w:r>
      <w:r w:rsidRPr="00817818">
        <w:rPr>
          <w:rFonts w:ascii="Verdana" w:hAnsi="Verdana" w:cs="Arial"/>
          <w:bCs/>
          <w:sz w:val="20"/>
          <w:szCs w:val="20"/>
          <w:lang w:eastAsia="es-CO"/>
        </w:rPr>
        <w:t xml:space="preserve">La ejecución de proyectos de </w:t>
      </w:r>
      <w:proofErr w:type="spellStart"/>
      <w:r w:rsidRPr="00817818">
        <w:rPr>
          <w:rFonts w:ascii="Verdana" w:hAnsi="Verdana" w:cs="Arial"/>
          <w:bCs/>
          <w:sz w:val="20"/>
          <w:szCs w:val="20"/>
          <w:lang w:eastAsia="es-CO"/>
        </w:rPr>
        <w:t>que</w:t>
      </w:r>
      <w:proofErr w:type="spellEnd"/>
      <w:r w:rsidRPr="00817818">
        <w:rPr>
          <w:rFonts w:ascii="Verdana" w:hAnsi="Verdana" w:cs="Arial"/>
          <w:bCs/>
          <w:sz w:val="20"/>
          <w:szCs w:val="20"/>
          <w:lang w:eastAsia="es-CO"/>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bCs/>
          <w:sz w:val="20"/>
          <w:szCs w:val="20"/>
          <w:lang w:eastAsia="es-CO"/>
        </w:rPr>
        <w:t>”</w:t>
      </w:r>
      <w:r w:rsidRPr="00817818">
        <w:rPr>
          <w:rFonts w:ascii="Verdana" w:hAnsi="Verdana" w:cs="Arial"/>
          <w:bCs/>
          <w:sz w:val="20"/>
          <w:szCs w:val="20"/>
          <w:lang w:eastAsia="es-CO"/>
        </w:rPr>
        <w:t>. A partir de esta norma, el ejecutor de los proyectos de 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w:t>
      </w:r>
    </w:p>
    <w:p w14:paraId="4503031B" w14:textId="77777777" w:rsidR="00DF4861" w:rsidRDefault="00DF4861" w:rsidP="00EB1201">
      <w:pPr>
        <w:spacing w:after="0" w:line="240" w:lineRule="auto"/>
        <w:rPr>
          <w:rFonts w:ascii="Verdana" w:eastAsia="Geomanist Light" w:hAnsi="Verdana" w:cs="Arial"/>
          <w:color w:val="000000" w:themeColor="text1"/>
          <w:lang w:val="es-MX"/>
        </w:rPr>
      </w:pPr>
    </w:p>
    <w:p w14:paraId="170ECB26" w14:textId="77777777" w:rsidR="00DF4861" w:rsidRDefault="00DF4861" w:rsidP="00EB1201">
      <w:pPr>
        <w:spacing w:after="0" w:line="240" w:lineRule="auto"/>
        <w:rPr>
          <w:rFonts w:ascii="Verdana" w:eastAsia="Geomanist Light" w:hAnsi="Verdana" w:cs="Arial"/>
          <w:color w:val="000000" w:themeColor="text1"/>
          <w:lang w:val="es-MX"/>
        </w:rPr>
      </w:pPr>
    </w:p>
    <w:p w14:paraId="2A79AAB7" w14:textId="77777777" w:rsidR="00DF4861" w:rsidRDefault="00DF4861" w:rsidP="00EB1201">
      <w:pPr>
        <w:spacing w:after="0" w:line="240" w:lineRule="auto"/>
        <w:rPr>
          <w:rFonts w:ascii="Verdana" w:eastAsia="Geomanist Light" w:hAnsi="Verdana" w:cs="Arial"/>
          <w:color w:val="000000" w:themeColor="text1"/>
          <w:lang w:val="es-MX"/>
        </w:rPr>
      </w:pPr>
    </w:p>
    <w:p w14:paraId="70501B33" w14:textId="77777777" w:rsidR="00DF4861" w:rsidRDefault="00DF4861" w:rsidP="00EB1201">
      <w:pPr>
        <w:spacing w:after="0" w:line="240" w:lineRule="auto"/>
        <w:rPr>
          <w:rFonts w:ascii="Verdana" w:eastAsia="Geomanist Light" w:hAnsi="Verdana" w:cs="Arial"/>
          <w:color w:val="000000" w:themeColor="text1"/>
          <w:lang w:val="es-MX"/>
        </w:rPr>
      </w:pPr>
    </w:p>
    <w:p w14:paraId="75BB6DCE" w14:textId="77777777" w:rsidR="00DF4861" w:rsidRDefault="00DF4861" w:rsidP="00EB1201">
      <w:pPr>
        <w:spacing w:after="0" w:line="240" w:lineRule="auto"/>
        <w:rPr>
          <w:rFonts w:ascii="Verdana" w:eastAsia="Geomanist Light" w:hAnsi="Verdana" w:cs="Arial"/>
          <w:color w:val="000000" w:themeColor="text1"/>
          <w:lang w:val="es-MX"/>
        </w:rPr>
      </w:pPr>
    </w:p>
    <w:p w14:paraId="20DC3C3F" w14:textId="77777777" w:rsidR="00DF4861" w:rsidRDefault="00DF4861" w:rsidP="00EB1201">
      <w:pPr>
        <w:spacing w:after="0" w:line="240" w:lineRule="auto"/>
        <w:rPr>
          <w:rFonts w:ascii="Verdana" w:eastAsia="Geomanist Light" w:hAnsi="Verdana" w:cs="Arial"/>
          <w:color w:val="000000" w:themeColor="text1"/>
          <w:lang w:val="es-MX"/>
        </w:rPr>
      </w:pPr>
    </w:p>
    <w:p w14:paraId="65810846" w14:textId="77777777" w:rsidR="00DF4861" w:rsidRDefault="00DF4861" w:rsidP="00EB1201">
      <w:pPr>
        <w:spacing w:after="0" w:line="240" w:lineRule="auto"/>
        <w:rPr>
          <w:rFonts w:ascii="Verdana" w:eastAsia="Geomanist Light" w:hAnsi="Verdana" w:cs="Arial"/>
          <w:color w:val="000000" w:themeColor="text1"/>
          <w:lang w:val="es-MX"/>
        </w:rPr>
      </w:pPr>
    </w:p>
    <w:p w14:paraId="58C6D3D0" w14:textId="77777777" w:rsidR="00DF4861" w:rsidRDefault="00DF4861" w:rsidP="00EB1201">
      <w:pPr>
        <w:spacing w:after="0" w:line="240" w:lineRule="auto"/>
        <w:rPr>
          <w:rFonts w:ascii="Verdana" w:eastAsia="Geomanist Light" w:hAnsi="Verdana" w:cs="Arial"/>
          <w:color w:val="000000" w:themeColor="text1"/>
          <w:lang w:val="es-MX"/>
        </w:rPr>
      </w:pPr>
    </w:p>
    <w:p w14:paraId="6E645575" w14:textId="77777777" w:rsidR="00DF4861" w:rsidRDefault="00DF4861" w:rsidP="00EB1201">
      <w:pPr>
        <w:spacing w:after="0" w:line="240" w:lineRule="auto"/>
        <w:rPr>
          <w:rFonts w:ascii="Verdana" w:eastAsia="Geomanist Light" w:hAnsi="Verdana" w:cs="Arial"/>
          <w:color w:val="000000" w:themeColor="text1"/>
          <w:lang w:val="es-MX"/>
        </w:rPr>
      </w:pPr>
    </w:p>
    <w:p w14:paraId="25F48D94" w14:textId="77777777" w:rsidR="00DF4861" w:rsidRDefault="00DF4861" w:rsidP="00EB1201">
      <w:pPr>
        <w:spacing w:after="0" w:line="240" w:lineRule="auto"/>
        <w:rPr>
          <w:rFonts w:ascii="Verdana" w:eastAsia="Geomanist Light" w:hAnsi="Verdana" w:cs="Arial"/>
          <w:color w:val="000000" w:themeColor="text1"/>
          <w:lang w:val="es-MX"/>
        </w:rPr>
      </w:pPr>
    </w:p>
    <w:p w14:paraId="31829FD7" w14:textId="77777777" w:rsidR="00DF4861" w:rsidRDefault="00DF4861" w:rsidP="00EB1201">
      <w:pPr>
        <w:spacing w:after="0" w:line="240" w:lineRule="auto"/>
        <w:rPr>
          <w:rFonts w:ascii="Verdana" w:eastAsia="Geomanist Light" w:hAnsi="Verdana" w:cs="Arial"/>
          <w:color w:val="000000" w:themeColor="text1"/>
          <w:lang w:val="es-MX"/>
        </w:rPr>
      </w:pPr>
    </w:p>
    <w:p w14:paraId="1B66F552" w14:textId="77777777" w:rsidR="00DF4861" w:rsidRDefault="00DF4861" w:rsidP="00EB1201">
      <w:pPr>
        <w:spacing w:after="0" w:line="240" w:lineRule="auto"/>
        <w:rPr>
          <w:rFonts w:ascii="Verdana" w:eastAsia="Geomanist Light" w:hAnsi="Verdana" w:cs="Arial"/>
          <w:color w:val="000000" w:themeColor="text1"/>
          <w:lang w:val="es-MX"/>
        </w:rPr>
      </w:pPr>
    </w:p>
    <w:p w14:paraId="7CFFAAE3" w14:textId="77777777" w:rsidR="00DF4861" w:rsidRDefault="00DF4861" w:rsidP="00EB1201">
      <w:pPr>
        <w:spacing w:after="0" w:line="240" w:lineRule="auto"/>
        <w:rPr>
          <w:rFonts w:ascii="Verdana" w:eastAsia="Geomanist Light" w:hAnsi="Verdana" w:cs="Arial"/>
          <w:color w:val="000000" w:themeColor="text1"/>
          <w:lang w:val="es-MX"/>
        </w:rPr>
      </w:pPr>
    </w:p>
    <w:p w14:paraId="2E2BC13C" w14:textId="77777777" w:rsidR="00DF4861" w:rsidRDefault="00DF4861" w:rsidP="00EB1201">
      <w:pPr>
        <w:spacing w:after="0" w:line="240" w:lineRule="auto"/>
        <w:rPr>
          <w:rFonts w:ascii="Verdana" w:eastAsia="Geomanist Light" w:hAnsi="Verdana" w:cs="Arial"/>
          <w:color w:val="000000" w:themeColor="text1"/>
          <w:lang w:val="es-MX"/>
        </w:rPr>
      </w:pPr>
    </w:p>
    <w:p w14:paraId="57F33CD9" w14:textId="77777777" w:rsidR="00DF4861" w:rsidRDefault="00DF4861" w:rsidP="00EB1201">
      <w:pPr>
        <w:spacing w:after="0" w:line="240" w:lineRule="auto"/>
        <w:rPr>
          <w:rFonts w:ascii="Verdana" w:eastAsia="Geomanist Light" w:hAnsi="Verdana" w:cs="Arial"/>
          <w:color w:val="000000" w:themeColor="text1"/>
          <w:lang w:val="es-MX"/>
        </w:rPr>
      </w:pPr>
    </w:p>
    <w:p w14:paraId="200EE9CA" w14:textId="77777777" w:rsidR="00DF4861" w:rsidRDefault="00DF4861" w:rsidP="00EB1201">
      <w:pPr>
        <w:spacing w:after="0" w:line="240" w:lineRule="auto"/>
        <w:rPr>
          <w:rFonts w:ascii="Verdana" w:eastAsia="Geomanist Light" w:hAnsi="Verdana" w:cs="Arial"/>
          <w:color w:val="000000" w:themeColor="text1"/>
          <w:lang w:val="es-MX"/>
        </w:rPr>
      </w:pPr>
    </w:p>
    <w:p w14:paraId="63FF9CCB" w14:textId="77777777" w:rsidR="00DF4861" w:rsidRDefault="00DF4861" w:rsidP="00EB1201">
      <w:pPr>
        <w:spacing w:after="0" w:line="240" w:lineRule="auto"/>
        <w:rPr>
          <w:rFonts w:ascii="Verdana" w:eastAsia="Geomanist Light" w:hAnsi="Verdana" w:cs="Arial"/>
          <w:color w:val="000000" w:themeColor="text1"/>
          <w:lang w:val="es-MX"/>
        </w:rPr>
      </w:pPr>
    </w:p>
    <w:p w14:paraId="05B18540" w14:textId="77777777" w:rsidR="00DF4861" w:rsidRDefault="00DF4861" w:rsidP="00EB1201">
      <w:pPr>
        <w:spacing w:after="0" w:line="240" w:lineRule="auto"/>
        <w:rPr>
          <w:rFonts w:ascii="Verdana" w:eastAsia="Geomanist Light" w:hAnsi="Verdana" w:cs="Arial"/>
          <w:color w:val="000000" w:themeColor="text1"/>
          <w:lang w:val="es-MX"/>
        </w:rPr>
      </w:pPr>
    </w:p>
    <w:p w14:paraId="0B7E5F64" w14:textId="774BB355" w:rsidR="00EB1201" w:rsidRPr="00593A5F" w:rsidRDefault="00EB1201" w:rsidP="00EB1201">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9D0E38" w:rsidRPr="009D0E38">
        <w:rPr>
          <w:rFonts w:ascii="Verdana" w:eastAsia="Geomanist Light" w:hAnsi="Verdana" w:cs="Arial"/>
          <w:color w:val="201F1E"/>
          <w:lang w:val="es-MX"/>
        </w:rPr>
        <w:t>09 de Diciembre de 2024</w:t>
      </w:r>
    </w:p>
    <w:p w14:paraId="0A1E2EC3" w14:textId="77777777" w:rsidR="00EB1201" w:rsidRDefault="00EB1201" w:rsidP="00EB1201">
      <w:pPr>
        <w:spacing w:after="0" w:line="240" w:lineRule="auto"/>
        <w:jc w:val="both"/>
        <w:rPr>
          <w:rFonts w:ascii="Verdana" w:eastAsia="Calibri" w:hAnsi="Verdana" w:cs="Arial"/>
          <w:color w:val="000000"/>
          <w:lang w:val="es-ES"/>
        </w:rPr>
      </w:pPr>
    </w:p>
    <w:p w14:paraId="42F4A17E" w14:textId="63F8E421" w:rsidR="00EB1201" w:rsidRDefault="009D0E38" w:rsidP="009D0E38">
      <w:pPr>
        <w:spacing w:after="0" w:line="240" w:lineRule="auto"/>
        <w:jc w:val="right"/>
        <w:rPr>
          <w:rFonts w:ascii="Verdana" w:eastAsia="Calibri" w:hAnsi="Verdana" w:cs="Arial"/>
          <w:color w:val="000000"/>
          <w:lang w:val="es-ES"/>
        </w:rPr>
      </w:pPr>
      <w:r w:rsidRPr="009D0E38">
        <w:rPr>
          <w:rFonts w:ascii="Verdana" w:eastAsia="Calibri" w:hAnsi="Verdana" w:cs="Arial"/>
          <w:noProof/>
          <w:color w:val="000000"/>
          <w:lang w:val="es-ES"/>
        </w:rPr>
        <w:drawing>
          <wp:inline distT="0" distB="0" distL="0" distR="0" wp14:anchorId="5E54B6C1" wp14:editId="72F3F21C">
            <wp:extent cx="3238500" cy="901700"/>
            <wp:effectExtent l="0" t="0" r="0" b="0"/>
            <wp:docPr id="10806098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09896" name=""/>
                    <pic:cNvPicPr/>
                  </pic:nvPicPr>
                  <pic:blipFill>
                    <a:blip r:embed="rId10"/>
                    <a:stretch>
                      <a:fillRect/>
                    </a:stretch>
                  </pic:blipFill>
                  <pic:spPr>
                    <a:xfrm>
                      <a:off x="0" y="0"/>
                      <a:ext cx="3238500" cy="901700"/>
                    </a:xfrm>
                    <a:prstGeom prst="rect">
                      <a:avLst/>
                    </a:prstGeom>
                  </pic:spPr>
                </pic:pic>
              </a:graphicData>
            </a:graphic>
          </wp:inline>
        </w:drawing>
      </w:r>
    </w:p>
    <w:p w14:paraId="6FBAC989" w14:textId="77777777" w:rsidR="009D0E38" w:rsidRPr="00593A5F" w:rsidRDefault="009D0E38" w:rsidP="00EB1201">
      <w:pPr>
        <w:spacing w:after="0" w:line="240" w:lineRule="auto"/>
        <w:jc w:val="both"/>
        <w:rPr>
          <w:rFonts w:ascii="Verdana" w:eastAsia="Calibri" w:hAnsi="Verdana" w:cs="Arial"/>
          <w:color w:val="000000"/>
          <w:lang w:val="es-ES"/>
        </w:rPr>
      </w:pPr>
    </w:p>
    <w:p w14:paraId="3DE43085" w14:textId="77777777" w:rsidR="00EB1201" w:rsidRPr="00B96799" w:rsidRDefault="00EB1201" w:rsidP="00EB1201">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76263EAC" w14:textId="77777777" w:rsidR="00EB1201" w:rsidRPr="00B61A2E" w:rsidRDefault="00EB1201" w:rsidP="00EB1201">
      <w:pPr>
        <w:spacing w:after="0" w:line="240" w:lineRule="auto"/>
        <w:rPr>
          <w:rFonts w:ascii="Verdana" w:eastAsia="Calibri" w:hAnsi="Verdana" w:cs="Arial"/>
          <w:b/>
          <w:lang w:val="es-ES_tradnl" w:eastAsia="es-ES_tradnl"/>
        </w:rPr>
      </w:pPr>
      <w:r w:rsidRPr="00B61A2E">
        <w:rPr>
          <w:rFonts w:ascii="Verdana" w:eastAsia="Calibri" w:hAnsi="Verdana" w:cs="Arial"/>
          <w:b/>
          <w:lang w:val="es-ES_tradnl" w:eastAsia="es-ES_tradnl"/>
        </w:rPr>
        <w:t>Juan José</w:t>
      </w:r>
      <w:r>
        <w:rPr>
          <w:rFonts w:ascii="Verdana" w:eastAsia="Calibri" w:hAnsi="Verdana" w:cs="Arial"/>
          <w:b/>
          <w:lang w:val="es-ES_tradnl" w:eastAsia="es-ES_tradnl"/>
        </w:rPr>
        <w:t xml:space="preserve"> </w:t>
      </w:r>
      <w:r w:rsidRPr="00B61A2E">
        <w:rPr>
          <w:rFonts w:ascii="Verdana" w:eastAsia="Calibri" w:hAnsi="Verdana" w:cs="Arial"/>
          <w:b/>
          <w:lang w:val="es-ES_tradnl" w:eastAsia="es-ES_tradnl"/>
        </w:rPr>
        <w:t>Rodríguez</w:t>
      </w:r>
      <w:r w:rsidRPr="001B55F4">
        <w:rPr>
          <w:rFonts w:ascii="Verdana" w:eastAsia="Calibri" w:hAnsi="Verdana" w:cs="Arial"/>
          <w:b/>
          <w:lang w:val="es-ES_tradnl" w:eastAsia="es-ES_tradnl"/>
        </w:rPr>
        <w:t xml:space="preserve"> </w:t>
      </w:r>
    </w:p>
    <w:p w14:paraId="343F3CF4" w14:textId="77777777" w:rsidR="00EB1201" w:rsidRPr="00B61A2E" w:rsidRDefault="00EB1201" w:rsidP="00EB1201">
      <w:pPr>
        <w:spacing w:after="0" w:line="240" w:lineRule="auto"/>
        <w:rPr>
          <w:rFonts w:ascii="Verdana" w:hAnsi="Verdana"/>
        </w:rPr>
      </w:pPr>
      <w:hyperlink r:id="rId11" w:history="1">
        <w:r w:rsidRPr="00621C5C">
          <w:rPr>
            <w:rStyle w:val="Hipervnculo"/>
            <w:rFonts w:ascii="Verdana" w:hAnsi="Verdana"/>
          </w:rPr>
          <w:t>jota.94.sr@gmail.com</w:t>
        </w:r>
      </w:hyperlink>
      <w:r>
        <w:rPr>
          <w:rFonts w:ascii="Verdana" w:hAnsi="Verdana"/>
        </w:rPr>
        <w:t xml:space="preserve"> </w:t>
      </w:r>
      <w:r w:rsidRPr="00B61A2E">
        <w:rPr>
          <w:rFonts w:ascii="Verdana" w:hAnsi="Verdana"/>
        </w:rPr>
        <w:t xml:space="preserve"> </w:t>
      </w:r>
    </w:p>
    <w:p w14:paraId="791228D7" w14:textId="77777777" w:rsidR="00EB1201" w:rsidRDefault="00EB1201" w:rsidP="00EB1201">
      <w:pPr>
        <w:spacing w:after="0" w:line="240" w:lineRule="auto"/>
        <w:rPr>
          <w:rFonts w:ascii="Verdana" w:eastAsia="Calibri" w:hAnsi="Verdana" w:cs="Arial"/>
          <w:lang w:val="es-ES" w:eastAsia="es-ES"/>
        </w:rPr>
      </w:pPr>
      <w:r w:rsidRPr="00B61A2E">
        <w:rPr>
          <w:rFonts w:ascii="Verdana" w:eastAsia="Calibri" w:hAnsi="Verdana" w:cs="Arial"/>
          <w:lang w:val="es-ES" w:eastAsia="es-ES"/>
        </w:rPr>
        <w:t>Bogotá D.C.</w:t>
      </w:r>
      <w:r>
        <w:rPr>
          <w:rFonts w:ascii="Verdana" w:eastAsia="Calibri" w:hAnsi="Verdana" w:cs="Arial"/>
          <w:lang w:val="es-ES" w:eastAsia="es-ES"/>
        </w:rPr>
        <w:t xml:space="preserve"> </w:t>
      </w:r>
    </w:p>
    <w:p w14:paraId="48B5B5E4" w14:textId="77777777" w:rsidR="00EB1201" w:rsidRPr="00593A5F" w:rsidRDefault="00EB1201" w:rsidP="00EB1201">
      <w:pPr>
        <w:spacing w:after="0" w:line="240" w:lineRule="auto"/>
        <w:rPr>
          <w:rFonts w:ascii="Verdana" w:eastAsia="Calibri" w:hAnsi="Verdana" w:cs="Arial"/>
          <w:b/>
          <w:bCs/>
          <w:color w:val="000000"/>
          <w:lang w:val="es-ES_tradnl" w:eastAsia="es-ES_tradnl"/>
        </w:rPr>
      </w:pPr>
    </w:p>
    <w:p w14:paraId="7E0FDA58" w14:textId="77777777" w:rsidR="00EB1201" w:rsidRPr="00593A5F" w:rsidRDefault="00EB1201" w:rsidP="00EB120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B1201" w:rsidRPr="00593A5F" w14:paraId="1D2127E8" w14:textId="77777777" w:rsidTr="000D5111">
        <w:trPr>
          <w:trHeight w:val="884"/>
        </w:trPr>
        <w:tc>
          <w:tcPr>
            <w:tcW w:w="2689" w:type="dxa"/>
          </w:tcPr>
          <w:p w14:paraId="41385F19" w14:textId="77777777" w:rsidR="00EB1201" w:rsidRPr="00C00976" w:rsidRDefault="00EB1201" w:rsidP="000D5111">
            <w:pPr>
              <w:jc w:val="both"/>
              <w:rPr>
                <w:rFonts w:ascii="Verdana" w:eastAsia="Calibri" w:hAnsi="Verdana" w:cs="Arial"/>
                <w:b/>
                <w:bCs/>
                <w:color w:val="7030A0"/>
                <w:lang w:val="es-ES_tradnl" w:eastAsia="es-ES_tradnl"/>
              </w:rPr>
            </w:pPr>
          </w:p>
        </w:tc>
        <w:tc>
          <w:tcPr>
            <w:tcW w:w="6100" w:type="dxa"/>
          </w:tcPr>
          <w:p w14:paraId="2AA528F6" w14:textId="61313BA6" w:rsidR="00EB1201" w:rsidRPr="00C00976" w:rsidRDefault="00EB1201" w:rsidP="000D511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100FB3">
              <w:rPr>
                <w:rFonts w:ascii="Verdana" w:eastAsia="Calibri" w:hAnsi="Verdana" w:cs="Arial"/>
                <w:b/>
                <w:bCs/>
                <w:lang w:val="es-ES" w:eastAsia="es-ES"/>
              </w:rPr>
              <w:t>918</w:t>
            </w:r>
            <w:r w:rsidRPr="008E6AD9">
              <w:rPr>
                <w:rFonts w:ascii="Verdana" w:eastAsia="Calibri" w:hAnsi="Verdana" w:cs="Arial"/>
                <w:b/>
                <w:bCs/>
                <w:lang w:val="es-ES" w:eastAsia="es-ES"/>
              </w:rPr>
              <w:t xml:space="preserve"> de 2024</w:t>
            </w:r>
          </w:p>
        </w:tc>
      </w:tr>
      <w:tr w:rsidR="00EB1201" w:rsidRPr="00593A5F" w14:paraId="34A19849" w14:textId="77777777" w:rsidTr="000D5111">
        <w:trPr>
          <w:trHeight w:val="884"/>
        </w:trPr>
        <w:tc>
          <w:tcPr>
            <w:tcW w:w="2689" w:type="dxa"/>
          </w:tcPr>
          <w:p w14:paraId="1C04AE26" w14:textId="77777777" w:rsidR="00EB1201" w:rsidRPr="00593A5F" w:rsidRDefault="00EB1201" w:rsidP="000D511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r w:rsidRPr="00593A5F">
              <w:rPr>
                <w:rFonts w:ascii="Verdana" w:eastAsia="Calibri" w:hAnsi="Verdana" w:cs="Arial"/>
                <w:color w:val="000000"/>
                <w:lang w:val="es-ES_tradnl" w:eastAsia="es-ES_tradnl"/>
              </w:rPr>
              <w:t xml:space="preserve"> </w:t>
            </w:r>
          </w:p>
        </w:tc>
        <w:tc>
          <w:tcPr>
            <w:tcW w:w="6100" w:type="dxa"/>
          </w:tcPr>
          <w:p w14:paraId="7A99AA7D" w14:textId="77777777" w:rsidR="00EB1201" w:rsidRPr="00A11406" w:rsidRDefault="00EB1201" w:rsidP="000D5111">
            <w:pPr>
              <w:spacing w:line="276" w:lineRule="auto"/>
              <w:jc w:val="both"/>
              <w:rPr>
                <w:rFonts w:ascii="Verdana" w:eastAsia="Calibri" w:hAnsi="Verdana" w:cs="Arial"/>
                <w:lang w:val="es-ES" w:eastAsia="es-ES"/>
              </w:rPr>
            </w:pPr>
            <w:r w:rsidRPr="00817818">
              <w:rPr>
                <w:rFonts w:ascii="Verdana" w:eastAsia="Calibri" w:hAnsi="Verdana" w:cs="Arial"/>
                <w:lang w:val="es-ES" w:eastAsia="es-ES"/>
              </w:rPr>
              <w:t>SISTEMA GENERAL DE REGALÍAS – Fundamento normativo – Acto Legislativo 01 de 2019</w:t>
            </w:r>
            <w:r>
              <w:rPr>
                <w:rFonts w:ascii="Verdana" w:eastAsia="Calibri" w:hAnsi="Verdana" w:cs="Arial"/>
                <w:lang w:val="es-ES" w:eastAsia="es-ES"/>
              </w:rPr>
              <w:t xml:space="preserve"> / </w:t>
            </w:r>
            <w:r w:rsidRPr="00817818">
              <w:rPr>
                <w:rFonts w:ascii="Verdana" w:eastAsia="Calibri" w:hAnsi="Verdana" w:cs="Arial"/>
                <w:lang w:val="es-ES" w:eastAsia="es-ES"/>
              </w:rPr>
              <w:t>SISTEMA GENERAL DE REGALÍAS – Ley 2056 de 2020 – Finalidad – Objeto</w:t>
            </w:r>
            <w:r>
              <w:rPr>
                <w:rFonts w:ascii="Verdana" w:eastAsia="Calibri" w:hAnsi="Verdana" w:cs="Arial"/>
                <w:lang w:val="es-ES" w:eastAsia="es-ES"/>
              </w:rPr>
              <w:t xml:space="preserve"> / </w:t>
            </w:r>
            <w:r w:rsidRPr="00817818">
              <w:rPr>
                <w:rFonts w:ascii="Verdana" w:eastAsia="Calibri" w:hAnsi="Verdana" w:cs="Arial"/>
                <w:lang w:val="es-ES" w:eastAsia="es-ES"/>
              </w:rPr>
              <w:t xml:space="preserve">RÉGIMEN CONTRACTUAL – Entidades ejecutoras – Aplicación del Estatuto General de Contratación de la Administración Pública  </w:t>
            </w:r>
            <w:r>
              <w:rPr>
                <w:rFonts w:ascii="Verdana" w:eastAsia="Calibri" w:hAnsi="Verdana" w:cs="Arial"/>
                <w:lang w:val="es-ES" w:eastAsia="es-ES"/>
              </w:rPr>
              <w:t xml:space="preserve">  </w:t>
            </w:r>
            <w:r w:rsidRPr="00B6323A">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42E7092" w14:textId="77777777" w:rsidR="00EB1201" w:rsidRPr="00593A5F" w:rsidRDefault="00EB1201" w:rsidP="000D511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B1201" w:rsidRPr="008E6AD9" w14:paraId="59335EC3" w14:textId="77777777" w:rsidTr="000D5111">
        <w:tc>
          <w:tcPr>
            <w:tcW w:w="2689" w:type="dxa"/>
          </w:tcPr>
          <w:p w14:paraId="365BFD1D" w14:textId="77777777" w:rsidR="00EB1201" w:rsidRPr="008E6AD9" w:rsidRDefault="00EB1201" w:rsidP="000D511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20A1E27" w14:textId="77777777" w:rsidR="00EB1201" w:rsidRPr="008E6AD9" w:rsidRDefault="00EB1201" w:rsidP="000D5111">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B61A2E">
              <w:rPr>
                <w:rFonts w:ascii="Verdana" w:eastAsia="Calibri" w:hAnsi="Verdana" w:cs="Arial"/>
                <w:lang w:val="es-ES_tradnl" w:eastAsia="es-ES_tradnl"/>
              </w:rPr>
              <w:t>P20241122011812</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2C73935" w14:textId="77777777" w:rsidR="00EB1201" w:rsidRPr="00593A5F" w:rsidRDefault="00EB1201" w:rsidP="00EB1201">
      <w:pPr>
        <w:spacing w:after="0" w:line="240" w:lineRule="auto"/>
        <w:jc w:val="both"/>
        <w:rPr>
          <w:rFonts w:ascii="Verdana" w:eastAsia="Calibri" w:hAnsi="Verdana" w:cs="Arial"/>
          <w:color w:val="000000"/>
          <w:lang w:val="es-ES_tradnl" w:eastAsia="es-ES_tradnl"/>
        </w:rPr>
      </w:pPr>
    </w:p>
    <w:p w14:paraId="4FEA72FB" w14:textId="77777777" w:rsidR="00EB1201" w:rsidRPr="00593A5F" w:rsidRDefault="00EB1201" w:rsidP="00EB1201">
      <w:pPr>
        <w:spacing w:after="0" w:line="240" w:lineRule="auto"/>
        <w:jc w:val="both"/>
        <w:rPr>
          <w:rFonts w:ascii="Verdana" w:eastAsia="Calibri" w:hAnsi="Verdana" w:cs="Arial"/>
          <w:color w:val="000000"/>
          <w:lang w:val="es-ES_tradnl" w:eastAsia="es-ES_tradnl"/>
        </w:rPr>
      </w:pPr>
    </w:p>
    <w:p w14:paraId="7049E105" w14:textId="77777777" w:rsidR="00EB1201" w:rsidRPr="008E6AD9" w:rsidRDefault="00EB1201" w:rsidP="00EB120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B61A2E">
        <w:rPr>
          <w:rFonts w:ascii="Verdana" w:eastAsia="Calibri" w:hAnsi="Verdana" w:cs="Arial"/>
          <w:lang w:val="es-ES" w:eastAsia="es-ES"/>
        </w:rPr>
        <w:t>Rodríguez</w:t>
      </w:r>
      <w:r w:rsidRPr="008E6AD9">
        <w:rPr>
          <w:rFonts w:ascii="Verdana" w:eastAsia="Calibri" w:hAnsi="Verdana" w:cs="Arial"/>
          <w:lang w:val="es-ES" w:eastAsia="es-ES"/>
        </w:rPr>
        <w:t xml:space="preserve">: </w:t>
      </w:r>
    </w:p>
    <w:p w14:paraId="5D4A74DA" w14:textId="77777777" w:rsidR="00EB1201" w:rsidRDefault="00EB1201" w:rsidP="00EB120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C71A897" w14:textId="77777777" w:rsidR="00EB1201" w:rsidRPr="00593A5F" w:rsidRDefault="00EB1201" w:rsidP="00EB120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20 de noviembre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realizada a la Contraloría General de la República</w:t>
      </w:r>
      <w:r w:rsidRPr="008E6AD9">
        <w:rPr>
          <w:rFonts w:ascii="Verdana" w:eastAsia="Calibri" w:hAnsi="Verdana" w:cs="Arial"/>
          <w:lang w:val="es-ES" w:eastAsia="es-ES"/>
        </w:rPr>
        <w:t>,</w:t>
      </w:r>
      <w:r>
        <w:rPr>
          <w:rFonts w:ascii="Verdana" w:eastAsia="Calibri" w:hAnsi="Verdana" w:cs="Arial"/>
          <w:lang w:val="es-ES" w:eastAsia="es-ES"/>
        </w:rPr>
        <w:t xml:space="preserve"> la cual –conforme al artículo 21 de la Ley 1437 de 2011– fue remitida por competencia a esta entidad mediante correo electrónico del 22 de noviembre de 2024, y </w:t>
      </w:r>
      <w:r w:rsidRPr="008E6AD9">
        <w:rPr>
          <w:rFonts w:ascii="Verdana" w:eastAsia="Calibri" w:hAnsi="Verdana" w:cs="Arial"/>
          <w:lang w:val="es-ES" w:eastAsia="es-ES"/>
        </w:rPr>
        <w:t xml:space="preserve">en la </w:t>
      </w:r>
      <w:r>
        <w:rPr>
          <w:rFonts w:ascii="Verdana" w:eastAsia="Calibri" w:hAnsi="Verdana" w:cs="Arial"/>
          <w:lang w:val="es-ES" w:eastAsia="es-ES"/>
        </w:rPr>
        <w:t>que pregunta lo siguiente</w:t>
      </w:r>
      <w:r w:rsidRPr="008E6AD9">
        <w:rPr>
          <w:rFonts w:ascii="Verdana" w:eastAsia="Calibri" w:hAnsi="Verdana" w:cs="Arial"/>
          <w:lang w:val="es-ES" w:eastAsia="es-ES"/>
        </w:rPr>
        <w:t xml:space="preserve">: </w:t>
      </w:r>
    </w:p>
    <w:p w14:paraId="7F5D50B7" w14:textId="77777777" w:rsidR="00EB1201" w:rsidRPr="00272A7B" w:rsidRDefault="00EB1201" w:rsidP="00E60431">
      <w:pPr>
        <w:pStyle w:val="Prrafodelista"/>
        <w:tabs>
          <w:tab w:val="left" w:pos="142"/>
          <w:tab w:val="left" w:pos="284"/>
        </w:tabs>
        <w:spacing w:after="0" w:line="276" w:lineRule="auto"/>
        <w:ind w:left="0"/>
        <w:jc w:val="both"/>
        <w:rPr>
          <w:rFonts w:ascii="Verdana" w:eastAsia="Century Gothic" w:hAnsi="Verdana" w:cs="Century Gothic"/>
          <w:b/>
          <w:bCs/>
        </w:rPr>
      </w:pPr>
    </w:p>
    <w:p w14:paraId="39EE6E99" w14:textId="77777777" w:rsidR="00EB1201" w:rsidRPr="00DD57FE" w:rsidRDefault="00EB1201" w:rsidP="00EB1201">
      <w:pPr>
        <w:spacing w:after="0" w:line="240" w:lineRule="auto"/>
        <w:ind w:left="709" w:right="709"/>
        <w:jc w:val="both"/>
        <w:rPr>
          <w:rFonts w:ascii="Verdana" w:eastAsia="Century Gothic" w:hAnsi="Verdana" w:cs="Century Gothic"/>
          <w:sz w:val="21"/>
          <w:szCs w:val="21"/>
          <w:lang w:val="es-ES"/>
        </w:rPr>
      </w:pPr>
      <w:bookmarkStart w:id="0" w:name="_Hlk95313578"/>
      <w:r w:rsidRPr="00DD57FE">
        <w:rPr>
          <w:rFonts w:ascii="Verdana" w:eastAsia="Century Gothic" w:hAnsi="Verdana" w:cs="Century Gothic"/>
          <w:sz w:val="21"/>
          <w:szCs w:val="21"/>
          <w:lang w:val="es-ES"/>
        </w:rPr>
        <w:lastRenderedPageBreak/>
        <w:t>“</w:t>
      </w:r>
      <w:bookmarkEnd w:id="0"/>
      <w:r w:rsidRPr="00DD57FE">
        <w:rPr>
          <w:rFonts w:ascii="Verdana" w:eastAsia="Century Gothic" w:hAnsi="Verdana" w:cs="Century Gothic"/>
          <w:sz w:val="21"/>
          <w:szCs w:val="21"/>
          <w:lang w:val="es-ES"/>
        </w:rPr>
        <w:t>¿Una en</w:t>
      </w:r>
      <w:r w:rsidRPr="00DD57FE">
        <w:rPr>
          <w:rFonts w:ascii="Verdana" w:eastAsia="Century Gothic" w:hAnsi="Verdana" w:cs="Calibri"/>
          <w:sz w:val="21"/>
          <w:szCs w:val="21"/>
          <w:lang w:val="es-ES"/>
        </w:rPr>
        <w:t>ti</w:t>
      </w:r>
      <w:r w:rsidRPr="00DD57FE">
        <w:rPr>
          <w:rFonts w:ascii="Verdana" w:eastAsia="Century Gothic" w:hAnsi="Verdana" w:cs="Century Gothic"/>
          <w:sz w:val="21"/>
          <w:szCs w:val="21"/>
          <w:lang w:val="es-ES"/>
        </w:rPr>
        <w:t>dad estatal con régimen especial de contratación, que ha sido designada como en</w:t>
      </w:r>
      <w:r w:rsidRPr="00DD57FE">
        <w:rPr>
          <w:rFonts w:ascii="Verdana" w:eastAsia="Century Gothic" w:hAnsi="Verdana" w:cs="Calibri"/>
          <w:sz w:val="21"/>
          <w:szCs w:val="21"/>
          <w:lang w:val="es-ES"/>
        </w:rPr>
        <w:t>ti</w:t>
      </w:r>
      <w:r w:rsidRPr="00DD57FE">
        <w:rPr>
          <w:rFonts w:ascii="Verdana" w:eastAsia="Century Gothic" w:hAnsi="Verdana" w:cs="Century Gothic"/>
          <w:sz w:val="21"/>
          <w:szCs w:val="21"/>
          <w:lang w:val="es-ES"/>
        </w:rPr>
        <w:t>dad ejecutora de un proyecto de inversión financiado con recursos de regalías, para desarrollar dich</w:t>
      </w:r>
      <w:r>
        <w:rPr>
          <w:rFonts w:ascii="Verdana" w:eastAsia="Century Gothic" w:hAnsi="Verdana" w:cs="Century Gothic"/>
          <w:sz w:val="21"/>
          <w:szCs w:val="21"/>
          <w:lang w:val="es-ES"/>
        </w:rPr>
        <w:t>o</w:t>
      </w:r>
      <w:r w:rsidRPr="00DD57FE">
        <w:rPr>
          <w:rFonts w:ascii="Verdana" w:eastAsia="Century Gothic" w:hAnsi="Verdana" w:cs="Century Gothic"/>
          <w:sz w:val="21"/>
          <w:szCs w:val="21"/>
          <w:lang w:val="es-ES"/>
        </w:rPr>
        <w:t xml:space="preserve"> proyecto, la contratación, debe regirse por las disposiciones de la ley 80 de 1993, pese a ser una en</w:t>
      </w:r>
      <w:r w:rsidRPr="00DD57FE">
        <w:rPr>
          <w:rFonts w:ascii="Verdana" w:eastAsia="Century Gothic" w:hAnsi="Verdana" w:cs="Calibri"/>
          <w:sz w:val="21"/>
          <w:szCs w:val="21"/>
          <w:lang w:val="es-ES"/>
        </w:rPr>
        <w:t>ti</w:t>
      </w:r>
      <w:r w:rsidRPr="00DD57FE">
        <w:rPr>
          <w:rFonts w:ascii="Verdana" w:eastAsia="Century Gothic" w:hAnsi="Verdana" w:cs="Century Gothic"/>
          <w:sz w:val="21"/>
          <w:szCs w:val="21"/>
          <w:lang w:val="es-ES"/>
        </w:rPr>
        <w:t>dad con régimen contractual exceptuado?”.</w:t>
      </w:r>
    </w:p>
    <w:p w14:paraId="0B15AFA3" w14:textId="77777777" w:rsidR="00EB1201" w:rsidRPr="00990C98" w:rsidRDefault="00EB1201" w:rsidP="00EB1201">
      <w:pPr>
        <w:spacing w:after="0" w:line="276" w:lineRule="auto"/>
        <w:ind w:left="709" w:right="709"/>
        <w:jc w:val="both"/>
        <w:rPr>
          <w:rFonts w:ascii="Verdana" w:eastAsia="Century Gothic" w:hAnsi="Verdana" w:cs="Century Gothic"/>
          <w:lang w:val="es-ES"/>
        </w:rPr>
      </w:pPr>
    </w:p>
    <w:p w14:paraId="59FFC1B3" w14:textId="77777777" w:rsidR="00EB1201" w:rsidRPr="00A652FF" w:rsidRDefault="00EB1201" w:rsidP="00EB120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3B6E6CA" w14:textId="77777777" w:rsidR="00EB1201" w:rsidRDefault="00EB1201" w:rsidP="00EB120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AC0A966" w14:textId="77777777" w:rsidR="00EB1201" w:rsidRPr="00593A5F" w:rsidRDefault="00EB1201" w:rsidP="00EB1201">
      <w:pPr>
        <w:spacing w:after="0" w:line="276" w:lineRule="auto"/>
        <w:ind w:firstLine="709"/>
        <w:jc w:val="both"/>
        <w:rPr>
          <w:rFonts w:ascii="Verdana" w:eastAsia="Calibri" w:hAnsi="Verdana" w:cs="Arial"/>
          <w:color w:val="000000"/>
          <w:lang w:val="es-ES" w:eastAsia="es-ES"/>
        </w:rPr>
      </w:pPr>
    </w:p>
    <w:p w14:paraId="2C2F9BFA" w14:textId="77777777" w:rsidR="00EB1201" w:rsidRPr="00593A5F" w:rsidRDefault="00EB1201" w:rsidP="00EB120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97F8B34" w14:textId="77777777" w:rsidR="00EB1201" w:rsidRPr="00593A5F" w:rsidRDefault="00EB1201" w:rsidP="00EB1201">
      <w:pPr>
        <w:tabs>
          <w:tab w:val="left" w:pos="426"/>
        </w:tabs>
        <w:spacing w:after="0" w:line="276" w:lineRule="auto"/>
        <w:jc w:val="both"/>
        <w:rPr>
          <w:rFonts w:ascii="Verdana" w:eastAsia="Century Gothic" w:hAnsi="Verdana" w:cs="Century Gothic"/>
          <w:lang w:val="es-ES"/>
        </w:rPr>
      </w:pPr>
    </w:p>
    <w:p w14:paraId="6D0C2B5F" w14:textId="61683A4E" w:rsidR="00EB1201" w:rsidRPr="00593A5F" w:rsidRDefault="00EB1201" w:rsidP="00EB120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¿cuál es el régimen jurídico de los proyectos adelantados con cargo al Sistema General de Regalías?</w:t>
      </w:r>
    </w:p>
    <w:p w14:paraId="06E8C16B" w14:textId="77777777" w:rsidR="00EB1201" w:rsidRPr="004B140F" w:rsidRDefault="00EB1201" w:rsidP="00EB1201">
      <w:pPr>
        <w:spacing w:after="0" w:line="276" w:lineRule="auto"/>
        <w:jc w:val="both"/>
        <w:rPr>
          <w:rFonts w:ascii="Verdana" w:eastAsia="Calibri" w:hAnsi="Verdana" w:cs="Arial"/>
          <w:color w:val="7030A0"/>
        </w:rPr>
      </w:pPr>
    </w:p>
    <w:p w14:paraId="2A50DA8C" w14:textId="77777777" w:rsidR="00EB1201" w:rsidRPr="00593A5F" w:rsidRDefault="00EB1201" w:rsidP="00EB1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ADCFAEE" w14:textId="77777777" w:rsidR="00EB1201" w:rsidRPr="00593A5F" w:rsidRDefault="00EB1201" w:rsidP="00EB120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1201" w:rsidRPr="00593A5F" w14:paraId="4D78E522" w14:textId="77777777" w:rsidTr="000D5111">
        <w:trPr>
          <w:jc w:val="center"/>
        </w:trPr>
        <w:tc>
          <w:tcPr>
            <w:tcW w:w="8828" w:type="dxa"/>
            <w:shd w:val="clear" w:color="auto" w:fill="auto"/>
          </w:tcPr>
          <w:p w14:paraId="0A938702" w14:textId="77777777" w:rsidR="00EB1201" w:rsidRDefault="00EB1201" w:rsidP="000D5111">
            <w:pPr>
              <w:spacing w:after="120" w:line="276" w:lineRule="auto"/>
              <w:jc w:val="both"/>
              <w:rPr>
                <w:rFonts w:ascii="Verdana" w:eastAsia="Times New Roman" w:hAnsi="Verdana" w:cs="Arial"/>
                <w:kern w:val="2"/>
                <w:shd w:val="clear" w:color="auto" w:fill="FFFFFF"/>
                <w:lang w:val="es-ES_tradnl" w:eastAsia="es-ES_tradnl"/>
                <w14:ligatures w14:val="standardContextual"/>
              </w:rPr>
            </w:pPr>
            <w:bookmarkStart w:id="1" w:name="_Hlk171694685"/>
            <w:r>
              <w:rPr>
                <w:rFonts w:ascii="Verdana" w:eastAsia="Times New Roman" w:hAnsi="Verdana" w:cs="Arial"/>
                <w:kern w:val="2"/>
                <w:shd w:val="clear" w:color="auto" w:fill="FFFFFF"/>
                <w:lang w:val="es-ES_tradnl" w:eastAsia="es-ES_tradnl"/>
                <w14:ligatures w14:val="standardContextual"/>
              </w:rPr>
              <w:t xml:space="preserve">Conforme a la interpretación general de las normas del sistema de compras públicas, de acuerdo con </w:t>
            </w:r>
            <w:r>
              <w:rPr>
                <w:rFonts w:ascii="Verdana" w:hAnsi="Verdana" w:cs="Arial"/>
                <w:bdr w:val="none" w:sz="0" w:space="0" w:color="auto" w:frame="1"/>
              </w:rPr>
              <w:t>el</w:t>
            </w:r>
            <w:r w:rsidRPr="00F473B6">
              <w:rPr>
                <w:rFonts w:ascii="Verdana" w:hAnsi="Verdana" w:cs="Arial"/>
              </w:rPr>
              <w:t xml:space="preserve"> parágrafo primero del artículo </w:t>
            </w:r>
            <w:r w:rsidRPr="00764675">
              <w:rPr>
                <w:rFonts w:ascii="Verdana" w:eastAsia="Times New Roman" w:hAnsi="Verdana" w:cs="Arial"/>
                <w:kern w:val="2"/>
                <w:shd w:val="clear" w:color="auto" w:fill="FFFFFF"/>
                <w:lang w:val="es-ES_tradnl" w:eastAsia="es-ES_tradnl"/>
                <w14:ligatures w14:val="standardContextual"/>
              </w:rPr>
              <w:t xml:space="preserve">37 de la Ley 2056 de 2020, el ejecutor de los proyectos de inversión </w:t>
            </w:r>
            <w:r>
              <w:rPr>
                <w:rFonts w:ascii="Verdana" w:eastAsia="Times New Roman" w:hAnsi="Verdana" w:cs="Arial"/>
                <w:kern w:val="2"/>
                <w:shd w:val="clear" w:color="auto" w:fill="FFFFFF"/>
                <w:lang w:val="es-ES_tradnl" w:eastAsia="es-ES_tradnl"/>
                <w14:ligatures w14:val="standardContextual"/>
              </w:rPr>
              <w:t>d</w:t>
            </w:r>
            <w:r w:rsidRPr="00764675">
              <w:rPr>
                <w:rFonts w:ascii="Verdana" w:eastAsia="Times New Roman" w:hAnsi="Verdana" w:cs="Arial"/>
                <w:kern w:val="2"/>
                <w:shd w:val="clear" w:color="auto" w:fill="FFFFFF"/>
                <w:lang w:val="es-ES_tradnl" w:eastAsia="es-ES_tradnl"/>
                <w14:ligatures w14:val="standardContextual"/>
              </w:rPr>
              <w:t xml:space="preserve">el Sistema General de Regalías debe sujetarse a las reglas de contratación pública, es decir, a las prescripciones establecidas en el Estatuto General de Contratación de la </w:t>
            </w:r>
            <w:r w:rsidRPr="00764675">
              <w:rPr>
                <w:rFonts w:ascii="Verdana" w:eastAsia="Times New Roman" w:hAnsi="Verdana" w:cs="Arial"/>
                <w:kern w:val="2"/>
                <w:shd w:val="clear" w:color="auto" w:fill="FFFFFF"/>
                <w:lang w:val="es-ES_tradnl" w:eastAsia="es-ES_tradnl"/>
                <w14:ligatures w14:val="standardContextual"/>
              </w:rPr>
              <w:lastRenderedPageBreak/>
              <w:t>Administración Pública, así como las normas que lo modifiquen, sustituyan o reglamenten. En tal sentido, el ejecutor debe someterse a las reglas generales de la contratación pública cuando desarrolle proyectos en el marco del Sistema General de Regalías.</w:t>
            </w:r>
          </w:p>
          <w:p w14:paraId="58AF05A8" w14:textId="77777777" w:rsidR="00EB1201" w:rsidRPr="006F0305" w:rsidRDefault="00EB1201" w:rsidP="000D5111">
            <w:pPr>
              <w:spacing w:line="276" w:lineRule="auto"/>
              <w:ind w:firstLine="595"/>
              <w:jc w:val="both"/>
              <w:rPr>
                <w:rFonts w:ascii="Verdana" w:eastAsia="Times New Roman" w:hAnsi="Verdana" w:cs="Arial"/>
                <w:color w:val="000000"/>
                <w:bdr w:val="none" w:sz="0" w:space="0" w:color="auto" w:frame="1"/>
                <w:shd w:val="clear" w:color="auto" w:fill="FFFFFF"/>
                <w:lang w:val="es-ES_tradnl" w:eastAsia="es-ES_tradnl"/>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31FB20CB" w14:textId="77777777" w:rsidR="00EB1201" w:rsidRPr="00593A5F" w:rsidRDefault="00EB1201" w:rsidP="00EB1201">
      <w:pPr>
        <w:tabs>
          <w:tab w:val="left" w:pos="142"/>
          <w:tab w:val="left" w:pos="284"/>
        </w:tabs>
        <w:spacing w:after="0" w:line="276" w:lineRule="auto"/>
        <w:jc w:val="both"/>
        <w:rPr>
          <w:rFonts w:ascii="Verdana" w:eastAsia="Century Gothic" w:hAnsi="Verdana" w:cs="Century Gothic"/>
          <w:b/>
          <w:bCs/>
          <w:lang w:val="es-ES"/>
        </w:rPr>
      </w:pPr>
    </w:p>
    <w:bookmarkEnd w:id="1"/>
    <w:p w14:paraId="0A25E49D" w14:textId="77777777" w:rsidR="00EB1201" w:rsidRPr="00593A5F" w:rsidRDefault="00EB1201" w:rsidP="00EB1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AC01ED8" w14:textId="77777777" w:rsidR="00EB1201" w:rsidRPr="00593A5F" w:rsidRDefault="00EB1201" w:rsidP="00EB1201">
      <w:pPr>
        <w:spacing w:after="0" w:line="276" w:lineRule="auto"/>
        <w:jc w:val="both"/>
        <w:rPr>
          <w:rFonts w:ascii="Verdana" w:eastAsia="Calibri" w:hAnsi="Verdana" w:cs="Arial"/>
          <w:color w:val="7030A0"/>
          <w:lang w:val="es-ES"/>
        </w:rPr>
      </w:pPr>
    </w:p>
    <w:p w14:paraId="676C2D11" w14:textId="77777777" w:rsidR="00EB1201" w:rsidRDefault="00EB1201" w:rsidP="00EB120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C09D4E5" w14:textId="77777777" w:rsidR="00EB1201" w:rsidRDefault="00EB1201" w:rsidP="00EB1201">
      <w:pPr>
        <w:spacing w:after="0" w:line="276" w:lineRule="auto"/>
        <w:jc w:val="both"/>
        <w:rPr>
          <w:rFonts w:ascii="Verdana" w:eastAsia="Calibri" w:hAnsi="Verdana" w:cs="Arial"/>
          <w:lang w:val="es-ES"/>
        </w:rPr>
      </w:pPr>
    </w:p>
    <w:p w14:paraId="6039285C" w14:textId="77777777" w:rsidR="00EB1201" w:rsidRPr="0055620C" w:rsidRDefault="00EB1201" w:rsidP="00EB1201">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t xml:space="preserve">i. </w:t>
      </w:r>
      <w:r w:rsidRPr="0055620C">
        <w:rPr>
          <w:rFonts w:ascii="Verdana" w:eastAsia="Calibri" w:hAnsi="Verdana" w:cs="Arial"/>
          <w:lang w:val="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w:t>
      </w:r>
      <w:r>
        <w:rPr>
          <w:rFonts w:ascii="Verdana" w:eastAsia="Calibri" w:hAnsi="Verdana" w:cs="Arial"/>
          <w:lang w:val="es-ES_tradnl"/>
        </w:rPr>
        <w:t xml:space="preserve"> lo siguiente</w:t>
      </w:r>
      <w:r w:rsidRPr="0055620C">
        <w:rPr>
          <w:rFonts w:ascii="Verdana" w:eastAsia="Calibri" w:hAnsi="Verdana" w:cs="Arial"/>
          <w:lang w:val="es-ES_tradnl"/>
        </w:rPr>
        <w:t>:</w:t>
      </w:r>
    </w:p>
    <w:p w14:paraId="0BCE4317" w14:textId="77777777" w:rsidR="00EB1201" w:rsidRPr="0055620C" w:rsidRDefault="00EB1201" w:rsidP="00EB1201">
      <w:pPr>
        <w:tabs>
          <w:tab w:val="left" w:pos="426"/>
        </w:tabs>
        <w:spacing w:after="0"/>
        <w:jc w:val="both"/>
        <w:rPr>
          <w:rFonts w:ascii="Verdana" w:eastAsia="Calibri" w:hAnsi="Verdana" w:cs="Arial"/>
          <w:lang w:val="es-ES_tradnl"/>
        </w:rPr>
      </w:pPr>
    </w:p>
    <w:p w14:paraId="02F091E4" w14:textId="77777777" w:rsidR="00EB1201" w:rsidRPr="0055620C" w:rsidRDefault="00EB1201" w:rsidP="00EB1201">
      <w:pPr>
        <w:spacing w:after="12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t>“</w:t>
      </w:r>
      <w:r w:rsidRPr="0055620C">
        <w:rPr>
          <w:rFonts w:ascii="Verdana" w:eastAsia="Calibri" w:hAnsi="Verdana" w:cs="Arial"/>
          <w:sz w:val="21"/>
          <w:szCs w:val="21"/>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621984B5" w14:textId="77777777" w:rsidR="00EB1201" w:rsidRPr="0055620C" w:rsidRDefault="00EB1201" w:rsidP="00EB1201">
      <w:pPr>
        <w:spacing w:after="0" w:line="240" w:lineRule="auto"/>
        <w:ind w:left="709" w:right="709"/>
        <w:jc w:val="both"/>
        <w:rPr>
          <w:rFonts w:ascii="Verdana" w:eastAsia="Calibri" w:hAnsi="Verdana" w:cs="Arial"/>
          <w:sz w:val="21"/>
          <w:szCs w:val="21"/>
          <w:lang w:val="es-ES_tradnl"/>
        </w:rPr>
      </w:pPr>
      <w:r w:rsidRPr="0055620C">
        <w:rPr>
          <w:rFonts w:ascii="Verdana" w:eastAsia="Calibri" w:hAnsi="Verdana" w:cs="Arial"/>
          <w:sz w:val="21"/>
          <w:szCs w:val="21"/>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Calibri" w:hAnsi="Verdana" w:cs="Arial"/>
          <w:sz w:val="21"/>
          <w:szCs w:val="21"/>
          <w:lang w:val="es-ES_tradnl"/>
        </w:rPr>
        <w:t>”</w:t>
      </w:r>
      <w:r w:rsidRPr="0055620C">
        <w:rPr>
          <w:rFonts w:ascii="Verdana" w:eastAsia="Calibri" w:hAnsi="Verdana" w:cs="Arial"/>
          <w:sz w:val="21"/>
          <w:szCs w:val="21"/>
          <w:lang w:val="es-ES_tradnl"/>
        </w:rPr>
        <w:t>.</w:t>
      </w:r>
    </w:p>
    <w:p w14:paraId="08050C65" w14:textId="77777777" w:rsidR="00EB1201" w:rsidRPr="0055620C" w:rsidRDefault="00EB1201" w:rsidP="00EB1201">
      <w:pPr>
        <w:spacing w:after="0" w:line="276" w:lineRule="auto"/>
        <w:ind w:left="709" w:right="709"/>
        <w:jc w:val="both"/>
        <w:rPr>
          <w:rFonts w:ascii="Verdana" w:eastAsia="Calibri" w:hAnsi="Verdana" w:cs="Arial"/>
          <w:lang w:val="es-ES_tradnl"/>
        </w:rPr>
      </w:pPr>
    </w:p>
    <w:p w14:paraId="44B933BE" w14:textId="77777777" w:rsidR="00EB1201" w:rsidRPr="0055620C" w:rsidRDefault="00EB1201" w:rsidP="00EB1201">
      <w:pPr>
        <w:spacing w:after="120" w:line="276" w:lineRule="auto"/>
        <w:ind w:firstLine="709"/>
        <w:jc w:val="both"/>
        <w:rPr>
          <w:rFonts w:ascii="Verdana" w:hAnsi="Verdana" w:cs="Arial"/>
          <w:noProof/>
          <w:lang w:val="es-ES_tradnl"/>
        </w:rPr>
      </w:pPr>
      <w:r w:rsidRPr="0055620C">
        <w:rPr>
          <w:rFonts w:ascii="Verdana" w:hAnsi="Verdana" w:cs="Arial"/>
          <w:noProof/>
          <w:lang w:val="es-ES_tradnl"/>
        </w:rPr>
        <w:lastRenderedPageBreak/>
        <w:t>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r w:rsidRPr="0055620C">
        <w:rPr>
          <w:rFonts w:ascii="Verdana" w:hAnsi="Verdana" w:cs="Arial"/>
          <w:noProof/>
          <w:vertAlign w:val="superscript"/>
          <w:lang w:val="es-ES_tradnl"/>
        </w:rPr>
        <w:footnoteReference w:id="2"/>
      </w:r>
      <w:r w:rsidRPr="0055620C">
        <w:rPr>
          <w:rFonts w:ascii="Verdana" w:hAnsi="Verdana" w:cs="Arial"/>
          <w:noProof/>
          <w:lang w:val="es-ES_tradnl"/>
        </w:rPr>
        <w:t xml:space="preserve">. </w:t>
      </w:r>
    </w:p>
    <w:p w14:paraId="1002CA95" w14:textId="77777777" w:rsidR="00EB1201" w:rsidRPr="0055620C" w:rsidRDefault="00EB1201" w:rsidP="00EB1201">
      <w:pPr>
        <w:spacing w:after="120" w:line="276" w:lineRule="auto"/>
        <w:ind w:firstLine="709"/>
        <w:jc w:val="both"/>
        <w:rPr>
          <w:rFonts w:ascii="Verdana" w:hAnsi="Verdana" w:cs="Arial"/>
          <w:noProof/>
          <w:lang w:val="es-ES_tradnl"/>
        </w:rPr>
      </w:pPr>
      <w:r w:rsidRPr="0055620C">
        <w:rPr>
          <w:rFonts w:ascii="Verdana" w:hAnsi="Verdana" w:cs="Arial"/>
          <w:noProof/>
          <w:lang w:val="es-ES_tradnl"/>
        </w:rPr>
        <w:t xml:space="preserve">El artículo 1 del Acto Legislativo 05 de 2019 modificó el artículo 361 de la Constitución, disponiendo que </w:t>
      </w:r>
      <w:r>
        <w:rPr>
          <w:rFonts w:ascii="Verdana" w:hAnsi="Verdana" w:cs="Arial"/>
          <w:noProof/>
          <w:lang w:val="es-ES_tradnl"/>
        </w:rPr>
        <w:t>“</w:t>
      </w:r>
      <w:r w:rsidRPr="0055620C">
        <w:rPr>
          <w:rFonts w:ascii="Verdana" w:hAnsi="Verdana" w:cs="Arial"/>
          <w:noProof/>
          <w:lang w:val="es-ES_tradnl"/>
        </w:rPr>
        <w:t>los ingresos corrientes del Sistema General de Regalías se destinarán a la financiación de proyectos de inversión que contribuyan al desarrollo social, económico y ambiental de las entidades territoriales</w:t>
      </w:r>
      <w:r>
        <w:rPr>
          <w:rFonts w:ascii="Verdana" w:hAnsi="Verdana" w:cs="Arial"/>
          <w:noProof/>
          <w:lang w:val="es-ES_tradnl"/>
        </w:rPr>
        <w:t>”</w:t>
      </w:r>
      <w:r w:rsidRPr="0055620C">
        <w:rPr>
          <w:rFonts w:ascii="Verdana" w:hAnsi="Verdana" w:cs="Arial"/>
          <w:noProof/>
          <w:lang w:val="es-ES_tradnl"/>
        </w:rPr>
        <w:t xml:space="preserve">. </w:t>
      </w:r>
    </w:p>
    <w:p w14:paraId="56225F57" w14:textId="77777777" w:rsidR="00EB1201" w:rsidRPr="0055620C" w:rsidRDefault="00EB1201" w:rsidP="00EB1201">
      <w:pPr>
        <w:spacing w:after="0" w:line="276" w:lineRule="auto"/>
        <w:ind w:firstLine="709"/>
        <w:jc w:val="both"/>
        <w:rPr>
          <w:rFonts w:ascii="Verdana" w:hAnsi="Verdana" w:cs="Arial"/>
        </w:rPr>
      </w:pPr>
      <w:r w:rsidRPr="0055620C">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Pr>
          <w:rFonts w:ascii="Verdana" w:hAnsi="Verdana" w:cs="Arial"/>
          <w:lang w:val="es-ES_tradnl"/>
        </w:rPr>
        <w:t>“</w:t>
      </w:r>
      <w:r w:rsidRPr="0055620C">
        <w:rPr>
          <w:rFonts w:ascii="Verdana" w:hAnsi="Verdana" w:cs="Arial"/>
        </w:rPr>
        <w:t xml:space="preserve">Por la cual se regula la organización y el funcionamiento del </w:t>
      </w:r>
      <w:r w:rsidRPr="0055620C">
        <w:rPr>
          <w:rFonts w:ascii="Verdana" w:hAnsi="Verdana" w:cs="Arial"/>
        </w:rPr>
        <w:lastRenderedPageBreak/>
        <w:t>Sistema General de Regalías</w:t>
      </w:r>
      <w:r>
        <w:rPr>
          <w:rFonts w:ascii="Verdana" w:hAnsi="Verdana" w:cs="Arial"/>
          <w:noProof/>
          <w:lang w:val="es-ES_tradnl"/>
        </w:rPr>
        <w:t>”</w:t>
      </w:r>
      <w:r w:rsidRPr="0055620C">
        <w:rPr>
          <w:rFonts w:ascii="Verdana" w:hAnsi="Verdana" w:cs="Arial"/>
        </w:rPr>
        <w:t xml:space="preserve">. En este sentido, la exposición de motivos de esta Ley expresó que: </w:t>
      </w:r>
    </w:p>
    <w:p w14:paraId="7FB062B2" w14:textId="77777777" w:rsidR="00EB1201" w:rsidRPr="0055620C" w:rsidRDefault="00EB1201" w:rsidP="00EB1201">
      <w:pPr>
        <w:spacing w:after="0" w:line="276" w:lineRule="auto"/>
        <w:jc w:val="both"/>
        <w:rPr>
          <w:rFonts w:ascii="Verdana" w:hAnsi="Verdana" w:cs="Arial"/>
        </w:rPr>
      </w:pPr>
    </w:p>
    <w:p w14:paraId="2CC73B8E" w14:textId="77777777" w:rsidR="00EB1201" w:rsidRPr="0055620C" w:rsidRDefault="00EB1201" w:rsidP="00EB1201">
      <w:pPr>
        <w:spacing w:after="120" w:line="240" w:lineRule="auto"/>
        <w:ind w:left="709" w:right="709"/>
        <w:jc w:val="both"/>
        <w:rPr>
          <w:rFonts w:ascii="Verdana" w:hAnsi="Verdana" w:cs="Arial"/>
          <w:sz w:val="21"/>
          <w:szCs w:val="21"/>
        </w:rPr>
      </w:pPr>
      <w:r>
        <w:rPr>
          <w:rFonts w:ascii="Verdana" w:hAnsi="Verdana" w:cs="Arial"/>
          <w:sz w:val="21"/>
          <w:szCs w:val="21"/>
        </w:rPr>
        <w:t>“</w:t>
      </w:r>
      <w:r w:rsidRPr="0055620C">
        <w:rPr>
          <w:rFonts w:ascii="Verdana" w:hAnsi="Verdana" w:cs="Arial"/>
          <w:sz w:val="21"/>
          <w:szCs w:val="21"/>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724477D9" w14:textId="77777777" w:rsidR="00EB1201" w:rsidRDefault="00EB1201" w:rsidP="00EB1201">
      <w:pPr>
        <w:pStyle w:val="Prrafodelista"/>
        <w:numPr>
          <w:ilvl w:val="0"/>
          <w:numId w:val="18"/>
        </w:numPr>
        <w:spacing w:after="120" w:line="240" w:lineRule="auto"/>
        <w:ind w:left="709" w:right="709" w:firstLine="0"/>
        <w:jc w:val="both"/>
        <w:rPr>
          <w:rFonts w:ascii="Verdana" w:hAnsi="Verdana" w:cs="Arial"/>
          <w:sz w:val="21"/>
          <w:szCs w:val="21"/>
        </w:rPr>
      </w:pPr>
      <w:r w:rsidRPr="0055620C">
        <w:rPr>
          <w:rFonts w:ascii="Verdana" w:hAnsi="Verdana" w:cs="Arial"/>
          <w:sz w:val="21"/>
          <w:szCs w:val="21"/>
        </w:rPr>
        <w:t xml:space="preserve">Incentivar en el territorio nacional el desarrollo de actividades de exploración y explotación de recursos naturales no renovables, en el marco de la normativa vigente. </w:t>
      </w:r>
    </w:p>
    <w:p w14:paraId="47B6A1B0" w14:textId="77777777" w:rsidR="00EB1201" w:rsidRPr="0015567A" w:rsidRDefault="00EB1201" w:rsidP="00EB1201">
      <w:pPr>
        <w:pStyle w:val="Prrafodelista"/>
        <w:spacing w:after="120"/>
        <w:ind w:left="709" w:right="709"/>
        <w:jc w:val="both"/>
        <w:rPr>
          <w:rFonts w:ascii="Verdana" w:hAnsi="Verdana" w:cs="Arial"/>
          <w:sz w:val="12"/>
          <w:szCs w:val="12"/>
        </w:rPr>
      </w:pPr>
    </w:p>
    <w:p w14:paraId="4465BF52" w14:textId="77777777" w:rsidR="00EB1201" w:rsidRPr="0015567A" w:rsidRDefault="00EB1201" w:rsidP="00EB1201">
      <w:pPr>
        <w:pStyle w:val="Prrafodelista"/>
        <w:numPr>
          <w:ilvl w:val="0"/>
          <w:numId w:val="18"/>
        </w:numPr>
        <w:spacing w:after="0" w:line="240" w:lineRule="auto"/>
        <w:ind w:left="709" w:right="709" w:firstLine="0"/>
        <w:jc w:val="both"/>
        <w:rPr>
          <w:rFonts w:ascii="Verdana" w:hAnsi="Verdana" w:cs="Arial"/>
          <w:sz w:val="21"/>
          <w:szCs w:val="21"/>
        </w:rPr>
      </w:pPr>
      <w:r w:rsidRPr="0015567A">
        <w:rPr>
          <w:rFonts w:ascii="Verdana" w:hAnsi="Verdana" w:cs="Arial"/>
          <w:sz w:val="21"/>
          <w:szCs w:val="21"/>
        </w:rPr>
        <w:t>Fomentar la estructuración y aprobación de proyectos de inversión que permitan la implementación del Acuerdo Final para la Terminación del Conflicto y la Construcción de una Paz Estable y Duradera, en los términos establecidos en las normas vigentes”</w:t>
      </w:r>
      <w:r w:rsidRPr="0055620C">
        <w:rPr>
          <w:rStyle w:val="Refdenotaalpie"/>
          <w:rFonts w:ascii="Verdana" w:hAnsi="Verdana" w:cs="Arial"/>
          <w:sz w:val="21"/>
          <w:szCs w:val="21"/>
        </w:rPr>
        <w:footnoteReference w:id="3"/>
      </w:r>
      <w:r w:rsidRPr="0015567A">
        <w:rPr>
          <w:rFonts w:ascii="Verdana" w:hAnsi="Verdana" w:cs="Arial"/>
          <w:sz w:val="21"/>
          <w:szCs w:val="21"/>
        </w:rPr>
        <w:t xml:space="preserve">. </w:t>
      </w:r>
    </w:p>
    <w:p w14:paraId="0E69733A" w14:textId="77777777" w:rsidR="00EB1201" w:rsidRPr="0055620C" w:rsidRDefault="00EB1201" w:rsidP="00EB1201">
      <w:pPr>
        <w:pStyle w:val="Prrafodelista"/>
        <w:spacing w:before="120" w:line="276" w:lineRule="auto"/>
        <w:ind w:left="709" w:right="709"/>
        <w:jc w:val="both"/>
        <w:rPr>
          <w:rFonts w:ascii="Verdana" w:hAnsi="Verdana" w:cs="Arial"/>
        </w:rPr>
      </w:pPr>
    </w:p>
    <w:p w14:paraId="7E7621A7" w14:textId="77777777" w:rsidR="00EB1201" w:rsidRDefault="00EB1201" w:rsidP="00EB1201">
      <w:pPr>
        <w:spacing w:after="0" w:line="276" w:lineRule="auto"/>
        <w:ind w:firstLine="709"/>
        <w:jc w:val="both"/>
        <w:rPr>
          <w:rFonts w:ascii="Verdana" w:hAnsi="Verdana" w:cs="Arial"/>
          <w:noProof/>
          <w:lang w:val="es-ES_tradnl"/>
        </w:rPr>
      </w:pPr>
      <w:r w:rsidRPr="0055620C">
        <w:rPr>
          <w:rFonts w:ascii="Verdana" w:hAnsi="Verdana" w:cs="Arial"/>
          <w:noProof/>
          <w:lang w:val="es-ES_tradnl"/>
        </w:rPr>
        <w:t>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Pr="0055620C">
        <w:rPr>
          <w:rFonts w:ascii="Verdana" w:hAnsi="Verdana" w:cs="Arial"/>
          <w:noProof/>
          <w:vertAlign w:val="superscript"/>
          <w:lang w:val="es-ES_tradnl"/>
        </w:rPr>
        <w:footnoteReference w:id="4"/>
      </w:r>
      <w:r w:rsidRPr="0055620C">
        <w:rPr>
          <w:rFonts w:ascii="Verdana" w:hAnsi="Verdana" w:cs="Arial"/>
          <w:noProof/>
          <w:lang w:val="es-ES_tradnl"/>
        </w:rPr>
        <w:t xml:space="preserve">. El artículo 3 establece los organos del Estado que hacen parte del SGR, como son </w:t>
      </w:r>
      <w:r w:rsidRPr="0055620C">
        <w:rPr>
          <w:rFonts w:ascii="Verdana" w:hAnsi="Verdana"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55620C">
        <w:rPr>
          <w:rFonts w:ascii="Verdana" w:hAnsi="Verdana" w:cs="Arial"/>
          <w:noProof/>
          <w:lang w:val="es-ES_tradnl"/>
        </w:rPr>
        <w:t xml:space="preserve"> incluyendo dentro de los mismos al Ministerio de Ciencia, Tenoclogía e Innovación</w:t>
      </w:r>
      <w:r w:rsidRPr="0055620C">
        <w:rPr>
          <w:rFonts w:ascii="Verdana" w:hAnsi="Verdana" w:cs="Arial"/>
          <w:noProof/>
          <w:vertAlign w:val="superscript"/>
          <w:lang w:val="es-ES_tradnl"/>
        </w:rPr>
        <w:footnoteReference w:id="5"/>
      </w:r>
      <w:r w:rsidRPr="0055620C">
        <w:rPr>
          <w:rFonts w:ascii="Verdana" w:hAnsi="Verdana" w:cs="Arial"/>
          <w:noProof/>
          <w:lang w:val="es-ES_tradnl"/>
        </w:rPr>
        <w:t xml:space="preserve">. Estas entidades </w:t>
      </w:r>
      <w:r w:rsidRPr="0055620C">
        <w:rPr>
          <w:rFonts w:ascii="Verdana" w:hAnsi="Verdana" w:cs="Arial"/>
          <w:noProof/>
          <w:lang w:val="es-ES_tradnl"/>
        </w:rPr>
        <w:lastRenderedPageBreak/>
        <w:t>deben ejercer sus competencias, de acuerdo a lo prescrito en dicha ley y los lineamientos que expida la Comisión Rectora.</w:t>
      </w:r>
      <w:r>
        <w:rPr>
          <w:rFonts w:ascii="Verdana" w:hAnsi="Verdana" w:cs="Arial"/>
          <w:noProof/>
          <w:lang w:val="es-ES_tradnl"/>
        </w:rPr>
        <w:t xml:space="preserve"> </w:t>
      </w:r>
      <w:r w:rsidRPr="0055620C">
        <w:rPr>
          <w:rFonts w:ascii="Verdana" w:hAnsi="Verdana" w:cs="Arial"/>
          <w:noProof/>
        </w:rPr>
        <w:t>E</w:t>
      </w:r>
      <w:r w:rsidRPr="0055620C">
        <w:rPr>
          <w:rFonts w:ascii="Verdana" w:hAnsi="Verdana" w:cs="Arial"/>
          <w:noProof/>
          <w:lang w:val="es-ES_tradnl"/>
        </w:rPr>
        <w:t xml:space="preserve">n el marco de la Ley 2056 de 2020, tambien se expidió el Decreto 1821 de 2020, </w:t>
      </w:r>
      <w:r>
        <w:rPr>
          <w:rFonts w:ascii="Verdana" w:hAnsi="Verdana" w:cs="Arial"/>
          <w:noProof/>
          <w:lang w:val="es-ES_tradnl"/>
        </w:rPr>
        <w:t>“</w:t>
      </w:r>
      <w:r w:rsidRPr="0055620C">
        <w:rPr>
          <w:rStyle w:val="Textoennegrita"/>
          <w:rFonts w:ascii="Verdana" w:hAnsi="Verdana" w:cs="Arial"/>
          <w:shd w:val="clear" w:color="auto" w:fill="FFFFFF"/>
        </w:rPr>
        <w:t>Por el cual se expide el Decreto Único Reglamentario del Sistema General de Regalías</w:t>
      </w:r>
      <w:r>
        <w:rPr>
          <w:rFonts w:ascii="Verdana" w:hAnsi="Verdana" w:cs="Arial"/>
          <w:noProof/>
          <w:lang w:val="es-ES_tradnl"/>
        </w:rPr>
        <w:t>”</w:t>
      </w:r>
      <w:r w:rsidRPr="0055620C">
        <w:rPr>
          <w:rFonts w:ascii="Verdana" w:hAnsi="Verdana" w:cs="Arial"/>
          <w:noProof/>
          <w:lang w:val="es-ES_tradnl"/>
        </w:rPr>
        <w:t xml:space="preserve">, reglamento que regula la ejecución de los proyectos. </w:t>
      </w:r>
    </w:p>
    <w:p w14:paraId="14F5FC9B" w14:textId="77777777" w:rsidR="00EB1201" w:rsidRDefault="00EB1201" w:rsidP="00EB1201">
      <w:pPr>
        <w:spacing w:after="0" w:line="276" w:lineRule="auto"/>
        <w:ind w:firstLine="709"/>
        <w:jc w:val="both"/>
        <w:rPr>
          <w:rFonts w:ascii="Verdana" w:hAnsi="Verdana" w:cs="Arial"/>
          <w:noProof/>
          <w:lang w:val="es-ES_tradnl"/>
        </w:rPr>
      </w:pPr>
    </w:p>
    <w:p w14:paraId="3BE8803B" w14:textId="77777777" w:rsidR="00EB1201" w:rsidRPr="0015567A" w:rsidRDefault="00EB1201" w:rsidP="00EB1201">
      <w:pPr>
        <w:spacing w:after="120" w:line="276" w:lineRule="auto"/>
        <w:jc w:val="both"/>
        <w:rPr>
          <w:rFonts w:ascii="Verdana" w:hAnsi="Verdana" w:cs="Arial"/>
          <w:noProof/>
        </w:rPr>
      </w:pPr>
      <w:r>
        <w:rPr>
          <w:rFonts w:ascii="Verdana" w:hAnsi="Verdana" w:cs="Arial"/>
          <w:noProof/>
          <w:lang w:val="es-ES_tradnl"/>
        </w:rPr>
        <w:t xml:space="preserve">ii. </w:t>
      </w:r>
      <w:r w:rsidRPr="0015567A">
        <w:rPr>
          <w:rFonts w:ascii="Verdana" w:hAnsi="Verdana" w:cs="Arial"/>
          <w:noProof/>
          <w:lang w:val="es-ES_tradnl"/>
        </w:rPr>
        <w:t xml:space="preserve">En </w:t>
      </w:r>
      <w:r w:rsidRPr="0015567A">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618C1A91" w14:textId="77777777" w:rsidR="00EB1201" w:rsidRPr="0015567A" w:rsidRDefault="00EB1201" w:rsidP="00EB1201">
      <w:pPr>
        <w:spacing w:after="120" w:line="276" w:lineRule="auto"/>
        <w:ind w:firstLine="708"/>
        <w:jc w:val="both"/>
        <w:rPr>
          <w:rFonts w:ascii="Verdana" w:hAnsi="Verdana" w:cs="Arial"/>
          <w:noProof/>
        </w:rPr>
      </w:pPr>
      <w:r w:rsidRPr="0015567A">
        <w:rPr>
          <w:rFonts w:ascii="Verdana" w:hAnsi="Verdana" w:cs="Arial"/>
          <w:noProof/>
        </w:rPr>
        <w:t>E</w:t>
      </w:r>
      <w:r w:rsidRPr="0015567A">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15567A">
        <w:rPr>
          <w:rStyle w:val="Refdenotaalpie"/>
          <w:rFonts w:ascii="Verdana" w:hAnsi="Verdana" w:cs="Arial"/>
          <w:noProof/>
          <w:lang w:val="es-ES_tradnl"/>
        </w:rPr>
        <w:footnoteReference w:id="6"/>
      </w:r>
      <w:r w:rsidRPr="0015567A">
        <w:rPr>
          <w:rFonts w:ascii="Verdana" w:hAnsi="Verdana" w:cs="Arial"/>
          <w:noProof/>
          <w:lang w:val="es-ES_tradnl"/>
        </w:rPr>
        <w:t>.</w:t>
      </w:r>
      <w:r w:rsidRPr="0015567A">
        <w:rPr>
          <w:rFonts w:ascii="Verdana" w:hAnsi="Verdana" w:cs="Arial"/>
          <w:noProof/>
        </w:rPr>
        <w:t xml:space="preserve"> </w:t>
      </w:r>
    </w:p>
    <w:p w14:paraId="56E42349" w14:textId="77777777" w:rsidR="00EB1201" w:rsidRPr="0015567A" w:rsidRDefault="00EB1201" w:rsidP="00EB1201">
      <w:pPr>
        <w:spacing w:after="120" w:line="276" w:lineRule="auto"/>
        <w:ind w:firstLine="709"/>
        <w:jc w:val="both"/>
        <w:rPr>
          <w:rFonts w:ascii="Verdana" w:hAnsi="Verdana" w:cs="Arial"/>
          <w:noProof/>
        </w:rPr>
      </w:pPr>
      <w:r w:rsidRPr="0015567A">
        <w:rPr>
          <w:rFonts w:ascii="Verdana" w:hAnsi="Verdana" w:cs="Arial"/>
          <w:noProof/>
        </w:rPr>
        <w:lastRenderedPageBreak/>
        <w:t>El artículo 35, parágrafo 2, dispone que los Departamentos y Órganos Colegiados de Administración y Decisión Regionales que trata el artículo citado, en el marco de sus competencia, deben designar una</w:t>
      </w:r>
      <w:r w:rsidRPr="0015567A" w:rsidDel="003822CF">
        <w:rPr>
          <w:rFonts w:ascii="Verdana" w:hAnsi="Verdana" w:cs="Arial"/>
          <w:noProof/>
        </w:rPr>
        <w:t xml:space="preserve"> </w:t>
      </w:r>
      <w:r w:rsidRPr="0015567A">
        <w:rPr>
          <w:rFonts w:ascii="Verdana" w:hAnsi="Verdana" w:cs="Arial"/>
          <w:noProof/>
        </w:rPr>
        <w:t>entidad ejecutora de naturaleza pública, que además debe estar a cargo de la contratación de la interventoría, de acuerdo a lo regulado en dicha ley</w:t>
      </w:r>
      <w:r w:rsidRPr="0015567A">
        <w:rPr>
          <w:rStyle w:val="Refdenotaalpie"/>
          <w:rFonts w:ascii="Verdana" w:hAnsi="Verdana" w:cs="Arial"/>
          <w:noProof/>
        </w:rPr>
        <w:footnoteReference w:id="7"/>
      </w:r>
      <w:r w:rsidRPr="0015567A">
        <w:rPr>
          <w:rFonts w:ascii="Verdana" w:hAnsi="Verdana" w:cs="Arial"/>
          <w:noProof/>
        </w:rPr>
        <w:t xml:space="preserve">. El paragrafo 3 del artículo 6 establece lo siguiente: </w:t>
      </w:r>
      <w:r>
        <w:rPr>
          <w:rFonts w:ascii="Verdana" w:hAnsi="Verdana" w:cs="Arial"/>
          <w:noProof/>
        </w:rPr>
        <w:t>“</w:t>
      </w:r>
      <w:r w:rsidRPr="0015567A">
        <w:rPr>
          <w:rFonts w:ascii="Verdana" w:hAnsi="Verdana" w:cs="Arial"/>
          <w:noProof/>
        </w:rPr>
        <w:t>Para la designación del ejecutor, el Órgano Colegiado de Administración y Decisión tendrá en cuenta: i) Las capacidades ad¬ministrativas y financieras de la entidad propuesta y ii) los resultados del desempeño de la ejecución de los recursos definidos por el Sistema de Seguimiento, Evaluación y Control del Sistema General de Regalías, cuando a esto haya lugar, conforme los lineamientos del Departamento Nacional de Planeación</w:t>
      </w:r>
      <w:r>
        <w:rPr>
          <w:rFonts w:ascii="Verdana" w:hAnsi="Verdana" w:cs="Arial"/>
          <w:noProof/>
        </w:rPr>
        <w:t>”</w:t>
      </w:r>
      <w:r w:rsidRPr="0015567A">
        <w:rPr>
          <w:rFonts w:ascii="Verdana" w:hAnsi="Verdana" w:cs="Arial"/>
          <w:noProof/>
        </w:rPr>
        <w:t>. A su vez la norma indica que,  el ejecutor deberá ser de naturaleza pública y tendrá a su cargo la contratación de la interventoría.</w:t>
      </w:r>
    </w:p>
    <w:p w14:paraId="092A95F8" w14:textId="77777777" w:rsidR="00EB1201" w:rsidRPr="0015567A" w:rsidRDefault="00EB1201" w:rsidP="00EB1201">
      <w:pPr>
        <w:spacing w:after="120" w:line="276" w:lineRule="auto"/>
        <w:ind w:firstLine="709"/>
        <w:jc w:val="both"/>
        <w:rPr>
          <w:rFonts w:ascii="Verdana" w:hAnsi="Verdana" w:cs="Arial"/>
        </w:rPr>
      </w:pPr>
      <w:r w:rsidRPr="0015567A">
        <w:rPr>
          <w:rFonts w:ascii="Verdana" w:hAnsi="Verdana" w:cs="Arial"/>
          <w:noProof/>
        </w:rPr>
        <w:t xml:space="preserve">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15567A">
        <w:rPr>
          <w:rFonts w:ascii="Verdana" w:hAnsi="Verdana" w:cs="Arial"/>
        </w:rPr>
        <w:t>así como de verificar su disponibilidad, conforme con la metodología del Departamento Nacional de Planeación</w:t>
      </w:r>
      <w:r w:rsidRPr="0015567A">
        <w:rPr>
          <w:rStyle w:val="Refdenotaalpie"/>
          <w:rFonts w:ascii="Verdana" w:hAnsi="Verdana" w:cs="Arial"/>
        </w:rPr>
        <w:footnoteReference w:id="8"/>
      </w:r>
      <w:r w:rsidRPr="0015567A">
        <w:rPr>
          <w:rFonts w:ascii="Verdana" w:hAnsi="Verdana" w:cs="Arial"/>
        </w:rPr>
        <w:t>.</w:t>
      </w:r>
    </w:p>
    <w:p w14:paraId="41C7F488" w14:textId="77777777" w:rsidR="00EB1201" w:rsidRDefault="00EB1201" w:rsidP="00EB1201">
      <w:pPr>
        <w:spacing w:after="0" w:line="276" w:lineRule="auto"/>
        <w:ind w:firstLine="709"/>
        <w:jc w:val="both"/>
        <w:rPr>
          <w:rFonts w:ascii="Verdana" w:hAnsi="Verdana" w:cs="Arial"/>
        </w:rPr>
      </w:pPr>
      <w:r w:rsidRPr="0015567A">
        <w:rPr>
          <w:rFonts w:ascii="Verdana" w:hAnsi="Verdana" w:cs="Arial"/>
        </w:rPr>
        <w:lastRenderedPageBreak/>
        <w:t xml:space="preserve">El artículo 37 de la Ley 2056 de 2020 dispone que los proyectos de inversión que se financien con cargo al Sistema General de Regalías serán ejecutados por quien designe las entidades u órganos de que tratan los artículos 35 y 36 </w:t>
      </w:r>
      <w:r w:rsidRPr="0015567A">
        <w:rPr>
          <w:rFonts w:ascii="Verdana" w:hAnsi="Verdana" w:cs="Arial"/>
          <w:i/>
          <w:iCs/>
        </w:rPr>
        <w:t>ibidem</w:t>
      </w:r>
      <w:r w:rsidRPr="0015567A">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2EFCCA0B" w14:textId="77777777" w:rsidR="00EB1201" w:rsidRDefault="00EB1201" w:rsidP="00EB1201">
      <w:pPr>
        <w:spacing w:after="0" w:line="276" w:lineRule="auto"/>
        <w:ind w:firstLine="709"/>
        <w:jc w:val="both"/>
        <w:rPr>
          <w:rFonts w:ascii="Verdana" w:hAnsi="Verdana" w:cs="Arial"/>
        </w:rPr>
      </w:pPr>
    </w:p>
    <w:p w14:paraId="32DFCA29" w14:textId="77777777" w:rsidR="00EB1201" w:rsidRPr="00F473B6" w:rsidRDefault="00EB1201" w:rsidP="00EB1201">
      <w:pPr>
        <w:spacing w:after="120" w:line="276" w:lineRule="auto"/>
        <w:jc w:val="both"/>
        <w:rPr>
          <w:rFonts w:ascii="Verdana" w:hAnsi="Verdana" w:cs="Arial"/>
          <w:noProof/>
        </w:rPr>
      </w:pPr>
      <w:proofErr w:type="spellStart"/>
      <w:r>
        <w:rPr>
          <w:rFonts w:ascii="Verdana" w:hAnsi="Verdana" w:cs="Arial"/>
        </w:rPr>
        <w:t>iii</w:t>
      </w:r>
      <w:proofErr w:type="spellEnd"/>
      <w:r>
        <w:rPr>
          <w:rFonts w:ascii="Verdana" w:hAnsi="Verdana" w:cs="Arial"/>
        </w:rPr>
        <w:t>. E</w:t>
      </w:r>
      <w:r w:rsidRPr="00F473B6">
        <w:rPr>
          <w:rFonts w:ascii="Verdana" w:hAnsi="Verdana" w:cs="Arial"/>
        </w:rPr>
        <w:t xml:space="preserve">l parágrafo primero del artículo 37 </w:t>
      </w:r>
      <w:r w:rsidRPr="00F473B6">
        <w:rPr>
          <w:rFonts w:ascii="Verdana" w:hAnsi="Verdana" w:cs="Arial"/>
          <w:i/>
          <w:iCs/>
        </w:rPr>
        <w:t>ibidem</w:t>
      </w:r>
      <w:r w:rsidRPr="00F473B6">
        <w:rPr>
          <w:rFonts w:ascii="Verdana" w:hAnsi="Verdana" w:cs="Arial"/>
        </w:rPr>
        <w:t xml:space="preserve"> dispone</w:t>
      </w:r>
      <w:r>
        <w:rPr>
          <w:rFonts w:ascii="Verdana" w:hAnsi="Verdana" w:cs="Arial"/>
        </w:rPr>
        <w:t xml:space="preserve"> lo siguiente</w:t>
      </w:r>
      <w:r w:rsidRPr="00F473B6">
        <w:rPr>
          <w:rFonts w:ascii="Verdana" w:hAnsi="Verdana" w:cs="Arial"/>
        </w:rPr>
        <w:t xml:space="preserve">: </w:t>
      </w:r>
      <w:r>
        <w:rPr>
          <w:rFonts w:ascii="Verdana" w:hAnsi="Verdana" w:cs="Arial"/>
        </w:rPr>
        <w:t>“</w:t>
      </w:r>
      <w:r w:rsidRPr="00F473B6">
        <w:rPr>
          <w:rFonts w:ascii="Verdana" w:hAnsi="Verdana" w:cs="Arial"/>
        </w:rPr>
        <w:t xml:space="preserve">La ejecución de proyectos de </w:t>
      </w:r>
      <w:proofErr w:type="spellStart"/>
      <w:r w:rsidRPr="00F473B6">
        <w:rPr>
          <w:rFonts w:ascii="Verdana" w:hAnsi="Verdana" w:cs="Arial"/>
        </w:rPr>
        <w:t>que</w:t>
      </w:r>
      <w:proofErr w:type="spellEnd"/>
      <w:r w:rsidRPr="00F473B6">
        <w:rPr>
          <w:rFonts w:ascii="Verdana" w:hAnsi="Verdana" w:cs="Arial"/>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rPr>
        <w:t>”</w:t>
      </w:r>
      <w:r w:rsidRPr="00F473B6">
        <w:rPr>
          <w:rStyle w:val="Refdenotaalpie"/>
          <w:rFonts w:ascii="Verdana" w:hAnsi="Verdana" w:cs="Arial"/>
        </w:rPr>
        <w:footnoteReference w:id="9"/>
      </w:r>
      <w:r w:rsidRPr="00F473B6">
        <w:rPr>
          <w:rFonts w:ascii="Verdana" w:hAnsi="Verdana" w:cs="Arial"/>
        </w:rPr>
        <w:t>.</w:t>
      </w:r>
      <w:r w:rsidRPr="00F473B6">
        <w:rPr>
          <w:rFonts w:ascii="Verdana" w:hAnsi="Verdana" w:cs="Arial"/>
          <w:noProof/>
        </w:rPr>
        <w:t xml:space="preserve"> A partir de esta norma, el ejercutor de los proyectos de inversion en </w:t>
      </w:r>
      <w:r w:rsidRPr="00F473B6">
        <w:rPr>
          <w:rFonts w:ascii="Verdana" w:hAnsi="Verdana" w:cs="Arial"/>
          <w:noProof/>
        </w:rPr>
        <w:lastRenderedPageBreak/>
        <w:t xml:space="preserve">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4E5B4948" w14:textId="77777777" w:rsidR="00EB1201" w:rsidRPr="00F473B6" w:rsidRDefault="00EB1201" w:rsidP="00EB1201">
      <w:pPr>
        <w:spacing w:before="120" w:line="276" w:lineRule="auto"/>
        <w:ind w:firstLine="709"/>
        <w:jc w:val="both"/>
        <w:rPr>
          <w:rFonts w:ascii="Verdana" w:hAnsi="Verdana" w:cs="Arial"/>
        </w:rPr>
      </w:pPr>
      <w:r w:rsidRPr="00F473B6">
        <w:rPr>
          <w:rFonts w:ascii="Verdana" w:eastAsia="Calibri" w:hAnsi="Verdana" w:cs="Arial"/>
          <w:lang w:val="es-ES_tradnl"/>
        </w:rPr>
        <w:t xml:space="preserve">Igualmente, es importante referenciar lo prescrito en los artículos 85, 99 y 109 de la Ley 2056 de 2020 sobre los recursos del Sistema General de Regalías. </w:t>
      </w:r>
      <w:bookmarkStart w:id="5" w:name="_Hlk66438231"/>
      <w:r w:rsidRPr="00F473B6">
        <w:rPr>
          <w:rFonts w:ascii="Verdana" w:eastAsia="Calibri" w:hAnsi="Verdana" w:cs="Arial"/>
          <w:lang w:val="es-ES_tradnl"/>
        </w:rPr>
        <w:t xml:space="preserve">En efecto, </w:t>
      </w:r>
      <w:r w:rsidRPr="00F473B6">
        <w:rPr>
          <w:rFonts w:ascii="Verdana" w:hAnsi="Verdana" w:cs="Arial"/>
        </w:rPr>
        <w:t xml:space="preserve">conforme a los preceptos citados, </w:t>
      </w:r>
      <w:bookmarkStart w:id="6" w:name="_Hlk71740241"/>
      <w:r w:rsidRPr="00F473B6">
        <w:rPr>
          <w:rFonts w:ascii="Verdana" w:hAnsi="Verdana" w:cs="Arial"/>
        </w:rPr>
        <w:t xml:space="preserve">cuando dichos recursos sean para proyectos de inversión en i) pueblos y </w:t>
      </w:r>
      <w:bookmarkStart w:id="7" w:name="_Hlk66435016"/>
      <w:r w:rsidRPr="00F473B6">
        <w:rPr>
          <w:rFonts w:ascii="Verdana" w:hAnsi="Verdana" w:cs="Arial"/>
        </w:rPr>
        <w:t>comunidades indígenas</w:t>
      </w:r>
      <w:bookmarkEnd w:id="7"/>
      <w:r w:rsidRPr="00F473B6">
        <w:rPr>
          <w:rFonts w:ascii="Verdana" w:hAnsi="Verdana" w:cs="Arial"/>
        </w:rPr>
        <w:t xml:space="preserve">, </w:t>
      </w:r>
      <w:proofErr w:type="spellStart"/>
      <w:r w:rsidRPr="00F473B6">
        <w:rPr>
          <w:rFonts w:ascii="Verdana" w:hAnsi="Verdana" w:cs="Arial"/>
        </w:rPr>
        <w:t>ii</w:t>
      </w:r>
      <w:proofErr w:type="spellEnd"/>
      <w:r w:rsidRPr="00F473B6">
        <w:rPr>
          <w:rFonts w:ascii="Verdana" w:hAnsi="Verdana" w:cs="Arial"/>
        </w:rPr>
        <w:t xml:space="preserve">) comunidades negras, afrocolombiana, raizales y palenqueras y </w:t>
      </w:r>
      <w:proofErr w:type="spellStart"/>
      <w:r w:rsidRPr="00F473B6">
        <w:rPr>
          <w:rFonts w:ascii="Verdana" w:hAnsi="Verdana" w:cs="Arial"/>
        </w:rPr>
        <w:t>iii</w:t>
      </w:r>
      <w:proofErr w:type="spellEnd"/>
      <w:r w:rsidRPr="00F473B6">
        <w:rPr>
          <w:rFonts w:ascii="Verdana" w:hAnsi="Verdana" w:cs="Arial"/>
        </w:rPr>
        <w:t xml:space="preserve">) el pueblo </w:t>
      </w:r>
      <w:proofErr w:type="spellStart"/>
      <w:r w:rsidRPr="00F473B6">
        <w:rPr>
          <w:rFonts w:ascii="Verdana" w:hAnsi="Verdana" w:cs="Arial"/>
        </w:rPr>
        <w:t>Rrom</w:t>
      </w:r>
      <w:proofErr w:type="spellEnd"/>
      <w:r w:rsidRPr="00F473B6">
        <w:rPr>
          <w:rFonts w:ascii="Verdana" w:hAnsi="Verdana" w:cs="Arial"/>
        </w:rPr>
        <w:t xml:space="preserve"> o gitano, </w:t>
      </w:r>
      <w:r>
        <w:rPr>
          <w:rFonts w:ascii="Verdana" w:hAnsi="Verdana" w:cs="Arial"/>
          <w:sz w:val="20"/>
          <w:szCs w:val="20"/>
        </w:rPr>
        <w:t>“</w:t>
      </w:r>
      <w:r w:rsidRPr="00F473B6">
        <w:rPr>
          <w:rFonts w:ascii="Verdana" w:hAnsi="Verdana" w:cs="Arial"/>
        </w:rPr>
        <w:t>los actos o contratos que expidan o celebren los ejecutores se regirán por las normas presupuestales contenidas en la presente ley, el Estatuto de Contratación Estatal, las normas contables que para este efecto defina la Contaduría General de la Nación y las demás disposiciones complementarias</w:t>
      </w:r>
      <w:r>
        <w:rPr>
          <w:rFonts w:ascii="Verdana" w:hAnsi="Verdana" w:cs="Arial"/>
        </w:rPr>
        <w:t>”</w:t>
      </w:r>
      <w:r w:rsidRPr="00F473B6">
        <w:rPr>
          <w:rFonts w:ascii="Verdana" w:hAnsi="Verdana" w:cs="Arial"/>
        </w:rPr>
        <w:t>.</w:t>
      </w:r>
      <w:bookmarkEnd w:id="5"/>
      <w:r w:rsidRPr="00F473B6">
        <w:rPr>
          <w:rFonts w:ascii="Verdana" w:hAnsi="Verdana" w:cs="Arial"/>
        </w:rPr>
        <w:t xml:space="preserve"> </w:t>
      </w:r>
      <w:bookmarkEnd w:id="6"/>
      <w:r w:rsidRPr="00F473B6">
        <w:rPr>
          <w:rFonts w:ascii="Verdana" w:hAnsi="Verdana" w:cs="Arial"/>
        </w:rPr>
        <w:t xml:space="preserve">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F473B6">
        <w:rPr>
          <w:rFonts w:ascii="Verdana" w:hAnsi="Verdana" w:cs="Arial"/>
        </w:rPr>
        <w:t>Rrom</w:t>
      </w:r>
      <w:proofErr w:type="spellEnd"/>
      <w:r w:rsidRPr="00F473B6">
        <w:rPr>
          <w:rFonts w:ascii="Verdana" w:hAnsi="Verdana" w:cs="Arial"/>
        </w:rPr>
        <w:t xml:space="preserve"> o Gitano. </w:t>
      </w:r>
      <w:r w:rsidRPr="00F473B6">
        <w:rPr>
          <w:rFonts w:ascii="Verdana" w:eastAsia="Calibri" w:hAnsi="Verdana" w:cs="Arial"/>
        </w:rPr>
        <w:t xml:space="preserve">Esto, sin </w:t>
      </w:r>
      <w:r w:rsidRPr="00F473B6">
        <w:rPr>
          <w:rFonts w:ascii="Verdana" w:hAnsi="Verdana" w:cs="Arial"/>
        </w:rPr>
        <w:t xml:space="preserve">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1F172673" w14:textId="77777777" w:rsidR="00EB1201" w:rsidRDefault="00EB1201" w:rsidP="00EB1201">
      <w:pPr>
        <w:spacing w:after="0" w:line="276" w:lineRule="auto"/>
        <w:ind w:firstLine="709"/>
        <w:jc w:val="both"/>
        <w:rPr>
          <w:rFonts w:ascii="Verdana" w:hAnsi="Verdana" w:cs="Arial"/>
          <w:bdr w:val="none" w:sz="0" w:space="0" w:color="auto" w:frame="1"/>
        </w:rPr>
      </w:pPr>
      <w:r w:rsidRPr="00F473B6">
        <w:rPr>
          <w:rFonts w:ascii="Verdana" w:hAnsi="Verdana" w:cs="Arial"/>
        </w:rPr>
        <w:lastRenderedPageBreak/>
        <w:t xml:space="preserve">Por tanto, en caso de que se realicen proyectos de inversión en el marco del Sistema General de </w:t>
      </w:r>
      <w:r>
        <w:rPr>
          <w:rFonts w:ascii="Verdana" w:hAnsi="Verdana" w:cs="Arial"/>
        </w:rPr>
        <w:t>Regalías</w:t>
      </w:r>
      <w:r w:rsidRPr="00F473B6">
        <w:rPr>
          <w:rFonts w:ascii="Verdana" w:hAnsi="Verdana" w:cs="Arial"/>
        </w:rPr>
        <w:t xml:space="preserve">, como también aquellos proyectos especiales referenciados </w:t>
      </w:r>
      <w:r w:rsidRPr="00F473B6">
        <w:rPr>
          <w:rFonts w:ascii="Verdana" w:hAnsi="Verdana" w:cs="Arial"/>
          <w:i/>
          <w:iCs/>
        </w:rPr>
        <w:t>ut supra</w:t>
      </w:r>
      <w:r w:rsidRPr="00F473B6">
        <w:rPr>
          <w:rFonts w:ascii="Verdana" w:hAnsi="Verdana" w:cs="Arial"/>
        </w:rPr>
        <w:t>, los ejecutores designados para desarrollarlos deben sujetarse al Estatuto General de Contratación de la Administración Pública</w:t>
      </w:r>
      <w:r w:rsidRPr="00F473B6">
        <w:rPr>
          <w:rFonts w:ascii="Verdana" w:eastAsia="Calibri" w:hAnsi="Verdana" w:cs="Arial"/>
        </w:rPr>
        <w:t>.</w:t>
      </w:r>
      <w:r w:rsidRPr="00F473B6">
        <w:rPr>
          <w:rFonts w:ascii="Verdana" w:hAnsi="Verdana" w:cs="Arial"/>
        </w:rPr>
        <w:t xml:space="preserve"> </w:t>
      </w:r>
      <w:r w:rsidRPr="00F473B6">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562AD4B4" w14:textId="77777777" w:rsidR="00EB1201" w:rsidRDefault="00EB1201" w:rsidP="00EB1201">
      <w:pPr>
        <w:spacing w:after="0" w:line="276" w:lineRule="auto"/>
        <w:ind w:firstLine="709"/>
        <w:jc w:val="both"/>
        <w:rPr>
          <w:rFonts w:ascii="Verdana" w:hAnsi="Verdana" w:cs="Arial"/>
          <w:bdr w:val="none" w:sz="0" w:space="0" w:color="auto" w:frame="1"/>
        </w:rPr>
      </w:pPr>
    </w:p>
    <w:p w14:paraId="442EEFCE" w14:textId="77777777" w:rsidR="00EB1201" w:rsidRPr="007A47F9" w:rsidRDefault="00EB1201" w:rsidP="00EB1201">
      <w:pPr>
        <w:widowControl w:val="0"/>
        <w:autoSpaceDE w:val="0"/>
        <w:autoSpaceDN w:val="0"/>
        <w:spacing w:after="0" w:line="276" w:lineRule="auto"/>
        <w:jc w:val="both"/>
        <w:rPr>
          <w:rFonts w:ascii="Verdana" w:hAnsi="Verdana" w:cs="Arial"/>
          <w:lang w:eastAsia="es-ES"/>
        </w:rPr>
      </w:pPr>
      <w:proofErr w:type="spellStart"/>
      <w:r>
        <w:rPr>
          <w:rFonts w:ascii="Verdana" w:hAnsi="Verdana" w:cs="Arial"/>
          <w:bdr w:val="none" w:sz="0" w:space="0" w:color="auto" w:frame="1"/>
        </w:rPr>
        <w:t>iv</w:t>
      </w:r>
      <w:proofErr w:type="spellEnd"/>
      <w:r>
        <w:rPr>
          <w:rFonts w:ascii="Verdana" w:hAnsi="Verdana" w:cs="Arial"/>
          <w:bdr w:val="none" w:sz="0" w:space="0" w:color="auto" w:frame="1"/>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57B299AF" w14:textId="77777777" w:rsidR="00EB1201" w:rsidRPr="00301910" w:rsidRDefault="00EB1201" w:rsidP="00EB1201">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9BEC555" w14:textId="77777777" w:rsidR="00EB1201" w:rsidRPr="007A47F9" w:rsidRDefault="00EB1201" w:rsidP="00EB1201">
      <w:pPr>
        <w:spacing w:after="0" w:line="276" w:lineRule="auto"/>
        <w:jc w:val="both"/>
        <w:rPr>
          <w:rFonts w:ascii="Verdana" w:hAnsi="Verdana" w:cs="Arial"/>
          <w:bdr w:val="none" w:sz="0" w:space="0" w:color="auto" w:frame="1"/>
        </w:rPr>
      </w:pPr>
      <w:r>
        <w:rPr>
          <w:rFonts w:ascii="Verdana" w:hAnsi="Verdana" w:cs="Arial"/>
          <w:bdr w:val="none" w:sz="0" w:space="0" w:color="auto" w:frame="1"/>
        </w:rPr>
        <w:t xml:space="preserve"> </w:t>
      </w:r>
    </w:p>
    <w:p w14:paraId="26A54A43" w14:textId="77777777" w:rsidR="00EB1201" w:rsidRPr="00593A5F" w:rsidRDefault="00EB1201" w:rsidP="00EB1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E1EB3E6" w14:textId="77777777" w:rsidR="00EB1201" w:rsidRPr="00593A5F" w:rsidRDefault="00EB1201" w:rsidP="00EB120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B1201" w:rsidRPr="002407CE" w14:paraId="04A6362B" w14:textId="77777777" w:rsidTr="000D5111">
        <w:trPr>
          <w:trHeight w:val="870"/>
          <w:jc w:val="center"/>
        </w:trPr>
        <w:tc>
          <w:tcPr>
            <w:tcW w:w="8647" w:type="dxa"/>
          </w:tcPr>
          <w:p w14:paraId="6AE843F0" w14:textId="77777777" w:rsidR="00EB1201" w:rsidRDefault="00EB1201" w:rsidP="00EB1201">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Constitución Política de 1991, artículos 360 y 361. </w:t>
            </w:r>
          </w:p>
          <w:p w14:paraId="6B832FAB" w14:textId="77777777" w:rsidR="00EB1201" w:rsidRPr="00B478FA" w:rsidRDefault="00EB1201" w:rsidP="000D5111">
            <w:pPr>
              <w:pStyle w:val="Prrafodelista"/>
              <w:widowControl w:val="0"/>
              <w:autoSpaceDE w:val="0"/>
              <w:autoSpaceDN w:val="0"/>
              <w:spacing w:line="276" w:lineRule="auto"/>
              <w:jc w:val="both"/>
              <w:rPr>
                <w:rFonts w:ascii="Verdana" w:hAnsi="Verdana" w:cs="Arial"/>
                <w:sz w:val="12"/>
                <w:szCs w:val="12"/>
              </w:rPr>
            </w:pPr>
          </w:p>
          <w:p w14:paraId="22C8991A" w14:textId="77777777" w:rsidR="00EB1201" w:rsidRPr="00C6433B" w:rsidRDefault="00EB1201" w:rsidP="00EB1201">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w:t>
            </w:r>
            <w:r>
              <w:rPr>
                <w:rFonts w:ascii="Verdana" w:hAnsi="Verdana" w:cs="Arial"/>
              </w:rPr>
              <w:t>2056 de 2020</w:t>
            </w:r>
            <w:r w:rsidRPr="00EA612E">
              <w:rPr>
                <w:rFonts w:ascii="Verdana" w:hAnsi="Verdana" w:cs="Arial"/>
              </w:rPr>
              <w:t>, artículo</w:t>
            </w:r>
            <w:r>
              <w:rPr>
                <w:rFonts w:ascii="Verdana" w:hAnsi="Verdana" w:cs="Arial"/>
              </w:rPr>
              <w:t>s 28 a 37, 83, 87, 98, 99, 101, 108 y 109</w:t>
            </w:r>
            <w:r w:rsidRPr="00EA612E">
              <w:rPr>
                <w:rFonts w:ascii="Verdana" w:hAnsi="Verdana" w:cs="Arial"/>
              </w:rPr>
              <w:t xml:space="preserve">. </w:t>
            </w:r>
          </w:p>
        </w:tc>
      </w:tr>
    </w:tbl>
    <w:p w14:paraId="7778BA2D" w14:textId="77777777" w:rsidR="00EB1201" w:rsidRPr="002407CE" w:rsidRDefault="00EB1201" w:rsidP="00EB1201">
      <w:pPr>
        <w:widowControl w:val="0"/>
        <w:autoSpaceDE w:val="0"/>
        <w:autoSpaceDN w:val="0"/>
        <w:spacing w:after="0" w:line="276" w:lineRule="auto"/>
        <w:jc w:val="both"/>
        <w:rPr>
          <w:rFonts w:ascii="Verdana" w:hAnsi="Verdana" w:cs="Arial"/>
        </w:rPr>
      </w:pPr>
    </w:p>
    <w:p w14:paraId="6D8B5724" w14:textId="77777777" w:rsidR="00EB1201" w:rsidRPr="00593A5F" w:rsidRDefault="00EB1201" w:rsidP="00EB12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59AF797" w14:textId="77777777" w:rsidR="00EB1201" w:rsidRPr="00593A5F" w:rsidRDefault="00EB1201" w:rsidP="00EB1201">
      <w:pPr>
        <w:widowControl w:val="0"/>
        <w:autoSpaceDE w:val="0"/>
        <w:autoSpaceDN w:val="0"/>
        <w:spacing w:after="0" w:line="276" w:lineRule="auto"/>
        <w:jc w:val="both"/>
        <w:rPr>
          <w:rFonts w:ascii="Verdana" w:hAnsi="Verdana" w:cs="Arial"/>
        </w:rPr>
      </w:pPr>
    </w:p>
    <w:p w14:paraId="75192AE7" w14:textId="77777777" w:rsidR="00EB1201" w:rsidRDefault="00EB1201" w:rsidP="00EB120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344DB">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las particularidades del Sistema </w:t>
      </w:r>
      <w:r>
        <w:rPr>
          <w:rStyle w:val="normaltextrun"/>
          <w:rFonts w:ascii="Verdana" w:hAnsi="Verdana" w:cs="Arial"/>
          <w:shd w:val="clear" w:color="auto" w:fill="FFFFFF"/>
        </w:rPr>
        <w:lastRenderedPageBreak/>
        <w:t xml:space="preserve">General de Regalías en los Conceptos </w:t>
      </w:r>
      <w:r w:rsidRPr="006F5818">
        <w:rPr>
          <w:rStyle w:val="normaltextrun"/>
          <w:rFonts w:ascii="Verdana" w:hAnsi="Verdana" w:cs="Arial"/>
          <w:shd w:val="clear" w:color="auto" w:fill="FFFFFF"/>
        </w:rPr>
        <w:t>C-604 del 09 de septiembre de 2020,</w:t>
      </w:r>
      <w:r>
        <w:rPr>
          <w:rStyle w:val="normaltextrun"/>
          <w:rFonts w:ascii="Verdana" w:hAnsi="Verdana" w:cs="Arial"/>
          <w:shd w:val="clear" w:color="auto" w:fill="FFFFFF"/>
        </w:rPr>
        <w:t xml:space="preserve"> </w:t>
      </w:r>
      <w:r w:rsidRPr="006F5818">
        <w:rPr>
          <w:rStyle w:val="normaltextrun"/>
          <w:rFonts w:ascii="Verdana" w:hAnsi="Verdana" w:cs="Arial"/>
          <w:shd w:val="clear" w:color="auto" w:fill="FFFFFF"/>
        </w:rPr>
        <w:t>C-370 del 28 de julio de 2021, C-095 del 22 de marzo de 2022, C-353 del 2 de junio de 2022</w:t>
      </w:r>
      <w:r>
        <w:rPr>
          <w:rStyle w:val="normaltextrun"/>
          <w:rFonts w:ascii="Verdana" w:hAnsi="Verdana" w:cs="Arial"/>
          <w:shd w:val="clear" w:color="auto" w:fill="FFFFFF"/>
        </w:rPr>
        <w:t>,</w:t>
      </w:r>
      <w:r w:rsidRPr="00102CE7">
        <w:rPr>
          <w:rStyle w:val="normaltextrun"/>
          <w:rFonts w:ascii="Verdana" w:hAnsi="Verdana" w:cs="Arial"/>
          <w:shd w:val="clear" w:color="auto" w:fill="FFFFFF"/>
        </w:rPr>
        <w:t xml:space="preserve"> C-489 del 1˚ de agosto de 2022</w:t>
      </w:r>
      <w:r>
        <w:rPr>
          <w:rStyle w:val="normaltextrun"/>
          <w:rFonts w:ascii="Verdana" w:hAnsi="Verdana" w:cs="Arial"/>
          <w:shd w:val="clear" w:color="auto" w:fill="FFFFFF"/>
        </w:rPr>
        <w:t xml:space="preserve"> y C-823 del 21 de noviembre de 2024</w:t>
      </w:r>
      <w:r w:rsidRPr="008D0AB0">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p>
    <w:p w14:paraId="618FD1F5" w14:textId="77777777" w:rsidR="00EB1201" w:rsidRDefault="00EB1201" w:rsidP="00EB120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5768F60" w14:textId="77777777" w:rsidR="00EB1201" w:rsidRPr="00A1554D" w:rsidRDefault="00EB1201" w:rsidP="00EB1201">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r:id="rId13" w:tgtFrame="_blank" w:tooltip="Original URL:&#10;https://www.colombiacompra.gov.co/sala-de-prensa/boletin-digital&#10;&#10;Click to follow link." w:history="1">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Fonts w:ascii="Verdana" w:hAnsi="Verdana" w:cs="Arial"/>
          <w:color w:val="000000" w:themeColor="text1"/>
          <w:shd w:val="clear" w:color="auto" w:fill="FFFFFF"/>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0673AE2" w14:textId="77777777" w:rsidR="00EB1201" w:rsidRPr="00E648DC" w:rsidRDefault="00EB1201" w:rsidP="00EB1201">
      <w:pPr>
        <w:widowControl w:val="0"/>
        <w:autoSpaceDE w:val="0"/>
        <w:autoSpaceDN w:val="0"/>
        <w:spacing w:after="0" w:line="276" w:lineRule="auto"/>
        <w:jc w:val="both"/>
        <w:rPr>
          <w:rFonts w:ascii="Verdana" w:hAnsi="Verdana" w:cs="Arial"/>
          <w:lang w:val="es-MX"/>
        </w:rPr>
      </w:pPr>
    </w:p>
    <w:p w14:paraId="634A9DE2" w14:textId="77777777" w:rsidR="00EB1201" w:rsidRPr="00593A5F" w:rsidRDefault="00EB1201" w:rsidP="00EB120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097C044" w14:textId="77777777" w:rsidR="00EB1201" w:rsidRPr="00593A5F" w:rsidRDefault="00EB1201" w:rsidP="00EB1201">
      <w:pPr>
        <w:widowControl w:val="0"/>
        <w:autoSpaceDE w:val="0"/>
        <w:autoSpaceDN w:val="0"/>
        <w:spacing w:after="0" w:line="276" w:lineRule="auto"/>
        <w:jc w:val="both"/>
        <w:rPr>
          <w:rFonts w:ascii="Verdana" w:hAnsi="Verdana" w:cs="Arial"/>
        </w:rPr>
      </w:pPr>
    </w:p>
    <w:p w14:paraId="18B7D064" w14:textId="77777777" w:rsidR="00EB1201" w:rsidRPr="00593A5F" w:rsidRDefault="00EB1201" w:rsidP="00EB120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EC23E14" w14:textId="32E87C29" w:rsidR="00EB1201" w:rsidRPr="00593A5F" w:rsidRDefault="002B50B8" w:rsidP="00EB1201">
      <w:pPr>
        <w:spacing w:line="276" w:lineRule="auto"/>
        <w:jc w:val="center"/>
        <w:rPr>
          <w:rFonts w:ascii="Verdana" w:hAnsi="Verdana" w:cs="Arial"/>
          <w:color w:val="000000"/>
          <w:lang w:val="es-ES_tradnl" w:eastAsia="es-CO"/>
        </w:rPr>
      </w:pPr>
      <w:r>
        <w:rPr>
          <w:noProof/>
        </w:rPr>
        <w:drawing>
          <wp:inline distT="0" distB="0" distL="0" distR="0" wp14:anchorId="1BF01035" wp14:editId="63AA7687">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B1201" w:rsidRPr="00593A5F" w14:paraId="3CE2EE64" w14:textId="77777777" w:rsidTr="000D5111">
        <w:trPr>
          <w:trHeight w:val="315"/>
        </w:trPr>
        <w:tc>
          <w:tcPr>
            <w:tcW w:w="893" w:type="dxa"/>
            <w:vAlign w:val="center"/>
            <w:hideMark/>
          </w:tcPr>
          <w:p w14:paraId="5CD4767B" w14:textId="77777777" w:rsidR="00EB1201" w:rsidRPr="003751C7" w:rsidRDefault="00EB1201"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DD23821" w14:textId="77777777" w:rsidR="00EB1201" w:rsidRPr="00254A7A" w:rsidRDefault="00EB1201" w:rsidP="000D5111">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4C035F5" w14:textId="77777777" w:rsidR="00EB1201" w:rsidRPr="00254A7A" w:rsidRDefault="00EB1201" w:rsidP="000D5111">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EB1201" w:rsidRPr="00593A5F" w14:paraId="5C500FB4" w14:textId="77777777" w:rsidTr="000D5111">
        <w:trPr>
          <w:trHeight w:val="330"/>
        </w:trPr>
        <w:tc>
          <w:tcPr>
            <w:tcW w:w="893" w:type="dxa"/>
            <w:vAlign w:val="center"/>
            <w:hideMark/>
          </w:tcPr>
          <w:p w14:paraId="68E04BDE" w14:textId="77777777" w:rsidR="00EB1201" w:rsidRPr="003751C7" w:rsidRDefault="00EB1201"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CB5FCF" w14:textId="77777777" w:rsidR="00EB1201" w:rsidRPr="00254A7A" w:rsidRDefault="00EB1201" w:rsidP="000D5111">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38277213" w14:textId="77777777" w:rsidR="00EB1201" w:rsidRPr="00254A7A" w:rsidRDefault="00EB1201" w:rsidP="000D5111">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EB1201" w:rsidRPr="00593A5F" w14:paraId="7EB9D59B" w14:textId="77777777" w:rsidTr="000D5111">
        <w:trPr>
          <w:trHeight w:val="300"/>
        </w:trPr>
        <w:tc>
          <w:tcPr>
            <w:tcW w:w="893" w:type="dxa"/>
            <w:vAlign w:val="center"/>
          </w:tcPr>
          <w:p w14:paraId="06774D34" w14:textId="77777777" w:rsidR="00EB1201" w:rsidRPr="003751C7" w:rsidRDefault="00EB1201"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D96B14" w14:textId="77777777" w:rsidR="00EB1201" w:rsidRPr="003751C7" w:rsidRDefault="00EB1201" w:rsidP="000D511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4EDB808" w14:textId="77777777" w:rsidR="00EB1201" w:rsidRPr="003751C7" w:rsidRDefault="00EB1201" w:rsidP="000D511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A449F2F" w14:textId="77777777" w:rsidR="00EB1201" w:rsidRPr="00593A5F" w:rsidRDefault="00EB1201" w:rsidP="00EB1201">
      <w:pPr>
        <w:spacing w:after="0" w:line="240" w:lineRule="auto"/>
        <w:rPr>
          <w:rFonts w:ascii="Verdana" w:eastAsia="Times New Roman" w:hAnsi="Verdana" w:cs="Arial"/>
          <w:sz w:val="24"/>
          <w:szCs w:val="24"/>
          <w:lang w:eastAsia="es-ES"/>
        </w:rPr>
      </w:pPr>
    </w:p>
    <w:p w14:paraId="3900974D" w14:textId="77777777" w:rsidR="003D5B0D" w:rsidRPr="00EB1201" w:rsidRDefault="003D5B0D" w:rsidP="00EB1201"/>
    <w:sectPr w:rsidR="003D5B0D" w:rsidRPr="00EB120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B802C" w14:textId="77777777" w:rsidR="009153F4" w:rsidRDefault="009153F4" w:rsidP="004A1847">
      <w:pPr>
        <w:spacing w:after="0" w:line="240" w:lineRule="auto"/>
      </w:pPr>
      <w:r>
        <w:separator/>
      </w:r>
    </w:p>
  </w:endnote>
  <w:endnote w:type="continuationSeparator" w:id="0">
    <w:p w14:paraId="75FF3475" w14:textId="77777777" w:rsidR="009153F4" w:rsidRDefault="009153F4" w:rsidP="004A1847">
      <w:pPr>
        <w:spacing w:after="0" w:line="240" w:lineRule="auto"/>
      </w:pPr>
      <w:r>
        <w:continuationSeparator/>
      </w:r>
    </w:p>
  </w:endnote>
  <w:endnote w:type="continuationNotice" w:id="1">
    <w:p w14:paraId="55CEE8F9" w14:textId="77777777" w:rsidR="009153F4" w:rsidRDefault="00915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E404CB" w14:textId="77777777" w:rsidR="009153F4" w:rsidRDefault="009153F4" w:rsidP="004A1847">
      <w:pPr>
        <w:spacing w:after="0" w:line="240" w:lineRule="auto"/>
      </w:pPr>
      <w:r>
        <w:separator/>
      </w:r>
    </w:p>
  </w:footnote>
  <w:footnote w:type="continuationSeparator" w:id="0">
    <w:p w14:paraId="2C3E1B6F" w14:textId="77777777" w:rsidR="009153F4" w:rsidRDefault="009153F4" w:rsidP="004A1847">
      <w:pPr>
        <w:spacing w:after="0" w:line="240" w:lineRule="auto"/>
      </w:pPr>
      <w:r>
        <w:continuationSeparator/>
      </w:r>
    </w:p>
  </w:footnote>
  <w:footnote w:type="continuationNotice" w:id="1">
    <w:p w14:paraId="10B55E01" w14:textId="77777777" w:rsidR="009153F4" w:rsidRDefault="009153F4">
      <w:pPr>
        <w:spacing w:after="0" w:line="240" w:lineRule="auto"/>
      </w:pPr>
    </w:p>
  </w:footnote>
  <w:footnote w:id="2">
    <w:p w14:paraId="0596F719" w14:textId="77777777" w:rsidR="00EB1201" w:rsidRPr="00F473B6" w:rsidRDefault="00EB1201" w:rsidP="00E60431">
      <w:pPr>
        <w:pStyle w:val="Textonotapie"/>
        <w:ind w:firstLine="708"/>
        <w:jc w:val="both"/>
        <w:rPr>
          <w:rFonts w:ascii="Verdana" w:hAnsi="Verdana" w:cs="Arial"/>
          <w:sz w:val="16"/>
          <w:szCs w:val="16"/>
          <w:shd w:val="clear" w:color="auto" w:fill="FFFFFF"/>
        </w:rPr>
      </w:pPr>
      <w:r w:rsidRPr="00F473B6">
        <w:rPr>
          <w:rStyle w:val="Refdenotaalpie"/>
          <w:rFonts w:ascii="Verdana" w:hAnsi="Verdana" w:cs="Arial"/>
          <w:sz w:val="16"/>
          <w:szCs w:val="16"/>
        </w:rPr>
        <w:footnoteRef/>
      </w:r>
      <w:r w:rsidRPr="00F473B6">
        <w:rPr>
          <w:rFonts w:ascii="Verdana" w:hAnsi="Verdana" w:cs="Arial"/>
          <w:sz w:val="16"/>
          <w:szCs w:val="16"/>
        </w:rPr>
        <w:t xml:space="preserve"> Al respecto, la Corte indicó: “</w:t>
      </w:r>
      <w:r w:rsidRPr="00F473B6">
        <w:rPr>
          <w:rFonts w:ascii="Verdana" w:hAnsi="Verdana" w:cs="Arial"/>
          <w:sz w:val="16"/>
          <w:szCs w:val="16"/>
          <w:shd w:val="clear" w:color="auto" w:fill="FFFFFF"/>
        </w:rPr>
        <w:t>Las regalías son comprendidas por el derecho constitucional como una </w:t>
      </w:r>
      <w:r w:rsidRPr="00F473B6">
        <w:rPr>
          <w:rFonts w:ascii="Verdana" w:hAnsi="Verdana" w:cs="Arial"/>
          <w:i/>
          <w:iCs/>
          <w:sz w:val="16"/>
          <w:szCs w:val="16"/>
          <w:shd w:val="clear" w:color="auto" w:fill="FFFFFF"/>
        </w:rPr>
        <w:t>contraprestación económica </w:t>
      </w:r>
      <w:r w:rsidRPr="00F473B6">
        <w:rPr>
          <w:rFonts w:ascii="Verdana" w:hAnsi="Verdana" w:cs="Arial"/>
          <w:sz w:val="16"/>
          <w:szCs w:val="16"/>
          <w:shd w:val="clear" w:color="auto" w:fill="FFFFFF"/>
        </w:rPr>
        <w:t>que recibe el Estado, en razón de la extracción de recursos naturales no renovables existentes en el subsuelo.  Como lo ha explicado la jurisprudencia reiterada, este concepto refiere a la </w:t>
      </w:r>
      <w:r w:rsidRPr="00F473B6">
        <w:rPr>
          <w:rFonts w:ascii="Verdana" w:hAnsi="Verdana" w:cs="Arial"/>
          <w:i/>
          <w:iCs/>
          <w:sz w:val="16"/>
          <w:szCs w:val="16"/>
          <w:shd w:val="clear" w:color="auto" w:fill="FFFFFF"/>
        </w:rPr>
        <w:t>“c</w:t>
      </w:r>
      <w:r w:rsidRPr="00F473B6">
        <w:rPr>
          <w:rFonts w:ascii="Verdana" w:hAnsi="Verdana" w:cs="Arial"/>
          <w:i/>
          <w:iCs/>
          <w:spacing w:val="-3"/>
          <w:sz w:val="16"/>
          <w:szCs w:val="16"/>
          <w:shd w:val="clear" w:color="auto" w:fill="FFFFFF"/>
        </w:rPr>
        <w:t>ontraprestación económica que percibe el Estado de las personas a quienes se les concede el derecho a explotar los recursos naturales no renovables en determinado porcentaje sobre el producto bruto explotado.</w:t>
      </w:r>
      <w:r w:rsidRPr="00F473B6">
        <w:rPr>
          <w:rFonts w:ascii="Verdana" w:hAnsi="Verdana" w:cs="Arial"/>
          <w:spacing w:val="-3"/>
          <w:sz w:val="16"/>
          <w:szCs w:val="16"/>
          <w:shd w:val="clear" w:color="auto" w:fill="FFFFFF"/>
        </w:rPr>
        <w:t xml:space="preserve"> A su vez, de acuerdo con el mismo precedente, en lo que respecta al derecho a las compensaciones, este </w:t>
      </w:r>
      <w:r w:rsidRPr="00F473B6">
        <w:rPr>
          <w:rFonts w:ascii="Verdana" w:hAnsi="Verdana" w:cs="Arial"/>
          <w:sz w:val="16"/>
          <w:szCs w:val="16"/>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0B9232CE" w14:textId="77777777" w:rsidR="00EB1201" w:rsidRPr="00F473B6" w:rsidRDefault="00EB1201" w:rsidP="00E60431">
      <w:pPr>
        <w:pStyle w:val="Textonotapie"/>
        <w:ind w:firstLine="708"/>
        <w:jc w:val="both"/>
        <w:rPr>
          <w:rFonts w:ascii="Verdana" w:hAnsi="Verdana" w:cs="Arial"/>
          <w:sz w:val="16"/>
          <w:szCs w:val="16"/>
          <w:shd w:val="clear" w:color="auto" w:fill="FFFFFF"/>
        </w:rPr>
      </w:pPr>
      <w:r w:rsidRPr="00F473B6">
        <w:rPr>
          <w:rFonts w:ascii="Verdana" w:hAnsi="Verdana" w:cs="Arial"/>
          <w:sz w:val="16"/>
          <w:szCs w:val="16"/>
          <w:shd w:val="clear" w:color="auto" w:fill="FFFFFF"/>
        </w:rPr>
        <w:t>Así lo ha explicado la Corte al prever que las regalías carecen de naturaleza tributaria, ya que </w:t>
      </w:r>
      <w:r w:rsidRPr="00F473B6">
        <w:rPr>
          <w:rFonts w:ascii="Verdana" w:hAnsi="Verdana" w:cs="Arial"/>
          <w:i/>
          <w:iCs/>
          <w:sz w:val="16"/>
          <w:szCs w:val="16"/>
          <w:shd w:val="clear" w:color="auto" w:fill="FFFFFF"/>
        </w:rPr>
        <w:t>“</w:t>
      </w:r>
      <w:r w:rsidRPr="00F473B6">
        <w:rPr>
          <w:rFonts w:ascii="Verdana" w:hAnsi="Verdana" w:cs="Arial"/>
          <w:sz w:val="16"/>
          <w:szCs w:val="16"/>
          <w:shd w:val="clear" w:color="auto" w:fill="FFFFFF"/>
        </w:rPr>
        <w:t>[a]</w:t>
      </w:r>
      <w:r w:rsidRPr="00F473B6">
        <w:rPr>
          <w:rFonts w:ascii="Verdana" w:hAnsi="Verdana" w:cs="Arial"/>
          <w:i/>
          <w:iCs/>
          <w:sz w:val="16"/>
          <w:szCs w:val="16"/>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F473B6">
        <w:rPr>
          <w:rFonts w:ascii="Verdana" w:hAnsi="Verdana" w:cs="Arial"/>
          <w:sz w:val="16"/>
          <w:szCs w:val="16"/>
          <w:lang w:val="es-CO"/>
        </w:rPr>
        <w:t>Corte Constitucional. Sentencias C-748 de 2012 y C-010 de 2013. M.P. Luis Ernesto Vargas Silva</w:t>
      </w:r>
    </w:p>
  </w:footnote>
  <w:footnote w:id="3">
    <w:p w14:paraId="02B3CF93" w14:textId="77777777" w:rsidR="00EB1201" w:rsidRPr="00F473B6" w:rsidRDefault="00EB1201" w:rsidP="00E60431">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CÁMARA DE REPRESENTANTES. Exposición de motivos del Proyecto de Ley No 311 de 2020. Gaceta No 638 de 2020. </w:t>
      </w:r>
    </w:p>
  </w:footnote>
  <w:footnote w:id="4">
    <w:p w14:paraId="472ED97F" w14:textId="77777777" w:rsidR="00EB1201" w:rsidRPr="00F473B6" w:rsidRDefault="00EB1201" w:rsidP="00E60431">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5">
    <w:p w14:paraId="6B5AC596" w14:textId="77777777" w:rsidR="00EB1201" w:rsidRPr="00F473B6" w:rsidRDefault="00EB1201" w:rsidP="00E60431">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6">
    <w:p w14:paraId="145B0448"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r w:rsidRPr="00F473B6">
        <w:rPr>
          <w:rFonts w:ascii="Verdana" w:hAnsi="Verdana" w:cs="Arial"/>
          <w:color w:val="000000" w:themeColor="text1"/>
          <w:sz w:val="16"/>
          <w:szCs w:val="16"/>
          <w:lang w:val="es-ES_tradnl"/>
        </w:rPr>
        <w:t>“</w:t>
      </w:r>
      <w:r w:rsidRPr="00F473B6">
        <w:rPr>
          <w:rFonts w:ascii="Verdana" w:hAnsi="Verdana" w:cs="Arial"/>
          <w:bCs/>
          <w:sz w:val="16"/>
          <w:szCs w:val="16"/>
        </w:rPr>
        <w:t>Artículo 28. Destinación.</w:t>
      </w:r>
      <w:r w:rsidRPr="00F473B6">
        <w:rPr>
          <w:rFonts w:ascii="Verdana" w:hAnsi="Verdana" w:cs="Arial"/>
          <w:sz w:val="16"/>
          <w:szCs w:val="16"/>
        </w:rPr>
        <w:t xml:space="preserve"> Con los recursos del Sistema General de Regalías se financiarán proyectos de inversión en sus diferentes etapas, siempre y cuando esté definido en los mismos el horizonte de realización.</w:t>
      </w:r>
    </w:p>
    <w:p w14:paraId="02BFEA25"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17863275"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Lo anterior de conformidad con la metodología para la formulación de los proyectos de inversión establecida por el Departamento Nacional de Planeación.</w:t>
      </w:r>
    </w:p>
    <w:p w14:paraId="124A8202"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En todo caso, no podrán financiarse gastos permanentes y, una vez terminada la etapa de inversión, la prestación del servicio debe ser sostenible y financiada por recursos diferentes al Sistema General de Regalías.</w:t>
      </w:r>
    </w:p>
    <w:p w14:paraId="4F6A467D"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Los recursos de que trata este artículo podrán ser usados para financiar parte del Programa de Alimentación Escolar (PAE) y del programa de transporte escolar</w:t>
      </w:r>
      <w:r w:rsidRPr="00F473B6">
        <w:rPr>
          <w:rFonts w:ascii="Verdana" w:hAnsi="Verdana" w:cs="Arial"/>
          <w:color w:val="000000" w:themeColor="text1"/>
          <w:sz w:val="16"/>
          <w:szCs w:val="16"/>
          <w:lang w:val="es-ES_tradnl"/>
        </w:rPr>
        <w:t>”</w:t>
      </w:r>
      <w:r w:rsidRPr="00F473B6">
        <w:rPr>
          <w:rFonts w:ascii="Verdana" w:hAnsi="Verdana" w:cs="Arial"/>
          <w:sz w:val="16"/>
          <w:szCs w:val="16"/>
        </w:rPr>
        <w:t>.</w:t>
      </w:r>
    </w:p>
  </w:footnote>
  <w:footnote w:id="7">
    <w:p w14:paraId="3B1F195B"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2" w:name="35"/>
      <w:r w:rsidRPr="00F473B6">
        <w:rPr>
          <w:rFonts w:ascii="Verdana" w:hAnsi="Verdana" w:cs="Arial"/>
          <w:sz w:val="16"/>
          <w:szCs w:val="16"/>
        </w:rPr>
        <w:t>“</w:t>
      </w:r>
      <w:r w:rsidRPr="00F473B6">
        <w:rPr>
          <w:rFonts w:ascii="Verdana" w:hAnsi="Verdana" w:cs="Arial"/>
          <w:bCs/>
          <w:sz w:val="16"/>
          <w:szCs w:val="16"/>
        </w:rPr>
        <w:t>Artículo 35. Priorización y aprobación de los proyectos de inversión de la asignación para la inversión regional.</w:t>
      </w:r>
      <w:bookmarkEnd w:id="2"/>
      <w:r w:rsidRPr="00F473B6">
        <w:rPr>
          <w:rFonts w:ascii="Verdana" w:hAnsi="Verdana" w:cs="Arial"/>
          <w:sz w:val="16"/>
          <w:szCs w:val="16"/>
        </w:rPr>
        <w:t> La priorización y aprobación de los proyectos de inversión de la Asignación para la Inversión Regional en cabeza de los departamentos estará a cargo de los respectivos departamentos.</w:t>
      </w:r>
    </w:p>
    <w:p w14:paraId="331C79C6"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66785FDE"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w:t>
      </w:r>
    </w:p>
    <w:p w14:paraId="3302B7AB"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1o.</w:t>
      </w:r>
      <w:r w:rsidRPr="00F473B6">
        <w:rPr>
          <w:rFonts w:ascii="Verdana" w:hAnsi="Verdana" w:cs="Arial"/>
          <w:sz w:val="16"/>
          <w:szCs w:val="16"/>
        </w:rPr>
        <w:t> En las zonas no interconectadas del país, tendrán especial consideración los proyectos de energización, conectividad e infraestructura vial.</w:t>
      </w:r>
    </w:p>
    <w:p w14:paraId="0A4CE3CE"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2o.</w:t>
      </w:r>
      <w:r w:rsidRPr="00F473B6">
        <w:rPr>
          <w:rFonts w:ascii="Verdana" w:hAnsi="Verdana" w:cs="Arial"/>
          <w:sz w:val="16"/>
          <w:szCs w:val="16"/>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F473B6">
        <w:rPr>
          <w:rFonts w:ascii="Verdana" w:hAnsi="Verdana" w:cs="Arial"/>
          <w:sz w:val="16"/>
          <w:szCs w:val="16"/>
          <w:lang w:val="es-ES"/>
        </w:rPr>
        <w:t>”</w:t>
      </w:r>
      <w:r w:rsidRPr="00F473B6">
        <w:rPr>
          <w:rFonts w:ascii="Verdana" w:hAnsi="Verdana" w:cs="Arial"/>
          <w:sz w:val="16"/>
          <w:szCs w:val="16"/>
        </w:rPr>
        <w:t>.</w:t>
      </w:r>
    </w:p>
  </w:footnote>
  <w:footnote w:id="8">
    <w:p w14:paraId="42CC10A8"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3" w:name="36"/>
      <w:r w:rsidRPr="00F473B6">
        <w:rPr>
          <w:rFonts w:ascii="Verdana" w:hAnsi="Verdana" w:cs="Arial"/>
          <w:sz w:val="16"/>
          <w:szCs w:val="16"/>
        </w:rPr>
        <w:t xml:space="preserve">Artículo 36. </w:t>
      </w:r>
      <w:r w:rsidRPr="00F473B6">
        <w:rPr>
          <w:rFonts w:ascii="Verdana" w:hAnsi="Verdana" w:cs="Arial"/>
          <w:bCs/>
          <w:sz w:val="16"/>
          <w:szCs w:val="16"/>
        </w:rPr>
        <w:t>Priorización y aprobación de proyectos de inversión para las asignaciones directas y asignación para la inversión local.</w:t>
      </w:r>
      <w:bookmarkEnd w:id="3"/>
      <w:r w:rsidRPr="00F473B6">
        <w:rPr>
          <w:rFonts w:ascii="Verdana" w:hAnsi="Verdana" w:cs="Arial"/>
          <w:sz w:val="16"/>
          <w:szCs w:val="16"/>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29A7C710"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248C75F9"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3B969E09" w14:textId="77777777" w:rsidR="00EB1201" w:rsidRPr="00F473B6" w:rsidRDefault="00EB1201" w:rsidP="00E60431">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1C398B2D" w14:textId="77777777" w:rsidR="00EB1201" w:rsidRPr="00F473B6" w:rsidRDefault="00EB1201" w:rsidP="00E60431">
      <w:pPr>
        <w:pStyle w:val="Textonotapie"/>
        <w:ind w:firstLine="708"/>
        <w:jc w:val="both"/>
        <w:rPr>
          <w:rFonts w:ascii="Verdana" w:hAnsi="Verdana"/>
          <w:sz w:val="16"/>
          <w:szCs w:val="16"/>
          <w:lang w:val="es-CO"/>
        </w:rPr>
      </w:pPr>
      <w:r w:rsidRPr="00F473B6">
        <w:rPr>
          <w:rStyle w:val="baj"/>
          <w:rFonts w:ascii="Verdana" w:hAnsi="Verdana" w:cs="Arial"/>
          <w:bCs/>
          <w:sz w:val="16"/>
          <w:szCs w:val="16"/>
        </w:rPr>
        <w:t>Parágrafo transitorio.</w:t>
      </w:r>
      <w:r w:rsidRPr="00F473B6">
        <w:rPr>
          <w:rFonts w:ascii="Verdana" w:hAnsi="Verdana" w:cs="Arial"/>
          <w:sz w:val="16"/>
          <w:szCs w:val="16"/>
        </w:rPr>
        <w:t> Para el año 2021 no aplicará la metodología de cierre de brechas de que trata el parágrafo anterior dirigida a las entidades territoriales receptoras de la Asignación para la Inversión Local</w:t>
      </w:r>
      <w:r w:rsidRPr="00F473B6">
        <w:rPr>
          <w:rFonts w:ascii="Verdana" w:hAnsi="Verdana" w:cs="Arial"/>
          <w:sz w:val="16"/>
          <w:szCs w:val="16"/>
          <w:lang w:val="es-ES"/>
        </w:rPr>
        <w:t>”</w:t>
      </w:r>
      <w:r w:rsidRPr="00F473B6">
        <w:rPr>
          <w:rFonts w:ascii="Verdana" w:hAnsi="Verdana" w:cs="Arial"/>
          <w:sz w:val="16"/>
          <w:szCs w:val="16"/>
        </w:rPr>
        <w:t>.</w:t>
      </w:r>
    </w:p>
  </w:footnote>
  <w:footnote w:id="9">
    <w:p w14:paraId="669CF0E5" w14:textId="77777777" w:rsidR="00EB1201" w:rsidRPr="00F473B6" w:rsidRDefault="00EB1201" w:rsidP="00E60431">
      <w:pPr>
        <w:spacing w:after="0"/>
        <w:ind w:firstLine="708"/>
        <w:jc w:val="both"/>
        <w:rPr>
          <w:rFonts w:ascii="Verdana" w:hAnsi="Verdana" w:cs="Arial"/>
          <w:sz w:val="16"/>
          <w:szCs w:val="16"/>
        </w:rPr>
      </w:pPr>
      <w:r w:rsidRPr="00F473B6">
        <w:rPr>
          <w:rStyle w:val="Refdenotaalpie"/>
          <w:rFonts w:ascii="Verdana" w:hAnsi="Verdana" w:cs="Arial"/>
          <w:sz w:val="16"/>
          <w:szCs w:val="16"/>
        </w:rPr>
        <w:footnoteRef/>
      </w:r>
      <w:r>
        <w:rPr>
          <w:rFonts w:ascii="Verdana" w:hAnsi="Verdana" w:cs="Arial"/>
          <w:sz w:val="16"/>
          <w:szCs w:val="16"/>
        </w:rPr>
        <w:t xml:space="preserve"> </w:t>
      </w:r>
      <w:bookmarkStart w:id="4" w:name="37"/>
      <w:r>
        <w:rPr>
          <w:rFonts w:ascii="Verdana" w:hAnsi="Verdana" w:cs="Arial"/>
          <w:sz w:val="16"/>
          <w:szCs w:val="16"/>
        </w:rPr>
        <w:t>“</w:t>
      </w:r>
      <w:r w:rsidRPr="00F473B6">
        <w:rPr>
          <w:rFonts w:ascii="Verdana" w:hAnsi="Verdana" w:cs="Arial"/>
          <w:bCs/>
          <w:sz w:val="16"/>
          <w:szCs w:val="16"/>
        </w:rPr>
        <w:t>Artículo 37. ejecución de proyectos de inversión.</w:t>
      </w:r>
      <w:bookmarkEnd w:id="4"/>
      <w:r w:rsidRPr="00F473B6">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F473B6">
          <w:rPr>
            <w:rFonts w:ascii="Verdana" w:hAnsi="Verdana" w:cs="Arial"/>
            <w:sz w:val="16"/>
            <w:szCs w:val="16"/>
          </w:rPr>
          <w:t>35</w:t>
        </w:r>
      </w:hyperlink>
      <w:r w:rsidRPr="00F473B6">
        <w:rPr>
          <w:rFonts w:ascii="Verdana" w:hAnsi="Verdana" w:cs="Arial"/>
          <w:sz w:val="16"/>
          <w:szCs w:val="16"/>
        </w:rPr>
        <w:t> y </w:t>
      </w:r>
      <w:hyperlink r:id="rId2" w:anchor="36" w:history="1">
        <w:r w:rsidRPr="00F473B6">
          <w:rPr>
            <w:rFonts w:ascii="Verdana" w:hAnsi="Verdana" w:cs="Arial"/>
            <w:sz w:val="16"/>
            <w:szCs w:val="16"/>
          </w:rPr>
          <w:t>36</w:t>
        </w:r>
      </w:hyperlink>
      <w:r w:rsidRPr="00F473B6">
        <w:rPr>
          <w:rFonts w:ascii="Verdana" w:hAnsi="Verdana" w:cs="Arial"/>
          <w:sz w:val="16"/>
          <w:szCs w:val="16"/>
        </w:rPr>
        <w:t> de la presente ley. así mismo, la entidad ejecutora estará a cargo de la contratación de la interventoría, de conformidad con lo previsto en la presente ley.</w:t>
      </w:r>
    </w:p>
    <w:p w14:paraId="2DD28032" w14:textId="77777777" w:rsidR="00EB1201" w:rsidRPr="00F473B6" w:rsidRDefault="00EB1201" w:rsidP="00E60431">
      <w:pPr>
        <w:spacing w:after="0"/>
        <w:ind w:firstLine="708"/>
        <w:jc w:val="both"/>
        <w:rPr>
          <w:rFonts w:ascii="Verdana" w:hAnsi="Verdana" w:cs="Arial"/>
          <w:sz w:val="16"/>
          <w:szCs w:val="16"/>
        </w:rPr>
      </w:pPr>
      <w:r w:rsidRPr="00F473B6">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7F8CD36E" w14:textId="77777777" w:rsidR="00EB1201" w:rsidRPr="00F473B6" w:rsidRDefault="00EB1201" w:rsidP="00E60431">
      <w:pPr>
        <w:spacing w:after="0"/>
        <w:ind w:firstLine="708"/>
        <w:jc w:val="both"/>
        <w:rPr>
          <w:rFonts w:ascii="Verdana" w:hAnsi="Verdana" w:cs="Arial"/>
          <w:sz w:val="16"/>
          <w:szCs w:val="16"/>
        </w:rPr>
      </w:pPr>
      <w:r w:rsidRPr="00F473B6">
        <w:rPr>
          <w:rFonts w:ascii="Verdana" w:hAnsi="Verdana" w:cs="Arial"/>
          <w:bCs/>
          <w:sz w:val="16"/>
          <w:szCs w:val="16"/>
        </w:rPr>
        <w:t>Parágrafo 1o.</w:t>
      </w:r>
      <w:r w:rsidRPr="00F473B6">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589817EC" w14:textId="77777777" w:rsidR="00EB1201" w:rsidRPr="00F473B6" w:rsidRDefault="00EB1201" w:rsidP="00E60431">
      <w:pPr>
        <w:spacing w:after="0"/>
        <w:ind w:firstLine="708"/>
        <w:jc w:val="both"/>
        <w:rPr>
          <w:rFonts w:ascii="Verdana" w:hAnsi="Verdana" w:cs="Arial"/>
          <w:sz w:val="16"/>
          <w:szCs w:val="16"/>
        </w:rPr>
      </w:pPr>
      <w:r w:rsidRPr="00F473B6">
        <w:rPr>
          <w:rFonts w:ascii="Verdana" w:hAnsi="Verdana" w:cs="Arial"/>
          <w:bCs/>
          <w:sz w:val="16"/>
          <w:szCs w:val="16"/>
        </w:rPr>
        <w:t>Parágrafo 2o.</w:t>
      </w:r>
      <w:r w:rsidRPr="00F473B6">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5DDAA767" w14:textId="77777777" w:rsidR="00EB1201" w:rsidRPr="00F473B6" w:rsidRDefault="00EB1201" w:rsidP="00E60431">
      <w:pPr>
        <w:spacing w:after="0"/>
        <w:ind w:firstLine="708"/>
        <w:jc w:val="both"/>
        <w:rPr>
          <w:rFonts w:ascii="Verdana" w:hAnsi="Verdana" w:cs="Arial"/>
          <w:sz w:val="16"/>
          <w:szCs w:val="16"/>
        </w:rPr>
      </w:pPr>
      <w:r w:rsidRPr="00F473B6">
        <w:rPr>
          <w:rFonts w:ascii="Verdana" w:hAnsi="Verdana" w:cs="Arial"/>
          <w:bCs/>
          <w:sz w:val="16"/>
          <w:szCs w:val="16"/>
        </w:rPr>
        <w:t>Parágrafo 3o.</w:t>
      </w:r>
      <w:r w:rsidRPr="00F473B6">
        <w:rPr>
          <w:rFonts w:ascii="Verdana" w:hAnsi="Verdana" w:cs="Arial"/>
          <w:sz w:val="16"/>
          <w:szCs w:val="16"/>
        </w:rPr>
        <w:t xml:space="preserve"> La entidad designada ejecutora por las entidades u órganos de que tratan los artículos </w:t>
      </w:r>
      <w:hyperlink r:id="rId3" w:anchor="35" w:history="1">
        <w:r w:rsidRPr="00F473B6">
          <w:rPr>
            <w:rFonts w:ascii="Verdana" w:hAnsi="Verdana" w:cs="Arial"/>
            <w:sz w:val="16"/>
            <w:szCs w:val="16"/>
          </w:rPr>
          <w:t>35</w:t>
        </w:r>
      </w:hyperlink>
      <w:r w:rsidRPr="00F473B6">
        <w:rPr>
          <w:rFonts w:ascii="Verdana" w:hAnsi="Verdana" w:cs="Arial"/>
          <w:sz w:val="16"/>
          <w:szCs w:val="16"/>
        </w:rPr>
        <w:t xml:space="preserve"> y </w:t>
      </w:r>
      <w:hyperlink r:id="rId4" w:anchor="36" w:history="1">
        <w:r w:rsidRPr="00F473B6">
          <w:rPr>
            <w:rFonts w:ascii="Verdana" w:hAnsi="Verdana" w:cs="Arial"/>
            <w:sz w:val="16"/>
            <w:szCs w:val="16"/>
          </w:rPr>
          <w:t>36</w:t>
        </w:r>
      </w:hyperlink>
      <w:r w:rsidRPr="00F473B6">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854FF20" w14:textId="77777777" w:rsidR="00EB1201" w:rsidRPr="00F473B6" w:rsidRDefault="00EB1201" w:rsidP="00E60431">
      <w:pPr>
        <w:spacing w:after="0"/>
        <w:ind w:firstLine="708"/>
        <w:jc w:val="both"/>
        <w:rPr>
          <w:rFonts w:ascii="Verdana" w:hAnsi="Verdana" w:cs="Arial"/>
          <w:sz w:val="16"/>
          <w:szCs w:val="16"/>
        </w:rPr>
      </w:pPr>
      <w:r w:rsidRPr="00F473B6">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FCC26E5" w14:textId="77777777" w:rsidR="00EB1201" w:rsidRPr="00F473B6" w:rsidRDefault="00EB1201" w:rsidP="00E60431">
      <w:pPr>
        <w:spacing w:after="0"/>
        <w:ind w:firstLine="708"/>
        <w:jc w:val="both"/>
        <w:rPr>
          <w:rFonts w:ascii="Verdana" w:hAnsi="Verdana"/>
          <w:sz w:val="16"/>
          <w:szCs w:val="16"/>
        </w:rPr>
      </w:pPr>
      <w:r w:rsidRPr="00F473B6">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Pr>
          <w:rFonts w:ascii="Verdana" w:hAnsi="Verdana" w:cs="Arial"/>
          <w:sz w:val="16"/>
          <w:szCs w:val="16"/>
          <w:lang w:val="es-ES"/>
        </w:rPr>
        <w:t>”</w:t>
      </w:r>
      <w:r w:rsidRPr="00F473B6">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pt;height:11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1910656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C51"/>
    <w:rsid w:val="00046945"/>
    <w:rsid w:val="00061B2A"/>
    <w:rsid w:val="00082362"/>
    <w:rsid w:val="00082879"/>
    <w:rsid w:val="000A683E"/>
    <w:rsid w:val="000B19B9"/>
    <w:rsid w:val="000D0334"/>
    <w:rsid w:val="000F6486"/>
    <w:rsid w:val="00100FB3"/>
    <w:rsid w:val="00125105"/>
    <w:rsid w:val="00127233"/>
    <w:rsid w:val="001511A0"/>
    <w:rsid w:val="00165A5E"/>
    <w:rsid w:val="001C2380"/>
    <w:rsid w:val="001E349E"/>
    <w:rsid w:val="001E4177"/>
    <w:rsid w:val="001F7DC6"/>
    <w:rsid w:val="0022094A"/>
    <w:rsid w:val="002421BB"/>
    <w:rsid w:val="002461F3"/>
    <w:rsid w:val="00246C74"/>
    <w:rsid w:val="0025796E"/>
    <w:rsid w:val="002707A2"/>
    <w:rsid w:val="002951A0"/>
    <w:rsid w:val="002962BC"/>
    <w:rsid w:val="002A093D"/>
    <w:rsid w:val="002A0DD0"/>
    <w:rsid w:val="002A49AC"/>
    <w:rsid w:val="002A64FD"/>
    <w:rsid w:val="002B50B8"/>
    <w:rsid w:val="002C7A84"/>
    <w:rsid w:val="002E4FD9"/>
    <w:rsid w:val="002E61AA"/>
    <w:rsid w:val="00322A85"/>
    <w:rsid w:val="00324168"/>
    <w:rsid w:val="003448F4"/>
    <w:rsid w:val="00374F5E"/>
    <w:rsid w:val="00377E3E"/>
    <w:rsid w:val="003A779E"/>
    <w:rsid w:val="003C4ECC"/>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36B0A"/>
    <w:rsid w:val="00665D70"/>
    <w:rsid w:val="006900D9"/>
    <w:rsid w:val="006D780D"/>
    <w:rsid w:val="006F52BF"/>
    <w:rsid w:val="00706C16"/>
    <w:rsid w:val="0074739C"/>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53F4"/>
    <w:rsid w:val="00923EEF"/>
    <w:rsid w:val="009419F9"/>
    <w:rsid w:val="0095685E"/>
    <w:rsid w:val="00961B09"/>
    <w:rsid w:val="00965334"/>
    <w:rsid w:val="0097093E"/>
    <w:rsid w:val="00986AC5"/>
    <w:rsid w:val="009A0DFA"/>
    <w:rsid w:val="009B2D26"/>
    <w:rsid w:val="009C71FA"/>
    <w:rsid w:val="009C72E7"/>
    <w:rsid w:val="009D0E38"/>
    <w:rsid w:val="009D3058"/>
    <w:rsid w:val="009F3A13"/>
    <w:rsid w:val="00A122D3"/>
    <w:rsid w:val="00A17F13"/>
    <w:rsid w:val="00A20739"/>
    <w:rsid w:val="00A2620D"/>
    <w:rsid w:val="00A33C78"/>
    <w:rsid w:val="00A37967"/>
    <w:rsid w:val="00AB0ADB"/>
    <w:rsid w:val="00B01B1A"/>
    <w:rsid w:val="00B1251C"/>
    <w:rsid w:val="00B66319"/>
    <w:rsid w:val="00B72CD3"/>
    <w:rsid w:val="00B72FFF"/>
    <w:rsid w:val="00BC2848"/>
    <w:rsid w:val="00BC3D36"/>
    <w:rsid w:val="00BD7F72"/>
    <w:rsid w:val="00C04FB3"/>
    <w:rsid w:val="00C330EB"/>
    <w:rsid w:val="00C41061"/>
    <w:rsid w:val="00C60F7B"/>
    <w:rsid w:val="00C754BE"/>
    <w:rsid w:val="00C76B1C"/>
    <w:rsid w:val="00CB6357"/>
    <w:rsid w:val="00CC1B26"/>
    <w:rsid w:val="00D423A2"/>
    <w:rsid w:val="00D44600"/>
    <w:rsid w:val="00D520D8"/>
    <w:rsid w:val="00D63AC2"/>
    <w:rsid w:val="00D7383B"/>
    <w:rsid w:val="00DA231B"/>
    <w:rsid w:val="00DC39FC"/>
    <w:rsid w:val="00DF4861"/>
    <w:rsid w:val="00DF5254"/>
    <w:rsid w:val="00E16408"/>
    <w:rsid w:val="00E20894"/>
    <w:rsid w:val="00E245AB"/>
    <w:rsid w:val="00E2764C"/>
    <w:rsid w:val="00E27F2E"/>
    <w:rsid w:val="00E50AFE"/>
    <w:rsid w:val="00E60431"/>
    <w:rsid w:val="00E75C92"/>
    <w:rsid w:val="00E771DC"/>
    <w:rsid w:val="00E8772A"/>
    <w:rsid w:val="00E90F6B"/>
    <w:rsid w:val="00E92C27"/>
    <w:rsid w:val="00EA0E3D"/>
    <w:rsid w:val="00EB1201"/>
    <w:rsid w:val="00EC38A7"/>
    <w:rsid w:val="00ED7384"/>
    <w:rsid w:val="00EE1AA8"/>
    <w:rsid w:val="00F31EDC"/>
    <w:rsid w:val="00F462B3"/>
    <w:rsid w:val="00F52ED2"/>
    <w:rsid w:val="00F5664F"/>
    <w:rsid w:val="00F666C4"/>
    <w:rsid w:val="00F74591"/>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796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7967"/>
    <w:rPr>
      <w:rFonts w:ascii="Geomanist Light" w:hAnsi="Geomanist Light"/>
      <w:lang w:val="es-ES"/>
    </w:rPr>
  </w:style>
  <w:style w:type="character" w:styleId="Textoennegrita">
    <w:name w:val="Strong"/>
    <w:basedOn w:val="Fuentedeprrafopredeter"/>
    <w:uiPriority w:val="22"/>
    <w:qFormat/>
    <w:rsid w:val="00A37967"/>
    <w:rPr>
      <w:b/>
      <w:bCs/>
    </w:rPr>
  </w:style>
  <w:style w:type="character" w:customStyle="1" w:styleId="NormalWebCar">
    <w:name w:val="Normal (Web) Car"/>
    <w:link w:val="NormalWeb"/>
    <w:uiPriority w:val="99"/>
    <w:rsid w:val="00A37967"/>
    <w:rPr>
      <w:rFonts w:ascii="Times New Roman" w:eastAsia="Times New Roman" w:hAnsi="Times New Roman" w:cs="Times New Roman"/>
      <w:sz w:val="24"/>
      <w:szCs w:val="24"/>
      <w:lang w:eastAsia="es-CO"/>
    </w:rPr>
  </w:style>
  <w:style w:type="character" w:customStyle="1" w:styleId="baj">
    <w:name w:val="b_aj"/>
    <w:basedOn w:val="Fuentedeprrafopredeter"/>
    <w:rsid w:val="00A37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ta.94.sr@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4A1ECB5C-8ECF-4EB4-AFB4-4565B0352E96}"/>
</file>

<file path=docProps/app.xml><?xml version="1.0" encoding="utf-8"?>
<Properties xmlns="http://schemas.openxmlformats.org/officeDocument/2006/extended-properties" xmlns:vt="http://schemas.openxmlformats.org/officeDocument/2006/docPropsVTypes">
  <Template>Normal.dotm</Template>
  <TotalTime>0</TotalTime>
  <Pages>13</Pages>
  <Words>3826</Words>
  <Characters>21048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2024-12-07T15:44:00Z</dcterms:created>
  <dcterms:modified xsi:type="dcterms:W3CDTF">2024-12-10T22:32:00Z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